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E27381" w:rsidTr="00CF1848">
        <w:trPr>
          <w:trHeight w:val="709"/>
        </w:trPr>
        <w:tc>
          <w:tcPr>
            <w:tcW w:w="976" w:type="dxa"/>
            <w:tcBorders>
              <w:bottom w:val="single" w:sz="12" w:space="0" w:color="auto"/>
            </w:tcBorders>
          </w:tcPr>
          <w:p w:rsidR="00C9161D" w:rsidRPr="00662D53" w:rsidRDefault="00C9161D" w:rsidP="00662D53">
            <w:pPr>
              <w:suppressLineNumbers/>
              <w:suppressAutoHyphens/>
              <w:kinsoku w:val="0"/>
              <w:overflowPunct w:val="0"/>
              <w:autoSpaceDE w:val="0"/>
              <w:autoSpaceDN w:val="0"/>
              <w:rPr>
                <w:snapToGrid w:val="0"/>
                <w:kern w:val="22"/>
              </w:rPr>
            </w:pPr>
            <w:bookmarkStart w:id="0" w:name="_Hlk505247837"/>
            <w:r w:rsidRPr="00662D53">
              <w:rPr>
                <w:noProof/>
                <w:snapToGrid w:val="0"/>
                <w:kern w:val="22"/>
                <w:lang w:eastAsia="zh-CN"/>
              </w:rPr>
              <w:drawing>
                <wp:inline distT="0" distB="0" distL="0" distR="0" wp14:anchorId="11438FF8" wp14:editId="67F6E3A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662D53" w:rsidRDefault="00C9161D" w:rsidP="00662D53">
            <w:pPr>
              <w:suppressLineNumbers/>
              <w:suppressAutoHyphens/>
              <w:kinsoku w:val="0"/>
              <w:overflowPunct w:val="0"/>
              <w:autoSpaceDE w:val="0"/>
              <w:autoSpaceDN w:val="0"/>
              <w:rPr>
                <w:snapToGrid w:val="0"/>
                <w:kern w:val="22"/>
              </w:rPr>
            </w:pPr>
            <w:r w:rsidRPr="00662D53">
              <w:rPr>
                <w:noProof/>
                <w:snapToGrid w:val="0"/>
                <w:kern w:val="22"/>
                <w:lang w:eastAsia="zh-CN"/>
              </w:rPr>
              <w:drawing>
                <wp:inline distT="0" distB="0" distL="0" distR="0" wp14:anchorId="058941BD" wp14:editId="7DAB939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662D53" w:rsidRDefault="00C9161D" w:rsidP="00662D53">
            <w:pPr>
              <w:suppressLineNumbers/>
              <w:suppressAutoHyphens/>
              <w:kinsoku w:val="0"/>
              <w:overflowPunct w:val="0"/>
              <w:autoSpaceDE w:val="0"/>
              <w:autoSpaceDN w:val="0"/>
              <w:jc w:val="right"/>
              <w:rPr>
                <w:rFonts w:ascii="Arial" w:hAnsi="Arial" w:cs="Arial"/>
                <w:b/>
                <w:snapToGrid w:val="0"/>
                <w:kern w:val="22"/>
                <w:sz w:val="32"/>
                <w:szCs w:val="32"/>
              </w:rPr>
            </w:pPr>
            <w:r w:rsidRPr="00662D53">
              <w:rPr>
                <w:rFonts w:ascii="Arial" w:hAnsi="Arial" w:cs="Arial"/>
                <w:b/>
                <w:snapToGrid w:val="0"/>
                <w:kern w:val="22"/>
                <w:sz w:val="32"/>
                <w:szCs w:val="32"/>
              </w:rPr>
              <w:t>CBD</w:t>
            </w:r>
          </w:p>
        </w:tc>
      </w:tr>
      <w:bookmarkEnd w:id="0"/>
      <w:tr w:rsidR="00C9161D" w:rsidRPr="00E27381" w:rsidTr="00CF1848">
        <w:tc>
          <w:tcPr>
            <w:tcW w:w="6117" w:type="dxa"/>
            <w:gridSpan w:val="2"/>
            <w:tcBorders>
              <w:top w:val="single" w:sz="12" w:space="0" w:color="auto"/>
              <w:bottom w:val="single" w:sz="36" w:space="0" w:color="auto"/>
            </w:tcBorders>
            <w:vAlign w:val="center"/>
          </w:tcPr>
          <w:p w:rsidR="00C9161D" w:rsidRPr="00662D53" w:rsidRDefault="00C9161D" w:rsidP="00662D53">
            <w:pPr>
              <w:suppressLineNumbers/>
              <w:suppressAutoHyphens/>
              <w:kinsoku w:val="0"/>
              <w:overflowPunct w:val="0"/>
              <w:autoSpaceDE w:val="0"/>
              <w:autoSpaceDN w:val="0"/>
              <w:rPr>
                <w:snapToGrid w:val="0"/>
                <w:kern w:val="22"/>
              </w:rPr>
            </w:pPr>
            <w:r w:rsidRPr="00662D53">
              <w:rPr>
                <w:noProof/>
                <w:snapToGrid w:val="0"/>
                <w:kern w:val="22"/>
                <w:lang w:eastAsia="zh-CN"/>
              </w:rPr>
              <w:drawing>
                <wp:inline distT="0" distB="0" distL="0" distR="0" wp14:anchorId="3A4B4228" wp14:editId="7435DB0F">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662D53" w:rsidRDefault="00C9161D" w:rsidP="00662D53">
            <w:pPr>
              <w:suppressLineNumbers/>
              <w:suppressAutoHyphens/>
              <w:kinsoku w:val="0"/>
              <w:overflowPunct w:val="0"/>
              <w:autoSpaceDE w:val="0"/>
              <w:autoSpaceDN w:val="0"/>
              <w:ind w:left="1215"/>
              <w:rPr>
                <w:snapToGrid w:val="0"/>
                <w:kern w:val="22"/>
                <w:szCs w:val="22"/>
              </w:rPr>
            </w:pPr>
            <w:r w:rsidRPr="00662D53">
              <w:rPr>
                <w:snapToGrid w:val="0"/>
                <w:kern w:val="22"/>
                <w:szCs w:val="22"/>
              </w:rPr>
              <w:t>Distr.</w:t>
            </w:r>
          </w:p>
          <w:p w:rsidR="00C9161D" w:rsidRPr="00662D53" w:rsidRDefault="00662D53" w:rsidP="00662D53">
            <w:pPr>
              <w:suppressLineNumbers/>
              <w:suppressAutoHyphens/>
              <w:kinsoku w:val="0"/>
              <w:overflowPunct w:val="0"/>
              <w:autoSpaceDE w:val="0"/>
              <w:autoSpaceDN w:val="0"/>
              <w:ind w:left="1215"/>
              <w:rPr>
                <w:snapToGrid w:val="0"/>
                <w:kern w:val="22"/>
                <w:szCs w:val="22"/>
              </w:rPr>
            </w:pPr>
            <w:sdt>
              <w:sdtPr>
                <w:rPr>
                  <w:caps/>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662D53">
                  <w:rPr>
                    <w:caps/>
                    <w:snapToGrid w:val="0"/>
                    <w:kern w:val="22"/>
                    <w:szCs w:val="22"/>
                  </w:rPr>
                  <w:t>GENERAL</w:t>
                </w:r>
              </w:sdtContent>
            </w:sdt>
          </w:p>
          <w:p w:rsidR="00C9161D" w:rsidRPr="00662D53" w:rsidRDefault="00C9161D" w:rsidP="00662D53">
            <w:pPr>
              <w:suppressLineNumbers/>
              <w:suppressAutoHyphens/>
              <w:kinsoku w:val="0"/>
              <w:overflowPunct w:val="0"/>
              <w:autoSpaceDE w:val="0"/>
              <w:autoSpaceDN w:val="0"/>
              <w:ind w:left="1215"/>
              <w:rPr>
                <w:snapToGrid w:val="0"/>
                <w:kern w:val="22"/>
                <w:szCs w:val="22"/>
              </w:rPr>
            </w:pPr>
          </w:p>
          <w:p w:rsidR="00C9161D" w:rsidRPr="00662D53" w:rsidRDefault="00662D53" w:rsidP="00662D53">
            <w:pPr>
              <w:suppressLineNumbers/>
              <w:suppressAutoHyphens/>
              <w:kinsoku w:val="0"/>
              <w:overflowPunct w:val="0"/>
              <w:autoSpaceDE w:val="0"/>
              <w:autoSpaceDN w:val="0"/>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A6DB2" w:rsidRPr="00662D53">
                  <w:rPr>
                    <w:snapToGrid w:val="0"/>
                    <w:kern w:val="22"/>
                    <w:szCs w:val="22"/>
                  </w:rPr>
                  <w:t>CBD/ABS/CC/2/3</w:t>
                </w:r>
              </w:sdtContent>
            </w:sdt>
          </w:p>
          <w:p w:rsidR="00C9161D" w:rsidRPr="00662D53" w:rsidRDefault="00662D53" w:rsidP="00662D53">
            <w:pPr>
              <w:suppressLineNumbers/>
              <w:suppressAutoHyphens/>
              <w:kinsoku w:val="0"/>
              <w:overflowPunct w:val="0"/>
              <w:autoSpaceDE w:val="0"/>
              <w:autoSpaceDN w:val="0"/>
              <w:ind w:left="1215"/>
              <w:rPr>
                <w:snapToGrid w:val="0"/>
                <w:kern w:val="22"/>
                <w:szCs w:val="22"/>
              </w:rPr>
            </w:pPr>
            <w:sdt>
              <w:sdtPr>
                <w:rPr>
                  <w:snapToGrid w:val="0"/>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4-05T00:00:00Z">
                  <w:dateFormat w:val="d MMMM yyyy"/>
                  <w:lid w:val="en-US"/>
                  <w:storeMappedDataAs w:val="dateTime"/>
                  <w:calendar w:val="gregorian"/>
                </w:date>
              </w:sdtPr>
              <w:sdtEndPr/>
              <w:sdtContent>
                <w:r w:rsidR="000A6DB2" w:rsidRPr="00662D53">
                  <w:rPr>
                    <w:snapToGrid w:val="0"/>
                    <w:kern w:val="22"/>
                    <w:szCs w:val="22"/>
                  </w:rPr>
                  <w:t>5</w:t>
                </w:r>
                <w:r w:rsidR="007E09DA" w:rsidRPr="00662D53">
                  <w:rPr>
                    <w:snapToGrid w:val="0"/>
                    <w:kern w:val="22"/>
                    <w:szCs w:val="22"/>
                  </w:rPr>
                  <w:t xml:space="preserve"> </w:t>
                </w:r>
                <w:r w:rsidR="000A6DB2" w:rsidRPr="00662D53">
                  <w:rPr>
                    <w:snapToGrid w:val="0"/>
                    <w:kern w:val="22"/>
                    <w:szCs w:val="22"/>
                  </w:rPr>
                  <w:t>April</w:t>
                </w:r>
                <w:r w:rsidR="00660370" w:rsidRPr="00662D53">
                  <w:rPr>
                    <w:snapToGrid w:val="0"/>
                    <w:kern w:val="22"/>
                    <w:szCs w:val="22"/>
                  </w:rPr>
                  <w:t xml:space="preserve"> 2018</w:t>
                </w:r>
              </w:sdtContent>
            </w:sdt>
          </w:p>
          <w:p w:rsidR="00C9161D" w:rsidRPr="00662D53" w:rsidRDefault="00C9161D" w:rsidP="00662D53">
            <w:pPr>
              <w:suppressLineNumbers/>
              <w:suppressAutoHyphens/>
              <w:kinsoku w:val="0"/>
              <w:overflowPunct w:val="0"/>
              <w:autoSpaceDE w:val="0"/>
              <w:autoSpaceDN w:val="0"/>
              <w:ind w:left="1215"/>
              <w:rPr>
                <w:snapToGrid w:val="0"/>
                <w:kern w:val="22"/>
                <w:szCs w:val="22"/>
              </w:rPr>
            </w:pPr>
          </w:p>
          <w:p w:rsidR="00C9161D" w:rsidRPr="00662D53" w:rsidRDefault="00C9161D" w:rsidP="00662D53">
            <w:pPr>
              <w:suppressLineNumbers/>
              <w:suppressAutoHyphens/>
              <w:kinsoku w:val="0"/>
              <w:overflowPunct w:val="0"/>
              <w:autoSpaceDE w:val="0"/>
              <w:autoSpaceDN w:val="0"/>
              <w:ind w:left="1215"/>
              <w:rPr>
                <w:snapToGrid w:val="0"/>
                <w:kern w:val="22"/>
                <w:szCs w:val="22"/>
              </w:rPr>
            </w:pPr>
            <w:r w:rsidRPr="00662D53">
              <w:rPr>
                <w:snapToGrid w:val="0"/>
                <w:kern w:val="22"/>
                <w:szCs w:val="22"/>
              </w:rPr>
              <w:t>ENGLISH</w:t>
            </w:r>
            <w:r w:rsidR="00172AF6" w:rsidRPr="00662D53">
              <w:rPr>
                <w:snapToGrid w:val="0"/>
                <w:kern w:val="22"/>
                <w:szCs w:val="22"/>
              </w:rPr>
              <w:t xml:space="preserve"> ONLY</w:t>
            </w:r>
          </w:p>
          <w:p w:rsidR="00C9161D" w:rsidRPr="00662D53" w:rsidRDefault="00C9161D" w:rsidP="00662D53">
            <w:pPr>
              <w:suppressLineNumbers/>
              <w:suppressAutoHyphens/>
              <w:kinsoku w:val="0"/>
              <w:overflowPunct w:val="0"/>
              <w:autoSpaceDE w:val="0"/>
              <w:autoSpaceDN w:val="0"/>
              <w:rPr>
                <w:snapToGrid w:val="0"/>
                <w:kern w:val="22"/>
              </w:rPr>
            </w:pPr>
          </w:p>
        </w:tc>
      </w:tr>
    </w:tbl>
    <w:p w:rsidR="000A6DB2" w:rsidRPr="00662D53" w:rsidRDefault="000A6DB2" w:rsidP="00662D53">
      <w:pPr>
        <w:pStyle w:val="Cornernotation"/>
        <w:suppressLineNumbers/>
        <w:suppressAutoHyphens/>
        <w:kinsoku w:val="0"/>
        <w:overflowPunct w:val="0"/>
        <w:autoSpaceDE w:val="0"/>
        <w:autoSpaceDN w:val="0"/>
        <w:ind w:left="284" w:right="5391" w:hanging="284"/>
        <w:rPr>
          <w:snapToGrid w:val="0"/>
          <w:kern w:val="22"/>
          <w:szCs w:val="22"/>
        </w:rPr>
      </w:pPr>
      <w:r w:rsidRPr="00662D53">
        <w:rPr>
          <w:snapToGrid w:val="0"/>
          <w:kern w:val="22"/>
          <w:szCs w:val="22"/>
        </w:rPr>
        <w:t>COMPLIANCE COMMITTEE UNDER THE NAGOYA PROTOCOL</w:t>
      </w:r>
    </w:p>
    <w:p w:rsidR="000A6DB2" w:rsidRPr="00662D53" w:rsidRDefault="000A6DB2" w:rsidP="00662D53">
      <w:pPr>
        <w:pStyle w:val="Cornernotation"/>
        <w:suppressLineNumbers/>
        <w:suppressAutoHyphens/>
        <w:kinsoku w:val="0"/>
        <w:overflowPunct w:val="0"/>
        <w:autoSpaceDE w:val="0"/>
        <w:autoSpaceDN w:val="0"/>
        <w:ind w:left="0" w:right="3549" w:firstLine="0"/>
        <w:rPr>
          <w:snapToGrid w:val="0"/>
          <w:kern w:val="22"/>
          <w:szCs w:val="22"/>
        </w:rPr>
      </w:pPr>
      <w:r w:rsidRPr="00662D53">
        <w:rPr>
          <w:snapToGrid w:val="0"/>
          <w:kern w:val="22"/>
          <w:szCs w:val="22"/>
        </w:rPr>
        <w:t>Second meeting</w:t>
      </w:r>
    </w:p>
    <w:p w:rsidR="000A6DB2" w:rsidRPr="00662D53" w:rsidRDefault="000A6DB2" w:rsidP="00662D53">
      <w:pPr>
        <w:pStyle w:val="Cornernotation"/>
        <w:suppressLineNumbers/>
        <w:suppressAutoHyphens/>
        <w:kinsoku w:val="0"/>
        <w:overflowPunct w:val="0"/>
        <w:autoSpaceDE w:val="0"/>
        <w:autoSpaceDN w:val="0"/>
        <w:ind w:left="0" w:right="3549" w:firstLine="0"/>
        <w:rPr>
          <w:snapToGrid w:val="0"/>
          <w:kern w:val="22"/>
          <w:szCs w:val="22"/>
        </w:rPr>
      </w:pPr>
      <w:r w:rsidRPr="00662D53">
        <w:rPr>
          <w:snapToGrid w:val="0"/>
          <w:kern w:val="22"/>
          <w:szCs w:val="22"/>
        </w:rPr>
        <w:t>Montreal, Canada, 24-26 April 2018</w:t>
      </w:r>
    </w:p>
    <w:p w:rsidR="000A6DB2" w:rsidRPr="00662D53" w:rsidRDefault="000A6DB2" w:rsidP="00662D53">
      <w:pPr>
        <w:pStyle w:val="Cornernotation"/>
        <w:suppressLineNumbers/>
        <w:suppressAutoHyphens/>
        <w:kinsoku w:val="0"/>
        <w:overflowPunct w:val="0"/>
        <w:autoSpaceDE w:val="0"/>
        <w:autoSpaceDN w:val="0"/>
        <w:ind w:left="0" w:right="3549" w:firstLine="0"/>
        <w:rPr>
          <w:rFonts w:eastAsiaTheme="majorEastAsia"/>
          <w:snapToGrid w:val="0"/>
          <w:kern w:val="22"/>
          <w:szCs w:val="22"/>
        </w:rPr>
      </w:pPr>
      <w:r w:rsidRPr="00662D53">
        <w:rPr>
          <w:snapToGrid w:val="0"/>
          <w:kern w:val="22"/>
          <w:szCs w:val="22"/>
        </w:rPr>
        <w:t>Item 4 of the provisional agenda</w:t>
      </w:r>
      <w:r w:rsidRPr="00662D53">
        <w:rPr>
          <w:rStyle w:val="FootnoteReference"/>
          <w:rFonts w:eastAsiaTheme="majorEastAsia"/>
          <w:snapToGrid w:val="0"/>
          <w:kern w:val="22"/>
          <w:szCs w:val="22"/>
        </w:rPr>
        <w:footnoteReference w:customMarkFollows="1" w:id="1"/>
        <w:sym w:font="Symbol" w:char="F02A"/>
      </w:r>
    </w:p>
    <w:p w:rsidR="00176CEE" w:rsidRPr="00662D53" w:rsidRDefault="00662D53" w:rsidP="00662D53">
      <w:pPr>
        <w:suppressLineNumbers/>
        <w:suppressAutoHyphens/>
        <w:kinsoku w:val="0"/>
        <w:overflowPunct w:val="0"/>
        <w:autoSpaceDE w:val="0"/>
        <w:autoSpaceDN w:val="0"/>
        <w:spacing w:before="240" w:after="120"/>
        <w:jc w:val="center"/>
        <w:rPr>
          <w:b/>
          <w:caps/>
          <w:snapToGrid w:val="0"/>
          <w:kern w:val="22"/>
          <w:szCs w:val="22"/>
        </w:rPr>
      </w:pPr>
      <w:sdt>
        <w:sdtPr>
          <w:rPr>
            <w:rFonts w:ascii="Times New Roman Bold" w:hAnsi="Times New Roman Bold" w:cs="Times New Roman Bold"/>
            <w:b/>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27381" w:rsidRPr="00662D53">
            <w:rPr>
              <w:rFonts w:ascii="Times New Roman Bold" w:hAnsi="Times New Roman Bold" w:cs="Times New Roman Bold"/>
              <w:b/>
              <w:caps/>
              <w:snapToGrid w:val="0"/>
              <w:kern w:val="22"/>
              <w:szCs w:val="22"/>
            </w:rPr>
            <w:t>First assessment and review of the Nagoya Protocol and general issues of compliance</w:t>
          </w:r>
        </w:sdtContent>
      </w:sdt>
    </w:p>
    <w:p w:rsidR="00660370" w:rsidRPr="00662D53" w:rsidRDefault="00660370" w:rsidP="00662D53">
      <w:pPr>
        <w:suppressLineNumbers/>
        <w:suppressAutoHyphens/>
        <w:kinsoku w:val="0"/>
        <w:overflowPunct w:val="0"/>
        <w:autoSpaceDE w:val="0"/>
        <w:autoSpaceDN w:val="0"/>
        <w:jc w:val="center"/>
        <w:rPr>
          <w:i/>
          <w:iCs/>
          <w:snapToGrid w:val="0"/>
          <w:kern w:val="22"/>
          <w:szCs w:val="22"/>
          <w:lang w:eastAsia="en-CA"/>
        </w:rPr>
      </w:pPr>
      <w:r w:rsidRPr="00662D53">
        <w:rPr>
          <w:i/>
          <w:iCs/>
          <w:snapToGrid w:val="0"/>
          <w:kern w:val="22"/>
          <w:szCs w:val="22"/>
          <w:lang w:eastAsia="en-CA"/>
        </w:rPr>
        <w:t>Note by the Executive Secretary</w:t>
      </w:r>
    </w:p>
    <w:p w:rsidR="000A6DB2" w:rsidRPr="00662D53" w:rsidRDefault="007B0D6D" w:rsidP="00662D53">
      <w:pPr>
        <w:pStyle w:val="Heading1"/>
        <w:suppressLineNumbers/>
        <w:tabs>
          <w:tab w:val="clear" w:pos="720"/>
        </w:tabs>
        <w:suppressAutoHyphens/>
        <w:kinsoku w:val="0"/>
        <w:overflowPunct w:val="0"/>
        <w:autoSpaceDE w:val="0"/>
        <w:autoSpaceDN w:val="0"/>
        <w:spacing w:before="120"/>
        <w:rPr>
          <w:rFonts w:ascii="Times New Roman Bold" w:hAnsi="Times New Roman Bold" w:cs="Times New Roman Bold"/>
          <w:bCs/>
          <w:snapToGrid w:val="0"/>
          <w:kern w:val="22"/>
          <w:szCs w:val="22"/>
        </w:rPr>
      </w:pPr>
      <w:r w:rsidRPr="00662D53">
        <w:rPr>
          <w:rFonts w:ascii="Times New Roman Bold" w:hAnsi="Times New Roman Bold" w:cs="Times New Roman Bold"/>
          <w:bCs/>
          <w:snapToGrid w:val="0"/>
          <w:kern w:val="22"/>
          <w:szCs w:val="22"/>
        </w:rPr>
        <w:t>Introduction</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 xml:space="preserve">Article 31 of the Nagoya Protocol addresses </w:t>
      </w:r>
      <w:r w:rsidR="00FA68F7">
        <w:rPr>
          <w:rFonts w:eastAsia="SimSun"/>
          <w:snapToGrid w:val="0"/>
          <w:kern w:val="22"/>
          <w:szCs w:val="22"/>
        </w:rPr>
        <w:t>“</w:t>
      </w:r>
      <w:r w:rsidRPr="00662D53">
        <w:rPr>
          <w:rFonts w:eastAsia="SimSun"/>
          <w:snapToGrid w:val="0"/>
          <w:kern w:val="22"/>
          <w:szCs w:val="22"/>
        </w:rPr>
        <w:t>assessment and review</w:t>
      </w:r>
      <w:r w:rsidR="00FA68F7">
        <w:rPr>
          <w:rFonts w:eastAsia="SimSun"/>
          <w:snapToGrid w:val="0"/>
          <w:kern w:val="22"/>
          <w:szCs w:val="22"/>
        </w:rPr>
        <w:t>”</w:t>
      </w:r>
      <w:r w:rsidRPr="00662D53">
        <w:rPr>
          <w:rFonts w:eastAsia="SimSun"/>
          <w:snapToGrid w:val="0"/>
          <w:kern w:val="22"/>
          <w:szCs w:val="22"/>
        </w:rPr>
        <w:t xml:space="preserve"> and provides that the meeting of the Parties to the Protocol shall undertake an evaluation of the effectiveness of the Protocol four years after its entry into force. In decision </w:t>
      </w:r>
      <w:hyperlink r:id="rId13" w:history="1">
        <w:r w:rsidRPr="00662D53">
          <w:rPr>
            <w:rStyle w:val="Hyperlink"/>
            <w:rFonts w:eastAsia="SimSun"/>
            <w:snapToGrid w:val="0"/>
            <w:kern w:val="22"/>
            <w:sz w:val="22"/>
            <w:szCs w:val="22"/>
          </w:rPr>
          <w:t>NP-2/4</w:t>
        </w:r>
      </w:hyperlink>
      <w:r w:rsidRPr="00662D53">
        <w:rPr>
          <w:rFonts w:eastAsia="SimSun"/>
          <w:snapToGrid w:val="0"/>
          <w:kern w:val="22"/>
          <w:szCs w:val="22"/>
        </w:rPr>
        <w:t>, the meeting of the Parties decided on the process for the first assessment and review of the Protocol and the elements to be included in the first assessment and review. As part of this, it requested the Compliance Committee to provide inputs in the form of information and findings on general issues of compliance and recommendations to assist in addressing challenges to the implementation of the Protocol (para</w:t>
      </w:r>
      <w:r w:rsidR="001C70C5" w:rsidRPr="00662D53">
        <w:rPr>
          <w:rFonts w:eastAsia="SimSun"/>
          <w:snapToGrid w:val="0"/>
          <w:kern w:val="22"/>
          <w:szCs w:val="22"/>
        </w:rPr>
        <w:t>.</w:t>
      </w:r>
      <w:r w:rsidRPr="00662D53">
        <w:rPr>
          <w:rFonts w:eastAsia="SimSun"/>
          <w:snapToGrid w:val="0"/>
          <w:kern w:val="22"/>
          <w:szCs w:val="22"/>
        </w:rPr>
        <w:t xml:space="preserve"> 5).</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snapToGrid w:val="0"/>
          <w:kern w:val="22"/>
          <w:szCs w:val="22"/>
        </w:rPr>
        <w:t xml:space="preserve">In preparation for the consideration of the first assessment and review of the Protocol by the Subsidiary Body on Implementation, the Secretariat has prepared two documents: </w:t>
      </w:r>
      <w:r w:rsidRPr="00662D53">
        <w:rPr>
          <w:rFonts w:eastAsia="SimSun"/>
          <w:snapToGrid w:val="0"/>
          <w:kern w:val="22"/>
          <w:szCs w:val="22"/>
        </w:rPr>
        <w:t>(a) an analysis of information contained in the interim national reports and information published in the Access and Benefit</w:t>
      </w:r>
      <w:r w:rsidR="001C70C5" w:rsidRPr="00662D53">
        <w:rPr>
          <w:rFonts w:eastAsia="SimSun"/>
          <w:snapToGrid w:val="0"/>
          <w:kern w:val="22"/>
          <w:szCs w:val="22"/>
        </w:rPr>
        <w:noBreakHyphen/>
      </w:r>
      <w:r w:rsidRPr="00662D53">
        <w:rPr>
          <w:rFonts w:eastAsia="SimSun"/>
          <w:snapToGrid w:val="0"/>
          <w:kern w:val="22"/>
          <w:szCs w:val="22"/>
        </w:rPr>
        <w:t>sharing Clearing-House</w:t>
      </w:r>
      <w:r w:rsidR="0050420A">
        <w:rPr>
          <w:rFonts w:eastAsia="SimSun"/>
          <w:snapToGrid w:val="0"/>
          <w:kern w:val="22"/>
          <w:szCs w:val="22"/>
        </w:rPr>
        <w:t>;</w:t>
      </w:r>
      <w:r w:rsidRPr="00662D53">
        <w:rPr>
          <w:rFonts w:eastAsia="SimSun"/>
          <w:snapToGrid w:val="0"/>
          <w:kern w:val="22"/>
          <w:szCs w:val="22"/>
        </w:rPr>
        <w:t xml:space="preserve"> and (b) a statistical overview of the answers provided in the interim national reports. These documents are </w:t>
      </w:r>
      <w:r w:rsidR="0050420A">
        <w:rPr>
          <w:rFonts w:eastAsia="SimSun"/>
          <w:snapToGrid w:val="0"/>
          <w:kern w:val="22"/>
          <w:szCs w:val="22"/>
        </w:rPr>
        <w:t>issued</w:t>
      </w:r>
      <w:r w:rsidRPr="00662D53">
        <w:rPr>
          <w:rFonts w:eastAsia="SimSun"/>
          <w:snapToGrid w:val="0"/>
          <w:kern w:val="22"/>
          <w:szCs w:val="22"/>
        </w:rPr>
        <w:t xml:space="preserve"> for the information of the </w:t>
      </w:r>
      <w:r w:rsidR="0050420A">
        <w:rPr>
          <w:rFonts w:eastAsia="SimSun"/>
          <w:snapToGrid w:val="0"/>
          <w:kern w:val="22"/>
          <w:szCs w:val="22"/>
        </w:rPr>
        <w:t>Compliance Committee</w:t>
      </w:r>
      <w:r w:rsidR="0050420A" w:rsidRPr="00662D53">
        <w:rPr>
          <w:rFonts w:eastAsia="SimSun"/>
          <w:snapToGrid w:val="0"/>
          <w:kern w:val="22"/>
          <w:szCs w:val="22"/>
        </w:rPr>
        <w:t xml:space="preserve"> </w:t>
      </w:r>
      <w:r w:rsidRPr="00662D53">
        <w:rPr>
          <w:rFonts w:eastAsia="SimSun"/>
          <w:snapToGrid w:val="0"/>
          <w:kern w:val="22"/>
          <w:szCs w:val="22"/>
        </w:rPr>
        <w:t>as CBD/ABS/CC/2/INF/1 and</w:t>
      </w:r>
      <w:r w:rsidRPr="00662D53">
        <w:rPr>
          <w:snapToGrid w:val="0"/>
          <w:kern w:val="22"/>
          <w:szCs w:val="22"/>
        </w:rPr>
        <w:t xml:space="preserve"> CBD/ABS/CC/2/INF/2</w:t>
      </w:r>
      <w:r w:rsidRPr="00662D53">
        <w:rPr>
          <w:rFonts w:eastAsia="SimSun"/>
          <w:snapToGrid w:val="0"/>
          <w:kern w:val="22"/>
          <w:szCs w:val="22"/>
        </w:rPr>
        <w:t>, respectively.</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snapToGrid w:val="0"/>
          <w:kern w:val="22"/>
          <w:szCs w:val="22"/>
        </w:rPr>
        <w:t>On the basis of the information contained in these documents, the Secretariat has identified possible general issues of compliance to facilitate the work of the Committee.</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snapToGrid w:val="0"/>
          <w:kern w:val="22"/>
          <w:szCs w:val="22"/>
        </w:rPr>
        <w:t>The present document contains, in section II, information on the rate of submission of the interim national reports. Section III presents some possible general issues of compliance, and section IV of the note suggests issues for the consideration of the Committee.</w:t>
      </w:r>
    </w:p>
    <w:p w:rsidR="000A6DB2" w:rsidRPr="00662D53" w:rsidRDefault="007B0D6D" w:rsidP="00662D53">
      <w:pPr>
        <w:pStyle w:val="Heading1"/>
        <w:numPr>
          <w:ilvl w:val="0"/>
          <w:numId w:val="14"/>
        </w:numPr>
        <w:suppressLineNumbers/>
        <w:suppressAutoHyphens/>
        <w:kinsoku w:val="0"/>
        <w:overflowPunct w:val="0"/>
        <w:autoSpaceDE w:val="0"/>
        <w:autoSpaceDN w:val="0"/>
        <w:spacing w:before="120"/>
        <w:rPr>
          <w:bCs/>
          <w:snapToGrid w:val="0"/>
          <w:kern w:val="22"/>
          <w:szCs w:val="22"/>
        </w:rPr>
      </w:pPr>
      <w:r w:rsidRPr="00662D53">
        <w:rPr>
          <w:bCs/>
          <w:snapToGrid w:val="0"/>
          <w:kern w:val="22"/>
          <w:szCs w:val="22"/>
        </w:rPr>
        <w:t>Rate of submission of the interim national report</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color w:val="000000"/>
          <w:kern w:val="22"/>
          <w:szCs w:val="22"/>
          <w:u w:color="000000"/>
          <w:bdr w:val="nil"/>
        </w:rPr>
      </w:pPr>
      <w:r w:rsidRPr="00662D53">
        <w:rPr>
          <w:rFonts w:eastAsia="Arial Unicode MS"/>
          <w:snapToGrid w:val="0"/>
          <w:color w:val="000000"/>
          <w:kern w:val="22"/>
          <w:szCs w:val="22"/>
          <w:u w:color="000000"/>
          <w:bdr w:val="nil"/>
        </w:rPr>
        <w:t xml:space="preserve">Article 29 of the Protocol requires Parties to monitor the implementation of </w:t>
      </w:r>
      <w:r w:rsidR="001A6D5F" w:rsidRPr="00662D53">
        <w:rPr>
          <w:rFonts w:eastAsia="Arial Unicode MS"/>
          <w:snapToGrid w:val="0"/>
          <w:color w:val="000000"/>
          <w:kern w:val="22"/>
          <w:szCs w:val="22"/>
          <w:u w:color="000000"/>
          <w:bdr w:val="nil"/>
        </w:rPr>
        <w:t>their</w:t>
      </w:r>
      <w:r w:rsidR="001A6D5F" w:rsidRPr="00662D53">
        <w:rPr>
          <w:rFonts w:eastAsia="Arial Unicode MS"/>
          <w:snapToGrid w:val="0"/>
          <w:color w:val="000000"/>
          <w:kern w:val="22"/>
          <w:szCs w:val="22"/>
          <w:u w:color="000000"/>
          <w:bdr w:val="nil"/>
        </w:rPr>
        <w:t xml:space="preserve"> </w:t>
      </w:r>
      <w:r w:rsidRPr="00662D53">
        <w:rPr>
          <w:rFonts w:eastAsia="Arial Unicode MS"/>
          <w:snapToGrid w:val="0"/>
          <w:color w:val="000000"/>
          <w:kern w:val="22"/>
          <w:szCs w:val="22"/>
          <w:u w:color="000000"/>
          <w:bdr w:val="nil"/>
        </w:rPr>
        <w:t>obligations under this Protocol and to report to the Conference of the Parties serving as the meeting of the Parties to the Protocol (COP-MOP) on measures that it has taken to implement the Protocol.</w:t>
      </w:r>
    </w:p>
    <w:p w:rsidR="000A6DB2" w:rsidRPr="00662D53" w:rsidRDefault="001C70C5" w:rsidP="00662D53">
      <w:pPr>
        <w:numPr>
          <w:ilvl w:val="0"/>
          <w:numId w:val="15"/>
        </w:numPr>
        <w:suppressLineNumbers/>
        <w:suppressAutoHyphens/>
        <w:kinsoku w:val="0"/>
        <w:overflowPunct w:val="0"/>
        <w:autoSpaceDE w:val="0"/>
        <w:autoSpaceDN w:val="0"/>
        <w:rPr>
          <w:rFonts w:eastAsia="Arial Unicode MS"/>
          <w:snapToGrid w:val="0"/>
          <w:color w:val="000000"/>
          <w:kern w:val="22"/>
          <w:szCs w:val="22"/>
          <w:u w:color="000000"/>
          <w:bdr w:val="nil"/>
        </w:rPr>
      </w:pPr>
      <w:r w:rsidRPr="00662D53">
        <w:rPr>
          <w:rFonts w:eastAsia="Arial Unicode MS"/>
          <w:snapToGrid w:val="0"/>
          <w:color w:val="000000"/>
          <w:kern w:val="22"/>
          <w:szCs w:val="22"/>
          <w:u w:color="000000"/>
          <w:bdr w:val="nil"/>
        </w:rPr>
        <w:t xml:space="preserve">In decision </w:t>
      </w:r>
      <w:hyperlink r:id="rId14" w:history="1">
        <w:r w:rsidRPr="00662D53">
          <w:rPr>
            <w:rStyle w:val="Hyperlink"/>
            <w:rFonts w:eastAsia="Arial Unicode MS"/>
            <w:snapToGrid w:val="0"/>
            <w:kern w:val="22"/>
            <w:sz w:val="22"/>
            <w:szCs w:val="22"/>
            <w:u w:color="000000"/>
            <w:bdr w:val="nil"/>
          </w:rPr>
          <w:t>NP-1/3</w:t>
        </w:r>
      </w:hyperlink>
      <w:r w:rsidRPr="00662D53">
        <w:rPr>
          <w:rFonts w:eastAsia="Arial Unicode MS"/>
          <w:snapToGrid w:val="0"/>
          <w:color w:val="000000"/>
          <w:kern w:val="22"/>
          <w:szCs w:val="22"/>
          <w:u w:color="000000"/>
          <w:bdr w:val="nil"/>
        </w:rPr>
        <w:t xml:space="preserve">, </w:t>
      </w:r>
      <w:r w:rsidR="000A6DB2" w:rsidRPr="00662D53">
        <w:rPr>
          <w:rFonts w:eastAsia="Arial Unicode MS"/>
          <w:snapToGrid w:val="0"/>
          <w:color w:val="000000"/>
          <w:kern w:val="22"/>
          <w:szCs w:val="22"/>
          <w:u w:color="000000"/>
          <w:bdr w:val="nil"/>
        </w:rPr>
        <w:t xml:space="preserve">the </w:t>
      </w:r>
      <w:r w:rsidRPr="00662D53">
        <w:rPr>
          <w:rFonts w:eastAsia="Arial Unicode MS"/>
          <w:snapToGrid w:val="0"/>
          <w:color w:val="000000"/>
          <w:kern w:val="22"/>
          <w:szCs w:val="22"/>
          <w:u w:color="000000"/>
          <w:bdr w:val="nil"/>
        </w:rPr>
        <w:t>Parties to the Protocol,</w:t>
      </w:r>
      <w:r w:rsidR="000A6DB2" w:rsidRPr="00662D53" w:rsidDel="00B0388F">
        <w:rPr>
          <w:rFonts w:eastAsia="Arial Unicode MS"/>
          <w:snapToGrid w:val="0"/>
          <w:color w:val="000000"/>
          <w:kern w:val="22"/>
          <w:szCs w:val="22"/>
          <w:u w:color="000000"/>
          <w:bdr w:val="nil"/>
        </w:rPr>
        <w:t xml:space="preserve"> </w:t>
      </w:r>
      <w:r w:rsidR="000A6DB2" w:rsidRPr="00662D53">
        <w:rPr>
          <w:rFonts w:eastAsia="Arial Unicode MS"/>
          <w:snapToGrid w:val="0"/>
          <w:color w:val="000000"/>
          <w:kern w:val="22"/>
          <w:szCs w:val="22"/>
          <w:u w:color="000000"/>
          <w:bdr w:val="nil"/>
        </w:rPr>
        <w:t xml:space="preserve">agreed on the format and guidelines for submission of an interim national report on the implementation of the Nagoya Protocol and requested Parties to the Protocol to submit the report </w:t>
      </w:r>
      <w:r w:rsidR="00330628" w:rsidRPr="00662D53">
        <w:rPr>
          <w:rFonts w:eastAsia="Arial Unicode MS"/>
          <w:snapToGrid w:val="0"/>
          <w:color w:val="000000"/>
          <w:kern w:val="22"/>
          <w:szCs w:val="22"/>
          <w:u w:color="000000"/>
          <w:bdr w:val="nil"/>
        </w:rPr>
        <w:t>12</w:t>
      </w:r>
      <w:r w:rsidR="00330628" w:rsidRPr="00662D53">
        <w:rPr>
          <w:rFonts w:eastAsia="Arial Unicode MS"/>
          <w:snapToGrid w:val="0"/>
          <w:color w:val="000000"/>
          <w:kern w:val="22"/>
          <w:szCs w:val="22"/>
          <w:u w:color="000000"/>
          <w:bdr w:val="nil"/>
        </w:rPr>
        <w:t xml:space="preserve"> </w:t>
      </w:r>
      <w:r w:rsidR="000A6DB2" w:rsidRPr="00662D53">
        <w:rPr>
          <w:rFonts w:eastAsia="Arial Unicode MS"/>
          <w:snapToGrid w:val="0"/>
          <w:color w:val="000000"/>
          <w:kern w:val="22"/>
          <w:szCs w:val="22"/>
          <w:u w:color="000000"/>
          <w:bdr w:val="nil"/>
        </w:rPr>
        <w:t xml:space="preserve">months prior to the third meeting of the </w:t>
      </w:r>
      <w:r w:rsidR="0035329A" w:rsidRPr="00662D53">
        <w:rPr>
          <w:rFonts w:eastAsia="Arial Unicode MS"/>
          <w:snapToGrid w:val="0"/>
          <w:color w:val="000000"/>
          <w:kern w:val="22"/>
          <w:szCs w:val="22"/>
          <w:u w:color="000000"/>
          <w:bdr w:val="nil"/>
        </w:rPr>
        <w:t>Parties to the Protocol</w:t>
      </w:r>
      <w:r w:rsidR="000A6DB2" w:rsidRPr="00662D53">
        <w:rPr>
          <w:rFonts w:eastAsia="Arial Unicode MS"/>
          <w:snapToGrid w:val="0"/>
          <w:color w:val="000000"/>
          <w:kern w:val="22"/>
          <w:szCs w:val="22"/>
          <w:u w:color="000000"/>
          <w:bdr w:val="nil"/>
        </w:rPr>
        <w:t xml:space="preserve">. The </w:t>
      </w:r>
      <w:r w:rsidR="00330628" w:rsidRPr="00662D53">
        <w:rPr>
          <w:rFonts w:eastAsia="Arial Unicode MS"/>
          <w:snapToGrid w:val="0"/>
          <w:color w:val="000000"/>
          <w:kern w:val="22"/>
          <w:szCs w:val="22"/>
          <w:u w:color="000000"/>
          <w:bdr w:val="nil"/>
        </w:rPr>
        <w:t>Parties</w:t>
      </w:r>
      <w:r w:rsidR="00330628" w:rsidRPr="00662D53">
        <w:rPr>
          <w:rFonts w:eastAsia="Arial Unicode MS"/>
          <w:snapToGrid w:val="0"/>
          <w:color w:val="000000"/>
          <w:kern w:val="22"/>
          <w:szCs w:val="22"/>
          <w:u w:color="000000"/>
          <w:bdr w:val="nil"/>
        </w:rPr>
        <w:t xml:space="preserve"> </w:t>
      </w:r>
      <w:r w:rsidR="000A6DB2" w:rsidRPr="00662D53">
        <w:rPr>
          <w:rFonts w:eastAsia="Arial Unicode MS"/>
          <w:snapToGrid w:val="0"/>
          <w:color w:val="000000"/>
          <w:kern w:val="22"/>
          <w:szCs w:val="22"/>
          <w:u w:color="000000"/>
          <w:bdr w:val="nil"/>
        </w:rPr>
        <w:t>also welcomed submissions of relevant information by non-Parties. Interim national reports were due to be submitted by 1 November 2017.</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color w:val="000000"/>
          <w:kern w:val="22"/>
          <w:szCs w:val="22"/>
          <w:u w:color="000000"/>
          <w:bdr w:val="nil"/>
        </w:rPr>
      </w:pPr>
      <w:r w:rsidRPr="00662D53">
        <w:rPr>
          <w:rFonts w:eastAsia="Arial Unicode MS"/>
          <w:snapToGrid w:val="0"/>
          <w:color w:val="000000"/>
          <w:kern w:val="22"/>
          <w:szCs w:val="22"/>
          <w:u w:color="000000"/>
          <w:bdr w:val="nil"/>
        </w:rPr>
        <w:lastRenderedPageBreak/>
        <w:t>Taking into account that the submission of the national reports is a key obligation for Parties</w:t>
      </w:r>
      <w:r w:rsidR="00003F76" w:rsidRPr="00003F76">
        <w:rPr>
          <w:rFonts w:eastAsia="Arial Unicode MS"/>
          <w:snapToGrid w:val="0"/>
          <w:color w:val="000000"/>
          <w:kern w:val="22"/>
          <w:szCs w:val="22"/>
          <w:u w:color="000000"/>
          <w:bdr w:val="nil"/>
        </w:rPr>
        <w:t xml:space="preserve"> </w:t>
      </w:r>
      <w:r w:rsidR="00003F76" w:rsidRPr="00F8706F">
        <w:rPr>
          <w:rFonts w:eastAsia="Arial Unicode MS"/>
          <w:snapToGrid w:val="0"/>
          <w:color w:val="000000"/>
          <w:kern w:val="22"/>
          <w:szCs w:val="22"/>
          <w:u w:color="000000"/>
          <w:bdr w:val="nil"/>
        </w:rPr>
        <w:t>to the Protocol</w:t>
      </w:r>
      <w:r w:rsidRPr="00662D53">
        <w:rPr>
          <w:rFonts w:eastAsia="Arial Unicode MS"/>
          <w:snapToGrid w:val="0"/>
          <w:color w:val="000000"/>
          <w:kern w:val="22"/>
          <w:szCs w:val="22"/>
          <w:u w:color="000000"/>
          <w:bdr w:val="nil"/>
        </w:rPr>
        <w:t xml:space="preserve"> and enables </w:t>
      </w:r>
      <w:r w:rsidR="0035329A" w:rsidRPr="00662D53">
        <w:rPr>
          <w:rFonts w:eastAsia="Arial Unicode MS"/>
          <w:snapToGrid w:val="0"/>
          <w:color w:val="000000"/>
          <w:kern w:val="22"/>
          <w:szCs w:val="22"/>
          <w:u w:color="000000"/>
          <w:bdr w:val="nil"/>
        </w:rPr>
        <w:t xml:space="preserve">Parties </w:t>
      </w:r>
      <w:r w:rsidRPr="00662D53">
        <w:rPr>
          <w:rFonts w:eastAsia="Arial Unicode MS"/>
          <w:snapToGrid w:val="0"/>
          <w:color w:val="000000"/>
          <w:kern w:val="22"/>
          <w:szCs w:val="22"/>
          <w:u w:color="000000"/>
          <w:bdr w:val="nil"/>
        </w:rPr>
        <w:t>to take decisions to promote compliance and effective implementation of the Protocol, the rate of compliance with this obligation is herein examined.</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color w:val="000000"/>
          <w:kern w:val="22"/>
          <w:szCs w:val="22"/>
          <w:u w:color="000000"/>
          <w:bdr w:val="nil"/>
        </w:rPr>
      </w:pPr>
      <w:r w:rsidRPr="00662D53">
        <w:rPr>
          <w:rFonts w:eastAsia="Arial Unicode MS"/>
          <w:snapToGrid w:val="0"/>
          <w:color w:val="000000"/>
          <w:kern w:val="22"/>
          <w:szCs w:val="22"/>
          <w:u w:color="000000"/>
          <w:bdr w:val="nil"/>
        </w:rPr>
        <w:t xml:space="preserve">A total of 100 Parties to the </w:t>
      </w:r>
      <w:r w:rsidR="00602A44">
        <w:rPr>
          <w:rFonts w:eastAsia="Arial Unicode MS"/>
          <w:snapToGrid w:val="0"/>
          <w:color w:val="000000"/>
          <w:kern w:val="22"/>
          <w:szCs w:val="22"/>
          <w:u w:color="000000"/>
          <w:bdr w:val="nil"/>
        </w:rPr>
        <w:t>Convention</w:t>
      </w:r>
      <w:r w:rsidR="00602A44" w:rsidRPr="00662D53">
        <w:rPr>
          <w:rFonts w:eastAsia="Arial Unicode MS"/>
          <w:snapToGrid w:val="0"/>
          <w:color w:val="000000"/>
          <w:kern w:val="22"/>
          <w:szCs w:val="22"/>
          <w:u w:color="000000"/>
          <w:bdr w:val="nil"/>
        </w:rPr>
        <w:t xml:space="preserve"> </w:t>
      </w:r>
      <w:r w:rsidRPr="00662D53">
        <w:rPr>
          <w:rFonts w:eastAsia="Arial Unicode MS"/>
          <w:snapToGrid w:val="0"/>
          <w:color w:val="000000"/>
          <w:kern w:val="22"/>
          <w:szCs w:val="22"/>
          <w:u w:color="000000"/>
          <w:bdr w:val="nil"/>
        </w:rPr>
        <w:t xml:space="preserve">were Parties to the Nagoya Protocol by the reporting deadline </w:t>
      </w:r>
      <w:r w:rsidR="004B60CB">
        <w:rPr>
          <w:rFonts w:eastAsia="Arial Unicode MS"/>
          <w:snapToGrid w:val="0"/>
          <w:color w:val="000000"/>
          <w:kern w:val="22"/>
          <w:szCs w:val="22"/>
          <w:u w:color="000000"/>
          <w:bdr w:val="nil"/>
        </w:rPr>
        <w:t xml:space="preserve">of </w:t>
      </w:r>
      <w:r w:rsidRPr="00662D53">
        <w:rPr>
          <w:rFonts w:eastAsia="Arial Unicode MS"/>
          <w:snapToGrid w:val="0"/>
          <w:color w:val="000000"/>
          <w:kern w:val="22"/>
          <w:szCs w:val="22"/>
          <w:u w:color="000000"/>
          <w:bdr w:val="nil"/>
        </w:rPr>
        <w:t>1 November 2017. An additional five Parties</w:t>
      </w:r>
      <w:r w:rsidRPr="00662D53">
        <w:rPr>
          <w:rFonts w:eastAsia="Arial Unicode MS"/>
          <w:snapToGrid w:val="0"/>
          <w:color w:val="000000"/>
          <w:kern w:val="22"/>
          <w:szCs w:val="22"/>
          <w:u w:color="000000"/>
          <w:bdr w:val="nil"/>
          <w:vertAlign w:val="superscript"/>
        </w:rPr>
        <w:footnoteReference w:id="2"/>
      </w:r>
      <w:r w:rsidRPr="00662D53">
        <w:rPr>
          <w:rFonts w:eastAsia="Arial Unicode MS"/>
          <w:snapToGrid w:val="0"/>
          <w:color w:val="000000"/>
          <w:kern w:val="22"/>
          <w:szCs w:val="22"/>
          <w:u w:color="000000"/>
          <w:bdr w:val="nil"/>
        </w:rPr>
        <w:t xml:space="preserve"> to the </w:t>
      </w:r>
      <w:r w:rsidR="0035329A" w:rsidRPr="00662D53">
        <w:rPr>
          <w:rFonts w:eastAsia="Arial Unicode MS"/>
          <w:snapToGrid w:val="0"/>
          <w:color w:val="000000"/>
          <w:kern w:val="22"/>
          <w:szCs w:val="22"/>
          <w:u w:color="000000"/>
          <w:bdr w:val="nil"/>
        </w:rPr>
        <w:t xml:space="preserve">Convention </w:t>
      </w:r>
      <w:r w:rsidRPr="00662D53">
        <w:rPr>
          <w:rFonts w:eastAsia="Arial Unicode MS"/>
          <w:snapToGrid w:val="0"/>
          <w:color w:val="000000"/>
          <w:kern w:val="22"/>
          <w:szCs w:val="22"/>
          <w:u w:color="000000"/>
          <w:bdr w:val="nil"/>
        </w:rPr>
        <w:t>had ratified the Protocol but were not Parties to the Protocol by 1 November 2017</w:t>
      </w:r>
      <w:r w:rsidRPr="00662D53">
        <w:rPr>
          <w:rStyle w:val="FootnoteReference"/>
          <w:rFonts w:eastAsia="Arial Unicode MS"/>
          <w:snapToGrid w:val="0"/>
          <w:color w:val="000000"/>
          <w:kern w:val="22"/>
          <w:szCs w:val="22"/>
          <w:u w:color="000000"/>
          <w:bdr w:val="nil"/>
        </w:rPr>
        <w:footnoteReference w:id="3"/>
      </w:r>
      <w:r w:rsidRPr="00662D53">
        <w:rPr>
          <w:rFonts w:eastAsia="Arial Unicode MS"/>
          <w:snapToGrid w:val="0"/>
          <w:color w:val="000000"/>
          <w:kern w:val="22"/>
          <w:szCs w:val="22"/>
          <w:u w:color="000000"/>
          <w:bdr w:val="nil"/>
        </w:rPr>
        <w:t xml:space="preserve"> and, therefore, did not have the obligation to submit the interim national report. </w:t>
      </w:r>
      <w:r w:rsidRPr="00662D53">
        <w:rPr>
          <w:rFonts w:eastAsia="Arial Unicode MS"/>
          <w:snapToGrid w:val="0"/>
          <w:kern w:val="22"/>
          <w:szCs w:val="22"/>
          <w:u w:color="000000"/>
          <w:bdr w:val="nil"/>
        </w:rPr>
        <w:t>A list of countries that submitted the interim national report can be found in CBD/ABS/CC/2/INF/2</w:t>
      </w:r>
      <w:r w:rsidR="00E11728">
        <w:rPr>
          <w:rFonts w:eastAsia="Arial Unicode MS"/>
          <w:snapToGrid w:val="0"/>
          <w:kern w:val="22"/>
          <w:szCs w:val="22"/>
          <w:u w:color="000000"/>
          <w:bdr w:val="nil"/>
        </w:rPr>
        <w:t>,</w:t>
      </w:r>
      <w:r w:rsidR="00E11728" w:rsidRPr="00E11728">
        <w:rPr>
          <w:rFonts w:eastAsia="Arial Unicode MS"/>
          <w:snapToGrid w:val="0"/>
          <w:kern w:val="22"/>
          <w:szCs w:val="22"/>
          <w:u w:color="000000"/>
          <w:bdr w:val="nil"/>
        </w:rPr>
        <w:t xml:space="preserve"> </w:t>
      </w:r>
      <w:r w:rsidR="00E11728" w:rsidRPr="00A34FFE">
        <w:rPr>
          <w:rFonts w:eastAsia="Arial Unicode MS"/>
          <w:snapToGrid w:val="0"/>
          <w:kern w:val="22"/>
          <w:szCs w:val="22"/>
          <w:u w:color="000000"/>
          <w:bdr w:val="nil"/>
        </w:rPr>
        <w:t>a</w:t>
      </w:r>
      <w:r w:rsidR="00643BDF">
        <w:rPr>
          <w:rFonts w:eastAsia="Arial Unicode MS"/>
          <w:snapToGrid w:val="0"/>
          <w:kern w:val="22"/>
          <w:szCs w:val="22"/>
          <w:u w:color="000000"/>
          <w:bdr w:val="nil"/>
        </w:rPr>
        <w:t>nnex </w:t>
      </w:r>
      <w:r w:rsidR="00E11728" w:rsidRPr="00A34FFE">
        <w:rPr>
          <w:rFonts w:eastAsia="Arial Unicode MS"/>
          <w:snapToGrid w:val="0"/>
          <w:kern w:val="22"/>
          <w:szCs w:val="22"/>
          <w:u w:color="000000"/>
          <w:bdr w:val="nil"/>
        </w:rPr>
        <w:t>I</w:t>
      </w:r>
      <w:r w:rsidRPr="00662D53">
        <w:rPr>
          <w:rFonts w:eastAsia="Arial Unicode MS"/>
          <w:snapToGrid w:val="0"/>
          <w:kern w:val="22"/>
          <w:szCs w:val="22"/>
          <w:u w:color="000000"/>
          <w:bdr w:val="nil"/>
        </w:rPr>
        <w:t>.</w:t>
      </w:r>
    </w:p>
    <w:p w:rsidR="000A6DB2" w:rsidRPr="00E27381"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kern w:val="22"/>
          <w:szCs w:val="22"/>
          <w:u w:color="000000"/>
          <w:bdr w:val="nil"/>
        </w:rPr>
      </w:pPr>
      <w:r w:rsidRPr="00662D53">
        <w:rPr>
          <w:rFonts w:eastAsia="Arial Unicode MS"/>
          <w:snapToGrid w:val="0"/>
          <w:kern w:val="22"/>
          <w:szCs w:val="22"/>
          <w:u w:color="000000"/>
          <w:bdr w:val="nil"/>
        </w:rPr>
        <w:t>As of 22 February 2018, 69 Parties to the Nagoya Protocol had submitted a report. Of these 69 Parties, 39 had submitted the report by the deadline.</w:t>
      </w:r>
    </w:p>
    <w:p w:rsidR="000A6DB2" w:rsidRPr="00E27381"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kern w:val="22"/>
          <w:szCs w:val="22"/>
          <w:u w:color="000000"/>
          <w:bdr w:val="nil"/>
        </w:rPr>
      </w:pPr>
      <w:r w:rsidRPr="00662D53">
        <w:rPr>
          <w:rFonts w:eastAsia="Arial Unicode MS"/>
          <w:snapToGrid w:val="0"/>
          <w:color w:val="000000"/>
          <w:kern w:val="22"/>
          <w:szCs w:val="22"/>
          <w:u w:color="000000"/>
          <w:bdr w:val="nil"/>
        </w:rPr>
        <w:t xml:space="preserve">The </w:t>
      </w:r>
      <w:r w:rsidRPr="00662D53">
        <w:rPr>
          <w:rFonts w:eastAsia="Arial Unicode MS"/>
          <w:snapToGrid w:val="0"/>
          <w:kern w:val="22"/>
          <w:szCs w:val="22"/>
          <w:u w:color="000000"/>
          <w:bdr w:val="nil"/>
        </w:rPr>
        <w:t>distribution of these reports among United Nations regional groups is as follows:</w:t>
      </w:r>
    </w:p>
    <w:p w:rsidR="000A6DB2" w:rsidRPr="00662D53" w:rsidRDefault="000A6DB2" w:rsidP="00662D53">
      <w:pPr>
        <w:pStyle w:val="Para1"/>
        <w:numPr>
          <w:ilvl w:val="1"/>
          <w:numId w:val="16"/>
        </w:numPr>
        <w:suppressLineNumbers/>
        <w:tabs>
          <w:tab w:val="left" w:pos="1170"/>
        </w:tabs>
        <w:suppressAutoHyphens/>
        <w:kinsoku w:val="0"/>
        <w:overflowPunct w:val="0"/>
        <w:autoSpaceDE w:val="0"/>
        <w:autoSpaceDN w:val="0"/>
        <w:spacing w:before="0"/>
        <w:rPr>
          <w:kern w:val="22"/>
          <w:szCs w:val="22"/>
        </w:rPr>
      </w:pPr>
      <w:r w:rsidRPr="00662D53">
        <w:rPr>
          <w:kern w:val="22"/>
          <w:szCs w:val="22"/>
        </w:rPr>
        <w:t xml:space="preserve">Africa: 27 reports received (69% of 47 Parties </w:t>
      </w:r>
      <w:r w:rsidR="00F62408">
        <w:rPr>
          <w:kern w:val="22"/>
          <w:szCs w:val="22"/>
        </w:rPr>
        <w:t>from</w:t>
      </w:r>
      <w:r w:rsidR="00F62408" w:rsidRPr="00662D53">
        <w:rPr>
          <w:kern w:val="22"/>
          <w:szCs w:val="22"/>
        </w:rPr>
        <w:t xml:space="preserve"> </w:t>
      </w:r>
      <w:r w:rsidRPr="00662D53">
        <w:rPr>
          <w:kern w:val="22"/>
          <w:szCs w:val="22"/>
        </w:rPr>
        <w:t>that region);</w:t>
      </w:r>
    </w:p>
    <w:p w:rsidR="000A6DB2" w:rsidRPr="00662D53" w:rsidRDefault="000A6DB2" w:rsidP="00662D53">
      <w:pPr>
        <w:pStyle w:val="Para1"/>
        <w:numPr>
          <w:ilvl w:val="1"/>
          <w:numId w:val="16"/>
        </w:numPr>
        <w:suppressLineNumbers/>
        <w:tabs>
          <w:tab w:val="left" w:pos="1170"/>
        </w:tabs>
        <w:suppressAutoHyphens/>
        <w:kinsoku w:val="0"/>
        <w:overflowPunct w:val="0"/>
        <w:autoSpaceDE w:val="0"/>
        <w:autoSpaceDN w:val="0"/>
        <w:spacing w:before="0"/>
        <w:rPr>
          <w:kern w:val="22"/>
          <w:szCs w:val="22"/>
        </w:rPr>
      </w:pPr>
      <w:r w:rsidRPr="00662D53">
        <w:rPr>
          <w:kern w:val="22"/>
          <w:szCs w:val="22"/>
        </w:rPr>
        <w:t xml:space="preserve">Asia and </w:t>
      </w:r>
      <w:r w:rsidR="00F62408">
        <w:rPr>
          <w:kern w:val="22"/>
          <w:szCs w:val="22"/>
        </w:rPr>
        <w:t xml:space="preserve">the </w:t>
      </w:r>
      <w:r w:rsidRPr="00662D53">
        <w:rPr>
          <w:kern w:val="22"/>
          <w:szCs w:val="22"/>
        </w:rPr>
        <w:t xml:space="preserve">Pacific: 13 reports received (50% of 26 Parties </w:t>
      </w:r>
      <w:r w:rsidR="00F62408">
        <w:rPr>
          <w:kern w:val="22"/>
          <w:szCs w:val="22"/>
        </w:rPr>
        <w:t>from</w:t>
      </w:r>
      <w:r w:rsidR="00F62408" w:rsidRPr="00662D53">
        <w:rPr>
          <w:kern w:val="22"/>
          <w:szCs w:val="22"/>
        </w:rPr>
        <w:t xml:space="preserve"> </w:t>
      </w:r>
      <w:r w:rsidRPr="00662D53">
        <w:rPr>
          <w:kern w:val="22"/>
          <w:szCs w:val="22"/>
        </w:rPr>
        <w:t>that region);</w:t>
      </w:r>
    </w:p>
    <w:p w:rsidR="000A6DB2" w:rsidRPr="00662D53" w:rsidRDefault="000A6DB2" w:rsidP="00662D53">
      <w:pPr>
        <w:pStyle w:val="Para1"/>
        <w:numPr>
          <w:ilvl w:val="1"/>
          <w:numId w:val="16"/>
        </w:numPr>
        <w:suppressLineNumbers/>
        <w:tabs>
          <w:tab w:val="left" w:pos="1170"/>
        </w:tabs>
        <w:suppressAutoHyphens/>
        <w:kinsoku w:val="0"/>
        <w:overflowPunct w:val="0"/>
        <w:autoSpaceDE w:val="0"/>
        <w:autoSpaceDN w:val="0"/>
        <w:spacing w:before="0"/>
        <w:rPr>
          <w:kern w:val="22"/>
          <w:szCs w:val="22"/>
        </w:rPr>
      </w:pPr>
      <w:r w:rsidRPr="00662D53">
        <w:rPr>
          <w:kern w:val="22"/>
          <w:szCs w:val="22"/>
        </w:rPr>
        <w:t xml:space="preserve">Latin America and the Caribbean (GRULAC): 8 reports received (67% of 13 Parties </w:t>
      </w:r>
      <w:r w:rsidR="00F62408">
        <w:rPr>
          <w:kern w:val="22"/>
          <w:szCs w:val="22"/>
        </w:rPr>
        <w:t>from</w:t>
      </w:r>
      <w:r w:rsidR="00F62408" w:rsidRPr="00662D53">
        <w:rPr>
          <w:kern w:val="22"/>
          <w:szCs w:val="22"/>
        </w:rPr>
        <w:t xml:space="preserve"> </w:t>
      </w:r>
      <w:r w:rsidRPr="00662D53">
        <w:rPr>
          <w:kern w:val="22"/>
          <w:szCs w:val="22"/>
        </w:rPr>
        <w:t>that region);</w:t>
      </w:r>
    </w:p>
    <w:p w:rsidR="000A6DB2" w:rsidRPr="00662D53" w:rsidRDefault="000A6DB2" w:rsidP="00662D53">
      <w:pPr>
        <w:pStyle w:val="Para1"/>
        <w:numPr>
          <w:ilvl w:val="1"/>
          <w:numId w:val="16"/>
        </w:numPr>
        <w:suppressLineNumbers/>
        <w:tabs>
          <w:tab w:val="left" w:pos="1170"/>
        </w:tabs>
        <w:suppressAutoHyphens/>
        <w:kinsoku w:val="0"/>
        <w:overflowPunct w:val="0"/>
        <w:autoSpaceDE w:val="0"/>
        <w:autoSpaceDN w:val="0"/>
        <w:spacing w:before="0"/>
        <w:rPr>
          <w:kern w:val="22"/>
          <w:szCs w:val="22"/>
        </w:rPr>
      </w:pPr>
      <w:r w:rsidRPr="00662D53">
        <w:rPr>
          <w:kern w:val="22"/>
          <w:szCs w:val="22"/>
        </w:rPr>
        <w:t xml:space="preserve">Central and Eastern Europe (CEE): 7 reports (88% of 8 Parties </w:t>
      </w:r>
      <w:r w:rsidR="00F62408">
        <w:rPr>
          <w:kern w:val="22"/>
          <w:szCs w:val="22"/>
        </w:rPr>
        <w:t>from</w:t>
      </w:r>
      <w:r w:rsidR="00F62408" w:rsidRPr="00662D53">
        <w:rPr>
          <w:kern w:val="22"/>
          <w:szCs w:val="22"/>
        </w:rPr>
        <w:t xml:space="preserve"> </w:t>
      </w:r>
      <w:r w:rsidRPr="00662D53">
        <w:rPr>
          <w:kern w:val="22"/>
          <w:szCs w:val="22"/>
        </w:rPr>
        <w:t>that region);</w:t>
      </w:r>
    </w:p>
    <w:p w:rsidR="000A6DB2" w:rsidRPr="00662D53" w:rsidRDefault="000A6DB2" w:rsidP="00662D53">
      <w:pPr>
        <w:pStyle w:val="Para1"/>
        <w:numPr>
          <w:ilvl w:val="1"/>
          <w:numId w:val="16"/>
        </w:numPr>
        <w:suppressLineNumbers/>
        <w:tabs>
          <w:tab w:val="left" w:pos="1170"/>
        </w:tabs>
        <w:suppressAutoHyphens/>
        <w:kinsoku w:val="0"/>
        <w:overflowPunct w:val="0"/>
        <w:autoSpaceDE w:val="0"/>
        <w:autoSpaceDN w:val="0"/>
        <w:spacing w:before="0"/>
        <w:rPr>
          <w:kern w:val="22"/>
          <w:szCs w:val="22"/>
        </w:rPr>
      </w:pPr>
      <w:r w:rsidRPr="00662D53">
        <w:rPr>
          <w:kern w:val="22"/>
          <w:szCs w:val="22"/>
        </w:rPr>
        <w:t xml:space="preserve">Western Europe and Others Group (WEOG): 14 reports (93% of 15 Parties </w:t>
      </w:r>
      <w:r w:rsidR="00F62408">
        <w:rPr>
          <w:kern w:val="22"/>
          <w:szCs w:val="22"/>
        </w:rPr>
        <w:t>from</w:t>
      </w:r>
      <w:r w:rsidR="00F62408" w:rsidRPr="00662D53">
        <w:rPr>
          <w:kern w:val="22"/>
          <w:szCs w:val="22"/>
        </w:rPr>
        <w:t xml:space="preserve"> </w:t>
      </w:r>
      <w:r w:rsidRPr="00662D53">
        <w:rPr>
          <w:kern w:val="22"/>
          <w:szCs w:val="22"/>
        </w:rPr>
        <w:t xml:space="preserve">that </w:t>
      </w:r>
      <w:r w:rsidR="00F62408">
        <w:rPr>
          <w:kern w:val="22"/>
          <w:szCs w:val="22"/>
        </w:rPr>
        <w:t>region</w:t>
      </w:r>
      <w:r w:rsidRPr="00662D53">
        <w:rPr>
          <w:kern w:val="22"/>
          <w:szCs w:val="22"/>
        </w:rPr>
        <w:t>).</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kern w:val="22"/>
          <w:szCs w:val="22"/>
          <w:u w:color="000000"/>
          <w:bdr w:val="nil"/>
        </w:rPr>
      </w:pPr>
      <w:r w:rsidRPr="00662D53">
        <w:rPr>
          <w:rFonts w:eastAsia="Arial Unicode MS"/>
          <w:snapToGrid w:val="0"/>
          <w:kern w:val="22"/>
          <w:szCs w:val="22"/>
          <w:u w:color="000000"/>
          <w:bdr w:val="nil"/>
        </w:rPr>
        <w:t xml:space="preserve">In addition, </w:t>
      </w:r>
      <w:r w:rsidR="00F62408">
        <w:rPr>
          <w:rFonts w:eastAsia="Arial Unicode MS"/>
          <w:snapToGrid w:val="0"/>
          <w:kern w:val="22"/>
          <w:szCs w:val="22"/>
          <w:u w:color="000000"/>
          <w:bdr w:val="nil"/>
        </w:rPr>
        <w:t>six</w:t>
      </w:r>
      <w:r w:rsidRPr="00662D53">
        <w:rPr>
          <w:rFonts w:eastAsia="Arial Unicode MS"/>
          <w:snapToGrid w:val="0"/>
          <w:kern w:val="22"/>
          <w:szCs w:val="22"/>
          <w:u w:color="000000"/>
          <w:bdr w:val="nil"/>
        </w:rPr>
        <w:t xml:space="preserve"> non-Parties submitted interim national reports.</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color w:val="000000"/>
          <w:kern w:val="22"/>
          <w:szCs w:val="22"/>
          <w:u w:color="000000"/>
          <w:bdr w:val="nil"/>
        </w:rPr>
      </w:pPr>
      <w:r w:rsidRPr="00662D53">
        <w:rPr>
          <w:rFonts w:eastAsia="Arial Unicode MS"/>
          <w:snapToGrid w:val="0"/>
          <w:color w:val="000000"/>
          <w:kern w:val="22"/>
          <w:szCs w:val="22"/>
          <w:u w:color="000000"/>
          <w:bdr w:val="nil"/>
        </w:rPr>
        <w:t>With respect to financial support for the preparation of the national report, the Conference of the Parties</w:t>
      </w:r>
      <w:r w:rsidR="00B03F87" w:rsidRPr="00B03F87">
        <w:rPr>
          <w:rFonts w:eastAsia="Arial Unicode MS"/>
          <w:snapToGrid w:val="0"/>
          <w:color w:val="000000"/>
          <w:kern w:val="22"/>
          <w:szCs w:val="22"/>
          <w:u w:color="000000"/>
          <w:bdr w:val="nil"/>
        </w:rPr>
        <w:t xml:space="preserve"> </w:t>
      </w:r>
      <w:r w:rsidR="00B03F87">
        <w:rPr>
          <w:rFonts w:eastAsia="Arial Unicode MS"/>
          <w:snapToGrid w:val="0"/>
          <w:color w:val="000000"/>
          <w:kern w:val="22"/>
          <w:szCs w:val="22"/>
          <w:u w:color="000000"/>
          <w:bdr w:val="nil"/>
        </w:rPr>
        <w:t>at its thirteenth meeting</w:t>
      </w:r>
      <w:r w:rsidRPr="00662D53">
        <w:rPr>
          <w:rStyle w:val="FootnoteReference"/>
          <w:rFonts w:eastAsia="Arial Unicode MS"/>
          <w:snapToGrid w:val="0"/>
          <w:color w:val="000000"/>
          <w:kern w:val="22"/>
          <w:szCs w:val="22"/>
          <w:u w:color="000000"/>
          <w:bdr w:val="nil"/>
        </w:rPr>
        <w:footnoteReference w:id="4"/>
      </w:r>
      <w:r w:rsidRPr="00662D53">
        <w:rPr>
          <w:rFonts w:eastAsia="Arial Unicode MS"/>
          <w:snapToGrid w:val="0"/>
          <w:color w:val="000000"/>
          <w:kern w:val="22"/>
          <w:szCs w:val="22"/>
          <w:u w:color="000000"/>
          <w:bdr w:val="nil"/>
        </w:rPr>
        <w:t xml:space="preserve"> invited the Global Environment Facility (GEF) to provide support to eligible Parties.</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color w:val="000000"/>
          <w:kern w:val="22"/>
          <w:szCs w:val="22"/>
          <w:u w:color="000000"/>
          <w:bdr w:val="nil"/>
        </w:rPr>
      </w:pPr>
      <w:r w:rsidRPr="00662D53">
        <w:rPr>
          <w:rFonts w:eastAsia="Arial Unicode MS"/>
          <w:snapToGrid w:val="0"/>
          <w:color w:val="000000"/>
          <w:kern w:val="22"/>
          <w:szCs w:val="22"/>
          <w:u w:color="000000"/>
          <w:bdr w:val="nil"/>
        </w:rPr>
        <w:t xml:space="preserve">The Executive Secretary informed all Parties to the Nagoya Protocol that the United Nations Environment Programme (UNEP) was preparing a project for funding by GEF to assist eligible </w:t>
      </w:r>
      <w:r w:rsidRPr="00662D53">
        <w:rPr>
          <w:rFonts w:eastAsia="Arial Unicode MS"/>
          <w:snapToGrid w:val="0"/>
          <w:kern w:val="22"/>
          <w:szCs w:val="22"/>
          <w:u w:color="000000"/>
          <w:bdr w:val="nil"/>
        </w:rPr>
        <w:t>Parties</w:t>
      </w:r>
      <w:r w:rsidRPr="00662D53">
        <w:rPr>
          <w:rFonts w:eastAsia="Arial Unicode MS"/>
          <w:snapToGrid w:val="0"/>
          <w:color w:val="000000"/>
          <w:kern w:val="22"/>
          <w:szCs w:val="22"/>
          <w:u w:color="000000"/>
          <w:bdr w:val="nil"/>
        </w:rPr>
        <w:t xml:space="preserve"> in the preparation of their report and invited eligible Parties to contact UNEP to access the funds.</w:t>
      </w:r>
      <w:r w:rsidRPr="00E27381">
        <w:rPr>
          <w:rFonts w:eastAsia="Arial Unicode MS"/>
          <w:snapToGrid w:val="0"/>
          <w:color w:val="000000"/>
          <w:kern w:val="22"/>
          <w:szCs w:val="22"/>
          <w:u w:color="000000"/>
          <w:bdr w:val="nil"/>
          <w:vertAlign w:val="superscript"/>
        </w:rPr>
        <w:t xml:space="preserve"> </w:t>
      </w:r>
      <w:r w:rsidRPr="00E27381">
        <w:rPr>
          <w:rFonts w:eastAsia="Arial Unicode MS"/>
          <w:snapToGrid w:val="0"/>
          <w:color w:val="000000"/>
          <w:kern w:val="22"/>
          <w:szCs w:val="22"/>
          <w:u w:color="000000"/>
          <w:bdr w:val="nil"/>
          <w:vertAlign w:val="superscript"/>
        </w:rPr>
        <w:footnoteReference w:id="5"/>
      </w:r>
      <w:r w:rsidRPr="00662D53">
        <w:rPr>
          <w:rFonts w:eastAsia="Arial Unicode MS"/>
          <w:snapToGrid w:val="0"/>
          <w:color w:val="000000"/>
          <w:kern w:val="22"/>
          <w:szCs w:val="22"/>
          <w:u w:color="000000"/>
          <w:bdr w:val="nil"/>
        </w:rPr>
        <w:t xml:space="preserve"> A GEF project was approved in August 2017 covering 65 eligible Parties</w:t>
      </w:r>
      <w:r w:rsidR="005844EB">
        <w:rPr>
          <w:rFonts w:eastAsia="Arial Unicode MS"/>
          <w:snapToGrid w:val="0"/>
          <w:color w:val="000000"/>
          <w:kern w:val="22"/>
          <w:szCs w:val="22"/>
          <w:u w:color="000000"/>
          <w:bdr w:val="nil"/>
        </w:rPr>
        <w:t>,</w:t>
      </w:r>
      <w:r w:rsidRPr="00662D53">
        <w:rPr>
          <w:rFonts w:eastAsia="Arial Unicode MS"/>
          <w:snapToGrid w:val="0"/>
          <w:color w:val="000000"/>
          <w:kern w:val="22"/>
          <w:szCs w:val="22"/>
          <w:u w:color="000000"/>
          <w:bdr w:val="nil"/>
        </w:rPr>
        <w:t xml:space="preserve"> 42 of </w:t>
      </w:r>
      <w:r w:rsidR="005844EB">
        <w:rPr>
          <w:rFonts w:eastAsia="Arial Unicode MS"/>
          <w:snapToGrid w:val="0"/>
          <w:color w:val="000000"/>
          <w:kern w:val="22"/>
          <w:szCs w:val="22"/>
          <w:u w:color="000000"/>
          <w:bdr w:val="nil"/>
        </w:rPr>
        <w:t>which</w:t>
      </w:r>
      <w:r w:rsidRPr="00662D53">
        <w:rPr>
          <w:rFonts w:eastAsia="Arial Unicode MS"/>
          <w:snapToGrid w:val="0"/>
          <w:color w:val="000000"/>
          <w:kern w:val="22"/>
          <w:szCs w:val="22"/>
          <w:u w:color="000000"/>
          <w:bdr w:val="nil"/>
        </w:rPr>
        <w:t xml:space="preserve"> have submitted their report. Given the short amount of time between the approval of the project and the due date for the interim national report, it is expected that additional Parties will submit their reports in the following months.</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kern w:val="22"/>
          <w:szCs w:val="22"/>
          <w:u w:color="000000"/>
          <w:bdr w:val="nil"/>
        </w:rPr>
      </w:pPr>
      <w:r w:rsidRPr="00662D53">
        <w:rPr>
          <w:rFonts w:eastAsia="SimSun"/>
          <w:snapToGrid w:val="0"/>
          <w:kern w:val="22"/>
          <w:szCs w:val="22"/>
        </w:rPr>
        <w:t xml:space="preserve">All interim national reports received are available online on the ABS Clearing-House at the following link: </w:t>
      </w:r>
      <w:hyperlink r:id="rId15" w:history="1">
        <w:r w:rsidRPr="00662D53">
          <w:rPr>
            <w:rStyle w:val="Hyperlink"/>
            <w:rFonts w:eastAsia="SimSun"/>
            <w:snapToGrid w:val="0"/>
            <w:kern w:val="22"/>
            <w:sz w:val="22"/>
            <w:szCs w:val="22"/>
          </w:rPr>
          <w:t>https://absch.cbd.int/reports</w:t>
        </w:r>
      </w:hyperlink>
      <w:r w:rsidRPr="00662D53">
        <w:rPr>
          <w:rFonts w:eastAsia="SimSun"/>
          <w:snapToGrid w:val="0"/>
          <w:kern w:val="22"/>
          <w:szCs w:val="22"/>
        </w:rPr>
        <w:t>, with the exception of one report that was submitted offline. The ABS Clearing-House also hosts a report analyser tool that enables the analysis of information contained in the interim national report by question, country/</w:t>
      </w:r>
      <w:proofErr w:type="spellStart"/>
      <w:r w:rsidRPr="00662D53">
        <w:rPr>
          <w:rFonts w:eastAsia="SimSun"/>
          <w:snapToGrid w:val="0"/>
          <w:kern w:val="22"/>
          <w:szCs w:val="22"/>
        </w:rPr>
        <w:t>ies</w:t>
      </w:r>
      <w:proofErr w:type="spellEnd"/>
      <w:r w:rsidRPr="00662D53">
        <w:rPr>
          <w:rFonts w:eastAsia="SimSun"/>
          <w:snapToGrid w:val="0"/>
          <w:kern w:val="22"/>
          <w:szCs w:val="22"/>
        </w:rPr>
        <w:t xml:space="preserve"> or region.</w:t>
      </w:r>
    </w:p>
    <w:p w:rsidR="000A6DB2" w:rsidRPr="00662D53" w:rsidRDefault="00AC5D43" w:rsidP="00662D53">
      <w:pPr>
        <w:pStyle w:val="Heading1"/>
        <w:numPr>
          <w:ilvl w:val="0"/>
          <w:numId w:val="14"/>
        </w:numPr>
        <w:suppressLineNumbers/>
        <w:tabs>
          <w:tab w:val="clear" w:pos="720"/>
        </w:tabs>
        <w:suppressAutoHyphens/>
        <w:kinsoku w:val="0"/>
        <w:overflowPunct w:val="0"/>
        <w:autoSpaceDE w:val="0"/>
        <w:autoSpaceDN w:val="0"/>
        <w:spacing w:before="120"/>
        <w:rPr>
          <w:rFonts w:ascii="Times New Roman Bold" w:hAnsi="Times New Roman Bold" w:cs="Times New Roman Bold"/>
          <w:bCs/>
          <w:snapToGrid w:val="0"/>
          <w:kern w:val="22"/>
          <w:szCs w:val="22"/>
        </w:rPr>
      </w:pPr>
      <w:r w:rsidRPr="00662D53">
        <w:rPr>
          <w:rFonts w:ascii="Times New Roman Bold" w:hAnsi="Times New Roman Bold" w:cs="Times New Roman Bold"/>
          <w:bCs/>
          <w:snapToGrid w:val="0"/>
          <w:kern w:val="22"/>
          <w:szCs w:val="22"/>
        </w:rPr>
        <w:t>General issues of compliance</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kern w:val="22"/>
          <w:szCs w:val="22"/>
          <w:u w:color="000000"/>
          <w:bdr w:val="nil"/>
        </w:rPr>
      </w:pPr>
      <w:r w:rsidRPr="00662D53">
        <w:rPr>
          <w:rFonts w:eastAsia="Arial Unicode MS"/>
          <w:snapToGrid w:val="0"/>
          <w:kern w:val="22"/>
          <w:szCs w:val="22"/>
          <w:u w:color="000000"/>
          <w:bdr w:val="nil"/>
        </w:rPr>
        <w:t xml:space="preserve">On the basis of the analysis </w:t>
      </w:r>
      <w:r w:rsidR="002478C7">
        <w:rPr>
          <w:rFonts w:eastAsia="Arial Unicode MS"/>
          <w:snapToGrid w:val="0"/>
          <w:kern w:val="22"/>
          <w:szCs w:val="22"/>
          <w:u w:color="000000"/>
          <w:bdr w:val="nil"/>
        </w:rPr>
        <w:t>described</w:t>
      </w:r>
      <w:r w:rsidR="002478C7" w:rsidRPr="00662D53">
        <w:rPr>
          <w:rFonts w:eastAsia="Arial Unicode MS"/>
          <w:snapToGrid w:val="0"/>
          <w:kern w:val="22"/>
          <w:szCs w:val="22"/>
          <w:u w:color="000000"/>
          <w:bdr w:val="nil"/>
        </w:rPr>
        <w:t xml:space="preserve"> </w:t>
      </w:r>
      <w:r w:rsidRPr="00662D53">
        <w:rPr>
          <w:rFonts w:eastAsia="Arial Unicode MS"/>
          <w:snapToGrid w:val="0"/>
          <w:kern w:val="22"/>
          <w:szCs w:val="22"/>
          <w:u w:color="000000"/>
          <w:bdr w:val="nil"/>
        </w:rPr>
        <w:t xml:space="preserve">in </w:t>
      </w:r>
      <w:r w:rsidRPr="00662D53">
        <w:rPr>
          <w:rFonts w:eastAsia="SimSun"/>
          <w:snapToGrid w:val="0"/>
          <w:kern w:val="22"/>
          <w:szCs w:val="22"/>
        </w:rPr>
        <w:t>CBD/ABS/CC/2/INF/1, some general issues affecting the compliance of a number of Parties with respect to their obligations under the Protocol</w:t>
      </w:r>
      <w:r w:rsidR="002478C7">
        <w:rPr>
          <w:rFonts w:eastAsia="SimSun"/>
          <w:snapToGrid w:val="0"/>
          <w:kern w:val="22"/>
          <w:szCs w:val="22"/>
        </w:rPr>
        <w:t xml:space="preserve"> are identified herein</w:t>
      </w:r>
      <w:r w:rsidRPr="00662D53">
        <w:rPr>
          <w:rFonts w:eastAsia="SimSun"/>
          <w:snapToGrid w:val="0"/>
          <w:kern w:val="22"/>
          <w:szCs w:val="22"/>
        </w:rPr>
        <w:t>.</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kern w:val="22"/>
          <w:szCs w:val="22"/>
          <w:u w:color="000000"/>
          <w:bdr w:val="nil"/>
        </w:rPr>
      </w:pPr>
      <w:r w:rsidRPr="00662D53">
        <w:rPr>
          <w:rFonts w:eastAsia="Arial Unicode MS"/>
          <w:snapToGrid w:val="0"/>
          <w:kern w:val="22"/>
          <w:szCs w:val="22"/>
          <w:u w:color="000000"/>
          <w:bdr w:val="nil"/>
        </w:rPr>
        <w:t xml:space="preserve">In order to make the Protocol operational, Parties need, as first step, to put the necessary access and benefit-sharing legislative, administrative and policy measures in place, and to establish institutional </w:t>
      </w:r>
      <w:r w:rsidRPr="00662D53">
        <w:rPr>
          <w:rFonts w:eastAsia="Arial Unicode MS"/>
          <w:snapToGrid w:val="0"/>
          <w:kern w:val="22"/>
          <w:szCs w:val="22"/>
          <w:u w:color="000000"/>
          <w:bdr w:val="nil"/>
        </w:rPr>
        <w:lastRenderedPageBreak/>
        <w:t>arrangements to implement them (i.e. a national focal point, one or more competent national authorities and one or more checkpoints). The publication of mandatory information in the ABS Clearing-House (including information on the permits or their equivalent issued at the time of access) is also essential for the implementation of the Protocol.</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kern w:val="22"/>
          <w:szCs w:val="22"/>
          <w:u w:color="000000"/>
          <w:bdr w:val="nil"/>
        </w:rPr>
      </w:pPr>
      <w:r w:rsidRPr="00662D53">
        <w:rPr>
          <w:rFonts w:eastAsia="Arial Unicode MS"/>
          <w:snapToGrid w:val="0"/>
          <w:kern w:val="22"/>
          <w:szCs w:val="22"/>
          <w:u w:color="000000"/>
          <w:bdr w:val="nil"/>
        </w:rPr>
        <w:t xml:space="preserve">Promoting compliance with these core elements is </w:t>
      </w:r>
      <w:proofErr w:type="gramStart"/>
      <w:r w:rsidRPr="00662D53">
        <w:rPr>
          <w:rFonts w:eastAsia="Arial Unicode MS"/>
          <w:snapToGrid w:val="0"/>
          <w:kern w:val="22"/>
          <w:szCs w:val="22"/>
          <w:u w:color="000000"/>
          <w:bdr w:val="nil"/>
        </w:rPr>
        <w:t>key</w:t>
      </w:r>
      <w:proofErr w:type="gramEnd"/>
      <w:r w:rsidRPr="00662D53">
        <w:rPr>
          <w:rFonts w:eastAsia="Arial Unicode MS"/>
          <w:snapToGrid w:val="0"/>
          <w:kern w:val="22"/>
          <w:szCs w:val="22"/>
          <w:u w:color="000000"/>
          <w:bdr w:val="nil"/>
        </w:rPr>
        <w:t xml:space="preserve"> for the operationali</w:t>
      </w:r>
      <w:r w:rsidR="007C3702">
        <w:rPr>
          <w:rFonts w:eastAsia="Arial Unicode MS"/>
          <w:snapToGrid w:val="0"/>
          <w:kern w:val="22"/>
          <w:szCs w:val="22"/>
          <w:u w:color="000000"/>
          <w:bdr w:val="nil"/>
        </w:rPr>
        <w:t>z</w:t>
      </w:r>
      <w:r w:rsidRPr="00662D53">
        <w:rPr>
          <w:rFonts w:eastAsia="Arial Unicode MS"/>
          <w:snapToGrid w:val="0"/>
          <w:kern w:val="22"/>
          <w:szCs w:val="22"/>
          <w:u w:color="000000"/>
          <w:bdr w:val="nil"/>
        </w:rPr>
        <w:t>ation of the Protocol, and</w:t>
      </w:r>
      <w:r w:rsidR="007C3702">
        <w:rPr>
          <w:rFonts w:eastAsia="Arial Unicode MS"/>
          <w:snapToGrid w:val="0"/>
          <w:kern w:val="22"/>
          <w:szCs w:val="22"/>
          <w:u w:color="000000"/>
          <w:bdr w:val="nil"/>
        </w:rPr>
        <w:t>,</w:t>
      </w:r>
      <w:r w:rsidRPr="00662D53">
        <w:rPr>
          <w:rFonts w:eastAsia="Arial Unicode MS"/>
          <w:snapToGrid w:val="0"/>
          <w:kern w:val="22"/>
          <w:szCs w:val="22"/>
          <w:u w:color="000000"/>
          <w:bdr w:val="nil"/>
        </w:rPr>
        <w:t xml:space="preserve"> therefore</w:t>
      </w:r>
      <w:r w:rsidR="007C3702">
        <w:rPr>
          <w:rFonts w:eastAsia="Arial Unicode MS"/>
          <w:snapToGrid w:val="0"/>
          <w:kern w:val="22"/>
          <w:szCs w:val="22"/>
          <w:u w:color="000000"/>
          <w:bdr w:val="nil"/>
        </w:rPr>
        <w:t>,</w:t>
      </w:r>
      <w:r w:rsidRPr="00662D53">
        <w:rPr>
          <w:rFonts w:eastAsia="Arial Unicode MS"/>
          <w:snapToGrid w:val="0"/>
          <w:kern w:val="22"/>
          <w:szCs w:val="22"/>
          <w:u w:color="000000"/>
          <w:bdr w:val="nil"/>
        </w:rPr>
        <w:t xml:space="preserve"> it is proposed that these elements </w:t>
      </w:r>
      <w:r w:rsidR="007C3702">
        <w:rPr>
          <w:rFonts w:eastAsia="Arial Unicode MS"/>
          <w:snapToGrid w:val="0"/>
          <w:kern w:val="22"/>
          <w:szCs w:val="22"/>
          <w:u w:color="000000"/>
          <w:bdr w:val="nil"/>
        </w:rPr>
        <w:t>be</w:t>
      </w:r>
      <w:r w:rsidR="007C3702" w:rsidRPr="00662D53">
        <w:rPr>
          <w:rFonts w:eastAsia="Arial Unicode MS"/>
          <w:snapToGrid w:val="0"/>
          <w:kern w:val="22"/>
          <w:szCs w:val="22"/>
          <w:u w:color="000000"/>
          <w:bdr w:val="nil"/>
        </w:rPr>
        <w:t xml:space="preserve"> </w:t>
      </w:r>
      <w:r w:rsidRPr="00662D53">
        <w:rPr>
          <w:rFonts w:eastAsia="Arial Unicode MS"/>
          <w:snapToGrid w:val="0"/>
          <w:kern w:val="22"/>
          <w:szCs w:val="22"/>
          <w:u w:color="000000"/>
          <w:bdr w:val="nil"/>
        </w:rPr>
        <w:t xml:space="preserve">further examined </w:t>
      </w:r>
      <w:r w:rsidR="00990001" w:rsidRPr="002F0796">
        <w:rPr>
          <w:rFonts w:eastAsia="Arial Unicode MS"/>
          <w:snapToGrid w:val="0"/>
          <w:kern w:val="22"/>
          <w:szCs w:val="22"/>
          <w:u w:color="000000"/>
          <w:bdr w:val="nil"/>
        </w:rPr>
        <w:t>by the Committee</w:t>
      </w:r>
      <w:r w:rsidR="00990001" w:rsidRPr="00662D53">
        <w:rPr>
          <w:rFonts w:eastAsia="Arial Unicode MS"/>
          <w:snapToGrid w:val="0"/>
          <w:kern w:val="22"/>
          <w:szCs w:val="22"/>
          <w:u w:color="000000"/>
          <w:bdr w:val="nil"/>
        </w:rPr>
        <w:t xml:space="preserve"> </w:t>
      </w:r>
      <w:r w:rsidRPr="00662D53">
        <w:rPr>
          <w:rFonts w:eastAsia="Arial Unicode MS"/>
          <w:snapToGrid w:val="0"/>
          <w:kern w:val="22"/>
          <w:szCs w:val="22"/>
          <w:u w:color="000000"/>
          <w:bdr w:val="nil"/>
        </w:rPr>
        <w:t>as possible general issues of compliance.</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kern w:val="22"/>
          <w:szCs w:val="22"/>
          <w:u w:color="000000"/>
          <w:bdr w:val="nil"/>
        </w:rPr>
      </w:pPr>
      <w:r w:rsidRPr="00662D53">
        <w:rPr>
          <w:rFonts w:eastAsia="SimSun"/>
          <w:snapToGrid w:val="0"/>
          <w:kern w:val="22"/>
          <w:szCs w:val="22"/>
        </w:rPr>
        <w:t xml:space="preserve">These general issues of compliance </w:t>
      </w:r>
      <w:r w:rsidRPr="00662D53">
        <w:rPr>
          <w:rFonts w:eastAsia="Arial Unicode MS"/>
          <w:snapToGrid w:val="0"/>
          <w:kern w:val="22"/>
          <w:szCs w:val="22"/>
          <w:u w:color="000000"/>
          <w:bdr w:val="nil"/>
        </w:rPr>
        <w:t xml:space="preserve">should be understood within the limitations of the analysis itself as pointed out in </w:t>
      </w:r>
      <w:r w:rsidR="003F7CF7" w:rsidRPr="00662D53">
        <w:rPr>
          <w:rFonts w:eastAsia="SimSun"/>
          <w:snapToGrid w:val="0"/>
          <w:kern w:val="22"/>
          <w:szCs w:val="22"/>
        </w:rPr>
        <w:t>s</w:t>
      </w:r>
      <w:r w:rsidRPr="00662D53">
        <w:rPr>
          <w:rFonts w:eastAsia="SimSun"/>
          <w:snapToGrid w:val="0"/>
          <w:kern w:val="22"/>
          <w:szCs w:val="22"/>
        </w:rPr>
        <w:t xml:space="preserve">ection II of the </w:t>
      </w:r>
      <w:r w:rsidR="00172D80" w:rsidRPr="00B55DB8">
        <w:rPr>
          <w:rFonts w:eastAsia="SimSun"/>
          <w:snapToGrid w:val="0"/>
          <w:kern w:val="22"/>
          <w:szCs w:val="22"/>
        </w:rPr>
        <w:t>analysis</w:t>
      </w:r>
      <w:r w:rsidR="00172D80">
        <w:rPr>
          <w:rFonts w:eastAsia="SimSun"/>
          <w:snapToGrid w:val="0"/>
          <w:kern w:val="22"/>
          <w:szCs w:val="22"/>
        </w:rPr>
        <w:t xml:space="preserve"> </w:t>
      </w:r>
      <w:r w:rsidRPr="00662D53">
        <w:rPr>
          <w:rFonts w:eastAsia="SimSun"/>
          <w:snapToGrid w:val="0"/>
          <w:kern w:val="22"/>
          <w:szCs w:val="22"/>
        </w:rPr>
        <w:t>document</w:t>
      </w:r>
      <w:r w:rsidR="003F7CF7" w:rsidRPr="00662D53">
        <w:rPr>
          <w:rFonts w:eastAsia="SimSun"/>
          <w:snapToGrid w:val="0"/>
          <w:kern w:val="22"/>
          <w:szCs w:val="22"/>
        </w:rPr>
        <w:t xml:space="preserve"> </w:t>
      </w:r>
      <w:r w:rsidR="00172D80">
        <w:rPr>
          <w:rFonts w:eastAsia="SimSun"/>
          <w:snapToGrid w:val="0"/>
          <w:kern w:val="22"/>
          <w:szCs w:val="22"/>
        </w:rPr>
        <w:t>(</w:t>
      </w:r>
      <w:r w:rsidR="00172D80" w:rsidRPr="00F8706F">
        <w:rPr>
          <w:rFonts w:eastAsia="SimSun"/>
          <w:snapToGrid w:val="0"/>
          <w:kern w:val="18"/>
          <w:szCs w:val="18"/>
        </w:rPr>
        <w:t>CBD/ABS/CC/2/INF/1</w:t>
      </w:r>
      <w:r w:rsidR="00172D80">
        <w:rPr>
          <w:rFonts w:eastAsia="SimSun"/>
          <w:snapToGrid w:val="0"/>
          <w:kern w:val="22"/>
          <w:szCs w:val="22"/>
        </w:rPr>
        <w:t>)</w:t>
      </w:r>
      <w:r w:rsidRPr="00662D53">
        <w:rPr>
          <w:rFonts w:eastAsia="Arial Unicode MS"/>
          <w:snapToGrid w:val="0"/>
          <w:kern w:val="22"/>
          <w:szCs w:val="22"/>
          <w:u w:color="000000"/>
          <w:bdr w:val="nil"/>
        </w:rPr>
        <w:t>. Furthermore, while the analysis document includes information from both Parties and non-Parties to the Protocol</w:t>
      </w:r>
      <w:r w:rsidR="00C63CD6">
        <w:rPr>
          <w:rFonts w:eastAsia="Arial Unicode MS"/>
          <w:snapToGrid w:val="0"/>
          <w:kern w:val="22"/>
          <w:szCs w:val="22"/>
          <w:u w:color="000000"/>
          <w:bdr w:val="nil"/>
        </w:rPr>
        <w:t>,</w:t>
      </w:r>
      <w:r w:rsidRPr="00662D53">
        <w:rPr>
          <w:rFonts w:eastAsia="Arial Unicode MS"/>
          <w:snapToGrid w:val="0"/>
          <w:kern w:val="22"/>
          <w:szCs w:val="22"/>
          <w:u w:color="000000"/>
          <w:bdr w:val="nil"/>
        </w:rPr>
        <w:t xml:space="preserve"> the present document only considers information from Parties. Accordingly, the discussion below is based on information from the 105 Parties to the Convention on Biological Diversity that had ratified the Protocol by 22 February 2018.</w:t>
      </w:r>
      <w:r w:rsidRPr="00662D53">
        <w:rPr>
          <w:rStyle w:val="FootnoteReference"/>
          <w:rFonts w:eastAsia="Arial Unicode MS"/>
          <w:snapToGrid w:val="0"/>
          <w:kern w:val="22"/>
          <w:szCs w:val="22"/>
          <w:u w:color="000000"/>
          <w:bdr w:val="nil"/>
        </w:rPr>
        <w:footnoteReference w:id="6"/>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snapToGrid w:val="0"/>
          <w:kern w:val="22"/>
          <w:szCs w:val="22"/>
        </w:rPr>
      </w:pPr>
      <w:r w:rsidRPr="00662D53">
        <w:rPr>
          <w:snapToGrid w:val="0"/>
          <w:kern w:val="22"/>
          <w:szCs w:val="22"/>
        </w:rPr>
        <w:t xml:space="preserve">The information provided on general issues of compliance is also to be considered within the broader context of general challenges </w:t>
      </w:r>
      <w:r w:rsidR="003C352F">
        <w:rPr>
          <w:snapToGrid w:val="0"/>
          <w:kern w:val="22"/>
          <w:szCs w:val="22"/>
        </w:rPr>
        <w:t>in</w:t>
      </w:r>
      <w:r w:rsidR="003C352F" w:rsidRPr="00662D53">
        <w:rPr>
          <w:snapToGrid w:val="0"/>
          <w:kern w:val="22"/>
          <w:szCs w:val="22"/>
        </w:rPr>
        <w:t xml:space="preserve"> </w:t>
      </w:r>
      <w:r w:rsidRPr="00662D53">
        <w:rPr>
          <w:snapToGrid w:val="0"/>
          <w:kern w:val="22"/>
          <w:szCs w:val="22"/>
        </w:rPr>
        <w:t>implement</w:t>
      </w:r>
      <w:r w:rsidR="003C352F">
        <w:rPr>
          <w:snapToGrid w:val="0"/>
          <w:kern w:val="22"/>
          <w:szCs w:val="22"/>
        </w:rPr>
        <w:t>ing</w:t>
      </w:r>
      <w:r w:rsidRPr="00662D53">
        <w:rPr>
          <w:snapToGrid w:val="0"/>
          <w:kern w:val="22"/>
          <w:szCs w:val="22"/>
        </w:rPr>
        <w:t xml:space="preserve"> the Protocol and taking into account </w:t>
      </w:r>
      <w:r w:rsidR="00D637A6">
        <w:rPr>
          <w:snapToGrid w:val="0"/>
          <w:kern w:val="22"/>
          <w:szCs w:val="22"/>
        </w:rPr>
        <w:t xml:space="preserve">the fact </w:t>
      </w:r>
      <w:r w:rsidRPr="00662D53">
        <w:rPr>
          <w:snapToGrid w:val="0"/>
          <w:kern w:val="22"/>
          <w:szCs w:val="22"/>
        </w:rPr>
        <w:t>that many Parties are at early stages in the implementation of the Protocol. In this regard, subsection A below provides a summary of challenges and difficulties identified by Parties in their interim national reports that may be of relevance for the consideration of possible general issues of compliance.</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snapToGrid w:val="0"/>
          <w:kern w:val="22"/>
          <w:szCs w:val="22"/>
        </w:rPr>
      </w:pPr>
      <w:r w:rsidRPr="00662D53">
        <w:rPr>
          <w:snapToGrid w:val="0"/>
          <w:kern w:val="22"/>
          <w:szCs w:val="22"/>
        </w:rPr>
        <w:t xml:space="preserve">Against this background, and on the basis of the analysis contained in </w:t>
      </w:r>
      <w:r w:rsidR="00102043">
        <w:rPr>
          <w:snapToGrid w:val="0"/>
          <w:kern w:val="22"/>
          <w:szCs w:val="22"/>
        </w:rPr>
        <w:t xml:space="preserve">the analysis </w:t>
      </w:r>
      <w:r w:rsidRPr="00662D53">
        <w:rPr>
          <w:snapToGrid w:val="0"/>
          <w:kern w:val="22"/>
          <w:szCs w:val="22"/>
        </w:rPr>
        <w:t>document, subsection B below provides the following information for each general issue of compliance:</w:t>
      </w:r>
    </w:p>
    <w:p w:rsidR="000A6DB2" w:rsidRPr="00662D53" w:rsidRDefault="000A6DB2" w:rsidP="00662D53">
      <w:pPr>
        <w:pStyle w:val="ListParagraph"/>
        <w:numPr>
          <w:ilvl w:val="1"/>
          <w:numId w:val="15"/>
        </w:numPr>
        <w:suppressLineNumber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440"/>
        </w:tabs>
        <w:suppressAutoHyphens/>
        <w:kinsoku w:val="0"/>
        <w:overflowPunct w:val="0"/>
        <w:autoSpaceDE w:val="0"/>
        <w:autoSpaceDN w:val="0"/>
        <w:spacing w:before="120" w:after="120"/>
        <w:ind w:left="0" w:firstLine="720"/>
        <w:rPr>
          <w:rFonts w:eastAsia="Calibri" w:hAnsi="Times New Roman" w:cs="Times New Roman"/>
          <w:snapToGrid w:val="0"/>
          <w:color w:val="auto"/>
          <w:kern w:val="22"/>
          <w:bdr w:val="none" w:sz="0" w:space="0" w:color="auto"/>
          <w:lang w:val="en-GB"/>
        </w:rPr>
      </w:pPr>
      <w:r w:rsidRPr="00662D53">
        <w:rPr>
          <w:rFonts w:eastAsia="Calibri" w:hAnsi="Times New Roman" w:cs="Times New Roman"/>
          <w:snapToGrid w:val="0"/>
          <w:color w:val="auto"/>
          <w:kern w:val="22"/>
          <w:bdr w:val="none" w:sz="0" w:space="0" w:color="auto"/>
          <w:lang w:val="en-GB"/>
        </w:rPr>
        <w:t>A brief overview o</w:t>
      </w:r>
      <w:r w:rsidR="007709E9">
        <w:rPr>
          <w:rFonts w:eastAsia="Calibri" w:hAnsi="Times New Roman" w:cs="Times New Roman"/>
          <w:snapToGrid w:val="0"/>
          <w:color w:val="auto"/>
          <w:kern w:val="22"/>
          <w:bdr w:val="none" w:sz="0" w:space="0" w:color="auto"/>
          <w:lang w:val="en-GB"/>
        </w:rPr>
        <w:t>f</w:t>
      </w:r>
      <w:r w:rsidRPr="00662D53">
        <w:rPr>
          <w:rFonts w:eastAsia="Calibri" w:hAnsi="Times New Roman" w:cs="Times New Roman"/>
          <w:snapToGrid w:val="0"/>
          <w:color w:val="auto"/>
          <w:kern w:val="22"/>
          <w:bdr w:val="none" w:sz="0" w:space="0" w:color="auto"/>
          <w:lang w:val="en-GB"/>
        </w:rPr>
        <w:t xml:space="preserve"> progress in implementation by Parties with respect to the obligations </w:t>
      </w:r>
      <w:r w:rsidR="007709E9">
        <w:rPr>
          <w:rFonts w:eastAsia="Calibri" w:hAnsi="Times New Roman" w:cs="Times New Roman"/>
          <w:snapToGrid w:val="0"/>
          <w:color w:val="auto"/>
          <w:kern w:val="22"/>
          <w:bdr w:val="none" w:sz="0" w:space="0" w:color="auto"/>
          <w:lang w:val="en-GB"/>
        </w:rPr>
        <w:t>for which</w:t>
      </w:r>
      <w:r w:rsidR="007709E9" w:rsidRPr="00662D53">
        <w:rPr>
          <w:rFonts w:eastAsia="Calibri" w:hAnsi="Times New Roman" w:cs="Times New Roman"/>
          <w:snapToGrid w:val="0"/>
          <w:color w:val="auto"/>
          <w:kern w:val="22"/>
          <w:bdr w:val="none" w:sz="0" w:space="0" w:color="auto"/>
          <w:lang w:val="en-GB"/>
        </w:rPr>
        <w:t xml:space="preserve"> </w:t>
      </w:r>
      <w:r w:rsidRPr="00662D53">
        <w:rPr>
          <w:rFonts w:eastAsia="Calibri" w:hAnsi="Times New Roman" w:cs="Times New Roman"/>
          <w:snapToGrid w:val="0"/>
          <w:color w:val="auto"/>
          <w:kern w:val="22"/>
          <w:bdr w:val="none" w:sz="0" w:space="0" w:color="auto"/>
          <w:lang w:val="en-GB"/>
        </w:rPr>
        <w:t xml:space="preserve">a general issue of compliance has been identified. The overview takes into account information provided in the interim national reports and the ABS Clearing-House. For those Parties that did not submit an interim national report, information provided through the </w:t>
      </w:r>
      <w:r w:rsidR="003F7CF7" w:rsidRPr="00662D53">
        <w:rPr>
          <w:rFonts w:eastAsia="Calibri" w:hAnsi="Times New Roman" w:cs="Times New Roman"/>
          <w:snapToGrid w:val="0"/>
          <w:color w:val="auto"/>
          <w:kern w:val="22"/>
          <w:bdr w:val="none" w:sz="0" w:space="0" w:color="auto"/>
          <w:lang w:val="en-GB"/>
        </w:rPr>
        <w:t>n</w:t>
      </w:r>
      <w:r w:rsidRPr="00662D53">
        <w:rPr>
          <w:rFonts w:eastAsia="Calibri" w:hAnsi="Times New Roman" w:cs="Times New Roman"/>
          <w:snapToGrid w:val="0"/>
          <w:color w:val="auto"/>
          <w:kern w:val="22"/>
          <w:bdr w:val="none" w:sz="0" w:space="0" w:color="auto"/>
          <w:lang w:val="en-GB"/>
        </w:rPr>
        <w:t xml:space="preserve">ational </w:t>
      </w:r>
      <w:r w:rsidR="003F7CF7" w:rsidRPr="00662D53">
        <w:rPr>
          <w:rFonts w:eastAsia="Calibri" w:hAnsi="Times New Roman" w:cs="Times New Roman"/>
          <w:snapToGrid w:val="0"/>
          <w:color w:val="auto"/>
          <w:kern w:val="22"/>
          <w:bdr w:val="none" w:sz="0" w:space="0" w:color="auto"/>
          <w:lang w:val="en-GB"/>
        </w:rPr>
        <w:t>b</w:t>
      </w:r>
      <w:r w:rsidRPr="00662D53">
        <w:rPr>
          <w:rFonts w:eastAsia="Calibri" w:hAnsi="Times New Roman" w:cs="Times New Roman"/>
          <w:snapToGrid w:val="0"/>
          <w:color w:val="auto"/>
          <w:kern w:val="22"/>
          <w:bdr w:val="none" w:sz="0" w:space="0" w:color="auto"/>
          <w:lang w:val="en-GB"/>
        </w:rPr>
        <w:t xml:space="preserve">iodiversity </w:t>
      </w:r>
      <w:r w:rsidR="003F7CF7" w:rsidRPr="00662D53">
        <w:rPr>
          <w:rFonts w:eastAsia="Calibri" w:hAnsi="Times New Roman" w:cs="Times New Roman"/>
          <w:snapToGrid w:val="0"/>
          <w:color w:val="auto"/>
          <w:kern w:val="22"/>
          <w:bdr w:val="none" w:sz="0" w:space="0" w:color="auto"/>
          <w:lang w:val="en-GB"/>
        </w:rPr>
        <w:t>s</w:t>
      </w:r>
      <w:r w:rsidRPr="00662D53">
        <w:rPr>
          <w:rFonts w:eastAsia="Calibri" w:hAnsi="Times New Roman" w:cs="Times New Roman"/>
          <w:snapToGrid w:val="0"/>
          <w:color w:val="auto"/>
          <w:kern w:val="22"/>
          <w:bdr w:val="none" w:sz="0" w:space="0" w:color="auto"/>
          <w:lang w:val="en-GB"/>
        </w:rPr>
        <w:t xml:space="preserve">trategies and </w:t>
      </w:r>
      <w:r w:rsidR="003F7CF7" w:rsidRPr="00662D53">
        <w:rPr>
          <w:rFonts w:eastAsia="Calibri" w:hAnsi="Times New Roman" w:cs="Times New Roman"/>
          <w:snapToGrid w:val="0"/>
          <w:color w:val="auto"/>
          <w:kern w:val="22"/>
          <w:bdr w:val="none" w:sz="0" w:space="0" w:color="auto"/>
          <w:lang w:val="en-GB"/>
        </w:rPr>
        <w:t>a</w:t>
      </w:r>
      <w:r w:rsidRPr="00662D53">
        <w:rPr>
          <w:rFonts w:eastAsia="Calibri" w:hAnsi="Times New Roman" w:cs="Times New Roman"/>
          <w:snapToGrid w:val="0"/>
          <w:color w:val="auto"/>
          <w:kern w:val="22"/>
          <w:bdr w:val="none" w:sz="0" w:space="0" w:color="auto"/>
          <w:lang w:val="en-GB"/>
        </w:rPr>
        <w:t xml:space="preserve">ction </w:t>
      </w:r>
      <w:r w:rsidR="003F7CF7" w:rsidRPr="00662D53">
        <w:rPr>
          <w:rFonts w:eastAsia="Calibri" w:hAnsi="Times New Roman" w:cs="Times New Roman"/>
          <w:snapToGrid w:val="0"/>
          <w:color w:val="auto"/>
          <w:kern w:val="22"/>
          <w:bdr w:val="none" w:sz="0" w:space="0" w:color="auto"/>
          <w:lang w:val="en-GB"/>
        </w:rPr>
        <w:t>p</w:t>
      </w:r>
      <w:r w:rsidRPr="00662D53">
        <w:rPr>
          <w:rFonts w:eastAsia="Calibri" w:hAnsi="Times New Roman" w:cs="Times New Roman"/>
          <w:snapToGrid w:val="0"/>
          <w:color w:val="auto"/>
          <w:kern w:val="22"/>
          <w:bdr w:val="none" w:sz="0" w:space="0" w:color="auto"/>
          <w:lang w:val="en-GB"/>
        </w:rPr>
        <w:t>lans (</w:t>
      </w:r>
      <w:r w:rsidRPr="00662D53">
        <w:rPr>
          <w:rFonts w:eastAsia="Calibri" w:hAnsi="Times New Roman" w:cs="Times New Roman"/>
          <w:bCs/>
          <w:snapToGrid w:val="0"/>
          <w:color w:val="auto"/>
          <w:kern w:val="22"/>
          <w:bdr w:val="none" w:sz="0" w:space="0" w:color="auto"/>
          <w:lang w:val="en-GB"/>
        </w:rPr>
        <w:t>NBSAPs</w:t>
      </w:r>
      <w:r w:rsidRPr="00662D53">
        <w:rPr>
          <w:rFonts w:eastAsia="Calibri" w:hAnsi="Times New Roman" w:cs="Times New Roman"/>
          <w:snapToGrid w:val="0"/>
          <w:color w:val="auto"/>
          <w:kern w:val="22"/>
          <w:bdr w:val="none" w:sz="0" w:space="0" w:color="auto"/>
          <w:lang w:val="en-GB"/>
        </w:rPr>
        <w:t>)  and the fifth national reports on the implementation of the Convention has been considered;</w:t>
      </w:r>
    </w:p>
    <w:p w:rsidR="000A6DB2" w:rsidRPr="00662D53" w:rsidRDefault="000A6DB2" w:rsidP="00662D53">
      <w:pPr>
        <w:pStyle w:val="ListParagraph"/>
        <w:numPr>
          <w:ilvl w:val="1"/>
          <w:numId w:val="15"/>
        </w:numPr>
        <w:suppressLineNumber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440"/>
        </w:tabs>
        <w:suppressAutoHyphens/>
        <w:kinsoku w:val="0"/>
        <w:overflowPunct w:val="0"/>
        <w:autoSpaceDE w:val="0"/>
        <w:autoSpaceDN w:val="0"/>
        <w:spacing w:before="120" w:after="120"/>
        <w:ind w:left="0" w:firstLine="720"/>
        <w:rPr>
          <w:rFonts w:eastAsia="Calibri" w:hAnsi="Times New Roman" w:cs="Times New Roman"/>
          <w:snapToGrid w:val="0"/>
          <w:color w:val="auto"/>
          <w:kern w:val="22"/>
          <w:bdr w:val="none" w:sz="0" w:space="0" w:color="auto"/>
          <w:lang w:val="en-GB"/>
        </w:rPr>
      </w:pPr>
      <w:r w:rsidRPr="00662D53">
        <w:rPr>
          <w:rFonts w:eastAsia="Calibri" w:hAnsi="Times New Roman" w:cs="Times New Roman"/>
          <w:snapToGrid w:val="0"/>
          <w:color w:val="auto"/>
          <w:kern w:val="22"/>
          <w:bdr w:val="none" w:sz="0" w:space="0" w:color="auto"/>
          <w:lang w:val="en-GB"/>
        </w:rPr>
        <w:t>A short summary of main difficulties and challenges as provided in the interim national reports.</w:t>
      </w:r>
    </w:p>
    <w:p w:rsidR="000A6DB2" w:rsidRPr="00662D53" w:rsidRDefault="000A6DB2" w:rsidP="00662D53">
      <w:pPr>
        <w:pStyle w:val="Heading2"/>
        <w:numPr>
          <w:ilvl w:val="0"/>
          <w:numId w:val="17"/>
        </w:numPr>
        <w:suppressLineNumbers/>
        <w:pBdr>
          <w:top w:val="nil"/>
          <w:left w:val="nil"/>
          <w:bottom w:val="nil"/>
          <w:right w:val="nil"/>
          <w:between w:val="nil"/>
          <w:bar w:val="nil"/>
        </w:pBdr>
        <w:tabs>
          <w:tab w:val="clear" w:pos="720"/>
          <w:tab w:val="left" w:pos="360"/>
        </w:tabs>
        <w:suppressAutoHyphens/>
        <w:kinsoku w:val="0"/>
        <w:overflowPunct w:val="0"/>
        <w:autoSpaceDE w:val="0"/>
        <w:autoSpaceDN w:val="0"/>
        <w:ind w:left="0" w:firstLine="0"/>
        <w:rPr>
          <w:i w:val="0"/>
          <w:snapToGrid w:val="0"/>
          <w:kern w:val="22"/>
          <w:szCs w:val="22"/>
        </w:rPr>
      </w:pPr>
      <w:r w:rsidRPr="00662D53">
        <w:rPr>
          <w:i w:val="0"/>
          <w:snapToGrid w:val="0"/>
          <w:kern w:val="22"/>
          <w:szCs w:val="22"/>
        </w:rPr>
        <w:t xml:space="preserve">General considerations and challenges and difficulties </w:t>
      </w:r>
      <w:r w:rsidR="003652AF">
        <w:rPr>
          <w:i w:val="0"/>
          <w:snapToGrid w:val="0"/>
          <w:kern w:val="22"/>
          <w:szCs w:val="22"/>
        </w:rPr>
        <w:t>in</w:t>
      </w:r>
      <w:r w:rsidR="003652AF" w:rsidRPr="00662D53">
        <w:rPr>
          <w:i w:val="0"/>
          <w:snapToGrid w:val="0"/>
          <w:kern w:val="22"/>
          <w:szCs w:val="22"/>
        </w:rPr>
        <w:t xml:space="preserve"> </w:t>
      </w:r>
      <w:r w:rsidRPr="00662D53">
        <w:rPr>
          <w:i w:val="0"/>
          <w:snapToGrid w:val="0"/>
          <w:kern w:val="22"/>
          <w:szCs w:val="22"/>
        </w:rPr>
        <w:t>implement</w:t>
      </w:r>
      <w:r w:rsidR="003652AF">
        <w:rPr>
          <w:i w:val="0"/>
          <w:snapToGrid w:val="0"/>
          <w:kern w:val="22"/>
          <w:szCs w:val="22"/>
        </w:rPr>
        <w:t>ing</w:t>
      </w:r>
      <w:r w:rsidRPr="00662D53">
        <w:rPr>
          <w:i w:val="0"/>
          <w:snapToGrid w:val="0"/>
          <w:kern w:val="22"/>
          <w:szCs w:val="22"/>
        </w:rPr>
        <w:t xml:space="preserve"> the Protocol</w:t>
      </w:r>
    </w:p>
    <w:p w:rsidR="000A6DB2" w:rsidRPr="00662D53" w:rsidRDefault="000A6DB2" w:rsidP="00662D53">
      <w:pPr>
        <w:pStyle w:val="Para1"/>
        <w:numPr>
          <w:ilvl w:val="0"/>
          <w:numId w:val="15"/>
        </w:numPr>
        <w:suppressLineNumbers/>
        <w:suppressAutoHyphens/>
        <w:kinsoku w:val="0"/>
        <w:overflowPunct w:val="0"/>
        <w:autoSpaceDE w:val="0"/>
        <w:autoSpaceDN w:val="0"/>
        <w:rPr>
          <w:kern w:val="22"/>
          <w:szCs w:val="22"/>
        </w:rPr>
      </w:pPr>
      <w:r w:rsidRPr="00662D53">
        <w:rPr>
          <w:kern w:val="22"/>
          <w:szCs w:val="22"/>
        </w:rPr>
        <w:t xml:space="preserve">In their reports, many Parties highlighted </w:t>
      </w:r>
      <w:r w:rsidR="003C3738">
        <w:rPr>
          <w:kern w:val="22"/>
          <w:szCs w:val="22"/>
        </w:rPr>
        <w:t xml:space="preserve">the fact </w:t>
      </w:r>
      <w:r w:rsidRPr="00662D53">
        <w:rPr>
          <w:kern w:val="22"/>
          <w:szCs w:val="22"/>
        </w:rPr>
        <w:t xml:space="preserve">that the Nagoya Protocol was a new instrument, especially for those </w:t>
      </w:r>
      <w:r w:rsidR="003C3738">
        <w:rPr>
          <w:kern w:val="22"/>
          <w:szCs w:val="22"/>
        </w:rPr>
        <w:t>that had</w:t>
      </w:r>
      <w:r w:rsidR="003C3738" w:rsidRPr="00662D53">
        <w:rPr>
          <w:kern w:val="22"/>
          <w:szCs w:val="22"/>
        </w:rPr>
        <w:t xml:space="preserve"> </w:t>
      </w:r>
      <w:r w:rsidRPr="00662D53">
        <w:rPr>
          <w:kern w:val="22"/>
          <w:szCs w:val="22"/>
        </w:rPr>
        <w:t>just recently ratified it, and that they were still in the process of establishing access and benefit</w:t>
      </w:r>
      <w:r w:rsidR="003F7CF7" w:rsidRPr="00662D53">
        <w:rPr>
          <w:kern w:val="22"/>
          <w:szCs w:val="22"/>
        </w:rPr>
        <w:noBreakHyphen/>
      </w:r>
      <w:r w:rsidRPr="00662D53">
        <w:rPr>
          <w:kern w:val="22"/>
          <w:szCs w:val="22"/>
        </w:rPr>
        <w:t>sharing (ABS) measures and appropriate institutional arrangements.</w:t>
      </w:r>
    </w:p>
    <w:p w:rsidR="000A6DB2" w:rsidRPr="00662D53" w:rsidRDefault="000A6DB2" w:rsidP="00662D53">
      <w:pPr>
        <w:pStyle w:val="Para1"/>
        <w:numPr>
          <w:ilvl w:val="0"/>
          <w:numId w:val="15"/>
        </w:numPr>
        <w:suppressLineNumbers/>
        <w:suppressAutoHyphens/>
        <w:kinsoku w:val="0"/>
        <w:overflowPunct w:val="0"/>
        <w:autoSpaceDE w:val="0"/>
        <w:autoSpaceDN w:val="0"/>
        <w:rPr>
          <w:kern w:val="22"/>
          <w:szCs w:val="22"/>
        </w:rPr>
      </w:pPr>
      <w:r w:rsidRPr="00662D53">
        <w:rPr>
          <w:kern w:val="22"/>
          <w:szCs w:val="22"/>
        </w:rPr>
        <w:t>Many Parties highlighted the cross-cutting nature of the Protocol, which is relevant to many sectors, and the need to involve many actors as an important challenge for the adoption of measures and progress towards implementation. A number of Parties recogni</w:t>
      </w:r>
      <w:r w:rsidR="001B68CB" w:rsidRPr="00662D53">
        <w:rPr>
          <w:kern w:val="22"/>
          <w:szCs w:val="22"/>
        </w:rPr>
        <w:t>z</w:t>
      </w:r>
      <w:r w:rsidRPr="00662D53">
        <w:rPr>
          <w:kern w:val="22"/>
          <w:szCs w:val="22"/>
        </w:rPr>
        <w:t>ed that this created challenges in implementation at two levels: first, in ensuring participation in ABS processes of indigenous peoples and local communities and relevant stakeholders; and second, at the institutional level, many highlighted the need for better coordination among different institutions and relevant agencies and ministries. Some also reported a lack of clear division of competencies between institutions, and either having gaps or overlaps in mandates on issues related to ABS.</w:t>
      </w:r>
    </w:p>
    <w:p w:rsidR="000A6DB2" w:rsidRPr="00662D53" w:rsidRDefault="000A6DB2" w:rsidP="00662D53">
      <w:pPr>
        <w:pStyle w:val="Para1"/>
        <w:numPr>
          <w:ilvl w:val="0"/>
          <w:numId w:val="15"/>
        </w:numPr>
        <w:suppressLineNumbers/>
        <w:suppressAutoHyphens/>
        <w:kinsoku w:val="0"/>
        <w:overflowPunct w:val="0"/>
        <w:autoSpaceDE w:val="0"/>
        <w:autoSpaceDN w:val="0"/>
        <w:rPr>
          <w:kern w:val="22"/>
          <w:szCs w:val="22"/>
        </w:rPr>
      </w:pPr>
      <w:r w:rsidRPr="00662D53">
        <w:rPr>
          <w:kern w:val="22"/>
          <w:szCs w:val="22"/>
        </w:rPr>
        <w:t xml:space="preserve">Although a number of capacity-building and development initiatives are currently supporting ratification and implementation of the Nagoya Protocol, many Parties reported lacking the necessary capacity and financial resources to make the Protocol operational. Capacity-building and development </w:t>
      </w:r>
      <w:r w:rsidRPr="00662D53">
        <w:rPr>
          <w:kern w:val="22"/>
          <w:szCs w:val="22"/>
        </w:rPr>
        <w:lastRenderedPageBreak/>
        <w:t xml:space="preserve">support continue to be essential </w:t>
      </w:r>
      <w:r w:rsidR="003443D5">
        <w:rPr>
          <w:kern w:val="22"/>
          <w:szCs w:val="22"/>
        </w:rPr>
        <w:t xml:space="preserve">in order </w:t>
      </w:r>
      <w:r w:rsidRPr="00662D53">
        <w:rPr>
          <w:kern w:val="22"/>
          <w:szCs w:val="22"/>
        </w:rPr>
        <w:t xml:space="preserve">to make progress in </w:t>
      </w:r>
      <w:r w:rsidR="003443D5">
        <w:rPr>
          <w:kern w:val="22"/>
          <w:szCs w:val="22"/>
        </w:rPr>
        <w:t xml:space="preserve">the </w:t>
      </w:r>
      <w:r w:rsidRPr="00662D53">
        <w:rPr>
          <w:kern w:val="22"/>
          <w:szCs w:val="22"/>
        </w:rPr>
        <w:t>implementation of the Protocol, in particular for developing country Parties and Parties with economies in transition.</w:t>
      </w:r>
    </w:p>
    <w:p w:rsidR="000A6DB2" w:rsidRPr="00662D53" w:rsidRDefault="000A6DB2" w:rsidP="00662D53">
      <w:pPr>
        <w:pStyle w:val="Para1"/>
        <w:numPr>
          <w:ilvl w:val="0"/>
          <w:numId w:val="15"/>
        </w:numPr>
        <w:suppressLineNumbers/>
        <w:suppressAutoHyphens/>
        <w:kinsoku w:val="0"/>
        <w:overflowPunct w:val="0"/>
        <w:autoSpaceDE w:val="0"/>
        <w:autoSpaceDN w:val="0"/>
        <w:rPr>
          <w:rFonts w:eastAsia="Arial Unicode MS"/>
          <w:kern w:val="22"/>
          <w:szCs w:val="22"/>
          <w:u w:color="000000"/>
          <w:bdr w:val="nil"/>
        </w:rPr>
      </w:pPr>
      <w:r w:rsidRPr="00662D53">
        <w:rPr>
          <w:kern w:val="22"/>
          <w:szCs w:val="22"/>
        </w:rPr>
        <w:t xml:space="preserve">The lack of human resources working on ABS and the Nagoya Protocol also seems to be a challenge for many Parties. </w:t>
      </w:r>
      <w:r w:rsidRPr="00662D53">
        <w:rPr>
          <w:rFonts w:eastAsia="Calibri"/>
          <w:kern w:val="22"/>
          <w:szCs w:val="22"/>
          <w:u w:color="000000"/>
        </w:rPr>
        <w:t>Many Parties indicated having limited human resources working on Nagoya Protocol implementation and that available staff is either temporary or has other responsibilities.</w:t>
      </w:r>
    </w:p>
    <w:p w:rsidR="000A6DB2" w:rsidRPr="00662D53" w:rsidRDefault="000A6DB2" w:rsidP="00662D53">
      <w:pPr>
        <w:pStyle w:val="Para1"/>
        <w:numPr>
          <w:ilvl w:val="0"/>
          <w:numId w:val="15"/>
        </w:numPr>
        <w:suppressLineNumbers/>
        <w:suppressAutoHyphens/>
        <w:kinsoku w:val="0"/>
        <w:overflowPunct w:val="0"/>
        <w:autoSpaceDE w:val="0"/>
        <w:autoSpaceDN w:val="0"/>
        <w:rPr>
          <w:kern w:val="22"/>
          <w:szCs w:val="22"/>
        </w:rPr>
      </w:pPr>
      <w:r w:rsidRPr="00662D53">
        <w:rPr>
          <w:kern w:val="22"/>
          <w:szCs w:val="22"/>
        </w:rPr>
        <w:t>Many highlighted the need for building capacity and raising awareness of the Protocol of all actors involved, including institutions, indigenous peoples and local communities and relevant stakeholders (</w:t>
      </w:r>
      <w:r w:rsidR="00C830E0">
        <w:rPr>
          <w:kern w:val="22"/>
          <w:szCs w:val="22"/>
        </w:rPr>
        <w:t>for example, the</w:t>
      </w:r>
      <w:r w:rsidRPr="00662D53">
        <w:rPr>
          <w:kern w:val="22"/>
          <w:szCs w:val="22"/>
        </w:rPr>
        <w:t xml:space="preserve"> business and scientific communit</w:t>
      </w:r>
      <w:r w:rsidR="00F1294C">
        <w:rPr>
          <w:kern w:val="22"/>
          <w:szCs w:val="22"/>
        </w:rPr>
        <w:t>ies</w:t>
      </w:r>
      <w:r w:rsidRPr="00662D53">
        <w:rPr>
          <w:kern w:val="22"/>
          <w:szCs w:val="22"/>
        </w:rPr>
        <w:t>).</w:t>
      </w:r>
    </w:p>
    <w:p w:rsidR="000A6DB2" w:rsidRPr="00662D53" w:rsidRDefault="000A6DB2" w:rsidP="00662D53">
      <w:pPr>
        <w:pStyle w:val="Para1"/>
        <w:numPr>
          <w:ilvl w:val="0"/>
          <w:numId w:val="15"/>
        </w:numPr>
        <w:suppressLineNumbers/>
        <w:suppressAutoHyphens/>
        <w:kinsoku w:val="0"/>
        <w:overflowPunct w:val="0"/>
        <w:autoSpaceDE w:val="0"/>
        <w:autoSpaceDN w:val="0"/>
        <w:rPr>
          <w:rFonts w:eastAsia="Arial Unicode MS"/>
          <w:kern w:val="22"/>
          <w:szCs w:val="22"/>
          <w:u w:color="000000"/>
          <w:bdr w:val="nil"/>
        </w:rPr>
      </w:pPr>
      <w:r w:rsidRPr="00662D53">
        <w:rPr>
          <w:rFonts w:eastAsia="Arial Unicode MS"/>
          <w:kern w:val="22"/>
          <w:szCs w:val="22"/>
          <w:u w:color="000000"/>
          <w:bdr w:val="nil"/>
        </w:rPr>
        <w:t>Many Parties considered that the difficulties mentioned above were hindering progress in adopting legislative, administrative and policy measures (ABS measures) and establishing institutional arrangements to implement the Protocol, with the exception of the designation of the national focal point where Parties generally felt that there were no challenges to report.</w:t>
      </w:r>
    </w:p>
    <w:p w:rsidR="000A6DB2" w:rsidRPr="00662D53" w:rsidRDefault="000A6DB2" w:rsidP="00662D53">
      <w:pPr>
        <w:pStyle w:val="Para1"/>
        <w:numPr>
          <w:ilvl w:val="0"/>
          <w:numId w:val="15"/>
        </w:numPr>
        <w:suppressLineNumbers/>
        <w:suppressAutoHyphens/>
        <w:kinsoku w:val="0"/>
        <w:overflowPunct w:val="0"/>
        <w:autoSpaceDE w:val="0"/>
        <w:autoSpaceDN w:val="0"/>
        <w:rPr>
          <w:rFonts w:eastAsia="Arial Unicode MS"/>
          <w:kern w:val="22"/>
          <w:szCs w:val="22"/>
          <w:u w:color="000000"/>
          <w:bdr w:val="nil"/>
        </w:rPr>
      </w:pPr>
      <w:r w:rsidRPr="00662D53">
        <w:rPr>
          <w:rFonts w:eastAsia="Arial Unicode MS"/>
          <w:kern w:val="22"/>
          <w:szCs w:val="22"/>
          <w:u w:color="000000"/>
          <w:bdr w:val="nil"/>
        </w:rPr>
        <w:t>The lack of ABS measures and/or institutional arrangements was considered by many as the main reason for not having made progress in the publication of mandatory information in the ABS Clearing-House, including in the constitution of the internationally recogni</w:t>
      </w:r>
      <w:r w:rsidR="002879B8" w:rsidRPr="00662D53">
        <w:rPr>
          <w:rFonts w:eastAsia="Arial Unicode MS"/>
          <w:kern w:val="22"/>
          <w:szCs w:val="22"/>
          <w:u w:color="000000"/>
          <w:bdr w:val="nil"/>
        </w:rPr>
        <w:t>z</w:t>
      </w:r>
      <w:r w:rsidRPr="00662D53">
        <w:rPr>
          <w:rFonts w:eastAsia="Arial Unicode MS"/>
          <w:kern w:val="22"/>
          <w:szCs w:val="22"/>
          <w:u w:color="000000"/>
          <w:bdr w:val="nil"/>
        </w:rPr>
        <w:t>ed certificates of compliance.</w:t>
      </w:r>
    </w:p>
    <w:p w:rsidR="000A6DB2" w:rsidRPr="004132A1" w:rsidRDefault="000A6DB2" w:rsidP="00662D53">
      <w:pPr>
        <w:pStyle w:val="Heading2"/>
        <w:numPr>
          <w:ilvl w:val="0"/>
          <w:numId w:val="17"/>
        </w:numPr>
        <w:suppressLineNumbers/>
        <w:pBdr>
          <w:top w:val="nil"/>
          <w:left w:val="nil"/>
          <w:bottom w:val="nil"/>
          <w:right w:val="nil"/>
          <w:between w:val="nil"/>
          <w:bar w:val="nil"/>
        </w:pBdr>
        <w:tabs>
          <w:tab w:val="clear" w:pos="720"/>
        </w:tabs>
        <w:suppressAutoHyphens/>
        <w:kinsoku w:val="0"/>
        <w:overflowPunct w:val="0"/>
        <w:autoSpaceDE w:val="0"/>
        <w:autoSpaceDN w:val="0"/>
        <w:ind w:left="0" w:firstLine="0"/>
        <w:rPr>
          <w:rFonts w:eastAsia="Calibri"/>
          <w:bCs w:val="0"/>
          <w:i w:val="0"/>
          <w:iCs w:val="0"/>
          <w:snapToGrid w:val="0"/>
          <w:color w:val="000000"/>
          <w:kern w:val="22"/>
          <w:szCs w:val="22"/>
          <w:u w:color="000000"/>
        </w:rPr>
      </w:pPr>
      <w:r w:rsidRPr="00E27381">
        <w:rPr>
          <w:rFonts w:eastAsia="Calibri"/>
          <w:bCs w:val="0"/>
          <w:i w:val="0"/>
          <w:iCs w:val="0"/>
          <w:snapToGrid w:val="0"/>
          <w:color w:val="000000"/>
          <w:kern w:val="22"/>
          <w:szCs w:val="22"/>
          <w:u w:color="000000"/>
        </w:rPr>
        <w:t>Possible general issues of compliance</w:t>
      </w:r>
    </w:p>
    <w:p w:rsidR="000A6DB2" w:rsidRPr="00662D53" w:rsidRDefault="000A6DB2" w:rsidP="00662D53">
      <w:pPr>
        <w:keepNext/>
        <w:numPr>
          <w:ilvl w:val="6"/>
          <w:numId w:val="15"/>
        </w:numPr>
        <w:suppressLineNumbers/>
        <w:tabs>
          <w:tab w:val="left" w:pos="360"/>
        </w:tabs>
        <w:suppressAutoHyphens/>
        <w:kinsoku w:val="0"/>
        <w:overflowPunct w:val="0"/>
        <w:autoSpaceDE w:val="0"/>
        <w:autoSpaceDN w:val="0"/>
        <w:spacing w:before="120" w:after="120"/>
        <w:jc w:val="center"/>
        <w:rPr>
          <w:rFonts w:eastAsia="SimSun"/>
          <w:i/>
          <w:snapToGrid w:val="0"/>
          <w:kern w:val="22"/>
          <w:szCs w:val="22"/>
        </w:rPr>
      </w:pPr>
      <w:r w:rsidRPr="00E27381">
        <w:rPr>
          <w:rFonts w:eastAsia="Calibri"/>
          <w:i/>
          <w:noProof/>
          <w:snapToGrid w:val="0"/>
          <w:color w:val="000000"/>
          <w:kern w:val="22"/>
          <w:szCs w:val="22"/>
          <w:u w:color="000000"/>
        </w:rPr>
        <w:t>Legislative, administrative or policy measures on ABS</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 xml:space="preserve">A number of provisions of the Protocol require Parties to adopt legislative, administrative or policy measures on ABS. The format of the interim national report endeavours to collect information on the progress Parties are making towards </w:t>
      </w:r>
      <w:r w:rsidR="00E12E6E">
        <w:rPr>
          <w:rFonts w:eastAsia="SimSun"/>
          <w:snapToGrid w:val="0"/>
          <w:kern w:val="22"/>
          <w:szCs w:val="22"/>
        </w:rPr>
        <w:t>fulfilment</w:t>
      </w:r>
      <w:r w:rsidR="00E12E6E" w:rsidRPr="00662D53">
        <w:rPr>
          <w:rFonts w:eastAsia="SimSun"/>
          <w:snapToGrid w:val="0"/>
          <w:kern w:val="22"/>
          <w:szCs w:val="22"/>
        </w:rPr>
        <w:t xml:space="preserve"> </w:t>
      </w:r>
      <w:r w:rsidRPr="00662D53">
        <w:rPr>
          <w:rFonts w:eastAsia="SimSun"/>
          <w:snapToGrid w:val="0"/>
          <w:kern w:val="22"/>
          <w:szCs w:val="22"/>
        </w:rPr>
        <w:t xml:space="preserve">of these obligations through a number of questions on access, benefit-sharing, </w:t>
      </w:r>
      <w:r w:rsidRPr="00662D53">
        <w:rPr>
          <w:rFonts w:eastAsia="Arial Unicode MS"/>
          <w:snapToGrid w:val="0"/>
          <w:kern w:val="22"/>
          <w:szCs w:val="22"/>
          <w:u w:color="000000"/>
          <w:bdr w:val="nil"/>
        </w:rPr>
        <w:t xml:space="preserve">compliance with domestic legislation or regulatory requirements on ABS, monitoring the utilization of genetic resources, </w:t>
      </w:r>
      <w:r w:rsidR="00E12E6E">
        <w:rPr>
          <w:rFonts w:eastAsia="Arial Unicode MS"/>
          <w:snapToGrid w:val="0"/>
          <w:kern w:val="22"/>
          <w:szCs w:val="22"/>
          <w:u w:color="000000"/>
          <w:bdr w:val="nil"/>
        </w:rPr>
        <w:t xml:space="preserve">and </w:t>
      </w:r>
      <w:r w:rsidRPr="00662D53">
        <w:rPr>
          <w:rFonts w:eastAsia="Arial Unicode MS"/>
          <w:snapToGrid w:val="0"/>
          <w:kern w:val="22"/>
          <w:szCs w:val="22"/>
          <w:u w:color="000000"/>
          <w:bdr w:val="nil"/>
        </w:rPr>
        <w:t>compliance with mutually agreed term</w:t>
      </w:r>
      <w:r w:rsidR="00E12E6E">
        <w:rPr>
          <w:rFonts w:eastAsia="Arial Unicode MS"/>
          <w:snapToGrid w:val="0"/>
          <w:kern w:val="22"/>
          <w:szCs w:val="22"/>
          <w:u w:color="000000"/>
          <w:bdr w:val="nil"/>
        </w:rPr>
        <w:t>s,</w:t>
      </w:r>
      <w:r w:rsidRPr="00662D53">
        <w:rPr>
          <w:rFonts w:eastAsia="Arial Unicode MS"/>
          <w:snapToGrid w:val="0"/>
          <w:kern w:val="22"/>
          <w:szCs w:val="22"/>
          <w:u w:color="000000"/>
          <w:bdr w:val="nil"/>
        </w:rPr>
        <w:t xml:space="preserve"> as well as the questions on the provisions related to indigenous peoples and local communities.</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For the purposes of examining general issues of compliance, information provided by Parties in response to question 3 of the report</w:t>
      </w:r>
      <w:r w:rsidR="001B68CB" w:rsidRPr="00662D53">
        <w:rPr>
          <w:rStyle w:val="FootnoteReference"/>
          <w:rFonts w:eastAsia="SimSun"/>
          <w:snapToGrid w:val="0"/>
          <w:kern w:val="22"/>
          <w:szCs w:val="22"/>
        </w:rPr>
        <w:footnoteReference w:id="7"/>
      </w:r>
      <w:r w:rsidRPr="00662D53">
        <w:rPr>
          <w:rFonts w:eastAsia="SimSun"/>
          <w:snapToGrid w:val="0"/>
          <w:kern w:val="22"/>
          <w:szCs w:val="22"/>
        </w:rPr>
        <w:t xml:space="preserve"> </w:t>
      </w:r>
      <w:r w:rsidR="009A713B">
        <w:rPr>
          <w:rFonts w:eastAsia="SimSun"/>
          <w:snapToGrid w:val="0"/>
          <w:kern w:val="22"/>
          <w:szCs w:val="22"/>
        </w:rPr>
        <w:t xml:space="preserve">is presented below, </w:t>
      </w:r>
      <w:r w:rsidRPr="00662D53">
        <w:rPr>
          <w:rFonts w:eastAsia="SimSun"/>
          <w:snapToGrid w:val="0"/>
          <w:kern w:val="22"/>
          <w:szCs w:val="22"/>
        </w:rPr>
        <w:t>and, as part of the challenges and difficulties,</w:t>
      </w:r>
      <w:r w:rsidRPr="00662D53">
        <w:rPr>
          <w:snapToGrid w:val="0"/>
          <w:kern w:val="22"/>
          <w:szCs w:val="22"/>
        </w:rPr>
        <w:t xml:space="preserve"> </w:t>
      </w:r>
      <w:r w:rsidRPr="00662D53">
        <w:rPr>
          <w:rFonts w:eastAsia="SimSun"/>
          <w:snapToGrid w:val="0"/>
          <w:kern w:val="22"/>
          <w:szCs w:val="22"/>
        </w:rPr>
        <w:t>the provisions of the Protocol that Parties are having more difficult</w:t>
      </w:r>
      <w:r w:rsidR="009A713B">
        <w:rPr>
          <w:rFonts w:eastAsia="SimSun"/>
          <w:snapToGrid w:val="0"/>
          <w:kern w:val="22"/>
          <w:szCs w:val="22"/>
        </w:rPr>
        <w:t>y</w:t>
      </w:r>
      <w:r w:rsidRPr="00662D53">
        <w:rPr>
          <w:rFonts w:eastAsia="SimSun"/>
          <w:snapToGrid w:val="0"/>
          <w:kern w:val="22"/>
          <w:szCs w:val="22"/>
        </w:rPr>
        <w:t xml:space="preserve"> implement</w:t>
      </w:r>
      <w:r w:rsidR="009A713B">
        <w:rPr>
          <w:rFonts w:eastAsia="SimSun"/>
          <w:snapToGrid w:val="0"/>
          <w:kern w:val="22"/>
          <w:szCs w:val="22"/>
        </w:rPr>
        <w:t>ing are examined</w:t>
      </w:r>
      <w:r w:rsidRPr="00662D53">
        <w:rPr>
          <w:rFonts w:eastAsia="SimSun"/>
          <w:snapToGrid w:val="0"/>
          <w:kern w:val="22"/>
          <w:szCs w:val="22"/>
        </w:rPr>
        <w:t>.</w:t>
      </w:r>
    </w:p>
    <w:p w:rsidR="000A6DB2" w:rsidRPr="00662D53" w:rsidRDefault="0021413B" w:rsidP="00662D53">
      <w:pPr>
        <w:pStyle w:val="Para1"/>
        <w:keepNext/>
        <w:numPr>
          <w:ilvl w:val="0"/>
          <w:numId w:val="0"/>
        </w:numPr>
        <w:suppressLineNumbers/>
        <w:suppressAutoHyphens/>
        <w:kinsoku w:val="0"/>
        <w:overflowPunct w:val="0"/>
        <w:autoSpaceDE w:val="0"/>
        <w:autoSpaceDN w:val="0"/>
        <w:adjustRightInd w:val="0"/>
        <w:snapToGrid w:val="0"/>
        <w:jc w:val="left"/>
        <w:outlineLvl w:val="2"/>
        <w:rPr>
          <w:kern w:val="22"/>
          <w:szCs w:val="22"/>
        </w:rPr>
      </w:pPr>
      <w:r w:rsidRPr="00662D53">
        <w:rPr>
          <w:kern w:val="22"/>
          <w:szCs w:val="22"/>
        </w:rPr>
        <w:t>(a)</w:t>
      </w:r>
      <w:r w:rsidRPr="00662D53">
        <w:rPr>
          <w:kern w:val="22"/>
          <w:szCs w:val="22"/>
        </w:rPr>
        <w:tab/>
      </w:r>
      <w:r w:rsidR="000A6DB2" w:rsidRPr="00662D53">
        <w:rPr>
          <w:i/>
          <w:iCs/>
          <w:kern w:val="22"/>
          <w:szCs w:val="22"/>
        </w:rPr>
        <w:t>Status</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The following provides an overview of the progress made in adopting ABS measures based on the information provided in response to question 3 of the report and information published in the ABS Clearing</w:t>
      </w:r>
      <w:r w:rsidR="001B68CB" w:rsidRPr="00662D53">
        <w:rPr>
          <w:rFonts w:eastAsia="SimSun"/>
          <w:snapToGrid w:val="0"/>
          <w:kern w:val="22"/>
          <w:szCs w:val="22"/>
        </w:rPr>
        <w:noBreakHyphen/>
      </w:r>
      <w:r w:rsidRPr="00662D53">
        <w:rPr>
          <w:rFonts w:eastAsia="SimSun"/>
          <w:snapToGrid w:val="0"/>
          <w:kern w:val="22"/>
          <w:szCs w:val="22"/>
        </w:rPr>
        <w:t>House. In addition, for Parties that have not submitted an interim national report, information provided through NBSAPs</w:t>
      </w:r>
      <w:r w:rsidR="00ED1465">
        <w:rPr>
          <w:rFonts w:eastAsia="SimSun"/>
          <w:snapToGrid w:val="0"/>
          <w:kern w:val="22"/>
          <w:szCs w:val="22"/>
        </w:rPr>
        <w:t xml:space="preserve"> </w:t>
      </w:r>
      <w:r w:rsidRPr="00662D53">
        <w:rPr>
          <w:rFonts w:eastAsia="SimSun"/>
          <w:snapToGrid w:val="0"/>
          <w:kern w:val="22"/>
          <w:szCs w:val="22"/>
        </w:rPr>
        <w:t xml:space="preserve">and the fifth national reports under the </w:t>
      </w:r>
      <w:r w:rsidR="001B68CB" w:rsidRPr="00662D53">
        <w:rPr>
          <w:rFonts w:eastAsia="SimSun"/>
          <w:snapToGrid w:val="0"/>
          <w:kern w:val="22"/>
          <w:szCs w:val="22"/>
        </w:rPr>
        <w:t xml:space="preserve">Convention </w:t>
      </w:r>
      <w:r w:rsidRPr="00662D53">
        <w:rPr>
          <w:rFonts w:eastAsia="SimSun"/>
          <w:snapToGrid w:val="0"/>
          <w:kern w:val="22"/>
          <w:szCs w:val="22"/>
        </w:rPr>
        <w:t>is presented for the information of the Committee.</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b/>
          <w:i/>
          <w:snapToGrid w:val="0"/>
          <w:kern w:val="22"/>
          <w:szCs w:val="22"/>
        </w:rPr>
      </w:pPr>
      <w:r w:rsidRPr="00662D53">
        <w:rPr>
          <w:rFonts w:eastAsia="SimSun"/>
          <w:snapToGrid w:val="0"/>
          <w:kern w:val="22"/>
          <w:szCs w:val="22"/>
        </w:rPr>
        <w:t>According</w:t>
      </w:r>
      <w:r w:rsidRPr="00662D53">
        <w:rPr>
          <w:rFonts w:eastAsia="Arial Unicode MS"/>
          <w:snapToGrid w:val="0"/>
          <w:kern w:val="22"/>
          <w:szCs w:val="22"/>
          <w:u w:color="000000"/>
          <w:bdr w:val="nil"/>
        </w:rPr>
        <w:t xml:space="preserve"> to </w:t>
      </w:r>
      <w:r w:rsidR="00D725A3">
        <w:rPr>
          <w:rFonts w:eastAsia="Arial Unicode MS"/>
          <w:snapToGrid w:val="0"/>
          <w:kern w:val="22"/>
          <w:szCs w:val="22"/>
          <w:u w:color="000000"/>
          <w:bdr w:val="nil"/>
        </w:rPr>
        <w:t xml:space="preserve">the </w:t>
      </w:r>
      <w:r w:rsidRPr="00662D53">
        <w:rPr>
          <w:rFonts w:eastAsia="Arial Unicode MS"/>
          <w:snapToGrid w:val="0"/>
          <w:kern w:val="22"/>
          <w:szCs w:val="22"/>
          <w:u w:color="000000"/>
          <w:bdr w:val="nil"/>
        </w:rPr>
        <w:t xml:space="preserve">information </w:t>
      </w:r>
      <w:r w:rsidR="00D725A3">
        <w:rPr>
          <w:rFonts w:eastAsia="Arial Unicode MS"/>
          <w:snapToGrid w:val="0"/>
          <w:kern w:val="22"/>
          <w:szCs w:val="22"/>
          <w:u w:color="000000"/>
          <w:bdr w:val="nil"/>
        </w:rPr>
        <w:t xml:space="preserve">that is </w:t>
      </w:r>
      <w:r w:rsidRPr="00662D53">
        <w:rPr>
          <w:rFonts w:eastAsia="Arial Unicode MS"/>
          <w:snapToGrid w:val="0"/>
          <w:kern w:val="22"/>
          <w:szCs w:val="22"/>
          <w:u w:color="000000"/>
          <w:bdr w:val="nil"/>
        </w:rPr>
        <w:t xml:space="preserve">available, as of 22 February 2018, 75 Parties (62%) had </w:t>
      </w:r>
      <w:r w:rsidRPr="00662D53">
        <w:rPr>
          <w:rFonts w:eastAsia="Arial Unicode MS"/>
          <w:snapToGrid w:val="0"/>
          <w:color w:val="000000"/>
          <w:kern w:val="22"/>
          <w:szCs w:val="22"/>
          <w:u w:color="000000"/>
          <w:bdr w:val="nil"/>
        </w:rPr>
        <w:t>published measures in the ABS Clearing-House</w:t>
      </w:r>
      <w:r w:rsidRPr="00662D53">
        <w:rPr>
          <w:rFonts w:eastAsia="Arial Unicode MS"/>
          <w:snapToGrid w:val="0"/>
          <w:kern w:val="22"/>
          <w:szCs w:val="22"/>
          <w:u w:color="000000"/>
          <w:bdr w:val="nil"/>
        </w:rPr>
        <w:t xml:space="preserve"> or reported having some ABS measures established in the interim national report, NBSAP or fifth national report.</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b/>
          <w:i/>
          <w:snapToGrid w:val="0"/>
          <w:kern w:val="22"/>
          <w:szCs w:val="22"/>
        </w:rPr>
      </w:pPr>
      <w:r w:rsidRPr="00662D53">
        <w:rPr>
          <w:rFonts w:eastAsia="SimSun"/>
          <w:snapToGrid w:val="0"/>
          <w:kern w:val="22"/>
          <w:szCs w:val="22"/>
        </w:rPr>
        <w:t>The ABS measures reported vary in the degree of specificity and comprehensiveness and many were adopted prior to the adoption of the Nagoya Protocol. Some Parties reported having general legislation which relates to ABS (</w:t>
      </w:r>
      <w:r w:rsidR="00AC7526">
        <w:rPr>
          <w:rFonts w:eastAsia="SimSun"/>
          <w:snapToGrid w:val="0"/>
          <w:kern w:val="22"/>
          <w:szCs w:val="22"/>
        </w:rPr>
        <w:t>for example</w:t>
      </w:r>
      <w:r w:rsidR="00F34E5B">
        <w:rPr>
          <w:rFonts w:eastAsia="SimSun"/>
          <w:snapToGrid w:val="0"/>
          <w:kern w:val="22"/>
          <w:szCs w:val="22"/>
        </w:rPr>
        <w:t>,</w:t>
      </w:r>
      <w:r w:rsidRPr="00662D53">
        <w:rPr>
          <w:rFonts w:eastAsia="SimSun"/>
          <w:snapToGrid w:val="0"/>
          <w:kern w:val="22"/>
          <w:szCs w:val="22"/>
        </w:rPr>
        <w:t xml:space="preserve"> general environmental legislation, or measures dealing with animal husbandry, forests), while others have adopted specific ABS measures to implement the Protocol. </w:t>
      </w:r>
      <w:r w:rsidRPr="00662D53">
        <w:rPr>
          <w:rFonts w:eastAsia="Arial Unicode MS"/>
          <w:snapToGrid w:val="0"/>
          <w:kern w:val="22"/>
          <w:szCs w:val="22"/>
          <w:u w:color="000000"/>
          <w:bdr w:val="nil"/>
        </w:rPr>
        <w:t xml:space="preserve">Of these 75 Parties, </w:t>
      </w:r>
      <w:r w:rsidRPr="00662D53">
        <w:rPr>
          <w:rFonts w:eastAsia="Arial Unicode MS"/>
          <w:snapToGrid w:val="0"/>
          <w:color w:val="000000"/>
          <w:kern w:val="22"/>
          <w:szCs w:val="22"/>
          <w:u w:color="000000"/>
          <w:bdr w:val="nil"/>
        </w:rPr>
        <w:t xml:space="preserve">44 indicated that they are currently revising </w:t>
      </w:r>
      <w:r w:rsidRPr="00662D53">
        <w:rPr>
          <w:rFonts w:eastAsia="SimSun"/>
          <w:snapToGrid w:val="0"/>
          <w:kern w:val="22"/>
          <w:szCs w:val="22"/>
        </w:rPr>
        <w:t>existing</w:t>
      </w:r>
      <w:r w:rsidRPr="00662D53">
        <w:rPr>
          <w:rFonts w:eastAsia="Arial Unicode MS"/>
          <w:snapToGrid w:val="0"/>
          <w:color w:val="000000"/>
          <w:kern w:val="22"/>
          <w:szCs w:val="22"/>
          <w:u w:color="000000"/>
          <w:bdr w:val="nil"/>
        </w:rPr>
        <w:t xml:space="preserve"> or developing new ABS </w:t>
      </w:r>
      <w:r w:rsidRPr="00662D53">
        <w:rPr>
          <w:rFonts w:eastAsia="SimSun"/>
          <w:snapToGrid w:val="0"/>
          <w:kern w:val="22"/>
          <w:szCs w:val="22"/>
        </w:rPr>
        <w:t>measures to implement the Protocol</w:t>
      </w:r>
      <w:r w:rsidR="003E4A62">
        <w:rPr>
          <w:rFonts w:eastAsia="SimSun"/>
          <w:snapToGrid w:val="0"/>
          <w:kern w:val="22"/>
          <w:szCs w:val="22"/>
        </w:rPr>
        <w:t>,</w:t>
      </w:r>
      <w:r w:rsidRPr="00662D53">
        <w:rPr>
          <w:rFonts w:eastAsia="SimSun"/>
          <w:snapToGrid w:val="0"/>
          <w:kern w:val="22"/>
          <w:szCs w:val="22"/>
        </w:rPr>
        <w:t xml:space="preserve"> and </w:t>
      </w:r>
      <w:r w:rsidRPr="00662D53">
        <w:rPr>
          <w:rFonts w:eastAsia="Arial Unicode MS"/>
          <w:snapToGrid w:val="0"/>
          <w:color w:val="000000"/>
          <w:kern w:val="22"/>
          <w:szCs w:val="22"/>
          <w:u w:color="000000"/>
          <w:bdr w:val="nil"/>
        </w:rPr>
        <w:t>10 Parties are planning to develop additional ABS measures.</w:t>
      </w:r>
    </w:p>
    <w:p w:rsidR="000A6DB2" w:rsidRPr="00662D53" w:rsidRDefault="000A6DB2" w:rsidP="00662D53">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A total of 25 Parties reported not having ABS measures in place and did not have measures published in the ABS Clearing-House. Based on the available information, 2 of these Parties are currently developing measures</w:t>
      </w:r>
      <w:r w:rsidR="001D3101">
        <w:rPr>
          <w:rFonts w:eastAsia="SimSun"/>
          <w:snapToGrid w:val="0"/>
          <w:kern w:val="22"/>
          <w:szCs w:val="22"/>
        </w:rPr>
        <w:t>,</w:t>
      </w:r>
      <w:r w:rsidRPr="00662D53">
        <w:rPr>
          <w:rFonts w:eastAsia="SimSun"/>
          <w:snapToGrid w:val="0"/>
          <w:kern w:val="22"/>
          <w:szCs w:val="22"/>
        </w:rPr>
        <w:t xml:space="preserve"> and 13 Parties are planning to develop ABS measures.</w:t>
      </w:r>
    </w:p>
    <w:p w:rsidR="000A6DB2" w:rsidRPr="00662D53" w:rsidRDefault="00182152" w:rsidP="00662D53">
      <w:pPr>
        <w:keepNext/>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b/>
          <w:bCs/>
          <w:iCs/>
          <w:snapToGrid w:val="0"/>
          <w:kern w:val="22"/>
          <w:szCs w:val="22"/>
        </w:rPr>
      </w:pPr>
      <w:proofErr w:type="gramStart"/>
      <w:r>
        <w:rPr>
          <w:rFonts w:eastAsia="SimSun"/>
          <w:b/>
          <w:bCs/>
          <w:iCs/>
          <w:snapToGrid w:val="0"/>
          <w:kern w:val="22"/>
          <w:szCs w:val="22"/>
        </w:rPr>
        <w:t>Figure</w:t>
      </w:r>
      <w:r w:rsidRPr="00662D53">
        <w:rPr>
          <w:rFonts w:eastAsia="SimSun"/>
          <w:b/>
          <w:bCs/>
          <w:iCs/>
          <w:snapToGrid w:val="0"/>
          <w:kern w:val="22"/>
          <w:szCs w:val="22"/>
        </w:rPr>
        <w:t xml:space="preserve"> </w:t>
      </w:r>
      <w:r w:rsidR="000A6DB2" w:rsidRPr="00662D53">
        <w:rPr>
          <w:rFonts w:eastAsia="SimSun"/>
          <w:b/>
          <w:bCs/>
          <w:iCs/>
          <w:snapToGrid w:val="0"/>
          <w:kern w:val="22"/>
          <w:szCs w:val="22"/>
        </w:rPr>
        <w:t>1</w:t>
      </w:r>
      <w:r>
        <w:rPr>
          <w:rFonts w:eastAsia="SimSun"/>
          <w:b/>
          <w:bCs/>
          <w:iCs/>
          <w:snapToGrid w:val="0"/>
          <w:kern w:val="22"/>
          <w:szCs w:val="22"/>
        </w:rPr>
        <w:t>.</w:t>
      </w:r>
      <w:proofErr w:type="gramEnd"/>
      <w:r w:rsidR="000A6DB2" w:rsidRPr="00662D53">
        <w:rPr>
          <w:rFonts w:eastAsia="SimSun"/>
          <w:b/>
          <w:bCs/>
          <w:iCs/>
          <w:snapToGrid w:val="0"/>
          <w:kern w:val="22"/>
          <w:szCs w:val="22"/>
        </w:rPr>
        <w:t xml:space="preserve"> Status of progress by Parties that have ABS measures in place (as of 22 February 2018)</w:t>
      </w:r>
    </w:p>
    <w:p w:rsidR="000A6DB2" w:rsidRPr="00662D53" w:rsidRDefault="000A6DB2" w:rsidP="00662D53">
      <w:pPr>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snapToGrid w:val="0"/>
          <w:kern w:val="22"/>
          <w:szCs w:val="22"/>
        </w:rPr>
      </w:pPr>
      <w:r w:rsidRPr="00662D53">
        <w:rPr>
          <w:rFonts w:eastAsia="SimSun"/>
          <w:noProof/>
          <w:snapToGrid w:val="0"/>
          <w:kern w:val="22"/>
          <w:szCs w:val="22"/>
          <w:lang w:eastAsia="zh-CN"/>
        </w:rPr>
        <w:drawing>
          <wp:inline distT="0" distB="0" distL="0" distR="0" wp14:anchorId="5121C92E" wp14:editId="182FD7C9">
            <wp:extent cx="4432300" cy="245173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300" cy="2451735"/>
                    </a:xfrm>
                    <a:prstGeom prst="rect">
                      <a:avLst/>
                    </a:prstGeom>
                    <a:noFill/>
                  </pic:spPr>
                </pic:pic>
              </a:graphicData>
            </a:graphic>
          </wp:inline>
        </w:drawing>
      </w:r>
    </w:p>
    <w:p w:rsidR="000A6DB2" w:rsidRPr="00662D53" w:rsidRDefault="000A6DB2" w:rsidP="00662D53">
      <w:pPr>
        <w:suppressLineNumbers/>
        <w:pBdr>
          <w:top w:val="nil"/>
          <w:left w:val="nil"/>
          <w:bottom w:val="nil"/>
          <w:right w:val="nil"/>
          <w:between w:val="nil"/>
          <w:bar w:val="nil"/>
        </w:pBdr>
        <w:suppressAutoHyphens/>
        <w:kinsoku w:val="0"/>
        <w:overflowPunct w:val="0"/>
        <w:autoSpaceDE w:val="0"/>
        <w:autoSpaceDN w:val="0"/>
        <w:spacing w:before="120" w:after="120"/>
        <w:rPr>
          <w:i/>
          <w:snapToGrid w:val="0"/>
          <w:kern w:val="22"/>
          <w:szCs w:val="22"/>
        </w:rPr>
      </w:pPr>
    </w:p>
    <w:p w:rsidR="000A6DB2" w:rsidRPr="00662D53" w:rsidRDefault="00182152" w:rsidP="00662D53">
      <w:pPr>
        <w:keepNext/>
        <w:suppressLineNumbers/>
        <w:pBdr>
          <w:top w:val="nil"/>
          <w:left w:val="nil"/>
          <w:bottom w:val="nil"/>
          <w:right w:val="nil"/>
          <w:between w:val="nil"/>
          <w:bar w:val="nil"/>
        </w:pBdr>
        <w:suppressAutoHyphens/>
        <w:kinsoku w:val="0"/>
        <w:overflowPunct w:val="0"/>
        <w:autoSpaceDE w:val="0"/>
        <w:autoSpaceDN w:val="0"/>
        <w:spacing w:before="120" w:after="120"/>
        <w:jc w:val="center"/>
        <w:rPr>
          <w:rFonts w:ascii="Times New Roman Bold" w:hAnsi="Times New Roman Bold" w:cs="Times New Roman Bold"/>
          <w:b/>
          <w:bCs/>
          <w:iCs/>
          <w:snapToGrid w:val="0"/>
          <w:spacing w:val="-4"/>
          <w:kern w:val="22"/>
          <w:szCs w:val="22"/>
        </w:rPr>
      </w:pPr>
      <w:proofErr w:type="gramStart"/>
      <w:r w:rsidRPr="00662D53">
        <w:rPr>
          <w:rFonts w:ascii="Times New Roman Bold" w:hAnsi="Times New Roman Bold" w:cs="Times New Roman Bold"/>
          <w:b/>
          <w:bCs/>
          <w:iCs/>
          <w:snapToGrid w:val="0"/>
          <w:spacing w:val="-4"/>
          <w:kern w:val="22"/>
          <w:szCs w:val="22"/>
        </w:rPr>
        <w:t>Figure</w:t>
      </w:r>
      <w:r w:rsidR="000A6DB2" w:rsidRPr="00662D53">
        <w:rPr>
          <w:rFonts w:ascii="Times New Roman Bold" w:hAnsi="Times New Roman Bold" w:cs="Times New Roman Bold"/>
          <w:b/>
          <w:bCs/>
          <w:iCs/>
          <w:snapToGrid w:val="0"/>
          <w:spacing w:val="-4"/>
          <w:kern w:val="22"/>
          <w:szCs w:val="22"/>
        </w:rPr>
        <w:t xml:space="preserve"> 2</w:t>
      </w:r>
      <w:r w:rsidR="003F0E8B">
        <w:rPr>
          <w:rFonts w:ascii="Times New Roman Bold" w:hAnsi="Times New Roman Bold" w:cs="Times New Roman Bold"/>
          <w:b/>
          <w:bCs/>
          <w:iCs/>
          <w:snapToGrid w:val="0"/>
          <w:spacing w:val="-4"/>
          <w:kern w:val="22"/>
          <w:szCs w:val="22"/>
        </w:rPr>
        <w:t>.</w:t>
      </w:r>
      <w:proofErr w:type="gramEnd"/>
      <w:r w:rsidR="000A6DB2" w:rsidRPr="00662D53">
        <w:rPr>
          <w:rFonts w:ascii="Times New Roman Bold" w:hAnsi="Times New Roman Bold" w:cs="Times New Roman Bold"/>
          <w:b/>
          <w:bCs/>
          <w:iCs/>
          <w:snapToGrid w:val="0"/>
          <w:spacing w:val="-4"/>
          <w:kern w:val="22"/>
          <w:szCs w:val="22"/>
        </w:rPr>
        <w:t xml:space="preserve"> Status of progress by Parties that do not have ABS measures in place (as of 22 February 2018)</w:t>
      </w:r>
    </w:p>
    <w:p w:rsidR="000A6DB2" w:rsidRPr="00662D53" w:rsidRDefault="000A6DB2" w:rsidP="00662D53">
      <w:pPr>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i/>
          <w:snapToGrid w:val="0"/>
          <w:kern w:val="22"/>
          <w:szCs w:val="22"/>
        </w:rPr>
      </w:pPr>
      <w:r w:rsidRPr="00662D53">
        <w:rPr>
          <w:rFonts w:eastAsia="SimSun"/>
          <w:i/>
          <w:noProof/>
          <w:snapToGrid w:val="0"/>
          <w:kern w:val="22"/>
          <w:szCs w:val="22"/>
          <w:lang w:eastAsia="zh-CN"/>
        </w:rPr>
        <w:drawing>
          <wp:inline distT="0" distB="0" distL="0" distR="0" wp14:anchorId="7E75E6F9" wp14:editId="0C2ADE10">
            <wp:extent cx="4225290" cy="24447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5290" cy="2444750"/>
                    </a:xfrm>
                    <a:prstGeom prst="rect">
                      <a:avLst/>
                    </a:prstGeom>
                    <a:noFill/>
                  </pic:spPr>
                </pic:pic>
              </a:graphicData>
            </a:graphic>
          </wp:inline>
        </w:drawing>
      </w:r>
    </w:p>
    <w:p w:rsidR="000A6DB2" w:rsidRPr="00E27381" w:rsidRDefault="005808C3" w:rsidP="00662D53">
      <w:pPr>
        <w:pStyle w:val="Para1"/>
        <w:keepNext/>
        <w:numPr>
          <w:ilvl w:val="0"/>
          <w:numId w:val="0"/>
        </w:numPr>
        <w:suppressLineNumbers/>
        <w:suppressAutoHyphens/>
        <w:kinsoku w:val="0"/>
        <w:overflowPunct w:val="0"/>
        <w:autoSpaceDE w:val="0"/>
        <w:autoSpaceDN w:val="0"/>
        <w:adjustRightInd w:val="0"/>
        <w:snapToGrid w:val="0"/>
        <w:jc w:val="left"/>
        <w:outlineLvl w:val="2"/>
        <w:rPr>
          <w:i/>
          <w:iCs/>
          <w:kern w:val="22"/>
          <w:szCs w:val="22"/>
        </w:rPr>
      </w:pPr>
      <w:r w:rsidRPr="00662D53">
        <w:rPr>
          <w:kern w:val="22"/>
          <w:szCs w:val="22"/>
        </w:rPr>
        <w:t>(b)</w:t>
      </w:r>
      <w:r w:rsidRPr="00662D53">
        <w:rPr>
          <w:kern w:val="22"/>
          <w:szCs w:val="22"/>
        </w:rPr>
        <w:tab/>
      </w:r>
      <w:r w:rsidR="000A6DB2" w:rsidRPr="00E27381">
        <w:rPr>
          <w:i/>
          <w:iCs/>
          <w:kern w:val="22"/>
          <w:szCs w:val="22"/>
        </w:rPr>
        <w:t>Challenges and difficulties</w:t>
      </w:r>
    </w:p>
    <w:p w:rsidR="000A6DB2" w:rsidRPr="00662D53" w:rsidRDefault="000A6DB2" w:rsidP="00662D53">
      <w:pPr>
        <w:numPr>
          <w:ilvl w:val="0"/>
          <w:numId w:val="21"/>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 xml:space="preserve">In addition to the general challenges referred to in </w:t>
      </w:r>
      <w:r w:rsidR="00682C77">
        <w:rPr>
          <w:rFonts w:eastAsia="SimSun"/>
          <w:snapToGrid w:val="0"/>
          <w:kern w:val="22"/>
          <w:szCs w:val="22"/>
        </w:rPr>
        <w:t>sub</w:t>
      </w:r>
      <w:r w:rsidRPr="00662D53">
        <w:rPr>
          <w:rFonts w:eastAsia="SimSun"/>
          <w:snapToGrid w:val="0"/>
          <w:kern w:val="22"/>
          <w:szCs w:val="22"/>
        </w:rPr>
        <w:t xml:space="preserve">section A above, some Parties explained in their reports </w:t>
      </w:r>
      <w:r w:rsidR="001375F2">
        <w:rPr>
          <w:rFonts w:eastAsia="SimSun"/>
          <w:snapToGrid w:val="0"/>
          <w:kern w:val="22"/>
          <w:szCs w:val="22"/>
        </w:rPr>
        <w:t xml:space="preserve">the </w:t>
      </w:r>
      <w:r w:rsidRPr="00662D53">
        <w:rPr>
          <w:rFonts w:eastAsia="SimSun"/>
          <w:snapToGrid w:val="0"/>
          <w:kern w:val="22"/>
          <w:szCs w:val="22"/>
        </w:rPr>
        <w:t xml:space="preserve">difficulties </w:t>
      </w:r>
      <w:r w:rsidR="001375F2">
        <w:rPr>
          <w:rFonts w:eastAsia="SimSun"/>
          <w:snapToGrid w:val="0"/>
          <w:kern w:val="22"/>
          <w:szCs w:val="22"/>
        </w:rPr>
        <w:t xml:space="preserve">they had </w:t>
      </w:r>
      <w:r w:rsidRPr="00662D53">
        <w:rPr>
          <w:rFonts w:eastAsia="SimSun"/>
          <w:snapToGrid w:val="0"/>
          <w:kern w:val="22"/>
          <w:szCs w:val="22"/>
        </w:rPr>
        <w:t xml:space="preserve">experienced in developing ABS measures that </w:t>
      </w:r>
      <w:r w:rsidR="001375F2">
        <w:rPr>
          <w:rFonts w:eastAsia="SimSun"/>
          <w:snapToGrid w:val="0"/>
          <w:kern w:val="22"/>
          <w:szCs w:val="22"/>
        </w:rPr>
        <w:t>took</w:t>
      </w:r>
      <w:r w:rsidR="001375F2" w:rsidRPr="00662D53">
        <w:rPr>
          <w:rFonts w:eastAsia="SimSun"/>
          <w:snapToGrid w:val="0"/>
          <w:kern w:val="22"/>
          <w:szCs w:val="22"/>
        </w:rPr>
        <w:t xml:space="preserve"> </w:t>
      </w:r>
      <w:r w:rsidRPr="00662D53">
        <w:rPr>
          <w:rFonts w:eastAsia="SimSun"/>
          <w:snapToGrid w:val="0"/>
          <w:kern w:val="22"/>
          <w:szCs w:val="22"/>
        </w:rPr>
        <w:t>into account many different considerations (</w:t>
      </w:r>
      <w:r w:rsidR="001375F2">
        <w:rPr>
          <w:rFonts w:eastAsia="SimSun"/>
          <w:snapToGrid w:val="0"/>
          <w:kern w:val="22"/>
          <w:szCs w:val="22"/>
        </w:rPr>
        <w:t>for example,</w:t>
      </w:r>
      <w:r w:rsidRPr="00662D53">
        <w:rPr>
          <w:rFonts w:eastAsia="SimSun"/>
          <w:snapToGrid w:val="0"/>
          <w:kern w:val="22"/>
          <w:szCs w:val="22"/>
        </w:rPr>
        <w:t xml:space="preserve"> many sectors and actors, or the different articles of the Nagoya Protocol), while at the same time adopting measures that are balanced, promote benefit-sharing and legal certainty, and avoid complexity, delays and increased burden and costs on users.</w:t>
      </w:r>
    </w:p>
    <w:p w:rsidR="000A6DB2" w:rsidRPr="00662D53" w:rsidRDefault="000A6DB2" w:rsidP="00662D53">
      <w:pPr>
        <w:numPr>
          <w:ilvl w:val="0"/>
          <w:numId w:val="21"/>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Some Parties noted that the process for adopting ABS measures and making progress in implementation of the Protocol was more time consuming and slower than expected.</w:t>
      </w:r>
    </w:p>
    <w:p w:rsidR="000A6DB2" w:rsidRPr="00662D53" w:rsidRDefault="000A6DB2" w:rsidP="00662D53">
      <w:pPr>
        <w:numPr>
          <w:ilvl w:val="0"/>
          <w:numId w:val="21"/>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 xml:space="preserve">Implementing some of the new elements of the Protocol, namely the provisions on compliance with domestic measures, monitoring the utilization of genetic resources and the obligations related to </w:t>
      </w:r>
      <w:r w:rsidRPr="00662D53">
        <w:rPr>
          <w:rFonts w:eastAsia="SimSun"/>
          <w:snapToGrid w:val="0"/>
          <w:kern w:val="22"/>
          <w:szCs w:val="22"/>
        </w:rPr>
        <w:lastRenderedPageBreak/>
        <w:t>indigenous peoples and local communities</w:t>
      </w:r>
      <w:r w:rsidR="00555933">
        <w:rPr>
          <w:rFonts w:eastAsia="SimSun"/>
          <w:snapToGrid w:val="0"/>
          <w:kern w:val="22"/>
          <w:szCs w:val="22"/>
        </w:rPr>
        <w:t>,</w:t>
      </w:r>
      <w:r w:rsidRPr="00662D53">
        <w:rPr>
          <w:rFonts w:eastAsia="SimSun"/>
          <w:snapToGrid w:val="0"/>
          <w:kern w:val="22"/>
          <w:szCs w:val="22"/>
        </w:rPr>
        <w:t xml:space="preserve"> present</w:t>
      </w:r>
      <w:r w:rsidR="00555933">
        <w:rPr>
          <w:rFonts w:eastAsia="SimSun"/>
          <w:snapToGrid w:val="0"/>
          <w:kern w:val="22"/>
          <w:szCs w:val="22"/>
        </w:rPr>
        <w:t>ed</w:t>
      </w:r>
      <w:r w:rsidRPr="00662D53">
        <w:rPr>
          <w:rFonts w:eastAsia="SimSun"/>
          <w:snapToGrid w:val="0"/>
          <w:kern w:val="22"/>
          <w:szCs w:val="22"/>
        </w:rPr>
        <w:t xml:space="preserve"> a particular challenge for many Parties. These are therefore examined in further detail below.</w:t>
      </w:r>
    </w:p>
    <w:p w:rsidR="000A6DB2" w:rsidRPr="00662D53" w:rsidRDefault="000A6DB2" w:rsidP="00662D53">
      <w:pPr>
        <w:numPr>
          <w:ilvl w:val="0"/>
          <w:numId w:val="21"/>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i/>
          <w:snapToGrid w:val="0"/>
          <w:kern w:val="22"/>
          <w:szCs w:val="22"/>
        </w:rPr>
      </w:pPr>
      <w:r w:rsidRPr="00662D53">
        <w:rPr>
          <w:rFonts w:eastAsia="SimSun"/>
          <w:i/>
          <w:snapToGrid w:val="0"/>
          <w:kern w:val="22"/>
          <w:szCs w:val="22"/>
        </w:rPr>
        <w:t>Compliance with domestic measures</w:t>
      </w:r>
      <w:r w:rsidR="00794842">
        <w:rPr>
          <w:rFonts w:eastAsia="SimSun"/>
          <w:snapToGrid w:val="0"/>
          <w:kern w:val="22"/>
          <w:szCs w:val="22"/>
        </w:rPr>
        <w:t>.</w:t>
      </w:r>
      <w:r w:rsidRPr="00662D53">
        <w:rPr>
          <w:rFonts w:eastAsia="SimSun"/>
          <w:snapToGrid w:val="0"/>
          <w:kern w:val="22"/>
          <w:szCs w:val="22"/>
        </w:rPr>
        <w:t xml:space="preserve"> Approximately half of the Parties indicated that they </w:t>
      </w:r>
      <w:r w:rsidR="00555933">
        <w:rPr>
          <w:rFonts w:eastAsia="SimSun"/>
          <w:snapToGrid w:val="0"/>
          <w:kern w:val="22"/>
          <w:szCs w:val="22"/>
        </w:rPr>
        <w:t>had</w:t>
      </w:r>
      <w:r w:rsidR="00555933" w:rsidRPr="00662D53">
        <w:rPr>
          <w:rFonts w:eastAsia="SimSun"/>
          <w:snapToGrid w:val="0"/>
          <w:kern w:val="22"/>
          <w:szCs w:val="22"/>
        </w:rPr>
        <w:t xml:space="preserve"> </w:t>
      </w:r>
      <w:r w:rsidRPr="00662D53">
        <w:rPr>
          <w:rFonts w:eastAsia="SimSun"/>
          <w:snapToGrid w:val="0"/>
          <w:kern w:val="22"/>
          <w:szCs w:val="22"/>
        </w:rPr>
        <w:t xml:space="preserve">taken measures to implement Article 15 (compliance with domestic legislation or regulatory requirements on ABS) and Article 16 of the Protocol (compliance with domestic legislation or regulatory requirements on ABS for traditional knowledge associated with genetic resources). Although many have adopted measures to provide that genetic resources and associated traditional knowledge utilized within their jurisdiction has been accessed in accordance with the requirements of </w:t>
      </w:r>
      <w:r w:rsidR="003366E6">
        <w:rPr>
          <w:rFonts w:eastAsia="SimSun"/>
          <w:snapToGrid w:val="0"/>
          <w:kern w:val="22"/>
          <w:szCs w:val="22"/>
        </w:rPr>
        <w:t>an</w:t>
      </w:r>
      <w:r w:rsidRPr="00662D53">
        <w:rPr>
          <w:rFonts w:eastAsia="SimSun"/>
          <w:snapToGrid w:val="0"/>
          <w:kern w:val="22"/>
          <w:szCs w:val="22"/>
        </w:rPr>
        <w:t>other Party, a number of others reported on measures that would address cases of non-compliance with their own domestic ABS legislation.</w:t>
      </w:r>
    </w:p>
    <w:p w:rsidR="000A6DB2" w:rsidRPr="00662D53" w:rsidRDefault="000A6DB2" w:rsidP="00662D53">
      <w:pPr>
        <w:numPr>
          <w:ilvl w:val="0"/>
          <w:numId w:val="21"/>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i/>
          <w:snapToGrid w:val="0"/>
          <w:kern w:val="22"/>
          <w:szCs w:val="22"/>
        </w:rPr>
        <w:t>Monitoring the utilization of genetic resources</w:t>
      </w:r>
      <w:r w:rsidR="00794842">
        <w:rPr>
          <w:rFonts w:eastAsia="SimSun"/>
          <w:snapToGrid w:val="0"/>
          <w:kern w:val="22"/>
          <w:szCs w:val="22"/>
        </w:rPr>
        <w:t>.</w:t>
      </w:r>
      <w:r w:rsidRPr="00662D53">
        <w:rPr>
          <w:rStyle w:val="FootnoteReference"/>
          <w:rFonts w:eastAsia="SimSun"/>
          <w:i/>
          <w:snapToGrid w:val="0"/>
          <w:kern w:val="22"/>
          <w:szCs w:val="22"/>
        </w:rPr>
        <w:t xml:space="preserve"> </w:t>
      </w:r>
      <w:r w:rsidRPr="00662D53">
        <w:rPr>
          <w:rFonts w:eastAsia="SimSun"/>
          <w:snapToGrid w:val="0"/>
          <w:kern w:val="22"/>
          <w:szCs w:val="22"/>
        </w:rPr>
        <w:t xml:space="preserve">From the analysis of the content of the reports, it can be concluded that many Parties have not yet implemented the obligations related to the designation and functioning of checkpoints as provided for in Article 17. Overall, the main difficulty </w:t>
      </w:r>
      <w:r w:rsidR="00586F21">
        <w:rPr>
          <w:rFonts w:eastAsia="SimSun"/>
          <w:snapToGrid w:val="0"/>
          <w:kern w:val="22"/>
          <w:szCs w:val="22"/>
        </w:rPr>
        <w:t>in</w:t>
      </w:r>
      <w:r w:rsidRPr="00662D53">
        <w:rPr>
          <w:rFonts w:eastAsia="SimSun"/>
          <w:snapToGrid w:val="0"/>
          <w:kern w:val="22"/>
          <w:szCs w:val="22"/>
        </w:rPr>
        <w:t xml:space="preserve"> implement</w:t>
      </w:r>
      <w:r w:rsidR="00586F21">
        <w:rPr>
          <w:rFonts w:eastAsia="SimSun"/>
          <w:snapToGrid w:val="0"/>
          <w:kern w:val="22"/>
          <w:szCs w:val="22"/>
        </w:rPr>
        <w:t>ing</w:t>
      </w:r>
      <w:r w:rsidRPr="00662D53">
        <w:rPr>
          <w:rFonts w:eastAsia="SimSun"/>
          <w:snapToGrid w:val="0"/>
          <w:kern w:val="22"/>
          <w:szCs w:val="22"/>
        </w:rPr>
        <w:t xml:space="preserve"> this obligation is </w:t>
      </w:r>
      <w:r w:rsidR="00586F21">
        <w:rPr>
          <w:rFonts w:eastAsia="SimSun"/>
          <w:snapToGrid w:val="0"/>
          <w:kern w:val="22"/>
          <w:szCs w:val="22"/>
        </w:rPr>
        <w:t xml:space="preserve">identified as </w:t>
      </w:r>
      <w:r w:rsidRPr="00662D53">
        <w:rPr>
          <w:rFonts w:eastAsia="SimSun"/>
          <w:snapToGrid w:val="0"/>
          <w:kern w:val="22"/>
          <w:szCs w:val="22"/>
        </w:rPr>
        <w:t xml:space="preserve">the absence of ABS measures in place or the need to further develop or review measures </w:t>
      </w:r>
      <w:r w:rsidR="00586F21">
        <w:rPr>
          <w:rFonts w:eastAsia="SimSun"/>
          <w:snapToGrid w:val="0"/>
          <w:kern w:val="22"/>
          <w:szCs w:val="22"/>
        </w:rPr>
        <w:t>so that they are</w:t>
      </w:r>
      <w:r w:rsidRPr="00662D53">
        <w:rPr>
          <w:rFonts w:eastAsia="SimSun"/>
          <w:snapToGrid w:val="0"/>
          <w:kern w:val="22"/>
          <w:szCs w:val="22"/>
        </w:rPr>
        <w:t xml:space="preserve"> in line with the Nagoya Protocol. The need for capacity-building on this aspect was noted by many Parties.</w:t>
      </w:r>
    </w:p>
    <w:p w:rsidR="000A6DB2" w:rsidRPr="00662D53" w:rsidRDefault="000A6DB2" w:rsidP="00662D53">
      <w:pPr>
        <w:numPr>
          <w:ilvl w:val="0"/>
          <w:numId w:val="21"/>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i/>
          <w:snapToGrid w:val="0"/>
          <w:kern w:val="22"/>
          <w:szCs w:val="22"/>
        </w:rPr>
        <w:t>Provisions related to indigenous peoples and local communities</w:t>
      </w:r>
      <w:r w:rsidR="00794842" w:rsidRPr="00662D53">
        <w:rPr>
          <w:rFonts w:eastAsia="SimSun"/>
          <w:iCs/>
          <w:snapToGrid w:val="0"/>
          <w:kern w:val="22"/>
          <w:szCs w:val="22"/>
        </w:rPr>
        <w:t>.</w:t>
      </w:r>
      <w:r w:rsidRPr="00662D53">
        <w:rPr>
          <w:rFonts w:eastAsia="SimSun"/>
          <w:iCs/>
          <w:snapToGrid w:val="0"/>
          <w:kern w:val="22"/>
          <w:szCs w:val="22"/>
        </w:rPr>
        <w:t xml:space="preserve"> </w:t>
      </w:r>
      <w:r w:rsidRPr="00662D53">
        <w:rPr>
          <w:rFonts w:eastAsia="SimSun"/>
          <w:snapToGrid w:val="0"/>
          <w:kern w:val="22"/>
          <w:szCs w:val="22"/>
        </w:rPr>
        <w:t>In their reports, 47 Parties indicated that</w:t>
      </w:r>
      <w:r w:rsidRPr="00662D53">
        <w:rPr>
          <w:snapToGrid w:val="0"/>
          <w:kern w:val="22"/>
          <w:szCs w:val="22"/>
        </w:rPr>
        <w:t xml:space="preserve"> there </w:t>
      </w:r>
      <w:r w:rsidR="00097303">
        <w:rPr>
          <w:snapToGrid w:val="0"/>
          <w:kern w:val="22"/>
          <w:szCs w:val="22"/>
        </w:rPr>
        <w:t>were</w:t>
      </w:r>
      <w:r w:rsidR="00097303" w:rsidRPr="00662D53">
        <w:rPr>
          <w:snapToGrid w:val="0"/>
          <w:kern w:val="22"/>
          <w:szCs w:val="22"/>
        </w:rPr>
        <w:t xml:space="preserve"> </w:t>
      </w:r>
      <w:r w:rsidRPr="00662D53">
        <w:rPr>
          <w:snapToGrid w:val="0"/>
          <w:kern w:val="22"/>
          <w:szCs w:val="22"/>
        </w:rPr>
        <w:t>either indigenous peoples, local communities or both indigenous peoples and local communities in their country</w:t>
      </w:r>
      <w:r w:rsidRPr="00662D53">
        <w:rPr>
          <w:rFonts w:eastAsia="SimSun"/>
          <w:snapToGrid w:val="0"/>
          <w:kern w:val="22"/>
          <w:szCs w:val="22"/>
        </w:rPr>
        <w:t>. Approximately half of those Parties reported having taken measures to implement Article</w:t>
      </w:r>
      <w:r w:rsidR="00763BD4" w:rsidRPr="00662D53">
        <w:rPr>
          <w:rFonts w:eastAsia="SimSun"/>
          <w:snapToGrid w:val="0"/>
          <w:kern w:val="22"/>
          <w:szCs w:val="22"/>
        </w:rPr>
        <w:t>s</w:t>
      </w:r>
      <w:r w:rsidRPr="00662D53">
        <w:rPr>
          <w:rFonts w:eastAsia="SimSun"/>
          <w:snapToGrid w:val="0"/>
          <w:kern w:val="22"/>
          <w:szCs w:val="22"/>
        </w:rPr>
        <w:t xml:space="preserve"> 6, 7 and 12 of the Protocol. In different parts of the report, many Parties identified challenges </w:t>
      </w:r>
      <w:r w:rsidR="00E91F4C">
        <w:rPr>
          <w:rFonts w:eastAsia="SimSun"/>
          <w:snapToGrid w:val="0"/>
          <w:kern w:val="22"/>
          <w:szCs w:val="22"/>
        </w:rPr>
        <w:t>in</w:t>
      </w:r>
      <w:r w:rsidR="00E91F4C" w:rsidRPr="00662D53">
        <w:rPr>
          <w:rFonts w:eastAsia="SimSun"/>
          <w:snapToGrid w:val="0"/>
          <w:kern w:val="22"/>
          <w:szCs w:val="22"/>
        </w:rPr>
        <w:t xml:space="preserve"> </w:t>
      </w:r>
      <w:r w:rsidRPr="00662D53">
        <w:rPr>
          <w:rFonts w:eastAsia="SimSun"/>
          <w:snapToGrid w:val="0"/>
          <w:kern w:val="22"/>
          <w:szCs w:val="22"/>
        </w:rPr>
        <w:t>implement</w:t>
      </w:r>
      <w:r w:rsidR="00E91F4C">
        <w:rPr>
          <w:rFonts w:eastAsia="SimSun"/>
          <w:snapToGrid w:val="0"/>
          <w:kern w:val="22"/>
          <w:szCs w:val="22"/>
        </w:rPr>
        <w:t>ing</w:t>
      </w:r>
      <w:r w:rsidRPr="00662D53">
        <w:rPr>
          <w:rFonts w:eastAsia="SimSun"/>
          <w:snapToGrid w:val="0"/>
          <w:kern w:val="22"/>
          <w:szCs w:val="22"/>
        </w:rPr>
        <w:t xml:space="preserve"> the provisions of the Protocol related to indigenous peoples and local communities.</w:t>
      </w:r>
    </w:p>
    <w:p w:rsidR="000A6DB2" w:rsidRPr="00662D53" w:rsidRDefault="000A6DB2" w:rsidP="00662D53">
      <w:pPr>
        <w:numPr>
          <w:ilvl w:val="0"/>
          <w:numId w:val="21"/>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 xml:space="preserve">Some Parties reported challenges in clarifying what the term </w:t>
      </w:r>
      <w:r w:rsidR="007B4543">
        <w:rPr>
          <w:rFonts w:eastAsia="SimSun"/>
          <w:snapToGrid w:val="0"/>
          <w:kern w:val="22"/>
          <w:szCs w:val="22"/>
        </w:rPr>
        <w:t>“</w:t>
      </w:r>
      <w:r w:rsidR="007B4543" w:rsidRPr="00F8706F">
        <w:rPr>
          <w:snapToGrid w:val="0"/>
          <w:kern w:val="22"/>
          <w:szCs w:val="22"/>
        </w:rPr>
        <w:t>indigenous peoples and local communities</w:t>
      </w:r>
      <w:r w:rsidR="007B4543">
        <w:rPr>
          <w:rFonts w:eastAsia="SimSun"/>
          <w:snapToGrid w:val="0"/>
          <w:kern w:val="22"/>
          <w:szCs w:val="22"/>
        </w:rPr>
        <w:t>”</w:t>
      </w:r>
      <w:r w:rsidR="007B4543" w:rsidRPr="00662D53">
        <w:rPr>
          <w:rFonts w:eastAsia="SimSun"/>
          <w:snapToGrid w:val="0"/>
          <w:kern w:val="22"/>
          <w:szCs w:val="22"/>
        </w:rPr>
        <w:t xml:space="preserve"> </w:t>
      </w:r>
      <w:r w:rsidRPr="00662D53">
        <w:rPr>
          <w:rFonts w:eastAsia="SimSun"/>
          <w:snapToGrid w:val="0"/>
          <w:kern w:val="22"/>
          <w:szCs w:val="22"/>
        </w:rPr>
        <w:t xml:space="preserve">meant in their national context, including providing clarity on the ownership of </w:t>
      </w:r>
      <w:r w:rsidR="006A5E73" w:rsidRPr="00F8706F">
        <w:rPr>
          <w:snapToGrid w:val="0"/>
          <w:kern w:val="22"/>
          <w:szCs w:val="22"/>
        </w:rPr>
        <w:t>indigenous peoples and local communities</w:t>
      </w:r>
      <w:r w:rsidR="006A5E73" w:rsidRPr="00662D53" w:rsidDel="006A5E73">
        <w:rPr>
          <w:rFonts w:eastAsia="SimSun"/>
          <w:snapToGrid w:val="0"/>
          <w:kern w:val="22"/>
          <w:szCs w:val="22"/>
        </w:rPr>
        <w:t xml:space="preserve"> </w:t>
      </w:r>
      <w:r w:rsidRPr="00662D53">
        <w:rPr>
          <w:rFonts w:eastAsia="SimSun"/>
          <w:snapToGrid w:val="0"/>
          <w:kern w:val="22"/>
          <w:szCs w:val="22"/>
        </w:rPr>
        <w:t>over genetic resources and/or traditional knowledge associated with genetic resources. Many Parties experienced difficulties in identifying the different groups of indigenous peoples and local communities, understanding the way they are organi</w:t>
      </w:r>
      <w:r w:rsidR="00BA7BE0" w:rsidRPr="00662D53">
        <w:rPr>
          <w:rFonts w:eastAsia="SimSun"/>
          <w:snapToGrid w:val="0"/>
          <w:kern w:val="22"/>
          <w:szCs w:val="22"/>
        </w:rPr>
        <w:t>z</w:t>
      </w:r>
      <w:r w:rsidRPr="00662D53">
        <w:rPr>
          <w:rFonts w:eastAsia="SimSun"/>
          <w:snapToGrid w:val="0"/>
          <w:kern w:val="22"/>
          <w:szCs w:val="22"/>
        </w:rPr>
        <w:t>ed, and being able to link traditional knowledge with the holder/s of such knowledge.</w:t>
      </w:r>
    </w:p>
    <w:p w:rsidR="000A6DB2" w:rsidRPr="00662D53" w:rsidRDefault="000A6DB2" w:rsidP="00662D53">
      <w:pPr>
        <w:numPr>
          <w:ilvl w:val="0"/>
          <w:numId w:val="21"/>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 xml:space="preserve">Many Parties considered the need to build capacity at </w:t>
      </w:r>
      <w:r w:rsidR="0002715D">
        <w:rPr>
          <w:rFonts w:eastAsia="SimSun"/>
          <w:snapToGrid w:val="0"/>
          <w:kern w:val="22"/>
          <w:szCs w:val="22"/>
        </w:rPr>
        <w:t xml:space="preserve">the </w:t>
      </w:r>
      <w:r w:rsidRPr="00662D53">
        <w:rPr>
          <w:rFonts w:eastAsia="SimSun"/>
          <w:snapToGrid w:val="0"/>
          <w:kern w:val="22"/>
          <w:szCs w:val="22"/>
        </w:rPr>
        <w:t xml:space="preserve">institutional level on issues related to traditional knowledge associated with genetic resources and </w:t>
      </w:r>
      <w:r w:rsidR="0002715D" w:rsidRPr="00F8706F">
        <w:rPr>
          <w:snapToGrid w:val="0"/>
          <w:kern w:val="22"/>
          <w:szCs w:val="22"/>
        </w:rPr>
        <w:t>indigenous peoples and local communities</w:t>
      </w:r>
      <w:r w:rsidRPr="00662D53">
        <w:rPr>
          <w:rFonts w:eastAsia="SimSun"/>
          <w:snapToGrid w:val="0"/>
          <w:kern w:val="22"/>
          <w:szCs w:val="22"/>
        </w:rPr>
        <w:t xml:space="preserve">. The difficulty of developing measures </w:t>
      </w:r>
      <w:r w:rsidR="001A088E">
        <w:rPr>
          <w:rFonts w:eastAsia="SimSun"/>
          <w:snapToGrid w:val="0"/>
          <w:kern w:val="22"/>
          <w:szCs w:val="22"/>
        </w:rPr>
        <w:t>to</w:t>
      </w:r>
      <w:r w:rsidRPr="00662D53">
        <w:rPr>
          <w:rFonts w:eastAsia="SimSun"/>
          <w:snapToGrid w:val="0"/>
          <w:kern w:val="22"/>
          <w:szCs w:val="22"/>
        </w:rPr>
        <w:t xml:space="preserve"> ensure that all </w:t>
      </w:r>
      <w:r w:rsidR="0002715D" w:rsidRPr="00F8706F">
        <w:rPr>
          <w:snapToGrid w:val="0"/>
          <w:kern w:val="22"/>
          <w:szCs w:val="22"/>
        </w:rPr>
        <w:t xml:space="preserve">indigenous peoples and local </w:t>
      </w:r>
      <w:proofErr w:type="gramStart"/>
      <w:r w:rsidR="0002715D" w:rsidRPr="00F8706F">
        <w:rPr>
          <w:snapToGrid w:val="0"/>
          <w:kern w:val="22"/>
          <w:szCs w:val="22"/>
        </w:rPr>
        <w:t>communities</w:t>
      </w:r>
      <w:proofErr w:type="gramEnd"/>
      <w:r w:rsidR="0002715D" w:rsidRPr="00662D53" w:rsidDel="0002715D">
        <w:rPr>
          <w:rFonts w:eastAsia="SimSun"/>
          <w:snapToGrid w:val="0"/>
          <w:kern w:val="22"/>
          <w:szCs w:val="22"/>
        </w:rPr>
        <w:t xml:space="preserve"> </w:t>
      </w:r>
      <w:r w:rsidRPr="00662D53">
        <w:rPr>
          <w:rFonts w:eastAsia="SimSun"/>
          <w:snapToGrid w:val="0"/>
          <w:kern w:val="22"/>
          <w:szCs w:val="22"/>
        </w:rPr>
        <w:t>issues in the Protocol are dealt with appropriately was raised</w:t>
      </w:r>
      <w:r w:rsidR="001A088E">
        <w:rPr>
          <w:rFonts w:eastAsia="SimSun"/>
          <w:snapToGrid w:val="0"/>
          <w:kern w:val="22"/>
          <w:szCs w:val="22"/>
        </w:rPr>
        <w:t>,</w:t>
      </w:r>
      <w:r w:rsidRPr="00662D53">
        <w:rPr>
          <w:rFonts w:eastAsia="SimSun"/>
          <w:snapToGrid w:val="0"/>
          <w:kern w:val="22"/>
          <w:szCs w:val="22"/>
        </w:rPr>
        <w:t xml:space="preserve"> and some noted the lack of experience or examples that could be used.</w:t>
      </w:r>
    </w:p>
    <w:p w:rsidR="000A6DB2" w:rsidRPr="00662D53" w:rsidRDefault="000A6DB2" w:rsidP="00662D53">
      <w:pPr>
        <w:numPr>
          <w:ilvl w:val="0"/>
          <w:numId w:val="21"/>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 xml:space="preserve">Many Parties highlighted the need for capacity-building and awareness-raising about ABS for </w:t>
      </w:r>
      <w:r w:rsidR="004E750F" w:rsidRPr="00F8706F">
        <w:rPr>
          <w:snapToGrid w:val="0"/>
          <w:kern w:val="22"/>
          <w:szCs w:val="22"/>
        </w:rPr>
        <w:t>indigenous peoples and local communities</w:t>
      </w:r>
      <w:r w:rsidRPr="00662D53">
        <w:rPr>
          <w:rFonts w:eastAsia="SimSun"/>
          <w:snapToGrid w:val="0"/>
          <w:kern w:val="22"/>
          <w:szCs w:val="22"/>
        </w:rPr>
        <w:t>.</w:t>
      </w:r>
    </w:p>
    <w:p w:rsidR="000A6DB2" w:rsidRPr="00662D53" w:rsidRDefault="000A6DB2" w:rsidP="00662D53">
      <w:pPr>
        <w:keepNext/>
        <w:numPr>
          <w:ilvl w:val="6"/>
          <w:numId w:val="20"/>
        </w:numPr>
        <w:suppressLineNumbers/>
        <w:pBdr>
          <w:top w:val="nil"/>
          <w:left w:val="nil"/>
          <w:bottom w:val="nil"/>
          <w:right w:val="nil"/>
          <w:between w:val="nil"/>
          <w:bar w:val="nil"/>
        </w:pBdr>
        <w:tabs>
          <w:tab w:val="left" w:pos="360"/>
        </w:tabs>
        <w:suppressAutoHyphens/>
        <w:kinsoku w:val="0"/>
        <w:overflowPunct w:val="0"/>
        <w:autoSpaceDE w:val="0"/>
        <w:autoSpaceDN w:val="0"/>
        <w:spacing w:before="120" w:after="120"/>
        <w:jc w:val="center"/>
        <w:rPr>
          <w:rFonts w:eastAsia="SimSun"/>
          <w:i/>
          <w:snapToGrid w:val="0"/>
          <w:kern w:val="22"/>
          <w:szCs w:val="22"/>
        </w:rPr>
      </w:pPr>
      <w:r w:rsidRPr="00E27381">
        <w:rPr>
          <w:rFonts w:eastAsia="Calibri"/>
          <w:i/>
          <w:noProof/>
          <w:snapToGrid w:val="0"/>
          <w:color w:val="000000"/>
          <w:kern w:val="22"/>
          <w:szCs w:val="22"/>
          <w:u w:color="000000"/>
        </w:rPr>
        <w:t>Institutional arrangements</w:t>
      </w:r>
    </w:p>
    <w:p w:rsidR="000A6DB2" w:rsidRPr="00662D53" w:rsidRDefault="000A6DB2" w:rsidP="00662D53">
      <w:pPr>
        <w:numPr>
          <w:ilvl w:val="0"/>
          <w:numId w:val="21"/>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Article 13 of the Protocol requires Parties to designate a national focal point on ABS (para</w:t>
      </w:r>
      <w:r w:rsidR="00DE666D" w:rsidRPr="00662D53">
        <w:rPr>
          <w:rFonts w:eastAsia="SimSun"/>
          <w:snapToGrid w:val="0"/>
          <w:kern w:val="22"/>
          <w:szCs w:val="22"/>
        </w:rPr>
        <w:t>.</w:t>
      </w:r>
      <w:r w:rsidRPr="00662D53">
        <w:rPr>
          <w:rFonts w:eastAsia="SimSun"/>
          <w:snapToGrid w:val="0"/>
          <w:kern w:val="22"/>
          <w:szCs w:val="22"/>
        </w:rPr>
        <w:t xml:space="preserve"> 1) and one or more competent national authorities (para</w:t>
      </w:r>
      <w:r w:rsidR="00DE666D" w:rsidRPr="00662D53">
        <w:rPr>
          <w:rFonts w:eastAsia="SimSun"/>
          <w:snapToGrid w:val="0"/>
          <w:kern w:val="22"/>
          <w:szCs w:val="22"/>
        </w:rPr>
        <w:t>.</w:t>
      </w:r>
      <w:r w:rsidRPr="00662D53">
        <w:rPr>
          <w:rFonts w:eastAsia="SimSun"/>
          <w:snapToGrid w:val="0"/>
          <w:kern w:val="22"/>
          <w:szCs w:val="22"/>
        </w:rPr>
        <w:t xml:space="preserve"> 2). In addition, Article 17 requires Parties to take measures to support compliance, including through the designation of one or more checkpoints (para</w:t>
      </w:r>
      <w:r w:rsidR="00DE666D" w:rsidRPr="00662D53">
        <w:rPr>
          <w:rFonts w:eastAsia="SimSun"/>
          <w:snapToGrid w:val="0"/>
          <w:kern w:val="22"/>
          <w:szCs w:val="22"/>
        </w:rPr>
        <w:t xml:space="preserve">. </w:t>
      </w:r>
      <w:r w:rsidRPr="00662D53">
        <w:rPr>
          <w:rFonts w:eastAsia="SimSun"/>
          <w:snapToGrid w:val="0"/>
          <w:kern w:val="22"/>
          <w:szCs w:val="22"/>
        </w:rPr>
        <w:t>1).</w:t>
      </w:r>
    </w:p>
    <w:p w:rsidR="000A6DB2" w:rsidRPr="00E27381" w:rsidRDefault="000A6DB2" w:rsidP="00662D53">
      <w:pPr>
        <w:keepNext/>
        <w:suppressLineNumbers/>
        <w:pBdr>
          <w:top w:val="nil"/>
          <w:left w:val="nil"/>
          <w:bottom w:val="nil"/>
          <w:right w:val="nil"/>
          <w:between w:val="nil"/>
          <w:bar w:val="nil"/>
        </w:pBdr>
        <w:suppressAutoHyphens/>
        <w:kinsoku w:val="0"/>
        <w:overflowPunct w:val="0"/>
        <w:autoSpaceDE w:val="0"/>
        <w:autoSpaceDN w:val="0"/>
        <w:spacing w:before="120" w:after="120"/>
        <w:rPr>
          <w:rFonts w:eastAsia="Calibri"/>
          <w:i/>
          <w:noProof/>
          <w:snapToGrid w:val="0"/>
          <w:color w:val="000000"/>
          <w:kern w:val="22"/>
          <w:szCs w:val="22"/>
          <w:u w:color="000000"/>
        </w:rPr>
      </w:pPr>
      <w:r w:rsidRPr="00662D53">
        <w:rPr>
          <w:rFonts w:eastAsia="Calibri"/>
          <w:iCs/>
          <w:noProof/>
          <w:snapToGrid w:val="0"/>
          <w:color w:val="000000"/>
          <w:kern w:val="22"/>
          <w:szCs w:val="22"/>
          <w:u w:color="000000"/>
        </w:rPr>
        <w:t>(a)</w:t>
      </w:r>
      <w:r w:rsidRPr="00662D53">
        <w:rPr>
          <w:rFonts w:eastAsia="Calibri"/>
          <w:iCs/>
          <w:noProof/>
          <w:snapToGrid w:val="0"/>
          <w:color w:val="000000"/>
          <w:kern w:val="22"/>
          <w:szCs w:val="22"/>
          <w:u w:color="000000"/>
        </w:rPr>
        <w:tab/>
      </w:r>
      <w:r w:rsidRPr="00E27381">
        <w:rPr>
          <w:rFonts w:eastAsia="Calibri"/>
          <w:i/>
          <w:noProof/>
          <w:snapToGrid w:val="0"/>
          <w:color w:val="000000"/>
          <w:kern w:val="22"/>
          <w:szCs w:val="22"/>
          <w:u w:color="000000"/>
        </w:rPr>
        <w:t>Status</w:t>
      </w:r>
    </w:p>
    <w:p w:rsidR="000A6DB2" w:rsidRPr="00662D53" w:rsidRDefault="000A6DB2" w:rsidP="00662D53">
      <w:pPr>
        <w:numPr>
          <w:ilvl w:val="0"/>
          <w:numId w:val="19"/>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i/>
          <w:snapToGrid w:val="0"/>
          <w:kern w:val="22"/>
          <w:szCs w:val="22"/>
        </w:rPr>
        <w:t>National focal points</w:t>
      </w:r>
      <w:r w:rsidR="00E71ED9">
        <w:rPr>
          <w:rFonts w:eastAsia="SimSun"/>
          <w:i/>
          <w:snapToGrid w:val="0"/>
          <w:kern w:val="22"/>
          <w:szCs w:val="22"/>
        </w:rPr>
        <w:t>.</w:t>
      </w:r>
      <w:r w:rsidRPr="00662D53">
        <w:rPr>
          <w:rFonts w:eastAsia="Arial Unicode MS"/>
          <w:snapToGrid w:val="0"/>
          <w:kern w:val="22"/>
          <w:szCs w:val="22"/>
          <w:u w:color="000000"/>
          <w:bdr w:val="nil"/>
        </w:rPr>
        <w:t xml:space="preserve"> The designation of national focal points is not considered a general issue of compliance as Parties have made </w:t>
      </w:r>
      <w:r w:rsidRPr="00662D53">
        <w:rPr>
          <w:rFonts w:eastAsia="SimSun"/>
          <w:snapToGrid w:val="0"/>
          <w:kern w:val="22"/>
          <w:szCs w:val="22"/>
        </w:rPr>
        <w:t>good</w:t>
      </w:r>
      <w:r w:rsidRPr="00662D53">
        <w:rPr>
          <w:rFonts w:eastAsia="Arial Unicode MS"/>
          <w:snapToGrid w:val="0"/>
          <w:kern w:val="22"/>
          <w:szCs w:val="22"/>
          <w:u w:color="000000"/>
          <w:bdr w:val="nil"/>
        </w:rPr>
        <w:t xml:space="preserve"> progress on this aspect of their institutional arrangements. It has </w:t>
      </w:r>
      <w:r w:rsidRPr="00662D53">
        <w:rPr>
          <w:rFonts w:eastAsia="SimSun"/>
          <w:snapToGrid w:val="0"/>
          <w:kern w:val="22"/>
          <w:szCs w:val="22"/>
        </w:rPr>
        <w:t>nonetheless</w:t>
      </w:r>
      <w:r w:rsidRPr="00662D53">
        <w:rPr>
          <w:rFonts w:eastAsia="Arial Unicode MS"/>
          <w:snapToGrid w:val="0"/>
          <w:kern w:val="22"/>
          <w:szCs w:val="22"/>
          <w:u w:color="000000"/>
          <w:bdr w:val="nil"/>
        </w:rPr>
        <w:t xml:space="preserve"> been included here to give a better picture of the overall state of implementation of institutional arrangements. </w:t>
      </w:r>
      <w:r w:rsidR="00575558">
        <w:rPr>
          <w:rFonts w:eastAsia="Arial Unicode MS"/>
          <w:snapToGrid w:val="0"/>
          <w:kern w:val="22"/>
          <w:szCs w:val="22"/>
          <w:u w:color="000000"/>
          <w:bdr w:val="nil"/>
        </w:rPr>
        <w:t xml:space="preserve">A total of </w:t>
      </w:r>
      <w:r w:rsidRPr="00662D53">
        <w:rPr>
          <w:rFonts w:eastAsia="Arial Unicode MS"/>
          <w:snapToGrid w:val="0"/>
          <w:kern w:val="22"/>
          <w:szCs w:val="22"/>
          <w:u w:color="000000"/>
          <w:bdr w:val="nil"/>
        </w:rPr>
        <w:t>103 Parties to the Protocol (98%) have a national focal point for ABS (as of 22 February 2018). Given the key role of national focal points under Article 13</w:t>
      </w:r>
      <w:r w:rsidR="00DE048F">
        <w:rPr>
          <w:rFonts w:eastAsia="Arial Unicode MS"/>
          <w:snapToGrid w:val="0"/>
          <w:kern w:val="22"/>
          <w:szCs w:val="22"/>
          <w:u w:color="000000"/>
          <w:bdr w:val="nil"/>
        </w:rPr>
        <w:t>, paragraph </w:t>
      </w:r>
      <w:r w:rsidRPr="00662D53">
        <w:rPr>
          <w:rFonts w:eastAsia="Arial Unicode MS"/>
          <w:snapToGrid w:val="0"/>
          <w:kern w:val="22"/>
          <w:szCs w:val="22"/>
          <w:u w:color="000000"/>
          <w:bdr w:val="nil"/>
        </w:rPr>
        <w:t>1</w:t>
      </w:r>
      <w:r w:rsidR="00DE048F">
        <w:rPr>
          <w:rFonts w:eastAsia="Arial Unicode MS"/>
          <w:snapToGrid w:val="0"/>
          <w:kern w:val="22"/>
          <w:szCs w:val="22"/>
          <w:u w:color="000000"/>
          <w:bdr w:val="nil"/>
        </w:rPr>
        <w:t>,</w:t>
      </w:r>
      <w:r w:rsidRPr="00662D53">
        <w:rPr>
          <w:rFonts w:eastAsia="Arial Unicode MS"/>
          <w:snapToGrid w:val="0"/>
          <w:kern w:val="22"/>
          <w:szCs w:val="22"/>
          <w:u w:color="000000"/>
          <w:bdr w:val="nil"/>
        </w:rPr>
        <w:t xml:space="preserve"> of the Protocol, it is encouraging to see that this is an area where good progress has been made.</w:t>
      </w:r>
    </w:p>
    <w:p w:rsidR="000A6DB2" w:rsidRPr="00662D53" w:rsidRDefault="000A6DB2" w:rsidP="00662D53">
      <w:pPr>
        <w:numPr>
          <w:ilvl w:val="0"/>
          <w:numId w:val="19"/>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i/>
          <w:snapToGrid w:val="0"/>
          <w:kern w:val="22"/>
          <w:szCs w:val="22"/>
        </w:rPr>
        <w:t>Competent national authorities</w:t>
      </w:r>
      <w:r w:rsidR="00E71ED9">
        <w:rPr>
          <w:rFonts w:eastAsia="SimSun"/>
          <w:snapToGrid w:val="0"/>
          <w:kern w:val="22"/>
          <w:szCs w:val="22"/>
        </w:rPr>
        <w:t>.</w:t>
      </w:r>
      <w:r w:rsidRPr="00662D53">
        <w:rPr>
          <w:rFonts w:eastAsia="SimSun"/>
          <w:snapToGrid w:val="0"/>
          <w:kern w:val="22"/>
          <w:szCs w:val="22"/>
        </w:rPr>
        <w:t xml:space="preserve"> As of 22 February 2018, 57 Parties (54%) had designated one or more competent national authorities, according to information available in the interim national </w:t>
      </w:r>
      <w:r w:rsidRPr="00662D53">
        <w:rPr>
          <w:rFonts w:eastAsia="SimSun"/>
          <w:snapToGrid w:val="0"/>
          <w:kern w:val="22"/>
          <w:szCs w:val="22"/>
        </w:rPr>
        <w:lastRenderedPageBreak/>
        <w:t xml:space="preserve">report, the ABS Clearing-House, </w:t>
      </w:r>
      <w:r w:rsidR="00DB014E">
        <w:rPr>
          <w:rFonts w:eastAsia="SimSun"/>
          <w:snapToGrid w:val="0"/>
          <w:kern w:val="22"/>
          <w:szCs w:val="22"/>
        </w:rPr>
        <w:t xml:space="preserve">the </w:t>
      </w:r>
      <w:r w:rsidRPr="00662D53">
        <w:rPr>
          <w:rFonts w:eastAsia="SimSun"/>
          <w:snapToGrid w:val="0"/>
          <w:kern w:val="22"/>
          <w:szCs w:val="22"/>
        </w:rPr>
        <w:t>NBSAP or the fifth national report. In addition, 9 Parties reported on work under</w:t>
      </w:r>
      <w:r w:rsidR="00181AD8">
        <w:rPr>
          <w:rFonts w:eastAsia="SimSun"/>
          <w:snapToGrid w:val="0"/>
          <w:kern w:val="22"/>
          <w:szCs w:val="22"/>
        </w:rPr>
        <w:t xml:space="preserve"> </w:t>
      </w:r>
      <w:r w:rsidRPr="00662D53">
        <w:rPr>
          <w:rFonts w:eastAsia="SimSun"/>
          <w:snapToGrid w:val="0"/>
          <w:kern w:val="22"/>
          <w:szCs w:val="22"/>
        </w:rPr>
        <w:t xml:space="preserve">way towards the designation of one or more </w:t>
      </w:r>
      <w:r w:rsidR="00C2394C">
        <w:rPr>
          <w:rFonts w:eastAsia="SimSun"/>
          <w:snapToGrid w:val="0"/>
          <w:kern w:val="22"/>
          <w:szCs w:val="22"/>
        </w:rPr>
        <w:t>competent national authorities</w:t>
      </w:r>
      <w:r w:rsidRPr="00662D53">
        <w:rPr>
          <w:rFonts w:eastAsia="SimSun"/>
          <w:snapToGrid w:val="0"/>
          <w:kern w:val="22"/>
          <w:szCs w:val="22"/>
        </w:rPr>
        <w:t xml:space="preserve">; and another 5 Parties indicated that they </w:t>
      </w:r>
      <w:r w:rsidR="00181AD8">
        <w:rPr>
          <w:rFonts w:eastAsia="SimSun"/>
          <w:snapToGrid w:val="0"/>
          <w:kern w:val="22"/>
          <w:szCs w:val="22"/>
        </w:rPr>
        <w:t>were</w:t>
      </w:r>
      <w:r w:rsidR="00181AD8" w:rsidRPr="00662D53">
        <w:rPr>
          <w:rFonts w:eastAsia="SimSun"/>
          <w:snapToGrid w:val="0"/>
          <w:kern w:val="22"/>
          <w:szCs w:val="22"/>
        </w:rPr>
        <w:t xml:space="preserve"> </w:t>
      </w:r>
      <w:r w:rsidRPr="00662D53">
        <w:rPr>
          <w:rFonts w:eastAsia="SimSun"/>
          <w:snapToGrid w:val="0"/>
          <w:kern w:val="22"/>
          <w:szCs w:val="22"/>
        </w:rPr>
        <w:t>planning to do so.</w:t>
      </w:r>
    </w:p>
    <w:p w:rsidR="000A6DB2" w:rsidRPr="00662D53" w:rsidRDefault="000A6DB2" w:rsidP="00662D53">
      <w:pPr>
        <w:numPr>
          <w:ilvl w:val="0"/>
          <w:numId w:val="19"/>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i/>
          <w:snapToGrid w:val="0"/>
          <w:kern w:val="22"/>
          <w:szCs w:val="22"/>
          <w:u w:val="single"/>
        </w:rPr>
      </w:pPr>
      <w:r w:rsidRPr="00662D53">
        <w:rPr>
          <w:rFonts w:eastAsia="SimSun"/>
          <w:snapToGrid w:val="0"/>
          <w:kern w:val="22"/>
          <w:szCs w:val="22"/>
        </w:rPr>
        <w:t xml:space="preserve">Finally, 34 Parties did not report on progress towards designating one or more </w:t>
      </w:r>
      <w:r w:rsidR="00C2394C">
        <w:rPr>
          <w:rFonts w:eastAsia="SimSun"/>
          <w:snapToGrid w:val="0"/>
          <w:kern w:val="22"/>
          <w:szCs w:val="22"/>
        </w:rPr>
        <w:t>competent national authorities</w:t>
      </w:r>
      <w:r w:rsidRPr="00662D53">
        <w:rPr>
          <w:rFonts w:eastAsia="SimSun"/>
          <w:snapToGrid w:val="0"/>
          <w:kern w:val="22"/>
          <w:szCs w:val="22"/>
        </w:rPr>
        <w:t>, and therefore there is no information available for these Parties.</w:t>
      </w:r>
    </w:p>
    <w:p w:rsidR="000A6DB2" w:rsidRPr="00662D53" w:rsidRDefault="000A6DB2" w:rsidP="00662D53">
      <w:p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p>
    <w:p w:rsidR="000A6DB2" w:rsidRPr="00662D53" w:rsidRDefault="00182152" w:rsidP="00662D53">
      <w:pPr>
        <w:keepNext/>
        <w:suppressLineNumbers/>
        <w:pBdr>
          <w:top w:val="nil"/>
          <w:left w:val="nil"/>
          <w:bottom w:val="nil"/>
          <w:right w:val="nil"/>
          <w:between w:val="nil"/>
          <w:bar w:val="nil"/>
        </w:pBdr>
        <w:suppressAutoHyphens/>
        <w:kinsoku w:val="0"/>
        <w:overflowPunct w:val="0"/>
        <w:autoSpaceDE w:val="0"/>
        <w:autoSpaceDN w:val="0"/>
        <w:spacing w:before="120" w:after="120"/>
        <w:jc w:val="center"/>
        <w:rPr>
          <w:rFonts w:ascii="Times New Roman Bold" w:eastAsia="SimSun" w:hAnsi="Times New Roman Bold" w:cs="Times New Roman Bold"/>
          <w:b/>
          <w:bCs/>
          <w:iCs/>
          <w:snapToGrid w:val="0"/>
          <w:kern w:val="22"/>
          <w:szCs w:val="22"/>
        </w:rPr>
      </w:pPr>
      <w:proofErr w:type="gramStart"/>
      <w:r w:rsidRPr="00662D53">
        <w:rPr>
          <w:rFonts w:ascii="Times New Roman Bold" w:eastAsia="SimSun" w:hAnsi="Times New Roman Bold" w:cs="Times New Roman Bold"/>
          <w:b/>
          <w:bCs/>
          <w:iCs/>
          <w:snapToGrid w:val="0"/>
          <w:kern w:val="22"/>
          <w:szCs w:val="22"/>
        </w:rPr>
        <w:t>Figure</w:t>
      </w:r>
      <w:r w:rsidR="000A6DB2" w:rsidRPr="00662D53">
        <w:rPr>
          <w:rFonts w:ascii="Times New Roman Bold" w:eastAsia="SimSun" w:hAnsi="Times New Roman Bold" w:cs="Times New Roman Bold"/>
          <w:b/>
          <w:bCs/>
          <w:iCs/>
          <w:snapToGrid w:val="0"/>
          <w:kern w:val="22"/>
          <w:szCs w:val="22"/>
        </w:rPr>
        <w:t xml:space="preserve"> 3</w:t>
      </w:r>
      <w:r w:rsidR="00E71ED9">
        <w:rPr>
          <w:rFonts w:ascii="Times New Roman Bold" w:eastAsia="SimSun" w:hAnsi="Times New Roman Bold" w:cs="Times New Roman Bold"/>
          <w:b/>
          <w:bCs/>
          <w:iCs/>
          <w:snapToGrid w:val="0"/>
          <w:kern w:val="22"/>
          <w:szCs w:val="22"/>
        </w:rPr>
        <w:t>.</w:t>
      </w:r>
      <w:proofErr w:type="gramEnd"/>
      <w:r w:rsidR="000A6DB2" w:rsidRPr="00662D53">
        <w:rPr>
          <w:rFonts w:ascii="Times New Roman Bold" w:eastAsia="SimSun" w:hAnsi="Times New Roman Bold" w:cs="Times New Roman Bold"/>
          <w:b/>
          <w:bCs/>
          <w:iCs/>
          <w:snapToGrid w:val="0"/>
          <w:kern w:val="22"/>
          <w:szCs w:val="22"/>
        </w:rPr>
        <w:t xml:space="preserve"> Status of progress in the designation of one or more competent national authorities (as</w:t>
      </w:r>
      <w:r w:rsidR="00CC2D09">
        <w:rPr>
          <w:rFonts w:ascii="Times New Roman Bold" w:eastAsia="SimSun" w:hAnsi="Times New Roman Bold" w:cs="Times New Roman Bold" w:hint="eastAsia"/>
          <w:b/>
          <w:bCs/>
          <w:iCs/>
          <w:snapToGrid w:val="0"/>
          <w:kern w:val="22"/>
          <w:szCs w:val="22"/>
        </w:rPr>
        <w:t> </w:t>
      </w:r>
      <w:r w:rsidR="000A6DB2" w:rsidRPr="00662D53">
        <w:rPr>
          <w:rFonts w:ascii="Times New Roman Bold" w:eastAsia="SimSun" w:hAnsi="Times New Roman Bold" w:cs="Times New Roman Bold"/>
          <w:b/>
          <w:bCs/>
          <w:iCs/>
          <w:snapToGrid w:val="0"/>
          <w:kern w:val="22"/>
          <w:szCs w:val="22"/>
        </w:rPr>
        <w:t>of</w:t>
      </w:r>
      <w:r w:rsidR="00CC2D09">
        <w:rPr>
          <w:rFonts w:ascii="Times New Roman Bold" w:eastAsia="SimSun" w:hAnsi="Times New Roman Bold" w:cs="Times New Roman Bold" w:hint="eastAsia"/>
          <w:b/>
          <w:bCs/>
          <w:iCs/>
          <w:snapToGrid w:val="0"/>
          <w:kern w:val="22"/>
          <w:szCs w:val="22"/>
        </w:rPr>
        <w:t> </w:t>
      </w:r>
      <w:r w:rsidR="000A6DB2" w:rsidRPr="00662D53">
        <w:rPr>
          <w:rFonts w:ascii="Times New Roman Bold" w:eastAsia="SimSun" w:hAnsi="Times New Roman Bold" w:cs="Times New Roman Bold"/>
          <w:b/>
          <w:bCs/>
          <w:iCs/>
          <w:snapToGrid w:val="0"/>
          <w:kern w:val="22"/>
          <w:szCs w:val="22"/>
        </w:rPr>
        <w:t>22 February 2018)</w:t>
      </w:r>
    </w:p>
    <w:p w:rsidR="000A6DB2" w:rsidRPr="00662D53" w:rsidRDefault="000A6DB2" w:rsidP="00662D53">
      <w:pPr>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b/>
          <w:snapToGrid w:val="0"/>
          <w:kern w:val="22"/>
          <w:szCs w:val="22"/>
        </w:rPr>
      </w:pPr>
      <w:r w:rsidRPr="00662D53">
        <w:rPr>
          <w:rFonts w:eastAsia="SimSun"/>
          <w:b/>
          <w:noProof/>
          <w:snapToGrid w:val="0"/>
          <w:kern w:val="22"/>
          <w:szCs w:val="22"/>
          <w:lang w:eastAsia="zh-CN"/>
        </w:rPr>
        <w:drawing>
          <wp:inline distT="0" distB="0" distL="0" distR="0" wp14:anchorId="6395CC2D" wp14:editId="04C6B551">
            <wp:extent cx="4180840" cy="27571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0840" cy="2757170"/>
                    </a:xfrm>
                    <a:prstGeom prst="rect">
                      <a:avLst/>
                    </a:prstGeom>
                    <a:noFill/>
                  </pic:spPr>
                </pic:pic>
              </a:graphicData>
            </a:graphic>
          </wp:inline>
        </w:drawing>
      </w:r>
    </w:p>
    <w:p w:rsidR="000A6DB2" w:rsidRPr="00662D53" w:rsidRDefault="000A6DB2" w:rsidP="00662D53">
      <w:pPr>
        <w:numPr>
          <w:ilvl w:val="0"/>
          <w:numId w:val="19"/>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i/>
          <w:snapToGrid w:val="0"/>
          <w:kern w:val="22"/>
          <w:szCs w:val="22"/>
        </w:rPr>
      </w:pPr>
      <w:r w:rsidRPr="00662D53">
        <w:rPr>
          <w:rFonts w:eastAsia="SimSun"/>
          <w:i/>
          <w:snapToGrid w:val="0"/>
          <w:kern w:val="22"/>
          <w:szCs w:val="22"/>
        </w:rPr>
        <w:t>Checkpoints</w:t>
      </w:r>
      <w:r w:rsidR="009E69AA">
        <w:rPr>
          <w:rFonts w:eastAsia="SimSun"/>
          <w:i/>
          <w:snapToGrid w:val="0"/>
          <w:kern w:val="22"/>
          <w:szCs w:val="22"/>
        </w:rPr>
        <w:t>.</w:t>
      </w:r>
      <w:r w:rsidRPr="00662D53">
        <w:rPr>
          <w:rFonts w:eastAsia="SimSun"/>
          <w:i/>
          <w:snapToGrid w:val="0"/>
          <w:kern w:val="22"/>
          <w:szCs w:val="22"/>
        </w:rPr>
        <w:t xml:space="preserve"> </w:t>
      </w:r>
      <w:r w:rsidRPr="00662D53">
        <w:rPr>
          <w:rFonts w:eastAsia="SimSun"/>
          <w:snapToGrid w:val="0"/>
          <w:kern w:val="22"/>
          <w:szCs w:val="22"/>
        </w:rPr>
        <w:t>As of 22 February 2018, 29 Parties had designated one or more checkpoints (27%)</w:t>
      </w:r>
      <w:r w:rsidRPr="00662D53">
        <w:rPr>
          <w:snapToGrid w:val="0"/>
          <w:kern w:val="22"/>
          <w:szCs w:val="22"/>
        </w:rPr>
        <w:t xml:space="preserve"> </w:t>
      </w:r>
      <w:r w:rsidRPr="00662D53">
        <w:rPr>
          <w:rFonts w:eastAsia="SimSun"/>
          <w:snapToGrid w:val="0"/>
          <w:kern w:val="22"/>
          <w:szCs w:val="22"/>
        </w:rPr>
        <w:t xml:space="preserve">according to information available in the interim national report, the ABS Clearing-House, </w:t>
      </w:r>
      <w:r w:rsidR="001005A6">
        <w:rPr>
          <w:rFonts w:eastAsia="SimSun"/>
          <w:snapToGrid w:val="0"/>
          <w:kern w:val="22"/>
          <w:szCs w:val="22"/>
        </w:rPr>
        <w:t xml:space="preserve">the </w:t>
      </w:r>
      <w:r w:rsidRPr="00662D53">
        <w:rPr>
          <w:rFonts w:eastAsia="SimSun"/>
          <w:snapToGrid w:val="0"/>
          <w:kern w:val="22"/>
          <w:szCs w:val="22"/>
        </w:rPr>
        <w:t>NBSAP or the fifth national report. In addition, 18 Parties reported on work under</w:t>
      </w:r>
      <w:r w:rsidR="009E69AA">
        <w:rPr>
          <w:rFonts w:eastAsia="SimSun"/>
          <w:snapToGrid w:val="0"/>
          <w:kern w:val="22"/>
          <w:szCs w:val="22"/>
        </w:rPr>
        <w:t xml:space="preserve"> </w:t>
      </w:r>
      <w:r w:rsidRPr="00662D53">
        <w:rPr>
          <w:rFonts w:eastAsia="SimSun"/>
          <w:snapToGrid w:val="0"/>
          <w:kern w:val="22"/>
          <w:szCs w:val="22"/>
        </w:rPr>
        <w:t>way to designate one or more checkpoints; and 11 Parties indicated that they were planning to do so.</w:t>
      </w:r>
    </w:p>
    <w:p w:rsidR="000A6DB2" w:rsidRPr="00662D53" w:rsidRDefault="000A6DB2" w:rsidP="00662D53">
      <w:pPr>
        <w:numPr>
          <w:ilvl w:val="0"/>
          <w:numId w:val="19"/>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 xml:space="preserve">Finally, 47 Parties did not report on progress towards designating one or more </w:t>
      </w:r>
      <w:r w:rsidR="00C2394C" w:rsidRPr="00662D53">
        <w:rPr>
          <w:rFonts w:eastAsia="SimSun"/>
          <w:snapToGrid w:val="0"/>
          <w:kern w:val="22"/>
          <w:szCs w:val="22"/>
        </w:rPr>
        <w:t>competent national authorities</w:t>
      </w:r>
      <w:r w:rsidRPr="00662D53">
        <w:rPr>
          <w:rFonts w:eastAsia="SimSun"/>
          <w:snapToGrid w:val="0"/>
          <w:kern w:val="22"/>
          <w:szCs w:val="22"/>
        </w:rPr>
        <w:t>, and</w:t>
      </w:r>
      <w:r w:rsidR="00B065C8">
        <w:rPr>
          <w:rFonts w:eastAsia="SimSun"/>
          <w:snapToGrid w:val="0"/>
          <w:kern w:val="22"/>
          <w:szCs w:val="22"/>
        </w:rPr>
        <w:t>,</w:t>
      </w:r>
      <w:r w:rsidRPr="00662D53">
        <w:rPr>
          <w:rFonts w:eastAsia="SimSun"/>
          <w:snapToGrid w:val="0"/>
          <w:kern w:val="22"/>
          <w:szCs w:val="22"/>
        </w:rPr>
        <w:t xml:space="preserve"> therefore</w:t>
      </w:r>
      <w:r w:rsidR="00B065C8">
        <w:rPr>
          <w:rFonts w:eastAsia="SimSun"/>
          <w:snapToGrid w:val="0"/>
          <w:kern w:val="22"/>
          <w:szCs w:val="22"/>
        </w:rPr>
        <w:t>,</w:t>
      </w:r>
      <w:r w:rsidRPr="00662D53">
        <w:rPr>
          <w:rFonts w:eastAsia="SimSun"/>
          <w:snapToGrid w:val="0"/>
          <w:kern w:val="22"/>
          <w:szCs w:val="22"/>
        </w:rPr>
        <w:t xml:space="preserve"> no information </w:t>
      </w:r>
      <w:r w:rsidR="00B065C8">
        <w:rPr>
          <w:rFonts w:eastAsia="SimSun"/>
          <w:snapToGrid w:val="0"/>
          <w:kern w:val="22"/>
          <w:szCs w:val="22"/>
        </w:rPr>
        <w:t xml:space="preserve">is </w:t>
      </w:r>
      <w:r w:rsidRPr="00662D53">
        <w:rPr>
          <w:rFonts w:eastAsia="SimSun"/>
          <w:snapToGrid w:val="0"/>
          <w:kern w:val="22"/>
          <w:szCs w:val="22"/>
        </w:rPr>
        <w:t>available for these Parties.</w:t>
      </w:r>
    </w:p>
    <w:p w:rsidR="000A6DB2" w:rsidRPr="00662D53" w:rsidRDefault="00182152" w:rsidP="00662D53">
      <w:pPr>
        <w:keepNext/>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b/>
          <w:bCs/>
          <w:iCs/>
          <w:snapToGrid w:val="0"/>
          <w:kern w:val="22"/>
          <w:szCs w:val="22"/>
        </w:rPr>
      </w:pPr>
      <w:proofErr w:type="gramStart"/>
      <w:r w:rsidRPr="00662D53">
        <w:rPr>
          <w:rFonts w:eastAsia="SimSun"/>
          <w:b/>
          <w:bCs/>
          <w:iCs/>
          <w:snapToGrid w:val="0"/>
          <w:kern w:val="22"/>
          <w:szCs w:val="22"/>
        </w:rPr>
        <w:lastRenderedPageBreak/>
        <w:t>Figure</w:t>
      </w:r>
      <w:r w:rsidR="000A6DB2" w:rsidRPr="00662D53">
        <w:rPr>
          <w:rFonts w:eastAsia="SimSun"/>
          <w:b/>
          <w:bCs/>
          <w:iCs/>
          <w:snapToGrid w:val="0"/>
          <w:kern w:val="22"/>
          <w:szCs w:val="22"/>
        </w:rPr>
        <w:t xml:space="preserve"> 4</w:t>
      </w:r>
      <w:r w:rsidR="0081095A" w:rsidRPr="00662D53">
        <w:rPr>
          <w:rFonts w:eastAsia="SimSun"/>
          <w:b/>
          <w:bCs/>
          <w:iCs/>
          <w:snapToGrid w:val="0"/>
          <w:kern w:val="22"/>
          <w:szCs w:val="22"/>
        </w:rPr>
        <w:t>.</w:t>
      </w:r>
      <w:proofErr w:type="gramEnd"/>
      <w:r w:rsidR="000A6DB2" w:rsidRPr="00662D53">
        <w:rPr>
          <w:rFonts w:eastAsia="SimSun"/>
          <w:b/>
          <w:bCs/>
          <w:iCs/>
          <w:snapToGrid w:val="0"/>
          <w:kern w:val="22"/>
          <w:szCs w:val="22"/>
        </w:rPr>
        <w:t xml:space="preserve"> Status of progress in the designation of one or more checkpoints (as of 22 February 2018)</w:t>
      </w:r>
    </w:p>
    <w:p w:rsidR="000A6DB2" w:rsidRPr="00662D53" w:rsidRDefault="000A6DB2" w:rsidP="00662D53">
      <w:pPr>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snapToGrid w:val="0"/>
          <w:kern w:val="22"/>
          <w:szCs w:val="22"/>
        </w:rPr>
      </w:pPr>
      <w:r w:rsidRPr="00662D53">
        <w:rPr>
          <w:rFonts w:eastAsia="SimSun"/>
          <w:noProof/>
          <w:snapToGrid w:val="0"/>
          <w:kern w:val="22"/>
          <w:szCs w:val="22"/>
          <w:lang w:eastAsia="zh-CN"/>
        </w:rPr>
        <w:drawing>
          <wp:inline distT="0" distB="0" distL="0" distR="0" wp14:anchorId="5626852B" wp14:editId="1ECFAAEC">
            <wp:extent cx="4177030" cy="2707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7030" cy="2707640"/>
                    </a:xfrm>
                    <a:prstGeom prst="rect">
                      <a:avLst/>
                    </a:prstGeom>
                    <a:noFill/>
                  </pic:spPr>
                </pic:pic>
              </a:graphicData>
            </a:graphic>
          </wp:inline>
        </w:drawing>
      </w:r>
    </w:p>
    <w:p w:rsidR="000A6DB2" w:rsidRPr="00662D53" w:rsidRDefault="000A6DB2" w:rsidP="00662D53">
      <w:pPr>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snapToGrid w:val="0"/>
          <w:kern w:val="22"/>
          <w:szCs w:val="22"/>
        </w:rPr>
      </w:pPr>
    </w:p>
    <w:p w:rsidR="000A6DB2" w:rsidRPr="00662D53" w:rsidRDefault="00633FDD" w:rsidP="00662D53">
      <w:pPr>
        <w:keepNext/>
        <w:suppressLineNumbers/>
        <w:pBdr>
          <w:top w:val="nil"/>
          <w:left w:val="nil"/>
          <w:bottom w:val="nil"/>
          <w:right w:val="nil"/>
          <w:between w:val="nil"/>
          <w:bar w:val="nil"/>
        </w:pBdr>
        <w:suppressAutoHyphens/>
        <w:kinsoku w:val="0"/>
        <w:overflowPunct w:val="0"/>
        <w:autoSpaceDE w:val="0"/>
        <w:autoSpaceDN w:val="0"/>
        <w:spacing w:before="120" w:after="120"/>
        <w:rPr>
          <w:rFonts w:eastAsia="SimSun"/>
          <w:b/>
          <w:snapToGrid w:val="0"/>
          <w:kern w:val="22"/>
          <w:szCs w:val="22"/>
        </w:rPr>
      </w:pPr>
      <w:r w:rsidRPr="00662D53">
        <w:rPr>
          <w:rFonts w:eastAsia="SimSun"/>
          <w:iCs/>
          <w:snapToGrid w:val="0"/>
          <w:kern w:val="22"/>
          <w:szCs w:val="22"/>
        </w:rPr>
        <w:t>(b)</w:t>
      </w:r>
      <w:r w:rsidRPr="00662D53">
        <w:rPr>
          <w:rFonts w:eastAsia="SimSun"/>
          <w:iCs/>
          <w:snapToGrid w:val="0"/>
          <w:kern w:val="22"/>
          <w:szCs w:val="22"/>
        </w:rPr>
        <w:tab/>
      </w:r>
      <w:r w:rsidR="000A6DB2" w:rsidRPr="00662D53">
        <w:rPr>
          <w:rFonts w:eastAsia="SimSun"/>
          <w:i/>
          <w:snapToGrid w:val="0"/>
          <w:kern w:val="22"/>
          <w:szCs w:val="22"/>
        </w:rPr>
        <w:t>Challenges and difficulties</w:t>
      </w:r>
    </w:p>
    <w:p w:rsidR="000A6DB2" w:rsidRPr="00662D53" w:rsidRDefault="000A6DB2" w:rsidP="00662D53">
      <w:pPr>
        <w:numPr>
          <w:ilvl w:val="0"/>
          <w:numId w:val="19"/>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 xml:space="preserve">In general, for many Parties, progress </w:t>
      </w:r>
      <w:r w:rsidR="00724682">
        <w:rPr>
          <w:rFonts w:eastAsia="SimSun"/>
          <w:snapToGrid w:val="0"/>
          <w:kern w:val="22"/>
          <w:szCs w:val="22"/>
        </w:rPr>
        <w:t>in</w:t>
      </w:r>
      <w:r w:rsidRPr="00662D53">
        <w:rPr>
          <w:rFonts w:eastAsia="SimSun"/>
          <w:snapToGrid w:val="0"/>
          <w:kern w:val="22"/>
          <w:szCs w:val="22"/>
        </w:rPr>
        <w:t xml:space="preserve"> establish</w:t>
      </w:r>
      <w:r w:rsidR="00724682">
        <w:rPr>
          <w:rFonts w:eastAsia="SimSun"/>
          <w:snapToGrid w:val="0"/>
          <w:kern w:val="22"/>
          <w:szCs w:val="22"/>
        </w:rPr>
        <w:t>ing</w:t>
      </w:r>
      <w:r w:rsidRPr="00662D53">
        <w:rPr>
          <w:rFonts w:eastAsia="SimSun"/>
          <w:snapToGrid w:val="0"/>
          <w:kern w:val="22"/>
          <w:szCs w:val="22"/>
        </w:rPr>
        <w:t xml:space="preserve"> competent national authorities and checkpoints is tied to progress in adopting the necessary ABS measures. Some measures adopted prior to the </w:t>
      </w:r>
      <w:r w:rsidR="00F30BE6">
        <w:rPr>
          <w:rFonts w:eastAsia="SimSun"/>
          <w:snapToGrid w:val="0"/>
          <w:kern w:val="22"/>
          <w:szCs w:val="22"/>
        </w:rPr>
        <w:t xml:space="preserve">existence of the </w:t>
      </w:r>
      <w:r w:rsidRPr="00662D53">
        <w:rPr>
          <w:rFonts w:eastAsia="SimSun"/>
          <w:snapToGrid w:val="0"/>
          <w:kern w:val="22"/>
          <w:szCs w:val="22"/>
        </w:rPr>
        <w:t xml:space="preserve">Nagoya Protocol include the designation of one or more competent national authorities. However, the designation of checkpoints and the compliance provisions in general are </w:t>
      </w:r>
      <w:r w:rsidR="004D12F6">
        <w:rPr>
          <w:rFonts w:eastAsia="SimSun"/>
          <w:snapToGrid w:val="0"/>
          <w:kern w:val="22"/>
          <w:szCs w:val="22"/>
        </w:rPr>
        <w:t>some</w:t>
      </w:r>
      <w:r w:rsidR="004D12F6" w:rsidRPr="00662D53">
        <w:rPr>
          <w:rFonts w:eastAsia="SimSun"/>
          <w:snapToGrid w:val="0"/>
          <w:kern w:val="22"/>
          <w:szCs w:val="22"/>
        </w:rPr>
        <w:t xml:space="preserve"> </w:t>
      </w:r>
      <w:r w:rsidRPr="00662D53">
        <w:rPr>
          <w:rFonts w:eastAsia="SimSun"/>
          <w:snapToGrid w:val="0"/>
          <w:kern w:val="22"/>
          <w:szCs w:val="22"/>
        </w:rPr>
        <w:t xml:space="preserve">of the innovations of the Protocol, </w:t>
      </w:r>
      <w:r w:rsidR="004D12F6">
        <w:rPr>
          <w:rFonts w:eastAsia="SimSun"/>
          <w:snapToGrid w:val="0"/>
          <w:kern w:val="22"/>
          <w:szCs w:val="22"/>
        </w:rPr>
        <w:t xml:space="preserve">and, </w:t>
      </w:r>
      <w:r w:rsidRPr="00662D53">
        <w:rPr>
          <w:rFonts w:eastAsia="SimSun"/>
          <w:snapToGrid w:val="0"/>
          <w:kern w:val="22"/>
          <w:szCs w:val="22"/>
        </w:rPr>
        <w:t>therefore</w:t>
      </w:r>
      <w:r w:rsidR="004D12F6">
        <w:rPr>
          <w:rFonts w:eastAsia="SimSun"/>
          <w:snapToGrid w:val="0"/>
          <w:kern w:val="22"/>
          <w:szCs w:val="22"/>
        </w:rPr>
        <w:t>,</w:t>
      </w:r>
      <w:r w:rsidRPr="00662D53">
        <w:rPr>
          <w:rFonts w:eastAsia="SimSun"/>
          <w:snapToGrid w:val="0"/>
          <w:kern w:val="22"/>
          <w:szCs w:val="22"/>
        </w:rPr>
        <w:t xml:space="preserve"> many Parties still need to adopt or review ABS measures to incorporate these elements.</w:t>
      </w:r>
    </w:p>
    <w:p w:rsidR="000A6DB2" w:rsidRPr="00662D53" w:rsidRDefault="000A6DB2" w:rsidP="00662D53">
      <w:pPr>
        <w:numPr>
          <w:ilvl w:val="0"/>
          <w:numId w:val="19"/>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In addition to general difficulties in terms of resources and capacity</w:t>
      </w:r>
      <w:r w:rsidR="00750D3E">
        <w:rPr>
          <w:rFonts w:eastAsia="SimSun"/>
          <w:snapToGrid w:val="0"/>
          <w:kern w:val="22"/>
          <w:szCs w:val="22"/>
        </w:rPr>
        <w:t>,</w:t>
      </w:r>
      <w:r w:rsidRPr="00662D53">
        <w:rPr>
          <w:rFonts w:eastAsia="SimSun"/>
          <w:snapToGrid w:val="0"/>
          <w:kern w:val="22"/>
          <w:szCs w:val="22"/>
        </w:rPr>
        <w:t xml:space="preserve"> the most common challenges mentioned in designating one or more </w:t>
      </w:r>
      <w:r w:rsidR="00C2394C">
        <w:rPr>
          <w:rFonts w:eastAsia="SimSun"/>
          <w:snapToGrid w:val="0"/>
          <w:kern w:val="22"/>
          <w:szCs w:val="22"/>
        </w:rPr>
        <w:t>competent national authorities</w:t>
      </w:r>
      <w:r w:rsidRPr="00662D53">
        <w:rPr>
          <w:rFonts w:eastAsia="SimSun"/>
          <w:snapToGrid w:val="0"/>
          <w:kern w:val="22"/>
          <w:szCs w:val="22"/>
        </w:rPr>
        <w:t xml:space="preserve"> relate to clarifying mandates between institutions and agencies, ensuring coordination among </w:t>
      </w:r>
      <w:r w:rsidR="00C2394C">
        <w:rPr>
          <w:rFonts w:eastAsia="SimSun"/>
          <w:snapToGrid w:val="0"/>
          <w:kern w:val="22"/>
          <w:szCs w:val="22"/>
        </w:rPr>
        <w:t>competent national authorities</w:t>
      </w:r>
      <w:r w:rsidRPr="00662D53">
        <w:rPr>
          <w:rFonts w:eastAsia="SimSun"/>
          <w:snapToGrid w:val="0"/>
          <w:kern w:val="22"/>
          <w:szCs w:val="22"/>
        </w:rPr>
        <w:t xml:space="preserve"> as well as between the </w:t>
      </w:r>
      <w:r w:rsidR="00C2394C">
        <w:rPr>
          <w:rFonts w:eastAsia="SimSun"/>
          <w:snapToGrid w:val="0"/>
          <w:kern w:val="22"/>
          <w:szCs w:val="22"/>
        </w:rPr>
        <w:t>competent national authority</w:t>
      </w:r>
      <w:r w:rsidRPr="00662D53">
        <w:rPr>
          <w:rFonts w:eastAsia="SimSun"/>
          <w:snapToGrid w:val="0"/>
          <w:kern w:val="22"/>
          <w:szCs w:val="22"/>
        </w:rPr>
        <w:t xml:space="preserve"> and other national institutions. </w:t>
      </w:r>
      <w:r w:rsidR="00836C84">
        <w:rPr>
          <w:rFonts w:eastAsia="SimSun"/>
          <w:snapToGrid w:val="0"/>
          <w:kern w:val="22"/>
          <w:szCs w:val="22"/>
        </w:rPr>
        <w:t>However</w:t>
      </w:r>
      <w:r w:rsidRPr="00662D53">
        <w:rPr>
          <w:rFonts w:eastAsia="SimSun"/>
          <w:snapToGrid w:val="0"/>
          <w:kern w:val="22"/>
          <w:szCs w:val="22"/>
        </w:rPr>
        <w:t>, some Parties reported not having experienced major difficulties in establishing competent national authorities.</w:t>
      </w:r>
    </w:p>
    <w:p w:rsidR="000A6DB2" w:rsidRPr="00662D53" w:rsidRDefault="000A6DB2" w:rsidP="00662D53">
      <w:pPr>
        <w:numPr>
          <w:ilvl w:val="0"/>
          <w:numId w:val="19"/>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 xml:space="preserve">With regard to checkpoints, some Parties identified the need for further analysis or studies as well as capacity-building to implement the compliance related provisions of the Protocol. A number of Parties, in defining checkpoints, considered it challenging to strike a balance between having effective checkpoints covering the full range of relevant ABS activities </w:t>
      </w:r>
      <w:r w:rsidR="001A4C7B">
        <w:rPr>
          <w:rFonts w:eastAsia="SimSun"/>
          <w:snapToGrid w:val="0"/>
          <w:kern w:val="22"/>
          <w:szCs w:val="22"/>
        </w:rPr>
        <w:t>and</w:t>
      </w:r>
      <w:r w:rsidR="001A4C7B" w:rsidRPr="00662D53">
        <w:rPr>
          <w:rFonts w:eastAsia="SimSun"/>
          <w:snapToGrid w:val="0"/>
          <w:kern w:val="22"/>
          <w:szCs w:val="22"/>
        </w:rPr>
        <w:t xml:space="preserve"> </w:t>
      </w:r>
      <w:r w:rsidRPr="00662D53">
        <w:rPr>
          <w:rFonts w:eastAsia="SimSun"/>
          <w:snapToGrid w:val="0"/>
          <w:kern w:val="22"/>
          <w:szCs w:val="22"/>
        </w:rPr>
        <w:t xml:space="preserve">avoiding </w:t>
      </w:r>
      <w:r w:rsidR="001A4C7B">
        <w:rPr>
          <w:rFonts w:eastAsia="SimSun"/>
          <w:snapToGrid w:val="0"/>
          <w:kern w:val="22"/>
          <w:szCs w:val="22"/>
        </w:rPr>
        <w:t>the creation of</w:t>
      </w:r>
      <w:r w:rsidR="001A4C7B" w:rsidRPr="00662D53">
        <w:rPr>
          <w:rFonts w:eastAsia="SimSun"/>
          <w:snapToGrid w:val="0"/>
          <w:kern w:val="22"/>
          <w:szCs w:val="22"/>
        </w:rPr>
        <w:t xml:space="preserve"> </w:t>
      </w:r>
      <w:r w:rsidRPr="00662D53">
        <w:rPr>
          <w:rFonts w:eastAsia="SimSun"/>
          <w:snapToGrid w:val="0"/>
          <w:kern w:val="22"/>
          <w:szCs w:val="22"/>
        </w:rPr>
        <w:t>unnecessary administrative burdens.</w:t>
      </w:r>
    </w:p>
    <w:p w:rsidR="000A6DB2" w:rsidRPr="00E27381" w:rsidRDefault="000A6DB2" w:rsidP="00662D53">
      <w:pPr>
        <w:keepNext/>
        <w:numPr>
          <w:ilvl w:val="6"/>
          <w:numId w:val="20"/>
        </w:numPr>
        <w:suppressLineNumbers/>
        <w:tabs>
          <w:tab w:val="left" w:pos="360"/>
        </w:tabs>
        <w:suppressAutoHyphens/>
        <w:kinsoku w:val="0"/>
        <w:overflowPunct w:val="0"/>
        <w:autoSpaceDE w:val="0"/>
        <w:autoSpaceDN w:val="0"/>
        <w:spacing w:before="120" w:after="120"/>
        <w:jc w:val="center"/>
        <w:rPr>
          <w:rFonts w:eastAsia="Calibri"/>
          <w:i/>
          <w:noProof/>
          <w:snapToGrid w:val="0"/>
          <w:color w:val="000000"/>
          <w:kern w:val="22"/>
          <w:szCs w:val="22"/>
          <w:u w:color="000000"/>
        </w:rPr>
      </w:pPr>
      <w:r w:rsidRPr="00E27381">
        <w:rPr>
          <w:rFonts w:eastAsia="Calibri"/>
          <w:i/>
          <w:noProof/>
          <w:snapToGrid w:val="0"/>
          <w:color w:val="000000"/>
          <w:kern w:val="22"/>
          <w:szCs w:val="22"/>
          <w:u w:color="000000"/>
        </w:rPr>
        <w:t>Publication of information in the ABS Clearing-House</w:t>
      </w:r>
    </w:p>
    <w:p w:rsidR="000A6DB2" w:rsidRPr="00E27381" w:rsidRDefault="000A6DB2" w:rsidP="00662D53">
      <w:pPr>
        <w:numPr>
          <w:ilvl w:val="0"/>
          <w:numId w:val="19"/>
        </w:numPr>
        <w:suppressLineNumbers/>
        <w:pBdr>
          <w:top w:val="nil"/>
          <w:left w:val="nil"/>
          <w:bottom w:val="nil"/>
          <w:right w:val="nil"/>
          <w:between w:val="nil"/>
          <w:bar w:val="nil"/>
        </w:pBdr>
        <w:suppressAutoHyphens/>
        <w:kinsoku w:val="0"/>
        <w:overflowPunct w:val="0"/>
        <w:autoSpaceDE w:val="0"/>
        <w:autoSpaceDN w:val="0"/>
        <w:spacing w:before="120" w:after="120"/>
        <w:rPr>
          <w:rFonts w:eastAsia="Calibri"/>
          <w:noProof/>
          <w:snapToGrid w:val="0"/>
          <w:color w:val="000000"/>
          <w:kern w:val="22"/>
          <w:szCs w:val="22"/>
          <w:u w:color="000000"/>
        </w:rPr>
      </w:pPr>
      <w:r w:rsidRPr="00E27381">
        <w:rPr>
          <w:rFonts w:eastAsia="Calibri"/>
          <w:noProof/>
          <w:snapToGrid w:val="0"/>
          <w:color w:val="000000"/>
          <w:kern w:val="22"/>
          <w:szCs w:val="22"/>
          <w:u w:color="000000"/>
        </w:rPr>
        <w:t>Article 14 of the Protocol requires Parties to make available to the ABS Clearing-House the following information: (a)</w:t>
      </w:r>
      <w:r w:rsidR="004C3595">
        <w:rPr>
          <w:rFonts w:eastAsia="Calibri"/>
          <w:noProof/>
          <w:snapToGrid w:val="0"/>
          <w:color w:val="000000"/>
          <w:kern w:val="22"/>
          <w:szCs w:val="22"/>
          <w:u w:color="000000"/>
        </w:rPr>
        <w:t> </w:t>
      </w:r>
      <w:r w:rsidRPr="00E27381">
        <w:rPr>
          <w:rFonts w:eastAsia="Calibri"/>
          <w:noProof/>
          <w:snapToGrid w:val="0"/>
          <w:color w:val="000000"/>
          <w:kern w:val="22"/>
          <w:szCs w:val="22"/>
          <w:u w:color="000000"/>
        </w:rPr>
        <w:t>legislative</w:t>
      </w:r>
      <w:r w:rsidR="0035092D">
        <w:rPr>
          <w:rFonts w:eastAsia="Calibri"/>
          <w:noProof/>
          <w:snapToGrid w:val="0"/>
          <w:color w:val="000000"/>
          <w:kern w:val="22"/>
          <w:szCs w:val="22"/>
          <w:u w:color="000000"/>
        </w:rPr>
        <w:t>,</w:t>
      </w:r>
      <w:r w:rsidRPr="00E27381">
        <w:rPr>
          <w:rFonts w:eastAsia="Calibri"/>
          <w:noProof/>
          <w:snapToGrid w:val="0"/>
          <w:color w:val="000000"/>
          <w:kern w:val="22"/>
          <w:szCs w:val="22"/>
          <w:u w:color="000000"/>
        </w:rPr>
        <w:t xml:space="preserve"> administrative and policy measures on access and benefit-sharing; (b)</w:t>
      </w:r>
      <w:r w:rsidR="004C3595">
        <w:rPr>
          <w:rFonts w:eastAsia="Calibri"/>
          <w:noProof/>
          <w:snapToGrid w:val="0"/>
          <w:color w:val="000000"/>
          <w:kern w:val="22"/>
          <w:szCs w:val="22"/>
          <w:u w:color="000000"/>
        </w:rPr>
        <w:t> </w:t>
      </w:r>
      <w:r w:rsidRPr="00E27381">
        <w:rPr>
          <w:rFonts w:eastAsia="Calibri"/>
          <w:noProof/>
          <w:snapToGrid w:val="0"/>
          <w:color w:val="000000"/>
          <w:kern w:val="22"/>
          <w:szCs w:val="22"/>
          <w:u w:color="000000"/>
        </w:rPr>
        <w:t>information on the national focal point and competent national authority/ies; and (c)</w:t>
      </w:r>
      <w:r w:rsidR="004C3595">
        <w:rPr>
          <w:rFonts w:eastAsia="Calibri"/>
          <w:noProof/>
          <w:snapToGrid w:val="0"/>
          <w:color w:val="000000"/>
          <w:kern w:val="22"/>
          <w:szCs w:val="22"/>
          <w:u w:color="000000"/>
        </w:rPr>
        <w:t> </w:t>
      </w:r>
      <w:r w:rsidRPr="00E27381">
        <w:rPr>
          <w:rFonts w:eastAsia="Calibri"/>
          <w:noProof/>
          <w:snapToGrid w:val="0"/>
          <w:color w:val="000000"/>
          <w:kern w:val="22"/>
          <w:szCs w:val="22"/>
          <w:u w:color="000000"/>
        </w:rPr>
        <w:t>permits or their equivalent issued at the time of access as evidence of the decision to grant prior informed consent and of the establishment of mutually agreed terms.</w:t>
      </w:r>
    </w:p>
    <w:p w:rsidR="000A6DB2" w:rsidRPr="00E27381" w:rsidRDefault="000A6DB2" w:rsidP="00662D53">
      <w:pPr>
        <w:numPr>
          <w:ilvl w:val="0"/>
          <w:numId w:val="19"/>
        </w:numPr>
        <w:suppressLineNumbers/>
        <w:pBdr>
          <w:top w:val="nil"/>
          <w:left w:val="nil"/>
          <w:bottom w:val="nil"/>
          <w:right w:val="nil"/>
          <w:between w:val="nil"/>
          <w:bar w:val="nil"/>
        </w:pBdr>
        <w:suppressAutoHyphens/>
        <w:kinsoku w:val="0"/>
        <w:overflowPunct w:val="0"/>
        <w:autoSpaceDE w:val="0"/>
        <w:autoSpaceDN w:val="0"/>
        <w:spacing w:before="120" w:after="120"/>
        <w:rPr>
          <w:rFonts w:eastAsia="Calibri"/>
          <w:noProof/>
          <w:snapToGrid w:val="0"/>
          <w:color w:val="000000"/>
          <w:kern w:val="22"/>
          <w:szCs w:val="22"/>
          <w:u w:color="000000"/>
        </w:rPr>
      </w:pPr>
      <w:r w:rsidRPr="00E27381">
        <w:rPr>
          <w:rFonts w:eastAsia="Calibri"/>
          <w:noProof/>
          <w:snapToGrid w:val="0"/>
          <w:color w:val="000000"/>
          <w:kern w:val="22"/>
          <w:szCs w:val="22"/>
          <w:u w:color="000000"/>
        </w:rPr>
        <w:t>For the purpose of assessing the status of progress in publishing information in the ABS Clearing-House, the information on the national focal point has not been included in the analysis, as this information is not made available by Parties through</w:t>
      </w:r>
      <w:r w:rsidR="001811C3">
        <w:rPr>
          <w:rFonts w:eastAsia="Calibri"/>
          <w:noProof/>
          <w:snapToGrid w:val="0"/>
          <w:color w:val="000000"/>
          <w:kern w:val="22"/>
          <w:szCs w:val="22"/>
          <w:u w:color="000000"/>
        </w:rPr>
        <w:t xml:space="preserve"> </w:t>
      </w:r>
      <w:r w:rsidRPr="00E27381">
        <w:rPr>
          <w:rFonts w:eastAsia="Calibri"/>
          <w:noProof/>
          <w:snapToGrid w:val="0"/>
          <w:color w:val="000000"/>
          <w:kern w:val="22"/>
          <w:szCs w:val="22"/>
          <w:u w:color="000000"/>
        </w:rPr>
        <w:t>the ABS Clearing-Hosue but through official letters to the Secretariat. However, the publication of information on checkpoints</w:t>
      </w:r>
      <w:r w:rsidR="00E650DB">
        <w:rPr>
          <w:rFonts w:eastAsia="Calibri"/>
          <w:noProof/>
          <w:snapToGrid w:val="0"/>
          <w:color w:val="000000"/>
          <w:kern w:val="22"/>
          <w:szCs w:val="22"/>
          <w:u w:color="000000"/>
        </w:rPr>
        <w:t xml:space="preserve"> has been considered</w:t>
      </w:r>
      <w:r w:rsidRPr="00E27381">
        <w:rPr>
          <w:rFonts w:eastAsia="Calibri"/>
          <w:noProof/>
          <w:snapToGrid w:val="0"/>
          <w:color w:val="000000"/>
          <w:kern w:val="22"/>
          <w:szCs w:val="22"/>
          <w:u w:color="000000"/>
        </w:rPr>
        <w:t>, as this is a key institution for the operationali</w:t>
      </w:r>
      <w:r w:rsidR="00E650DB">
        <w:rPr>
          <w:rFonts w:eastAsia="Calibri"/>
          <w:noProof/>
          <w:snapToGrid w:val="0"/>
          <w:color w:val="000000"/>
          <w:kern w:val="22"/>
          <w:szCs w:val="22"/>
          <w:u w:color="000000"/>
        </w:rPr>
        <w:t>z</w:t>
      </w:r>
      <w:r w:rsidRPr="00E27381">
        <w:rPr>
          <w:rFonts w:eastAsia="Calibri"/>
          <w:noProof/>
          <w:snapToGrid w:val="0"/>
          <w:color w:val="000000"/>
          <w:kern w:val="22"/>
          <w:szCs w:val="22"/>
          <w:u w:color="000000"/>
        </w:rPr>
        <w:t>ation of the Protocol.</w:t>
      </w:r>
    </w:p>
    <w:p w:rsidR="000A6DB2" w:rsidRPr="00662D53" w:rsidRDefault="00BF2122" w:rsidP="00662D53">
      <w:pPr>
        <w:keepNext/>
        <w:suppressLineNumbers/>
        <w:pBdr>
          <w:top w:val="nil"/>
          <w:left w:val="nil"/>
          <w:bottom w:val="nil"/>
          <w:right w:val="nil"/>
          <w:between w:val="nil"/>
          <w:bar w:val="nil"/>
        </w:pBdr>
        <w:suppressAutoHyphens/>
        <w:kinsoku w:val="0"/>
        <w:overflowPunct w:val="0"/>
        <w:autoSpaceDE w:val="0"/>
        <w:autoSpaceDN w:val="0"/>
        <w:spacing w:before="120" w:after="120"/>
        <w:rPr>
          <w:rFonts w:eastAsia="SimSun"/>
          <w:iCs/>
          <w:snapToGrid w:val="0"/>
          <w:kern w:val="22"/>
          <w:szCs w:val="22"/>
        </w:rPr>
      </w:pPr>
      <w:r w:rsidRPr="00662D53">
        <w:rPr>
          <w:rFonts w:eastAsia="SimSun"/>
          <w:iCs/>
          <w:snapToGrid w:val="0"/>
          <w:kern w:val="22"/>
          <w:szCs w:val="22"/>
        </w:rPr>
        <w:lastRenderedPageBreak/>
        <w:t>(a)</w:t>
      </w:r>
      <w:r w:rsidRPr="00662D53">
        <w:rPr>
          <w:rFonts w:eastAsia="SimSun"/>
          <w:iCs/>
          <w:snapToGrid w:val="0"/>
          <w:kern w:val="22"/>
          <w:szCs w:val="22"/>
        </w:rPr>
        <w:tab/>
      </w:r>
      <w:r w:rsidR="000A6DB2" w:rsidRPr="00662D53">
        <w:rPr>
          <w:rFonts w:eastAsia="SimSun"/>
          <w:i/>
          <w:snapToGrid w:val="0"/>
          <w:kern w:val="22"/>
          <w:szCs w:val="22"/>
        </w:rPr>
        <w:t>Status</w:t>
      </w:r>
    </w:p>
    <w:p w:rsidR="000A6DB2" w:rsidRPr="00662D53" w:rsidRDefault="000A6DB2" w:rsidP="00662D53">
      <w:pPr>
        <w:numPr>
          <w:ilvl w:val="0"/>
          <w:numId w:val="19"/>
        </w:numPr>
        <w:suppressLineNumbers/>
        <w:pBdr>
          <w:top w:val="nil"/>
          <w:left w:val="nil"/>
          <w:bottom w:val="nil"/>
          <w:right w:val="nil"/>
          <w:between w:val="nil"/>
          <w:bar w:val="nil"/>
        </w:pBdr>
        <w:suppressAutoHyphens/>
        <w:kinsoku w:val="0"/>
        <w:overflowPunct w:val="0"/>
        <w:autoSpaceDE w:val="0"/>
        <w:autoSpaceDN w:val="0"/>
        <w:spacing w:before="120" w:after="120"/>
        <w:rPr>
          <w:snapToGrid w:val="0"/>
          <w:kern w:val="22"/>
          <w:szCs w:val="22"/>
        </w:rPr>
      </w:pPr>
      <w:r w:rsidRPr="00662D53">
        <w:rPr>
          <w:snapToGrid w:val="0"/>
          <w:kern w:val="22"/>
          <w:szCs w:val="22"/>
        </w:rPr>
        <w:t xml:space="preserve">The </w:t>
      </w:r>
      <w:r w:rsidRPr="00E27381">
        <w:rPr>
          <w:rFonts w:eastAsia="Calibri"/>
          <w:noProof/>
          <w:snapToGrid w:val="0"/>
          <w:color w:val="000000"/>
          <w:kern w:val="22"/>
          <w:szCs w:val="22"/>
          <w:u w:color="000000"/>
        </w:rPr>
        <w:t>following</w:t>
      </w:r>
      <w:r w:rsidRPr="00662D53">
        <w:rPr>
          <w:snapToGrid w:val="0"/>
          <w:kern w:val="22"/>
          <w:szCs w:val="22"/>
        </w:rPr>
        <w:t xml:space="preserve"> table summari</w:t>
      </w:r>
      <w:r w:rsidR="00990876" w:rsidRPr="00662D53">
        <w:rPr>
          <w:snapToGrid w:val="0"/>
          <w:kern w:val="22"/>
          <w:szCs w:val="22"/>
        </w:rPr>
        <w:t>z</w:t>
      </w:r>
      <w:r w:rsidRPr="00662D53">
        <w:rPr>
          <w:snapToGrid w:val="0"/>
          <w:kern w:val="22"/>
          <w:szCs w:val="22"/>
        </w:rPr>
        <w:t>es the information made available to the ABS Clearing-House by Parties as of 22 February 2018.</w:t>
      </w:r>
    </w:p>
    <w:p w:rsidR="000A6DB2" w:rsidRPr="00662D53" w:rsidRDefault="000A6DB2" w:rsidP="00662D53">
      <w:pPr>
        <w:keepNext/>
        <w:suppressLineNumbers/>
        <w:suppressAutoHyphens/>
        <w:kinsoku w:val="0"/>
        <w:overflowPunct w:val="0"/>
        <w:autoSpaceDE w:val="0"/>
        <w:autoSpaceDN w:val="0"/>
        <w:spacing w:before="120" w:after="120"/>
        <w:jc w:val="center"/>
        <w:rPr>
          <w:rFonts w:ascii="Times New Roman Bold" w:hAnsi="Times New Roman Bold" w:cs="Times New Roman Bold"/>
          <w:b/>
          <w:bCs/>
          <w:iCs/>
          <w:snapToGrid w:val="0"/>
          <w:spacing w:val="-4"/>
          <w:kern w:val="22"/>
          <w:szCs w:val="22"/>
        </w:rPr>
      </w:pPr>
      <w:proofErr w:type="gramStart"/>
      <w:r w:rsidRPr="00662D53">
        <w:rPr>
          <w:rFonts w:ascii="Times New Roman Bold" w:hAnsi="Times New Roman Bold" w:cs="Times New Roman Bold"/>
          <w:b/>
          <w:bCs/>
          <w:iCs/>
          <w:snapToGrid w:val="0"/>
          <w:spacing w:val="-4"/>
          <w:kern w:val="22"/>
          <w:szCs w:val="22"/>
        </w:rPr>
        <w:t>Table 1</w:t>
      </w:r>
      <w:r w:rsidR="00996C03" w:rsidRPr="00662D53">
        <w:rPr>
          <w:rFonts w:ascii="Times New Roman Bold" w:hAnsi="Times New Roman Bold" w:cs="Times New Roman Bold"/>
          <w:b/>
          <w:bCs/>
          <w:iCs/>
          <w:snapToGrid w:val="0"/>
          <w:spacing w:val="-4"/>
          <w:kern w:val="22"/>
          <w:szCs w:val="22"/>
        </w:rPr>
        <w:t>.</w:t>
      </w:r>
      <w:proofErr w:type="gramEnd"/>
      <w:r w:rsidRPr="00662D53">
        <w:rPr>
          <w:rFonts w:ascii="Times New Roman Bold" w:hAnsi="Times New Roman Bold" w:cs="Times New Roman Bold"/>
          <w:b/>
          <w:bCs/>
          <w:iCs/>
          <w:snapToGrid w:val="0"/>
          <w:spacing w:val="-4"/>
          <w:kern w:val="22"/>
          <w:szCs w:val="22"/>
        </w:rPr>
        <w:t xml:space="preserve"> Number of national records made available in the ABS Clearing-House (</w:t>
      </w:r>
      <w:r w:rsidR="00996C03" w:rsidRPr="00662D53">
        <w:rPr>
          <w:rFonts w:ascii="Times New Roman Bold" w:hAnsi="Times New Roman Bold" w:cs="Times New Roman Bold"/>
          <w:b/>
          <w:bCs/>
          <w:iCs/>
          <w:snapToGrid w:val="0"/>
          <w:spacing w:val="-4"/>
          <w:kern w:val="22"/>
          <w:szCs w:val="22"/>
        </w:rPr>
        <w:t xml:space="preserve">as of </w:t>
      </w:r>
      <w:r w:rsidRPr="00662D53">
        <w:rPr>
          <w:rFonts w:ascii="Times New Roman Bold" w:hAnsi="Times New Roman Bold" w:cs="Times New Roman Bold"/>
          <w:b/>
          <w:bCs/>
          <w:iCs/>
          <w:snapToGrid w:val="0"/>
          <w:spacing w:val="-4"/>
          <w:kern w:val="22"/>
          <w:szCs w:val="22"/>
        </w:rPr>
        <w:t>22 February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0"/>
        <w:gridCol w:w="2160"/>
      </w:tblGrid>
      <w:tr w:rsidR="000A6DB2" w:rsidRPr="00E27381" w:rsidTr="00662D53">
        <w:trPr>
          <w:cantSplit/>
          <w:trHeight w:val="560"/>
          <w:jc w:val="center"/>
        </w:trPr>
        <w:tc>
          <w:tcPr>
            <w:tcW w:w="2875" w:type="dxa"/>
            <w:shd w:val="clear" w:color="auto" w:fill="auto"/>
          </w:tcPr>
          <w:p w:rsidR="000A6DB2" w:rsidRPr="00662D53" w:rsidRDefault="000A6DB2" w:rsidP="00662D53">
            <w:pPr>
              <w:keepNext/>
              <w:keepLines/>
              <w:suppressLineNumbers/>
              <w:suppressAutoHyphens/>
              <w:kinsoku w:val="0"/>
              <w:overflowPunct w:val="0"/>
              <w:autoSpaceDE w:val="0"/>
              <w:autoSpaceDN w:val="0"/>
              <w:jc w:val="center"/>
              <w:rPr>
                <w:bCs/>
                <w:i/>
                <w:iCs/>
                <w:snapToGrid w:val="0"/>
                <w:kern w:val="22"/>
                <w:szCs w:val="22"/>
              </w:rPr>
            </w:pPr>
            <w:r w:rsidRPr="00662D53">
              <w:rPr>
                <w:bCs/>
                <w:i/>
                <w:iCs/>
                <w:snapToGrid w:val="0"/>
                <w:kern w:val="22"/>
                <w:szCs w:val="22"/>
              </w:rPr>
              <w:t>Type of information</w:t>
            </w:r>
          </w:p>
        </w:tc>
        <w:tc>
          <w:tcPr>
            <w:tcW w:w="2250" w:type="dxa"/>
            <w:shd w:val="clear" w:color="auto" w:fill="auto"/>
          </w:tcPr>
          <w:p w:rsidR="000A6DB2" w:rsidRPr="00662D53" w:rsidRDefault="000A6DB2" w:rsidP="00662D53">
            <w:pPr>
              <w:keepNext/>
              <w:keepLines/>
              <w:suppressLineNumbers/>
              <w:suppressAutoHyphens/>
              <w:kinsoku w:val="0"/>
              <w:overflowPunct w:val="0"/>
              <w:autoSpaceDE w:val="0"/>
              <w:autoSpaceDN w:val="0"/>
              <w:jc w:val="center"/>
              <w:rPr>
                <w:bCs/>
                <w:i/>
                <w:iCs/>
                <w:snapToGrid w:val="0"/>
                <w:kern w:val="22"/>
                <w:szCs w:val="22"/>
              </w:rPr>
            </w:pPr>
            <w:r w:rsidRPr="00662D53">
              <w:rPr>
                <w:bCs/>
                <w:i/>
                <w:iCs/>
                <w:snapToGrid w:val="0"/>
                <w:kern w:val="22"/>
                <w:szCs w:val="22"/>
              </w:rPr>
              <w:t>Number of records published</w:t>
            </w:r>
          </w:p>
        </w:tc>
        <w:tc>
          <w:tcPr>
            <w:tcW w:w="2160" w:type="dxa"/>
            <w:shd w:val="clear" w:color="auto" w:fill="auto"/>
          </w:tcPr>
          <w:p w:rsidR="000A6DB2" w:rsidRPr="00662D53" w:rsidRDefault="000A6DB2" w:rsidP="00662D53">
            <w:pPr>
              <w:keepNext/>
              <w:keepLines/>
              <w:suppressLineNumbers/>
              <w:suppressAutoHyphens/>
              <w:kinsoku w:val="0"/>
              <w:overflowPunct w:val="0"/>
              <w:autoSpaceDE w:val="0"/>
              <w:autoSpaceDN w:val="0"/>
              <w:jc w:val="center"/>
              <w:rPr>
                <w:bCs/>
                <w:i/>
                <w:iCs/>
                <w:snapToGrid w:val="0"/>
                <w:kern w:val="22"/>
                <w:szCs w:val="22"/>
              </w:rPr>
            </w:pPr>
            <w:r w:rsidRPr="00662D53">
              <w:rPr>
                <w:bCs/>
                <w:i/>
                <w:iCs/>
                <w:snapToGrid w:val="0"/>
                <w:kern w:val="22"/>
                <w:szCs w:val="22"/>
              </w:rPr>
              <w:t>Number of Parties that published records</w:t>
            </w:r>
          </w:p>
        </w:tc>
      </w:tr>
      <w:tr w:rsidR="000A6DB2" w:rsidRPr="00E27381" w:rsidTr="00662D53">
        <w:trPr>
          <w:cantSplit/>
          <w:jc w:val="center"/>
        </w:trPr>
        <w:tc>
          <w:tcPr>
            <w:tcW w:w="2875" w:type="dxa"/>
            <w:shd w:val="clear" w:color="auto" w:fill="auto"/>
          </w:tcPr>
          <w:p w:rsidR="000A6DB2" w:rsidRPr="00662D53" w:rsidRDefault="000A6DB2" w:rsidP="00662D53">
            <w:pPr>
              <w:keepNext/>
              <w:keepLines/>
              <w:suppressLineNumbers/>
              <w:suppressAutoHyphens/>
              <w:kinsoku w:val="0"/>
              <w:overflowPunct w:val="0"/>
              <w:autoSpaceDE w:val="0"/>
              <w:autoSpaceDN w:val="0"/>
              <w:jc w:val="left"/>
              <w:rPr>
                <w:b/>
                <w:bCs/>
                <w:snapToGrid w:val="0"/>
                <w:kern w:val="22"/>
                <w:szCs w:val="22"/>
              </w:rPr>
            </w:pPr>
            <w:r w:rsidRPr="00662D53">
              <w:rPr>
                <w:snapToGrid w:val="0"/>
                <w:kern w:val="22"/>
                <w:szCs w:val="22"/>
              </w:rPr>
              <w:t>Competent national authorities</w:t>
            </w:r>
          </w:p>
        </w:tc>
        <w:tc>
          <w:tcPr>
            <w:tcW w:w="2250" w:type="dxa"/>
            <w:shd w:val="clear" w:color="auto" w:fill="auto"/>
            <w:vAlign w:val="bottom"/>
          </w:tcPr>
          <w:p w:rsidR="000A6DB2" w:rsidRPr="00662D53" w:rsidRDefault="000A6DB2" w:rsidP="00662D53">
            <w:pPr>
              <w:keepNext/>
              <w:keepLines/>
              <w:suppressLineNumbers/>
              <w:suppressAutoHyphens/>
              <w:kinsoku w:val="0"/>
              <w:overflowPunct w:val="0"/>
              <w:autoSpaceDE w:val="0"/>
              <w:autoSpaceDN w:val="0"/>
              <w:jc w:val="center"/>
              <w:rPr>
                <w:snapToGrid w:val="0"/>
                <w:kern w:val="22"/>
                <w:szCs w:val="22"/>
              </w:rPr>
            </w:pPr>
            <w:r w:rsidRPr="00662D53">
              <w:rPr>
                <w:snapToGrid w:val="0"/>
                <w:kern w:val="22"/>
                <w:szCs w:val="22"/>
              </w:rPr>
              <w:t>60</w:t>
            </w:r>
          </w:p>
        </w:tc>
        <w:tc>
          <w:tcPr>
            <w:tcW w:w="2160" w:type="dxa"/>
            <w:shd w:val="clear" w:color="auto" w:fill="auto"/>
            <w:vAlign w:val="bottom"/>
          </w:tcPr>
          <w:p w:rsidR="000A6DB2" w:rsidRPr="00662D53" w:rsidRDefault="000A6DB2" w:rsidP="00662D53">
            <w:pPr>
              <w:keepNext/>
              <w:keepLines/>
              <w:suppressLineNumbers/>
              <w:suppressAutoHyphens/>
              <w:kinsoku w:val="0"/>
              <w:overflowPunct w:val="0"/>
              <w:autoSpaceDE w:val="0"/>
              <w:autoSpaceDN w:val="0"/>
              <w:jc w:val="center"/>
              <w:rPr>
                <w:snapToGrid w:val="0"/>
                <w:kern w:val="22"/>
                <w:szCs w:val="22"/>
              </w:rPr>
            </w:pPr>
            <w:r w:rsidRPr="00662D53">
              <w:rPr>
                <w:snapToGrid w:val="0"/>
                <w:kern w:val="22"/>
                <w:szCs w:val="22"/>
              </w:rPr>
              <w:t>45</w:t>
            </w:r>
          </w:p>
        </w:tc>
      </w:tr>
      <w:tr w:rsidR="000A6DB2" w:rsidRPr="00E27381" w:rsidTr="00662D53">
        <w:trPr>
          <w:cantSplit/>
          <w:jc w:val="center"/>
        </w:trPr>
        <w:tc>
          <w:tcPr>
            <w:tcW w:w="2875" w:type="dxa"/>
            <w:shd w:val="clear" w:color="auto" w:fill="auto"/>
          </w:tcPr>
          <w:p w:rsidR="000A6DB2" w:rsidRPr="00662D53" w:rsidRDefault="000A6DB2" w:rsidP="00662D53">
            <w:pPr>
              <w:keepNext/>
              <w:keepLines/>
              <w:suppressLineNumbers/>
              <w:suppressAutoHyphens/>
              <w:kinsoku w:val="0"/>
              <w:overflowPunct w:val="0"/>
              <w:autoSpaceDE w:val="0"/>
              <w:autoSpaceDN w:val="0"/>
              <w:jc w:val="left"/>
              <w:rPr>
                <w:b/>
                <w:bCs/>
                <w:snapToGrid w:val="0"/>
                <w:kern w:val="22"/>
                <w:szCs w:val="22"/>
              </w:rPr>
            </w:pPr>
            <w:r w:rsidRPr="00662D53">
              <w:rPr>
                <w:snapToGrid w:val="0"/>
                <w:kern w:val="22"/>
                <w:szCs w:val="22"/>
              </w:rPr>
              <w:t>ABS measures</w:t>
            </w:r>
          </w:p>
        </w:tc>
        <w:tc>
          <w:tcPr>
            <w:tcW w:w="2250" w:type="dxa"/>
            <w:shd w:val="clear" w:color="auto" w:fill="auto"/>
            <w:vAlign w:val="bottom"/>
          </w:tcPr>
          <w:p w:rsidR="000A6DB2" w:rsidRPr="00662D53" w:rsidRDefault="000A6DB2" w:rsidP="00662D53">
            <w:pPr>
              <w:keepNext/>
              <w:keepLines/>
              <w:suppressLineNumbers/>
              <w:suppressAutoHyphens/>
              <w:kinsoku w:val="0"/>
              <w:overflowPunct w:val="0"/>
              <w:autoSpaceDE w:val="0"/>
              <w:autoSpaceDN w:val="0"/>
              <w:jc w:val="center"/>
              <w:rPr>
                <w:snapToGrid w:val="0"/>
                <w:kern w:val="22"/>
                <w:szCs w:val="22"/>
              </w:rPr>
            </w:pPr>
            <w:r w:rsidRPr="00662D53">
              <w:rPr>
                <w:snapToGrid w:val="0"/>
                <w:kern w:val="22"/>
                <w:szCs w:val="22"/>
              </w:rPr>
              <w:t>195</w:t>
            </w:r>
          </w:p>
        </w:tc>
        <w:tc>
          <w:tcPr>
            <w:tcW w:w="2160" w:type="dxa"/>
            <w:shd w:val="clear" w:color="auto" w:fill="auto"/>
            <w:vAlign w:val="bottom"/>
          </w:tcPr>
          <w:p w:rsidR="000A6DB2" w:rsidRPr="00662D53" w:rsidRDefault="000A6DB2" w:rsidP="00662D53">
            <w:pPr>
              <w:keepNext/>
              <w:keepLines/>
              <w:suppressLineNumbers/>
              <w:suppressAutoHyphens/>
              <w:kinsoku w:val="0"/>
              <w:overflowPunct w:val="0"/>
              <w:autoSpaceDE w:val="0"/>
              <w:autoSpaceDN w:val="0"/>
              <w:jc w:val="center"/>
              <w:rPr>
                <w:snapToGrid w:val="0"/>
                <w:kern w:val="22"/>
                <w:szCs w:val="22"/>
              </w:rPr>
            </w:pPr>
            <w:r w:rsidRPr="00662D53">
              <w:rPr>
                <w:snapToGrid w:val="0"/>
                <w:kern w:val="22"/>
                <w:szCs w:val="22"/>
              </w:rPr>
              <w:t>45</w:t>
            </w:r>
          </w:p>
        </w:tc>
      </w:tr>
      <w:tr w:rsidR="000A6DB2" w:rsidRPr="00E27381" w:rsidTr="00662D53">
        <w:trPr>
          <w:cantSplit/>
          <w:jc w:val="center"/>
        </w:trPr>
        <w:tc>
          <w:tcPr>
            <w:tcW w:w="2875" w:type="dxa"/>
            <w:shd w:val="clear" w:color="auto" w:fill="auto"/>
          </w:tcPr>
          <w:p w:rsidR="000A6DB2" w:rsidRPr="00662D53" w:rsidRDefault="000A6DB2" w:rsidP="00662D53">
            <w:pPr>
              <w:keepNext/>
              <w:keepLines/>
              <w:suppressLineNumbers/>
              <w:suppressAutoHyphens/>
              <w:kinsoku w:val="0"/>
              <w:overflowPunct w:val="0"/>
              <w:autoSpaceDE w:val="0"/>
              <w:autoSpaceDN w:val="0"/>
              <w:jc w:val="left"/>
              <w:rPr>
                <w:b/>
                <w:bCs/>
                <w:snapToGrid w:val="0"/>
                <w:kern w:val="22"/>
                <w:szCs w:val="22"/>
              </w:rPr>
            </w:pPr>
            <w:r w:rsidRPr="00662D53">
              <w:rPr>
                <w:snapToGrid w:val="0"/>
                <w:kern w:val="22"/>
                <w:szCs w:val="22"/>
              </w:rPr>
              <w:t>Checkpoints</w:t>
            </w:r>
          </w:p>
        </w:tc>
        <w:tc>
          <w:tcPr>
            <w:tcW w:w="2250" w:type="dxa"/>
            <w:shd w:val="clear" w:color="auto" w:fill="auto"/>
            <w:vAlign w:val="bottom"/>
          </w:tcPr>
          <w:p w:rsidR="000A6DB2" w:rsidRPr="00662D53" w:rsidRDefault="000A6DB2" w:rsidP="00662D53">
            <w:pPr>
              <w:keepNext/>
              <w:keepLines/>
              <w:suppressLineNumbers/>
              <w:suppressAutoHyphens/>
              <w:kinsoku w:val="0"/>
              <w:overflowPunct w:val="0"/>
              <w:autoSpaceDE w:val="0"/>
              <w:autoSpaceDN w:val="0"/>
              <w:jc w:val="center"/>
              <w:rPr>
                <w:snapToGrid w:val="0"/>
                <w:kern w:val="22"/>
                <w:szCs w:val="22"/>
              </w:rPr>
            </w:pPr>
            <w:r w:rsidRPr="00662D53">
              <w:rPr>
                <w:snapToGrid w:val="0"/>
                <w:kern w:val="22"/>
                <w:szCs w:val="22"/>
              </w:rPr>
              <w:t>44</w:t>
            </w:r>
          </w:p>
        </w:tc>
        <w:tc>
          <w:tcPr>
            <w:tcW w:w="2160" w:type="dxa"/>
            <w:shd w:val="clear" w:color="auto" w:fill="auto"/>
            <w:vAlign w:val="bottom"/>
          </w:tcPr>
          <w:p w:rsidR="000A6DB2" w:rsidRPr="00662D53" w:rsidRDefault="000A6DB2" w:rsidP="00662D53">
            <w:pPr>
              <w:keepNext/>
              <w:keepLines/>
              <w:suppressLineNumbers/>
              <w:suppressAutoHyphens/>
              <w:kinsoku w:val="0"/>
              <w:overflowPunct w:val="0"/>
              <w:autoSpaceDE w:val="0"/>
              <w:autoSpaceDN w:val="0"/>
              <w:jc w:val="center"/>
              <w:rPr>
                <w:snapToGrid w:val="0"/>
                <w:kern w:val="22"/>
                <w:szCs w:val="22"/>
              </w:rPr>
            </w:pPr>
            <w:r w:rsidRPr="00662D53">
              <w:rPr>
                <w:snapToGrid w:val="0"/>
                <w:kern w:val="22"/>
                <w:szCs w:val="22"/>
              </w:rPr>
              <w:t>20</w:t>
            </w:r>
          </w:p>
        </w:tc>
      </w:tr>
      <w:tr w:rsidR="000A6DB2" w:rsidRPr="00E27381" w:rsidTr="00662D53">
        <w:trPr>
          <w:cantSplit/>
          <w:jc w:val="center"/>
        </w:trPr>
        <w:tc>
          <w:tcPr>
            <w:tcW w:w="2875" w:type="dxa"/>
            <w:shd w:val="clear" w:color="auto" w:fill="auto"/>
          </w:tcPr>
          <w:p w:rsidR="000A6DB2" w:rsidRPr="00662D53" w:rsidRDefault="000A6DB2" w:rsidP="00662D53">
            <w:pPr>
              <w:keepNext/>
              <w:keepLines/>
              <w:suppressLineNumbers/>
              <w:suppressAutoHyphens/>
              <w:kinsoku w:val="0"/>
              <w:overflowPunct w:val="0"/>
              <w:autoSpaceDE w:val="0"/>
              <w:autoSpaceDN w:val="0"/>
              <w:jc w:val="left"/>
              <w:rPr>
                <w:b/>
                <w:bCs/>
                <w:snapToGrid w:val="0"/>
                <w:kern w:val="22"/>
                <w:szCs w:val="22"/>
              </w:rPr>
            </w:pPr>
            <w:r w:rsidRPr="00662D53">
              <w:rPr>
                <w:snapToGrid w:val="0"/>
                <w:kern w:val="22"/>
                <w:szCs w:val="22"/>
              </w:rPr>
              <w:t>Permits or their equivalent constituting an internationally recognized certificate of compliance</w:t>
            </w:r>
          </w:p>
        </w:tc>
        <w:tc>
          <w:tcPr>
            <w:tcW w:w="2250" w:type="dxa"/>
            <w:shd w:val="clear" w:color="auto" w:fill="auto"/>
            <w:vAlign w:val="bottom"/>
          </w:tcPr>
          <w:p w:rsidR="000A6DB2" w:rsidRPr="00662D53" w:rsidRDefault="000A6DB2" w:rsidP="00662D53">
            <w:pPr>
              <w:keepNext/>
              <w:keepLines/>
              <w:suppressLineNumbers/>
              <w:suppressAutoHyphens/>
              <w:kinsoku w:val="0"/>
              <w:overflowPunct w:val="0"/>
              <w:autoSpaceDE w:val="0"/>
              <w:autoSpaceDN w:val="0"/>
              <w:jc w:val="center"/>
              <w:rPr>
                <w:snapToGrid w:val="0"/>
                <w:kern w:val="22"/>
                <w:szCs w:val="22"/>
              </w:rPr>
            </w:pPr>
            <w:r w:rsidRPr="00662D53">
              <w:rPr>
                <w:snapToGrid w:val="0"/>
                <w:kern w:val="22"/>
                <w:szCs w:val="22"/>
              </w:rPr>
              <w:t>146</w:t>
            </w:r>
          </w:p>
        </w:tc>
        <w:tc>
          <w:tcPr>
            <w:tcW w:w="2160" w:type="dxa"/>
            <w:shd w:val="clear" w:color="auto" w:fill="auto"/>
            <w:vAlign w:val="bottom"/>
          </w:tcPr>
          <w:p w:rsidR="000A6DB2" w:rsidRPr="00662D53" w:rsidRDefault="000A6DB2" w:rsidP="00662D53">
            <w:pPr>
              <w:keepNext/>
              <w:keepLines/>
              <w:suppressLineNumbers/>
              <w:suppressAutoHyphens/>
              <w:kinsoku w:val="0"/>
              <w:overflowPunct w:val="0"/>
              <w:autoSpaceDE w:val="0"/>
              <w:autoSpaceDN w:val="0"/>
              <w:jc w:val="center"/>
              <w:rPr>
                <w:snapToGrid w:val="0"/>
                <w:kern w:val="22"/>
                <w:szCs w:val="22"/>
              </w:rPr>
            </w:pPr>
            <w:r w:rsidRPr="00662D53">
              <w:rPr>
                <w:snapToGrid w:val="0"/>
                <w:kern w:val="22"/>
                <w:szCs w:val="22"/>
              </w:rPr>
              <w:t>12</w:t>
            </w:r>
          </w:p>
        </w:tc>
      </w:tr>
    </w:tbl>
    <w:p w:rsidR="000A6DB2" w:rsidRPr="00662D53" w:rsidRDefault="000A6DB2" w:rsidP="00662D53">
      <w:pPr>
        <w:numPr>
          <w:ilvl w:val="0"/>
          <w:numId w:val="20"/>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As of 22 February 2018, 54 Parties (51%) had published ABS measures, competent national authorities, checkpoints or internationally recogni</w:t>
      </w:r>
      <w:r w:rsidR="00990876" w:rsidRPr="00662D53">
        <w:rPr>
          <w:rFonts w:eastAsia="SimSun"/>
          <w:snapToGrid w:val="0"/>
          <w:kern w:val="22"/>
          <w:szCs w:val="22"/>
        </w:rPr>
        <w:t>z</w:t>
      </w:r>
      <w:r w:rsidRPr="00662D53">
        <w:rPr>
          <w:rFonts w:eastAsia="SimSun"/>
          <w:snapToGrid w:val="0"/>
          <w:kern w:val="22"/>
          <w:szCs w:val="22"/>
        </w:rPr>
        <w:t xml:space="preserve">ed certificates of </w:t>
      </w:r>
      <w:r w:rsidRPr="00662D53">
        <w:rPr>
          <w:snapToGrid w:val="0"/>
          <w:kern w:val="22"/>
          <w:szCs w:val="22"/>
        </w:rPr>
        <w:t>compliance</w:t>
      </w:r>
      <w:r w:rsidRPr="00662D53">
        <w:rPr>
          <w:rFonts w:eastAsia="SimSun"/>
          <w:snapToGrid w:val="0"/>
          <w:kern w:val="22"/>
          <w:szCs w:val="22"/>
        </w:rPr>
        <w:t xml:space="preserve"> in the ABS Clearing-House.</w:t>
      </w:r>
    </w:p>
    <w:p w:rsidR="000A6DB2" w:rsidRPr="00662D53" w:rsidRDefault="000C6D16" w:rsidP="00662D53">
      <w:pPr>
        <w:numPr>
          <w:ilvl w:val="0"/>
          <w:numId w:val="20"/>
        </w:numPr>
        <w:suppressLineNumbers/>
        <w:suppressAutoHyphens/>
        <w:kinsoku w:val="0"/>
        <w:overflowPunct w:val="0"/>
        <w:autoSpaceDE w:val="0"/>
        <w:autoSpaceDN w:val="0"/>
        <w:rPr>
          <w:rFonts w:eastAsia="SimSun"/>
          <w:snapToGrid w:val="0"/>
          <w:kern w:val="22"/>
          <w:szCs w:val="22"/>
        </w:rPr>
      </w:pPr>
      <w:r>
        <w:rPr>
          <w:rFonts w:eastAsia="SimSun"/>
          <w:snapToGrid w:val="0"/>
          <w:kern w:val="22"/>
          <w:szCs w:val="22"/>
        </w:rPr>
        <w:t xml:space="preserve">A total of </w:t>
      </w:r>
      <w:r w:rsidR="000A6DB2" w:rsidRPr="00662D53">
        <w:rPr>
          <w:rFonts w:eastAsia="SimSun"/>
          <w:snapToGrid w:val="0"/>
          <w:kern w:val="22"/>
          <w:szCs w:val="22"/>
        </w:rPr>
        <w:t xml:space="preserve">46 Parties indicated in the interim national report, NBSAP or fifth national report having ABS measures, competent national authorities, checkpoints or permits or their equivalents that </w:t>
      </w:r>
      <w:r w:rsidR="002A4873">
        <w:rPr>
          <w:rFonts w:eastAsia="SimSun"/>
          <w:snapToGrid w:val="0"/>
          <w:kern w:val="22"/>
          <w:szCs w:val="22"/>
        </w:rPr>
        <w:t>had</w:t>
      </w:r>
      <w:r w:rsidR="002A4873" w:rsidRPr="00662D53">
        <w:rPr>
          <w:rFonts w:eastAsia="SimSun"/>
          <w:snapToGrid w:val="0"/>
          <w:kern w:val="22"/>
          <w:szCs w:val="22"/>
        </w:rPr>
        <w:t xml:space="preserve"> </w:t>
      </w:r>
      <w:r w:rsidR="000A6DB2" w:rsidRPr="00662D53">
        <w:rPr>
          <w:rFonts w:eastAsia="SimSun"/>
          <w:snapToGrid w:val="0"/>
          <w:kern w:val="22"/>
          <w:szCs w:val="22"/>
        </w:rPr>
        <w:t>not yet been made available to the ABS Clearing-House.</w:t>
      </w:r>
      <w:r w:rsidR="000A6DB2" w:rsidRPr="00662D53">
        <w:rPr>
          <w:rFonts w:eastAsia="SimSun"/>
          <w:snapToGrid w:val="0"/>
          <w:kern w:val="22"/>
          <w:szCs w:val="22"/>
          <w:vertAlign w:val="superscript"/>
        </w:rPr>
        <w:footnoteReference w:id="8"/>
      </w:r>
      <w:r w:rsidR="000A6DB2" w:rsidRPr="00662D53">
        <w:rPr>
          <w:rFonts w:eastAsia="SimSun"/>
          <w:snapToGrid w:val="0"/>
          <w:kern w:val="22"/>
          <w:szCs w:val="22"/>
        </w:rPr>
        <w:t xml:space="preserve"> With regard to permits, 11 Parties indicated that they </w:t>
      </w:r>
      <w:r w:rsidR="005C4586">
        <w:rPr>
          <w:rFonts w:eastAsia="SimSun"/>
          <w:snapToGrid w:val="0"/>
          <w:kern w:val="22"/>
          <w:szCs w:val="22"/>
        </w:rPr>
        <w:t>had</w:t>
      </w:r>
      <w:r w:rsidR="005C4586" w:rsidRPr="00662D53">
        <w:rPr>
          <w:rFonts w:eastAsia="SimSun"/>
          <w:snapToGrid w:val="0"/>
          <w:kern w:val="22"/>
          <w:szCs w:val="22"/>
        </w:rPr>
        <w:t xml:space="preserve"> </w:t>
      </w:r>
      <w:r w:rsidR="000A6DB2" w:rsidRPr="00662D53">
        <w:rPr>
          <w:rFonts w:eastAsia="SimSun"/>
          <w:snapToGrid w:val="0"/>
          <w:kern w:val="22"/>
          <w:szCs w:val="22"/>
        </w:rPr>
        <w:t>permits to make available to the ABS Clearing-House.</w:t>
      </w:r>
      <w:r w:rsidR="000A6DB2" w:rsidRPr="00662D53">
        <w:rPr>
          <w:rFonts w:eastAsia="SimSun"/>
          <w:snapToGrid w:val="0"/>
          <w:kern w:val="22"/>
          <w:szCs w:val="22"/>
          <w:vertAlign w:val="superscript"/>
        </w:rPr>
        <w:footnoteReference w:id="9"/>
      </w:r>
    </w:p>
    <w:p w:rsidR="000A6DB2" w:rsidRPr="00662D53" w:rsidRDefault="00182152" w:rsidP="00662D53">
      <w:pPr>
        <w:pStyle w:val="Para1"/>
        <w:keepNext/>
        <w:numPr>
          <w:ilvl w:val="0"/>
          <w:numId w:val="0"/>
        </w:numPr>
        <w:suppressLineNumbers/>
        <w:suppressAutoHyphens/>
        <w:kinsoku w:val="0"/>
        <w:overflowPunct w:val="0"/>
        <w:autoSpaceDE w:val="0"/>
        <w:autoSpaceDN w:val="0"/>
        <w:jc w:val="center"/>
        <w:rPr>
          <w:rFonts w:ascii="Times New Roman Bold" w:hAnsi="Times New Roman Bold" w:cs="Times New Roman Bold"/>
          <w:b/>
          <w:bCs/>
          <w:iCs/>
          <w:spacing w:val="-6"/>
          <w:kern w:val="22"/>
          <w:szCs w:val="22"/>
        </w:rPr>
      </w:pPr>
      <w:proofErr w:type="gramStart"/>
      <w:r w:rsidRPr="00662D53">
        <w:rPr>
          <w:rFonts w:ascii="Times New Roman Bold" w:hAnsi="Times New Roman Bold" w:cs="Times New Roman Bold"/>
          <w:b/>
          <w:bCs/>
          <w:iCs/>
          <w:spacing w:val="-6"/>
          <w:kern w:val="22"/>
          <w:szCs w:val="22"/>
        </w:rPr>
        <w:t>Figure</w:t>
      </w:r>
      <w:r w:rsidR="000A6DB2" w:rsidRPr="00662D53">
        <w:rPr>
          <w:rFonts w:ascii="Times New Roman Bold" w:hAnsi="Times New Roman Bold" w:cs="Times New Roman Bold"/>
          <w:b/>
          <w:bCs/>
          <w:iCs/>
          <w:spacing w:val="-6"/>
          <w:kern w:val="22"/>
          <w:szCs w:val="22"/>
        </w:rPr>
        <w:t xml:space="preserve"> 5</w:t>
      </w:r>
      <w:r w:rsidR="00F75704" w:rsidRPr="00662D53">
        <w:rPr>
          <w:rFonts w:ascii="Times New Roman Bold" w:hAnsi="Times New Roman Bold" w:cs="Times New Roman Bold"/>
          <w:b/>
          <w:bCs/>
          <w:iCs/>
          <w:spacing w:val="-6"/>
          <w:kern w:val="22"/>
          <w:szCs w:val="22"/>
        </w:rPr>
        <w:t>.</w:t>
      </w:r>
      <w:proofErr w:type="gramEnd"/>
      <w:r w:rsidR="000A6DB2" w:rsidRPr="00662D53">
        <w:rPr>
          <w:rFonts w:ascii="Times New Roman Bold" w:hAnsi="Times New Roman Bold" w:cs="Times New Roman Bold"/>
          <w:b/>
          <w:bCs/>
          <w:iCs/>
          <w:spacing w:val="-6"/>
          <w:kern w:val="22"/>
          <w:szCs w:val="22"/>
        </w:rPr>
        <w:t xml:space="preserve"> Status of progress in publishing information in the ABS Clearing-House</w:t>
      </w:r>
      <w:r w:rsidR="00F75704" w:rsidRPr="00662D53">
        <w:rPr>
          <w:rFonts w:ascii="Times New Roman Bold" w:hAnsi="Times New Roman Bold" w:cs="Times New Roman Bold"/>
          <w:b/>
          <w:bCs/>
          <w:iCs/>
          <w:spacing w:val="-6"/>
          <w:kern w:val="22"/>
          <w:szCs w:val="22"/>
        </w:rPr>
        <w:t xml:space="preserve"> </w:t>
      </w:r>
      <w:r w:rsidR="000A6DB2" w:rsidRPr="00662D53">
        <w:rPr>
          <w:rFonts w:ascii="Times New Roman Bold" w:hAnsi="Times New Roman Bold" w:cs="Times New Roman Bold"/>
          <w:b/>
          <w:bCs/>
          <w:iCs/>
          <w:spacing w:val="-6"/>
          <w:kern w:val="22"/>
          <w:szCs w:val="22"/>
        </w:rPr>
        <w:t>(</w:t>
      </w:r>
      <w:r w:rsidR="00F75704" w:rsidRPr="00662D53">
        <w:rPr>
          <w:rFonts w:ascii="Times New Roman Bold" w:hAnsi="Times New Roman Bold" w:cs="Times New Roman Bold"/>
          <w:b/>
          <w:bCs/>
          <w:iCs/>
          <w:spacing w:val="-6"/>
          <w:kern w:val="22"/>
          <w:szCs w:val="22"/>
        </w:rPr>
        <w:t xml:space="preserve">as of </w:t>
      </w:r>
      <w:r w:rsidR="000A6DB2" w:rsidRPr="00662D53">
        <w:rPr>
          <w:rFonts w:ascii="Times New Roman Bold" w:hAnsi="Times New Roman Bold" w:cs="Times New Roman Bold"/>
          <w:b/>
          <w:bCs/>
          <w:iCs/>
          <w:spacing w:val="-6"/>
          <w:kern w:val="22"/>
          <w:szCs w:val="22"/>
        </w:rPr>
        <w:t>22 February 2018)</w:t>
      </w:r>
    </w:p>
    <w:p w:rsidR="000A6DB2" w:rsidRPr="00662D53" w:rsidRDefault="002252F3" w:rsidP="00662D53">
      <w:pPr>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snapToGrid w:val="0"/>
          <w:kern w:val="22"/>
          <w:szCs w:val="22"/>
        </w:rPr>
      </w:pPr>
      <w:r>
        <w:rPr>
          <w:rFonts w:eastAsia="SimSun"/>
          <w:noProof/>
          <w:kern w:val="22"/>
          <w:szCs w:val="22"/>
          <w:lang w:eastAsia="zh-CN"/>
        </w:rPr>
        <w:drawing>
          <wp:inline distT="0" distB="0" distL="0" distR="0" wp14:anchorId="1C41F10B" wp14:editId="28C8E354">
            <wp:extent cx="4584065" cy="2755265"/>
            <wp:effectExtent l="0" t="0" r="6985" b="6985"/>
            <wp:docPr id="9" name="Picture 9" descr="C:\Users\orestes.plasencia\Documents\File transfer\abs-cc-2-3-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estes.plasencia\Documents\File transfer\abs-cc-2-3-graph.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065" cy="2755265"/>
                    </a:xfrm>
                    <a:prstGeom prst="rect">
                      <a:avLst/>
                    </a:prstGeom>
                    <a:noFill/>
                    <a:ln>
                      <a:noFill/>
                    </a:ln>
                  </pic:spPr>
                </pic:pic>
              </a:graphicData>
            </a:graphic>
          </wp:inline>
        </w:drawing>
      </w:r>
    </w:p>
    <w:p w:rsidR="000A6DB2" w:rsidRPr="00662D53" w:rsidRDefault="000A6DB2" w:rsidP="00662D53">
      <w:pPr>
        <w:keepNext/>
        <w:suppressLineNumbers/>
        <w:pBdr>
          <w:top w:val="nil"/>
          <w:left w:val="nil"/>
          <w:bottom w:val="nil"/>
          <w:right w:val="nil"/>
          <w:between w:val="nil"/>
          <w:bar w:val="nil"/>
        </w:pBdr>
        <w:suppressAutoHyphens/>
        <w:kinsoku w:val="0"/>
        <w:overflowPunct w:val="0"/>
        <w:autoSpaceDE w:val="0"/>
        <w:autoSpaceDN w:val="0"/>
        <w:spacing w:before="240" w:after="120"/>
        <w:rPr>
          <w:rFonts w:eastAsia="SimSun"/>
          <w:b/>
          <w:i/>
          <w:snapToGrid w:val="0"/>
          <w:kern w:val="22"/>
          <w:szCs w:val="22"/>
        </w:rPr>
      </w:pPr>
      <w:r w:rsidRPr="00662D53">
        <w:rPr>
          <w:rFonts w:eastAsia="SimSun"/>
          <w:iCs/>
          <w:snapToGrid w:val="0"/>
          <w:kern w:val="22"/>
          <w:szCs w:val="22"/>
        </w:rPr>
        <w:t>(b)</w:t>
      </w:r>
      <w:r w:rsidR="004F6E72" w:rsidRPr="00662D53">
        <w:rPr>
          <w:rFonts w:eastAsia="SimSun"/>
          <w:iCs/>
          <w:snapToGrid w:val="0"/>
          <w:kern w:val="22"/>
          <w:szCs w:val="22"/>
        </w:rPr>
        <w:tab/>
      </w:r>
      <w:r w:rsidRPr="00662D53">
        <w:rPr>
          <w:rFonts w:eastAsia="SimSun"/>
          <w:i/>
          <w:snapToGrid w:val="0"/>
          <w:kern w:val="22"/>
          <w:szCs w:val="22"/>
        </w:rPr>
        <w:t>Challenges and difficulties</w:t>
      </w:r>
    </w:p>
    <w:p w:rsidR="000A6DB2" w:rsidRPr="00662D53" w:rsidRDefault="000A6DB2" w:rsidP="00662D53">
      <w:pPr>
        <w:numPr>
          <w:ilvl w:val="0"/>
          <w:numId w:val="20"/>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lastRenderedPageBreak/>
        <w:t xml:space="preserve">Some Parties reported that there were no perceived challenges in making information available in the ABS Clearing-House. Some of the difficulties and challenges identified by other Parties are the following: (a) delays in the designation of the publishing authority; (b) frequent changes in responsible authorities; (c) </w:t>
      </w:r>
      <w:r w:rsidR="00594E03">
        <w:rPr>
          <w:rFonts w:eastAsia="SimSun"/>
          <w:snapToGrid w:val="0"/>
          <w:kern w:val="22"/>
          <w:szCs w:val="22"/>
        </w:rPr>
        <w:t xml:space="preserve">the </w:t>
      </w:r>
      <w:r w:rsidRPr="00662D53">
        <w:rPr>
          <w:rFonts w:eastAsia="SimSun"/>
          <w:snapToGrid w:val="0"/>
          <w:kern w:val="22"/>
          <w:szCs w:val="22"/>
        </w:rPr>
        <w:t>need for translation of the ABS Clearing-House in</w:t>
      </w:r>
      <w:r w:rsidR="00594E03">
        <w:rPr>
          <w:rFonts w:eastAsia="SimSun"/>
          <w:snapToGrid w:val="0"/>
          <w:kern w:val="22"/>
          <w:szCs w:val="22"/>
        </w:rPr>
        <w:t>to other</w:t>
      </w:r>
      <w:r w:rsidRPr="00662D53">
        <w:rPr>
          <w:rFonts w:eastAsia="SimSun"/>
          <w:snapToGrid w:val="0"/>
          <w:kern w:val="22"/>
          <w:szCs w:val="22"/>
        </w:rPr>
        <w:t xml:space="preserve"> languages; (d) </w:t>
      </w:r>
      <w:r w:rsidR="00594E03">
        <w:rPr>
          <w:rFonts w:eastAsia="SimSun"/>
          <w:snapToGrid w:val="0"/>
          <w:kern w:val="22"/>
          <w:szCs w:val="22"/>
        </w:rPr>
        <w:t xml:space="preserve">the </w:t>
      </w:r>
      <w:r w:rsidRPr="00662D53">
        <w:rPr>
          <w:rFonts w:eastAsia="SimSun"/>
          <w:snapToGrid w:val="0"/>
          <w:kern w:val="22"/>
          <w:szCs w:val="22"/>
        </w:rPr>
        <w:t>need for capacity to use the ABS Clearing-House; and (e) technical difficulties.</w:t>
      </w:r>
    </w:p>
    <w:p w:rsidR="000A6DB2" w:rsidRPr="00662D53" w:rsidRDefault="000A6DB2" w:rsidP="00662D53">
      <w:pPr>
        <w:numPr>
          <w:ilvl w:val="0"/>
          <w:numId w:val="20"/>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662D53">
        <w:rPr>
          <w:rFonts w:eastAsia="SimSun"/>
          <w:snapToGrid w:val="0"/>
          <w:kern w:val="22"/>
          <w:szCs w:val="22"/>
        </w:rPr>
        <w:t>With respect to the internationally recogni</w:t>
      </w:r>
      <w:r w:rsidR="00BB0BFE" w:rsidRPr="00662D53">
        <w:rPr>
          <w:rFonts w:eastAsia="SimSun"/>
          <w:snapToGrid w:val="0"/>
          <w:kern w:val="22"/>
          <w:szCs w:val="22"/>
        </w:rPr>
        <w:t>z</w:t>
      </w:r>
      <w:r w:rsidRPr="00662D53">
        <w:rPr>
          <w:rFonts w:eastAsia="SimSun"/>
          <w:snapToGrid w:val="0"/>
          <w:kern w:val="22"/>
          <w:szCs w:val="22"/>
        </w:rPr>
        <w:t xml:space="preserve">ed certificates of compliance, Parties that reported having issued permits or their equivalent identified the following constraints for publishing this information in the ABS Clearing-House: (a) the need to adopt ABS measures; (b) technical problems </w:t>
      </w:r>
      <w:r w:rsidR="008938E4">
        <w:rPr>
          <w:rFonts w:eastAsia="SimSun"/>
          <w:snapToGrid w:val="0"/>
          <w:kern w:val="22"/>
          <w:szCs w:val="22"/>
        </w:rPr>
        <w:t xml:space="preserve">in </w:t>
      </w:r>
      <w:r w:rsidRPr="00662D53">
        <w:rPr>
          <w:rFonts w:eastAsia="SimSun"/>
          <w:snapToGrid w:val="0"/>
          <w:kern w:val="22"/>
          <w:szCs w:val="22"/>
        </w:rPr>
        <w:t xml:space="preserve">accessing the ABS Clearing-House; (c) the need to streamline the process for making permits available to the ABS Clearing-House; (d) lack of human resources; (e) </w:t>
      </w:r>
      <w:r w:rsidR="008938E4">
        <w:rPr>
          <w:rFonts w:eastAsia="SimSun"/>
          <w:snapToGrid w:val="0"/>
          <w:kern w:val="22"/>
          <w:szCs w:val="22"/>
        </w:rPr>
        <w:t xml:space="preserve">the </w:t>
      </w:r>
      <w:r w:rsidRPr="00662D53">
        <w:rPr>
          <w:rFonts w:eastAsia="SimSun"/>
          <w:snapToGrid w:val="0"/>
          <w:kern w:val="22"/>
          <w:szCs w:val="22"/>
        </w:rPr>
        <w:t>need for capacity-building; and (f) delays in the designation of publishing authorities.</w:t>
      </w:r>
    </w:p>
    <w:p w:rsidR="000A6DB2" w:rsidRPr="00662D53" w:rsidRDefault="00A347FC" w:rsidP="00662D53">
      <w:pPr>
        <w:pStyle w:val="Heading1"/>
        <w:numPr>
          <w:ilvl w:val="0"/>
          <w:numId w:val="14"/>
        </w:numPr>
        <w:suppressLineNumbers/>
        <w:tabs>
          <w:tab w:val="clear" w:pos="720"/>
          <w:tab w:val="left" w:pos="540"/>
        </w:tabs>
        <w:suppressAutoHyphens/>
        <w:kinsoku w:val="0"/>
        <w:overflowPunct w:val="0"/>
        <w:autoSpaceDE w:val="0"/>
        <w:autoSpaceDN w:val="0"/>
        <w:spacing w:before="120"/>
        <w:ind w:left="0" w:firstLine="0"/>
        <w:rPr>
          <w:rFonts w:ascii="Times New Roman Bold" w:hAnsi="Times New Roman Bold" w:cs="Times New Roman Bold"/>
          <w:bCs/>
          <w:snapToGrid w:val="0"/>
          <w:kern w:val="22"/>
          <w:szCs w:val="22"/>
        </w:rPr>
      </w:pPr>
      <w:r w:rsidRPr="00662D53">
        <w:rPr>
          <w:rFonts w:ascii="Times New Roman Bold" w:hAnsi="Times New Roman Bold" w:cs="Times New Roman Bold"/>
          <w:bCs/>
          <w:snapToGrid w:val="0"/>
          <w:kern w:val="22"/>
          <w:szCs w:val="22"/>
        </w:rPr>
        <w:t xml:space="preserve">Suggested issues for consideration </w:t>
      </w:r>
    </w:p>
    <w:p w:rsidR="000A6DB2" w:rsidRPr="00662D53" w:rsidRDefault="000A6DB2" w:rsidP="00662D53">
      <w:pPr>
        <w:numPr>
          <w:ilvl w:val="0"/>
          <w:numId w:val="20"/>
        </w:numPr>
        <w:suppressLineNumbers/>
        <w:suppressAutoHyphens/>
        <w:kinsoku w:val="0"/>
        <w:overflowPunct w:val="0"/>
        <w:autoSpaceDE w:val="0"/>
        <w:autoSpaceDN w:val="0"/>
        <w:spacing w:before="120" w:after="120"/>
        <w:rPr>
          <w:snapToGrid w:val="0"/>
          <w:kern w:val="22"/>
          <w:szCs w:val="22"/>
        </w:rPr>
      </w:pPr>
      <w:r w:rsidRPr="00662D53">
        <w:rPr>
          <w:snapToGrid w:val="0"/>
          <w:kern w:val="22"/>
          <w:szCs w:val="22"/>
        </w:rPr>
        <w:t xml:space="preserve">The Committee may wish to consider the rate of submission of the interim national reports described in section II </w:t>
      </w:r>
      <w:r w:rsidR="00524D15">
        <w:rPr>
          <w:snapToGrid w:val="0"/>
          <w:kern w:val="22"/>
          <w:szCs w:val="22"/>
        </w:rPr>
        <w:t>above</w:t>
      </w:r>
      <w:r w:rsidRPr="00662D53">
        <w:rPr>
          <w:snapToGrid w:val="0"/>
          <w:kern w:val="22"/>
          <w:szCs w:val="22"/>
        </w:rPr>
        <w:t>.</w:t>
      </w:r>
    </w:p>
    <w:p w:rsidR="000A6DB2" w:rsidRPr="00662D53" w:rsidRDefault="000A6DB2" w:rsidP="00662D53">
      <w:pPr>
        <w:numPr>
          <w:ilvl w:val="0"/>
          <w:numId w:val="20"/>
        </w:numPr>
        <w:suppressLineNumbers/>
        <w:suppressAutoHyphens/>
        <w:kinsoku w:val="0"/>
        <w:overflowPunct w:val="0"/>
        <w:autoSpaceDE w:val="0"/>
        <w:autoSpaceDN w:val="0"/>
        <w:spacing w:before="120" w:after="120"/>
        <w:rPr>
          <w:snapToGrid w:val="0"/>
          <w:kern w:val="22"/>
          <w:szCs w:val="22"/>
        </w:rPr>
      </w:pPr>
      <w:r w:rsidRPr="00662D53">
        <w:rPr>
          <w:snapToGrid w:val="0"/>
          <w:kern w:val="22"/>
          <w:szCs w:val="22"/>
        </w:rPr>
        <w:t xml:space="preserve">As a contribution to the first assessment and review of the Protocol, the Committee is invited to consider </w:t>
      </w:r>
      <w:r w:rsidR="00524D15">
        <w:rPr>
          <w:snapToGrid w:val="0"/>
          <w:kern w:val="22"/>
          <w:szCs w:val="22"/>
        </w:rPr>
        <w:t xml:space="preserve">the </w:t>
      </w:r>
      <w:r w:rsidRPr="00662D53">
        <w:rPr>
          <w:snapToGrid w:val="0"/>
          <w:kern w:val="22"/>
          <w:szCs w:val="22"/>
        </w:rPr>
        <w:t>progress made by Parties in implementing the Protocol and to examine the possible general issues of compliance, as well as difficulties and challenges identified in section II</w:t>
      </w:r>
      <w:r w:rsidR="00524D15">
        <w:rPr>
          <w:snapToGrid w:val="0"/>
          <w:kern w:val="22"/>
          <w:szCs w:val="22"/>
        </w:rPr>
        <w:t xml:space="preserve"> above</w:t>
      </w:r>
      <w:r w:rsidRPr="00662D53">
        <w:rPr>
          <w:snapToGrid w:val="0"/>
          <w:kern w:val="22"/>
          <w:szCs w:val="22"/>
        </w:rPr>
        <w:t>, with a view to provid</w:t>
      </w:r>
      <w:r w:rsidR="002879B8" w:rsidRPr="00662D53">
        <w:rPr>
          <w:snapToGrid w:val="0"/>
          <w:kern w:val="22"/>
          <w:szCs w:val="22"/>
        </w:rPr>
        <w:t>ing</w:t>
      </w:r>
      <w:r w:rsidRPr="00662D53">
        <w:rPr>
          <w:snapToGrid w:val="0"/>
          <w:kern w:val="22"/>
          <w:szCs w:val="22"/>
        </w:rPr>
        <w:t xml:space="preserve"> inputs in the form of information and findings on general issues of compliance </w:t>
      </w:r>
      <w:r w:rsidR="00611450">
        <w:rPr>
          <w:snapToGrid w:val="0"/>
          <w:kern w:val="22"/>
          <w:szCs w:val="22"/>
        </w:rPr>
        <w:t>for</w:t>
      </w:r>
      <w:r w:rsidR="00611450" w:rsidRPr="00662D53">
        <w:rPr>
          <w:snapToGrid w:val="0"/>
          <w:kern w:val="22"/>
          <w:szCs w:val="22"/>
        </w:rPr>
        <w:t xml:space="preserve"> </w:t>
      </w:r>
      <w:r w:rsidRPr="00662D53">
        <w:rPr>
          <w:snapToGrid w:val="0"/>
          <w:kern w:val="22"/>
          <w:szCs w:val="22"/>
        </w:rPr>
        <w:t>the second meeting of the Subsidiary Body on Implementation. The Committee may also wish to provide recommendations to the Subsidiary Body on Implementation to assist in addressing challenges to the implementation of the Protocol.</w:t>
      </w:r>
    </w:p>
    <w:p w:rsidR="000A6DB2" w:rsidRPr="00662D53" w:rsidRDefault="000A6DB2" w:rsidP="00662D53">
      <w:pPr>
        <w:numPr>
          <w:ilvl w:val="0"/>
          <w:numId w:val="20"/>
        </w:numPr>
        <w:suppressLineNumbers/>
        <w:suppressAutoHyphens/>
        <w:kinsoku w:val="0"/>
        <w:overflowPunct w:val="0"/>
        <w:autoSpaceDE w:val="0"/>
        <w:autoSpaceDN w:val="0"/>
        <w:spacing w:before="120" w:after="120"/>
        <w:rPr>
          <w:snapToGrid w:val="0"/>
          <w:kern w:val="22"/>
          <w:szCs w:val="22"/>
        </w:rPr>
      </w:pPr>
      <w:r w:rsidRPr="00662D53">
        <w:rPr>
          <w:snapToGrid w:val="0"/>
          <w:kern w:val="22"/>
          <w:szCs w:val="22"/>
        </w:rPr>
        <w:t xml:space="preserve">Finally, the Committee may wish to discuss how its findings on general issues of compliance and recommendations to assist in addressing challenges to the implementation of the Protocol may be relevant to the development of the </w:t>
      </w:r>
      <w:hyperlink r:id="rId21" w:history="1">
        <w:r w:rsidRPr="00662D53">
          <w:rPr>
            <w:rStyle w:val="Hyperlink"/>
            <w:snapToGrid w:val="0"/>
            <w:kern w:val="22"/>
            <w:sz w:val="22"/>
            <w:szCs w:val="22"/>
          </w:rPr>
          <w:t xml:space="preserve">post-2020 </w:t>
        </w:r>
        <w:r w:rsidR="00DC4747" w:rsidRPr="004623D2">
          <w:rPr>
            <w:rStyle w:val="Hyperlink"/>
            <w:snapToGrid w:val="0"/>
            <w:kern w:val="22"/>
            <w:sz w:val="22"/>
            <w:szCs w:val="22"/>
          </w:rPr>
          <w:t>b</w:t>
        </w:r>
        <w:r w:rsidRPr="00662D53">
          <w:rPr>
            <w:rStyle w:val="Hyperlink"/>
            <w:snapToGrid w:val="0"/>
            <w:kern w:val="22"/>
            <w:sz w:val="22"/>
            <w:szCs w:val="22"/>
          </w:rPr>
          <w:t xml:space="preserve">iodiversity </w:t>
        </w:r>
        <w:r w:rsidR="00DC4747" w:rsidRPr="004623D2">
          <w:rPr>
            <w:rStyle w:val="Hyperlink"/>
            <w:snapToGrid w:val="0"/>
            <w:kern w:val="22"/>
            <w:sz w:val="22"/>
            <w:szCs w:val="22"/>
          </w:rPr>
          <w:t>f</w:t>
        </w:r>
        <w:r w:rsidRPr="00662D53">
          <w:rPr>
            <w:rStyle w:val="Hyperlink"/>
            <w:snapToGrid w:val="0"/>
            <w:kern w:val="22"/>
            <w:sz w:val="22"/>
            <w:szCs w:val="22"/>
          </w:rPr>
          <w:t>ramework</w:t>
        </w:r>
      </w:hyperlink>
      <w:r w:rsidRPr="00662D53">
        <w:rPr>
          <w:snapToGrid w:val="0"/>
          <w:kern w:val="22"/>
          <w:szCs w:val="22"/>
        </w:rPr>
        <w:t xml:space="preserve">, for example by identifying key priorities for advancing the implementation of the Nagoya Protocol. It may also </w:t>
      </w:r>
      <w:r w:rsidR="004623D2">
        <w:rPr>
          <w:snapToGrid w:val="0"/>
          <w:kern w:val="22"/>
          <w:szCs w:val="22"/>
        </w:rPr>
        <w:t xml:space="preserve">wish to </w:t>
      </w:r>
      <w:r w:rsidRPr="00662D53">
        <w:rPr>
          <w:snapToGrid w:val="0"/>
          <w:kern w:val="22"/>
          <w:szCs w:val="22"/>
        </w:rPr>
        <w:t xml:space="preserve">consider what role it could play in the process towards the development of the post-2020 </w:t>
      </w:r>
      <w:r w:rsidR="009D7479">
        <w:rPr>
          <w:snapToGrid w:val="0"/>
          <w:kern w:val="22"/>
          <w:szCs w:val="22"/>
        </w:rPr>
        <w:t>b</w:t>
      </w:r>
      <w:r w:rsidRPr="00662D53">
        <w:rPr>
          <w:snapToGrid w:val="0"/>
          <w:kern w:val="22"/>
          <w:szCs w:val="22"/>
        </w:rPr>
        <w:t xml:space="preserve">iodiversity </w:t>
      </w:r>
      <w:r w:rsidR="009D7479">
        <w:rPr>
          <w:snapToGrid w:val="0"/>
          <w:kern w:val="22"/>
          <w:szCs w:val="22"/>
        </w:rPr>
        <w:t>f</w:t>
      </w:r>
      <w:r w:rsidRPr="00662D53">
        <w:rPr>
          <w:snapToGrid w:val="0"/>
          <w:kern w:val="22"/>
          <w:szCs w:val="22"/>
        </w:rPr>
        <w:t xml:space="preserve">ramework. The Committee may </w:t>
      </w:r>
      <w:r w:rsidR="004623D2">
        <w:rPr>
          <w:snapToGrid w:val="0"/>
          <w:kern w:val="22"/>
          <w:szCs w:val="22"/>
        </w:rPr>
        <w:t xml:space="preserve">further </w:t>
      </w:r>
      <w:r w:rsidRPr="00662D53">
        <w:rPr>
          <w:snapToGrid w:val="0"/>
          <w:kern w:val="22"/>
          <w:szCs w:val="22"/>
        </w:rPr>
        <w:t xml:space="preserve">wish to make recommendations on these matters to the </w:t>
      </w:r>
      <w:r w:rsidR="004623D2">
        <w:rPr>
          <w:snapToGrid w:val="0"/>
          <w:kern w:val="22"/>
          <w:szCs w:val="22"/>
        </w:rPr>
        <w:t xml:space="preserve">Conference of the </w:t>
      </w:r>
      <w:r w:rsidRPr="00662D53">
        <w:rPr>
          <w:snapToGrid w:val="0"/>
          <w:kern w:val="22"/>
          <w:szCs w:val="22"/>
        </w:rPr>
        <w:t xml:space="preserve">Parties </w:t>
      </w:r>
      <w:r w:rsidR="004623D2">
        <w:rPr>
          <w:snapToGrid w:val="0"/>
          <w:kern w:val="22"/>
          <w:szCs w:val="22"/>
        </w:rPr>
        <w:t xml:space="preserve">serving as the meeting of the Parties </w:t>
      </w:r>
      <w:r w:rsidRPr="00662D53">
        <w:rPr>
          <w:snapToGrid w:val="0"/>
          <w:kern w:val="22"/>
          <w:szCs w:val="22"/>
        </w:rPr>
        <w:t>to the Protocol</w:t>
      </w:r>
      <w:r w:rsidR="002879B8" w:rsidRPr="00662D53">
        <w:rPr>
          <w:snapToGrid w:val="0"/>
          <w:kern w:val="22"/>
          <w:szCs w:val="22"/>
        </w:rPr>
        <w:t xml:space="preserve"> at </w:t>
      </w:r>
      <w:r w:rsidR="004623D2">
        <w:rPr>
          <w:snapToGrid w:val="0"/>
          <w:kern w:val="22"/>
          <w:szCs w:val="22"/>
        </w:rPr>
        <w:t>its</w:t>
      </w:r>
      <w:r w:rsidR="002879B8" w:rsidRPr="00662D53">
        <w:rPr>
          <w:snapToGrid w:val="0"/>
          <w:kern w:val="22"/>
          <w:szCs w:val="22"/>
        </w:rPr>
        <w:t xml:space="preserve"> third meeting</w:t>
      </w:r>
      <w:r w:rsidRPr="00662D53">
        <w:rPr>
          <w:snapToGrid w:val="0"/>
          <w:kern w:val="22"/>
          <w:szCs w:val="22"/>
        </w:rPr>
        <w:t>, as appropriate.</w:t>
      </w:r>
    </w:p>
    <w:p w:rsidR="00B3369F" w:rsidRPr="00662D53" w:rsidRDefault="002879B8" w:rsidP="00662D53">
      <w:pPr>
        <w:suppressLineNumbers/>
        <w:suppressAutoHyphens/>
        <w:kinsoku w:val="0"/>
        <w:overflowPunct w:val="0"/>
        <w:autoSpaceDE w:val="0"/>
        <w:autoSpaceDN w:val="0"/>
        <w:jc w:val="center"/>
        <w:rPr>
          <w:snapToGrid w:val="0"/>
          <w:kern w:val="22"/>
          <w:szCs w:val="22"/>
        </w:rPr>
      </w:pPr>
      <w:r w:rsidRPr="00662D53">
        <w:rPr>
          <w:snapToGrid w:val="0"/>
          <w:kern w:val="22"/>
          <w:szCs w:val="22"/>
        </w:rPr>
        <w:t>__________</w:t>
      </w:r>
      <w:bookmarkStart w:id="1" w:name="_GoBack"/>
      <w:bookmarkEnd w:id="1"/>
    </w:p>
    <w:sectPr w:rsidR="00B3369F" w:rsidRPr="00662D53" w:rsidSect="00662D53">
      <w:headerReference w:type="even" r:id="rId22"/>
      <w:headerReference w:type="default" r:id="rId23"/>
      <w:footerReference w:type="even" r:id="rId24"/>
      <w:footerReference w:type="default" r:id="rId25"/>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80" w:rsidRDefault="00EF7480" w:rsidP="00CF1848">
      <w:r>
        <w:separator/>
      </w:r>
    </w:p>
  </w:endnote>
  <w:endnote w:type="continuationSeparator" w:id="0">
    <w:p w:rsidR="00EF7480" w:rsidRDefault="00EF748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48" w:rsidRDefault="00FA3B48" w:rsidP="00662D53">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48" w:rsidRDefault="00FA3B48" w:rsidP="00662D53">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80" w:rsidRDefault="00EF7480" w:rsidP="00CF1848">
      <w:r>
        <w:separator/>
      </w:r>
    </w:p>
  </w:footnote>
  <w:footnote w:type="continuationSeparator" w:id="0">
    <w:p w:rsidR="00EF7480" w:rsidRDefault="00EF7480" w:rsidP="00CF1848">
      <w:r>
        <w:continuationSeparator/>
      </w:r>
    </w:p>
  </w:footnote>
  <w:footnote w:id="1">
    <w:p w:rsidR="000A6DB2" w:rsidRPr="00662D53" w:rsidRDefault="000A6DB2" w:rsidP="00662D53">
      <w:pPr>
        <w:pStyle w:val="FootnoteText"/>
        <w:kinsoku w:val="0"/>
        <w:overflowPunct w:val="0"/>
        <w:autoSpaceDE w:val="0"/>
        <w:autoSpaceDN w:val="0"/>
        <w:ind w:firstLine="0"/>
        <w:jc w:val="left"/>
        <w:rPr>
          <w:snapToGrid w:val="0"/>
          <w:kern w:val="18"/>
          <w:szCs w:val="18"/>
        </w:rPr>
      </w:pPr>
      <w:r w:rsidRPr="00662D53">
        <w:rPr>
          <w:rStyle w:val="FootnoteReference"/>
          <w:rFonts w:eastAsiaTheme="majorEastAsia"/>
          <w:snapToGrid w:val="0"/>
          <w:kern w:val="18"/>
          <w:sz w:val="18"/>
          <w:szCs w:val="18"/>
        </w:rPr>
        <w:sym w:font="Symbol" w:char="F02A"/>
      </w:r>
      <w:r w:rsidRPr="00662D53">
        <w:rPr>
          <w:snapToGrid w:val="0"/>
          <w:kern w:val="18"/>
          <w:szCs w:val="18"/>
        </w:rPr>
        <w:t xml:space="preserve"> </w:t>
      </w:r>
      <w:hyperlink r:id="rId1" w:history="1">
        <w:proofErr w:type="gramStart"/>
        <w:r w:rsidRPr="00662D53">
          <w:rPr>
            <w:rStyle w:val="Hyperlink"/>
            <w:snapToGrid w:val="0"/>
            <w:kern w:val="18"/>
            <w:szCs w:val="18"/>
          </w:rPr>
          <w:t>CBD/ABS/CC/2/1</w:t>
        </w:r>
      </w:hyperlink>
      <w:r w:rsidRPr="00662D53">
        <w:rPr>
          <w:snapToGrid w:val="0"/>
          <w:kern w:val="18"/>
          <w:szCs w:val="18"/>
        </w:rPr>
        <w:t>.</w:t>
      </w:r>
      <w:proofErr w:type="gramEnd"/>
    </w:p>
  </w:footnote>
  <w:footnote w:id="2">
    <w:p w:rsidR="000A6DB2" w:rsidRPr="00662D53" w:rsidRDefault="000A6DB2" w:rsidP="00662D53">
      <w:pPr>
        <w:pStyle w:val="FootnoteText"/>
        <w:kinsoku w:val="0"/>
        <w:overflowPunct w:val="0"/>
        <w:autoSpaceDE w:val="0"/>
        <w:autoSpaceDN w:val="0"/>
        <w:ind w:firstLine="0"/>
        <w:jc w:val="left"/>
        <w:rPr>
          <w:snapToGrid w:val="0"/>
          <w:kern w:val="18"/>
          <w:szCs w:val="18"/>
        </w:rPr>
      </w:pPr>
      <w:r w:rsidRPr="00662D53">
        <w:rPr>
          <w:rStyle w:val="FootnoteReference"/>
          <w:rFonts w:eastAsiaTheme="majorEastAsia"/>
          <w:snapToGrid w:val="0"/>
          <w:kern w:val="18"/>
          <w:sz w:val="18"/>
          <w:szCs w:val="18"/>
        </w:rPr>
        <w:footnoteRef/>
      </w:r>
      <w:r w:rsidRPr="00662D53">
        <w:rPr>
          <w:snapToGrid w:val="0"/>
          <w:kern w:val="18"/>
          <w:szCs w:val="18"/>
        </w:rPr>
        <w:t xml:space="preserve"> </w:t>
      </w:r>
      <w:proofErr w:type="gramStart"/>
      <w:r w:rsidRPr="00662D53">
        <w:rPr>
          <w:snapToGrid w:val="0"/>
          <w:kern w:val="18"/>
          <w:szCs w:val="18"/>
        </w:rPr>
        <w:t xml:space="preserve">Chad, Ecuador, </w:t>
      </w:r>
      <w:r w:rsidR="0059218E" w:rsidRPr="008F0AB0">
        <w:rPr>
          <w:snapToGrid w:val="0"/>
          <w:kern w:val="18"/>
          <w:szCs w:val="18"/>
        </w:rPr>
        <w:t>Lebanon</w:t>
      </w:r>
      <w:r w:rsidRPr="00662D53">
        <w:rPr>
          <w:snapToGrid w:val="0"/>
          <w:kern w:val="18"/>
          <w:szCs w:val="18"/>
        </w:rPr>
        <w:t>, United Republic of Tanzania</w:t>
      </w:r>
      <w:r w:rsidR="0059218E" w:rsidRPr="0059218E">
        <w:rPr>
          <w:snapToGrid w:val="0"/>
          <w:kern w:val="18"/>
          <w:szCs w:val="18"/>
        </w:rPr>
        <w:t xml:space="preserve"> </w:t>
      </w:r>
      <w:r w:rsidR="0059218E">
        <w:rPr>
          <w:snapToGrid w:val="0"/>
          <w:kern w:val="18"/>
          <w:szCs w:val="18"/>
        </w:rPr>
        <w:t xml:space="preserve">and </w:t>
      </w:r>
      <w:r w:rsidR="0059218E" w:rsidRPr="00140611">
        <w:rPr>
          <w:snapToGrid w:val="0"/>
          <w:kern w:val="18"/>
          <w:szCs w:val="18"/>
        </w:rPr>
        <w:t>Zimbabwe</w:t>
      </w:r>
      <w:r w:rsidR="0035329A" w:rsidRPr="00662D53">
        <w:rPr>
          <w:snapToGrid w:val="0"/>
          <w:kern w:val="18"/>
          <w:szCs w:val="18"/>
        </w:rPr>
        <w:t>.</w:t>
      </w:r>
      <w:proofErr w:type="gramEnd"/>
    </w:p>
  </w:footnote>
  <w:footnote w:id="3">
    <w:p w:rsidR="000A6DB2" w:rsidRPr="00662D53" w:rsidRDefault="000A6DB2" w:rsidP="00662D53">
      <w:pPr>
        <w:pStyle w:val="FootnoteText"/>
        <w:kinsoku w:val="0"/>
        <w:overflowPunct w:val="0"/>
        <w:autoSpaceDE w:val="0"/>
        <w:autoSpaceDN w:val="0"/>
        <w:ind w:firstLine="0"/>
        <w:jc w:val="left"/>
        <w:rPr>
          <w:snapToGrid w:val="0"/>
          <w:kern w:val="18"/>
          <w:szCs w:val="18"/>
          <w:lang w:val="en-CA"/>
        </w:rPr>
      </w:pPr>
      <w:r w:rsidRPr="00662D53">
        <w:rPr>
          <w:rStyle w:val="FootnoteReference"/>
          <w:rFonts w:eastAsiaTheme="majorEastAsia"/>
          <w:snapToGrid w:val="0"/>
          <w:kern w:val="18"/>
          <w:sz w:val="18"/>
          <w:szCs w:val="18"/>
        </w:rPr>
        <w:footnoteRef/>
      </w:r>
      <w:r w:rsidRPr="00662D53">
        <w:rPr>
          <w:snapToGrid w:val="0"/>
          <w:kern w:val="18"/>
          <w:szCs w:val="18"/>
        </w:rPr>
        <w:t xml:space="preserve"> As the Protocol had not yet entered into force for the country following the 90-day period set out in Article 33.2 of the Protocol.</w:t>
      </w:r>
    </w:p>
  </w:footnote>
  <w:footnote w:id="4">
    <w:p w:rsidR="000A6DB2" w:rsidRPr="00662D53" w:rsidRDefault="000A6DB2" w:rsidP="00662D53">
      <w:pPr>
        <w:pStyle w:val="FootnoteText"/>
        <w:kinsoku w:val="0"/>
        <w:overflowPunct w:val="0"/>
        <w:autoSpaceDE w:val="0"/>
        <w:autoSpaceDN w:val="0"/>
        <w:ind w:firstLine="0"/>
        <w:jc w:val="left"/>
        <w:rPr>
          <w:snapToGrid w:val="0"/>
          <w:kern w:val="18"/>
          <w:szCs w:val="18"/>
          <w:lang w:val="en-US"/>
        </w:rPr>
      </w:pPr>
      <w:r w:rsidRPr="00662D53">
        <w:rPr>
          <w:rStyle w:val="FootnoteReference"/>
          <w:rFonts w:eastAsiaTheme="majorEastAsia"/>
          <w:snapToGrid w:val="0"/>
          <w:kern w:val="18"/>
          <w:sz w:val="18"/>
          <w:szCs w:val="18"/>
        </w:rPr>
        <w:footnoteRef/>
      </w:r>
      <w:r w:rsidRPr="00662D53">
        <w:rPr>
          <w:snapToGrid w:val="0"/>
          <w:kern w:val="18"/>
          <w:szCs w:val="18"/>
        </w:rPr>
        <w:t xml:space="preserve"> In </w:t>
      </w:r>
      <w:r w:rsidRPr="00662D53">
        <w:rPr>
          <w:rFonts w:eastAsia="Arial Unicode MS" w:hAnsi="Arial Unicode MS"/>
          <w:snapToGrid w:val="0"/>
          <w:color w:val="000000"/>
          <w:kern w:val="18"/>
          <w:szCs w:val="18"/>
          <w:u w:color="000000"/>
          <w:bdr w:val="nil"/>
        </w:rPr>
        <w:t>decision XIII/21, paragraph 38</w:t>
      </w:r>
      <w:r w:rsidR="0035329A" w:rsidRPr="00662D53">
        <w:rPr>
          <w:rFonts w:eastAsia="Arial Unicode MS" w:hAnsi="Arial Unicode MS"/>
          <w:snapToGrid w:val="0"/>
          <w:color w:val="000000"/>
          <w:kern w:val="18"/>
          <w:szCs w:val="18"/>
          <w:u w:color="000000"/>
          <w:bdr w:val="nil"/>
        </w:rPr>
        <w:t>.</w:t>
      </w:r>
    </w:p>
  </w:footnote>
  <w:footnote w:id="5">
    <w:p w:rsidR="000A6DB2" w:rsidRPr="00662D53" w:rsidRDefault="000A6DB2" w:rsidP="00662D53">
      <w:pPr>
        <w:pStyle w:val="FootnoteText"/>
        <w:kinsoku w:val="0"/>
        <w:overflowPunct w:val="0"/>
        <w:autoSpaceDE w:val="0"/>
        <w:autoSpaceDN w:val="0"/>
        <w:ind w:firstLine="0"/>
        <w:jc w:val="left"/>
        <w:rPr>
          <w:snapToGrid w:val="0"/>
          <w:kern w:val="18"/>
          <w:szCs w:val="18"/>
          <w:lang w:val="en-CA"/>
        </w:rPr>
      </w:pPr>
      <w:r w:rsidRPr="00662D53">
        <w:rPr>
          <w:rStyle w:val="FootnoteReference"/>
          <w:rFonts w:eastAsiaTheme="majorEastAsia"/>
          <w:snapToGrid w:val="0"/>
          <w:kern w:val="18"/>
          <w:sz w:val="18"/>
          <w:szCs w:val="18"/>
        </w:rPr>
        <w:footnoteRef/>
      </w:r>
      <w:r w:rsidRPr="00662D53">
        <w:rPr>
          <w:snapToGrid w:val="0"/>
          <w:kern w:val="18"/>
          <w:szCs w:val="18"/>
        </w:rPr>
        <w:t xml:space="preserve"> </w:t>
      </w:r>
      <w:proofErr w:type="gramStart"/>
      <w:r w:rsidRPr="00662D53">
        <w:rPr>
          <w:snapToGrid w:val="0"/>
          <w:kern w:val="18"/>
          <w:szCs w:val="18"/>
        </w:rPr>
        <w:t>Through notification 2017-032 of 23 February 2017</w:t>
      </w:r>
      <w:r w:rsidR="0035329A" w:rsidRPr="00662D53">
        <w:rPr>
          <w:snapToGrid w:val="0"/>
          <w:kern w:val="18"/>
          <w:szCs w:val="18"/>
        </w:rPr>
        <w:t>.</w:t>
      </w:r>
      <w:proofErr w:type="gramEnd"/>
    </w:p>
  </w:footnote>
  <w:footnote w:id="6">
    <w:p w:rsidR="000A6DB2" w:rsidRPr="00662D53" w:rsidRDefault="000A6DB2" w:rsidP="00662D53">
      <w:pPr>
        <w:pStyle w:val="FootnoteText"/>
        <w:kinsoku w:val="0"/>
        <w:overflowPunct w:val="0"/>
        <w:autoSpaceDE w:val="0"/>
        <w:autoSpaceDN w:val="0"/>
        <w:ind w:firstLine="0"/>
        <w:jc w:val="left"/>
        <w:rPr>
          <w:snapToGrid w:val="0"/>
          <w:kern w:val="18"/>
          <w:szCs w:val="18"/>
          <w:lang w:val="en-US"/>
        </w:rPr>
      </w:pPr>
      <w:r w:rsidRPr="00662D53">
        <w:rPr>
          <w:rStyle w:val="FootnoteReference"/>
          <w:rFonts w:eastAsiaTheme="majorEastAsia"/>
          <w:snapToGrid w:val="0"/>
          <w:kern w:val="18"/>
          <w:sz w:val="18"/>
          <w:szCs w:val="18"/>
        </w:rPr>
        <w:footnoteRef/>
      </w:r>
      <w:r w:rsidRPr="00662D53">
        <w:rPr>
          <w:snapToGrid w:val="0"/>
          <w:kern w:val="18"/>
          <w:szCs w:val="18"/>
        </w:rPr>
        <w:t xml:space="preserve"> For the purpose of </w:t>
      </w:r>
      <w:r w:rsidR="00607313">
        <w:rPr>
          <w:snapToGrid w:val="0"/>
          <w:kern w:val="18"/>
          <w:szCs w:val="18"/>
        </w:rPr>
        <w:t>the present</w:t>
      </w:r>
      <w:r w:rsidR="00607313" w:rsidRPr="00662D53">
        <w:rPr>
          <w:snapToGrid w:val="0"/>
          <w:kern w:val="18"/>
          <w:szCs w:val="18"/>
        </w:rPr>
        <w:t xml:space="preserve"> </w:t>
      </w:r>
      <w:r w:rsidRPr="00662D53">
        <w:rPr>
          <w:snapToGrid w:val="0"/>
          <w:kern w:val="18"/>
          <w:szCs w:val="18"/>
        </w:rPr>
        <w:t>document</w:t>
      </w:r>
      <w:r w:rsidR="00607313">
        <w:rPr>
          <w:snapToGrid w:val="0"/>
          <w:kern w:val="18"/>
          <w:szCs w:val="18"/>
        </w:rPr>
        <w:t>,</w:t>
      </w:r>
      <w:r w:rsidRPr="00662D53">
        <w:rPr>
          <w:snapToGrid w:val="0"/>
          <w:kern w:val="18"/>
          <w:szCs w:val="18"/>
        </w:rPr>
        <w:t xml:space="preserve"> the term “Parties” </w:t>
      </w:r>
      <w:r w:rsidRPr="00662D53">
        <w:rPr>
          <w:rFonts w:eastAsia="Arial Unicode MS" w:hAnsi="Arial Unicode MS"/>
          <w:snapToGrid w:val="0"/>
          <w:kern w:val="18"/>
          <w:szCs w:val="18"/>
          <w:u w:color="000000"/>
          <w:bdr w:val="nil"/>
        </w:rPr>
        <w:t xml:space="preserve">includes those </w:t>
      </w:r>
      <w:r w:rsidR="00607313">
        <w:rPr>
          <w:rFonts w:eastAsia="Arial Unicode MS" w:hAnsi="Arial Unicode MS"/>
          <w:snapToGrid w:val="0"/>
          <w:kern w:val="18"/>
          <w:szCs w:val="18"/>
          <w:u w:color="000000"/>
          <w:bdr w:val="nil"/>
        </w:rPr>
        <w:t>that</w:t>
      </w:r>
      <w:r w:rsidR="00607313" w:rsidRPr="00662D53">
        <w:rPr>
          <w:rFonts w:eastAsia="Arial Unicode MS" w:hAnsi="Arial Unicode MS"/>
          <w:snapToGrid w:val="0"/>
          <w:kern w:val="18"/>
          <w:szCs w:val="18"/>
          <w:u w:color="000000"/>
          <w:bdr w:val="nil"/>
        </w:rPr>
        <w:t xml:space="preserve"> </w:t>
      </w:r>
      <w:r w:rsidRPr="00662D53">
        <w:rPr>
          <w:rFonts w:eastAsia="Arial Unicode MS" w:hAnsi="Arial Unicode MS"/>
          <w:snapToGrid w:val="0"/>
          <w:kern w:val="18"/>
          <w:szCs w:val="18"/>
          <w:u w:color="000000"/>
          <w:bdr w:val="nil"/>
        </w:rPr>
        <w:t xml:space="preserve">had ratified the Nagoya Protocol by 22 February but for </w:t>
      </w:r>
      <w:r w:rsidR="00607313">
        <w:rPr>
          <w:rFonts w:eastAsia="Arial Unicode MS" w:hAnsi="Arial Unicode MS"/>
          <w:snapToGrid w:val="0"/>
          <w:kern w:val="18"/>
          <w:szCs w:val="18"/>
          <w:u w:color="000000"/>
          <w:bdr w:val="nil"/>
        </w:rPr>
        <w:t>which</w:t>
      </w:r>
      <w:r w:rsidR="00607313" w:rsidRPr="00662D53">
        <w:rPr>
          <w:rFonts w:eastAsia="Arial Unicode MS" w:hAnsi="Arial Unicode MS"/>
          <w:snapToGrid w:val="0"/>
          <w:kern w:val="18"/>
          <w:szCs w:val="18"/>
          <w:u w:color="000000"/>
          <w:bdr w:val="nil"/>
        </w:rPr>
        <w:t xml:space="preserve"> </w:t>
      </w:r>
      <w:r w:rsidRPr="00662D53">
        <w:rPr>
          <w:rFonts w:eastAsia="Arial Unicode MS" w:hAnsi="Arial Unicode MS"/>
          <w:snapToGrid w:val="0"/>
          <w:kern w:val="18"/>
          <w:szCs w:val="18"/>
          <w:u w:color="000000"/>
          <w:bdr w:val="nil"/>
        </w:rPr>
        <w:t>the Protocol has not yet entered into force following the 90-day period set out in Article 33.2 of the Protocol.</w:t>
      </w:r>
    </w:p>
  </w:footnote>
  <w:footnote w:id="7">
    <w:p w:rsidR="001B68CB" w:rsidRPr="00662D53" w:rsidRDefault="001B68CB" w:rsidP="00662D53">
      <w:pPr>
        <w:pStyle w:val="FootnoteText"/>
        <w:kinsoku w:val="0"/>
        <w:overflowPunct w:val="0"/>
        <w:autoSpaceDE w:val="0"/>
        <w:autoSpaceDN w:val="0"/>
        <w:ind w:firstLine="0"/>
        <w:jc w:val="left"/>
        <w:rPr>
          <w:snapToGrid w:val="0"/>
          <w:kern w:val="18"/>
          <w:szCs w:val="18"/>
        </w:rPr>
      </w:pPr>
      <w:r w:rsidRPr="00662D53">
        <w:rPr>
          <w:rStyle w:val="FootnoteReference"/>
          <w:snapToGrid w:val="0"/>
          <w:kern w:val="18"/>
          <w:sz w:val="18"/>
          <w:szCs w:val="18"/>
        </w:rPr>
        <w:footnoteRef/>
      </w:r>
      <w:r w:rsidRPr="00662D53">
        <w:rPr>
          <w:snapToGrid w:val="0"/>
          <w:kern w:val="18"/>
          <w:szCs w:val="18"/>
        </w:rPr>
        <w:t xml:space="preserve"> </w:t>
      </w:r>
      <w:r w:rsidRPr="00662D53">
        <w:rPr>
          <w:rFonts w:eastAsia="SimSun"/>
          <w:snapToGrid w:val="0"/>
          <w:kern w:val="18"/>
          <w:szCs w:val="18"/>
        </w:rPr>
        <w:t>“Has your country taken legislative, administrative and policy measures on ABS?”</w:t>
      </w:r>
    </w:p>
  </w:footnote>
  <w:footnote w:id="8">
    <w:p w:rsidR="000A6DB2" w:rsidRPr="00662D53" w:rsidRDefault="000A6DB2" w:rsidP="00662D53">
      <w:pPr>
        <w:pStyle w:val="FootnoteText"/>
        <w:kinsoku w:val="0"/>
        <w:overflowPunct w:val="0"/>
        <w:autoSpaceDE w:val="0"/>
        <w:autoSpaceDN w:val="0"/>
        <w:ind w:firstLine="0"/>
        <w:jc w:val="left"/>
        <w:rPr>
          <w:snapToGrid w:val="0"/>
          <w:kern w:val="18"/>
          <w:szCs w:val="18"/>
          <w:lang w:val="en-US"/>
        </w:rPr>
      </w:pPr>
      <w:r w:rsidRPr="00662D53">
        <w:rPr>
          <w:rStyle w:val="FootnoteReference"/>
          <w:rFonts w:eastAsiaTheme="majorEastAsia"/>
          <w:snapToGrid w:val="0"/>
          <w:kern w:val="18"/>
          <w:sz w:val="18"/>
          <w:szCs w:val="18"/>
        </w:rPr>
        <w:footnoteRef/>
      </w:r>
      <w:r w:rsidRPr="00662D53">
        <w:rPr>
          <w:snapToGrid w:val="0"/>
          <w:kern w:val="18"/>
          <w:szCs w:val="18"/>
        </w:rPr>
        <w:t xml:space="preserve"> Some of these Parties </w:t>
      </w:r>
      <w:r w:rsidRPr="00662D53">
        <w:rPr>
          <w:rFonts w:eastAsia="SimSun"/>
          <w:snapToGrid w:val="0"/>
          <w:kern w:val="18"/>
          <w:szCs w:val="18"/>
        </w:rPr>
        <w:t xml:space="preserve">have published some information in the ABS Clearing-House and indicated that they </w:t>
      </w:r>
      <w:r w:rsidR="002A4873">
        <w:rPr>
          <w:rFonts w:eastAsia="SimSun"/>
          <w:snapToGrid w:val="0"/>
          <w:kern w:val="18"/>
          <w:szCs w:val="18"/>
        </w:rPr>
        <w:t>had</w:t>
      </w:r>
      <w:r w:rsidR="002A4873" w:rsidRPr="00662D53">
        <w:rPr>
          <w:rFonts w:eastAsia="SimSun"/>
          <w:snapToGrid w:val="0"/>
          <w:kern w:val="18"/>
          <w:szCs w:val="18"/>
        </w:rPr>
        <w:t xml:space="preserve"> </w:t>
      </w:r>
      <w:r w:rsidRPr="00662D53">
        <w:rPr>
          <w:rFonts w:eastAsia="SimSun"/>
          <w:snapToGrid w:val="0"/>
          <w:kern w:val="18"/>
          <w:szCs w:val="18"/>
        </w:rPr>
        <w:t xml:space="preserve">information available that </w:t>
      </w:r>
      <w:r w:rsidR="002A4873">
        <w:rPr>
          <w:rFonts w:eastAsia="SimSun"/>
          <w:snapToGrid w:val="0"/>
          <w:kern w:val="18"/>
          <w:szCs w:val="18"/>
        </w:rPr>
        <w:t>had</w:t>
      </w:r>
      <w:r w:rsidR="002A4873" w:rsidRPr="00662D53">
        <w:rPr>
          <w:rFonts w:eastAsia="SimSun"/>
          <w:snapToGrid w:val="0"/>
          <w:kern w:val="18"/>
          <w:szCs w:val="18"/>
        </w:rPr>
        <w:t xml:space="preserve"> </w:t>
      </w:r>
      <w:r w:rsidRPr="00662D53">
        <w:rPr>
          <w:rFonts w:eastAsia="SimSun"/>
          <w:snapToGrid w:val="0"/>
          <w:kern w:val="18"/>
          <w:szCs w:val="18"/>
        </w:rPr>
        <w:t>not yet been published.</w:t>
      </w:r>
    </w:p>
  </w:footnote>
  <w:footnote w:id="9">
    <w:p w:rsidR="000A6DB2" w:rsidRPr="00662D53" w:rsidRDefault="000A6DB2" w:rsidP="00662D53">
      <w:pPr>
        <w:pStyle w:val="FootnoteText"/>
        <w:kinsoku w:val="0"/>
        <w:overflowPunct w:val="0"/>
        <w:autoSpaceDE w:val="0"/>
        <w:autoSpaceDN w:val="0"/>
        <w:ind w:firstLine="0"/>
        <w:jc w:val="left"/>
        <w:rPr>
          <w:snapToGrid w:val="0"/>
          <w:kern w:val="18"/>
          <w:szCs w:val="18"/>
        </w:rPr>
      </w:pPr>
      <w:r w:rsidRPr="00662D53">
        <w:rPr>
          <w:rStyle w:val="FootnoteReference"/>
          <w:rFonts w:eastAsiaTheme="majorEastAsia"/>
          <w:snapToGrid w:val="0"/>
          <w:kern w:val="18"/>
          <w:sz w:val="18"/>
          <w:szCs w:val="18"/>
        </w:rPr>
        <w:footnoteRef/>
      </w:r>
      <w:r w:rsidRPr="00662D53">
        <w:rPr>
          <w:snapToGrid w:val="0"/>
          <w:kern w:val="18"/>
          <w:szCs w:val="18"/>
        </w:rPr>
        <w:t xml:space="preserve"> </w:t>
      </w:r>
      <w:r w:rsidR="002A4873">
        <w:rPr>
          <w:rFonts w:eastAsia="SimSun"/>
          <w:snapToGrid w:val="0"/>
          <w:kern w:val="18"/>
          <w:szCs w:val="18"/>
        </w:rPr>
        <w:t>O</w:t>
      </w:r>
      <w:r w:rsidRPr="00662D53">
        <w:rPr>
          <w:rFonts w:eastAsia="SimSun"/>
          <w:snapToGrid w:val="0"/>
          <w:kern w:val="18"/>
          <w:szCs w:val="18"/>
        </w:rPr>
        <w:t>f these 11 Parties</w:t>
      </w:r>
      <w:r w:rsidR="002A4873">
        <w:rPr>
          <w:rFonts w:eastAsia="SimSun"/>
          <w:snapToGrid w:val="0"/>
          <w:kern w:val="18"/>
          <w:szCs w:val="18"/>
        </w:rPr>
        <w:t>, 4</w:t>
      </w:r>
      <w:r w:rsidRPr="00662D53">
        <w:rPr>
          <w:rFonts w:eastAsia="SimSun"/>
          <w:snapToGrid w:val="0"/>
          <w:kern w:val="18"/>
          <w:szCs w:val="18"/>
        </w:rPr>
        <w:t xml:space="preserve"> have already published some permits constituting internationally recognized certificates of compliance in the ABS Clearing-House but indicated that they also </w:t>
      </w:r>
      <w:r w:rsidR="00652CC2">
        <w:rPr>
          <w:rFonts w:eastAsia="SimSun"/>
          <w:snapToGrid w:val="0"/>
          <w:kern w:val="18"/>
          <w:szCs w:val="18"/>
        </w:rPr>
        <w:t>had</w:t>
      </w:r>
      <w:r w:rsidR="00652CC2" w:rsidRPr="00662D53">
        <w:rPr>
          <w:rFonts w:eastAsia="SimSun"/>
          <w:snapToGrid w:val="0"/>
          <w:kern w:val="18"/>
          <w:szCs w:val="18"/>
        </w:rPr>
        <w:t xml:space="preserve"> </w:t>
      </w:r>
      <w:r w:rsidRPr="00662D53">
        <w:rPr>
          <w:rFonts w:eastAsia="SimSun"/>
          <w:snapToGrid w:val="0"/>
          <w:kern w:val="18"/>
          <w:szCs w:val="18"/>
        </w:rPr>
        <w:t>additional permits to publish</w:t>
      </w:r>
      <w:r w:rsidRPr="00662D53">
        <w:rPr>
          <w:snapToGrid w:val="0"/>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662D53" w:rsidRDefault="000A6DB2" w:rsidP="00662D53">
        <w:pPr>
          <w:pStyle w:val="Header"/>
          <w:tabs>
            <w:tab w:val="clear" w:pos="4320"/>
            <w:tab w:val="clear" w:pos="8640"/>
          </w:tabs>
          <w:kinsoku w:val="0"/>
          <w:overflowPunct w:val="0"/>
          <w:autoSpaceDE w:val="0"/>
          <w:autoSpaceDN w:val="0"/>
          <w:jc w:val="left"/>
          <w:rPr>
            <w:kern w:val="22"/>
          </w:rPr>
        </w:pPr>
        <w:r w:rsidRPr="00662D53">
          <w:rPr>
            <w:kern w:val="22"/>
          </w:rPr>
          <w:t>CBD/ABS/CC/2/3</w:t>
        </w:r>
      </w:p>
    </w:sdtContent>
  </w:sdt>
  <w:p w:rsidR="00534681" w:rsidRPr="00662D53" w:rsidRDefault="00534681" w:rsidP="00662D53">
    <w:pPr>
      <w:pStyle w:val="Header"/>
      <w:tabs>
        <w:tab w:val="clear" w:pos="4320"/>
        <w:tab w:val="clear" w:pos="8640"/>
      </w:tabs>
      <w:kinsoku w:val="0"/>
      <w:overflowPunct w:val="0"/>
      <w:autoSpaceDE w:val="0"/>
      <w:autoSpaceDN w:val="0"/>
      <w:jc w:val="left"/>
      <w:rPr>
        <w:kern w:val="22"/>
      </w:rPr>
    </w:pPr>
    <w:r w:rsidRPr="00662D53">
      <w:rPr>
        <w:kern w:val="22"/>
      </w:rPr>
      <w:t xml:space="preserve">Page </w:t>
    </w:r>
    <w:r w:rsidRPr="00662D53">
      <w:rPr>
        <w:kern w:val="22"/>
      </w:rPr>
      <w:fldChar w:fldCharType="begin"/>
    </w:r>
    <w:r w:rsidRPr="00662D53">
      <w:rPr>
        <w:kern w:val="22"/>
      </w:rPr>
      <w:instrText xml:space="preserve"> PAGE   \* MERGEFORMAT </w:instrText>
    </w:r>
    <w:r w:rsidRPr="00662D53">
      <w:rPr>
        <w:kern w:val="22"/>
      </w:rPr>
      <w:fldChar w:fldCharType="separate"/>
    </w:r>
    <w:r w:rsidR="00662D53">
      <w:rPr>
        <w:noProof/>
        <w:kern w:val="22"/>
      </w:rPr>
      <w:t>10</w:t>
    </w:r>
    <w:r w:rsidRPr="00662D53">
      <w:rPr>
        <w:noProof/>
        <w:kern w:val="22"/>
      </w:rPr>
      <w:fldChar w:fldCharType="end"/>
    </w:r>
  </w:p>
  <w:p w:rsidR="00534681" w:rsidRPr="00662D53" w:rsidRDefault="00534681" w:rsidP="00662D53">
    <w:pPr>
      <w:pStyle w:val="Header"/>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662D53" w:rsidRDefault="000A6DB2" w:rsidP="00662D53">
        <w:pPr>
          <w:pStyle w:val="Header"/>
          <w:tabs>
            <w:tab w:val="clear" w:pos="4320"/>
            <w:tab w:val="clear" w:pos="8640"/>
          </w:tabs>
          <w:kinsoku w:val="0"/>
          <w:overflowPunct w:val="0"/>
          <w:autoSpaceDE w:val="0"/>
          <w:autoSpaceDN w:val="0"/>
          <w:jc w:val="right"/>
          <w:rPr>
            <w:kern w:val="22"/>
          </w:rPr>
        </w:pPr>
        <w:r w:rsidRPr="00662D53">
          <w:rPr>
            <w:kern w:val="22"/>
          </w:rPr>
          <w:t>CBD/ABS/CC/2/3</w:t>
        </w:r>
      </w:p>
    </w:sdtContent>
  </w:sdt>
  <w:p w:rsidR="009505C9" w:rsidRPr="00662D53" w:rsidRDefault="009505C9" w:rsidP="00662D53">
    <w:pPr>
      <w:pStyle w:val="Header"/>
      <w:tabs>
        <w:tab w:val="clear" w:pos="4320"/>
        <w:tab w:val="clear" w:pos="8640"/>
      </w:tabs>
      <w:kinsoku w:val="0"/>
      <w:overflowPunct w:val="0"/>
      <w:autoSpaceDE w:val="0"/>
      <w:autoSpaceDN w:val="0"/>
      <w:jc w:val="right"/>
      <w:rPr>
        <w:kern w:val="22"/>
      </w:rPr>
    </w:pPr>
    <w:r w:rsidRPr="00662D53">
      <w:rPr>
        <w:kern w:val="22"/>
      </w:rPr>
      <w:t xml:space="preserve">Page </w:t>
    </w:r>
    <w:r w:rsidRPr="00662D53">
      <w:rPr>
        <w:kern w:val="22"/>
      </w:rPr>
      <w:fldChar w:fldCharType="begin"/>
    </w:r>
    <w:r w:rsidRPr="00662D53">
      <w:rPr>
        <w:kern w:val="22"/>
      </w:rPr>
      <w:instrText xml:space="preserve"> PAGE   \* MERGEFORMAT </w:instrText>
    </w:r>
    <w:r w:rsidRPr="00662D53">
      <w:rPr>
        <w:kern w:val="22"/>
      </w:rPr>
      <w:fldChar w:fldCharType="separate"/>
    </w:r>
    <w:r w:rsidR="00662D53">
      <w:rPr>
        <w:noProof/>
        <w:kern w:val="22"/>
      </w:rPr>
      <w:t>9</w:t>
    </w:r>
    <w:r w:rsidRPr="00662D53">
      <w:rPr>
        <w:noProof/>
        <w:kern w:val="22"/>
      </w:rPr>
      <w:fldChar w:fldCharType="end"/>
    </w:r>
  </w:p>
  <w:p w:rsidR="009505C9" w:rsidRPr="00662D53" w:rsidRDefault="009505C9" w:rsidP="00662D53">
    <w:pPr>
      <w:pStyle w:val="Header"/>
      <w:tabs>
        <w:tab w:val="clear" w:pos="4320"/>
        <w:tab w:val="clear" w:pos="8640"/>
      </w:tabs>
      <w:kinsoku w:val="0"/>
      <w:overflowPunct w:val="0"/>
      <w:autoSpaceDE w:val="0"/>
      <w:autoSpaceDN w:val="0"/>
      <w:jc w:val="right"/>
      <w:rPr>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14573B"/>
    <w:multiLevelType w:val="multilevel"/>
    <w:tmpl w:val="92068458"/>
    <w:lvl w:ilvl="0">
      <w:start w:val="51"/>
      <w:numFmt w:val="decimal"/>
      <w:lvlText w:val="%1."/>
      <w:lvlJc w:val="left"/>
      <w:pPr>
        <w:ind w:left="0" w:firstLine="0"/>
      </w:pPr>
      <w:rPr>
        <w:rFonts w:ascii="Times New Roman" w:hAnsi="Times New Roman" w:cs="Times New Roman" w:hint="default"/>
        <w:b w:val="0"/>
        <w:i w:val="0"/>
        <w:color w:val="000000"/>
        <w:position w:val="0"/>
        <w:sz w:val="22"/>
        <w:szCs w:val="22"/>
      </w:rPr>
    </w:lvl>
    <w:lvl w:ilvl="1">
      <w:start w:val="1"/>
      <w:numFmt w:val="lowerLetter"/>
      <w:lvlText w:val="(%2)"/>
      <w:lvlJc w:val="left"/>
      <w:pPr>
        <w:ind w:left="0" w:firstLine="0"/>
      </w:pPr>
      <w:rPr>
        <w:rFonts w:hint="default"/>
        <w:b w:val="0"/>
        <w:color w:val="000000"/>
        <w:position w:val="0"/>
      </w:rPr>
    </w:lvl>
    <w:lvl w:ilvl="2">
      <w:start w:val="1"/>
      <w:numFmt w:val="lowerRoman"/>
      <w:lvlText w:val="(%3)"/>
      <w:lvlJc w:val="left"/>
      <w:pPr>
        <w:ind w:left="0" w:firstLine="0"/>
      </w:pPr>
      <w:rPr>
        <w:rFonts w:hint="default"/>
        <w:color w:val="000000"/>
        <w:position w:val="0"/>
      </w:rPr>
    </w:lvl>
    <w:lvl w:ilvl="3">
      <w:start w:val="1"/>
      <w:numFmt w:val="bullet"/>
      <w:lvlText w:val="•"/>
      <w:lvlJc w:val="left"/>
      <w:pPr>
        <w:ind w:left="0" w:firstLine="0"/>
      </w:pPr>
      <w:rPr>
        <w:rFonts w:hint="default"/>
        <w:color w:val="000000"/>
        <w:position w:val="0"/>
      </w:rPr>
    </w:lvl>
    <w:lvl w:ilvl="4">
      <w:start w:val="1"/>
      <w:numFmt w:val="lowerLetter"/>
      <w:lvlText w:val="(%5)"/>
      <w:lvlJc w:val="left"/>
      <w:pPr>
        <w:ind w:left="0" w:firstLine="0"/>
      </w:pPr>
      <w:rPr>
        <w:rFonts w:hint="default"/>
        <w:color w:val="000000"/>
        <w:position w:val="0"/>
      </w:rPr>
    </w:lvl>
    <w:lvl w:ilvl="5">
      <w:start w:val="1"/>
      <w:numFmt w:val="lowerRoman"/>
      <w:lvlText w:val="(%6)"/>
      <w:lvlJc w:val="left"/>
      <w:pPr>
        <w:ind w:left="0" w:firstLine="0"/>
      </w:pPr>
      <w:rPr>
        <w:rFonts w:hint="default"/>
        <w:color w:val="000000"/>
        <w:position w:val="0"/>
      </w:rPr>
    </w:lvl>
    <w:lvl w:ilvl="6">
      <w:start w:val="2"/>
      <w:numFmt w:val="decimal"/>
      <w:lvlText w:val="%7."/>
      <w:lvlJc w:val="left"/>
      <w:pPr>
        <w:ind w:left="0" w:firstLine="0"/>
      </w:pPr>
      <w:rPr>
        <w:rFonts w:hint="default"/>
        <w:b w:val="0"/>
        <w:i w:val="0"/>
        <w:iCs/>
        <w:color w:val="000000"/>
        <w:position w:val="0"/>
      </w:rPr>
    </w:lvl>
    <w:lvl w:ilvl="7">
      <w:start w:val="1"/>
      <w:numFmt w:val="lowerLetter"/>
      <w:lvlText w:val="%8."/>
      <w:lvlJc w:val="left"/>
      <w:pPr>
        <w:ind w:left="0" w:firstLine="0"/>
      </w:pPr>
      <w:rPr>
        <w:rFonts w:hint="default"/>
        <w:color w:val="000000"/>
        <w:position w:val="0"/>
      </w:rPr>
    </w:lvl>
    <w:lvl w:ilvl="8">
      <w:start w:val="1"/>
      <w:numFmt w:val="lowerRoman"/>
      <w:lvlText w:val="%9."/>
      <w:lvlJc w:val="left"/>
      <w:pPr>
        <w:ind w:left="0" w:firstLine="0"/>
      </w:pPr>
      <w:rPr>
        <w:rFonts w:hint="default"/>
        <w:color w:val="000000"/>
        <w:position w:val="0"/>
      </w:r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AC63A55"/>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1506B72"/>
    <w:multiLevelType w:val="hybridMultilevel"/>
    <w:tmpl w:val="38F6A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A42C9"/>
    <w:multiLevelType w:val="hybridMultilevel"/>
    <w:tmpl w:val="686ED39E"/>
    <w:lvl w:ilvl="0" w:tplc="0DCCC07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D492D22"/>
    <w:multiLevelType w:val="multilevel"/>
    <w:tmpl w:val="800490A2"/>
    <w:lvl w:ilvl="0">
      <w:start w:val="1"/>
      <w:numFmt w:val="decimal"/>
      <w:lvlText w:val="%1."/>
      <w:lvlJc w:val="left"/>
      <w:rPr>
        <w:rFonts w:ascii="Times New Roman" w:hAnsi="Times New Roman" w:cs="Times New Roman" w:hint="default"/>
        <w:b w:val="0"/>
        <w:i w:val="0"/>
        <w:color w:val="000000"/>
        <w:position w:val="0"/>
        <w:sz w:val="22"/>
        <w:szCs w:val="22"/>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b w:val="0"/>
        <w:i w:val="0"/>
        <w:iCs/>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0">
    <w:nsid w:val="4DD0716C"/>
    <w:multiLevelType w:val="multilevel"/>
    <w:tmpl w:val="8C869236"/>
    <w:lvl w:ilvl="0">
      <w:start w:val="33"/>
      <w:numFmt w:val="decimal"/>
      <w:lvlText w:val="%1."/>
      <w:lvlJc w:val="left"/>
      <w:pPr>
        <w:ind w:left="0" w:firstLine="0"/>
      </w:pPr>
      <w:rPr>
        <w:rFonts w:ascii="Times New Roman" w:hAnsi="Times New Roman" w:cs="Times New Roman" w:hint="default"/>
        <w:b w:val="0"/>
        <w:i w:val="0"/>
        <w:color w:val="000000"/>
        <w:position w:val="0"/>
        <w:sz w:val="22"/>
        <w:szCs w:val="22"/>
      </w:rPr>
    </w:lvl>
    <w:lvl w:ilvl="1">
      <w:start w:val="2"/>
      <w:numFmt w:val="lowerLetter"/>
      <w:lvlText w:val="(%2)"/>
      <w:lvlJc w:val="left"/>
      <w:pPr>
        <w:ind w:left="0" w:firstLine="0"/>
      </w:pPr>
      <w:rPr>
        <w:rFonts w:hint="default"/>
        <w:b w:val="0"/>
        <w:color w:val="000000"/>
        <w:position w:val="0"/>
      </w:rPr>
    </w:lvl>
    <w:lvl w:ilvl="2">
      <w:start w:val="1"/>
      <w:numFmt w:val="lowerRoman"/>
      <w:lvlText w:val="(%3)"/>
      <w:lvlJc w:val="left"/>
      <w:pPr>
        <w:ind w:left="0" w:firstLine="0"/>
      </w:pPr>
      <w:rPr>
        <w:rFonts w:hint="default"/>
        <w:color w:val="000000"/>
        <w:position w:val="0"/>
      </w:rPr>
    </w:lvl>
    <w:lvl w:ilvl="3">
      <w:start w:val="1"/>
      <w:numFmt w:val="bullet"/>
      <w:lvlText w:val="•"/>
      <w:lvlJc w:val="left"/>
      <w:pPr>
        <w:ind w:left="0" w:firstLine="0"/>
      </w:pPr>
      <w:rPr>
        <w:rFonts w:hint="default"/>
        <w:color w:val="000000"/>
        <w:position w:val="0"/>
      </w:rPr>
    </w:lvl>
    <w:lvl w:ilvl="4">
      <w:start w:val="1"/>
      <w:numFmt w:val="lowerLetter"/>
      <w:lvlText w:val="(%5)"/>
      <w:lvlJc w:val="left"/>
      <w:pPr>
        <w:ind w:left="0" w:firstLine="0"/>
      </w:pPr>
      <w:rPr>
        <w:rFonts w:hint="default"/>
        <w:color w:val="000000"/>
        <w:position w:val="0"/>
      </w:rPr>
    </w:lvl>
    <w:lvl w:ilvl="5">
      <w:start w:val="1"/>
      <w:numFmt w:val="lowerRoman"/>
      <w:lvlText w:val="(%6)"/>
      <w:lvlJc w:val="left"/>
      <w:pPr>
        <w:ind w:left="0" w:firstLine="0"/>
      </w:pPr>
      <w:rPr>
        <w:rFonts w:hint="default"/>
        <w:color w:val="000000"/>
        <w:position w:val="0"/>
      </w:rPr>
    </w:lvl>
    <w:lvl w:ilvl="6">
      <w:start w:val="1"/>
      <w:numFmt w:val="decimal"/>
      <w:lvlText w:val="%7."/>
      <w:lvlJc w:val="left"/>
      <w:pPr>
        <w:ind w:left="0" w:firstLine="0"/>
      </w:pPr>
      <w:rPr>
        <w:rFonts w:hint="default"/>
        <w:b w:val="0"/>
        <w:i w:val="0"/>
        <w:iCs/>
        <w:color w:val="000000"/>
        <w:position w:val="0"/>
      </w:rPr>
    </w:lvl>
    <w:lvl w:ilvl="7">
      <w:start w:val="1"/>
      <w:numFmt w:val="lowerLetter"/>
      <w:lvlText w:val="%8."/>
      <w:lvlJc w:val="left"/>
      <w:pPr>
        <w:ind w:left="0" w:firstLine="0"/>
      </w:pPr>
      <w:rPr>
        <w:rFonts w:hint="default"/>
        <w:color w:val="000000"/>
        <w:position w:val="0"/>
      </w:rPr>
    </w:lvl>
    <w:lvl w:ilvl="8">
      <w:start w:val="1"/>
      <w:numFmt w:val="lowerRoman"/>
      <w:lvlText w:val="%9."/>
      <w:lvlJc w:val="left"/>
      <w:pPr>
        <w:ind w:left="0" w:firstLine="0"/>
      </w:pPr>
      <w:rPr>
        <w:rFonts w:hint="default"/>
        <w:color w:val="000000"/>
        <w:position w:val="0"/>
      </w:r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5501B22"/>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3">
    <w:nsid w:val="5D765389"/>
    <w:multiLevelType w:val="hybridMultilevel"/>
    <w:tmpl w:val="5A56296A"/>
    <w:lvl w:ilvl="0" w:tplc="F6524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D28B3"/>
    <w:multiLevelType w:val="multilevel"/>
    <w:tmpl w:val="7592D242"/>
    <w:lvl w:ilvl="0">
      <w:start w:val="42"/>
      <w:numFmt w:val="decimal"/>
      <w:lvlText w:val="%1."/>
      <w:lvlJc w:val="left"/>
      <w:pPr>
        <w:ind w:left="0" w:firstLine="0"/>
      </w:pPr>
      <w:rPr>
        <w:rFonts w:ascii="Times New Roman" w:hAnsi="Times New Roman" w:cs="Times New Roman" w:hint="default"/>
        <w:b w:val="0"/>
        <w:i w:val="0"/>
        <w:color w:val="000000"/>
        <w:position w:val="0"/>
        <w:sz w:val="22"/>
        <w:szCs w:val="22"/>
      </w:rPr>
    </w:lvl>
    <w:lvl w:ilvl="1">
      <w:start w:val="1"/>
      <w:numFmt w:val="lowerLetter"/>
      <w:lvlText w:val="(%2)"/>
      <w:lvlJc w:val="left"/>
      <w:pPr>
        <w:ind w:left="0" w:firstLine="0"/>
      </w:pPr>
      <w:rPr>
        <w:rFonts w:hint="default"/>
        <w:b w:val="0"/>
        <w:color w:val="000000"/>
        <w:position w:val="0"/>
      </w:rPr>
    </w:lvl>
    <w:lvl w:ilvl="2">
      <w:start w:val="1"/>
      <w:numFmt w:val="lowerRoman"/>
      <w:lvlText w:val="(%3)"/>
      <w:lvlJc w:val="left"/>
      <w:pPr>
        <w:ind w:left="0" w:firstLine="0"/>
      </w:pPr>
      <w:rPr>
        <w:rFonts w:hint="default"/>
        <w:color w:val="000000"/>
        <w:position w:val="0"/>
      </w:rPr>
    </w:lvl>
    <w:lvl w:ilvl="3">
      <w:start w:val="1"/>
      <w:numFmt w:val="bullet"/>
      <w:lvlText w:val="•"/>
      <w:lvlJc w:val="left"/>
      <w:pPr>
        <w:ind w:left="0" w:firstLine="0"/>
      </w:pPr>
      <w:rPr>
        <w:rFonts w:hint="default"/>
        <w:color w:val="000000"/>
        <w:position w:val="0"/>
      </w:rPr>
    </w:lvl>
    <w:lvl w:ilvl="4">
      <w:start w:val="1"/>
      <w:numFmt w:val="lowerLetter"/>
      <w:lvlText w:val="(%5)"/>
      <w:lvlJc w:val="left"/>
      <w:pPr>
        <w:ind w:left="0" w:firstLine="0"/>
      </w:pPr>
      <w:rPr>
        <w:rFonts w:hint="default"/>
        <w:color w:val="000000"/>
        <w:position w:val="0"/>
      </w:rPr>
    </w:lvl>
    <w:lvl w:ilvl="5">
      <w:start w:val="1"/>
      <w:numFmt w:val="lowerRoman"/>
      <w:lvlText w:val="(%6)"/>
      <w:lvlJc w:val="left"/>
      <w:pPr>
        <w:ind w:left="0" w:firstLine="0"/>
      </w:pPr>
      <w:rPr>
        <w:rFonts w:hint="default"/>
        <w:color w:val="000000"/>
        <w:position w:val="0"/>
      </w:rPr>
    </w:lvl>
    <w:lvl w:ilvl="6">
      <w:start w:val="2"/>
      <w:numFmt w:val="decimal"/>
      <w:lvlText w:val="%7."/>
      <w:lvlJc w:val="left"/>
      <w:pPr>
        <w:ind w:left="0" w:firstLine="0"/>
      </w:pPr>
      <w:rPr>
        <w:rFonts w:hint="default"/>
        <w:b w:val="0"/>
        <w:i w:val="0"/>
        <w:iCs/>
        <w:color w:val="000000"/>
        <w:position w:val="0"/>
      </w:rPr>
    </w:lvl>
    <w:lvl w:ilvl="7">
      <w:start w:val="1"/>
      <w:numFmt w:val="lowerLetter"/>
      <w:lvlText w:val="%8."/>
      <w:lvlJc w:val="left"/>
      <w:pPr>
        <w:ind w:left="0" w:firstLine="0"/>
      </w:pPr>
      <w:rPr>
        <w:rFonts w:hint="default"/>
        <w:color w:val="000000"/>
        <w:position w:val="0"/>
      </w:rPr>
    </w:lvl>
    <w:lvl w:ilvl="8">
      <w:start w:val="1"/>
      <w:numFmt w:val="lowerRoman"/>
      <w:lvlText w:val="%9."/>
      <w:lvlJc w:val="left"/>
      <w:pPr>
        <w:ind w:left="0" w:firstLine="0"/>
      </w:pPr>
      <w:rPr>
        <w:rFonts w:hint="default"/>
        <w:color w:val="000000"/>
        <w:position w:val="0"/>
      </w:r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7"/>
  </w:num>
  <w:num w:numId="4">
    <w:abstractNumId w:val="11"/>
  </w:num>
  <w:num w:numId="5">
    <w:abstractNumId w:val="8"/>
  </w:num>
  <w:num w:numId="6">
    <w:abstractNumId w:val="0"/>
  </w:num>
  <w:num w:numId="7">
    <w:abstractNumId w:val="2"/>
  </w:num>
  <w:num w:numId="8">
    <w:abstractNumId w:val="7"/>
    <w:lvlOverride w:ilvl="0">
      <w:startOverride w:val="1"/>
    </w:lvlOverride>
  </w:num>
  <w:num w:numId="9">
    <w:abstractNumId w:val="15"/>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3"/>
  </w:num>
  <w:num w:numId="15">
    <w:abstractNumId w:val="9"/>
  </w:num>
  <w:num w:numId="16">
    <w:abstractNumId w:val="3"/>
  </w:num>
  <w:num w:numId="17">
    <w:abstractNumId w:val="5"/>
  </w:num>
  <w:num w:numId="18">
    <w:abstractNumId w:val="12"/>
  </w:num>
  <w:num w:numId="19">
    <w:abstractNumId w:val="14"/>
  </w:num>
  <w:num w:numId="20">
    <w:abstractNumId w:val="1"/>
  </w:num>
  <w:num w:numId="21">
    <w:abstractNumId w:val="10"/>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revisionView w:markup="0" w:formatting="0" w:inkAnnotations="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3F76"/>
    <w:rsid w:val="0002715D"/>
    <w:rsid w:val="00032922"/>
    <w:rsid w:val="00096D61"/>
    <w:rsid w:val="00097303"/>
    <w:rsid w:val="000A0AC1"/>
    <w:rsid w:val="000A1FDC"/>
    <w:rsid w:val="000A6DB2"/>
    <w:rsid w:val="000B12F3"/>
    <w:rsid w:val="000B310B"/>
    <w:rsid w:val="000C6D16"/>
    <w:rsid w:val="000E4FB1"/>
    <w:rsid w:val="000E673A"/>
    <w:rsid w:val="000F74F5"/>
    <w:rsid w:val="001005A6"/>
    <w:rsid w:val="00102043"/>
    <w:rsid w:val="00105372"/>
    <w:rsid w:val="00125260"/>
    <w:rsid w:val="00131E7A"/>
    <w:rsid w:val="001375F2"/>
    <w:rsid w:val="00154252"/>
    <w:rsid w:val="00172AF6"/>
    <w:rsid w:val="00172D80"/>
    <w:rsid w:val="00176CEE"/>
    <w:rsid w:val="001811C3"/>
    <w:rsid w:val="00181AD8"/>
    <w:rsid w:val="00182152"/>
    <w:rsid w:val="001A088E"/>
    <w:rsid w:val="001A4C7B"/>
    <w:rsid w:val="001A6D5F"/>
    <w:rsid w:val="001B68CB"/>
    <w:rsid w:val="001C083C"/>
    <w:rsid w:val="001C70C5"/>
    <w:rsid w:val="001D3101"/>
    <w:rsid w:val="00213668"/>
    <w:rsid w:val="0021413B"/>
    <w:rsid w:val="002252F3"/>
    <w:rsid w:val="0023397D"/>
    <w:rsid w:val="002478C7"/>
    <w:rsid w:val="00263759"/>
    <w:rsid w:val="002879B8"/>
    <w:rsid w:val="002A4265"/>
    <w:rsid w:val="002A4873"/>
    <w:rsid w:val="002C5B0A"/>
    <w:rsid w:val="002F1C72"/>
    <w:rsid w:val="00305D78"/>
    <w:rsid w:val="00310463"/>
    <w:rsid w:val="00310577"/>
    <w:rsid w:val="00330628"/>
    <w:rsid w:val="003366E6"/>
    <w:rsid w:val="003443D5"/>
    <w:rsid w:val="003465A1"/>
    <w:rsid w:val="0035092D"/>
    <w:rsid w:val="0035329A"/>
    <w:rsid w:val="003652AF"/>
    <w:rsid w:val="00372F74"/>
    <w:rsid w:val="0037323B"/>
    <w:rsid w:val="00381815"/>
    <w:rsid w:val="0039415C"/>
    <w:rsid w:val="003C352F"/>
    <w:rsid w:val="003C3738"/>
    <w:rsid w:val="003E4A62"/>
    <w:rsid w:val="003E51E0"/>
    <w:rsid w:val="003F0E8B"/>
    <w:rsid w:val="003F7CF7"/>
    <w:rsid w:val="00400940"/>
    <w:rsid w:val="004132A1"/>
    <w:rsid w:val="00415390"/>
    <w:rsid w:val="004623D2"/>
    <w:rsid w:val="004644C2"/>
    <w:rsid w:val="004B60CB"/>
    <w:rsid w:val="004C3595"/>
    <w:rsid w:val="004D12F6"/>
    <w:rsid w:val="004D4D02"/>
    <w:rsid w:val="004E750F"/>
    <w:rsid w:val="004F6E72"/>
    <w:rsid w:val="0050420A"/>
    <w:rsid w:val="00524D15"/>
    <w:rsid w:val="00534681"/>
    <w:rsid w:val="00545F12"/>
    <w:rsid w:val="00555933"/>
    <w:rsid w:val="00575558"/>
    <w:rsid w:val="005808C3"/>
    <w:rsid w:val="005844EB"/>
    <w:rsid w:val="00586F21"/>
    <w:rsid w:val="005900CA"/>
    <w:rsid w:val="0059218E"/>
    <w:rsid w:val="00594E03"/>
    <w:rsid w:val="005A68BD"/>
    <w:rsid w:val="005C140C"/>
    <w:rsid w:val="005C4209"/>
    <w:rsid w:val="005C4586"/>
    <w:rsid w:val="005D55E6"/>
    <w:rsid w:val="005D748C"/>
    <w:rsid w:val="00602A44"/>
    <w:rsid w:val="00607313"/>
    <w:rsid w:val="00611450"/>
    <w:rsid w:val="006138D4"/>
    <w:rsid w:val="006239F2"/>
    <w:rsid w:val="00633FDD"/>
    <w:rsid w:val="00643BDF"/>
    <w:rsid w:val="00652CC2"/>
    <w:rsid w:val="00660370"/>
    <w:rsid w:val="00662D53"/>
    <w:rsid w:val="00682C77"/>
    <w:rsid w:val="006A5E73"/>
    <w:rsid w:val="006D2AAE"/>
    <w:rsid w:val="006D4467"/>
    <w:rsid w:val="0071505A"/>
    <w:rsid w:val="00717D88"/>
    <w:rsid w:val="00724682"/>
    <w:rsid w:val="00750D3E"/>
    <w:rsid w:val="00763BD4"/>
    <w:rsid w:val="007709E9"/>
    <w:rsid w:val="007942D3"/>
    <w:rsid w:val="00794842"/>
    <w:rsid w:val="007A2046"/>
    <w:rsid w:val="007A2531"/>
    <w:rsid w:val="007B0D6D"/>
    <w:rsid w:val="007B4543"/>
    <w:rsid w:val="007B6C09"/>
    <w:rsid w:val="007C3702"/>
    <w:rsid w:val="007C7A20"/>
    <w:rsid w:val="007E09DA"/>
    <w:rsid w:val="007E6367"/>
    <w:rsid w:val="0081095A"/>
    <w:rsid w:val="008178B6"/>
    <w:rsid w:val="00817D33"/>
    <w:rsid w:val="00836C84"/>
    <w:rsid w:val="008938E4"/>
    <w:rsid w:val="0093201F"/>
    <w:rsid w:val="009505C9"/>
    <w:rsid w:val="00990001"/>
    <w:rsid w:val="00990876"/>
    <w:rsid w:val="00996C03"/>
    <w:rsid w:val="009A713B"/>
    <w:rsid w:val="009D7479"/>
    <w:rsid w:val="009E69AA"/>
    <w:rsid w:val="009E6BCA"/>
    <w:rsid w:val="009F2573"/>
    <w:rsid w:val="00A011B0"/>
    <w:rsid w:val="00A14346"/>
    <w:rsid w:val="00A25954"/>
    <w:rsid w:val="00A347FC"/>
    <w:rsid w:val="00A411B8"/>
    <w:rsid w:val="00A67F9A"/>
    <w:rsid w:val="00AA7314"/>
    <w:rsid w:val="00AC2193"/>
    <w:rsid w:val="00AC5D43"/>
    <w:rsid w:val="00AC7526"/>
    <w:rsid w:val="00AF18E8"/>
    <w:rsid w:val="00B03F87"/>
    <w:rsid w:val="00B065C8"/>
    <w:rsid w:val="00B17F65"/>
    <w:rsid w:val="00B3369F"/>
    <w:rsid w:val="00B44CF8"/>
    <w:rsid w:val="00B61C95"/>
    <w:rsid w:val="00B727D1"/>
    <w:rsid w:val="00B807C8"/>
    <w:rsid w:val="00B9582E"/>
    <w:rsid w:val="00BA7BE0"/>
    <w:rsid w:val="00BB0BFE"/>
    <w:rsid w:val="00BF2122"/>
    <w:rsid w:val="00C043F4"/>
    <w:rsid w:val="00C2394C"/>
    <w:rsid w:val="00C45ABB"/>
    <w:rsid w:val="00C63CD6"/>
    <w:rsid w:val="00C67221"/>
    <w:rsid w:val="00C67A29"/>
    <w:rsid w:val="00C830E0"/>
    <w:rsid w:val="00C9161D"/>
    <w:rsid w:val="00C9559C"/>
    <w:rsid w:val="00CA69C8"/>
    <w:rsid w:val="00CC2D09"/>
    <w:rsid w:val="00CC41E4"/>
    <w:rsid w:val="00CC4700"/>
    <w:rsid w:val="00CF1848"/>
    <w:rsid w:val="00D04181"/>
    <w:rsid w:val="00D400FD"/>
    <w:rsid w:val="00D53825"/>
    <w:rsid w:val="00D5575C"/>
    <w:rsid w:val="00D57F15"/>
    <w:rsid w:val="00D637A6"/>
    <w:rsid w:val="00D725A3"/>
    <w:rsid w:val="00D75FE0"/>
    <w:rsid w:val="00D76A18"/>
    <w:rsid w:val="00D81736"/>
    <w:rsid w:val="00DB014E"/>
    <w:rsid w:val="00DC4747"/>
    <w:rsid w:val="00DD118C"/>
    <w:rsid w:val="00DE048F"/>
    <w:rsid w:val="00DE666D"/>
    <w:rsid w:val="00E01C1A"/>
    <w:rsid w:val="00E11728"/>
    <w:rsid w:val="00E12E6E"/>
    <w:rsid w:val="00E27381"/>
    <w:rsid w:val="00E650DB"/>
    <w:rsid w:val="00E66235"/>
    <w:rsid w:val="00E71ED9"/>
    <w:rsid w:val="00E8303D"/>
    <w:rsid w:val="00E83C24"/>
    <w:rsid w:val="00E91F4C"/>
    <w:rsid w:val="00ED1465"/>
    <w:rsid w:val="00EE1629"/>
    <w:rsid w:val="00EE1719"/>
    <w:rsid w:val="00EF7480"/>
    <w:rsid w:val="00F05958"/>
    <w:rsid w:val="00F1294C"/>
    <w:rsid w:val="00F170E1"/>
    <w:rsid w:val="00F30BE6"/>
    <w:rsid w:val="00F34E5B"/>
    <w:rsid w:val="00F51059"/>
    <w:rsid w:val="00F62408"/>
    <w:rsid w:val="00F75704"/>
    <w:rsid w:val="00F94774"/>
    <w:rsid w:val="00FA3B48"/>
    <w:rsid w:val="00FA68F7"/>
    <w:rsid w:val="00FC53DB"/>
    <w:rsid w:val="00FE11F7"/>
    <w:rsid w:val="00FE134A"/>
    <w:rsid w:val="00FF761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B17F65"/>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0A6DB2"/>
    <w:pPr>
      <w:pBdr>
        <w:top w:val="nil"/>
        <w:left w:val="nil"/>
        <w:bottom w:val="nil"/>
        <w:right w:val="nil"/>
        <w:between w:val="nil"/>
        <w:bar w:val="nil"/>
      </w:pBdr>
      <w:ind w:left="720"/>
    </w:pPr>
    <w:rPr>
      <w:rFonts w:eastAsia="Arial Unicode MS" w:hAnsi="Arial Unicode MS" w:cs="Arial Unicode MS"/>
      <w:color w:val="000000"/>
      <w:szCs w:val="22"/>
      <w:u w:color="000000"/>
      <w:bdr w:val="nil"/>
      <w:lang w:val="en-US"/>
    </w:rPr>
  </w:style>
  <w:style w:type="character" w:customStyle="1" w:styleId="UnresolvedMention">
    <w:name w:val="Unresolved Mention"/>
    <w:basedOn w:val="DefaultParagraphFont"/>
    <w:uiPriority w:val="99"/>
    <w:semiHidden/>
    <w:unhideWhenUsed/>
    <w:rsid w:val="001C70C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B17F65"/>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0A6DB2"/>
    <w:pPr>
      <w:pBdr>
        <w:top w:val="nil"/>
        <w:left w:val="nil"/>
        <w:bottom w:val="nil"/>
        <w:right w:val="nil"/>
        <w:between w:val="nil"/>
        <w:bar w:val="nil"/>
      </w:pBdr>
      <w:ind w:left="720"/>
    </w:pPr>
    <w:rPr>
      <w:rFonts w:eastAsia="Arial Unicode MS" w:hAnsi="Arial Unicode MS" w:cs="Arial Unicode MS"/>
      <w:color w:val="000000"/>
      <w:szCs w:val="22"/>
      <w:u w:color="000000"/>
      <w:bdr w:val="nil"/>
      <w:lang w:val="en-US"/>
    </w:rPr>
  </w:style>
  <w:style w:type="character" w:customStyle="1" w:styleId="UnresolvedMention">
    <w:name w:val="Unresolved Mention"/>
    <w:basedOn w:val="DefaultParagraphFont"/>
    <w:uiPriority w:val="99"/>
    <w:semiHidden/>
    <w:unhideWhenUsed/>
    <w:rsid w:val="001C70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np-mop-02/np-mop-02-dec-04-en.pdf"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cbd.int/post2020/" TargetMode="Externa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absch.cbd.int/report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np-mop-01/np-mop-01-dec-03-en.pd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0b2c/2720/e624bbebb1a093b90db3d1ce/abs-cc-02-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2563C"/>
    <w:rsid w:val="00204ED8"/>
    <w:rsid w:val="00500A2B"/>
    <w:rsid w:val="0058288D"/>
    <w:rsid w:val="005E1DAB"/>
    <w:rsid w:val="0061507A"/>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7BB73A-97E1-46C6-A6FD-FF0E1AD9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3969</Words>
  <Characters>22627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First assessment and review of the Nagoya Protocol and general issues of compliance</vt:lpstr>
    </vt:vector>
  </TitlesOfParts>
  <Company>SCBD</Company>
  <LinksUpToDate>false</LinksUpToDate>
  <CharactersWithSpaces>26543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assessment and review of the Nagoya Protocol and general issues of compliance</dc:title>
  <dc:subject>CBD/ABS/CC/2/3</dc:subject>
  <dc:creator>SCBD</dc:creator>
  <cp:lastModifiedBy>Orestes Plasencia</cp:lastModifiedBy>
  <cp:revision>2</cp:revision>
  <dcterms:created xsi:type="dcterms:W3CDTF">2018-04-06T21:32:00Z</dcterms:created>
  <dcterms:modified xsi:type="dcterms:W3CDTF">2018-04-06T21:32:00Z</dcterms:modified>
  <cp:contentStatus>GENERAL</cp:contentStatus>
</cp:coreProperties>
</file>