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1928CC" w:rsidRPr="007A1F82" w:rsidTr="00B910D2">
        <w:trPr>
          <w:trHeight w:hRule="exact" w:val="810"/>
        </w:trPr>
        <w:tc>
          <w:tcPr>
            <w:tcW w:w="909" w:type="dxa"/>
            <w:tcBorders>
              <w:top w:val="nil"/>
              <w:bottom w:val="single" w:sz="12" w:space="0" w:color="000000"/>
              <w:right w:val="nil"/>
            </w:tcBorders>
          </w:tcPr>
          <w:p w:rsidR="001928CC" w:rsidRPr="007A1F82" w:rsidRDefault="006D51D7" w:rsidP="00B910D2">
            <w:pPr>
              <w:spacing w:after="120" w:line="480" w:lineRule="auto"/>
              <w:rPr>
                <w:rFonts w:eastAsia="Times New Roman"/>
                <w:snapToGrid w:val="0"/>
                <w:kern w:val="22"/>
                <w:sz w:val="20"/>
                <w:szCs w:val="20"/>
                <w:lang w:val="en-US"/>
              </w:rPr>
            </w:pPr>
            <w:bookmarkStart w:id="0" w:name="_Hlk33348613"/>
            <w:bookmarkStart w:id="1" w:name="Meeting"/>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1;visibility:visible;mso-position-vertical-relative:page" wrapcoords="7353 527 2757 1580 -460 4741 -460 10010 1379 17385 5515 20546 7353 20546 14247 20546 15166 20546 19762 17385 21600 8956 21600 5268 17464 527 13328 527 7353 527">
                  <v:imagedata r:id="rId8" o:title="" cropleft="1f" cropright="1f"/>
                  <w10:wrap type="through" anchory="page"/>
                </v:shape>
              </w:pict>
            </w:r>
          </w:p>
        </w:tc>
        <w:tc>
          <w:tcPr>
            <w:tcW w:w="4320" w:type="dxa"/>
            <w:tcBorders>
              <w:top w:val="nil"/>
              <w:left w:val="nil"/>
              <w:bottom w:val="single" w:sz="12" w:space="0" w:color="000000"/>
              <w:right w:val="nil"/>
            </w:tcBorders>
          </w:tcPr>
          <w:p w:rsidR="001928CC" w:rsidRPr="009B1582" w:rsidRDefault="006D51D7" w:rsidP="00B910D2">
            <w:pPr>
              <w:spacing w:before="60"/>
              <w:rPr>
                <w:rFonts w:eastAsia="Times New Roman"/>
                <w:sz w:val="20"/>
                <w:szCs w:val="20"/>
              </w:rPr>
            </w:pPr>
            <w:r>
              <w:rPr>
                <w:noProof/>
                <w:lang w:val="en-US"/>
              </w:rPr>
              <w:pict>
                <v:shape id="_x0000_s1027" type="#_x0000_t75" style="position:absolute;left:0;text-align:left;margin-left:32.05pt;margin-top:1.75pt;width:14.25pt;height:15.1pt;z-index:2;visibility:visible;mso-position-horizontal-relative:text;mso-position-vertical-relative:text">
                  <v:imagedata r:id="rId9" o:title=""/>
                </v:shape>
              </w:pict>
            </w:r>
            <w:r w:rsidR="001928CC" w:rsidRPr="009B1582">
              <w:rPr>
                <w:rFonts w:ascii="宋体" w:hAnsi="宋体" w:cs="宋体" w:hint="eastAsia"/>
                <w:sz w:val="20"/>
                <w:szCs w:val="20"/>
              </w:rPr>
              <w:t>联合国</w:t>
            </w:r>
          </w:p>
          <w:p w:rsidR="001928CC" w:rsidRPr="009B1582" w:rsidRDefault="001928CC" w:rsidP="00B910D2">
            <w:pPr>
              <w:rPr>
                <w:rFonts w:eastAsia="Times New Roman"/>
                <w:sz w:val="20"/>
                <w:szCs w:val="20"/>
              </w:rPr>
            </w:pPr>
            <w:r w:rsidRPr="009B1582">
              <w:rPr>
                <w:rFonts w:ascii="宋体" w:hAnsi="宋体" w:cs="宋体" w:hint="eastAsia"/>
                <w:sz w:val="20"/>
                <w:szCs w:val="20"/>
              </w:rPr>
              <w:t>环境规划署</w:t>
            </w:r>
          </w:p>
          <w:p w:rsidR="001928CC" w:rsidRPr="007A1F82" w:rsidRDefault="001928CC" w:rsidP="00B910D2">
            <w:pPr>
              <w:rPr>
                <w:rFonts w:eastAsia="Times New Roman"/>
              </w:rPr>
            </w:pPr>
          </w:p>
        </w:tc>
        <w:tc>
          <w:tcPr>
            <w:tcW w:w="5130" w:type="dxa"/>
            <w:tcBorders>
              <w:top w:val="nil"/>
              <w:left w:val="nil"/>
              <w:bottom w:val="single" w:sz="12" w:space="0" w:color="000000"/>
            </w:tcBorders>
          </w:tcPr>
          <w:p w:rsidR="001928CC" w:rsidRPr="009D165D" w:rsidRDefault="001928CC" w:rsidP="00B910D2">
            <w:pPr>
              <w:tabs>
                <w:tab w:val="right" w:pos="7611"/>
              </w:tabs>
              <w:spacing w:before="240"/>
              <w:ind w:left="360" w:right="216"/>
              <w:jc w:val="right"/>
              <w:rPr>
                <w:rFonts w:eastAsia="Times New Roman"/>
                <w:bCs/>
                <w:snapToGrid w:val="0"/>
                <w:kern w:val="22"/>
                <w:sz w:val="40"/>
                <w:szCs w:val="40"/>
                <w:lang w:val="en-US"/>
              </w:rPr>
            </w:pPr>
            <w:r w:rsidRPr="009B1582">
              <w:rPr>
                <w:rFonts w:eastAsia="Times New Roman"/>
                <w:bCs/>
                <w:snapToGrid w:val="0"/>
                <w:kern w:val="22"/>
                <w:sz w:val="40"/>
                <w:szCs w:val="40"/>
              </w:rPr>
              <w:t>CBD</w:t>
            </w:r>
            <w:r w:rsidRPr="009B1582">
              <w:rPr>
                <w:rFonts w:eastAsia="Times New Roman"/>
                <w:bCs/>
                <w:snapToGrid w:val="0"/>
                <w:kern w:val="22"/>
              </w:rPr>
              <w:t>/</w:t>
            </w:r>
            <w:r>
              <w:rPr>
                <w:rFonts w:eastAsia="Times New Roman"/>
                <w:bCs/>
                <w:snapToGrid w:val="0"/>
                <w:kern w:val="22"/>
              </w:rPr>
              <w:t>SB8J</w:t>
            </w:r>
            <w:r w:rsidRPr="009B1582">
              <w:rPr>
                <w:rFonts w:eastAsia="Times New Roman"/>
                <w:bCs/>
                <w:snapToGrid w:val="0"/>
                <w:kern w:val="22"/>
              </w:rPr>
              <w:t>/</w:t>
            </w:r>
            <w:r>
              <w:rPr>
                <w:rFonts w:eastAsia="Times New Roman"/>
                <w:bCs/>
                <w:snapToGrid w:val="0"/>
                <w:kern w:val="22"/>
              </w:rPr>
              <w:t>1</w:t>
            </w:r>
            <w:r w:rsidRPr="009B1582">
              <w:rPr>
                <w:rFonts w:eastAsia="Times New Roman"/>
                <w:bCs/>
                <w:snapToGrid w:val="0"/>
                <w:kern w:val="22"/>
              </w:rPr>
              <w:t>/</w:t>
            </w:r>
            <w:r>
              <w:rPr>
                <w:bCs/>
                <w:snapToGrid w:val="0"/>
                <w:kern w:val="22"/>
              </w:rPr>
              <w:t>7</w:t>
            </w:r>
          </w:p>
          <w:p w:rsidR="001928CC" w:rsidRPr="007A1F82" w:rsidRDefault="001928CC" w:rsidP="00B910D2">
            <w:pPr>
              <w:rPr>
                <w:rFonts w:eastAsia="Times New Roman"/>
                <w:b/>
                <w:snapToGrid w:val="0"/>
                <w:kern w:val="22"/>
                <w:sz w:val="20"/>
              </w:rPr>
            </w:pPr>
          </w:p>
        </w:tc>
      </w:tr>
      <w:tr w:rsidR="001928CC" w:rsidRPr="007A1F82" w:rsidTr="00B910D2">
        <w:trPr>
          <w:trHeight w:val="2130"/>
        </w:trPr>
        <w:tc>
          <w:tcPr>
            <w:tcW w:w="5229" w:type="dxa"/>
            <w:gridSpan w:val="2"/>
            <w:tcBorders>
              <w:top w:val="nil"/>
              <w:bottom w:val="single" w:sz="18" w:space="0" w:color="000000"/>
            </w:tcBorders>
          </w:tcPr>
          <w:p w:rsidR="001928CC" w:rsidRPr="007A1F82" w:rsidRDefault="001928CC" w:rsidP="00B910D2">
            <w:pPr>
              <w:rPr>
                <w:rFonts w:eastAsia="Times New Roman"/>
                <w:b/>
                <w:noProof/>
                <w:lang w:val="en-US"/>
              </w:rPr>
            </w:pPr>
          </w:p>
          <w:p w:rsidR="001928CC" w:rsidRPr="007A1F82" w:rsidRDefault="006D51D7" w:rsidP="00B910D2">
            <w:pPr>
              <w:rPr>
                <w:rFonts w:ascii="Univers" w:eastAsia="Times New Roman" w:hAnsi="Univers"/>
                <w:snapToGrid w:val="0"/>
                <w:kern w:val="22"/>
                <w:sz w:val="32"/>
              </w:rPr>
            </w:pPr>
            <w:r>
              <w:rPr>
                <w:rFonts w:eastAsia="Times New Roman"/>
                <w:b/>
                <w:noProof/>
                <w:lang w:val="en-US"/>
              </w:rPr>
              <w:pict>
                <v:shape id="Picture 3" o:spid="_x0000_i1025" type="#_x0000_t75" alt="CBD_logo_ch-CMYK-black [Converted]" style="width:226.65pt;height:84pt;visibility:visible">
                  <v:imagedata r:id="rId10" o:title=""/>
                </v:shape>
              </w:pict>
            </w:r>
          </w:p>
        </w:tc>
        <w:tc>
          <w:tcPr>
            <w:tcW w:w="5130" w:type="dxa"/>
            <w:tcBorders>
              <w:top w:val="nil"/>
              <w:bottom w:val="single" w:sz="18" w:space="0" w:color="000000"/>
            </w:tcBorders>
          </w:tcPr>
          <w:p w:rsidR="001928CC" w:rsidRPr="00A148DC" w:rsidRDefault="001928CC" w:rsidP="00B910D2">
            <w:pPr>
              <w:ind w:left="2016"/>
              <w:rPr>
                <w:rFonts w:eastAsia="Times New Roman"/>
                <w:bCs/>
                <w:snapToGrid w:val="0"/>
                <w:kern w:val="22"/>
              </w:rPr>
            </w:pPr>
            <w:r w:rsidRPr="00A148DC">
              <w:rPr>
                <w:rFonts w:eastAsia="Times New Roman"/>
                <w:bCs/>
                <w:snapToGrid w:val="0"/>
                <w:kern w:val="22"/>
              </w:rPr>
              <w:t>Distr.: General</w:t>
            </w:r>
          </w:p>
          <w:p w:rsidR="001928CC" w:rsidRPr="00A148DC" w:rsidRDefault="001928CC" w:rsidP="00B910D2">
            <w:pPr>
              <w:ind w:left="2016"/>
              <w:rPr>
                <w:rFonts w:eastAsia="Times New Roman"/>
                <w:snapToGrid w:val="0"/>
                <w:kern w:val="22"/>
              </w:rPr>
            </w:pPr>
            <w:r>
              <w:rPr>
                <w:rFonts w:eastAsia="Times New Roman"/>
                <w:kern w:val="22"/>
              </w:rPr>
              <w:t xml:space="preserve">Date: </w:t>
            </w:r>
            <w:r>
              <w:rPr>
                <w:noProof/>
                <w:szCs w:val="24"/>
              </w:rPr>
              <w:t>5 August</w:t>
            </w:r>
            <w:r w:rsidRPr="00A148DC">
              <w:rPr>
                <w:rFonts w:eastAsia="Times New Roman"/>
                <w:kern w:val="22"/>
              </w:rPr>
              <w:t xml:space="preserve"> </w:t>
            </w:r>
            <w:r w:rsidRPr="00A148DC">
              <w:rPr>
                <w:rFonts w:eastAsia="Times New Roman"/>
                <w:snapToGrid w:val="0"/>
                <w:kern w:val="22"/>
              </w:rPr>
              <w:t>202</w:t>
            </w:r>
            <w:r>
              <w:rPr>
                <w:rFonts w:eastAsia="Times New Roman"/>
                <w:snapToGrid w:val="0"/>
                <w:kern w:val="22"/>
              </w:rPr>
              <w:t>5</w:t>
            </w:r>
          </w:p>
          <w:p w:rsidR="001928CC" w:rsidRPr="00A148DC" w:rsidRDefault="001928CC" w:rsidP="00B910D2">
            <w:pPr>
              <w:ind w:left="2016"/>
              <w:rPr>
                <w:rFonts w:eastAsia="Times New Roman"/>
                <w:bCs/>
                <w:snapToGrid w:val="0"/>
                <w:kern w:val="22"/>
              </w:rPr>
            </w:pPr>
            <w:r w:rsidRPr="00A148DC">
              <w:rPr>
                <w:rFonts w:eastAsia="Times New Roman"/>
                <w:bCs/>
                <w:snapToGrid w:val="0"/>
                <w:kern w:val="22"/>
              </w:rPr>
              <w:t>C</w:t>
            </w:r>
            <w:r>
              <w:rPr>
                <w:rFonts w:eastAsia="Times New Roman"/>
                <w:bCs/>
                <w:snapToGrid w:val="0"/>
                <w:kern w:val="22"/>
              </w:rPr>
              <w:t>hinese</w:t>
            </w:r>
          </w:p>
          <w:p w:rsidR="001928CC" w:rsidRPr="007A1F82" w:rsidRDefault="001928CC" w:rsidP="00B910D2">
            <w:pPr>
              <w:ind w:left="2016"/>
              <w:rPr>
                <w:rFonts w:eastAsia="Times New Roman"/>
                <w:b/>
                <w:snapToGrid w:val="0"/>
                <w:kern w:val="22"/>
                <w:u w:val="single"/>
              </w:rPr>
            </w:pPr>
            <w:r w:rsidRPr="00A148DC">
              <w:rPr>
                <w:rFonts w:eastAsia="Times New Roman"/>
                <w:bCs/>
                <w:snapToGrid w:val="0"/>
                <w:kern w:val="22"/>
              </w:rPr>
              <w:t>O</w:t>
            </w:r>
            <w:r>
              <w:rPr>
                <w:rFonts w:eastAsia="Times New Roman"/>
                <w:bCs/>
                <w:snapToGrid w:val="0"/>
                <w:kern w:val="22"/>
              </w:rPr>
              <w:t xml:space="preserve">riginal: </w:t>
            </w:r>
            <w:r w:rsidRPr="00A148DC">
              <w:rPr>
                <w:rFonts w:eastAsia="Times New Roman"/>
                <w:bCs/>
                <w:snapToGrid w:val="0"/>
                <w:kern w:val="22"/>
              </w:rPr>
              <w:t>E</w:t>
            </w:r>
            <w:r>
              <w:rPr>
                <w:rFonts w:eastAsia="Times New Roman"/>
                <w:bCs/>
                <w:snapToGrid w:val="0"/>
                <w:kern w:val="22"/>
              </w:rPr>
              <w:t>nglish</w:t>
            </w:r>
          </w:p>
        </w:tc>
      </w:tr>
      <w:bookmarkEnd w:id="0"/>
      <w:bookmarkEnd w:id="1"/>
    </w:tbl>
    <w:p w:rsidR="001928CC" w:rsidRDefault="001928CC">
      <w:pPr>
        <w:pStyle w:val="AISpacer"/>
        <w:rPr>
          <w:szCs w:val="24"/>
        </w:rPr>
      </w:pPr>
    </w:p>
    <w:p w:rsidR="001928CC" w:rsidRDefault="001928CC">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928CC">
        <w:trPr>
          <w:trHeight w:val="57"/>
        </w:trPr>
        <w:tc>
          <w:tcPr>
            <w:tcW w:w="6094" w:type="dxa"/>
          </w:tcPr>
          <w:p w:rsidR="001928CC" w:rsidRPr="002D7C3E" w:rsidRDefault="001928CC">
            <w:pPr>
              <w:pStyle w:val="AFCorN12Bold"/>
              <w:rPr>
                <w:szCs w:val="24"/>
              </w:rPr>
            </w:pPr>
            <w:r w:rsidRPr="002D7C3E">
              <w:rPr>
                <w:rFonts w:hint="eastAsia"/>
                <w:szCs w:val="24"/>
                <w:lang w:val="zh-CN"/>
              </w:rPr>
              <w:t>生物多样性公约关于土著人民和地方</w:t>
            </w:r>
            <w:r w:rsidRPr="002D7C3E">
              <w:rPr>
                <w:szCs w:val="24"/>
                <w:lang w:val="en-US"/>
              </w:rPr>
              <w:br/>
            </w:r>
            <w:r w:rsidRPr="002D7C3E">
              <w:rPr>
                <w:rFonts w:hint="eastAsia"/>
                <w:szCs w:val="24"/>
                <w:lang w:val="zh-CN"/>
              </w:rPr>
              <w:t>社区的第</w:t>
            </w:r>
            <w:r w:rsidRPr="002D7C3E">
              <w:rPr>
                <w:noProof/>
                <w:szCs w:val="24"/>
              </w:rPr>
              <w:t>8(j)</w:t>
            </w:r>
            <w:r w:rsidRPr="002D7C3E">
              <w:rPr>
                <w:rFonts w:hint="eastAsia"/>
                <w:szCs w:val="24"/>
                <w:lang w:val="zh-CN"/>
              </w:rPr>
              <w:t>条和其他条款附属机构</w:t>
            </w:r>
          </w:p>
          <w:p w:rsidR="001928CC" w:rsidRPr="002D7C3E" w:rsidRDefault="001928CC">
            <w:pPr>
              <w:pStyle w:val="AFCorNBold"/>
              <w:rPr>
                <w:sz w:val="24"/>
                <w:szCs w:val="24"/>
              </w:rPr>
            </w:pPr>
            <w:r w:rsidRPr="002D7C3E">
              <w:rPr>
                <w:rFonts w:hint="eastAsia"/>
                <w:noProof/>
                <w:sz w:val="24"/>
                <w:szCs w:val="24"/>
              </w:rPr>
              <w:t>第一次会议</w:t>
            </w:r>
          </w:p>
          <w:p w:rsidR="001928CC" w:rsidRPr="002D7C3E" w:rsidRDefault="001928CC">
            <w:pPr>
              <w:pStyle w:val="AFCorNNormal"/>
              <w:rPr>
                <w:sz w:val="24"/>
                <w:szCs w:val="24"/>
              </w:rPr>
            </w:pPr>
            <w:smartTag w:uri="urn:schemas-microsoft-com:office:smarttags" w:element="chsdate">
              <w:smartTagPr>
                <w:attr w:name="Year" w:val="2025"/>
                <w:attr w:name="Month" w:val="10"/>
                <w:attr w:name="Day" w:val="27"/>
                <w:attr w:name="IsLunarDate" w:val="False"/>
                <w:attr w:name="IsROCDate" w:val="False"/>
              </w:smartTagPr>
              <w:r w:rsidRPr="002D7C3E">
                <w:rPr>
                  <w:noProof/>
                  <w:kern w:val="22"/>
                  <w:sz w:val="24"/>
                  <w:szCs w:val="24"/>
                </w:rPr>
                <w:t>2025</w:t>
              </w:r>
              <w:r w:rsidRPr="002D7C3E">
                <w:rPr>
                  <w:rFonts w:hint="eastAsia"/>
                  <w:kern w:val="22"/>
                  <w:sz w:val="24"/>
                  <w:szCs w:val="24"/>
                  <w:lang w:val="zh-CN"/>
                </w:rPr>
                <w:t>年</w:t>
              </w:r>
              <w:r w:rsidRPr="002D7C3E">
                <w:rPr>
                  <w:noProof/>
                  <w:kern w:val="22"/>
                  <w:sz w:val="24"/>
                  <w:szCs w:val="24"/>
                </w:rPr>
                <w:t>10</w:t>
              </w:r>
              <w:r w:rsidRPr="002D7C3E">
                <w:rPr>
                  <w:rFonts w:hint="eastAsia"/>
                  <w:kern w:val="22"/>
                  <w:sz w:val="24"/>
                  <w:szCs w:val="24"/>
                  <w:lang w:val="zh-CN"/>
                </w:rPr>
                <w:t>月</w:t>
              </w:r>
              <w:r w:rsidRPr="002D7C3E">
                <w:rPr>
                  <w:noProof/>
                  <w:kern w:val="22"/>
                  <w:sz w:val="24"/>
                  <w:szCs w:val="24"/>
                </w:rPr>
                <w:t>27</w:t>
              </w:r>
              <w:r w:rsidRPr="002D7C3E">
                <w:rPr>
                  <w:rFonts w:hint="eastAsia"/>
                  <w:kern w:val="22"/>
                  <w:sz w:val="24"/>
                  <w:szCs w:val="24"/>
                  <w:lang w:val="zh-CN"/>
                </w:rPr>
                <w:t>日</w:t>
              </w:r>
            </w:smartTag>
            <w:r w:rsidRPr="002D7C3E">
              <w:rPr>
                <w:rFonts w:hint="eastAsia"/>
                <w:kern w:val="22"/>
                <w:sz w:val="24"/>
                <w:szCs w:val="24"/>
                <w:lang w:val="zh-CN"/>
              </w:rPr>
              <w:t>至</w:t>
            </w:r>
            <w:r w:rsidRPr="002D7C3E">
              <w:rPr>
                <w:noProof/>
                <w:kern w:val="22"/>
                <w:sz w:val="24"/>
                <w:szCs w:val="24"/>
              </w:rPr>
              <w:t>30</w:t>
            </w:r>
            <w:r w:rsidRPr="002D7C3E">
              <w:rPr>
                <w:rFonts w:hint="eastAsia"/>
                <w:kern w:val="22"/>
                <w:sz w:val="24"/>
                <w:szCs w:val="24"/>
                <w:lang w:val="zh-CN"/>
              </w:rPr>
              <w:t>日</w:t>
            </w:r>
            <w:r w:rsidRPr="002D7C3E">
              <w:rPr>
                <w:rFonts w:hint="eastAsia"/>
                <w:noProof/>
                <w:kern w:val="22"/>
                <w:sz w:val="24"/>
                <w:szCs w:val="24"/>
              </w:rPr>
              <w:t>，</w:t>
            </w:r>
            <w:r w:rsidRPr="002D7C3E">
              <w:rPr>
                <w:rFonts w:hint="eastAsia"/>
                <w:caps/>
                <w:sz w:val="24"/>
                <w:szCs w:val="24"/>
                <w:lang w:val="zh-CN"/>
              </w:rPr>
              <w:t>巴拿马城</w:t>
            </w:r>
          </w:p>
          <w:p w:rsidR="001928CC" w:rsidRPr="002D7C3E" w:rsidRDefault="001928CC">
            <w:pPr>
              <w:pStyle w:val="AFCorNNormal"/>
              <w:rPr>
                <w:sz w:val="24"/>
                <w:szCs w:val="24"/>
              </w:rPr>
            </w:pPr>
            <w:r w:rsidRPr="002D7C3E">
              <w:rPr>
                <w:rFonts w:hint="eastAsia"/>
                <w:sz w:val="24"/>
                <w:szCs w:val="24"/>
                <w:lang w:val="zh-CN"/>
              </w:rPr>
              <w:t>临时议程</w:t>
            </w:r>
            <w:r w:rsidRPr="002D7C3E">
              <w:rPr>
                <w:rStyle w:val="FootnoteReference"/>
                <w:noProof/>
                <w:sz w:val="24"/>
                <w:szCs w:val="24"/>
              </w:rPr>
              <w:footnoteReference w:customMarkFollows="1" w:id="1"/>
              <w:t>*</w:t>
            </w:r>
            <w:r w:rsidRPr="002D7C3E">
              <w:rPr>
                <w:rFonts w:hint="eastAsia"/>
                <w:sz w:val="24"/>
                <w:szCs w:val="24"/>
                <w:lang w:val="zh-CN"/>
              </w:rPr>
              <w:t>项目</w:t>
            </w:r>
            <w:r w:rsidRPr="002D7C3E">
              <w:rPr>
                <w:noProof/>
                <w:sz w:val="24"/>
                <w:szCs w:val="24"/>
              </w:rPr>
              <w:t>7</w:t>
            </w:r>
          </w:p>
          <w:p w:rsidR="001928CC" w:rsidRDefault="001928CC">
            <w:pPr>
              <w:pStyle w:val="AFCorNBold"/>
              <w:spacing w:after="120"/>
              <w:rPr>
                <w:rFonts w:ascii="宋体"/>
                <w:szCs w:val="24"/>
              </w:rPr>
            </w:pPr>
            <w:r w:rsidRPr="002D7C3E">
              <w:rPr>
                <w:rFonts w:hint="eastAsia"/>
                <w:noProof/>
                <w:sz w:val="24"/>
                <w:szCs w:val="24"/>
              </w:rPr>
              <w:t>土著问题常设论坛的建议</w:t>
            </w:r>
          </w:p>
        </w:tc>
        <w:tc>
          <w:tcPr>
            <w:tcW w:w="4388" w:type="dxa"/>
          </w:tcPr>
          <w:p w:rsidR="001928CC" w:rsidRDefault="001928CC">
            <w:pPr>
              <w:pStyle w:val="CBDNormal"/>
              <w:jc w:val="left"/>
              <w:rPr>
                <w:szCs w:val="24"/>
              </w:rPr>
            </w:pPr>
          </w:p>
        </w:tc>
      </w:tr>
    </w:tbl>
    <w:p w:rsidR="001928CC" w:rsidRPr="00585ED9" w:rsidRDefault="001928CC">
      <w:pPr>
        <w:pStyle w:val="CBDTitle"/>
        <w:rPr>
          <w:szCs w:val="24"/>
          <w:lang w:val="en-US"/>
        </w:rPr>
      </w:pPr>
      <w:r>
        <w:rPr>
          <w:rFonts w:ascii="宋体" w:hint="eastAsia"/>
          <w:szCs w:val="24"/>
          <w:lang w:val="zh-CN"/>
        </w:rPr>
        <w:t>土著问题常设论坛的建议</w:t>
      </w:r>
      <w:r w:rsidR="00585ED9">
        <w:rPr>
          <w:rFonts w:ascii="宋体"/>
          <w:szCs w:val="24"/>
          <w:lang w:val="en-US"/>
        </w:rPr>
        <w:t xml:space="preserve"> </w:t>
      </w:r>
    </w:p>
    <w:p w:rsidR="001928CC" w:rsidRPr="006E40CE" w:rsidRDefault="001928CC">
      <w:pPr>
        <w:pStyle w:val="CBDSubTitle"/>
        <w:rPr>
          <w:sz w:val="24"/>
          <w:szCs w:val="24"/>
          <w:lang w:val="en-US"/>
        </w:rPr>
      </w:pPr>
      <w:r w:rsidRPr="002D7C3E">
        <w:rPr>
          <w:rFonts w:hint="eastAsia"/>
          <w:sz w:val="24"/>
          <w:szCs w:val="24"/>
          <w:lang w:val="zh-CN"/>
        </w:rPr>
        <w:t>秘书处的说明</w:t>
      </w:r>
      <w:r>
        <w:rPr>
          <w:sz w:val="24"/>
          <w:szCs w:val="24"/>
          <w:lang w:val="en-US"/>
        </w:rPr>
        <w:t xml:space="preserve"> </w:t>
      </w:r>
    </w:p>
    <w:p w:rsidR="001928CC" w:rsidRPr="002D7C3E" w:rsidRDefault="001928CC">
      <w:pPr>
        <w:pStyle w:val="CBDH1"/>
        <w:rPr>
          <w:sz w:val="24"/>
          <w:szCs w:val="24"/>
        </w:rPr>
      </w:pPr>
      <w:r w:rsidRPr="002D7C3E">
        <w:rPr>
          <w:rFonts w:hint="eastAsia"/>
          <w:sz w:val="24"/>
          <w:szCs w:val="24"/>
          <w:lang w:val="zh-CN"/>
        </w:rPr>
        <w:t>一</w:t>
      </w:r>
      <w:r w:rsidRPr="002D7C3E">
        <w:rPr>
          <w:sz w:val="24"/>
          <w:szCs w:val="24"/>
          <w:lang w:val="zh-CN"/>
        </w:rPr>
        <w:t>.</w:t>
      </w:r>
      <w:r w:rsidRPr="002D7C3E">
        <w:rPr>
          <w:sz w:val="24"/>
          <w:szCs w:val="24"/>
        </w:rPr>
        <w:tab/>
      </w:r>
      <w:r w:rsidRPr="002D7C3E">
        <w:rPr>
          <w:rFonts w:hint="eastAsia"/>
          <w:sz w:val="24"/>
          <w:szCs w:val="24"/>
          <w:lang w:val="zh-CN"/>
        </w:rPr>
        <w:t>导言</w:t>
      </w:r>
    </w:p>
    <w:p w:rsidR="001928CC" w:rsidRPr="002D7C3E" w:rsidRDefault="001928CC" w:rsidP="006D51D7">
      <w:pPr>
        <w:pStyle w:val="CBDNormalNumber"/>
        <w:numPr>
          <w:ilvl w:val="0"/>
          <w:numId w:val="10"/>
        </w:numPr>
        <w:rPr>
          <w:sz w:val="24"/>
          <w:szCs w:val="24"/>
        </w:rPr>
      </w:pPr>
      <w:r w:rsidRPr="002D7C3E">
        <w:rPr>
          <w:rFonts w:hint="eastAsia"/>
          <w:sz w:val="24"/>
          <w:szCs w:val="24"/>
          <w:lang w:val="zh-CN"/>
        </w:rPr>
        <w:t>根据其所取代的生物多样性公约第</w:t>
      </w:r>
      <w:r w:rsidRPr="002D7C3E">
        <w:rPr>
          <w:sz w:val="24"/>
          <w:szCs w:val="24"/>
        </w:rPr>
        <w:t>8</w:t>
      </w:r>
      <w:r w:rsidRPr="002D7C3E">
        <w:rPr>
          <w:rFonts w:hint="eastAsia"/>
          <w:sz w:val="24"/>
          <w:szCs w:val="24"/>
        </w:rPr>
        <w:t>（</w:t>
      </w:r>
      <w:r w:rsidRPr="002D7C3E">
        <w:rPr>
          <w:sz w:val="24"/>
          <w:szCs w:val="24"/>
        </w:rPr>
        <w:t>j</w:t>
      </w:r>
      <w:r w:rsidRPr="002D7C3E">
        <w:rPr>
          <w:rFonts w:hint="eastAsia"/>
          <w:sz w:val="24"/>
          <w:szCs w:val="24"/>
        </w:rPr>
        <w:t>）</w:t>
      </w:r>
      <w:r w:rsidRPr="002D7C3E">
        <w:rPr>
          <w:rFonts w:hint="eastAsia"/>
          <w:sz w:val="24"/>
          <w:szCs w:val="24"/>
          <w:lang w:val="zh-CN"/>
        </w:rPr>
        <w:t>条和相关条款问题不限成员名额闭会期间特设工作组的惯例</w:t>
      </w:r>
      <w:r w:rsidRPr="002D7C3E">
        <w:rPr>
          <w:rFonts w:hint="eastAsia"/>
          <w:sz w:val="24"/>
          <w:szCs w:val="24"/>
        </w:rPr>
        <w:t>，</w:t>
      </w:r>
      <w:r w:rsidRPr="002D7C3E">
        <w:rPr>
          <w:rFonts w:hint="eastAsia"/>
          <w:sz w:val="24"/>
          <w:szCs w:val="24"/>
          <w:lang w:val="zh-CN"/>
        </w:rPr>
        <w:t>生物多样性公约关于土著人民和地方社区的第</w:t>
      </w:r>
      <w:r w:rsidRPr="002D7C3E">
        <w:rPr>
          <w:sz w:val="24"/>
          <w:szCs w:val="24"/>
        </w:rPr>
        <w:t>8(j)</w:t>
      </w:r>
      <w:r w:rsidRPr="002D7C3E">
        <w:rPr>
          <w:rFonts w:hint="eastAsia"/>
          <w:sz w:val="24"/>
          <w:szCs w:val="24"/>
          <w:lang w:val="zh-CN"/>
        </w:rPr>
        <w:t>条和其他条款附属机构将定期审议土著问题常设论坛提出的与《生物多样性公约》相关的建议</w:t>
      </w:r>
      <w:r w:rsidRPr="002D7C3E">
        <w:rPr>
          <w:rFonts w:hint="eastAsia"/>
          <w:sz w:val="24"/>
          <w:szCs w:val="24"/>
        </w:rPr>
        <w:t>，</w:t>
      </w:r>
      <w:r w:rsidRPr="002D7C3E">
        <w:rPr>
          <w:rFonts w:hint="eastAsia"/>
          <w:sz w:val="24"/>
          <w:szCs w:val="24"/>
          <w:lang w:val="zh-CN"/>
        </w:rPr>
        <w:t>并随后提出建议供缔约方大会审议。因此，下文第二部分讨论了常设论坛第二十三届和第二十四届会议通过的与《生物多样性公约》相关的建议。</w:t>
      </w:r>
    </w:p>
    <w:p w:rsidR="001928CC" w:rsidRPr="002D7C3E" w:rsidRDefault="001928CC">
      <w:pPr>
        <w:pStyle w:val="CBDH1"/>
        <w:rPr>
          <w:sz w:val="24"/>
          <w:szCs w:val="24"/>
        </w:rPr>
      </w:pPr>
      <w:r w:rsidRPr="002D7C3E">
        <w:rPr>
          <w:rFonts w:hint="eastAsia"/>
          <w:sz w:val="24"/>
          <w:szCs w:val="24"/>
          <w:lang w:val="zh-CN"/>
        </w:rPr>
        <w:t>二</w:t>
      </w:r>
      <w:r w:rsidRPr="002D7C3E">
        <w:rPr>
          <w:rFonts w:hint="eastAsia"/>
          <w:sz w:val="24"/>
          <w:szCs w:val="24"/>
          <w:lang w:val="en-US"/>
        </w:rPr>
        <w:t>．</w:t>
      </w:r>
      <w:r w:rsidRPr="002D7C3E">
        <w:rPr>
          <w:sz w:val="24"/>
          <w:szCs w:val="24"/>
        </w:rPr>
        <w:tab/>
      </w:r>
      <w:r w:rsidRPr="002D7C3E">
        <w:rPr>
          <w:rFonts w:hint="eastAsia"/>
          <w:sz w:val="24"/>
          <w:szCs w:val="24"/>
          <w:lang w:val="zh-CN"/>
        </w:rPr>
        <w:t>土著问题常设论坛近期提出的与《生物多样性公约》相关的建议</w:t>
      </w:r>
    </w:p>
    <w:p w:rsidR="001928CC" w:rsidRPr="002D7C3E" w:rsidRDefault="001928CC" w:rsidP="006D51D7">
      <w:pPr>
        <w:pStyle w:val="CBDNormalNumber"/>
        <w:numPr>
          <w:ilvl w:val="0"/>
          <w:numId w:val="10"/>
        </w:numPr>
        <w:rPr>
          <w:b/>
          <w:sz w:val="24"/>
          <w:szCs w:val="24"/>
        </w:rPr>
      </w:pPr>
      <w:bookmarkStart w:id="2" w:name="_Hlk202377432"/>
      <w:r w:rsidRPr="002D7C3E">
        <w:rPr>
          <w:rFonts w:hint="eastAsia"/>
          <w:sz w:val="24"/>
          <w:szCs w:val="24"/>
          <w:lang w:val="zh-CN"/>
        </w:rPr>
        <w:t>在</w:t>
      </w:r>
      <w:r w:rsidRPr="002D7C3E">
        <w:rPr>
          <w:sz w:val="24"/>
          <w:szCs w:val="24"/>
        </w:rPr>
        <w:t>2024-2025</w:t>
      </w:r>
      <w:r w:rsidRPr="002D7C3E">
        <w:rPr>
          <w:rFonts w:hint="eastAsia"/>
          <w:sz w:val="24"/>
          <w:szCs w:val="24"/>
          <w:lang w:val="zh-CN"/>
        </w:rPr>
        <w:t>年期间</w:t>
      </w:r>
      <w:r w:rsidRPr="002D7C3E">
        <w:rPr>
          <w:rFonts w:hint="eastAsia"/>
          <w:sz w:val="24"/>
          <w:szCs w:val="24"/>
        </w:rPr>
        <w:t>，</w:t>
      </w:r>
      <w:r w:rsidRPr="002D7C3E">
        <w:rPr>
          <w:rFonts w:hint="eastAsia"/>
          <w:sz w:val="24"/>
          <w:szCs w:val="24"/>
          <w:lang w:val="zh-CN"/>
        </w:rPr>
        <w:t>常设论坛通过了一系列与实施《生物多样性公约》和《昆明</w:t>
      </w:r>
      <w:r w:rsidRPr="002D7C3E">
        <w:rPr>
          <w:sz w:val="24"/>
          <w:szCs w:val="24"/>
        </w:rPr>
        <w:t>-</w:t>
      </w:r>
      <w:r w:rsidRPr="002D7C3E">
        <w:rPr>
          <w:rFonts w:hint="eastAsia"/>
          <w:sz w:val="24"/>
          <w:szCs w:val="24"/>
          <w:lang w:val="zh-CN"/>
        </w:rPr>
        <w:t>蒙特利尔全球生物多样性框架》相关的建议</w:t>
      </w:r>
      <w:r w:rsidRPr="002D7C3E">
        <w:rPr>
          <w:rFonts w:hint="eastAsia"/>
          <w:sz w:val="24"/>
          <w:szCs w:val="24"/>
        </w:rPr>
        <w:t>，</w:t>
      </w:r>
      <w:r w:rsidRPr="002D7C3E">
        <w:rPr>
          <w:rFonts w:hint="eastAsia"/>
          <w:sz w:val="24"/>
          <w:szCs w:val="24"/>
          <w:lang w:val="zh-CN"/>
        </w:rPr>
        <w:t>概述如下。在适用的情况下，参考了与这些建议对应或与其相关的《生物多样性公约》有关发展和计划活动。</w:t>
      </w:r>
    </w:p>
    <w:bookmarkEnd w:id="2"/>
    <w:p w:rsidR="001928CC" w:rsidRPr="002D7C3E" w:rsidRDefault="001928CC">
      <w:pPr>
        <w:pStyle w:val="CBDH2"/>
        <w:jc w:val="left"/>
        <w:rPr>
          <w:szCs w:val="24"/>
        </w:rPr>
      </w:pPr>
      <w:r w:rsidRPr="002D7C3E">
        <w:rPr>
          <w:noProof/>
          <w:szCs w:val="24"/>
        </w:rPr>
        <w:t>A.</w:t>
      </w:r>
      <w:r w:rsidRPr="002D7C3E">
        <w:rPr>
          <w:szCs w:val="24"/>
        </w:rPr>
        <w:tab/>
      </w:r>
      <w:r w:rsidRPr="002D7C3E">
        <w:rPr>
          <w:rFonts w:hint="eastAsia"/>
          <w:szCs w:val="24"/>
          <w:lang w:val="zh-CN"/>
        </w:rPr>
        <w:t>土著问题常设论坛第二十三届会议的建议</w:t>
      </w:r>
    </w:p>
    <w:p w:rsidR="001928CC" w:rsidRPr="002D7C3E" w:rsidRDefault="001928CC" w:rsidP="006D51D7">
      <w:pPr>
        <w:pStyle w:val="CBDNormalNumber"/>
        <w:numPr>
          <w:ilvl w:val="0"/>
          <w:numId w:val="10"/>
        </w:numPr>
        <w:rPr>
          <w:rStyle w:val="Emphasis"/>
          <w:rFonts w:eastAsia="等线 Light"/>
          <w:b/>
          <w:i w:val="0"/>
          <w:iCs w:val="0"/>
          <w:sz w:val="24"/>
          <w:szCs w:val="24"/>
        </w:rPr>
      </w:pPr>
      <w:bookmarkStart w:id="3" w:name="_Hlk205543484"/>
      <w:bookmarkStart w:id="4" w:name="_Hlk205543789"/>
      <w:r w:rsidRPr="002D7C3E">
        <w:rPr>
          <w:rFonts w:hint="eastAsia"/>
          <w:sz w:val="24"/>
          <w:szCs w:val="24"/>
          <w:lang w:val="zh-CN"/>
        </w:rPr>
        <w:t>常设论坛在</w:t>
      </w:r>
      <w:r w:rsidRPr="002D7C3E">
        <w:rPr>
          <w:sz w:val="24"/>
          <w:szCs w:val="24"/>
        </w:rPr>
        <w:t>2024</w:t>
      </w:r>
      <w:r w:rsidRPr="002D7C3E">
        <w:rPr>
          <w:rFonts w:hint="eastAsia"/>
          <w:sz w:val="24"/>
          <w:szCs w:val="24"/>
          <w:lang w:val="zh-CN"/>
        </w:rPr>
        <w:t>年第二十三届会议通过了若干与《生物多样性公约》相关的建议</w:t>
      </w:r>
      <w:r w:rsidRPr="002D7C3E">
        <w:rPr>
          <w:rFonts w:hint="eastAsia"/>
          <w:sz w:val="24"/>
          <w:szCs w:val="24"/>
        </w:rPr>
        <w:t>，</w:t>
      </w:r>
      <w:r w:rsidRPr="002D7C3E">
        <w:rPr>
          <w:rFonts w:hint="eastAsia"/>
          <w:sz w:val="24"/>
          <w:szCs w:val="24"/>
          <w:lang w:val="zh-CN"/>
        </w:rPr>
        <w:t>分别载于其第二十三届会议报告第</w:t>
      </w:r>
      <w:r w:rsidRPr="002D7C3E">
        <w:rPr>
          <w:sz w:val="24"/>
          <w:szCs w:val="24"/>
        </w:rPr>
        <w:t>49</w:t>
      </w:r>
      <w:r w:rsidRPr="002D7C3E">
        <w:rPr>
          <w:rFonts w:hint="eastAsia"/>
          <w:sz w:val="24"/>
          <w:szCs w:val="24"/>
          <w:lang w:val="zh-CN"/>
        </w:rPr>
        <w:t>、</w:t>
      </w:r>
      <w:r w:rsidRPr="002D7C3E">
        <w:rPr>
          <w:sz w:val="24"/>
          <w:szCs w:val="24"/>
        </w:rPr>
        <w:t>53</w:t>
      </w:r>
      <w:r w:rsidRPr="002D7C3E">
        <w:rPr>
          <w:rFonts w:hint="eastAsia"/>
          <w:sz w:val="24"/>
          <w:szCs w:val="24"/>
          <w:lang w:val="zh-CN"/>
        </w:rPr>
        <w:t>、</w:t>
      </w:r>
      <w:r w:rsidRPr="002D7C3E">
        <w:rPr>
          <w:sz w:val="24"/>
          <w:szCs w:val="24"/>
        </w:rPr>
        <w:t>80</w:t>
      </w:r>
      <w:r w:rsidRPr="002D7C3E">
        <w:rPr>
          <w:rFonts w:hint="eastAsia"/>
          <w:sz w:val="24"/>
          <w:szCs w:val="24"/>
          <w:lang w:val="zh-CN"/>
        </w:rPr>
        <w:t>、</w:t>
      </w:r>
      <w:r w:rsidRPr="002D7C3E">
        <w:rPr>
          <w:sz w:val="24"/>
          <w:szCs w:val="24"/>
        </w:rPr>
        <w:t>119</w:t>
      </w:r>
      <w:r w:rsidRPr="002D7C3E">
        <w:rPr>
          <w:rFonts w:hint="eastAsia"/>
          <w:sz w:val="24"/>
          <w:szCs w:val="24"/>
          <w:lang w:val="zh-CN"/>
        </w:rPr>
        <w:t>、</w:t>
      </w:r>
      <w:r w:rsidRPr="002D7C3E">
        <w:rPr>
          <w:sz w:val="24"/>
          <w:szCs w:val="24"/>
        </w:rPr>
        <w:t>120</w:t>
      </w:r>
      <w:r w:rsidRPr="002D7C3E">
        <w:rPr>
          <w:rFonts w:hint="eastAsia"/>
          <w:sz w:val="24"/>
          <w:szCs w:val="24"/>
          <w:lang w:val="zh-CN"/>
        </w:rPr>
        <w:t>、</w:t>
      </w:r>
      <w:r w:rsidRPr="002D7C3E">
        <w:rPr>
          <w:sz w:val="24"/>
          <w:szCs w:val="24"/>
        </w:rPr>
        <w:t>126</w:t>
      </w:r>
      <w:r w:rsidRPr="002D7C3E">
        <w:rPr>
          <w:rFonts w:hint="eastAsia"/>
          <w:sz w:val="24"/>
          <w:szCs w:val="24"/>
          <w:lang w:val="zh-CN"/>
        </w:rPr>
        <w:t>和</w:t>
      </w:r>
      <w:r w:rsidRPr="002D7C3E">
        <w:rPr>
          <w:sz w:val="24"/>
          <w:szCs w:val="24"/>
        </w:rPr>
        <w:t>135</w:t>
      </w:r>
      <w:r w:rsidRPr="002D7C3E">
        <w:rPr>
          <w:rFonts w:hint="eastAsia"/>
          <w:sz w:val="24"/>
          <w:szCs w:val="24"/>
          <w:lang w:val="zh-CN"/>
        </w:rPr>
        <w:t>段。</w:t>
      </w:r>
      <w:r w:rsidRPr="002D7C3E">
        <w:rPr>
          <w:rStyle w:val="FootnoteReference"/>
          <w:rFonts w:eastAsia="等线 Light"/>
          <w:sz w:val="24"/>
          <w:szCs w:val="24"/>
          <w:lang w:val="zh-CN"/>
        </w:rPr>
        <w:footnoteReference w:id="2"/>
      </w:r>
    </w:p>
    <w:bookmarkEnd w:id="3"/>
    <w:bookmarkEnd w:id="4"/>
    <w:p w:rsidR="001928CC" w:rsidRPr="002D7C3E" w:rsidRDefault="001928CC" w:rsidP="006D51D7">
      <w:pPr>
        <w:pStyle w:val="CBDNormalNumber"/>
        <w:numPr>
          <w:ilvl w:val="0"/>
          <w:numId w:val="10"/>
        </w:numPr>
        <w:rPr>
          <w:rStyle w:val="Emphasis"/>
          <w:rFonts w:eastAsia="等线 Light"/>
          <w:i w:val="0"/>
          <w:iCs w:val="0"/>
          <w:sz w:val="24"/>
          <w:szCs w:val="24"/>
        </w:rPr>
      </w:pPr>
      <w:r w:rsidRPr="002D7C3E">
        <w:rPr>
          <w:rFonts w:hint="eastAsia"/>
          <w:sz w:val="24"/>
          <w:szCs w:val="24"/>
          <w:lang w:val="zh-CN"/>
        </w:rPr>
        <w:t>常设论坛报告第</w:t>
      </w:r>
      <w:r w:rsidRPr="002D7C3E">
        <w:rPr>
          <w:sz w:val="24"/>
          <w:szCs w:val="24"/>
        </w:rPr>
        <w:t>49</w:t>
      </w:r>
      <w:r w:rsidRPr="002D7C3E">
        <w:rPr>
          <w:rFonts w:hint="eastAsia"/>
          <w:sz w:val="24"/>
          <w:szCs w:val="24"/>
          <w:lang w:val="zh-CN"/>
        </w:rPr>
        <w:t>、</w:t>
      </w:r>
      <w:r w:rsidRPr="002D7C3E">
        <w:rPr>
          <w:sz w:val="24"/>
          <w:szCs w:val="24"/>
        </w:rPr>
        <w:t>53</w:t>
      </w:r>
      <w:r w:rsidRPr="002D7C3E">
        <w:rPr>
          <w:rFonts w:hint="eastAsia"/>
          <w:sz w:val="24"/>
          <w:szCs w:val="24"/>
          <w:lang w:val="zh-CN"/>
        </w:rPr>
        <w:t>、</w:t>
      </w:r>
      <w:r w:rsidRPr="002D7C3E">
        <w:rPr>
          <w:sz w:val="24"/>
          <w:szCs w:val="24"/>
        </w:rPr>
        <w:t>80</w:t>
      </w:r>
      <w:r w:rsidRPr="002D7C3E">
        <w:rPr>
          <w:rFonts w:hint="eastAsia"/>
          <w:sz w:val="24"/>
          <w:szCs w:val="24"/>
          <w:lang w:val="zh-CN"/>
        </w:rPr>
        <w:t>和</w:t>
      </w:r>
      <w:r w:rsidRPr="002D7C3E">
        <w:rPr>
          <w:sz w:val="24"/>
          <w:szCs w:val="24"/>
        </w:rPr>
        <w:t>126</w:t>
      </w:r>
      <w:r w:rsidRPr="002D7C3E">
        <w:rPr>
          <w:rFonts w:hint="eastAsia"/>
          <w:sz w:val="24"/>
          <w:szCs w:val="24"/>
          <w:lang w:val="zh-CN"/>
        </w:rPr>
        <w:t>段重点讨论了加强土著人民在生物多样性机制中直接获得资金的机会</w:t>
      </w:r>
      <w:r w:rsidRPr="002D7C3E">
        <w:rPr>
          <w:rFonts w:hint="eastAsia"/>
          <w:sz w:val="24"/>
          <w:szCs w:val="24"/>
        </w:rPr>
        <w:t>，</w:t>
      </w:r>
      <w:r w:rsidRPr="002D7C3E">
        <w:rPr>
          <w:rFonts w:hint="eastAsia"/>
          <w:sz w:val="24"/>
          <w:szCs w:val="24"/>
          <w:lang w:val="zh-CN"/>
        </w:rPr>
        <w:t>具体内容如下</w:t>
      </w:r>
      <w:r w:rsidRPr="002D7C3E">
        <w:rPr>
          <w:rFonts w:hint="eastAsia"/>
          <w:sz w:val="24"/>
          <w:szCs w:val="24"/>
        </w:rPr>
        <w:t>：</w:t>
      </w:r>
    </w:p>
    <w:p w:rsidR="001928CC" w:rsidRPr="002D7C3E" w:rsidRDefault="001928CC">
      <w:pPr>
        <w:pStyle w:val="CBDNormalNoNumber"/>
        <w:tabs>
          <w:tab w:val="clear" w:pos="567"/>
          <w:tab w:val="clear" w:pos="1134"/>
        </w:tabs>
        <w:ind w:left="1134"/>
        <w:rPr>
          <w:rStyle w:val="Emphasis"/>
          <w:i w:val="0"/>
          <w:iCs w:val="0"/>
          <w:sz w:val="24"/>
          <w:szCs w:val="24"/>
        </w:rPr>
      </w:pPr>
      <w:r w:rsidRPr="002D7C3E">
        <w:rPr>
          <w:rStyle w:val="Emphasis"/>
          <w:i w:val="0"/>
          <w:iCs w:val="0"/>
          <w:sz w:val="24"/>
          <w:szCs w:val="24"/>
        </w:rPr>
        <w:t>49.</w:t>
      </w:r>
      <w:r w:rsidRPr="002D7C3E">
        <w:rPr>
          <w:rStyle w:val="Emphasis"/>
          <w:rFonts w:eastAsia="等线 Light"/>
          <w:i w:val="0"/>
          <w:iCs w:val="0"/>
          <w:sz w:val="24"/>
          <w:szCs w:val="24"/>
        </w:rPr>
        <w:tab/>
      </w:r>
      <w:r w:rsidRPr="002D7C3E">
        <w:rPr>
          <w:rFonts w:hint="eastAsia"/>
          <w:sz w:val="24"/>
          <w:szCs w:val="24"/>
          <w:lang w:val="zh-CN"/>
        </w:rPr>
        <w:t>常设论坛促请全球环境基金、绿色气候基金、新的全球生物多样性框架基金、森林碳伙伴基金准备基金和地方主导的适应基金等建立机制</w:t>
      </w:r>
      <w:r w:rsidRPr="002D7C3E">
        <w:rPr>
          <w:rFonts w:hint="eastAsia"/>
          <w:sz w:val="24"/>
          <w:szCs w:val="24"/>
        </w:rPr>
        <w:t>，</w:t>
      </w:r>
      <w:r w:rsidRPr="002D7C3E">
        <w:rPr>
          <w:rFonts w:hint="eastAsia"/>
          <w:sz w:val="24"/>
          <w:szCs w:val="24"/>
          <w:lang w:val="zh-CN"/>
        </w:rPr>
        <w:t>强化土著</w:t>
      </w:r>
      <w:r w:rsidRPr="002D7C3E">
        <w:rPr>
          <w:rFonts w:hint="eastAsia"/>
          <w:sz w:val="24"/>
          <w:szCs w:val="24"/>
          <w:lang w:val="zh-CN"/>
        </w:rPr>
        <w:lastRenderedPageBreak/>
        <w:t>人民直接获得资金的途径</w:t>
      </w:r>
      <w:r w:rsidRPr="002D7C3E">
        <w:rPr>
          <w:rFonts w:hint="eastAsia"/>
          <w:sz w:val="24"/>
          <w:szCs w:val="24"/>
        </w:rPr>
        <w:t>，</w:t>
      </w:r>
      <w:r w:rsidRPr="002D7C3E">
        <w:rPr>
          <w:rFonts w:hint="eastAsia"/>
          <w:sz w:val="24"/>
          <w:szCs w:val="24"/>
          <w:lang w:val="zh-CN"/>
        </w:rPr>
        <w:t>为此限制中介组织</w:t>
      </w:r>
      <w:r w:rsidRPr="002D7C3E">
        <w:rPr>
          <w:rFonts w:hint="eastAsia"/>
          <w:sz w:val="24"/>
          <w:szCs w:val="24"/>
        </w:rPr>
        <w:t>，</w:t>
      </w:r>
      <w:r w:rsidRPr="002D7C3E">
        <w:rPr>
          <w:rFonts w:hint="eastAsia"/>
          <w:sz w:val="24"/>
          <w:szCs w:val="24"/>
          <w:lang w:val="zh-CN"/>
        </w:rPr>
        <w:t>根据土著人民的需求设立灵活的资金获取办法</w:t>
      </w:r>
      <w:r w:rsidRPr="002D7C3E">
        <w:rPr>
          <w:rFonts w:hint="eastAsia"/>
          <w:sz w:val="24"/>
          <w:szCs w:val="24"/>
        </w:rPr>
        <w:t>，</w:t>
      </w:r>
      <w:r w:rsidRPr="002D7C3E">
        <w:rPr>
          <w:rFonts w:hint="eastAsia"/>
          <w:sz w:val="24"/>
          <w:szCs w:val="24"/>
          <w:lang w:val="zh-CN"/>
        </w:rPr>
        <w:t>实行透明的标准。</w:t>
      </w:r>
    </w:p>
    <w:p w:rsidR="001928CC" w:rsidRPr="002D7C3E" w:rsidRDefault="001928CC">
      <w:pPr>
        <w:pStyle w:val="CBDNormalNoNumber"/>
        <w:tabs>
          <w:tab w:val="clear" w:pos="567"/>
          <w:tab w:val="clear" w:pos="1134"/>
        </w:tabs>
        <w:ind w:left="1134"/>
        <w:rPr>
          <w:sz w:val="24"/>
          <w:szCs w:val="24"/>
        </w:rPr>
      </w:pPr>
      <w:r w:rsidRPr="002D7C3E">
        <w:rPr>
          <w:rStyle w:val="Emphasis"/>
          <w:i w:val="0"/>
          <w:iCs w:val="0"/>
          <w:sz w:val="24"/>
          <w:szCs w:val="24"/>
        </w:rPr>
        <w:t>53.</w:t>
      </w:r>
      <w:r w:rsidRPr="002D7C3E">
        <w:rPr>
          <w:rStyle w:val="Emphasis"/>
          <w:i w:val="0"/>
          <w:iCs w:val="0"/>
          <w:sz w:val="24"/>
          <w:szCs w:val="24"/>
        </w:rPr>
        <w:tab/>
      </w:r>
      <w:r w:rsidRPr="002D7C3E">
        <w:rPr>
          <w:rFonts w:hint="eastAsia"/>
          <w:sz w:val="24"/>
          <w:szCs w:val="24"/>
          <w:lang w:val="zh-CN"/>
        </w:rPr>
        <w:t>常设论坛对碳市场和生物多样性信贷在某些情况下对土著人民的土地和领土及生物多样性造成的损害和不公正感到关切。论坛敦促联合国气候变化框架公约秘书处、生物多样性公约秘书处、国际货币基金组织和世界银行要求开展高度诚信的项目，项目应就碳排放和生物多样性建立明确的问责制，并衡量土著人民获得的惠益。论坛请上述实体在</w:t>
      </w:r>
      <w:r w:rsidRPr="002D7C3E">
        <w:rPr>
          <w:sz w:val="24"/>
          <w:szCs w:val="24"/>
          <w:lang w:val="zh-CN"/>
        </w:rPr>
        <w:t>2025</w:t>
      </w:r>
      <w:r w:rsidRPr="002D7C3E">
        <w:rPr>
          <w:rFonts w:hint="eastAsia"/>
          <w:sz w:val="24"/>
          <w:szCs w:val="24"/>
          <w:lang w:val="zh-CN"/>
        </w:rPr>
        <w:t>年届会上报告其行动。</w:t>
      </w:r>
    </w:p>
    <w:p w:rsidR="001928CC" w:rsidRPr="002D7C3E" w:rsidRDefault="001928CC">
      <w:pPr>
        <w:pStyle w:val="CBDNormalNoNumber"/>
        <w:tabs>
          <w:tab w:val="clear" w:pos="567"/>
          <w:tab w:val="clear" w:pos="1134"/>
        </w:tabs>
        <w:ind w:left="1134"/>
        <w:rPr>
          <w:rStyle w:val="Emphasis"/>
          <w:i w:val="0"/>
          <w:iCs w:val="0"/>
          <w:sz w:val="24"/>
          <w:szCs w:val="24"/>
        </w:rPr>
      </w:pPr>
      <w:r w:rsidRPr="002D7C3E">
        <w:rPr>
          <w:rStyle w:val="Emphasis"/>
          <w:i w:val="0"/>
          <w:iCs w:val="0"/>
          <w:sz w:val="24"/>
          <w:szCs w:val="24"/>
        </w:rPr>
        <w:t>80.</w:t>
      </w:r>
      <w:r w:rsidRPr="002D7C3E">
        <w:rPr>
          <w:rStyle w:val="Emphasis"/>
          <w:i w:val="0"/>
          <w:iCs w:val="0"/>
          <w:sz w:val="24"/>
          <w:szCs w:val="24"/>
        </w:rPr>
        <w:tab/>
      </w:r>
      <w:r w:rsidRPr="002D7C3E">
        <w:rPr>
          <w:rFonts w:hint="eastAsia"/>
          <w:sz w:val="24"/>
          <w:szCs w:val="24"/>
          <w:lang w:val="zh-CN"/>
        </w:rPr>
        <w:t>常设论坛强调必须为非洲土著人民创造直接和可获得的资金</w:t>
      </w:r>
      <w:r w:rsidRPr="002D7C3E">
        <w:rPr>
          <w:rFonts w:hint="eastAsia"/>
          <w:sz w:val="24"/>
          <w:szCs w:val="24"/>
        </w:rPr>
        <w:t>，</w:t>
      </w:r>
      <w:r w:rsidRPr="002D7C3E">
        <w:rPr>
          <w:rFonts w:hint="eastAsia"/>
          <w:sz w:val="24"/>
          <w:szCs w:val="24"/>
          <w:lang w:val="zh-CN"/>
        </w:rPr>
        <w:t>以执行里约</w:t>
      </w:r>
      <w:r w:rsidRPr="002D7C3E">
        <w:rPr>
          <w:rFonts w:hint="eastAsia"/>
          <w:spacing w:val="-2"/>
          <w:sz w:val="24"/>
          <w:szCs w:val="24"/>
          <w:lang w:val="zh-CN"/>
        </w:rPr>
        <w:t>三公约</w:t>
      </w:r>
      <w:r w:rsidRPr="002D7C3E">
        <w:rPr>
          <w:spacing w:val="-2"/>
          <w:sz w:val="24"/>
          <w:szCs w:val="24"/>
        </w:rPr>
        <w:t>(</w:t>
      </w:r>
      <w:r w:rsidRPr="002D7C3E">
        <w:rPr>
          <w:rFonts w:hint="eastAsia"/>
          <w:spacing w:val="-2"/>
          <w:sz w:val="24"/>
          <w:szCs w:val="24"/>
          <w:lang w:val="zh-CN"/>
        </w:rPr>
        <w:t>《联合国气候变化框架公约》、《生物多样性公约》和《联合国关于在发生严重干旱和</w:t>
      </w:r>
      <w:r w:rsidRPr="002D7C3E">
        <w:rPr>
          <w:spacing w:val="-2"/>
          <w:sz w:val="24"/>
          <w:szCs w:val="24"/>
        </w:rPr>
        <w:t>/</w:t>
      </w:r>
      <w:r w:rsidRPr="002D7C3E">
        <w:rPr>
          <w:rFonts w:hint="eastAsia"/>
          <w:spacing w:val="-2"/>
          <w:sz w:val="24"/>
          <w:szCs w:val="24"/>
          <w:lang w:val="zh-CN"/>
        </w:rPr>
        <w:t>或荒漠化的国家特别是在非洲防治荒漠化的公约》</w:t>
      </w:r>
      <w:r w:rsidRPr="002D7C3E">
        <w:rPr>
          <w:spacing w:val="-2"/>
          <w:sz w:val="24"/>
          <w:szCs w:val="24"/>
        </w:rPr>
        <w:t>)</w:t>
      </w:r>
      <w:r w:rsidRPr="002D7C3E">
        <w:rPr>
          <w:rFonts w:hint="eastAsia"/>
          <w:spacing w:val="-2"/>
          <w:sz w:val="24"/>
          <w:szCs w:val="24"/>
          <w:lang w:val="zh-CN"/>
        </w:rPr>
        <w:t>和可持续发展目标</w:t>
      </w:r>
      <w:r w:rsidRPr="002D7C3E">
        <w:rPr>
          <w:rFonts w:hint="eastAsia"/>
          <w:spacing w:val="-2"/>
          <w:sz w:val="24"/>
          <w:szCs w:val="24"/>
        </w:rPr>
        <w:t>，</w:t>
      </w:r>
      <w:r w:rsidRPr="002D7C3E">
        <w:rPr>
          <w:rFonts w:hint="eastAsia"/>
          <w:spacing w:val="-2"/>
          <w:sz w:val="24"/>
          <w:szCs w:val="24"/>
          <w:lang w:val="zh-CN"/>
        </w:rPr>
        <w:t>秘书处题为</w:t>
      </w:r>
      <w:r w:rsidRPr="002D7C3E">
        <w:rPr>
          <w:spacing w:val="-2"/>
          <w:sz w:val="24"/>
          <w:szCs w:val="24"/>
        </w:rPr>
        <w:t>“</w:t>
      </w:r>
      <w:r w:rsidRPr="002D7C3E">
        <w:rPr>
          <w:rFonts w:hint="eastAsia"/>
          <w:spacing w:val="-2"/>
          <w:sz w:val="24"/>
          <w:szCs w:val="24"/>
          <w:lang w:val="zh-CN"/>
        </w:rPr>
        <w:t>资助未来</w:t>
      </w:r>
      <w:r w:rsidRPr="002D7C3E">
        <w:rPr>
          <w:rFonts w:hint="eastAsia"/>
          <w:spacing w:val="-2"/>
          <w:sz w:val="24"/>
          <w:szCs w:val="24"/>
        </w:rPr>
        <w:t>：</w:t>
      </w:r>
      <w:r w:rsidRPr="002D7C3E">
        <w:rPr>
          <w:rFonts w:hint="eastAsia"/>
          <w:spacing w:val="-2"/>
          <w:sz w:val="24"/>
          <w:szCs w:val="24"/>
          <w:lang w:val="zh-CN"/>
        </w:rPr>
        <w:t>土著人民支持其生物多样性、气候和保护地球母亲行动的资金需求</w:t>
      </w:r>
      <w:r w:rsidRPr="002D7C3E">
        <w:rPr>
          <w:spacing w:val="-2"/>
          <w:sz w:val="24"/>
          <w:szCs w:val="24"/>
        </w:rPr>
        <w:t>”</w:t>
      </w:r>
      <w:r w:rsidRPr="002D7C3E">
        <w:rPr>
          <w:rFonts w:hint="eastAsia"/>
          <w:spacing w:val="-2"/>
          <w:sz w:val="24"/>
          <w:szCs w:val="24"/>
          <w:lang w:val="zh-CN"/>
        </w:rPr>
        <w:t>的说明</w:t>
      </w:r>
      <w:r w:rsidRPr="002D7C3E">
        <w:rPr>
          <w:spacing w:val="-2"/>
          <w:sz w:val="24"/>
          <w:szCs w:val="24"/>
        </w:rPr>
        <w:t>(E/C.19/2024/7)</w:t>
      </w:r>
      <w:r w:rsidRPr="002D7C3E">
        <w:rPr>
          <w:rFonts w:hint="eastAsia"/>
          <w:spacing w:val="-2"/>
          <w:sz w:val="24"/>
          <w:szCs w:val="24"/>
          <w:lang w:val="zh-CN"/>
        </w:rPr>
        <w:t>中转递的研究报告具体阐述了这一点。</w:t>
      </w:r>
    </w:p>
    <w:p w:rsidR="001928CC" w:rsidRPr="002D7C3E" w:rsidRDefault="001928CC">
      <w:pPr>
        <w:pStyle w:val="CBDNormalNoNumber"/>
        <w:tabs>
          <w:tab w:val="clear" w:pos="567"/>
          <w:tab w:val="clear" w:pos="1134"/>
        </w:tabs>
        <w:ind w:left="1134"/>
        <w:rPr>
          <w:sz w:val="24"/>
          <w:szCs w:val="24"/>
        </w:rPr>
      </w:pPr>
      <w:r w:rsidRPr="002D7C3E">
        <w:rPr>
          <w:rStyle w:val="Emphasis"/>
          <w:i w:val="0"/>
          <w:iCs w:val="0"/>
          <w:sz w:val="24"/>
          <w:szCs w:val="24"/>
        </w:rPr>
        <w:t>126.</w:t>
      </w:r>
      <w:r w:rsidRPr="002D7C3E">
        <w:rPr>
          <w:rStyle w:val="Emphasis"/>
          <w:i w:val="0"/>
          <w:iCs w:val="0"/>
          <w:sz w:val="24"/>
          <w:szCs w:val="24"/>
        </w:rPr>
        <w:tab/>
      </w:r>
      <w:r w:rsidRPr="002D7C3E">
        <w:rPr>
          <w:rFonts w:hint="eastAsia"/>
          <w:sz w:val="24"/>
          <w:szCs w:val="24"/>
          <w:lang w:val="zh-CN"/>
        </w:rPr>
        <w:t>土著人民作为自己土地、领土和资源的权利持有人</w:t>
      </w:r>
      <w:r w:rsidRPr="002D7C3E">
        <w:rPr>
          <w:rFonts w:hint="eastAsia"/>
          <w:sz w:val="24"/>
          <w:szCs w:val="24"/>
        </w:rPr>
        <w:t>，</w:t>
      </w:r>
      <w:r w:rsidRPr="002D7C3E">
        <w:rPr>
          <w:rFonts w:hint="eastAsia"/>
          <w:sz w:val="24"/>
          <w:szCs w:val="24"/>
          <w:lang w:val="zh-CN"/>
        </w:rPr>
        <w:t>其知识对于可持续发展</w:t>
      </w:r>
      <w:r w:rsidRPr="002D7C3E">
        <w:rPr>
          <w:rFonts w:hint="eastAsia"/>
          <w:sz w:val="24"/>
          <w:szCs w:val="24"/>
        </w:rPr>
        <w:t>，</w:t>
      </w:r>
      <w:r w:rsidRPr="002D7C3E">
        <w:rPr>
          <w:rFonts w:hint="eastAsia"/>
          <w:sz w:val="24"/>
          <w:szCs w:val="24"/>
          <w:lang w:val="zh-CN"/>
        </w:rPr>
        <w:t>包括《联合国气候变化框架公约》、《生物多样性公约》和《联合国关于在发生严重干旱和</w:t>
      </w:r>
      <w:r w:rsidRPr="002D7C3E">
        <w:rPr>
          <w:sz w:val="24"/>
          <w:szCs w:val="24"/>
        </w:rPr>
        <w:t>/</w:t>
      </w:r>
      <w:r w:rsidRPr="002D7C3E">
        <w:rPr>
          <w:rFonts w:hint="eastAsia"/>
          <w:sz w:val="24"/>
          <w:szCs w:val="24"/>
          <w:lang w:val="zh-CN"/>
        </w:rPr>
        <w:t>或荒漠化的国家特别是在非洲防治荒漠化的公约》等相关国际进程和缔约方大会至关重要。论坛欢迎秘书处在题为</w:t>
      </w:r>
      <w:r w:rsidRPr="002D7C3E">
        <w:rPr>
          <w:sz w:val="24"/>
          <w:szCs w:val="24"/>
          <w:lang w:val="zh-CN"/>
        </w:rPr>
        <w:t>“</w:t>
      </w:r>
      <w:r w:rsidRPr="002D7C3E">
        <w:rPr>
          <w:rFonts w:hint="eastAsia"/>
          <w:sz w:val="24"/>
          <w:szCs w:val="24"/>
          <w:lang w:val="zh-CN"/>
        </w:rPr>
        <w:t>资助未来：土著人民支持其生物多样性、气候和保护地球母亲行动的资金需求</w:t>
      </w:r>
      <w:r w:rsidRPr="002D7C3E">
        <w:rPr>
          <w:sz w:val="24"/>
          <w:szCs w:val="24"/>
          <w:lang w:val="zh-CN"/>
        </w:rPr>
        <w:t>”</w:t>
      </w:r>
      <w:r w:rsidRPr="002D7C3E">
        <w:rPr>
          <w:rFonts w:hint="eastAsia"/>
          <w:sz w:val="24"/>
          <w:szCs w:val="24"/>
          <w:lang w:val="zh-CN"/>
        </w:rPr>
        <w:t>的说明</w:t>
      </w:r>
      <w:r w:rsidRPr="002D7C3E">
        <w:rPr>
          <w:sz w:val="24"/>
          <w:szCs w:val="24"/>
          <w:lang w:val="zh-CN"/>
        </w:rPr>
        <w:t>(E/C.19/2024/7)</w:t>
      </w:r>
      <w:r w:rsidRPr="002D7C3E">
        <w:rPr>
          <w:rFonts w:hint="eastAsia"/>
          <w:sz w:val="24"/>
          <w:szCs w:val="24"/>
          <w:lang w:val="zh-CN"/>
        </w:rPr>
        <w:t>中转递的研究报告。</w:t>
      </w:r>
    </w:p>
    <w:p w:rsidR="001928CC" w:rsidRPr="002D7C3E" w:rsidRDefault="001928CC" w:rsidP="006D51D7">
      <w:pPr>
        <w:pStyle w:val="CBDNormalNumber"/>
        <w:numPr>
          <w:ilvl w:val="0"/>
          <w:numId w:val="10"/>
        </w:numPr>
        <w:rPr>
          <w:sz w:val="24"/>
          <w:szCs w:val="24"/>
        </w:rPr>
      </w:pPr>
      <w:r w:rsidRPr="002D7C3E">
        <w:rPr>
          <w:rFonts w:hint="eastAsia"/>
          <w:sz w:val="24"/>
          <w:szCs w:val="24"/>
          <w:lang w:val="zh-CN"/>
        </w:rPr>
        <w:t>在本次会议议程项目</w:t>
      </w:r>
      <w:r w:rsidRPr="002D7C3E">
        <w:rPr>
          <w:sz w:val="24"/>
          <w:szCs w:val="24"/>
        </w:rPr>
        <w:t>3</w:t>
      </w:r>
      <w:r w:rsidRPr="002D7C3E">
        <w:rPr>
          <w:rFonts w:hint="eastAsia"/>
          <w:sz w:val="24"/>
          <w:szCs w:val="24"/>
          <w:lang w:val="zh-CN"/>
        </w:rPr>
        <w:t>下</w:t>
      </w:r>
      <w:r w:rsidRPr="002D7C3E">
        <w:rPr>
          <w:rFonts w:hint="eastAsia"/>
          <w:sz w:val="24"/>
          <w:szCs w:val="24"/>
        </w:rPr>
        <w:t>，</w:t>
      </w:r>
      <w:r w:rsidRPr="002D7C3E">
        <w:rPr>
          <w:rFonts w:hint="eastAsia"/>
          <w:sz w:val="24"/>
          <w:szCs w:val="24"/>
          <w:lang w:val="zh-CN"/>
        </w:rPr>
        <w:t>将就</w:t>
      </w:r>
      <w:r w:rsidRPr="002D7C3E">
        <w:rPr>
          <w:sz w:val="24"/>
          <w:szCs w:val="24"/>
        </w:rPr>
        <w:t>“</w:t>
      </w:r>
      <w:r w:rsidRPr="002D7C3E">
        <w:rPr>
          <w:rFonts w:hint="eastAsia"/>
          <w:sz w:val="24"/>
          <w:szCs w:val="24"/>
          <w:lang w:val="zh-CN"/>
        </w:rPr>
        <w:t>调动资源的战略</w:t>
      </w:r>
      <w:r w:rsidRPr="002D7C3E">
        <w:rPr>
          <w:rFonts w:hint="eastAsia"/>
          <w:sz w:val="24"/>
          <w:szCs w:val="24"/>
        </w:rPr>
        <w:t>，</w:t>
      </w:r>
      <w:r w:rsidRPr="002D7C3E">
        <w:rPr>
          <w:rFonts w:hint="eastAsia"/>
          <w:sz w:val="24"/>
          <w:szCs w:val="24"/>
          <w:lang w:val="zh-CN"/>
        </w:rPr>
        <w:t>以确保财政资源和资金的可用性和可及性以及其他实施手段</w:t>
      </w:r>
      <w:r w:rsidRPr="002D7C3E">
        <w:rPr>
          <w:rFonts w:hint="eastAsia"/>
          <w:sz w:val="24"/>
          <w:szCs w:val="24"/>
        </w:rPr>
        <w:t>，</w:t>
      </w:r>
      <w:r w:rsidRPr="002D7C3E">
        <w:rPr>
          <w:rFonts w:hint="eastAsia"/>
          <w:sz w:val="24"/>
          <w:szCs w:val="24"/>
          <w:lang w:val="zh-CN"/>
        </w:rPr>
        <w:t>包括为土著人民和地方社区</w:t>
      </w:r>
      <w:r w:rsidRPr="002D7C3E">
        <w:rPr>
          <w:rFonts w:hint="eastAsia"/>
          <w:sz w:val="24"/>
          <w:szCs w:val="24"/>
        </w:rPr>
        <w:t>（</w:t>
      </w:r>
      <w:r w:rsidRPr="002D7C3E">
        <w:rPr>
          <w:rFonts w:hint="eastAsia"/>
          <w:sz w:val="24"/>
          <w:szCs w:val="24"/>
          <w:lang w:val="zh-CN"/>
        </w:rPr>
        <w:t>包括妇女和青年</w:t>
      </w:r>
      <w:r w:rsidRPr="002D7C3E">
        <w:rPr>
          <w:rFonts w:hint="eastAsia"/>
          <w:sz w:val="24"/>
          <w:szCs w:val="24"/>
        </w:rPr>
        <w:t>）</w:t>
      </w:r>
      <w:r w:rsidRPr="002D7C3E">
        <w:rPr>
          <w:rFonts w:hint="eastAsia"/>
          <w:sz w:val="24"/>
          <w:szCs w:val="24"/>
          <w:lang w:val="zh-CN"/>
        </w:rPr>
        <w:t>提供能力建设、发展和技术支持</w:t>
      </w:r>
      <w:r w:rsidRPr="002D7C3E">
        <w:rPr>
          <w:rFonts w:hint="eastAsia"/>
          <w:sz w:val="24"/>
          <w:szCs w:val="24"/>
        </w:rPr>
        <w:t>，</w:t>
      </w:r>
      <w:r w:rsidRPr="002D7C3E">
        <w:rPr>
          <w:rFonts w:hint="eastAsia"/>
          <w:sz w:val="24"/>
          <w:szCs w:val="24"/>
          <w:lang w:val="zh-CN"/>
        </w:rPr>
        <w:t>以支持全面实施《昆明</w:t>
      </w:r>
      <w:r w:rsidRPr="002D7C3E">
        <w:rPr>
          <w:sz w:val="24"/>
          <w:szCs w:val="24"/>
        </w:rPr>
        <w:t>-</w:t>
      </w:r>
      <w:r w:rsidRPr="002D7C3E">
        <w:rPr>
          <w:rFonts w:hint="eastAsia"/>
          <w:sz w:val="24"/>
          <w:szCs w:val="24"/>
          <w:lang w:val="zh-CN"/>
        </w:rPr>
        <w:t>蒙特利尔全球生物多样性框架》</w:t>
      </w:r>
      <w:r w:rsidRPr="002D7C3E">
        <w:rPr>
          <w:sz w:val="24"/>
          <w:szCs w:val="24"/>
        </w:rPr>
        <w:t>”</w:t>
      </w:r>
      <w:r w:rsidRPr="002D7C3E">
        <w:rPr>
          <w:rFonts w:hint="eastAsia"/>
          <w:sz w:val="24"/>
          <w:szCs w:val="24"/>
          <w:lang w:val="zh-CN"/>
        </w:rPr>
        <w:t>主题举行深入对话。</w:t>
      </w:r>
      <w:r w:rsidRPr="002D7C3E">
        <w:rPr>
          <w:rStyle w:val="Emphasis"/>
          <w:i w:val="0"/>
          <w:iCs w:val="0"/>
          <w:sz w:val="24"/>
          <w:szCs w:val="24"/>
        </w:rPr>
        <w:t xml:space="preserve"> </w:t>
      </w:r>
    </w:p>
    <w:p w:rsidR="001928CC" w:rsidRPr="002D7C3E" w:rsidRDefault="001928CC" w:rsidP="006D51D7">
      <w:pPr>
        <w:pStyle w:val="CBDNormalNumber"/>
        <w:numPr>
          <w:ilvl w:val="0"/>
          <w:numId w:val="10"/>
        </w:numPr>
        <w:rPr>
          <w:sz w:val="24"/>
          <w:szCs w:val="24"/>
        </w:rPr>
      </w:pPr>
      <w:r w:rsidRPr="002D7C3E">
        <w:rPr>
          <w:rFonts w:hint="eastAsia"/>
          <w:sz w:val="24"/>
          <w:szCs w:val="24"/>
          <w:lang w:val="zh-CN"/>
        </w:rPr>
        <w:t>缔约方大会在第</w:t>
      </w:r>
      <w:hyperlink r:id="rId11" w:history="1">
        <w:r w:rsidRPr="002D7C3E">
          <w:rPr>
            <w:rStyle w:val="Hyperlink"/>
            <w:sz w:val="24"/>
            <w:szCs w:val="24"/>
            <w:lang w:val="en-US"/>
          </w:rPr>
          <w:t>16/4</w:t>
        </w:r>
      </w:hyperlink>
      <w:r w:rsidRPr="002D7C3E">
        <w:rPr>
          <w:rFonts w:hint="eastAsia"/>
          <w:sz w:val="24"/>
          <w:szCs w:val="24"/>
          <w:lang w:val="zh-CN"/>
        </w:rPr>
        <w:t>号决定通过了至</w:t>
      </w:r>
      <w:r w:rsidRPr="002D7C3E">
        <w:rPr>
          <w:sz w:val="24"/>
          <w:szCs w:val="24"/>
          <w:lang w:val="en-US"/>
        </w:rPr>
        <w:t>2030</w:t>
      </w:r>
      <w:r w:rsidRPr="002D7C3E">
        <w:rPr>
          <w:rFonts w:hint="eastAsia"/>
          <w:sz w:val="24"/>
          <w:szCs w:val="24"/>
          <w:lang w:val="zh-CN"/>
        </w:rPr>
        <w:t>年《生物多样性公约》关于土著人民和地方社区的第</w:t>
      </w:r>
      <w:r w:rsidRPr="002D7C3E">
        <w:rPr>
          <w:sz w:val="24"/>
          <w:szCs w:val="24"/>
          <w:lang w:val="en-US"/>
        </w:rPr>
        <w:t>8(j)</w:t>
      </w:r>
      <w:r w:rsidRPr="002D7C3E">
        <w:rPr>
          <w:rFonts w:hint="eastAsia"/>
          <w:sz w:val="24"/>
          <w:szCs w:val="24"/>
          <w:lang w:val="zh-CN"/>
        </w:rPr>
        <w:t>条和其他条款的工作方案。在工作方案关于土著人民和地方社区获得资金，包括直接获得资金，用于养护、恢复和可持续利用生物多样性的构成部分</w:t>
      </w:r>
      <w:r w:rsidRPr="002D7C3E">
        <w:rPr>
          <w:sz w:val="24"/>
          <w:szCs w:val="24"/>
          <w:lang w:val="zh-CN"/>
        </w:rPr>
        <w:t xml:space="preserve"> 8</w:t>
      </w:r>
      <w:r w:rsidRPr="002D7C3E">
        <w:rPr>
          <w:rFonts w:hint="eastAsia"/>
          <w:sz w:val="24"/>
          <w:szCs w:val="24"/>
          <w:lang w:val="zh-CN"/>
        </w:rPr>
        <w:t>下，缔约方大会商定了以下任务：根据</w:t>
      </w:r>
      <w:r w:rsidRPr="002D7C3E">
        <w:rPr>
          <w:sz w:val="24"/>
          <w:szCs w:val="24"/>
        </w:rPr>
        <w:t>2025-2030</w:t>
      </w:r>
      <w:r w:rsidRPr="002D7C3E">
        <w:rPr>
          <w:rFonts w:hint="eastAsia"/>
          <w:sz w:val="24"/>
          <w:szCs w:val="24"/>
          <w:lang w:val="zh-CN"/>
        </w:rPr>
        <w:t>年资源调动战略并在此战略的范围内</w:t>
      </w:r>
      <w:r w:rsidRPr="002D7C3E">
        <w:rPr>
          <w:rFonts w:hint="eastAsia"/>
          <w:sz w:val="24"/>
          <w:szCs w:val="24"/>
        </w:rPr>
        <w:t>，</w:t>
      </w:r>
      <w:r w:rsidRPr="002D7C3E">
        <w:rPr>
          <w:rFonts w:hint="eastAsia"/>
          <w:sz w:val="24"/>
          <w:szCs w:val="24"/>
          <w:lang w:val="zh-CN"/>
        </w:rPr>
        <w:t>支持努力为土著人民和地方社区调动财务资源</w:t>
      </w:r>
      <w:r w:rsidRPr="002D7C3E">
        <w:rPr>
          <w:rFonts w:hint="eastAsia"/>
          <w:sz w:val="24"/>
          <w:szCs w:val="24"/>
        </w:rPr>
        <w:t>（</w:t>
      </w:r>
      <w:r w:rsidRPr="002D7C3E">
        <w:rPr>
          <w:rFonts w:hint="eastAsia"/>
          <w:sz w:val="24"/>
          <w:szCs w:val="24"/>
          <w:lang w:val="zh-CN"/>
        </w:rPr>
        <w:t>任务</w:t>
      </w:r>
      <w:r w:rsidRPr="002D7C3E">
        <w:rPr>
          <w:rStyle w:val="Emphasis"/>
          <w:i w:val="0"/>
          <w:iCs w:val="0"/>
          <w:sz w:val="24"/>
          <w:szCs w:val="24"/>
        </w:rPr>
        <w:t>8.1</w:t>
      </w:r>
      <w:r w:rsidRPr="002D7C3E">
        <w:rPr>
          <w:rFonts w:hint="eastAsia"/>
          <w:sz w:val="24"/>
          <w:szCs w:val="24"/>
        </w:rPr>
        <w:t>）；</w:t>
      </w:r>
      <w:r w:rsidRPr="002D7C3E">
        <w:rPr>
          <w:rFonts w:hint="eastAsia"/>
          <w:sz w:val="24"/>
          <w:szCs w:val="24"/>
          <w:lang w:val="zh-CN"/>
        </w:rPr>
        <w:t>找出差距</w:t>
      </w:r>
      <w:r w:rsidRPr="002D7C3E">
        <w:rPr>
          <w:rFonts w:hint="eastAsia"/>
          <w:sz w:val="24"/>
          <w:szCs w:val="24"/>
        </w:rPr>
        <w:t>，</w:t>
      </w:r>
      <w:r w:rsidRPr="002D7C3E">
        <w:rPr>
          <w:rFonts w:hint="eastAsia"/>
          <w:sz w:val="24"/>
          <w:szCs w:val="24"/>
          <w:lang w:val="zh-CN"/>
        </w:rPr>
        <w:t>推广良好做法</w:t>
      </w:r>
      <w:r w:rsidRPr="002D7C3E">
        <w:rPr>
          <w:rFonts w:hint="eastAsia"/>
          <w:sz w:val="24"/>
          <w:szCs w:val="24"/>
        </w:rPr>
        <w:t>，</w:t>
      </w:r>
      <w:r w:rsidRPr="002D7C3E">
        <w:rPr>
          <w:rFonts w:hint="eastAsia"/>
          <w:sz w:val="24"/>
          <w:szCs w:val="24"/>
          <w:lang w:val="zh-CN"/>
        </w:rPr>
        <w:t>进一步探索制定或改进现有政策、机制及其他适当倡议和措施的备选方案</w:t>
      </w:r>
      <w:r w:rsidRPr="002D7C3E">
        <w:rPr>
          <w:rFonts w:hint="eastAsia"/>
          <w:sz w:val="24"/>
          <w:szCs w:val="24"/>
        </w:rPr>
        <w:t>，</w:t>
      </w:r>
      <w:r w:rsidRPr="002D7C3E">
        <w:rPr>
          <w:rFonts w:hint="eastAsia"/>
          <w:sz w:val="24"/>
          <w:szCs w:val="24"/>
          <w:lang w:val="zh-CN"/>
        </w:rPr>
        <w:t>以增加土著人民和地方社区获得资金的机会</w:t>
      </w:r>
      <w:r w:rsidRPr="002D7C3E">
        <w:rPr>
          <w:rFonts w:hint="eastAsia"/>
          <w:sz w:val="24"/>
          <w:szCs w:val="24"/>
        </w:rPr>
        <w:t>，</w:t>
      </w:r>
      <w:r w:rsidRPr="002D7C3E">
        <w:rPr>
          <w:rFonts w:hint="eastAsia"/>
          <w:sz w:val="24"/>
          <w:szCs w:val="24"/>
          <w:lang w:val="zh-CN"/>
        </w:rPr>
        <w:t>包括直接获得资金</w:t>
      </w:r>
      <w:r w:rsidRPr="002D7C3E">
        <w:rPr>
          <w:rFonts w:hint="eastAsia"/>
          <w:sz w:val="24"/>
          <w:szCs w:val="24"/>
        </w:rPr>
        <w:t>，</w:t>
      </w:r>
      <w:r w:rsidRPr="002D7C3E">
        <w:rPr>
          <w:rFonts w:hint="eastAsia"/>
          <w:sz w:val="24"/>
          <w:szCs w:val="24"/>
          <w:lang w:val="zh-CN"/>
        </w:rPr>
        <w:t>用于生物多样性养护和可持续利用方面的集体行动</w:t>
      </w:r>
      <w:r w:rsidRPr="002D7C3E">
        <w:rPr>
          <w:rFonts w:hint="eastAsia"/>
          <w:sz w:val="24"/>
          <w:szCs w:val="24"/>
        </w:rPr>
        <w:t>，</w:t>
      </w:r>
      <w:r w:rsidRPr="002D7C3E">
        <w:rPr>
          <w:rFonts w:hint="eastAsia"/>
          <w:sz w:val="24"/>
          <w:szCs w:val="24"/>
          <w:lang w:val="zh-CN"/>
        </w:rPr>
        <w:t>特别是妇女和青年领导的行动</w:t>
      </w:r>
      <w:r w:rsidRPr="002D7C3E">
        <w:rPr>
          <w:rFonts w:hint="eastAsia"/>
          <w:sz w:val="24"/>
          <w:szCs w:val="24"/>
        </w:rPr>
        <w:t>（</w:t>
      </w:r>
      <w:r w:rsidRPr="002D7C3E">
        <w:rPr>
          <w:rFonts w:hint="eastAsia"/>
          <w:sz w:val="24"/>
          <w:szCs w:val="24"/>
          <w:lang w:val="zh-CN"/>
        </w:rPr>
        <w:t>任务</w:t>
      </w:r>
      <w:r w:rsidRPr="002D7C3E">
        <w:rPr>
          <w:sz w:val="24"/>
          <w:szCs w:val="24"/>
        </w:rPr>
        <w:t>8.2</w:t>
      </w:r>
      <w:r w:rsidRPr="002D7C3E">
        <w:rPr>
          <w:rFonts w:hint="eastAsia"/>
          <w:sz w:val="24"/>
          <w:szCs w:val="24"/>
        </w:rPr>
        <w:t>）</w:t>
      </w:r>
      <w:r w:rsidRPr="002D7C3E">
        <w:rPr>
          <w:rFonts w:hint="eastAsia"/>
          <w:sz w:val="24"/>
          <w:szCs w:val="24"/>
          <w:lang w:val="zh-CN"/>
        </w:rPr>
        <w:t>。上述深入对话也旨在为任务</w:t>
      </w:r>
      <w:r w:rsidRPr="002D7C3E">
        <w:rPr>
          <w:sz w:val="24"/>
          <w:szCs w:val="24"/>
          <w:lang w:val="zh-CN"/>
        </w:rPr>
        <w:t>8.2</w:t>
      </w:r>
      <w:r w:rsidRPr="002D7C3E">
        <w:rPr>
          <w:rFonts w:hint="eastAsia"/>
          <w:sz w:val="24"/>
          <w:szCs w:val="24"/>
          <w:lang w:val="zh-CN"/>
        </w:rPr>
        <w:t>的实施提供信息。</w:t>
      </w:r>
      <w:r w:rsidRPr="002D7C3E">
        <w:rPr>
          <w:rStyle w:val="Emphasis"/>
          <w:i w:val="0"/>
          <w:iCs w:val="0"/>
          <w:sz w:val="24"/>
          <w:szCs w:val="24"/>
        </w:rPr>
        <w:t xml:space="preserve"> </w:t>
      </w:r>
    </w:p>
    <w:p w:rsidR="001928CC" w:rsidRPr="002D7C3E" w:rsidRDefault="001928CC" w:rsidP="006D51D7">
      <w:pPr>
        <w:pStyle w:val="CBDNormalNumber"/>
        <w:numPr>
          <w:ilvl w:val="0"/>
          <w:numId w:val="10"/>
        </w:numPr>
        <w:rPr>
          <w:rStyle w:val="Emphasis"/>
          <w:rFonts w:eastAsia="等线 Light"/>
          <w:i w:val="0"/>
          <w:iCs w:val="0"/>
          <w:sz w:val="24"/>
          <w:szCs w:val="24"/>
        </w:rPr>
      </w:pPr>
      <w:r w:rsidRPr="002D7C3E">
        <w:rPr>
          <w:rFonts w:hint="eastAsia"/>
          <w:sz w:val="24"/>
          <w:szCs w:val="24"/>
          <w:lang w:val="zh-CN"/>
        </w:rPr>
        <w:t>缔约方大会在其第</w:t>
      </w:r>
      <w:hyperlink r:id="rId12" w:history="1">
        <w:r w:rsidRPr="002D7C3E">
          <w:rPr>
            <w:rStyle w:val="Hyperlink"/>
            <w:sz w:val="24"/>
            <w:szCs w:val="24"/>
          </w:rPr>
          <w:t>16/34</w:t>
        </w:r>
      </w:hyperlink>
      <w:r w:rsidRPr="002D7C3E">
        <w:rPr>
          <w:rFonts w:hint="eastAsia"/>
          <w:sz w:val="24"/>
          <w:szCs w:val="24"/>
          <w:lang w:val="zh-CN"/>
        </w:rPr>
        <w:t>号决定通过了</w:t>
      </w:r>
      <w:r w:rsidRPr="002D7C3E">
        <w:rPr>
          <w:sz w:val="24"/>
          <w:szCs w:val="24"/>
        </w:rPr>
        <w:t>2025-2030</w:t>
      </w:r>
      <w:r w:rsidRPr="002D7C3E">
        <w:rPr>
          <w:rFonts w:hint="eastAsia"/>
          <w:sz w:val="24"/>
          <w:szCs w:val="24"/>
          <w:lang w:val="zh-CN"/>
        </w:rPr>
        <w:t>年资源调动战略</w:t>
      </w:r>
      <w:r w:rsidRPr="002D7C3E">
        <w:rPr>
          <w:rFonts w:hint="eastAsia"/>
          <w:sz w:val="24"/>
          <w:szCs w:val="24"/>
        </w:rPr>
        <w:t>，</w:t>
      </w:r>
      <w:r w:rsidRPr="002D7C3E">
        <w:rPr>
          <w:rFonts w:hint="eastAsia"/>
          <w:sz w:val="24"/>
          <w:szCs w:val="24"/>
          <w:lang w:val="zh-CN"/>
        </w:rPr>
        <w:t>其中指出可用于调动实施《框架》所需资源的各种工具、机制和机构。这项战略涵盖国家和地方政府的公共资金、私人和慈善机构资金、多边开发银行的资金、混合融资和创新融资方式。缔约方大会在第</w:t>
      </w:r>
      <w:hyperlink r:id="rId13" w:history="1">
        <w:r w:rsidRPr="002D7C3E">
          <w:rPr>
            <w:rStyle w:val="Hyperlink"/>
            <w:sz w:val="24"/>
            <w:szCs w:val="24"/>
            <w:lang w:val="zh-CN"/>
          </w:rPr>
          <w:t>16/33</w:t>
        </w:r>
      </w:hyperlink>
      <w:r w:rsidRPr="002D7C3E">
        <w:rPr>
          <w:rFonts w:hint="eastAsia"/>
          <w:sz w:val="24"/>
          <w:szCs w:val="24"/>
          <w:lang w:val="zh-CN"/>
        </w:rPr>
        <w:t>号决定中鼓励全球环境基金继续探索可能的机会，最大限度地扩大其综合方案对执行《昆蒙框架》的贡献，包括通过对土著人民和地方社区、妇女和青年的专项支持。</w:t>
      </w:r>
    </w:p>
    <w:p w:rsidR="001928CC" w:rsidRPr="002D7C3E" w:rsidRDefault="001928CC" w:rsidP="006D51D7">
      <w:pPr>
        <w:pStyle w:val="CBDNormalNumber"/>
        <w:numPr>
          <w:ilvl w:val="0"/>
          <w:numId w:val="10"/>
        </w:numPr>
        <w:rPr>
          <w:rStyle w:val="Emphasis"/>
          <w:i w:val="0"/>
          <w:iCs w:val="0"/>
          <w:sz w:val="24"/>
          <w:szCs w:val="24"/>
        </w:rPr>
      </w:pPr>
      <w:r w:rsidRPr="002D7C3E">
        <w:rPr>
          <w:rFonts w:hint="eastAsia"/>
          <w:sz w:val="24"/>
          <w:szCs w:val="24"/>
          <w:lang w:val="zh-CN"/>
        </w:rPr>
        <w:t>常设论坛报告第</w:t>
      </w:r>
      <w:r w:rsidRPr="002D7C3E">
        <w:rPr>
          <w:sz w:val="24"/>
          <w:szCs w:val="24"/>
        </w:rPr>
        <w:t>119</w:t>
      </w:r>
      <w:r w:rsidRPr="002D7C3E">
        <w:rPr>
          <w:rFonts w:hint="eastAsia"/>
          <w:sz w:val="24"/>
          <w:szCs w:val="24"/>
          <w:lang w:val="zh-CN"/>
        </w:rPr>
        <w:t>和</w:t>
      </w:r>
      <w:r w:rsidRPr="002D7C3E">
        <w:rPr>
          <w:sz w:val="24"/>
          <w:szCs w:val="24"/>
        </w:rPr>
        <w:t>120</w:t>
      </w:r>
      <w:r w:rsidRPr="002D7C3E">
        <w:rPr>
          <w:rFonts w:hint="eastAsia"/>
          <w:sz w:val="24"/>
          <w:szCs w:val="24"/>
          <w:lang w:val="zh-CN"/>
        </w:rPr>
        <w:t>段重点讨论了土著人民权利的术语和保障措施</w:t>
      </w:r>
      <w:r w:rsidRPr="002D7C3E">
        <w:rPr>
          <w:rFonts w:hint="eastAsia"/>
          <w:sz w:val="24"/>
          <w:szCs w:val="24"/>
        </w:rPr>
        <w:t>，</w:t>
      </w:r>
      <w:r w:rsidRPr="002D7C3E">
        <w:rPr>
          <w:rFonts w:hint="eastAsia"/>
          <w:sz w:val="24"/>
          <w:szCs w:val="24"/>
          <w:lang w:val="zh-CN"/>
        </w:rPr>
        <w:t>内容如下</w:t>
      </w:r>
      <w:r w:rsidRPr="002D7C3E">
        <w:rPr>
          <w:rFonts w:hint="eastAsia"/>
          <w:sz w:val="24"/>
          <w:szCs w:val="24"/>
        </w:rPr>
        <w:t>：</w:t>
      </w:r>
    </w:p>
    <w:p w:rsidR="001928CC" w:rsidRPr="002D7C3E" w:rsidRDefault="001928CC">
      <w:pPr>
        <w:pStyle w:val="CBDNormalNoNumber"/>
        <w:tabs>
          <w:tab w:val="clear" w:pos="567"/>
          <w:tab w:val="clear" w:pos="1134"/>
        </w:tabs>
        <w:ind w:left="1134"/>
        <w:rPr>
          <w:rStyle w:val="Emphasis"/>
          <w:rFonts w:eastAsia="等线 Light"/>
          <w:i w:val="0"/>
          <w:iCs w:val="0"/>
          <w:sz w:val="24"/>
          <w:szCs w:val="24"/>
        </w:rPr>
      </w:pPr>
      <w:r w:rsidRPr="002D7C3E">
        <w:rPr>
          <w:rStyle w:val="Emphasis"/>
          <w:i w:val="0"/>
          <w:iCs w:val="0"/>
          <w:sz w:val="24"/>
          <w:szCs w:val="24"/>
        </w:rPr>
        <w:lastRenderedPageBreak/>
        <w:t>119.</w:t>
      </w:r>
      <w:r w:rsidRPr="002D7C3E">
        <w:rPr>
          <w:rStyle w:val="Emphasis"/>
          <w:rFonts w:eastAsia="等线 Light"/>
          <w:i w:val="0"/>
          <w:iCs w:val="0"/>
          <w:sz w:val="24"/>
          <w:szCs w:val="24"/>
        </w:rPr>
        <w:tab/>
      </w:r>
      <w:r w:rsidRPr="002D7C3E">
        <w:rPr>
          <w:rFonts w:hint="eastAsia"/>
          <w:sz w:val="24"/>
          <w:szCs w:val="24"/>
          <w:lang w:val="zh-CN"/>
        </w:rPr>
        <w:t>常设论坛重申其已敦促所有联合国实体以及有关环境、生物多样性和气候变化的条约缔约国在各级进行中的进程、政策和新的国际协定中</w:t>
      </w:r>
      <w:r w:rsidRPr="002D7C3E">
        <w:rPr>
          <w:rFonts w:hint="eastAsia"/>
          <w:sz w:val="24"/>
          <w:szCs w:val="24"/>
        </w:rPr>
        <w:t>，</w:t>
      </w:r>
      <w:r w:rsidRPr="002D7C3E">
        <w:rPr>
          <w:rFonts w:hint="eastAsia"/>
          <w:sz w:val="24"/>
          <w:szCs w:val="24"/>
          <w:lang w:val="zh-CN"/>
        </w:rPr>
        <w:t>消除将</w:t>
      </w:r>
      <w:r w:rsidRPr="002D7C3E">
        <w:rPr>
          <w:sz w:val="24"/>
          <w:szCs w:val="24"/>
        </w:rPr>
        <w:t>“</w:t>
      </w:r>
      <w:r w:rsidRPr="002D7C3E">
        <w:rPr>
          <w:rFonts w:hint="eastAsia"/>
          <w:sz w:val="24"/>
          <w:szCs w:val="24"/>
          <w:lang w:val="zh-CN"/>
        </w:rPr>
        <w:t>地方社区</w:t>
      </w:r>
      <w:r w:rsidRPr="002D7C3E">
        <w:rPr>
          <w:sz w:val="24"/>
          <w:szCs w:val="24"/>
        </w:rPr>
        <w:t>”</w:t>
      </w:r>
      <w:r w:rsidRPr="002D7C3E">
        <w:rPr>
          <w:rFonts w:hint="eastAsia"/>
          <w:sz w:val="24"/>
          <w:szCs w:val="24"/>
          <w:lang w:val="zh-CN"/>
        </w:rPr>
        <w:t>一词与土著人民连同使用的做法</w:t>
      </w:r>
      <w:r w:rsidRPr="002D7C3E">
        <w:rPr>
          <w:rFonts w:hint="eastAsia"/>
          <w:sz w:val="24"/>
          <w:szCs w:val="24"/>
        </w:rPr>
        <w:t>，</w:t>
      </w:r>
      <w:r w:rsidRPr="002D7C3E">
        <w:rPr>
          <w:rFonts w:hint="eastAsia"/>
          <w:sz w:val="24"/>
          <w:szCs w:val="24"/>
          <w:lang w:val="zh-CN"/>
        </w:rPr>
        <w:t>并对这两个词加以区分。</w:t>
      </w:r>
      <w:r w:rsidRPr="002D7C3E">
        <w:rPr>
          <w:rStyle w:val="Emphasis"/>
          <w:iCs w:val="0"/>
          <w:sz w:val="24"/>
          <w:szCs w:val="24"/>
        </w:rPr>
        <w:t xml:space="preserve"> </w:t>
      </w:r>
    </w:p>
    <w:p w:rsidR="001928CC" w:rsidRPr="002D7C3E" w:rsidRDefault="001928CC">
      <w:pPr>
        <w:pStyle w:val="CBDNormalNoNumber"/>
        <w:tabs>
          <w:tab w:val="clear" w:pos="567"/>
          <w:tab w:val="clear" w:pos="1134"/>
        </w:tabs>
        <w:ind w:left="1134"/>
        <w:rPr>
          <w:rStyle w:val="Emphasis"/>
          <w:rFonts w:eastAsia="等线 Light"/>
          <w:i w:val="0"/>
          <w:iCs w:val="0"/>
          <w:sz w:val="24"/>
          <w:szCs w:val="24"/>
        </w:rPr>
      </w:pPr>
      <w:bookmarkStart w:id="5" w:name="_Hlk205544828"/>
      <w:r w:rsidRPr="002D7C3E">
        <w:rPr>
          <w:rStyle w:val="Emphasis"/>
          <w:i w:val="0"/>
          <w:iCs w:val="0"/>
          <w:sz w:val="24"/>
          <w:szCs w:val="24"/>
        </w:rPr>
        <w:t>120.</w:t>
      </w:r>
      <w:r w:rsidRPr="002D7C3E">
        <w:rPr>
          <w:rStyle w:val="Emphasis"/>
          <w:rFonts w:eastAsia="等线 Light"/>
          <w:i w:val="0"/>
          <w:iCs w:val="0"/>
          <w:sz w:val="24"/>
          <w:szCs w:val="24"/>
        </w:rPr>
        <w:tab/>
      </w:r>
      <w:r w:rsidRPr="002D7C3E">
        <w:rPr>
          <w:rFonts w:hint="eastAsia"/>
          <w:sz w:val="24"/>
          <w:szCs w:val="24"/>
          <w:lang w:val="zh-CN"/>
        </w:rPr>
        <w:t>常设论坛鼓励《生物多样性公约》缔约方确保在土著人民充分和有效参与的情况下</w:t>
      </w:r>
      <w:r w:rsidRPr="002D7C3E">
        <w:rPr>
          <w:rFonts w:hint="eastAsia"/>
          <w:sz w:val="24"/>
          <w:szCs w:val="24"/>
        </w:rPr>
        <w:t>，</w:t>
      </w:r>
      <w:r w:rsidRPr="002D7C3E">
        <w:rPr>
          <w:rFonts w:hint="eastAsia"/>
          <w:sz w:val="24"/>
          <w:szCs w:val="24"/>
          <w:lang w:val="zh-CN"/>
        </w:rPr>
        <w:t>在体制安排方面取得进展</w:t>
      </w:r>
      <w:r w:rsidRPr="002D7C3E">
        <w:rPr>
          <w:rFonts w:hint="eastAsia"/>
          <w:sz w:val="24"/>
          <w:szCs w:val="24"/>
        </w:rPr>
        <w:t>，</w:t>
      </w:r>
      <w:r w:rsidRPr="002D7C3E">
        <w:rPr>
          <w:rFonts w:hint="eastAsia"/>
          <w:sz w:val="24"/>
          <w:szCs w:val="24"/>
          <w:lang w:val="zh-CN"/>
        </w:rPr>
        <w:t>以保证对《昆明</w:t>
      </w:r>
      <w:r w:rsidRPr="002D7C3E">
        <w:rPr>
          <w:sz w:val="24"/>
          <w:szCs w:val="24"/>
        </w:rPr>
        <w:t>-</w:t>
      </w:r>
      <w:r w:rsidRPr="002D7C3E">
        <w:rPr>
          <w:rFonts w:hint="eastAsia"/>
          <w:sz w:val="24"/>
          <w:szCs w:val="24"/>
          <w:lang w:val="zh-CN"/>
        </w:rPr>
        <w:t>蒙特利尔全球生物多样性框架》采取基于人权的办法。此外，论坛呼吁缔约方大会请其有关附属机构召开一次特设专家组会议，由关于土著人民的三个联合国机制的专家参加，以处理将土著人民与其他社会群体混为一谈的问题，并制定具体行动以避免这种混淆。</w:t>
      </w:r>
      <w:r w:rsidRPr="002D7C3E">
        <w:rPr>
          <w:rStyle w:val="CommentReference"/>
          <w:rFonts w:eastAsia="宋体"/>
          <w:b w:val="0"/>
          <w:bCs w:val="0"/>
          <w:snapToGrid/>
          <w:sz w:val="24"/>
          <w:szCs w:val="24"/>
        </w:rPr>
        <w:t xml:space="preserve"> </w:t>
      </w:r>
    </w:p>
    <w:p w:rsidR="001928CC" w:rsidRPr="002D7C3E" w:rsidRDefault="001928CC" w:rsidP="006D51D7">
      <w:pPr>
        <w:pStyle w:val="CBDNormalNumber"/>
        <w:numPr>
          <w:ilvl w:val="0"/>
          <w:numId w:val="10"/>
        </w:numPr>
        <w:rPr>
          <w:sz w:val="24"/>
          <w:szCs w:val="24"/>
        </w:rPr>
      </w:pPr>
      <w:bookmarkStart w:id="6" w:name="_Hlk205545001"/>
      <w:bookmarkEnd w:id="5"/>
      <w:r w:rsidRPr="002D7C3E">
        <w:rPr>
          <w:rFonts w:hint="eastAsia"/>
          <w:sz w:val="24"/>
          <w:szCs w:val="24"/>
          <w:lang w:val="zh-CN"/>
        </w:rPr>
        <w:t>缔约方大会在第</w:t>
      </w:r>
      <w:hyperlink r:id="rId14" w:history="1">
        <w:r w:rsidRPr="002D7C3E">
          <w:rPr>
            <w:rStyle w:val="Hyperlink"/>
            <w:sz w:val="24"/>
            <w:szCs w:val="24"/>
          </w:rPr>
          <w:t>XII/12</w:t>
        </w:r>
      </w:hyperlink>
      <w:r w:rsidRPr="002D7C3E">
        <w:rPr>
          <w:rFonts w:hint="eastAsia"/>
          <w:sz w:val="24"/>
          <w:szCs w:val="24"/>
          <w:lang w:val="zh-CN"/>
        </w:rPr>
        <w:t>号决定中决定在《公约》下的今后决定和次级文件中使用</w:t>
      </w:r>
      <w:r w:rsidRPr="002D7C3E">
        <w:rPr>
          <w:sz w:val="24"/>
          <w:szCs w:val="24"/>
        </w:rPr>
        <w:t>“</w:t>
      </w:r>
      <w:r w:rsidRPr="002D7C3E">
        <w:rPr>
          <w:rFonts w:hint="eastAsia"/>
          <w:sz w:val="24"/>
          <w:szCs w:val="24"/>
          <w:lang w:val="zh-CN"/>
        </w:rPr>
        <w:t>土著人民和地方社区</w:t>
      </w:r>
      <w:r w:rsidRPr="002D7C3E">
        <w:rPr>
          <w:sz w:val="24"/>
          <w:szCs w:val="24"/>
        </w:rPr>
        <w:t>”</w:t>
      </w:r>
      <w:r w:rsidRPr="002D7C3E">
        <w:rPr>
          <w:rFonts w:hint="eastAsia"/>
          <w:sz w:val="24"/>
          <w:szCs w:val="24"/>
          <w:lang w:val="zh-CN"/>
        </w:rPr>
        <w:t>一词</w:t>
      </w:r>
      <w:r w:rsidRPr="002D7C3E">
        <w:rPr>
          <w:rFonts w:hint="eastAsia"/>
          <w:sz w:val="24"/>
          <w:szCs w:val="24"/>
        </w:rPr>
        <w:t>，</w:t>
      </w:r>
      <w:r w:rsidRPr="002D7C3E">
        <w:rPr>
          <w:rFonts w:hint="eastAsia"/>
          <w:sz w:val="24"/>
          <w:szCs w:val="24"/>
          <w:lang w:val="zh-CN"/>
        </w:rPr>
        <w:t>但不得以任何方式影响第</w:t>
      </w:r>
      <w:r w:rsidRPr="002D7C3E">
        <w:rPr>
          <w:sz w:val="24"/>
          <w:szCs w:val="24"/>
        </w:rPr>
        <w:t>8</w:t>
      </w:r>
      <w:r w:rsidRPr="002D7C3E">
        <w:rPr>
          <w:rFonts w:hint="eastAsia"/>
          <w:sz w:val="24"/>
          <w:szCs w:val="24"/>
        </w:rPr>
        <w:t>（</w:t>
      </w:r>
      <w:r w:rsidRPr="002D7C3E">
        <w:rPr>
          <w:sz w:val="24"/>
          <w:szCs w:val="24"/>
        </w:rPr>
        <w:t>j</w:t>
      </w:r>
      <w:r w:rsidRPr="002D7C3E">
        <w:rPr>
          <w:rFonts w:hint="eastAsia"/>
          <w:sz w:val="24"/>
          <w:szCs w:val="24"/>
        </w:rPr>
        <w:t>）</w:t>
      </w:r>
      <w:r w:rsidRPr="002D7C3E">
        <w:rPr>
          <w:rFonts w:hint="eastAsia"/>
          <w:sz w:val="24"/>
          <w:szCs w:val="24"/>
          <w:lang w:val="zh-CN"/>
        </w:rPr>
        <w:t>条及相关条款的法律含义。缔约方大会在第</w:t>
      </w:r>
      <w:hyperlink r:id="rId15" w:history="1">
        <w:r w:rsidRPr="002D7C3E">
          <w:rPr>
            <w:rStyle w:val="Hyperlink"/>
            <w:sz w:val="24"/>
            <w:szCs w:val="24"/>
            <w:lang w:val="zh-CN"/>
          </w:rPr>
          <w:t>14/13</w:t>
        </w:r>
      </w:hyperlink>
      <w:r w:rsidRPr="002D7C3E">
        <w:rPr>
          <w:rFonts w:hint="eastAsia"/>
          <w:sz w:val="24"/>
          <w:szCs w:val="24"/>
          <w:lang w:val="zh-CN"/>
        </w:rPr>
        <w:t>号决定中通过了第</w:t>
      </w:r>
      <w:r w:rsidRPr="002D7C3E">
        <w:rPr>
          <w:sz w:val="24"/>
          <w:szCs w:val="24"/>
          <w:lang w:val="zh-CN"/>
        </w:rPr>
        <w:t>8</w:t>
      </w:r>
      <w:r w:rsidRPr="002D7C3E">
        <w:rPr>
          <w:rFonts w:hint="eastAsia"/>
          <w:sz w:val="24"/>
          <w:szCs w:val="24"/>
          <w:lang w:val="zh-CN"/>
        </w:rPr>
        <w:t>（</w:t>
      </w:r>
      <w:r w:rsidRPr="002D7C3E">
        <w:rPr>
          <w:sz w:val="24"/>
          <w:szCs w:val="24"/>
          <w:lang w:val="zh-CN"/>
        </w:rPr>
        <w:t>j</w:t>
      </w:r>
      <w:r w:rsidRPr="002D7C3E">
        <w:rPr>
          <w:rFonts w:hint="eastAsia"/>
          <w:sz w:val="24"/>
          <w:szCs w:val="24"/>
          <w:lang w:val="zh-CN"/>
        </w:rPr>
        <w:t>）条和相关条款范围内使用的有关关键术语和概念词汇表，其中使用了</w:t>
      </w:r>
      <w:r w:rsidRPr="002D7C3E">
        <w:rPr>
          <w:sz w:val="24"/>
          <w:szCs w:val="24"/>
          <w:lang w:val="zh-CN"/>
        </w:rPr>
        <w:t>“</w:t>
      </w:r>
      <w:r w:rsidRPr="002D7C3E">
        <w:rPr>
          <w:rFonts w:hint="eastAsia"/>
          <w:sz w:val="24"/>
          <w:szCs w:val="24"/>
          <w:lang w:val="zh-CN"/>
        </w:rPr>
        <w:t>土著人民和地方社区</w:t>
      </w:r>
      <w:r w:rsidRPr="002D7C3E">
        <w:rPr>
          <w:sz w:val="24"/>
          <w:szCs w:val="24"/>
          <w:lang w:val="zh-CN"/>
        </w:rPr>
        <w:t>”</w:t>
      </w:r>
      <w:r w:rsidRPr="002D7C3E">
        <w:rPr>
          <w:rFonts w:hint="eastAsia"/>
          <w:sz w:val="24"/>
          <w:szCs w:val="24"/>
          <w:lang w:val="zh-CN"/>
        </w:rPr>
        <w:t>一词。缔约方大会在同一决定强调，使用本词汇表并不影响《公约》使用的术语，也不得被解释为意味着缔约方根据《公约》享有的权利和承担的义务有任何改变。它还注意到，在词汇表中，</w:t>
      </w:r>
      <w:r w:rsidRPr="002D7C3E">
        <w:rPr>
          <w:sz w:val="24"/>
          <w:szCs w:val="24"/>
          <w:lang w:val="zh-CN"/>
        </w:rPr>
        <w:t>“</w:t>
      </w:r>
      <w:r w:rsidRPr="002D7C3E">
        <w:rPr>
          <w:rFonts w:hint="eastAsia"/>
          <w:sz w:val="24"/>
          <w:szCs w:val="24"/>
          <w:lang w:val="zh-CN"/>
        </w:rPr>
        <w:t>土著和地方社区</w:t>
      </w:r>
      <w:r w:rsidRPr="002D7C3E">
        <w:rPr>
          <w:sz w:val="24"/>
          <w:szCs w:val="24"/>
          <w:lang w:val="zh-CN"/>
        </w:rPr>
        <w:t>”</w:t>
      </w:r>
      <w:r w:rsidRPr="002D7C3E">
        <w:rPr>
          <w:rFonts w:hint="eastAsia"/>
          <w:sz w:val="24"/>
          <w:szCs w:val="24"/>
          <w:lang w:val="zh-CN"/>
        </w:rPr>
        <w:t>和</w:t>
      </w:r>
      <w:r w:rsidRPr="002D7C3E">
        <w:rPr>
          <w:sz w:val="24"/>
          <w:szCs w:val="24"/>
          <w:lang w:val="zh-CN"/>
        </w:rPr>
        <w:t>“</w:t>
      </w:r>
      <w:r w:rsidRPr="002D7C3E">
        <w:rPr>
          <w:rFonts w:hint="eastAsia"/>
          <w:sz w:val="24"/>
          <w:szCs w:val="24"/>
          <w:lang w:val="zh-CN"/>
        </w:rPr>
        <w:t>土著人民和地方社区</w:t>
      </w:r>
      <w:r w:rsidRPr="002D7C3E">
        <w:rPr>
          <w:sz w:val="24"/>
          <w:szCs w:val="24"/>
          <w:lang w:val="zh-CN"/>
        </w:rPr>
        <w:t>”</w:t>
      </w:r>
      <w:r w:rsidRPr="002D7C3E">
        <w:rPr>
          <w:rFonts w:hint="eastAsia"/>
          <w:sz w:val="24"/>
          <w:szCs w:val="24"/>
          <w:lang w:val="zh-CN"/>
        </w:rPr>
        <w:t>在《公约》中均未定义，《联合国土著人民权利宣言》中也未采用</w:t>
      </w:r>
      <w:r w:rsidRPr="002D7C3E">
        <w:rPr>
          <w:sz w:val="24"/>
          <w:szCs w:val="24"/>
          <w:lang w:val="zh-CN"/>
        </w:rPr>
        <w:t>“</w:t>
      </w:r>
      <w:r w:rsidRPr="002D7C3E">
        <w:rPr>
          <w:rFonts w:hint="eastAsia"/>
          <w:sz w:val="24"/>
          <w:szCs w:val="24"/>
          <w:lang w:val="zh-CN"/>
        </w:rPr>
        <w:t>土著人民</w:t>
      </w:r>
      <w:r w:rsidRPr="002D7C3E">
        <w:rPr>
          <w:sz w:val="24"/>
          <w:szCs w:val="24"/>
          <w:lang w:val="zh-CN"/>
        </w:rPr>
        <w:t>”</w:t>
      </w:r>
      <w:r w:rsidRPr="002D7C3E">
        <w:rPr>
          <w:rFonts w:hint="eastAsia"/>
          <w:sz w:val="24"/>
          <w:szCs w:val="24"/>
          <w:lang w:val="zh-CN"/>
        </w:rPr>
        <w:t>的通用定义。</w:t>
      </w:r>
      <w:r w:rsidRPr="002D7C3E">
        <w:rPr>
          <w:rStyle w:val="Emphasis"/>
          <w:i w:val="0"/>
          <w:iCs w:val="0"/>
          <w:sz w:val="24"/>
          <w:szCs w:val="24"/>
        </w:rPr>
        <w:t xml:space="preserve"> </w:t>
      </w:r>
    </w:p>
    <w:p w:rsidR="001928CC" w:rsidRPr="002D7C3E" w:rsidRDefault="001928CC" w:rsidP="006D51D7">
      <w:pPr>
        <w:pStyle w:val="CBDNormalNumber"/>
        <w:numPr>
          <w:ilvl w:val="0"/>
          <w:numId w:val="10"/>
        </w:numPr>
        <w:rPr>
          <w:sz w:val="24"/>
          <w:szCs w:val="24"/>
        </w:rPr>
      </w:pPr>
      <w:bookmarkStart w:id="7" w:name="_Hlk202371172"/>
      <w:bookmarkEnd w:id="6"/>
      <w:r w:rsidRPr="002D7C3E">
        <w:rPr>
          <w:rFonts w:hint="eastAsia"/>
          <w:sz w:val="24"/>
          <w:szCs w:val="24"/>
          <w:lang w:val="zh-CN"/>
        </w:rPr>
        <w:t>根据第</w:t>
      </w:r>
      <w:r w:rsidRPr="002D7C3E">
        <w:rPr>
          <w:sz w:val="24"/>
          <w:szCs w:val="24"/>
        </w:rPr>
        <w:t>8</w:t>
      </w:r>
      <w:r w:rsidRPr="002D7C3E">
        <w:rPr>
          <w:rFonts w:hint="eastAsia"/>
          <w:sz w:val="24"/>
          <w:szCs w:val="24"/>
        </w:rPr>
        <w:t>（</w:t>
      </w:r>
      <w:r w:rsidRPr="002D7C3E">
        <w:rPr>
          <w:sz w:val="24"/>
          <w:szCs w:val="24"/>
        </w:rPr>
        <w:t>j</w:t>
      </w:r>
      <w:r w:rsidRPr="002D7C3E">
        <w:rPr>
          <w:rFonts w:hint="eastAsia"/>
          <w:sz w:val="24"/>
          <w:szCs w:val="24"/>
        </w:rPr>
        <w:t>）</w:t>
      </w:r>
      <w:r w:rsidRPr="002D7C3E">
        <w:rPr>
          <w:rFonts w:hint="eastAsia"/>
          <w:sz w:val="24"/>
          <w:szCs w:val="24"/>
          <w:lang w:val="zh-CN"/>
        </w:rPr>
        <w:t>条工作方案任务</w:t>
      </w:r>
      <w:r w:rsidRPr="002D7C3E">
        <w:rPr>
          <w:sz w:val="24"/>
          <w:szCs w:val="24"/>
        </w:rPr>
        <w:t>5.4</w:t>
      </w:r>
      <w:r w:rsidRPr="002D7C3E">
        <w:rPr>
          <w:rFonts w:hint="eastAsia"/>
          <w:sz w:val="24"/>
          <w:szCs w:val="24"/>
        </w:rPr>
        <w:t>，</w:t>
      </w:r>
      <w:r w:rsidRPr="002D7C3E">
        <w:rPr>
          <w:rFonts w:hint="eastAsia"/>
          <w:sz w:val="24"/>
          <w:szCs w:val="24"/>
          <w:lang w:val="zh-CN"/>
        </w:rPr>
        <w:t>词汇表将根据《框架》的通过情况进行必要的审查和更新。因此，附属机构将在本次会议议程项目</w:t>
      </w:r>
      <w:r w:rsidRPr="002D7C3E">
        <w:rPr>
          <w:sz w:val="24"/>
          <w:szCs w:val="24"/>
          <w:lang w:val="zh-CN"/>
        </w:rPr>
        <w:t>5</w:t>
      </w:r>
      <w:r w:rsidRPr="002D7C3E">
        <w:rPr>
          <w:rFonts w:hint="eastAsia"/>
          <w:sz w:val="24"/>
          <w:szCs w:val="24"/>
          <w:lang w:val="zh-CN"/>
        </w:rPr>
        <w:t>（</w:t>
      </w:r>
      <w:r w:rsidRPr="002D7C3E">
        <w:rPr>
          <w:sz w:val="24"/>
          <w:szCs w:val="24"/>
          <w:lang w:val="zh-CN"/>
        </w:rPr>
        <w:t>c</w:t>
      </w:r>
      <w:r w:rsidRPr="002D7C3E">
        <w:rPr>
          <w:rFonts w:hint="eastAsia"/>
          <w:sz w:val="24"/>
          <w:szCs w:val="24"/>
          <w:lang w:val="zh-CN"/>
        </w:rPr>
        <w:t>）下考虑启动一个审查和更新词汇表的进程。</w:t>
      </w:r>
      <w:r w:rsidRPr="002D7C3E">
        <w:rPr>
          <w:sz w:val="24"/>
          <w:szCs w:val="24"/>
        </w:rPr>
        <w:t xml:space="preserve"> </w:t>
      </w:r>
    </w:p>
    <w:bookmarkEnd w:id="7"/>
    <w:p w:rsidR="001928CC" w:rsidRPr="002D7C3E" w:rsidRDefault="001928CC" w:rsidP="006D51D7">
      <w:pPr>
        <w:pStyle w:val="CBDNormalNumber"/>
        <w:numPr>
          <w:ilvl w:val="0"/>
          <w:numId w:val="10"/>
        </w:numPr>
        <w:rPr>
          <w:sz w:val="24"/>
          <w:szCs w:val="24"/>
        </w:rPr>
      </w:pPr>
      <w:r w:rsidRPr="002D7C3E">
        <w:rPr>
          <w:rFonts w:hint="eastAsia"/>
          <w:sz w:val="24"/>
          <w:szCs w:val="24"/>
          <w:lang w:val="zh-CN"/>
        </w:rPr>
        <w:t>常设论坛报告第</w:t>
      </w:r>
      <w:r w:rsidRPr="002D7C3E">
        <w:rPr>
          <w:sz w:val="24"/>
          <w:szCs w:val="24"/>
        </w:rPr>
        <w:t>135</w:t>
      </w:r>
      <w:r w:rsidRPr="002D7C3E">
        <w:rPr>
          <w:rFonts w:hint="eastAsia"/>
          <w:sz w:val="24"/>
          <w:szCs w:val="24"/>
          <w:lang w:val="zh-CN"/>
        </w:rPr>
        <w:t>段重点关注加强土著人民土地和领土权利的法律框架</w:t>
      </w:r>
      <w:r w:rsidRPr="002D7C3E">
        <w:rPr>
          <w:rFonts w:hint="eastAsia"/>
          <w:sz w:val="24"/>
          <w:szCs w:val="24"/>
        </w:rPr>
        <w:t>，</w:t>
      </w:r>
      <w:r w:rsidRPr="002D7C3E">
        <w:rPr>
          <w:rFonts w:hint="eastAsia"/>
          <w:sz w:val="24"/>
          <w:szCs w:val="24"/>
          <w:lang w:val="zh-CN"/>
        </w:rPr>
        <w:t>内容如下</w:t>
      </w:r>
      <w:r w:rsidRPr="002D7C3E">
        <w:rPr>
          <w:rFonts w:hint="eastAsia"/>
          <w:sz w:val="24"/>
          <w:szCs w:val="24"/>
        </w:rPr>
        <w:t>：</w:t>
      </w:r>
    </w:p>
    <w:p w:rsidR="001928CC" w:rsidRPr="002D7C3E" w:rsidRDefault="001928CC">
      <w:pPr>
        <w:pStyle w:val="CBDNormalNoNumber"/>
        <w:tabs>
          <w:tab w:val="clear" w:pos="567"/>
          <w:tab w:val="clear" w:pos="1134"/>
        </w:tabs>
        <w:ind w:left="1134"/>
        <w:rPr>
          <w:rStyle w:val="Emphasis"/>
          <w:i w:val="0"/>
          <w:iCs w:val="0"/>
          <w:sz w:val="24"/>
          <w:szCs w:val="24"/>
        </w:rPr>
      </w:pPr>
      <w:bookmarkStart w:id="8" w:name="_Hlk205545627"/>
      <w:r w:rsidRPr="002D7C3E">
        <w:rPr>
          <w:rStyle w:val="Emphasis"/>
          <w:i w:val="0"/>
          <w:iCs w:val="0"/>
          <w:sz w:val="24"/>
          <w:szCs w:val="24"/>
        </w:rPr>
        <w:t>135.</w:t>
      </w:r>
      <w:r w:rsidRPr="002D7C3E">
        <w:rPr>
          <w:rStyle w:val="Emphasis"/>
          <w:rFonts w:eastAsia="等线 Light"/>
          <w:i w:val="0"/>
          <w:iCs w:val="0"/>
          <w:sz w:val="24"/>
          <w:szCs w:val="24"/>
        </w:rPr>
        <w:tab/>
      </w:r>
      <w:r w:rsidRPr="002D7C3E">
        <w:rPr>
          <w:rFonts w:hint="eastAsia"/>
          <w:sz w:val="24"/>
          <w:szCs w:val="24"/>
          <w:lang w:val="zh-CN"/>
        </w:rPr>
        <w:t>常设论坛建议会员国加强和执行法律和体制框架</w:t>
      </w:r>
      <w:r w:rsidRPr="002D7C3E">
        <w:rPr>
          <w:rFonts w:hint="eastAsia"/>
          <w:sz w:val="24"/>
          <w:szCs w:val="24"/>
        </w:rPr>
        <w:t>，</w:t>
      </w:r>
      <w:r w:rsidRPr="002D7C3E">
        <w:rPr>
          <w:rFonts w:hint="eastAsia"/>
          <w:sz w:val="24"/>
          <w:szCs w:val="24"/>
          <w:lang w:val="zh-CN"/>
        </w:rPr>
        <w:t>确认和保护土著人民对其土地、领土和资源的权利</w:t>
      </w:r>
      <w:r w:rsidRPr="002D7C3E">
        <w:rPr>
          <w:rFonts w:hint="eastAsia"/>
          <w:sz w:val="24"/>
          <w:szCs w:val="24"/>
        </w:rPr>
        <w:t>，</w:t>
      </w:r>
      <w:r w:rsidRPr="002D7C3E">
        <w:rPr>
          <w:rFonts w:hint="eastAsia"/>
          <w:sz w:val="24"/>
          <w:szCs w:val="24"/>
          <w:lang w:val="zh-CN"/>
        </w:rPr>
        <w:t>并确保他们参与决策进程。此类框架应遵守《宣言》和国际劳工组织《</w:t>
      </w:r>
      <w:r w:rsidRPr="002D7C3E">
        <w:rPr>
          <w:sz w:val="24"/>
          <w:szCs w:val="24"/>
          <w:lang w:val="zh-CN"/>
        </w:rPr>
        <w:t>1989</w:t>
      </w:r>
      <w:r w:rsidRPr="002D7C3E">
        <w:rPr>
          <w:rFonts w:hint="eastAsia"/>
          <w:sz w:val="24"/>
          <w:szCs w:val="24"/>
          <w:lang w:val="zh-CN"/>
        </w:rPr>
        <w:t>年土著和部落人民公约》</w:t>
      </w:r>
      <w:r w:rsidRPr="002D7C3E">
        <w:rPr>
          <w:sz w:val="24"/>
          <w:szCs w:val="24"/>
          <w:lang w:val="zh-CN"/>
        </w:rPr>
        <w:t>(</w:t>
      </w:r>
      <w:r w:rsidRPr="002D7C3E">
        <w:rPr>
          <w:rFonts w:hint="eastAsia"/>
          <w:sz w:val="24"/>
          <w:szCs w:val="24"/>
          <w:lang w:val="zh-CN"/>
        </w:rPr>
        <w:t>第</w:t>
      </w:r>
      <w:r w:rsidRPr="002D7C3E">
        <w:rPr>
          <w:sz w:val="24"/>
          <w:szCs w:val="24"/>
          <w:lang w:val="zh-CN"/>
        </w:rPr>
        <w:t>169</w:t>
      </w:r>
      <w:r w:rsidRPr="002D7C3E">
        <w:rPr>
          <w:rFonts w:hint="eastAsia"/>
          <w:sz w:val="24"/>
          <w:szCs w:val="24"/>
          <w:lang w:val="zh-CN"/>
        </w:rPr>
        <w:t>号</w:t>
      </w:r>
      <w:r w:rsidRPr="002D7C3E">
        <w:rPr>
          <w:sz w:val="24"/>
          <w:szCs w:val="24"/>
          <w:lang w:val="zh-CN"/>
        </w:rPr>
        <w:t>)</w:t>
      </w:r>
      <w:r w:rsidRPr="002D7C3E">
        <w:rPr>
          <w:rFonts w:hint="eastAsia"/>
          <w:sz w:val="24"/>
          <w:szCs w:val="24"/>
          <w:lang w:val="zh-CN"/>
        </w:rPr>
        <w:t>，确保在土著人民的土地和领土上实施发展、环境、生物多样性和气候变化方案和项目时，得到土著人民的自由、事先和知情同意。</w:t>
      </w:r>
    </w:p>
    <w:bookmarkEnd w:id="8"/>
    <w:p w:rsidR="001928CC" w:rsidRPr="002D7C3E" w:rsidRDefault="001928CC" w:rsidP="006D51D7">
      <w:pPr>
        <w:pStyle w:val="CBDNormalNumber"/>
        <w:numPr>
          <w:ilvl w:val="0"/>
          <w:numId w:val="10"/>
        </w:numPr>
        <w:rPr>
          <w:sz w:val="24"/>
          <w:szCs w:val="24"/>
        </w:rPr>
      </w:pPr>
      <w:r w:rsidRPr="002D7C3E">
        <w:rPr>
          <w:rFonts w:hint="eastAsia"/>
          <w:sz w:val="24"/>
          <w:szCs w:val="24"/>
          <w:lang w:val="zh-CN"/>
        </w:rPr>
        <w:t>关于第</w:t>
      </w:r>
      <w:r w:rsidRPr="002D7C3E">
        <w:rPr>
          <w:sz w:val="24"/>
          <w:szCs w:val="24"/>
        </w:rPr>
        <w:t>8(j)</w:t>
      </w:r>
      <w:r w:rsidRPr="002D7C3E">
        <w:rPr>
          <w:rFonts w:hint="eastAsia"/>
          <w:sz w:val="24"/>
          <w:szCs w:val="24"/>
          <w:lang w:val="zh-CN"/>
        </w:rPr>
        <w:t>条的工作方案的构成部分</w:t>
      </w:r>
      <w:r w:rsidRPr="002D7C3E">
        <w:rPr>
          <w:sz w:val="24"/>
          <w:szCs w:val="24"/>
        </w:rPr>
        <w:t>1</w:t>
      </w:r>
      <w:r w:rsidRPr="002D7C3E">
        <w:rPr>
          <w:rFonts w:hint="eastAsia"/>
          <w:sz w:val="24"/>
          <w:szCs w:val="24"/>
          <w:lang w:val="zh-CN"/>
        </w:rPr>
        <w:t>涉及生物多样性的养护和恢复。根据任务</w:t>
      </w:r>
      <w:r w:rsidRPr="002D7C3E">
        <w:rPr>
          <w:sz w:val="24"/>
          <w:szCs w:val="24"/>
          <w:lang w:val="zh-CN"/>
        </w:rPr>
        <w:t>1.1</w:t>
      </w:r>
      <w:r w:rsidRPr="002D7C3E">
        <w:rPr>
          <w:rFonts w:hint="eastAsia"/>
          <w:sz w:val="24"/>
          <w:szCs w:val="24"/>
          <w:lang w:val="zh-CN"/>
        </w:rPr>
        <w:t>，将制定准则，以加强落实《框架》行动目标</w:t>
      </w:r>
      <w:r w:rsidRPr="002D7C3E">
        <w:rPr>
          <w:sz w:val="24"/>
          <w:szCs w:val="24"/>
          <w:lang w:val="zh-CN"/>
        </w:rPr>
        <w:t>2</w:t>
      </w:r>
      <w:r w:rsidRPr="002D7C3E">
        <w:rPr>
          <w:rFonts w:hint="eastAsia"/>
          <w:sz w:val="24"/>
          <w:szCs w:val="24"/>
          <w:lang w:val="zh-CN"/>
        </w:rPr>
        <w:t>和</w:t>
      </w:r>
      <w:r w:rsidRPr="002D7C3E">
        <w:rPr>
          <w:sz w:val="24"/>
          <w:szCs w:val="24"/>
          <w:lang w:val="zh-CN"/>
        </w:rPr>
        <w:t>3</w:t>
      </w:r>
      <w:r w:rsidRPr="002D7C3E">
        <w:rPr>
          <w:rFonts w:hint="eastAsia"/>
          <w:sz w:val="24"/>
          <w:szCs w:val="24"/>
          <w:lang w:val="zh-CN"/>
        </w:rPr>
        <w:t>的法律和政策框架，包括在土著和传统领地上的法律和政策框架。根据任务</w:t>
      </w:r>
      <w:r w:rsidRPr="002D7C3E">
        <w:rPr>
          <w:sz w:val="24"/>
          <w:szCs w:val="24"/>
          <w:lang w:val="zh-CN"/>
        </w:rPr>
        <w:t>1.2</w:t>
      </w:r>
      <w:r w:rsidRPr="002D7C3E">
        <w:rPr>
          <w:rFonts w:hint="eastAsia"/>
          <w:sz w:val="24"/>
          <w:szCs w:val="24"/>
          <w:lang w:val="zh-CN"/>
        </w:rPr>
        <w:t>，还将制定准则，以便在空间规划和环境影响评估中纳入和考虑传统土地和资源利用。因此，附属机构将在本次会议议程项目</w:t>
      </w:r>
      <w:r w:rsidRPr="002D7C3E">
        <w:rPr>
          <w:sz w:val="24"/>
          <w:szCs w:val="24"/>
          <w:lang w:val="zh-CN"/>
        </w:rPr>
        <w:t>5</w:t>
      </w:r>
      <w:r w:rsidRPr="002D7C3E">
        <w:rPr>
          <w:rFonts w:hint="eastAsia"/>
          <w:sz w:val="24"/>
          <w:szCs w:val="24"/>
          <w:lang w:val="zh-CN"/>
        </w:rPr>
        <w:t>（</w:t>
      </w:r>
      <w:r w:rsidRPr="002D7C3E">
        <w:rPr>
          <w:sz w:val="24"/>
          <w:szCs w:val="24"/>
          <w:lang w:val="zh-CN"/>
        </w:rPr>
        <w:t>a</w:t>
      </w:r>
      <w:r w:rsidRPr="002D7C3E">
        <w:rPr>
          <w:rFonts w:hint="eastAsia"/>
          <w:sz w:val="24"/>
          <w:szCs w:val="24"/>
          <w:lang w:val="zh-CN"/>
        </w:rPr>
        <w:t>）和（</w:t>
      </w:r>
      <w:r w:rsidRPr="002D7C3E">
        <w:rPr>
          <w:sz w:val="24"/>
          <w:szCs w:val="24"/>
          <w:lang w:val="zh-CN"/>
        </w:rPr>
        <w:t>b</w:t>
      </w:r>
      <w:r w:rsidRPr="002D7C3E">
        <w:rPr>
          <w:rFonts w:hint="eastAsia"/>
          <w:sz w:val="24"/>
          <w:szCs w:val="24"/>
          <w:lang w:val="zh-CN"/>
        </w:rPr>
        <w:t>）下审议与这两项任务有关的准则草案。</w:t>
      </w:r>
      <w:r w:rsidRPr="002D7C3E">
        <w:rPr>
          <w:rStyle w:val="Emphasis"/>
          <w:i w:val="0"/>
          <w:iCs w:val="0"/>
          <w:sz w:val="24"/>
          <w:szCs w:val="24"/>
        </w:rPr>
        <w:t xml:space="preserve"> </w:t>
      </w:r>
    </w:p>
    <w:p w:rsidR="001928CC" w:rsidRPr="002D7C3E" w:rsidRDefault="001928CC">
      <w:pPr>
        <w:pStyle w:val="CBDH2"/>
        <w:jc w:val="left"/>
        <w:rPr>
          <w:rStyle w:val="Emphasis"/>
          <w:rFonts w:eastAsia="等线"/>
          <w:i w:val="0"/>
          <w:iCs w:val="0"/>
          <w:szCs w:val="24"/>
        </w:rPr>
      </w:pPr>
      <w:r w:rsidRPr="002D7C3E">
        <w:rPr>
          <w:noProof/>
          <w:szCs w:val="24"/>
        </w:rPr>
        <w:t>B.</w:t>
      </w:r>
      <w:r w:rsidRPr="002D7C3E">
        <w:rPr>
          <w:szCs w:val="24"/>
        </w:rPr>
        <w:tab/>
      </w:r>
      <w:r w:rsidRPr="002D7C3E">
        <w:rPr>
          <w:rFonts w:hint="eastAsia"/>
          <w:szCs w:val="24"/>
          <w:lang w:val="zh-CN"/>
        </w:rPr>
        <w:t>土著问题常设论坛第二十四届会议的建议</w:t>
      </w:r>
    </w:p>
    <w:p w:rsidR="001928CC" w:rsidRPr="002D7C3E" w:rsidRDefault="001928CC" w:rsidP="006D51D7">
      <w:pPr>
        <w:pStyle w:val="CBDNormalNumber"/>
        <w:numPr>
          <w:ilvl w:val="0"/>
          <w:numId w:val="10"/>
        </w:numPr>
        <w:rPr>
          <w:rFonts w:eastAsia="等线 Light"/>
          <w:sz w:val="24"/>
          <w:szCs w:val="24"/>
        </w:rPr>
      </w:pPr>
      <w:r w:rsidRPr="002D7C3E">
        <w:rPr>
          <w:rFonts w:hint="eastAsia"/>
          <w:sz w:val="24"/>
          <w:szCs w:val="24"/>
          <w:lang w:val="zh-CN"/>
        </w:rPr>
        <w:t>常设论坛在</w:t>
      </w:r>
      <w:r w:rsidRPr="002D7C3E">
        <w:rPr>
          <w:sz w:val="24"/>
          <w:szCs w:val="24"/>
        </w:rPr>
        <w:t>2025</w:t>
      </w:r>
      <w:r w:rsidRPr="002D7C3E">
        <w:rPr>
          <w:rFonts w:hint="eastAsia"/>
          <w:sz w:val="24"/>
          <w:szCs w:val="24"/>
          <w:lang w:val="zh-CN"/>
        </w:rPr>
        <w:t>年第二十四届会议通过了</w:t>
      </w:r>
      <w:r w:rsidR="000C3A31">
        <w:rPr>
          <w:rFonts w:hint="eastAsia"/>
          <w:sz w:val="24"/>
          <w:szCs w:val="24"/>
          <w:lang w:val="zh-CN"/>
        </w:rPr>
        <w:t>一些</w:t>
      </w:r>
      <w:r w:rsidRPr="002D7C3E">
        <w:rPr>
          <w:rFonts w:hint="eastAsia"/>
          <w:sz w:val="24"/>
          <w:szCs w:val="24"/>
          <w:lang w:val="zh-CN"/>
        </w:rPr>
        <w:t>与《生物多样性公约》相关的建议</w:t>
      </w:r>
      <w:r w:rsidRPr="002D7C3E">
        <w:rPr>
          <w:rFonts w:hint="eastAsia"/>
          <w:sz w:val="24"/>
          <w:szCs w:val="24"/>
        </w:rPr>
        <w:t>，</w:t>
      </w:r>
      <w:r w:rsidRPr="002D7C3E">
        <w:rPr>
          <w:rFonts w:hint="eastAsia"/>
          <w:sz w:val="24"/>
          <w:szCs w:val="24"/>
          <w:lang w:val="zh-CN"/>
        </w:rPr>
        <w:t>分别载于其第二十四届会议报告第</w:t>
      </w:r>
      <w:r w:rsidRPr="002D7C3E">
        <w:rPr>
          <w:sz w:val="24"/>
          <w:szCs w:val="24"/>
        </w:rPr>
        <w:t>20</w:t>
      </w:r>
      <w:r w:rsidR="000C3A31">
        <w:rPr>
          <w:sz w:val="24"/>
          <w:szCs w:val="24"/>
        </w:rPr>
        <w:t>和</w:t>
      </w:r>
      <w:r w:rsidRPr="002D7C3E">
        <w:rPr>
          <w:sz w:val="24"/>
          <w:szCs w:val="24"/>
        </w:rPr>
        <w:t>78</w:t>
      </w:r>
      <w:r w:rsidRPr="002D7C3E">
        <w:rPr>
          <w:rFonts w:hint="eastAsia"/>
          <w:sz w:val="24"/>
          <w:szCs w:val="24"/>
          <w:lang w:val="zh-CN"/>
        </w:rPr>
        <w:t>段。</w:t>
      </w:r>
      <w:r w:rsidRPr="002D7C3E">
        <w:rPr>
          <w:rStyle w:val="FootnoteReference"/>
          <w:rFonts w:eastAsia="等线 Light"/>
          <w:sz w:val="24"/>
          <w:szCs w:val="24"/>
          <w:lang w:val="zh-CN"/>
        </w:rPr>
        <w:footnoteReference w:id="3"/>
      </w:r>
    </w:p>
    <w:p w:rsidR="001928CC" w:rsidRPr="002D7C3E" w:rsidRDefault="001928CC" w:rsidP="006D51D7">
      <w:pPr>
        <w:pStyle w:val="CBDNormalNumber"/>
        <w:numPr>
          <w:ilvl w:val="0"/>
          <w:numId w:val="10"/>
        </w:numPr>
        <w:rPr>
          <w:sz w:val="24"/>
          <w:szCs w:val="24"/>
        </w:rPr>
      </w:pPr>
      <w:r w:rsidRPr="002D7C3E">
        <w:rPr>
          <w:rFonts w:hint="eastAsia"/>
          <w:sz w:val="24"/>
          <w:szCs w:val="24"/>
          <w:lang w:val="zh-CN"/>
        </w:rPr>
        <w:t>常设论坛第二十四届会议报告第</w:t>
      </w:r>
      <w:r w:rsidRPr="002D7C3E">
        <w:rPr>
          <w:sz w:val="24"/>
          <w:szCs w:val="24"/>
        </w:rPr>
        <w:t>20</w:t>
      </w:r>
      <w:r w:rsidRPr="002D7C3E">
        <w:rPr>
          <w:rFonts w:hint="eastAsia"/>
          <w:sz w:val="24"/>
          <w:szCs w:val="24"/>
          <w:lang w:val="zh-CN"/>
        </w:rPr>
        <w:t>段和第</w:t>
      </w:r>
      <w:r w:rsidRPr="002D7C3E">
        <w:rPr>
          <w:sz w:val="24"/>
          <w:szCs w:val="24"/>
        </w:rPr>
        <w:t>78</w:t>
      </w:r>
      <w:r w:rsidRPr="002D7C3E">
        <w:rPr>
          <w:rFonts w:hint="eastAsia"/>
          <w:sz w:val="24"/>
          <w:szCs w:val="24"/>
          <w:lang w:val="zh-CN"/>
        </w:rPr>
        <w:t>段重点讨论了附属机构中土著人民的参与机制</w:t>
      </w:r>
      <w:r w:rsidRPr="002D7C3E">
        <w:rPr>
          <w:rFonts w:hint="eastAsia"/>
          <w:sz w:val="24"/>
          <w:szCs w:val="24"/>
        </w:rPr>
        <w:t>，</w:t>
      </w:r>
      <w:r w:rsidRPr="002D7C3E">
        <w:rPr>
          <w:rFonts w:hint="eastAsia"/>
          <w:sz w:val="24"/>
          <w:szCs w:val="24"/>
          <w:lang w:val="zh-CN"/>
        </w:rPr>
        <w:t>并确认了《生物多样性与健康全球行动计划》</w:t>
      </w:r>
      <w:r w:rsidRPr="002D7C3E">
        <w:rPr>
          <w:rFonts w:hint="eastAsia"/>
          <w:sz w:val="24"/>
          <w:szCs w:val="24"/>
        </w:rPr>
        <w:t>，</w:t>
      </w:r>
      <w:r w:rsidRPr="002D7C3E">
        <w:rPr>
          <w:rFonts w:hint="eastAsia"/>
          <w:sz w:val="24"/>
          <w:szCs w:val="24"/>
          <w:lang w:val="zh-CN"/>
        </w:rPr>
        <w:t>内容如下</w:t>
      </w:r>
      <w:r w:rsidRPr="002D7C3E">
        <w:rPr>
          <w:rFonts w:hint="eastAsia"/>
          <w:sz w:val="24"/>
          <w:szCs w:val="24"/>
        </w:rPr>
        <w:t>：</w:t>
      </w:r>
    </w:p>
    <w:p w:rsidR="001928CC" w:rsidRPr="002D7C3E" w:rsidRDefault="001928CC">
      <w:pPr>
        <w:pStyle w:val="CBDNormalNoNumber"/>
        <w:tabs>
          <w:tab w:val="clear" w:pos="567"/>
          <w:tab w:val="clear" w:pos="1134"/>
        </w:tabs>
        <w:ind w:left="1134"/>
        <w:rPr>
          <w:rStyle w:val="Emphasis"/>
          <w:i w:val="0"/>
          <w:iCs w:val="0"/>
          <w:sz w:val="24"/>
          <w:szCs w:val="24"/>
        </w:rPr>
      </w:pPr>
      <w:r w:rsidRPr="002D7C3E">
        <w:rPr>
          <w:rStyle w:val="Emphasis"/>
          <w:i w:val="0"/>
          <w:iCs w:val="0"/>
          <w:sz w:val="24"/>
          <w:szCs w:val="24"/>
        </w:rPr>
        <w:lastRenderedPageBreak/>
        <w:t>20.</w:t>
      </w:r>
      <w:r w:rsidRPr="002D7C3E">
        <w:rPr>
          <w:rStyle w:val="Emphasis"/>
          <w:i w:val="0"/>
          <w:iCs w:val="0"/>
          <w:sz w:val="24"/>
          <w:szCs w:val="24"/>
        </w:rPr>
        <w:tab/>
      </w:r>
      <w:r w:rsidRPr="002D7C3E">
        <w:rPr>
          <w:rFonts w:hint="eastAsia"/>
          <w:sz w:val="24"/>
          <w:szCs w:val="24"/>
          <w:lang w:val="zh-CN"/>
        </w:rPr>
        <w:t>常设论坛欢迎设立关于土著人民和地方社区的生物多样性公约第</w:t>
      </w:r>
      <w:r w:rsidRPr="002D7C3E">
        <w:rPr>
          <w:sz w:val="24"/>
          <w:szCs w:val="24"/>
        </w:rPr>
        <w:t>8(j)</w:t>
      </w:r>
      <w:r w:rsidRPr="002D7C3E">
        <w:rPr>
          <w:rFonts w:hint="eastAsia"/>
          <w:sz w:val="24"/>
          <w:szCs w:val="24"/>
          <w:lang w:val="zh-CN"/>
        </w:rPr>
        <w:t>条和相关条款附属机构</w:t>
      </w:r>
      <w:r w:rsidRPr="002D7C3E">
        <w:rPr>
          <w:sz w:val="24"/>
          <w:szCs w:val="24"/>
        </w:rPr>
        <w:t>(</w:t>
      </w:r>
      <w:r w:rsidRPr="002D7C3E">
        <w:rPr>
          <w:rFonts w:hint="eastAsia"/>
          <w:sz w:val="24"/>
          <w:szCs w:val="24"/>
          <w:lang w:val="zh-CN"/>
        </w:rPr>
        <w:t>第</w:t>
      </w:r>
      <w:r w:rsidRPr="002D7C3E">
        <w:rPr>
          <w:sz w:val="24"/>
          <w:szCs w:val="24"/>
        </w:rPr>
        <w:t>16/5</w:t>
      </w:r>
      <w:r w:rsidRPr="002D7C3E">
        <w:rPr>
          <w:rFonts w:hint="eastAsia"/>
          <w:sz w:val="24"/>
          <w:szCs w:val="24"/>
          <w:lang w:val="zh-CN"/>
        </w:rPr>
        <w:t>号决定</w:t>
      </w:r>
      <w:r w:rsidRPr="002D7C3E">
        <w:rPr>
          <w:sz w:val="24"/>
          <w:szCs w:val="24"/>
        </w:rPr>
        <w:t>)</w:t>
      </w:r>
      <w:r w:rsidRPr="002D7C3E">
        <w:rPr>
          <w:rFonts w:hint="eastAsia"/>
          <w:sz w:val="24"/>
          <w:szCs w:val="24"/>
        </w:rPr>
        <w:t>，</w:t>
      </w:r>
      <w:r w:rsidRPr="002D7C3E">
        <w:rPr>
          <w:rFonts w:hint="eastAsia"/>
          <w:sz w:val="24"/>
          <w:szCs w:val="24"/>
          <w:lang w:val="zh-CN"/>
        </w:rPr>
        <w:t>并欢迎《生物多样性公约》缔约方大会第十六次会议通过与此相关的新工作方案</w:t>
      </w:r>
      <w:r w:rsidRPr="002D7C3E">
        <w:rPr>
          <w:sz w:val="24"/>
          <w:szCs w:val="24"/>
        </w:rPr>
        <w:t>(</w:t>
      </w:r>
      <w:r w:rsidRPr="002D7C3E">
        <w:rPr>
          <w:rFonts w:hint="eastAsia"/>
          <w:sz w:val="24"/>
          <w:szCs w:val="24"/>
          <w:lang w:val="zh-CN"/>
        </w:rPr>
        <w:t>第</w:t>
      </w:r>
      <w:r w:rsidRPr="002D7C3E">
        <w:rPr>
          <w:sz w:val="24"/>
          <w:szCs w:val="24"/>
        </w:rPr>
        <w:t>16/4</w:t>
      </w:r>
      <w:r w:rsidRPr="002D7C3E">
        <w:rPr>
          <w:rFonts w:hint="eastAsia"/>
          <w:sz w:val="24"/>
          <w:szCs w:val="24"/>
          <w:lang w:val="zh-CN"/>
        </w:rPr>
        <w:t>号决定</w:t>
      </w:r>
      <w:r w:rsidRPr="002D7C3E">
        <w:rPr>
          <w:sz w:val="24"/>
          <w:szCs w:val="24"/>
        </w:rPr>
        <w:t>)</w:t>
      </w:r>
      <w:r w:rsidRPr="002D7C3E">
        <w:rPr>
          <w:rFonts w:hint="eastAsia"/>
          <w:sz w:val="24"/>
          <w:szCs w:val="24"/>
          <w:lang w:val="zh-CN"/>
        </w:rPr>
        <w:t>。论坛敦促落实关于在执行《公约》和《昆明</w:t>
      </w:r>
      <w:r w:rsidRPr="002D7C3E">
        <w:rPr>
          <w:sz w:val="24"/>
          <w:szCs w:val="24"/>
          <w:lang w:val="zh-CN"/>
        </w:rPr>
        <w:t>-</w:t>
      </w:r>
      <w:r w:rsidRPr="002D7C3E">
        <w:rPr>
          <w:rFonts w:hint="eastAsia"/>
          <w:sz w:val="24"/>
          <w:szCs w:val="24"/>
          <w:lang w:val="zh-CN"/>
        </w:rPr>
        <w:t>蒙特利尔全球生物多样性框架》时继续优先重视土著人民传统知识的决定。论坛还确认，《生物多样性与健康全球行动计划》</w:t>
      </w:r>
      <w:r w:rsidRPr="002D7C3E">
        <w:rPr>
          <w:sz w:val="24"/>
          <w:szCs w:val="24"/>
          <w:lang w:val="zh-CN"/>
        </w:rPr>
        <w:t>(</w:t>
      </w:r>
      <w:r w:rsidRPr="002D7C3E">
        <w:rPr>
          <w:rFonts w:hint="eastAsia"/>
          <w:sz w:val="24"/>
          <w:szCs w:val="24"/>
          <w:lang w:val="zh-CN"/>
        </w:rPr>
        <w:t>第</w:t>
      </w:r>
      <w:hyperlink r:id="rId16" w:history="1">
        <w:r w:rsidRPr="002D7C3E">
          <w:rPr>
            <w:rStyle w:val="Hyperlink"/>
            <w:sz w:val="24"/>
            <w:szCs w:val="24"/>
            <w:lang w:val="zh-CN"/>
          </w:rPr>
          <w:t>16/19</w:t>
        </w:r>
      </w:hyperlink>
      <w:r w:rsidRPr="002D7C3E">
        <w:rPr>
          <w:rFonts w:hint="eastAsia"/>
          <w:sz w:val="24"/>
          <w:szCs w:val="24"/>
          <w:lang w:val="zh-CN"/>
        </w:rPr>
        <w:t>号决定</w:t>
      </w:r>
      <w:r w:rsidRPr="002D7C3E">
        <w:rPr>
          <w:sz w:val="24"/>
          <w:szCs w:val="24"/>
          <w:lang w:val="zh-CN"/>
        </w:rPr>
        <w:t>)</w:t>
      </w:r>
      <w:r w:rsidRPr="002D7C3E">
        <w:rPr>
          <w:rFonts w:hint="eastAsia"/>
          <w:sz w:val="24"/>
          <w:szCs w:val="24"/>
          <w:lang w:val="zh-CN"/>
        </w:rPr>
        <w:t>借鉴了《</w:t>
      </w:r>
      <w:r w:rsidRPr="002D7C3E">
        <w:rPr>
          <w:sz w:val="24"/>
          <w:szCs w:val="24"/>
          <w:lang w:val="zh-CN"/>
        </w:rPr>
        <w:t>2030</w:t>
      </w:r>
      <w:r w:rsidRPr="002D7C3E">
        <w:rPr>
          <w:rFonts w:hint="eastAsia"/>
          <w:sz w:val="24"/>
          <w:szCs w:val="24"/>
          <w:lang w:val="zh-CN"/>
        </w:rPr>
        <w:t>年可持续发展议程》中关于土著健康问题的决定因素的研究报告</w:t>
      </w:r>
      <w:r w:rsidRPr="002D7C3E">
        <w:rPr>
          <w:sz w:val="24"/>
          <w:szCs w:val="24"/>
          <w:lang w:val="zh-CN"/>
        </w:rPr>
        <w:t>(</w:t>
      </w:r>
      <w:hyperlink r:id="rId17" w:history="1">
        <w:r w:rsidRPr="002D7C3E">
          <w:rPr>
            <w:color w:val="000000"/>
            <w:sz w:val="24"/>
            <w:szCs w:val="24"/>
            <w:lang w:val="zh-CN"/>
          </w:rPr>
          <w:t>E/C.19/2023/5</w:t>
        </w:r>
      </w:hyperlink>
      <w:r w:rsidRPr="002D7C3E">
        <w:rPr>
          <w:sz w:val="24"/>
          <w:szCs w:val="24"/>
          <w:lang w:val="zh-CN"/>
        </w:rPr>
        <w:t>)</w:t>
      </w:r>
      <w:r w:rsidRPr="002D7C3E">
        <w:rPr>
          <w:rFonts w:hint="eastAsia"/>
          <w:sz w:val="24"/>
          <w:szCs w:val="24"/>
          <w:lang w:val="zh-CN"/>
        </w:rPr>
        <w:t>。</w:t>
      </w:r>
    </w:p>
    <w:p w:rsidR="001928CC" w:rsidRPr="002D7C3E" w:rsidRDefault="001928CC">
      <w:pPr>
        <w:pStyle w:val="CBDNormalNoNumber"/>
        <w:tabs>
          <w:tab w:val="clear" w:pos="567"/>
          <w:tab w:val="clear" w:pos="1134"/>
        </w:tabs>
        <w:ind w:left="1134"/>
        <w:rPr>
          <w:sz w:val="24"/>
          <w:szCs w:val="24"/>
        </w:rPr>
      </w:pPr>
      <w:r w:rsidRPr="002D7C3E">
        <w:rPr>
          <w:rStyle w:val="Emphasis"/>
          <w:i w:val="0"/>
          <w:iCs w:val="0"/>
          <w:sz w:val="24"/>
          <w:szCs w:val="24"/>
        </w:rPr>
        <w:t>78.</w:t>
      </w:r>
      <w:r w:rsidRPr="002D7C3E">
        <w:rPr>
          <w:rStyle w:val="Emphasis"/>
          <w:rFonts w:eastAsia="等线 Light"/>
          <w:i w:val="0"/>
          <w:iCs w:val="0"/>
          <w:sz w:val="24"/>
          <w:szCs w:val="24"/>
        </w:rPr>
        <w:tab/>
      </w:r>
      <w:r w:rsidRPr="002D7C3E">
        <w:rPr>
          <w:rFonts w:hint="eastAsia"/>
          <w:sz w:val="24"/>
          <w:szCs w:val="24"/>
          <w:lang w:val="zh-CN"/>
        </w:rPr>
        <w:t>常设论坛敦促会员国以及生物多样性公约秘书处第</w:t>
      </w:r>
      <w:r w:rsidRPr="002D7C3E">
        <w:rPr>
          <w:sz w:val="24"/>
          <w:szCs w:val="24"/>
        </w:rPr>
        <w:t>8(j)</w:t>
      </w:r>
      <w:r w:rsidRPr="002D7C3E">
        <w:rPr>
          <w:rFonts w:hint="eastAsia"/>
          <w:sz w:val="24"/>
          <w:szCs w:val="24"/>
          <w:lang w:val="zh-CN"/>
        </w:rPr>
        <w:t>条常设附属机构在它的新工作方案中让土著人民在各级发挥领导作用</w:t>
      </w:r>
      <w:r w:rsidRPr="002D7C3E">
        <w:rPr>
          <w:rFonts w:hint="eastAsia"/>
          <w:sz w:val="24"/>
          <w:szCs w:val="24"/>
        </w:rPr>
        <w:t>，</w:t>
      </w:r>
      <w:r w:rsidRPr="002D7C3E">
        <w:rPr>
          <w:rFonts w:hint="eastAsia"/>
          <w:sz w:val="24"/>
          <w:szCs w:val="24"/>
          <w:lang w:val="zh-CN"/>
        </w:rPr>
        <w:t>包括担任来自七个社会文化区域的共同主席、工作组牵头人、专家组和主席团成员。论坛再次促请联合国各实体以及生物多样性和气候协定的缔约方承认土著人民的独特身份和具体权利。论坛鼓励使用准确和有区别的术语，并建议避免将</w:t>
      </w:r>
      <w:r w:rsidRPr="002D7C3E">
        <w:rPr>
          <w:sz w:val="24"/>
          <w:szCs w:val="24"/>
          <w:lang w:val="zh-CN"/>
        </w:rPr>
        <w:t>“</w:t>
      </w:r>
      <w:r w:rsidRPr="002D7C3E">
        <w:rPr>
          <w:rFonts w:hint="eastAsia"/>
          <w:sz w:val="24"/>
          <w:szCs w:val="24"/>
          <w:lang w:val="zh-CN"/>
        </w:rPr>
        <w:t>土著人民</w:t>
      </w:r>
      <w:r w:rsidRPr="002D7C3E">
        <w:rPr>
          <w:sz w:val="24"/>
          <w:szCs w:val="24"/>
          <w:lang w:val="zh-CN"/>
        </w:rPr>
        <w:t>”</w:t>
      </w:r>
      <w:r w:rsidRPr="002D7C3E">
        <w:rPr>
          <w:rFonts w:hint="eastAsia"/>
          <w:sz w:val="24"/>
          <w:szCs w:val="24"/>
          <w:lang w:val="zh-CN"/>
        </w:rPr>
        <w:t>和</w:t>
      </w:r>
      <w:r w:rsidRPr="002D7C3E">
        <w:rPr>
          <w:sz w:val="24"/>
          <w:szCs w:val="24"/>
          <w:lang w:val="zh-CN"/>
        </w:rPr>
        <w:t>“</w:t>
      </w:r>
      <w:r w:rsidRPr="002D7C3E">
        <w:rPr>
          <w:rFonts w:hint="eastAsia"/>
          <w:sz w:val="24"/>
          <w:szCs w:val="24"/>
          <w:lang w:val="zh-CN"/>
        </w:rPr>
        <w:t>地方社区</w:t>
      </w:r>
      <w:r w:rsidRPr="002D7C3E">
        <w:rPr>
          <w:sz w:val="24"/>
          <w:szCs w:val="24"/>
          <w:lang w:val="zh-CN"/>
        </w:rPr>
        <w:t>”</w:t>
      </w:r>
      <w:r w:rsidRPr="002D7C3E">
        <w:rPr>
          <w:rFonts w:hint="eastAsia"/>
          <w:sz w:val="24"/>
          <w:szCs w:val="24"/>
          <w:lang w:val="zh-CN"/>
        </w:rPr>
        <w:t>这两个术语作为一个类别合并使用或互换使用。</w:t>
      </w:r>
    </w:p>
    <w:p w:rsidR="001928CC" w:rsidRPr="002D7C3E" w:rsidRDefault="001928CC" w:rsidP="006D51D7">
      <w:pPr>
        <w:pStyle w:val="CBDNormalNumber"/>
        <w:numPr>
          <w:ilvl w:val="0"/>
          <w:numId w:val="10"/>
        </w:numPr>
        <w:rPr>
          <w:sz w:val="24"/>
          <w:szCs w:val="24"/>
        </w:rPr>
      </w:pPr>
      <w:r w:rsidRPr="002D7C3E">
        <w:rPr>
          <w:rFonts w:hint="eastAsia"/>
          <w:sz w:val="24"/>
          <w:szCs w:val="24"/>
          <w:lang w:val="zh-CN"/>
        </w:rPr>
        <w:t>缔约方大会在其第</w:t>
      </w:r>
      <w:hyperlink r:id="rId18" w:history="1">
        <w:r w:rsidRPr="002D7C3E">
          <w:rPr>
            <w:rStyle w:val="Hyperlink"/>
            <w:sz w:val="24"/>
            <w:szCs w:val="24"/>
          </w:rPr>
          <w:t>16/5</w:t>
        </w:r>
      </w:hyperlink>
      <w:r w:rsidRPr="002D7C3E">
        <w:rPr>
          <w:rFonts w:hint="eastAsia"/>
          <w:sz w:val="24"/>
          <w:szCs w:val="24"/>
          <w:lang w:val="zh-CN"/>
        </w:rPr>
        <w:t>号决定要求第</w:t>
      </w:r>
      <w:r w:rsidRPr="002D7C3E">
        <w:rPr>
          <w:sz w:val="24"/>
          <w:szCs w:val="24"/>
        </w:rPr>
        <w:t>8</w:t>
      </w:r>
      <w:r w:rsidRPr="002D7C3E">
        <w:rPr>
          <w:rFonts w:hint="eastAsia"/>
          <w:sz w:val="24"/>
          <w:szCs w:val="24"/>
        </w:rPr>
        <w:t>（</w:t>
      </w:r>
      <w:r w:rsidRPr="002D7C3E">
        <w:rPr>
          <w:sz w:val="24"/>
          <w:szCs w:val="24"/>
        </w:rPr>
        <w:t>j</w:t>
      </w:r>
      <w:r w:rsidRPr="002D7C3E">
        <w:rPr>
          <w:rFonts w:hint="eastAsia"/>
          <w:sz w:val="24"/>
          <w:szCs w:val="24"/>
        </w:rPr>
        <w:t>）</w:t>
      </w:r>
      <w:r w:rsidRPr="002D7C3E">
        <w:rPr>
          <w:rFonts w:hint="eastAsia"/>
          <w:sz w:val="24"/>
          <w:szCs w:val="24"/>
          <w:lang w:val="zh-CN"/>
        </w:rPr>
        <w:t>条附属机构在本次会议进一步阐述并最终确定其工作模式</w:t>
      </w:r>
      <w:r w:rsidRPr="002D7C3E">
        <w:rPr>
          <w:rFonts w:hint="eastAsia"/>
          <w:sz w:val="24"/>
          <w:szCs w:val="24"/>
        </w:rPr>
        <w:t>，</w:t>
      </w:r>
      <w:r w:rsidRPr="002D7C3E">
        <w:rPr>
          <w:rFonts w:hint="eastAsia"/>
          <w:sz w:val="24"/>
          <w:szCs w:val="24"/>
          <w:lang w:val="zh-CN"/>
        </w:rPr>
        <w:t>供缔约方大会第十七届会议审议并予以通过。关于该主题的讨论将在议程项目</w:t>
      </w:r>
      <w:r w:rsidRPr="002D7C3E">
        <w:rPr>
          <w:sz w:val="24"/>
          <w:szCs w:val="24"/>
          <w:lang w:val="zh-CN"/>
        </w:rPr>
        <w:t>4</w:t>
      </w:r>
      <w:r w:rsidRPr="002D7C3E">
        <w:rPr>
          <w:rFonts w:hint="eastAsia"/>
          <w:sz w:val="24"/>
          <w:szCs w:val="24"/>
          <w:lang w:val="zh-CN"/>
        </w:rPr>
        <w:t>下进行，预计将为工作方案任务</w:t>
      </w:r>
      <w:r w:rsidRPr="002D7C3E">
        <w:rPr>
          <w:sz w:val="24"/>
          <w:szCs w:val="24"/>
          <w:lang w:val="zh-CN"/>
        </w:rPr>
        <w:t>6.1</w:t>
      </w:r>
      <w:r w:rsidRPr="002D7C3E">
        <w:rPr>
          <w:rFonts w:hint="eastAsia"/>
          <w:sz w:val="24"/>
          <w:szCs w:val="24"/>
          <w:lang w:val="zh-CN"/>
        </w:rPr>
        <w:t>的实施做出贡献并提供意见，该任务旨在实施和进一步发展工作组使用的</w:t>
      </w:r>
      <w:bookmarkStart w:id="9" w:name="_GoBack"/>
      <w:bookmarkEnd w:id="9"/>
      <w:r w:rsidRPr="002D7C3E">
        <w:rPr>
          <w:rFonts w:hint="eastAsia"/>
          <w:sz w:val="24"/>
          <w:szCs w:val="24"/>
          <w:lang w:val="zh-CN"/>
        </w:rPr>
        <w:t>强化参与机制。</w:t>
      </w:r>
    </w:p>
    <w:p w:rsidR="001928CC" w:rsidRPr="002D7C3E" w:rsidRDefault="001928CC">
      <w:pPr>
        <w:pStyle w:val="CBDNormalNumber"/>
        <w:ind w:left="567"/>
        <w:rPr>
          <w:rStyle w:val="Emphasis"/>
          <w:i w:val="0"/>
          <w:iCs w:val="0"/>
          <w:sz w:val="24"/>
          <w:szCs w:val="24"/>
        </w:rPr>
        <w:sectPr w:rsidR="001928CC" w:rsidRPr="002D7C3E">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r w:rsidRPr="002D7C3E">
        <w:rPr>
          <w:rStyle w:val="Emphasis"/>
          <w:i w:val="0"/>
          <w:iCs w:val="0"/>
          <w:sz w:val="24"/>
          <w:szCs w:val="24"/>
        </w:rPr>
        <w:t xml:space="preserve"> </w:t>
      </w:r>
    </w:p>
    <w:p w:rsidR="001928CC" w:rsidRPr="002D7C3E" w:rsidRDefault="001928CC">
      <w:pPr>
        <w:pStyle w:val="CBDH1"/>
        <w:rPr>
          <w:sz w:val="24"/>
          <w:szCs w:val="24"/>
        </w:rPr>
      </w:pPr>
      <w:r w:rsidRPr="002D7C3E">
        <w:rPr>
          <w:rFonts w:hint="eastAsia"/>
          <w:sz w:val="24"/>
          <w:szCs w:val="24"/>
          <w:lang w:val="zh-CN"/>
        </w:rPr>
        <w:lastRenderedPageBreak/>
        <w:t>三</w:t>
      </w:r>
      <w:r w:rsidRPr="002D7C3E">
        <w:rPr>
          <w:sz w:val="24"/>
          <w:szCs w:val="24"/>
          <w:lang w:val="zh-CN"/>
        </w:rPr>
        <w:t>.</w:t>
      </w:r>
      <w:r w:rsidRPr="002D7C3E">
        <w:rPr>
          <w:sz w:val="24"/>
          <w:szCs w:val="24"/>
        </w:rPr>
        <w:tab/>
      </w:r>
      <w:r w:rsidRPr="002D7C3E">
        <w:rPr>
          <w:rFonts w:hint="eastAsia"/>
          <w:sz w:val="24"/>
          <w:szCs w:val="24"/>
          <w:lang w:val="zh-CN"/>
        </w:rPr>
        <w:t>建议</w:t>
      </w:r>
    </w:p>
    <w:p w:rsidR="001928CC" w:rsidRPr="002D7C3E" w:rsidRDefault="001928CC" w:rsidP="006D51D7">
      <w:pPr>
        <w:pStyle w:val="CBDNormalNumber"/>
        <w:numPr>
          <w:ilvl w:val="0"/>
          <w:numId w:val="10"/>
        </w:numPr>
        <w:rPr>
          <w:sz w:val="24"/>
          <w:szCs w:val="24"/>
        </w:rPr>
      </w:pPr>
      <w:r w:rsidRPr="002D7C3E">
        <w:rPr>
          <w:rFonts w:hint="eastAsia"/>
          <w:sz w:val="24"/>
          <w:szCs w:val="24"/>
          <w:lang w:val="zh-CN"/>
        </w:rPr>
        <w:t>第</w:t>
      </w:r>
      <w:r w:rsidRPr="002D7C3E">
        <w:rPr>
          <w:sz w:val="24"/>
          <w:szCs w:val="24"/>
        </w:rPr>
        <w:t>8</w:t>
      </w:r>
      <w:r w:rsidRPr="002D7C3E">
        <w:rPr>
          <w:rFonts w:hint="eastAsia"/>
          <w:sz w:val="24"/>
          <w:szCs w:val="24"/>
        </w:rPr>
        <w:t>（</w:t>
      </w:r>
      <w:r w:rsidRPr="002D7C3E">
        <w:rPr>
          <w:sz w:val="24"/>
          <w:szCs w:val="24"/>
        </w:rPr>
        <w:t>j</w:t>
      </w:r>
      <w:r w:rsidRPr="002D7C3E">
        <w:rPr>
          <w:rFonts w:hint="eastAsia"/>
          <w:sz w:val="24"/>
          <w:szCs w:val="24"/>
        </w:rPr>
        <w:t>）</w:t>
      </w:r>
      <w:r w:rsidRPr="002D7C3E">
        <w:rPr>
          <w:rFonts w:hint="eastAsia"/>
          <w:sz w:val="24"/>
          <w:szCs w:val="24"/>
          <w:lang w:val="zh-CN"/>
        </w:rPr>
        <w:t>条附属机构不妨建议缔约方大会第十七届会议通过一项内容大致如下的决定</w:t>
      </w:r>
      <w:r w:rsidRPr="002D7C3E">
        <w:rPr>
          <w:rFonts w:hint="eastAsia"/>
          <w:sz w:val="24"/>
          <w:szCs w:val="24"/>
        </w:rPr>
        <w:t>：</w:t>
      </w:r>
    </w:p>
    <w:p w:rsidR="001928CC" w:rsidRPr="002D7C3E" w:rsidRDefault="001928CC">
      <w:pPr>
        <w:pStyle w:val="CBDNormalNoNumber"/>
        <w:keepNext/>
        <w:ind w:firstLine="567"/>
        <w:rPr>
          <w:i/>
          <w:sz w:val="24"/>
          <w:szCs w:val="24"/>
        </w:rPr>
      </w:pPr>
      <w:r w:rsidRPr="002D7C3E">
        <w:rPr>
          <w:rFonts w:eastAsia="楷体_GB2312" w:hint="eastAsia"/>
          <w:sz w:val="24"/>
          <w:szCs w:val="24"/>
          <w:lang w:val="zh-CN"/>
        </w:rPr>
        <w:t>缔约方大会</w:t>
      </w:r>
      <w:r w:rsidRPr="002D7C3E">
        <w:rPr>
          <w:rFonts w:hint="eastAsia"/>
          <w:sz w:val="24"/>
          <w:szCs w:val="24"/>
        </w:rPr>
        <w:t>，</w:t>
      </w:r>
    </w:p>
    <w:p w:rsidR="001928CC" w:rsidRPr="002D7C3E" w:rsidRDefault="001928CC">
      <w:pPr>
        <w:pStyle w:val="CBDNormalNoNumber"/>
        <w:ind w:firstLine="567"/>
        <w:rPr>
          <w:sz w:val="24"/>
          <w:szCs w:val="24"/>
        </w:rPr>
      </w:pPr>
      <w:bookmarkStart w:id="10" w:name="_Hlk205546151"/>
      <w:r w:rsidRPr="00BE1501">
        <w:rPr>
          <w:rFonts w:ascii="楷体_GB2312" w:eastAsia="楷体_GB2312" w:hint="eastAsia"/>
          <w:sz w:val="24"/>
          <w:szCs w:val="24"/>
          <w:lang w:val="zh-CN"/>
        </w:rPr>
        <w:t>审议了</w:t>
      </w:r>
      <w:r w:rsidRPr="002D7C3E">
        <w:rPr>
          <w:rFonts w:hint="eastAsia"/>
          <w:sz w:val="24"/>
          <w:szCs w:val="24"/>
          <w:lang w:val="zh-CN"/>
        </w:rPr>
        <w:t>生物多样性公约</w:t>
      </w:r>
      <w:r w:rsidRPr="002D7C3E">
        <w:rPr>
          <w:rStyle w:val="FootnoteReference"/>
          <w:sz w:val="24"/>
          <w:szCs w:val="24"/>
          <w:lang w:val="zh-CN"/>
        </w:rPr>
        <w:footnoteReference w:id="4"/>
      </w:r>
      <w:r w:rsidRPr="002D7C3E">
        <w:rPr>
          <w:rFonts w:hint="eastAsia"/>
          <w:sz w:val="24"/>
          <w:szCs w:val="24"/>
          <w:lang w:val="zh-CN"/>
        </w:rPr>
        <w:t>秘书处关于土著问题常设论坛提出的建议的说明</w:t>
      </w:r>
      <w:r w:rsidRPr="002D7C3E">
        <w:rPr>
          <w:rFonts w:hint="eastAsia"/>
          <w:sz w:val="24"/>
          <w:szCs w:val="24"/>
        </w:rPr>
        <w:t>，</w:t>
      </w:r>
      <w:r w:rsidRPr="002D7C3E">
        <w:rPr>
          <w:sz w:val="24"/>
          <w:szCs w:val="24"/>
          <w:vertAlign w:val="superscript"/>
          <w:lang w:val="zh-CN"/>
        </w:rPr>
        <w:footnoteReference w:id="5"/>
      </w:r>
    </w:p>
    <w:bookmarkEnd w:id="10"/>
    <w:p w:rsidR="001928CC" w:rsidRPr="002D7C3E" w:rsidRDefault="001928CC">
      <w:pPr>
        <w:pStyle w:val="CBDNormalNoNumber"/>
        <w:ind w:firstLine="567"/>
        <w:rPr>
          <w:sz w:val="24"/>
          <w:szCs w:val="24"/>
        </w:rPr>
      </w:pPr>
      <w:r w:rsidRPr="002D7C3E">
        <w:rPr>
          <w:sz w:val="24"/>
          <w:szCs w:val="24"/>
        </w:rPr>
        <w:t>1.</w:t>
      </w:r>
      <w:r w:rsidRPr="002D7C3E">
        <w:rPr>
          <w:sz w:val="24"/>
          <w:szCs w:val="24"/>
        </w:rPr>
        <w:tab/>
      </w:r>
      <w:r w:rsidRPr="002D7C3E">
        <w:rPr>
          <w:rFonts w:eastAsia="楷体_GB2312" w:hint="eastAsia"/>
          <w:sz w:val="24"/>
          <w:szCs w:val="24"/>
          <w:lang w:val="zh-CN"/>
        </w:rPr>
        <w:t>表示注意到</w:t>
      </w:r>
      <w:r w:rsidRPr="002D7C3E">
        <w:rPr>
          <w:rFonts w:hint="eastAsia"/>
          <w:sz w:val="24"/>
          <w:szCs w:val="24"/>
          <w:lang w:val="zh-CN"/>
        </w:rPr>
        <w:t>土著问题常设论坛第二十三届和第二十四届会议提出的建议</w:t>
      </w:r>
      <w:r w:rsidRPr="002D7C3E">
        <w:rPr>
          <w:rFonts w:hint="eastAsia"/>
          <w:sz w:val="24"/>
          <w:szCs w:val="24"/>
        </w:rPr>
        <w:t>；</w:t>
      </w:r>
    </w:p>
    <w:p w:rsidR="001928CC" w:rsidRPr="002D7C3E" w:rsidRDefault="001928CC">
      <w:pPr>
        <w:pStyle w:val="CBDNormalNoNumber"/>
        <w:ind w:firstLine="567"/>
        <w:rPr>
          <w:sz w:val="24"/>
          <w:szCs w:val="24"/>
        </w:rPr>
      </w:pPr>
      <w:r w:rsidRPr="002D7C3E">
        <w:rPr>
          <w:sz w:val="24"/>
          <w:szCs w:val="24"/>
        </w:rPr>
        <w:t>2.</w:t>
      </w:r>
      <w:r w:rsidRPr="002D7C3E">
        <w:rPr>
          <w:sz w:val="24"/>
          <w:szCs w:val="24"/>
        </w:rPr>
        <w:tab/>
      </w:r>
      <w:r w:rsidRPr="002D7C3E">
        <w:rPr>
          <w:rFonts w:eastAsia="楷体_GB2312" w:hint="eastAsia"/>
          <w:sz w:val="24"/>
          <w:szCs w:val="24"/>
          <w:lang w:val="zh-CN"/>
        </w:rPr>
        <w:t>请</w:t>
      </w:r>
      <w:r w:rsidRPr="002D7C3E">
        <w:rPr>
          <w:rFonts w:hint="eastAsia"/>
          <w:sz w:val="24"/>
          <w:szCs w:val="24"/>
          <w:lang w:val="zh-CN"/>
        </w:rPr>
        <w:t>生物多样性公约执行秘书继续向土著问题常设论坛通报共同关心的问题的发展情况</w:t>
      </w:r>
      <w:r w:rsidRPr="002D7C3E">
        <w:rPr>
          <w:rFonts w:hint="eastAsia"/>
          <w:sz w:val="24"/>
          <w:szCs w:val="24"/>
        </w:rPr>
        <w:t>，</w:t>
      </w:r>
      <w:r w:rsidRPr="002D7C3E">
        <w:rPr>
          <w:rFonts w:hint="eastAsia"/>
          <w:sz w:val="24"/>
          <w:szCs w:val="24"/>
          <w:lang w:val="zh-CN"/>
        </w:rPr>
        <w:t>并向论坛提供关于在《生物多样性公约》下开展的与论坛上述建议相关的活动的信息。</w:t>
      </w:r>
    </w:p>
    <w:p w:rsidR="001928CC" w:rsidRDefault="001928CC">
      <w:pPr>
        <w:jc w:val="center"/>
        <w:rPr>
          <w:szCs w:val="24"/>
        </w:rPr>
      </w:pPr>
      <w:r>
        <w:rPr>
          <w:szCs w:val="24"/>
        </w:rPr>
        <w:t>__________</w:t>
      </w:r>
    </w:p>
    <w:sectPr w:rsidR="001928CC" w:rsidSect="001928CC">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1D7" w:rsidRDefault="006D51D7">
      <w:pPr>
        <w:rPr>
          <w:szCs w:val="24"/>
        </w:rPr>
      </w:pPr>
      <w:r>
        <w:rPr>
          <w:szCs w:val="24"/>
        </w:rPr>
        <w:separator/>
      </w:r>
    </w:p>
  </w:endnote>
  <w:endnote w:type="continuationSeparator" w:id="0">
    <w:p w:rsidR="006D51D7" w:rsidRDefault="006D51D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8CC" w:rsidRDefault="001928CC">
    <w:pPr>
      <w:pStyle w:val="Footer"/>
      <w:rPr>
        <w:szCs w:val="24"/>
      </w:rPr>
    </w:pPr>
    <w:r>
      <w:rPr>
        <w:szCs w:val="24"/>
      </w:rPr>
      <w:fldChar w:fldCharType="begin"/>
    </w:r>
    <w:r>
      <w:rPr>
        <w:szCs w:val="24"/>
      </w:rPr>
      <w:instrText xml:space="preserve"> PAGE </w:instrText>
    </w:r>
    <w:r>
      <w:rPr>
        <w:szCs w:val="24"/>
      </w:rPr>
      <w:fldChar w:fldCharType="separate"/>
    </w:r>
    <w:r w:rsidR="00AF2708">
      <w:rPr>
        <w:noProof/>
        <w:szCs w:val="24"/>
      </w:rPr>
      <w:t>4</w:t>
    </w:r>
    <w:r>
      <w:rPr>
        <w:szCs w:val="24"/>
      </w:rPr>
      <w:fldChar w:fldCharType="end"/>
    </w:r>
    <w:r>
      <w:rPr>
        <w:szCs w:val="24"/>
      </w:rPr>
      <w:t>/</w:t>
    </w:r>
    <w:r w:rsidR="006D51D7">
      <w:fldChar w:fldCharType="begin"/>
    </w:r>
    <w:r w:rsidR="006D51D7">
      <w:instrText xml:space="preserve"> NUMPAGES \* MERGEFORMAT </w:instrText>
    </w:r>
    <w:r w:rsidR="006D51D7">
      <w:fldChar w:fldCharType="separate"/>
    </w:r>
    <w:r w:rsidR="00AF2708" w:rsidRPr="00AF2708">
      <w:rPr>
        <w:noProof/>
        <w:szCs w:val="24"/>
      </w:rPr>
      <w:t>4</w:t>
    </w:r>
    <w:r w:rsidR="006D51D7">
      <w:rPr>
        <w:noProof/>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8CC" w:rsidRDefault="001928CC">
    <w:pPr>
      <w:pStyle w:val="CBDFooter"/>
      <w:jc w:val="right"/>
      <w:rPr>
        <w:szCs w:val="24"/>
      </w:rPr>
    </w:pPr>
    <w:r>
      <w:rPr>
        <w:szCs w:val="24"/>
      </w:rPr>
      <w:fldChar w:fldCharType="begin"/>
    </w:r>
    <w:r>
      <w:rPr>
        <w:szCs w:val="24"/>
      </w:rPr>
      <w:instrText xml:space="preserve"> PAGE \* MERGEFORMAT </w:instrText>
    </w:r>
    <w:r>
      <w:rPr>
        <w:szCs w:val="24"/>
      </w:rPr>
      <w:fldChar w:fldCharType="separate"/>
    </w:r>
    <w:r w:rsidR="00AF2708">
      <w:rPr>
        <w:noProof/>
        <w:szCs w:val="24"/>
      </w:rPr>
      <w:t>3</w:t>
    </w:r>
    <w:r>
      <w:rPr>
        <w:szCs w:val="24"/>
      </w:rPr>
      <w:fldChar w:fldCharType="end"/>
    </w:r>
    <w:r>
      <w:rPr>
        <w:szCs w:val="24"/>
      </w:rPr>
      <w:t>/</w:t>
    </w:r>
    <w:r w:rsidR="006D51D7">
      <w:fldChar w:fldCharType="begin"/>
    </w:r>
    <w:r w:rsidR="006D51D7">
      <w:instrText xml:space="preserve"> NUMPAGES \* MERGEFORMAT </w:instrText>
    </w:r>
    <w:r w:rsidR="006D51D7">
      <w:fldChar w:fldCharType="separate"/>
    </w:r>
    <w:r w:rsidR="00AF2708" w:rsidRPr="00AF2708">
      <w:rPr>
        <w:noProof/>
        <w:szCs w:val="24"/>
      </w:rPr>
      <w:t>4</w:t>
    </w:r>
    <w:r w:rsidR="006D51D7">
      <w:rPr>
        <w:noProof/>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1D7" w:rsidRDefault="006D51D7">
      <w:pPr>
        <w:rPr>
          <w:szCs w:val="24"/>
        </w:rPr>
      </w:pPr>
      <w:r>
        <w:rPr>
          <w:szCs w:val="24"/>
        </w:rPr>
        <w:separator/>
      </w:r>
    </w:p>
  </w:footnote>
  <w:footnote w:type="continuationSeparator" w:id="0">
    <w:p w:rsidR="006D51D7" w:rsidRDefault="006D51D7">
      <w:pPr>
        <w:rPr>
          <w:szCs w:val="24"/>
        </w:rPr>
      </w:pPr>
      <w:r>
        <w:rPr>
          <w:szCs w:val="24"/>
        </w:rPr>
        <w:continuationSeparator/>
      </w:r>
    </w:p>
  </w:footnote>
  <w:footnote w:id="1">
    <w:p w:rsidR="001928CC" w:rsidRDefault="001928CC">
      <w:pPr>
        <w:pStyle w:val="FootnoteText"/>
      </w:pPr>
      <w:r>
        <w:rPr>
          <w:rStyle w:val="FootnoteReference"/>
          <w:szCs w:val="24"/>
          <w:lang w:val="pt-PT"/>
        </w:rPr>
        <w:t>*</w:t>
      </w:r>
      <w:r>
        <w:rPr>
          <w:szCs w:val="24"/>
          <w:lang w:val="pt-PT"/>
        </w:rPr>
        <w:t xml:space="preserve"> </w:t>
      </w:r>
      <w:hyperlink r:id="rId1" w:history="1">
        <w:r>
          <w:rPr>
            <w:rStyle w:val="Hyperlink"/>
            <w:rFonts w:ascii="宋体"/>
            <w:szCs w:val="24"/>
            <w:lang w:val="pt-PT"/>
          </w:rPr>
          <w:t>CBD/SB8J/1/1/Rev.1</w:t>
        </w:r>
      </w:hyperlink>
      <w:r>
        <w:rPr>
          <w:rFonts w:ascii="宋体" w:hint="eastAsia"/>
          <w:szCs w:val="24"/>
          <w:lang w:val="zh-CN"/>
        </w:rPr>
        <w:t>。</w:t>
      </w:r>
    </w:p>
  </w:footnote>
  <w:footnote w:id="2">
    <w:p w:rsidR="001928CC" w:rsidRDefault="001928CC">
      <w:pPr>
        <w:pStyle w:val="FootnoteText"/>
      </w:pPr>
      <w:r>
        <w:rPr>
          <w:rStyle w:val="FootnoteReference"/>
          <w:szCs w:val="24"/>
        </w:rPr>
        <w:footnoteRef/>
      </w:r>
      <w:r>
        <w:rPr>
          <w:szCs w:val="24"/>
          <w:lang w:val="pt-PT"/>
        </w:rPr>
        <w:t xml:space="preserve"> </w:t>
      </w:r>
      <w:hyperlink r:id="rId2" w:history="1">
        <w:r>
          <w:rPr>
            <w:rStyle w:val="Hyperlink"/>
            <w:szCs w:val="24"/>
            <w:lang w:val="pt-PT"/>
          </w:rPr>
          <w:t>E/2024/43-E/C.19/2024/8</w:t>
        </w:r>
      </w:hyperlink>
      <w:r>
        <w:rPr>
          <w:rFonts w:ascii="宋体" w:hint="eastAsia"/>
          <w:szCs w:val="24"/>
          <w:lang w:val="zh-CN"/>
        </w:rPr>
        <w:t>。</w:t>
      </w:r>
    </w:p>
  </w:footnote>
  <w:footnote w:id="3">
    <w:p w:rsidR="001928CC" w:rsidRDefault="001928CC">
      <w:pPr>
        <w:pStyle w:val="FootnoteText"/>
      </w:pPr>
      <w:r>
        <w:rPr>
          <w:rStyle w:val="FootnoteReference"/>
          <w:szCs w:val="24"/>
        </w:rPr>
        <w:footnoteRef/>
      </w:r>
      <w:r>
        <w:rPr>
          <w:szCs w:val="24"/>
          <w:lang w:val="es-ES"/>
        </w:rPr>
        <w:t xml:space="preserve"> </w:t>
      </w:r>
      <w:hyperlink r:id="rId3" w:history="1">
        <w:r>
          <w:rPr>
            <w:rStyle w:val="Hyperlink"/>
            <w:szCs w:val="24"/>
            <w:lang w:val="es-ES"/>
          </w:rPr>
          <w:t>E/2025/43-E/C.19/2025/8</w:t>
        </w:r>
      </w:hyperlink>
      <w:r>
        <w:rPr>
          <w:rFonts w:ascii="宋体" w:hint="eastAsia"/>
          <w:szCs w:val="24"/>
          <w:lang w:val="zh-CN"/>
        </w:rPr>
        <w:t>。</w:t>
      </w:r>
    </w:p>
  </w:footnote>
  <w:footnote w:id="4">
    <w:p w:rsidR="001928CC" w:rsidRDefault="001928CC">
      <w:pPr>
        <w:pStyle w:val="FootnoteText"/>
      </w:pPr>
      <w:r>
        <w:rPr>
          <w:rStyle w:val="FootnoteReference"/>
          <w:szCs w:val="24"/>
        </w:rPr>
        <w:footnoteRef/>
      </w:r>
      <w:r>
        <w:rPr>
          <w:szCs w:val="24"/>
          <w:lang w:val="es-ES"/>
        </w:rPr>
        <w:t xml:space="preserve"> </w:t>
      </w:r>
      <w:r>
        <w:rPr>
          <w:rFonts w:ascii="宋体" w:hint="eastAsia"/>
          <w:szCs w:val="24"/>
          <w:lang w:val="zh-CN"/>
        </w:rPr>
        <w:t>联合国</w:t>
      </w:r>
      <w:r>
        <w:rPr>
          <w:rFonts w:ascii="宋体" w:hint="eastAsia"/>
          <w:szCs w:val="24"/>
          <w:lang w:val="es-ES"/>
        </w:rPr>
        <w:t>，</w:t>
      </w:r>
      <w:r>
        <w:rPr>
          <w:rFonts w:ascii="宋体" w:hint="eastAsia"/>
          <w:szCs w:val="24"/>
          <w:lang w:val="zh-CN"/>
        </w:rPr>
        <w:t>《</w:t>
      </w:r>
      <w:r>
        <w:rPr>
          <w:rFonts w:ascii="楷体_GB2312" w:eastAsia="楷体_GB2312" w:hint="eastAsia"/>
          <w:szCs w:val="24"/>
          <w:lang w:val="zh-CN"/>
        </w:rPr>
        <w:t>条约汇编</w:t>
      </w:r>
      <w:r>
        <w:rPr>
          <w:rFonts w:ascii="宋体" w:hint="eastAsia"/>
          <w:szCs w:val="24"/>
          <w:lang w:val="zh-CN"/>
        </w:rPr>
        <w:t>》</w:t>
      </w:r>
      <w:r>
        <w:rPr>
          <w:rFonts w:ascii="宋体" w:hint="eastAsia"/>
          <w:szCs w:val="24"/>
          <w:lang w:val="es-ES"/>
        </w:rPr>
        <w:t>，</w:t>
      </w:r>
      <w:r>
        <w:rPr>
          <w:rFonts w:ascii="宋体" w:hint="eastAsia"/>
          <w:szCs w:val="24"/>
          <w:lang w:val="zh-CN"/>
        </w:rPr>
        <w:t>第</w:t>
      </w:r>
      <w:r>
        <w:rPr>
          <w:rFonts w:ascii="宋体"/>
          <w:szCs w:val="24"/>
          <w:lang w:val="es-ES"/>
        </w:rPr>
        <w:t>1760</w:t>
      </w:r>
      <w:r>
        <w:rPr>
          <w:rFonts w:ascii="宋体" w:hint="eastAsia"/>
          <w:szCs w:val="24"/>
          <w:lang w:val="zh-CN"/>
        </w:rPr>
        <w:t>卷</w:t>
      </w:r>
      <w:r>
        <w:rPr>
          <w:rFonts w:ascii="宋体" w:hint="eastAsia"/>
          <w:szCs w:val="24"/>
          <w:lang w:val="es-ES"/>
        </w:rPr>
        <w:t>，</w:t>
      </w:r>
      <w:r>
        <w:rPr>
          <w:rFonts w:ascii="宋体" w:hint="eastAsia"/>
          <w:szCs w:val="24"/>
          <w:lang w:val="zh-CN"/>
        </w:rPr>
        <w:t>第</w:t>
      </w:r>
      <w:r>
        <w:rPr>
          <w:rFonts w:ascii="宋体"/>
          <w:szCs w:val="24"/>
          <w:lang w:val="es-ES"/>
        </w:rPr>
        <w:t>30619</w:t>
      </w:r>
      <w:r>
        <w:rPr>
          <w:rFonts w:ascii="宋体" w:hint="eastAsia"/>
          <w:szCs w:val="24"/>
          <w:lang w:val="zh-CN"/>
        </w:rPr>
        <w:t>号。</w:t>
      </w:r>
    </w:p>
  </w:footnote>
  <w:footnote w:id="5">
    <w:p w:rsidR="001928CC" w:rsidRDefault="001928CC">
      <w:pPr>
        <w:pStyle w:val="FootnoteText"/>
      </w:pPr>
      <w:r>
        <w:rPr>
          <w:rStyle w:val="FootnoteReference"/>
          <w:szCs w:val="24"/>
        </w:rPr>
        <w:footnoteRef/>
      </w:r>
      <w:r>
        <w:rPr>
          <w:szCs w:val="24"/>
          <w:lang w:val="es-ES"/>
        </w:rPr>
        <w:t xml:space="preserve"> CBD/SB8J/1/7</w:t>
      </w:r>
      <w:r>
        <w:rPr>
          <w:rFonts w:ascii="宋体" w:hint="eastAsia"/>
          <w:szCs w:val="24"/>
          <w:lang w:val="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8CC" w:rsidRDefault="001928CC">
    <w:pPr>
      <w:pStyle w:val="CBDHeader"/>
      <w:rPr>
        <w:szCs w:val="24"/>
        <w:lang w:val="en-US"/>
      </w:rPr>
    </w:pPr>
    <w:r>
      <w:rPr>
        <w:szCs w:val="24"/>
        <w:lang w:val="en-US"/>
      </w:rPr>
      <w:t>CBD/SB8J/1/7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28CC" w:rsidRDefault="001928CC">
    <w:pPr>
      <w:pStyle w:val="CBDHeader"/>
      <w:jc w:val="right"/>
      <w:rPr>
        <w:szCs w:val="24"/>
        <w:lang w:val="en-US"/>
      </w:rPr>
    </w:pPr>
    <w:r>
      <w:rPr>
        <w:szCs w:val="24"/>
        <w:lang w:val="en-US"/>
      </w:rPr>
      <w:t>CBD/SB8J/1/7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EC92B6"/>
    <w:lvl w:ilvl="0">
      <w:start w:val="1"/>
      <w:numFmt w:val="decimal"/>
      <w:pStyle w:val="ListNumber"/>
      <w:lvlText w:val="%1."/>
      <w:lvlJc w:val="left"/>
      <w:pPr>
        <w:tabs>
          <w:tab w:val="num" w:pos="1492"/>
        </w:tabs>
        <w:ind w:left="1492" w:hanging="360"/>
      </w:pPr>
      <w:rPr>
        <w:rFonts w:cs="Times New Roman"/>
      </w:rPr>
    </w:lvl>
  </w:abstractNum>
  <w:abstractNum w:abstractNumId="1">
    <w:nsid w:val="FFFFFF81"/>
    <w:multiLevelType w:val="singleLevel"/>
    <w:tmpl w:val="F334C9C6"/>
    <w:lvl w:ilvl="0">
      <w:start w:val="1"/>
      <w:numFmt w:val="bullet"/>
      <w:pStyle w:val="ListBullet3"/>
      <w:lvlText w:val=""/>
      <w:lvlJc w:val="left"/>
      <w:pPr>
        <w:tabs>
          <w:tab w:val="num" w:pos="1209"/>
        </w:tabs>
        <w:ind w:left="1209" w:hanging="360"/>
      </w:pPr>
      <w:rPr>
        <w:rFonts w:ascii="Symbol" w:hAnsi="Symbol" w:hint="default"/>
      </w:rPr>
    </w:lvl>
  </w:abstractNum>
  <w:abstractNum w:abstractNumId="2">
    <w:nsid w:val="FFFFFF82"/>
    <w:multiLevelType w:val="singleLevel"/>
    <w:tmpl w:val="76342F88"/>
    <w:lvl w:ilvl="0">
      <w:start w:val="1"/>
      <w:numFmt w:val="bullet"/>
      <w:pStyle w:val="ListBullet2"/>
      <w:lvlText w:val=""/>
      <w:lvlJc w:val="left"/>
      <w:pPr>
        <w:tabs>
          <w:tab w:val="num" w:pos="926"/>
        </w:tabs>
        <w:ind w:left="926" w:hanging="360"/>
      </w:pPr>
      <w:rPr>
        <w:rFonts w:ascii="Symbol" w:hAnsi="Symbol" w:hint="default"/>
      </w:rPr>
    </w:lvl>
  </w:abstractNum>
  <w:abstractNum w:abstractNumId="3">
    <w:nsid w:val="FFFFFF83"/>
    <w:multiLevelType w:val="singleLevel"/>
    <w:tmpl w:val="9D206D0A"/>
    <w:lvl w:ilvl="0">
      <w:start w:val="1"/>
      <w:numFmt w:val="bullet"/>
      <w:pStyle w:val="ListBullet"/>
      <w:lvlText w:val=""/>
      <w:lvlJc w:val="left"/>
      <w:pPr>
        <w:tabs>
          <w:tab w:val="num" w:pos="643"/>
        </w:tabs>
        <w:ind w:left="643" w:hanging="360"/>
      </w:pPr>
      <w:rPr>
        <w:rFonts w:ascii="Symbol" w:hAnsi="Symbol" w:hint="default"/>
      </w:rPr>
    </w:lvl>
  </w:abstractNum>
  <w:abstractNum w:abstractNumId="4">
    <w:nsid w:val="FFFFFF88"/>
    <w:multiLevelType w:val="singleLevel"/>
    <w:tmpl w:val="CEC63D5E"/>
    <w:lvl w:ilvl="0">
      <w:start w:val="1"/>
      <w:numFmt w:val="decimal"/>
      <w:pStyle w:val="ListBullet5"/>
      <w:lvlText w:val="%1."/>
      <w:lvlJc w:val="left"/>
      <w:pPr>
        <w:tabs>
          <w:tab w:val="num" w:pos="360"/>
        </w:tabs>
        <w:ind w:left="360" w:hanging="360"/>
      </w:pPr>
      <w:rPr>
        <w:rFonts w:cs="Times New Roman"/>
      </w:rPr>
    </w:lvl>
  </w:abstractNum>
  <w:abstractNum w:abstractNumId="5">
    <w:nsid w:val="FFFFFF89"/>
    <w:multiLevelType w:val="singleLevel"/>
    <w:tmpl w:val="7B20F29A"/>
    <w:lvl w:ilvl="0">
      <w:start w:val="1"/>
      <w:numFmt w:val="bullet"/>
      <w:pStyle w:val="ListNumber2"/>
      <w:lvlText w:val=""/>
      <w:lvlJc w:val="left"/>
      <w:pPr>
        <w:tabs>
          <w:tab w:val="num" w:pos="360"/>
        </w:tabs>
        <w:ind w:left="360" w:hanging="360"/>
      </w:pPr>
      <w:rPr>
        <w:rFonts w:ascii="Symbol" w:hAnsi="Symbol" w:hint="default"/>
      </w:rPr>
    </w:lvl>
  </w:abstractNum>
  <w:abstractNum w:abstractNumId="6">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7">
    <w:nsid w:val="5D943BEE"/>
    <w:multiLevelType w:val="multilevel"/>
    <w:tmpl w:val="222A08B4"/>
    <w:numStyleLink w:val="ListCBD"/>
  </w:abstractNum>
  <w:abstractNum w:abstractNumId="8">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3"/>
  </w:num>
  <w:num w:numId="2">
    <w:abstractNumId w:val="2"/>
  </w:num>
  <w:num w:numId="3">
    <w:abstractNumId w:val="1"/>
  </w:num>
  <w:num w:numId="4">
    <w:abstractNumId w:val="4"/>
  </w:num>
  <w:num w:numId="5">
    <w:abstractNumId w:val="0"/>
  </w:num>
  <w:num w:numId="6">
    <w:abstractNumId w:val="5"/>
  </w:num>
  <w:num w:numId="7">
    <w:abstractNumId w:val="9"/>
  </w:num>
  <w:num w:numId="8">
    <w:abstractNumId w:val="6"/>
  </w:num>
  <w:num w:numId="9">
    <w:abstractNumId w:val="8"/>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a2NLW0MLe0MLMwNjUzN7FU0lEKTi0uzszPAymwqAUAzpIicywAAAA="/>
  </w:docVars>
  <w:rsids>
    <w:rsidRoot w:val="006935DA"/>
    <w:rsid w:val="00002935"/>
    <w:rsid w:val="000066B0"/>
    <w:rsid w:val="0001552D"/>
    <w:rsid w:val="00023B83"/>
    <w:rsid w:val="00027B1E"/>
    <w:rsid w:val="00033DA0"/>
    <w:rsid w:val="00036D8C"/>
    <w:rsid w:val="0004134E"/>
    <w:rsid w:val="000424A9"/>
    <w:rsid w:val="000435D8"/>
    <w:rsid w:val="00047560"/>
    <w:rsid w:val="00052ABB"/>
    <w:rsid w:val="000558EA"/>
    <w:rsid w:val="00055D85"/>
    <w:rsid w:val="00056299"/>
    <w:rsid w:val="000568D1"/>
    <w:rsid w:val="0007522B"/>
    <w:rsid w:val="00076254"/>
    <w:rsid w:val="00083579"/>
    <w:rsid w:val="000849A3"/>
    <w:rsid w:val="0008600D"/>
    <w:rsid w:val="00094B32"/>
    <w:rsid w:val="00095335"/>
    <w:rsid w:val="00096CB0"/>
    <w:rsid w:val="0009728D"/>
    <w:rsid w:val="000A06CA"/>
    <w:rsid w:val="000A1CCD"/>
    <w:rsid w:val="000B49CE"/>
    <w:rsid w:val="000C18A0"/>
    <w:rsid w:val="000C227B"/>
    <w:rsid w:val="000C3A31"/>
    <w:rsid w:val="000C51EC"/>
    <w:rsid w:val="000D3855"/>
    <w:rsid w:val="000D54F9"/>
    <w:rsid w:val="000D5C27"/>
    <w:rsid w:val="000E4B90"/>
    <w:rsid w:val="000F0793"/>
    <w:rsid w:val="000F1A60"/>
    <w:rsid w:val="000F2720"/>
    <w:rsid w:val="000F7949"/>
    <w:rsid w:val="001065E9"/>
    <w:rsid w:val="00110AA7"/>
    <w:rsid w:val="001119B9"/>
    <w:rsid w:val="001144A1"/>
    <w:rsid w:val="0011503F"/>
    <w:rsid w:val="001152D1"/>
    <w:rsid w:val="001234A7"/>
    <w:rsid w:val="00130990"/>
    <w:rsid w:val="0013212D"/>
    <w:rsid w:val="00133B5B"/>
    <w:rsid w:val="00137EFC"/>
    <w:rsid w:val="00146F37"/>
    <w:rsid w:val="001470B0"/>
    <w:rsid w:val="00151867"/>
    <w:rsid w:val="00151BEB"/>
    <w:rsid w:val="001541DD"/>
    <w:rsid w:val="00155DB6"/>
    <w:rsid w:val="00156CCF"/>
    <w:rsid w:val="0016745C"/>
    <w:rsid w:val="001721EE"/>
    <w:rsid w:val="00173B8C"/>
    <w:rsid w:val="00176508"/>
    <w:rsid w:val="00181080"/>
    <w:rsid w:val="0018561D"/>
    <w:rsid w:val="001928CC"/>
    <w:rsid w:val="00195ED7"/>
    <w:rsid w:val="001A5A37"/>
    <w:rsid w:val="001A6182"/>
    <w:rsid w:val="001A7228"/>
    <w:rsid w:val="001B1057"/>
    <w:rsid w:val="001B1B66"/>
    <w:rsid w:val="001B3EEC"/>
    <w:rsid w:val="001B5E54"/>
    <w:rsid w:val="001B613A"/>
    <w:rsid w:val="001C20F9"/>
    <w:rsid w:val="001D7B8B"/>
    <w:rsid w:val="001E5103"/>
    <w:rsid w:val="001F0201"/>
    <w:rsid w:val="001F2E8E"/>
    <w:rsid w:val="001F5572"/>
    <w:rsid w:val="001F696A"/>
    <w:rsid w:val="001F78AC"/>
    <w:rsid w:val="00215129"/>
    <w:rsid w:val="0021642A"/>
    <w:rsid w:val="00220E35"/>
    <w:rsid w:val="00222A48"/>
    <w:rsid w:val="00226650"/>
    <w:rsid w:val="00233042"/>
    <w:rsid w:val="0023333B"/>
    <w:rsid w:val="00241E3F"/>
    <w:rsid w:val="00242A02"/>
    <w:rsid w:val="00243E31"/>
    <w:rsid w:val="002528EA"/>
    <w:rsid w:val="00256E56"/>
    <w:rsid w:val="00257796"/>
    <w:rsid w:val="0026132C"/>
    <w:rsid w:val="00262052"/>
    <w:rsid w:val="00263DCD"/>
    <w:rsid w:val="002667A8"/>
    <w:rsid w:val="002730EB"/>
    <w:rsid w:val="0027354A"/>
    <w:rsid w:val="002826F7"/>
    <w:rsid w:val="002856E3"/>
    <w:rsid w:val="00286DBE"/>
    <w:rsid w:val="00292FF6"/>
    <w:rsid w:val="002957AE"/>
    <w:rsid w:val="002A15DE"/>
    <w:rsid w:val="002A2ECB"/>
    <w:rsid w:val="002B4095"/>
    <w:rsid w:val="002B7B5D"/>
    <w:rsid w:val="002C00C2"/>
    <w:rsid w:val="002C39FB"/>
    <w:rsid w:val="002C3DF4"/>
    <w:rsid w:val="002C49C9"/>
    <w:rsid w:val="002D004E"/>
    <w:rsid w:val="002D110B"/>
    <w:rsid w:val="002D3943"/>
    <w:rsid w:val="002D7C3E"/>
    <w:rsid w:val="002E5026"/>
    <w:rsid w:val="002F04DC"/>
    <w:rsid w:val="002F4EC2"/>
    <w:rsid w:val="003015A5"/>
    <w:rsid w:val="00301C68"/>
    <w:rsid w:val="003020DD"/>
    <w:rsid w:val="003021A7"/>
    <w:rsid w:val="00303553"/>
    <w:rsid w:val="00303917"/>
    <w:rsid w:val="00307B41"/>
    <w:rsid w:val="003101CB"/>
    <w:rsid w:val="00317840"/>
    <w:rsid w:val="0032056A"/>
    <w:rsid w:val="00322BC9"/>
    <w:rsid w:val="00323DC6"/>
    <w:rsid w:val="003245C8"/>
    <w:rsid w:val="003259C2"/>
    <w:rsid w:val="00327DAB"/>
    <w:rsid w:val="00343F97"/>
    <w:rsid w:val="00351351"/>
    <w:rsid w:val="0036731A"/>
    <w:rsid w:val="003725B4"/>
    <w:rsid w:val="00373186"/>
    <w:rsid w:val="00374184"/>
    <w:rsid w:val="0037555E"/>
    <w:rsid w:val="00376EFA"/>
    <w:rsid w:val="00377216"/>
    <w:rsid w:val="00381569"/>
    <w:rsid w:val="00387DD4"/>
    <w:rsid w:val="00391469"/>
    <w:rsid w:val="00395F05"/>
    <w:rsid w:val="003A4703"/>
    <w:rsid w:val="003A5208"/>
    <w:rsid w:val="003B142B"/>
    <w:rsid w:val="003B142D"/>
    <w:rsid w:val="003B3B5F"/>
    <w:rsid w:val="003B3F92"/>
    <w:rsid w:val="003B4990"/>
    <w:rsid w:val="003C4ACE"/>
    <w:rsid w:val="003D0D46"/>
    <w:rsid w:val="003D0DE9"/>
    <w:rsid w:val="003D23F9"/>
    <w:rsid w:val="003D41FA"/>
    <w:rsid w:val="003D5897"/>
    <w:rsid w:val="003D7D3C"/>
    <w:rsid w:val="003E5CE1"/>
    <w:rsid w:val="003E7907"/>
    <w:rsid w:val="003E7E6F"/>
    <w:rsid w:val="00400E35"/>
    <w:rsid w:val="00401B8E"/>
    <w:rsid w:val="004021CD"/>
    <w:rsid w:val="00403EDD"/>
    <w:rsid w:val="00406FD1"/>
    <w:rsid w:val="004144A2"/>
    <w:rsid w:val="00414611"/>
    <w:rsid w:val="004177A3"/>
    <w:rsid w:val="004313E0"/>
    <w:rsid w:val="00434A75"/>
    <w:rsid w:val="00442B17"/>
    <w:rsid w:val="00443B52"/>
    <w:rsid w:val="00444883"/>
    <w:rsid w:val="004504D9"/>
    <w:rsid w:val="00464DF8"/>
    <w:rsid w:val="004654ED"/>
    <w:rsid w:val="00476785"/>
    <w:rsid w:val="00480336"/>
    <w:rsid w:val="0048194B"/>
    <w:rsid w:val="00485844"/>
    <w:rsid w:val="00494154"/>
    <w:rsid w:val="00494665"/>
    <w:rsid w:val="004B2089"/>
    <w:rsid w:val="004B2A0F"/>
    <w:rsid w:val="004B37E5"/>
    <w:rsid w:val="004C2328"/>
    <w:rsid w:val="004C2983"/>
    <w:rsid w:val="004C5C28"/>
    <w:rsid w:val="004C6F5C"/>
    <w:rsid w:val="004D2AC8"/>
    <w:rsid w:val="004E1EB7"/>
    <w:rsid w:val="004E3785"/>
    <w:rsid w:val="004E40AD"/>
    <w:rsid w:val="004E7286"/>
    <w:rsid w:val="004F08F2"/>
    <w:rsid w:val="004F3FF7"/>
    <w:rsid w:val="0050126F"/>
    <w:rsid w:val="005012FC"/>
    <w:rsid w:val="00505040"/>
    <w:rsid w:val="00506566"/>
    <w:rsid w:val="00513B54"/>
    <w:rsid w:val="0051543F"/>
    <w:rsid w:val="00517A28"/>
    <w:rsid w:val="00525DE3"/>
    <w:rsid w:val="00531ADE"/>
    <w:rsid w:val="00532D87"/>
    <w:rsid w:val="00535EDC"/>
    <w:rsid w:val="00536CBE"/>
    <w:rsid w:val="00542713"/>
    <w:rsid w:val="0054643A"/>
    <w:rsid w:val="005505B6"/>
    <w:rsid w:val="00551801"/>
    <w:rsid w:val="005573A0"/>
    <w:rsid w:val="00565FF4"/>
    <w:rsid w:val="0056780E"/>
    <w:rsid w:val="005733E9"/>
    <w:rsid w:val="00580A87"/>
    <w:rsid w:val="00583956"/>
    <w:rsid w:val="00584877"/>
    <w:rsid w:val="00585ED9"/>
    <w:rsid w:val="00586E33"/>
    <w:rsid w:val="00591480"/>
    <w:rsid w:val="00591800"/>
    <w:rsid w:val="0059264B"/>
    <w:rsid w:val="0059791B"/>
    <w:rsid w:val="005A7949"/>
    <w:rsid w:val="005B60E6"/>
    <w:rsid w:val="005C353B"/>
    <w:rsid w:val="005D4BC8"/>
    <w:rsid w:val="005D766A"/>
    <w:rsid w:val="005E4E6E"/>
    <w:rsid w:val="005E7FE0"/>
    <w:rsid w:val="005F7EFF"/>
    <w:rsid w:val="006021A6"/>
    <w:rsid w:val="0060759A"/>
    <w:rsid w:val="00611DB0"/>
    <w:rsid w:val="006162BC"/>
    <w:rsid w:val="00617C53"/>
    <w:rsid w:val="00620778"/>
    <w:rsid w:val="0062625B"/>
    <w:rsid w:val="00633F31"/>
    <w:rsid w:val="00635B15"/>
    <w:rsid w:val="006401FD"/>
    <w:rsid w:val="00653FDD"/>
    <w:rsid w:val="00662142"/>
    <w:rsid w:val="006722EE"/>
    <w:rsid w:val="0067290D"/>
    <w:rsid w:val="00672EF7"/>
    <w:rsid w:val="006776B2"/>
    <w:rsid w:val="0068130F"/>
    <w:rsid w:val="00685B42"/>
    <w:rsid w:val="006935DA"/>
    <w:rsid w:val="00697591"/>
    <w:rsid w:val="006A1A31"/>
    <w:rsid w:val="006A607A"/>
    <w:rsid w:val="006A696D"/>
    <w:rsid w:val="006B62CD"/>
    <w:rsid w:val="006B6D3E"/>
    <w:rsid w:val="006B7633"/>
    <w:rsid w:val="006C7240"/>
    <w:rsid w:val="006C73BA"/>
    <w:rsid w:val="006D01B5"/>
    <w:rsid w:val="006D0DD2"/>
    <w:rsid w:val="006D259A"/>
    <w:rsid w:val="006D265A"/>
    <w:rsid w:val="006D51D7"/>
    <w:rsid w:val="006E1173"/>
    <w:rsid w:val="006E34AC"/>
    <w:rsid w:val="006E40CE"/>
    <w:rsid w:val="006E422E"/>
    <w:rsid w:val="00705427"/>
    <w:rsid w:val="00705838"/>
    <w:rsid w:val="0071380A"/>
    <w:rsid w:val="00715100"/>
    <w:rsid w:val="007161A1"/>
    <w:rsid w:val="00716FD5"/>
    <w:rsid w:val="007432FC"/>
    <w:rsid w:val="00750B19"/>
    <w:rsid w:val="007519AD"/>
    <w:rsid w:val="007538FB"/>
    <w:rsid w:val="00756B77"/>
    <w:rsid w:val="007602B1"/>
    <w:rsid w:val="007605D8"/>
    <w:rsid w:val="0076550D"/>
    <w:rsid w:val="00780756"/>
    <w:rsid w:val="00781638"/>
    <w:rsid w:val="00786DD5"/>
    <w:rsid w:val="00792693"/>
    <w:rsid w:val="00795131"/>
    <w:rsid w:val="007A1F82"/>
    <w:rsid w:val="007B48E5"/>
    <w:rsid w:val="007C75DE"/>
    <w:rsid w:val="007D55FB"/>
    <w:rsid w:val="007E52C1"/>
    <w:rsid w:val="007E619A"/>
    <w:rsid w:val="007F01D3"/>
    <w:rsid w:val="007F144C"/>
    <w:rsid w:val="007F2C48"/>
    <w:rsid w:val="00801F9A"/>
    <w:rsid w:val="00802E8D"/>
    <w:rsid w:val="00803147"/>
    <w:rsid w:val="00803863"/>
    <w:rsid w:val="00810F1C"/>
    <w:rsid w:val="00816A97"/>
    <w:rsid w:val="00822285"/>
    <w:rsid w:val="00822E78"/>
    <w:rsid w:val="00827D56"/>
    <w:rsid w:val="00833146"/>
    <w:rsid w:val="00833B2C"/>
    <w:rsid w:val="00842395"/>
    <w:rsid w:val="00853F5A"/>
    <w:rsid w:val="00860BEC"/>
    <w:rsid w:val="00870D85"/>
    <w:rsid w:val="00876F86"/>
    <w:rsid w:val="00887C19"/>
    <w:rsid w:val="00890241"/>
    <w:rsid w:val="00890614"/>
    <w:rsid w:val="008922B3"/>
    <w:rsid w:val="00893423"/>
    <w:rsid w:val="008943F6"/>
    <w:rsid w:val="008A6494"/>
    <w:rsid w:val="008B4523"/>
    <w:rsid w:val="008B611A"/>
    <w:rsid w:val="008C55F7"/>
    <w:rsid w:val="008C7628"/>
    <w:rsid w:val="008D4E7C"/>
    <w:rsid w:val="008E1F15"/>
    <w:rsid w:val="008E3A90"/>
    <w:rsid w:val="008E7CFF"/>
    <w:rsid w:val="008F655C"/>
    <w:rsid w:val="00903876"/>
    <w:rsid w:val="00906A40"/>
    <w:rsid w:val="009102D0"/>
    <w:rsid w:val="00910E57"/>
    <w:rsid w:val="00910F5B"/>
    <w:rsid w:val="009215F6"/>
    <w:rsid w:val="00924621"/>
    <w:rsid w:val="00924F29"/>
    <w:rsid w:val="00925594"/>
    <w:rsid w:val="009324B6"/>
    <w:rsid w:val="00936EF7"/>
    <w:rsid w:val="00945D29"/>
    <w:rsid w:val="00946622"/>
    <w:rsid w:val="00953841"/>
    <w:rsid w:val="00953C9D"/>
    <w:rsid w:val="00956E3B"/>
    <w:rsid w:val="0095725A"/>
    <w:rsid w:val="009572BA"/>
    <w:rsid w:val="00957467"/>
    <w:rsid w:val="00962822"/>
    <w:rsid w:val="00964025"/>
    <w:rsid w:val="00972D4C"/>
    <w:rsid w:val="00982580"/>
    <w:rsid w:val="00994A8C"/>
    <w:rsid w:val="009A3D73"/>
    <w:rsid w:val="009A6947"/>
    <w:rsid w:val="009A70A8"/>
    <w:rsid w:val="009B1582"/>
    <w:rsid w:val="009B2B0F"/>
    <w:rsid w:val="009B47A1"/>
    <w:rsid w:val="009B58D3"/>
    <w:rsid w:val="009C0BBB"/>
    <w:rsid w:val="009C22E7"/>
    <w:rsid w:val="009C37FF"/>
    <w:rsid w:val="009C5CCD"/>
    <w:rsid w:val="009C62A4"/>
    <w:rsid w:val="009D165D"/>
    <w:rsid w:val="009D225D"/>
    <w:rsid w:val="009D2946"/>
    <w:rsid w:val="009D62F8"/>
    <w:rsid w:val="009D64AA"/>
    <w:rsid w:val="009E1F04"/>
    <w:rsid w:val="009E4E12"/>
    <w:rsid w:val="009F09D8"/>
    <w:rsid w:val="009F59A3"/>
    <w:rsid w:val="009F605D"/>
    <w:rsid w:val="009F67EB"/>
    <w:rsid w:val="00A02F63"/>
    <w:rsid w:val="00A0484B"/>
    <w:rsid w:val="00A05F19"/>
    <w:rsid w:val="00A134CE"/>
    <w:rsid w:val="00A148DC"/>
    <w:rsid w:val="00A21B32"/>
    <w:rsid w:val="00A30837"/>
    <w:rsid w:val="00A336E7"/>
    <w:rsid w:val="00A338B0"/>
    <w:rsid w:val="00A363EF"/>
    <w:rsid w:val="00A41EC2"/>
    <w:rsid w:val="00A44B1F"/>
    <w:rsid w:val="00A507B6"/>
    <w:rsid w:val="00A555C5"/>
    <w:rsid w:val="00A57C96"/>
    <w:rsid w:val="00A64630"/>
    <w:rsid w:val="00A64C1A"/>
    <w:rsid w:val="00A705CB"/>
    <w:rsid w:val="00A7544C"/>
    <w:rsid w:val="00A76246"/>
    <w:rsid w:val="00A80DFC"/>
    <w:rsid w:val="00A8182C"/>
    <w:rsid w:val="00A819B1"/>
    <w:rsid w:val="00A8255B"/>
    <w:rsid w:val="00A84FAB"/>
    <w:rsid w:val="00A86C45"/>
    <w:rsid w:val="00A87DC3"/>
    <w:rsid w:val="00A929D9"/>
    <w:rsid w:val="00A92CFD"/>
    <w:rsid w:val="00A95357"/>
    <w:rsid w:val="00AA50DD"/>
    <w:rsid w:val="00AA6C03"/>
    <w:rsid w:val="00AB69C8"/>
    <w:rsid w:val="00AC4E10"/>
    <w:rsid w:val="00AC6084"/>
    <w:rsid w:val="00AC6BAF"/>
    <w:rsid w:val="00AD0177"/>
    <w:rsid w:val="00AE4A0B"/>
    <w:rsid w:val="00AE5E74"/>
    <w:rsid w:val="00AE7427"/>
    <w:rsid w:val="00AF2708"/>
    <w:rsid w:val="00AF4BB2"/>
    <w:rsid w:val="00B14E38"/>
    <w:rsid w:val="00B2114D"/>
    <w:rsid w:val="00B2563F"/>
    <w:rsid w:val="00B26F14"/>
    <w:rsid w:val="00B340FF"/>
    <w:rsid w:val="00B35937"/>
    <w:rsid w:val="00B36149"/>
    <w:rsid w:val="00B40336"/>
    <w:rsid w:val="00B506A9"/>
    <w:rsid w:val="00B50D69"/>
    <w:rsid w:val="00B53133"/>
    <w:rsid w:val="00B5461F"/>
    <w:rsid w:val="00B54BA9"/>
    <w:rsid w:val="00B577BD"/>
    <w:rsid w:val="00B6189C"/>
    <w:rsid w:val="00B629E0"/>
    <w:rsid w:val="00B64030"/>
    <w:rsid w:val="00B66F32"/>
    <w:rsid w:val="00B73517"/>
    <w:rsid w:val="00B73F3B"/>
    <w:rsid w:val="00B74911"/>
    <w:rsid w:val="00B77172"/>
    <w:rsid w:val="00B846F5"/>
    <w:rsid w:val="00B910D2"/>
    <w:rsid w:val="00BA00C2"/>
    <w:rsid w:val="00BA53A8"/>
    <w:rsid w:val="00BB2E2F"/>
    <w:rsid w:val="00BB6DFC"/>
    <w:rsid w:val="00BC21C1"/>
    <w:rsid w:val="00BC77F3"/>
    <w:rsid w:val="00BD05F4"/>
    <w:rsid w:val="00BD1A93"/>
    <w:rsid w:val="00BD639B"/>
    <w:rsid w:val="00BD7E30"/>
    <w:rsid w:val="00BE0C5B"/>
    <w:rsid w:val="00BE1501"/>
    <w:rsid w:val="00BE5754"/>
    <w:rsid w:val="00BE789D"/>
    <w:rsid w:val="00BE7D97"/>
    <w:rsid w:val="00BF1790"/>
    <w:rsid w:val="00BF4BB2"/>
    <w:rsid w:val="00C100F3"/>
    <w:rsid w:val="00C114F9"/>
    <w:rsid w:val="00C13C79"/>
    <w:rsid w:val="00C15171"/>
    <w:rsid w:val="00C251D7"/>
    <w:rsid w:val="00C25E53"/>
    <w:rsid w:val="00C27440"/>
    <w:rsid w:val="00C2796B"/>
    <w:rsid w:val="00C3566F"/>
    <w:rsid w:val="00C40706"/>
    <w:rsid w:val="00C46EFD"/>
    <w:rsid w:val="00C5191F"/>
    <w:rsid w:val="00C563ED"/>
    <w:rsid w:val="00C60678"/>
    <w:rsid w:val="00C609EF"/>
    <w:rsid w:val="00C71D08"/>
    <w:rsid w:val="00C72CC9"/>
    <w:rsid w:val="00C73E3B"/>
    <w:rsid w:val="00C7620C"/>
    <w:rsid w:val="00C77D32"/>
    <w:rsid w:val="00C84B95"/>
    <w:rsid w:val="00C85CB3"/>
    <w:rsid w:val="00C906EE"/>
    <w:rsid w:val="00C93087"/>
    <w:rsid w:val="00C94E99"/>
    <w:rsid w:val="00C96329"/>
    <w:rsid w:val="00C972BF"/>
    <w:rsid w:val="00C97920"/>
    <w:rsid w:val="00CA39FA"/>
    <w:rsid w:val="00CA54A5"/>
    <w:rsid w:val="00CA6502"/>
    <w:rsid w:val="00CB14CC"/>
    <w:rsid w:val="00CB156F"/>
    <w:rsid w:val="00CB330A"/>
    <w:rsid w:val="00CC2643"/>
    <w:rsid w:val="00CC5414"/>
    <w:rsid w:val="00CC54D3"/>
    <w:rsid w:val="00CC5E84"/>
    <w:rsid w:val="00CD4C88"/>
    <w:rsid w:val="00CD78E0"/>
    <w:rsid w:val="00CE4DB6"/>
    <w:rsid w:val="00CF1725"/>
    <w:rsid w:val="00CF5E08"/>
    <w:rsid w:val="00D006C1"/>
    <w:rsid w:val="00D02F55"/>
    <w:rsid w:val="00D05DDC"/>
    <w:rsid w:val="00D078E8"/>
    <w:rsid w:val="00D12653"/>
    <w:rsid w:val="00D127C5"/>
    <w:rsid w:val="00D12925"/>
    <w:rsid w:val="00D13F09"/>
    <w:rsid w:val="00D14C70"/>
    <w:rsid w:val="00D30A54"/>
    <w:rsid w:val="00D31A54"/>
    <w:rsid w:val="00D31CF4"/>
    <w:rsid w:val="00D37557"/>
    <w:rsid w:val="00D42B37"/>
    <w:rsid w:val="00D443B1"/>
    <w:rsid w:val="00D447BE"/>
    <w:rsid w:val="00D450C2"/>
    <w:rsid w:val="00D5159B"/>
    <w:rsid w:val="00D55D77"/>
    <w:rsid w:val="00D55F34"/>
    <w:rsid w:val="00D565A1"/>
    <w:rsid w:val="00D568D3"/>
    <w:rsid w:val="00D57181"/>
    <w:rsid w:val="00D616BA"/>
    <w:rsid w:val="00D62AAE"/>
    <w:rsid w:val="00D672CD"/>
    <w:rsid w:val="00D71351"/>
    <w:rsid w:val="00D719E5"/>
    <w:rsid w:val="00D735B5"/>
    <w:rsid w:val="00D741E2"/>
    <w:rsid w:val="00D81041"/>
    <w:rsid w:val="00D87141"/>
    <w:rsid w:val="00D95E1B"/>
    <w:rsid w:val="00D962B4"/>
    <w:rsid w:val="00DA0578"/>
    <w:rsid w:val="00DA2373"/>
    <w:rsid w:val="00DA27DA"/>
    <w:rsid w:val="00DB014C"/>
    <w:rsid w:val="00DB419F"/>
    <w:rsid w:val="00DB5E39"/>
    <w:rsid w:val="00DC193E"/>
    <w:rsid w:val="00DC2AEB"/>
    <w:rsid w:val="00DD2767"/>
    <w:rsid w:val="00DD35E3"/>
    <w:rsid w:val="00DD5278"/>
    <w:rsid w:val="00DF4100"/>
    <w:rsid w:val="00DF6600"/>
    <w:rsid w:val="00DF78C4"/>
    <w:rsid w:val="00DF7C20"/>
    <w:rsid w:val="00E004E9"/>
    <w:rsid w:val="00E01273"/>
    <w:rsid w:val="00E016B2"/>
    <w:rsid w:val="00E01EC0"/>
    <w:rsid w:val="00E02FE2"/>
    <w:rsid w:val="00E0589B"/>
    <w:rsid w:val="00E07A7D"/>
    <w:rsid w:val="00E174ED"/>
    <w:rsid w:val="00E17EA5"/>
    <w:rsid w:val="00E262D3"/>
    <w:rsid w:val="00E2671E"/>
    <w:rsid w:val="00E31785"/>
    <w:rsid w:val="00E3382C"/>
    <w:rsid w:val="00E4456D"/>
    <w:rsid w:val="00E46FA7"/>
    <w:rsid w:val="00E51F60"/>
    <w:rsid w:val="00E534BE"/>
    <w:rsid w:val="00E540FF"/>
    <w:rsid w:val="00E56F9D"/>
    <w:rsid w:val="00E62390"/>
    <w:rsid w:val="00E62828"/>
    <w:rsid w:val="00E6487E"/>
    <w:rsid w:val="00E81706"/>
    <w:rsid w:val="00E855A0"/>
    <w:rsid w:val="00E90BC7"/>
    <w:rsid w:val="00EA11DE"/>
    <w:rsid w:val="00EA38F5"/>
    <w:rsid w:val="00EA447A"/>
    <w:rsid w:val="00EB2BE8"/>
    <w:rsid w:val="00EB3DED"/>
    <w:rsid w:val="00EB4872"/>
    <w:rsid w:val="00EB5C3A"/>
    <w:rsid w:val="00EB5C93"/>
    <w:rsid w:val="00EC0FAB"/>
    <w:rsid w:val="00EC2F88"/>
    <w:rsid w:val="00EC63CE"/>
    <w:rsid w:val="00ED1590"/>
    <w:rsid w:val="00ED4C13"/>
    <w:rsid w:val="00EE2EF4"/>
    <w:rsid w:val="00EF2947"/>
    <w:rsid w:val="00EF3E09"/>
    <w:rsid w:val="00F0368E"/>
    <w:rsid w:val="00F04FC5"/>
    <w:rsid w:val="00F14569"/>
    <w:rsid w:val="00F15771"/>
    <w:rsid w:val="00F24ADB"/>
    <w:rsid w:val="00F25FBF"/>
    <w:rsid w:val="00F30EF6"/>
    <w:rsid w:val="00F44451"/>
    <w:rsid w:val="00F450E9"/>
    <w:rsid w:val="00F5394A"/>
    <w:rsid w:val="00F542B4"/>
    <w:rsid w:val="00F60BF0"/>
    <w:rsid w:val="00F65643"/>
    <w:rsid w:val="00F70BBA"/>
    <w:rsid w:val="00F71161"/>
    <w:rsid w:val="00F76E78"/>
    <w:rsid w:val="00F77619"/>
    <w:rsid w:val="00F80835"/>
    <w:rsid w:val="00F84838"/>
    <w:rsid w:val="00F86A25"/>
    <w:rsid w:val="00F905C3"/>
    <w:rsid w:val="00FA0B02"/>
    <w:rsid w:val="00FA439A"/>
    <w:rsid w:val="00FA5559"/>
    <w:rsid w:val="00FA6194"/>
    <w:rsid w:val="00FA7B57"/>
    <w:rsid w:val="00FB0DD2"/>
    <w:rsid w:val="00FB2CA8"/>
    <w:rsid w:val="00FB7DB0"/>
    <w:rsid w:val="00FB7DC2"/>
    <w:rsid w:val="00FC101A"/>
    <w:rsid w:val="00FC6895"/>
    <w:rsid w:val="00FC7A46"/>
    <w:rsid w:val="00FD05EF"/>
    <w:rsid w:val="00FE0FF3"/>
    <w:rsid w:val="00FE2EF2"/>
    <w:rsid w:val="00FE5BF4"/>
    <w:rsid w:val="00FE75AF"/>
    <w:rsid w:val="00FF11F5"/>
    <w:rsid w:val="00FF3D35"/>
    <w:rsid w:val="00FF6D90"/>
    <w:rsid w:val="00FF797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9"/>
      </w:numPr>
      <w:spacing w:before="240" w:after="120"/>
      <w:jc w:val="left"/>
      <w:outlineLvl w:val="0"/>
    </w:pPr>
    <w:rPr>
      <w:rFonts w:eastAsia="等线 Light"/>
      <w:b/>
      <w:bCs/>
      <w:kern w:val="2"/>
      <w:sz w:val="28"/>
      <w:szCs w:val="32"/>
    </w:rPr>
  </w:style>
  <w:style w:type="paragraph" w:styleId="Heading2">
    <w:name w:val="heading 2"/>
    <w:basedOn w:val="Normal"/>
    <w:next w:val="CBDNormalNumber"/>
    <w:uiPriority w:val="99"/>
    <w:qFormat/>
    <w:pPr>
      <w:keepNext/>
      <w:keepLines/>
      <w:numPr>
        <w:ilvl w:val="1"/>
        <w:numId w:val="9"/>
      </w:numPr>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pPr>
      <w:keepNext/>
      <w:keepLines/>
      <w:numPr>
        <w:ilvl w:val="2"/>
        <w:numId w:val="9"/>
      </w:numPr>
      <w:spacing w:before="120" w:after="120"/>
      <w:jc w:val="left"/>
      <w:outlineLvl w:val="2"/>
    </w:pPr>
    <w:rPr>
      <w:rFonts w:eastAsia="等线 Light"/>
      <w:b/>
      <w:bCs/>
    </w:rPr>
  </w:style>
  <w:style w:type="paragraph" w:styleId="Heading4">
    <w:name w:val="heading 4"/>
    <w:basedOn w:val="Normal"/>
    <w:next w:val="CBDNormalNumber"/>
    <w:link w:val="Heading4Char"/>
    <w:uiPriority w:val="99"/>
    <w:qFormat/>
    <w:pPr>
      <w:keepNext/>
      <w:numPr>
        <w:ilvl w:val="3"/>
        <w:numId w:val="9"/>
      </w:numPr>
      <w:spacing w:before="120" w:after="120"/>
      <w:jc w:val="left"/>
      <w:outlineLvl w:val="3"/>
    </w:pPr>
    <w:rPr>
      <w:rFonts w:eastAsia="等线 Light"/>
      <w:b/>
      <w:bCs/>
    </w:rPr>
  </w:style>
  <w:style w:type="paragraph" w:styleId="Heading5">
    <w:name w:val="heading 5"/>
    <w:basedOn w:val="Normal"/>
    <w:next w:val="Normal"/>
    <w:link w:val="Heading5Char"/>
    <w:uiPriority w:val="99"/>
    <w:qFormat/>
    <w:pPr>
      <w:keepNext/>
      <w:numPr>
        <w:ilvl w:val="4"/>
        <w:numId w:val="9"/>
      </w:numPr>
      <w:spacing w:before="120" w:after="120"/>
      <w:jc w:val="left"/>
      <w:outlineLvl w:val="4"/>
    </w:pPr>
    <w:rPr>
      <w:rFonts w:eastAsia="等线 Light"/>
      <w:i/>
      <w:iCs/>
    </w:rPr>
  </w:style>
  <w:style w:type="paragraph" w:styleId="Heading6">
    <w:name w:val="heading 6"/>
    <w:basedOn w:val="Normal"/>
    <w:next w:val="Normal"/>
    <w:link w:val="Heading6Char"/>
    <w:uiPriority w:val="99"/>
    <w:qFormat/>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7"/>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eastAsia="等线 Light"/>
      <w:b/>
      <w:bCs/>
      <w:kern w:val="2"/>
      <w:sz w:val="28"/>
      <w:szCs w:val="32"/>
      <w:lang w:val="en-GB"/>
    </w:rPr>
  </w:style>
  <w:style w:type="character" w:customStyle="1" w:styleId="Heading2Char">
    <w:name w:val="Heading 2 Char"/>
    <w:uiPriority w:val="99"/>
    <w:locked/>
    <w:rPr>
      <w:rFonts w:ascii="Times New Roman Bold" w:eastAsia="等线 Light" w:hAnsi="Times New Roman Bold" w:cs="Times New Roman"/>
      <w:b/>
      <w:sz w:val="26"/>
      <w:szCs w:val="26"/>
      <w:lang w:val="en-GB" w:bidi="ar-SA"/>
    </w:rPr>
  </w:style>
  <w:style w:type="character" w:customStyle="1" w:styleId="Heading3Char">
    <w:name w:val="Heading 3 Char"/>
    <w:link w:val="Heading3"/>
    <w:uiPriority w:val="99"/>
    <w:locked/>
    <w:rPr>
      <w:rFonts w:eastAsia="等线 Light"/>
      <w:b/>
      <w:bCs/>
      <w:sz w:val="22"/>
      <w:szCs w:val="22"/>
      <w:lang w:val="en-GB"/>
    </w:rPr>
  </w:style>
  <w:style w:type="character" w:customStyle="1" w:styleId="Heading4Char">
    <w:name w:val="Heading 4 Char"/>
    <w:link w:val="Heading4"/>
    <w:uiPriority w:val="99"/>
    <w:locked/>
    <w:rPr>
      <w:rFonts w:eastAsia="等线 Light"/>
      <w:b/>
      <w:bCs/>
      <w:sz w:val="22"/>
      <w:szCs w:val="22"/>
      <w:lang w:val="en-GB"/>
    </w:rPr>
  </w:style>
  <w:style w:type="character" w:customStyle="1" w:styleId="Heading5Char">
    <w:name w:val="Heading 5 Char"/>
    <w:link w:val="Heading5"/>
    <w:uiPriority w:val="99"/>
    <w:locked/>
    <w:rPr>
      <w:rFonts w:eastAsia="等线 Light"/>
      <w:i/>
      <w:iCs/>
      <w:sz w:val="22"/>
      <w:szCs w:val="22"/>
      <w:lang w:val="en-GB"/>
    </w:rPr>
  </w:style>
  <w:style w:type="character" w:customStyle="1" w:styleId="Heading6Char">
    <w:name w:val="Heading 6 Char"/>
    <w:link w:val="Heading6"/>
    <w:uiPriority w:val="99"/>
    <w:locked/>
    <w:rPr>
      <w:bCs/>
      <w:sz w:val="24"/>
      <w:szCs w:val="22"/>
      <w:lang w:val="en-GB"/>
    </w:rPr>
  </w:style>
  <w:style w:type="character" w:customStyle="1" w:styleId="Heading7Char">
    <w:name w:val="Heading 7 Char"/>
    <w:link w:val="Heading7"/>
    <w:uiPriority w:val="99"/>
    <w:locked/>
    <w:rPr>
      <w:b/>
      <w:sz w:val="22"/>
      <w:szCs w:val="22"/>
      <w:u w:val="single"/>
      <w:lang w:val="en-GB"/>
    </w:rPr>
  </w:style>
  <w:style w:type="character" w:customStyle="1" w:styleId="Heading8Char">
    <w:name w:val="Heading 8 Char"/>
    <w:link w:val="Heading8"/>
    <w:uiPriority w:val="99"/>
    <w:locked/>
    <w:rPr>
      <w:b/>
      <w:sz w:val="22"/>
      <w:szCs w:val="22"/>
      <w:u w:val="single"/>
      <w:lang w:val="en-GB"/>
    </w:rPr>
  </w:style>
  <w:style w:type="character" w:customStyle="1" w:styleId="Heading9Char">
    <w:name w:val="Heading 9 Char"/>
    <w:link w:val="Heading9"/>
    <w:uiPriority w:val="99"/>
    <w:locked/>
    <w:rPr>
      <w:sz w:val="22"/>
      <w:szCs w:val="22"/>
      <w:u w:val="single"/>
      <w:lang w:val="en-GB"/>
    </w:rPr>
  </w:style>
  <w:style w:type="paragraph" w:styleId="Title">
    <w:name w:val="Title"/>
    <w:basedOn w:val="Normal"/>
    <w:next w:val="Normal"/>
    <w:link w:val="TitleChar"/>
    <w:uiPriority w:val="99"/>
    <w:qFormat/>
    <w:pPr>
      <w:spacing w:after="80"/>
      <w:contextualSpacing/>
    </w:pPr>
    <w:rPr>
      <w:rFonts w:eastAsia="等线 Light"/>
      <w:spacing w:val="-10"/>
      <w:kern w:val="28"/>
      <w:sz w:val="56"/>
      <w:szCs w:val="56"/>
    </w:rPr>
  </w:style>
  <w:style w:type="character" w:customStyle="1" w:styleId="TitleChar">
    <w:name w:val="Title Char"/>
    <w:link w:val="Title"/>
    <w:uiPriority w:val="99"/>
    <w:locked/>
    <w:rPr>
      <w:rFonts w:ascii="Times New Roman" w:eastAsia="等线 Light" w:hAnsi="Times New Roman" w:cs="Times New Roman"/>
      <w:spacing w:val="-10"/>
      <w:kern w:val="28"/>
      <w:sz w:val="56"/>
      <w:szCs w:val="56"/>
      <w:lang w:val="en-GB"/>
    </w:rPr>
  </w:style>
  <w:style w:type="paragraph" w:styleId="Subtitle">
    <w:name w:val="Subtitle"/>
    <w:basedOn w:val="Normal"/>
    <w:next w:val="Normal"/>
    <w:link w:val="SubtitleChar"/>
    <w:uiPriority w:val="99"/>
    <w:qFormat/>
    <w:pPr>
      <w:numPr>
        <w:ilvl w:val="1"/>
      </w:numPr>
    </w:pPr>
    <w:rPr>
      <w:rFonts w:eastAsia="等线 Light"/>
      <w:color w:val="595959"/>
      <w:spacing w:val="15"/>
      <w:sz w:val="28"/>
      <w:szCs w:val="28"/>
    </w:rPr>
  </w:style>
  <w:style w:type="character" w:customStyle="1" w:styleId="SubtitleChar">
    <w:name w:val="Subtitle Char"/>
    <w:link w:val="Subtitle"/>
    <w:uiPriority w:val="99"/>
    <w:locked/>
    <w:rPr>
      <w:rFonts w:ascii="Times New Roman" w:eastAsia="等线 Light" w:hAnsi="Times New Roman" w:cs="Times New Roman"/>
      <w:color w:val="595959"/>
      <w:spacing w:val="15"/>
      <w:kern w:val="0"/>
      <w:sz w:val="28"/>
      <w:szCs w:val="28"/>
      <w:lang w:val="en-GB"/>
    </w:rPr>
  </w:style>
  <w:style w:type="paragraph" w:styleId="Quote">
    <w:name w:val="Quote"/>
    <w:basedOn w:val="Normal"/>
    <w:next w:val="Normal"/>
    <w:link w:val="QuoteChar"/>
    <w:uiPriority w:val="99"/>
    <w:qFormat/>
    <w:pPr>
      <w:spacing w:before="160"/>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kern w:val="0"/>
      <w:sz w:val="22"/>
      <w:szCs w:val="22"/>
      <w:lang w:val="en-GB"/>
    </w:rPr>
  </w:style>
  <w:style w:type="paragraph" w:styleId="ListParagraph">
    <w:name w:val="List Paragraph"/>
    <w:basedOn w:val="Normal"/>
    <w:uiPriority w:val="99"/>
    <w:qFormat/>
    <w:pPr>
      <w:ind w:left="720"/>
      <w:contextualSpacing/>
    </w:pPr>
  </w:style>
  <w:style w:type="character" w:styleId="IntenseEmphasis">
    <w:name w:val="Intense Emphasis"/>
    <w:uiPriority w:val="99"/>
    <w:qFormat/>
    <w:rPr>
      <w:rFonts w:cs="Times New Roman"/>
      <w:i/>
      <w:iCs/>
      <w:color w:val="0F4761"/>
      <w:lang w:val="en-GB"/>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99"/>
    <w:locked/>
    <w:rPr>
      <w:rFonts w:ascii="Times New Roman" w:eastAsia="Times New Roman" w:hAnsi="Times New Roman" w:cs="Times New Roman"/>
      <w:i/>
      <w:iCs/>
      <w:color w:val="0F4761"/>
      <w:kern w:val="0"/>
      <w:sz w:val="22"/>
      <w:szCs w:val="22"/>
      <w:lang w:val="en-GB"/>
    </w:rPr>
  </w:style>
  <w:style w:type="character" w:styleId="IntenseReference">
    <w:name w:val="Intense Reference"/>
    <w:uiPriority w:val="99"/>
    <w:qFormat/>
    <w:rPr>
      <w:rFonts w:cs="Times New Roman"/>
      <w:b/>
      <w:bCs/>
      <w:smallCaps/>
      <w:color w:val="0F4761"/>
      <w:spacing w:val="5"/>
      <w:lang w:val="en-GB"/>
    </w:rPr>
  </w:style>
  <w:style w:type="paragraph" w:styleId="Revision">
    <w:name w:val="Revision"/>
    <w:hidden/>
    <w:uiPriority w:val="99"/>
    <w:semiHidden/>
    <w:rPr>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character" w:styleId="FootnoteReference">
    <w:name w:val="footnote reference"/>
    <w:uiPriority w:val="99"/>
    <w:semiHidden/>
    <w:rPr>
      <w:rFonts w:cs="Times New Roman"/>
      <w:vertAlign w:val="superscript"/>
      <w:lang w:val="en-GB"/>
    </w:rPr>
  </w:style>
  <w:style w:type="paragraph" w:customStyle="1" w:styleId="Footnote">
    <w:name w:val="Footnote"/>
    <w:basedOn w:val="FootnoteText"/>
    <w:uiPriority w:val="99"/>
    <w:semiHidden/>
    <w:rPr>
      <w:szCs w:val="18"/>
    </w:rPr>
  </w:style>
  <w:style w:type="paragraph" w:styleId="Header">
    <w:name w:val="header"/>
    <w:basedOn w:val="Normal"/>
    <w:link w:val="HeaderChar"/>
    <w:uiPriority w:val="99"/>
    <w:semiHidden/>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semiHidden/>
    <w:locked/>
    <w:rPr>
      <w:rFonts w:ascii="Times New Roman" w:eastAsia="Times New Roman" w:hAnsi="Times New Roman" w:cs="Times New Roman"/>
      <w:kern w:val="0"/>
      <w:sz w:val="22"/>
      <w:szCs w:val="22"/>
      <w:lang w:val="en-GB"/>
    </w:rPr>
  </w:style>
  <w:style w:type="paragraph" w:styleId="Footer">
    <w:name w:val="footer"/>
    <w:basedOn w:val="Normal"/>
    <w:link w:val="FooterChar"/>
    <w:uiPriority w:val="99"/>
    <w:semiHidden/>
    <w:pPr>
      <w:tabs>
        <w:tab w:val="center" w:pos="4680"/>
        <w:tab w:val="right" w:pos="9360"/>
      </w:tabs>
    </w:pPr>
    <w:rPr>
      <w:sz w:val="20"/>
    </w:rPr>
  </w:style>
  <w:style w:type="character" w:customStyle="1" w:styleId="FooterChar">
    <w:name w:val="Footer Char"/>
    <w:link w:val="Footer"/>
    <w:uiPriority w:val="99"/>
    <w:semiHidden/>
    <w:locked/>
    <w:rPr>
      <w:rFonts w:ascii="Times New Roman" w:eastAsia="Times New Roman" w:hAnsi="Times New Roman" w:cs="Times New Roman"/>
      <w:kern w:val="0"/>
      <w:sz w:val="22"/>
      <w:szCs w:val="22"/>
      <w:lang w:val="en-GB"/>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tabs>
        <w:tab w:val="left" w:pos="3969"/>
      </w:tabs>
      <w:spacing w:before="120" w:after="120"/>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FootnoteText">
    <w:name w:val="footnote text"/>
    <w:basedOn w:val="Normal"/>
    <w:link w:val="FootnoteTextChar"/>
    <w:uiPriority w:val="99"/>
    <w:semiHidden/>
    <w:pPr>
      <w:jc w:val="left"/>
    </w:pPr>
    <w:rPr>
      <w:sz w:val="18"/>
      <w:szCs w:val="20"/>
    </w:rPr>
  </w:style>
  <w:style w:type="character" w:customStyle="1" w:styleId="FootnoteTextChar">
    <w:name w:val="Footnote Text Char"/>
    <w:link w:val="FootnoteText"/>
    <w:uiPriority w:val="99"/>
    <w:semiHidden/>
    <w:locked/>
    <w:rPr>
      <w:rFonts w:ascii="Times New Roman" w:eastAsia="Times New Roman" w:hAnsi="Times New Roman" w:cs="Times New Roman"/>
      <w:kern w:val="0"/>
      <w:sz w:val="20"/>
      <w:szCs w:val="20"/>
      <w:lang w:val="en-GB"/>
    </w:rPr>
  </w:style>
  <w:style w:type="paragraph" w:styleId="BodyText">
    <w:name w:val="Body Text"/>
    <w:basedOn w:val="Normal"/>
    <w:link w:val="BodyTextChar"/>
    <w:uiPriority w:val="99"/>
    <w:semiHidden/>
    <w:pPr>
      <w:spacing w:after="120" w:line="259" w:lineRule="auto"/>
      <w:jc w:val="left"/>
    </w:pPr>
    <w:rPr>
      <w:kern w:val="2"/>
    </w:rPr>
  </w:style>
  <w:style w:type="character" w:customStyle="1" w:styleId="BodyTextChar">
    <w:name w:val="Body Text Char"/>
    <w:link w:val="BodyText"/>
    <w:uiPriority w:val="99"/>
    <w:semiHidden/>
    <w:locked/>
    <w:rPr>
      <w:rFonts w:eastAsia="宋体" w:cs="Times New Roman"/>
      <w:b/>
      <w:snapToGrid w:val="0"/>
      <w:sz w:val="22"/>
      <w:szCs w:val="22"/>
      <w:u w:val="single"/>
      <w:lang w:val="en-GB" w:bidi="ar-SA"/>
    </w:rPr>
  </w:style>
  <w:style w:type="character" w:styleId="CommentReference">
    <w:name w:val="annotation reference"/>
    <w:uiPriority w:val="99"/>
    <w:semiHidden/>
    <w:locked/>
    <w:rPr>
      <w:rFonts w:eastAsia="等线 Light" w:cs="Times New Roman"/>
      <w:b/>
      <w:bCs/>
      <w:snapToGrid w:val="0"/>
      <w:kern w:val="2"/>
      <w:sz w:val="32"/>
      <w:szCs w:val="32"/>
      <w:lang w:val="en-GB" w:bidi="ar-SA"/>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kern w:val="0"/>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uiPriority w:val="99"/>
    <w:rPr>
      <w:rFonts w:ascii="Times New Roman" w:hAnsi="Times New Roman" w:cs="Times New Roman"/>
      <w:color w:val="467886"/>
      <w:u w:val="single"/>
      <w:lang w:val="en-GB"/>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kern w:val="0"/>
      <w:sz w:val="18"/>
      <w:szCs w:val="18"/>
      <w:lang w:val="en-G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156082"/>
        <w:left w:val="single" w:sz="2" w:space="10" w:color="156082"/>
        <w:bottom w:val="single" w:sz="2" w:space="10" w:color="156082"/>
        <w:right w:val="single" w:sz="2" w:space="10" w:color="156082"/>
      </w:pBdr>
      <w:ind w:left="1152" w:right="1152"/>
    </w:pPr>
    <w:rPr>
      <w:rFonts w:eastAsia="等线"/>
      <w:i/>
      <w:iCs/>
      <w:color w:val="156082"/>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kern w:val="0"/>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kern w:val="0"/>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b/>
      <w:snapToGrid w:val="0"/>
      <w:kern w:val="0"/>
      <w:sz w:val="22"/>
      <w:szCs w:val="22"/>
      <w:u w:val="single"/>
      <w:lang w:val="en-GB" w:bidi="ar-SA"/>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ascii="Times New Roman" w:eastAsia="Times New Roma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pPr>
      <w:spacing w:after="0"/>
      <w:ind w:left="360"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kern w:val="0"/>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kern w:val="0"/>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kern w:val="0"/>
      <w:sz w:val="16"/>
      <w:szCs w:val="16"/>
      <w:lang w:val="en-GB"/>
    </w:rPr>
  </w:style>
  <w:style w:type="character" w:styleId="BookTitle">
    <w:name w:val="Book Title"/>
    <w:uiPriority w:val="99"/>
    <w:qFormat/>
    <w:rPr>
      <w:rFonts w:cs="Times New Roman"/>
      <w:b/>
      <w:bCs/>
      <w:i/>
      <w:iCs/>
      <w:spacing w:val="5"/>
      <w:lang w:val="en-GB"/>
    </w:rPr>
  </w:style>
  <w:style w:type="paragraph" w:styleId="Caption">
    <w:name w:val="caption"/>
    <w:basedOn w:val="Normal"/>
    <w:next w:val="Normal"/>
    <w:uiPriority w:val="99"/>
    <w:qFormat/>
    <w:pPr>
      <w:spacing w:after="200"/>
    </w:pPr>
    <w:rPr>
      <w:i/>
      <w:iCs/>
      <w:color w:val="0E2841"/>
      <w:sz w:val="18"/>
      <w:szCs w:val="18"/>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kern w:val="0"/>
      <w:sz w:val="22"/>
      <w:szCs w:val="22"/>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C1E4F5"/>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AE2D5"/>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C1F0C7"/>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CAEDFB"/>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F2CEED"/>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D9F2D0"/>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0F2FA"/>
    </w:tcPr>
  </w:style>
  <w:style w:type="table" w:styleId="ColorfulList-Accent2">
    <w:name w:val="Colorful List Accent 2"/>
    <w:basedOn w:val="TableNormal"/>
    <w:uiPriority w:val="99"/>
    <w:semiHidden/>
    <w:rPr>
      <w:color w:val="000000"/>
    </w:rPr>
    <w:tblPr/>
    <w:tcPr>
      <w:shd w:val="clear" w:color="auto" w:fill="FCF0EA"/>
    </w:tcPr>
  </w:style>
  <w:style w:type="table" w:styleId="ColorfulList-Accent3">
    <w:name w:val="Colorful List Accent 3"/>
    <w:basedOn w:val="TableNormal"/>
    <w:uiPriority w:val="99"/>
    <w:semiHidden/>
    <w:rPr>
      <w:color w:val="000000"/>
    </w:rPr>
    <w:tblPr/>
    <w:tcPr>
      <w:shd w:val="clear" w:color="auto" w:fill="E0F8E3"/>
    </w:tcPr>
  </w:style>
  <w:style w:type="table" w:styleId="ColorfulList-Accent4">
    <w:name w:val="Colorful List Accent 4"/>
    <w:basedOn w:val="TableNormal"/>
    <w:uiPriority w:val="99"/>
    <w:semiHidden/>
    <w:rPr>
      <w:color w:val="000000"/>
    </w:rPr>
    <w:tblPr/>
    <w:tcPr>
      <w:shd w:val="clear" w:color="auto" w:fill="E5F6FD"/>
    </w:tcPr>
  </w:style>
  <w:style w:type="table" w:styleId="ColorfulList-Accent5">
    <w:name w:val="Colorful List Accent 5"/>
    <w:basedOn w:val="TableNormal"/>
    <w:uiPriority w:val="99"/>
    <w:semiHidden/>
    <w:rPr>
      <w:color w:val="000000"/>
    </w:rPr>
    <w:tblPr/>
    <w:tcPr>
      <w:shd w:val="clear" w:color="auto" w:fill="F8E7F6"/>
    </w:tcPr>
  </w:style>
  <w:style w:type="table" w:styleId="ColorfulList-Accent6">
    <w:name w:val="Colorful List Accent 6"/>
    <w:basedOn w:val="TableNormal"/>
    <w:uiPriority w:val="99"/>
    <w:semiHidden/>
    <w:rPr>
      <w:color w:val="000000"/>
    </w:rPr>
    <w:tblPr/>
    <w:tcPr>
      <w:shd w:val="clear" w:color="auto" w:fill="ECF8E8"/>
    </w:tcPr>
  </w:style>
  <w:style w:type="table" w:styleId="ColorfulShading">
    <w:name w:val="Colorful Shading"/>
    <w:basedOn w:val="TableNormal"/>
    <w:uiPriority w:val="99"/>
    <w:semiHidden/>
    <w:rPr>
      <w:color w:val="000000"/>
    </w:rPr>
    <w:tblPr>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style>
  <w:style w:type="table" w:styleId="ColorfulShading-Accent2">
    <w:name w:val="Colorful Shading Accent 2"/>
    <w:basedOn w:val="TableNormal"/>
    <w:uiPriority w:val="99"/>
    <w:semiHidden/>
    <w:rPr>
      <w:color w:val="000000"/>
    </w:rPr>
    <w:tblPr>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style>
  <w:style w:type="table" w:styleId="ColorfulShading-Accent3">
    <w:name w:val="Colorful Shading Accent 3"/>
    <w:basedOn w:val="TableNormal"/>
    <w:uiPriority w:val="99"/>
    <w:semiHidden/>
    <w:rPr>
      <w:color w:val="000000"/>
    </w:rPr>
    <w:tblPr>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style>
  <w:style w:type="table" w:styleId="ColorfulShading-Accent4">
    <w:name w:val="Colorful Shading Accent 4"/>
    <w:basedOn w:val="TableNormal"/>
    <w:uiPriority w:val="99"/>
    <w:semiHidden/>
    <w:rPr>
      <w:color w:val="000000"/>
    </w:rPr>
    <w:tblPr>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style>
  <w:style w:type="table" w:styleId="ColorfulShading-Accent5">
    <w:name w:val="Colorful Shading Accent 5"/>
    <w:basedOn w:val="TableNormal"/>
    <w:uiPriority w:val="99"/>
    <w:semiHidden/>
    <w:rPr>
      <w:color w:val="000000"/>
    </w:rPr>
    <w:tblPr>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style>
  <w:style w:type="table" w:styleId="ColorfulShading-Accent6">
    <w:name w:val="Colorful Shading Accent 6"/>
    <w:basedOn w:val="TableNormal"/>
    <w:uiPriority w:val="99"/>
    <w:semiHidden/>
    <w:rPr>
      <w:color w:val="000000"/>
    </w:rPr>
    <w:tblPr>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156082"/>
    </w:tcPr>
  </w:style>
  <w:style w:type="table" w:styleId="DarkList-Accent2">
    <w:name w:val="Dark List Accent 2"/>
    <w:basedOn w:val="TableNormal"/>
    <w:uiPriority w:val="99"/>
    <w:semiHidden/>
    <w:rPr>
      <w:color w:val="FFFFFF"/>
    </w:rPr>
    <w:tblPr/>
    <w:tcPr>
      <w:shd w:val="clear" w:color="auto" w:fill="E97132"/>
    </w:tcPr>
  </w:style>
  <w:style w:type="table" w:styleId="DarkList-Accent3">
    <w:name w:val="Dark List Accent 3"/>
    <w:basedOn w:val="TableNormal"/>
    <w:uiPriority w:val="99"/>
    <w:semiHidden/>
    <w:rPr>
      <w:color w:val="FFFFFF"/>
    </w:rPr>
    <w:tblPr/>
    <w:tcPr>
      <w:shd w:val="clear" w:color="auto" w:fill="196B24"/>
    </w:tcPr>
  </w:style>
  <w:style w:type="table" w:styleId="DarkList-Accent4">
    <w:name w:val="Dark List Accent 4"/>
    <w:basedOn w:val="TableNormal"/>
    <w:uiPriority w:val="99"/>
    <w:semiHidden/>
    <w:rPr>
      <w:color w:val="FFFFFF"/>
    </w:rPr>
    <w:tblPr/>
    <w:tcPr>
      <w:shd w:val="clear" w:color="auto" w:fill="0F9ED5"/>
    </w:tcPr>
  </w:style>
  <w:style w:type="table" w:styleId="DarkList-Accent5">
    <w:name w:val="Dark List Accent 5"/>
    <w:basedOn w:val="TableNormal"/>
    <w:uiPriority w:val="99"/>
    <w:semiHidden/>
    <w:rPr>
      <w:color w:val="FFFFFF"/>
    </w:rPr>
    <w:tblPr/>
    <w:tcPr>
      <w:shd w:val="clear" w:color="auto" w:fill="A02B93"/>
    </w:tcPr>
  </w:style>
  <w:style w:type="table" w:styleId="DarkList-Accent6">
    <w:name w:val="Dark List Accent 6"/>
    <w:basedOn w:val="TableNormal"/>
    <w:uiPriority w:val="99"/>
    <w:semiHidden/>
    <w:rPr>
      <w:color w:val="FFFFFF"/>
    </w:rPr>
    <w:tblPr/>
    <w:tcPr>
      <w:shd w:val="clear" w:color="auto" w:fill="4EA72E"/>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kern w:val="0"/>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kern w:val="0"/>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kern w:val="0"/>
      <w:sz w:val="22"/>
      <w:szCs w:val="22"/>
      <w:lang w:val="en-GB"/>
    </w:rPr>
  </w:style>
  <w:style w:type="character" w:styleId="Emphasis">
    <w:name w:val="Emphasis"/>
    <w:uiPriority w:val="99"/>
    <w:qFormat/>
    <w:rPr>
      <w:rFonts w:cs="Times New Roman"/>
      <w:i/>
      <w:iCs/>
      <w:lang w:val="en-GB"/>
    </w:rPr>
  </w:style>
  <w:style w:type="character" w:styleId="EndnoteReference">
    <w:name w:val="endnote reference"/>
    <w:uiPriority w:val="99"/>
    <w:semiHidden/>
    <w:locked/>
    <w:rPr>
      <w:rFonts w:ascii="Times New Roman Bold" w:eastAsia="等线 Light" w:hAnsi="Times New Roman Bold" w:cs="Times New Roman"/>
      <w:b/>
      <w:snapToGrid w:val="0"/>
      <w:sz w:val="26"/>
      <w:szCs w:val="26"/>
      <w:lang w:val="en-GB" w:bidi="ar-SA"/>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link w:val="EndnoteText"/>
    <w:uiPriority w:val="99"/>
    <w:semiHidden/>
    <w:locked/>
    <w:rPr>
      <w:rFonts w:ascii="Times New Roman" w:eastAsia="Times New Roman" w:hAnsi="Times New Roman" w:cs="Times New Roman"/>
      <w:kern w:val="0"/>
      <w:sz w:val="20"/>
      <w:szCs w:val="20"/>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rFonts w:eastAsia="等线 Light"/>
      <w:sz w:val="24"/>
      <w:szCs w:val="24"/>
    </w:rPr>
  </w:style>
  <w:style w:type="paragraph" w:styleId="EnvelopeReturn">
    <w:name w:val="envelope return"/>
    <w:basedOn w:val="Normal"/>
    <w:uiPriority w:val="99"/>
    <w:semiHidden/>
    <w:rPr>
      <w:rFonts w:eastAsia="等线 Light"/>
      <w:sz w:val="20"/>
      <w:szCs w:val="20"/>
    </w:rPr>
  </w:style>
  <w:style w:type="character" w:styleId="FollowedHyperlink">
    <w:name w:val="FollowedHyperlink"/>
    <w:uiPriority w:val="99"/>
    <w:semiHidden/>
    <w:locked/>
    <w:rPr>
      <w:rFonts w:eastAsia="等线 Light" w:cs="Times New Roman"/>
      <w:b/>
      <w:bCs/>
      <w:snapToGrid w:val="0"/>
      <w:sz w:val="22"/>
      <w:szCs w:val="22"/>
      <w:lang w:val="en-GB" w:bidi="ar-SA"/>
    </w:rPr>
  </w:style>
  <w:style w:type="table" w:customStyle="1" w:styleId="GridTable1Light">
    <w:name w:val="Grid Table 1 Light"/>
    <w:uiPriority w:val="99"/>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tblPr>
      <w:tblInd w:w="0" w:type="dxa"/>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CellMar>
        <w:top w:w="0" w:type="dxa"/>
        <w:left w:w="108" w:type="dxa"/>
        <w:bottom w:w="0" w:type="dxa"/>
        <w:right w:w="108" w:type="dxa"/>
      </w:tblCellMar>
    </w:tblPr>
  </w:style>
  <w:style w:type="table" w:customStyle="1" w:styleId="GridTable1LightAccent2">
    <w:name w:val="Grid Table 1 Light Accent 2"/>
    <w:uiPriority w:val="99"/>
    <w:tblPr>
      <w:tblInd w:w="0" w:type="dxa"/>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CellMar>
        <w:top w:w="0" w:type="dxa"/>
        <w:left w:w="108" w:type="dxa"/>
        <w:bottom w:w="0" w:type="dxa"/>
        <w:right w:w="108" w:type="dxa"/>
      </w:tblCellMar>
    </w:tblPr>
  </w:style>
  <w:style w:type="table" w:customStyle="1" w:styleId="GridTable1LightAccent3">
    <w:name w:val="Grid Table 1 Light Accent 3"/>
    <w:uiPriority w:val="99"/>
    <w:tblPr>
      <w:tblInd w:w="0" w:type="dxa"/>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CellMar>
        <w:top w:w="0" w:type="dxa"/>
        <w:left w:w="108" w:type="dxa"/>
        <w:bottom w:w="0" w:type="dxa"/>
        <w:right w:w="108" w:type="dxa"/>
      </w:tblCellMar>
    </w:tblPr>
  </w:style>
  <w:style w:type="table" w:customStyle="1" w:styleId="GridTable1LightAccent4">
    <w:name w:val="Grid Table 1 Light Accent 4"/>
    <w:uiPriority w:val="99"/>
    <w:tblPr>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CellMar>
        <w:top w:w="0" w:type="dxa"/>
        <w:left w:w="108" w:type="dxa"/>
        <w:bottom w:w="0" w:type="dxa"/>
        <w:right w:w="108" w:type="dxa"/>
      </w:tblCellMar>
    </w:tblPr>
  </w:style>
  <w:style w:type="table" w:customStyle="1" w:styleId="GridTable1LightAccent5">
    <w:name w:val="Grid Table 1 Light Accent 5"/>
    <w:uiPriority w:val="99"/>
    <w:tblPr>
      <w:tblInd w:w="0" w:type="dxa"/>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CellMar>
        <w:top w:w="0" w:type="dxa"/>
        <w:left w:w="108" w:type="dxa"/>
        <w:bottom w:w="0" w:type="dxa"/>
        <w:right w:w="108" w:type="dxa"/>
      </w:tblCellMar>
    </w:tblPr>
  </w:style>
  <w:style w:type="table" w:customStyle="1" w:styleId="GridTable1LightAccent6">
    <w:name w:val="Grid Table 1 Light Accent 6"/>
    <w:uiPriority w:val="99"/>
    <w:tblPr>
      <w:tblInd w:w="0" w:type="dxa"/>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CellMar>
        <w:top w:w="0" w:type="dxa"/>
        <w:left w:w="108" w:type="dxa"/>
        <w:bottom w:w="0" w:type="dxa"/>
        <w:right w:w="108" w:type="dxa"/>
      </w:tblCellMar>
    </w:tblPr>
  </w:style>
  <w:style w:type="table" w:customStyle="1" w:styleId="GridTable2">
    <w:name w:val="Grid Table 2"/>
    <w:uiPriority w:val="99"/>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tblPr>
      <w:tblInd w:w="0" w:type="dxa"/>
      <w:tblBorders>
        <w:top w:val="single" w:sz="2" w:space="0" w:color="45B0E1"/>
        <w:bottom w:val="single" w:sz="2" w:space="0" w:color="45B0E1"/>
        <w:insideH w:val="single" w:sz="2" w:space="0" w:color="45B0E1"/>
        <w:insideV w:val="single" w:sz="2" w:space="0" w:color="45B0E1"/>
      </w:tblBorders>
      <w:tblCellMar>
        <w:top w:w="0" w:type="dxa"/>
        <w:left w:w="108" w:type="dxa"/>
        <w:bottom w:w="0" w:type="dxa"/>
        <w:right w:w="108" w:type="dxa"/>
      </w:tblCellMar>
    </w:tblPr>
  </w:style>
  <w:style w:type="table" w:customStyle="1" w:styleId="GridTable2Accent2">
    <w:name w:val="Grid Table 2 Accent 2"/>
    <w:uiPriority w:val="99"/>
    <w:tblPr>
      <w:tblInd w:w="0" w:type="dxa"/>
      <w:tblBorders>
        <w:top w:val="single" w:sz="2" w:space="0" w:color="F1A983"/>
        <w:bottom w:val="single" w:sz="2" w:space="0" w:color="F1A983"/>
        <w:insideH w:val="single" w:sz="2" w:space="0" w:color="F1A983"/>
        <w:insideV w:val="single" w:sz="2" w:space="0" w:color="F1A983"/>
      </w:tblBorders>
      <w:tblCellMar>
        <w:top w:w="0" w:type="dxa"/>
        <w:left w:w="108" w:type="dxa"/>
        <w:bottom w:w="0" w:type="dxa"/>
        <w:right w:w="108" w:type="dxa"/>
      </w:tblCellMar>
    </w:tblPr>
  </w:style>
  <w:style w:type="table" w:customStyle="1" w:styleId="GridTable2Accent3">
    <w:name w:val="Grid Table 2 Accent 3"/>
    <w:uiPriority w:val="99"/>
    <w:tblPr>
      <w:tblInd w:w="0" w:type="dxa"/>
      <w:tblBorders>
        <w:top w:val="single" w:sz="2" w:space="0" w:color="47D459"/>
        <w:bottom w:val="single" w:sz="2" w:space="0" w:color="47D459"/>
        <w:insideH w:val="single" w:sz="2" w:space="0" w:color="47D459"/>
        <w:insideV w:val="single" w:sz="2" w:space="0" w:color="47D459"/>
      </w:tblBorders>
      <w:tblCellMar>
        <w:top w:w="0" w:type="dxa"/>
        <w:left w:w="108" w:type="dxa"/>
        <w:bottom w:w="0" w:type="dxa"/>
        <w:right w:w="108" w:type="dxa"/>
      </w:tblCellMar>
    </w:tblPr>
  </w:style>
  <w:style w:type="table" w:customStyle="1" w:styleId="GridTable2Accent4">
    <w:name w:val="Grid Table 2 Accent 4"/>
    <w:uiPriority w:val="99"/>
    <w:tblPr>
      <w:tblInd w:w="0" w:type="dxa"/>
      <w:tblBorders>
        <w:top w:val="single" w:sz="2" w:space="0" w:color="60CAF3"/>
        <w:bottom w:val="single" w:sz="2" w:space="0" w:color="60CAF3"/>
        <w:insideH w:val="single" w:sz="2" w:space="0" w:color="60CAF3"/>
        <w:insideV w:val="single" w:sz="2" w:space="0" w:color="60CAF3"/>
      </w:tblBorders>
      <w:tblCellMar>
        <w:top w:w="0" w:type="dxa"/>
        <w:left w:w="108" w:type="dxa"/>
        <w:bottom w:w="0" w:type="dxa"/>
        <w:right w:w="108" w:type="dxa"/>
      </w:tblCellMar>
    </w:tblPr>
  </w:style>
  <w:style w:type="table" w:customStyle="1" w:styleId="GridTable2Accent5">
    <w:name w:val="Grid Table 2 Accent 5"/>
    <w:uiPriority w:val="99"/>
    <w:tblPr>
      <w:tblInd w:w="0" w:type="dxa"/>
      <w:tblBorders>
        <w:top w:val="single" w:sz="2" w:space="0" w:color="D86DCB"/>
        <w:bottom w:val="single" w:sz="2" w:space="0" w:color="D86DCB"/>
        <w:insideH w:val="single" w:sz="2" w:space="0" w:color="D86DCB"/>
        <w:insideV w:val="single" w:sz="2" w:space="0" w:color="D86DCB"/>
      </w:tblBorders>
      <w:tblCellMar>
        <w:top w:w="0" w:type="dxa"/>
        <w:left w:w="108" w:type="dxa"/>
        <w:bottom w:w="0" w:type="dxa"/>
        <w:right w:w="108" w:type="dxa"/>
      </w:tblCellMar>
    </w:tblPr>
  </w:style>
  <w:style w:type="table" w:customStyle="1" w:styleId="GridTable2Accent6">
    <w:name w:val="Grid Table 2 Accent 6"/>
    <w:uiPriority w:val="99"/>
    <w:tblPr>
      <w:tblInd w:w="0" w:type="dxa"/>
      <w:tblBorders>
        <w:top w:val="single" w:sz="2" w:space="0" w:color="8DD873"/>
        <w:bottom w:val="single" w:sz="2" w:space="0" w:color="8DD873"/>
        <w:insideH w:val="single" w:sz="2" w:space="0" w:color="8DD873"/>
        <w:insideV w:val="single" w:sz="2" w:space="0" w:color="8DD873"/>
      </w:tblBorders>
      <w:tblCellMar>
        <w:top w:w="0" w:type="dxa"/>
        <w:left w:w="108" w:type="dxa"/>
        <w:bottom w:w="0" w:type="dxa"/>
        <w:right w:w="108" w:type="dxa"/>
      </w:tblCellMar>
    </w:tblPr>
  </w:style>
  <w:style w:type="table" w:customStyle="1" w:styleId="GridTable3">
    <w:name w:val="Grid Table 3"/>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3Accent2">
    <w:name w:val="Grid Table 3 Accent 2"/>
    <w:uiPriority w:val="99"/>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3Accent3">
    <w:name w:val="Grid Table 3 Accent 3"/>
    <w:uiPriority w:val="99"/>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3Accent4">
    <w:name w:val="Grid Table 3 Accent 4"/>
    <w:uiPriority w:val="99"/>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3Accent5">
    <w:name w:val="Grid Table 3 Accent 5"/>
    <w:uiPriority w:val="99"/>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3Accent6">
    <w:name w:val="Grid Table 3 Accent 6"/>
    <w:uiPriority w:val="99"/>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4">
    <w:name w:val="Grid Table 4"/>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4Accent2">
    <w:name w:val="Grid Table 4 Accent 2"/>
    <w:uiPriority w:val="99"/>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4Accent3">
    <w:name w:val="Grid Table 4 Accent 3"/>
    <w:uiPriority w:val="99"/>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4Accent4">
    <w:name w:val="Grid Table 4 Accent 4"/>
    <w:uiPriority w:val="99"/>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4Accent5">
    <w:name w:val="Grid Table 4 Accent 5"/>
    <w:uiPriority w:val="99"/>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4Accent6">
    <w:name w:val="Grid Table 4 Accent 6"/>
    <w:uiPriority w:val="99"/>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5Dark">
    <w:name w:val="Grid Table 5 Dark"/>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E4F5"/>
    </w:tcPr>
  </w:style>
  <w:style w:type="table" w:customStyle="1" w:styleId="GridTable5DarkAccent2">
    <w:name w:val="Grid Table 5 Dark Accent 2"/>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AE2D5"/>
    </w:tcPr>
  </w:style>
  <w:style w:type="table" w:customStyle="1" w:styleId="GridTable5DarkAccent3">
    <w:name w:val="Grid Table 5 Dark Accent 3"/>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1F0C7"/>
    </w:tcPr>
  </w:style>
  <w:style w:type="table" w:customStyle="1" w:styleId="GridTable5DarkAccent4">
    <w:name w:val="Grid Table 5 Dark Accent 4"/>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AEDFB"/>
    </w:tcPr>
  </w:style>
  <w:style w:type="table" w:customStyle="1" w:styleId="GridTable5DarkAccent5">
    <w:name w:val="Grid Table 5 Dark Accent 5"/>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CEED"/>
    </w:tcPr>
  </w:style>
  <w:style w:type="table" w:customStyle="1" w:styleId="GridTable5DarkAccent6">
    <w:name w:val="Grid Table 5 Dark Accent 6"/>
    <w:uiPriority w:val="99"/>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F2D0"/>
    </w:tcPr>
  </w:style>
  <w:style w:type="table" w:customStyle="1" w:styleId="GridTable6Colorful">
    <w:name w:val="Grid Table 6 Colorful"/>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Pr>
      <w:color w:val="0F4761"/>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6ColorfulAccent2">
    <w:name w:val="Grid Table 6 Colorful Accent 2"/>
    <w:uiPriority w:val="99"/>
    <w:rPr>
      <w:color w:val="BF4E14"/>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6ColorfulAccent3">
    <w:name w:val="Grid Table 6 Colorful Accent 3"/>
    <w:uiPriority w:val="99"/>
    <w:rPr>
      <w:color w:val="124F1A"/>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6ColorfulAccent4">
    <w:name w:val="Grid Table 6 Colorful Accent 4"/>
    <w:uiPriority w:val="99"/>
    <w:rPr>
      <w:color w:val="0B769F"/>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6ColorfulAccent5">
    <w:name w:val="Grid Table 6 Colorful Accent 5"/>
    <w:uiPriority w:val="99"/>
    <w:rPr>
      <w:color w:val="77206D"/>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6ColorfulAccent6">
    <w:name w:val="Grid Table 6 Colorful Accent 6"/>
    <w:uiPriority w:val="99"/>
    <w:rPr>
      <w:color w:val="3A7C22"/>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table" w:customStyle="1" w:styleId="GridTable7Colorful">
    <w:name w:val="Grid Table 7 Colorful"/>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Pr>
      <w:color w:val="0F4761"/>
    </w:rPr>
    <w:tblPr>
      <w:tblInd w:w="0" w:type="dxa"/>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CellMar>
        <w:top w:w="0" w:type="dxa"/>
        <w:left w:w="108" w:type="dxa"/>
        <w:bottom w:w="0" w:type="dxa"/>
        <w:right w:w="108" w:type="dxa"/>
      </w:tblCellMar>
    </w:tblPr>
  </w:style>
  <w:style w:type="table" w:customStyle="1" w:styleId="GridTable7ColorfulAccent2">
    <w:name w:val="Grid Table 7 Colorful Accent 2"/>
    <w:uiPriority w:val="99"/>
    <w:rPr>
      <w:color w:val="BF4E14"/>
    </w:rPr>
    <w:tblPr>
      <w:tblInd w:w="0" w:type="dxa"/>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CellMar>
        <w:top w:w="0" w:type="dxa"/>
        <w:left w:w="108" w:type="dxa"/>
        <w:bottom w:w="0" w:type="dxa"/>
        <w:right w:w="108" w:type="dxa"/>
      </w:tblCellMar>
    </w:tblPr>
  </w:style>
  <w:style w:type="table" w:customStyle="1" w:styleId="GridTable7ColorfulAccent3">
    <w:name w:val="Grid Table 7 Colorful Accent 3"/>
    <w:uiPriority w:val="99"/>
    <w:rPr>
      <w:color w:val="124F1A"/>
    </w:rPr>
    <w:tblPr>
      <w:tblInd w:w="0" w:type="dxa"/>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CellMar>
        <w:top w:w="0" w:type="dxa"/>
        <w:left w:w="108" w:type="dxa"/>
        <w:bottom w:w="0" w:type="dxa"/>
        <w:right w:w="108" w:type="dxa"/>
      </w:tblCellMar>
    </w:tblPr>
  </w:style>
  <w:style w:type="table" w:customStyle="1" w:styleId="GridTable7ColorfulAccent4">
    <w:name w:val="Grid Table 7 Colorful Accent 4"/>
    <w:uiPriority w:val="99"/>
    <w:rPr>
      <w:color w:val="0B769F"/>
    </w:rPr>
    <w:tblPr>
      <w:tblInd w:w="0" w:type="dxa"/>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CellMar>
        <w:top w:w="0" w:type="dxa"/>
        <w:left w:w="108" w:type="dxa"/>
        <w:bottom w:w="0" w:type="dxa"/>
        <w:right w:w="108" w:type="dxa"/>
      </w:tblCellMar>
    </w:tblPr>
  </w:style>
  <w:style w:type="table" w:customStyle="1" w:styleId="GridTable7ColorfulAccent5">
    <w:name w:val="Grid Table 7 Colorful Accent 5"/>
    <w:uiPriority w:val="99"/>
    <w:rPr>
      <w:color w:val="77206D"/>
    </w:rPr>
    <w:tblPr>
      <w:tblInd w:w="0" w:type="dxa"/>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CellMar>
        <w:top w:w="0" w:type="dxa"/>
        <w:left w:w="108" w:type="dxa"/>
        <w:bottom w:w="0" w:type="dxa"/>
        <w:right w:w="108" w:type="dxa"/>
      </w:tblCellMar>
    </w:tblPr>
  </w:style>
  <w:style w:type="table" w:customStyle="1" w:styleId="GridTable7ColorfulAccent6">
    <w:name w:val="Grid Table 7 Colorful Accent 6"/>
    <w:uiPriority w:val="99"/>
    <w:rPr>
      <w:color w:val="3A7C22"/>
    </w:rPr>
    <w:tblPr>
      <w:tblInd w:w="0" w:type="dxa"/>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kern w:val="0"/>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kern w:val="0"/>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rFonts w:eastAsia="等线 Light"/>
      <w:b/>
      <w:bCs/>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style>
  <w:style w:type="table" w:styleId="LightGrid-Accent2">
    <w:name w:val="Light Grid Accent 2"/>
    <w:basedOn w:val="TableNormal"/>
    <w:uiPriority w:val="99"/>
    <w:semiHidden/>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style>
  <w:style w:type="table" w:styleId="LightGrid-Accent3">
    <w:name w:val="Light Grid Accent 3"/>
    <w:basedOn w:val="TableNormal"/>
    <w:uiPriority w:val="99"/>
    <w:semiHidden/>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style>
  <w:style w:type="table" w:styleId="LightGrid-Accent4">
    <w:name w:val="Light Grid Accent 4"/>
    <w:basedOn w:val="TableNormal"/>
    <w:uiPriority w:val="99"/>
    <w:semiHidden/>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style>
  <w:style w:type="table" w:styleId="LightGrid-Accent5">
    <w:name w:val="Light Grid Accent 5"/>
    <w:basedOn w:val="TableNormal"/>
    <w:uiPriority w:val="99"/>
    <w:semiHidden/>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style>
  <w:style w:type="table" w:styleId="LightGrid-Accent6">
    <w:name w:val="Light Grid Accent 6"/>
    <w:basedOn w:val="TableNormal"/>
    <w:uiPriority w:val="99"/>
    <w:semiHidden/>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156082"/>
        <w:left w:val="single" w:sz="8" w:space="0" w:color="156082"/>
        <w:bottom w:val="single" w:sz="8" w:space="0" w:color="156082"/>
        <w:right w:val="single" w:sz="8" w:space="0" w:color="156082"/>
      </w:tblBorders>
    </w:tblPr>
  </w:style>
  <w:style w:type="table" w:styleId="LightList-Accent2">
    <w:name w:val="Light List Accent 2"/>
    <w:basedOn w:val="TableNormal"/>
    <w:uiPriority w:val="99"/>
    <w:semiHidden/>
    <w:tblPr>
      <w:tblBorders>
        <w:top w:val="single" w:sz="8" w:space="0" w:color="E97132"/>
        <w:left w:val="single" w:sz="8" w:space="0" w:color="E97132"/>
        <w:bottom w:val="single" w:sz="8" w:space="0" w:color="E97132"/>
        <w:right w:val="single" w:sz="8" w:space="0" w:color="E97132"/>
      </w:tblBorders>
    </w:tblPr>
  </w:style>
  <w:style w:type="table" w:styleId="LightList-Accent3">
    <w:name w:val="Light List Accent 3"/>
    <w:basedOn w:val="TableNormal"/>
    <w:uiPriority w:val="99"/>
    <w:semiHidden/>
    <w:tblPr>
      <w:tblBorders>
        <w:top w:val="single" w:sz="8" w:space="0" w:color="196B24"/>
        <w:left w:val="single" w:sz="8" w:space="0" w:color="196B24"/>
        <w:bottom w:val="single" w:sz="8" w:space="0" w:color="196B24"/>
        <w:right w:val="single" w:sz="8" w:space="0" w:color="196B24"/>
      </w:tblBorders>
    </w:tblPr>
  </w:style>
  <w:style w:type="table" w:styleId="LightList-Accent4">
    <w:name w:val="Light List Accent 4"/>
    <w:basedOn w:val="TableNormal"/>
    <w:uiPriority w:val="99"/>
    <w:semiHidden/>
    <w:tblPr>
      <w:tblBorders>
        <w:top w:val="single" w:sz="8" w:space="0" w:color="0F9ED5"/>
        <w:left w:val="single" w:sz="8" w:space="0" w:color="0F9ED5"/>
        <w:bottom w:val="single" w:sz="8" w:space="0" w:color="0F9ED5"/>
        <w:right w:val="single" w:sz="8" w:space="0" w:color="0F9ED5"/>
      </w:tblBorders>
    </w:tblPr>
  </w:style>
  <w:style w:type="table" w:styleId="LightList-Accent5">
    <w:name w:val="Light List Accent 5"/>
    <w:basedOn w:val="TableNormal"/>
    <w:uiPriority w:val="99"/>
    <w:semiHidden/>
    <w:tblPr>
      <w:tblBorders>
        <w:top w:val="single" w:sz="8" w:space="0" w:color="A02B93"/>
        <w:left w:val="single" w:sz="8" w:space="0" w:color="A02B93"/>
        <w:bottom w:val="single" w:sz="8" w:space="0" w:color="A02B93"/>
        <w:right w:val="single" w:sz="8" w:space="0" w:color="A02B93"/>
      </w:tblBorders>
    </w:tblPr>
  </w:style>
  <w:style w:type="table" w:styleId="LightList-Accent6">
    <w:name w:val="Light List Accent 6"/>
    <w:basedOn w:val="TableNormal"/>
    <w:uiPriority w:val="99"/>
    <w:semiHidden/>
    <w:tblPr>
      <w:tblBorders>
        <w:top w:val="single" w:sz="8" w:space="0" w:color="4EA72E"/>
        <w:left w:val="single" w:sz="8" w:space="0" w:color="4EA72E"/>
        <w:bottom w:val="single" w:sz="8" w:space="0" w:color="4EA72E"/>
        <w:right w:val="single" w:sz="8" w:space="0" w:color="4EA72E"/>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0F4761"/>
    </w:rPr>
    <w:tblPr>
      <w:tblBorders>
        <w:top w:val="single" w:sz="8" w:space="0" w:color="156082"/>
        <w:bottom w:val="single" w:sz="8" w:space="0" w:color="156082"/>
      </w:tblBorders>
    </w:tblPr>
  </w:style>
  <w:style w:type="table" w:styleId="LightShading-Accent2">
    <w:name w:val="Light Shading Accent 2"/>
    <w:basedOn w:val="TableNormal"/>
    <w:uiPriority w:val="99"/>
    <w:semiHidden/>
    <w:rPr>
      <w:color w:val="BF4E14"/>
    </w:rPr>
    <w:tblPr>
      <w:tblBorders>
        <w:top w:val="single" w:sz="8" w:space="0" w:color="E97132"/>
        <w:bottom w:val="single" w:sz="8" w:space="0" w:color="E97132"/>
      </w:tblBorders>
    </w:tblPr>
  </w:style>
  <w:style w:type="table" w:styleId="LightShading-Accent3">
    <w:name w:val="Light Shading Accent 3"/>
    <w:basedOn w:val="TableNormal"/>
    <w:uiPriority w:val="99"/>
    <w:semiHidden/>
    <w:rPr>
      <w:color w:val="124F1A"/>
    </w:rPr>
    <w:tblPr>
      <w:tblBorders>
        <w:top w:val="single" w:sz="8" w:space="0" w:color="196B24"/>
        <w:bottom w:val="single" w:sz="8" w:space="0" w:color="196B24"/>
      </w:tblBorders>
    </w:tblPr>
  </w:style>
  <w:style w:type="table" w:styleId="LightShading-Accent4">
    <w:name w:val="Light Shading Accent 4"/>
    <w:basedOn w:val="TableNormal"/>
    <w:uiPriority w:val="99"/>
    <w:semiHidden/>
    <w:rPr>
      <w:color w:val="0B769F"/>
    </w:rPr>
    <w:tblPr>
      <w:tblBorders>
        <w:top w:val="single" w:sz="8" w:space="0" w:color="0F9ED5"/>
        <w:bottom w:val="single" w:sz="8" w:space="0" w:color="0F9ED5"/>
      </w:tblBorders>
    </w:tblPr>
  </w:style>
  <w:style w:type="table" w:styleId="LightShading-Accent5">
    <w:name w:val="Light Shading Accent 5"/>
    <w:basedOn w:val="TableNormal"/>
    <w:uiPriority w:val="99"/>
    <w:semiHidden/>
    <w:rPr>
      <w:color w:val="77206D"/>
    </w:rPr>
    <w:tblPr>
      <w:tblBorders>
        <w:top w:val="single" w:sz="8" w:space="0" w:color="A02B93"/>
        <w:bottom w:val="single" w:sz="8" w:space="0" w:color="A02B93"/>
      </w:tblBorders>
    </w:tblPr>
  </w:style>
  <w:style w:type="table" w:styleId="LightShading-Accent6">
    <w:name w:val="Light Shading Accent 6"/>
    <w:basedOn w:val="TableNormal"/>
    <w:uiPriority w:val="99"/>
    <w:semiHidden/>
    <w:rPr>
      <w:color w:val="3A7C22"/>
    </w:rPr>
    <w:tblPr>
      <w:tblBorders>
        <w:top w:val="single" w:sz="8" w:space="0" w:color="4EA72E"/>
        <w:bottom w:val="single" w:sz="8" w:space="0" w:color="4EA72E"/>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numPr>
        <w:numId w:val="1"/>
      </w:numPr>
      <w:ind w:left="360"/>
      <w:contextualSpacing/>
    </w:pPr>
  </w:style>
  <w:style w:type="paragraph" w:styleId="ListBullet2">
    <w:name w:val="List Bullet 2"/>
    <w:basedOn w:val="Normal"/>
    <w:uiPriority w:val="99"/>
    <w:semiHidden/>
    <w:pPr>
      <w:numPr>
        <w:numId w:val="2"/>
      </w:numPr>
      <w:tabs>
        <w:tab w:val="num" w:pos="643"/>
      </w:tabs>
      <w:ind w:left="643"/>
      <w:contextualSpacing/>
    </w:pPr>
  </w:style>
  <w:style w:type="paragraph" w:styleId="ListBullet3">
    <w:name w:val="List Bullet 3"/>
    <w:basedOn w:val="Normal"/>
    <w:uiPriority w:val="99"/>
    <w:semiHidden/>
    <w:pPr>
      <w:numPr>
        <w:numId w:val="3"/>
      </w:numPr>
      <w:tabs>
        <w:tab w:val="num" w:pos="926"/>
      </w:tabs>
      <w:ind w:left="926"/>
      <w:contextualSpacing/>
    </w:pPr>
  </w:style>
  <w:style w:type="paragraph" w:styleId="ListBullet4">
    <w:name w:val="List Bullet 4"/>
    <w:basedOn w:val="Normal"/>
    <w:uiPriority w:val="99"/>
    <w:semiHidden/>
    <w:pPr>
      <w:tabs>
        <w:tab w:val="num" w:pos="1209"/>
        <w:tab w:val="num" w:pos="1492"/>
      </w:tabs>
      <w:ind w:left="1209" w:hanging="360"/>
      <w:contextualSpacing/>
    </w:pPr>
  </w:style>
  <w:style w:type="paragraph" w:styleId="ListBullet5">
    <w:name w:val="List Bullet 5"/>
    <w:basedOn w:val="Normal"/>
    <w:uiPriority w:val="99"/>
    <w:semiHidden/>
    <w:pPr>
      <w:numPr>
        <w:numId w:val="4"/>
      </w:numPr>
      <w:tabs>
        <w:tab w:val="clear" w:pos="360"/>
        <w:tab w:val="num" w:pos="1492"/>
      </w:tabs>
      <w:ind w:left="1492"/>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numPr>
        <w:numId w:val="5"/>
      </w:numPr>
      <w:ind w:left="360"/>
      <w:contextualSpacing/>
    </w:pPr>
  </w:style>
  <w:style w:type="paragraph" w:styleId="ListNumber2">
    <w:name w:val="List Number 2"/>
    <w:basedOn w:val="Normal"/>
    <w:uiPriority w:val="99"/>
    <w:semiHidden/>
    <w:pPr>
      <w:numPr>
        <w:numId w:val="6"/>
      </w:numPr>
      <w:tabs>
        <w:tab w:val="clear" w:pos="360"/>
        <w:tab w:val="num" w:pos="643"/>
        <w:tab w:val="num" w:pos="1247"/>
      </w:tabs>
      <w:ind w:left="643"/>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643"/>
        <w:tab w:val="num" w:pos="1209"/>
      </w:tabs>
      <w:ind w:left="1209" w:hanging="360"/>
      <w:contextualSpacing/>
    </w:pPr>
  </w:style>
  <w:style w:type="paragraph" w:styleId="ListNumber5">
    <w:name w:val="List Number 5"/>
    <w:basedOn w:val="Normal"/>
    <w:uiPriority w:val="99"/>
    <w:semiHidden/>
    <w:pPr>
      <w:tabs>
        <w:tab w:val="num" w:pos="926"/>
        <w:tab w:val="num" w:pos="1492"/>
      </w:tabs>
      <w:ind w:left="1492" w:hanging="360"/>
      <w:contextualSpacing/>
    </w:pPr>
  </w:style>
  <w:style w:type="table" w:customStyle="1" w:styleId="ListTable1Light">
    <w:name w:val="List Table 1 Light"/>
    <w:uiPriority w:val="99"/>
    <w:tblPr>
      <w:tblInd w:w="0" w:type="dxa"/>
      <w:tblCellMar>
        <w:top w:w="0" w:type="dxa"/>
        <w:left w:w="108" w:type="dxa"/>
        <w:bottom w:w="0" w:type="dxa"/>
        <w:right w:w="108" w:type="dxa"/>
      </w:tblCellMar>
    </w:tblPr>
  </w:style>
  <w:style w:type="table" w:customStyle="1" w:styleId="ListTable1LightAccent1">
    <w:name w:val="List Table 1 Light Accent 1"/>
    <w:uiPriority w:val="99"/>
    <w:tblPr>
      <w:tblInd w:w="0" w:type="dxa"/>
      <w:tblCellMar>
        <w:top w:w="0" w:type="dxa"/>
        <w:left w:w="108" w:type="dxa"/>
        <w:bottom w:w="0" w:type="dxa"/>
        <w:right w:w="108" w:type="dxa"/>
      </w:tblCellMar>
    </w:tblPr>
  </w:style>
  <w:style w:type="table" w:customStyle="1" w:styleId="ListTable1LightAccent2">
    <w:name w:val="List Table 1 Light Accent 2"/>
    <w:uiPriority w:val="99"/>
    <w:tblPr>
      <w:tblInd w:w="0" w:type="dxa"/>
      <w:tblCellMar>
        <w:top w:w="0" w:type="dxa"/>
        <w:left w:w="108" w:type="dxa"/>
        <w:bottom w:w="0" w:type="dxa"/>
        <w:right w:w="108" w:type="dxa"/>
      </w:tblCellMar>
    </w:tblPr>
  </w:style>
  <w:style w:type="table" w:customStyle="1" w:styleId="ListTable1LightAccent3">
    <w:name w:val="List Table 1 Light Accent 3"/>
    <w:uiPriority w:val="99"/>
    <w:tblPr>
      <w:tblInd w:w="0" w:type="dxa"/>
      <w:tblCellMar>
        <w:top w:w="0" w:type="dxa"/>
        <w:left w:w="108" w:type="dxa"/>
        <w:bottom w:w="0" w:type="dxa"/>
        <w:right w:w="108" w:type="dxa"/>
      </w:tblCellMar>
    </w:tblPr>
  </w:style>
  <w:style w:type="table" w:customStyle="1" w:styleId="ListTable1LightAccent4">
    <w:name w:val="List Table 1 Light Accent 4"/>
    <w:uiPriority w:val="99"/>
    <w:tblPr>
      <w:tblInd w:w="0" w:type="dxa"/>
      <w:tblCellMar>
        <w:top w:w="0" w:type="dxa"/>
        <w:left w:w="108" w:type="dxa"/>
        <w:bottom w:w="0" w:type="dxa"/>
        <w:right w:w="108" w:type="dxa"/>
      </w:tblCellMar>
    </w:tblPr>
  </w:style>
  <w:style w:type="table" w:customStyle="1" w:styleId="ListTable1LightAccent5">
    <w:name w:val="List Table 1 Light Accent 5"/>
    <w:uiPriority w:val="99"/>
    <w:tblPr>
      <w:tblInd w:w="0" w:type="dxa"/>
      <w:tblCellMar>
        <w:top w:w="0" w:type="dxa"/>
        <w:left w:w="108" w:type="dxa"/>
        <w:bottom w:w="0" w:type="dxa"/>
        <w:right w:w="108" w:type="dxa"/>
      </w:tblCellMar>
    </w:tblPr>
  </w:style>
  <w:style w:type="table" w:customStyle="1" w:styleId="ListTable1LightAccent6">
    <w:name w:val="List Table 1 Light Accent 6"/>
    <w:uiPriority w:val="99"/>
    <w:tblPr>
      <w:tblInd w:w="0" w:type="dxa"/>
      <w:tblCellMar>
        <w:top w:w="0" w:type="dxa"/>
        <w:left w:w="108" w:type="dxa"/>
        <w:bottom w:w="0" w:type="dxa"/>
        <w:right w:w="108" w:type="dxa"/>
      </w:tblCellMar>
    </w:tblPr>
  </w:style>
  <w:style w:type="table" w:customStyle="1" w:styleId="ListTable2">
    <w:name w:val="List Table 2"/>
    <w:uiPriority w:val="99"/>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tblPr>
      <w:tblInd w:w="0" w:type="dxa"/>
      <w:tblBorders>
        <w:top w:val="single" w:sz="4" w:space="0" w:color="45B0E1"/>
        <w:bottom w:val="single" w:sz="4" w:space="0" w:color="45B0E1"/>
        <w:insideH w:val="single" w:sz="4" w:space="0" w:color="45B0E1"/>
      </w:tblBorders>
      <w:tblCellMar>
        <w:top w:w="0" w:type="dxa"/>
        <w:left w:w="108" w:type="dxa"/>
        <w:bottom w:w="0" w:type="dxa"/>
        <w:right w:w="108" w:type="dxa"/>
      </w:tblCellMar>
    </w:tblPr>
  </w:style>
  <w:style w:type="table" w:customStyle="1" w:styleId="ListTable2Accent2">
    <w:name w:val="List Table 2 Accent 2"/>
    <w:uiPriority w:val="99"/>
    <w:tblPr>
      <w:tblInd w:w="0" w:type="dxa"/>
      <w:tblBorders>
        <w:top w:val="single" w:sz="4" w:space="0" w:color="F1A983"/>
        <w:bottom w:val="single" w:sz="4" w:space="0" w:color="F1A983"/>
        <w:insideH w:val="single" w:sz="4" w:space="0" w:color="F1A983"/>
      </w:tblBorders>
      <w:tblCellMar>
        <w:top w:w="0" w:type="dxa"/>
        <w:left w:w="108" w:type="dxa"/>
        <w:bottom w:w="0" w:type="dxa"/>
        <w:right w:w="108" w:type="dxa"/>
      </w:tblCellMar>
    </w:tblPr>
  </w:style>
  <w:style w:type="table" w:customStyle="1" w:styleId="ListTable2Accent3">
    <w:name w:val="List Table 2 Accent 3"/>
    <w:uiPriority w:val="99"/>
    <w:tblPr>
      <w:tblInd w:w="0" w:type="dxa"/>
      <w:tblBorders>
        <w:top w:val="single" w:sz="4" w:space="0" w:color="47D459"/>
        <w:bottom w:val="single" w:sz="4" w:space="0" w:color="47D459"/>
        <w:insideH w:val="single" w:sz="4" w:space="0" w:color="47D459"/>
      </w:tblBorders>
      <w:tblCellMar>
        <w:top w:w="0" w:type="dxa"/>
        <w:left w:w="108" w:type="dxa"/>
        <w:bottom w:w="0" w:type="dxa"/>
        <w:right w:w="108" w:type="dxa"/>
      </w:tblCellMar>
    </w:tblPr>
  </w:style>
  <w:style w:type="table" w:customStyle="1" w:styleId="ListTable2Accent4">
    <w:name w:val="List Table 2 Accent 4"/>
    <w:uiPriority w:val="99"/>
    <w:tblPr>
      <w:tblInd w:w="0" w:type="dxa"/>
      <w:tblBorders>
        <w:top w:val="single" w:sz="4" w:space="0" w:color="60CAF3"/>
        <w:bottom w:val="single" w:sz="4" w:space="0" w:color="60CAF3"/>
        <w:insideH w:val="single" w:sz="4" w:space="0" w:color="60CAF3"/>
      </w:tblBorders>
      <w:tblCellMar>
        <w:top w:w="0" w:type="dxa"/>
        <w:left w:w="108" w:type="dxa"/>
        <w:bottom w:w="0" w:type="dxa"/>
        <w:right w:w="108" w:type="dxa"/>
      </w:tblCellMar>
    </w:tblPr>
  </w:style>
  <w:style w:type="table" w:customStyle="1" w:styleId="ListTable2Accent5">
    <w:name w:val="List Table 2 Accent 5"/>
    <w:uiPriority w:val="99"/>
    <w:tblPr>
      <w:tblInd w:w="0" w:type="dxa"/>
      <w:tblBorders>
        <w:top w:val="single" w:sz="4" w:space="0" w:color="D86DCB"/>
        <w:bottom w:val="single" w:sz="4" w:space="0" w:color="D86DCB"/>
        <w:insideH w:val="single" w:sz="4" w:space="0" w:color="D86DCB"/>
      </w:tblBorders>
      <w:tblCellMar>
        <w:top w:w="0" w:type="dxa"/>
        <w:left w:w="108" w:type="dxa"/>
        <w:bottom w:w="0" w:type="dxa"/>
        <w:right w:w="108" w:type="dxa"/>
      </w:tblCellMar>
    </w:tblPr>
  </w:style>
  <w:style w:type="table" w:customStyle="1" w:styleId="ListTable2Accent6">
    <w:name w:val="List Table 2 Accent 6"/>
    <w:uiPriority w:val="99"/>
    <w:tblPr>
      <w:tblInd w:w="0" w:type="dxa"/>
      <w:tblBorders>
        <w:top w:val="single" w:sz="4" w:space="0" w:color="8DD873"/>
        <w:bottom w:val="single" w:sz="4" w:space="0" w:color="8DD873"/>
        <w:insideH w:val="single" w:sz="4" w:space="0" w:color="8DD873"/>
      </w:tblBorders>
      <w:tblCellMar>
        <w:top w:w="0" w:type="dxa"/>
        <w:left w:w="108" w:type="dxa"/>
        <w:bottom w:w="0" w:type="dxa"/>
        <w:right w:w="108" w:type="dxa"/>
      </w:tblCellMar>
    </w:tblPr>
  </w:style>
  <w:style w:type="table" w:customStyle="1" w:styleId="ListTable3">
    <w:name w:val="List Table 3"/>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tblPr>
      <w:tblInd w:w="0" w:type="dxa"/>
      <w:tblBorders>
        <w:top w:val="single" w:sz="4" w:space="0" w:color="156082"/>
        <w:left w:val="single" w:sz="4" w:space="0" w:color="156082"/>
        <w:bottom w:val="single" w:sz="4" w:space="0" w:color="156082"/>
        <w:right w:val="single" w:sz="4" w:space="0" w:color="156082"/>
      </w:tblBorders>
      <w:tblCellMar>
        <w:top w:w="0" w:type="dxa"/>
        <w:left w:w="108" w:type="dxa"/>
        <w:bottom w:w="0" w:type="dxa"/>
        <w:right w:w="108" w:type="dxa"/>
      </w:tblCellMar>
    </w:tblPr>
  </w:style>
  <w:style w:type="table" w:customStyle="1" w:styleId="ListTable3Accent2">
    <w:name w:val="List Table 3 Accent 2"/>
    <w:uiPriority w:val="99"/>
    <w:tblPr>
      <w:tblInd w:w="0" w:type="dxa"/>
      <w:tblBorders>
        <w:top w:val="single" w:sz="4" w:space="0" w:color="E97132"/>
        <w:left w:val="single" w:sz="4" w:space="0" w:color="E97132"/>
        <w:bottom w:val="single" w:sz="4" w:space="0" w:color="E97132"/>
        <w:right w:val="single" w:sz="4" w:space="0" w:color="E97132"/>
      </w:tblBorders>
      <w:tblCellMar>
        <w:top w:w="0" w:type="dxa"/>
        <w:left w:w="108" w:type="dxa"/>
        <w:bottom w:w="0" w:type="dxa"/>
        <w:right w:w="108" w:type="dxa"/>
      </w:tblCellMar>
    </w:tblPr>
  </w:style>
  <w:style w:type="table" w:customStyle="1" w:styleId="ListTable3Accent3">
    <w:name w:val="List Table 3 Accent 3"/>
    <w:uiPriority w:val="99"/>
    <w:tblPr>
      <w:tblInd w:w="0" w:type="dxa"/>
      <w:tblBorders>
        <w:top w:val="single" w:sz="4" w:space="0" w:color="196B24"/>
        <w:left w:val="single" w:sz="4" w:space="0" w:color="196B24"/>
        <w:bottom w:val="single" w:sz="4" w:space="0" w:color="196B24"/>
        <w:right w:val="single" w:sz="4" w:space="0" w:color="196B24"/>
      </w:tblBorders>
      <w:tblCellMar>
        <w:top w:w="0" w:type="dxa"/>
        <w:left w:w="108" w:type="dxa"/>
        <w:bottom w:w="0" w:type="dxa"/>
        <w:right w:w="108" w:type="dxa"/>
      </w:tblCellMar>
    </w:tblPr>
  </w:style>
  <w:style w:type="table" w:customStyle="1" w:styleId="ListTable3Accent4">
    <w:name w:val="List Table 3 Accent 4"/>
    <w:uiPriority w:val="99"/>
    <w:tblPr>
      <w:tblInd w:w="0" w:type="dxa"/>
      <w:tblBorders>
        <w:top w:val="single" w:sz="4" w:space="0" w:color="0F9ED5"/>
        <w:left w:val="single" w:sz="4" w:space="0" w:color="0F9ED5"/>
        <w:bottom w:val="single" w:sz="4" w:space="0" w:color="0F9ED5"/>
        <w:right w:val="single" w:sz="4" w:space="0" w:color="0F9ED5"/>
      </w:tblBorders>
      <w:tblCellMar>
        <w:top w:w="0" w:type="dxa"/>
        <w:left w:w="108" w:type="dxa"/>
        <w:bottom w:w="0" w:type="dxa"/>
        <w:right w:w="108" w:type="dxa"/>
      </w:tblCellMar>
    </w:tblPr>
  </w:style>
  <w:style w:type="table" w:customStyle="1" w:styleId="ListTable3Accent5">
    <w:name w:val="List Table 3 Accent 5"/>
    <w:uiPriority w:val="99"/>
    <w:tblPr>
      <w:tblInd w:w="0" w:type="dxa"/>
      <w:tblBorders>
        <w:top w:val="single" w:sz="4" w:space="0" w:color="A02B93"/>
        <w:left w:val="single" w:sz="4" w:space="0" w:color="A02B93"/>
        <w:bottom w:val="single" w:sz="4" w:space="0" w:color="A02B93"/>
        <w:right w:val="single" w:sz="4" w:space="0" w:color="A02B93"/>
      </w:tblBorders>
      <w:tblCellMar>
        <w:top w:w="0" w:type="dxa"/>
        <w:left w:w="108" w:type="dxa"/>
        <w:bottom w:w="0" w:type="dxa"/>
        <w:right w:w="108" w:type="dxa"/>
      </w:tblCellMar>
    </w:tblPr>
  </w:style>
  <w:style w:type="table" w:customStyle="1" w:styleId="ListTable3Accent6">
    <w:name w:val="List Table 3 Accent 6"/>
    <w:uiPriority w:val="99"/>
    <w:tblPr>
      <w:tblInd w:w="0" w:type="dxa"/>
      <w:tblBorders>
        <w:top w:val="single" w:sz="4" w:space="0" w:color="4EA72E"/>
        <w:left w:val="single" w:sz="4" w:space="0" w:color="4EA72E"/>
        <w:bottom w:val="single" w:sz="4" w:space="0" w:color="4EA72E"/>
        <w:right w:val="single" w:sz="4" w:space="0" w:color="4EA72E"/>
      </w:tblBorders>
      <w:tblCellMar>
        <w:top w:w="0" w:type="dxa"/>
        <w:left w:w="108" w:type="dxa"/>
        <w:bottom w:w="0" w:type="dxa"/>
        <w:right w:w="108" w:type="dxa"/>
      </w:tblCellMar>
    </w:tblPr>
  </w:style>
  <w:style w:type="table" w:customStyle="1" w:styleId="ListTable4">
    <w:name w:val="List Table 4"/>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tblPr>
      <w:tblInd w:w="0" w:type="dxa"/>
      <w:tblBorders>
        <w:top w:val="single" w:sz="4" w:space="0" w:color="45B0E1"/>
        <w:left w:val="single" w:sz="4" w:space="0" w:color="45B0E1"/>
        <w:bottom w:val="single" w:sz="4" w:space="0" w:color="45B0E1"/>
        <w:right w:val="single" w:sz="4" w:space="0" w:color="45B0E1"/>
        <w:insideH w:val="single" w:sz="4" w:space="0" w:color="45B0E1"/>
      </w:tblBorders>
      <w:tblCellMar>
        <w:top w:w="0" w:type="dxa"/>
        <w:left w:w="108" w:type="dxa"/>
        <w:bottom w:w="0" w:type="dxa"/>
        <w:right w:w="108" w:type="dxa"/>
      </w:tblCellMar>
    </w:tblPr>
  </w:style>
  <w:style w:type="table" w:customStyle="1" w:styleId="ListTable4Accent2">
    <w:name w:val="List Table 4 Accent 2"/>
    <w:uiPriority w:val="99"/>
    <w:tblPr>
      <w:tblInd w:w="0" w:type="dxa"/>
      <w:tblBorders>
        <w:top w:val="single" w:sz="4" w:space="0" w:color="F1A983"/>
        <w:left w:val="single" w:sz="4" w:space="0" w:color="F1A983"/>
        <w:bottom w:val="single" w:sz="4" w:space="0" w:color="F1A983"/>
        <w:right w:val="single" w:sz="4" w:space="0" w:color="F1A983"/>
        <w:insideH w:val="single" w:sz="4" w:space="0" w:color="F1A983"/>
      </w:tblBorders>
      <w:tblCellMar>
        <w:top w:w="0" w:type="dxa"/>
        <w:left w:w="108" w:type="dxa"/>
        <w:bottom w:w="0" w:type="dxa"/>
        <w:right w:w="108" w:type="dxa"/>
      </w:tblCellMar>
    </w:tblPr>
  </w:style>
  <w:style w:type="table" w:customStyle="1" w:styleId="ListTable4Accent3">
    <w:name w:val="List Table 4 Accent 3"/>
    <w:uiPriority w:val="99"/>
    <w:tblPr>
      <w:tblInd w:w="0" w:type="dxa"/>
      <w:tblBorders>
        <w:top w:val="single" w:sz="4" w:space="0" w:color="47D459"/>
        <w:left w:val="single" w:sz="4" w:space="0" w:color="47D459"/>
        <w:bottom w:val="single" w:sz="4" w:space="0" w:color="47D459"/>
        <w:right w:val="single" w:sz="4" w:space="0" w:color="47D459"/>
        <w:insideH w:val="single" w:sz="4" w:space="0" w:color="47D459"/>
      </w:tblBorders>
      <w:tblCellMar>
        <w:top w:w="0" w:type="dxa"/>
        <w:left w:w="108" w:type="dxa"/>
        <w:bottom w:w="0" w:type="dxa"/>
        <w:right w:w="108" w:type="dxa"/>
      </w:tblCellMar>
    </w:tblPr>
  </w:style>
  <w:style w:type="table" w:customStyle="1" w:styleId="ListTable4Accent4">
    <w:name w:val="List Table 4 Accent 4"/>
    <w:uiPriority w:val="99"/>
    <w:tblPr>
      <w:tblInd w:w="0" w:type="dxa"/>
      <w:tblBorders>
        <w:top w:val="single" w:sz="4" w:space="0" w:color="60CAF3"/>
        <w:left w:val="single" w:sz="4" w:space="0" w:color="60CAF3"/>
        <w:bottom w:val="single" w:sz="4" w:space="0" w:color="60CAF3"/>
        <w:right w:val="single" w:sz="4" w:space="0" w:color="60CAF3"/>
        <w:insideH w:val="single" w:sz="4" w:space="0" w:color="60CAF3"/>
      </w:tblBorders>
      <w:tblCellMar>
        <w:top w:w="0" w:type="dxa"/>
        <w:left w:w="108" w:type="dxa"/>
        <w:bottom w:w="0" w:type="dxa"/>
        <w:right w:w="108" w:type="dxa"/>
      </w:tblCellMar>
    </w:tblPr>
  </w:style>
  <w:style w:type="table" w:customStyle="1" w:styleId="ListTable4Accent5">
    <w:name w:val="List Table 4 Accent 5"/>
    <w:uiPriority w:val="99"/>
    <w:tblPr>
      <w:tblInd w:w="0" w:type="dxa"/>
      <w:tblBorders>
        <w:top w:val="single" w:sz="4" w:space="0" w:color="D86DCB"/>
        <w:left w:val="single" w:sz="4" w:space="0" w:color="D86DCB"/>
        <w:bottom w:val="single" w:sz="4" w:space="0" w:color="D86DCB"/>
        <w:right w:val="single" w:sz="4" w:space="0" w:color="D86DCB"/>
        <w:insideH w:val="single" w:sz="4" w:space="0" w:color="D86DCB"/>
      </w:tblBorders>
      <w:tblCellMar>
        <w:top w:w="0" w:type="dxa"/>
        <w:left w:w="108" w:type="dxa"/>
        <w:bottom w:w="0" w:type="dxa"/>
        <w:right w:w="108" w:type="dxa"/>
      </w:tblCellMar>
    </w:tblPr>
  </w:style>
  <w:style w:type="table" w:customStyle="1" w:styleId="ListTable4Accent6">
    <w:name w:val="List Table 4 Accent 6"/>
    <w:uiPriority w:val="99"/>
    <w:tblPr>
      <w:tblInd w:w="0" w:type="dxa"/>
      <w:tblBorders>
        <w:top w:val="single" w:sz="4" w:space="0" w:color="8DD873"/>
        <w:left w:val="single" w:sz="4" w:space="0" w:color="8DD873"/>
        <w:bottom w:val="single" w:sz="4" w:space="0" w:color="8DD873"/>
        <w:right w:val="single" w:sz="4" w:space="0" w:color="8DD873"/>
        <w:insideH w:val="single" w:sz="4" w:space="0" w:color="8DD873"/>
      </w:tblBorders>
      <w:tblCellMar>
        <w:top w:w="0" w:type="dxa"/>
        <w:left w:w="108" w:type="dxa"/>
        <w:bottom w:w="0" w:type="dxa"/>
        <w:right w:w="108" w:type="dxa"/>
      </w:tblCellMar>
    </w:tblPr>
  </w:style>
  <w:style w:type="table" w:customStyle="1" w:styleId="ListTable5Dark">
    <w:name w:val="List Table 5 Dark"/>
    <w:uiPriority w:val="99"/>
    <w:rPr>
      <w:color w:val="FFFFFF"/>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Pr>
      <w:color w:val="FFFFFF"/>
    </w:rPr>
    <w:tblPr>
      <w:tblInd w:w="0" w:type="dxa"/>
      <w:tblBorders>
        <w:top w:val="single" w:sz="24" w:space="0" w:color="156082"/>
        <w:left w:val="single" w:sz="24" w:space="0" w:color="156082"/>
        <w:bottom w:val="single" w:sz="24" w:space="0" w:color="156082"/>
        <w:right w:val="single" w:sz="24" w:space="0" w:color="156082"/>
      </w:tblBorders>
      <w:tblCellMar>
        <w:top w:w="0" w:type="dxa"/>
        <w:left w:w="108" w:type="dxa"/>
        <w:bottom w:w="0" w:type="dxa"/>
        <w:right w:w="108" w:type="dxa"/>
      </w:tblCellMar>
    </w:tblPr>
    <w:tcPr>
      <w:shd w:val="clear" w:color="auto" w:fill="156082"/>
    </w:tcPr>
  </w:style>
  <w:style w:type="table" w:customStyle="1" w:styleId="ListTable5DarkAccent2">
    <w:name w:val="List Table 5 Dark Accent 2"/>
    <w:uiPriority w:val="99"/>
    <w:rPr>
      <w:color w:val="FFFFFF"/>
    </w:rPr>
    <w:tblPr>
      <w:tblInd w:w="0" w:type="dxa"/>
      <w:tblBorders>
        <w:top w:val="single" w:sz="24" w:space="0" w:color="E97132"/>
        <w:left w:val="single" w:sz="24" w:space="0" w:color="E97132"/>
        <w:bottom w:val="single" w:sz="24" w:space="0" w:color="E97132"/>
        <w:right w:val="single" w:sz="24" w:space="0" w:color="E97132"/>
      </w:tblBorders>
      <w:tblCellMar>
        <w:top w:w="0" w:type="dxa"/>
        <w:left w:w="108" w:type="dxa"/>
        <w:bottom w:w="0" w:type="dxa"/>
        <w:right w:w="108" w:type="dxa"/>
      </w:tblCellMar>
    </w:tblPr>
    <w:tcPr>
      <w:shd w:val="clear" w:color="auto" w:fill="E97132"/>
    </w:tcPr>
  </w:style>
  <w:style w:type="table" w:customStyle="1" w:styleId="ListTable5DarkAccent3">
    <w:name w:val="List Table 5 Dark Accent 3"/>
    <w:uiPriority w:val="99"/>
    <w:rPr>
      <w:color w:val="FFFFFF"/>
    </w:rPr>
    <w:tblPr>
      <w:tblInd w:w="0" w:type="dxa"/>
      <w:tblBorders>
        <w:top w:val="single" w:sz="24" w:space="0" w:color="196B24"/>
        <w:left w:val="single" w:sz="24" w:space="0" w:color="196B24"/>
        <w:bottom w:val="single" w:sz="24" w:space="0" w:color="196B24"/>
        <w:right w:val="single" w:sz="24" w:space="0" w:color="196B24"/>
      </w:tblBorders>
      <w:tblCellMar>
        <w:top w:w="0" w:type="dxa"/>
        <w:left w:w="108" w:type="dxa"/>
        <w:bottom w:w="0" w:type="dxa"/>
        <w:right w:w="108" w:type="dxa"/>
      </w:tblCellMar>
    </w:tblPr>
    <w:tcPr>
      <w:shd w:val="clear" w:color="auto" w:fill="196B24"/>
    </w:tcPr>
  </w:style>
  <w:style w:type="table" w:customStyle="1" w:styleId="ListTable5DarkAccent4">
    <w:name w:val="List Table 5 Dark Accent 4"/>
    <w:uiPriority w:val="99"/>
    <w:rPr>
      <w:color w:val="FFFFFF"/>
    </w:rPr>
    <w:tblPr>
      <w:tblInd w:w="0" w:type="dxa"/>
      <w:tblBorders>
        <w:top w:val="single" w:sz="24" w:space="0" w:color="0F9ED5"/>
        <w:left w:val="single" w:sz="24" w:space="0" w:color="0F9ED5"/>
        <w:bottom w:val="single" w:sz="24" w:space="0" w:color="0F9ED5"/>
        <w:right w:val="single" w:sz="24" w:space="0" w:color="0F9ED5"/>
      </w:tblBorders>
      <w:tblCellMar>
        <w:top w:w="0" w:type="dxa"/>
        <w:left w:w="108" w:type="dxa"/>
        <w:bottom w:w="0" w:type="dxa"/>
        <w:right w:w="108" w:type="dxa"/>
      </w:tblCellMar>
    </w:tblPr>
    <w:tcPr>
      <w:shd w:val="clear" w:color="auto" w:fill="0F9ED5"/>
    </w:tcPr>
  </w:style>
  <w:style w:type="table" w:customStyle="1" w:styleId="ListTable5DarkAccent5">
    <w:name w:val="List Table 5 Dark Accent 5"/>
    <w:uiPriority w:val="99"/>
    <w:rPr>
      <w:color w:val="FFFFFF"/>
    </w:rPr>
    <w:tblPr>
      <w:tblInd w:w="0" w:type="dxa"/>
      <w:tblBorders>
        <w:top w:val="single" w:sz="24" w:space="0" w:color="A02B93"/>
        <w:left w:val="single" w:sz="24" w:space="0" w:color="A02B93"/>
        <w:bottom w:val="single" w:sz="24" w:space="0" w:color="A02B93"/>
        <w:right w:val="single" w:sz="24" w:space="0" w:color="A02B93"/>
      </w:tblBorders>
      <w:tblCellMar>
        <w:top w:w="0" w:type="dxa"/>
        <w:left w:w="108" w:type="dxa"/>
        <w:bottom w:w="0" w:type="dxa"/>
        <w:right w:w="108" w:type="dxa"/>
      </w:tblCellMar>
    </w:tblPr>
    <w:tcPr>
      <w:shd w:val="clear" w:color="auto" w:fill="A02B93"/>
    </w:tcPr>
  </w:style>
  <w:style w:type="table" w:customStyle="1" w:styleId="ListTable5DarkAccent6">
    <w:name w:val="List Table 5 Dark Accent 6"/>
    <w:uiPriority w:val="99"/>
    <w:rPr>
      <w:color w:val="FFFFFF"/>
    </w:rPr>
    <w:tblPr>
      <w:tblInd w:w="0" w:type="dxa"/>
      <w:tblBorders>
        <w:top w:val="single" w:sz="24" w:space="0" w:color="4EA72E"/>
        <w:left w:val="single" w:sz="24" w:space="0" w:color="4EA72E"/>
        <w:bottom w:val="single" w:sz="24" w:space="0" w:color="4EA72E"/>
        <w:right w:val="single" w:sz="24" w:space="0" w:color="4EA72E"/>
      </w:tblBorders>
      <w:tblCellMar>
        <w:top w:w="0" w:type="dxa"/>
        <w:left w:w="108" w:type="dxa"/>
        <w:bottom w:w="0" w:type="dxa"/>
        <w:right w:w="108" w:type="dxa"/>
      </w:tblCellMar>
    </w:tblPr>
    <w:tcPr>
      <w:shd w:val="clear" w:color="auto" w:fill="4EA72E"/>
    </w:tcPr>
  </w:style>
  <w:style w:type="table" w:customStyle="1" w:styleId="ListTable6Colorful">
    <w:name w:val="List Table 6 Colorful"/>
    <w:uiPriority w:val="99"/>
    <w:rPr>
      <w:color w:val="00000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Pr>
      <w:color w:val="0F4761"/>
    </w:rPr>
    <w:tblPr>
      <w:tblInd w:w="0" w:type="dxa"/>
      <w:tblBorders>
        <w:top w:val="single" w:sz="4" w:space="0" w:color="156082"/>
        <w:bottom w:val="single" w:sz="4" w:space="0" w:color="156082"/>
      </w:tblBorders>
      <w:tblCellMar>
        <w:top w:w="0" w:type="dxa"/>
        <w:left w:w="108" w:type="dxa"/>
        <w:bottom w:w="0" w:type="dxa"/>
        <w:right w:w="108" w:type="dxa"/>
      </w:tblCellMar>
    </w:tblPr>
  </w:style>
  <w:style w:type="table" w:customStyle="1" w:styleId="ListTable6ColorfulAccent2">
    <w:name w:val="List Table 6 Colorful Accent 2"/>
    <w:uiPriority w:val="99"/>
    <w:rPr>
      <w:color w:val="BF4E14"/>
    </w:rPr>
    <w:tblPr>
      <w:tblInd w:w="0" w:type="dxa"/>
      <w:tblBorders>
        <w:top w:val="single" w:sz="4" w:space="0" w:color="E97132"/>
        <w:bottom w:val="single" w:sz="4" w:space="0" w:color="E97132"/>
      </w:tblBorders>
      <w:tblCellMar>
        <w:top w:w="0" w:type="dxa"/>
        <w:left w:w="108" w:type="dxa"/>
        <w:bottom w:w="0" w:type="dxa"/>
        <w:right w:w="108" w:type="dxa"/>
      </w:tblCellMar>
    </w:tblPr>
  </w:style>
  <w:style w:type="table" w:customStyle="1" w:styleId="ListTable6ColorfulAccent3">
    <w:name w:val="List Table 6 Colorful Accent 3"/>
    <w:uiPriority w:val="99"/>
    <w:rPr>
      <w:color w:val="124F1A"/>
    </w:rPr>
    <w:tblPr>
      <w:tblInd w:w="0" w:type="dxa"/>
      <w:tblBorders>
        <w:top w:val="single" w:sz="4" w:space="0" w:color="196B24"/>
        <w:bottom w:val="single" w:sz="4" w:space="0" w:color="196B24"/>
      </w:tblBorders>
      <w:tblCellMar>
        <w:top w:w="0" w:type="dxa"/>
        <w:left w:w="108" w:type="dxa"/>
        <w:bottom w:w="0" w:type="dxa"/>
        <w:right w:w="108" w:type="dxa"/>
      </w:tblCellMar>
    </w:tblPr>
  </w:style>
  <w:style w:type="table" w:customStyle="1" w:styleId="ListTable6ColorfulAccent4">
    <w:name w:val="List Table 6 Colorful Accent 4"/>
    <w:uiPriority w:val="99"/>
    <w:rPr>
      <w:color w:val="0B769F"/>
    </w:rPr>
    <w:tblPr>
      <w:tblInd w:w="0" w:type="dxa"/>
      <w:tblBorders>
        <w:top w:val="single" w:sz="4" w:space="0" w:color="0F9ED5"/>
        <w:bottom w:val="single" w:sz="4" w:space="0" w:color="0F9ED5"/>
      </w:tblBorders>
      <w:tblCellMar>
        <w:top w:w="0" w:type="dxa"/>
        <w:left w:w="108" w:type="dxa"/>
        <w:bottom w:w="0" w:type="dxa"/>
        <w:right w:w="108" w:type="dxa"/>
      </w:tblCellMar>
    </w:tblPr>
  </w:style>
  <w:style w:type="table" w:customStyle="1" w:styleId="ListTable6ColorfulAccent5">
    <w:name w:val="List Table 6 Colorful Accent 5"/>
    <w:uiPriority w:val="99"/>
    <w:rPr>
      <w:color w:val="77206D"/>
    </w:rPr>
    <w:tblPr>
      <w:tblInd w:w="0" w:type="dxa"/>
      <w:tblBorders>
        <w:top w:val="single" w:sz="4" w:space="0" w:color="A02B93"/>
        <w:bottom w:val="single" w:sz="4" w:space="0" w:color="A02B93"/>
      </w:tblBorders>
      <w:tblCellMar>
        <w:top w:w="0" w:type="dxa"/>
        <w:left w:w="108" w:type="dxa"/>
        <w:bottom w:w="0" w:type="dxa"/>
        <w:right w:w="108" w:type="dxa"/>
      </w:tblCellMar>
    </w:tblPr>
  </w:style>
  <w:style w:type="table" w:customStyle="1" w:styleId="ListTable6ColorfulAccent6">
    <w:name w:val="List Table 6 Colorful Accent 6"/>
    <w:uiPriority w:val="99"/>
    <w:rPr>
      <w:color w:val="3A7C22"/>
    </w:rPr>
    <w:tblPr>
      <w:tblInd w:w="0" w:type="dxa"/>
      <w:tblBorders>
        <w:top w:val="single" w:sz="4" w:space="0" w:color="4EA72E"/>
        <w:bottom w:val="single" w:sz="4" w:space="0" w:color="4EA72E"/>
      </w:tblBorders>
      <w:tblCellMar>
        <w:top w:w="0" w:type="dxa"/>
        <w:left w:w="108" w:type="dxa"/>
        <w:bottom w:w="0" w:type="dxa"/>
        <w:right w:w="108" w:type="dxa"/>
      </w:tblCellMar>
    </w:tblPr>
  </w:style>
  <w:style w:type="table" w:customStyle="1" w:styleId="ListTable7Colorful">
    <w:name w:val="List Table 7 Colorful"/>
    <w:uiPriority w:val="99"/>
    <w:rPr>
      <w:color w:val="000000"/>
    </w:rPr>
    <w:tblPr>
      <w:tblInd w:w="0" w:type="dxa"/>
      <w:tblCellMar>
        <w:top w:w="0" w:type="dxa"/>
        <w:left w:w="108" w:type="dxa"/>
        <w:bottom w:w="0" w:type="dxa"/>
        <w:right w:w="108" w:type="dxa"/>
      </w:tblCellMar>
    </w:tblPr>
  </w:style>
  <w:style w:type="table" w:customStyle="1" w:styleId="ListTable7ColorfulAccent1">
    <w:name w:val="List Table 7 Colorful Accent 1"/>
    <w:uiPriority w:val="99"/>
    <w:rPr>
      <w:color w:val="0F4761"/>
    </w:rPr>
    <w:tblPr>
      <w:tblInd w:w="0" w:type="dxa"/>
      <w:tblCellMar>
        <w:top w:w="0" w:type="dxa"/>
        <w:left w:w="108" w:type="dxa"/>
        <w:bottom w:w="0" w:type="dxa"/>
        <w:right w:w="108" w:type="dxa"/>
      </w:tblCellMar>
    </w:tblPr>
  </w:style>
  <w:style w:type="table" w:customStyle="1" w:styleId="ListTable7ColorfulAccent2">
    <w:name w:val="List Table 7 Colorful Accent 2"/>
    <w:uiPriority w:val="99"/>
    <w:rPr>
      <w:color w:val="BF4E14"/>
    </w:rPr>
    <w:tblPr>
      <w:tblInd w:w="0" w:type="dxa"/>
      <w:tblCellMar>
        <w:top w:w="0" w:type="dxa"/>
        <w:left w:w="108" w:type="dxa"/>
        <w:bottom w:w="0" w:type="dxa"/>
        <w:right w:w="108" w:type="dxa"/>
      </w:tblCellMar>
    </w:tblPr>
  </w:style>
  <w:style w:type="table" w:customStyle="1" w:styleId="ListTable7ColorfulAccent3">
    <w:name w:val="List Table 7 Colorful Accent 3"/>
    <w:uiPriority w:val="99"/>
    <w:rPr>
      <w:color w:val="124F1A"/>
    </w:rPr>
    <w:tblPr>
      <w:tblInd w:w="0" w:type="dxa"/>
      <w:tblCellMar>
        <w:top w:w="0" w:type="dxa"/>
        <w:left w:w="108" w:type="dxa"/>
        <w:bottom w:w="0" w:type="dxa"/>
        <w:right w:w="108" w:type="dxa"/>
      </w:tblCellMar>
    </w:tblPr>
  </w:style>
  <w:style w:type="table" w:customStyle="1" w:styleId="ListTable7ColorfulAccent4">
    <w:name w:val="List Table 7 Colorful Accent 4"/>
    <w:uiPriority w:val="99"/>
    <w:rPr>
      <w:color w:val="0B769F"/>
    </w:rPr>
    <w:tblPr>
      <w:tblInd w:w="0" w:type="dxa"/>
      <w:tblCellMar>
        <w:top w:w="0" w:type="dxa"/>
        <w:left w:w="108" w:type="dxa"/>
        <w:bottom w:w="0" w:type="dxa"/>
        <w:right w:w="108" w:type="dxa"/>
      </w:tblCellMar>
    </w:tblPr>
  </w:style>
  <w:style w:type="table" w:customStyle="1" w:styleId="ListTable7ColorfulAccent5">
    <w:name w:val="List Table 7 Colorful Accent 5"/>
    <w:uiPriority w:val="99"/>
    <w:rPr>
      <w:color w:val="77206D"/>
    </w:rPr>
    <w:tblPr>
      <w:tblInd w:w="0" w:type="dxa"/>
      <w:tblCellMar>
        <w:top w:w="0" w:type="dxa"/>
        <w:left w:w="108" w:type="dxa"/>
        <w:bottom w:w="0" w:type="dxa"/>
        <w:right w:w="108" w:type="dxa"/>
      </w:tblCellMar>
    </w:tblPr>
  </w:style>
  <w:style w:type="table" w:customStyle="1" w:styleId="ListTable7ColorfulAccent6">
    <w:name w:val="List Table 7 Colorful Accent 6"/>
    <w:uiPriority w:val="99"/>
    <w:rPr>
      <w:color w:val="3A7C22"/>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style>
  <w:style w:type="table" w:styleId="MediumGrid1-Accent2">
    <w:name w:val="Medium Grid 1 Accent 2"/>
    <w:basedOn w:val="TableNormal"/>
    <w:uiPriority w:val="99"/>
    <w:semiHidden/>
    <w:tblPr>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style>
  <w:style w:type="table" w:styleId="MediumGrid1-Accent3">
    <w:name w:val="Medium Grid 1 Accent 3"/>
    <w:basedOn w:val="TableNormal"/>
    <w:uiPriority w:val="99"/>
    <w:semiHidden/>
    <w:tblPr>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style>
  <w:style w:type="table" w:styleId="MediumGrid1-Accent4">
    <w:name w:val="Medium Grid 1 Accent 4"/>
    <w:basedOn w:val="TableNormal"/>
    <w:uiPriority w:val="99"/>
    <w:semiHidden/>
    <w:tblPr>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style>
  <w:style w:type="table" w:styleId="MediumGrid1-Accent5">
    <w:name w:val="Medium Grid 1 Accent 5"/>
    <w:basedOn w:val="TableNormal"/>
    <w:uiPriority w:val="99"/>
    <w:semiHidden/>
    <w:tblPr>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style>
  <w:style w:type="table" w:styleId="MediumGrid1-Accent6">
    <w:name w:val="Medium Grid 1 Accent 6"/>
    <w:basedOn w:val="TableNormal"/>
    <w:uiPriority w:val="99"/>
    <w:semiHidden/>
    <w:tblPr>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style>
  <w:style w:type="table" w:styleId="MediumGrid2">
    <w:name w:val="Medium Grid 2"/>
    <w:basedOn w:val="TableNormal"/>
    <w:uiPriority w:val="99"/>
    <w:semiHidden/>
    <w:rPr>
      <w:rFonts w:eastAsia="等线 Light"/>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eastAsia="等线 Light"/>
      <w:color w:val="000000"/>
    </w:rPr>
    <w:tblPr>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style>
  <w:style w:type="table" w:styleId="MediumGrid2-Accent2">
    <w:name w:val="Medium Grid 2 Accent 2"/>
    <w:basedOn w:val="TableNormal"/>
    <w:uiPriority w:val="99"/>
    <w:semiHidden/>
    <w:rPr>
      <w:rFonts w:eastAsia="等线 Light"/>
      <w:color w:val="000000"/>
    </w:rPr>
    <w:tblPr>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style>
  <w:style w:type="table" w:styleId="MediumGrid2-Accent3">
    <w:name w:val="Medium Grid 2 Accent 3"/>
    <w:basedOn w:val="TableNormal"/>
    <w:uiPriority w:val="99"/>
    <w:semiHidden/>
    <w:rPr>
      <w:rFonts w:eastAsia="等线 Light"/>
      <w:color w:val="000000"/>
    </w:rPr>
    <w:tblPr>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style>
  <w:style w:type="table" w:styleId="MediumGrid2-Accent4">
    <w:name w:val="Medium Grid 2 Accent 4"/>
    <w:basedOn w:val="TableNormal"/>
    <w:uiPriority w:val="99"/>
    <w:semiHidden/>
    <w:rPr>
      <w:rFonts w:eastAsia="等线 Light"/>
      <w:color w:val="000000"/>
    </w:rPr>
    <w:tblPr>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style>
  <w:style w:type="table" w:styleId="MediumGrid2-Accent5">
    <w:name w:val="Medium Grid 2 Accent 5"/>
    <w:basedOn w:val="TableNormal"/>
    <w:uiPriority w:val="99"/>
    <w:semiHidden/>
    <w:rPr>
      <w:rFonts w:eastAsia="等线 Light"/>
      <w:color w:val="000000"/>
    </w:rPr>
    <w:tblPr>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style>
  <w:style w:type="table" w:styleId="MediumGrid2-Accent6">
    <w:name w:val="Medium Grid 2 Accent 6"/>
    <w:basedOn w:val="TableNormal"/>
    <w:uiPriority w:val="99"/>
    <w:semiHidden/>
    <w:rPr>
      <w:rFonts w:eastAsia="等线 Light"/>
      <w:color w:val="000000"/>
    </w:rPr>
    <w:tblPr>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156082"/>
        <w:bottom w:val="single" w:sz="8" w:space="0" w:color="156082"/>
      </w:tblBorders>
    </w:tblPr>
  </w:style>
  <w:style w:type="table" w:styleId="MediumList1-Accent2">
    <w:name w:val="Medium List 1 Accent 2"/>
    <w:basedOn w:val="TableNormal"/>
    <w:uiPriority w:val="99"/>
    <w:semiHidden/>
    <w:rPr>
      <w:color w:val="000000"/>
    </w:rPr>
    <w:tblPr>
      <w:tblBorders>
        <w:top w:val="single" w:sz="8" w:space="0" w:color="E97132"/>
        <w:bottom w:val="single" w:sz="8" w:space="0" w:color="E97132"/>
      </w:tblBorders>
    </w:tblPr>
  </w:style>
  <w:style w:type="table" w:styleId="MediumList1-Accent3">
    <w:name w:val="Medium List 1 Accent 3"/>
    <w:basedOn w:val="TableNormal"/>
    <w:uiPriority w:val="99"/>
    <w:semiHidden/>
    <w:rPr>
      <w:color w:val="000000"/>
    </w:rPr>
    <w:tblPr>
      <w:tblBorders>
        <w:top w:val="single" w:sz="8" w:space="0" w:color="196B24"/>
        <w:bottom w:val="single" w:sz="8" w:space="0" w:color="196B24"/>
      </w:tblBorders>
    </w:tblPr>
  </w:style>
  <w:style w:type="table" w:styleId="MediumList1-Accent4">
    <w:name w:val="Medium List 1 Accent 4"/>
    <w:basedOn w:val="TableNormal"/>
    <w:uiPriority w:val="99"/>
    <w:semiHidden/>
    <w:rPr>
      <w:color w:val="000000"/>
    </w:rPr>
    <w:tblPr>
      <w:tblBorders>
        <w:top w:val="single" w:sz="8" w:space="0" w:color="0F9ED5"/>
        <w:bottom w:val="single" w:sz="8" w:space="0" w:color="0F9ED5"/>
      </w:tblBorders>
    </w:tblPr>
  </w:style>
  <w:style w:type="table" w:styleId="MediumList1-Accent5">
    <w:name w:val="Medium List 1 Accent 5"/>
    <w:basedOn w:val="TableNormal"/>
    <w:uiPriority w:val="99"/>
    <w:semiHidden/>
    <w:rPr>
      <w:color w:val="000000"/>
    </w:rPr>
    <w:tblPr>
      <w:tblBorders>
        <w:top w:val="single" w:sz="8" w:space="0" w:color="A02B93"/>
        <w:bottom w:val="single" w:sz="8" w:space="0" w:color="A02B93"/>
      </w:tblBorders>
    </w:tblPr>
  </w:style>
  <w:style w:type="table" w:styleId="MediumList1-Accent6">
    <w:name w:val="Medium List 1 Accent 6"/>
    <w:basedOn w:val="TableNormal"/>
    <w:uiPriority w:val="99"/>
    <w:semiHidden/>
    <w:rPr>
      <w:color w:val="000000"/>
    </w:rPr>
    <w:tblPr>
      <w:tblBorders>
        <w:top w:val="single" w:sz="8" w:space="0" w:color="4EA72E"/>
        <w:bottom w:val="single" w:sz="8" w:space="0" w:color="4EA72E"/>
      </w:tblBorders>
    </w:tblPr>
  </w:style>
  <w:style w:type="table" w:styleId="MediumList2">
    <w:name w:val="Medium List 2"/>
    <w:basedOn w:val="TableNormal"/>
    <w:uiPriority w:val="99"/>
    <w:semiHidden/>
    <w:rPr>
      <w:rFonts w:eastAsia="等线 Light"/>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eastAsia="等线 Light"/>
      <w:color w:val="000000"/>
    </w:rPr>
    <w:tblPr>
      <w:tblBorders>
        <w:top w:val="single" w:sz="8" w:space="0" w:color="156082"/>
        <w:left w:val="single" w:sz="8" w:space="0" w:color="156082"/>
        <w:bottom w:val="single" w:sz="8" w:space="0" w:color="156082"/>
        <w:right w:val="single" w:sz="8" w:space="0" w:color="156082"/>
      </w:tblBorders>
    </w:tblPr>
  </w:style>
  <w:style w:type="table" w:styleId="MediumList2-Accent2">
    <w:name w:val="Medium List 2 Accent 2"/>
    <w:basedOn w:val="TableNormal"/>
    <w:uiPriority w:val="99"/>
    <w:semiHidden/>
    <w:rPr>
      <w:rFonts w:eastAsia="等线 Light"/>
      <w:color w:val="000000"/>
    </w:rPr>
    <w:tblPr>
      <w:tblBorders>
        <w:top w:val="single" w:sz="8" w:space="0" w:color="E97132"/>
        <w:left w:val="single" w:sz="8" w:space="0" w:color="E97132"/>
        <w:bottom w:val="single" w:sz="8" w:space="0" w:color="E97132"/>
        <w:right w:val="single" w:sz="8" w:space="0" w:color="E97132"/>
      </w:tblBorders>
    </w:tblPr>
  </w:style>
  <w:style w:type="table" w:styleId="MediumList2-Accent3">
    <w:name w:val="Medium List 2 Accent 3"/>
    <w:basedOn w:val="TableNormal"/>
    <w:uiPriority w:val="99"/>
    <w:semiHidden/>
    <w:rPr>
      <w:rFonts w:eastAsia="等线 Light"/>
      <w:color w:val="000000"/>
    </w:rPr>
    <w:tblPr>
      <w:tblBorders>
        <w:top w:val="single" w:sz="8" w:space="0" w:color="196B24"/>
        <w:left w:val="single" w:sz="8" w:space="0" w:color="196B24"/>
        <w:bottom w:val="single" w:sz="8" w:space="0" w:color="196B24"/>
        <w:right w:val="single" w:sz="8" w:space="0" w:color="196B24"/>
      </w:tblBorders>
    </w:tblPr>
  </w:style>
  <w:style w:type="table" w:styleId="MediumList2-Accent4">
    <w:name w:val="Medium List 2 Accent 4"/>
    <w:basedOn w:val="TableNormal"/>
    <w:uiPriority w:val="99"/>
    <w:semiHidden/>
    <w:rPr>
      <w:rFonts w:eastAsia="等线 Light"/>
      <w:color w:val="000000"/>
    </w:rPr>
    <w:tblPr>
      <w:tblBorders>
        <w:top w:val="single" w:sz="8" w:space="0" w:color="0F9ED5"/>
        <w:left w:val="single" w:sz="8" w:space="0" w:color="0F9ED5"/>
        <w:bottom w:val="single" w:sz="8" w:space="0" w:color="0F9ED5"/>
        <w:right w:val="single" w:sz="8" w:space="0" w:color="0F9ED5"/>
      </w:tblBorders>
    </w:tblPr>
  </w:style>
  <w:style w:type="table" w:styleId="MediumList2-Accent5">
    <w:name w:val="Medium List 2 Accent 5"/>
    <w:basedOn w:val="TableNormal"/>
    <w:uiPriority w:val="99"/>
    <w:semiHidden/>
    <w:rPr>
      <w:rFonts w:eastAsia="等线 Light"/>
      <w:color w:val="000000"/>
    </w:rPr>
    <w:tblPr>
      <w:tblBorders>
        <w:top w:val="single" w:sz="8" w:space="0" w:color="A02B93"/>
        <w:left w:val="single" w:sz="8" w:space="0" w:color="A02B93"/>
        <w:bottom w:val="single" w:sz="8" w:space="0" w:color="A02B93"/>
        <w:right w:val="single" w:sz="8" w:space="0" w:color="A02B93"/>
      </w:tblBorders>
    </w:tblPr>
  </w:style>
  <w:style w:type="table" w:styleId="MediumList2-Accent6">
    <w:name w:val="Medium List 2 Accent 6"/>
    <w:basedOn w:val="TableNormal"/>
    <w:uiPriority w:val="99"/>
    <w:semiHidden/>
    <w:rPr>
      <w:rFonts w:eastAsia="等线 Light"/>
      <w:color w:val="000000"/>
    </w:rPr>
    <w:tblPr>
      <w:tblBorders>
        <w:top w:val="single" w:sz="8" w:space="0" w:color="4EA72E"/>
        <w:left w:val="single" w:sz="8" w:space="0" w:color="4EA72E"/>
        <w:bottom w:val="single" w:sz="8" w:space="0" w:color="4EA72E"/>
        <w:right w:val="single" w:sz="8" w:space="0" w:color="4EA72E"/>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2198CF"/>
        <w:left w:val="single" w:sz="8" w:space="0" w:color="2198CF"/>
        <w:bottom w:val="single" w:sz="8" w:space="0" w:color="2198CF"/>
        <w:right w:val="single" w:sz="8" w:space="0" w:color="2198CF"/>
        <w:insideH w:val="single" w:sz="8" w:space="0" w:color="2198CF"/>
      </w:tblBorders>
    </w:tblPr>
  </w:style>
  <w:style w:type="table" w:styleId="MediumShading1-Accent2">
    <w:name w:val="Medium Shading 1 Accent 2"/>
    <w:basedOn w:val="TableNormal"/>
    <w:uiPriority w:val="99"/>
    <w:semiHidden/>
    <w:tblPr>
      <w:tblBorders>
        <w:top w:val="single" w:sz="8" w:space="0" w:color="EE9465"/>
        <w:left w:val="single" w:sz="8" w:space="0" w:color="EE9465"/>
        <w:bottom w:val="single" w:sz="8" w:space="0" w:color="EE9465"/>
        <w:right w:val="single" w:sz="8" w:space="0" w:color="EE9465"/>
        <w:insideH w:val="single" w:sz="8" w:space="0" w:color="EE9465"/>
      </w:tblBorders>
    </w:tblPr>
  </w:style>
  <w:style w:type="table" w:styleId="MediumShading1-Accent3">
    <w:name w:val="Medium Shading 1 Accent 3"/>
    <w:basedOn w:val="TableNormal"/>
    <w:uiPriority w:val="99"/>
    <w:semiHidden/>
    <w:tblPr>
      <w:tblBorders>
        <w:top w:val="single" w:sz="8" w:space="0" w:color="2BB73D"/>
        <w:left w:val="single" w:sz="8" w:space="0" w:color="2BB73D"/>
        <w:bottom w:val="single" w:sz="8" w:space="0" w:color="2BB73D"/>
        <w:right w:val="single" w:sz="8" w:space="0" w:color="2BB73D"/>
        <w:insideH w:val="single" w:sz="8" w:space="0" w:color="2BB73D"/>
      </w:tblBorders>
    </w:tblPr>
  </w:style>
  <w:style w:type="table" w:styleId="MediumShading1-Accent4">
    <w:name w:val="Medium Shading 1 Accent 4"/>
    <w:basedOn w:val="TableNormal"/>
    <w:uiPriority w:val="99"/>
    <w:semiHidden/>
    <w:tblPr>
      <w:tblBorders>
        <w:top w:val="single" w:sz="8" w:space="0" w:color="39BEF1"/>
        <w:left w:val="single" w:sz="8" w:space="0" w:color="39BEF1"/>
        <w:bottom w:val="single" w:sz="8" w:space="0" w:color="39BEF1"/>
        <w:right w:val="single" w:sz="8" w:space="0" w:color="39BEF1"/>
        <w:insideH w:val="single" w:sz="8" w:space="0" w:color="39BEF1"/>
      </w:tblBorders>
    </w:tblPr>
  </w:style>
  <w:style w:type="table" w:styleId="MediumShading1-Accent5">
    <w:name w:val="Medium Shading 1 Accent 5"/>
    <w:basedOn w:val="TableNormal"/>
    <w:uiPriority w:val="99"/>
    <w:semiHidden/>
    <w:tblPr>
      <w:tblBorders>
        <w:top w:val="single" w:sz="8" w:space="0" w:color="CE49BF"/>
        <w:left w:val="single" w:sz="8" w:space="0" w:color="CE49BF"/>
        <w:bottom w:val="single" w:sz="8" w:space="0" w:color="CE49BF"/>
        <w:right w:val="single" w:sz="8" w:space="0" w:color="CE49BF"/>
        <w:insideH w:val="single" w:sz="8" w:space="0" w:color="CE49BF"/>
      </w:tblBorders>
    </w:tblPr>
  </w:style>
  <w:style w:type="table" w:styleId="MediumShading1-Accent6">
    <w:name w:val="Medium Shading 1 Accent 6"/>
    <w:basedOn w:val="TableNormal"/>
    <w:uiPriority w:val="99"/>
    <w:semiHidden/>
    <w:tblPr>
      <w:tblBorders>
        <w:top w:val="single" w:sz="8" w:space="0" w:color="71CF50"/>
        <w:left w:val="single" w:sz="8" w:space="0" w:color="71CF50"/>
        <w:bottom w:val="single" w:sz="8" w:space="0" w:color="71CF50"/>
        <w:right w:val="single" w:sz="8" w:space="0" w:color="71CF50"/>
        <w:insideH w:val="single" w:sz="8" w:space="0" w:color="71CF50"/>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eastAsia="等线 Light"/>
      <w:sz w:val="24"/>
      <w:szCs w:val="24"/>
    </w:rPr>
  </w:style>
  <w:style w:type="character" w:customStyle="1" w:styleId="MessageHeaderChar">
    <w:name w:val="Message Header Char"/>
    <w:link w:val="MessageHeader"/>
    <w:uiPriority w:val="99"/>
    <w:semiHidden/>
    <w:locked/>
    <w:rPr>
      <w:rFonts w:ascii="Times New Roman" w:eastAsia="等线 Light" w:hAnsi="Times New Roman" w:cs="Times New Roman"/>
      <w:kern w:val="0"/>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kern w:val="0"/>
      <w:sz w:val="22"/>
      <w:szCs w:val="22"/>
      <w:lang w:val="en-GB"/>
    </w:rPr>
  </w:style>
  <w:style w:type="character" w:styleId="PageNumber">
    <w:name w:val="page number"/>
    <w:uiPriority w:val="99"/>
    <w:semiHidden/>
    <w:rPr>
      <w:rFonts w:cs="Times New Roman"/>
      <w:lang w:val="en-GB"/>
    </w:rPr>
  </w:style>
  <w:style w:type="character" w:styleId="PlaceholderText">
    <w:name w:val="Placeholder Text"/>
    <w:uiPriority w:val="99"/>
    <w:semiHidden/>
    <w:rPr>
      <w:rFonts w:cs="Times New Roman"/>
      <w:color w:val="666666"/>
      <w:lang w:val="en-GB"/>
    </w:rPr>
  </w:style>
  <w:style w:type="table" w:customStyle="1" w:styleId="PlainTable1">
    <w:name w:val="Plain Table 1"/>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tblPr>
      <w:tblInd w:w="0" w:type="dxa"/>
      <w:tblCellMar>
        <w:top w:w="0" w:type="dxa"/>
        <w:left w:w="108" w:type="dxa"/>
        <w:bottom w:w="0" w:type="dxa"/>
        <w:right w:w="108" w:type="dxa"/>
      </w:tblCellMar>
    </w:tblPr>
  </w:style>
  <w:style w:type="table" w:customStyle="1" w:styleId="PlainTable4">
    <w:name w:val="Plain Table 4"/>
    <w:uiPriority w:val="99"/>
    <w:tblPr>
      <w:tblInd w:w="0" w:type="dxa"/>
      <w:tblCellMar>
        <w:top w:w="0" w:type="dxa"/>
        <w:left w:w="108" w:type="dxa"/>
        <w:bottom w:w="0" w:type="dxa"/>
        <w:right w:w="108" w:type="dxa"/>
      </w:tblCellMar>
    </w:tblPr>
  </w:style>
  <w:style w:type="table" w:customStyle="1" w:styleId="PlainTable5">
    <w:name w:val="Plain Table 5"/>
    <w:uiPriority w:val="99"/>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locked/>
    <w:rPr>
      <w:rFonts w:ascii="Times New Roman Bold" w:eastAsia="等线 Light" w:hAnsi="Times New Roman Bold"/>
      <w:b/>
      <w:sz w:val="24"/>
      <w:szCs w:val="26"/>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kern w:val="0"/>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kern w:val="0"/>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locked/>
    <w:rPr>
      <w:rFonts w:eastAsia="等线 Light" w:cs="Times New Roman"/>
      <w:b/>
      <w:bCs/>
      <w:snapToGrid w:val="0"/>
      <w:sz w:val="22"/>
      <w:szCs w:val="22"/>
      <w:lang w:val="en-GB" w:bidi="ar-SA"/>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GridTableLight">
    <w:name w:val="Grid Table Light"/>
    <w:uiPriority w:val="99"/>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uiPriority w:val="99"/>
    <w:semiHidden/>
    <w:pPr>
      <w:spacing w:before="120"/>
    </w:pPr>
    <w:rPr>
      <w:rFonts w:eastAsia="等线 Light"/>
      <w:b/>
      <w:bCs/>
      <w:sz w:val="24"/>
      <w:szCs w:val="24"/>
    </w: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0F476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Para1">
    <w:name w:val="Para 1"/>
    <w:basedOn w:val="Normal"/>
    <w:uiPriority w:val="99"/>
    <w:pPr>
      <w:tabs>
        <w:tab w:val="clear" w:pos="567"/>
        <w:tab w:val="clear" w:pos="1701"/>
        <w:tab w:val="clear" w:pos="2268"/>
      </w:tabs>
      <w:spacing w:before="120" w:after="120"/>
    </w:pPr>
    <w:rPr>
      <w:szCs w:val="24"/>
      <w:lang w:val="en-CA"/>
    </w:rPr>
  </w:style>
  <w:style w:type="paragraph" w:customStyle="1" w:styleId="Para2">
    <w:name w:val="Para 2"/>
    <w:uiPriority w:val="99"/>
    <w:pPr>
      <w:tabs>
        <w:tab w:val="left" w:pos="1701"/>
      </w:tabs>
      <w:spacing w:before="120" w:after="120"/>
      <w:jc w:val="both"/>
    </w:pPr>
    <w:rPr>
      <w:sz w:val="22"/>
      <w:szCs w:val="24"/>
      <w:lang w:val="en-CA"/>
    </w:rPr>
  </w:style>
  <w:style w:type="character" w:customStyle="1" w:styleId="UnresolvedMention">
    <w:name w:val="Unresolved Mention"/>
    <w:uiPriority w:val="99"/>
    <w:semiHidden/>
    <w:rPr>
      <w:rFonts w:cs="Times New Roman"/>
      <w:color w:val="605E5C"/>
      <w:shd w:val="clear" w:color="auto" w:fill="E1DFDD"/>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806BC7"/>
    <w:pPr>
      <w:numPr>
        <w:numId w:val="8"/>
      </w:numPr>
    </w:pPr>
  </w:style>
  <w:style w:type="numbering" w:customStyle="1" w:styleId="CBDHeadings">
    <w:name w:val="CBD_Headings"/>
    <w:rsid w:val="00806BC7"/>
    <w:pPr>
      <w:numPr>
        <w:numId w:val="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ecisions/cop/?m=cop-16" TargetMode="External"/><Relationship Id="rId17" Type="http://schemas.openxmlformats.org/officeDocument/2006/relationships/hyperlink" Target="https://docs.un.org/zh/E/C.19/2023/5" TargetMode="External"/><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ecisions/?id=13647"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ecisions/?id=13375"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docs.un.org/en/E/2025/43" TargetMode="External"/><Relationship Id="rId2" Type="http://schemas.openxmlformats.org/officeDocument/2006/relationships/hyperlink" Target="https://docs.un.org/en/E/2024/43"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UNPFII\template-sbi8j-0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template-sbi8j-01-en.dotm</Template>
  <TotalTime>2</TotalTime>
  <Pages>4</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Recommendations of the Permanent Forum on Indigenous Issues</vt:lpstr>
    </vt:vector>
  </TitlesOfParts>
  <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of the Permanent Forum on Indigenous Issues</dc:title>
  <dc:creator>Q"apaj Conde</dc:creator>
  <cp:keywords>Subsidiary Body on Scientific, Technical and Technological Advice, twenty-seventh meeting</cp:keywords>
  <cp:lastModifiedBy>pwchao</cp:lastModifiedBy>
  <cp:revision>3</cp:revision>
  <cp:lastPrinted>2025-08-18T16:49:00Z</cp:lastPrinted>
  <dcterms:created xsi:type="dcterms:W3CDTF">2025-08-18T16:49:00Z</dcterms:created>
  <dcterms:modified xsi:type="dcterms:W3CDTF">2025-08-18T16:50:00Z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52978c5e-fc33-4432-9c12-46754f059a84</vt:lpwstr>
  </property>
  <property fmtid="{D5CDD505-2E9C-101B-9397-08002B2CF9AE}" pid="10" name="MediaServiceImageTags">
    <vt:lpwstr/>
  </property>
  <property fmtid="{D5CDD505-2E9C-101B-9397-08002B2CF9AE}" pid="11" name="TaxCatchAll">
    <vt:lpwstr/>
  </property>
  <property fmtid="{D5CDD505-2E9C-101B-9397-08002B2CF9AE}" pid="12" name="lcf76f155ced4ddcb4097134ff3c332f">
    <vt:lpwstr/>
  </property>
</Properties>
</file>