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10233"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115"/>
      </w:tblGrid>
      <w:tr w:rsidR="00C9161D" w:rsidTr="00EB2A20">
        <w:trPr>
          <w:trHeight w:val="851"/>
        </w:trPr>
        <w:tc>
          <w:tcPr>
            <w:tcW w:w="977" w:type="dxa"/>
            <w:tcBorders>
              <w:bottom w:val="single" w:sz="12" w:space="0" w:color="auto"/>
            </w:tcBorders>
          </w:tcPr>
          <w:p w:rsidR="00C9161D" w:rsidRPr="00321985" w:rsidRDefault="00C9161D" w:rsidP="00321985">
            <w:r>
              <w:rPr>
                <w:noProof/>
                <w:lang w:val="es-ES" w:eastAsia="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FA663B" w:rsidRPr="00321985" w:rsidRDefault="002A46FD" w:rsidP="00321985">
            <w:r w:rsidRPr="002A46FD">
              <w:rPr>
                <w:noProof/>
                <w:lang w:val="es-ES" w:eastAsia="es-ES"/>
              </w:rPr>
              <w:drawing>
                <wp:anchor distT="0" distB="0" distL="114300" distR="114300" simplePos="0" relativeHeight="251659264" behindDoc="1" locked="0" layoutInCell="1" allowOverlap="1">
                  <wp:simplePos x="0" y="0"/>
                  <wp:positionH relativeFrom="column">
                    <wp:posOffset>-53975</wp:posOffset>
                  </wp:positionH>
                  <wp:positionV relativeFrom="paragraph">
                    <wp:posOffset>46355</wp:posOffset>
                  </wp:positionV>
                  <wp:extent cx="671830" cy="396240"/>
                  <wp:effectExtent l="19050" t="0" r="0" b="0"/>
                  <wp:wrapTight wrapText="bothSides">
                    <wp:wrapPolygon edited="0">
                      <wp:start x="-612" y="0"/>
                      <wp:lineTo x="-612" y="20769"/>
                      <wp:lineTo x="21437" y="20769"/>
                      <wp:lineTo x="21437" y="18692"/>
                      <wp:lineTo x="18374" y="16615"/>
                      <wp:lineTo x="20824" y="16615"/>
                      <wp:lineTo x="21437" y="14538"/>
                      <wp:lineTo x="21437" y="0"/>
                      <wp:lineTo x="-612" y="0"/>
                    </wp:wrapPolygon>
                  </wp:wrapTight>
                  <wp:docPr id="1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a:srcRect/>
                          <a:stretch>
                            <a:fillRect/>
                          </a:stretch>
                        </pic:blipFill>
                        <pic:spPr bwMode="auto">
                          <a:xfrm>
                            <a:off x="0" y="0"/>
                            <a:ext cx="671830" cy="396240"/>
                          </a:xfrm>
                          <a:prstGeom prst="rect">
                            <a:avLst/>
                          </a:prstGeom>
                          <a:noFill/>
                        </pic:spPr>
                      </pic:pic>
                    </a:graphicData>
                  </a:graphic>
                </wp:anchor>
              </w:drawing>
            </w:r>
          </w:p>
        </w:tc>
        <w:tc>
          <w:tcPr>
            <w:tcW w:w="4115" w:type="dxa"/>
            <w:tcBorders>
              <w:bottom w:val="single" w:sz="12" w:space="0" w:color="auto"/>
            </w:tcBorders>
          </w:tcPr>
          <w:p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rsidRPr="002A46FD" w:rsidTr="00EB2A20">
        <w:tc>
          <w:tcPr>
            <w:tcW w:w="6118" w:type="dxa"/>
            <w:gridSpan w:val="2"/>
            <w:tcBorders>
              <w:top w:val="single" w:sz="12" w:space="0" w:color="auto"/>
              <w:bottom w:val="single" w:sz="36" w:space="0" w:color="auto"/>
            </w:tcBorders>
            <w:vAlign w:val="center"/>
          </w:tcPr>
          <w:p w:rsidR="00C9161D" w:rsidRDefault="002A46FD" w:rsidP="00C9161D">
            <w:r w:rsidRPr="002A46FD">
              <w:rPr>
                <w:noProof/>
                <w:lang w:val="es-ES" w:eastAsia="es-ES"/>
              </w:rPr>
              <w:drawing>
                <wp:inline distT="0" distB="0" distL="0" distR="0">
                  <wp:extent cx="2908300" cy="1047750"/>
                  <wp:effectExtent l="19050" t="0" r="6350" b="0"/>
                  <wp:docPr id="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a:srcRect/>
                          <a:stretch>
                            <a:fillRect/>
                          </a:stretch>
                        </pic:blipFill>
                        <pic:spPr bwMode="auto">
                          <a:xfrm>
                            <a:off x="0" y="0"/>
                            <a:ext cx="2908300" cy="1047750"/>
                          </a:xfrm>
                          <a:prstGeom prst="rect">
                            <a:avLst/>
                          </a:prstGeom>
                          <a:noFill/>
                          <a:ln w="9525">
                            <a:noFill/>
                            <a:miter lim="800000"/>
                            <a:headEnd/>
                            <a:tailEnd/>
                          </a:ln>
                        </pic:spPr>
                      </pic:pic>
                    </a:graphicData>
                  </a:graphic>
                </wp:inline>
              </w:drawing>
            </w:r>
          </w:p>
        </w:tc>
        <w:tc>
          <w:tcPr>
            <w:tcW w:w="4115" w:type="dxa"/>
            <w:tcBorders>
              <w:top w:val="single" w:sz="12" w:space="0" w:color="auto"/>
              <w:bottom w:val="single" w:sz="36" w:space="0" w:color="auto"/>
            </w:tcBorders>
          </w:tcPr>
          <w:p w:rsidR="00C9161D" w:rsidRPr="002742EE" w:rsidRDefault="00C9161D" w:rsidP="00176CEE">
            <w:pPr>
              <w:ind w:left="1215"/>
              <w:rPr>
                <w:szCs w:val="22"/>
                <w:lang w:val="es-ES"/>
              </w:rPr>
            </w:pPr>
            <w:proofErr w:type="spellStart"/>
            <w:r w:rsidRPr="002742EE">
              <w:rPr>
                <w:szCs w:val="22"/>
                <w:lang w:val="es-ES"/>
              </w:rPr>
              <w:t>Distr</w:t>
            </w:r>
            <w:proofErr w:type="spellEnd"/>
            <w:r w:rsidRPr="002742EE">
              <w:rPr>
                <w:szCs w:val="22"/>
                <w:lang w:val="es-ES"/>
              </w:rPr>
              <w:t>.</w:t>
            </w:r>
          </w:p>
          <w:p w:rsidR="00C9161D" w:rsidRPr="00493938" w:rsidRDefault="00B26ACD" w:rsidP="00176CEE">
            <w:pPr>
              <w:ind w:left="1215"/>
              <w:rPr>
                <w:szCs w:val="22"/>
                <w:lang w:val="es-ES"/>
              </w:rPr>
            </w:pPr>
            <w:r w:rsidRPr="00493938">
              <w:rPr>
                <w:caps/>
                <w:szCs w:val="22"/>
                <w:lang w:val="es-ES"/>
              </w:rPr>
              <w:t>LIMIT</w:t>
            </w:r>
            <w:r w:rsidR="002A46FD" w:rsidRPr="00493938">
              <w:rPr>
                <w:caps/>
                <w:szCs w:val="22"/>
                <w:lang w:val="es-ES"/>
              </w:rPr>
              <w:t>ADA</w:t>
            </w:r>
          </w:p>
          <w:p w:rsidR="00C9161D" w:rsidRPr="00493938" w:rsidRDefault="00C9161D" w:rsidP="00176CEE">
            <w:pPr>
              <w:ind w:left="1215"/>
              <w:rPr>
                <w:szCs w:val="22"/>
                <w:lang w:val="es-ES"/>
              </w:rPr>
            </w:pPr>
          </w:p>
          <w:p w:rsidR="00C9161D" w:rsidRPr="00493938" w:rsidRDefault="002742EE" w:rsidP="00176CEE">
            <w:pPr>
              <w:ind w:left="1215"/>
              <w:rPr>
                <w:szCs w:val="22"/>
                <w:lang w:val="es-ES"/>
              </w:rPr>
            </w:pPr>
            <w:sdt>
              <w:sdtPr>
                <w:rPr>
                  <w:lang w:val="es-E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Pr="002742EE">
                  <w:rPr>
                    <w:lang w:val="es-ES"/>
                  </w:rPr>
                  <w:t>CBD/NP/MOP/4/L.12</w:t>
                </w:r>
              </w:sdtContent>
            </w:sdt>
          </w:p>
          <w:p w:rsidR="00C9161D" w:rsidRPr="002A46FD" w:rsidRDefault="007E0129" w:rsidP="00176CEE">
            <w:pPr>
              <w:ind w:left="1215"/>
              <w:rPr>
                <w:szCs w:val="22"/>
                <w:lang w:val="es-ES"/>
              </w:rPr>
            </w:pPr>
            <w:r w:rsidRPr="002A46FD">
              <w:rPr>
                <w:szCs w:val="22"/>
                <w:lang w:val="es-ES"/>
              </w:rPr>
              <w:t>1</w:t>
            </w:r>
            <w:r w:rsidR="004C01A1" w:rsidRPr="002A46FD">
              <w:rPr>
                <w:szCs w:val="22"/>
                <w:lang w:val="es-ES"/>
              </w:rPr>
              <w:t>9</w:t>
            </w:r>
            <w:r w:rsidR="00EF7376" w:rsidRPr="002A46FD">
              <w:rPr>
                <w:szCs w:val="22"/>
                <w:lang w:val="es-ES"/>
              </w:rPr>
              <w:t xml:space="preserve"> </w:t>
            </w:r>
            <w:r w:rsidR="002A46FD" w:rsidRPr="002A46FD">
              <w:rPr>
                <w:szCs w:val="22"/>
                <w:lang w:val="es-ES"/>
              </w:rPr>
              <w:t>de diciembre de</w:t>
            </w:r>
            <w:r w:rsidR="00F6586C" w:rsidRPr="002A46FD">
              <w:rPr>
                <w:szCs w:val="22"/>
                <w:lang w:val="es-ES"/>
              </w:rPr>
              <w:t xml:space="preserve"> 20</w:t>
            </w:r>
            <w:r w:rsidR="00FC25F8" w:rsidRPr="002A46FD">
              <w:rPr>
                <w:szCs w:val="22"/>
                <w:lang w:val="es-ES"/>
              </w:rPr>
              <w:t>2</w:t>
            </w:r>
            <w:r w:rsidR="00B26ACD" w:rsidRPr="002A46FD">
              <w:rPr>
                <w:szCs w:val="22"/>
                <w:lang w:val="es-ES"/>
              </w:rPr>
              <w:t>2</w:t>
            </w:r>
          </w:p>
          <w:p w:rsidR="00C9161D" w:rsidRPr="002A46FD" w:rsidRDefault="00C9161D" w:rsidP="00176CEE">
            <w:pPr>
              <w:ind w:left="1215"/>
              <w:rPr>
                <w:szCs w:val="22"/>
                <w:lang w:val="es-ES"/>
              </w:rPr>
            </w:pPr>
          </w:p>
          <w:p w:rsidR="002A46FD" w:rsidRDefault="002A46FD" w:rsidP="00176CEE">
            <w:pPr>
              <w:ind w:left="1215"/>
              <w:rPr>
                <w:szCs w:val="22"/>
                <w:lang w:val="es-ES"/>
              </w:rPr>
            </w:pPr>
            <w:r>
              <w:rPr>
                <w:szCs w:val="22"/>
                <w:lang w:val="es-ES"/>
              </w:rPr>
              <w:t>ESPAÑOL</w:t>
            </w:r>
          </w:p>
          <w:p w:rsidR="00C9161D" w:rsidRPr="002A46FD" w:rsidRDefault="006B2290" w:rsidP="00176CEE">
            <w:pPr>
              <w:ind w:left="1215"/>
              <w:rPr>
                <w:szCs w:val="22"/>
                <w:lang w:val="es-ES"/>
              </w:rPr>
            </w:pPr>
            <w:r w:rsidRPr="002A46FD">
              <w:rPr>
                <w:szCs w:val="22"/>
                <w:lang w:val="es-ES"/>
              </w:rPr>
              <w:t xml:space="preserve">ORIGINAL: </w:t>
            </w:r>
            <w:r w:rsidR="002A46FD">
              <w:rPr>
                <w:szCs w:val="22"/>
                <w:lang w:val="es-ES"/>
              </w:rPr>
              <w:t>INGLÉS</w:t>
            </w:r>
          </w:p>
          <w:p w:rsidR="00C9161D" w:rsidRPr="002A46FD" w:rsidRDefault="00C9161D">
            <w:pPr>
              <w:rPr>
                <w:lang w:val="es-ES"/>
              </w:rPr>
            </w:pPr>
          </w:p>
        </w:tc>
      </w:tr>
    </w:tbl>
    <w:p w:rsidR="003B7BB2" w:rsidRPr="00EB2A20" w:rsidRDefault="00EB2A20" w:rsidP="00BA33A0">
      <w:pPr>
        <w:pStyle w:val="Cornernotation"/>
        <w:kinsoku w:val="0"/>
        <w:overflowPunct w:val="0"/>
        <w:autoSpaceDE w:val="0"/>
        <w:autoSpaceDN w:val="0"/>
        <w:spacing w:before="60"/>
        <w:ind w:left="227" w:right="3792" w:hanging="227"/>
        <w:rPr>
          <w:snapToGrid w:val="0"/>
          <w:kern w:val="22"/>
          <w:lang w:val="es-ES"/>
        </w:rPr>
      </w:pPr>
      <w:r>
        <w:rPr>
          <w:color w:val="000000"/>
          <w:kern w:val="22"/>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rsidR="00EB2A20" w:rsidRPr="00E414CA" w:rsidRDefault="00EB2A20" w:rsidP="00EB2A20">
      <w:pPr>
        <w:pStyle w:val="Cornernotation"/>
        <w:kinsoku w:val="0"/>
        <w:overflowPunct w:val="0"/>
        <w:autoSpaceDE w:val="0"/>
        <w:autoSpaceDN w:val="0"/>
        <w:ind w:right="3973"/>
        <w:rPr>
          <w:snapToGrid w:val="0"/>
          <w:color w:val="000000"/>
          <w:kern w:val="22"/>
          <w:lang w:val="es-ES"/>
        </w:rPr>
      </w:pPr>
      <w:r w:rsidRPr="00E414CA">
        <w:rPr>
          <w:snapToGrid w:val="0"/>
          <w:color w:val="000000"/>
          <w:kern w:val="22"/>
          <w:lang w:val="es-ES"/>
        </w:rPr>
        <w:t>Cuarta reunión - Parte II</w:t>
      </w:r>
    </w:p>
    <w:p w:rsidR="003B7BB2" w:rsidRPr="00EB2A20" w:rsidRDefault="00EB2A20" w:rsidP="00EB2A20">
      <w:pPr>
        <w:pStyle w:val="Cornernotation"/>
        <w:kinsoku w:val="0"/>
        <w:overflowPunct w:val="0"/>
        <w:autoSpaceDE w:val="0"/>
        <w:autoSpaceDN w:val="0"/>
        <w:ind w:left="0" w:right="3792" w:firstLine="0"/>
        <w:rPr>
          <w:snapToGrid w:val="0"/>
          <w:kern w:val="22"/>
          <w:szCs w:val="22"/>
          <w:lang w:val="es-ES" w:eastAsia="nb-NO"/>
        </w:rPr>
      </w:pPr>
      <w:r w:rsidRPr="00E414CA">
        <w:rPr>
          <w:lang w:val="es-ES"/>
        </w:rPr>
        <w:t>Montreal (Canadá), 7 a 19 de diciembre de 2022</w:t>
      </w:r>
    </w:p>
    <w:p w:rsidR="00C9161D" w:rsidRPr="00EB2A20" w:rsidRDefault="00EB2A20" w:rsidP="00BA33A0">
      <w:pPr>
        <w:ind w:right="3792"/>
        <w:rPr>
          <w:lang w:val="es-ES"/>
        </w:rPr>
      </w:pPr>
      <w:r w:rsidRPr="00EB2A20">
        <w:rPr>
          <w:snapToGrid w:val="0"/>
          <w:kern w:val="22"/>
          <w:szCs w:val="22"/>
          <w:lang w:val="es-ES"/>
        </w:rPr>
        <w:t>Tema 13 del programa</w:t>
      </w:r>
    </w:p>
    <w:p w:rsidR="00C9161D" w:rsidRPr="00EB2A20" w:rsidRDefault="00F552D9" w:rsidP="007A45B6">
      <w:pPr>
        <w:spacing w:before="240" w:after="240"/>
        <w:jc w:val="center"/>
        <w:rPr>
          <w:b/>
          <w:caps/>
          <w:lang w:val="es-ES"/>
        </w:rPr>
      </w:pPr>
      <w:sdt>
        <w:sdtPr>
          <w:rPr>
            <w:rFonts w:ascii="Times New Roman Bold" w:hAnsi="Times New Roman Bold"/>
            <w:b/>
            <w:kern w:val="22"/>
            <w:szCs w:val="22"/>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EB2A20" w:rsidRPr="002742EE">
            <w:rPr>
              <w:rFonts w:ascii="Times New Roman Bold" w:hAnsi="Times New Roman Bold"/>
              <w:b/>
              <w:kern w:val="22"/>
              <w:szCs w:val="22"/>
              <w:lang w:val="es-ES"/>
            </w:rPr>
            <w:t xml:space="preserve">Mejora de la aplicación del Protocolo de </w:t>
          </w:r>
          <w:r w:rsidR="00E42B5A" w:rsidRPr="002742EE">
            <w:rPr>
              <w:rFonts w:ascii="Times New Roman Bold" w:hAnsi="Times New Roman Bold"/>
              <w:b/>
              <w:kern w:val="22"/>
              <w:szCs w:val="22"/>
              <w:lang w:val="es-ES"/>
            </w:rPr>
            <w:t>Nagoya</w:t>
          </w:r>
          <w:r w:rsidR="00EB2A20" w:rsidRPr="002742EE">
            <w:rPr>
              <w:rFonts w:ascii="Times New Roman Bold" w:hAnsi="Times New Roman Bold"/>
              <w:b/>
              <w:kern w:val="22"/>
              <w:szCs w:val="22"/>
              <w:lang w:val="es-ES"/>
            </w:rPr>
            <w:t xml:space="preserve"> en el contexto del marco mundial de la diversidad biológica posterior a </w:t>
          </w:r>
          <w:r w:rsidR="000874A3" w:rsidRPr="002742EE">
            <w:rPr>
              <w:rFonts w:ascii="Times New Roman Bold" w:hAnsi="Times New Roman Bold"/>
              <w:b/>
              <w:kern w:val="22"/>
              <w:szCs w:val="22"/>
              <w:lang w:val="es-ES"/>
            </w:rPr>
            <w:t>2020</w:t>
          </w:r>
        </w:sdtContent>
      </w:sdt>
    </w:p>
    <w:p w:rsidR="00F6586C" w:rsidRPr="00EB2A20" w:rsidRDefault="00EB2A20" w:rsidP="00A1252A">
      <w:pPr>
        <w:pStyle w:val="Style1"/>
        <w:outlineLvl w:val="9"/>
        <w:rPr>
          <w:bCs w:val="0"/>
          <w:i w:val="0"/>
          <w:iCs w:val="0"/>
          <w:lang w:val="es-ES"/>
        </w:rPr>
      </w:pPr>
      <w:r w:rsidRPr="00EB2A20">
        <w:rPr>
          <w:bCs w:val="0"/>
          <w:i w:val="0"/>
          <w:iCs w:val="0"/>
          <w:lang w:val="es-ES"/>
        </w:rPr>
        <w:t>Proyecto de decisión presentado por la Presidencia</w:t>
      </w:r>
      <w:r w:rsidR="002742EE">
        <w:rPr>
          <w:bCs w:val="0"/>
          <w:i w:val="0"/>
          <w:iCs w:val="0"/>
          <w:lang w:val="es-ES"/>
        </w:rPr>
        <w:t xml:space="preserve"> del Grupo de Trabajo I</w:t>
      </w:r>
    </w:p>
    <w:p w:rsidR="00AB2545" w:rsidRPr="00EB2A20" w:rsidRDefault="00EB2A20" w:rsidP="00AB2545">
      <w:pPr>
        <w:spacing w:before="120" w:after="120"/>
        <w:ind w:firstLine="720"/>
        <w:rPr>
          <w:rFonts w:eastAsia="Malgun Gothic"/>
          <w:i/>
          <w:color w:val="000000" w:themeColor="text1"/>
          <w:kern w:val="20"/>
          <w:lang w:val="es-ES"/>
        </w:rPr>
      </w:pPr>
      <w:r w:rsidRPr="00EB2A20">
        <w:rPr>
          <w:rFonts w:eastAsia="Malgun Gothic"/>
          <w:i/>
          <w:color w:val="000000" w:themeColor="text1"/>
          <w:kern w:val="20"/>
          <w:lang w:val="es-ES"/>
        </w:rPr>
        <w:t>La Conferencia de las</w:t>
      </w:r>
      <w:r w:rsidRPr="0031744A">
        <w:rPr>
          <w:i/>
          <w:lang w:val="es-ES"/>
        </w:rPr>
        <w:t xml:space="preserve"> Partes que actúa como reunión de las Partes en el Protocolo de Nagoya</w:t>
      </w:r>
      <w:r w:rsidR="004C01A1" w:rsidRPr="00EB2A20">
        <w:rPr>
          <w:rFonts w:eastAsia="Malgun Gothic"/>
          <w:i/>
          <w:color w:val="000000" w:themeColor="text1"/>
          <w:kern w:val="20"/>
          <w:lang w:val="es-ES"/>
        </w:rPr>
        <w:t>,</w:t>
      </w:r>
    </w:p>
    <w:p w:rsidR="00B64A97" w:rsidRPr="002742EE" w:rsidRDefault="00B64A97" w:rsidP="00B64A97">
      <w:pPr>
        <w:spacing w:before="120" w:after="120"/>
        <w:ind w:firstLine="720"/>
        <w:rPr>
          <w:rFonts w:eastAsia="Malgun Gothic"/>
          <w:i/>
          <w:iCs/>
          <w:color w:val="000000" w:themeColor="text1"/>
          <w:kern w:val="20"/>
          <w:lang w:val="es-ES"/>
        </w:rPr>
      </w:pPr>
      <w:r w:rsidRPr="002742EE">
        <w:rPr>
          <w:rFonts w:eastAsia="Malgun Gothic"/>
          <w:i/>
          <w:iCs/>
          <w:color w:val="000000" w:themeColor="text1"/>
          <w:kern w:val="20"/>
          <w:lang w:val="es-ES"/>
        </w:rPr>
        <w:t>Rec</w:t>
      </w:r>
      <w:r w:rsidR="00EB2A20" w:rsidRPr="002742EE">
        <w:rPr>
          <w:rFonts w:eastAsia="Malgun Gothic"/>
          <w:i/>
          <w:iCs/>
          <w:color w:val="000000" w:themeColor="text1"/>
          <w:kern w:val="20"/>
          <w:lang w:val="es-ES"/>
        </w:rPr>
        <w:t>ordando</w:t>
      </w:r>
      <w:r w:rsidRPr="002742EE">
        <w:rPr>
          <w:rFonts w:eastAsia="Malgun Gothic"/>
          <w:i/>
          <w:iCs/>
          <w:color w:val="000000" w:themeColor="text1"/>
          <w:kern w:val="20"/>
          <w:lang w:val="es-ES"/>
        </w:rPr>
        <w:t xml:space="preserve"> </w:t>
      </w:r>
      <w:r w:rsidR="00EB2A20" w:rsidRPr="002742EE">
        <w:rPr>
          <w:rFonts w:eastAsia="Malgun Gothic"/>
          <w:iCs/>
          <w:color w:val="000000" w:themeColor="text1"/>
          <w:kern w:val="20"/>
          <w:lang w:val="es-ES"/>
        </w:rPr>
        <w:t>la decisión</w:t>
      </w:r>
      <w:r w:rsidRPr="002742EE">
        <w:rPr>
          <w:rFonts w:eastAsia="Malgun Gothic"/>
          <w:iCs/>
          <w:color w:val="000000" w:themeColor="text1"/>
          <w:kern w:val="20"/>
          <w:lang w:val="es-ES"/>
        </w:rPr>
        <w:t xml:space="preserve"> NP-3/15</w:t>
      </w:r>
      <w:r w:rsidRPr="002742EE">
        <w:rPr>
          <w:rFonts w:eastAsia="Malgun Gothic"/>
          <w:i/>
          <w:color w:val="000000" w:themeColor="text1"/>
          <w:kern w:val="20"/>
          <w:lang w:val="es-ES"/>
        </w:rPr>
        <w:t>,</w:t>
      </w:r>
    </w:p>
    <w:p w:rsidR="00B64A97" w:rsidRPr="00EB2A20" w:rsidRDefault="00EB2A20" w:rsidP="00B64A97">
      <w:pPr>
        <w:spacing w:before="120" w:after="120"/>
        <w:ind w:firstLine="720"/>
        <w:rPr>
          <w:rFonts w:eastAsia="Malgun Gothic"/>
          <w:i/>
          <w:color w:val="000000" w:themeColor="text1"/>
          <w:kern w:val="20"/>
          <w:lang w:val="es-ES"/>
        </w:rPr>
      </w:pPr>
      <w:r w:rsidRPr="0031744A">
        <w:rPr>
          <w:i/>
          <w:color w:val="000000"/>
          <w:lang w:val="es-ES"/>
        </w:rPr>
        <w:t>Subrayando</w:t>
      </w:r>
      <w:r w:rsidRPr="0031744A">
        <w:rPr>
          <w:color w:val="000000"/>
          <w:lang w:val="es-ES"/>
        </w:rPr>
        <w:t xml:space="preserve"> la importancia de avanzar de manera equilibrada hacia el tercer objetivo del Convenio y el objetivo del Protocolo de Nagoya en el contexto del marco mundial de la diversidad biológica posterior a 2020</w:t>
      </w:r>
      <w:r w:rsidR="00B64A97" w:rsidRPr="00EB2A20">
        <w:rPr>
          <w:rFonts w:eastAsia="Malgun Gothic"/>
          <w:iCs/>
          <w:color w:val="000000" w:themeColor="text1"/>
          <w:kern w:val="20"/>
          <w:lang w:val="es-ES"/>
        </w:rPr>
        <w:t>,</w:t>
      </w:r>
    </w:p>
    <w:p w:rsidR="00085DAA" w:rsidRPr="00EB2A20" w:rsidRDefault="00EB2A20" w:rsidP="00613D97">
      <w:pPr>
        <w:pStyle w:val="Prrafodelista"/>
        <w:numPr>
          <w:ilvl w:val="0"/>
          <w:numId w:val="19"/>
        </w:numPr>
        <w:spacing w:before="120" w:after="120"/>
        <w:ind w:left="0" w:firstLine="709"/>
        <w:contextualSpacing w:val="0"/>
        <w:rPr>
          <w:rFonts w:eastAsia="Malgun Gothic"/>
          <w:i/>
          <w:color w:val="000000" w:themeColor="text1"/>
          <w:kern w:val="20"/>
          <w:lang w:val="es-ES"/>
        </w:rPr>
      </w:pPr>
      <w:r w:rsidRPr="00EB2A20">
        <w:rPr>
          <w:rFonts w:eastAsia="Malgun Gothic"/>
          <w:i/>
          <w:iCs/>
          <w:color w:val="000000" w:themeColor="text1"/>
          <w:kern w:val="20"/>
          <w:lang w:val="es-ES"/>
        </w:rPr>
        <w:t>Acoge</w:t>
      </w:r>
      <w:r w:rsidRPr="0031744A">
        <w:rPr>
          <w:i/>
          <w:lang w:val="es-ES"/>
        </w:rPr>
        <w:t xml:space="preserve"> con beneplácito </w:t>
      </w:r>
      <w:r w:rsidRPr="0031744A">
        <w:rPr>
          <w:lang w:val="es-ES"/>
        </w:rPr>
        <w:t xml:space="preserve">la decisión 15/-- mediante la que la Conferencia de las Partes </w:t>
      </w:r>
      <w:r>
        <w:rPr>
          <w:lang w:val="es-ES"/>
        </w:rPr>
        <w:t xml:space="preserve"> en  el Convenio </w:t>
      </w:r>
      <w:r w:rsidRPr="0031744A">
        <w:rPr>
          <w:lang w:val="es-ES"/>
        </w:rPr>
        <w:t>adopta el marco mundial de la diversidad biológica posterior a 2020 como marco mundial flexible para que todas las Partes y las partes interesadas tomen medidas con el fin de hacer realidad la Visión 2050 para la Diversidad Biológica y alcanzar los tres objetivos del Convenio junto con el objetivo del Protocolo de Nagoy</w:t>
      </w:r>
      <w:r>
        <w:rPr>
          <w:lang w:val="es-ES"/>
        </w:rPr>
        <w:t>a</w:t>
      </w:r>
      <w:r w:rsidR="00DC6882" w:rsidRPr="00EB2A20">
        <w:rPr>
          <w:rFonts w:eastAsia="Malgun Gothic"/>
          <w:iCs/>
          <w:color w:val="000000" w:themeColor="text1"/>
          <w:kern w:val="20"/>
          <w:lang w:val="es-ES"/>
        </w:rPr>
        <w:t>;</w:t>
      </w:r>
    </w:p>
    <w:p w:rsidR="00DC6882" w:rsidRPr="00493938" w:rsidRDefault="00493938" w:rsidP="00613D97">
      <w:pPr>
        <w:pStyle w:val="Prrafodelista"/>
        <w:numPr>
          <w:ilvl w:val="0"/>
          <w:numId w:val="19"/>
        </w:numPr>
        <w:spacing w:before="120" w:after="120"/>
        <w:ind w:left="0" w:firstLine="709"/>
        <w:contextualSpacing w:val="0"/>
        <w:rPr>
          <w:rFonts w:eastAsia="Malgun Gothic"/>
          <w:i/>
          <w:color w:val="000000" w:themeColor="text1"/>
          <w:kern w:val="20"/>
          <w:lang w:val="es-ES"/>
        </w:rPr>
      </w:pPr>
      <w:r w:rsidRPr="0031744A">
        <w:rPr>
          <w:i/>
          <w:lang w:val="es-ES"/>
        </w:rPr>
        <w:t xml:space="preserve">Hace suyo </w:t>
      </w:r>
      <w:r w:rsidRPr="0031744A">
        <w:rPr>
          <w:lang w:val="es-ES"/>
        </w:rPr>
        <w:t>el marco mundial de la diversidad biológica posterior a 2020 que figura en el anexo de la decisión 15/-- de la Conferencia de las Partes</w:t>
      </w:r>
      <w:r w:rsidRPr="00493938">
        <w:rPr>
          <w:rFonts w:eastAsia="Malgun Gothic"/>
          <w:i/>
          <w:color w:val="000000" w:themeColor="text1"/>
          <w:kern w:val="20"/>
          <w:lang w:val="es-ES"/>
        </w:rPr>
        <w:t xml:space="preserve"> </w:t>
      </w:r>
      <w:r>
        <w:rPr>
          <w:rFonts w:eastAsia="Malgun Gothic"/>
          <w:color w:val="000000" w:themeColor="text1"/>
          <w:kern w:val="20"/>
          <w:lang w:val="es-ES"/>
        </w:rPr>
        <w:t xml:space="preserve">y </w:t>
      </w:r>
      <w:r>
        <w:rPr>
          <w:rFonts w:eastAsia="Malgun Gothic"/>
          <w:i/>
          <w:color w:val="000000" w:themeColor="text1"/>
          <w:kern w:val="20"/>
          <w:lang w:val="es-ES"/>
        </w:rPr>
        <w:t xml:space="preserve">toma nota </w:t>
      </w:r>
      <w:r>
        <w:rPr>
          <w:rFonts w:eastAsia="Malgun Gothic"/>
          <w:color w:val="000000" w:themeColor="text1"/>
          <w:kern w:val="20"/>
          <w:lang w:val="es-ES"/>
        </w:rPr>
        <w:t>de las decisiones conexas</w:t>
      </w:r>
      <w:r w:rsidR="00DC6882" w:rsidRPr="00493938">
        <w:rPr>
          <w:rFonts w:eastAsia="Malgun Gothic"/>
          <w:i/>
          <w:color w:val="000000" w:themeColor="text1"/>
          <w:kern w:val="20"/>
          <w:lang w:val="es-ES"/>
        </w:rPr>
        <w:t>;</w:t>
      </w:r>
    </w:p>
    <w:p w:rsidR="00DC6882" w:rsidRPr="00493938" w:rsidRDefault="00493938" w:rsidP="00613D97">
      <w:pPr>
        <w:pStyle w:val="Prrafodelista"/>
        <w:numPr>
          <w:ilvl w:val="0"/>
          <w:numId w:val="19"/>
        </w:numPr>
        <w:spacing w:before="120" w:after="120"/>
        <w:ind w:left="0" w:firstLine="709"/>
        <w:contextualSpacing w:val="0"/>
        <w:rPr>
          <w:rFonts w:eastAsia="Malgun Gothic"/>
          <w:i/>
          <w:color w:val="000000" w:themeColor="text1"/>
          <w:kern w:val="20"/>
          <w:lang w:val="es-ES"/>
        </w:rPr>
      </w:pPr>
      <w:r w:rsidRPr="0031744A">
        <w:rPr>
          <w:i/>
          <w:lang w:val="es-ES"/>
        </w:rPr>
        <w:t>Invita</w:t>
      </w:r>
      <w:r w:rsidRPr="0031744A">
        <w:rPr>
          <w:lang w:val="es-ES"/>
        </w:rPr>
        <w:t xml:space="preserve"> a las Partes, y </w:t>
      </w:r>
      <w:r w:rsidRPr="0031744A">
        <w:rPr>
          <w:i/>
          <w:lang w:val="es-ES"/>
        </w:rPr>
        <w:t>alienta</w:t>
      </w:r>
      <w:r>
        <w:rPr>
          <w:i/>
          <w:lang w:val="es-ES"/>
        </w:rPr>
        <w:t xml:space="preserve"> </w:t>
      </w:r>
      <w:r w:rsidRPr="0031744A">
        <w:rPr>
          <w:lang w:val="es-ES"/>
        </w:rPr>
        <w:t xml:space="preserve">a </w:t>
      </w:r>
      <w:r>
        <w:rPr>
          <w:lang w:val="es-ES"/>
        </w:rPr>
        <w:t>otros Gobiernos</w:t>
      </w:r>
      <w:r w:rsidRPr="0031744A">
        <w:rPr>
          <w:lang w:val="es-ES"/>
        </w:rPr>
        <w:t>, a que adopten el enfoque de la planificación, el seguimiento, la presentación de informes y la revisión en el marco del Convenio con el fin de mejorar la aplicación del Protocolo de Nagoya y la integración del acceso y participación en los beneficios en las estrategias y planes de acción nacionales en materia de diversidad biológica que revisen o actualicen</w:t>
      </w:r>
      <w:r w:rsidR="00DC6882" w:rsidRPr="00493938">
        <w:rPr>
          <w:rFonts w:eastAsia="Malgun Gothic"/>
          <w:i/>
          <w:color w:val="000000" w:themeColor="text1"/>
          <w:kern w:val="20"/>
          <w:lang w:val="es-ES"/>
        </w:rPr>
        <w:t>.</w:t>
      </w:r>
    </w:p>
    <w:p w:rsidR="00B64A97" w:rsidRPr="00493938" w:rsidRDefault="00B64A97" w:rsidP="00AB2545">
      <w:pPr>
        <w:spacing w:before="120" w:after="120"/>
        <w:ind w:firstLine="720"/>
        <w:rPr>
          <w:rFonts w:eastAsia="Malgun Gothic"/>
          <w:i/>
          <w:color w:val="000000" w:themeColor="text1"/>
          <w:kern w:val="20"/>
          <w:lang w:val="es-ES"/>
        </w:rPr>
      </w:pPr>
    </w:p>
    <w:p w:rsidR="00B3369F" w:rsidRPr="00C9161D" w:rsidRDefault="00C9161D" w:rsidP="005F0F43">
      <w:pPr>
        <w:jc w:val="center"/>
      </w:pPr>
      <w:r w:rsidRPr="00C9161D">
        <w:t>_____</w:t>
      </w:r>
      <w:r w:rsidR="00EF7376">
        <w:t>_____</w:t>
      </w:r>
    </w:p>
    <w:sectPr w:rsidR="00B3369F" w:rsidRPr="00C9161D" w:rsidSect="00F9496C">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4009" w:rsidRDefault="00404009" w:rsidP="00CF1848">
      <w:r>
        <w:separator/>
      </w:r>
    </w:p>
  </w:endnote>
  <w:endnote w:type="continuationSeparator" w:id="1">
    <w:p w:rsidR="00404009" w:rsidRDefault="00404009"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4009" w:rsidRDefault="00404009" w:rsidP="00CF1848">
      <w:r>
        <w:separator/>
      </w:r>
    </w:p>
  </w:footnote>
  <w:footnote w:type="continuationSeparator" w:id="1">
    <w:p w:rsidR="00404009" w:rsidRDefault="00404009" w:rsidP="00CF18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US"/>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613D97" w:rsidRDefault="002742EE" w:rsidP="00534681">
        <w:pPr>
          <w:pStyle w:val="Encabezado"/>
          <w:rPr>
            <w:lang w:val="en-US"/>
          </w:rPr>
        </w:pPr>
        <w:r>
          <w:rPr>
            <w:lang w:val="es-ES"/>
          </w:rPr>
          <w:t>CBD/NP/MOP/4/L.12</w:t>
        </w:r>
      </w:p>
    </w:sdtContent>
  </w:sdt>
  <w:p w:rsidR="00534681" w:rsidRPr="00134846" w:rsidRDefault="00534681" w:rsidP="00534681">
    <w:pPr>
      <w:pStyle w:val="Encabezado"/>
      <w:rPr>
        <w:lang w:val="fr-FR"/>
      </w:rPr>
    </w:pPr>
    <w:r w:rsidRPr="00134846">
      <w:rPr>
        <w:lang w:val="fr-FR"/>
      </w:rPr>
      <w:t xml:space="preserve">Page </w:t>
    </w:r>
    <w:r w:rsidR="00F552D9">
      <w:fldChar w:fldCharType="begin"/>
    </w:r>
    <w:r w:rsidRPr="00134846">
      <w:rPr>
        <w:lang w:val="fr-FR"/>
      </w:rPr>
      <w:instrText xml:space="preserve"> PAGE   \* MERGEFORMAT </w:instrText>
    </w:r>
    <w:r w:rsidR="00F552D9">
      <w:fldChar w:fldCharType="separate"/>
    </w:r>
    <w:r w:rsidR="00F6586C" w:rsidRPr="00134846">
      <w:rPr>
        <w:noProof/>
        <w:lang w:val="fr-FR"/>
      </w:rPr>
      <w:t>2</w:t>
    </w:r>
    <w:r w:rsidR="00F552D9">
      <w:rPr>
        <w:noProof/>
      </w:rPr>
      <w:fldChar w:fldCharType="end"/>
    </w:r>
  </w:p>
  <w:p w:rsidR="00534681" w:rsidRPr="00134846" w:rsidRDefault="00534681">
    <w:pPr>
      <w:pStyle w:val="Encabezado"/>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US"/>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613D97" w:rsidRDefault="002742EE" w:rsidP="009505C9">
        <w:pPr>
          <w:pStyle w:val="Encabezado"/>
          <w:jc w:val="right"/>
          <w:rPr>
            <w:lang w:val="en-US"/>
          </w:rPr>
        </w:pPr>
        <w:r>
          <w:rPr>
            <w:lang w:val="es-ES"/>
          </w:rPr>
          <w:t>CBD/NP/MOP/4/L.12</w:t>
        </w:r>
      </w:p>
    </w:sdtContent>
  </w:sdt>
  <w:p w:rsidR="009505C9" w:rsidRPr="00134846" w:rsidRDefault="009505C9" w:rsidP="009505C9">
    <w:pPr>
      <w:pStyle w:val="Encabezado"/>
      <w:jc w:val="right"/>
      <w:rPr>
        <w:lang w:val="fr-FR"/>
      </w:rPr>
    </w:pPr>
    <w:r w:rsidRPr="00134846">
      <w:rPr>
        <w:lang w:val="fr-FR"/>
      </w:rPr>
      <w:t xml:space="preserve">Page </w:t>
    </w:r>
    <w:r w:rsidR="00F552D9">
      <w:fldChar w:fldCharType="begin"/>
    </w:r>
    <w:r w:rsidRPr="00134846">
      <w:rPr>
        <w:lang w:val="fr-FR"/>
      </w:rPr>
      <w:instrText xml:space="preserve"> PAGE   \* MERGEFORMAT </w:instrText>
    </w:r>
    <w:r w:rsidR="00F552D9">
      <w:fldChar w:fldCharType="separate"/>
    </w:r>
    <w:r w:rsidR="00F6586C" w:rsidRPr="00134846">
      <w:rPr>
        <w:noProof/>
        <w:lang w:val="fr-FR"/>
      </w:rPr>
      <w:t>3</w:t>
    </w:r>
    <w:r w:rsidR="00F552D9">
      <w:rPr>
        <w:noProof/>
      </w:rPr>
      <w:fldChar w:fldCharType="end"/>
    </w:r>
  </w:p>
  <w:p w:rsidR="009505C9" w:rsidRPr="00134846" w:rsidRDefault="009505C9">
    <w:pPr>
      <w:pStyle w:val="Encabezado"/>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6626E74"/>
    <w:multiLevelType w:val="hybridMultilevel"/>
    <w:tmpl w:val="525849BE"/>
    <w:lvl w:ilvl="0" w:tplc="7DCC7ADA">
      <w:start w:val="1"/>
      <w:numFmt w:val="decimal"/>
      <w:lvlText w:val="%1."/>
      <w:lvlJc w:val="left"/>
      <w:pPr>
        <w:ind w:left="2084" w:hanging="360"/>
      </w:pPr>
      <w:rPr>
        <w:rFonts w:hint="default"/>
        <w:i w:val="0"/>
        <w:iCs/>
      </w:rPr>
    </w:lvl>
    <w:lvl w:ilvl="1" w:tplc="10090019" w:tentative="1">
      <w:start w:val="1"/>
      <w:numFmt w:val="lowerLetter"/>
      <w:lvlText w:val="%2."/>
      <w:lvlJc w:val="left"/>
      <w:pPr>
        <w:ind w:left="2804" w:hanging="360"/>
      </w:pPr>
    </w:lvl>
    <w:lvl w:ilvl="2" w:tplc="1009001B" w:tentative="1">
      <w:start w:val="1"/>
      <w:numFmt w:val="lowerRoman"/>
      <w:lvlText w:val="%3."/>
      <w:lvlJc w:val="right"/>
      <w:pPr>
        <w:ind w:left="3524" w:hanging="180"/>
      </w:pPr>
    </w:lvl>
    <w:lvl w:ilvl="3" w:tplc="1009000F" w:tentative="1">
      <w:start w:val="1"/>
      <w:numFmt w:val="decimal"/>
      <w:lvlText w:val="%4."/>
      <w:lvlJc w:val="left"/>
      <w:pPr>
        <w:ind w:left="4244" w:hanging="360"/>
      </w:pPr>
    </w:lvl>
    <w:lvl w:ilvl="4" w:tplc="10090019" w:tentative="1">
      <w:start w:val="1"/>
      <w:numFmt w:val="lowerLetter"/>
      <w:lvlText w:val="%5."/>
      <w:lvlJc w:val="left"/>
      <w:pPr>
        <w:ind w:left="4964" w:hanging="360"/>
      </w:pPr>
    </w:lvl>
    <w:lvl w:ilvl="5" w:tplc="1009001B" w:tentative="1">
      <w:start w:val="1"/>
      <w:numFmt w:val="lowerRoman"/>
      <w:lvlText w:val="%6."/>
      <w:lvlJc w:val="right"/>
      <w:pPr>
        <w:ind w:left="5684" w:hanging="180"/>
      </w:pPr>
    </w:lvl>
    <w:lvl w:ilvl="6" w:tplc="1009000F" w:tentative="1">
      <w:start w:val="1"/>
      <w:numFmt w:val="decimal"/>
      <w:lvlText w:val="%7."/>
      <w:lvlJc w:val="left"/>
      <w:pPr>
        <w:ind w:left="6404" w:hanging="360"/>
      </w:pPr>
    </w:lvl>
    <w:lvl w:ilvl="7" w:tplc="10090019" w:tentative="1">
      <w:start w:val="1"/>
      <w:numFmt w:val="lowerLetter"/>
      <w:lvlText w:val="%8."/>
      <w:lvlJc w:val="left"/>
      <w:pPr>
        <w:ind w:left="7124" w:hanging="360"/>
      </w:pPr>
    </w:lvl>
    <w:lvl w:ilvl="8" w:tplc="1009001B" w:tentative="1">
      <w:start w:val="1"/>
      <w:numFmt w:val="lowerRoman"/>
      <w:lvlText w:val="%9."/>
      <w:lvlJc w:val="right"/>
      <w:pPr>
        <w:ind w:left="7844"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2"/>
  </w:num>
  <w:num w:numId="1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2050"/>
  </w:hdrShapeDefaults>
  <w:footnotePr>
    <w:footnote w:id="0"/>
    <w:footnote w:id="1"/>
  </w:footnotePr>
  <w:endnotePr>
    <w:endnote w:id="0"/>
    <w:endnote w:id="1"/>
  </w:endnotePr>
  <w:compat>
    <w:useFELayout/>
  </w:compat>
  <w:rsids>
    <w:rsidRoot w:val="00C9161D"/>
    <w:rsid w:val="00020A25"/>
    <w:rsid w:val="00053B24"/>
    <w:rsid w:val="0007171B"/>
    <w:rsid w:val="00085DAA"/>
    <w:rsid w:val="000874A3"/>
    <w:rsid w:val="00093306"/>
    <w:rsid w:val="000C64C2"/>
    <w:rsid w:val="000E673A"/>
    <w:rsid w:val="000F74F5"/>
    <w:rsid w:val="00105372"/>
    <w:rsid w:val="001078CB"/>
    <w:rsid w:val="001226B6"/>
    <w:rsid w:val="001312AD"/>
    <w:rsid w:val="001312EB"/>
    <w:rsid w:val="00131E7A"/>
    <w:rsid w:val="00134846"/>
    <w:rsid w:val="00142755"/>
    <w:rsid w:val="00172AF6"/>
    <w:rsid w:val="00176CEE"/>
    <w:rsid w:val="00186DD8"/>
    <w:rsid w:val="00191CE1"/>
    <w:rsid w:val="001B13FE"/>
    <w:rsid w:val="001E38DB"/>
    <w:rsid w:val="002742EE"/>
    <w:rsid w:val="00274635"/>
    <w:rsid w:val="00286B5B"/>
    <w:rsid w:val="002A46FD"/>
    <w:rsid w:val="002E771E"/>
    <w:rsid w:val="0030169D"/>
    <w:rsid w:val="003060EB"/>
    <w:rsid w:val="003153EB"/>
    <w:rsid w:val="00321985"/>
    <w:rsid w:val="00351205"/>
    <w:rsid w:val="00372F74"/>
    <w:rsid w:val="00386DD9"/>
    <w:rsid w:val="00391866"/>
    <w:rsid w:val="00394E8A"/>
    <w:rsid w:val="003B7BB2"/>
    <w:rsid w:val="003D0B38"/>
    <w:rsid w:val="003F7224"/>
    <w:rsid w:val="00404009"/>
    <w:rsid w:val="00426A14"/>
    <w:rsid w:val="00427D21"/>
    <w:rsid w:val="0043340B"/>
    <w:rsid w:val="004644C2"/>
    <w:rsid w:val="00467F9C"/>
    <w:rsid w:val="00493938"/>
    <w:rsid w:val="004C01A1"/>
    <w:rsid w:val="00534681"/>
    <w:rsid w:val="00563442"/>
    <w:rsid w:val="00565B42"/>
    <w:rsid w:val="005B4ADC"/>
    <w:rsid w:val="005C4CE6"/>
    <w:rsid w:val="005E0ED3"/>
    <w:rsid w:val="005E3ED7"/>
    <w:rsid w:val="005F0693"/>
    <w:rsid w:val="005F0F43"/>
    <w:rsid w:val="00604A13"/>
    <w:rsid w:val="006122BA"/>
    <w:rsid w:val="00613D97"/>
    <w:rsid w:val="0065472D"/>
    <w:rsid w:val="006B2290"/>
    <w:rsid w:val="00714B9F"/>
    <w:rsid w:val="00717D88"/>
    <w:rsid w:val="007462DB"/>
    <w:rsid w:val="00786056"/>
    <w:rsid w:val="007942D3"/>
    <w:rsid w:val="007A45B6"/>
    <w:rsid w:val="007B2099"/>
    <w:rsid w:val="007B6C09"/>
    <w:rsid w:val="007B7741"/>
    <w:rsid w:val="007C29EC"/>
    <w:rsid w:val="007E0129"/>
    <w:rsid w:val="007E09DA"/>
    <w:rsid w:val="007E0DA8"/>
    <w:rsid w:val="008178B6"/>
    <w:rsid w:val="0083009D"/>
    <w:rsid w:val="00865B74"/>
    <w:rsid w:val="00897305"/>
    <w:rsid w:val="008974F0"/>
    <w:rsid w:val="008B012A"/>
    <w:rsid w:val="00906E17"/>
    <w:rsid w:val="00930BA1"/>
    <w:rsid w:val="0093169E"/>
    <w:rsid w:val="00937130"/>
    <w:rsid w:val="009505C9"/>
    <w:rsid w:val="00950752"/>
    <w:rsid w:val="00966424"/>
    <w:rsid w:val="009A0DF5"/>
    <w:rsid w:val="009C07CA"/>
    <w:rsid w:val="009C2DE6"/>
    <w:rsid w:val="00A1252A"/>
    <w:rsid w:val="00A83373"/>
    <w:rsid w:val="00AA40ED"/>
    <w:rsid w:val="00AA6F92"/>
    <w:rsid w:val="00AB2545"/>
    <w:rsid w:val="00AB6934"/>
    <w:rsid w:val="00AD7FFC"/>
    <w:rsid w:val="00AF42DE"/>
    <w:rsid w:val="00B26ACD"/>
    <w:rsid w:val="00B3369F"/>
    <w:rsid w:val="00B40F2A"/>
    <w:rsid w:val="00B64A97"/>
    <w:rsid w:val="00B94E6C"/>
    <w:rsid w:val="00BA33A0"/>
    <w:rsid w:val="00BB4606"/>
    <w:rsid w:val="00BC3306"/>
    <w:rsid w:val="00BF11F9"/>
    <w:rsid w:val="00BF7704"/>
    <w:rsid w:val="00C13AD7"/>
    <w:rsid w:val="00C23D2F"/>
    <w:rsid w:val="00C26D4B"/>
    <w:rsid w:val="00C443BD"/>
    <w:rsid w:val="00C451C5"/>
    <w:rsid w:val="00C743B7"/>
    <w:rsid w:val="00C86239"/>
    <w:rsid w:val="00C9161D"/>
    <w:rsid w:val="00CA0C1D"/>
    <w:rsid w:val="00CE3020"/>
    <w:rsid w:val="00CF1848"/>
    <w:rsid w:val="00D12044"/>
    <w:rsid w:val="00D30264"/>
    <w:rsid w:val="00D33EFC"/>
    <w:rsid w:val="00D40DBC"/>
    <w:rsid w:val="00D76A18"/>
    <w:rsid w:val="00D80849"/>
    <w:rsid w:val="00D82E8F"/>
    <w:rsid w:val="00DC6882"/>
    <w:rsid w:val="00DD118C"/>
    <w:rsid w:val="00E32956"/>
    <w:rsid w:val="00E42B5A"/>
    <w:rsid w:val="00E66235"/>
    <w:rsid w:val="00E83C24"/>
    <w:rsid w:val="00E9318D"/>
    <w:rsid w:val="00EB2A20"/>
    <w:rsid w:val="00EC1F46"/>
    <w:rsid w:val="00EF7376"/>
    <w:rsid w:val="00F13DE1"/>
    <w:rsid w:val="00F2535D"/>
    <w:rsid w:val="00F53193"/>
    <w:rsid w:val="00F5357E"/>
    <w:rsid w:val="00F552D9"/>
    <w:rsid w:val="00F6586C"/>
    <w:rsid w:val="00F94774"/>
    <w:rsid w:val="00F9496C"/>
    <w:rsid w:val="00FA0E9A"/>
    <w:rsid w:val="00FA663B"/>
    <w:rsid w:val="00FC25F8"/>
    <w:rsid w:val="00FC53DB"/>
    <w:rsid w:val="00FD4D94"/>
    <w:rsid w:val="00FE2131"/>
  </w:rsids>
  <m:mathPr>
    <m:mathFont m:val="Cambria Math"/>
    <m:brkBin m:val="before"/>
    <m:brkBinSub m:val="--"/>
    <m:smallFrac/>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Textonotapie">
    <w:name w:val="footnote text"/>
    <w:basedOn w:val="Normal"/>
    <w:link w:val="TextonotapieCar"/>
    <w:semiHidden/>
    <w:rsid w:val="007E09DA"/>
    <w:pPr>
      <w:keepLines/>
      <w:spacing w:after="60"/>
      <w:ind w:firstLine="720"/>
    </w:pPr>
    <w:rPr>
      <w:sz w:val="18"/>
    </w:rPr>
  </w:style>
  <w:style w:type="character" w:customStyle="1" w:styleId="TextonotapieCar">
    <w:name w:val="Texto nota pie Car"/>
    <w:basedOn w:val="Fuentedeprrafopredeter"/>
    <w:link w:val="Textonotapie"/>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rsid w:val="00AB2545"/>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810A55"/>
    <w:rsid w:val="000A601E"/>
    <w:rsid w:val="002131D7"/>
    <w:rsid w:val="00351EBF"/>
    <w:rsid w:val="0046422C"/>
    <w:rsid w:val="004760CF"/>
    <w:rsid w:val="004E092F"/>
    <w:rsid w:val="00500A2B"/>
    <w:rsid w:val="0058288D"/>
    <w:rsid w:val="00665C6B"/>
    <w:rsid w:val="006801B3"/>
    <w:rsid w:val="00810A55"/>
    <w:rsid w:val="008C6619"/>
    <w:rsid w:val="008D420E"/>
    <w:rsid w:val="0098642F"/>
    <w:rsid w:val="00A96EF2"/>
    <w:rsid w:val="00B27D2C"/>
    <w:rsid w:val="00C04427"/>
    <w:rsid w:val="00C8104B"/>
    <w:rsid w:val="00D220B5"/>
    <w:rsid w:val="00D31D12"/>
    <w:rsid w:val="00F0778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1D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65C6B"/>
    <w:rPr>
      <w:color w:val="808080"/>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7AF341F8-CA18-4252-9811-5E7B9F527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1715</Characters>
  <Application>Microsoft Office Word</Application>
  <DocSecurity>0</DocSecurity>
  <Lines>14</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Enhancing the implementation of the Nagoya Protocol in the context of the post-2020 global biodiversity framework</vt:lpstr>
      <vt:lpstr>Enhancing the implementation of the Nagoya Protocol in the context of the post-2020 global biodiversity framework</vt:lpstr>
    </vt:vector>
  </TitlesOfParts>
  <Company>SCBD</Company>
  <LinksUpToDate>false</LinksUpToDate>
  <CharactersWithSpaces>2022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Mejora de la aplicación del Protocolo de Nagoya en el contexto del marco mundial de la diversidad biológica posterior a 2020</dc:title>
  <dc:subject>CBD/NP/MOP/4/L.12</dc:subject>
  <dc:creator>SCBD</dc:creator>
  <cp:keywords>Conference of the Parties serving as the meeting of the Parties to the Nagoya Protocol on Access to Genetic Resources and the Fair and Equitable Sharing of Benefits Arising from Their Utilization</cp:keywords>
  <cp:lastModifiedBy>Carmen Vazquez</cp:lastModifiedBy>
  <cp:revision>2</cp:revision>
  <cp:lastPrinted>2020-01-21T16:56:00Z</cp:lastPrinted>
  <dcterms:created xsi:type="dcterms:W3CDTF">2022-12-19T18:40:00Z</dcterms:created>
  <dcterms:modified xsi:type="dcterms:W3CDTF">2022-12-19T18:40:00Z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