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40BEEF30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17D976E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573DB56C" wp14:editId="7565E784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A2738BD" w14:textId="77777777" w:rsidR="00A96B21" w:rsidRPr="00550DCE" w:rsidRDefault="00A96B21" w:rsidP="00B60E5F">
            <w:pPr>
              <w:spacing w:after="120"/>
              <w:jc w:val="left"/>
            </w:pPr>
            <w:r w:rsidRPr="001A3710">
              <w:rPr>
                <w:noProof/>
              </w:rPr>
              <w:drawing>
                <wp:inline distT="0" distB="0" distL="0" distR="0" wp14:anchorId="616FB9BF" wp14:editId="1635CBE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DB8AC83" w14:textId="2DD712C1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rPr>
                <w:szCs w:val="22"/>
              </w:rPr>
              <w:t>/</w:t>
            </w:r>
            <w:r w:rsidR="00E32358">
              <w:rPr>
                <w:szCs w:val="22"/>
              </w:rPr>
              <w:t>CP/MOP/11/</w:t>
            </w:r>
            <w:r w:rsidR="00267796">
              <w:rPr>
                <w:szCs w:val="22"/>
              </w:rPr>
              <w:t>1</w:t>
            </w:r>
          </w:p>
        </w:tc>
      </w:tr>
      <w:tr w:rsidR="00A96B21" w:rsidRPr="00EA442C" w14:paraId="0F69A8FD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7EAD6DB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28DC0588" wp14:editId="1BCCF71E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7418846" w14:textId="2BAC43D7"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A81201">
              <w:rPr>
                <w:sz w:val="22"/>
                <w:szCs w:val="22"/>
              </w:rPr>
              <w:t>General</w:t>
            </w:r>
          </w:p>
          <w:p w14:paraId="78158A84" w14:textId="1152B32F" w:rsidR="00A96B21" w:rsidRPr="003C6F10" w:rsidRDefault="001112E6" w:rsidP="008C4AA7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F27FF">
              <w:rPr>
                <w:sz w:val="22"/>
                <w:szCs w:val="22"/>
              </w:rPr>
              <w:t xml:space="preserve">5 </w:t>
            </w:r>
            <w:r w:rsidR="00A81201">
              <w:rPr>
                <w:sz w:val="22"/>
                <w:szCs w:val="22"/>
              </w:rPr>
              <w:t>June</w:t>
            </w:r>
            <w:r w:rsidR="00A81201" w:rsidRPr="003C6F10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E26645">
              <w:rPr>
                <w:sz w:val="22"/>
                <w:szCs w:val="22"/>
              </w:rPr>
              <w:t>4</w:t>
            </w:r>
          </w:p>
          <w:p w14:paraId="6D6FE6C8" w14:textId="77777777"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</w:p>
          <w:p w14:paraId="78F5782B" w14:textId="77777777" w:rsidR="00A96B21" w:rsidRPr="003C6F10" w:rsidRDefault="00A96B21" w:rsidP="008C4AA7">
            <w:pPr>
              <w:ind w:left="2584"/>
              <w:jc w:val="left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7C101103" w14:textId="77777777" w:rsidR="00A96B21" w:rsidRPr="00550DCE" w:rsidRDefault="00A96B21" w:rsidP="00B60E5F"/>
        </w:tc>
      </w:tr>
    </w:tbl>
    <w:p w14:paraId="63849FFD" w14:textId="77777777" w:rsidR="00874541" w:rsidRDefault="00E32358" w:rsidP="00E32358">
      <w:pPr>
        <w:pStyle w:val="Cornernotation"/>
        <w:ind w:left="0" w:right="4257" w:firstLine="0"/>
        <w:rPr>
          <w:bCs/>
        </w:rPr>
      </w:pPr>
      <w:r>
        <w:rPr>
          <w:bCs/>
        </w:rPr>
        <w:t>Conference of the Parties to the Convention on Biological Diversity serving as the meeting of the Parties to the Cartagena Protocol on Biosafety</w:t>
      </w:r>
    </w:p>
    <w:p w14:paraId="71FAA1F2" w14:textId="3BA42C7E" w:rsidR="00A96B21" w:rsidRDefault="00E32358" w:rsidP="00A96B21">
      <w:pPr>
        <w:pStyle w:val="Cornernotation"/>
        <w:rPr>
          <w:bCs/>
          <w:sz w:val="22"/>
        </w:rPr>
      </w:pPr>
      <w:r>
        <w:rPr>
          <w:bCs/>
          <w:sz w:val="22"/>
        </w:rPr>
        <w:t>Eleventh</w:t>
      </w:r>
      <w:r w:rsidR="00A96B21" w:rsidRPr="00A96B21">
        <w:rPr>
          <w:bCs/>
          <w:sz w:val="22"/>
        </w:rPr>
        <w:t xml:space="preserve"> meeting</w:t>
      </w:r>
    </w:p>
    <w:p w14:paraId="3723B67A" w14:textId="244BB644" w:rsidR="00A96B21" w:rsidRPr="00935461" w:rsidRDefault="00E32358" w:rsidP="00A96B21">
      <w:pPr>
        <w:pStyle w:val="Venuedate"/>
        <w:rPr>
          <w:lang w:val="en-CA"/>
        </w:rPr>
      </w:pPr>
      <w:r>
        <w:rPr>
          <w:lang w:val="en-CA"/>
        </w:rPr>
        <w:t>Cali, Colombia, 21 October–1 November 2024</w:t>
      </w:r>
    </w:p>
    <w:bookmarkEnd w:id="0"/>
    <w:p w14:paraId="066B5E4A" w14:textId="55A0B850" w:rsidR="00A96B21" w:rsidRDefault="00000000" w:rsidP="008C4AA7">
      <w:pPr>
        <w:pStyle w:val="CBDTitle"/>
      </w:pPr>
      <w:sdt>
        <w:sdtPr>
          <w:alias w:val="Title"/>
          <w:tag w:val=""/>
          <w:id w:val="-1975355689"/>
          <w:placeholder>
            <w:docPart w:val="3826FCCE4503425B8012666CAAAE376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67796">
            <w:t>Provisional agenda</w:t>
          </w:r>
        </w:sdtContent>
      </w:sdt>
    </w:p>
    <w:p w14:paraId="5AB2F126" w14:textId="36456AD5" w:rsidR="00C2354A" w:rsidRDefault="00885B96" w:rsidP="00480A8D">
      <w:pPr>
        <w:pStyle w:val="Para1"/>
      </w:pPr>
      <w:r w:rsidRPr="00633137">
        <w:rPr>
          <w:lang w:val="en-GB"/>
        </w:rPr>
        <w:t>Opening of the meeting.</w:t>
      </w:r>
    </w:p>
    <w:p w14:paraId="1DDA1BF1" w14:textId="06701247" w:rsidR="00D3059B" w:rsidRDefault="00885B96" w:rsidP="00480A8D">
      <w:pPr>
        <w:pStyle w:val="Para1"/>
      </w:pPr>
      <w:r w:rsidRPr="00633137">
        <w:rPr>
          <w:lang w:val="en-GB"/>
        </w:rPr>
        <w:t>Organizational matters.</w:t>
      </w:r>
    </w:p>
    <w:p w14:paraId="5A78EA9D" w14:textId="63A46242" w:rsidR="00323F22" w:rsidRDefault="00885B96" w:rsidP="008C4AA7">
      <w:pPr>
        <w:pStyle w:val="Para1"/>
        <w:ind w:left="1134" w:hanging="567"/>
      </w:pPr>
      <w:r w:rsidRPr="00633137">
        <w:rPr>
          <w:lang w:val="en-GB"/>
        </w:rPr>
        <w:t>Report on the credentials of representatives to the eleventh meeting of the Conference of the Parties serving as the meeting of the Parties to the Cartagena Protocol.</w:t>
      </w:r>
    </w:p>
    <w:p w14:paraId="6BCD67BE" w14:textId="12B7F6FC" w:rsidR="004701EE" w:rsidRDefault="00885B96" w:rsidP="00480A8D">
      <w:pPr>
        <w:pStyle w:val="Para1"/>
      </w:pPr>
      <w:r w:rsidRPr="00633137">
        <w:rPr>
          <w:lang w:val="en-GB"/>
        </w:rPr>
        <w:t>Reports of subsidiary bodies.</w:t>
      </w:r>
    </w:p>
    <w:p w14:paraId="78A04B7F" w14:textId="240558E4" w:rsidR="002B559C" w:rsidRDefault="00885B96" w:rsidP="00480A8D">
      <w:pPr>
        <w:pStyle w:val="Para1"/>
      </w:pPr>
      <w:r w:rsidRPr="00633137">
        <w:rPr>
          <w:lang w:val="en-GB"/>
        </w:rPr>
        <w:t>Report of the Compliance Committee.</w:t>
      </w:r>
    </w:p>
    <w:p w14:paraId="3AAD94C4" w14:textId="23633FD4" w:rsidR="00CF70AB" w:rsidRPr="00CF70AB" w:rsidRDefault="00885B96" w:rsidP="00480A8D">
      <w:pPr>
        <w:pStyle w:val="Para1"/>
      </w:pPr>
      <w:r w:rsidRPr="00633137">
        <w:rPr>
          <w:lang w:val="en-GB"/>
        </w:rPr>
        <w:t>Administration of the Protocol and budget for the trust funds.</w:t>
      </w:r>
    </w:p>
    <w:p w14:paraId="5FE19DC4" w14:textId="6526D3C7" w:rsidR="00CF70AB" w:rsidRPr="00885B96" w:rsidRDefault="00885B96" w:rsidP="00480A8D">
      <w:pPr>
        <w:pStyle w:val="Para1"/>
      </w:pPr>
      <w:r w:rsidRPr="0003699F">
        <w:rPr>
          <w:lang w:val="en-GB"/>
        </w:rPr>
        <w:t>Matters related to the financial mechanism and resources</w:t>
      </w:r>
      <w:r w:rsidR="00620F39">
        <w:rPr>
          <w:lang w:val="en-GB"/>
        </w:rPr>
        <w:t>.</w:t>
      </w:r>
      <w:r w:rsidR="00620F39" w:rsidRPr="0003699F" w:rsidDel="00620F39">
        <w:rPr>
          <w:lang w:val="en-GB"/>
        </w:rPr>
        <w:t xml:space="preserve"> </w:t>
      </w:r>
    </w:p>
    <w:p w14:paraId="28F8A487" w14:textId="1D975F1F" w:rsidR="00885B96" w:rsidRPr="00885B96" w:rsidRDefault="00885B96" w:rsidP="00480A8D">
      <w:pPr>
        <w:pStyle w:val="Para1"/>
      </w:pPr>
      <w:r w:rsidRPr="00633137">
        <w:rPr>
          <w:lang w:val="en-GB"/>
        </w:rPr>
        <w:t>Operation and activities of the Biosafety Clearing-House</w:t>
      </w:r>
      <w:r w:rsidR="00620F39">
        <w:rPr>
          <w:lang w:val="en-GB"/>
        </w:rPr>
        <w:t>.</w:t>
      </w:r>
    </w:p>
    <w:p w14:paraId="17EF5475" w14:textId="5328FC55" w:rsidR="00885B96" w:rsidRPr="009A1CEE" w:rsidRDefault="00885B96" w:rsidP="008C4AA7">
      <w:pPr>
        <w:pStyle w:val="Para1"/>
        <w:ind w:left="1134" w:hanging="567"/>
      </w:pPr>
      <w:r w:rsidRPr="009A1CEE">
        <w:rPr>
          <w:lang w:val="en-GB"/>
        </w:rPr>
        <w:t xml:space="preserve">Cooperation with </w:t>
      </w:r>
      <w:r w:rsidR="007A61E8" w:rsidRPr="008C4AA7">
        <w:rPr>
          <w:lang w:val="en-GB"/>
        </w:rPr>
        <w:t xml:space="preserve">international </w:t>
      </w:r>
      <w:r w:rsidRPr="009A1CEE">
        <w:rPr>
          <w:lang w:val="en-GB"/>
        </w:rPr>
        <w:t xml:space="preserve">organizations, </w:t>
      </w:r>
      <w:r w:rsidR="00BC361C" w:rsidRPr="008C4AA7">
        <w:rPr>
          <w:kern w:val="22"/>
          <w:lang w:eastAsia="ko-KR"/>
        </w:rPr>
        <w:t xml:space="preserve">bodies established under other </w:t>
      </w:r>
      <w:r w:rsidRPr="009A1CEE">
        <w:rPr>
          <w:lang w:val="en-GB"/>
        </w:rPr>
        <w:t>conventions</w:t>
      </w:r>
      <w:r w:rsidR="00BC361C" w:rsidRPr="008C4AA7">
        <w:rPr>
          <w:lang w:val="en-GB"/>
        </w:rPr>
        <w:t>,</w:t>
      </w:r>
      <w:r w:rsidRPr="009A1CEE">
        <w:rPr>
          <w:lang w:val="en-GB"/>
        </w:rPr>
        <w:t xml:space="preserve"> and initiatives.</w:t>
      </w:r>
    </w:p>
    <w:p w14:paraId="5C23E082" w14:textId="66651B13" w:rsidR="00885B96" w:rsidRPr="00885B96" w:rsidRDefault="00885B96" w:rsidP="00480A8D">
      <w:pPr>
        <w:pStyle w:val="Para1"/>
      </w:pPr>
      <w:r w:rsidRPr="00633137">
        <w:rPr>
          <w:lang w:val="en-GB"/>
        </w:rPr>
        <w:t>Review of effectiveness of processes under the Convention and its Protocols.</w:t>
      </w:r>
    </w:p>
    <w:p w14:paraId="7223453F" w14:textId="4FCC8BB5" w:rsidR="00885B96" w:rsidRPr="00885B96" w:rsidRDefault="00885B96" w:rsidP="00480A8D">
      <w:pPr>
        <w:pStyle w:val="Para1"/>
      </w:pPr>
      <w:r w:rsidRPr="00633137">
        <w:rPr>
          <w:lang w:val="en-GB"/>
        </w:rPr>
        <w:t>Risk assessment and risk management</w:t>
      </w:r>
      <w:r w:rsidR="00620F39">
        <w:rPr>
          <w:lang w:val="en-GB"/>
        </w:rPr>
        <w:t>.</w:t>
      </w:r>
    </w:p>
    <w:p w14:paraId="479F8395" w14:textId="2328CCBD" w:rsidR="00885B96" w:rsidRPr="00885B96" w:rsidRDefault="00885B96" w:rsidP="00480A8D">
      <w:pPr>
        <w:pStyle w:val="Para1"/>
      </w:pPr>
      <w:r w:rsidRPr="00633137">
        <w:rPr>
          <w:lang w:val="en-GB"/>
        </w:rPr>
        <w:t>Detection and identification of living modified organisms.</w:t>
      </w:r>
    </w:p>
    <w:p w14:paraId="50CE07D6" w14:textId="4686B483" w:rsidR="00885B96" w:rsidRPr="00885B96" w:rsidRDefault="00885B96" w:rsidP="00480A8D">
      <w:pPr>
        <w:pStyle w:val="Para1"/>
      </w:pPr>
      <w:r w:rsidRPr="00633137">
        <w:rPr>
          <w:lang w:val="en-GB"/>
        </w:rPr>
        <w:t>Socioeconomic considerations</w:t>
      </w:r>
      <w:r w:rsidR="00620F39">
        <w:rPr>
          <w:lang w:val="en-GB"/>
        </w:rPr>
        <w:t>.</w:t>
      </w:r>
    </w:p>
    <w:p w14:paraId="49C18A25" w14:textId="38C7DF6E" w:rsidR="00885B96" w:rsidRPr="00885B96" w:rsidRDefault="00885B96" w:rsidP="00480A8D">
      <w:pPr>
        <w:pStyle w:val="Para1"/>
      </w:pPr>
      <w:r w:rsidRPr="00633137">
        <w:rPr>
          <w:lang w:val="en-GB"/>
        </w:rPr>
        <w:t>Nagoya</w:t>
      </w:r>
      <w:r w:rsidR="003F44FF">
        <w:rPr>
          <w:lang w:val="en-GB"/>
        </w:rPr>
        <w:t>-</w:t>
      </w:r>
      <w:r w:rsidRPr="00633137">
        <w:rPr>
          <w:lang w:val="en-GB"/>
        </w:rPr>
        <w:t>Kuala Lumpur Supplementary Protocol on Liability and Redress.</w:t>
      </w:r>
    </w:p>
    <w:p w14:paraId="0A765460" w14:textId="68DF70FC" w:rsidR="00885B96" w:rsidRPr="00885B96" w:rsidRDefault="00885B96" w:rsidP="00480A8D">
      <w:pPr>
        <w:pStyle w:val="Para1"/>
      </w:pPr>
      <w:r w:rsidRPr="00633137">
        <w:rPr>
          <w:lang w:val="en-GB"/>
        </w:rPr>
        <w:t>Other matters.</w:t>
      </w:r>
    </w:p>
    <w:p w14:paraId="2B2FC63F" w14:textId="7090CE2C" w:rsidR="00885B96" w:rsidRPr="00885B96" w:rsidRDefault="00885B96" w:rsidP="00480A8D">
      <w:pPr>
        <w:pStyle w:val="Para1"/>
      </w:pPr>
      <w:r w:rsidRPr="00633137">
        <w:rPr>
          <w:lang w:val="en-GB"/>
        </w:rPr>
        <w:t>Adoption of the report.</w:t>
      </w:r>
    </w:p>
    <w:p w14:paraId="45356EC6" w14:textId="77777777" w:rsidR="002B559C" w:rsidRPr="009576BA" w:rsidRDefault="00885B96" w:rsidP="004A6FE9">
      <w:pPr>
        <w:pStyle w:val="Para1"/>
      </w:pPr>
      <w:r w:rsidRPr="00633137">
        <w:rPr>
          <w:lang w:val="en-GB"/>
        </w:rPr>
        <w:t>Closure of the meeting</w:t>
      </w:r>
      <w:r w:rsidR="004A6FE9">
        <w:rPr>
          <w:lang w:val="en-GB"/>
        </w:rPr>
        <w:t>.</w:t>
      </w:r>
    </w:p>
    <w:p w14:paraId="09853B39" w14:textId="5051F555" w:rsidR="002B559C" w:rsidRPr="004701EE" w:rsidRDefault="00ED3849" w:rsidP="009576BA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510DFB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DD795" w14:textId="77777777" w:rsidR="001E17F1" w:rsidRDefault="001E17F1" w:rsidP="00A96B21">
      <w:r>
        <w:separator/>
      </w:r>
    </w:p>
  </w:endnote>
  <w:endnote w:type="continuationSeparator" w:id="0">
    <w:p w14:paraId="11727275" w14:textId="77777777" w:rsidR="001E17F1" w:rsidRDefault="001E17F1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B005035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64DE7D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F9159" w14:textId="77777777" w:rsidR="001E17F1" w:rsidRDefault="001E17F1" w:rsidP="00A96B21">
      <w:r>
        <w:separator/>
      </w:r>
    </w:p>
  </w:footnote>
  <w:footnote w:type="continuationSeparator" w:id="0">
    <w:p w14:paraId="55795668" w14:textId="77777777" w:rsidR="001E17F1" w:rsidRDefault="001E17F1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44C4D529" w14:textId="77777777" w:rsidR="002B559C" w:rsidRPr="002B559C" w:rsidRDefault="00000000" w:rsidP="002B559C">
    <w:pPr>
      <w:pStyle w:val="Header"/>
      <w:spacing w:after="240"/>
      <w:rPr>
        <w:szCs w:val="20"/>
        <w:lang w:val="fr-FR"/>
      </w:rPr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559C" w:rsidRPr="002B559C">
          <w:rPr>
            <w:szCs w:val="20"/>
            <w:lang w:val="fr-FR"/>
          </w:rPr>
          <w:t>CBD/</w:t>
        </w:r>
        <w:r w:rsidR="00E32358">
          <w:rPr>
            <w:szCs w:val="20"/>
            <w:lang w:val="fr-FR"/>
          </w:rPr>
          <w:t>CP/MOP/11/---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CFFC76E" w14:textId="77777777" w:rsidR="002B559C" w:rsidRPr="002B559C" w:rsidRDefault="00E32358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CBD/CP/MOP/11/---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C4EC469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AFFE4F2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C018D21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F76A4B68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2"/>
  </w:num>
  <w:num w:numId="3" w16cid:durableId="158270868">
    <w:abstractNumId w:val="15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7"/>
  </w:num>
  <w:num w:numId="9" w16cid:durableId="935023265">
    <w:abstractNumId w:val="11"/>
  </w:num>
  <w:num w:numId="10" w16cid:durableId="268247158">
    <w:abstractNumId w:val="10"/>
  </w:num>
  <w:num w:numId="11" w16cid:durableId="143207059">
    <w:abstractNumId w:val="6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9"/>
  </w:num>
  <w:num w:numId="15" w16cid:durableId="584072443">
    <w:abstractNumId w:val="9"/>
    <w:lvlOverride w:ilvl="0">
      <w:startOverride w:val="1"/>
    </w:lvlOverride>
  </w:num>
  <w:num w:numId="16" w16cid:durableId="1638680439">
    <w:abstractNumId w:val="12"/>
    <w:lvlOverride w:ilvl="0">
      <w:startOverride w:val="1"/>
    </w:lvlOverride>
  </w:num>
  <w:num w:numId="17" w16cid:durableId="1376001245">
    <w:abstractNumId w:val="9"/>
    <w:lvlOverride w:ilvl="0">
      <w:startOverride w:val="1"/>
    </w:lvlOverride>
  </w:num>
  <w:num w:numId="18" w16cid:durableId="1480611021">
    <w:abstractNumId w:val="16"/>
  </w:num>
  <w:num w:numId="19" w16cid:durableId="1967006738">
    <w:abstractNumId w:val="12"/>
    <w:lvlOverride w:ilvl="0">
      <w:startOverride w:val="1"/>
    </w:lvlOverride>
  </w:num>
  <w:num w:numId="20" w16cid:durableId="323556548">
    <w:abstractNumId w:val="12"/>
    <w:lvlOverride w:ilvl="0">
      <w:startOverride w:val="1"/>
    </w:lvlOverride>
  </w:num>
  <w:num w:numId="21" w16cid:durableId="681275171">
    <w:abstractNumId w:val="8"/>
  </w:num>
  <w:num w:numId="22" w16cid:durableId="1717242649">
    <w:abstractNumId w:val="5"/>
  </w:num>
  <w:num w:numId="23" w16cid:durableId="610825206">
    <w:abstractNumId w:val="13"/>
  </w:num>
  <w:num w:numId="24" w16cid:durableId="1412120059">
    <w:abstractNumId w:val="13"/>
  </w:num>
  <w:num w:numId="25" w16cid:durableId="425611383">
    <w:abstractNumId w:val="13"/>
  </w:num>
  <w:num w:numId="26" w16cid:durableId="791872981">
    <w:abstractNumId w:val="13"/>
  </w:num>
  <w:num w:numId="27" w16cid:durableId="1950812766">
    <w:abstractNumId w:val="13"/>
  </w:num>
  <w:num w:numId="28" w16cid:durableId="1707411350">
    <w:abstractNumId w:val="13"/>
  </w:num>
  <w:num w:numId="29" w16cid:durableId="901866069">
    <w:abstractNumId w:val="14"/>
  </w:num>
  <w:num w:numId="30" w16cid:durableId="266473600">
    <w:abstractNumId w:val="14"/>
  </w:num>
  <w:num w:numId="31" w16cid:durableId="618800088">
    <w:abstractNumId w:val="14"/>
  </w:num>
  <w:num w:numId="32" w16cid:durableId="1122576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40598"/>
    <w:rsid w:val="000422BF"/>
    <w:rsid w:val="001112E6"/>
    <w:rsid w:val="00132581"/>
    <w:rsid w:val="00184909"/>
    <w:rsid w:val="00187BB8"/>
    <w:rsid w:val="001920A1"/>
    <w:rsid w:val="001A03C0"/>
    <w:rsid w:val="001A3710"/>
    <w:rsid w:val="001A5ED6"/>
    <w:rsid w:val="001D7501"/>
    <w:rsid w:val="001E17F1"/>
    <w:rsid w:val="00267796"/>
    <w:rsid w:val="0028071F"/>
    <w:rsid w:val="002B00CA"/>
    <w:rsid w:val="002B559C"/>
    <w:rsid w:val="00310608"/>
    <w:rsid w:val="00323F22"/>
    <w:rsid w:val="0034599C"/>
    <w:rsid w:val="003476A9"/>
    <w:rsid w:val="003C6F10"/>
    <w:rsid w:val="003F2248"/>
    <w:rsid w:val="003F44FF"/>
    <w:rsid w:val="00436541"/>
    <w:rsid w:val="00441498"/>
    <w:rsid w:val="004701EE"/>
    <w:rsid w:val="00480A8D"/>
    <w:rsid w:val="00493DDA"/>
    <w:rsid w:val="004A2A2D"/>
    <w:rsid w:val="004A6FE9"/>
    <w:rsid w:val="004C3A7E"/>
    <w:rsid w:val="004F7087"/>
    <w:rsid w:val="00510DFB"/>
    <w:rsid w:val="00536704"/>
    <w:rsid w:val="00537248"/>
    <w:rsid w:val="005A206E"/>
    <w:rsid w:val="005C0058"/>
    <w:rsid w:val="005C3733"/>
    <w:rsid w:val="005E2605"/>
    <w:rsid w:val="005E3BB6"/>
    <w:rsid w:val="005F50DB"/>
    <w:rsid w:val="0061078E"/>
    <w:rsid w:val="00620F39"/>
    <w:rsid w:val="00626772"/>
    <w:rsid w:val="00657ED6"/>
    <w:rsid w:val="006837AF"/>
    <w:rsid w:val="006B2692"/>
    <w:rsid w:val="006B293D"/>
    <w:rsid w:val="0076622F"/>
    <w:rsid w:val="007A61E8"/>
    <w:rsid w:val="007C77BC"/>
    <w:rsid w:val="007E62EA"/>
    <w:rsid w:val="00816B1C"/>
    <w:rsid w:val="0082005E"/>
    <w:rsid w:val="00820688"/>
    <w:rsid w:val="00840F4D"/>
    <w:rsid w:val="008562B5"/>
    <w:rsid w:val="00874541"/>
    <w:rsid w:val="0087607F"/>
    <w:rsid w:val="00885B96"/>
    <w:rsid w:val="008B141E"/>
    <w:rsid w:val="008C4AA7"/>
    <w:rsid w:val="008D0805"/>
    <w:rsid w:val="008E0581"/>
    <w:rsid w:val="00935461"/>
    <w:rsid w:val="009459E3"/>
    <w:rsid w:val="00950C61"/>
    <w:rsid w:val="00954F37"/>
    <w:rsid w:val="009576BA"/>
    <w:rsid w:val="00995DDC"/>
    <w:rsid w:val="009A1CEE"/>
    <w:rsid w:val="009C1114"/>
    <w:rsid w:val="009D7310"/>
    <w:rsid w:val="00A01281"/>
    <w:rsid w:val="00A123AE"/>
    <w:rsid w:val="00A54FA0"/>
    <w:rsid w:val="00A81201"/>
    <w:rsid w:val="00A83A48"/>
    <w:rsid w:val="00A96B21"/>
    <w:rsid w:val="00AE1A95"/>
    <w:rsid w:val="00AE33D8"/>
    <w:rsid w:val="00AF27FF"/>
    <w:rsid w:val="00B07004"/>
    <w:rsid w:val="00B27505"/>
    <w:rsid w:val="00B36EA9"/>
    <w:rsid w:val="00B70872"/>
    <w:rsid w:val="00BC361C"/>
    <w:rsid w:val="00BE6615"/>
    <w:rsid w:val="00C2354A"/>
    <w:rsid w:val="00C557B8"/>
    <w:rsid w:val="00C912D6"/>
    <w:rsid w:val="00CE31CA"/>
    <w:rsid w:val="00CF1D28"/>
    <w:rsid w:val="00CF70AB"/>
    <w:rsid w:val="00D3059B"/>
    <w:rsid w:val="00D60046"/>
    <w:rsid w:val="00D71FFB"/>
    <w:rsid w:val="00D76264"/>
    <w:rsid w:val="00DB6931"/>
    <w:rsid w:val="00DC6B5D"/>
    <w:rsid w:val="00E05F87"/>
    <w:rsid w:val="00E1597C"/>
    <w:rsid w:val="00E26645"/>
    <w:rsid w:val="00E32279"/>
    <w:rsid w:val="00E32358"/>
    <w:rsid w:val="00E63BF4"/>
    <w:rsid w:val="00E65B9A"/>
    <w:rsid w:val="00E7144B"/>
    <w:rsid w:val="00ED3849"/>
    <w:rsid w:val="00EE6258"/>
    <w:rsid w:val="00F258FB"/>
    <w:rsid w:val="00F75F90"/>
    <w:rsid w:val="00FA18C9"/>
    <w:rsid w:val="00FA6362"/>
    <w:rsid w:val="00FE0DC4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8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20688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20688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20688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20688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20688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820688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820688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820688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820688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82068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20688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20688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20688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0688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688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20688"/>
    <w:rPr>
      <w:vertAlign w:val="superscript"/>
    </w:rPr>
  </w:style>
  <w:style w:type="paragraph" w:customStyle="1" w:styleId="Footnote">
    <w:name w:val="Footnote"/>
    <w:basedOn w:val="FootnoteText"/>
    <w:qFormat/>
    <w:rsid w:val="00820688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820688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82068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20688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820688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20688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20688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820688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820688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20688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20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206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688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688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A8120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EDistrNormal">
    <w:name w:val="AE_DistrNormal"/>
    <w:basedOn w:val="Normal"/>
    <w:unhideWhenUsed/>
    <w:rsid w:val="00820688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820688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82068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820688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820688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820688"/>
    <w:pPr>
      <w:spacing w:before="120"/>
    </w:pPr>
  </w:style>
  <w:style w:type="paragraph" w:customStyle="1" w:styleId="AENormal">
    <w:name w:val="AE_Normal"/>
    <w:basedOn w:val="Normal"/>
    <w:rsid w:val="00820688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820688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82068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82068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820688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82068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820688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820688"/>
    <w:rPr>
      <w:sz w:val="20"/>
    </w:rPr>
  </w:style>
  <w:style w:type="paragraph" w:customStyle="1" w:styleId="CBDFootnoteText">
    <w:name w:val="CBD_Footnote_Text"/>
    <w:basedOn w:val="CBDNormal"/>
    <w:qFormat/>
    <w:rsid w:val="00820688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820688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820688"/>
    <w:pPr>
      <w:numPr>
        <w:numId w:val="22"/>
      </w:numPr>
      <w:tabs>
        <w:tab w:val="left" w:pos="3969"/>
      </w:tabs>
      <w:spacing w:after="120"/>
      <w:jc w:val="left"/>
    </w:pPr>
    <w:rPr>
      <w:lang w:val="en-GB"/>
    </w:rPr>
  </w:style>
  <w:style w:type="paragraph" w:customStyle="1" w:styleId="CBDH2">
    <w:name w:val="CBD_H2"/>
    <w:basedOn w:val="CBDNormalNumber"/>
    <w:qFormat/>
    <w:rsid w:val="00820688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2068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2068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82068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820688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820688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820688"/>
    <w:pPr>
      <w:spacing w:after="120"/>
    </w:pPr>
  </w:style>
  <w:style w:type="paragraph" w:customStyle="1" w:styleId="CBDSubTitle">
    <w:name w:val="CBD_SubTitle"/>
    <w:basedOn w:val="CBDNormal"/>
    <w:qFormat/>
    <w:rsid w:val="00820688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82068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2068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20688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820688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820688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820688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20688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820688"/>
    <w:pPr>
      <w:contextualSpacing/>
    </w:pPr>
  </w:style>
  <w:style w:type="paragraph" w:styleId="ListParagraph">
    <w:name w:val="List Paragraph"/>
    <w:basedOn w:val="Normal"/>
    <w:uiPriority w:val="34"/>
    <w:qFormat/>
    <w:rsid w:val="0082068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826FCCE4503425B8012666CAAAE3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E7FD1-3207-48B1-A18A-6A6FE4DC3655}"/>
      </w:docPartPr>
      <w:docPartBody>
        <w:p w:rsidR="00427A32" w:rsidRDefault="008F6246">
          <w:pPr>
            <w:pStyle w:val="3826FCCE4503425B8012666CAAAE376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2"/>
    <w:rsid w:val="0034599C"/>
    <w:rsid w:val="00427A32"/>
    <w:rsid w:val="00436541"/>
    <w:rsid w:val="004F7087"/>
    <w:rsid w:val="00651104"/>
    <w:rsid w:val="00687AF6"/>
    <w:rsid w:val="006D6C37"/>
    <w:rsid w:val="007E62EA"/>
    <w:rsid w:val="008F6246"/>
    <w:rsid w:val="00902217"/>
    <w:rsid w:val="00950C61"/>
    <w:rsid w:val="009D7310"/>
    <w:rsid w:val="009E0DAF"/>
    <w:rsid w:val="00A01281"/>
    <w:rsid w:val="00B70872"/>
    <w:rsid w:val="00B9696E"/>
    <w:rsid w:val="00C2236A"/>
    <w:rsid w:val="00C744D5"/>
    <w:rsid w:val="00DB6931"/>
    <w:rsid w:val="00E6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26FCCE4503425B8012666CAAAE3767">
    <w:name w:val="3826FCCE4503425B8012666CAAAE37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FAE42-9331-480E-AACB-68512AB5D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template-cp-mop-11-en.dotm</Template>
  <TotalTime>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5</cp:revision>
  <dcterms:created xsi:type="dcterms:W3CDTF">2024-07-02T16:17:00Z</dcterms:created>
  <dcterms:modified xsi:type="dcterms:W3CDTF">2024-07-05T11:52:00Z</dcterms:modified>
</cp:coreProperties>
</file>