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6A10E2" w14:paraId="0D92E3CF" w14:textId="77777777" w:rsidTr="008A1499">
        <w:trPr>
          <w:trHeight w:val="850"/>
        </w:trPr>
        <w:tc>
          <w:tcPr>
            <w:tcW w:w="975" w:type="dxa"/>
            <w:vAlign w:val="bottom"/>
          </w:tcPr>
          <w:p w14:paraId="16487CC6" w14:textId="77777777" w:rsidR="008A1499" w:rsidRPr="006A10E2" w:rsidRDefault="008A1499" w:rsidP="008A1499">
            <w:pPr>
              <w:pStyle w:val="AASmallLogo"/>
            </w:pPr>
            <w:r>
              <w:rPr>
                <w:noProof/>
                <w:lang w:val="en-US"/>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75E77EBC" w14:textId="77777777" w:rsidR="008A1499" w:rsidRPr="006A10E2" w:rsidRDefault="008A1499" w:rsidP="008A1499">
            <w:pPr>
              <w:pStyle w:val="AASmallLogo"/>
            </w:pPr>
          </w:p>
        </w:tc>
        <w:tc>
          <w:tcPr>
            <w:tcW w:w="1434" w:type="dxa"/>
            <w:noWrap/>
            <w:vAlign w:val="bottom"/>
          </w:tcPr>
          <w:p w14:paraId="4CF5E516" w14:textId="63CCBF85" w:rsidR="008A1499" w:rsidRPr="006A10E2" w:rsidRDefault="0080151B" w:rsidP="008A1499">
            <w:pPr>
              <w:pStyle w:val="AASmallLogo"/>
            </w:pPr>
            <w:r w:rsidRPr="00794E83">
              <w:rPr>
                <w:noProof/>
                <w:lang w:val="en-US"/>
                <w14:ligatures w14:val="standardContextual"/>
              </w:rPr>
              <w:drawing>
                <wp:inline distT="0" distB="0" distL="0" distR="0" wp14:anchorId="40DC4096" wp14:editId="5CA68A37">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t xml:space="preserve"> </w:t>
            </w:r>
          </w:p>
          <w:p w14:paraId="10626153" w14:textId="77777777" w:rsidR="008A1499" w:rsidRPr="006A10E2" w:rsidRDefault="008A1499" w:rsidP="008A1499">
            <w:pPr>
              <w:pStyle w:val="AASmallLogo"/>
            </w:pPr>
          </w:p>
        </w:tc>
        <w:tc>
          <w:tcPr>
            <w:tcW w:w="8073" w:type="dxa"/>
            <w:vAlign w:val="bottom"/>
          </w:tcPr>
          <w:p w14:paraId="293C68F2" w14:textId="3CA7A3DD" w:rsidR="008A1499" w:rsidRPr="006A10E2" w:rsidRDefault="008A1499" w:rsidP="00FC74FB">
            <w:pPr>
              <w:pStyle w:val="ABSymbol"/>
            </w:pPr>
            <w:r>
              <w:rPr>
                <w:sz w:val="40"/>
              </w:rPr>
              <w:t>CBD</w:t>
            </w:r>
            <w:r>
              <w:t>/SBI/7/5/Add.1</w:t>
            </w:r>
          </w:p>
        </w:tc>
      </w:tr>
    </w:tbl>
    <w:p w14:paraId="573A3226" w14:textId="77777777" w:rsidR="008A1499" w:rsidRPr="006A10E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A10E2" w14:paraId="3F7FC300" w14:textId="77777777" w:rsidTr="008A1499">
        <w:trPr>
          <w:trHeight w:val="1814"/>
        </w:trPr>
        <w:tc>
          <w:tcPr>
            <w:tcW w:w="7370" w:type="dxa"/>
          </w:tcPr>
          <w:p w14:paraId="6EA2AD40" w14:textId="29E3C828" w:rsidR="008A1499" w:rsidRPr="006A10E2" w:rsidRDefault="0080151B" w:rsidP="008A1499">
            <w:pPr>
              <w:pStyle w:val="ACLargeLogo"/>
            </w:pPr>
            <w:r w:rsidRPr="00AA32FC">
              <w:rPr>
                <w:noProof/>
                <w:lang w:val="en-US"/>
              </w:rPr>
              <w:drawing>
                <wp:inline distT="0" distB="0" distL="0" distR="0" wp14:anchorId="228275CF" wp14:editId="01EE406C">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71DD5B18" w14:textId="77777777" w:rsidR="008A1499" w:rsidRPr="006A10E2" w:rsidRDefault="008A1499" w:rsidP="008A1499">
            <w:pPr>
              <w:pStyle w:val="ACLargeLogo"/>
            </w:pPr>
          </w:p>
        </w:tc>
        <w:tc>
          <w:tcPr>
            <w:tcW w:w="3112" w:type="dxa"/>
          </w:tcPr>
          <w:p w14:paraId="53FCA8D2" w14:textId="77777777" w:rsidR="008A1499" w:rsidRPr="006A10E2" w:rsidRDefault="008A1499" w:rsidP="008A1499">
            <w:pPr>
              <w:pStyle w:val="AEDistrNormal"/>
            </w:pPr>
            <w:r>
              <w:t xml:space="preserve">Distr. general </w:t>
            </w:r>
          </w:p>
          <w:p w14:paraId="1EE558EE" w14:textId="747A9E5D" w:rsidR="008A1499" w:rsidRPr="006A10E2" w:rsidRDefault="006E0102" w:rsidP="008A1499">
            <w:pPr>
              <w:pStyle w:val="AEDistrNormal"/>
            </w:pPr>
            <w:r>
              <w:t>17 de junio de 2026</w:t>
            </w:r>
          </w:p>
          <w:p w14:paraId="5F9177BA" w14:textId="77777777" w:rsidR="008A1499" w:rsidRPr="006A10E2" w:rsidRDefault="008A1499" w:rsidP="0080151B">
            <w:pPr>
              <w:pStyle w:val="AEDistrNormal6pt"/>
              <w:spacing w:before="0"/>
            </w:pPr>
            <w:r>
              <w:t>Español</w:t>
            </w:r>
            <w:r>
              <w:br/>
              <w:t xml:space="preserve">Original: inglés </w:t>
            </w:r>
          </w:p>
          <w:p w14:paraId="6AAB0F88" w14:textId="77777777" w:rsidR="008A1499" w:rsidRPr="006A10E2" w:rsidRDefault="008A1499" w:rsidP="008A1499">
            <w:pPr>
              <w:pStyle w:val="AEDistrNormal6pt"/>
            </w:pPr>
          </w:p>
        </w:tc>
      </w:tr>
    </w:tbl>
    <w:p w14:paraId="2368B4BD" w14:textId="77777777" w:rsidR="008A1499" w:rsidRPr="006A10E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66DA8" w14:paraId="2198A680" w14:textId="77777777" w:rsidTr="008A1499">
        <w:trPr>
          <w:trHeight w:val="57"/>
        </w:trPr>
        <w:tc>
          <w:tcPr>
            <w:tcW w:w="6094" w:type="dxa"/>
          </w:tcPr>
          <w:p w14:paraId="02EA730E" w14:textId="77777777" w:rsidR="008A1499" w:rsidRPr="00D66DA8" w:rsidRDefault="00C4348A" w:rsidP="008A1499">
            <w:pPr>
              <w:pStyle w:val="AFCorN12Bold"/>
            </w:pPr>
            <w:r>
              <w:t xml:space="preserve">Órgano Subsidiario sobre la Aplicación </w:t>
            </w:r>
          </w:p>
          <w:p w14:paraId="774CA2FE" w14:textId="77777777" w:rsidR="008A1499" w:rsidRPr="00D66DA8" w:rsidRDefault="00FB6391" w:rsidP="008A1499">
            <w:pPr>
              <w:pStyle w:val="AFCorNBold"/>
            </w:pPr>
            <w:r>
              <w:t xml:space="preserve">Séptima reunión </w:t>
            </w:r>
          </w:p>
          <w:p w14:paraId="5215F258" w14:textId="77777777" w:rsidR="008A1499" w:rsidRPr="00D66DA8" w:rsidRDefault="00FB6391" w:rsidP="008A1499">
            <w:pPr>
              <w:pStyle w:val="AFCorNNormal"/>
            </w:pPr>
            <w:r>
              <w:t>Nairobi, 4 a 12 de agosto de 2026</w:t>
            </w:r>
          </w:p>
          <w:p w14:paraId="2EFF057E" w14:textId="67C86CC5" w:rsidR="008A1499" w:rsidRPr="00D66DA8" w:rsidRDefault="008A1499" w:rsidP="008A1499">
            <w:pPr>
              <w:pStyle w:val="AFCorNNormal"/>
            </w:pPr>
            <w:r>
              <w:t>Tema 5 del programa provisional</w:t>
            </w:r>
            <w:r w:rsidRPr="00FC74FB">
              <w:rPr>
                <w:rStyle w:val="FootnoteReference"/>
              </w:rPr>
              <w:footnoteReference w:customMarkFollows="1" w:id="1"/>
              <w:t>*</w:t>
            </w:r>
            <w:bookmarkStart w:id="0" w:name="_GoBack"/>
            <w:bookmarkEnd w:id="0"/>
          </w:p>
          <w:p w14:paraId="08827F5B" w14:textId="1F1A5CA9" w:rsidR="008A1499" w:rsidRPr="00D66DA8" w:rsidRDefault="006E0102" w:rsidP="008A1499">
            <w:pPr>
              <w:pStyle w:val="AFCorNBold"/>
            </w:pPr>
            <w:r>
              <w:t>Información digital sobre secuencias de recursos genéticos</w:t>
            </w:r>
          </w:p>
        </w:tc>
        <w:tc>
          <w:tcPr>
            <w:tcW w:w="4388" w:type="dxa"/>
          </w:tcPr>
          <w:p w14:paraId="115C6B9A" w14:textId="77777777" w:rsidR="008A1499" w:rsidRPr="00D66DA8" w:rsidRDefault="008A1499" w:rsidP="008A1499">
            <w:pPr>
              <w:pStyle w:val="CBDNormal"/>
              <w:jc w:val="left"/>
            </w:pPr>
          </w:p>
        </w:tc>
      </w:tr>
    </w:tbl>
    <w:p w14:paraId="78382EC6" w14:textId="61CCF5F4" w:rsidR="00C9161D" w:rsidRPr="00B5008C" w:rsidRDefault="0089448A" w:rsidP="00A111D1">
      <w:pPr>
        <w:pStyle w:val="CBDTitle"/>
        <w:rPr>
          <w:caps/>
        </w:rPr>
      </w:pPr>
      <w:sdt>
        <w:sdtPr>
          <w:alias w:val="Title"/>
          <w:tag w:val=""/>
          <w:id w:val="772832786"/>
          <w:placeholder>
            <w:docPart w:val="DC2F78005E2349BB9BCAC1023290C06F"/>
          </w:placeholder>
          <w:dataBinding w:prefixMappings="xmlns:ns0='http://purl.org/dc/elements/1.1/' xmlns:ns1='http://schemas.openxmlformats.org/package/2006/metadata/core-properties' " w:xpath="/ns1:coreProperties[1]/ns0:title[1]" w:storeItemID="{6C3C8BC8-F283-45AE-878A-BAB7291924A1}"/>
          <w:text/>
        </w:sdtPr>
        <w:sdtEndPr/>
        <w:sdtContent>
          <w:r w:rsidR="0080151B">
            <w:t>Re</w:t>
          </w:r>
          <w:r w:rsidR="00AE7959" w:rsidRPr="00B5008C">
            <w:t>sume</w:t>
          </w:r>
          <w:r w:rsidR="0080151B">
            <w:t xml:space="preserve">n del estudio encargado sobre herramientas y modelos, tales como bases de datos, para poner información </w:t>
          </w:r>
          <w:r w:rsidR="00AE7959" w:rsidRPr="00B5008C">
            <w:t xml:space="preserve">digital </w:t>
          </w:r>
          <w:r w:rsidR="0080151B">
            <w:t xml:space="preserve">sobre </w:t>
          </w:r>
          <w:r w:rsidR="00AE7959" w:rsidRPr="00B5008C">
            <w:t>se</w:t>
          </w:r>
          <w:r w:rsidR="0080151B">
            <w:t>c</w:t>
          </w:r>
          <w:r w:rsidR="00AE7959" w:rsidRPr="00B5008C">
            <w:t>uenc</w:t>
          </w:r>
          <w:r w:rsidR="0080151B">
            <w:t>ias de recursos genéticos a disposición del público y hacerla accesible de manera transparente y con rendición de cuentas</w:t>
          </w:r>
        </w:sdtContent>
      </w:sdt>
      <w:r w:rsidR="00325507">
        <w:rPr>
          <w:rStyle w:val="FootnoteReference"/>
        </w:rPr>
        <w:footnoteReference w:customMarkFollows="1" w:id="2"/>
        <w:t>**</w:t>
      </w:r>
    </w:p>
    <w:p w14:paraId="1E675D90" w14:textId="4F9DF56E" w:rsidR="00F6586C" w:rsidRPr="006A10E2" w:rsidRDefault="0030169D" w:rsidP="00A111D1">
      <w:pPr>
        <w:pStyle w:val="CBDSubTitle"/>
      </w:pPr>
      <w:r>
        <w:t>Nota de la Secretaría actuando en calidad de Secretaría provisional del Mecanismo Multilateral, incluido el Fondo de Cali</w:t>
      </w:r>
      <w:r>
        <w:rPr>
          <w:rStyle w:val="FootnoteReference"/>
        </w:rPr>
        <w:footnoteReference w:customMarkFollows="1" w:id="3"/>
        <w:t>***</w:t>
      </w:r>
    </w:p>
    <w:p w14:paraId="7E7D2C0F" w14:textId="1CE8ED7D" w:rsidR="00C9161D" w:rsidRPr="006A10E2" w:rsidRDefault="00A111D1" w:rsidP="00A111D1">
      <w:pPr>
        <w:pStyle w:val="CBDH1"/>
      </w:pPr>
      <w:r>
        <w:t>I.</w:t>
      </w:r>
      <w:r>
        <w:tab/>
        <w:t>Introducción</w:t>
      </w:r>
    </w:p>
    <w:p w14:paraId="76DB6A8D" w14:textId="3D872353" w:rsidR="00BD2108" w:rsidRPr="003E6EDE" w:rsidRDefault="00BD2108" w:rsidP="00D10830">
      <w:pPr>
        <w:pStyle w:val="CBDNormalNumber"/>
        <w:ind w:left="540"/>
      </w:pPr>
      <w:r>
        <w:t xml:space="preserve">En su decisión </w:t>
      </w:r>
      <w:hyperlink r:id="rId15" w:history="1">
        <w:r>
          <w:rPr>
            <w:rStyle w:val="Hyperlink"/>
          </w:rPr>
          <w:t>16/2</w:t>
        </w:r>
      </w:hyperlink>
      <w:r>
        <w:t xml:space="preserve">, la Conferencia de las Partes </w:t>
      </w:r>
      <w:r w:rsidR="00054E52">
        <w:t xml:space="preserve">en </w:t>
      </w:r>
      <w:r>
        <w:t>el Convenio sobre la Diversidad Biológica adoptó las modalidades para la puesta en funcionamiento del Mecanismo Multilateral de Participación Justa y Equitativa en los Beneficios que se Deriven de la Utilización de Información Digital sobre Secuencias de Recursos Genéticos, incluido un fondo mundial, que se denominaría el Fondo de Cali.</w:t>
      </w:r>
    </w:p>
    <w:p w14:paraId="698A6574" w14:textId="70032011" w:rsidR="00BD2108" w:rsidRPr="003E6EDE" w:rsidRDefault="00BD2108" w:rsidP="00D10830">
      <w:pPr>
        <w:pStyle w:val="CBDNormalNumber"/>
        <w:ind w:left="540"/>
      </w:pPr>
      <w:r>
        <w:t xml:space="preserve">En el párrafo 4 de esa </w:t>
      </w:r>
      <w:r w:rsidR="00054E52">
        <w:t xml:space="preserve">misma </w:t>
      </w:r>
      <w:r>
        <w:t>decisión, la Conferencia de las Partes decidió explorar posibles nuevas herramientas y modelos, como, por ejemplo, bases de datos, para poner información digital sobre secuencias de recursos genéticos a disposición del público y hacerla accesible a todas las Partes de manera transparente y con rendición de cuentas. En el párrafo 5 de la decisión, la Conferencia de las Partes invitó a las Partes, otros Gobiernos, pueblos indígenas y comunidades locales y organizaciones pertinentes a aportar opiniones sobre este tema y, en el párrafo 6, pidió a la Secretaria Ejecutiva que: a) hiciera una síntesis de las opiniones aportadas</w:t>
      </w:r>
      <w:r w:rsidR="00054E52">
        <w:t>;</w:t>
      </w:r>
      <w:r>
        <w:t xml:space="preserve"> y b) encargara un estudio que analizara opciones para poner información digital sobre secuencias de recursos genéticos a disposición del público y hacerla accesible de manera transparente y con rendición de cuentas.</w:t>
      </w:r>
    </w:p>
    <w:p w14:paraId="5A40A74A" w14:textId="6EB95053" w:rsidR="00BD2108" w:rsidRPr="003E6EDE" w:rsidRDefault="00BD2108" w:rsidP="00D10830">
      <w:pPr>
        <w:pStyle w:val="CBDNormalNumber"/>
        <w:ind w:left="540"/>
      </w:pPr>
      <w:r>
        <w:t xml:space="preserve">En respuesta, la Secretaría </w:t>
      </w:r>
      <w:r w:rsidR="00374BE8">
        <w:t>solicitó opiniones a través de</w:t>
      </w:r>
      <w:r>
        <w:t xml:space="preserve"> la notificación núm. </w:t>
      </w:r>
      <w:hyperlink r:id="rId16" w:history="1">
        <w:r>
          <w:rPr>
            <w:rStyle w:val="Hyperlink"/>
          </w:rPr>
          <w:t>2024-115</w:t>
        </w:r>
      </w:hyperlink>
      <w:r>
        <w:t xml:space="preserve"> y </w:t>
      </w:r>
      <w:r w:rsidR="00435320">
        <w:t xml:space="preserve">en un documento de información se </w:t>
      </w:r>
      <w:r w:rsidR="00374BE8">
        <w:t>brinda</w:t>
      </w:r>
      <w:r w:rsidR="00435320">
        <w:t xml:space="preserve"> </w:t>
      </w:r>
      <w:r>
        <w:t xml:space="preserve">la síntesis completa de las opiniones. En el documento </w:t>
      </w:r>
      <w:hyperlink r:id="rId17" w:history="1">
        <w:r>
          <w:rPr>
            <w:rStyle w:val="Hyperlink"/>
          </w:rPr>
          <w:t>CBD/SBI/7/5</w:t>
        </w:r>
      </w:hyperlink>
      <w:r>
        <w:t xml:space="preserve"> se proporciona un resumen de las opiniones aportadas.</w:t>
      </w:r>
    </w:p>
    <w:p w14:paraId="341DFC23" w14:textId="79CE8200" w:rsidR="00BD2108" w:rsidRPr="00DD67AC" w:rsidRDefault="000F369E" w:rsidP="00374BE8">
      <w:pPr>
        <w:pStyle w:val="CBDNormalNumber"/>
      </w:pPr>
      <w:r w:rsidRPr="00DD67AC">
        <w:t xml:space="preserve">La Secretaría encargó también un informe sobre herramientas y modelos existentes para la disponibilidad y accesibilidad de información digital sobre secuencias y una evaluación de </w:t>
      </w:r>
      <w:r w:rsidR="00374BE8" w:rsidRPr="00374BE8">
        <w:t>los beneficios y limitaciones de tales herramientas y modelos</w:t>
      </w:r>
      <w:r w:rsidRPr="00DD67AC">
        <w:t xml:space="preserve">, </w:t>
      </w:r>
      <w:r w:rsidR="00054E52" w:rsidRPr="00DD67AC">
        <w:t xml:space="preserve">con </w:t>
      </w:r>
      <w:r w:rsidR="00374BE8">
        <w:t>miras a</w:t>
      </w:r>
      <w:r w:rsidRPr="00DD67AC">
        <w:t xml:space="preserve"> formula</w:t>
      </w:r>
      <w:r w:rsidR="00054E52" w:rsidRPr="00DD67AC">
        <w:t>r</w:t>
      </w:r>
      <w:r w:rsidRPr="00DD67AC">
        <w:t xml:space="preserve"> recomendaciones </w:t>
      </w:r>
      <w:r w:rsidR="00054E52" w:rsidRPr="00DD67AC">
        <w:lastRenderedPageBreak/>
        <w:t xml:space="preserve">referidas a la </w:t>
      </w:r>
      <w:r w:rsidR="00DD67AC" w:rsidRPr="00DD67AC">
        <w:t>posible</w:t>
      </w:r>
      <w:r w:rsidR="00054E52" w:rsidRPr="00DD67AC">
        <w:t xml:space="preserve"> </w:t>
      </w:r>
      <w:r w:rsidRPr="00DD67AC">
        <w:t>necesi</w:t>
      </w:r>
      <w:r w:rsidR="00374BE8">
        <w:t>dad</w:t>
      </w:r>
      <w:r w:rsidR="00054E52" w:rsidRPr="00DD67AC">
        <w:t xml:space="preserve"> </w:t>
      </w:r>
      <w:r w:rsidR="00374BE8">
        <w:t xml:space="preserve">de </w:t>
      </w:r>
      <w:r w:rsidRPr="00DD67AC">
        <w:t xml:space="preserve">nuevas herramientas y modelos para información digital sobre </w:t>
      </w:r>
      <w:r w:rsidRPr="00374BE8">
        <w:rPr>
          <w:spacing w:val="-2"/>
        </w:rPr>
        <w:t xml:space="preserve">secuencias de recursos genéticos </w:t>
      </w:r>
      <w:r w:rsidR="00DD67AC" w:rsidRPr="00374BE8">
        <w:rPr>
          <w:spacing w:val="-2"/>
        </w:rPr>
        <w:t xml:space="preserve">a </w:t>
      </w:r>
      <w:r w:rsidR="00374BE8" w:rsidRPr="00374BE8">
        <w:rPr>
          <w:spacing w:val="-2"/>
        </w:rPr>
        <w:t>fin</w:t>
      </w:r>
      <w:r w:rsidR="00DD67AC" w:rsidRPr="00374BE8">
        <w:rPr>
          <w:spacing w:val="-2"/>
        </w:rPr>
        <w:t xml:space="preserve"> de</w:t>
      </w:r>
      <w:r w:rsidRPr="00374BE8">
        <w:rPr>
          <w:spacing w:val="-2"/>
        </w:rPr>
        <w:t xml:space="preserve"> satisfacer los criterios de transp</w:t>
      </w:r>
      <w:r w:rsidR="00374BE8" w:rsidRPr="00374BE8">
        <w:rPr>
          <w:spacing w:val="-2"/>
        </w:rPr>
        <w:t>arencia y rendición de cuentas.</w:t>
      </w:r>
    </w:p>
    <w:p w14:paraId="3D5AB360" w14:textId="4997A666" w:rsidR="000F78FC" w:rsidRPr="006A10E2" w:rsidRDefault="00BD2108" w:rsidP="00D10830">
      <w:pPr>
        <w:pStyle w:val="CBDNormalNumber"/>
        <w:ind w:left="540"/>
      </w:pPr>
      <w:r>
        <w:t>El presente documento contiene el resumen de dicho estudio. En un documento de información</w:t>
      </w:r>
      <w:r w:rsidR="0095354B">
        <w:t xml:space="preserve"> se brinda un resumen detallado</w:t>
      </w:r>
      <w:r>
        <w:t xml:space="preserve"> que </w:t>
      </w:r>
      <w:r w:rsidR="00DD67AC">
        <w:t>incluye</w:t>
      </w:r>
      <w:r>
        <w:t xml:space="preserve"> todas las referencias.</w:t>
      </w:r>
    </w:p>
    <w:p w14:paraId="5BA02D89" w14:textId="5A669EE6" w:rsidR="007C4951" w:rsidRPr="006A10E2" w:rsidRDefault="00A111D1" w:rsidP="00A111D1">
      <w:pPr>
        <w:pStyle w:val="CBDH1"/>
      </w:pPr>
      <w:r>
        <w:t>II.</w:t>
      </w:r>
      <w:r>
        <w:tab/>
        <w:t xml:space="preserve">Metodología y limitaciones </w:t>
      </w:r>
    </w:p>
    <w:p w14:paraId="772D40EC" w14:textId="04C6ECB7" w:rsidR="00BD2108" w:rsidRPr="006A10E2" w:rsidRDefault="002252C5" w:rsidP="00FC74FB">
      <w:pPr>
        <w:pStyle w:val="CBDH2"/>
      </w:pPr>
      <w:r>
        <w:t>A.</w:t>
      </w:r>
      <w:r>
        <w:tab/>
        <w:t>Metodología del estudio</w:t>
      </w:r>
    </w:p>
    <w:p w14:paraId="1F204F71" w14:textId="6A24A7A0" w:rsidR="00BD2108" w:rsidRPr="00DD67AC" w:rsidRDefault="711297A1" w:rsidP="00FC74FB">
      <w:pPr>
        <w:pStyle w:val="CBDNormalNumber"/>
        <w:rPr>
          <w:color w:val="000000" w:themeColor="text1"/>
          <w:spacing w:val="-4"/>
        </w:rPr>
      </w:pPr>
      <w:r w:rsidRPr="00DD67AC">
        <w:rPr>
          <w:spacing w:val="-4"/>
        </w:rPr>
        <w:t xml:space="preserve">El estudio empleó información tomada de </w:t>
      </w:r>
      <w:r w:rsidR="00DD67AC" w:rsidRPr="00DD67AC">
        <w:rPr>
          <w:spacing w:val="-4"/>
        </w:rPr>
        <w:t>la literatura</w:t>
      </w:r>
      <w:r w:rsidRPr="00DD67AC">
        <w:rPr>
          <w:spacing w:val="-4"/>
        </w:rPr>
        <w:t xml:space="preserve">, contenido de </w:t>
      </w:r>
      <w:r w:rsidR="0095354B">
        <w:rPr>
          <w:spacing w:val="-4"/>
        </w:rPr>
        <w:t xml:space="preserve">las </w:t>
      </w:r>
      <w:r w:rsidRPr="00DD67AC">
        <w:rPr>
          <w:spacing w:val="-4"/>
        </w:rPr>
        <w:t>opiniones</w:t>
      </w:r>
      <w:r w:rsidR="0095354B">
        <w:rPr>
          <w:spacing w:val="-4"/>
        </w:rPr>
        <w:t xml:space="preserve"> aportadas</w:t>
      </w:r>
      <w:r w:rsidRPr="00DD67AC">
        <w:rPr>
          <w:spacing w:val="-4"/>
        </w:rPr>
        <w:t xml:space="preserve">, entrevistas oficiosas y respuestas a dos encuestas que se llevaron a cabo con este fin. </w:t>
      </w:r>
    </w:p>
    <w:p w14:paraId="0CCABFB5" w14:textId="1703995A" w:rsidR="00BD2108" w:rsidRPr="00E978A1" w:rsidRDefault="00BD2108" w:rsidP="00F13A6A">
      <w:pPr>
        <w:pStyle w:val="CBDNormalNumber"/>
        <w:rPr>
          <w:color w:val="000000"/>
        </w:rPr>
      </w:pPr>
      <w:r w:rsidRPr="00E978A1">
        <w:t>La selección de sujetos para las 40</w:t>
      </w:r>
      <w:r w:rsidR="0095354B" w:rsidRPr="00E978A1">
        <w:t> </w:t>
      </w:r>
      <w:r w:rsidRPr="00E978A1">
        <w:t xml:space="preserve">entrevistas oficiosas se hizo </w:t>
      </w:r>
      <w:r w:rsidR="00F13A6A" w:rsidRPr="00E978A1">
        <w:t xml:space="preserve">buscando una amplia </w:t>
      </w:r>
      <w:r w:rsidRPr="00E978A1">
        <w:t xml:space="preserve">representación disciplinaria, geográfica y cultural </w:t>
      </w:r>
      <w:r w:rsidR="0095354B" w:rsidRPr="00E978A1">
        <w:t>con miras a</w:t>
      </w:r>
      <w:r w:rsidRPr="00E978A1">
        <w:t xml:space="preserve"> recabar información, conocer diversas perspectivas y cosmovisiones </w:t>
      </w:r>
      <w:r w:rsidR="00F13A6A" w:rsidRPr="00E978A1">
        <w:t>y</w:t>
      </w:r>
      <w:r w:rsidRPr="00E978A1">
        <w:t xml:space="preserve"> det</w:t>
      </w:r>
      <w:r w:rsidR="00F13A6A" w:rsidRPr="00E978A1">
        <w:t>e</w:t>
      </w:r>
      <w:r w:rsidRPr="00E978A1">
        <w:t>c</w:t>
      </w:r>
      <w:r w:rsidR="00F13A6A" w:rsidRPr="00E978A1">
        <w:t>t</w:t>
      </w:r>
      <w:r w:rsidRPr="00E978A1">
        <w:t>ar carencias, así como identificar posibles soluciones. El grupo de entrevistados estuvo com</w:t>
      </w:r>
      <w:r w:rsidR="00E978A1" w:rsidRPr="00E978A1">
        <w:t>puest</w:t>
      </w:r>
      <w:r w:rsidRPr="00E978A1">
        <w:t>o en un 22 % por representantes de Partes/Gobierno</w:t>
      </w:r>
      <w:r w:rsidR="00F13A6A" w:rsidRPr="00E978A1">
        <w:t>s</w:t>
      </w:r>
      <w:r w:rsidRPr="00E978A1">
        <w:t xml:space="preserve">, otro 22 % por representantes de pueblos indígenas, un 19 % </w:t>
      </w:r>
      <w:r w:rsidR="00E76DDD">
        <w:t>por</w:t>
      </w:r>
      <w:r w:rsidRPr="00E978A1">
        <w:t xml:space="preserve"> investigadores académicos, un 17 % </w:t>
      </w:r>
      <w:r w:rsidR="00E76DDD">
        <w:t>por</w:t>
      </w:r>
      <w:r w:rsidR="00E42DC8">
        <w:t xml:space="preserve"> </w:t>
      </w:r>
      <w:r w:rsidRPr="00E42DC8">
        <w:rPr>
          <w:spacing w:val="2"/>
        </w:rPr>
        <w:t xml:space="preserve">administradores </w:t>
      </w:r>
      <w:r w:rsidRPr="00E978A1">
        <w:t xml:space="preserve">de bases de datos, un 14 % </w:t>
      </w:r>
      <w:r w:rsidR="00E76DDD">
        <w:t>por</w:t>
      </w:r>
      <w:r w:rsidRPr="00E978A1">
        <w:t xml:space="preserve"> representantes de la industria y un 6 % </w:t>
      </w:r>
      <w:r w:rsidR="00E76DDD">
        <w:t>por</w:t>
      </w:r>
      <w:r w:rsidRPr="00E978A1">
        <w:t xml:space="preserve"> representantes </w:t>
      </w:r>
      <w:r w:rsidR="00E42DC8">
        <w:t>de</w:t>
      </w:r>
      <w:r w:rsidRPr="00E978A1">
        <w:t xml:space="preserve"> comunidades locales. En términos geográfico</w:t>
      </w:r>
      <w:r w:rsidR="00F13A6A" w:rsidRPr="00E978A1">
        <w:t>s</w:t>
      </w:r>
      <w:r w:rsidRPr="00E978A1">
        <w:t xml:space="preserve">, </w:t>
      </w:r>
      <w:r w:rsidR="00F13A6A" w:rsidRPr="00E978A1">
        <w:t xml:space="preserve">estuvieron sobrerrepresentadas </w:t>
      </w:r>
      <w:r w:rsidR="00E76DDD">
        <w:t xml:space="preserve">las regiones de </w:t>
      </w:r>
      <w:r w:rsidRPr="00E978A1">
        <w:t xml:space="preserve">Europa, América del Norte y Oceanía, probablemente debido al importante número de administradores de bases de datos, funcionarios del Convenio y representantes de pueblos indígenas y comunidades locales </w:t>
      </w:r>
      <w:r w:rsidR="00F13A6A" w:rsidRPr="00E978A1">
        <w:t>entrevistados proven</w:t>
      </w:r>
      <w:r w:rsidR="00742C09" w:rsidRPr="00E978A1">
        <w:t>ie</w:t>
      </w:r>
      <w:r w:rsidR="00F13A6A" w:rsidRPr="00E978A1">
        <w:t>n</w:t>
      </w:r>
      <w:r w:rsidR="00742C09" w:rsidRPr="00E978A1">
        <w:t>tes</w:t>
      </w:r>
      <w:r w:rsidR="00F13A6A" w:rsidRPr="00E978A1">
        <w:t xml:space="preserve"> </w:t>
      </w:r>
      <w:r w:rsidRPr="00E978A1">
        <w:t xml:space="preserve">de esas regiones. Es posible que el hecho de que las entrevistas se realizaran solo en inglés haya </w:t>
      </w:r>
      <w:r w:rsidR="00E76DDD">
        <w:t xml:space="preserve">provocado </w:t>
      </w:r>
      <w:r w:rsidRPr="00E978A1">
        <w:t>un sesgo en la participación.</w:t>
      </w:r>
    </w:p>
    <w:p w14:paraId="26942DD1" w14:textId="19ABE902" w:rsidR="00BD2108" w:rsidRPr="006A10E2" w:rsidRDefault="00BD2108" w:rsidP="00FC74FB">
      <w:pPr>
        <w:pStyle w:val="CBDNormalNumber"/>
        <w:rPr>
          <w:color w:val="000000"/>
        </w:rPr>
      </w:pPr>
      <w:r>
        <w:t xml:space="preserve">En el caso de las encuestas </w:t>
      </w:r>
      <w:r w:rsidR="00E76DDD">
        <w:t>a</w:t>
      </w:r>
      <w:r>
        <w:t xml:space="preserve"> </w:t>
      </w:r>
      <w:r w:rsidR="00E76DDD">
        <w:t xml:space="preserve">representantes </w:t>
      </w:r>
      <w:r>
        <w:t xml:space="preserve">académicos y </w:t>
      </w:r>
      <w:r w:rsidR="00742C09">
        <w:t>d</w:t>
      </w:r>
      <w:r>
        <w:t xml:space="preserve">el sector privado, los objetivos principales fueron: a) averiguar si hay necesidad de contar con una nueva base de datos de información digital sobre secuencias de recursos genéticos; b) detectar carencias en la red actual de bases de datos; y c) encontrar soluciones para las carencias detectadas. Se </w:t>
      </w:r>
      <w:r w:rsidR="00EB0310">
        <w:t xml:space="preserve">realizaron importantes </w:t>
      </w:r>
      <w:r w:rsidR="00EB0310" w:rsidRPr="003B4C2D">
        <w:t xml:space="preserve">esfuerzos de divulgación </w:t>
      </w:r>
      <w:r w:rsidR="00E76DDD" w:rsidRPr="003B4C2D">
        <w:t>con miras a</w:t>
      </w:r>
      <w:r w:rsidR="000533D1" w:rsidRPr="003B4C2D">
        <w:t xml:space="preserve"> </w:t>
      </w:r>
      <w:r w:rsidR="00EB0310" w:rsidRPr="003B4C2D">
        <w:t xml:space="preserve">lograr una </w:t>
      </w:r>
      <w:r w:rsidRPr="003B4C2D">
        <w:t>amplia representación geográfica, de disciplinas</w:t>
      </w:r>
      <w:r w:rsidR="003B4C2D">
        <w:t xml:space="preserve"> o </w:t>
      </w:r>
      <w:r w:rsidRPr="003B4C2D">
        <w:t>sectores</w:t>
      </w:r>
      <w:r>
        <w:t xml:space="preserve"> y cultural. </w:t>
      </w:r>
      <w:r w:rsidR="003B4C2D">
        <w:t>En el caso de</w:t>
      </w:r>
      <w:r w:rsidR="008D3033">
        <w:t xml:space="preserve"> l</w:t>
      </w:r>
      <w:r>
        <w:t xml:space="preserve">a encuesta académica </w:t>
      </w:r>
      <w:r w:rsidR="008D3033">
        <w:t xml:space="preserve">se </w:t>
      </w:r>
      <w:r>
        <w:t>recibi</w:t>
      </w:r>
      <w:r w:rsidR="008D3033">
        <w:t>eron</w:t>
      </w:r>
      <w:r>
        <w:t xml:space="preserve"> 154 respuestas</w:t>
      </w:r>
      <w:r w:rsidR="003B4C2D">
        <w:t>,</w:t>
      </w:r>
      <w:r>
        <w:t xml:space="preserve"> </w:t>
      </w:r>
      <w:r w:rsidR="003B4C2D">
        <w:t>c</w:t>
      </w:r>
      <w:r w:rsidR="008D3033">
        <w:t>o</w:t>
      </w:r>
      <w:r w:rsidR="003B4C2D">
        <w:t>n</w:t>
      </w:r>
      <w:r w:rsidR="008D3033">
        <w:t xml:space="preserve"> </w:t>
      </w:r>
      <w:r>
        <w:t>sobrerrepresentación de Europa (45,8 %), América del Norte</w:t>
      </w:r>
      <w:r w:rsidR="0050294D">
        <w:t> </w:t>
      </w:r>
      <w:r>
        <w:t xml:space="preserve">(19 %) y Oceanía (11,8 %), lo que refleja </w:t>
      </w:r>
      <w:r w:rsidR="003B4C2D">
        <w:t>l</w:t>
      </w:r>
      <w:r>
        <w:t xml:space="preserve">a tendencia </w:t>
      </w:r>
      <w:r w:rsidR="00742C09">
        <w:t>anterior</w:t>
      </w:r>
      <w:r>
        <w:t xml:space="preserve">, probablemente por </w:t>
      </w:r>
      <w:r w:rsidR="00742C09">
        <w:t>motivos</w:t>
      </w:r>
      <w:r>
        <w:t xml:space="preserve"> similares. Cabe señalar que solo nueve representantes del sector privado respondieron la encuesta a pesar de los esfuerzos dirigidos a captar su participación y </w:t>
      </w:r>
      <w:r w:rsidR="005F33A8">
        <w:t xml:space="preserve">a </w:t>
      </w:r>
      <w:r>
        <w:t xml:space="preserve">afinar la encuesta para </w:t>
      </w:r>
      <w:r w:rsidR="00742C09">
        <w:t>contemplar</w:t>
      </w:r>
      <w:r>
        <w:t xml:space="preserve"> sus inquietudes. E</w:t>
      </w:r>
      <w:r w:rsidR="005F33A8">
        <w:t>l</w:t>
      </w:r>
      <w:r>
        <w:t xml:space="preserve"> nivel de participación no </w:t>
      </w:r>
      <w:r w:rsidR="005F33A8">
        <w:t>fue suficiente</w:t>
      </w:r>
      <w:r>
        <w:t xml:space="preserve"> para realizar análisis demográficos o estadísticos.</w:t>
      </w:r>
    </w:p>
    <w:p w14:paraId="698CC573" w14:textId="4DDC0ACD" w:rsidR="00BD2108" w:rsidRPr="006A10E2" w:rsidRDefault="005F33A8" w:rsidP="00FC74FB">
      <w:pPr>
        <w:pStyle w:val="CBDH2"/>
      </w:pPr>
      <w:r>
        <w:t>B.</w:t>
      </w:r>
      <w:r>
        <w:tab/>
        <w:t>Limitaciones</w:t>
      </w:r>
    </w:p>
    <w:p w14:paraId="152F6D66" w14:textId="75438810" w:rsidR="00BD2108" w:rsidRPr="006A10E2" w:rsidRDefault="00BD2108" w:rsidP="00FC74FB">
      <w:pPr>
        <w:pStyle w:val="CBDNormalNumber"/>
      </w:pPr>
      <w:r>
        <w:t>El estudio tuvo las siguie</w:t>
      </w:r>
      <w:r w:rsidR="005F33A8">
        <w:t>ntes limitaciones:</w:t>
      </w:r>
    </w:p>
    <w:p w14:paraId="141E9772" w14:textId="236153B1" w:rsidR="00BD2108" w:rsidRPr="006A10E2" w:rsidRDefault="00BD2108" w:rsidP="005A4042">
      <w:pPr>
        <w:pStyle w:val="CBDNormalNumber"/>
        <w:numPr>
          <w:ilvl w:val="1"/>
          <w:numId w:val="97"/>
        </w:numPr>
      </w:pPr>
      <w:r>
        <w:t xml:space="preserve">Tuvo un plazo muy ajustado de siete meses, lo que impidió que se </w:t>
      </w:r>
      <w:r w:rsidR="005F33A8">
        <w:t xml:space="preserve">lo </w:t>
      </w:r>
      <w:r>
        <w:t xml:space="preserve">sometiera a revisión por pares; </w:t>
      </w:r>
    </w:p>
    <w:p w14:paraId="69EE41FB" w14:textId="38F17447" w:rsidR="00BD2108" w:rsidRPr="006A10E2" w:rsidRDefault="00BD2108" w:rsidP="005A4042">
      <w:pPr>
        <w:pStyle w:val="CBDNormalNumber"/>
        <w:numPr>
          <w:ilvl w:val="1"/>
          <w:numId w:val="97"/>
        </w:numPr>
      </w:pPr>
      <w:r>
        <w:t>Sigue sin haber una definición de información digital sobre secuencias de recursos genéticos</w:t>
      </w:r>
      <w:r w:rsidR="00747380" w:rsidRPr="00747380">
        <w:t xml:space="preserve"> </w:t>
      </w:r>
      <w:r w:rsidR="00747380">
        <w:t>acordada internacionalmente</w:t>
      </w:r>
      <w:r>
        <w:t>;</w:t>
      </w:r>
    </w:p>
    <w:p w14:paraId="10FD3817" w14:textId="478B2A70" w:rsidR="00BD2108" w:rsidRPr="006A10E2" w:rsidRDefault="00BD2108" w:rsidP="005A4042">
      <w:pPr>
        <w:pStyle w:val="CBDNormalNumber"/>
        <w:numPr>
          <w:ilvl w:val="1"/>
          <w:numId w:val="97"/>
        </w:numPr>
      </w:pPr>
      <w:r>
        <w:t xml:space="preserve">Las entrevistas y las encuestas se realizaron solo en inglés, lo que puede haber limitado la participación; </w:t>
      </w:r>
    </w:p>
    <w:p w14:paraId="64FC39B5" w14:textId="32C23647" w:rsidR="00BD2108" w:rsidRPr="008E6DD9" w:rsidRDefault="5FE37B3F" w:rsidP="0050294D">
      <w:pPr>
        <w:pStyle w:val="CBDNormalNumber"/>
        <w:numPr>
          <w:ilvl w:val="1"/>
          <w:numId w:val="97"/>
        </w:numPr>
      </w:pPr>
      <w:r>
        <w:t xml:space="preserve">En ambas encuestas, el término “base de (meta)datos” se empleó para designar una base de datos de información digital sobre secuencias </w:t>
      </w:r>
      <w:r w:rsidR="0050294D">
        <w:t>a fin de</w:t>
      </w:r>
      <w:r>
        <w:t xml:space="preserve"> usar términos que se emplean más ampliamente, pero esto resultó confuso para </w:t>
      </w:r>
      <w:r w:rsidR="00747380">
        <w:t>a</w:t>
      </w:r>
      <w:r>
        <w:t>l</w:t>
      </w:r>
      <w:r w:rsidR="00747380">
        <w:t>gun</w:t>
      </w:r>
      <w:r>
        <w:t>os encuestados del sector privado. S</w:t>
      </w:r>
      <w:r w:rsidR="005A4042">
        <w:t>i bi</w:t>
      </w:r>
      <w:r>
        <w:t>e</w:t>
      </w:r>
      <w:r w:rsidR="005A4042">
        <w:t>n se</w:t>
      </w:r>
      <w:r>
        <w:t xml:space="preserve"> corrigió el término</w:t>
      </w:r>
      <w:r w:rsidR="005A4042">
        <w:t xml:space="preserve">, </w:t>
      </w:r>
      <w:r>
        <w:t>e</w:t>
      </w:r>
      <w:r w:rsidR="005A4042">
        <w:t>st</w:t>
      </w:r>
      <w:r>
        <w:t xml:space="preserve">o </w:t>
      </w:r>
      <w:r w:rsidR="0050294D" w:rsidRPr="0050294D">
        <w:t xml:space="preserve">puede haber limitado la cantidad </w:t>
      </w:r>
      <w:r>
        <w:t>de</w:t>
      </w:r>
      <w:r w:rsidR="005A4042">
        <w:t xml:space="preserve"> respuestas del sector privado.</w:t>
      </w:r>
    </w:p>
    <w:p w14:paraId="6E5EFA6E" w14:textId="768705FB" w:rsidR="006D381A" w:rsidRPr="008E6DD9" w:rsidRDefault="00BD2108" w:rsidP="00FC74FB">
      <w:pPr>
        <w:pStyle w:val="CBDNormalNumber"/>
      </w:pPr>
      <w:r>
        <w:t>De los que respondieron a la encuesta del sector privado, seis eran de América Latina y el Caribe y los otros tres de otras regiones. Para estos, se brind</w:t>
      </w:r>
      <w:r w:rsidR="007B1B47">
        <w:t>a solo un resumen cualitativo.</w:t>
      </w:r>
    </w:p>
    <w:p w14:paraId="39377F96" w14:textId="15D42211" w:rsidR="006D381A" w:rsidRPr="005F33A8" w:rsidRDefault="00BD2108" w:rsidP="00FC74FB">
      <w:pPr>
        <w:pStyle w:val="CBDNormalNumber"/>
        <w:rPr>
          <w:spacing w:val="-2"/>
        </w:rPr>
      </w:pPr>
      <w:r w:rsidRPr="005F33A8">
        <w:rPr>
          <w:spacing w:val="-2"/>
        </w:rPr>
        <w:lastRenderedPageBreak/>
        <w:t xml:space="preserve">El alcance de la </w:t>
      </w:r>
      <w:r w:rsidR="005F33A8" w:rsidRPr="005F33A8">
        <w:rPr>
          <w:spacing w:val="-2"/>
        </w:rPr>
        <w:t xml:space="preserve">actual </w:t>
      </w:r>
      <w:r w:rsidRPr="005F33A8">
        <w:rPr>
          <w:spacing w:val="-2"/>
        </w:rPr>
        <w:t xml:space="preserve">red mundial de bases de datos es altamente complejo, ya que consta de miles de bases de datos operadas bajo sistemas de </w:t>
      </w:r>
      <w:r w:rsidR="00EB0310" w:rsidRPr="005F33A8">
        <w:rPr>
          <w:spacing w:val="-2"/>
        </w:rPr>
        <w:t>gobernanza y mecanismos de financiación</w:t>
      </w:r>
      <w:r w:rsidRPr="005F33A8">
        <w:rPr>
          <w:spacing w:val="-2"/>
        </w:rPr>
        <w:t xml:space="preserve"> diferentes. Además, algunas bases de datos </w:t>
      </w:r>
      <w:r w:rsidR="005F33A8">
        <w:rPr>
          <w:spacing w:val="-2"/>
        </w:rPr>
        <w:t>que conforman</w:t>
      </w:r>
      <w:r w:rsidRPr="005F33A8">
        <w:rPr>
          <w:spacing w:val="-2"/>
        </w:rPr>
        <w:t xml:space="preserve"> la red están ubicadas en país</w:t>
      </w:r>
      <w:r w:rsidR="005F33A8" w:rsidRPr="005F33A8">
        <w:rPr>
          <w:spacing w:val="-2"/>
        </w:rPr>
        <w:t>es</w:t>
      </w:r>
      <w:r w:rsidRPr="005F33A8">
        <w:rPr>
          <w:spacing w:val="-2"/>
        </w:rPr>
        <w:t xml:space="preserve"> que no s</w:t>
      </w:r>
      <w:r w:rsidR="005F33A8" w:rsidRPr="005F33A8">
        <w:rPr>
          <w:spacing w:val="-2"/>
        </w:rPr>
        <w:t>on</w:t>
      </w:r>
      <w:r w:rsidRPr="005F33A8">
        <w:rPr>
          <w:spacing w:val="-2"/>
        </w:rPr>
        <w:t xml:space="preserve"> Parte</w:t>
      </w:r>
      <w:r w:rsidR="005F33A8" w:rsidRPr="005F33A8">
        <w:rPr>
          <w:spacing w:val="-2"/>
        </w:rPr>
        <w:t>s</w:t>
      </w:r>
      <w:r w:rsidRPr="005F33A8">
        <w:rPr>
          <w:spacing w:val="-2"/>
        </w:rPr>
        <w:t>.</w:t>
      </w:r>
    </w:p>
    <w:p w14:paraId="07308FAB" w14:textId="22A49D8F" w:rsidR="006D381A" w:rsidRPr="006A10E2" w:rsidRDefault="006A10E2" w:rsidP="00FC74FB">
      <w:pPr>
        <w:pStyle w:val="CBDH2"/>
      </w:pPr>
      <w:r>
        <w:t>C.</w:t>
      </w:r>
      <w:r>
        <w:tab/>
        <w:t xml:space="preserve">Alcance de la información digital sobre secuencias de recursos genéticos en este estudio </w:t>
      </w:r>
    </w:p>
    <w:p w14:paraId="6D044B9D" w14:textId="4B60F0A7" w:rsidR="006D381A" w:rsidRPr="006A10E2" w:rsidRDefault="002A711C" w:rsidP="00FC74FB">
      <w:pPr>
        <w:pStyle w:val="CBDNormalNumber"/>
      </w:pPr>
      <w:r>
        <w:t xml:space="preserve">Reconociendo que </w:t>
      </w:r>
      <w:r w:rsidR="00AA38ED">
        <w:t>existen opiniones divergentes con respecto</w:t>
      </w:r>
      <w:r>
        <w:t xml:space="preserve"> </w:t>
      </w:r>
      <w:r w:rsidR="005F33A8">
        <w:t xml:space="preserve">a </w:t>
      </w:r>
      <w:r>
        <w:t xml:space="preserve">la información digital sobre secuencias de recursos genéticos </w:t>
      </w:r>
      <w:r w:rsidR="00AA38ED">
        <w:t>e</w:t>
      </w:r>
      <w:r>
        <w:t>n c</w:t>
      </w:r>
      <w:r w:rsidR="00AA38ED">
        <w:t>uan</w:t>
      </w:r>
      <w:r>
        <w:t>to a su alcance en el marco del Convenio</w:t>
      </w:r>
      <w:r w:rsidRPr="006A10E2">
        <w:rPr>
          <w:rStyle w:val="FootnoteReference"/>
        </w:rPr>
        <w:footnoteReference w:id="4"/>
      </w:r>
      <w:r>
        <w:t xml:space="preserve">, la Conferencia de las Partes convino en seguir usando el término “información digital sobre secuencias” para avanzar en las deliberaciones, pero hasta el momento no ha definido el término. En ausencia de esa definición, a los efectos de este estudio se entiende que la información digital sobre secuencias de recursos genéticos abarca ADN, ARN y proteínas. </w:t>
      </w:r>
    </w:p>
    <w:p w14:paraId="212132FC" w14:textId="54083ED9" w:rsidR="00BD2108" w:rsidRPr="006A10E2" w:rsidRDefault="00BD2108" w:rsidP="00FC74FB">
      <w:pPr>
        <w:pStyle w:val="CBDH1"/>
      </w:pPr>
      <w:r>
        <w:t>III.</w:t>
      </w:r>
      <w:r>
        <w:tab/>
        <w:t>Antecedentes y contexto</w:t>
      </w:r>
    </w:p>
    <w:p w14:paraId="04F75484" w14:textId="7EE56420" w:rsidR="006D381A" w:rsidRPr="006A10E2" w:rsidRDefault="008B12D8" w:rsidP="00FC74FB">
      <w:pPr>
        <w:pStyle w:val="CBDH2"/>
      </w:pPr>
      <w:r>
        <w:t>A.</w:t>
      </w:r>
      <w:r>
        <w:tab/>
        <w:t>El proceso de investigación genética y genómica</w:t>
      </w:r>
    </w:p>
    <w:p w14:paraId="11ADC3F1" w14:textId="7676ECEA" w:rsidR="00BD2108" w:rsidRPr="008E6DD9" w:rsidRDefault="006D381A" w:rsidP="00FC74FB">
      <w:pPr>
        <w:pStyle w:val="CBDNormalNumber"/>
      </w:pPr>
      <w:r>
        <w:t>El proceso de un flujo de trabajo típico de información digital sobre secuencias de recursos genéticos, desde el establecimiento del proyecto hasta su presentación a archivos públicos, resalta la complejidad de un proceso de múltiples pasos que es interdisciplinario, interinstitucional y a veces internacional.</w:t>
      </w:r>
    </w:p>
    <w:p w14:paraId="2D5724D8" w14:textId="5A8615E2" w:rsidR="008B12D8" w:rsidRDefault="008B12D8" w:rsidP="00FC74FB">
      <w:pPr>
        <w:pStyle w:val="CBDTableTitle"/>
        <w:rPr>
          <w:rFonts w:ascii="Times New Roman Bold" w:hAnsi="Times New Roman Bold" w:hint="eastAsia"/>
          <w:spacing w:val="-4"/>
        </w:rPr>
      </w:pPr>
      <w:r w:rsidRPr="00B8688C">
        <w:rPr>
          <w:rFonts w:ascii="Times New Roman Bold" w:hAnsi="Times New Roman Bold"/>
          <w:spacing w:val="-4"/>
        </w:rPr>
        <w:t>Proceso de generación de información digital sobre secuenci</w:t>
      </w:r>
      <w:r w:rsidR="00B8688C" w:rsidRPr="00B8688C">
        <w:rPr>
          <w:rFonts w:ascii="Times New Roman Bold" w:hAnsi="Times New Roman Bold"/>
          <w:spacing w:val="-4"/>
        </w:rPr>
        <w:t>as y subida a</w:t>
      </w:r>
      <w:r w:rsidRPr="00B8688C">
        <w:rPr>
          <w:rFonts w:ascii="Times New Roman Bold" w:hAnsi="Times New Roman Bold"/>
          <w:spacing w:val="-4"/>
        </w:rPr>
        <w:t xml:space="preserve"> bases de datos públicas</w:t>
      </w:r>
      <w:r w:rsidR="00D514CA" w:rsidRPr="00B8688C">
        <w:rPr>
          <w:rStyle w:val="FootnoteReference"/>
          <w:rFonts w:ascii="Times New Roman Bold" w:hAnsi="Times New Roman Bold"/>
          <w:spacing w:val="-4"/>
        </w:rPr>
        <w:footnoteReference w:id="5"/>
      </w:r>
    </w:p>
    <w:p w14:paraId="65026B60" w14:textId="78EFD1D4" w:rsidR="00812435" w:rsidRPr="00B8688C" w:rsidRDefault="00812435" w:rsidP="00FC74FB">
      <w:pPr>
        <w:pStyle w:val="CBDTableTitle"/>
        <w:rPr>
          <w:rFonts w:ascii="Times New Roman Bold" w:hAnsi="Times New Roman Bold" w:hint="eastAsia"/>
          <w:spacing w:val="-4"/>
        </w:rPr>
      </w:pPr>
      <w:r>
        <w:rPr>
          <w:noProof/>
          <w:lang w:val="en-US"/>
        </w:rPr>
        <w:drawing>
          <wp:anchor distT="0" distB="0" distL="114300" distR="114300" simplePos="0" relativeHeight="251658240" behindDoc="1" locked="0" layoutInCell="1" allowOverlap="1" wp14:anchorId="2C92CAE4" wp14:editId="0E6E7445">
            <wp:simplePos x="0" y="0"/>
            <wp:positionH relativeFrom="column">
              <wp:posOffset>339725</wp:posOffset>
            </wp:positionH>
            <wp:positionV relativeFrom="paragraph">
              <wp:posOffset>10795</wp:posOffset>
            </wp:positionV>
            <wp:extent cx="5552440" cy="2932430"/>
            <wp:effectExtent l="0" t="0" r="0" b="1270"/>
            <wp:wrapTight wrapText="bothSides">
              <wp:wrapPolygon edited="0">
                <wp:start x="0" y="0"/>
                <wp:lineTo x="0" y="21469"/>
                <wp:lineTo x="21491" y="21469"/>
                <wp:lineTo x="21491"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 sbi-0705-add1.jpg"/>
                    <pic:cNvPicPr/>
                  </pic:nvPicPr>
                  <pic:blipFill>
                    <a:blip r:embed="rId18">
                      <a:extLst>
                        <a:ext uri="{28A0092B-C50C-407E-A947-70E740481C1C}">
                          <a14:useLocalDpi xmlns:a14="http://schemas.microsoft.com/office/drawing/2010/main" val="0"/>
                        </a:ext>
                      </a:extLst>
                    </a:blip>
                    <a:stretch>
                      <a:fillRect/>
                    </a:stretch>
                  </pic:blipFill>
                  <pic:spPr>
                    <a:xfrm>
                      <a:off x="0" y="0"/>
                      <a:ext cx="5552440" cy="2932430"/>
                    </a:xfrm>
                    <a:prstGeom prst="rect">
                      <a:avLst/>
                    </a:prstGeom>
                  </pic:spPr>
                </pic:pic>
              </a:graphicData>
            </a:graphic>
            <wp14:sizeRelH relativeFrom="page">
              <wp14:pctWidth>0</wp14:pctWidth>
            </wp14:sizeRelH>
            <wp14:sizeRelV relativeFrom="page">
              <wp14:pctHeight>0</wp14:pctHeight>
            </wp14:sizeRelV>
          </wp:anchor>
        </w:drawing>
      </w:r>
    </w:p>
    <w:p w14:paraId="4127BD57" w14:textId="3178FD09" w:rsidR="006D381A" w:rsidRPr="008E6DD9" w:rsidRDefault="008B12D8" w:rsidP="00FC74FB">
      <w:pPr>
        <w:pStyle w:val="CBDH2"/>
      </w:pPr>
      <w:r>
        <w:t>B.</w:t>
      </w:r>
      <w:r>
        <w:tab/>
        <w:t xml:space="preserve">Red </w:t>
      </w:r>
      <w:r w:rsidR="00ED1054">
        <w:t>m</w:t>
      </w:r>
      <w:r>
        <w:t xml:space="preserve">undial de </w:t>
      </w:r>
      <w:r w:rsidR="00ED1054">
        <w:t>b</w:t>
      </w:r>
      <w:r>
        <w:t xml:space="preserve">ases de </w:t>
      </w:r>
      <w:r w:rsidR="00ED1054">
        <w:t>d</w:t>
      </w:r>
      <w:r>
        <w:t xml:space="preserve">atos de </w:t>
      </w:r>
      <w:r w:rsidR="00ED1054">
        <w:t>i</w:t>
      </w:r>
      <w:r>
        <w:t xml:space="preserve">nformación </w:t>
      </w:r>
      <w:r w:rsidR="00ED1054">
        <w:t>d</w:t>
      </w:r>
      <w:r>
        <w:t xml:space="preserve">igital sobre </w:t>
      </w:r>
      <w:r w:rsidR="00ED1054">
        <w:t>s</w:t>
      </w:r>
      <w:r>
        <w:t>ecuencias</w:t>
      </w:r>
    </w:p>
    <w:p w14:paraId="0FDCC206" w14:textId="1B931B7A" w:rsidR="00BD2108" w:rsidRPr="008E6DD9" w:rsidRDefault="00A70E97" w:rsidP="00ED1054">
      <w:pPr>
        <w:pStyle w:val="CBDNormalNumber"/>
        <w:rPr>
          <w:color w:val="0A0A0A"/>
        </w:rPr>
      </w:pPr>
      <w:r>
        <w:t xml:space="preserve">El número de bases de datos de información digital sobre secuencias de recursos genéticos depende enormemente de la definición </w:t>
      </w:r>
      <w:r w:rsidR="00870444">
        <w:t>que se prefiera</w:t>
      </w:r>
      <w:r>
        <w:t>. Teniendo en cuenta su alcance a los efectos de</w:t>
      </w:r>
      <w:r w:rsidR="00ED1054">
        <w:t xml:space="preserve"> </w:t>
      </w:r>
      <w:r>
        <w:t xml:space="preserve">este estudio, el número de bases de datos </w:t>
      </w:r>
      <w:r w:rsidR="00812435">
        <w:t>se ubica actualmente</w:t>
      </w:r>
      <w:r>
        <w:t xml:space="preserve"> entre 2.000 y 6.000</w:t>
      </w:r>
      <w:r>
        <w:rPr>
          <w:rStyle w:val="FootnoteReference"/>
          <w:color w:val="000000" w:themeColor="text1"/>
          <w:vertAlign w:val="baseline"/>
        </w:rPr>
        <w:t xml:space="preserve"> </w:t>
      </w:r>
      <w:r>
        <w:rPr>
          <w:color w:val="0A0A0A"/>
        </w:rPr>
        <w:t>bases de datos interconectada</w:t>
      </w:r>
      <w:r w:rsidR="00812435">
        <w:rPr>
          <w:color w:val="0A0A0A"/>
        </w:rPr>
        <w:t>s</w:t>
      </w:r>
      <w:r>
        <w:rPr>
          <w:color w:val="0A0A0A"/>
        </w:rPr>
        <w:t xml:space="preserve"> e interdependientes, incluid</w:t>
      </w:r>
      <w:r w:rsidR="00812435">
        <w:rPr>
          <w:color w:val="0A0A0A"/>
        </w:rPr>
        <w:t>as</w:t>
      </w:r>
      <w:r>
        <w:rPr>
          <w:color w:val="0A0A0A"/>
        </w:rPr>
        <w:t xml:space="preserve"> tanto bases de datos primarias que contienen copias originales de registros (por ej., </w:t>
      </w:r>
      <w:r w:rsidR="00ED1054">
        <w:rPr>
          <w:color w:val="0A0A0A"/>
        </w:rPr>
        <w:t>el Archivo Europeo de Nucleótidos</w:t>
      </w:r>
      <w:r>
        <w:rPr>
          <w:color w:val="0A0A0A"/>
        </w:rPr>
        <w:t xml:space="preserve">) y bases de datos secundarias que acceden a bases de datos primarias y utilizan sus datos (por ej., Ensembl, UniProt). Las bases de datos difieren en cuanto a financiación, longevidad, alcance, transferencia de datos, requisitos de </w:t>
      </w:r>
      <w:r w:rsidR="00ED1054">
        <w:rPr>
          <w:color w:val="0A0A0A"/>
        </w:rPr>
        <w:lastRenderedPageBreak/>
        <w:t>inscripción</w:t>
      </w:r>
      <w:r>
        <w:rPr>
          <w:color w:val="0A0A0A"/>
        </w:rPr>
        <w:t xml:space="preserve">, intercambio de datos, servicios a los usuarios y licencias. En 1982, el </w:t>
      </w:r>
      <w:r w:rsidR="00ED1054" w:rsidRPr="00ED1054">
        <w:rPr>
          <w:color w:val="0A0A0A"/>
        </w:rPr>
        <w:t>Archivo Europeo de Nucleótidos</w:t>
      </w:r>
      <w:r>
        <w:rPr>
          <w:color w:val="0A0A0A"/>
        </w:rPr>
        <w:t xml:space="preserve">, el </w:t>
      </w:r>
      <w:r w:rsidR="00ED1054">
        <w:rPr>
          <w:color w:val="0A0A0A"/>
        </w:rPr>
        <w:t>Banco de Datos de A</w:t>
      </w:r>
      <w:r>
        <w:rPr>
          <w:color w:val="0A0A0A"/>
        </w:rPr>
        <w:t>DN de</w:t>
      </w:r>
      <w:r w:rsidR="00ED1054">
        <w:rPr>
          <w:color w:val="0A0A0A"/>
        </w:rPr>
        <w:t>l</w:t>
      </w:r>
      <w:r>
        <w:rPr>
          <w:color w:val="0A0A0A"/>
        </w:rPr>
        <w:t xml:space="preserve"> Japón y GenBank </w:t>
      </w:r>
      <w:r w:rsidR="00812435">
        <w:rPr>
          <w:color w:val="0A0A0A"/>
        </w:rPr>
        <w:t>lanzaron</w:t>
      </w:r>
      <w:r>
        <w:rPr>
          <w:color w:val="0A0A0A"/>
        </w:rPr>
        <w:t xml:space="preserve"> una </w:t>
      </w:r>
      <w:r w:rsidR="00812435">
        <w:rPr>
          <w:color w:val="0A0A0A"/>
        </w:rPr>
        <w:t xml:space="preserve">iniciativa de </w:t>
      </w:r>
      <w:r>
        <w:rPr>
          <w:color w:val="0A0A0A"/>
        </w:rPr>
        <w:t>co</w:t>
      </w:r>
      <w:r w:rsidR="00812435">
        <w:rPr>
          <w:color w:val="0A0A0A"/>
        </w:rPr>
        <w:t>ope</w:t>
      </w:r>
      <w:r>
        <w:rPr>
          <w:color w:val="0A0A0A"/>
        </w:rPr>
        <w:t>ración conocida como la Colaboración Internacional de Bases de Datos de Secuencias de Nucleótidos</w:t>
      </w:r>
      <w:r w:rsidR="00870444">
        <w:rPr>
          <w:color w:val="0A0A0A"/>
        </w:rPr>
        <w:t>,</w:t>
      </w:r>
      <w:r>
        <w:rPr>
          <w:color w:val="0A0A0A"/>
        </w:rPr>
        <w:t xml:space="preserve"> </w:t>
      </w:r>
      <w:r w:rsidR="00870444">
        <w:rPr>
          <w:color w:val="0A0A0A"/>
        </w:rPr>
        <w:t>por</w:t>
      </w:r>
      <w:r>
        <w:rPr>
          <w:color w:val="0A0A0A"/>
        </w:rPr>
        <w:t xml:space="preserve"> la que los datos se reproducen en distintos sitios</w:t>
      </w:r>
      <w:r w:rsidR="00ED1054">
        <w:rPr>
          <w:color w:val="0A0A0A"/>
        </w:rPr>
        <w:t xml:space="preserve"> y que es actualmente</w:t>
      </w:r>
      <w:r>
        <w:rPr>
          <w:color w:val="0A0A0A"/>
        </w:rPr>
        <w:t xml:space="preserve"> la base datos primaria de información digital sobre secuencias más grande del planeta.</w:t>
      </w:r>
    </w:p>
    <w:p w14:paraId="73B840DB" w14:textId="72FC2018" w:rsidR="00BD2108" w:rsidRPr="008E6DD9" w:rsidRDefault="362DA4B8" w:rsidP="00021646">
      <w:pPr>
        <w:pStyle w:val="CBDNormalNumber"/>
      </w:pPr>
      <w:r>
        <w:t xml:space="preserve">Obtener estadísticas referidas a bases de datos es una tarea difícil en la que es necesario tener en cuenta muchos </w:t>
      </w:r>
      <w:r w:rsidR="00ED1054">
        <w:t>matices, a saber</w:t>
      </w:r>
      <w:r>
        <w:t xml:space="preserve">: a) los costos operativos anuales, las presentaciones y descargas por año y los registros totales generalmente incluyen tipos de datos que </w:t>
      </w:r>
      <w:r w:rsidR="00C50CAC">
        <w:t xml:space="preserve">no tienen que </w:t>
      </w:r>
      <w:r w:rsidR="00C50CAC" w:rsidRPr="00C50CAC">
        <w:t>ver con la biodiversidad, como, por ejemplo,</w:t>
      </w:r>
      <w:r>
        <w:t xml:space="preserve"> datos humanos; b) los costos operativos anuales no incluyen el costo inicial de la infraestructura de la base de datos; c) el personal de las bases de datos puede también ocuparse de otras </w:t>
      </w:r>
      <w:r w:rsidR="00870444">
        <w:t>t</w:t>
      </w:r>
      <w:r>
        <w:t>are</w:t>
      </w:r>
      <w:r w:rsidR="00870444">
        <w:t>a</w:t>
      </w:r>
      <w:r>
        <w:t>s que no están relacionadas con la base de datos, de manera que el cálculo de personas/horas es una estimación; y d) con el crecimiento de la inteligencia artificial, la cantidad de descarga</w:t>
      </w:r>
      <w:r w:rsidR="00C50CAC">
        <w:t>s</w:t>
      </w:r>
      <w:r>
        <w:t xml:space="preserve"> por año se está tornando rápidamente </w:t>
      </w:r>
      <w:r w:rsidR="00870444">
        <w:t xml:space="preserve">en </w:t>
      </w:r>
      <w:r>
        <w:t xml:space="preserve">una estadística irrelevante. Teniendo esto en cuenta, </w:t>
      </w:r>
      <w:r w:rsidR="00870444">
        <w:t xml:space="preserve">se calcula que </w:t>
      </w:r>
      <w:r>
        <w:t>el Banco de Datos de ADN de</w:t>
      </w:r>
      <w:r w:rsidR="00021646">
        <w:t>l</w:t>
      </w:r>
      <w:r>
        <w:t xml:space="preserve"> Japón tiene un costo operativo anual de 7</w:t>
      </w:r>
      <w:r w:rsidR="00470527">
        <w:t> </w:t>
      </w:r>
      <w:r>
        <w:t>millones de dólares de los Estados Unidos, al</w:t>
      </w:r>
      <w:r w:rsidR="00747380">
        <w:t>m</w:t>
      </w:r>
      <w:r>
        <w:t>a</w:t>
      </w:r>
      <w:r w:rsidR="00747380">
        <w:t>cena</w:t>
      </w:r>
      <w:r>
        <w:t xml:space="preserve"> 6.300</w:t>
      </w:r>
      <w:r w:rsidR="00470527">
        <w:t> </w:t>
      </w:r>
      <w:r>
        <w:t>millones de secuencias, registra 1,8</w:t>
      </w:r>
      <w:r w:rsidR="00870444">
        <w:t> </w:t>
      </w:r>
      <w:r>
        <w:t xml:space="preserve">millones de vistas de portal y emplea a unos 30 funcionarios. </w:t>
      </w:r>
      <w:r w:rsidR="00021646" w:rsidRPr="00021646">
        <w:t xml:space="preserve">Barcode of Life Data Systems, que es una base de datos más pequeña, tiene un costo </w:t>
      </w:r>
      <w:r w:rsidR="00870444">
        <w:t xml:space="preserve">anual </w:t>
      </w:r>
      <w:r w:rsidR="00021646" w:rsidRPr="00021646">
        <w:t>de 960.000 d</w:t>
      </w:r>
      <w:r w:rsidR="00021646">
        <w:t>ó</w:t>
      </w:r>
      <w:r w:rsidR="00021646" w:rsidRPr="00021646">
        <w:t>lares, pero almacena solo 20,5</w:t>
      </w:r>
      <w:r w:rsidR="00870444">
        <w:t> </w:t>
      </w:r>
      <w:r w:rsidR="00021646" w:rsidRPr="00021646">
        <w:t xml:space="preserve">millones de secuencias, tiene 1,9 millones de vistas de portal y </w:t>
      </w:r>
      <w:r w:rsidR="00870444">
        <w:t>requiere</w:t>
      </w:r>
      <w:r w:rsidR="00021646" w:rsidRPr="00021646">
        <w:t xml:space="preserve"> </w:t>
      </w:r>
      <w:r w:rsidR="00870444">
        <w:t xml:space="preserve">unos </w:t>
      </w:r>
      <w:r w:rsidR="00021646" w:rsidRPr="00021646">
        <w:t>29</w:t>
      </w:r>
      <w:r w:rsidR="00870444">
        <w:t> </w:t>
      </w:r>
      <w:r w:rsidR="00021646" w:rsidRPr="00021646">
        <w:t>funcionarios</w:t>
      </w:r>
      <w:r>
        <w:t xml:space="preserve">. Si bien para muchas bases de datos no hay estadísticas de acceso </w:t>
      </w:r>
      <w:r w:rsidR="00D6607B">
        <w:t xml:space="preserve">a servidores </w:t>
      </w:r>
      <w:r w:rsidR="00021646">
        <w:t xml:space="preserve">FTP y API </w:t>
      </w:r>
      <w:r>
        <w:t>disponibles al público, en 2025 el Archivo Europeo de Nucleótidos registró 192</w:t>
      </w:r>
      <w:r w:rsidR="00470527">
        <w:t> </w:t>
      </w:r>
      <w:r>
        <w:t xml:space="preserve">millones de </w:t>
      </w:r>
      <w:r w:rsidR="00021646">
        <w:t>solicitudes</w:t>
      </w:r>
      <w:r>
        <w:t xml:space="preserve"> API por mes, lo que puede extrapolarse a </w:t>
      </w:r>
      <w:r w:rsidR="0035402F">
        <w:t>aproximadamente</w:t>
      </w:r>
      <w:r>
        <w:t xml:space="preserve"> 2.300 millones por año.</w:t>
      </w:r>
    </w:p>
    <w:p w14:paraId="2F64FB07" w14:textId="4E7B1B15" w:rsidR="004A0DF0" w:rsidRPr="00FC74FB" w:rsidRDefault="00440D58" w:rsidP="00FC74FB">
      <w:pPr>
        <w:pStyle w:val="CBDNormalNumber"/>
      </w:pPr>
      <w:r>
        <w:t>La red de base</w:t>
      </w:r>
      <w:r w:rsidR="00470527">
        <w:t>s</w:t>
      </w:r>
      <w:r>
        <w:t xml:space="preserve"> de datos también incluye bases de dato</w:t>
      </w:r>
      <w:r w:rsidR="0035402F">
        <w:t>s</w:t>
      </w:r>
      <w:r>
        <w:t xml:space="preserve"> de acceso controlado y bases de datos privadas. Las bases de datos privadas pueden clasificarse en bases de datos que alojan información </w:t>
      </w:r>
      <w:r w:rsidRPr="00470527">
        <w:rPr>
          <w:spacing w:val="-2"/>
        </w:rPr>
        <w:t xml:space="preserve">digital sobre secuencias de recursos genéticos generada internamente </w:t>
      </w:r>
      <w:r w:rsidR="00470527" w:rsidRPr="00470527">
        <w:rPr>
          <w:spacing w:val="-2"/>
        </w:rPr>
        <w:t xml:space="preserve">y </w:t>
      </w:r>
      <w:r w:rsidRPr="00470527">
        <w:rPr>
          <w:spacing w:val="-2"/>
        </w:rPr>
        <w:t>que no se divulga externamente</w:t>
      </w:r>
      <w:r>
        <w:t xml:space="preserve"> (por ej., de compañías farmacéuticas) y bases de datos que cobran por </w:t>
      </w:r>
      <w:r w:rsidR="0035402F">
        <w:t>el</w:t>
      </w:r>
      <w:r>
        <w:t xml:space="preserve"> acceso a sus datos </w:t>
      </w:r>
      <w:r w:rsidR="0035402F">
        <w:t xml:space="preserve">y su utilización </w:t>
      </w:r>
      <w:r>
        <w:t>(por ej., BaseCamp Research). Las bases de datos de acceso controlado son aquellas que requieren autorización previa para permitir a un usuario acceder y utilizar libremente sus datos.</w:t>
      </w:r>
    </w:p>
    <w:p w14:paraId="68B9CEDD" w14:textId="3ADE8E07" w:rsidR="00BD2108" w:rsidRPr="008E6DD9" w:rsidRDefault="00BD2108" w:rsidP="00FC74FB">
      <w:pPr>
        <w:pStyle w:val="CBDNormalNumber"/>
        <w:rPr>
          <w:shd w:val="clear" w:color="auto" w:fill="FFFFFF"/>
        </w:rPr>
      </w:pPr>
      <w:r>
        <w:t xml:space="preserve"> Estas también se dividen en dos tipos: las bases de datos de acceso controlado que requieren que los usuarios se </w:t>
      </w:r>
      <w:r w:rsidR="0035402F">
        <w:t>inscriban</w:t>
      </w:r>
      <w:r>
        <w:t xml:space="preserve"> antes de acceder </w:t>
      </w:r>
      <w:r w:rsidR="0035402F">
        <w:t xml:space="preserve">a </w:t>
      </w:r>
      <w:r>
        <w:t xml:space="preserve">la base de datos </w:t>
      </w:r>
      <w:r w:rsidR="0035402F">
        <w:t xml:space="preserve">y utilizarla </w:t>
      </w:r>
      <w:r>
        <w:t xml:space="preserve">(por ej., GISAID) y bases de datos de acceso controlado que tienen un proceso de solicitud para acceder a conjuntos de datos específicos ya sea de la base de datos o del propietario de los datos (por ej., Aotearoa Genomics Data Repository). El modelo de base de datos de acceso controlado es popular en el ámbito de datos humanos, pero no es tan </w:t>
      </w:r>
      <w:r w:rsidR="0035402F">
        <w:t>popular</w:t>
      </w:r>
      <w:r>
        <w:t xml:space="preserve"> en el </w:t>
      </w:r>
      <w:r w:rsidR="0035402F">
        <w:t>ámbito</w:t>
      </w:r>
      <w:r>
        <w:t xml:space="preserve"> de datos de biodiversidad, donde se da sobre todo para datos sensibles, como los datos asociados </w:t>
      </w:r>
      <w:r w:rsidR="0035402F">
        <w:t>a</w:t>
      </w:r>
      <w:r>
        <w:t xml:space="preserve"> los pueblos indígenas y las comunidades locales.</w:t>
      </w:r>
    </w:p>
    <w:p w14:paraId="430F18BB" w14:textId="6234EBC9" w:rsidR="00216F8F" w:rsidRPr="008E6DD9" w:rsidRDefault="001D2776" w:rsidP="00FC74FB">
      <w:pPr>
        <w:pStyle w:val="CBDH2"/>
      </w:pPr>
      <w:r>
        <w:t>C</w:t>
      </w:r>
      <w:r w:rsidR="008B12D8">
        <w:t>.</w:t>
      </w:r>
      <w:r w:rsidR="008B12D8">
        <w:tab/>
        <w:t xml:space="preserve">Gobernanza de datos </w:t>
      </w:r>
    </w:p>
    <w:p w14:paraId="2CFF607A" w14:textId="4CD4E619" w:rsidR="00BD2108" w:rsidRDefault="00BD2108" w:rsidP="008B12D8">
      <w:pPr>
        <w:pStyle w:val="CBDNormalNumber"/>
      </w:pPr>
      <w:r>
        <w:rPr>
          <w:shd w:val="clear" w:color="auto" w:fill="FFFFFF"/>
        </w:rPr>
        <w:t>La gobernanza de datos es un conjunto de principios operativos, prácticas</w:t>
      </w:r>
      <w:r w:rsidR="00330188">
        <w:rPr>
          <w:shd w:val="clear" w:color="auto" w:fill="FFFFFF"/>
        </w:rPr>
        <w:t xml:space="preserve"> o </w:t>
      </w:r>
      <w:r>
        <w:rPr>
          <w:shd w:val="clear" w:color="auto" w:fill="FFFFFF"/>
        </w:rPr>
        <w:t>marcos y herramientas que garantizan que los datos s</w:t>
      </w:r>
      <w:r w:rsidR="001A4742">
        <w:rPr>
          <w:shd w:val="clear" w:color="auto" w:fill="FFFFFF"/>
        </w:rPr>
        <w:t>ea</w:t>
      </w:r>
      <w:r>
        <w:rPr>
          <w:shd w:val="clear" w:color="auto" w:fill="FFFFFF"/>
        </w:rPr>
        <w:t>n gestionados</w:t>
      </w:r>
      <w:r w:rsidR="001A4742">
        <w:rPr>
          <w:shd w:val="clear" w:color="auto" w:fill="FFFFFF"/>
        </w:rPr>
        <w:t xml:space="preserve"> en forma</w:t>
      </w:r>
      <w:r>
        <w:rPr>
          <w:shd w:val="clear" w:color="auto" w:fill="FFFFFF"/>
        </w:rPr>
        <w:t xml:space="preserve"> precisa y </w:t>
      </w:r>
      <w:r w:rsidR="001A4742">
        <w:rPr>
          <w:shd w:val="clear" w:color="auto" w:fill="FFFFFF"/>
        </w:rPr>
        <w:t>conforme a derecho</w:t>
      </w:r>
      <w:r>
        <w:rPr>
          <w:shd w:val="clear" w:color="auto" w:fill="FFFFFF"/>
        </w:rPr>
        <w:t xml:space="preserve"> a lo largo de su ciclo vital. </w:t>
      </w:r>
      <w:r w:rsidR="001A4742">
        <w:rPr>
          <w:shd w:val="clear" w:color="auto" w:fill="FFFFFF"/>
        </w:rPr>
        <w:t>Un</w:t>
      </w:r>
      <w:r>
        <w:rPr>
          <w:shd w:val="clear" w:color="auto" w:fill="FFFFFF"/>
        </w:rPr>
        <w:t>a gobernanza de datos eficaz y eficiente es esencial para la gestión exitosa de la información digital sobre secuencias pública. Lo que se considera ético o eficiente puede</w:t>
      </w:r>
      <w:r w:rsidR="00330188">
        <w:rPr>
          <w:shd w:val="clear" w:color="auto" w:fill="FFFFFF"/>
        </w:rPr>
        <w:t> </w:t>
      </w:r>
      <w:r>
        <w:rPr>
          <w:shd w:val="clear" w:color="auto" w:fill="FFFFFF"/>
        </w:rPr>
        <w:t>variar enormemente entre distintos contextos</w:t>
      </w:r>
      <w:r>
        <w:t xml:space="preserve"> culturales/geográficos/de financiación, tipos de</w:t>
      </w:r>
      <w:r w:rsidR="00330188">
        <w:t> </w:t>
      </w:r>
      <w:r>
        <w:t>datos y/o proyectos con objetivos diferentes. En el párrafo 10 de</w:t>
      </w:r>
      <w:r w:rsidR="00330188">
        <w:t>l anexo de</w:t>
      </w:r>
      <w:r>
        <w:t xml:space="preserve"> la </w:t>
      </w:r>
      <w:r>
        <w:rPr>
          <w:shd w:val="clear" w:color="auto" w:fill="FFFFFF"/>
        </w:rPr>
        <w:t xml:space="preserve">decisión 16/2 se mencionan los principios FAIR </w:t>
      </w:r>
      <w:r>
        <w:t xml:space="preserve">(datos fáciles de encontrar, accesibles, interoperables y reutilizables), </w:t>
      </w:r>
      <w:r>
        <w:rPr>
          <w:shd w:val="clear" w:color="auto" w:fill="FFFFFF"/>
        </w:rPr>
        <w:t xml:space="preserve">los principios CARE </w:t>
      </w:r>
      <w:r>
        <w:t xml:space="preserve">(beneficio colectivo, autoridad para controlar, responsabilidad y ética) </w:t>
      </w:r>
      <w:r w:rsidR="00330188">
        <w:t>para la</w:t>
      </w:r>
      <w:r>
        <w:rPr>
          <w:shd w:val="clear" w:color="auto" w:fill="FFFFFF"/>
        </w:rPr>
        <w:t xml:space="preserve"> gobernanza de datos </w:t>
      </w:r>
      <w:r w:rsidRPr="00330188">
        <w:rPr>
          <w:spacing w:val="-2"/>
          <w:shd w:val="clear" w:color="auto" w:fill="FFFFFF"/>
        </w:rPr>
        <w:t xml:space="preserve">indígenas, los principios TRUST </w:t>
      </w:r>
      <w:r w:rsidRPr="00330188">
        <w:rPr>
          <w:spacing w:val="-2"/>
        </w:rPr>
        <w:t>(transparencia, responsabilidad, enfoque en el usuario, sostenibilidad</w:t>
      </w:r>
      <w:r>
        <w:t xml:space="preserve"> y tecnología) </w:t>
      </w:r>
      <w:r>
        <w:rPr>
          <w:shd w:val="clear" w:color="auto" w:fill="FFFFFF"/>
        </w:rPr>
        <w:t xml:space="preserve">y la Recomendación de la UNESCO sobre la Ciencia Abierta. En el siguiente </w:t>
      </w:r>
      <w:r w:rsidR="00330188">
        <w:t>cuadro se resume</w:t>
      </w:r>
      <w:r>
        <w:t xml:space="preserve"> cada conjunto de principios.</w:t>
      </w:r>
    </w:p>
    <w:p w14:paraId="332EDAED" w14:textId="1D1BABF8" w:rsidR="008B12D8" w:rsidRPr="008E6DD9" w:rsidRDefault="008B12D8" w:rsidP="005A4042">
      <w:pPr>
        <w:pStyle w:val="CBDTableTitle"/>
      </w:pPr>
      <w:r>
        <w:rPr>
          <w:b w:val="0"/>
        </w:rPr>
        <w:lastRenderedPageBreak/>
        <w:t>Cuadro</w:t>
      </w:r>
      <w:r>
        <w:t xml:space="preserve"> </w:t>
      </w:r>
      <w:r>
        <w:br/>
        <w:t>Resumen de los principios de gobernanza de dato</w:t>
      </w:r>
      <w:r w:rsidR="00330188">
        <w:t>s indicados en la decisión 16/2</w:t>
      </w:r>
    </w:p>
    <w:tbl>
      <w:tblPr>
        <w:tblStyle w:val="TableGrid"/>
        <w:tblW w:w="9072" w:type="dxa"/>
        <w:tblInd w:w="557" w:type="dxa"/>
        <w:tblLook w:val="04A0" w:firstRow="1" w:lastRow="0" w:firstColumn="1" w:lastColumn="0" w:noHBand="0" w:noVBand="1"/>
      </w:tblPr>
      <w:tblGrid>
        <w:gridCol w:w="1158"/>
        <w:gridCol w:w="1744"/>
        <w:gridCol w:w="1942"/>
        <w:gridCol w:w="1699"/>
        <w:gridCol w:w="2529"/>
      </w:tblGrid>
      <w:tr w:rsidR="06EC7371" w:rsidRPr="008E6DD9" w14:paraId="1C91C4C9" w14:textId="77777777" w:rsidTr="00330188">
        <w:trPr>
          <w:trHeight w:val="300"/>
        </w:trPr>
        <w:tc>
          <w:tcPr>
            <w:tcW w:w="1158" w:type="dxa"/>
            <w:tcBorders>
              <w:top w:val="single" w:sz="8" w:space="0" w:color="auto"/>
              <w:left w:val="single" w:sz="8" w:space="0" w:color="auto"/>
              <w:bottom w:val="single" w:sz="8" w:space="0" w:color="auto"/>
              <w:right w:val="single" w:sz="8" w:space="0" w:color="auto"/>
            </w:tcBorders>
            <w:tcMar>
              <w:left w:w="115" w:type="dxa"/>
              <w:right w:w="43" w:type="dxa"/>
            </w:tcMar>
          </w:tcPr>
          <w:p w14:paraId="1E7B8A67" w14:textId="55C88D67" w:rsidR="06EC7371" w:rsidRPr="00FC74FB" w:rsidRDefault="06EC7371" w:rsidP="005A4042">
            <w:pPr>
              <w:keepNext/>
              <w:keepLines/>
              <w:jc w:val="center"/>
              <w:rPr>
                <w:i/>
                <w:iCs/>
              </w:rPr>
            </w:pPr>
            <w:r>
              <w:rPr>
                <w:i/>
                <w:sz w:val="20"/>
              </w:rPr>
              <w:t>Principios</w:t>
            </w:r>
          </w:p>
        </w:tc>
        <w:tc>
          <w:tcPr>
            <w:tcW w:w="1744" w:type="dxa"/>
            <w:tcBorders>
              <w:top w:val="single" w:sz="8" w:space="0" w:color="auto"/>
              <w:left w:val="single" w:sz="8" w:space="0" w:color="auto"/>
              <w:bottom w:val="single" w:sz="8" w:space="0" w:color="auto"/>
              <w:right w:val="single" w:sz="8" w:space="0" w:color="auto"/>
            </w:tcBorders>
            <w:tcMar>
              <w:left w:w="115" w:type="dxa"/>
              <w:right w:w="43" w:type="dxa"/>
            </w:tcMar>
          </w:tcPr>
          <w:p w14:paraId="6A5D8740" w14:textId="4AF50419" w:rsidR="06EC7371" w:rsidRPr="00FC74FB" w:rsidRDefault="06EC7371" w:rsidP="005A4042">
            <w:pPr>
              <w:keepNext/>
              <w:keepLines/>
              <w:jc w:val="center"/>
              <w:rPr>
                <w:i/>
                <w:iCs/>
              </w:rPr>
            </w:pPr>
            <w:r>
              <w:rPr>
                <w:i/>
                <w:sz w:val="20"/>
              </w:rPr>
              <w:t>FAIR</w:t>
            </w:r>
          </w:p>
        </w:tc>
        <w:tc>
          <w:tcPr>
            <w:tcW w:w="1942" w:type="dxa"/>
            <w:tcBorders>
              <w:top w:val="single" w:sz="8" w:space="0" w:color="auto"/>
              <w:left w:val="single" w:sz="8" w:space="0" w:color="auto"/>
              <w:bottom w:val="single" w:sz="8" w:space="0" w:color="auto"/>
              <w:right w:val="single" w:sz="8" w:space="0" w:color="auto"/>
            </w:tcBorders>
            <w:tcMar>
              <w:left w:w="115" w:type="dxa"/>
              <w:right w:w="43" w:type="dxa"/>
            </w:tcMar>
          </w:tcPr>
          <w:p w14:paraId="3503E662" w14:textId="30795174" w:rsidR="06EC7371" w:rsidRPr="00FC74FB" w:rsidRDefault="06EC7371" w:rsidP="005A4042">
            <w:pPr>
              <w:keepNext/>
              <w:keepLines/>
              <w:jc w:val="center"/>
              <w:rPr>
                <w:i/>
                <w:iCs/>
              </w:rPr>
            </w:pPr>
            <w:r>
              <w:rPr>
                <w:i/>
                <w:sz w:val="20"/>
              </w:rPr>
              <w:t>CARE</w:t>
            </w:r>
          </w:p>
        </w:tc>
        <w:tc>
          <w:tcPr>
            <w:tcW w:w="1699" w:type="dxa"/>
            <w:tcBorders>
              <w:top w:val="single" w:sz="8" w:space="0" w:color="auto"/>
              <w:left w:val="single" w:sz="8" w:space="0" w:color="auto"/>
              <w:bottom w:val="single" w:sz="8" w:space="0" w:color="auto"/>
              <w:right w:val="single" w:sz="8" w:space="0" w:color="auto"/>
            </w:tcBorders>
            <w:tcMar>
              <w:left w:w="115" w:type="dxa"/>
              <w:right w:w="43" w:type="dxa"/>
            </w:tcMar>
          </w:tcPr>
          <w:p w14:paraId="1C9EF101" w14:textId="328F7F9D" w:rsidR="06EC7371" w:rsidRPr="00FC74FB" w:rsidRDefault="06EC7371" w:rsidP="005A4042">
            <w:pPr>
              <w:keepNext/>
              <w:keepLines/>
              <w:jc w:val="center"/>
              <w:rPr>
                <w:i/>
                <w:iCs/>
              </w:rPr>
            </w:pPr>
            <w:r>
              <w:rPr>
                <w:i/>
                <w:sz w:val="20"/>
              </w:rPr>
              <w:t>TRUST</w:t>
            </w:r>
          </w:p>
        </w:tc>
        <w:tc>
          <w:tcPr>
            <w:tcW w:w="2529" w:type="dxa"/>
            <w:tcBorders>
              <w:top w:val="single" w:sz="8" w:space="0" w:color="auto"/>
              <w:left w:val="single" w:sz="8" w:space="0" w:color="auto"/>
              <w:bottom w:val="single" w:sz="8" w:space="0" w:color="auto"/>
              <w:right w:val="single" w:sz="8" w:space="0" w:color="auto"/>
            </w:tcBorders>
            <w:tcMar>
              <w:left w:w="115" w:type="dxa"/>
              <w:right w:w="43" w:type="dxa"/>
            </w:tcMar>
          </w:tcPr>
          <w:p w14:paraId="3D6ECD95" w14:textId="748EE754" w:rsidR="06EC7371" w:rsidRPr="00FC74FB" w:rsidRDefault="06EC7371" w:rsidP="007F51E1">
            <w:pPr>
              <w:keepNext/>
              <w:keepLines/>
              <w:jc w:val="center"/>
              <w:rPr>
                <w:i/>
                <w:iCs/>
              </w:rPr>
            </w:pPr>
            <w:r>
              <w:rPr>
                <w:i/>
                <w:sz w:val="20"/>
              </w:rPr>
              <w:t>UNESCO</w:t>
            </w:r>
            <w:r w:rsidR="007F51E1">
              <w:rPr>
                <w:i/>
                <w:sz w:val="20"/>
              </w:rPr>
              <w:t xml:space="preserve"> -</w:t>
            </w:r>
            <w:r>
              <w:rPr>
                <w:i/>
                <w:sz w:val="20"/>
              </w:rPr>
              <w:t xml:space="preserve"> sección III</w:t>
            </w:r>
          </w:p>
        </w:tc>
      </w:tr>
      <w:tr w:rsidR="06EC7371" w:rsidRPr="008E6DD9" w14:paraId="0CA6A784" w14:textId="77777777" w:rsidTr="00330188">
        <w:trPr>
          <w:trHeight w:val="300"/>
        </w:trPr>
        <w:tc>
          <w:tcPr>
            <w:tcW w:w="1158" w:type="dxa"/>
            <w:tcBorders>
              <w:top w:val="single" w:sz="8" w:space="0" w:color="auto"/>
              <w:left w:val="single" w:sz="8" w:space="0" w:color="auto"/>
              <w:bottom w:val="single" w:sz="8" w:space="0" w:color="auto"/>
              <w:right w:val="single" w:sz="8" w:space="0" w:color="auto"/>
            </w:tcBorders>
            <w:tcMar>
              <w:left w:w="115" w:type="dxa"/>
              <w:right w:w="43" w:type="dxa"/>
            </w:tcMar>
          </w:tcPr>
          <w:p w14:paraId="3D0E813F" w14:textId="5DCB26B5" w:rsidR="06EC7371" w:rsidRPr="000355E3" w:rsidRDefault="06EC7371" w:rsidP="005A4042">
            <w:pPr>
              <w:keepNext/>
              <w:keepLines/>
            </w:pPr>
            <w:r>
              <w:rPr>
                <w:sz w:val="20"/>
              </w:rPr>
              <w:t xml:space="preserve">Año </w:t>
            </w:r>
          </w:p>
        </w:tc>
        <w:tc>
          <w:tcPr>
            <w:tcW w:w="1744" w:type="dxa"/>
            <w:tcBorders>
              <w:top w:val="single" w:sz="8" w:space="0" w:color="auto"/>
              <w:left w:val="single" w:sz="8" w:space="0" w:color="auto"/>
              <w:bottom w:val="single" w:sz="8" w:space="0" w:color="auto"/>
              <w:right w:val="single" w:sz="8" w:space="0" w:color="auto"/>
            </w:tcBorders>
            <w:tcMar>
              <w:left w:w="115" w:type="dxa"/>
              <w:right w:w="43" w:type="dxa"/>
            </w:tcMar>
          </w:tcPr>
          <w:p w14:paraId="5EF5C426" w14:textId="22C14EDA" w:rsidR="06EC7371" w:rsidRPr="008E6DD9" w:rsidRDefault="06EC7371" w:rsidP="005A4042">
            <w:pPr>
              <w:keepNext/>
              <w:keepLines/>
            </w:pPr>
            <w:r>
              <w:rPr>
                <w:sz w:val="20"/>
              </w:rPr>
              <w:t>2016</w:t>
            </w:r>
          </w:p>
        </w:tc>
        <w:tc>
          <w:tcPr>
            <w:tcW w:w="1942" w:type="dxa"/>
            <w:tcBorders>
              <w:top w:val="single" w:sz="8" w:space="0" w:color="auto"/>
              <w:left w:val="single" w:sz="8" w:space="0" w:color="auto"/>
              <w:bottom w:val="single" w:sz="8" w:space="0" w:color="auto"/>
              <w:right w:val="single" w:sz="8" w:space="0" w:color="auto"/>
            </w:tcBorders>
            <w:tcMar>
              <w:left w:w="115" w:type="dxa"/>
              <w:right w:w="43" w:type="dxa"/>
            </w:tcMar>
          </w:tcPr>
          <w:p w14:paraId="0E95320D" w14:textId="03E6167B" w:rsidR="06EC7371" w:rsidRPr="008E6DD9" w:rsidRDefault="06EC7371" w:rsidP="005A4042">
            <w:pPr>
              <w:keepNext/>
              <w:keepLines/>
            </w:pPr>
            <w:r>
              <w:rPr>
                <w:sz w:val="20"/>
              </w:rPr>
              <w:t>2019</w:t>
            </w:r>
          </w:p>
        </w:tc>
        <w:tc>
          <w:tcPr>
            <w:tcW w:w="1699" w:type="dxa"/>
            <w:tcBorders>
              <w:top w:val="single" w:sz="8" w:space="0" w:color="auto"/>
              <w:left w:val="single" w:sz="8" w:space="0" w:color="auto"/>
              <w:bottom w:val="single" w:sz="8" w:space="0" w:color="auto"/>
              <w:right w:val="single" w:sz="8" w:space="0" w:color="auto"/>
            </w:tcBorders>
            <w:tcMar>
              <w:left w:w="115" w:type="dxa"/>
              <w:right w:w="43" w:type="dxa"/>
            </w:tcMar>
          </w:tcPr>
          <w:p w14:paraId="4B4F4CC2" w14:textId="3E6F4D10" w:rsidR="06EC7371" w:rsidRPr="008E6DD9" w:rsidRDefault="06EC7371" w:rsidP="005A4042">
            <w:pPr>
              <w:keepNext/>
              <w:keepLines/>
            </w:pPr>
            <w:r>
              <w:rPr>
                <w:sz w:val="20"/>
              </w:rPr>
              <w:t>2020</w:t>
            </w:r>
          </w:p>
        </w:tc>
        <w:tc>
          <w:tcPr>
            <w:tcW w:w="2529" w:type="dxa"/>
            <w:tcBorders>
              <w:top w:val="single" w:sz="8" w:space="0" w:color="auto"/>
              <w:left w:val="single" w:sz="8" w:space="0" w:color="auto"/>
              <w:bottom w:val="single" w:sz="8" w:space="0" w:color="auto"/>
              <w:right w:val="single" w:sz="8" w:space="0" w:color="auto"/>
            </w:tcBorders>
            <w:tcMar>
              <w:left w:w="115" w:type="dxa"/>
              <w:right w:w="43" w:type="dxa"/>
            </w:tcMar>
          </w:tcPr>
          <w:p w14:paraId="46B0BE69" w14:textId="58B42231" w:rsidR="06EC7371" w:rsidRPr="008E6DD9" w:rsidRDefault="06EC7371" w:rsidP="005A4042">
            <w:pPr>
              <w:keepNext/>
              <w:keepLines/>
            </w:pPr>
            <w:r>
              <w:rPr>
                <w:sz w:val="20"/>
              </w:rPr>
              <w:t>2021</w:t>
            </w:r>
          </w:p>
        </w:tc>
      </w:tr>
      <w:tr w:rsidR="06EC7371" w:rsidRPr="008E6DD9" w14:paraId="4CC012BA" w14:textId="77777777" w:rsidTr="00330188">
        <w:trPr>
          <w:trHeight w:val="300"/>
        </w:trPr>
        <w:tc>
          <w:tcPr>
            <w:tcW w:w="1158" w:type="dxa"/>
            <w:tcBorders>
              <w:top w:val="single" w:sz="8" w:space="0" w:color="auto"/>
              <w:left w:val="single" w:sz="8" w:space="0" w:color="auto"/>
              <w:bottom w:val="single" w:sz="8" w:space="0" w:color="auto"/>
              <w:right w:val="single" w:sz="8" w:space="0" w:color="auto"/>
            </w:tcBorders>
            <w:tcMar>
              <w:left w:w="115" w:type="dxa"/>
              <w:bottom w:w="29" w:type="dxa"/>
              <w:right w:w="43" w:type="dxa"/>
            </w:tcMar>
          </w:tcPr>
          <w:p w14:paraId="2575E44C" w14:textId="6032117C" w:rsidR="06EC7371" w:rsidRPr="000355E3" w:rsidRDefault="00330188" w:rsidP="00330188">
            <w:pPr>
              <w:keepNext/>
              <w:keepLines/>
            </w:pPr>
            <w:r>
              <w:rPr>
                <w:sz w:val="20"/>
              </w:rPr>
              <w:t xml:space="preserve">Foco </w:t>
            </w:r>
            <w:r w:rsidR="007F51E1">
              <w:rPr>
                <w:sz w:val="20"/>
              </w:rPr>
              <w:t>c</w:t>
            </w:r>
            <w:r>
              <w:rPr>
                <w:sz w:val="20"/>
              </w:rPr>
              <w:t>entr</w:t>
            </w:r>
            <w:r w:rsidR="007F51E1">
              <w:rPr>
                <w:sz w:val="20"/>
              </w:rPr>
              <w:t>al</w:t>
            </w:r>
          </w:p>
        </w:tc>
        <w:tc>
          <w:tcPr>
            <w:tcW w:w="1744" w:type="dxa"/>
            <w:tcBorders>
              <w:top w:val="single" w:sz="8" w:space="0" w:color="auto"/>
              <w:left w:val="single" w:sz="8" w:space="0" w:color="auto"/>
              <w:bottom w:val="single" w:sz="8" w:space="0" w:color="auto"/>
              <w:right w:val="single" w:sz="8" w:space="0" w:color="auto"/>
            </w:tcBorders>
            <w:tcMar>
              <w:left w:w="115" w:type="dxa"/>
              <w:bottom w:w="29" w:type="dxa"/>
              <w:right w:w="43" w:type="dxa"/>
            </w:tcMar>
          </w:tcPr>
          <w:p w14:paraId="71034706" w14:textId="7935ACD8" w:rsidR="06EC7371" w:rsidRPr="008E6DD9" w:rsidRDefault="06EC7371" w:rsidP="005A4042">
            <w:pPr>
              <w:keepNext/>
              <w:keepLines/>
            </w:pPr>
            <w:r>
              <w:rPr>
                <w:sz w:val="20"/>
              </w:rPr>
              <w:t>(meta)Datos</w:t>
            </w:r>
          </w:p>
        </w:tc>
        <w:tc>
          <w:tcPr>
            <w:tcW w:w="1942" w:type="dxa"/>
            <w:tcBorders>
              <w:top w:val="single" w:sz="8" w:space="0" w:color="auto"/>
              <w:left w:val="single" w:sz="8" w:space="0" w:color="auto"/>
              <w:bottom w:val="single" w:sz="8" w:space="0" w:color="auto"/>
              <w:right w:val="single" w:sz="8" w:space="0" w:color="auto"/>
            </w:tcBorders>
            <w:tcMar>
              <w:left w:w="115" w:type="dxa"/>
              <w:bottom w:w="29" w:type="dxa"/>
              <w:right w:w="43" w:type="dxa"/>
            </w:tcMar>
          </w:tcPr>
          <w:p w14:paraId="3F66D44A" w14:textId="2B41751A" w:rsidR="06EC7371" w:rsidRPr="008E6DD9" w:rsidRDefault="06EC7371" w:rsidP="005A4042">
            <w:pPr>
              <w:keepNext/>
              <w:keepLines/>
            </w:pPr>
            <w:r>
              <w:rPr>
                <w:sz w:val="20"/>
              </w:rPr>
              <w:t>Personas y finalidad</w:t>
            </w:r>
          </w:p>
        </w:tc>
        <w:tc>
          <w:tcPr>
            <w:tcW w:w="1699" w:type="dxa"/>
            <w:tcBorders>
              <w:top w:val="single" w:sz="8" w:space="0" w:color="auto"/>
              <w:left w:val="single" w:sz="8" w:space="0" w:color="auto"/>
              <w:bottom w:val="single" w:sz="8" w:space="0" w:color="auto"/>
              <w:right w:val="single" w:sz="8" w:space="0" w:color="auto"/>
            </w:tcBorders>
            <w:tcMar>
              <w:left w:w="115" w:type="dxa"/>
              <w:bottom w:w="29" w:type="dxa"/>
              <w:right w:w="43" w:type="dxa"/>
            </w:tcMar>
          </w:tcPr>
          <w:p w14:paraId="28E6ADA1" w14:textId="5BE2B44E" w:rsidR="06EC7371" w:rsidRPr="008E6DD9" w:rsidRDefault="06EC7371" w:rsidP="007F51E1">
            <w:pPr>
              <w:keepNext/>
              <w:keepLines/>
              <w:jc w:val="left"/>
            </w:pPr>
            <w:r>
              <w:rPr>
                <w:sz w:val="20"/>
              </w:rPr>
              <w:t>Bases de datos digitales</w:t>
            </w:r>
          </w:p>
        </w:tc>
        <w:tc>
          <w:tcPr>
            <w:tcW w:w="2529" w:type="dxa"/>
            <w:tcBorders>
              <w:top w:val="single" w:sz="8" w:space="0" w:color="auto"/>
              <w:left w:val="single" w:sz="8" w:space="0" w:color="auto"/>
              <w:bottom w:val="single" w:sz="8" w:space="0" w:color="auto"/>
              <w:right w:val="single" w:sz="8" w:space="0" w:color="auto"/>
            </w:tcBorders>
            <w:tcMar>
              <w:left w:w="115" w:type="dxa"/>
              <w:bottom w:w="29" w:type="dxa"/>
              <w:right w:w="43" w:type="dxa"/>
            </w:tcMar>
          </w:tcPr>
          <w:p w14:paraId="1DDAF062" w14:textId="005B62E2" w:rsidR="06EC7371" w:rsidRPr="008E6DD9" w:rsidRDefault="06EC7371" w:rsidP="005A4042">
            <w:pPr>
              <w:keepNext/>
              <w:keepLines/>
            </w:pPr>
            <w:r>
              <w:rPr>
                <w:sz w:val="20"/>
              </w:rPr>
              <w:t>Ciencia abierta</w:t>
            </w:r>
          </w:p>
        </w:tc>
      </w:tr>
      <w:tr w:rsidR="06EC7371" w:rsidRPr="008E6DD9" w14:paraId="39899D12" w14:textId="77777777" w:rsidTr="00330188">
        <w:trPr>
          <w:trHeight w:val="300"/>
        </w:trPr>
        <w:tc>
          <w:tcPr>
            <w:tcW w:w="1158" w:type="dxa"/>
            <w:tcBorders>
              <w:top w:val="single" w:sz="8" w:space="0" w:color="auto"/>
              <w:left w:val="single" w:sz="8" w:space="0" w:color="auto"/>
              <w:bottom w:val="single" w:sz="8" w:space="0" w:color="auto"/>
              <w:right w:val="single" w:sz="8" w:space="0" w:color="auto"/>
            </w:tcBorders>
            <w:tcMar>
              <w:left w:w="115" w:type="dxa"/>
              <w:bottom w:w="29" w:type="dxa"/>
              <w:right w:w="43" w:type="dxa"/>
            </w:tcMar>
          </w:tcPr>
          <w:p w14:paraId="15205384" w14:textId="1258A684" w:rsidR="06EC7371" w:rsidRPr="000355E3" w:rsidRDefault="06EC7371" w:rsidP="005A4042">
            <w:pPr>
              <w:keepNext/>
              <w:keepLines/>
              <w:jc w:val="left"/>
            </w:pPr>
            <w:r>
              <w:rPr>
                <w:sz w:val="20"/>
              </w:rPr>
              <w:t>Principios</w:t>
            </w:r>
          </w:p>
        </w:tc>
        <w:tc>
          <w:tcPr>
            <w:tcW w:w="1744" w:type="dxa"/>
            <w:tcBorders>
              <w:top w:val="single" w:sz="8" w:space="0" w:color="auto"/>
              <w:left w:val="single" w:sz="8" w:space="0" w:color="auto"/>
              <w:bottom w:val="single" w:sz="8" w:space="0" w:color="auto"/>
              <w:right w:val="single" w:sz="8" w:space="0" w:color="auto"/>
            </w:tcBorders>
            <w:tcMar>
              <w:left w:w="115" w:type="dxa"/>
              <w:bottom w:w="29" w:type="dxa"/>
              <w:right w:w="43" w:type="dxa"/>
            </w:tcMar>
          </w:tcPr>
          <w:p w14:paraId="00E45931" w14:textId="45B2DDD4" w:rsidR="06EC7371" w:rsidRPr="000355E3" w:rsidRDefault="34F92D5E" w:rsidP="005A4042">
            <w:pPr>
              <w:keepNext/>
              <w:keepLines/>
              <w:jc w:val="left"/>
            </w:pPr>
            <w:r>
              <w:rPr>
                <w:sz w:val="20"/>
              </w:rPr>
              <w:t>1. Datos fáciles de encontrar</w:t>
            </w:r>
          </w:p>
          <w:p w14:paraId="57A2B2A8" w14:textId="68938EA0" w:rsidR="06EC7371" w:rsidRPr="000355E3" w:rsidRDefault="34F92D5E" w:rsidP="005A4042">
            <w:pPr>
              <w:keepNext/>
              <w:keepLines/>
              <w:jc w:val="left"/>
            </w:pPr>
            <w:r>
              <w:rPr>
                <w:sz w:val="20"/>
              </w:rPr>
              <w:t>2. Accesibilidad</w:t>
            </w:r>
          </w:p>
          <w:p w14:paraId="6ADD2473" w14:textId="6019DD52" w:rsidR="06EC7371" w:rsidRPr="000355E3" w:rsidRDefault="34F92D5E" w:rsidP="005A4042">
            <w:pPr>
              <w:keepNext/>
              <w:keepLines/>
              <w:jc w:val="left"/>
            </w:pPr>
            <w:r>
              <w:rPr>
                <w:sz w:val="20"/>
              </w:rPr>
              <w:t>3.Interoperabilidad</w:t>
            </w:r>
          </w:p>
          <w:p w14:paraId="00A74557" w14:textId="7F337A5F" w:rsidR="06EC7371" w:rsidRPr="000355E3" w:rsidRDefault="34F92D5E" w:rsidP="005A4042">
            <w:pPr>
              <w:keepNext/>
              <w:keepLines/>
              <w:jc w:val="left"/>
            </w:pPr>
            <w:r>
              <w:rPr>
                <w:sz w:val="20"/>
              </w:rPr>
              <w:t>4. Reutilización de bienes digitales</w:t>
            </w:r>
          </w:p>
        </w:tc>
        <w:tc>
          <w:tcPr>
            <w:tcW w:w="1942" w:type="dxa"/>
            <w:tcBorders>
              <w:top w:val="single" w:sz="8" w:space="0" w:color="auto"/>
              <w:left w:val="single" w:sz="8" w:space="0" w:color="auto"/>
              <w:bottom w:val="single" w:sz="8" w:space="0" w:color="auto"/>
              <w:right w:val="single" w:sz="8" w:space="0" w:color="auto"/>
            </w:tcBorders>
            <w:tcMar>
              <w:left w:w="115" w:type="dxa"/>
              <w:bottom w:w="29" w:type="dxa"/>
              <w:right w:w="43" w:type="dxa"/>
            </w:tcMar>
          </w:tcPr>
          <w:p w14:paraId="4161CAA0" w14:textId="5AE004DC" w:rsidR="06EC7371" w:rsidRPr="000355E3" w:rsidRDefault="34F92D5E" w:rsidP="005A4042">
            <w:pPr>
              <w:keepNext/>
              <w:keepLines/>
              <w:jc w:val="left"/>
            </w:pPr>
            <w:r>
              <w:rPr>
                <w:sz w:val="20"/>
              </w:rPr>
              <w:t>1. Beneficio colectivo</w:t>
            </w:r>
          </w:p>
          <w:p w14:paraId="679A7170" w14:textId="1F0E2E81" w:rsidR="06EC7371" w:rsidRPr="000355E3" w:rsidRDefault="34F92D5E" w:rsidP="005A4042">
            <w:pPr>
              <w:keepNext/>
              <w:keepLines/>
              <w:jc w:val="left"/>
            </w:pPr>
            <w:r>
              <w:rPr>
                <w:sz w:val="20"/>
              </w:rPr>
              <w:t>2. Autoridad para controlar</w:t>
            </w:r>
          </w:p>
          <w:p w14:paraId="3305317C" w14:textId="2CD4577F" w:rsidR="06EC7371" w:rsidRPr="000355E3" w:rsidRDefault="34F92D5E" w:rsidP="005A4042">
            <w:pPr>
              <w:keepNext/>
              <w:keepLines/>
              <w:jc w:val="left"/>
            </w:pPr>
            <w:r>
              <w:rPr>
                <w:sz w:val="20"/>
              </w:rPr>
              <w:t>3. Responsabilidad</w:t>
            </w:r>
          </w:p>
          <w:p w14:paraId="5F79D1E8" w14:textId="7679866B" w:rsidR="06EC7371" w:rsidRPr="000355E3" w:rsidRDefault="34F92D5E" w:rsidP="005A4042">
            <w:pPr>
              <w:keepNext/>
              <w:keepLines/>
              <w:jc w:val="left"/>
            </w:pPr>
            <w:r>
              <w:rPr>
                <w:sz w:val="20"/>
              </w:rPr>
              <w:t>4. Ética</w:t>
            </w:r>
          </w:p>
        </w:tc>
        <w:tc>
          <w:tcPr>
            <w:tcW w:w="1699" w:type="dxa"/>
            <w:tcBorders>
              <w:top w:val="single" w:sz="8" w:space="0" w:color="auto"/>
              <w:left w:val="single" w:sz="8" w:space="0" w:color="auto"/>
              <w:bottom w:val="single" w:sz="8" w:space="0" w:color="auto"/>
              <w:right w:val="single" w:sz="8" w:space="0" w:color="auto"/>
            </w:tcBorders>
            <w:tcMar>
              <w:left w:w="115" w:type="dxa"/>
              <w:bottom w:w="29" w:type="dxa"/>
              <w:right w:w="43" w:type="dxa"/>
            </w:tcMar>
          </w:tcPr>
          <w:p w14:paraId="357C9F0A" w14:textId="45E2D391" w:rsidR="06EC7371" w:rsidRPr="000355E3" w:rsidRDefault="34F92D5E" w:rsidP="005A4042">
            <w:pPr>
              <w:keepNext/>
              <w:keepLines/>
              <w:jc w:val="left"/>
            </w:pPr>
            <w:r>
              <w:rPr>
                <w:sz w:val="20"/>
              </w:rPr>
              <w:t>1. Transparencia</w:t>
            </w:r>
          </w:p>
          <w:p w14:paraId="0C442F01" w14:textId="21BE837C" w:rsidR="06EC7371" w:rsidRPr="000355E3" w:rsidRDefault="34F92D5E" w:rsidP="005A4042">
            <w:pPr>
              <w:keepNext/>
              <w:keepLines/>
              <w:jc w:val="left"/>
            </w:pPr>
            <w:r>
              <w:rPr>
                <w:sz w:val="20"/>
              </w:rPr>
              <w:t>2. Responsabilidad</w:t>
            </w:r>
          </w:p>
          <w:p w14:paraId="3BBD8548" w14:textId="74EA91A2" w:rsidR="06EC7371" w:rsidRPr="000355E3" w:rsidRDefault="34F92D5E" w:rsidP="005A4042">
            <w:pPr>
              <w:keepNext/>
              <w:keepLines/>
              <w:jc w:val="left"/>
            </w:pPr>
            <w:r>
              <w:rPr>
                <w:sz w:val="20"/>
              </w:rPr>
              <w:t>3. Enfoque en el usuario</w:t>
            </w:r>
          </w:p>
          <w:p w14:paraId="7A3684B4" w14:textId="089D405F" w:rsidR="06EC7371" w:rsidRPr="000355E3" w:rsidRDefault="34F92D5E" w:rsidP="005A4042">
            <w:pPr>
              <w:keepNext/>
              <w:keepLines/>
              <w:jc w:val="left"/>
            </w:pPr>
            <w:r>
              <w:rPr>
                <w:sz w:val="20"/>
              </w:rPr>
              <w:t>4. Sostenibilidad</w:t>
            </w:r>
          </w:p>
          <w:p w14:paraId="03DEE9E1" w14:textId="0562E832" w:rsidR="06EC7371" w:rsidRPr="000355E3" w:rsidRDefault="34F92D5E" w:rsidP="005A4042">
            <w:pPr>
              <w:keepNext/>
              <w:keepLines/>
              <w:jc w:val="left"/>
            </w:pPr>
            <w:r>
              <w:rPr>
                <w:sz w:val="20"/>
              </w:rPr>
              <w:t>5. Tecnología</w:t>
            </w:r>
          </w:p>
        </w:tc>
        <w:tc>
          <w:tcPr>
            <w:tcW w:w="2529" w:type="dxa"/>
            <w:tcBorders>
              <w:top w:val="single" w:sz="8" w:space="0" w:color="auto"/>
              <w:left w:val="single" w:sz="8" w:space="0" w:color="auto"/>
              <w:bottom w:val="single" w:sz="8" w:space="0" w:color="auto"/>
              <w:right w:val="single" w:sz="8" w:space="0" w:color="auto"/>
            </w:tcBorders>
            <w:tcMar>
              <w:left w:w="115" w:type="dxa"/>
              <w:bottom w:w="29" w:type="dxa"/>
              <w:right w:w="43" w:type="dxa"/>
            </w:tcMar>
          </w:tcPr>
          <w:p w14:paraId="56F4668E" w14:textId="7A6364D5" w:rsidR="06EC7371" w:rsidRPr="000355E3" w:rsidRDefault="06EC7371" w:rsidP="005A4042">
            <w:pPr>
              <w:keepNext/>
              <w:keepLines/>
              <w:jc w:val="left"/>
            </w:pPr>
            <w:r>
              <w:rPr>
                <w:sz w:val="20"/>
              </w:rPr>
              <w:t>1. Transparencia, control, crítica y verificabilidad</w:t>
            </w:r>
          </w:p>
          <w:p w14:paraId="665EA035" w14:textId="50C08961" w:rsidR="06EC7371" w:rsidRPr="000355E3" w:rsidRDefault="06EC7371" w:rsidP="005A4042">
            <w:pPr>
              <w:keepNext/>
              <w:keepLines/>
              <w:jc w:val="left"/>
            </w:pPr>
            <w:r>
              <w:rPr>
                <w:sz w:val="20"/>
              </w:rPr>
              <w:t>2. Responsabilidad, respeto y</w:t>
            </w:r>
            <w:r w:rsidR="00330188">
              <w:rPr>
                <w:sz w:val="20"/>
              </w:rPr>
              <w:t> </w:t>
            </w:r>
            <w:r>
              <w:rPr>
                <w:sz w:val="20"/>
              </w:rPr>
              <w:t>rendición de cuentas</w:t>
            </w:r>
          </w:p>
          <w:p w14:paraId="39E740FA" w14:textId="175184CA" w:rsidR="06EC7371" w:rsidRPr="000355E3" w:rsidRDefault="06EC7371" w:rsidP="005A4042">
            <w:pPr>
              <w:keepNext/>
              <w:keepLines/>
              <w:jc w:val="left"/>
            </w:pPr>
            <w:r w:rsidRPr="00330188">
              <w:rPr>
                <w:spacing w:val="-2"/>
                <w:sz w:val="20"/>
              </w:rPr>
              <w:t>3. Colaboración, participación</w:t>
            </w:r>
            <w:r>
              <w:rPr>
                <w:sz w:val="20"/>
              </w:rPr>
              <w:t xml:space="preserve"> e inclusión</w:t>
            </w:r>
          </w:p>
          <w:p w14:paraId="18E35B0E" w14:textId="33196B80" w:rsidR="06EC7371" w:rsidRPr="000355E3" w:rsidRDefault="06EC7371" w:rsidP="005A4042">
            <w:pPr>
              <w:keepNext/>
              <w:keepLines/>
              <w:jc w:val="left"/>
            </w:pPr>
            <w:r>
              <w:rPr>
                <w:sz w:val="20"/>
              </w:rPr>
              <w:t>4. Flexibilidad</w:t>
            </w:r>
          </w:p>
          <w:p w14:paraId="79A5F164" w14:textId="588BD84E" w:rsidR="06EC7371" w:rsidRPr="000355E3" w:rsidRDefault="06EC7371" w:rsidP="005A4042">
            <w:pPr>
              <w:keepNext/>
              <w:keepLines/>
              <w:jc w:val="left"/>
            </w:pPr>
            <w:r>
              <w:rPr>
                <w:sz w:val="20"/>
              </w:rPr>
              <w:t>5. Sostenibilidad</w:t>
            </w:r>
          </w:p>
        </w:tc>
      </w:tr>
    </w:tbl>
    <w:p w14:paraId="47EFF880" w14:textId="33700F95" w:rsidR="0072745E" w:rsidRPr="008E6DD9" w:rsidRDefault="001D2776" w:rsidP="005A4042">
      <w:pPr>
        <w:pStyle w:val="CBDH2"/>
        <w:spacing w:before="120"/>
      </w:pPr>
      <w:r>
        <w:t>D</w:t>
      </w:r>
      <w:r w:rsidR="008B12D8">
        <w:t>.</w:t>
      </w:r>
      <w:r w:rsidR="008B12D8">
        <w:tab/>
        <w:t xml:space="preserve">La inteligencia artificial en el contexto de la información digital sobre secuencias </w:t>
      </w:r>
    </w:p>
    <w:p w14:paraId="524DF8C4" w14:textId="36F2E114" w:rsidR="00BD2108" w:rsidRPr="008E6DD9" w:rsidRDefault="00BD2108" w:rsidP="00FC74FB">
      <w:pPr>
        <w:pStyle w:val="CBDNormalNumber"/>
      </w:pPr>
      <w:r>
        <w:t xml:space="preserve">A medida que se reducen los costos de producción de información digital sobre secuencias de recursos genéticos, el volumen de datos </w:t>
      </w:r>
      <w:r w:rsidR="007F51E1">
        <w:t xml:space="preserve">en </w:t>
      </w:r>
      <w:r>
        <w:t xml:space="preserve">las bases de datos crece a </w:t>
      </w:r>
      <w:r w:rsidR="007F51E1">
        <w:t>un ritmo</w:t>
      </w:r>
      <w:r>
        <w:t xml:space="preserve"> sin precedentes (por</w:t>
      </w:r>
      <w:r w:rsidR="00DF460A">
        <w:t> </w:t>
      </w:r>
      <w:r>
        <w:t>ej.,</w:t>
      </w:r>
      <w:r w:rsidR="00DF460A">
        <w:t> </w:t>
      </w:r>
      <w:r>
        <w:t>GenBank duplica su tamaño cada 18 meses</w:t>
      </w:r>
      <w:r>
        <w:rPr>
          <w:color w:val="0A0A0A"/>
        </w:rPr>
        <w:t>)</w:t>
      </w:r>
      <w:r>
        <w:t xml:space="preserve">. También se ha ampliado la diversidad de tipos de datos genómicos </w:t>
      </w:r>
      <w:r w:rsidR="007F51E1">
        <w:t>e</w:t>
      </w:r>
      <w:r>
        <w:t xml:space="preserve"> información asociada (anotaciones, metadatos, etc.), </w:t>
      </w:r>
      <w:r w:rsidR="007F51E1">
        <w:t>a un grado tal</w:t>
      </w:r>
      <w:r>
        <w:t xml:space="preserve"> que las herramientas bioinformáticas tradicionales tienen dificultades para </w:t>
      </w:r>
      <w:r w:rsidR="00572AE3">
        <w:t>seguir</w:t>
      </w:r>
      <w:r>
        <w:t xml:space="preserve"> el ritmo y </w:t>
      </w:r>
      <w:r w:rsidR="007F51E1">
        <w:t>mantenerse</w:t>
      </w:r>
      <w:r>
        <w:t xml:space="preserve"> vigentes. La inteligencia artificial es una tecnología </w:t>
      </w:r>
      <w:r w:rsidR="007F51E1">
        <w:t>c</w:t>
      </w:r>
      <w:r>
        <w:t>u</w:t>
      </w:r>
      <w:r w:rsidR="007F51E1">
        <w:t>yo uso</w:t>
      </w:r>
      <w:r>
        <w:t xml:space="preserve"> </w:t>
      </w:r>
      <w:r w:rsidR="007F51E1">
        <w:t>está en expansión</w:t>
      </w:r>
      <w:r>
        <w:t xml:space="preserve"> en el campo de la información digital sobre secuencias de recursos genéticos y que </w:t>
      </w:r>
      <w:r w:rsidR="00572AE3">
        <w:t>r</w:t>
      </w:r>
      <w:r>
        <w:t>es</w:t>
      </w:r>
      <w:r w:rsidR="00572AE3">
        <w:t>ulta</w:t>
      </w:r>
      <w:r>
        <w:t xml:space="preserve"> particularmente útil ante el continuo crecimiento y diversificación de los conjuntos de datos. </w:t>
      </w:r>
    </w:p>
    <w:p w14:paraId="2560B6F2" w14:textId="0EFDC127" w:rsidR="00BD2108" w:rsidRPr="008E6DD9" w:rsidRDefault="4A9EF4E4" w:rsidP="00572AE3">
      <w:pPr>
        <w:pStyle w:val="CBDNormalNumber"/>
      </w:pPr>
      <w:r>
        <w:t xml:space="preserve">Acompasando los avances tecnológicos, la precisión de la inteligencia artificial en la genómica sigue mejorando y su utilización en el campo de la genómica sigue creciendo. No obstante, también es necesario considerar las desventajas que </w:t>
      </w:r>
      <w:r w:rsidR="007F51E1">
        <w:t>presenta</w:t>
      </w:r>
      <w:r>
        <w:t xml:space="preserve">: los sesgos en los conjuntos de datos desiguales que alimentan la inteligencia artificial pueden verse amplificados en los resultados que arroja; </w:t>
      </w:r>
      <w:r w:rsidR="00572AE3">
        <w:t xml:space="preserve">puede agudizarse </w:t>
      </w:r>
      <w:r w:rsidR="007F51E1">
        <w:t>l</w:t>
      </w:r>
      <w:r>
        <w:t xml:space="preserve">a participación limitada </w:t>
      </w:r>
      <w:r w:rsidR="00572AE3">
        <w:t>causada</w:t>
      </w:r>
      <w:r>
        <w:t xml:space="preserve"> </w:t>
      </w:r>
      <w:r w:rsidR="00572AE3">
        <w:t>por</w:t>
      </w:r>
      <w:r>
        <w:t xml:space="preserve"> la brecha digital existente, </w:t>
      </w:r>
      <w:r w:rsidR="00572AE3" w:rsidRPr="00572AE3">
        <w:t xml:space="preserve">y lo mismo puede suceder con la </w:t>
      </w:r>
      <w:r>
        <w:t xml:space="preserve">brecha de capacidad; los costos energéticos de herramientas que tienen un crecimiento tan acelerado generan un impacto ambiental cada vez mayor y aumentan la presión y la competencia </w:t>
      </w:r>
      <w:r w:rsidR="007F51E1">
        <w:t>en</w:t>
      </w:r>
      <w:r>
        <w:t xml:space="preserve"> </w:t>
      </w:r>
      <w:r w:rsidR="007F51E1">
        <w:t xml:space="preserve">la </w:t>
      </w:r>
      <w:r>
        <w:t xml:space="preserve">demanda energética. Por último, los sesgos y carencias </w:t>
      </w:r>
      <w:r w:rsidR="007F51E1">
        <w:t xml:space="preserve">existentes </w:t>
      </w:r>
      <w:r>
        <w:t>en los metadatos vinculados a información digital sobre secuencias de recursos genéticos limita</w:t>
      </w:r>
      <w:r w:rsidR="005A4042">
        <w:t>n</w:t>
      </w:r>
      <w:r>
        <w:t xml:space="preserve"> la eficacia de las herramientas de inteligencia artificial en las investigaciones de biodiversidad. </w:t>
      </w:r>
    </w:p>
    <w:p w14:paraId="032B2548" w14:textId="1595B368" w:rsidR="00E84754" w:rsidRPr="008E6DD9" w:rsidRDefault="001D2776" w:rsidP="00FC74FB">
      <w:pPr>
        <w:pStyle w:val="CBDH2"/>
      </w:pPr>
      <w:r>
        <w:t>E</w:t>
      </w:r>
      <w:r w:rsidR="007F51E1">
        <w:t>.</w:t>
      </w:r>
      <w:r w:rsidR="007F51E1">
        <w:tab/>
        <w:t xml:space="preserve">Consideraciones </w:t>
      </w:r>
      <w:r w:rsidR="008B12D8">
        <w:t>re</w:t>
      </w:r>
      <w:r w:rsidR="007F51E1">
        <w:t>feridas a</w:t>
      </w:r>
      <w:r w:rsidR="008B12D8">
        <w:t xml:space="preserve"> pueblos indígenas y comunidades locales </w:t>
      </w:r>
    </w:p>
    <w:p w14:paraId="1E9BC80F" w14:textId="05AE7751" w:rsidR="007A0A58" w:rsidRPr="00572AE3" w:rsidRDefault="44DCC60C" w:rsidP="00FC74FB">
      <w:pPr>
        <w:pStyle w:val="CBDNormalNumber"/>
      </w:pPr>
      <w:r w:rsidRPr="00572AE3">
        <w:t>En 2022, por decisión 15/9, la Conferencia de las Partes reconoció los principios CARE y</w:t>
      </w:r>
      <w:r w:rsidR="00572AE3">
        <w:t> </w:t>
      </w:r>
      <w:r w:rsidR="00572AE3" w:rsidRPr="00572AE3">
        <w:t xml:space="preserve">también reconoció </w:t>
      </w:r>
      <w:r w:rsidRPr="00572AE3">
        <w:t>que los beneficios tanto monetarios como no monetarios que se deriven de la utilización de información digital sobre secuencias de recursos genéticos deberían, entre otr</w:t>
      </w:r>
      <w:r w:rsidR="005A4042" w:rsidRPr="00572AE3">
        <w:t>a</w:t>
      </w:r>
      <w:r w:rsidRPr="00572AE3">
        <w:t>s cosas, beneficiar a los pueblos indígenas y las comunidades locales. En 2024, por decisión 16/2, la Conferencia de las Partes reconoci</w:t>
      </w:r>
      <w:r w:rsidR="004364B7" w:rsidRPr="00572AE3">
        <w:t xml:space="preserve">ó </w:t>
      </w:r>
      <w:r w:rsidRPr="00572AE3">
        <w:t>la Declaración de las Naciones Unidas sobre los Derechos de los Pueblos Indígenas</w:t>
      </w:r>
      <w:r w:rsidR="008E1A25" w:rsidRPr="00572AE3">
        <w:rPr>
          <w:rStyle w:val="FootnoteReference"/>
        </w:rPr>
        <w:footnoteReference w:id="6"/>
      </w:r>
      <w:r w:rsidRPr="00572AE3">
        <w:t xml:space="preserve"> y dispuso que al menos la mitad de la financiación del Fondo de Cali debería apoyar las necesidades de los pueblos indígenas y las comunidades locales, incluidas las mujeres y la juventud</w:t>
      </w:r>
      <w:r w:rsidR="004364B7" w:rsidRPr="00572AE3">
        <w:t>, determinadas por ellos mismos</w:t>
      </w:r>
      <w:r w:rsidRPr="00572AE3">
        <w:t>. Además, por decisión </w:t>
      </w:r>
      <w:hyperlink r:id="rId19" w:history="1">
        <w:r w:rsidRPr="00572AE3">
          <w:rPr>
            <w:rStyle w:val="Hyperlink"/>
          </w:rPr>
          <w:t>16/4</w:t>
        </w:r>
      </w:hyperlink>
      <w:r w:rsidRPr="00572AE3">
        <w:t>, la Conferencia de las Partes adoptó el programa de trabajo hasta 2030 sobre el artículo 8 j) y otros disposiciones del Convenio relacionadas con los pueblos indígenas y las comunidades locales, cuyo elemento 3 se refiere a la participación en los beneficios que se deriven de la utilización de los recursos genéticos y la información digital sobre secuencias de recursos genéticos, así como los conocimientos tradicionales asociados a recursos genéticos.</w:t>
      </w:r>
    </w:p>
    <w:p w14:paraId="697E0D00" w14:textId="4B22FCCC" w:rsidR="00BD2108" w:rsidRPr="008E6DD9" w:rsidRDefault="00BD2108" w:rsidP="00FC74FB">
      <w:pPr>
        <w:pStyle w:val="CBDH1"/>
      </w:pPr>
      <w:r>
        <w:lastRenderedPageBreak/>
        <w:t>IV.</w:t>
      </w:r>
      <w:r>
        <w:tab/>
        <w:t>Resumen de l</w:t>
      </w:r>
      <w:r w:rsidR="00572AE3">
        <w:t>o</w:t>
      </w:r>
      <w:r>
        <w:t xml:space="preserve">s </w:t>
      </w:r>
      <w:r w:rsidR="00572AE3">
        <w:t>re</w:t>
      </w:r>
      <w:r>
        <w:t>s</w:t>
      </w:r>
      <w:r w:rsidR="00572AE3">
        <w:t>ultado</w:t>
      </w:r>
      <w:r>
        <w:t>s</w:t>
      </w:r>
    </w:p>
    <w:p w14:paraId="23C59EFB" w14:textId="1EBC9CBF" w:rsidR="00BD2108" w:rsidRPr="008E6DD9" w:rsidRDefault="00C9596A" w:rsidP="00FC74FB">
      <w:pPr>
        <w:pStyle w:val="CBDH2"/>
        <w:rPr>
          <w:rFonts w:eastAsiaTheme="minorEastAsia"/>
          <w:color w:val="000000" w:themeColor="text1"/>
        </w:rPr>
      </w:pPr>
      <w:r>
        <w:t>A.</w:t>
      </w:r>
      <w:r>
        <w:tab/>
      </w:r>
      <w:r w:rsidR="004364B7">
        <w:t>Detec</w:t>
      </w:r>
      <w:r>
        <w:t>ción de carencias</w:t>
      </w:r>
    </w:p>
    <w:p w14:paraId="6F70BED3" w14:textId="5650C594" w:rsidR="00BD2108" w:rsidRPr="008E6DD9" w:rsidRDefault="00D6607B" w:rsidP="00FC74FB">
      <w:pPr>
        <w:pStyle w:val="CBDNormalNumber"/>
      </w:pPr>
      <w:r>
        <w:t xml:space="preserve">Se </w:t>
      </w:r>
      <w:r w:rsidR="00D724AD">
        <w:t>det</w:t>
      </w:r>
      <w:r>
        <w:t>e</w:t>
      </w:r>
      <w:r w:rsidR="00D724AD">
        <w:t>c</w:t>
      </w:r>
      <w:r>
        <w:t>t</w:t>
      </w:r>
      <w:r w:rsidR="00D724AD">
        <w:t>aron cuatro carencias principales con respecto a los objetivos de poner información digital sobre secuencias de recursos genéticos a disposición del público y hacerla accesible de manera transparen</w:t>
      </w:r>
      <w:r w:rsidR="004364B7">
        <w:t>te</w:t>
      </w:r>
      <w:r w:rsidR="00D724AD">
        <w:t xml:space="preserve"> y con rendición de cuentas y de crear un sistema justo y equitativo para la participación en los beneficios que se deriven de su utilización. Estas carencias son:</w:t>
      </w:r>
    </w:p>
    <w:p w14:paraId="686C141C" w14:textId="3A8F65AD" w:rsidR="002D1575" w:rsidRPr="008E6DD9" w:rsidRDefault="00BD2108" w:rsidP="005A4042">
      <w:pPr>
        <w:pStyle w:val="CBDNormalNumber"/>
        <w:numPr>
          <w:ilvl w:val="1"/>
          <w:numId w:val="98"/>
        </w:numPr>
        <w:tabs>
          <w:tab w:val="clear" w:pos="567"/>
        </w:tabs>
      </w:pPr>
      <w:r>
        <w:rPr>
          <w:b/>
        </w:rPr>
        <w:t xml:space="preserve">Carencias de acceso/utilización: </w:t>
      </w:r>
      <w:r>
        <w:t>se detect</w:t>
      </w:r>
      <w:r w:rsidR="005A4042">
        <w:t>ó</w:t>
      </w:r>
      <w:r>
        <w:t xml:space="preserve"> una falta de confianza en la información digital sobre secuencias</w:t>
      </w:r>
      <w:r w:rsidR="004364B7">
        <w:t xml:space="preserve"> </w:t>
      </w:r>
      <w:r>
        <w:t xml:space="preserve">existente </w:t>
      </w:r>
      <w:r w:rsidR="004364B7">
        <w:t xml:space="preserve">a nivel público </w:t>
      </w:r>
      <w:r>
        <w:t>y las bases de datos que gestionan</w:t>
      </w:r>
      <w:r w:rsidR="004364B7">
        <w:t xml:space="preserve"> esa información</w:t>
      </w:r>
      <w:r>
        <w:t>, debido a la falta de transparencia en torno a quién accede a los datos y los utiliza;</w:t>
      </w:r>
    </w:p>
    <w:p w14:paraId="64464513" w14:textId="1A57F990" w:rsidR="002D1575" w:rsidRPr="008E6DD9" w:rsidRDefault="00BD2108" w:rsidP="005A4042">
      <w:pPr>
        <w:pStyle w:val="CBDNormalNumber"/>
        <w:numPr>
          <w:ilvl w:val="1"/>
          <w:numId w:val="98"/>
        </w:numPr>
        <w:tabs>
          <w:tab w:val="clear" w:pos="567"/>
        </w:tabs>
      </w:pPr>
      <w:r>
        <w:rPr>
          <w:b/>
        </w:rPr>
        <w:t>Carencias de cumplimiento:</w:t>
      </w:r>
      <w:r>
        <w:t xml:space="preserve"> la falta de información referida al cumplimiento (información sobre permisos, metadatos de cumplimiento) en relación con la información digital sobre secuencias </w:t>
      </w:r>
      <w:r w:rsidR="005033CC">
        <w:t xml:space="preserve">contenida </w:t>
      </w:r>
      <w:r>
        <w:t>en bases de datos pública</w:t>
      </w:r>
      <w:r w:rsidR="005033CC">
        <w:t>s</w:t>
      </w:r>
      <w:r>
        <w:t xml:space="preserve"> </w:t>
      </w:r>
      <w:r w:rsidR="005033CC">
        <w:t>supone</w:t>
      </w:r>
      <w:r>
        <w:t xml:space="preserve"> una importante carencia en términos de rendición de cuentas. Algunas bases de datos primarias piden a qu</w:t>
      </w:r>
      <w:r w:rsidR="005033CC">
        <w:t>i</w:t>
      </w:r>
      <w:r>
        <w:t>e</w:t>
      </w:r>
      <w:r w:rsidR="005033CC">
        <w:t>nes</w:t>
      </w:r>
      <w:r>
        <w:t xml:space="preserve"> presentan información que </w:t>
      </w:r>
      <w:r w:rsidR="004364B7">
        <w:t>marqu</w:t>
      </w:r>
      <w:r>
        <w:t>en una opción que indica que los datos presentados no están sujetos a restricción alguna, pero esto no es jurídicamente vinculante y no se extiende a todas las bases de datos públicas;</w:t>
      </w:r>
    </w:p>
    <w:p w14:paraId="7AB60888" w14:textId="5AB799F6" w:rsidR="002D1575" w:rsidRPr="008E6DD9" w:rsidRDefault="00BD2108" w:rsidP="004364B7">
      <w:pPr>
        <w:pStyle w:val="CBDNormalNumber"/>
        <w:numPr>
          <w:ilvl w:val="1"/>
          <w:numId w:val="98"/>
        </w:numPr>
        <w:tabs>
          <w:tab w:val="clear" w:pos="567"/>
        </w:tabs>
      </w:pPr>
      <w:r>
        <w:rPr>
          <w:b/>
        </w:rPr>
        <w:t>Carencias de comunicación/educación:</w:t>
      </w:r>
      <w:r>
        <w:t xml:space="preserve"> se detectaron vías de comunicación limitadas entre encargados de la formulación de políticas y usuarios de datos que se perciben como una carencia en </w:t>
      </w:r>
      <w:r w:rsidR="004364B7">
        <w:t>términos</w:t>
      </w:r>
      <w:r>
        <w:t xml:space="preserve"> de accesibilidad. Se plantearon inquietudes sobre el grado de conocimiento de los usuarios </w:t>
      </w:r>
      <w:r w:rsidR="004364B7">
        <w:t>con respecto</w:t>
      </w:r>
      <w:r>
        <w:t xml:space="preserve"> </w:t>
      </w:r>
      <w:r w:rsidR="004364B7">
        <w:t>a</w:t>
      </w:r>
      <w:r>
        <w:t xml:space="preserve">l Convenio sobre la Diversidad Biológica, las obligaciones de acceso y participación en los beneficios y el mecanismo multilateral. Por otra parte, </w:t>
      </w:r>
      <w:r w:rsidR="004364B7" w:rsidRPr="004364B7">
        <w:t xml:space="preserve">se plantearon inquietudes </w:t>
      </w:r>
      <w:r w:rsidR="009F434A">
        <w:t xml:space="preserve">por </w:t>
      </w:r>
      <w:r>
        <w:t xml:space="preserve">la falta de comprensión de los encargados de la formulación de políticas con respecto a las complejidades de la forma de acceso </w:t>
      </w:r>
      <w:r w:rsidR="009F434A">
        <w:t>a</w:t>
      </w:r>
      <w:r>
        <w:t xml:space="preserve"> información digital sobre secuencias pública</w:t>
      </w:r>
      <w:r w:rsidR="009F434A">
        <w:t xml:space="preserve"> y su utilización</w:t>
      </w:r>
      <w:r>
        <w:t>. Entre otras inquietudes plante</w:t>
      </w:r>
      <w:r w:rsidR="009F434A">
        <w:t>adas se señaló también</w:t>
      </w:r>
      <w:r>
        <w:t xml:space="preserve"> la desigual distribución geográfica de las bases de datos públicas y la consiguiente inequidad geográfica en la determinación de quién establece y desarrolla las políticas en torno a la información digital sobre secuencias en materia de almacenamiento, presentación, acceso y reutilización de la diversidad genética;</w:t>
      </w:r>
    </w:p>
    <w:p w14:paraId="619B63F9" w14:textId="45D66F0C" w:rsidR="00E96831" w:rsidRPr="008E6DD9" w:rsidRDefault="2A85F45A" w:rsidP="005A4042">
      <w:pPr>
        <w:pStyle w:val="CBDNormalNumber"/>
        <w:numPr>
          <w:ilvl w:val="1"/>
          <w:numId w:val="98"/>
        </w:numPr>
        <w:tabs>
          <w:tab w:val="clear" w:pos="567"/>
        </w:tabs>
      </w:pPr>
      <w:r>
        <w:rPr>
          <w:b/>
          <w:color w:val="000000" w:themeColor="text1"/>
        </w:rPr>
        <w:t xml:space="preserve">Carencias con respecto a la gestión </w:t>
      </w:r>
      <w:r w:rsidR="009F434A">
        <w:rPr>
          <w:b/>
          <w:color w:val="000000" w:themeColor="text1"/>
        </w:rPr>
        <w:t xml:space="preserve">responsable </w:t>
      </w:r>
      <w:r>
        <w:rPr>
          <w:b/>
          <w:color w:val="000000" w:themeColor="text1"/>
        </w:rPr>
        <w:t xml:space="preserve">de la información digital sobre secuencias de recursos genéticos y </w:t>
      </w:r>
      <w:r w:rsidR="009F434A">
        <w:rPr>
          <w:b/>
          <w:color w:val="000000" w:themeColor="text1"/>
        </w:rPr>
        <w:t xml:space="preserve">los </w:t>
      </w:r>
      <w:r>
        <w:rPr>
          <w:b/>
          <w:color w:val="000000" w:themeColor="text1"/>
        </w:rPr>
        <w:t xml:space="preserve">conocimientos tradicionales asociados </w:t>
      </w:r>
      <w:r w:rsidR="009F434A">
        <w:rPr>
          <w:b/>
          <w:color w:val="000000" w:themeColor="text1"/>
        </w:rPr>
        <w:t>a</w:t>
      </w:r>
      <w:r>
        <w:rPr>
          <w:b/>
          <w:color w:val="000000" w:themeColor="text1"/>
        </w:rPr>
        <w:t xml:space="preserve"> pueblos indígenas y comunidades locales</w:t>
      </w:r>
      <w:r w:rsidR="005033CC">
        <w:rPr>
          <w:b/>
          <w:color w:val="000000" w:themeColor="text1"/>
        </w:rPr>
        <w:t>:</w:t>
      </w:r>
      <w:r>
        <w:rPr>
          <w:color w:val="000000" w:themeColor="text1"/>
        </w:rPr>
        <w:t xml:space="preserve"> </w:t>
      </w:r>
      <w:r w:rsidR="005033CC">
        <w:rPr>
          <w:color w:val="000000" w:themeColor="text1"/>
        </w:rPr>
        <w:t>s</w:t>
      </w:r>
      <w:r>
        <w:rPr>
          <w:color w:val="000000" w:themeColor="text1"/>
        </w:rPr>
        <w:t>e reconoció en general que las bases de datos públicas estaban bien armonizadas con los principios FAIR y que bases de datos más grandes estaban avanzando en la armonización con los principios TRUST. No obstante, se detect</w:t>
      </w:r>
      <w:r w:rsidR="005A4042">
        <w:rPr>
          <w:color w:val="000000" w:themeColor="text1"/>
        </w:rPr>
        <w:t>ó</w:t>
      </w:r>
      <w:r>
        <w:rPr>
          <w:color w:val="000000" w:themeColor="text1"/>
        </w:rPr>
        <w:t xml:space="preserve"> </w:t>
      </w:r>
      <w:r w:rsidR="009F434A">
        <w:rPr>
          <w:color w:val="000000" w:themeColor="text1"/>
        </w:rPr>
        <w:t xml:space="preserve">que había una </w:t>
      </w:r>
      <w:r>
        <w:rPr>
          <w:color w:val="000000" w:themeColor="text1"/>
        </w:rPr>
        <w:t xml:space="preserve">falta de tiempo y recursos necesarios para considerar la armonización con respecto a los principios CARE, la Declaración de las Naciones Unidas sobre los Derechos de los Pueblos Indígenas y </w:t>
      </w:r>
      <w:r w:rsidR="009F434A">
        <w:rPr>
          <w:color w:val="000000" w:themeColor="text1"/>
        </w:rPr>
        <w:t xml:space="preserve">los </w:t>
      </w:r>
      <w:r>
        <w:rPr>
          <w:color w:val="000000" w:themeColor="text1"/>
        </w:rPr>
        <w:t xml:space="preserve">materiales elaborados por el Convenio sobre la aplicación del artículo 8 j), lo que podría implicar consecuencias negativas para la gestión responsable de la información digital sobre secuencias de recursos genéticos y los conocimientos tradicionales asociados </w:t>
      </w:r>
      <w:r w:rsidR="009F434A">
        <w:rPr>
          <w:color w:val="000000" w:themeColor="text1"/>
        </w:rPr>
        <w:t>a</w:t>
      </w:r>
      <w:r>
        <w:rPr>
          <w:color w:val="000000" w:themeColor="text1"/>
        </w:rPr>
        <w:t xml:space="preserve"> </w:t>
      </w:r>
      <w:r>
        <w:t>pueblos indígenas y comunidades locales</w:t>
      </w:r>
      <w:r>
        <w:rPr>
          <w:color w:val="000000" w:themeColor="text1"/>
        </w:rPr>
        <w:t>.</w:t>
      </w:r>
    </w:p>
    <w:p w14:paraId="13E5714F" w14:textId="6500A8CD" w:rsidR="00BD2108" w:rsidRPr="008E6DD9" w:rsidRDefault="00FA3963" w:rsidP="00FC74FB">
      <w:pPr>
        <w:pStyle w:val="CBDH2"/>
      </w:pPr>
      <w:r>
        <w:t>B.</w:t>
      </w:r>
      <w:r>
        <w:tab/>
      </w:r>
      <w:r w:rsidR="009F434A">
        <w:t>Propuestas de h</w:t>
      </w:r>
      <w:r>
        <w:t xml:space="preserve">erramientas, modelos y bases de datos </w:t>
      </w:r>
    </w:p>
    <w:p w14:paraId="57FEC005" w14:textId="09FC4307" w:rsidR="00475992" w:rsidRPr="008E6DD9" w:rsidRDefault="0080558A" w:rsidP="00FC74FB">
      <w:pPr>
        <w:pStyle w:val="CBDNormalNumber"/>
      </w:pPr>
      <w:r>
        <w:t>A partir de las opiniones aportadas, las entrevistas y las encuestas, se elaboraron 18 propuestas de soluciones (herramientas/modelos y bases de dat</w:t>
      </w:r>
      <w:r w:rsidR="009F434A">
        <w:t xml:space="preserve">os) para atender las carencias </w:t>
      </w:r>
      <w:r>
        <w:t>det</w:t>
      </w:r>
      <w:r w:rsidR="009F434A">
        <w:t>e</w:t>
      </w:r>
      <w:r>
        <w:t>c</w:t>
      </w:r>
      <w:r w:rsidR="009F434A">
        <w:t>t</w:t>
      </w:r>
      <w:r>
        <w:t>adas y se dividieron en tres grandes categorías (las herramientas propuestas se indican entre paréntesis a continuación de cada categoría):</w:t>
      </w:r>
    </w:p>
    <w:p w14:paraId="6711B8B6" w14:textId="0334A016" w:rsidR="00475992" w:rsidRPr="008E6DD9" w:rsidRDefault="00BD2108" w:rsidP="005A4042">
      <w:pPr>
        <w:pStyle w:val="CBDNormalNumber"/>
        <w:numPr>
          <w:ilvl w:val="1"/>
          <w:numId w:val="99"/>
        </w:numPr>
      </w:pPr>
      <w:r>
        <w:t>Construcción de una nueva base de datos</w:t>
      </w:r>
      <w:r w:rsidR="005A4042">
        <w:t xml:space="preserve"> </w:t>
      </w:r>
      <w:r>
        <w:t xml:space="preserve">(base de datos </w:t>
      </w:r>
      <w:r w:rsidR="00574EA3">
        <w:t>integral</w:t>
      </w:r>
      <w:r>
        <w:t xml:space="preserve">, </w:t>
      </w:r>
      <w:r w:rsidR="00574EA3">
        <w:t xml:space="preserve">de </w:t>
      </w:r>
      <w:r>
        <w:t>valor</w:t>
      </w:r>
      <w:r w:rsidR="00574EA3">
        <w:t xml:space="preserve"> agregado</w:t>
      </w:r>
      <w:r>
        <w:t xml:space="preserve"> y de permiso);</w:t>
      </w:r>
    </w:p>
    <w:p w14:paraId="4071EFCC" w14:textId="1342EA93" w:rsidR="00475992" w:rsidRPr="00B011B2" w:rsidRDefault="00BD2108" w:rsidP="008E3AD6">
      <w:pPr>
        <w:pStyle w:val="CBDNormalNumber"/>
        <w:widowControl w:val="0"/>
        <w:numPr>
          <w:ilvl w:val="1"/>
          <w:numId w:val="99"/>
        </w:numPr>
        <w:ind w:left="562" w:firstLine="562"/>
      </w:pPr>
      <w:r w:rsidRPr="00B011B2">
        <w:t>Modificaciones a la red de bases de datos públicas (</w:t>
      </w:r>
      <w:r w:rsidR="00B011B2" w:rsidRPr="00B011B2">
        <w:t>inscripción</w:t>
      </w:r>
      <w:r w:rsidRPr="00B011B2">
        <w:t xml:space="preserve"> obligatori</w:t>
      </w:r>
      <w:r w:rsidR="00B011B2" w:rsidRPr="00B011B2">
        <w:t>a</w:t>
      </w:r>
      <w:r w:rsidRPr="00B011B2">
        <w:t xml:space="preserve">, herramientas de analítica web, inteligencia artificial para </w:t>
      </w:r>
      <w:r w:rsidR="00B011B2" w:rsidRPr="00B011B2">
        <w:t>seguimiento de conocimientos tradicionales asociados</w:t>
      </w:r>
      <w:r w:rsidR="005033CC">
        <w:t xml:space="preserve"> y</w:t>
      </w:r>
      <w:r w:rsidR="00B011B2" w:rsidRPr="00B011B2">
        <w:t xml:space="preserve"> </w:t>
      </w:r>
      <w:r w:rsidR="005033CC">
        <w:t xml:space="preserve">del sector </w:t>
      </w:r>
      <w:r w:rsidRPr="00B011B2">
        <w:t>académico</w:t>
      </w:r>
      <w:r w:rsidR="00B011B2" w:rsidRPr="00B011B2">
        <w:t xml:space="preserve"> y</w:t>
      </w:r>
      <w:r w:rsidRPr="00B011B2">
        <w:t xml:space="preserve"> privado, herramientas educativas, herramientas de metadatos, herramientas jurídicas</w:t>
      </w:r>
      <w:r w:rsidR="00B011B2" w:rsidRPr="00B011B2">
        <w:t xml:space="preserve"> (</w:t>
      </w:r>
      <w:r w:rsidRPr="00B011B2">
        <w:t>licencias y acuerdos jurídicos</w:t>
      </w:r>
      <w:r w:rsidR="00B011B2" w:rsidRPr="00B011B2">
        <w:t>)</w:t>
      </w:r>
      <w:r w:rsidRPr="00B011B2">
        <w:t>, herramientas de difusión</w:t>
      </w:r>
      <w:r w:rsidR="008E3AD6" w:rsidRPr="00B011B2">
        <w:t xml:space="preserve"> y herramientas </w:t>
      </w:r>
      <w:r w:rsidRPr="00B011B2">
        <w:t>de gobernanza);</w:t>
      </w:r>
    </w:p>
    <w:p w14:paraId="5C4FF799" w14:textId="098F0E69" w:rsidR="00BD2108" w:rsidRPr="008E6DD9" w:rsidRDefault="00BD2108" w:rsidP="005A4042">
      <w:pPr>
        <w:pStyle w:val="CBDNormalNumber"/>
        <w:numPr>
          <w:ilvl w:val="1"/>
          <w:numId w:val="99"/>
        </w:numPr>
      </w:pPr>
      <w:r>
        <w:lastRenderedPageBreak/>
        <w:t xml:space="preserve">Consideraciones para la información digital sobre secuencias y </w:t>
      </w:r>
      <w:r w:rsidR="0068435C">
        <w:t xml:space="preserve">los </w:t>
      </w:r>
      <w:r>
        <w:t xml:space="preserve">conocimientos tradicionales asociados </w:t>
      </w:r>
      <w:r w:rsidR="0068435C">
        <w:t>a</w:t>
      </w:r>
      <w:r>
        <w:t xml:space="preserve"> pueblos indígenas y comunidades locales (recursos educativos y capacitación, mejoras en los metadatos, estrategias para la inclusión de datos relacionados con pueblos indígenas y comunidades locales en bases de datos públicas, herramientas de gobernanza).</w:t>
      </w:r>
    </w:p>
    <w:p w14:paraId="71528366" w14:textId="24384230" w:rsidR="00BD2108" w:rsidRPr="008E6DD9" w:rsidRDefault="00BD2108" w:rsidP="0068435C">
      <w:pPr>
        <w:pStyle w:val="CBDNormalNumber"/>
        <w:rPr>
          <w:color w:val="000000"/>
        </w:rPr>
      </w:pPr>
      <w:r>
        <w:t xml:space="preserve">En los cuadros 7 y 9 del documento de información se brinda una evaluación de las ventajas y desventajas de cada propuesta. </w:t>
      </w:r>
      <w:r w:rsidR="005033CC">
        <w:t>Las</w:t>
      </w:r>
      <w:r>
        <w:t xml:space="preserve"> propuesta</w:t>
      </w:r>
      <w:r w:rsidR="005033CC">
        <w:t>s</w:t>
      </w:r>
      <w:r>
        <w:t xml:space="preserve"> se evalúa</w:t>
      </w:r>
      <w:r w:rsidR="005033CC">
        <w:t>n</w:t>
      </w:r>
      <w:r>
        <w:t xml:space="preserve"> en función de dificultad jurídica y técnica, carga financiera y </w:t>
      </w:r>
      <w:r w:rsidR="0068435C">
        <w:t>necesidad</w:t>
      </w:r>
      <w:r w:rsidR="0068435C" w:rsidRPr="0068435C">
        <w:t xml:space="preserve"> de acepta</w:t>
      </w:r>
      <w:r w:rsidR="005033CC">
        <w:t>ción</w:t>
      </w:r>
      <w:r w:rsidR="0068435C" w:rsidRPr="0068435C">
        <w:t xml:space="preserve"> por </w:t>
      </w:r>
      <w:r w:rsidR="005033CC">
        <w:t xml:space="preserve">parte </w:t>
      </w:r>
      <w:r w:rsidR="0068435C" w:rsidRPr="0068435C">
        <w:t xml:space="preserve">la </w:t>
      </w:r>
      <w:r w:rsidR="005033CC" w:rsidRPr="0068435C">
        <w:t xml:space="preserve">actual </w:t>
      </w:r>
      <w:r w:rsidR="0068435C" w:rsidRPr="0068435C">
        <w:t>red de bases de datos</w:t>
      </w:r>
      <w:r>
        <w:t xml:space="preserve">. </w:t>
      </w:r>
      <w:r w:rsidR="0010668E">
        <w:t>E</w:t>
      </w:r>
      <w:r w:rsidR="0010668E" w:rsidRPr="0068435C">
        <w:t xml:space="preserve">n el caso de las propuestas en las que sea pertinente, </w:t>
      </w:r>
      <w:r w:rsidR="0010668E">
        <w:t>estas también se evalúan</w:t>
      </w:r>
      <w:r w:rsidR="0068435C" w:rsidRPr="0068435C">
        <w:t xml:space="preserve"> en términos de </w:t>
      </w:r>
      <w:r w:rsidR="0010668E">
        <w:t>su grado de</w:t>
      </w:r>
      <w:r w:rsidR="0068435C" w:rsidRPr="0068435C">
        <w:t xml:space="preserve"> armoniza</w:t>
      </w:r>
      <w:r w:rsidR="0010668E">
        <w:t>ció</w:t>
      </w:r>
      <w:r w:rsidR="0068435C" w:rsidRPr="0068435C">
        <w:t>n</w:t>
      </w:r>
      <w:r w:rsidR="0068435C">
        <w:t xml:space="preserve"> </w:t>
      </w:r>
      <w:r>
        <w:t>con los</w:t>
      </w:r>
      <w:r w:rsidR="0010668E">
        <w:t xml:space="preserve"> principios CARE, FAIR y TRUST.</w:t>
      </w:r>
    </w:p>
    <w:p w14:paraId="632B3117" w14:textId="587CF0F5" w:rsidR="00685520" w:rsidRPr="0010668E" w:rsidRDefault="00F52394" w:rsidP="00AE796A">
      <w:pPr>
        <w:pStyle w:val="CBDNormalNumber"/>
        <w:rPr>
          <w:color w:val="000000"/>
          <w:spacing w:val="-2"/>
        </w:rPr>
      </w:pPr>
      <w:r w:rsidRPr="0010668E">
        <w:rPr>
          <w:spacing w:val="-2"/>
        </w:rPr>
        <w:t xml:space="preserve">Se consideró que las propuestas de creación de una base de datos </w:t>
      </w:r>
      <w:r w:rsidR="00574EA3" w:rsidRPr="0010668E">
        <w:rPr>
          <w:spacing w:val="-2"/>
        </w:rPr>
        <w:t>integral</w:t>
      </w:r>
      <w:r w:rsidRPr="0010668E">
        <w:rPr>
          <w:spacing w:val="-2"/>
        </w:rPr>
        <w:t xml:space="preserve"> de información digital sobre secuencias de recursos genéticos alojada en la Secretaría del Convenio, la propuesta de creación de una base de datos similar pero para datos más restringidos y la propuesta de seguimiento </w:t>
      </w:r>
      <w:r w:rsidR="0010668E" w:rsidRPr="0010668E">
        <w:rPr>
          <w:spacing w:val="-2"/>
        </w:rPr>
        <w:t xml:space="preserve">por base de datos </w:t>
      </w:r>
      <w:r w:rsidRPr="0010668E">
        <w:rPr>
          <w:spacing w:val="-2"/>
        </w:rPr>
        <w:t xml:space="preserve">de permisos de acceso y utilización eran las más difíciles </w:t>
      </w:r>
      <w:r w:rsidR="00574EA3" w:rsidRPr="0010668E">
        <w:rPr>
          <w:spacing w:val="-2"/>
        </w:rPr>
        <w:t xml:space="preserve">en términos </w:t>
      </w:r>
      <w:r w:rsidRPr="0010668E">
        <w:rPr>
          <w:spacing w:val="-2"/>
        </w:rPr>
        <w:t>técnic</w:t>
      </w:r>
      <w:r w:rsidR="00574EA3" w:rsidRPr="0010668E">
        <w:rPr>
          <w:spacing w:val="-2"/>
        </w:rPr>
        <w:t>os</w:t>
      </w:r>
      <w:r w:rsidRPr="0010668E">
        <w:rPr>
          <w:spacing w:val="-2"/>
        </w:rPr>
        <w:t xml:space="preserve"> y </w:t>
      </w:r>
      <w:r w:rsidR="00574EA3" w:rsidRPr="0010668E">
        <w:rPr>
          <w:spacing w:val="-2"/>
        </w:rPr>
        <w:t xml:space="preserve">de </w:t>
      </w:r>
      <w:r w:rsidRPr="0010668E">
        <w:rPr>
          <w:spacing w:val="-2"/>
        </w:rPr>
        <w:t>financi</w:t>
      </w:r>
      <w:r w:rsidR="00574EA3" w:rsidRPr="0010668E">
        <w:rPr>
          <w:spacing w:val="-2"/>
        </w:rPr>
        <w:t>ación</w:t>
      </w:r>
      <w:r w:rsidRPr="0010668E">
        <w:rPr>
          <w:spacing w:val="-2"/>
        </w:rPr>
        <w:t xml:space="preserve"> y que dependerían jurídicamente de las Partes. La creación de un sistema de </w:t>
      </w:r>
      <w:r w:rsidR="00AE796A" w:rsidRPr="0010668E">
        <w:rPr>
          <w:spacing w:val="-2"/>
        </w:rPr>
        <w:t>inscripción</w:t>
      </w:r>
      <w:r w:rsidRPr="0010668E">
        <w:rPr>
          <w:spacing w:val="-2"/>
        </w:rPr>
        <w:t xml:space="preserve"> obligatori</w:t>
      </w:r>
      <w:r w:rsidR="00AE796A" w:rsidRPr="0010668E">
        <w:rPr>
          <w:spacing w:val="-2"/>
        </w:rPr>
        <w:t>a</w:t>
      </w:r>
      <w:r w:rsidRPr="0010668E">
        <w:rPr>
          <w:spacing w:val="-2"/>
        </w:rPr>
        <w:t xml:space="preserve"> en bases de datos existentes, la implementación de una licencia o licencias para conjuntos de datos y la elaborac</w:t>
      </w:r>
      <w:r w:rsidR="00AE796A" w:rsidRPr="0010668E">
        <w:rPr>
          <w:spacing w:val="-2"/>
        </w:rPr>
        <w:t xml:space="preserve">ión de contratos jurídicos </w:t>
      </w:r>
      <w:r w:rsidRPr="0010668E">
        <w:rPr>
          <w:spacing w:val="-2"/>
        </w:rPr>
        <w:t xml:space="preserve">que </w:t>
      </w:r>
      <w:r w:rsidR="00AE796A" w:rsidRPr="0010668E">
        <w:rPr>
          <w:spacing w:val="-2"/>
        </w:rPr>
        <w:t xml:space="preserve">han de </w:t>
      </w:r>
      <w:r w:rsidRPr="0010668E">
        <w:rPr>
          <w:spacing w:val="-2"/>
        </w:rPr>
        <w:t>firm</w:t>
      </w:r>
      <w:r w:rsidR="00AE796A" w:rsidRPr="0010668E">
        <w:rPr>
          <w:spacing w:val="-2"/>
        </w:rPr>
        <w:t>ar</w:t>
      </w:r>
      <w:r w:rsidRPr="0010668E">
        <w:rPr>
          <w:spacing w:val="-2"/>
        </w:rPr>
        <w:t xml:space="preserve"> los usuarios antes de </w:t>
      </w:r>
      <w:r w:rsidR="00AE796A" w:rsidRPr="0010668E">
        <w:rPr>
          <w:spacing w:val="-2"/>
        </w:rPr>
        <w:t>p</w:t>
      </w:r>
      <w:r w:rsidRPr="0010668E">
        <w:rPr>
          <w:spacing w:val="-2"/>
        </w:rPr>
        <w:t>re</w:t>
      </w:r>
      <w:r w:rsidR="00AE796A" w:rsidRPr="0010668E">
        <w:rPr>
          <w:spacing w:val="-2"/>
        </w:rPr>
        <w:t>sent</w:t>
      </w:r>
      <w:r w:rsidRPr="0010668E">
        <w:rPr>
          <w:spacing w:val="-2"/>
        </w:rPr>
        <w:t xml:space="preserve">ar datos o acceder a datos se consideraron </w:t>
      </w:r>
      <w:r w:rsidR="00AE796A" w:rsidRPr="0010668E">
        <w:rPr>
          <w:spacing w:val="-2"/>
        </w:rPr>
        <w:t>muy difíciles</w:t>
      </w:r>
      <w:r w:rsidRPr="0010668E">
        <w:rPr>
          <w:spacing w:val="-2"/>
        </w:rPr>
        <w:t xml:space="preserve"> </w:t>
      </w:r>
      <w:r w:rsidR="00AE796A" w:rsidRPr="0010668E">
        <w:rPr>
          <w:spacing w:val="-2"/>
        </w:rPr>
        <w:t>en términos jurídicos y de financiación</w:t>
      </w:r>
      <w:r w:rsidRPr="0010668E">
        <w:rPr>
          <w:spacing w:val="-2"/>
        </w:rPr>
        <w:t xml:space="preserve">. Sin embargo, las propuestas en torno a la creación de herramientas de análisis de </w:t>
      </w:r>
      <w:r w:rsidR="00AE796A" w:rsidRPr="0010668E">
        <w:rPr>
          <w:spacing w:val="-2"/>
        </w:rPr>
        <w:t>sitios web</w:t>
      </w:r>
      <w:r w:rsidRPr="0010668E">
        <w:rPr>
          <w:spacing w:val="-2"/>
        </w:rPr>
        <w:t xml:space="preserve"> para hacer un seguimiento del acceso </w:t>
      </w:r>
      <w:r w:rsidR="0010668E">
        <w:rPr>
          <w:spacing w:val="-2"/>
        </w:rPr>
        <w:t>de</w:t>
      </w:r>
      <w:r w:rsidRPr="0010668E">
        <w:rPr>
          <w:spacing w:val="-2"/>
        </w:rPr>
        <w:t xml:space="preserve"> sitios web </w:t>
      </w:r>
      <w:r w:rsidR="00AE796A" w:rsidRPr="0010668E">
        <w:rPr>
          <w:spacing w:val="-2"/>
        </w:rPr>
        <w:t xml:space="preserve">de bases de datos </w:t>
      </w:r>
      <w:r w:rsidRPr="0010668E">
        <w:rPr>
          <w:spacing w:val="-2"/>
        </w:rPr>
        <w:t xml:space="preserve">a alto nivel, o el uso de inteligencia artificial para </w:t>
      </w:r>
      <w:r w:rsidR="00AE796A" w:rsidRPr="0010668E">
        <w:rPr>
          <w:spacing w:val="-2"/>
        </w:rPr>
        <w:t>rastrear</w:t>
      </w:r>
      <w:r w:rsidRPr="0010668E">
        <w:rPr>
          <w:spacing w:val="-2"/>
        </w:rPr>
        <w:t xml:space="preserve"> publicaciones científicas que utilizan datos genéticos </w:t>
      </w:r>
      <w:r w:rsidR="00AE796A" w:rsidRPr="0010668E">
        <w:rPr>
          <w:spacing w:val="-2"/>
        </w:rPr>
        <w:t>y</w:t>
      </w:r>
      <w:r w:rsidRPr="0010668E">
        <w:rPr>
          <w:spacing w:val="-2"/>
        </w:rPr>
        <w:t xml:space="preserve"> genómicos de bases de datos públicas, o solicitudes de patente que hacen lo mismo o utilizan conocimientos tradicionales asociados se consideraron viables tanto técnica, jurídica y financieramente. A su vez, se consideró viable </w:t>
      </w:r>
      <w:r w:rsidR="00AE796A" w:rsidRPr="0010668E">
        <w:rPr>
          <w:spacing w:val="-2"/>
        </w:rPr>
        <w:t xml:space="preserve">la </w:t>
      </w:r>
      <w:r w:rsidR="00AE796A" w:rsidRPr="0010668E">
        <w:rPr>
          <w:spacing w:val="-4"/>
        </w:rPr>
        <w:t xml:space="preserve">elaboración de </w:t>
      </w:r>
      <w:r w:rsidRPr="0010668E">
        <w:rPr>
          <w:spacing w:val="-4"/>
        </w:rPr>
        <w:t>herramientas educativas sobre los objetivos del Convenio y el artículo 8 j), la gobernanza de datos, el mecanismo multilateral y su Fondo de Cali, orientaciones sobre la forma correcta de citar datos, permisos y gobernanza de datos. Por último,</w:t>
      </w:r>
      <w:r w:rsidRPr="0010668E">
        <w:rPr>
          <w:spacing w:val="-2"/>
        </w:rPr>
        <w:t xml:space="preserve"> la disponibilidad de campos de metadatos en bases de datos y la difusión de orientaciones y herramientas educativas a través del Centro de Intercambio de Información sobre Acceso y Participación en los Beneficios también estuvieron comprendidas entre las propuestas evaluadas que se consider</w:t>
      </w:r>
      <w:r w:rsidR="0010668E">
        <w:rPr>
          <w:spacing w:val="-2"/>
        </w:rPr>
        <w:t>aron</w:t>
      </w:r>
      <w:r w:rsidRPr="0010668E">
        <w:rPr>
          <w:spacing w:val="-2"/>
        </w:rPr>
        <w:t xml:space="preserve"> que tenían un grado bajo de dificultad técnica, jurídica y financiera. Para la implementación de algunas de estas herramientas educativas y de orientación, en una propuesta se sug</w:t>
      </w:r>
      <w:r w:rsidR="00AE796A" w:rsidRPr="0010668E">
        <w:rPr>
          <w:spacing w:val="-2"/>
        </w:rPr>
        <w:t>i</w:t>
      </w:r>
      <w:r w:rsidRPr="0010668E">
        <w:rPr>
          <w:spacing w:val="-2"/>
        </w:rPr>
        <w:t>r</w:t>
      </w:r>
      <w:r w:rsidR="00AE796A" w:rsidRPr="0010668E">
        <w:rPr>
          <w:spacing w:val="-2"/>
        </w:rPr>
        <w:t>ió</w:t>
      </w:r>
      <w:r w:rsidRPr="0010668E">
        <w:rPr>
          <w:spacing w:val="-2"/>
        </w:rPr>
        <w:t xml:space="preserve"> establecer un grupo de trabajo con representación inclusiva y </w:t>
      </w:r>
      <w:r w:rsidR="00AE796A" w:rsidRPr="0010668E">
        <w:rPr>
          <w:spacing w:val="-2"/>
        </w:rPr>
        <w:t xml:space="preserve">en </w:t>
      </w:r>
      <w:r w:rsidRPr="0010668E">
        <w:rPr>
          <w:spacing w:val="-2"/>
        </w:rPr>
        <w:t xml:space="preserve">otra </w:t>
      </w:r>
      <w:r w:rsidR="00AE796A" w:rsidRPr="0010668E">
        <w:rPr>
          <w:spacing w:val="-2"/>
        </w:rPr>
        <w:t xml:space="preserve">se sugirió </w:t>
      </w:r>
      <w:r w:rsidRPr="0010668E">
        <w:rPr>
          <w:spacing w:val="-2"/>
        </w:rPr>
        <w:t>la inclusión de representantes de pueblos indígenas y comu</w:t>
      </w:r>
      <w:r w:rsidR="005A4042" w:rsidRPr="0010668E">
        <w:rPr>
          <w:spacing w:val="-2"/>
        </w:rPr>
        <w:t>nidades locales en dicho grupo.</w:t>
      </w:r>
    </w:p>
    <w:p w14:paraId="2DFD3A38" w14:textId="41743C45" w:rsidR="00991EE7" w:rsidRPr="008E6DD9" w:rsidRDefault="00685520" w:rsidP="00FC74FB">
      <w:pPr>
        <w:pStyle w:val="CBDNormalNumber"/>
      </w:pPr>
      <w:r>
        <w:t xml:space="preserve">Con respecto a las propuestas relacionadas con pueblos indígenas y comunidades locales y conocimientos tradicionales asociados, </w:t>
      </w:r>
      <w:r w:rsidR="00BC37D5">
        <w:t xml:space="preserve">se consideró muy difícil </w:t>
      </w:r>
      <w:r>
        <w:t xml:space="preserve">la modificación de bases de datos existentes </w:t>
      </w:r>
      <w:r w:rsidR="0010668E">
        <w:t>a efectos de incluir</w:t>
      </w:r>
      <w:r>
        <w:t xml:space="preserve"> metadatos normalizados </w:t>
      </w:r>
      <w:r w:rsidR="00BC37D5">
        <w:t xml:space="preserve">a cargo de </w:t>
      </w:r>
      <w:r>
        <w:t xml:space="preserve">pueblos indígenas y </w:t>
      </w:r>
      <w:r w:rsidR="00BC37D5">
        <w:t xml:space="preserve">la gestión de </w:t>
      </w:r>
      <w:r>
        <w:t xml:space="preserve">su acceso. Por otro lado, centrarse en herramientas educativas sobre la gestión de datos asociados </w:t>
      </w:r>
      <w:r w:rsidR="00BC37D5">
        <w:t>a</w:t>
      </w:r>
      <w:r>
        <w:t xml:space="preserve"> pueblos indígenas y comunidades locales se evaluó como relativamente fácil, pero que requeriría la aceptación por parte de las bases de datos. La creación de requisitos mínimos de metadatos para difundir etiquetas y notificaciones de Local Contexts, así como coordenadas geoespaciales también se evaluó en ese mismo sentido. Por último, se evaluó que el seguimiento de los progresos </w:t>
      </w:r>
      <w:r w:rsidR="00BC37D5">
        <w:t>de</w:t>
      </w:r>
      <w:r>
        <w:t xml:space="preserve"> las bases de datos hacia la aplicación de principios CARE era fácil y podría estar a cargo de las mismas bases de datos, o bien </w:t>
      </w:r>
      <w:r w:rsidR="00BC37D5">
        <w:t>de</w:t>
      </w:r>
      <w:r>
        <w:t xml:space="preserve"> una entidad independiente. </w:t>
      </w:r>
    </w:p>
    <w:p w14:paraId="26B57D87" w14:textId="4A915929" w:rsidR="00BD2108" w:rsidRPr="008E6DD9" w:rsidRDefault="00451337" w:rsidP="00451337">
      <w:pPr>
        <w:pStyle w:val="Heading2"/>
        <w:numPr>
          <w:ilvl w:val="0"/>
          <w:numId w:val="0"/>
        </w:numPr>
        <w:ind w:left="567" w:hanging="567"/>
        <w:rPr>
          <w:rFonts w:hint="eastAsia"/>
        </w:rPr>
      </w:pPr>
      <w:r>
        <w:t>C.</w:t>
      </w:r>
      <w:r>
        <w:tab/>
        <w:t>Resumen de los resultados de la encuesta del sector privado</w:t>
      </w:r>
    </w:p>
    <w:p w14:paraId="76E264E8" w14:textId="63A44DC5" w:rsidR="00BD2108" w:rsidRPr="00E442A4" w:rsidRDefault="00BD2108" w:rsidP="00E442A4">
      <w:pPr>
        <w:pStyle w:val="CBDNormalNumber"/>
      </w:pPr>
      <w:r w:rsidRPr="00E442A4">
        <w:t xml:space="preserve">La encuesta del sector privado tuvo un nivel de respuesta limitado (n=9) y un sesgo geográfico a favor de América Latina y el Caribe con una diversidad sectorial mínima. Con respecto al establecimiento de una nueva base de datos las opiniones fueron mayoritariamente negativas y </w:t>
      </w:r>
      <w:r w:rsidR="00E442A4" w:rsidRPr="00E442A4">
        <w:t>más de la mitad de los encuestados no percibían claros beneficios</w:t>
      </w:r>
      <w:r w:rsidRPr="00E442A4">
        <w:t>. Algunas de las principales inquietudes planteadas fueron</w:t>
      </w:r>
      <w:r w:rsidR="005B6EF5" w:rsidRPr="00E442A4">
        <w:t>:</w:t>
      </w:r>
      <w:r w:rsidRPr="00E442A4">
        <w:t xml:space="preserve"> duplicación de sistemas existentes</w:t>
      </w:r>
      <w:r w:rsidR="005B6EF5" w:rsidRPr="00E442A4">
        <w:t>;</w:t>
      </w:r>
      <w:r w:rsidRPr="00E442A4">
        <w:t xml:space="preserve"> aumento de la</w:t>
      </w:r>
      <w:r w:rsidR="005B6EF5" w:rsidRPr="00E442A4">
        <w:t xml:space="preserve">s cargas </w:t>
      </w:r>
      <w:r w:rsidRPr="00E442A4">
        <w:t>de cumplimiento</w:t>
      </w:r>
      <w:r w:rsidR="005B6EF5" w:rsidRPr="00E442A4">
        <w:t>;</w:t>
      </w:r>
      <w:r w:rsidRPr="00E442A4">
        <w:t xml:space="preserve"> posibles vulneraciones de los derechos de pueblos indígenas y comunidades locales</w:t>
      </w:r>
      <w:r w:rsidR="005B6EF5" w:rsidRPr="00E442A4">
        <w:t>;</w:t>
      </w:r>
      <w:r w:rsidRPr="00E442A4">
        <w:t xml:space="preserve"> y desvío de recursos de esfuerzos de conservación. </w:t>
      </w:r>
      <w:r w:rsidR="00E442A4" w:rsidRPr="00E442A4">
        <w:t>También se</w:t>
      </w:r>
      <w:r w:rsidRPr="00E442A4">
        <w:t xml:space="preserve"> resalta</w:t>
      </w:r>
      <w:r w:rsidR="00E442A4" w:rsidRPr="00E442A4">
        <w:t>r</w:t>
      </w:r>
      <w:r w:rsidRPr="00E442A4">
        <w:t>o</w:t>
      </w:r>
      <w:r w:rsidR="00E442A4" w:rsidRPr="00E442A4">
        <w:t>n como riesgos</w:t>
      </w:r>
      <w:r w:rsidRPr="00E442A4">
        <w:t xml:space="preserve"> </w:t>
      </w:r>
      <w:r w:rsidR="00E442A4" w:rsidRPr="00E442A4">
        <w:t>la</w:t>
      </w:r>
      <w:r w:rsidRPr="00E442A4">
        <w:t xml:space="preserve"> lentitud de los procesos de gobernanza </w:t>
      </w:r>
      <w:r w:rsidR="00E442A4" w:rsidRPr="00E442A4">
        <w:t>en caso de que</w:t>
      </w:r>
      <w:r w:rsidRPr="00E442A4">
        <w:t xml:space="preserve"> el Convenio </w:t>
      </w:r>
      <w:r w:rsidR="00E442A4" w:rsidRPr="00E442A4">
        <w:t>fu</w:t>
      </w:r>
      <w:r w:rsidRPr="00E442A4">
        <w:t xml:space="preserve">era seleccionado como la entidad en la que se alojaría </w:t>
      </w:r>
      <w:r w:rsidRPr="00E442A4">
        <w:lastRenderedPageBreak/>
        <w:t xml:space="preserve">la base de datos, </w:t>
      </w:r>
      <w:r w:rsidR="00034B9E">
        <w:t xml:space="preserve">la </w:t>
      </w:r>
      <w:r w:rsidRPr="00E442A4">
        <w:t xml:space="preserve">fragmentación de datos y desincentivos para la utilización de información digital sobre secuencias de recursos genéticos debido a una mayor burocracia y posibles obligaciones de participación en los beneficios. Con respecto a modificaciones a bases de datos existentes, quienes respondieron a la encuesta expresaron un grado de apoyo </w:t>
      </w:r>
      <w:r w:rsidR="00223C72">
        <w:t xml:space="preserve">entre </w:t>
      </w:r>
      <w:r w:rsidRPr="00E442A4">
        <w:t xml:space="preserve">moderado </w:t>
      </w:r>
      <w:r w:rsidR="00223C72">
        <w:t>y</w:t>
      </w:r>
      <w:r w:rsidRPr="00E442A4">
        <w:t xml:space="preserve"> fuerte para: a) </w:t>
      </w:r>
      <w:r w:rsidR="00E442A4" w:rsidRPr="00E442A4">
        <w:t>inscripción</w:t>
      </w:r>
      <w:r w:rsidRPr="00E442A4">
        <w:t xml:space="preserve"> obligatori</w:t>
      </w:r>
      <w:r w:rsidR="00E442A4" w:rsidRPr="00E442A4">
        <w:t>a</w:t>
      </w:r>
      <w:r w:rsidRPr="00E442A4">
        <w:t>; b) </w:t>
      </w:r>
      <w:r w:rsidR="00E442A4" w:rsidRPr="00E442A4">
        <w:t xml:space="preserve">resumen sectorial de acceso a bases de datos compartido </w:t>
      </w:r>
      <w:r w:rsidRPr="00E442A4">
        <w:t>con las Partes; c) divulgación de utilización de datos en publicaciones y patentes; d) inclusión de metadatos geoespaciales; y e) mayores vínculos con el Centro de Intercambio de Información sobre Acceso y Participación en los Beneficios. También hubo apoy</w:t>
      </w:r>
      <w:r w:rsidR="00E442A4" w:rsidRPr="00E442A4">
        <w:t xml:space="preserve">o </w:t>
      </w:r>
      <w:r w:rsidRPr="00E442A4">
        <w:t>general</w:t>
      </w:r>
      <w:r w:rsidR="00E442A4" w:rsidRPr="00E442A4">
        <w:t>izado</w:t>
      </w:r>
      <w:r w:rsidRPr="00E442A4">
        <w:t xml:space="preserve"> para licencias de Creative Commons, aunque algunos se inclinaron por flexibilidad en vez de implementación obligatoria. Por último, hubo un fuerte consenso con respecto al reconocimiento de los derechos e intereses de los pueblos indígenas y las comunidades locales, con amplio apoyo al etiquetado de información digital sobre secuencias de recursos genéticos empleando las etiquetas y notificaciones de Local Contexts. Muchos también apoyaron sistemas de acceso controlado para la información digital sobre secuencias de recursos genéticos asociada a pueblos indígenas y comunidades locales, aunque algunos advirtieron que esto </w:t>
      </w:r>
      <w:r w:rsidR="00654FA3">
        <w:t xml:space="preserve">podría </w:t>
      </w:r>
      <w:r w:rsidRPr="00E442A4">
        <w:t>contra</w:t>
      </w:r>
      <w:r w:rsidR="00E442A4" w:rsidRPr="00E442A4">
        <w:t>venir</w:t>
      </w:r>
      <w:r w:rsidRPr="00E442A4">
        <w:t xml:space="preserve"> los principios de acceso abierto que sustentan el mecanismo multilateral.</w:t>
      </w:r>
    </w:p>
    <w:p w14:paraId="2834EC2C" w14:textId="5EB5EA27" w:rsidR="00BD2108" w:rsidRPr="008E6DD9" w:rsidRDefault="00236EA3" w:rsidP="00FC74FB">
      <w:pPr>
        <w:pStyle w:val="CBDH1"/>
      </w:pPr>
      <w:r>
        <w:t>V.</w:t>
      </w:r>
      <w:r>
        <w:tab/>
        <w:t>Conclusiones</w:t>
      </w:r>
    </w:p>
    <w:p w14:paraId="0905C945" w14:textId="54F341DC" w:rsidR="00BD2108" w:rsidRPr="008E6DD9" w:rsidRDefault="00962569" w:rsidP="00FC74FB">
      <w:pPr>
        <w:pStyle w:val="CBDNormalNumber"/>
      </w:pPr>
      <w:r>
        <w:t>El estudio iden</w:t>
      </w:r>
      <w:r w:rsidR="00353983">
        <w:t>t</w:t>
      </w:r>
      <w:r>
        <w:t>ifi</w:t>
      </w:r>
      <w:r w:rsidR="00353983">
        <w:t>c</w:t>
      </w:r>
      <w:r w:rsidR="009618E7">
        <w:t>a</w:t>
      </w:r>
      <w:r w:rsidR="00223C72">
        <w:t xml:space="preserve"> cua</w:t>
      </w:r>
      <w:r w:rsidR="00353983">
        <w:t>t</w:t>
      </w:r>
      <w:r w:rsidR="00223C72">
        <w:t>r</w:t>
      </w:r>
      <w:r w:rsidR="00353983">
        <w:t>o categorías de carencias (acceso/utilización, cumplimiento, comunicaci</w:t>
      </w:r>
      <w:r>
        <w:t>ó</w:t>
      </w:r>
      <w:r w:rsidR="00353983">
        <w:t>n/educación y gestión responsable de la información digital sobre secuencias asociad</w:t>
      </w:r>
      <w:r>
        <w:t>a</w:t>
      </w:r>
      <w:r w:rsidR="00353983">
        <w:t xml:space="preserve"> </w:t>
      </w:r>
      <w:r>
        <w:t>a</w:t>
      </w:r>
      <w:r w:rsidR="00353983">
        <w:t xml:space="preserve"> pueblos indígenas y comunidades locales) y 18 propuestas de herramientas, modelos y bases de datos (cuadros 2 y 3) que pueden clasificarse en tres categorías: a) construcción de base</w:t>
      </w:r>
      <w:r w:rsidR="00223C72">
        <w:t>s</w:t>
      </w:r>
      <w:r w:rsidR="00353983">
        <w:t xml:space="preserve"> de datos</w:t>
      </w:r>
      <w:r w:rsidR="00223C72">
        <w:t xml:space="preserve"> nuevas</w:t>
      </w:r>
      <w:r w:rsidR="00353983">
        <w:t xml:space="preserve">; b) modificaciones </w:t>
      </w:r>
      <w:r w:rsidR="009618E7">
        <w:t>a</w:t>
      </w:r>
      <w:r w:rsidR="00353983">
        <w:t xml:space="preserve"> la </w:t>
      </w:r>
      <w:r w:rsidR="009618E7">
        <w:t xml:space="preserve">actual </w:t>
      </w:r>
      <w:r w:rsidR="00353983">
        <w:t>red de bases de datos d</w:t>
      </w:r>
      <w:r w:rsidR="00574EA3">
        <w:t>e</w:t>
      </w:r>
      <w:r w:rsidR="00353983">
        <w:t xml:space="preserve"> información digital </w:t>
      </w:r>
      <w:r w:rsidR="009618E7">
        <w:t>sobr</w:t>
      </w:r>
      <w:r w:rsidR="00353983">
        <w:t>e secuencias; y</w:t>
      </w:r>
      <w:r w:rsidR="00223C72">
        <w:t> </w:t>
      </w:r>
      <w:r w:rsidR="00353983">
        <w:t xml:space="preserve">c) consideraciones para información digital sobre secuencias y conocimientos tradicionales asociados </w:t>
      </w:r>
      <w:r w:rsidR="009618E7">
        <w:t>a</w:t>
      </w:r>
      <w:r w:rsidR="00353983">
        <w:t xml:space="preserve"> pueblos indígenas y comunidades locales.</w:t>
      </w:r>
    </w:p>
    <w:p w14:paraId="32EB96A4" w14:textId="4667277B" w:rsidR="00BD2108" w:rsidRPr="00216E2B" w:rsidRDefault="00BD2108" w:rsidP="00FC74FB">
      <w:pPr>
        <w:pStyle w:val="CBDNormalNumber"/>
        <w:rPr>
          <w:spacing w:val="-2"/>
        </w:rPr>
      </w:pPr>
      <w:r w:rsidRPr="00216E2B">
        <w:rPr>
          <w:spacing w:val="-2"/>
        </w:rPr>
        <w:t>En el análisis de las propuestas de herramientas, modelos y bases de datos se indica</w:t>
      </w:r>
      <w:r w:rsidRPr="00216E2B">
        <w:rPr>
          <w:rStyle w:val="Strong"/>
          <w:b w:val="0"/>
          <w:spacing w:val="-2"/>
        </w:rPr>
        <w:t xml:space="preserve"> que las soluciones complementaria</w:t>
      </w:r>
      <w:r w:rsidR="009618E7" w:rsidRPr="00216E2B">
        <w:rPr>
          <w:rStyle w:val="Strong"/>
          <w:b w:val="0"/>
          <w:spacing w:val="-2"/>
        </w:rPr>
        <w:t>s graduales presentan ventajas f</w:t>
      </w:r>
      <w:r w:rsidRPr="00216E2B">
        <w:rPr>
          <w:rStyle w:val="Strong"/>
          <w:b w:val="0"/>
          <w:spacing w:val="-2"/>
        </w:rPr>
        <w:t>re</w:t>
      </w:r>
      <w:r w:rsidR="009618E7" w:rsidRPr="00216E2B">
        <w:rPr>
          <w:rStyle w:val="Strong"/>
          <w:b w:val="0"/>
          <w:spacing w:val="-2"/>
        </w:rPr>
        <w:t>nt</w:t>
      </w:r>
      <w:r w:rsidRPr="00216E2B">
        <w:rPr>
          <w:rStyle w:val="Strong"/>
          <w:b w:val="0"/>
          <w:spacing w:val="-2"/>
        </w:rPr>
        <w:t>e a infraestructura nueva de gran escala</w:t>
      </w:r>
      <w:r w:rsidRPr="00216E2B">
        <w:rPr>
          <w:spacing w:val="-2"/>
        </w:rPr>
        <w:t xml:space="preserve">. Las propuestas de bases de datos nuevas (por ej., bases de datos </w:t>
      </w:r>
      <w:r w:rsidR="00574EA3" w:rsidRPr="00216E2B">
        <w:rPr>
          <w:spacing w:val="-2"/>
        </w:rPr>
        <w:t>integrales</w:t>
      </w:r>
      <w:r w:rsidRPr="00216E2B">
        <w:rPr>
          <w:spacing w:val="-2"/>
        </w:rPr>
        <w:t>, “</w:t>
      </w:r>
      <w:r w:rsidR="00574EA3" w:rsidRPr="00216E2B">
        <w:rPr>
          <w:spacing w:val="-2"/>
        </w:rPr>
        <w:t xml:space="preserve">de </w:t>
      </w:r>
      <w:r w:rsidRPr="00216E2B">
        <w:rPr>
          <w:spacing w:val="-2"/>
        </w:rPr>
        <w:t>valor</w:t>
      </w:r>
      <w:r w:rsidR="00574EA3" w:rsidRPr="00216E2B">
        <w:rPr>
          <w:spacing w:val="-2"/>
        </w:rPr>
        <w:t xml:space="preserve"> </w:t>
      </w:r>
      <w:r w:rsidRPr="00216E2B">
        <w:rPr>
          <w:spacing w:val="-2"/>
        </w:rPr>
        <w:t>a</w:t>
      </w:r>
      <w:r w:rsidR="00574EA3" w:rsidRPr="00216E2B">
        <w:rPr>
          <w:spacing w:val="-2"/>
        </w:rPr>
        <w:t>gr</w:t>
      </w:r>
      <w:r w:rsidRPr="00216E2B">
        <w:rPr>
          <w:spacing w:val="-2"/>
        </w:rPr>
        <w:t>e</w:t>
      </w:r>
      <w:r w:rsidR="00574EA3" w:rsidRPr="00216E2B">
        <w:rPr>
          <w:spacing w:val="-2"/>
        </w:rPr>
        <w:t>gado</w:t>
      </w:r>
      <w:r w:rsidRPr="00216E2B">
        <w:rPr>
          <w:spacing w:val="-2"/>
        </w:rPr>
        <w:t>” y de permisos) ofrecen po</w:t>
      </w:r>
      <w:r w:rsidR="009618E7" w:rsidRPr="00216E2B">
        <w:rPr>
          <w:spacing w:val="-2"/>
        </w:rPr>
        <w:t>tenc</w:t>
      </w:r>
      <w:r w:rsidRPr="00216E2B">
        <w:rPr>
          <w:spacing w:val="-2"/>
        </w:rPr>
        <w:t>i</w:t>
      </w:r>
      <w:r w:rsidR="009618E7" w:rsidRPr="00216E2B">
        <w:rPr>
          <w:spacing w:val="-2"/>
        </w:rPr>
        <w:t>a</w:t>
      </w:r>
      <w:r w:rsidRPr="00216E2B">
        <w:rPr>
          <w:spacing w:val="-2"/>
        </w:rPr>
        <w:t xml:space="preserve">les ventajas en términos de seguridad jurídica, confianza, establecimiento de estándares y respeto por la soberanía nacional y estarían armonizadas </w:t>
      </w:r>
      <w:r w:rsidR="00744EF3" w:rsidRPr="00216E2B">
        <w:rPr>
          <w:spacing w:val="-2"/>
        </w:rPr>
        <w:t xml:space="preserve">específicamente </w:t>
      </w:r>
      <w:r w:rsidRPr="00216E2B">
        <w:rPr>
          <w:spacing w:val="-2"/>
        </w:rPr>
        <w:t xml:space="preserve">con los </w:t>
      </w:r>
      <w:r w:rsidRPr="00216E2B">
        <w:rPr>
          <w:spacing w:val="-4"/>
        </w:rPr>
        <w:t xml:space="preserve">elementos </w:t>
      </w:r>
      <w:r w:rsidR="00223C72" w:rsidRPr="00216E2B">
        <w:rPr>
          <w:spacing w:val="-4"/>
        </w:rPr>
        <w:t xml:space="preserve">indicados en </w:t>
      </w:r>
      <w:r w:rsidRPr="00216E2B">
        <w:rPr>
          <w:spacing w:val="-4"/>
        </w:rPr>
        <w:t>el párrafo 9 de la decisión </w:t>
      </w:r>
      <w:hyperlink r:id="rId20" w:history="1">
        <w:r w:rsidRPr="00216E2B">
          <w:rPr>
            <w:rStyle w:val="Hyperlink"/>
            <w:spacing w:val="-4"/>
          </w:rPr>
          <w:t>15/9</w:t>
        </w:r>
      </w:hyperlink>
      <w:r w:rsidRPr="00216E2B">
        <w:rPr>
          <w:spacing w:val="-4"/>
        </w:rPr>
        <w:t xml:space="preserve">. No obstante, tales ventajas </w:t>
      </w:r>
      <w:r w:rsidR="00744EF3" w:rsidRPr="00216E2B">
        <w:rPr>
          <w:spacing w:val="-4"/>
        </w:rPr>
        <w:t xml:space="preserve">se ven </w:t>
      </w:r>
      <w:r w:rsidR="00216E2B" w:rsidRPr="00216E2B">
        <w:rPr>
          <w:spacing w:val="-4"/>
        </w:rPr>
        <w:t>constante</w:t>
      </w:r>
      <w:r w:rsidR="00744EF3" w:rsidRPr="00216E2B">
        <w:rPr>
          <w:spacing w:val="-4"/>
        </w:rPr>
        <w:t>mente</w:t>
      </w:r>
      <w:r w:rsidR="00744EF3" w:rsidRPr="00216E2B">
        <w:rPr>
          <w:spacing w:val="-2"/>
        </w:rPr>
        <w:t xml:space="preserve"> opacadas por </w:t>
      </w:r>
      <w:r w:rsidRPr="00216E2B">
        <w:rPr>
          <w:spacing w:val="-2"/>
        </w:rPr>
        <w:t xml:space="preserve">inquietudes </w:t>
      </w:r>
      <w:r w:rsidR="00216E2B">
        <w:rPr>
          <w:spacing w:val="-2"/>
        </w:rPr>
        <w:t>referidas a</w:t>
      </w:r>
      <w:r w:rsidRPr="00216E2B">
        <w:rPr>
          <w:spacing w:val="-2"/>
        </w:rPr>
        <w:t xml:space="preserve"> costos, </w:t>
      </w:r>
      <w:r w:rsidR="00744EF3" w:rsidRPr="00216E2B">
        <w:rPr>
          <w:spacing w:val="-2"/>
        </w:rPr>
        <w:t xml:space="preserve">aumento de </w:t>
      </w:r>
      <w:r w:rsidR="00216E2B">
        <w:rPr>
          <w:spacing w:val="-2"/>
        </w:rPr>
        <w:t xml:space="preserve">la </w:t>
      </w:r>
      <w:r w:rsidRPr="00216E2B">
        <w:rPr>
          <w:spacing w:val="-2"/>
        </w:rPr>
        <w:t xml:space="preserve">fricción, viabilidad, interoperabilidad con redes actuales de bases de datos públicas, duplicación, fragmentación de datos y riesgos de </w:t>
      </w:r>
      <w:r w:rsidR="00216E2B" w:rsidRPr="00216E2B">
        <w:rPr>
          <w:spacing w:val="-2"/>
        </w:rPr>
        <w:t xml:space="preserve">disminución del </w:t>
      </w:r>
      <w:r w:rsidRPr="00216E2B">
        <w:rPr>
          <w:spacing w:val="-2"/>
        </w:rPr>
        <w:t xml:space="preserve">acceso y </w:t>
      </w:r>
      <w:r w:rsidR="00216E2B" w:rsidRPr="00216E2B">
        <w:rPr>
          <w:spacing w:val="-2"/>
        </w:rPr>
        <w:t xml:space="preserve">la </w:t>
      </w:r>
      <w:r w:rsidRPr="00216E2B">
        <w:rPr>
          <w:spacing w:val="-2"/>
        </w:rPr>
        <w:t>u</w:t>
      </w:r>
      <w:r w:rsidR="00216E2B" w:rsidRPr="00216E2B">
        <w:rPr>
          <w:spacing w:val="-2"/>
        </w:rPr>
        <w:t>tilización</w:t>
      </w:r>
      <w:r w:rsidRPr="00216E2B">
        <w:rPr>
          <w:spacing w:val="-2"/>
        </w:rPr>
        <w:t xml:space="preserve"> de información digital sobre secuencias.</w:t>
      </w:r>
    </w:p>
    <w:p w14:paraId="549DC774" w14:textId="4A1F270F" w:rsidR="00BD2108" w:rsidRPr="008E6DD9" w:rsidRDefault="00BD2108" w:rsidP="00FC74FB">
      <w:pPr>
        <w:pStyle w:val="CBDNormalNumber"/>
      </w:pPr>
      <w:r>
        <w:t>En cambio, se evaluó que herramientas más dirigidas, como</w:t>
      </w:r>
      <w:r w:rsidR="00744EF3">
        <w:t>, por ejemplo,</w:t>
      </w:r>
      <w:r>
        <w:t xml:space="preserve"> </w:t>
      </w:r>
      <w:r w:rsidR="00744EF3">
        <w:t xml:space="preserve">herramientas de </w:t>
      </w:r>
      <w:r>
        <w:t xml:space="preserve">analítica de sitios web, empleo de inteligencia artificial para </w:t>
      </w:r>
      <w:r w:rsidR="00744EF3">
        <w:t>rastre</w:t>
      </w:r>
      <w:r w:rsidR="00216E2B">
        <w:t>ar</w:t>
      </w:r>
      <w:r>
        <w:t xml:space="preserve"> publicaciones, conocimientos tradicionales asociados y patentes, recursos educativos, herramientas de gobernanza y herramientas de difusión, eran más viables y ampliables a escala. Además, también se consideró que estaban más ampliamente armonizadas con el párrafo 9 de la decisión </w:t>
      </w:r>
      <w:hyperlink r:id="rId21" w:history="1">
        <w:r>
          <w:rPr>
            <w:rStyle w:val="Hyperlink"/>
          </w:rPr>
          <w:t>15/9</w:t>
        </w:r>
      </w:hyperlink>
      <w:r>
        <w:t xml:space="preserve"> y el párrafo 10 </w:t>
      </w:r>
      <w:r w:rsidR="00216E2B">
        <w:t xml:space="preserve">del anexo </w:t>
      </w:r>
      <w:r>
        <w:t>de la decisión </w:t>
      </w:r>
      <w:hyperlink r:id="rId22" w:history="1">
        <w:r>
          <w:rPr>
            <w:rStyle w:val="Hyperlink"/>
          </w:rPr>
          <w:t>16/2</w:t>
        </w:r>
      </w:hyperlink>
      <w:r>
        <w:t>. Ofrecen mayor transparencia, rendición de cuentas y accesibilidad con relativamente menos requisitos de recursos jurídicos, financieros y técnicos. No obstante, incluso estos enfoques enfrentan desafíos en cuanto a aceptación por la comunidad científica y el sector privado, privacidad y necesidad de implementación coordinada en toda la red mundial de b</w:t>
      </w:r>
      <w:r w:rsidR="005A4042">
        <w:t>a</w:t>
      </w:r>
      <w:r>
        <w:t>ses de datos.</w:t>
      </w:r>
    </w:p>
    <w:p w14:paraId="43F98BB3" w14:textId="1D7B77CA" w:rsidR="00BD2108" w:rsidRDefault="00BD2108" w:rsidP="005A4042">
      <w:pPr>
        <w:pStyle w:val="CBDNormalNumber"/>
        <w:spacing w:after="0"/>
        <w:ind w:left="562"/>
      </w:pPr>
      <w:r>
        <w:t xml:space="preserve">Un factor importante es que las propuestas que abordan la información digital sobre secuencias asociada </w:t>
      </w:r>
      <w:r w:rsidR="00744EF3">
        <w:t>a</w:t>
      </w:r>
      <w:r>
        <w:t xml:space="preserve"> </w:t>
      </w:r>
      <w:r>
        <w:rPr>
          <w:rStyle w:val="Strong"/>
          <w:b w:val="0"/>
        </w:rPr>
        <w:t xml:space="preserve">pueblos indígenas y comunidades locales están fuertemente </w:t>
      </w:r>
      <w:r w:rsidR="00744EF3">
        <w:rPr>
          <w:rStyle w:val="Strong"/>
          <w:b w:val="0"/>
        </w:rPr>
        <w:t>armonizadas</w:t>
      </w:r>
      <w:r>
        <w:rPr>
          <w:rStyle w:val="Strong"/>
          <w:b w:val="0"/>
        </w:rPr>
        <w:t xml:space="preserve"> con los </w:t>
      </w:r>
      <w:r w:rsidRPr="00216E2B">
        <w:rPr>
          <w:rStyle w:val="Strong"/>
          <w:b w:val="0"/>
          <w:spacing w:val="-2"/>
        </w:rPr>
        <w:t xml:space="preserve">principios FAIR, CARE y TRUST </w:t>
      </w:r>
      <w:r w:rsidR="007F58C5" w:rsidRPr="00216E2B">
        <w:rPr>
          <w:rStyle w:val="Strong"/>
          <w:b w:val="0"/>
          <w:spacing w:val="-2"/>
        </w:rPr>
        <w:t>y</w:t>
      </w:r>
      <w:r w:rsidRPr="00216E2B">
        <w:rPr>
          <w:rStyle w:val="Strong"/>
          <w:b w:val="0"/>
          <w:spacing w:val="-2"/>
        </w:rPr>
        <w:t xml:space="preserve"> con el párrafo 9 de la </w:t>
      </w:r>
      <w:r w:rsidRPr="00216E2B">
        <w:rPr>
          <w:spacing w:val="-2"/>
        </w:rPr>
        <w:t>decisión </w:t>
      </w:r>
      <w:hyperlink r:id="rId23" w:history="1">
        <w:r w:rsidRPr="00216E2B">
          <w:rPr>
            <w:rStyle w:val="Hyperlink"/>
            <w:spacing w:val="-2"/>
          </w:rPr>
          <w:t>15/9</w:t>
        </w:r>
      </w:hyperlink>
      <w:r w:rsidRPr="00216E2B">
        <w:rPr>
          <w:rStyle w:val="Strong"/>
          <w:b w:val="0"/>
          <w:spacing w:val="-2"/>
        </w:rPr>
        <w:t xml:space="preserve">. También apoyan </w:t>
      </w:r>
      <w:r w:rsidR="00216E2B" w:rsidRPr="00216E2B">
        <w:rPr>
          <w:spacing w:val="-2"/>
        </w:rPr>
        <w:t>fi</w:t>
      </w:r>
      <w:r w:rsidR="007F58C5" w:rsidRPr="00216E2B">
        <w:rPr>
          <w:spacing w:val="-2"/>
        </w:rPr>
        <w:t>r</w:t>
      </w:r>
      <w:r w:rsidR="00216E2B" w:rsidRPr="00216E2B">
        <w:rPr>
          <w:spacing w:val="-2"/>
        </w:rPr>
        <w:t>m</w:t>
      </w:r>
      <w:r w:rsidR="007F58C5" w:rsidRPr="00216E2B">
        <w:rPr>
          <w:spacing w:val="-2"/>
        </w:rPr>
        <w:t>em</w:t>
      </w:r>
      <w:r w:rsidRPr="00216E2B">
        <w:rPr>
          <w:spacing w:val="-2"/>
        </w:rPr>
        <w:t>ente</w:t>
      </w:r>
      <w:r>
        <w:t xml:space="preserve"> mejoras en cuanto a visibilidad, inclusión, atribución y participación en la gobernanza, en particular </w:t>
      </w:r>
      <w:r w:rsidRPr="00216E2B">
        <w:rPr>
          <w:spacing w:val="-2"/>
        </w:rPr>
        <w:t xml:space="preserve">a través de mejoras en los metadatos, seguimiento de la aplicación de </w:t>
      </w:r>
      <w:r w:rsidR="00216E2B" w:rsidRPr="00216E2B">
        <w:rPr>
          <w:spacing w:val="-2"/>
        </w:rPr>
        <w:t xml:space="preserve">los </w:t>
      </w:r>
      <w:r w:rsidRPr="00216E2B">
        <w:rPr>
          <w:spacing w:val="-2"/>
        </w:rPr>
        <w:t>principios CARE, gobernanza</w:t>
      </w:r>
      <w:r>
        <w:t xml:space="preserve"> inclusiva y recursos educativos. Estos enfoques se consideran realizables</w:t>
      </w:r>
      <w:r w:rsidR="005A4042">
        <w:t>,</w:t>
      </w:r>
      <w:r>
        <w:t xml:space="preserve"> pero requieren de recursos sostenidos y participación continua de los pueblos indígenas y las comunidades locales.</w:t>
      </w:r>
    </w:p>
    <w:p w14:paraId="5103BD7F" w14:textId="762C60AD" w:rsidR="007940BB" w:rsidRPr="005A4042" w:rsidRDefault="007940BB" w:rsidP="005A4042">
      <w:pPr>
        <w:pStyle w:val="CBDNormalNumber"/>
        <w:numPr>
          <w:ilvl w:val="0"/>
          <w:numId w:val="0"/>
        </w:numPr>
        <w:tabs>
          <w:tab w:val="clear" w:pos="567"/>
        </w:tabs>
        <w:spacing w:after="0"/>
        <w:jc w:val="center"/>
      </w:pPr>
      <w:r w:rsidRPr="005A4042">
        <w:t>__________</w:t>
      </w:r>
    </w:p>
    <w:sectPr w:rsidR="007940BB" w:rsidRPr="005A4042" w:rsidSect="00FC74FB">
      <w:headerReference w:type="even" r:id="rId24"/>
      <w:headerReference w:type="default" r:id="rId25"/>
      <w:footerReference w:type="even" r:id="rId26"/>
      <w:footerReference w:type="default" r:id="rId27"/>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3042F" w14:textId="77777777" w:rsidR="0089448A" w:rsidRPr="006A10E2" w:rsidRDefault="0089448A" w:rsidP="00CF1848">
      <w:r w:rsidRPr="006A10E2">
        <w:separator/>
      </w:r>
    </w:p>
  </w:endnote>
  <w:endnote w:type="continuationSeparator" w:id="0">
    <w:p w14:paraId="78FC2345" w14:textId="77777777" w:rsidR="0089448A" w:rsidRPr="006A10E2" w:rsidRDefault="0089448A" w:rsidP="00CF1848">
      <w:r w:rsidRPr="006A10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2248D34" w14:textId="7138046D" w:rsidR="005033CC" w:rsidRPr="007940BB" w:rsidRDefault="005033CC" w:rsidP="00D75CA6">
            <w:pPr>
              <w:pStyle w:val="Footer"/>
              <w:jc w:val="left"/>
            </w:pPr>
            <w:r w:rsidRPr="00FC74FB">
              <w:fldChar w:fldCharType="begin"/>
            </w:r>
            <w:r w:rsidRPr="00FC74FB">
              <w:instrText xml:space="preserve"> PAGE </w:instrText>
            </w:r>
            <w:r w:rsidRPr="00FC74FB">
              <w:fldChar w:fldCharType="separate"/>
            </w:r>
            <w:r w:rsidR="003044B0">
              <w:rPr>
                <w:noProof/>
              </w:rPr>
              <w:t>6</w:t>
            </w:r>
            <w:r w:rsidRPr="00FC74FB">
              <w:fldChar w:fldCharType="end"/>
            </w:r>
            <w:r>
              <w:t>/</w:t>
            </w:r>
            <w:r w:rsidR="0089448A">
              <w:fldChar w:fldCharType="begin"/>
            </w:r>
            <w:r w:rsidR="0089448A">
              <w:instrText xml:space="preserve"> NUMPAGES  </w:instrText>
            </w:r>
            <w:r w:rsidR="0089448A">
              <w:fldChar w:fldCharType="separate"/>
            </w:r>
            <w:r w:rsidR="003044B0">
              <w:rPr>
                <w:noProof/>
              </w:rPr>
              <w:t>8</w:t>
            </w:r>
            <w:r w:rsidR="0089448A">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1CEF2196" w14:textId="46086D48" w:rsidR="005033CC" w:rsidRPr="007940BB" w:rsidRDefault="005033CC" w:rsidP="00FC74FB">
        <w:pPr>
          <w:pStyle w:val="Footer"/>
          <w:jc w:val="right"/>
        </w:pPr>
        <w:r w:rsidRPr="00FC74FB">
          <w:fldChar w:fldCharType="begin"/>
        </w:r>
        <w:r w:rsidRPr="00FC74FB">
          <w:instrText xml:space="preserve"> PAGE </w:instrText>
        </w:r>
        <w:r w:rsidRPr="00FC74FB">
          <w:fldChar w:fldCharType="separate"/>
        </w:r>
        <w:r w:rsidR="003044B0">
          <w:rPr>
            <w:noProof/>
          </w:rPr>
          <w:t>5</w:t>
        </w:r>
        <w:r w:rsidRPr="00FC74FB">
          <w:fldChar w:fldCharType="end"/>
        </w:r>
        <w:r>
          <w:t>/</w:t>
        </w:r>
        <w:r w:rsidR="0089448A">
          <w:fldChar w:fldCharType="begin"/>
        </w:r>
        <w:r w:rsidR="0089448A">
          <w:instrText xml:space="preserve"> NUMPAGES  </w:instrText>
        </w:r>
        <w:r w:rsidR="0089448A">
          <w:fldChar w:fldCharType="separate"/>
        </w:r>
        <w:r w:rsidR="003044B0">
          <w:rPr>
            <w:noProof/>
          </w:rPr>
          <w:t>8</w:t>
        </w:r>
        <w:r w:rsidR="0089448A">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6A57C6" w14:textId="77777777" w:rsidR="0089448A" w:rsidRPr="006A10E2" w:rsidRDefault="0089448A" w:rsidP="00CF1848">
      <w:r w:rsidRPr="006A10E2">
        <w:separator/>
      </w:r>
    </w:p>
  </w:footnote>
  <w:footnote w:type="continuationSeparator" w:id="0">
    <w:p w14:paraId="4B02E386" w14:textId="77777777" w:rsidR="0089448A" w:rsidRPr="006A10E2" w:rsidRDefault="0089448A" w:rsidP="00CF1848">
      <w:r w:rsidRPr="006A10E2">
        <w:continuationSeparator/>
      </w:r>
    </w:p>
  </w:footnote>
  <w:footnote w:id="1">
    <w:p w14:paraId="56820A45" w14:textId="07FDB8BC" w:rsidR="005033CC" w:rsidRPr="006A10E2" w:rsidRDefault="005033CC">
      <w:pPr>
        <w:pStyle w:val="FootnoteText"/>
      </w:pPr>
      <w:r w:rsidRPr="00054E52">
        <w:rPr>
          <w:vertAlign w:val="superscript"/>
        </w:rPr>
        <w:t>*</w:t>
      </w:r>
      <w:r>
        <w:t xml:space="preserve"> </w:t>
      </w:r>
      <w:hyperlink r:id="rId1" w:history="1">
        <w:r>
          <w:rPr>
            <w:rStyle w:val="Hyperlink"/>
          </w:rPr>
          <w:t>CBD/SBI/7/1</w:t>
        </w:r>
      </w:hyperlink>
    </w:p>
  </w:footnote>
  <w:footnote w:id="2">
    <w:p w14:paraId="41A124DC" w14:textId="624930CB" w:rsidR="005033CC" w:rsidRPr="006A10E2" w:rsidRDefault="005033CC">
      <w:pPr>
        <w:pStyle w:val="FootnoteText"/>
      </w:pPr>
      <w:r>
        <w:rPr>
          <w:rStyle w:val="FootnoteReference"/>
        </w:rPr>
        <w:t>**</w:t>
      </w:r>
      <w:r>
        <w:t xml:space="preserve"> El presente documento se publica sin revisión editorial oficial.</w:t>
      </w:r>
    </w:p>
  </w:footnote>
  <w:footnote w:id="3">
    <w:p w14:paraId="79DD5047" w14:textId="54EB6C1F" w:rsidR="005033CC" w:rsidRPr="004C408B" w:rsidRDefault="005033CC" w:rsidP="00B5008C">
      <w:pPr>
        <w:pStyle w:val="FootnoteText"/>
      </w:pPr>
      <w:r>
        <w:rPr>
          <w:rStyle w:val="FootnoteReference"/>
        </w:rPr>
        <w:t>***</w:t>
      </w:r>
      <w:r>
        <w:t xml:space="preserve"> En el párrafo 28 del texto de las modalidades del Mecanismo Multilateral, incluido el Fondo de Cali, se dispone el establecimiento de una Secretaría, con las funciones establecidas en el adjunto V de las modalidades (véase la decisión </w:t>
      </w:r>
      <w:hyperlink r:id="rId2" w:history="1">
        <w:r>
          <w:rPr>
            <w:rStyle w:val="Hyperlink"/>
          </w:rPr>
          <w:t>16/2</w:t>
        </w:r>
      </w:hyperlink>
      <w:r>
        <w:t>, anexo). En tanto no se establezca dicha Secretaría, funcionarios pertinentes de la Secretaría del Convenio oficiarán de Secretaría provisional del Mecanismo Multilateral, incluido el Fondo de Cali.</w:t>
      </w:r>
    </w:p>
  </w:footnote>
  <w:footnote w:id="4">
    <w:p w14:paraId="0857806B" w14:textId="679CE14B" w:rsidR="005033CC" w:rsidRPr="006A10E2" w:rsidRDefault="005033CC" w:rsidP="002A711C">
      <w:pPr>
        <w:pStyle w:val="FootnoteText"/>
      </w:pPr>
      <w:r>
        <w:rPr>
          <w:rStyle w:val="FootnoteReference"/>
        </w:rPr>
        <w:footnoteRef/>
      </w:r>
      <w:r>
        <w:t xml:space="preserve"> Decisión 15/9, párrafo 6 del preámbulo.</w:t>
      </w:r>
    </w:p>
  </w:footnote>
  <w:footnote w:id="5">
    <w:p w14:paraId="75559292" w14:textId="44F86BE8" w:rsidR="005033CC" w:rsidRPr="00812435" w:rsidRDefault="005033CC">
      <w:pPr>
        <w:pStyle w:val="FootnoteText"/>
      </w:pPr>
      <w:r w:rsidRPr="00812435">
        <w:rPr>
          <w:rStyle w:val="FootnoteReference"/>
        </w:rPr>
        <w:footnoteRef/>
      </w:r>
      <w:r w:rsidRPr="00812435">
        <w:t xml:space="preserve"> Si bien el proceso se presenta en forma lineal, dependiendo del proyecto puede ser necesario repetir algunos pasos, tales</w:t>
      </w:r>
      <w:r>
        <w:t xml:space="preserve"> como</w:t>
      </w:r>
      <w:r w:rsidRPr="00812435">
        <w:t xml:space="preserve"> </w:t>
      </w:r>
      <w:r>
        <w:t xml:space="preserve">volver a </w:t>
      </w:r>
      <w:r w:rsidRPr="00812435">
        <w:t>toma</w:t>
      </w:r>
      <w:r>
        <w:t>r</w:t>
      </w:r>
      <w:r w:rsidRPr="00812435">
        <w:t xml:space="preserve"> muestras debido a la mala calidad de una muestra o volver a secuenciar debido a una mala secuenciación.</w:t>
      </w:r>
    </w:p>
  </w:footnote>
  <w:footnote w:id="6">
    <w:p w14:paraId="3F3F2052" w14:textId="087BE480" w:rsidR="005033CC" w:rsidRPr="00FC74FB" w:rsidRDefault="005033CC" w:rsidP="008E1A25">
      <w:pPr>
        <w:pStyle w:val="FootnoteText"/>
      </w:pPr>
      <w:r>
        <w:rPr>
          <w:rStyle w:val="FootnoteReference"/>
        </w:rPr>
        <w:footnoteRef/>
      </w:r>
      <w:r>
        <w:t xml:space="preserve"> Declaración de las Naciones Unidas sobre los Derechos de los Pueblos Indígenas, consultada el 13 de abril de 2026, A/RES/61/295.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E025396" w14:textId="76D1354E" w:rsidR="005033CC" w:rsidRPr="006A10E2" w:rsidRDefault="005033CC" w:rsidP="007C4951">
        <w:pPr>
          <w:pStyle w:val="Header"/>
          <w:spacing w:after="240"/>
          <w:rPr>
            <w:szCs w:val="20"/>
          </w:rPr>
        </w:pPr>
        <w:r>
          <w:rPr>
            <w:szCs w:val="20"/>
          </w:rPr>
          <w:t>CBD/SBI/7/5/Add.1</w:t>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FC25584" w14:textId="52F6F835" w:rsidR="005033CC" w:rsidRPr="006A10E2" w:rsidRDefault="005033CC" w:rsidP="007C4951">
        <w:pPr>
          <w:pStyle w:val="Header"/>
          <w:spacing w:after="240"/>
          <w:jc w:val="right"/>
        </w:pPr>
        <w:r w:rsidRPr="006A10E2">
          <w:t>CBD/SBI/7/</w:t>
        </w:r>
        <w:r>
          <w:t>5/Add.1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DA35F1A"/>
    <w:multiLevelType w:val="hybridMultilevel"/>
    <w:tmpl w:val="95D0F0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A0170D"/>
    <w:multiLevelType w:val="multilevel"/>
    <w:tmpl w:val="222A08B4"/>
    <w:numStyleLink w:val="ListCBD"/>
  </w:abstractNum>
  <w:abstractNum w:abstractNumId="17" w15:restartNumberingAfterBreak="0">
    <w:nsid w:val="0FD20E92"/>
    <w:multiLevelType w:val="hybridMultilevel"/>
    <w:tmpl w:val="3154D8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03E5A25"/>
    <w:multiLevelType w:val="hybridMultilevel"/>
    <w:tmpl w:val="FB3E26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4A7A0F3"/>
    <w:multiLevelType w:val="hybridMultilevel"/>
    <w:tmpl w:val="FFFFFFFF"/>
    <w:lvl w:ilvl="0" w:tplc="9E42BA7E">
      <w:start w:val="1"/>
      <w:numFmt w:val="upperLetter"/>
      <w:lvlText w:val="%1)"/>
      <w:lvlJc w:val="left"/>
      <w:pPr>
        <w:ind w:left="927" w:hanging="360"/>
      </w:pPr>
    </w:lvl>
    <w:lvl w:ilvl="1" w:tplc="2904002E">
      <w:start w:val="1"/>
      <w:numFmt w:val="lowerLetter"/>
      <w:lvlText w:val="%2."/>
      <w:lvlJc w:val="left"/>
      <w:pPr>
        <w:ind w:left="1647" w:hanging="360"/>
      </w:pPr>
    </w:lvl>
    <w:lvl w:ilvl="2" w:tplc="294CC3EE">
      <w:start w:val="1"/>
      <w:numFmt w:val="lowerRoman"/>
      <w:lvlText w:val="%3."/>
      <w:lvlJc w:val="right"/>
      <w:pPr>
        <w:ind w:left="2367" w:hanging="180"/>
      </w:pPr>
    </w:lvl>
    <w:lvl w:ilvl="3" w:tplc="FF505B28">
      <w:start w:val="1"/>
      <w:numFmt w:val="decimal"/>
      <w:lvlText w:val="%4."/>
      <w:lvlJc w:val="left"/>
      <w:pPr>
        <w:ind w:left="3087" w:hanging="360"/>
      </w:pPr>
    </w:lvl>
    <w:lvl w:ilvl="4" w:tplc="77520456">
      <w:start w:val="1"/>
      <w:numFmt w:val="lowerLetter"/>
      <w:lvlText w:val="%5."/>
      <w:lvlJc w:val="left"/>
      <w:pPr>
        <w:ind w:left="3807" w:hanging="360"/>
      </w:pPr>
    </w:lvl>
    <w:lvl w:ilvl="5" w:tplc="C8D87B46">
      <w:start w:val="1"/>
      <w:numFmt w:val="lowerRoman"/>
      <w:lvlText w:val="%6."/>
      <w:lvlJc w:val="right"/>
      <w:pPr>
        <w:ind w:left="4527" w:hanging="180"/>
      </w:pPr>
    </w:lvl>
    <w:lvl w:ilvl="6" w:tplc="9DC04A70">
      <w:start w:val="1"/>
      <w:numFmt w:val="decimal"/>
      <w:lvlText w:val="%7."/>
      <w:lvlJc w:val="left"/>
      <w:pPr>
        <w:ind w:left="5247" w:hanging="360"/>
      </w:pPr>
    </w:lvl>
    <w:lvl w:ilvl="7" w:tplc="37529F66">
      <w:start w:val="1"/>
      <w:numFmt w:val="lowerLetter"/>
      <w:lvlText w:val="%8."/>
      <w:lvlJc w:val="left"/>
      <w:pPr>
        <w:ind w:left="5967" w:hanging="360"/>
      </w:pPr>
    </w:lvl>
    <w:lvl w:ilvl="8" w:tplc="B87ABFE6">
      <w:start w:val="1"/>
      <w:numFmt w:val="lowerRoman"/>
      <w:lvlText w:val="%9."/>
      <w:lvlJc w:val="right"/>
      <w:pPr>
        <w:ind w:left="6687" w:hanging="180"/>
      </w:p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D40651F"/>
    <w:multiLevelType w:val="hybridMultilevel"/>
    <w:tmpl w:val="203ABE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EEA24A2"/>
    <w:multiLevelType w:val="hybridMultilevel"/>
    <w:tmpl w:val="1C60EE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8" w15:restartNumberingAfterBreak="0">
    <w:nsid w:val="22555A69"/>
    <w:multiLevelType w:val="hybridMultilevel"/>
    <w:tmpl w:val="8490F2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36058A9"/>
    <w:multiLevelType w:val="hybridMultilevel"/>
    <w:tmpl w:val="3FD07E0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5356EC"/>
    <w:multiLevelType w:val="multilevel"/>
    <w:tmpl w:val="07D269C8"/>
    <w:numStyleLink w:val="CBDHeadings"/>
  </w:abstractNum>
  <w:abstractNum w:abstractNumId="32" w15:restartNumberingAfterBreak="0">
    <w:nsid w:val="2EF66128"/>
    <w:multiLevelType w:val="hybridMultilevel"/>
    <w:tmpl w:val="FFFFFFFF"/>
    <w:lvl w:ilvl="0" w:tplc="E48A0EB4">
      <w:start w:val="1"/>
      <w:numFmt w:val="lowerLetter"/>
      <w:lvlText w:val="(%1)"/>
      <w:lvlJc w:val="left"/>
      <w:pPr>
        <w:ind w:left="927" w:hanging="360"/>
      </w:pPr>
    </w:lvl>
    <w:lvl w:ilvl="1" w:tplc="899E0980">
      <w:start w:val="1"/>
      <w:numFmt w:val="lowerLetter"/>
      <w:lvlText w:val="%2."/>
      <w:lvlJc w:val="left"/>
      <w:pPr>
        <w:ind w:left="1647" w:hanging="360"/>
      </w:pPr>
    </w:lvl>
    <w:lvl w:ilvl="2" w:tplc="E342DC7A">
      <w:start w:val="1"/>
      <w:numFmt w:val="lowerRoman"/>
      <w:lvlText w:val="%3."/>
      <w:lvlJc w:val="right"/>
      <w:pPr>
        <w:ind w:left="2367" w:hanging="180"/>
      </w:pPr>
    </w:lvl>
    <w:lvl w:ilvl="3" w:tplc="F6220D6E">
      <w:start w:val="1"/>
      <w:numFmt w:val="decimal"/>
      <w:lvlText w:val="%4."/>
      <w:lvlJc w:val="left"/>
      <w:pPr>
        <w:ind w:left="3087" w:hanging="360"/>
      </w:pPr>
    </w:lvl>
    <w:lvl w:ilvl="4" w:tplc="B4802338">
      <w:start w:val="1"/>
      <w:numFmt w:val="lowerLetter"/>
      <w:lvlText w:val="%5."/>
      <w:lvlJc w:val="left"/>
      <w:pPr>
        <w:ind w:left="3807" w:hanging="360"/>
      </w:pPr>
    </w:lvl>
    <w:lvl w:ilvl="5" w:tplc="888E19BC">
      <w:start w:val="1"/>
      <w:numFmt w:val="lowerRoman"/>
      <w:lvlText w:val="%6."/>
      <w:lvlJc w:val="right"/>
      <w:pPr>
        <w:ind w:left="4527" w:hanging="180"/>
      </w:pPr>
    </w:lvl>
    <w:lvl w:ilvl="6" w:tplc="9F5E5C92">
      <w:start w:val="1"/>
      <w:numFmt w:val="decimal"/>
      <w:lvlText w:val="%7."/>
      <w:lvlJc w:val="left"/>
      <w:pPr>
        <w:ind w:left="5247" w:hanging="360"/>
      </w:pPr>
    </w:lvl>
    <w:lvl w:ilvl="7" w:tplc="B76AD798">
      <w:start w:val="1"/>
      <w:numFmt w:val="lowerLetter"/>
      <w:lvlText w:val="%8."/>
      <w:lvlJc w:val="left"/>
      <w:pPr>
        <w:ind w:left="5967" w:hanging="360"/>
      </w:pPr>
    </w:lvl>
    <w:lvl w:ilvl="8" w:tplc="74488896">
      <w:start w:val="1"/>
      <w:numFmt w:val="lowerRoman"/>
      <w:lvlText w:val="%9."/>
      <w:lvlJc w:val="right"/>
      <w:pPr>
        <w:ind w:left="6687" w:hanging="180"/>
      </w:pPr>
    </w:lvl>
  </w:abstractNum>
  <w:abstractNum w:abstractNumId="3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15:restartNumberingAfterBreak="0">
    <w:nsid w:val="35E37871"/>
    <w:multiLevelType w:val="hybridMultilevel"/>
    <w:tmpl w:val="CEBA2C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6703643"/>
    <w:multiLevelType w:val="hybridMultilevel"/>
    <w:tmpl w:val="DA3A9F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7D354A7"/>
    <w:multiLevelType w:val="hybridMultilevel"/>
    <w:tmpl w:val="1FB4C64E"/>
    <w:lvl w:ilvl="0" w:tplc="04090005">
      <w:start w:val="1"/>
      <w:numFmt w:val="bullet"/>
      <w:lvlText w:val=""/>
      <w:lvlJc w:val="left"/>
      <w:pPr>
        <w:ind w:left="720" w:hanging="360"/>
      </w:pPr>
      <w:rPr>
        <w:rFonts w:ascii="Wingdings" w:hAnsi="Wingdings" w:hint="default"/>
      </w:rPr>
    </w:lvl>
    <w:lvl w:ilvl="1" w:tplc="19FE910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866FA05"/>
    <w:multiLevelType w:val="hybridMultilevel"/>
    <w:tmpl w:val="FFFFFFFF"/>
    <w:lvl w:ilvl="0" w:tplc="8B4EB8DC">
      <w:start w:val="1"/>
      <w:numFmt w:val="upperLetter"/>
      <w:lvlText w:val="%1)"/>
      <w:lvlJc w:val="left"/>
      <w:pPr>
        <w:ind w:left="927" w:hanging="360"/>
      </w:pPr>
    </w:lvl>
    <w:lvl w:ilvl="1" w:tplc="713A55D8">
      <w:start w:val="1"/>
      <w:numFmt w:val="lowerLetter"/>
      <w:lvlText w:val="%2."/>
      <w:lvlJc w:val="left"/>
      <w:pPr>
        <w:ind w:left="1647" w:hanging="360"/>
      </w:pPr>
    </w:lvl>
    <w:lvl w:ilvl="2" w:tplc="D0501D8A">
      <w:start w:val="1"/>
      <w:numFmt w:val="lowerRoman"/>
      <w:lvlText w:val="%3."/>
      <w:lvlJc w:val="right"/>
      <w:pPr>
        <w:ind w:left="2367" w:hanging="180"/>
      </w:pPr>
    </w:lvl>
    <w:lvl w:ilvl="3" w:tplc="A83EBFFA">
      <w:start w:val="1"/>
      <w:numFmt w:val="decimal"/>
      <w:lvlText w:val="%4."/>
      <w:lvlJc w:val="left"/>
      <w:pPr>
        <w:ind w:left="3087" w:hanging="360"/>
      </w:pPr>
    </w:lvl>
    <w:lvl w:ilvl="4" w:tplc="73A638E6">
      <w:start w:val="1"/>
      <w:numFmt w:val="lowerLetter"/>
      <w:lvlText w:val="%5."/>
      <w:lvlJc w:val="left"/>
      <w:pPr>
        <w:ind w:left="3807" w:hanging="360"/>
      </w:pPr>
    </w:lvl>
    <w:lvl w:ilvl="5" w:tplc="2078DB8C">
      <w:start w:val="1"/>
      <w:numFmt w:val="lowerRoman"/>
      <w:lvlText w:val="%6."/>
      <w:lvlJc w:val="right"/>
      <w:pPr>
        <w:ind w:left="4527" w:hanging="180"/>
      </w:pPr>
    </w:lvl>
    <w:lvl w:ilvl="6" w:tplc="3E906642">
      <w:start w:val="1"/>
      <w:numFmt w:val="decimal"/>
      <w:lvlText w:val="%7."/>
      <w:lvlJc w:val="left"/>
      <w:pPr>
        <w:ind w:left="5247" w:hanging="360"/>
      </w:pPr>
    </w:lvl>
    <w:lvl w:ilvl="7" w:tplc="744018F8">
      <w:start w:val="1"/>
      <w:numFmt w:val="lowerLetter"/>
      <w:lvlText w:val="%8."/>
      <w:lvlJc w:val="left"/>
      <w:pPr>
        <w:ind w:left="5967" w:hanging="360"/>
      </w:pPr>
    </w:lvl>
    <w:lvl w:ilvl="8" w:tplc="364A1DE4">
      <w:start w:val="1"/>
      <w:numFmt w:val="lowerRoman"/>
      <w:lvlText w:val="%9."/>
      <w:lvlJc w:val="right"/>
      <w:pPr>
        <w:ind w:left="6687" w:hanging="180"/>
      </w:pPr>
    </w:lvl>
  </w:abstractNum>
  <w:abstractNum w:abstractNumId="39" w15:restartNumberingAfterBreak="0">
    <w:nsid w:val="398E2FF3"/>
    <w:multiLevelType w:val="multilevel"/>
    <w:tmpl w:val="222A08B4"/>
    <w:numStyleLink w:val="ListCBD"/>
  </w:abstractNum>
  <w:abstractNum w:abstractNumId="40" w15:restartNumberingAfterBreak="0">
    <w:nsid w:val="3B557BD5"/>
    <w:multiLevelType w:val="hybridMultilevel"/>
    <w:tmpl w:val="CBA87F1E"/>
    <w:lvl w:ilvl="0" w:tplc="04090005">
      <w:start w:val="1"/>
      <w:numFmt w:val="bullet"/>
      <w:lvlText w:val=""/>
      <w:lvlJc w:val="left"/>
      <w:pPr>
        <w:ind w:left="720" w:hanging="360"/>
      </w:pPr>
      <w:rPr>
        <w:rFonts w:ascii="Wingdings" w:hAnsi="Wingdings" w:hint="default"/>
      </w:rPr>
    </w:lvl>
    <w:lvl w:ilvl="1" w:tplc="0E6225E6">
      <w:numFmt w:val="bullet"/>
      <w:lvlText w:val="-"/>
      <w:lvlJc w:val="left"/>
      <w:pPr>
        <w:ind w:left="1440" w:hanging="360"/>
      </w:pPr>
      <w:rPr>
        <w:rFonts w:ascii="Times New Roman" w:eastAsia="Times New Roman" w:hAnsi="Times New Roman" w:cs="Times New Roman" w:hint="default"/>
        <w:color w:val="000000"/>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B669ED0"/>
    <w:multiLevelType w:val="hybridMultilevel"/>
    <w:tmpl w:val="C3D68824"/>
    <w:lvl w:ilvl="0" w:tplc="462A46E6">
      <w:start w:val="1"/>
      <w:numFmt w:val="bullet"/>
      <w:lvlText w:val="§"/>
      <w:lvlJc w:val="left"/>
      <w:pPr>
        <w:ind w:left="720" w:hanging="360"/>
      </w:pPr>
      <w:rPr>
        <w:rFonts w:ascii="Wingdings" w:hAnsi="Wingdings" w:hint="default"/>
      </w:rPr>
    </w:lvl>
    <w:lvl w:ilvl="1" w:tplc="48845242">
      <w:start w:val="1"/>
      <w:numFmt w:val="bullet"/>
      <w:lvlText w:val="o"/>
      <w:lvlJc w:val="left"/>
      <w:pPr>
        <w:ind w:left="1440" w:hanging="360"/>
      </w:pPr>
      <w:rPr>
        <w:rFonts w:ascii="Courier New" w:hAnsi="Courier New" w:hint="default"/>
      </w:rPr>
    </w:lvl>
    <w:lvl w:ilvl="2" w:tplc="FD429224">
      <w:start w:val="1"/>
      <w:numFmt w:val="bullet"/>
      <w:lvlText w:val=""/>
      <w:lvlJc w:val="left"/>
      <w:pPr>
        <w:ind w:left="2160" w:hanging="360"/>
      </w:pPr>
      <w:rPr>
        <w:rFonts w:ascii="Wingdings" w:hAnsi="Wingdings" w:hint="default"/>
      </w:rPr>
    </w:lvl>
    <w:lvl w:ilvl="3" w:tplc="D604F436">
      <w:start w:val="1"/>
      <w:numFmt w:val="bullet"/>
      <w:lvlText w:val=""/>
      <w:lvlJc w:val="left"/>
      <w:pPr>
        <w:ind w:left="2880" w:hanging="360"/>
      </w:pPr>
      <w:rPr>
        <w:rFonts w:ascii="Symbol" w:hAnsi="Symbol" w:hint="default"/>
      </w:rPr>
    </w:lvl>
    <w:lvl w:ilvl="4" w:tplc="80281116">
      <w:start w:val="1"/>
      <w:numFmt w:val="bullet"/>
      <w:lvlText w:val="o"/>
      <w:lvlJc w:val="left"/>
      <w:pPr>
        <w:ind w:left="3600" w:hanging="360"/>
      </w:pPr>
      <w:rPr>
        <w:rFonts w:ascii="Courier New" w:hAnsi="Courier New" w:hint="default"/>
      </w:rPr>
    </w:lvl>
    <w:lvl w:ilvl="5" w:tplc="E3C6A5AE">
      <w:start w:val="1"/>
      <w:numFmt w:val="bullet"/>
      <w:lvlText w:val=""/>
      <w:lvlJc w:val="left"/>
      <w:pPr>
        <w:ind w:left="4320" w:hanging="360"/>
      </w:pPr>
      <w:rPr>
        <w:rFonts w:ascii="Wingdings" w:hAnsi="Wingdings" w:hint="default"/>
      </w:rPr>
    </w:lvl>
    <w:lvl w:ilvl="6" w:tplc="90C8B2C2">
      <w:start w:val="1"/>
      <w:numFmt w:val="bullet"/>
      <w:lvlText w:val=""/>
      <w:lvlJc w:val="left"/>
      <w:pPr>
        <w:ind w:left="5040" w:hanging="360"/>
      </w:pPr>
      <w:rPr>
        <w:rFonts w:ascii="Symbol" w:hAnsi="Symbol" w:hint="default"/>
      </w:rPr>
    </w:lvl>
    <w:lvl w:ilvl="7" w:tplc="5C34B106">
      <w:start w:val="1"/>
      <w:numFmt w:val="bullet"/>
      <w:lvlText w:val="o"/>
      <w:lvlJc w:val="left"/>
      <w:pPr>
        <w:ind w:left="5760" w:hanging="360"/>
      </w:pPr>
      <w:rPr>
        <w:rFonts w:ascii="Courier New" w:hAnsi="Courier New" w:hint="default"/>
      </w:rPr>
    </w:lvl>
    <w:lvl w:ilvl="8" w:tplc="E5FEE7C4">
      <w:start w:val="1"/>
      <w:numFmt w:val="bullet"/>
      <w:lvlText w:val=""/>
      <w:lvlJc w:val="left"/>
      <w:pPr>
        <w:ind w:left="6480" w:hanging="360"/>
      </w:pPr>
      <w:rPr>
        <w:rFonts w:ascii="Wingdings" w:hAnsi="Wingdings" w:hint="default"/>
      </w:rPr>
    </w:lvl>
  </w:abstractNum>
  <w:abstractNum w:abstractNumId="42" w15:restartNumberingAfterBreak="0">
    <w:nsid w:val="3CF00AD3"/>
    <w:multiLevelType w:val="hybridMultilevel"/>
    <w:tmpl w:val="3C82CF6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12B499A"/>
    <w:multiLevelType w:val="multilevel"/>
    <w:tmpl w:val="98F42C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36669FC"/>
    <w:multiLevelType w:val="multilevel"/>
    <w:tmpl w:val="904E9E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443E44F0"/>
    <w:multiLevelType w:val="multilevel"/>
    <w:tmpl w:val="C680B51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46A32C84"/>
    <w:multiLevelType w:val="hybridMultilevel"/>
    <w:tmpl w:val="FCB8D7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8E12647"/>
    <w:multiLevelType w:val="multilevel"/>
    <w:tmpl w:val="742E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3" w15:restartNumberingAfterBreak="0">
    <w:nsid w:val="4E880595"/>
    <w:multiLevelType w:val="multilevel"/>
    <w:tmpl w:val="222A08B4"/>
    <w:numStyleLink w:val="ListCBD"/>
  </w:abstractNum>
  <w:abstractNum w:abstractNumId="54" w15:restartNumberingAfterBreak="0">
    <w:nsid w:val="4F0B2322"/>
    <w:multiLevelType w:val="hybridMultilevel"/>
    <w:tmpl w:val="E32EE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081247E"/>
    <w:multiLevelType w:val="hybridMultilevel"/>
    <w:tmpl w:val="66FADE7A"/>
    <w:lvl w:ilvl="0" w:tplc="04090005">
      <w:start w:val="1"/>
      <w:numFmt w:val="bullet"/>
      <w:lvlText w:val=""/>
      <w:lvlJc w:val="left"/>
      <w:pPr>
        <w:ind w:left="720" w:hanging="360"/>
      </w:pPr>
      <w:rPr>
        <w:rFonts w:ascii="Wingdings" w:hAnsi="Wingdings" w:hint="default"/>
      </w:rPr>
    </w:lvl>
    <w:lvl w:ilvl="1" w:tplc="0B58AAC6">
      <w:numFmt w:val="bullet"/>
      <w:lvlText w:val="-"/>
      <w:lvlJc w:val="left"/>
      <w:pPr>
        <w:ind w:left="1440" w:hanging="360"/>
      </w:pPr>
      <w:rPr>
        <w:rFonts w:ascii="Times New Roman" w:eastAsia="Times New Roman" w:hAnsi="Times New Roman" w:cs="Times New Roman" w:hint="default"/>
        <w:color w:val="000000"/>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2A66A9D"/>
    <w:multiLevelType w:val="multilevel"/>
    <w:tmpl w:val="222A08B4"/>
    <w:numStyleLink w:val="ListCBD"/>
  </w:abstractNum>
  <w:abstractNum w:abstractNumId="58"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95965D4"/>
    <w:multiLevelType w:val="hybridMultilevel"/>
    <w:tmpl w:val="581EFFB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5D943BEE"/>
    <w:multiLevelType w:val="multilevel"/>
    <w:tmpl w:val="222A08B4"/>
    <w:numStyleLink w:val="ListCBD"/>
  </w:abstractNum>
  <w:abstractNum w:abstractNumId="64" w15:restartNumberingAfterBreak="0">
    <w:nsid w:val="61665573"/>
    <w:multiLevelType w:val="multilevel"/>
    <w:tmpl w:val="BA562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2632CA8"/>
    <w:multiLevelType w:val="hybridMultilevel"/>
    <w:tmpl w:val="C8B455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62CB619F"/>
    <w:multiLevelType w:val="hybridMultilevel"/>
    <w:tmpl w:val="DD0229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52C09E8"/>
    <w:multiLevelType w:val="hybridMultilevel"/>
    <w:tmpl w:val="177EADAE"/>
    <w:lvl w:ilvl="0" w:tplc="434AD940">
      <w:start w:val="1"/>
      <w:numFmt w:val="low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5EB3774"/>
    <w:multiLevelType w:val="hybridMultilevel"/>
    <w:tmpl w:val="574A0CA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8B70991"/>
    <w:multiLevelType w:val="multilevel"/>
    <w:tmpl w:val="222A08B4"/>
    <w:numStyleLink w:val="ListCBD"/>
  </w:abstractNum>
  <w:abstractNum w:abstractNumId="70"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F81693A"/>
    <w:multiLevelType w:val="hybridMultilevel"/>
    <w:tmpl w:val="4F1EA9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75" w15:restartNumberingAfterBreak="0">
    <w:nsid w:val="70A2588E"/>
    <w:multiLevelType w:val="hybridMultilevel"/>
    <w:tmpl w:val="4434F2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3490C7D"/>
    <w:multiLevelType w:val="multilevel"/>
    <w:tmpl w:val="92206C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heme="minorBidi" w:hint="default"/>
        <w:b w:val="0"/>
        <w:i w:val="0"/>
        <w:sz w:val="24"/>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8"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CA9241B"/>
    <w:multiLevelType w:val="hybridMultilevel"/>
    <w:tmpl w:val="D646CD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F7A3CC1"/>
    <w:multiLevelType w:val="hybridMultilevel"/>
    <w:tmpl w:val="FF3C6B0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32"/>
  </w:num>
  <w:num w:numId="3">
    <w:abstractNumId w:val="20"/>
  </w:num>
  <w:num w:numId="4">
    <w:abstractNumId w:val="38"/>
  </w:num>
  <w:num w:numId="5">
    <w:abstractNumId w:val="52"/>
  </w:num>
  <w:num w:numId="6">
    <w:abstractNumId w:val="50"/>
  </w:num>
  <w:num w:numId="7">
    <w:abstractNumId w:val="72"/>
  </w:num>
  <w:num w:numId="8">
    <w:abstractNumId w:val="74"/>
  </w:num>
  <w:num w:numId="9">
    <w:abstractNumId w:val="51"/>
  </w:num>
  <w:num w:numId="10">
    <w:abstractNumId w:val="71"/>
    <w:lvlOverride w:ilvl="1">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Override>
  </w:num>
  <w:num w:numId="11">
    <w:abstractNumId w:val="63"/>
  </w:num>
  <w:num w:numId="12">
    <w:abstractNumId w:val="64"/>
  </w:num>
  <w:num w:numId="13">
    <w:abstractNumId w:val="43"/>
    <w:lvlOverride w:ilvl="0">
      <w:lvl w:ilvl="0">
        <w:numFmt w:val="lowerLetter"/>
        <w:lvlText w:val="%1."/>
        <w:lvlJc w:val="left"/>
      </w:lvl>
    </w:lvlOverride>
  </w:num>
  <w:num w:numId="14">
    <w:abstractNumId w:val="43"/>
    <w:lvlOverride w:ilvl="0">
      <w:lvl w:ilvl="0">
        <w:numFmt w:val="lowerLetter"/>
        <w:lvlText w:val="%1."/>
        <w:lvlJc w:val="left"/>
      </w:lvl>
    </w:lvlOverride>
  </w:num>
  <w:num w:numId="15">
    <w:abstractNumId w:val="49"/>
  </w:num>
  <w:num w:numId="16">
    <w:abstractNumId w:val="55"/>
  </w:num>
  <w:num w:numId="17">
    <w:abstractNumId w:val="28"/>
  </w:num>
  <w:num w:numId="18">
    <w:abstractNumId w:val="79"/>
  </w:num>
  <w:num w:numId="19">
    <w:abstractNumId w:val="66"/>
  </w:num>
  <w:num w:numId="20">
    <w:abstractNumId w:val="73"/>
  </w:num>
  <w:num w:numId="21">
    <w:abstractNumId w:val="25"/>
  </w:num>
  <w:num w:numId="22">
    <w:abstractNumId w:val="80"/>
  </w:num>
  <w:num w:numId="23">
    <w:abstractNumId w:val="37"/>
  </w:num>
  <w:num w:numId="24">
    <w:abstractNumId w:val="36"/>
  </w:num>
  <w:num w:numId="25">
    <w:abstractNumId w:val="42"/>
  </w:num>
  <w:num w:numId="26">
    <w:abstractNumId w:val="17"/>
  </w:num>
  <w:num w:numId="27">
    <w:abstractNumId w:val="48"/>
  </w:num>
  <w:num w:numId="28">
    <w:abstractNumId w:val="75"/>
  </w:num>
  <w:num w:numId="29">
    <w:abstractNumId w:val="40"/>
  </w:num>
  <w:num w:numId="30">
    <w:abstractNumId w:val="68"/>
  </w:num>
  <w:num w:numId="31">
    <w:abstractNumId w:val="15"/>
  </w:num>
  <w:num w:numId="32">
    <w:abstractNumId w:val="60"/>
  </w:num>
  <w:num w:numId="33">
    <w:abstractNumId w:val="18"/>
  </w:num>
  <w:num w:numId="34">
    <w:abstractNumId w:val="24"/>
  </w:num>
  <w:num w:numId="35">
    <w:abstractNumId w:val="35"/>
  </w:num>
  <w:num w:numId="36">
    <w:abstractNumId w:val="29"/>
  </w:num>
  <w:num w:numId="37">
    <w:abstractNumId w:val="65"/>
  </w:num>
  <w:num w:numId="38">
    <w:abstractNumId w:val="54"/>
  </w:num>
  <w:num w:numId="39">
    <w:abstractNumId w:val="67"/>
  </w:num>
  <w:num w:numId="4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8"/>
  </w:num>
  <w:num w:numId="43">
    <w:abstractNumId w:val="56"/>
  </w:num>
  <w:num w:numId="44">
    <w:abstractNumId w:val="70"/>
  </w:num>
  <w:num w:numId="45">
    <w:abstractNumId w:val="71"/>
  </w:num>
  <w:num w:numId="46">
    <w:abstractNumId w:val="14"/>
  </w:num>
  <w:num w:numId="47">
    <w:abstractNumId w:val="34"/>
  </w:num>
  <w:num w:numId="48">
    <w:abstractNumId w:val="11"/>
  </w:num>
  <w:num w:numId="49">
    <w:abstractNumId w:val="22"/>
  </w:num>
  <w:num w:numId="50">
    <w:abstractNumId w:val="9"/>
  </w:num>
  <w:num w:numId="51">
    <w:abstractNumId w:val="7"/>
  </w:num>
  <w:num w:numId="52">
    <w:abstractNumId w:val="6"/>
  </w:num>
  <w:num w:numId="53">
    <w:abstractNumId w:val="5"/>
  </w:num>
  <w:num w:numId="54">
    <w:abstractNumId w:val="4"/>
  </w:num>
  <w:num w:numId="55">
    <w:abstractNumId w:val="8"/>
  </w:num>
  <w:num w:numId="56">
    <w:abstractNumId w:val="3"/>
  </w:num>
  <w:num w:numId="57">
    <w:abstractNumId w:val="2"/>
  </w:num>
  <w:num w:numId="58">
    <w:abstractNumId w:val="1"/>
  </w:num>
  <w:num w:numId="59">
    <w:abstractNumId w:val="0"/>
  </w:num>
  <w:num w:numId="60">
    <w:abstractNumId w:val="69"/>
  </w:num>
  <w:num w:numId="61">
    <w:abstractNumId w:val="77"/>
  </w:num>
  <w:num w:numId="62">
    <w:abstractNumId w:val="26"/>
  </w:num>
  <w:num w:numId="63">
    <w:abstractNumId w:val="27"/>
  </w:num>
  <w:num w:numId="64">
    <w:abstractNumId w:val="69"/>
    <w:lvlOverride w:ilvl="0">
      <w:startOverride w:val="1"/>
    </w:lvlOverride>
  </w:num>
  <w:num w:numId="65">
    <w:abstractNumId w:val="57"/>
  </w:num>
  <w:num w:numId="66">
    <w:abstractNumId w:val="47"/>
  </w:num>
  <w:num w:numId="67">
    <w:abstractNumId w:val="62"/>
  </w:num>
  <w:num w:numId="68">
    <w:abstractNumId w:val="61"/>
  </w:num>
  <w:num w:numId="69">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6"/>
  </w:num>
  <w:num w:numId="71">
    <w:abstractNumId w:val="53"/>
  </w:num>
  <w:num w:numId="72">
    <w:abstractNumId w:val="39"/>
  </w:num>
  <w:num w:numId="73">
    <w:abstractNumId w:val="21"/>
  </w:num>
  <w:num w:numId="7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3"/>
  </w:num>
  <w:num w:numId="76">
    <w:abstractNumId w:val="10"/>
  </w:num>
  <w:num w:numId="77">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2"/>
  </w:num>
  <w:num w:numId="80">
    <w:abstractNumId w:val="30"/>
  </w:num>
  <w:num w:numId="81">
    <w:abstractNumId w:val="30"/>
    <w:lvlOverride w:ilvl="0">
      <w:startOverride w:val="1"/>
    </w:lvlOverride>
  </w:num>
  <w:num w:numId="82">
    <w:abstractNumId w:val="30"/>
    <w:lvlOverride w:ilvl="0">
      <w:startOverride w:val="1"/>
    </w:lvlOverride>
  </w:num>
  <w:num w:numId="83">
    <w:abstractNumId w:val="30"/>
    <w:lvlOverride w:ilvl="0">
      <w:startOverride w:val="1"/>
    </w:lvlOverride>
  </w:num>
  <w:num w:numId="84">
    <w:abstractNumId w:val="33"/>
  </w:num>
  <w:num w:numId="85">
    <w:abstractNumId w:val="59"/>
  </w:num>
  <w:num w:numId="86">
    <w:abstractNumId w:val="44"/>
  </w:num>
  <w:num w:numId="87">
    <w:abstractNumId w:val="31"/>
  </w:num>
  <w:num w:numId="88">
    <w:abstractNumId w:val="19"/>
  </w:num>
  <w:num w:numId="8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3"/>
  </w:num>
  <w:num w:numId="9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78"/>
  </w:num>
  <w:num w:numId="95">
    <w:abstractNumId w:val="63"/>
  </w:num>
  <w:num w:numId="96">
    <w:abstractNumId w:val="63"/>
  </w:num>
  <w:num w:numId="97">
    <w:abstractNumId w:val="46"/>
  </w:num>
  <w:num w:numId="98">
    <w:abstractNumId w:val="45"/>
  </w:num>
  <w:num w:numId="99">
    <w:abstractNumId w:val="76"/>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785"/>
    <w:rsid w:val="00003B9B"/>
    <w:rsid w:val="000153F1"/>
    <w:rsid w:val="00020E21"/>
    <w:rsid w:val="00021646"/>
    <w:rsid w:val="0002271C"/>
    <w:rsid w:val="00023674"/>
    <w:rsid w:val="00023868"/>
    <w:rsid w:val="00032B28"/>
    <w:rsid w:val="00034B9E"/>
    <w:rsid w:val="00034FF5"/>
    <w:rsid w:val="000355E3"/>
    <w:rsid w:val="000429F1"/>
    <w:rsid w:val="00042D06"/>
    <w:rsid w:val="0005040F"/>
    <w:rsid w:val="000533D1"/>
    <w:rsid w:val="0005474B"/>
    <w:rsid w:val="00054E52"/>
    <w:rsid w:val="00063B2C"/>
    <w:rsid w:val="00064B42"/>
    <w:rsid w:val="0006647F"/>
    <w:rsid w:val="0007171B"/>
    <w:rsid w:val="00081F99"/>
    <w:rsid w:val="00082418"/>
    <w:rsid w:val="00086046"/>
    <w:rsid w:val="00091937"/>
    <w:rsid w:val="0009399C"/>
    <w:rsid w:val="0009463B"/>
    <w:rsid w:val="000A1CD7"/>
    <w:rsid w:val="000A2390"/>
    <w:rsid w:val="000B17D1"/>
    <w:rsid w:val="000B6F76"/>
    <w:rsid w:val="000B72E0"/>
    <w:rsid w:val="000C0FF4"/>
    <w:rsid w:val="000C2FA4"/>
    <w:rsid w:val="000C610D"/>
    <w:rsid w:val="000D0F68"/>
    <w:rsid w:val="000D12DB"/>
    <w:rsid w:val="000D4EE2"/>
    <w:rsid w:val="000D509C"/>
    <w:rsid w:val="000D640D"/>
    <w:rsid w:val="000D74AF"/>
    <w:rsid w:val="000E5E15"/>
    <w:rsid w:val="000E673A"/>
    <w:rsid w:val="000E6C30"/>
    <w:rsid w:val="000F2C6A"/>
    <w:rsid w:val="000F369E"/>
    <w:rsid w:val="000F6945"/>
    <w:rsid w:val="000F6C5A"/>
    <w:rsid w:val="000F74F5"/>
    <w:rsid w:val="000F78FC"/>
    <w:rsid w:val="001003E3"/>
    <w:rsid w:val="0010068B"/>
    <w:rsid w:val="001036C3"/>
    <w:rsid w:val="0010382A"/>
    <w:rsid w:val="00105372"/>
    <w:rsid w:val="001054A6"/>
    <w:rsid w:val="0010668E"/>
    <w:rsid w:val="001078A1"/>
    <w:rsid w:val="00110867"/>
    <w:rsid w:val="00111D4A"/>
    <w:rsid w:val="00112F28"/>
    <w:rsid w:val="001130F7"/>
    <w:rsid w:val="001142CE"/>
    <w:rsid w:val="00114B11"/>
    <w:rsid w:val="001161CF"/>
    <w:rsid w:val="00121721"/>
    <w:rsid w:val="001227F7"/>
    <w:rsid w:val="00122F20"/>
    <w:rsid w:val="00124B23"/>
    <w:rsid w:val="00126211"/>
    <w:rsid w:val="001312AD"/>
    <w:rsid w:val="00131E7A"/>
    <w:rsid w:val="00134846"/>
    <w:rsid w:val="001369E3"/>
    <w:rsid w:val="00136BC8"/>
    <w:rsid w:val="0014230F"/>
    <w:rsid w:val="001463D3"/>
    <w:rsid w:val="00146E41"/>
    <w:rsid w:val="00147757"/>
    <w:rsid w:val="00151152"/>
    <w:rsid w:val="00160F3A"/>
    <w:rsid w:val="00163EA8"/>
    <w:rsid w:val="00167643"/>
    <w:rsid w:val="00172AF6"/>
    <w:rsid w:val="00176CEE"/>
    <w:rsid w:val="00176D47"/>
    <w:rsid w:val="00177603"/>
    <w:rsid w:val="00177FD3"/>
    <w:rsid w:val="00177FFE"/>
    <w:rsid w:val="00180207"/>
    <w:rsid w:val="00183FAE"/>
    <w:rsid w:val="00184376"/>
    <w:rsid w:val="0018633A"/>
    <w:rsid w:val="00186DD8"/>
    <w:rsid w:val="00187BBB"/>
    <w:rsid w:val="00190E77"/>
    <w:rsid w:val="00193838"/>
    <w:rsid w:val="00195914"/>
    <w:rsid w:val="001A186E"/>
    <w:rsid w:val="001A35EC"/>
    <w:rsid w:val="001A4742"/>
    <w:rsid w:val="001B13FE"/>
    <w:rsid w:val="001B2E0A"/>
    <w:rsid w:val="001B7529"/>
    <w:rsid w:val="001C1E0B"/>
    <w:rsid w:val="001C3C24"/>
    <w:rsid w:val="001D2573"/>
    <w:rsid w:val="001D2776"/>
    <w:rsid w:val="001D2FB0"/>
    <w:rsid w:val="001D5656"/>
    <w:rsid w:val="001D6738"/>
    <w:rsid w:val="001D7370"/>
    <w:rsid w:val="001D73E3"/>
    <w:rsid w:val="001D7F13"/>
    <w:rsid w:val="001E002A"/>
    <w:rsid w:val="001E0989"/>
    <w:rsid w:val="001E6325"/>
    <w:rsid w:val="001F2D7A"/>
    <w:rsid w:val="001F3C57"/>
    <w:rsid w:val="001F720E"/>
    <w:rsid w:val="001F78FE"/>
    <w:rsid w:val="00200E02"/>
    <w:rsid w:val="002011DF"/>
    <w:rsid w:val="002018E3"/>
    <w:rsid w:val="002044EF"/>
    <w:rsid w:val="002053E6"/>
    <w:rsid w:val="00206BAC"/>
    <w:rsid w:val="00210BE3"/>
    <w:rsid w:val="00211553"/>
    <w:rsid w:val="002117FF"/>
    <w:rsid w:val="002140A7"/>
    <w:rsid w:val="002159A4"/>
    <w:rsid w:val="002162DF"/>
    <w:rsid w:val="00216E2B"/>
    <w:rsid w:val="00216F8F"/>
    <w:rsid w:val="002172EA"/>
    <w:rsid w:val="00220626"/>
    <w:rsid w:val="002224AC"/>
    <w:rsid w:val="00223C72"/>
    <w:rsid w:val="00224F44"/>
    <w:rsid w:val="002252C5"/>
    <w:rsid w:val="00234A63"/>
    <w:rsid w:val="00235A60"/>
    <w:rsid w:val="00236EA3"/>
    <w:rsid w:val="002372BE"/>
    <w:rsid w:val="00242603"/>
    <w:rsid w:val="00245601"/>
    <w:rsid w:val="002519AC"/>
    <w:rsid w:val="002534C6"/>
    <w:rsid w:val="00265186"/>
    <w:rsid w:val="00266716"/>
    <w:rsid w:val="00266CD7"/>
    <w:rsid w:val="0026776F"/>
    <w:rsid w:val="00275913"/>
    <w:rsid w:val="002800F3"/>
    <w:rsid w:val="002821CD"/>
    <w:rsid w:val="002822E5"/>
    <w:rsid w:val="00284526"/>
    <w:rsid w:val="0028578F"/>
    <w:rsid w:val="00287CCD"/>
    <w:rsid w:val="00291BB3"/>
    <w:rsid w:val="00294B9C"/>
    <w:rsid w:val="0029597C"/>
    <w:rsid w:val="00296C61"/>
    <w:rsid w:val="002A0554"/>
    <w:rsid w:val="002A07B3"/>
    <w:rsid w:val="002A101B"/>
    <w:rsid w:val="002A3D5A"/>
    <w:rsid w:val="002A5771"/>
    <w:rsid w:val="002A5892"/>
    <w:rsid w:val="002A711C"/>
    <w:rsid w:val="002B6D9C"/>
    <w:rsid w:val="002B7BBF"/>
    <w:rsid w:val="002C029A"/>
    <w:rsid w:val="002C0559"/>
    <w:rsid w:val="002C0F8C"/>
    <w:rsid w:val="002C221D"/>
    <w:rsid w:val="002C222A"/>
    <w:rsid w:val="002C2FE2"/>
    <w:rsid w:val="002D0DF5"/>
    <w:rsid w:val="002D108C"/>
    <w:rsid w:val="002D1575"/>
    <w:rsid w:val="002D1FE4"/>
    <w:rsid w:val="002D2052"/>
    <w:rsid w:val="002D4068"/>
    <w:rsid w:val="002D6777"/>
    <w:rsid w:val="002D6863"/>
    <w:rsid w:val="002E30F8"/>
    <w:rsid w:val="002F3AFD"/>
    <w:rsid w:val="002F4A0E"/>
    <w:rsid w:val="003008FE"/>
    <w:rsid w:val="00300AA2"/>
    <w:rsid w:val="0030169D"/>
    <w:rsid w:val="0030392E"/>
    <w:rsid w:val="00304291"/>
    <w:rsid w:val="003044B0"/>
    <w:rsid w:val="003060EB"/>
    <w:rsid w:val="003153EB"/>
    <w:rsid w:val="00317E86"/>
    <w:rsid w:val="00321985"/>
    <w:rsid w:val="00321D3A"/>
    <w:rsid w:val="00322B0D"/>
    <w:rsid w:val="003248DA"/>
    <w:rsid w:val="00325507"/>
    <w:rsid w:val="00330188"/>
    <w:rsid w:val="0033025A"/>
    <w:rsid w:val="00330F6D"/>
    <w:rsid w:val="0033182D"/>
    <w:rsid w:val="00334EE0"/>
    <w:rsid w:val="003414F7"/>
    <w:rsid w:val="003452B5"/>
    <w:rsid w:val="003473FD"/>
    <w:rsid w:val="00351205"/>
    <w:rsid w:val="00353983"/>
    <w:rsid w:val="0035402F"/>
    <w:rsid w:val="00362F0A"/>
    <w:rsid w:val="003631C0"/>
    <w:rsid w:val="003632A3"/>
    <w:rsid w:val="0036519C"/>
    <w:rsid w:val="0036712D"/>
    <w:rsid w:val="00372F74"/>
    <w:rsid w:val="003749DA"/>
    <w:rsid w:val="00374BE8"/>
    <w:rsid w:val="00376A8F"/>
    <w:rsid w:val="00377D54"/>
    <w:rsid w:val="00382A9F"/>
    <w:rsid w:val="00383C6F"/>
    <w:rsid w:val="00387CD3"/>
    <w:rsid w:val="003919BF"/>
    <w:rsid w:val="003929B0"/>
    <w:rsid w:val="00392DB5"/>
    <w:rsid w:val="00396B3E"/>
    <w:rsid w:val="003A0535"/>
    <w:rsid w:val="003B07FD"/>
    <w:rsid w:val="003B11DD"/>
    <w:rsid w:val="003B2747"/>
    <w:rsid w:val="003B4C2D"/>
    <w:rsid w:val="003B565B"/>
    <w:rsid w:val="003B761D"/>
    <w:rsid w:val="003C08D7"/>
    <w:rsid w:val="003C32FF"/>
    <w:rsid w:val="003D15FF"/>
    <w:rsid w:val="003D1BFC"/>
    <w:rsid w:val="003D2196"/>
    <w:rsid w:val="003D413B"/>
    <w:rsid w:val="003E06A1"/>
    <w:rsid w:val="003E14FA"/>
    <w:rsid w:val="003E5C12"/>
    <w:rsid w:val="003E6423"/>
    <w:rsid w:val="003E6EDE"/>
    <w:rsid w:val="003F1A72"/>
    <w:rsid w:val="003F4303"/>
    <w:rsid w:val="003F7224"/>
    <w:rsid w:val="003F7814"/>
    <w:rsid w:val="00400385"/>
    <w:rsid w:val="00400535"/>
    <w:rsid w:val="00413A97"/>
    <w:rsid w:val="00414B9F"/>
    <w:rsid w:val="00417EAF"/>
    <w:rsid w:val="004220F4"/>
    <w:rsid w:val="00422229"/>
    <w:rsid w:val="0042298A"/>
    <w:rsid w:val="00427D21"/>
    <w:rsid w:val="00431064"/>
    <w:rsid w:val="00435320"/>
    <w:rsid w:val="00436479"/>
    <w:rsid w:val="004364B7"/>
    <w:rsid w:val="00440D58"/>
    <w:rsid w:val="004451FF"/>
    <w:rsid w:val="00445D3F"/>
    <w:rsid w:val="004479D3"/>
    <w:rsid w:val="00447D30"/>
    <w:rsid w:val="00447F4A"/>
    <w:rsid w:val="0045024A"/>
    <w:rsid w:val="00450F7B"/>
    <w:rsid w:val="00451337"/>
    <w:rsid w:val="00452B25"/>
    <w:rsid w:val="00453615"/>
    <w:rsid w:val="0045536E"/>
    <w:rsid w:val="00455AF2"/>
    <w:rsid w:val="00456F67"/>
    <w:rsid w:val="004610C4"/>
    <w:rsid w:val="004644C2"/>
    <w:rsid w:val="00467569"/>
    <w:rsid w:val="00467F9C"/>
    <w:rsid w:val="00470527"/>
    <w:rsid w:val="0047108D"/>
    <w:rsid w:val="004720DB"/>
    <w:rsid w:val="00475992"/>
    <w:rsid w:val="00476CA2"/>
    <w:rsid w:val="0048050E"/>
    <w:rsid w:val="00483BFD"/>
    <w:rsid w:val="0049093D"/>
    <w:rsid w:val="00490B6B"/>
    <w:rsid w:val="00491A2F"/>
    <w:rsid w:val="004A0DF0"/>
    <w:rsid w:val="004A27A5"/>
    <w:rsid w:val="004A2E0D"/>
    <w:rsid w:val="004A3389"/>
    <w:rsid w:val="004A3C9C"/>
    <w:rsid w:val="004A4502"/>
    <w:rsid w:val="004B54F8"/>
    <w:rsid w:val="004B6388"/>
    <w:rsid w:val="004C0AC5"/>
    <w:rsid w:val="004C5067"/>
    <w:rsid w:val="004D0737"/>
    <w:rsid w:val="004D70EE"/>
    <w:rsid w:val="004E1069"/>
    <w:rsid w:val="004E152D"/>
    <w:rsid w:val="004E2BFD"/>
    <w:rsid w:val="004E3896"/>
    <w:rsid w:val="004F1504"/>
    <w:rsid w:val="004F219C"/>
    <w:rsid w:val="004F2AB9"/>
    <w:rsid w:val="0050294D"/>
    <w:rsid w:val="005033CC"/>
    <w:rsid w:val="00504856"/>
    <w:rsid w:val="00505F97"/>
    <w:rsid w:val="0050670D"/>
    <w:rsid w:val="0051006C"/>
    <w:rsid w:val="00512E85"/>
    <w:rsid w:val="00517841"/>
    <w:rsid w:val="005206ED"/>
    <w:rsid w:val="005320BD"/>
    <w:rsid w:val="00534681"/>
    <w:rsid w:val="00534AB1"/>
    <w:rsid w:val="00537DC4"/>
    <w:rsid w:val="0054213A"/>
    <w:rsid w:val="00551B2D"/>
    <w:rsid w:val="005562D2"/>
    <w:rsid w:val="0056068E"/>
    <w:rsid w:val="00560808"/>
    <w:rsid w:val="005613A8"/>
    <w:rsid w:val="00561A98"/>
    <w:rsid w:val="00562B5E"/>
    <w:rsid w:val="00563442"/>
    <w:rsid w:val="0056348E"/>
    <w:rsid w:val="00565B42"/>
    <w:rsid w:val="00572239"/>
    <w:rsid w:val="00572AE3"/>
    <w:rsid w:val="00574EA3"/>
    <w:rsid w:val="00580FE1"/>
    <w:rsid w:val="005817E4"/>
    <w:rsid w:val="00581F0B"/>
    <w:rsid w:val="00587300"/>
    <w:rsid w:val="00592F3C"/>
    <w:rsid w:val="00594698"/>
    <w:rsid w:val="0059532B"/>
    <w:rsid w:val="005A4042"/>
    <w:rsid w:val="005A468C"/>
    <w:rsid w:val="005A7A43"/>
    <w:rsid w:val="005B1150"/>
    <w:rsid w:val="005B35E2"/>
    <w:rsid w:val="005B6EF5"/>
    <w:rsid w:val="005B7C87"/>
    <w:rsid w:val="005C2AE1"/>
    <w:rsid w:val="005C304E"/>
    <w:rsid w:val="005C3E4C"/>
    <w:rsid w:val="005C4CE6"/>
    <w:rsid w:val="005D016A"/>
    <w:rsid w:val="005D022D"/>
    <w:rsid w:val="005D085F"/>
    <w:rsid w:val="005D2D83"/>
    <w:rsid w:val="005D508E"/>
    <w:rsid w:val="005F33A8"/>
    <w:rsid w:val="005F4E05"/>
    <w:rsid w:val="005F7148"/>
    <w:rsid w:val="0060487A"/>
    <w:rsid w:val="00604E3D"/>
    <w:rsid w:val="006100FE"/>
    <w:rsid w:val="006122BA"/>
    <w:rsid w:val="00614847"/>
    <w:rsid w:val="00623344"/>
    <w:rsid w:val="006237DE"/>
    <w:rsid w:val="00627211"/>
    <w:rsid w:val="00634272"/>
    <w:rsid w:val="00636BF5"/>
    <w:rsid w:val="00636FEC"/>
    <w:rsid w:val="006400FF"/>
    <w:rsid w:val="00640ABE"/>
    <w:rsid w:val="006438A3"/>
    <w:rsid w:val="006461F2"/>
    <w:rsid w:val="00647720"/>
    <w:rsid w:val="006478BF"/>
    <w:rsid w:val="00653EAD"/>
    <w:rsid w:val="006542E3"/>
    <w:rsid w:val="00654FA3"/>
    <w:rsid w:val="006563FE"/>
    <w:rsid w:val="00660B19"/>
    <w:rsid w:val="00663013"/>
    <w:rsid w:val="00665355"/>
    <w:rsid w:val="00666F29"/>
    <w:rsid w:val="0067040F"/>
    <w:rsid w:val="00671CAD"/>
    <w:rsid w:val="00675C32"/>
    <w:rsid w:val="00676C1D"/>
    <w:rsid w:val="00680D50"/>
    <w:rsid w:val="0068435C"/>
    <w:rsid w:val="00685520"/>
    <w:rsid w:val="00685C58"/>
    <w:rsid w:val="00685E74"/>
    <w:rsid w:val="00692807"/>
    <w:rsid w:val="006A10E2"/>
    <w:rsid w:val="006A73C1"/>
    <w:rsid w:val="006A7662"/>
    <w:rsid w:val="006B047F"/>
    <w:rsid w:val="006B2290"/>
    <w:rsid w:val="006B3E97"/>
    <w:rsid w:val="006C15E9"/>
    <w:rsid w:val="006D381A"/>
    <w:rsid w:val="006D5363"/>
    <w:rsid w:val="006D58E8"/>
    <w:rsid w:val="006E0102"/>
    <w:rsid w:val="006E3EDA"/>
    <w:rsid w:val="006E611D"/>
    <w:rsid w:val="006F1015"/>
    <w:rsid w:val="006F2845"/>
    <w:rsid w:val="006F6B0D"/>
    <w:rsid w:val="007005FE"/>
    <w:rsid w:val="007022F9"/>
    <w:rsid w:val="00705E32"/>
    <w:rsid w:val="00706317"/>
    <w:rsid w:val="00706B92"/>
    <w:rsid w:val="00711126"/>
    <w:rsid w:val="00711D25"/>
    <w:rsid w:val="00717D88"/>
    <w:rsid w:val="00726A43"/>
    <w:rsid w:val="0072745E"/>
    <w:rsid w:val="007277BE"/>
    <w:rsid w:val="007279D5"/>
    <w:rsid w:val="007304B0"/>
    <w:rsid w:val="007312AA"/>
    <w:rsid w:val="00731AD1"/>
    <w:rsid w:val="0073278B"/>
    <w:rsid w:val="00734810"/>
    <w:rsid w:val="007355BB"/>
    <w:rsid w:val="0074097A"/>
    <w:rsid w:val="0074169F"/>
    <w:rsid w:val="00742C09"/>
    <w:rsid w:val="00744EF3"/>
    <w:rsid w:val="00747380"/>
    <w:rsid w:val="00747EC5"/>
    <w:rsid w:val="00750400"/>
    <w:rsid w:val="00754CD1"/>
    <w:rsid w:val="00761CA5"/>
    <w:rsid w:val="0076503B"/>
    <w:rsid w:val="00767CD9"/>
    <w:rsid w:val="00786056"/>
    <w:rsid w:val="0079189B"/>
    <w:rsid w:val="007940BB"/>
    <w:rsid w:val="007942D3"/>
    <w:rsid w:val="0079447B"/>
    <w:rsid w:val="0079579B"/>
    <w:rsid w:val="007A0A58"/>
    <w:rsid w:val="007A29F5"/>
    <w:rsid w:val="007A3785"/>
    <w:rsid w:val="007B0271"/>
    <w:rsid w:val="007B1B47"/>
    <w:rsid w:val="007B2099"/>
    <w:rsid w:val="007B6C09"/>
    <w:rsid w:val="007B7741"/>
    <w:rsid w:val="007C3E62"/>
    <w:rsid w:val="007C43D4"/>
    <w:rsid w:val="007C4951"/>
    <w:rsid w:val="007D276A"/>
    <w:rsid w:val="007D2982"/>
    <w:rsid w:val="007D62CC"/>
    <w:rsid w:val="007D7149"/>
    <w:rsid w:val="007D7BF4"/>
    <w:rsid w:val="007E06C0"/>
    <w:rsid w:val="007E09DA"/>
    <w:rsid w:val="007E0F8A"/>
    <w:rsid w:val="007E4101"/>
    <w:rsid w:val="007E50F3"/>
    <w:rsid w:val="007E61D6"/>
    <w:rsid w:val="007E62B3"/>
    <w:rsid w:val="007E78FB"/>
    <w:rsid w:val="007F51E1"/>
    <w:rsid w:val="007F58C5"/>
    <w:rsid w:val="007F6249"/>
    <w:rsid w:val="007F718D"/>
    <w:rsid w:val="00800843"/>
    <w:rsid w:val="0080151B"/>
    <w:rsid w:val="00801FAD"/>
    <w:rsid w:val="00803F53"/>
    <w:rsid w:val="0080558A"/>
    <w:rsid w:val="00812435"/>
    <w:rsid w:val="008178B6"/>
    <w:rsid w:val="0082765A"/>
    <w:rsid w:val="0083283B"/>
    <w:rsid w:val="00832B7A"/>
    <w:rsid w:val="00844600"/>
    <w:rsid w:val="00845A37"/>
    <w:rsid w:val="00850468"/>
    <w:rsid w:val="0085710A"/>
    <w:rsid w:val="00857B23"/>
    <w:rsid w:val="008632E4"/>
    <w:rsid w:val="00863A35"/>
    <w:rsid w:val="008643CA"/>
    <w:rsid w:val="00865B74"/>
    <w:rsid w:val="00866063"/>
    <w:rsid w:val="0086620D"/>
    <w:rsid w:val="00870444"/>
    <w:rsid w:val="00871F4D"/>
    <w:rsid w:val="0087355E"/>
    <w:rsid w:val="00875B99"/>
    <w:rsid w:val="00892964"/>
    <w:rsid w:val="00893DED"/>
    <w:rsid w:val="0089448A"/>
    <w:rsid w:val="008974F0"/>
    <w:rsid w:val="008A1499"/>
    <w:rsid w:val="008A155A"/>
    <w:rsid w:val="008A4A8B"/>
    <w:rsid w:val="008A60D4"/>
    <w:rsid w:val="008B012A"/>
    <w:rsid w:val="008B12D8"/>
    <w:rsid w:val="008B13E0"/>
    <w:rsid w:val="008B3D4A"/>
    <w:rsid w:val="008C391B"/>
    <w:rsid w:val="008C4240"/>
    <w:rsid w:val="008D07FC"/>
    <w:rsid w:val="008D1568"/>
    <w:rsid w:val="008D3033"/>
    <w:rsid w:val="008D7118"/>
    <w:rsid w:val="008D7731"/>
    <w:rsid w:val="008E1A25"/>
    <w:rsid w:val="008E390A"/>
    <w:rsid w:val="008E3AD6"/>
    <w:rsid w:val="008E3D1C"/>
    <w:rsid w:val="008E4177"/>
    <w:rsid w:val="008E5B16"/>
    <w:rsid w:val="008E6A66"/>
    <w:rsid w:val="008E6DD9"/>
    <w:rsid w:val="008F0CF9"/>
    <w:rsid w:val="008F17BD"/>
    <w:rsid w:val="008F222F"/>
    <w:rsid w:val="008F2BE7"/>
    <w:rsid w:val="008F7F31"/>
    <w:rsid w:val="00906E17"/>
    <w:rsid w:val="009073B7"/>
    <w:rsid w:val="00915203"/>
    <w:rsid w:val="0092002B"/>
    <w:rsid w:val="009248BC"/>
    <w:rsid w:val="0092583F"/>
    <w:rsid w:val="0093065F"/>
    <w:rsid w:val="00930BA1"/>
    <w:rsid w:val="0093169E"/>
    <w:rsid w:val="00933297"/>
    <w:rsid w:val="00933BEE"/>
    <w:rsid w:val="00935F2D"/>
    <w:rsid w:val="00937346"/>
    <w:rsid w:val="0094028F"/>
    <w:rsid w:val="0094304E"/>
    <w:rsid w:val="00945A78"/>
    <w:rsid w:val="00946192"/>
    <w:rsid w:val="00947ADE"/>
    <w:rsid w:val="009505C9"/>
    <w:rsid w:val="00950752"/>
    <w:rsid w:val="009509EA"/>
    <w:rsid w:val="00950E28"/>
    <w:rsid w:val="0095254A"/>
    <w:rsid w:val="0095354B"/>
    <w:rsid w:val="00956417"/>
    <w:rsid w:val="00956FBD"/>
    <w:rsid w:val="009618E7"/>
    <w:rsid w:val="00961F84"/>
    <w:rsid w:val="00962569"/>
    <w:rsid w:val="00962A6B"/>
    <w:rsid w:val="009641E9"/>
    <w:rsid w:val="00966424"/>
    <w:rsid w:val="00973C7E"/>
    <w:rsid w:val="00975428"/>
    <w:rsid w:val="009835BB"/>
    <w:rsid w:val="009835E8"/>
    <w:rsid w:val="00985CB1"/>
    <w:rsid w:val="00986AF0"/>
    <w:rsid w:val="00991274"/>
    <w:rsid w:val="00991EE7"/>
    <w:rsid w:val="0099200D"/>
    <w:rsid w:val="00995E6A"/>
    <w:rsid w:val="0099639C"/>
    <w:rsid w:val="00997D89"/>
    <w:rsid w:val="009A7114"/>
    <w:rsid w:val="009B4F83"/>
    <w:rsid w:val="009C20C7"/>
    <w:rsid w:val="009C2A65"/>
    <w:rsid w:val="009C2DE6"/>
    <w:rsid w:val="009C657A"/>
    <w:rsid w:val="009E3A46"/>
    <w:rsid w:val="009F04EC"/>
    <w:rsid w:val="009F119A"/>
    <w:rsid w:val="009F1333"/>
    <w:rsid w:val="009F1732"/>
    <w:rsid w:val="009F434A"/>
    <w:rsid w:val="009F5DFF"/>
    <w:rsid w:val="009F7A9D"/>
    <w:rsid w:val="00A00ED3"/>
    <w:rsid w:val="00A06DD1"/>
    <w:rsid w:val="00A07372"/>
    <w:rsid w:val="00A07AE8"/>
    <w:rsid w:val="00A111D1"/>
    <w:rsid w:val="00A12C21"/>
    <w:rsid w:val="00A1377A"/>
    <w:rsid w:val="00A26ABE"/>
    <w:rsid w:val="00A26C80"/>
    <w:rsid w:val="00A30EA0"/>
    <w:rsid w:val="00A32A44"/>
    <w:rsid w:val="00A33F6B"/>
    <w:rsid w:val="00A344E4"/>
    <w:rsid w:val="00A414D0"/>
    <w:rsid w:val="00A43685"/>
    <w:rsid w:val="00A43981"/>
    <w:rsid w:val="00A442B7"/>
    <w:rsid w:val="00A563FD"/>
    <w:rsid w:val="00A6278B"/>
    <w:rsid w:val="00A63579"/>
    <w:rsid w:val="00A70E97"/>
    <w:rsid w:val="00A7152A"/>
    <w:rsid w:val="00A762EF"/>
    <w:rsid w:val="00A774A2"/>
    <w:rsid w:val="00A84B60"/>
    <w:rsid w:val="00A90ACA"/>
    <w:rsid w:val="00A938CA"/>
    <w:rsid w:val="00A94447"/>
    <w:rsid w:val="00A94F92"/>
    <w:rsid w:val="00A95EFD"/>
    <w:rsid w:val="00AA13D0"/>
    <w:rsid w:val="00AA2F9F"/>
    <w:rsid w:val="00AA38ED"/>
    <w:rsid w:val="00AA6F92"/>
    <w:rsid w:val="00AB54EB"/>
    <w:rsid w:val="00AB6934"/>
    <w:rsid w:val="00AC1C70"/>
    <w:rsid w:val="00AD211C"/>
    <w:rsid w:val="00AD34CA"/>
    <w:rsid w:val="00AD694A"/>
    <w:rsid w:val="00AD785B"/>
    <w:rsid w:val="00AD7CF2"/>
    <w:rsid w:val="00AE2621"/>
    <w:rsid w:val="00AE55C9"/>
    <w:rsid w:val="00AE7601"/>
    <w:rsid w:val="00AE7959"/>
    <w:rsid w:val="00AE796A"/>
    <w:rsid w:val="00AF2FF6"/>
    <w:rsid w:val="00AF4151"/>
    <w:rsid w:val="00AF42DE"/>
    <w:rsid w:val="00AF4430"/>
    <w:rsid w:val="00AF7350"/>
    <w:rsid w:val="00B011B2"/>
    <w:rsid w:val="00B02990"/>
    <w:rsid w:val="00B0537D"/>
    <w:rsid w:val="00B0667F"/>
    <w:rsid w:val="00B10F73"/>
    <w:rsid w:val="00B11F58"/>
    <w:rsid w:val="00B133D5"/>
    <w:rsid w:val="00B1465E"/>
    <w:rsid w:val="00B16E57"/>
    <w:rsid w:val="00B179A5"/>
    <w:rsid w:val="00B2065B"/>
    <w:rsid w:val="00B21B21"/>
    <w:rsid w:val="00B21E08"/>
    <w:rsid w:val="00B3140B"/>
    <w:rsid w:val="00B314D2"/>
    <w:rsid w:val="00B32969"/>
    <w:rsid w:val="00B3358C"/>
    <w:rsid w:val="00B3369F"/>
    <w:rsid w:val="00B34C71"/>
    <w:rsid w:val="00B3664C"/>
    <w:rsid w:val="00B416F5"/>
    <w:rsid w:val="00B5008C"/>
    <w:rsid w:val="00B50CF7"/>
    <w:rsid w:val="00B55149"/>
    <w:rsid w:val="00B5625A"/>
    <w:rsid w:val="00B63C08"/>
    <w:rsid w:val="00B64174"/>
    <w:rsid w:val="00B708B3"/>
    <w:rsid w:val="00B72E2C"/>
    <w:rsid w:val="00B75CAD"/>
    <w:rsid w:val="00B80216"/>
    <w:rsid w:val="00B82E91"/>
    <w:rsid w:val="00B830E3"/>
    <w:rsid w:val="00B85C61"/>
    <w:rsid w:val="00B86316"/>
    <w:rsid w:val="00B8688C"/>
    <w:rsid w:val="00B9217B"/>
    <w:rsid w:val="00B94BD0"/>
    <w:rsid w:val="00B94E6C"/>
    <w:rsid w:val="00B95072"/>
    <w:rsid w:val="00B95CFF"/>
    <w:rsid w:val="00B97916"/>
    <w:rsid w:val="00BB0583"/>
    <w:rsid w:val="00BB2FEF"/>
    <w:rsid w:val="00BB3EAB"/>
    <w:rsid w:val="00BB4606"/>
    <w:rsid w:val="00BB7E6A"/>
    <w:rsid w:val="00BC128A"/>
    <w:rsid w:val="00BC18A7"/>
    <w:rsid w:val="00BC377B"/>
    <w:rsid w:val="00BC37D5"/>
    <w:rsid w:val="00BC4C47"/>
    <w:rsid w:val="00BD0E22"/>
    <w:rsid w:val="00BD2108"/>
    <w:rsid w:val="00BD4B1C"/>
    <w:rsid w:val="00BD581C"/>
    <w:rsid w:val="00BD689E"/>
    <w:rsid w:val="00BE2CDF"/>
    <w:rsid w:val="00BE4CAC"/>
    <w:rsid w:val="00BE6371"/>
    <w:rsid w:val="00BF2294"/>
    <w:rsid w:val="00C03795"/>
    <w:rsid w:val="00C07098"/>
    <w:rsid w:val="00C07AEB"/>
    <w:rsid w:val="00C1015B"/>
    <w:rsid w:val="00C111CF"/>
    <w:rsid w:val="00C1442B"/>
    <w:rsid w:val="00C20566"/>
    <w:rsid w:val="00C210E6"/>
    <w:rsid w:val="00C23D2F"/>
    <w:rsid w:val="00C304E0"/>
    <w:rsid w:val="00C31BC1"/>
    <w:rsid w:val="00C40E80"/>
    <w:rsid w:val="00C4117F"/>
    <w:rsid w:val="00C41622"/>
    <w:rsid w:val="00C4319C"/>
    <w:rsid w:val="00C4348A"/>
    <w:rsid w:val="00C443BD"/>
    <w:rsid w:val="00C451C5"/>
    <w:rsid w:val="00C50CAC"/>
    <w:rsid w:val="00C51000"/>
    <w:rsid w:val="00C5281C"/>
    <w:rsid w:val="00C65FE6"/>
    <w:rsid w:val="00C66547"/>
    <w:rsid w:val="00C762ED"/>
    <w:rsid w:val="00C76D7E"/>
    <w:rsid w:val="00C77833"/>
    <w:rsid w:val="00C80A7E"/>
    <w:rsid w:val="00C80CEE"/>
    <w:rsid w:val="00C80F7E"/>
    <w:rsid w:val="00C84670"/>
    <w:rsid w:val="00C84B0B"/>
    <w:rsid w:val="00C913F1"/>
    <w:rsid w:val="00C9161D"/>
    <w:rsid w:val="00C92D5D"/>
    <w:rsid w:val="00C936EE"/>
    <w:rsid w:val="00C938D7"/>
    <w:rsid w:val="00C9440C"/>
    <w:rsid w:val="00C9596A"/>
    <w:rsid w:val="00C96DBA"/>
    <w:rsid w:val="00CA0C1D"/>
    <w:rsid w:val="00CA2843"/>
    <w:rsid w:val="00CA3B25"/>
    <w:rsid w:val="00CA7CC3"/>
    <w:rsid w:val="00CA7E72"/>
    <w:rsid w:val="00CB2D6C"/>
    <w:rsid w:val="00CB3A55"/>
    <w:rsid w:val="00CB4D22"/>
    <w:rsid w:val="00CC45BC"/>
    <w:rsid w:val="00CD2851"/>
    <w:rsid w:val="00CD3C38"/>
    <w:rsid w:val="00CD5D9B"/>
    <w:rsid w:val="00CD783D"/>
    <w:rsid w:val="00CD7B3C"/>
    <w:rsid w:val="00CE456E"/>
    <w:rsid w:val="00CF1848"/>
    <w:rsid w:val="00CF1DD1"/>
    <w:rsid w:val="00CF71F1"/>
    <w:rsid w:val="00D000B9"/>
    <w:rsid w:val="00D0077B"/>
    <w:rsid w:val="00D014D7"/>
    <w:rsid w:val="00D04B4E"/>
    <w:rsid w:val="00D0693B"/>
    <w:rsid w:val="00D10830"/>
    <w:rsid w:val="00D11CCB"/>
    <w:rsid w:val="00D12044"/>
    <w:rsid w:val="00D15EB0"/>
    <w:rsid w:val="00D16576"/>
    <w:rsid w:val="00D170D9"/>
    <w:rsid w:val="00D245A0"/>
    <w:rsid w:val="00D26D37"/>
    <w:rsid w:val="00D27EB4"/>
    <w:rsid w:val="00D33EFC"/>
    <w:rsid w:val="00D40DBC"/>
    <w:rsid w:val="00D46155"/>
    <w:rsid w:val="00D47244"/>
    <w:rsid w:val="00D479DC"/>
    <w:rsid w:val="00D514CA"/>
    <w:rsid w:val="00D518C4"/>
    <w:rsid w:val="00D51B75"/>
    <w:rsid w:val="00D611FF"/>
    <w:rsid w:val="00D61C85"/>
    <w:rsid w:val="00D6607B"/>
    <w:rsid w:val="00D66DA8"/>
    <w:rsid w:val="00D67BF7"/>
    <w:rsid w:val="00D67F49"/>
    <w:rsid w:val="00D7073C"/>
    <w:rsid w:val="00D724AD"/>
    <w:rsid w:val="00D7381A"/>
    <w:rsid w:val="00D73B61"/>
    <w:rsid w:val="00D744A5"/>
    <w:rsid w:val="00D748CB"/>
    <w:rsid w:val="00D75CA6"/>
    <w:rsid w:val="00D76A18"/>
    <w:rsid w:val="00D80849"/>
    <w:rsid w:val="00D82604"/>
    <w:rsid w:val="00D82E8F"/>
    <w:rsid w:val="00D86DDE"/>
    <w:rsid w:val="00D87A7D"/>
    <w:rsid w:val="00D87A99"/>
    <w:rsid w:val="00D91923"/>
    <w:rsid w:val="00D9401B"/>
    <w:rsid w:val="00D958CB"/>
    <w:rsid w:val="00D973D0"/>
    <w:rsid w:val="00DA664D"/>
    <w:rsid w:val="00DA69BC"/>
    <w:rsid w:val="00DB2D95"/>
    <w:rsid w:val="00DB4B6F"/>
    <w:rsid w:val="00DB5E0F"/>
    <w:rsid w:val="00DC30D8"/>
    <w:rsid w:val="00DC45AC"/>
    <w:rsid w:val="00DC4720"/>
    <w:rsid w:val="00DD019E"/>
    <w:rsid w:val="00DD118C"/>
    <w:rsid w:val="00DD67AC"/>
    <w:rsid w:val="00DE765C"/>
    <w:rsid w:val="00DF443E"/>
    <w:rsid w:val="00DF460A"/>
    <w:rsid w:val="00DF4B6C"/>
    <w:rsid w:val="00DF61C7"/>
    <w:rsid w:val="00E003F7"/>
    <w:rsid w:val="00E02A06"/>
    <w:rsid w:val="00E037E1"/>
    <w:rsid w:val="00E0401F"/>
    <w:rsid w:val="00E17BCD"/>
    <w:rsid w:val="00E23141"/>
    <w:rsid w:val="00E263D3"/>
    <w:rsid w:val="00E26AB5"/>
    <w:rsid w:val="00E27B4F"/>
    <w:rsid w:val="00E32B6E"/>
    <w:rsid w:val="00E33AA2"/>
    <w:rsid w:val="00E34F8C"/>
    <w:rsid w:val="00E424C0"/>
    <w:rsid w:val="00E42DC8"/>
    <w:rsid w:val="00E442A4"/>
    <w:rsid w:val="00E44339"/>
    <w:rsid w:val="00E44C4C"/>
    <w:rsid w:val="00E50CD2"/>
    <w:rsid w:val="00E5347F"/>
    <w:rsid w:val="00E5424A"/>
    <w:rsid w:val="00E57C39"/>
    <w:rsid w:val="00E57D63"/>
    <w:rsid w:val="00E66235"/>
    <w:rsid w:val="00E71498"/>
    <w:rsid w:val="00E71D85"/>
    <w:rsid w:val="00E73D51"/>
    <w:rsid w:val="00E76DDD"/>
    <w:rsid w:val="00E773A2"/>
    <w:rsid w:val="00E80230"/>
    <w:rsid w:val="00E808DB"/>
    <w:rsid w:val="00E83C24"/>
    <w:rsid w:val="00E84754"/>
    <w:rsid w:val="00E849BA"/>
    <w:rsid w:val="00E87C19"/>
    <w:rsid w:val="00E9112A"/>
    <w:rsid w:val="00E91198"/>
    <w:rsid w:val="00E92420"/>
    <w:rsid w:val="00E9318D"/>
    <w:rsid w:val="00E93F3E"/>
    <w:rsid w:val="00E95063"/>
    <w:rsid w:val="00E96831"/>
    <w:rsid w:val="00E978A1"/>
    <w:rsid w:val="00EA646D"/>
    <w:rsid w:val="00EB0310"/>
    <w:rsid w:val="00EB1FA8"/>
    <w:rsid w:val="00EB2676"/>
    <w:rsid w:val="00EB73D5"/>
    <w:rsid w:val="00EC0189"/>
    <w:rsid w:val="00EC1B61"/>
    <w:rsid w:val="00EC1EAC"/>
    <w:rsid w:val="00EC7F46"/>
    <w:rsid w:val="00ED1054"/>
    <w:rsid w:val="00ED1064"/>
    <w:rsid w:val="00ED59AD"/>
    <w:rsid w:val="00EE133A"/>
    <w:rsid w:val="00EE25A1"/>
    <w:rsid w:val="00EE39DE"/>
    <w:rsid w:val="00EE70D8"/>
    <w:rsid w:val="00EF4586"/>
    <w:rsid w:val="00EF493A"/>
    <w:rsid w:val="00EF57F6"/>
    <w:rsid w:val="00EF668E"/>
    <w:rsid w:val="00F00987"/>
    <w:rsid w:val="00F018AA"/>
    <w:rsid w:val="00F02C9F"/>
    <w:rsid w:val="00F063C2"/>
    <w:rsid w:val="00F074FB"/>
    <w:rsid w:val="00F0789F"/>
    <w:rsid w:val="00F11107"/>
    <w:rsid w:val="00F115CA"/>
    <w:rsid w:val="00F13A6A"/>
    <w:rsid w:val="00F15716"/>
    <w:rsid w:val="00F15C94"/>
    <w:rsid w:val="00F23A00"/>
    <w:rsid w:val="00F23E82"/>
    <w:rsid w:val="00F275A1"/>
    <w:rsid w:val="00F27BF2"/>
    <w:rsid w:val="00F32DE2"/>
    <w:rsid w:val="00F35D82"/>
    <w:rsid w:val="00F360E4"/>
    <w:rsid w:val="00F37F21"/>
    <w:rsid w:val="00F43FC7"/>
    <w:rsid w:val="00F44CFE"/>
    <w:rsid w:val="00F47399"/>
    <w:rsid w:val="00F47F99"/>
    <w:rsid w:val="00F507CC"/>
    <w:rsid w:val="00F52394"/>
    <w:rsid w:val="00F53193"/>
    <w:rsid w:val="00F5357E"/>
    <w:rsid w:val="00F56C94"/>
    <w:rsid w:val="00F571C9"/>
    <w:rsid w:val="00F6021F"/>
    <w:rsid w:val="00F608C8"/>
    <w:rsid w:val="00F6230D"/>
    <w:rsid w:val="00F628BB"/>
    <w:rsid w:val="00F64C17"/>
    <w:rsid w:val="00F6586C"/>
    <w:rsid w:val="00F671F1"/>
    <w:rsid w:val="00F709B2"/>
    <w:rsid w:val="00F718E3"/>
    <w:rsid w:val="00F76D31"/>
    <w:rsid w:val="00F76FB7"/>
    <w:rsid w:val="00F77B85"/>
    <w:rsid w:val="00F80609"/>
    <w:rsid w:val="00F9038B"/>
    <w:rsid w:val="00F904FF"/>
    <w:rsid w:val="00F92EA2"/>
    <w:rsid w:val="00F94774"/>
    <w:rsid w:val="00F948C0"/>
    <w:rsid w:val="00FA29B3"/>
    <w:rsid w:val="00FA3963"/>
    <w:rsid w:val="00FA57EB"/>
    <w:rsid w:val="00FA663B"/>
    <w:rsid w:val="00FA715B"/>
    <w:rsid w:val="00FB268B"/>
    <w:rsid w:val="00FB6391"/>
    <w:rsid w:val="00FB7D64"/>
    <w:rsid w:val="00FC058B"/>
    <w:rsid w:val="00FC2C05"/>
    <w:rsid w:val="00FC445D"/>
    <w:rsid w:val="00FC53DB"/>
    <w:rsid w:val="00FC74FB"/>
    <w:rsid w:val="00FD13CC"/>
    <w:rsid w:val="00FD502C"/>
    <w:rsid w:val="00FD55AF"/>
    <w:rsid w:val="00FD6B17"/>
    <w:rsid w:val="00FF29C4"/>
    <w:rsid w:val="00FF5308"/>
    <w:rsid w:val="01489B5C"/>
    <w:rsid w:val="019AB155"/>
    <w:rsid w:val="01BC41E7"/>
    <w:rsid w:val="026EC1EC"/>
    <w:rsid w:val="02A79A8E"/>
    <w:rsid w:val="02E8FD81"/>
    <w:rsid w:val="02E9B7CA"/>
    <w:rsid w:val="0362873B"/>
    <w:rsid w:val="03A176F6"/>
    <w:rsid w:val="04796B69"/>
    <w:rsid w:val="04BCE014"/>
    <w:rsid w:val="04C1FF5A"/>
    <w:rsid w:val="04F2273D"/>
    <w:rsid w:val="04FD1B42"/>
    <w:rsid w:val="0500C36D"/>
    <w:rsid w:val="055DDB9D"/>
    <w:rsid w:val="065BDE7D"/>
    <w:rsid w:val="068918F8"/>
    <w:rsid w:val="06EB972F"/>
    <w:rsid w:val="06EC7371"/>
    <w:rsid w:val="0792A7F3"/>
    <w:rsid w:val="07BA96A8"/>
    <w:rsid w:val="08070B6F"/>
    <w:rsid w:val="08903064"/>
    <w:rsid w:val="08BBBCD1"/>
    <w:rsid w:val="09119C4C"/>
    <w:rsid w:val="09721B3A"/>
    <w:rsid w:val="098E689F"/>
    <w:rsid w:val="09A71F60"/>
    <w:rsid w:val="09BF511A"/>
    <w:rsid w:val="09D17032"/>
    <w:rsid w:val="0A52ED65"/>
    <w:rsid w:val="0A7A9B31"/>
    <w:rsid w:val="0AAAFE18"/>
    <w:rsid w:val="0AD174D0"/>
    <w:rsid w:val="0AFA4CCE"/>
    <w:rsid w:val="0B1AFA39"/>
    <w:rsid w:val="0B220430"/>
    <w:rsid w:val="0B9B3506"/>
    <w:rsid w:val="0BBC939D"/>
    <w:rsid w:val="0C6E39B8"/>
    <w:rsid w:val="0CA23504"/>
    <w:rsid w:val="0CBEEBAA"/>
    <w:rsid w:val="0D2713BB"/>
    <w:rsid w:val="0D396A39"/>
    <w:rsid w:val="0E16BFE0"/>
    <w:rsid w:val="0E2CD7DB"/>
    <w:rsid w:val="0E5691C7"/>
    <w:rsid w:val="0E9B3EB1"/>
    <w:rsid w:val="0EEB981B"/>
    <w:rsid w:val="0FB6AB09"/>
    <w:rsid w:val="0FD99DB4"/>
    <w:rsid w:val="0FE55AB2"/>
    <w:rsid w:val="0FF9EBE2"/>
    <w:rsid w:val="10234666"/>
    <w:rsid w:val="10BDC6BF"/>
    <w:rsid w:val="10CB0C4F"/>
    <w:rsid w:val="10EA6BA1"/>
    <w:rsid w:val="119E8721"/>
    <w:rsid w:val="11A76157"/>
    <w:rsid w:val="120124F2"/>
    <w:rsid w:val="12FAF47A"/>
    <w:rsid w:val="13444AE7"/>
    <w:rsid w:val="14320E80"/>
    <w:rsid w:val="14A33569"/>
    <w:rsid w:val="153829F7"/>
    <w:rsid w:val="15551BB2"/>
    <w:rsid w:val="16A4AA48"/>
    <w:rsid w:val="16BF9379"/>
    <w:rsid w:val="16C305DE"/>
    <w:rsid w:val="1799BEAA"/>
    <w:rsid w:val="17C61F8D"/>
    <w:rsid w:val="17EAD9D6"/>
    <w:rsid w:val="17F64321"/>
    <w:rsid w:val="181E0801"/>
    <w:rsid w:val="18641BD3"/>
    <w:rsid w:val="1882591F"/>
    <w:rsid w:val="1896C4F7"/>
    <w:rsid w:val="18A8D8A3"/>
    <w:rsid w:val="18ED37B1"/>
    <w:rsid w:val="191561C8"/>
    <w:rsid w:val="19231123"/>
    <w:rsid w:val="19DFE50C"/>
    <w:rsid w:val="1A09F391"/>
    <w:rsid w:val="1A13E290"/>
    <w:rsid w:val="1A37E8A5"/>
    <w:rsid w:val="1A830DE8"/>
    <w:rsid w:val="1A898B7D"/>
    <w:rsid w:val="1AC62491"/>
    <w:rsid w:val="1B07BD94"/>
    <w:rsid w:val="1B119C43"/>
    <w:rsid w:val="1B148FFB"/>
    <w:rsid w:val="1BC1E0C3"/>
    <w:rsid w:val="1C145B33"/>
    <w:rsid w:val="1D8D53FA"/>
    <w:rsid w:val="1DC91954"/>
    <w:rsid w:val="1E16F5C6"/>
    <w:rsid w:val="1E509BFE"/>
    <w:rsid w:val="1E898417"/>
    <w:rsid w:val="1EF38F5F"/>
    <w:rsid w:val="1F97CBC6"/>
    <w:rsid w:val="1FB03668"/>
    <w:rsid w:val="1FC2379C"/>
    <w:rsid w:val="20244C96"/>
    <w:rsid w:val="2034FFC9"/>
    <w:rsid w:val="204704EC"/>
    <w:rsid w:val="20BA7495"/>
    <w:rsid w:val="20DAFA87"/>
    <w:rsid w:val="2115E339"/>
    <w:rsid w:val="215A44F6"/>
    <w:rsid w:val="2165D201"/>
    <w:rsid w:val="216C8EE8"/>
    <w:rsid w:val="21786650"/>
    <w:rsid w:val="221FA459"/>
    <w:rsid w:val="222D9A7A"/>
    <w:rsid w:val="2255F31A"/>
    <w:rsid w:val="22616B18"/>
    <w:rsid w:val="226A4524"/>
    <w:rsid w:val="22F896E2"/>
    <w:rsid w:val="24230835"/>
    <w:rsid w:val="2469618C"/>
    <w:rsid w:val="248D7B4E"/>
    <w:rsid w:val="248EA505"/>
    <w:rsid w:val="24926DB0"/>
    <w:rsid w:val="24EC4E77"/>
    <w:rsid w:val="24FAF530"/>
    <w:rsid w:val="26045F5D"/>
    <w:rsid w:val="262A2D82"/>
    <w:rsid w:val="262DCABC"/>
    <w:rsid w:val="2665B8E4"/>
    <w:rsid w:val="26BA799E"/>
    <w:rsid w:val="26D22C9D"/>
    <w:rsid w:val="270A5360"/>
    <w:rsid w:val="278BCC1A"/>
    <w:rsid w:val="28535628"/>
    <w:rsid w:val="28FB21C1"/>
    <w:rsid w:val="2901D521"/>
    <w:rsid w:val="2914539A"/>
    <w:rsid w:val="2927068E"/>
    <w:rsid w:val="29673115"/>
    <w:rsid w:val="2A85F45A"/>
    <w:rsid w:val="2ACE7A69"/>
    <w:rsid w:val="2B583537"/>
    <w:rsid w:val="2BD8E9D4"/>
    <w:rsid w:val="2BE0D704"/>
    <w:rsid w:val="2C1BF083"/>
    <w:rsid w:val="2C2659AC"/>
    <w:rsid w:val="2C3D3AAC"/>
    <w:rsid w:val="2C898F9D"/>
    <w:rsid w:val="2CAB4023"/>
    <w:rsid w:val="2CEA75F8"/>
    <w:rsid w:val="2D1A5143"/>
    <w:rsid w:val="2DB953BA"/>
    <w:rsid w:val="2DBD7BD0"/>
    <w:rsid w:val="2DF6D07C"/>
    <w:rsid w:val="2E18C739"/>
    <w:rsid w:val="2ED07D00"/>
    <w:rsid w:val="2F4AB097"/>
    <w:rsid w:val="2F7B1AB0"/>
    <w:rsid w:val="2FABB1B9"/>
    <w:rsid w:val="2FBF068D"/>
    <w:rsid w:val="2FE6965D"/>
    <w:rsid w:val="2FE6AE91"/>
    <w:rsid w:val="3001605D"/>
    <w:rsid w:val="3009CD6F"/>
    <w:rsid w:val="30458E17"/>
    <w:rsid w:val="318423DF"/>
    <w:rsid w:val="3187E445"/>
    <w:rsid w:val="31E7154A"/>
    <w:rsid w:val="31F4080F"/>
    <w:rsid w:val="31FB8979"/>
    <w:rsid w:val="322B60C2"/>
    <w:rsid w:val="3281DABB"/>
    <w:rsid w:val="32929CAB"/>
    <w:rsid w:val="33309B6E"/>
    <w:rsid w:val="3335D4F8"/>
    <w:rsid w:val="3361D1E6"/>
    <w:rsid w:val="33A4EC75"/>
    <w:rsid w:val="33ACC272"/>
    <w:rsid w:val="33FC532D"/>
    <w:rsid w:val="3431B60B"/>
    <w:rsid w:val="3487BEBE"/>
    <w:rsid w:val="34E71836"/>
    <w:rsid w:val="34F92D5E"/>
    <w:rsid w:val="35824412"/>
    <w:rsid w:val="362DA4B8"/>
    <w:rsid w:val="363AFF96"/>
    <w:rsid w:val="367B91D7"/>
    <w:rsid w:val="36A523EA"/>
    <w:rsid w:val="36CFBE43"/>
    <w:rsid w:val="376FA0EE"/>
    <w:rsid w:val="37B71E94"/>
    <w:rsid w:val="38F7BEC1"/>
    <w:rsid w:val="39465808"/>
    <w:rsid w:val="394CAE2C"/>
    <w:rsid w:val="39DC8DE8"/>
    <w:rsid w:val="39F2C7BC"/>
    <w:rsid w:val="3A10AC8B"/>
    <w:rsid w:val="3A287D87"/>
    <w:rsid w:val="3A8417EB"/>
    <w:rsid w:val="3AA6B522"/>
    <w:rsid w:val="3AE97D77"/>
    <w:rsid w:val="3B4982D2"/>
    <w:rsid w:val="3C4231F6"/>
    <w:rsid w:val="3C428D8B"/>
    <w:rsid w:val="3C601E1E"/>
    <w:rsid w:val="3C76C85E"/>
    <w:rsid w:val="3CBED44D"/>
    <w:rsid w:val="3CE144DC"/>
    <w:rsid w:val="3D00ED9F"/>
    <w:rsid w:val="3D34C3F0"/>
    <w:rsid w:val="3DC56AD4"/>
    <w:rsid w:val="3DCB6A17"/>
    <w:rsid w:val="3E300D40"/>
    <w:rsid w:val="3E62C19D"/>
    <w:rsid w:val="3EB52D9A"/>
    <w:rsid w:val="3EDCCB09"/>
    <w:rsid w:val="3F0387CF"/>
    <w:rsid w:val="3F25406B"/>
    <w:rsid w:val="3F6E7150"/>
    <w:rsid w:val="3FD878ED"/>
    <w:rsid w:val="3FF38DD6"/>
    <w:rsid w:val="4051ABDC"/>
    <w:rsid w:val="409BC683"/>
    <w:rsid w:val="40EB6B43"/>
    <w:rsid w:val="4126DC35"/>
    <w:rsid w:val="412F1EDB"/>
    <w:rsid w:val="4130CC0B"/>
    <w:rsid w:val="414A16AF"/>
    <w:rsid w:val="415D912E"/>
    <w:rsid w:val="4170DCFB"/>
    <w:rsid w:val="41E6C497"/>
    <w:rsid w:val="4205479F"/>
    <w:rsid w:val="42152A63"/>
    <w:rsid w:val="42AEB2AE"/>
    <w:rsid w:val="42CBC9CD"/>
    <w:rsid w:val="42FD5547"/>
    <w:rsid w:val="4365005F"/>
    <w:rsid w:val="438DDCF8"/>
    <w:rsid w:val="43AB6713"/>
    <w:rsid w:val="43E77959"/>
    <w:rsid w:val="4451EC47"/>
    <w:rsid w:val="44DC1F3D"/>
    <w:rsid w:val="44DCC60C"/>
    <w:rsid w:val="4514BF60"/>
    <w:rsid w:val="456013D9"/>
    <w:rsid w:val="45825879"/>
    <w:rsid w:val="4596AE9A"/>
    <w:rsid w:val="45A5CC31"/>
    <w:rsid w:val="45B15106"/>
    <w:rsid w:val="4662546A"/>
    <w:rsid w:val="467E3D3D"/>
    <w:rsid w:val="46988027"/>
    <w:rsid w:val="47012AB3"/>
    <w:rsid w:val="4716AB94"/>
    <w:rsid w:val="472567F1"/>
    <w:rsid w:val="47329C0E"/>
    <w:rsid w:val="4771BBEC"/>
    <w:rsid w:val="479CA55A"/>
    <w:rsid w:val="47D945BA"/>
    <w:rsid w:val="48D3E746"/>
    <w:rsid w:val="491B6419"/>
    <w:rsid w:val="491E6174"/>
    <w:rsid w:val="4984834A"/>
    <w:rsid w:val="4A2C4D18"/>
    <w:rsid w:val="4A3F4DEE"/>
    <w:rsid w:val="4A437186"/>
    <w:rsid w:val="4A9BC9AD"/>
    <w:rsid w:val="4A9D5E77"/>
    <w:rsid w:val="4A9EF4E4"/>
    <w:rsid w:val="4AC3CD17"/>
    <w:rsid w:val="4BB78AE7"/>
    <w:rsid w:val="4BBAC2D2"/>
    <w:rsid w:val="4BFDEB3B"/>
    <w:rsid w:val="4C6BB874"/>
    <w:rsid w:val="4C794C28"/>
    <w:rsid w:val="4C866514"/>
    <w:rsid w:val="4CDDA195"/>
    <w:rsid w:val="4D229FAC"/>
    <w:rsid w:val="4D419237"/>
    <w:rsid w:val="4D4CDA3D"/>
    <w:rsid w:val="4D9C5761"/>
    <w:rsid w:val="4E5927DC"/>
    <w:rsid w:val="4E7176F6"/>
    <w:rsid w:val="4E996127"/>
    <w:rsid w:val="4EC61833"/>
    <w:rsid w:val="4ED4B0CE"/>
    <w:rsid w:val="4EFD95C4"/>
    <w:rsid w:val="4F05C791"/>
    <w:rsid w:val="4F4DD536"/>
    <w:rsid w:val="4FDF1699"/>
    <w:rsid w:val="4FE6AF58"/>
    <w:rsid w:val="4FFAA702"/>
    <w:rsid w:val="502999FE"/>
    <w:rsid w:val="504A4A3B"/>
    <w:rsid w:val="50B23471"/>
    <w:rsid w:val="50B2B2ED"/>
    <w:rsid w:val="51151D5E"/>
    <w:rsid w:val="5142615D"/>
    <w:rsid w:val="516F0665"/>
    <w:rsid w:val="51FAD08B"/>
    <w:rsid w:val="51FB1F8A"/>
    <w:rsid w:val="526596D3"/>
    <w:rsid w:val="5286CB32"/>
    <w:rsid w:val="5290436A"/>
    <w:rsid w:val="52D868FE"/>
    <w:rsid w:val="53EE1A29"/>
    <w:rsid w:val="543130A8"/>
    <w:rsid w:val="546DD6F5"/>
    <w:rsid w:val="54B865D9"/>
    <w:rsid w:val="54D6D31C"/>
    <w:rsid w:val="5592A339"/>
    <w:rsid w:val="55E2ABDC"/>
    <w:rsid w:val="55E4E63F"/>
    <w:rsid w:val="5649DFE8"/>
    <w:rsid w:val="569A3485"/>
    <w:rsid w:val="56C6598B"/>
    <w:rsid w:val="574BF565"/>
    <w:rsid w:val="575408C3"/>
    <w:rsid w:val="577E6567"/>
    <w:rsid w:val="579DBDB2"/>
    <w:rsid w:val="593D2D81"/>
    <w:rsid w:val="59671C7F"/>
    <w:rsid w:val="59A880CE"/>
    <w:rsid w:val="59B175D0"/>
    <w:rsid w:val="59C02D69"/>
    <w:rsid w:val="59C55C36"/>
    <w:rsid w:val="59D6CA1D"/>
    <w:rsid w:val="5A0F31DC"/>
    <w:rsid w:val="5A143015"/>
    <w:rsid w:val="5A1C09CE"/>
    <w:rsid w:val="5A1F2FE6"/>
    <w:rsid w:val="5A36FFD0"/>
    <w:rsid w:val="5AB7D7F3"/>
    <w:rsid w:val="5AE75808"/>
    <w:rsid w:val="5BBFF4D0"/>
    <w:rsid w:val="5BD0B357"/>
    <w:rsid w:val="5BD8B91C"/>
    <w:rsid w:val="5C561677"/>
    <w:rsid w:val="5C7559E4"/>
    <w:rsid w:val="5CA5DAA6"/>
    <w:rsid w:val="5CA826C4"/>
    <w:rsid w:val="5CAE5801"/>
    <w:rsid w:val="5CE909B8"/>
    <w:rsid w:val="5D2483AA"/>
    <w:rsid w:val="5DC37389"/>
    <w:rsid w:val="5DD2F56F"/>
    <w:rsid w:val="5EB3F1E8"/>
    <w:rsid w:val="5ECB1F23"/>
    <w:rsid w:val="5F1C2CC4"/>
    <w:rsid w:val="5F2C8CDD"/>
    <w:rsid w:val="5F31E5CD"/>
    <w:rsid w:val="5F733C83"/>
    <w:rsid w:val="5FE37B3F"/>
    <w:rsid w:val="6009137D"/>
    <w:rsid w:val="6046296B"/>
    <w:rsid w:val="604FA5E3"/>
    <w:rsid w:val="605B8E58"/>
    <w:rsid w:val="6096C477"/>
    <w:rsid w:val="60EE39CB"/>
    <w:rsid w:val="611AA0EC"/>
    <w:rsid w:val="616F03FD"/>
    <w:rsid w:val="61725DCA"/>
    <w:rsid w:val="619010C8"/>
    <w:rsid w:val="61E3F6E4"/>
    <w:rsid w:val="625E5E53"/>
    <w:rsid w:val="62DAADDD"/>
    <w:rsid w:val="6346C18E"/>
    <w:rsid w:val="636FACDD"/>
    <w:rsid w:val="63798BB2"/>
    <w:rsid w:val="639EAE80"/>
    <w:rsid w:val="64D93D83"/>
    <w:rsid w:val="6570FDD5"/>
    <w:rsid w:val="659A58D2"/>
    <w:rsid w:val="65D4024B"/>
    <w:rsid w:val="65EE3E1B"/>
    <w:rsid w:val="6644F6B3"/>
    <w:rsid w:val="666F2597"/>
    <w:rsid w:val="6683E8F8"/>
    <w:rsid w:val="6684C2C9"/>
    <w:rsid w:val="6696FFE3"/>
    <w:rsid w:val="6698FDE7"/>
    <w:rsid w:val="66B8396D"/>
    <w:rsid w:val="66D752F7"/>
    <w:rsid w:val="678F0BEA"/>
    <w:rsid w:val="6792AE07"/>
    <w:rsid w:val="67E68AC9"/>
    <w:rsid w:val="683BC4E6"/>
    <w:rsid w:val="68441351"/>
    <w:rsid w:val="690BC054"/>
    <w:rsid w:val="6922A1C7"/>
    <w:rsid w:val="69605099"/>
    <w:rsid w:val="6A6C6B0A"/>
    <w:rsid w:val="6AA5057F"/>
    <w:rsid w:val="6AC57761"/>
    <w:rsid w:val="6AE13889"/>
    <w:rsid w:val="6B2E3DA5"/>
    <w:rsid w:val="6C45C417"/>
    <w:rsid w:val="6C6B58E7"/>
    <w:rsid w:val="6C6E03BF"/>
    <w:rsid w:val="6CE5A941"/>
    <w:rsid w:val="6D32AA49"/>
    <w:rsid w:val="6E8022B2"/>
    <w:rsid w:val="6E8BFE50"/>
    <w:rsid w:val="6EB229AE"/>
    <w:rsid w:val="6ECE22CD"/>
    <w:rsid w:val="6F676A8E"/>
    <w:rsid w:val="6F8BE837"/>
    <w:rsid w:val="6FF4B6BE"/>
    <w:rsid w:val="702B5ECD"/>
    <w:rsid w:val="70FF6F13"/>
    <w:rsid w:val="711297A1"/>
    <w:rsid w:val="71230B5D"/>
    <w:rsid w:val="714F2FFD"/>
    <w:rsid w:val="716BF481"/>
    <w:rsid w:val="718412AE"/>
    <w:rsid w:val="72C2C624"/>
    <w:rsid w:val="73C6EB81"/>
    <w:rsid w:val="73EC105B"/>
    <w:rsid w:val="7402B24B"/>
    <w:rsid w:val="74686534"/>
    <w:rsid w:val="75D21E86"/>
    <w:rsid w:val="75E1A5C7"/>
    <w:rsid w:val="7646B11F"/>
    <w:rsid w:val="764BC4B3"/>
    <w:rsid w:val="76ED1736"/>
    <w:rsid w:val="76EDC8C0"/>
    <w:rsid w:val="77FED3F8"/>
    <w:rsid w:val="7980B05E"/>
    <w:rsid w:val="7A15717E"/>
    <w:rsid w:val="7A2D59D1"/>
    <w:rsid w:val="7AF9BFC7"/>
    <w:rsid w:val="7B2A3D6E"/>
    <w:rsid w:val="7B7CEC49"/>
    <w:rsid w:val="7BBF10C0"/>
    <w:rsid w:val="7BD8F531"/>
    <w:rsid w:val="7C639D45"/>
    <w:rsid w:val="7CC6E57C"/>
    <w:rsid w:val="7CFF1381"/>
    <w:rsid w:val="7D0CCDE4"/>
    <w:rsid w:val="7D220687"/>
    <w:rsid w:val="7D75FBF8"/>
    <w:rsid w:val="7DD943DF"/>
    <w:rsid w:val="7DE00E6F"/>
    <w:rsid w:val="7DE8246A"/>
    <w:rsid w:val="7DF4D556"/>
    <w:rsid w:val="7E2EC004"/>
    <w:rsid w:val="7E8EE30B"/>
    <w:rsid w:val="7F247A80"/>
    <w:rsid w:val="7F4B6090"/>
    <w:rsid w:val="7F5084B5"/>
    <w:rsid w:val="7F7E98A9"/>
    <w:rsid w:val="7FE2DB0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F2EF3C1"/>
  <w15:docId w15:val="{396B3751-2167-43AF-BA3E-E571FD748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0E2"/>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6A10E2"/>
    <w:pPr>
      <w:keepNext/>
      <w:keepLines/>
      <w:numPr>
        <w:numId w:val="4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A10E2"/>
    <w:pPr>
      <w:keepNext/>
      <w:keepLines/>
      <w:numPr>
        <w:ilvl w:val="1"/>
        <w:numId w:val="4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A10E2"/>
    <w:pPr>
      <w:keepNext/>
      <w:keepLines/>
      <w:numPr>
        <w:ilvl w:val="2"/>
        <w:numId w:val="4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A10E2"/>
    <w:pPr>
      <w:keepNext/>
      <w:numPr>
        <w:ilvl w:val="3"/>
        <w:numId w:val="4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A10E2"/>
    <w:pPr>
      <w:keepNext/>
      <w:numPr>
        <w:ilvl w:val="4"/>
        <w:numId w:val="45"/>
      </w:numPr>
      <w:spacing w:before="120" w:after="120"/>
      <w:jc w:val="left"/>
      <w:outlineLvl w:val="4"/>
    </w:pPr>
    <w:rPr>
      <w:rFonts w:eastAsiaTheme="majorEastAsia"/>
      <w:i/>
      <w:iCs/>
    </w:rPr>
  </w:style>
  <w:style w:type="paragraph" w:styleId="Heading6">
    <w:name w:val="heading 6"/>
    <w:basedOn w:val="Normal"/>
    <w:next w:val="Normal"/>
    <w:link w:val="Heading6Char"/>
    <w:rsid w:val="006A10E2"/>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6A10E2"/>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6A10E2"/>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6A10E2"/>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ES"/>
    </w:rPr>
  </w:style>
  <w:style w:type="character" w:styleId="PlaceholderText">
    <w:name w:val="Placeholder Text"/>
    <w:basedOn w:val="DefaultParagraphFont"/>
    <w:uiPriority w:val="99"/>
    <w:semiHidden/>
    <w:rsid w:val="00105372"/>
    <w:rPr>
      <w:color w:val="808080"/>
      <w:lang w:val="es-ES"/>
    </w:rPr>
  </w:style>
  <w:style w:type="paragraph" w:styleId="Header">
    <w:name w:val="header"/>
    <w:basedOn w:val="Normal"/>
    <w:link w:val="HeaderChar"/>
    <w:rsid w:val="006A10E2"/>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A10E2"/>
    <w:rPr>
      <w:rFonts w:ascii="Times New Roman" w:eastAsia="SimSun" w:hAnsi="Times New Roman" w:cs="Times New Roman"/>
      <w:sz w:val="20"/>
      <w:szCs w:val="22"/>
      <w:lang w:val="es-ES"/>
    </w:rPr>
  </w:style>
  <w:style w:type="paragraph" w:styleId="Footer">
    <w:name w:val="footer"/>
    <w:basedOn w:val="Normal"/>
    <w:link w:val="FooterChar"/>
    <w:uiPriority w:val="99"/>
    <w:rsid w:val="006A10E2"/>
    <w:pPr>
      <w:tabs>
        <w:tab w:val="center" w:pos="4680"/>
        <w:tab w:val="right" w:pos="9360"/>
      </w:tabs>
    </w:pPr>
    <w:rPr>
      <w:sz w:val="20"/>
    </w:rPr>
  </w:style>
  <w:style w:type="character" w:customStyle="1" w:styleId="FooterChar">
    <w:name w:val="Footer Char"/>
    <w:basedOn w:val="DefaultParagraphFont"/>
    <w:link w:val="Footer"/>
    <w:uiPriority w:val="99"/>
    <w:rsid w:val="006A10E2"/>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Heading1Char">
    <w:name w:val="Heading 1 Char"/>
    <w:basedOn w:val="DefaultParagraphFont"/>
    <w:link w:val="Heading1"/>
    <w:uiPriority w:val="9"/>
    <w:rsid w:val="006A10E2"/>
    <w:rPr>
      <w:rFonts w:ascii="Times New Roman" w:eastAsiaTheme="majorEastAsia" w:hAnsi="Times New Roman" w:cstheme="majorBidi"/>
      <w:b/>
      <w:bCs/>
      <w:kern w:val="2"/>
      <w:sz w:val="28"/>
      <w:szCs w:val="32"/>
      <w:lang w:val="es-ES"/>
      <w14:ligatures w14:val="standardContextual"/>
    </w:rPr>
  </w:style>
  <w:style w:type="paragraph" w:styleId="BodyText">
    <w:name w:val="Body Text"/>
    <w:basedOn w:val="Normal"/>
    <w:link w:val="BodyTextChar"/>
    <w:uiPriority w:val="99"/>
    <w:unhideWhenUsed/>
    <w:rsid w:val="006A10E2"/>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6A10E2"/>
    <w:rPr>
      <w:rFonts w:eastAsiaTheme="minorHAnsi"/>
      <w:kern w:val="2"/>
      <w:sz w:val="22"/>
      <w:szCs w:val="22"/>
      <w:lang w:val="es-ES"/>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ES"/>
    </w:rPr>
  </w:style>
  <w:style w:type="character" w:styleId="CommentReference">
    <w:name w:val="annotation reference"/>
    <w:basedOn w:val="DefaultParagraphFont"/>
    <w:uiPriority w:val="99"/>
    <w:semiHidden/>
    <w:unhideWhenUsed/>
    <w:rsid w:val="006A10E2"/>
    <w:rPr>
      <w:sz w:val="16"/>
      <w:szCs w:val="16"/>
      <w:lang w:val="es-ES"/>
    </w:rPr>
  </w:style>
  <w:style w:type="paragraph" w:styleId="CommentText">
    <w:name w:val="annotation text"/>
    <w:basedOn w:val="Normal"/>
    <w:link w:val="CommentTextChar"/>
    <w:uiPriority w:val="99"/>
    <w:rsid w:val="006A10E2"/>
    <w:rPr>
      <w:sz w:val="20"/>
      <w:szCs w:val="20"/>
    </w:rPr>
  </w:style>
  <w:style w:type="character" w:customStyle="1" w:styleId="CommentTextChar">
    <w:name w:val="Comment Text Char"/>
    <w:basedOn w:val="DefaultParagraphFont"/>
    <w:link w:val="CommentText"/>
    <w:uiPriority w:val="99"/>
    <w:rsid w:val="006A10E2"/>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ES"/>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ES"/>
    </w:rPr>
  </w:style>
  <w:style w:type="character" w:styleId="FollowedHyperlink">
    <w:name w:val="FollowedHyperlink"/>
    <w:rsid w:val="007E09DA"/>
    <w:rPr>
      <w:color w:val="800080"/>
      <w:u w:val="single"/>
      <w:lang w:val="es-ES"/>
    </w:rPr>
  </w:style>
  <w:style w:type="character" w:styleId="FootnoteReference">
    <w:name w:val="footnote reference"/>
    <w:basedOn w:val="DefaultParagraphFont"/>
    <w:uiPriority w:val="99"/>
    <w:semiHidden/>
    <w:unhideWhenUsed/>
    <w:rsid w:val="006A10E2"/>
    <w:rPr>
      <w:vertAlign w:val="superscript"/>
      <w:lang w:val="es-ES"/>
    </w:rPr>
  </w:style>
  <w:style w:type="paragraph" w:styleId="FootnoteText">
    <w:name w:val="footnote text"/>
    <w:basedOn w:val="Normal"/>
    <w:link w:val="FootnoteTextChar"/>
    <w:uiPriority w:val="99"/>
    <w:semiHidden/>
    <w:unhideWhenUsed/>
    <w:rsid w:val="006A10E2"/>
    <w:pPr>
      <w:jc w:val="left"/>
    </w:pPr>
    <w:rPr>
      <w:sz w:val="18"/>
      <w:szCs w:val="20"/>
    </w:rPr>
  </w:style>
  <w:style w:type="character" w:customStyle="1" w:styleId="FootnoteTextChar">
    <w:name w:val="Footnote Text Char"/>
    <w:basedOn w:val="DefaultParagraphFont"/>
    <w:link w:val="FootnoteText"/>
    <w:uiPriority w:val="99"/>
    <w:semiHidden/>
    <w:rsid w:val="006A10E2"/>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6A10E2"/>
    <w:rPr>
      <w:rFonts w:ascii="Times New Roman Bold" w:eastAsiaTheme="majorEastAsia" w:hAnsi="Times New Roman Bold" w:cstheme="majorBidi"/>
      <w:b/>
      <w:szCs w:val="26"/>
      <w:lang w:val="es-E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6A10E2"/>
    <w:rPr>
      <w:rFonts w:ascii="Times New Roman" w:eastAsiaTheme="majorEastAsia" w:hAnsi="Times New Roman" w:cs="Times New Roman"/>
      <w:b/>
      <w:bCs/>
      <w:sz w:val="22"/>
      <w:szCs w:val="22"/>
      <w:lang w:val="es-E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6A10E2"/>
    <w:rPr>
      <w:rFonts w:ascii="Times New Roman" w:eastAsiaTheme="majorEastAsia" w:hAnsi="Times New Roman" w:cs="Times New Roman"/>
      <w:b/>
      <w:bCs/>
      <w:sz w:val="22"/>
      <w:szCs w:val="22"/>
      <w:lang w:val="es-E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6A10E2"/>
    <w:rPr>
      <w:rFonts w:ascii="Times New Roman" w:eastAsiaTheme="majorEastAsia" w:hAnsi="Times New Roman" w:cs="Times New Roman"/>
      <w:i/>
      <w:iCs/>
      <w:sz w:val="22"/>
      <w:szCs w:val="22"/>
      <w:lang w:val="es-ES"/>
    </w:rPr>
  </w:style>
  <w:style w:type="character" w:customStyle="1" w:styleId="Heading6Char">
    <w:name w:val="Heading 6 Char"/>
    <w:basedOn w:val="DefaultParagraphFont"/>
    <w:link w:val="Heading6"/>
    <w:rsid w:val="006A10E2"/>
    <w:rPr>
      <w:rFonts w:ascii="Times New Roman" w:eastAsia="SimSun" w:hAnsi="Times New Roman" w:cs="Times New Roman"/>
      <w:bCs/>
      <w:szCs w:val="22"/>
      <w:lang w:val="es-ES"/>
    </w:rPr>
  </w:style>
  <w:style w:type="character" w:customStyle="1" w:styleId="Heading7Char">
    <w:name w:val="Heading 7 Char"/>
    <w:basedOn w:val="DefaultParagraphFont"/>
    <w:link w:val="Heading7"/>
    <w:rsid w:val="006A10E2"/>
    <w:rPr>
      <w:rFonts w:ascii="Times New Roman" w:eastAsia="SimSun" w:hAnsi="Times New Roman" w:cs="Times New Roman"/>
      <w:b/>
      <w:snapToGrid w:val="0"/>
      <w:sz w:val="22"/>
      <w:szCs w:val="22"/>
      <w:u w:val="single"/>
      <w:lang w:val="es-ES"/>
    </w:rPr>
  </w:style>
  <w:style w:type="character" w:customStyle="1" w:styleId="Heading8Char">
    <w:name w:val="Heading 8 Char"/>
    <w:basedOn w:val="DefaultParagraphFont"/>
    <w:link w:val="Heading8"/>
    <w:rsid w:val="006A10E2"/>
    <w:rPr>
      <w:rFonts w:ascii="Times New Roman" w:eastAsia="SimSun" w:hAnsi="Times New Roman" w:cs="Times New Roman"/>
      <w:b/>
      <w:snapToGrid w:val="0"/>
      <w:sz w:val="22"/>
      <w:szCs w:val="22"/>
      <w:u w:val="single"/>
      <w:lang w:val="es-ES"/>
    </w:rPr>
  </w:style>
  <w:style w:type="character" w:customStyle="1" w:styleId="Heading9Char">
    <w:name w:val="Heading 9 Char"/>
    <w:basedOn w:val="DefaultParagraphFont"/>
    <w:link w:val="Heading9"/>
    <w:rsid w:val="006A10E2"/>
    <w:rPr>
      <w:rFonts w:ascii="Times New Roman" w:eastAsia="SimSun" w:hAnsi="Times New Roman" w:cs="Times New Roman"/>
      <w:snapToGrid w:val="0"/>
      <w:sz w:val="22"/>
      <w:szCs w:val="22"/>
      <w:u w:val="single"/>
      <w:lang w:val="es-ES"/>
    </w:rPr>
  </w:style>
  <w:style w:type="character" w:styleId="PageNumber">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5"/>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6"/>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6A10E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A10E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A10E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A10E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A10E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6A10E2"/>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7"/>
      </w:numPr>
      <w:spacing w:after="120"/>
    </w:pPr>
    <w:rPr>
      <w:rFonts w:cs="Angsana New"/>
    </w:rPr>
  </w:style>
  <w:style w:type="paragraph" w:styleId="ListParagraph">
    <w:name w:val="List Paragraph"/>
    <w:basedOn w:val="Normal"/>
    <w:uiPriority w:val="34"/>
    <w:qFormat/>
    <w:rsid w:val="006A10E2"/>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A10E2"/>
    <w:rPr>
      <w:rFonts w:ascii="Simplified Arabic" w:eastAsia="Times New Roman" w:hAnsi="Simplified Arabic" w:cs="Simplified Arabic"/>
      <w:noProof/>
    </w:rPr>
  </w:style>
  <w:style w:type="paragraph" w:customStyle="1" w:styleId="DarkList-Accent31">
    <w:name w:val="Dark List - Accent 31"/>
    <w:hidden/>
    <w:uiPriority w:val="99"/>
    <w:semiHidden/>
    <w:rsid w:val="006A10E2"/>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6A10E2"/>
    <w:pPr>
      <w:spacing w:after="120"/>
      <w:ind w:left="567"/>
    </w:pPr>
  </w:style>
  <w:style w:type="paragraph" w:customStyle="1" w:styleId="Footnote">
    <w:name w:val="Footnote"/>
    <w:basedOn w:val="FootnoteText"/>
    <w:semiHidden/>
    <w:qFormat/>
    <w:rsid w:val="006A10E2"/>
    <w:rPr>
      <w:szCs w:val="18"/>
    </w:rPr>
  </w:style>
  <w:style w:type="paragraph" w:customStyle="1" w:styleId="Annex">
    <w:name w:val="Annex"/>
    <w:basedOn w:val="Normal"/>
    <w:semiHidden/>
    <w:qFormat/>
    <w:rsid w:val="006A10E2"/>
    <w:pPr>
      <w:spacing w:after="240"/>
    </w:pPr>
    <w:rPr>
      <w:b/>
      <w:sz w:val="28"/>
    </w:rPr>
  </w:style>
  <w:style w:type="paragraph" w:customStyle="1" w:styleId="ABSymbol">
    <w:name w:val="AB_Symbol"/>
    <w:basedOn w:val="Normal"/>
    <w:qFormat/>
    <w:rsid w:val="006A10E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A10E2"/>
    <w:pPr>
      <w:numPr>
        <w:numId w:val="11"/>
      </w:numPr>
      <w:tabs>
        <w:tab w:val="left" w:pos="3969"/>
      </w:tabs>
      <w:spacing w:before="120" w:after="120"/>
    </w:pPr>
  </w:style>
  <w:style w:type="paragraph" w:customStyle="1" w:styleId="AFCorNNormal">
    <w:name w:val="AF_CorNNormal"/>
    <w:basedOn w:val="Normal"/>
    <w:unhideWhenUsed/>
    <w:rsid w:val="006A10E2"/>
    <w:pPr>
      <w:jc w:val="left"/>
    </w:pPr>
  </w:style>
  <w:style w:type="paragraph" w:customStyle="1" w:styleId="AEDistrNormal">
    <w:name w:val="AE_DistrNormal"/>
    <w:basedOn w:val="Normal"/>
    <w:unhideWhenUsed/>
    <w:rsid w:val="006A10E2"/>
    <w:pPr>
      <w:jc w:val="left"/>
    </w:pPr>
  </w:style>
  <w:style w:type="paragraph" w:customStyle="1" w:styleId="AASmallLogo">
    <w:name w:val="AA_SmallLogo"/>
    <w:basedOn w:val="AEDistrNormal"/>
    <w:unhideWhenUsed/>
    <w:rsid w:val="006A10E2"/>
    <w:pPr>
      <w:spacing w:before="40"/>
    </w:pPr>
    <w:rPr>
      <w:sz w:val="4"/>
    </w:rPr>
  </w:style>
  <w:style w:type="paragraph" w:customStyle="1" w:styleId="ACLargeLogo">
    <w:name w:val="AC_LargeLogo"/>
    <w:basedOn w:val="AFCorNNormal"/>
    <w:next w:val="AISpacer"/>
    <w:unhideWhenUsed/>
    <w:rsid w:val="006A10E2"/>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6A10E2"/>
    <w:rPr>
      <w:b/>
      <w:bCs/>
    </w:rPr>
  </w:style>
  <w:style w:type="character" w:customStyle="1" w:styleId="CommentSubjectChar">
    <w:name w:val="Comment Subject Char"/>
    <w:basedOn w:val="CommentTextChar"/>
    <w:link w:val="CommentSubject"/>
    <w:uiPriority w:val="99"/>
    <w:semiHidden/>
    <w:rsid w:val="006A10E2"/>
    <w:rPr>
      <w:rFonts w:ascii="Times New Roman" w:eastAsia="SimSun" w:hAnsi="Times New Roman" w:cs="Times New Roman"/>
      <w:b/>
      <w:bCs/>
      <w:sz w:val="20"/>
      <w:szCs w:val="20"/>
      <w:lang w:val="es-ES"/>
    </w:rPr>
  </w:style>
  <w:style w:type="paragraph" w:customStyle="1" w:styleId="Item">
    <w:name w:val="Item"/>
    <w:basedOn w:val="Normal"/>
    <w:semiHidden/>
    <w:qFormat/>
    <w:rsid w:val="006A10E2"/>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A10E2"/>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6A10E2"/>
    <w:pPr>
      <w:contextualSpacing/>
    </w:pPr>
  </w:style>
  <w:style w:type="numbering" w:customStyle="1" w:styleId="ListCBD">
    <w:name w:val="ListCBD"/>
    <w:basedOn w:val="NoList"/>
    <w:uiPriority w:val="99"/>
    <w:rsid w:val="006A10E2"/>
    <w:pPr>
      <w:numPr>
        <w:numId w:val="9"/>
      </w:numPr>
    </w:pPr>
  </w:style>
  <w:style w:type="numbering" w:customStyle="1" w:styleId="CBDHeadings">
    <w:name w:val="CBD_Headings"/>
    <w:basedOn w:val="ListCBD"/>
    <w:uiPriority w:val="99"/>
    <w:rsid w:val="006A10E2"/>
    <w:pPr>
      <w:numPr>
        <w:numId w:val="45"/>
      </w:numPr>
    </w:pPr>
  </w:style>
  <w:style w:type="paragraph" w:customStyle="1" w:styleId="AISpacer">
    <w:name w:val="AI_Spacer"/>
    <w:next w:val="Normal"/>
    <w:unhideWhenUsed/>
    <w:qFormat/>
    <w:rsid w:val="006A10E2"/>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6A10E2"/>
    <w:pPr>
      <w:spacing w:before="120"/>
    </w:pPr>
  </w:style>
  <w:style w:type="paragraph" w:customStyle="1" w:styleId="AFCorNBold">
    <w:name w:val="AF_CorNBold"/>
    <w:basedOn w:val="AFCorNNormal"/>
    <w:next w:val="AFCorNNormal"/>
    <w:unhideWhenUsed/>
    <w:qFormat/>
    <w:rsid w:val="006A10E2"/>
    <w:rPr>
      <w:b/>
    </w:rPr>
  </w:style>
  <w:style w:type="paragraph" w:customStyle="1" w:styleId="AFCorN12Bold">
    <w:name w:val="AF_CorN12Bold"/>
    <w:basedOn w:val="AFCorNNormal"/>
    <w:next w:val="AFCorNNormal"/>
    <w:unhideWhenUsed/>
    <w:qFormat/>
    <w:rsid w:val="006A10E2"/>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6A10E2"/>
    <w:pPr>
      <w:spacing w:after="120"/>
      <w:ind w:left="1134" w:firstLine="567"/>
    </w:pPr>
  </w:style>
  <w:style w:type="paragraph" w:customStyle="1" w:styleId="CBDDesicionAnnex">
    <w:name w:val="CBD_DesicionAnnex"/>
    <w:basedOn w:val="CBDNormal"/>
    <w:next w:val="CBDDesicionText"/>
    <w:qFormat/>
    <w:rsid w:val="006A10E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6A10E2"/>
    <w:pPr>
      <w:keepNext/>
      <w:keepLines/>
      <w:spacing w:after="240"/>
      <w:jc w:val="left"/>
    </w:pPr>
    <w:rPr>
      <w:b/>
      <w:sz w:val="28"/>
      <w:lang w:bidi="ar-SY"/>
    </w:rPr>
  </w:style>
  <w:style w:type="paragraph" w:customStyle="1" w:styleId="CBDSubTitle">
    <w:name w:val="CBD_SubTitle"/>
    <w:basedOn w:val="CBDNormal"/>
    <w:qFormat/>
    <w:rsid w:val="006A10E2"/>
    <w:pPr>
      <w:keepNext/>
      <w:keepLines/>
      <w:spacing w:before="240" w:after="240"/>
      <w:ind w:left="567"/>
      <w:jc w:val="left"/>
    </w:pPr>
    <w:rPr>
      <w:b/>
    </w:rPr>
  </w:style>
  <w:style w:type="paragraph" w:customStyle="1" w:styleId="CBDTitle">
    <w:name w:val="CBD_Title"/>
    <w:basedOn w:val="CBDNormal"/>
    <w:next w:val="CBDSubTitle"/>
    <w:qFormat/>
    <w:rsid w:val="006A10E2"/>
    <w:pPr>
      <w:keepNext/>
      <w:keepLines/>
      <w:spacing w:before="240" w:after="240"/>
      <w:ind w:left="567"/>
      <w:jc w:val="left"/>
    </w:pPr>
    <w:rPr>
      <w:b/>
      <w:sz w:val="28"/>
    </w:rPr>
  </w:style>
  <w:style w:type="paragraph" w:customStyle="1" w:styleId="AENormal">
    <w:name w:val="AE_Normal"/>
    <w:basedOn w:val="Normal"/>
    <w:rsid w:val="006A10E2"/>
  </w:style>
  <w:style w:type="paragraph" w:customStyle="1" w:styleId="CBDH1">
    <w:name w:val="CBD_H1"/>
    <w:basedOn w:val="CBDNormal"/>
    <w:qFormat/>
    <w:rsid w:val="006A10E2"/>
    <w:pPr>
      <w:keepNext/>
      <w:keepLines/>
      <w:spacing w:before="240" w:after="120"/>
      <w:ind w:left="567" w:hanging="567"/>
      <w:jc w:val="left"/>
      <w:outlineLvl w:val="0"/>
    </w:pPr>
    <w:rPr>
      <w:b/>
      <w:sz w:val="28"/>
    </w:rPr>
  </w:style>
  <w:style w:type="paragraph" w:customStyle="1" w:styleId="CBDH2">
    <w:name w:val="CBD_H2"/>
    <w:basedOn w:val="CBDNormal"/>
    <w:qFormat/>
    <w:rsid w:val="006A10E2"/>
    <w:pPr>
      <w:keepNext/>
      <w:keepLines/>
      <w:ind w:left="567" w:hanging="567"/>
    </w:pPr>
    <w:rPr>
      <w:b/>
      <w:sz w:val="24"/>
    </w:rPr>
  </w:style>
  <w:style w:type="paragraph" w:customStyle="1" w:styleId="CBDFootnoteText">
    <w:name w:val="CBD_Footnote_Text"/>
    <w:basedOn w:val="CBDNormal"/>
    <w:qFormat/>
    <w:rsid w:val="006A10E2"/>
    <w:pPr>
      <w:jc w:val="left"/>
    </w:pPr>
    <w:rPr>
      <w:sz w:val="18"/>
    </w:rPr>
  </w:style>
  <w:style w:type="paragraph" w:customStyle="1" w:styleId="CBDFooter">
    <w:name w:val="CBD_Footer"/>
    <w:basedOn w:val="CBDNormal"/>
    <w:qFormat/>
    <w:rsid w:val="006A10E2"/>
    <w:rPr>
      <w:sz w:val="20"/>
    </w:rPr>
  </w:style>
  <w:style w:type="paragraph" w:customStyle="1" w:styleId="CBDHeader">
    <w:name w:val="CBD_Header"/>
    <w:basedOn w:val="CBDNormal"/>
    <w:next w:val="CBDFooter"/>
    <w:qFormat/>
    <w:rsid w:val="006A10E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A10E2"/>
    <w:pPr>
      <w:keepNext/>
      <w:keepLines/>
      <w:spacing w:before="120" w:after="120"/>
      <w:ind w:left="567" w:hanging="567"/>
      <w:jc w:val="left"/>
    </w:pPr>
    <w:rPr>
      <w:b/>
    </w:rPr>
  </w:style>
  <w:style w:type="paragraph" w:customStyle="1" w:styleId="CBDH4">
    <w:name w:val="CBD_H4"/>
    <w:basedOn w:val="CBDNormal"/>
    <w:rsid w:val="006A10E2"/>
    <w:pPr>
      <w:keepNext/>
      <w:keepLines/>
      <w:spacing w:before="120" w:after="120"/>
      <w:ind w:left="567" w:hanging="567"/>
      <w:jc w:val="left"/>
    </w:pPr>
    <w:rPr>
      <w:b/>
    </w:rPr>
  </w:style>
  <w:style w:type="paragraph" w:customStyle="1" w:styleId="CBDH5">
    <w:name w:val="CBD_H5"/>
    <w:basedOn w:val="CBDNormal"/>
    <w:qFormat/>
    <w:rsid w:val="006A10E2"/>
    <w:pPr>
      <w:keepNext/>
      <w:keepLines/>
      <w:spacing w:before="120" w:after="120"/>
      <w:ind w:left="567" w:hanging="567"/>
      <w:jc w:val="left"/>
    </w:pPr>
    <w:rPr>
      <w:i/>
    </w:rPr>
  </w:style>
  <w:style w:type="paragraph" w:customStyle="1" w:styleId="CBDTableNormal">
    <w:name w:val="CBD_TableNormal"/>
    <w:basedOn w:val="CBDNormal"/>
    <w:qFormat/>
    <w:rsid w:val="006A10E2"/>
    <w:pPr>
      <w:spacing w:before="40" w:after="80"/>
      <w:jc w:val="left"/>
    </w:pPr>
    <w:rPr>
      <w:sz w:val="20"/>
    </w:rPr>
  </w:style>
  <w:style w:type="paragraph" w:customStyle="1" w:styleId="CBDTableTitle">
    <w:name w:val="CBD_TableTitle"/>
    <w:basedOn w:val="CBDNormal"/>
    <w:qFormat/>
    <w:rsid w:val="006A10E2"/>
    <w:pPr>
      <w:keepNext/>
      <w:keepLines/>
      <w:spacing w:before="120" w:after="60"/>
      <w:ind w:left="567"/>
      <w:jc w:val="left"/>
    </w:pPr>
    <w:rPr>
      <w:b/>
    </w:rPr>
  </w:style>
  <w:style w:type="paragraph" w:customStyle="1" w:styleId="CBDFigureTitle">
    <w:name w:val="CBD_FigureTitle"/>
    <w:basedOn w:val="CBDNormal"/>
    <w:next w:val="CBDNormalNoNumber"/>
    <w:qFormat/>
    <w:rsid w:val="006A10E2"/>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ES"/>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ES"/>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ES"/>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ES"/>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ES"/>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ES"/>
    </w:rPr>
  </w:style>
  <w:style w:type="character" w:styleId="BookTitle">
    <w:name w:val="Book Title"/>
    <w:basedOn w:val="DefaultParagraphFont"/>
    <w:uiPriority w:val="33"/>
    <w:qFormat/>
    <w:rsid w:val="00A111D1"/>
    <w:rPr>
      <w:b/>
      <w:bCs/>
      <w:i/>
      <w:iCs/>
      <w:spacing w:val="5"/>
      <w:lang w:val="es-ES"/>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ES"/>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ES"/>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ES"/>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ES"/>
    </w:rPr>
  </w:style>
  <w:style w:type="character" w:styleId="Emphasis">
    <w:name w:val="Emphasis"/>
    <w:basedOn w:val="DefaultParagraphFont"/>
    <w:uiPriority w:val="20"/>
    <w:qFormat/>
    <w:rsid w:val="00A111D1"/>
    <w:rPr>
      <w:i/>
      <w:iCs/>
      <w:lang w:val="es-E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ES"/>
    </w:rPr>
  </w:style>
  <w:style w:type="character" w:styleId="HTMLAcronym">
    <w:name w:val="HTML Acronym"/>
    <w:basedOn w:val="DefaultParagraphFont"/>
    <w:uiPriority w:val="99"/>
    <w:semiHidden/>
    <w:unhideWhenUsed/>
    <w:rsid w:val="00A111D1"/>
    <w:rPr>
      <w:lang w:val="es-ES"/>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ES"/>
    </w:rPr>
  </w:style>
  <w:style w:type="character" w:styleId="HTMLCite">
    <w:name w:val="HTML Cite"/>
    <w:basedOn w:val="DefaultParagraphFont"/>
    <w:uiPriority w:val="99"/>
    <w:semiHidden/>
    <w:unhideWhenUsed/>
    <w:rsid w:val="00A111D1"/>
    <w:rPr>
      <w:i/>
      <w:iCs/>
      <w:lang w:val="es-ES"/>
    </w:rPr>
  </w:style>
  <w:style w:type="character" w:styleId="HTMLCode">
    <w:name w:val="HTML Code"/>
    <w:basedOn w:val="DefaultParagraphFont"/>
    <w:uiPriority w:val="99"/>
    <w:semiHidden/>
    <w:unhideWhenUsed/>
    <w:rsid w:val="00A111D1"/>
    <w:rPr>
      <w:rFonts w:ascii="Consolas" w:hAnsi="Consolas"/>
      <w:sz w:val="20"/>
      <w:szCs w:val="20"/>
      <w:lang w:val="es-ES"/>
    </w:rPr>
  </w:style>
  <w:style w:type="character" w:styleId="HTMLDefinition">
    <w:name w:val="HTML Definition"/>
    <w:basedOn w:val="DefaultParagraphFont"/>
    <w:uiPriority w:val="99"/>
    <w:semiHidden/>
    <w:unhideWhenUsed/>
    <w:rsid w:val="00A111D1"/>
    <w:rPr>
      <w:i/>
      <w:iCs/>
      <w:lang w:val="es-ES"/>
    </w:rPr>
  </w:style>
  <w:style w:type="character" w:styleId="HTMLKeyboard">
    <w:name w:val="HTML Keyboard"/>
    <w:basedOn w:val="DefaultParagraphFont"/>
    <w:uiPriority w:val="99"/>
    <w:semiHidden/>
    <w:unhideWhenUsed/>
    <w:rsid w:val="00A111D1"/>
    <w:rPr>
      <w:rFonts w:ascii="Consolas" w:hAnsi="Consolas"/>
      <w:sz w:val="20"/>
      <w:szCs w:val="20"/>
      <w:lang w:val="es-ES"/>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ES"/>
    </w:rPr>
  </w:style>
  <w:style w:type="character" w:styleId="HTMLSample">
    <w:name w:val="HTML Sample"/>
    <w:basedOn w:val="DefaultParagraphFont"/>
    <w:uiPriority w:val="99"/>
    <w:semiHidden/>
    <w:unhideWhenUsed/>
    <w:rsid w:val="00A111D1"/>
    <w:rPr>
      <w:rFonts w:ascii="Consolas" w:hAnsi="Consolas"/>
      <w:sz w:val="24"/>
      <w:szCs w:val="24"/>
      <w:lang w:val="es-ES"/>
    </w:rPr>
  </w:style>
  <w:style w:type="character" w:styleId="HTMLTypewriter">
    <w:name w:val="HTML Typewriter"/>
    <w:basedOn w:val="DefaultParagraphFont"/>
    <w:uiPriority w:val="99"/>
    <w:semiHidden/>
    <w:unhideWhenUsed/>
    <w:rsid w:val="00A111D1"/>
    <w:rPr>
      <w:rFonts w:ascii="Consolas" w:hAnsi="Consolas"/>
      <w:sz w:val="20"/>
      <w:szCs w:val="20"/>
      <w:lang w:val="es-ES"/>
    </w:rPr>
  </w:style>
  <w:style w:type="character" w:styleId="HTMLVariable">
    <w:name w:val="HTML Variable"/>
    <w:basedOn w:val="DefaultParagraphFont"/>
    <w:uiPriority w:val="99"/>
    <w:semiHidden/>
    <w:unhideWhenUsed/>
    <w:rsid w:val="00A111D1"/>
    <w:rPr>
      <w:i/>
      <w:iCs/>
      <w:lang w:val="es-E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ES"/>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ES"/>
    </w:rPr>
  </w:style>
  <w:style w:type="character" w:styleId="IntenseReference">
    <w:name w:val="Intense Reference"/>
    <w:basedOn w:val="DefaultParagraphFont"/>
    <w:uiPriority w:val="32"/>
    <w:qFormat/>
    <w:rsid w:val="00A111D1"/>
    <w:rPr>
      <w:b/>
      <w:bCs/>
      <w:smallCaps/>
      <w:color w:val="4F81BD" w:themeColor="accent1"/>
      <w:spacing w:val="5"/>
      <w:lang w:val="es-ES"/>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ES"/>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ES"/>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unhideWhenUsed/>
    <w:rsid w:val="00A111D1"/>
    <w:rPr>
      <w:color w:val="2B579A"/>
      <w:shd w:val="clear" w:color="auto" w:fill="E1DFDD"/>
      <w:lang w:val="es-ES"/>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ES"/>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ES"/>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ES"/>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ES"/>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ES"/>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ES"/>
    </w:rPr>
  </w:style>
  <w:style w:type="character" w:customStyle="1" w:styleId="SmartHyperlink">
    <w:name w:val="Smart Hyperlink"/>
    <w:basedOn w:val="DefaultParagraphFont"/>
    <w:uiPriority w:val="99"/>
    <w:semiHidden/>
    <w:unhideWhenUsed/>
    <w:rsid w:val="00A111D1"/>
    <w:rPr>
      <w:u w:val="dotted"/>
      <w:lang w:val="es-ES"/>
    </w:rPr>
  </w:style>
  <w:style w:type="character" w:customStyle="1" w:styleId="SmartLink">
    <w:name w:val="Smart Link"/>
    <w:basedOn w:val="DefaultParagraphFont"/>
    <w:uiPriority w:val="99"/>
    <w:semiHidden/>
    <w:unhideWhenUsed/>
    <w:rsid w:val="00A111D1"/>
    <w:rPr>
      <w:color w:val="0000FF"/>
      <w:u w:val="single"/>
      <w:shd w:val="clear" w:color="auto" w:fill="F3F2F1"/>
      <w:lang w:val="es-ES"/>
    </w:rPr>
  </w:style>
  <w:style w:type="character" w:styleId="Strong">
    <w:name w:val="Strong"/>
    <w:basedOn w:val="DefaultParagraphFont"/>
    <w:uiPriority w:val="22"/>
    <w:qFormat/>
    <w:rsid w:val="00A111D1"/>
    <w:rPr>
      <w:b/>
      <w:bCs/>
      <w:lang w:val="es-ES"/>
    </w:rPr>
  </w:style>
  <w:style w:type="character" w:styleId="SubtleEmphasis">
    <w:name w:val="Subtle Emphasis"/>
    <w:basedOn w:val="DefaultParagraphFont"/>
    <w:uiPriority w:val="19"/>
    <w:qFormat/>
    <w:rsid w:val="00A111D1"/>
    <w:rPr>
      <w:i/>
      <w:iCs/>
      <w:color w:val="404040" w:themeColor="text1" w:themeTint="BF"/>
      <w:lang w:val="es-ES"/>
    </w:rPr>
  </w:style>
  <w:style w:type="character" w:styleId="SubtleReference">
    <w:name w:val="Subtle Reference"/>
    <w:basedOn w:val="DefaultParagraphFont"/>
    <w:uiPriority w:val="31"/>
    <w:qFormat/>
    <w:rsid w:val="00A111D1"/>
    <w:rPr>
      <w:smallCaps/>
      <w:color w:val="5A5A5A" w:themeColor="text1" w:themeTint="A5"/>
      <w:lang w:val="es-ES"/>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unhideWhenUsed/>
    <w:rsid w:val="00A111D1"/>
    <w:rPr>
      <w:color w:val="605E5C"/>
      <w:shd w:val="clear" w:color="auto" w:fill="E1DFDD"/>
      <w:lang w:val="es-ES"/>
    </w:rPr>
  </w:style>
  <w:style w:type="paragraph" w:customStyle="1" w:styleId="CBDAgendaItemReport">
    <w:name w:val="CBD_AgendaItem_Report"/>
    <w:basedOn w:val="Normal"/>
    <w:qFormat/>
    <w:rsid w:val="006A10E2"/>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1">
    <w:name w:val="p1"/>
    <w:basedOn w:val="Normal"/>
    <w:rsid w:val="00BD2108"/>
    <w:pPr>
      <w:tabs>
        <w:tab w:val="clear" w:pos="567"/>
        <w:tab w:val="clear" w:pos="1134"/>
        <w:tab w:val="clear" w:pos="1701"/>
        <w:tab w:val="clear" w:pos="2268"/>
      </w:tabs>
      <w:jc w:val="left"/>
    </w:pPr>
    <w:rPr>
      <w:rFonts w:eastAsia="Times New Roman"/>
      <w:color w:val="000000"/>
      <w:sz w:val="21"/>
      <w:szCs w:val="21"/>
    </w:rPr>
  </w:style>
  <w:style w:type="paragraph" w:customStyle="1" w:styleId="CBDprov-agendaItem">
    <w:name w:val="CBD_prov-agenda_Item"/>
    <w:basedOn w:val="CBDNormalNumber"/>
    <w:qFormat/>
    <w:rsid w:val="006A10E2"/>
  </w:style>
  <w:style w:type="paragraph" w:customStyle="1" w:styleId="CBDpara-item">
    <w:name w:val="CBD_para-item"/>
    <w:basedOn w:val="Normal"/>
    <w:qFormat/>
    <w:rsid w:val="006A10E2"/>
    <w:pPr>
      <w:tabs>
        <w:tab w:val="clear" w:pos="567"/>
      </w:tabs>
      <w:spacing w:before="120" w:after="120"/>
      <w:ind w:left="1134" w:hanging="567"/>
      <w:jc w:val="left"/>
    </w:pPr>
  </w:style>
  <w:style w:type="paragraph" w:customStyle="1" w:styleId="CBDsubpara-item">
    <w:name w:val="CBD_subpara-item"/>
    <w:basedOn w:val="CBDpara-item"/>
    <w:qFormat/>
    <w:rsid w:val="006A10E2"/>
    <w:pPr>
      <w:tabs>
        <w:tab w:val="clear" w:pos="1134"/>
      </w:tabs>
      <w:ind w:left="1701"/>
    </w:pPr>
  </w:style>
  <w:style w:type="paragraph" w:customStyle="1" w:styleId="CBDRecommendText">
    <w:name w:val="CBD_RecommendText"/>
    <w:basedOn w:val="Normal"/>
    <w:qFormat/>
    <w:rsid w:val="006A10E2"/>
    <w:pPr>
      <w:spacing w:after="120"/>
      <w:ind w:left="567"/>
    </w:pPr>
  </w:style>
  <w:style w:type="paragraph" w:customStyle="1" w:styleId="CBDAgendaItem-1">
    <w:name w:val="CBD_AgendaItem-1"/>
    <w:basedOn w:val="Normal"/>
    <w:qFormat/>
    <w:rsid w:val="006A10E2"/>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6A10E2"/>
    <w:pPr>
      <w:ind w:left="567" w:hanging="567"/>
    </w:pPr>
    <w:rPr>
      <w:sz w:val="22"/>
    </w:rPr>
  </w:style>
  <w:style w:type="paragraph" w:customStyle="1" w:styleId="CBDAgendaItem-3">
    <w:name w:val="CBD_AgendaItem-3"/>
    <w:basedOn w:val="CBDAgendaItem-1"/>
    <w:qFormat/>
    <w:rsid w:val="006A10E2"/>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jp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7/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notifications/2024-115" TargetMode="External"/><Relationship Id="rId20" Type="http://schemas.openxmlformats.org/officeDocument/2006/relationships/hyperlink" Target="https://www.cbd.int/decisions/cop?m=cop-1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EEHAN\Downloads\sbi-07-template-en%20(2).dotm" TargetMode="External"/></Relationships>
</file>

<file path=word/documenttasks/documenttasks1.xml><?xml version="1.0" encoding="utf-8"?>
<t:Tasks xmlns:t="http://schemas.microsoft.com/office/tasks/2019/documenttasks" xmlns:oel="http://schemas.microsoft.com/office/2019/extlst">
  <t:Task id="{0F7925AF-CB82-4629-BCBB-000109ACD8DA}">
    <t:Anchor>
      <t:Comment id="2125736094"/>
    </t:Anchor>
    <t:History>
      <t:Event id="{E804FBEB-4E44-4355-B04B-444DC9546EA0}" time="2026-05-10T21:46:06.645Z">
        <t:Attribution userId="S::charlotte.germain-aubrey@un.org::5e644ca5-27fd-4300-b66e-80be146e4bc2" userProvider="AD" userName="Charlotte  Germain-Aubrey"/>
        <t:Anchor>
          <t:Comment id="2125736094"/>
        </t:Anchor>
        <t:Create/>
      </t:Event>
      <t:Event id="{77DFCFAE-C1B0-4C4E-BE18-42A60104B476}" time="2026-05-10T21:46:06.645Z">
        <t:Attribution userId="S::charlotte.germain-aubrey@un.org::5e644ca5-27fd-4300-b66e-80be146e4bc2" userProvider="AD" userName="Charlotte  Germain-Aubrey"/>
        <t:Anchor>
          <t:Comment id="2125736094"/>
        </t:Anchor>
        <t:Assign userId="S::ann.mccartney@un.org::8d9e888a-8a4e-41d5-b8df-8d126b3fafc6" userProvider="AD" userName="Ann Mc Cartney"/>
      </t:Event>
      <t:Event id="{EAFE6044-3A55-46DC-8FFF-46287DB9640D}" time="2026-05-10T21:46:06.645Z">
        <t:Attribution userId="S::charlotte.germain-aubrey@un.org::5e644ca5-27fd-4300-b66e-80be146e4bc2" userProvider="AD" userName="Charlotte  Germain-Aubrey"/>
        <t:Anchor>
          <t:Comment id="2125736094"/>
        </t:Anchor>
        <t:SetTitle title="@Ann Mc Cartney here we are missing either the table that was here previously, either a paragraph to summarize its findings. Thanks!"/>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C2F78005E2349BB9BCAC1023290C06F"/>
        <w:category>
          <w:name w:val="General"/>
          <w:gallery w:val="placeholder"/>
        </w:category>
        <w:types>
          <w:type w:val="bbPlcHdr"/>
        </w:types>
        <w:behaviors>
          <w:behavior w:val="content"/>
        </w:behaviors>
        <w:guid w:val="{C6FA7CB4-E521-4F38-8174-43F55717ACEB}"/>
      </w:docPartPr>
      <w:docPartBody>
        <w:p w:rsidR="00B80216" w:rsidRDefault="00B80216">
          <w:pPr>
            <w:pStyle w:val="DC2F78005E2349BB9BCAC1023290C06F"/>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AA2"/>
    <w:rsid w:val="00032B28"/>
    <w:rsid w:val="00110867"/>
    <w:rsid w:val="001161CF"/>
    <w:rsid w:val="00165EBF"/>
    <w:rsid w:val="00205A49"/>
    <w:rsid w:val="00294B9C"/>
    <w:rsid w:val="002B0FA0"/>
    <w:rsid w:val="002D3CCE"/>
    <w:rsid w:val="003568D9"/>
    <w:rsid w:val="003B1BD2"/>
    <w:rsid w:val="003C32FF"/>
    <w:rsid w:val="003F5E7A"/>
    <w:rsid w:val="00413A97"/>
    <w:rsid w:val="0041654A"/>
    <w:rsid w:val="00441787"/>
    <w:rsid w:val="004A3A3E"/>
    <w:rsid w:val="004B7E73"/>
    <w:rsid w:val="00572239"/>
    <w:rsid w:val="00583674"/>
    <w:rsid w:val="005A24F4"/>
    <w:rsid w:val="005A3010"/>
    <w:rsid w:val="006014DA"/>
    <w:rsid w:val="0064447D"/>
    <w:rsid w:val="006D58E8"/>
    <w:rsid w:val="0074169F"/>
    <w:rsid w:val="007B0271"/>
    <w:rsid w:val="007C3E62"/>
    <w:rsid w:val="007E06C0"/>
    <w:rsid w:val="008808EF"/>
    <w:rsid w:val="00884F31"/>
    <w:rsid w:val="008C20AB"/>
    <w:rsid w:val="009B7E67"/>
    <w:rsid w:val="009C657A"/>
    <w:rsid w:val="009F2E43"/>
    <w:rsid w:val="00A22AA2"/>
    <w:rsid w:val="00AF0D88"/>
    <w:rsid w:val="00B127EB"/>
    <w:rsid w:val="00B21B21"/>
    <w:rsid w:val="00B7675F"/>
    <w:rsid w:val="00B80216"/>
    <w:rsid w:val="00BD0EA5"/>
    <w:rsid w:val="00BD689E"/>
    <w:rsid w:val="00C40E80"/>
    <w:rsid w:val="00C76D7E"/>
    <w:rsid w:val="00CD712B"/>
    <w:rsid w:val="00D7304E"/>
    <w:rsid w:val="00D868FF"/>
    <w:rsid w:val="00DE05EB"/>
    <w:rsid w:val="00E26AB5"/>
    <w:rsid w:val="00E50CD2"/>
    <w:rsid w:val="00E57859"/>
    <w:rsid w:val="00EB73D5"/>
    <w:rsid w:val="00EC31CF"/>
    <w:rsid w:val="00EE25A1"/>
    <w:rsid w:val="00EF493A"/>
    <w:rsid w:val="00F275A1"/>
    <w:rsid w:val="00FD13CC"/>
    <w:rsid w:val="00FF5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C2F78005E2349BB9BCAC1023290C06F">
    <w:name w:val="DC2F78005E2349BB9BCAC1023290C0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181B3B38-505D-4393-BF0A-868E48109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A14086D-11D2-47AE-968F-80946AD3951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 (2).dotm</Template>
  <TotalTime>585</TotalTime>
  <Pages>8</Pages>
  <Words>4630</Words>
  <Characters>25700</Characters>
  <Application>Microsoft Office Word</Application>
  <DocSecurity>0</DocSecurity>
  <Lines>395</Lines>
  <Paragraphs>126</Paragraphs>
  <ScaleCrop>false</ScaleCrop>
  <HeadingPairs>
    <vt:vector size="2" baseType="variant">
      <vt:variant>
        <vt:lpstr>Title</vt:lpstr>
      </vt:variant>
      <vt:variant>
        <vt:i4>1</vt:i4>
      </vt:variant>
    </vt:vector>
  </HeadingPairs>
  <TitlesOfParts>
    <vt:vector size="1" baseType="lpstr">
      <vt:lpstr>Resumen del estudio encargado sobre herramientas y modelos, tales como bases de datos, para poner información digital sobre secuencias de recursos genéticos a disposición del público y hacerla accesible de manera transparente y con rendición de cuentas</vt:lpstr>
    </vt:vector>
  </TitlesOfParts>
  <Company>SCBD</Company>
  <LinksUpToDate>false</LinksUpToDate>
  <CharactersWithSpaces>30204</CharactersWithSpaces>
  <SharedDoc>false</SharedDoc>
  <HLinks>
    <vt:vector size="12" baseType="variant">
      <vt:variant>
        <vt:i4>6488113</vt:i4>
      </vt:variant>
      <vt:variant>
        <vt:i4>0</vt:i4>
      </vt:variant>
      <vt:variant>
        <vt:i4>0</vt:i4>
      </vt:variant>
      <vt:variant>
        <vt:i4>5</vt:i4>
      </vt:variant>
      <vt:variant>
        <vt:lpwstr>https://www.cbd.int/notifications/2024-115</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Resumen del estudio encargado sobre herramientas y modelos, tales como bases de datos, para poner información digital sobre secuencias de recursos genéticos a disposición del público y hacerla accesible de manera transparente y con rendición de cuentas</dc:title>
  <dc:subject>CBD/SBI/7/5/Add.1</dc:subject>
  <dc:creator>Secretariat of the Convention on Biological Diversity</dc:creator>
  <cp:keywords>Convention on Biological Diversity</cp:keywords>
  <cp:lastModifiedBy>Laura Perez</cp:lastModifiedBy>
  <cp:revision>44</cp:revision>
  <cp:lastPrinted>2026-06-28T15:29:00Z</cp:lastPrinted>
  <dcterms:created xsi:type="dcterms:W3CDTF">2026-06-28T00:02:00Z</dcterms:created>
  <dcterms:modified xsi:type="dcterms:W3CDTF">2026-06-29T17:44:00Z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