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bottom w:val="single" w:sz="30" w:space="0" w:color="000000"/>
        </w:tblBorders>
        <w:tblLayout w:type="fixed"/>
        <w:tblLook w:val="0000"/>
      </w:tblPr>
      <w:tblGrid>
        <w:gridCol w:w="19"/>
        <w:gridCol w:w="1307"/>
        <w:gridCol w:w="1221"/>
        <w:gridCol w:w="2930"/>
        <w:gridCol w:w="282"/>
        <w:gridCol w:w="3817"/>
      </w:tblGrid>
      <w:tr w:rsidR="0030744F" w:rsidRPr="007A46C0" w:rsidTr="0030744F">
        <w:trPr>
          <w:gridBefore w:val="1"/>
          <w:wBefore w:w="19" w:type="dxa"/>
        </w:trPr>
        <w:tc>
          <w:tcPr>
            <w:tcW w:w="1307" w:type="dxa"/>
            <w:tcBorders>
              <w:bottom w:val="single" w:sz="12" w:space="0" w:color="000000"/>
            </w:tcBorders>
          </w:tcPr>
          <w:p w:rsidR="0030744F" w:rsidRPr="007A46C0" w:rsidRDefault="0030744F" w:rsidP="0030744F">
            <w:pPr>
              <w:suppressLineNumbers/>
              <w:suppressAutoHyphens/>
              <w:spacing w:before="120" w:after="120"/>
              <w:rPr>
                <w:snapToGrid w:val="0"/>
                <w:kern w:val="22"/>
                <w:lang w:val="fr-CA"/>
              </w:rPr>
            </w:pPr>
            <w:r w:rsidRPr="007A46C0">
              <w:rPr>
                <w:noProof/>
                <w:snapToGrid w:val="0"/>
                <w:kern w:val="22"/>
                <w:lang w:val="fr-CA" w:eastAsia="zh-CN"/>
              </w:rPr>
              <w:drawing>
                <wp:inline distT="0" distB="0" distL="0" distR="0">
                  <wp:extent cx="476250" cy="400050"/>
                  <wp:effectExtent l="0" t="0" r="0" b="0"/>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1221" w:type="dxa"/>
            <w:tcBorders>
              <w:bottom w:val="single" w:sz="12" w:space="0" w:color="000000"/>
            </w:tcBorders>
          </w:tcPr>
          <w:p w:rsidR="0030744F" w:rsidRPr="007A46C0" w:rsidRDefault="0030744F" w:rsidP="0030744F">
            <w:pPr>
              <w:suppressLineNumbers/>
              <w:suppressAutoHyphens/>
              <w:spacing w:before="120" w:after="120"/>
              <w:rPr>
                <w:snapToGrid w:val="0"/>
                <w:kern w:val="22"/>
                <w:sz w:val="20"/>
                <w:lang w:val="fr-CA"/>
              </w:rPr>
            </w:pPr>
            <w:r w:rsidRPr="007A46C0">
              <w:rPr>
                <w:noProof/>
                <w:snapToGrid w:val="0"/>
                <w:kern w:val="22"/>
                <w:sz w:val="20"/>
                <w:lang w:val="fr-CA" w:eastAsia="zh-CN"/>
              </w:rPr>
              <w:drawing>
                <wp:inline distT="0" distB="0" distL="0" distR="0">
                  <wp:extent cx="342900" cy="400050"/>
                  <wp:effectExtent l="0" t="0" r="0" b="0"/>
                  <wp:docPr id="4"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7029" w:type="dxa"/>
            <w:gridSpan w:val="3"/>
            <w:tcBorders>
              <w:bottom w:val="single" w:sz="12" w:space="0" w:color="000000"/>
            </w:tcBorders>
          </w:tcPr>
          <w:p w:rsidR="0030744F" w:rsidRPr="007A46C0" w:rsidRDefault="0030744F" w:rsidP="0030744F">
            <w:pPr>
              <w:suppressLineNumbers/>
              <w:suppressAutoHyphens/>
              <w:spacing w:before="120" w:after="120"/>
              <w:jc w:val="right"/>
              <w:rPr>
                <w:rFonts w:ascii="Univers" w:hAnsi="Univers"/>
                <w:b/>
                <w:snapToGrid w:val="0"/>
                <w:kern w:val="22"/>
                <w:sz w:val="32"/>
                <w:lang w:val="fr-CA"/>
              </w:rPr>
            </w:pPr>
            <w:r w:rsidRPr="007A46C0">
              <w:rPr>
                <w:rFonts w:ascii="Univers" w:hAnsi="Univers"/>
                <w:b/>
                <w:snapToGrid w:val="0"/>
                <w:kern w:val="22"/>
                <w:sz w:val="32"/>
                <w:lang w:val="fr-CA"/>
              </w:rPr>
              <w:t>CBD</w:t>
            </w:r>
          </w:p>
        </w:tc>
      </w:tr>
      <w:tr w:rsidR="00975AEA" w:rsidRPr="007A46C0" w:rsidTr="00EB1BD6">
        <w:trPr>
          <w:trHeight w:val="1693"/>
        </w:trPr>
        <w:tc>
          <w:tcPr>
            <w:tcW w:w="5477" w:type="dxa"/>
            <w:gridSpan w:val="4"/>
          </w:tcPr>
          <w:p w:rsidR="00975AEA" w:rsidRPr="007A46C0" w:rsidRDefault="00F421D5" w:rsidP="00FC6DDE">
            <w:pPr>
              <w:rPr>
                <w:snapToGrid w:val="0"/>
                <w:kern w:val="22"/>
                <w:sz w:val="22"/>
                <w:szCs w:val="22"/>
                <w:lang w:val="fr-CA"/>
              </w:rPr>
            </w:pPr>
            <w:r w:rsidRPr="007A46C0">
              <w:rPr>
                <w:bCs/>
                <w:noProof/>
                <w:szCs w:val="22"/>
                <w:lang w:val="fr-CA" w:eastAsia="zh-CN"/>
              </w:rPr>
              <w:drawing>
                <wp:inline distT="0" distB="0" distL="0" distR="0">
                  <wp:extent cx="2855595" cy="1073150"/>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55595" cy="1073150"/>
                          </a:xfrm>
                          <a:prstGeom prst="rect">
                            <a:avLst/>
                          </a:prstGeom>
                          <a:noFill/>
                          <a:ln w="9525">
                            <a:noFill/>
                            <a:miter lim="800000"/>
                            <a:headEnd/>
                            <a:tailEnd/>
                          </a:ln>
                        </pic:spPr>
                      </pic:pic>
                    </a:graphicData>
                  </a:graphic>
                </wp:inline>
              </w:drawing>
            </w:r>
          </w:p>
        </w:tc>
        <w:tc>
          <w:tcPr>
            <w:tcW w:w="282" w:type="dxa"/>
          </w:tcPr>
          <w:p w:rsidR="00975AEA" w:rsidRPr="007A46C0" w:rsidRDefault="00975AEA" w:rsidP="00FC6DDE">
            <w:pPr>
              <w:rPr>
                <w:snapToGrid w:val="0"/>
                <w:kern w:val="22"/>
                <w:sz w:val="22"/>
                <w:szCs w:val="22"/>
                <w:lang w:val="fr-CA"/>
              </w:rPr>
            </w:pPr>
          </w:p>
        </w:tc>
        <w:tc>
          <w:tcPr>
            <w:tcW w:w="3817" w:type="dxa"/>
          </w:tcPr>
          <w:p w:rsidR="00975AEA" w:rsidRPr="00DF1C84" w:rsidRDefault="00975AEA" w:rsidP="008C0061">
            <w:pPr>
              <w:suppressAutoHyphens/>
              <w:ind w:left="620"/>
              <w:rPr>
                <w:noProof/>
                <w:snapToGrid w:val="0"/>
                <w:kern w:val="22"/>
                <w:sz w:val="22"/>
                <w:szCs w:val="22"/>
                <w:lang w:val="fr-FR"/>
              </w:rPr>
            </w:pPr>
            <w:r w:rsidRPr="00DF1C84">
              <w:rPr>
                <w:noProof/>
                <w:snapToGrid w:val="0"/>
                <w:kern w:val="22"/>
                <w:sz w:val="22"/>
                <w:szCs w:val="22"/>
                <w:lang w:val="fr-FR"/>
              </w:rPr>
              <w:t>Distr.</w:t>
            </w:r>
          </w:p>
          <w:p w:rsidR="00975AEA" w:rsidRPr="007A46C0" w:rsidRDefault="00F421D5" w:rsidP="00F421D5">
            <w:pPr>
              <w:suppressAutoHyphens/>
              <w:ind w:left="620"/>
              <w:rPr>
                <w:snapToGrid w:val="0"/>
                <w:kern w:val="22"/>
                <w:sz w:val="22"/>
                <w:szCs w:val="22"/>
                <w:lang w:val="fr-CA"/>
              </w:rPr>
            </w:pPr>
            <w:r w:rsidRPr="007A46C0">
              <w:rPr>
                <w:snapToGrid w:val="0"/>
                <w:kern w:val="22"/>
                <w:sz w:val="22"/>
                <w:szCs w:val="22"/>
                <w:lang w:val="fr-CA"/>
              </w:rPr>
              <w:t>GÉNÉ</w:t>
            </w:r>
            <w:r w:rsidR="002A0E81" w:rsidRPr="007A46C0">
              <w:rPr>
                <w:snapToGrid w:val="0"/>
                <w:kern w:val="22"/>
                <w:sz w:val="22"/>
                <w:szCs w:val="22"/>
                <w:lang w:val="fr-CA"/>
              </w:rPr>
              <w:t>RAL</w:t>
            </w:r>
            <w:r w:rsidRPr="007A46C0">
              <w:rPr>
                <w:snapToGrid w:val="0"/>
                <w:kern w:val="22"/>
                <w:sz w:val="22"/>
                <w:szCs w:val="22"/>
                <w:lang w:val="fr-CA"/>
              </w:rPr>
              <w:t>E</w:t>
            </w:r>
          </w:p>
          <w:p w:rsidR="0046037E" w:rsidRPr="007A46C0" w:rsidRDefault="0046037E" w:rsidP="008C0061">
            <w:pPr>
              <w:suppressAutoHyphens/>
              <w:ind w:left="620"/>
              <w:rPr>
                <w:snapToGrid w:val="0"/>
                <w:kern w:val="22"/>
                <w:sz w:val="22"/>
                <w:szCs w:val="22"/>
                <w:lang w:val="fr-CA"/>
              </w:rPr>
            </w:pPr>
          </w:p>
          <w:sdt>
            <w:sdtPr>
              <w:rPr>
                <w:snapToGrid w:val="0"/>
                <w:kern w:val="22"/>
                <w:sz w:val="22"/>
                <w:szCs w:val="22"/>
                <w:lang w:val="fr-CA"/>
              </w:rPr>
              <w:alias w:val="Subject"/>
              <w:tag w:val=""/>
              <w:id w:val="558838981"/>
              <w:placeholder>
                <w:docPart w:val="355983AA81E74E8BAAFAAB098EAFF96F"/>
              </w:placeholder>
              <w:dataBinding w:prefixMappings="xmlns:ns0='http://purl.org/dc/elements/1.1/' xmlns:ns1='http://schemas.openxmlformats.org/package/2006/metadata/core-properties' " w:xpath="/ns1:coreProperties[1]/ns0:subject[1]" w:storeItemID="{6C3C8BC8-F283-45AE-878A-BAB7291924A1}"/>
              <w:text/>
            </w:sdtPr>
            <w:sdtContent>
              <w:p w:rsidR="008E46EF" w:rsidRPr="007A46C0" w:rsidRDefault="003F3475" w:rsidP="008C0061">
                <w:pPr>
                  <w:suppressAutoHyphens/>
                  <w:ind w:left="620"/>
                  <w:rPr>
                    <w:snapToGrid w:val="0"/>
                    <w:kern w:val="22"/>
                    <w:sz w:val="22"/>
                    <w:szCs w:val="22"/>
                    <w:lang w:val="fr-CA"/>
                  </w:rPr>
                </w:pPr>
                <w:r>
                  <w:rPr>
                    <w:snapToGrid w:val="0"/>
                    <w:kern w:val="22"/>
                    <w:sz w:val="22"/>
                    <w:szCs w:val="22"/>
                    <w:lang w:val="en-US"/>
                  </w:rPr>
                  <w:t>CBD/SBI/2/11</w:t>
                </w:r>
              </w:p>
            </w:sdtContent>
          </w:sdt>
          <w:p w:rsidR="00975AEA" w:rsidRPr="007A46C0" w:rsidRDefault="0030744F" w:rsidP="008C0061">
            <w:pPr>
              <w:suppressAutoHyphens/>
              <w:ind w:left="620"/>
              <w:rPr>
                <w:snapToGrid w:val="0"/>
                <w:kern w:val="22"/>
                <w:sz w:val="22"/>
                <w:szCs w:val="22"/>
                <w:lang w:val="fr-CA"/>
              </w:rPr>
            </w:pPr>
            <w:r w:rsidRPr="007A46C0">
              <w:rPr>
                <w:snapToGrid w:val="0"/>
                <w:kern w:val="22"/>
                <w:sz w:val="22"/>
                <w:szCs w:val="22"/>
                <w:lang w:val="fr-CA"/>
              </w:rPr>
              <w:t>4</w:t>
            </w:r>
            <w:r w:rsidR="00F421D5" w:rsidRPr="007A46C0">
              <w:rPr>
                <w:snapToGrid w:val="0"/>
                <w:kern w:val="22"/>
                <w:sz w:val="22"/>
                <w:szCs w:val="22"/>
                <w:lang w:val="fr-CA"/>
              </w:rPr>
              <w:t> juin </w:t>
            </w:r>
            <w:r w:rsidR="00A73242" w:rsidRPr="007A46C0">
              <w:rPr>
                <w:snapToGrid w:val="0"/>
                <w:kern w:val="22"/>
                <w:sz w:val="22"/>
                <w:szCs w:val="22"/>
                <w:lang w:val="fr-CA"/>
              </w:rPr>
              <w:t>2018</w:t>
            </w:r>
          </w:p>
          <w:p w:rsidR="00975AEA" w:rsidRPr="007A46C0" w:rsidRDefault="00975AEA" w:rsidP="008C0061">
            <w:pPr>
              <w:pStyle w:val="Footer"/>
              <w:tabs>
                <w:tab w:val="clear" w:pos="4320"/>
                <w:tab w:val="clear" w:pos="8640"/>
              </w:tabs>
              <w:ind w:left="620"/>
              <w:rPr>
                <w:rFonts w:eastAsia="MS Mincho" w:cs="Angsana New"/>
                <w:snapToGrid w:val="0"/>
                <w:kern w:val="22"/>
                <w:sz w:val="22"/>
                <w:szCs w:val="22"/>
                <w:lang w:val="fr-CA"/>
              </w:rPr>
            </w:pPr>
          </w:p>
          <w:p w:rsidR="00975AEA" w:rsidRPr="007A46C0" w:rsidRDefault="00F421D5" w:rsidP="008C0061">
            <w:pPr>
              <w:ind w:left="620"/>
              <w:rPr>
                <w:rFonts w:ascii="Courier New" w:hAnsi="Courier New"/>
                <w:snapToGrid w:val="0"/>
                <w:kern w:val="22"/>
                <w:sz w:val="22"/>
                <w:szCs w:val="22"/>
                <w:lang w:val="fr-CA"/>
              </w:rPr>
            </w:pPr>
            <w:r w:rsidRPr="007A46C0">
              <w:rPr>
                <w:snapToGrid w:val="0"/>
                <w:kern w:val="22"/>
                <w:szCs w:val="22"/>
                <w:lang w:val="fr-CA"/>
              </w:rPr>
              <w:t xml:space="preserve">FRANÇAIS </w:t>
            </w:r>
            <w:r w:rsidRPr="007A46C0">
              <w:rPr>
                <w:snapToGrid w:val="0"/>
                <w:kern w:val="22"/>
                <w:szCs w:val="22"/>
                <w:lang w:val="fr-CA"/>
              </w:rPr>
              <w:br/>
              <w:t>ORIGINAL : ANGLAIS</w:t>
            </w:r>
          </w:p>
        </w:tc>
      </w:tr>
    </w:tbl>
    <w:p w:rsidR="00F421D5" w:rsidRPr="007A46C0" w:rsidRDefault="00F421D5" w:rsidP="00F421D5">
      <w:pPr>
        <w:ind w:left="284" w:hanging="284"/>
        <w:rPr>
          <w:rFonts w:eastAsia="Malgun Gothic"/>
          <w:caps/>
          <w:snapToGrid w:val="0"/>
          <w:kern w:val="22"/>
          <w:lang w:val="fr-CA"/>
        </w:rPr>
      </w:pPr>
      <w:r w:rsidRPr="007A46C0">
        <w:rPr>
          <w:rFonts w:eastAsia="Malgun Gothic"/>
          <w:caps/>
          <w:snapToGrid w:val="0"/>
          <w:kern w:val="22"/>
          <w:lang w:val="fr-CA"/>
        </w:rPr>
        <w:t xml:space="preserve">ORGANE SUBSIDIAIRE CHARGÉ DE </w:t>
      </w:r>
    </w:p>
    <w:p w:rsidR="00750802" w:rsidRPr="007A46C0" w:rsidRDefault="00F421D5" w:rsidP="00F421D5">
      <w:pPr>
        <w:pStyle w:val="meetingname"/>
        <w:suppressLineNumbers/>
        <w:suppressAutoHyphens/>
        <w:kinsoku w:val="0"/>
        <w:overflowPunct w:val="0"/>
        <w:autoSpaceDE w:val="0"/>
        <w:autoSpaceDN w:val="0"/>
        <w:ind w:right="4398"/>
        <w:rPr>
          <w:snapToGrid w:val="0"/>
          <w:kern w:val="22"/>
          <w:sz w:val="22"/>
          <w:szCs w:val="22"/>
          <w:lang w:val="fr-CA"/>
        </w:rPr>
      </w:pPr>
      <w:r w:rsidRPr="007A46C0">
        <w:rPr>
          <w:caps w:val="0"/>
          <w:snapToGrid w:val="0"/>
          <w:kern w:val="22"/>
          <w:lang w:val="fr-CA"/>
        </w:rPr>
        <w:t>L</w:t>
      </w:r>
      <w:r w:rsidR="00DF1C84">
        <w:rPr>
          <w:caps w:val="0"/>
          <w:snapToGrid w:val="0"/>
          <w:kern w:val="22"/>
          <w:lang w:val="fr-CA"/>
        </w:rPr>
        <w:t>’</w:t>
      </w:r>
      <w:r w:rsidRPr="007A46C0">
        <w:rPr>
          <w:caps w:val="0"/>
          <w:snapToGrid w:val="0"/>
          <w:kern w:val="22"/>
          <w:lang w:val="fr-CA"/>
        </w:rPr>
        <w:t>APPLICATION</w:t>
      </w:r>
    </w:p>
    <w:p w:rsidR="00F421D5" w:rsidRPr="007A46C0" w:rsidRDefault="00F421D5" w:rsidP="00F421D5">
      <w:pPr>
        <w:ind w:left="284" w:hanging="284"/>
        <w:rPr>
          <w:snapToGrid w:val="0"/>
          <w:kern w:val="22"/>
          <w:szCs w:val="22"/>
          <w:lang w:val="fr-CA" w:eastAsia="nb-NO"/>
        </w:rPr>
      </w:pPr>
      <w:r w:rsidRPr="007A46C0">
        <w:rPr>
          <w:snapToGrid w:val="0"/>
          <w:kern w:val="22"/>
          <w:szCs w:val="22"/>
          <w:lang w:val="fr-CA" w:eastAsia="nb-NO"/>
        </w:rPr>
        <w:t xml:space="preserve">Deuxième réunion </w:t>
      </w:r>
    </w:p>
    <w:p w:rsidR="00F421D5" w:rsidRPr="007A46C0" w:rsidRDefault="00F421D5" w:rsidP="00F421D5">
      <w:pPr>
        <w:ind w:left="284" w:hanging="284"/>
        <w:rPr>
          <w:snapToGrid w:val="0"/>
          <w:kern w:val="22"/>
          <w:szCs w:val="22"/>
          <w:lang w:val="fr-CA" w:eastAsia="nb-NO"/>
        </w:rPr>
      </w:pPr>
      <w:r w:rsidRPr="007A46C0">
        <w:rPr>
          <w:snapToGrid w:val="0"/>
          <w:kern w:val="22"/>
          <w:szCs w:val="22"/>
          <w:lang w:val="fr-CA" w:eastAsia="nb-NO"/>
        </w:rPr>
        <w:t>Montréal (Canada), 9</w:t>
      </w:r>
      <w:r w:rsidR="00DF1C84">
        <w:rPr>
          <w:snapToGrid w:val="0"/>
          <w:kern w:val="22"/>
          <w:szCs w:val="22"/>
          <w:lang w:val="fr-CA" w:eastAsia="nb-NO"/>
        </w:rPr>
        <w:noBreakHyphen/>
      </w:r>
      <w:r w:rsidRPr="007A46C0">
        <w:rPr>
          <w:snapToGrid w:val="0"/>
          <w:kern w:val="22"/>
          <w:szCs w:val="22"/>
          <w:lang w:val="fr-CA" w:eastAsia="nb-NO"/>
        </w:rPr>
        <w:t>13 juillet 2018</w:t>
      </w:r>
    </w:p>
    <w:p w:rsidR="00750802" w:rsidRPr="007A46C0" w:rsidRDefault="00F421D5" w:rsidP="00F421D5">
      <w:pPr>
        <w:suppressLineNumbers/>
        <w:suppressAutoHyphens/>
        <w:kinsoku w:val="0"/>
        <w:overflowPunct w:val="0"/>
        <w:autoSpaceDE w:val="0"/>
        <w:autoSpaceDN w:val="0"/>
        <w:rPr>
          <w:snapToGrid w:val="0"/>
          <w:kern w:val="22"/>
          <w:sz w:val="22"/>
          <w:szCs w:val="22"/>
          <w:lang w:val="fr-CA" w:eastAsia="nb-NO"/>
        </w:rPr>
      </w:pPr>
      <w:r w:rsidRPr="007A46C0">
        <w:rPr>
          <w:snapToGrid w:val="0"/>
          <w:kern w:val="22"/>
          <w:szCs w:val="22"/>
          <w:lang w:val="fr-CA"/>
        </w:rPr>
        <w:t>Point 12 de l</w:t>
      </w:r>
      <w:r w:rsidR="00DF1C84">
        <w:rPr>
          <w:snapToGrid w:val="0"/>
          <w:kern w:val="22"/>
          <w:szCs w:val="22"/>
          <w:lang w:val="fr-CA"/>
        </w:rPr>
        <w:t>’</w:t>
      </w:r>
      <w:r w:rsidRPr="007A46C0">
        <w:rPr>
          <w:snapToGrid w:val="0"/>
          <w:kern w:val="22"/>
          <w:szCs w:val="22"/>
          <w:lang w:val="fr-CA"/>
        </w:rPr>
        <w:t>ordre du jour provisoire</w:t>
      </w:r>
      <w:r w:rsidR="00750802" w:rsidRPr="007A46C0">
        <w:rPr>
          <w:rStyle w:val="FootnoteReference"/>
          <w:snapToGrid w:val="0"/>
          <w:kern w:val="22"/>
          <w:sz w:val="22"/>
          <w:szCs w:val="22"/>
          <w:u w:val="none"/>
          <w:lang w:val="fr-CA" w:eastAsia="nb-NO"/>
        </w:rPr>
        <w:footnoteReference w:customMarkFollows="1" w:id="2"/>
        <w:t>*</w:t>
      </w:r>
    </w:p>
    <w:sdt>
      <w:sdtPr>
        <w:rPr>
          <w:bCs/>
          <w:snapToGrid w:val="0"/>
          <w:kern w:val="22"/>
          <w:sz w:val="22"/>
          <w:szCs w:val="22"/>
          <w:u w:val="single"/>
          <w:lang w:val="fr-CA"/>
        </w:rPr>
        <w:alias w:val="Title"/>
        <w:tag w:val=""/>
        <w:id w:val="-2111417392"/>
        <w:placeholder>
          <w:docPart w:val="E73BD651E7CD401E8FCF2400DCA5224F"/>
        </w:placeholder>
        <w:dataBinding w:prefixMappings="xmlns:ns0='http://purl.org/dc/elements/1.1/' xmlns:ns1='http://schemas.openxmlformats.org/package/2006/metadata/core-properties' " w:xpath="/ns1:coreProperties[1]/ns0:title[1]" w:storeItemID="{6C3C8BC8-F283-45AE-878A-BAB7291924A1}"/>
        <w:text/>
      </w:sdtPr>
      <w:sdtContent>
        <w:p w:rsidR="00CD0582" w:rsidRPr="007A46C0" w:rsidRDefault="003F3475" w:rsidP="00F421D5">
          <w:pPr>
            <w:pStyle w:val="HEADINGNOTFORTOC"/>
            <w:tabs>
              <w:tab w:val="clear" w:pos="720"/>
            </w:tabs>
            <w:spacing w:before="120"/>
            <w:rPr>
              <w:caps w:val="0"/>
              <w:snapToGrid w:val="0"/>
              <w:kern w:val="22"/>
              <w:sz w:val="22"/>
              <w:szCs w:val="22"/>
              <w:lang w:val="fr-CA"/>
            </w:rPr>
          </w:pPr>
          <w:r>
            <w:rPr>
              <w:bCs/>
              <w:snapToGrid w:val="0"/>
              <w:kern w:val="22"/>
              <w:sz w:val="22"/>
              <w:szCs w:val="22"/>
              <w:lang w:val="en-US"/>
            </w:rPr>
            <w:t>mécanismes pour faciliter l’examen de l’application</w:t>
          </w:r>
        </w:p>
      </w:sdtContent>
    </w:sdt>
    <w:p w:rsidR="00560B12" w:rsidRPr="007A46C0" w:rsidRDefault="00560B12" w:rsidP="00F421D5">
      <w:pPr>
        <w:pStyle w:val="Heading2"/>
        <w:suppressLineNumbers/>
        <w:tabs>
          <w:tab w:val="clear" w:pos="720"/>
        </w:tabs>
        <w:suppressAutoHyphens/>
        <w:rPr>
          <w:b w:val="0"/>
          <w:snapToGrid w:val="0"/>
          <w:kern w:val="22"/>
          <w:sz w:val="22"/>
          <w:szCs w:val="22"/>
          <w:lang w:val="fr-CA"/>
        </w:rPr>
      </w:pPr>
      <w:r w:rsidRPr="007A46C0">
        <w:rPr>
          <w:b w:val="0"/>
          <w:snapToGrid w:val="0"/>
          <w:kern w:val="22"/>
          <w:sz w:val="22"/>
          <w:szCs w:val="22"/>
          <w:lang w:val="fr-CA"/>
        </w:rPr>
        <w:t xml:space="preserve">Note </w:t>
      </w:r>
      <w:r w:rsidR="00F421D5" w:rsidRPr="007A46C0">
        <w:rPr>
          <w:b w:val="0"/>
          <w:snapToGrid w:val="0"/>
          <w:kern w:val="22"/>
          <w:sz w:val="22"/>
          <w:szCs w:val="22"/>
          <w:lang w:val="fr-CA"/>
        </w:rPr>
        <w:t>de la Secrétaire exécutive</w:t>
      </w:r>
    </w:p>
    <w:p w:rsidR="00D706A4" w:rsidRPr="007A46C0" w:rsidRDefault="00F421D5" w:rsidP="00644480">
      <w:pPr>
        <w:pStyle w:val="Heading1"/>
        <w:numPr>
          <w:ilvl w:val="0"/>
          <w:numId w:val="14"/>
        </w:numPr>
        <w:suppressLineNumbers/>
        <w:suppressAutoHyphens/>
        <w:spacing w:before="120"/>
        <w:ind w:left="0" w:firstLine="0"/>
        <w:rPr>
          <w:snapToGrid w:val="0"/>
          <w:kern w:val="22"/>
          <w:sz w:val="22"/>
          <w:szCs w:val="22"/>
          <w:lang w:val="fr-CA"/>
        </w:rPr>
      </w:pPr>
      <w:r w:rsidRPr="007A46C0">
        <w:rPr>
          <w:snapToGrid w:val="0"/>
          <w:kern w:val="22"/>
          <w:sz w:val="22"/>
          <w:szCs w:val="22"/>
          <w:lang w:val="fr-CA"/>
        </w:rPr>
        <w:t>Mandat</w:t>
      </w:r>
    </w:p>
    <w:p w:rsidR="00CD0582" w:rsidRPr="007A46C0" w:rsidRDefault="002E2EA7" w:rsidP="00360D08">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Conformément au paragraphe 4 de l</w:t>
      </w:r>
      <w:r w:rsidR="00DF1C84">
        <w:rPr>
          <w:kern w:val="22"/>
          <w:sz w:val="22"/>
          <w:szCs w:val="22"/>
          <w:lang w:val="fr-CA"/>
        </w:rPr>
        <w:t>’</w:t>
      </w:r>
      <w:r w:rsidRPr="007A46C0">
        <w:rPr>
          <w:kern w:val="22"/>
          <w:sz w:val="22"/>
          <w:szCs w:val="22"/>
          <w:lang w:val="fr-CA"/>
        </w:rPr>
        <w:t>article 23 de la Convention, la Conférence des Parties examine l</w:t>
      </w:r>
      <w:r w:rsidR="00DF1C84">
        <w:rPr>
          <w:kern w:val="22"/>
          <w:sz w:val="22"/>
          <w:szCs w:val="22"/>
          <w:lang w:val="fr-CA"/>
        </w:rPr>
        <w:t>’</w:t>
      </w:r>
      <w:r w:rsidRPr="007A46C0">
        <w:rPr>
          <w:kern w:val="22"/>
          <w:sz w:val="22"/>
          <w:szCs w:val="22"/>
          <w:lang w:val="fr-CA"/>
        </w:rPr>
        <w:t xml:space="preserve">application de la Convention et </w:t>
      </w:r>
      <w:r w:rsidR="00733B4D" w:rsidRPr="007A46C0">
        <w:rPr>
          <w:kern w:val="22"/>
          <w:sz w:val="22"/>
          <w:szCs w:val="22"/>
          <w:lang w:val="fr-CA"/>
        </w:rPr>
        <w:t>pour s</w:t>
      </w:r>
      <w:r w:rsidR="00DF1C84">
        <w:rPr>
          <w:kern w:val="22"/>
          <w:sz w:val="22"/>
          <w:szCs w:val="22"/>
          <w:lang w:val="fr-CA"/>
        </w:rPr>
        <w:t>’</w:t>
      </w:r>
      <w:r w:rsidR="00733B4D" w:rsidRPr="007A46C0">
        <w:rPr>
          <w:kern w:val="22"/>
          <w:sz w:val="22"/>
          <w:szCs w:val="22"/>
          <w:lang w:val="fr-CA"/>
        </w:rPr>
        <w:t>acquitter de son mandat</w:t>
      </w:r>
      <w:r w:rsidRPr="007A46C0">
        <w:rPr>
          <w:kern w:val="22"/>
          <w:sz w:val="22"/>
          <w:szCs w:val="22"/>
          <w:lang w:val="fr-CA"/>
        </w:rPr>
        <w:t xml:space="preserve"> </w:t>
      </w:r>
      <w:r w:rsidR="00733B4D" w:rsidRPr="007A46C0">
        <w:rPr>
          <w:kern w:val="22"/>
          <w:sz w:val="22"/>
          <w:szCs w:val="22"/>
          <w:lang w:val="fr-CA"/>
        </w:rPr>
        <w:t xml:space="preserve">elle </w:t>
      </w:r>
      <w:r w:rsidR="00360D08" w:rsidRPr="007A46C0">
        <w:rPr>
          <w:kern w:val="22"/>
          <w:sz w:val="22"/>
          <w:szCs w:val="22"/>
          <w:lang w:val="fr-CA"/>
        </w:rPr>
        <w:t>a</w:t>
      </w:r>
      <w:r w:rsidR="00733B4D" w:rsidRPr="007A46C0">
        <w:rPr>
          <w:kern w:val="22"/>
          <w:sz w:val="22"/>
          <w:szCs w:val="22"/>
          <w:lang w:val="fr-CA"/>
        </w:rPr>
        <w:t xml:space="preserve"> recours à un</w:t>
      </w:r>
      <w:r w:rsidRPr="007A46C0">
        <w:rPr>
          <w:kern w:val="22"/>
          <w:sz w:val="22"/>
          <w:szCs w:val="22"/>
          <w:lang w:val="fr-CA"/>
        </w:rPr>
        <w:t xml:space="preserve"> certain nombre de processus et de mécanismes</w:t>
      </w:r>
      <w:r w:rsidRPr="007A46C0">
        <w:rPr>
          <w:noProof/>
          <w:kern w:val="22"/>
          <w:sz w:val="22"/>
          <w:szCs w:val="22"/>
          <w:lang w:val="fr-CA"/>
        </w:rPr>
        <w:t xml:space="preserve">. </w:t>
      </w:r>
      <w:r w:rsidR="00733B4D" w:rsidRPr="007A46C0">
        <w:rPr>
          <w:noProof/>
          <w:kern w:val="22"/>
          <w:sz w:val="22"/>
          <w:szCs w:val="22"/>
          <w:lang w:val="fr-CA"/>
        </w:rPr>
        <w:t>Ceux</w:t>
      </w:r>
      <w:r w:rsidR="00DF1C84">
        <w:rPr>
          <w:noProof/>
          <w:kern w:val="22"/>
          <w:sz w:val="22"/>
          <w:szCs w:val="22"/>
          <w:lang w:val="fr-CA"/>
        </w:rPr>
        <w:noBreakHyphen/>
      </w:r>
      <w:r w:rsidR="00733B4D" w:rsidRPr="007A46C0">
        <w:rPr>
          <w:noProof/>
          <w:kern w:val="22"/>
          <w:sz w:val="22"/>
          <w:szCs w:val="22"/>
          <w:lang w:val="fr-CA"/>
        </w:rPr>
        <w:t>ci comprennent</w:t>
      </w:r>
      <w:r w:rsidR="00733B4D" w:rsidRPr="007A46C0">
        <w:rPr>
          <w:kern w:val="22"/>
          <w:sz w:val="22"/>
          <w:szCs w:val="22"/>
          <w:lang w:val="fr-CA"/>
        </w:rPr>
        <w:t>, notamment, l</w:t>
      </w:r>
      <w:r w:rsidR="00DF1C84">
        <w:rPr>
          <w:kern w:val="22"/>
          <w:sz w:val="22"/>
          <w:szCs w:val="22"/>
          <w:lang w:val="fr-CA"/>
        </w:rPr>
        <w:t>’</w:t>
      </w:r>
      <w:r w:rsidR="00733B4D" w:rsidRPr="007A46C0">
        <w:rPr>
          <w:kern w:val="22"/>
          <w:sz w:val="22"/>
          <w:szCs w:val="22"/>
          <w:lang w:val="fr-CA"/>
        </w:rPr>
        <w:t>é</w:t>
      </w:r>
      <w:r w:rsidR="00733B4D" w:rsidRPr="007A46C0">
        <w:rPr>
          <w:sz w:val="22"/>
          <w:szCs w:val="22"/>
          <w:lang w:val="fr-CA"/>
        </w:rPr>
        <w:t>tude des avis techniques, technologiques et scientifiques sur la diversité biologique émanant de l</w:t>
      </w:r>
      <w:r w:rsidR="00DF1C84">
        <w:rPr>
          <w:sz w:val="22"/>
          <w:szCs w:val="22"/>
          <w:lang w:val="fr-CA"/>
        </w:rPr>
        <w:t>’</w:t>
      </w:r>
      <w:r w:rsidR="00733B4D" w:rsidRPr="007A46C0">
        <w:rPr>
          <w:sz w:val="22"/>
          <w:szCs w:val="22"/>
          <w:lang w:val="fr-CA"/>
        </w:rPr>
        <w:t>Organe subsidiaire chargé de donner des avis scientifiques, techniques et technologiques (OSASTT), l</w:t>
      </w:r>
      <w:r w:rsidR="00DF1C84">
        <w:rPr>
          <w:sz w:val="22"/>
          <w:szCs w:val="22"/>
          <w:lang w:val="fr-CA"/>
        </w:rPr>
        <w:t>’</w:t>
      </w:r>
      <w:r w:rsidR="00733B4D" w:rsidRPr="007A46C0">
        <w:rPr>
          <w:sz w:val="22"/>
          <w:szCs w:val="22"/>
          <w:lang w:val="fr-CA"/>
        </w:rPr>
        <w:t>examen des avis présentés par tout autre organe subsidiaire</w:t>
      </w:r>
      <w:r w:rsidR="00360D08" w:rsidRPr="007A46C0">
        <w:rPr>
          <w:sz w:val="22"/>
          <w:szCs w:val="22"/>
          <w:lang w:val="fr-CA"/>
        </w:rPr>
        <w:t xml:space="preserve"> qui pourrait être créé, l</w:t>
      </w:r>
      <w:r w:rsidR="00DF1C84">
        <w:rPr>
          <w:sz w:val="22"/>
          <w:szCs w:val="22"/>
          <w:lang w:val="fr-CA"/>
        </w:rPr>
        <w:t>’</w:t>
      </w:r>
      <w:r w:rsidR="00360D08" w:rsidRPr="007A46C0">
        <w:rPr>
          <w:sz w:val="22"/>
          <w:szCs w:val="22"/>
          <w:lang w:val="fr-CA"/>
        </w:rPr>
        <w:t xml:space="preserve">examen </w:t>
      </w:r>
      <w:r w:rsidR="00733B4D" w:rsidRPr="007A46C0">
        <w:rPr>
          <w:sz w:val="22"/>
          <w:szCs w:val="22"/>
          <w:lang w:val="fr-CA"/>
        </w:rPr>
        <w:t>des expériences d</w:t>
      </w:r>
      <w:r w:rsidR="00DF1C84">
        <w:rPr>
          <w:sz w:val="22"/>
          <w:szCs w:val="22"/>
          <w:lang w:val="fr-CA"/>
        </w:rPr>
        <w:t>’</w:t>
      </w:r>
      <w:r w:rsidR="00733B4D" w:rsidRPr="007A46C0">
        <w:rPr>
          <w:sz w:val="22"/>
          <w:szCs w:val="22"/>
          <w:lang w:val="fr-CA"/>
        </w:rPr>
        <w:t>autres conventions</w:t>
      </w:r>
      <w:r w:rsidR="00360D08" w:rsidRPr="007A46C0">
        <w:rPr>
          <w:sz w:val="22"/>
          <w:szCs w:val="22"/>
          <w:lang w:val="fr-CA"/>
        </w:rPr>
        <w:t>,</w:t>
      </w:r>
      <w:r w:rsidR="00733B4D" w:rsidRPr="007A46C0">
        <w:rPr>
          <w:sz w:val="22"/>
          <w:szCs w:val="22"/>
          <w:lang w:val="fr-CA"/>
        </w:rPr>
        <w:t xml:space="preserve"> ainsi que </w:t>
      </w:r>
      <w:r w:rsidR="00360D08" w:rsidRPr="007A46C0">
        <w:rPr>
          <w:sz w:val="22"/>
          <w:szCs w:val="22"/>
          <w:lang w:val="fr-CA"/>
        </w:rPr>
        <w:t>l</w:t>
      </w:r>
      <w:r w:rsidR="00DF1C84">
        <w:rPr>
          <w:sz w:val="22"/>
          <w:szCs w:val="22"/>
          <w:lang w:val="fr-CA"/>
        </w:rPr>
        <w:t>’</w:t>
      </w:r>
      <w:r w:rsidR="00360D08" w:rsidRPr="007A46C0">
        <w:rPr>
          <w:sz w:val="22"/>
          <w:szCs w:val="22"/>
          <w:lang w:val="fr-CA"/>
        </w:rPr>
        <w:t>examen et la prise de toutes autres mesures nécessaires à la poursuite des objectifs de la Convention.</w:t>
      </w:r>
    </w:p>
    <w:p w:rsidR="00F60548" w:rsidRPr="007A46C0" w:rsidRDefault="00B73FAA" w:rsidP="00DF1C84">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Dans la décision </w:t>
      </w:r>
      <w:hyperlink r:id="rId11" w:history="1">
        <w:r w:rsidR="00DF1C84">
          <w:rPr>
            <w:rStyle w:val="Hyperlink"/>
            <w:kern w:val="22"/>
            <w:sz w:val="22"/>
            <w:szCs w:val="22"/>
            <w:lang w:val="fr-CA"/>
          </w:rPr>
          <w:t>X/2</w:t>
        </w:r>
      </w:hyperlink>
      <w:r w:rsidR="00DF1C84">
        <w:rPr>
          <w:kern w:val="22"/>
          <w:sz w:val="22"/>
          <w:szCs w:val="22"/>
          <w:lang w:val="fr-CA"/>
        </w:rPr>
        <w:t>, l</w:t>
      </w:r>
      <w:r w:rsidRPr="007A46C0">
        <w:rPr>
          <w:sz w:val="22"/>
          <w:szCs w:val="22"/>
          <w:lang w:val="fr-CA"/>
        </w:rPr>
        <w:t xml:space="preserve">a Conférence des Parties </w:t>
      </w:r>
      <w:r w:rsidR="0096016F" w:rsidRPr="007A46C0">
        <w:rPr>
          <w:sz w:val="22"/>
          <w:szCs w:val="22"/>
          <w:lang w:val="fr-CA"/>
        </w:rPr>
        <w:t>a décidé que lors de</w:t>
      </w:r>
      <w:r w:rsidR="0096016F" w:rsidRPr="007A46C0">
        <w:rPr>
          <w:iCs/>
          <w:noProof/>
          <w:sz w:val="22"/>
          <w:szCs w:val="22"/>
          <w:lang w:val="fr-CA"/>
        </w:rPr>
        <w:t xml:space="preserve"> s</w:t>
      </w:r>
      <w:r w:rsidRPr="007A46C0">
        <w:rPr>
          <w:iCs/>
          <w:noProof/>
          <w:sz w:val="22"/>
          <w:szCs w:val="22"/>
          <w:lang w:val="fr-CA"/>
        </w:rPr>
        <w:t>es futures réunions</w:t>
      </w:r>
      <w:r w:rsidR="0096016F" w:rsidRPr="007A46C0">
        <w:rPr>
          <w:iCs/>
          <w:noProof/>
          <w:sz w:val="22"/>
          <w:szCs w:val="22"/>
          <w:lang w:val="fr-CA"/>
        </w:rPr>
        <w:t xml:space="preserve"> elle examinerait</w:t>
      </w:r>
      <w:r w:rsidRPr="007A46C0">
        <w:rPr>
          <w:iCs/>
          <w:noProof/>
          <w:sz w:val="22"/>
          <w:szCs w:val="22"/>
          <w:lang w:val="fr-CA"/>
        </w:rPr>
        <w:t xml:space="preserve"> les progrès accomplis dans le cadre de la mise en œuvre du Plan stratégique </w:t>
      </w:r>
      <w:r w:rsidRPr="007A46C0">
        <w:rPr>
          <w:sz w:val="22"/>
          <w:szCs w:val="22"/>
          <w:lang w:val="fr-CA"/>
        </w:rPr>
        <w:t>2011</w:t>
      </w:r>
      <w:r w:rsidR="00DF1C84">
        <w:rPr>
          <w:sz w:val="22"/>
          <w:szCs w:val="22"/>
          <w:lang w:val="fr-CA"/>
        </w:rPr>
        <w:noBreakHyphen/>
      </w:r>
      <w:r w:rsidRPr="007A46C0">
        <w:rPr>
          <w:sz w:val="22"/>
          <w:szCs w:val="22"/>
          <w:lang w:val="fr-CA"/>
        </w:rPr>
        <w:t>2020 pour la diversité biologique,</w:t>
      </w:r>
      <w:r w:rsidR="0096016F" w:rsidRPr="007A46C0">
        <w:rPr>
          <w:sz w:val="22"/>
          <w:szCs w:val="22"/>
          <w:lang w:val="fr-CA"/>
        </w:rPr>
        <w:t xml:space="preserve"> et prié la Secrétaire exécutive de préparer une analyse/synthèse sur les mesures prises aux niveaux national et régional et autres mesures, y compris des objectifs, selon qu</w:t>
      </w:r>
      <w:r w:rsidR="00DF1C84">
        <w:rPr>
          <w:sz w:val="22"/>
          <w:szCs w:val="22"/>
          <w:lang w:val="fr-CA"/>
        </w:rPr>
        <w:t>’</w:t>
      </w:r>
      <w:r w:rsidR="0096016F" w:rsidRPr="007A46C0">
        <w:rPr>
          <w:sz w:val="22"/>
          <w:szCs w:val="22"/>
          <w:lang w:val="fr-CA"/>
        </w:rPr>
        <w:t>il convient, conformément au Plan stratégique 2011</w:t>
      </w:r>
      <w:r w:rsidR="00DF1C84">
        <w:rPr>
          <w:sz w:val="22"/>
          <w:szCs w:val="22"/>
          <w:lang w:val="fr-CA"/>
        </w:rPr>
        <w:noBreakHyphen/>
      </w:r>
      <w:r w:rsidR="0096016F" w:rsidRPr="007A46C0">
        <w:rPr>
          <w:sz w:val="22"/>
          <w:szCs w:val="22"/>
          <w:lang w:val="fr-CA"/>
        </w:rPr>
        <w:t xml:space="preserve">2020 pour la diversité biologique, afin que la Conférence des Parties </w:t>
      </w:r>
      <w:r w:rsidR="0096016F" w:rsidRPr="007A46C0">
        <w:rPr>
          <w:noProof/>
          <w:szCs w:val="22"/>
          <w:lang w:val="fr-CA"/>
        </w:rPr>
        <w:t>puisse évaluer la contribution de ces objectifs nationaux et régionaux aux objectifs mondiaux</w:t>
      </w:r>
      <w:r w:rsidR="0096016F" w:rsidRPr="007A46C0">
        <w:rPr>
          <w:sz w:val="22"/>
          <w:szCs w:val="22"/>
          <w:lang w:val="fr-CA"/>
        </w:rPr>
        <w:t>.</w:t>
      </w:r>
    </w:p>
    <w:p w:rsidR="00355E2A" w:rsidRPr="007A46C0" w:rsidRDefault="00B73746" w:rsidP="003F3475">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sz w:val="22"/>
          <w:szCs w:val="22"/>
          <w:lang w:val="fr-CA"/>
        </w:rPr>
        <w:t xml:space="preserve">Dans la </w:t>
      </w:r>
      <w:r w:rsidR="00C749A5" w:rsidRPr="007A46C0">
        <w:rPr>
          <w:sz w:val="22"/>
          <w:szCs w:val="22"/>
          <w:lang w:val="fr-CA"/>
        </w:rPr>
        <w:t>dé</w:t>
      </w:r>
      <w:r w:rsidR="006B2D88" w:rsidRPr="007A46C0">
        <w:rPr>
          <w:sz w:val="22"/>
          <w:szCs w:val="22"/>
          <w:lang w:val="fr-CA"/>
        </w:rPr>
        <w:t>cisio</w:t>
      </w:r>
      <w:r w:rsidR="00DF1C84">
        <w:rPr>
          <w:sz w:val="22"/>
          <w:szCs w:val="22"/>
          <w:lang w:val="fr-CA"/>
        </w:rPr>
        <w:t xml:space="preserve">n </w:t>
      </w:r>
      <w:hyperlink r:id="rId12" w:history="1">
        <w:r w:rsidR="00DF1C84">
          <w:rPr>
            <w:rStyle w:val="Hyperlink"/>
            <w:sz w:val="22"/>
            <w:szCs w:val="22"/>
            <w:lang w:val="fr-CA"/>
          </w:rPr>
          <w:t>XII/26</w:t>
        </w:r>
      </w:hyperlink>
      <w:r w:rsidR="00DF1C84">
        <w:rPr>
          <w:sz w:val="22"/>
          <w:szCs w:val="22"/>
          <w:lang w:val="fr-CA"/>
        </w:rPr>
        <w:t xml:space="preserve">, </w:t>
      </w:r>
      <w:r w:rsidR="00C749A5" w:rsidRPr="007A46C0">
        <w:rPr>
          <w:sz w:val="22"/>
          <w:szCs w:val="22"/>
          <w:lang w:val="fr-CA"/>
        </w:rPr>
        <w:t>la Conférence des Parties</w:t>
      </w:r>
      <w:r w:rsidRPr="007A46C0">
        <w:rPr>
          <w:sz w:val="22"/>
          <w:szCs w:val="22"/>
          <w:lang w:val="fr-CA"/>
        </w:rPr>
        <w:t xml:space="preserve"> a créé</w:t>
      </w:r>
      <w:r w:rsidR="00C749A5" w:rsidRPr="007A46C0">
        <w:rPr>
          <w:sz w:val="22"/>
          <w:szCs w:val="22"/>
          <w:lang w:val="fr-CA"/>
        </w:rPr>
        <w:t xml:space="preserve"> l</w:t>
      </w:r>
      <w:r w:rsidR="00DF1C84">
        <w:rPr>
          <w:sz w:val="22"/>
          <w:szCs w:val="22"/>
          <w:lang w:val="fr-CA"/>
        </w:rPr>
        <w:t>’</w:t>
      </w:r>
      <w:r w:rsidR="00C749A5" w:rsidRPr="007A46C0">
        <w:rPr>
          <w:sz w:val="22"/>
          <w:szCs w:val="22"/>
          <w:lang w:val="fr-CA"/>
        </w:rPr>
        <w:t>Organe subsidiaire chargé de l</w:t>
      </w:r>
      <w:r w:rsidR="00DF1C84">
        <w:rPr>
          <w:sz w:val="22"/>
          <w:szCs w:val="22"/>
          <w:lang w:val="fr-CA"/>
        </w:rPr>
        <w:t>’</w:t>
      </w:r>
      <w:r w:rsidR="00C749A5" w:rsidRPr="007A46C0">
        <w:rPr>
          <w:sz w:val="22"/>
          <w:szCs w:val="22"/>
          <w:lang w:val="fr-CA"/>
        </w:rPr>
        <w:t>application (SBI) pour remplacer le Groupe de travail spécial à composition non limitée sur l</w:t>
      </w:r>
      <w:r w:rsidR="00DF1C84">
        <w:rPr>
          <w:sz w:val="22"/>
          <w:szCs w:val="22"/>
          <w:lang w:val="fr-CA"/>
        </w:rPr>
        <w:t>’</w:t>
      </w:r>
      <w:r w:rsidR="00C749A5" w:rsidRPr="007A46C0">
        <w:rPr>
          <w:sz w:val="22"/>
          <w:szCs w:val="22"/>
          <w:lang w:val="fr-CA"/>
        </w:rPr>
        <w:t>examen de l</w:t>
      </w:r>
      <w:r w:rsidR="00DF1C84">
        <w:rPr>
          <w:sz w:val="22"/>
          <w:szCs w:val="22"/>
          <w:lang w:val="fr-CA"/>
        </w:rPr>
        <w:t>’</w:t>
      </w:r>
      <w:r w:rsidR="00C749A5" w:rsidRPr="007A46C0">
        <w:rPr>
          <w:sz w:val="22"/>
          <w:szCs w:val="22"/>
          <w:lang w:val="fr-CA"/>
        </w:rPr>
        <w:t>application de la Convention</w:t>
      </w:r>
      <w:r w:rsidRPr="007A46C0">
        <w:rPr>
          <w:sz w:val="22"/>
          <w:szCs w:val="22"/>
          <w:lang w:val="fr-CA"/>
        </w:rPr>
        <w:t>, et lui a demandé de soutenir la Conférence des Parties dans son examen des progrès accomplis dans la mise en œuvre du Plan stratégique pour la diversité biologique 2011</w:t>
      </w:r>
      <w:r w:rsidR="00DF1C84">
        <w:rPr>
          <w:sz w:val="22"/>
          <w:szCs w:val="22"/>
          <w:lang w:val="fr-CA"/>
        </w:rPr>
        <w:noBreakHyphen/>
      </w:r>
      <w:r w:rsidRPr="007A46C0">
        <w:rPr>
          <w:sz w:val="22"/>
          <w:szCs w:val="22"/>
          <w:lang w:val="fr-CA"/>
        </w:rPr>
        <w:t>2020 et la réalisation des Objectifs d</w:t>
      </w:r>
      <w:r w:rsidR="00DF1C84">
        <w:rPr>
          <w:sz w:val="22"/>
          <w:szCs w:val="22"/>
          <w:lang w:val="fr-CA"/>
        </w:rPr>
        <w:t>’</w:t>
      </w:r>
      <w:r w:rsidRPr="007A46C0">
        <w:rPr>
          <w:sz w:val="22"/>
          <w:szCs w:val="22"/>
          <w:lang w:val="fr-CA"/>
        </w:rPr>
        <w:t>Aichi pour la biodiversité. L</w:t>
      </w:r>
      <w:r w:rsidR="00DF1C84">
        <w:rPr>
          <w:sz w:val="22"/>
          <w:szCs w:val="22"/>
          <w:lang w:val="fr-CA"/>
        </w:rPr>
        <w:t>’</w:t>
      </w:r>
      <w:r w:rsidRPr="007A46C0">
        <w:rPr>
          <w:sz w:val="22"/>
          <w:szCs w:val="22"/>
          <w:lang w:val="fr-CA"/>
        </w:rPr>
        <w:t>Organe subsidiaire chargé de l</w:t>
      </w:r>
      <w:r w:rsidR="00DF1C84">
        <w:rPr>
          <w:sz w:val="22"/>
          <w:szCs w:val="22"/>
          <w:lang w:val="fr-CA"/>
        </w:rPr>
        <w:t>’</w:t>
      </w:r>
      <w:r w:rsidRPr="007A46C0">
        <w:rPr>
          <w:sz w:val="22"/>
          <w:szCs w:val="22"/>
          <w:lang w:val="fr-CA"/>
        </w:rPr>
        <w:t>application a été mandaté, notamment, d</w:t>
      </w:r>
      <w:r w:rsidR="00DF1C84">
        <w:rPr>
          <w:sz w:val="22"/>
          <w:szCs w:val="22"/>
          <w:lang w:val="fr-CA"/>
        </w:rPr>
        <w:t>’</w:t>
      </w:r>
      <w:r w:rsidRPr="007A46C0">
        <w:rPr>
          <w:sz w:val="22"/>
          <w:szCs w:val="22"/>
          <w:lang w:val="fr-CA"/>
        </w:rPr>
        <w:t>examiner les informations pertinentes sur les progrès de la mise en œuvre de la Convention, y compris le</w:t>
      </w:r>
      <w:r w:rsidR="00E56DE1" w:rsidRPr="007A46C0">
        <w:rPr>
          <w:sz w:val="22"/>
          <w:szCs w:val="22"/>
          <w:lang w:val="fr-CA"/>
        </w:rPr>
        <w:t xml:space="preserve"> soutien fourni à sa mise en œuvre</w:t>
      </w:r>
      <w:r w:rsidRPr="007A46C0">
        <w:rPr>
          <w:sz w:val="22"/>
          <w:szCs w:val="22"/>
          <w:lang w:val="fr-CA"/>
        </w:rPr>
        <w:t>, des plans stratégiques et d</w:t>
      </w:r>
      <w:r w:rsidR="00DF1C84">
        <w:rPr>
          <w:sz w:val="22"/>
          <w:szCs w:val="22"/>
          <w:lang w:val="fr-CA"/>
        </w:rPr>
        <w:t>’</w:t>
      </w:r>
      <w:r w:rsidRPr="007A46C0">
        <w:rPr>
          <w:sz w:val="22"/>
          <w:szCs w:val="22"/>
          <w:lang w:val="fr-CA"/>
        </w:rPr>
        <w:t>autres décisions pertinentes adoptés</w:t>
      </w:r>
      <w:r w:rsidR="00E56DE1" w:rsidRPr="007A46C0">
        <w:rPr>
          <w:sz w:val="22"/>
          <w:szCs w:val="22"/>
          <w:lang w:val="fr-CA"/>
        </w:rPr>
        <w:t xml:space="preserve"> par la Conférence des Parties</w:t>
      </w:r>
      <w:r w:rsidR="00C536DD" w:rsidRPr="007A46C0">
        <w:rPr>
          <w:sz w:val="22"/>
          <w:szCs w:val="22"/>
          <w:lang w:val="fr-CA"/>
        </w:rPr>
        <w:t>, et sur l</w:t>
      </w:r>
      <w:r w:rsidRPr="007A46C0">
        <w:rPr>
          <w:sz w:val="22"/>
          <w:szCs w:val="22"/>
          <w:lang w:val="fr-CA"/>
        </w:rPr>
        <w:t>es</w:t>
      </w:r>
      <w:r w:rsidR="00E56DE1" w:rsidRPr="007A46C0">
        <w:rPr>
          <w:sz w:val="22"/>
          <w:szCs w:val="22"/>
          <w:lang w:val="fr-CA"/>
        </w:rPr>
        <w:t xml:space="preserve"> progrès dans la réalisation des</w:t>
      </w:r>
      <w:r w:rsidRPr="007A46C0">
        <w:rPr>
          <w:sz w:val="22"/>
          <w:szCs w:val="22"/>
          <w:lang w:val="fr-CA"/>
        </w:rPr>
        <w:t xml:space="preserve"> objectifs fixés </w:t>
      </w:r>
      <w:r w:rsidR="00E56DE1" w:rsidRPr="007A46C0">
        <w:rPr>
          <w:sz w:val="22"/>
          <w:szCs w:val="22"/>
          <w:lang w:val="fr-CA"/>
        </w:rPr>
        <w:t>au titre de la Convention</w:t>
      </w:r>
      <w:r w:rsidR="003F3475">
        <w:rPr>
          <w:sz w:val="22"/>
          <w:szCs w:val="22"/>
          <w:lang w:val="fr-CA"/>
        </w:rPr>
        <w:t>.</w:t>
      </w:r>
    </w:p>
    <w:p w:rsidR="00A25115" w:rsidRPr="007A46C0" w:rsidRDefault="00675001" w:rsidP="00950BAA">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lastRenderedPageBreak/>
        <w:t>Dans la</w:t>
      </w:r>
      <w:r w:rsidR="006B2D88" w:rsidRPr="007A46C0">
        <w:rPr>
          <w:kern w:val="22"/>
          <w:sz w:val="22"/>
          <w:szCs w:val="22"/>
          <w:lang w:val="fr-CA"/>
        </w:rPr>
        <w:t xml:space="preserve"> </w:t>
      </w:r>
      <w:r w:rsidRPr="007A46C0">
        <w:rPr>
          <w:kern w:val="22"/>
          <w:sz w:val="22"/>
          <w:szCs w:val="22"/>
          <w:lang w:val="fr-CA"/>
        </w:rPr>
        <w:t>dé</w:t>
      </w:r>
      <w:r w:rsidR="003A5411" w:rsidRPr="007A46C0">
        <w:rPr>
          <w:kern w:val="22"/>
          <w:sz w:val="22"/>
          <w:szCs w:val="22"/>
          <w:lang w:val="fr-CA"/>
        </w:rPr>
        <w:t>cision</w:t>
      </w:r>
      <w:r w:rsidR="003F3475">
        <w:rPr>
          <w:kern w:val="22"/>
          <w:sz w:val="22"/>
          <w:szCs w:val="22"/>
          <w:lang w:val="fr-CA"/>
        </w:rPr>
        <w:t> </w:t>
      </w:r>
      <w:hyperlink r:id="rId13" w:history="1">
        <w:r w:rsidR="003F3475">
          <w:rPr>
            <w:rStyle w:val="Hyperlink"/>
            <w:sz w:val="22"/>
            <w:szCs w:val="22"/>
            <w:lang w:val="fr-CA"/>
          </w:rPr>
          <w:t>XIII/25</w:t>
        </w:r>
      </w:hyperlink>
      <w:r w:rsidR="003F3475">
        <w:rPr>
          <w:sz w:val="22"/>
          <w:szCs w:val="22"/>
          <w:lang w:val="fr-CA"/>
        </w:rPr>
        <w:t xml:space="preserve">, </w:t>
      </w:r>
      <w:r w:rsidRPr="007A46C0">
        <w:rPr>
          <w:sz w:val="22"/>
          <w:szCs w:val="22"/>
          <w:lang w:val="fr-CA"/>
        </w:rPr>
        <w:t xml:space="preserve">la Conférence des Parties </w:t>
      </w:r>
      <w:r w:rsidR="00950BAA" w:rsidRPr="007A46C0">
        <w:rPr>
          <w:sz w:val="22"/>
          <w:szCs w:val="22"/>
          <w:lang w:val="fr-CA"/>
        </w:rPr>
        <w:t>a établi le mode de fonctionnement de l</w:t>
      </w:r>
      <w:r w:rsidR="00DF1C84">
        <w:rPr>
          <w:sz w:val="22"/>
          <w:szCs w:val="22"/>
          <w:lang w:val="fr-CA"/>
        </w:rPr>
        <w:t>’</w:t>
      </w:r>
      <w:r w:rsidR="00950BAA" w:rsidRPr="007A46C0">
        <w:rPr>
          <w:sz w:val="22"/>
          <w:szCs w:val="22"/>
          <w:lang w:val="fr-CA"/>
        </w:rPr>
        <w:t>Organe subsidiaire chargé de l</w:t>
      </w:r>
      <w:r w:rsidR="00DF1C84">
        <w:rPr>
          <w:sz w:val="22"/>
          <w:szCs w:val="22"/>
          <w:lang w:val="fr-CA"/>
        </w:rPr>
        <w:t>’</w:t>
      </w:r>
      <w:r w:rsidR="00950BAA" w:rsidRPr="007A46C0">
        <w:rPr>
          <w:sz w:val="22"/>
          <w:szCs w:val="22"/>
          <w:lang w:val="fr-CA"/>
        </w:rPr>
        <w:t>application qui comprend notamment parmi ses domaines de travail</w:t>
      </w:r>
      <w:r w:rsidRPr="007A46C0">
        <w:rPr>
          <w:sz w:val="22"/>
          <w:szCs w:val="22"/>
          <w:lang w:val="fr-CA"/>
        </w:rPr>
        <w:t xml:space="preserve"> </w:t>
      </w:r>
      <w:r w:rsidR="00950BAA" w:rsidRPr="007A46C0">
        <w:rPr>
          <w:sz w:val="22"/>
          <w:szCs w:val="22"/>
          <w:lang w:val="fr-CA"/>
        </w:rPr>
        <w:t>l</w:t>
      </w:r>
      <w:r w:rsidR="00DF1C84">
        <w:rPr>
          <w:sz w:val="22"/>
          <w:szCs w:val="22"/>
          <w:lang w:val="fr-CA"/>
        </w:rPr>
        <w:t>’</w:t>
      </w:r>
      <w:r w:rsidR="00950BAA" w:rsidRPr="007A46C0">
        <w:rPr>
          <w:sz w:val="22"/>
          <w:szCs w:val="22"/>
          <w:lang w:val="fr-CA"/>
        </w:rPr>
        <w:t>examen des progrès accomplis dans l</w:t>
      </w:r>
      <w:r w:rsidR="00DF1C84">
        <w:rPr>
          <w:sz w:val="22"/>
          <w:szCs w:val="22"/>
          <w:lang w:val="fr-CA"/>
        </w:rPr>
        <w:t>’</w:t>
      </w:r>
      <w:r w:rsidR="00950BAA" w:rsidRPr="007A46C0">
        <w:rPr>
          <w:sz w:val="22"/>
          <w:szCs w:val="22"/>
          <w:lang w:val="fr-CA"/>
        </w:rPr>
        <w:t>application (section B, paragraphe 1). Plus précisément, l</w:t>
      </w:r>
      <w:r w:rsidR="00DF1C84">
        <w:rPr>
          <w:sz w:val="22"/>
          <w:szCs w:val="22"/>
          <w:lang w:val="fr-CA"/>
        </w:rPr>
        <w:t>’</w:t>
      </w:r>
      <w:r w:rsidR="00950BAA" w:rsidRPr="007A46C0">
        <w:rPr>
          <w:sz w:val="22"/>
          <w:szCs w:val="22"/>
          <w:lang w:val="fr-CA"/>
        </w:rPr>
        <w:t>examen des progrès accomplis dans l</w:t>
      </w:r>
      <w:r w:rsidR="00DF1C84">
        <w:rPr>
          <w:sz w:val="22"/>
          <w:szCs w:val="22"/>
          <w:lang w:val="fr-CA"/>
        </w:rPr>
        <w:t>’</w:t>
      </w:r>
      <w:r w:rsidR="00950BAA" w:rsidRPr="007A46C0">
        <w:rPr>
          <w:sz w:val="22"/>
          <w:szCs w:val="22"/>
          <w:lang w:val="fr-CA"/>
        </w:rPr>
        <w:t>application couvre les progrès accomplis par chaque Partie prise individuellement, en particulier les progrès accomplis par les Parties dans la mise en place et la réalisation de leurs objectifs et mesures nationaux ainsi que les résultats de ces mesures, ainsi que la contribution des objectifs nationaux à la réalisation des objectifs de la Convention. Cet examen devrait tenir compte des évaluations, recommandations et avis scientifiques fournis par l</w:t>
      </w:r>
      <w:r w:rsidR="00DF1C84">
        <w:rPr>
          <w:sz w:val="22"/>
          <w:szCs w:val="22"/>
          <w:lang w:val="fr-CA"/>
        </w:rPr>
        <w:t>’</w:t>
      </w:r>
      <w:r w:rsidR="00950BAA" w:rsidRPr="007A46C0">
        <w:rPr>
          <w:sz w:val="22"/>
          <w:szCs w:val="22"/>
          <w:lang w:val="fr-CA"/>
        </w:rPr>
        <w:t>Organe subsidiaire chargé de fournir des avis scientifiques, techniques et technologiques (OSASTT).</w:t>
      </w:r>
    </w:p>
    <w:p w:rsidR="003A5411" w:rsidRPr="007A46C0" w:rsidRDefault="00950BAA" w:rsidP="00950BAA">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sz w:val="22"/>
          <w:szCs w:val="22"/>
          <w:lang w:val="fr-CA"/>
        </w:rPr>
        <w:t>L</w:t>
      </w:r>
      <w:r w:rsidR="00DF1C84">
        <w:rPr>
          <w:sz w:val="22"/>
          <w:szCs w:val="22"/>
          <w:lang w:val="fr-CA"/>
        </w:rPr>
        <w:t>’</w:t>
      </w:r>
      <w:r w:rsidRPr="007A46C0">
        <w:rPr>
          <w:sz w:val="22"/>
          <w:szCs w:val="22"/>
          <w:lang w:val="fr-CA"/>
        </w:rPr>
        <w:t>examen du soutien fourni pour renforcer les moyens d</w:t>
      </w:r>
      <w:r w:rsidR="00DF1C84">
        <w:rPr>
          <w:sz w:val="22"/>
          <w:szCs w:val="22"/>
          <w:lang w:val="fr-CA"/>
        </w:rPr>
        <w:t>’</w:t>
      </w:r>
      <w:r w:rsidRPr="007A46C0">
        <w:rPr>
          <w:sz w:val="22"/>
          <w:szCs w:val="22"/>
          <w:lang w:val="fr-CA"/>
        </w:rPr>
        <w:t>application inclut les points relatifs à la mobilisation des ressources, au mécanisme de financement, aux aspects généraux et stratégiques et aux mécanismes institutionnels pour une coopération technique et scientifique, au centre d</w:t>
      </w:r>
      <w:r w:rsidR="00DF1C84">
        <w:rPr>
          <w:sz w:val="22"/>
          <w:szCs w:val="22"/>
          <w:lang w:val="fr-CA"/>
        </w:rPr>
        <w:t>’</w:t>
      </w:r>
      <w:r w:rsidRPr="007A46C0">
        <w:rPr>
          <w:sz w:val="22"/>
          <w:szCs w:val="22"/>
          <w:lang w:val="fr-CA"/>
        </w:rPr>
        <w:t>échange, au renforcement des capacités, au transfert de technologie, et à la communication, l</w:t>
      </w:r>
      <w:r w:rsidR="00DF1C84">
        <w:rPr>
          <w:sz w:val="22"/>
          <w:szCs w:val="22"/>
          <w:lang w:val="fr-CA"/>
        </w:rPr>
        <w:t>’</w:t>
      </w:r>
      <w:r w:rsidRPr="007A46C0">
        <w:rPr>
          <w:sz w:val="22"/>
          <w:szCs w:val="22"/>
          <w:lang w:val="fr-CA"/>
        </w:rPr>
        <w:t>éducation et la sensibilisation du public.</w:t>
      </w:r>
    </w:p>
    <w:p w:rsidR="008E37B6" w:rsidRPr="007A46C0" w:rsidRDefault="00994283" w:rsidP="000C2CA7">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Outre les dispositions émanant de la Convention, du Plan stratégique 2011</w:t>
      </w:r>
      <w:r w:rsidR="00DF1C84">
        <w:rPr>
          <w:kern w:val="22"/>
          <w:sz w:val="22"/>
          <w:szCs w:val="22"/>
          <w:lang w:val="fr-CA"/>
        </w:rPr>
        <w:noBreakHyphen/>
      </w:r>
      <w:r w:rsidRPr="007A46C0">
        <w:rPr>
          <w:kern w:val="22"/>
          <w:sz w:val="22"/>
          <w:szCs w:val="22"/>
          <w:lang w:val="fr-CA"/>
        </w:rPr>
        <w:t>2020 pour la diversité biologique et de l</w:t>
      </w:r>
      <w:r w:rsidR="00DF1C84">
        <w:rPr>
          <w:kern w:val="22"/>
          <w:sz w:val="22"/>
          <w:szCs w:val="22"/>
          <w:lang w:val="fr-CA"/>
        </w:rPr>
        <w:t>’</w:t>
      </w:r>
      <w:r w:rsidRPr="007A46C0">
        <w:rPr>
          <w:kern w:val="22"/>
          <w:sz w:val="22"/>
          <w:szCs w:val="22"/>
          <w:lang w:val="fr-CA"/>
        </w:rPr>
        <w:t>Organe subsidiaire chargé de l</w:t>
      </w:r>
      <w:r w:rsidR="00DF1C84">
        <w:rPr>
          <w:kern w:val="22"/>
          <w:sz w:val="22"/>
          <w:szCs w:val="22"/>
          <w:lang w:val="fr-CA"/>
        </w:rPr>
        <w:t>’</w:t>
      </w:r>
      <w:r w:rsidRPr="007A46C0">
        <w:rPr>
          <w:kern w:val="22"/>
          <w:sz w:val="22"/>
          <w:szCs w:val="22"/>
          <w:lang w:val="fr-CA"/>
        </w:rPr>
        <w:t>application, des éléments additionnels visant à faciliter l</w:t>
      </w:r>
      <w:r w:rsidR="00DF1C84">
        <w:rPr>
          <w:kern w:val="22"/>
          <w:sz w:val="22"/>
          <w:szCs w:val="22"/>
          <w:lang w:val="fr-CA"/>
        </w:rPr>
        <w:t>’</w:t>
      </w:r>
      <w:r w:rsidRPr="007A46C0">
        <w:rPr>
          <w:kern w:val="22"/>
          <w:sz w:val="22"/>
          <w:szCs w:val="22"/>
          <w:lang w:val="fr-CA"/>
        </w:rPr>
        <w:t>examen de la mise en œuvre com</w:t>
      </w:r>
      <w:r w:rsidR="000E23B2" w:rsidRPr="007A46C0">
        <w:rPr>
          <w:kern w:val="22"/>
          <w:sz w:val="22"/>
          <w:szCs w:val="22"/>
          <w:lang w:val="fr-CA"/>
        </w:rPr>
        <w:t>prennent le mécanisme d</w:t>
      </w:r>
      <w:r w:rsidR="00DF1C84">
        <w:rPr>
          <w:kern w:val="22"/>
          <w:sz w:val="22"/>
          <w:szCs w:val="22"/>
          <w:lang w:val="fr-CA"/>
        </w:rPr>
        <w:t>’</w:t>
      </w:r>
      <w:r w:rsidR="000E23B2" w:rsidRPr="007A46C0">
        <w:rPr>
          <w:kern w:val="22"/>
          <w:sz w:val="22"/>
          <w:szCs w:val="22"/>
          <w:lang w:val="fr-CA"/>
        </w:rPr>
        <w:t>examen facultatif par les pairs mis à l</w:t>
      </w:r>
      <w:r w:rsidR="00DF1C84">
        <w:rPr>
          <w:kern w:val="22"/>
          <w:sz w:val="22"/>
          <w:szCs w:val="22"/>
          <w:lang w:val="fr-CA"/>
        </w:rPr>
        <w:t>’</w:t>
      </w:r>
      <w:r w:rsidR="000E23B2" w:rsidRPr="007A46C0">
        <w:rPr>
          <w:kern w:val="22"/>
          <w:sz w:val="22"/>
          <w:szCs w:val="22"/>
          <w:lang w:val="fr-CA"/>
        </w:rPr>
        <w:t>essai dans le cadre d</w:t>
      </w:r>
      <w:r w:rsidR="00DF1C84">
        <w:rPr>
          <w:kern w:val="22"/>
          <w:sz w:val="22"/>
          <w:szCs w:val="22"/>
          <w:lang w:val="fr-CA"/>
        </w:rPr>
        <w:t>’</w:t>
      </w:r>
      <w:r w:rsidR="000E23B2" w:rsidRPr="007A46C0">
        <w:rPr>
          <w:kern w:val="22"/>
          <w:sz w:val="22"/>
          <w:szCs w:val="22"/>
          <w:lang w:val="fr-CA"/>
        </w:rPr>
        <w:t xml:space="preserve">une phase pilote </w:t>
      </w:r>
      <w:r w:rsidR="00C72442" w:rsidRPr="007A46C0">
        <w:rPr>
          <w:kern w:val="22"/>
          <w:sz w:val="22"/>
          <w:szCs w:val="22"/>
          <w:lang w:val="fr-CA"/>
        </w:rPr>
        <w:t>(décision XIII/25, paragraphe 2), et l</w:t>
      </w:r>
      <w:r w:rsidR="00DF1C84">
        <w:rPr>
          <w:kern w:val="22"/>
          <w:sz w:val="22"/>
          <w:szCs w:val="22"/>
          <w:lang w:val="fr-CA"/>
        </w:rPr>
        <w:t>’</w:t>
      </w:r>
      <w:r w:rsidR="00C72442" w:rsidRPr="007A46C0">
        <w:rPr>
          <w:kern w:val="22"/>
          <w:sz w:val="22"/>
          <w:szCs w:val="22"/>
          <w:lang w:val="fr-CA"/>
        </w:rPr>
        <w:t>outil de suivi des décisions en cours d</w:t>
      </w:r>
      <w:r w:rsidR="00DF1C84">
        <w:rPr>
          <w:kern w:val="22"/>
          <w:sz w:val="22"/>
          <w:szCs w:val="22"/>
          <w:lang w:val="fr-CA"/>
        </w:rPr>
        <w:t>’</w:t>
      </w:r>
      <w:r w:rsidR="00C72442" w:rsidRPr="007A46C0">
        <w:rPr>
          <w:kern w:val="22"/>
          <w:sz w:val="22"/>
          <w:szCs w:val="22"/>
          <w:lang w:val="fr-CA"/>
        </w:rPr>
        <w:t>élaboration conformément au paragraphe 5 de la décision XIII/25.</w:t>
      </w:r>
      <w:r w:rsidR="000E23B2" w:rsidRPr="007A46C0">
        <w:rPr>
          <w:kern w:val="22"/>
          <w:sz w:val="22"/>
          <w:szCs w:val="22"/>
          <w:lang w:val="fr-CA"/>
        </w:rPr>
        <w:t xml:space="preserve"> </w:t>
      </w:r>
      <w:r w:rsidR="000C2CA7" w:rsidRPr="007A46C0">
        <w:rPr>
          <w:kern w:val="22"/>
          <w:sz w:val="22"/>
          <w:szCs w:val="22"/>
          <w:lang w:val="fr-CA"/>
        </w:rPr>
        <w:t>Dans la même décision, les Parties sont invitées à élaborer, renforcer et utiliser les processus nationaux d</w:t>
      </w:r>
      <w:r w:rsidR="00DF1C84">
        <w:rPr>
          <w:kern w:val="22"/>
          <w:sz w:val="22"/>
          <w:szCs w:val="22"/>
          <w:lang w:val="fr-CA"/>
        </w:rPr>
        <w:t>’</w:t>
      </w:r>
      <w:r w:rsidR="000C2CA7" w:rsidRPr="007A46C0">
        <w:rPr>
          <w:kern w:val="22"/>
          <w:sz w:val="22"/>
          <w:szCs w:val="22"/>
          <w:lang w:val="fr-CA"/>
        </w:rPr>
        <w:t>examen des mesures qu</w:t>
      </w:r>
      <w:r w:rsidR="00DF1C84">
        <w:rPr>
          <w:kern w:val="22"/>
          <w:sz w:val="22"/>
          <w:szCs w:val="22"/>
          <w:lang w:val="fr-CA"/>
        </w:rPr>
        <w:t>’</w:t>
      </w:r>
      <w:r w:rsidR="000C2CA7" w:rsidRPr="007A46C0">
        <w:rPr>
          <w:kern w:val="22"/>
          <w:sz w:val="22"/>
          <w:szCs w:val="22"/>
          <w:lang w:val="fr-CA"/>
        </w:rPr>
        <w:t>elles ont prises pour l</w:t>
      </w:r>
      <w:r w:rsidR="00DF1C84">
        <w:rPr>
          <w:kern w:val="22"/>
          <w:sz w:val="22"/>
          <w:szCs w:val="22"/>
          <w:lang w:val="fr-CA"/>
        </w:rPr>
        <w:t>’</w:t>
      </w:r>
      <w:r w:rsidR="000C2CA7" w:rsidRPr="007A46C0">
        <w:rPr>
          <w:kern w:val="22"/>
          <w:sz w:val="22"/>
          <w:szCs w:val="22"/>
          <w:lang w:val="fr-CA"/>
        </w:rPr>
        <w:t>application de la Convention et des plans stratégiques connexes, à recenser les obstacles qui pourraient entraver cette application et à partager ces informations par le biais du centre d</w:t>
      </w:r>
      <w:r w:rsidR="00DF1C84">
        <w:rPr>
          <w:kern w:val="22"/>
          <w:sz w:val="22"/>
          <w:szCs w:val="22"/>
          <w:lang w:val="fr-CA"/>
        </w:rPr>
        <w:t>’</w:t>
      </w:r>
      <w:r w:rsidR="000C2CA7" w:rsidRPr="007A46C0">
        <w:rPr>
          <w:kern w:val="22"/>
          <w:sz w:val="22"/>
          <w:szCs w:val="22"/>
          <w:lang w:val="fr-CA"/>
        </w:rPr>
        <w:t>échange (décision XIII/25, paragraphe 3)</w:t>
      </w:r>
      <w:r w:rsidR="000C2CA7" w:rsidRPr="007A46C0">
        <w:rPr>
          <w:iCs/>
          <w:szCs w:val="22"/>
          <w:lang w:val="fr-CA"/>
        </w:rPr>
        <w:t>.</w:t>
      </w:r>
    </w:p>
    <w:p w:rsidR="00A25115" w:rsidRPr="007A46C0" w:rsidRDefault="000C2CA7" w:rsidP="002854A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 xml:space="preserve">Compte tenu de ce mandat, le présent document </w:t>
      </w:r>
      <w:r w:rsidR="002854A9" w:rsidRPr="007A46C0">
        <w:rPr>
          <w:kern w:val="22"/>
          <w:sz w:val="22"/>
          <w:szCs w:val="22"/>
          <w:lang w:val="fr-CA"/>
        </w:rPr>
        <w:t>présente</w:t>
      </w:r>
      <w:r w:rsidRPr="007A46C0">
        <w:rPr>
          <w:kern w:val="22"/>
          <w:sz w:val="22"/>
          <w:szCs w:val="22"/>
          <w:lang w:val="fr-CA"/>
        </w:rPr>
        <w:t xml:space="preserve"> </w:t>
      </w:r>
      <w:r w:rsidR="002854A9" w:rsidRPr="007A46C0">
        <w:rPr>
          <w:kern w:val="22"/>
          <w:sz w:val="22"/>
          <w:szCs w:val="22"/>
          <w:lang w:val="fr-CA"/>
        </w:rPr>
        <w:t>brièvement le</w:t>
      </w:r>
      <w:r w:rsidRPr="007A46C0">
        <w:rPr>
          <w:kern w:val="22"/>
          <w:sz w:val="22"/>
          <w:szCs w:val="22"/>
          <w:lang w:val="fr-CA"/>
        </w:rPr>
        <w:t xml:space="preserve"> contexte</w:t>
      </w:r>
      <w:r w:rsidR="002854A9" w:rsidRPr="007A46C0">
        <w:rPr>
          <w:kern w:val="22"/>
          <w:sz w:val="22"/>
          <w:szCs w:val="22"/>
          <w:lang w:val="fr-CA"/>
        </w:rPr>
        <w:t xml:space="preserve"> des différentes dimensions de l</w:t>
      </w:r>
      <w:r w:rsidR="00DF1C84">
        <w:rPr>
          <w:kern w:val="22"/>
          <w:sz w:val="22"/>
          <w:szCs w:val="22"/>
          <w:lang w:val="fr-CA"/>
        </w:rPr>
        <w:t>’</w:t>
      </w:r>
      <w:r w:rsidR="002854A9" w:rsidRPr="007A46C0">
        <w:rPr>
          <w:kern w:val="22"/>
          <w:sz w:val="22"/>
          <w:szCs w:val="22"/>
          <w:lang w:val="fr-CA"/>
        </w:rPr>
        <w:t>examen (section III). La section IV se penche sur les éventuelles prochaines étapes à la lumière de l</w:t>
      </w:r>
      <w:r w:rsidR="00DF1C84">
        <w:rPr>
          <w:kern w:val="22"/>
          <w:sz w:val="22"/>
          <w:szCs w:val="22"/>
          <w:lang w:val="fr-CA"/>
        </w:rPr>
        <w:t>’</w:t>
      </w:r>
      <w:r w:rsidR="002854A9" w:rsidRPr="007A46C0">
        <w:rPr>
          <w:kern w:val="22"/>
          <w:sz w:val="22"/>
          <w:szCs w:val="22"/>
          <w:lang w:val="fr-CA"/>
        </w:rPr>
        <w:t>élaboration d</w:t>
      </w:r>
      <w:r w:rsidR="00DF1C84">
        <w:rPr>
          <w:kern w:val="22"/>
          <w:sz w:val="22"/>
          <w:szCs w:val="22"/>
          <w:lang w:val="fr-CA"/>
        </w:rPr>
        <w:t>’</w:t>
      </w:r>
      <w:r w:rsidR="002854A9" w:rsidRPr="007A46C0">
        <w:rPr>
          <w:kern w:val="22"/>
          <w:sz w:val="22"/>
          <w:szCs w:val="22"/>
          <w:lang w:val="fr-CA"/>
        </w:rPr>
        <w:t>un cadre mondial de l</w:t>
      </w:r>
      <w:r w:rsidR="00DF1C84">
        <w:rPr>
          <w:kern w:val="22"/>
          <w:sz w:val="22"/>
          <w:szCs w:val="22"/>
          <w:lang w:val="fr-CA"/>
        </w:rPr>
        <w:t>’</w:t>
      </w:r>
      <w:r w:rsidR="002854A9" w:rsidRPr="007A46C0">
        <w:rPr>
          <w:kern w:val="22"/>
          <w:sz w:val="22"/>
          <w:szCs w:val="22"/>
          <w:lang w:val="fr-CA"/>
        </w:rPr>
        <w:t>après</w:t>
      </w:r>
      <w:r w:rsidR="00DF1C84">
        <w:rPr>
          <w:kern w:val="22"/>
          <w:sz w:val="22"/>
          <w:szCs w:val="22"/>
          <w:lang w:val="fr-CA"/>
        </w:rPr>
        <w:noBreakHyphen/>
      </w:r>
      <w:r w:rsidR="002854A9" w:rsidRPr="007A46C0">
        <w:rPr>
          <w:kern w:val="22"/>
          <w:sz w:val="22"/>
          <w:szCs w:val="22"/>
          <w:lang w:val="fr-CA"/>
        </w:rPr>
        <w:t>2020 pour la biodiversité. La section V fournit des propositions de recommandations.</w:t>
      </w:r>
    </w:p>
    <w:p w:rsidR="00306C0E" w:rsidRPr="007A46C0" w:rsidRDefault="002854A9" w:rsidP="00644480">
      <w:pPr>
        <w:pStyle w:val="Heading1"/>
        <w:numPr>
          <w:ilvl w:val="0"/>
          <w:numId w:val="14"/>
        </w:numPr>
        <w:suppressLineNumbers/>
        <w:suppressAutoHyphens/>
        <w:spacing w:before="120"/>
        <w:ind w:left="0" w:firstLine="0"/>
        <w:rPr>
          <w:rFonts w:ascii="Times New Roman Bold" w:hAnsi="Times New Roman Bold" w:cs="Times New Roman Bold"/>
          <w:bCs/>
          <w:snapToGrid w:val="0"/>
          <w:kern w:val="22"/>
          <w:sz w:val="22"/>
          <w:szCs w:val="22"/>
          <w:lang w:val="fr-CA"/>
        </w:rPr>
      </w:pPr>
      <w:r w:rsidRPr="007A46C0">
        <w:rPr>
          <w:rFonts w:ascii="Times New Roman Bold" w:hAnsi="Times New Roman Bold" w:cs="Times New Roman Bold"/>
          <w:bCs/>
          <w:snapToGrid w:val="0"/>
          <w:kern w:val="22"/>
          <w:sz w:val="22"/>
          <w:szCs w:val="22"/>
          <w:lang w:val="fr-CA"/>
        </w:rPr>
        <w:t>dimensions de l</w:t>
      </w:r>
      <w:r w:rsidR="00DF1C84">
        <w:rPr>
          <w:rFonts w:ascii="Times New Roman Bold" w:hAnsi="Times New Roman Bold" w:cs="Times New Roman Bold"/>
          <w:bCs/>
          <w:snapToGrid w:val="0"/>
          <w:kern w:val="22"/>
          <w:sz w:val="22"/>
          <w:szCs w:val="22"/>
          <w:lang w:val="fr-CA"/>
        </w:rPr>
        <w:t>’</w:t>
      </w:r>
      <w:r w:rsidRPr="007A46C0">
        <w:rPr>
          <w:rFonts w:ascii="Times New Roman Bold" w:hAnsi="Times New Roman Bold" w:cs="Times New Roman Bold"/>
          <w:bCs/>
          <w:snapToGrid w:val="0"/>
          <w:kern w:val="22"/>
          <w:sz w:val="22"/>
          <w:szCs w:val="22"/>
          <w:lang w:val="fr-CA"/>
        </w:rPr>
        <w:t>examen de l</w:t>
      </w:r>
      <w:r w:rsidR="00DF1C84">
        <w:rPr>
          <w:rFonts w:ascii="Times New Roman Bold" w:hAnsi="Times New Roman Bold" w:cs="Times New Roman Bold"/>
          <w:bCs/>
          <w:snapToGrid w:val="0"/>
          <w:kern w:val="22"/>
          <w:sz w:val="22"/>
          <w:szCs w:val="22"/>
          <w:lang w:val="fr-CA"/>
        </w:rPr>
        <w:t>’</w:t>
      </w:r>
      <w:r w:rsidRPr="007A46C0">
        <w:rPr>
          <w:rFonts w:ascii="Times New Roman Bold" w:hAnsi="Times New Roman Bold" w:cs="Times New Roman Bold"/>
          <w:bCs/>
          <w:snapToGrid w:val="0"/>
          <w:kern w:val="22"/>
          <w:sz w:val="22"/>
          <w:szCs w:val="22"/>
          <w:lang w:val="fr-CA"/>
        </w:rPr>
        <w:t xml:space="preserve">application    </w:t>
      </w:r>
      <w:r w:rsidR="008C5103" w:rsidRPr="007A46C0">
        <w:rPr>
          <w:rFonts w:ascii="Times New Roman Bold" w:hAnsi="Times New Roman Bold" w:cs="Times New Roman Bold"/>
          <w:bCs/>
          <w:snapToGrid w:val="0"/>
          <w:kern w:val="22"/>
          <w:sz w:val="22"/>
          <w:szCs w:val="22"/>
          <w:lang w:val="fr-CA"/>
        </w:rPr>
        <w:t xml:space="preserve">Dimensions </w:t>
      </w:r>
      <w:r w:rsidR="00306C0E" w:rsidRPr="007A46C0">
        <w:rPr>
          <w:rFonts w:ascii="Times New Roman Bold" w:hAnsi="Times New Roman Bold" w:cs="Times New Roman Bold"/>
          <w:bCs/>
          <w:snapToGrid w:val="0"/>
          <w:kern w:val="22"/>
          <w:sz w:val="22"/>
          <w:szCs w:val="22"/>
          <w:lang w:val="fr-CA"/>
        </w:rPr>
        <w:t>of review of implementation</w:t>
      </w:r>
    </w:p>
    <w:p w:rsidR="00673AFB" w:rsidRPr="007A46C0" w:rsidRDefault="00C50788" w:rsidP="007F22F0">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 xml:space="preserve">Il est de plus en plus reconnu que la mise en œuvre par les Parties et les </w:t>
      </w:r>
      <w:r w:rsidRPr="007A46C0">
        <w:rPr>
          <w:noProof/>
          <w:kern w:val="22"/>
          <w:sz w:val="22"/>
          <w:szCs w:val="22"/>
          <w:lang w:val="fr-CA"/>
        </w:rPr>
        <w:t>engagements sous</w:t>
      </w:r>
      <w:r w:rsidR="00DF1C84">
        <w:rPr>
          <w:noProof/>
          <w:kern w:val="22"/>
          <w:sz w:val="22"/>
          <w:szCs w:val="22"/>
          <w:lang w:val="fr-CA"/>
        </w:rPr>
        <w:noBreakHyphen/>
      </w:r>
      <w:r w:rsidRPr="007A46C0">
        <w:rPr>
          <w:noProof/>
          <w:kern w:val="22"/>
          <w:sz w:val="22"/>
          <w:szCs w:val="22"/>
          <w:lang w:val="fr-CA"/>
        </w:rPr>
        <w:t>jacents</w:t>
      </w:r>
      <w:r w:rsidRPr="007A46C0">
        <w:rPr>
          <w:kern w:val="22"/>
          <w:sz w:val="22"/>
          <w:szCs w:val="22"/>
          <w:lang w:val="fr-CA"/>
        </w:rPr>
        <w:t xml:space="preserve"> doivent être renforcés pour </w:t>
      </w:r>
      <w:r w:rsidR="00D6366F" w:rsidRPr="007A46C0">
        <w:rPr>
          <w:kern w:val="22"/>
          <w:sz w:val="22"/>
          <w:szCs w:val="22"/>
          <w:lang w:val="fr-CA"/>
        </w:rPr>
        <w:t>engager</w:t>
      </w:r>
      <w:r w:rsidRPr="007A46C0">
        <w:rPr>
          <w:kern w:val="22"/>
          <w:sz w:val="22"/>
          <w:szCs w:val="22"/>
          <w:lang w:val="fr-CA"/>
        </w:rPr>
        <w:t xml:space="preserve"> la communauté mondiale sur la voie de la réalisation de la vision 2050 </w:t>
      </w:r>
      <w:r w:rsidR="00D6366F" w:rsidRPr="007A46C0">
        <w:rPr>
          <w:kern w:val="22"/>
          <w:sz w:val="22"/>
          <w:szCs w:val="22"/>
          <w:lang w:val="fr-CA"/>
        </w:rPr>
        <w:t>énoncée dans le Plan stratégique 2011</w:t>
      </w:r>
      <w:r w:rsidR="00DF1C84">
        <w:rPr>
          <w:kern w:val="22"/>
          <w:sz w:val="22"/>
          <w:szCs w:val="22"/>
          <w:lang w:val="fr-CA"/>
        </w:rPr>
        <w:noBreakHyphen/>
      </w:r>
      <w:r w:rsidR="00D6366F" w:rsidRPr="007A46C0">
        <w:rPr>
          <w:kern w:val="22"/>
          <w:sz w:val="22"/>
          <w:szCs w:val="22"/>
          <w:lang w:val="fr-CA"/>
        </w:rPr>
        <w:t xml:space="preserve">2020 pour la diversité biologique. </w:t>
      </w:r>
      <w:r w:rsidR="00DA560F" w:rsidRPr="007A46C0">
        <w:rPr>
          <w:kern w:val="22"/>
          <w:sz w:val="22"/>
          <w:szCs w:val="22"/>
          <w:lang w:val="fr-CA"/>
        </w:rPr>
        <w:t>Dans ce contexte, il convient de considérer si et comment les mécanismes d</w:t>
      </w:r>
      <w:r w:rsidR="00DF1C84">
        <w:rPr>
          <w:kern w:val="22"/>
          <w:sz w:val="22"/>
          <w:szCs w:val="22"/>
          <w:lang w:val="fr-CA"/>
        </w:rPr>
        <w:t>’</w:t>
      </w:r>
      <w:r w:rsidR="00DA560F" w:rsidRPr="007A46C0">
        <w:rPr>
          <w:kern w:val="22"/>
          <w:sz w:val="22"/>
          <w:szCs w:val="22"/>
          <w:lang w:val="fr-CA"/>
        </w:rPr>
        <w:t>examen au titre de la Convention pourraient être améliorés pour renforcer l</w:t>
      </w:r>
      <w:r w:rsidR="00DF1C84">
        <w:rPr>
          <w:kern w:val="22"/>
          <w:sz w:val="22"/>
          <w:szCs w:val="22"/>
          <w:lang w:val="fr-CA"/>
        </w:rPr>
        <w:t>’</w:t>
      </w:r>
      <w:r w:rsidR="00DA560F" w:rsidRPr="007A46C0">
        <w:rPr>
          <w:kern w:val="22"/>
          <w:sz w:val="22"/>
          <w:szCs w:val="22"/>
          <w:lang w:val="fr-CA"/>
        </w:rPr>
        <w:t xml:space="preserve">application. Par ailleurs, le processus </w:t>
      </w:r>
      <w:r w:rsidR="007F22F0" w:rsidRPr="007A46C0">
        <w:rPr>
          <w:kern w:val="22"/>
          <w:sz w:val="22"/>
          <w:szCs w:val="22"/>
          <w:lang w:val="fr-CA"/>
        </w:rPr>
        <w:t>d</w:t>
      </w:r>
      <w:r w:rsidR="00DF1C84">
        <w:rPr>
          <w:kern w:val="22"/>
          <w:sz w:val="22"/>
          <w:szCs w:val="22"/>
          <w:lang w:val="fr-CA"/>
        </w:rPr>
        <w:t>’</w:t>
      </w:r>
      <w:r w:rsidR="007F22F0" w:rsidRPr="007A46C0">
        <w:rPr>
          <w:kern w:val="22"/>
          <w:sz w:val="22"/>
          <w:szCs w:val="22"/>
          <w:lang w:val="fr-CA"/>
        </w:rPr>
        <w:t>élaboration</w:t>
      </w:r>
      <w:r w:rsidR="00DA560F" w:rsidRPr="007A46C0">
        <w:rPr>
          <w:kern w:val="22"/>
          <w:sz w:val="22"/>
          <w:szCs w:val="22"/>
          <w:lang w:val="fr-CA"/>
        </w:rPr>
        <w:t xml:space="preserve"> d</w:t>
      </w:r>
      <w:r w:rsidR="00DF1C84">
        <w:rPr>
          <w:kern w:val="22"/>
          <w:sz w:val="22"/>
          <w:szCs w:val="22"/>
          <w:lang w:val="fr-CA"/>
        </w:rPr>
        <w:t>’</w:t>
      </w:r>
      <w:r w:rsidR="00DA560F" w:rsidRPr="007A46C0">
        <w:rPr>
          <w:kern w:val="22"/>
          <w:sz w:val="22"/>
          <w:szCs w:val="22"/>
          <w:lang w:val="fr-CA"/>
        </w:rPr>
        <w:t>un cadre mondial de l</w:t>
      </w:r>
      <w:r w:rsidR="00DF1C84">
        <w:rPr>
          <w:kern w:val="22"/>
          <w:sz w:val="22"/>
          <w:szCs w:val="22"/>
          <w:lang w:val="fr-CA"/>
        </w:rPr>
        <w:t>’</w:t>
      </w:r>
      <w:r w:rsidR="00DA560F" w:rsidRPr="007A46C0">
        <w:rPr>
          <w:kern w:val="22"/>
          <w:sz w:val="22"/>
          <w:szCs w:val="22"/>
          <w:lang w:val="fr-CA"/>
        </w:rPr>
        <w:t>après</w:t>
      </w:r>
      <w:r w:rsidR="00DF1C84">
        <w:rPr>
          <w:kern w:val="22"/>
          <w:sz w:val="22"/>
          <w:szCs w:val="22"/>
          <w:lang w:val="fr-CA"/>
        </w:rPr>
        <w:noBreakHyphen/>
      </w:r>
      <w:r w:rsidR="00DA560F" w:rsidRPr="007A46C0">
        <w:rPr>
          <w:kern w:val="22"/>
          <w:sz w:val="22"/>
          <w:szCs w:val="22"/>
          <w:lang w:val="fr-CA"/>
        </w:rPr>
        <w:t>2020 pour la biodiversité, énoncé dans une note distincte,</w:t>
      </w:r>
      <w:r w:rsidR="007F22F0" w:rsidRPr="007A46C0">
        <w:rPr>
          <w:rStyle w:val="FootnoteReference"/>
          <w:kern w:val="22"/>
          <w:sz w:val="22"/>
          <w:szCs w:val="22"/>
          <w:u w:val="none"/>
          <w:vertAlign w:val="superscript"/>
          <w:lang w:val="fr-CA"/>
        </w:rPr>
        <w:footnoteReference w:id="3"/>
      </w:r>
      <w:r w:rsidR="00DA560F" w:rsidRPr="007A46C0">
        <w:rPr>
          <w:kern w:val="22"/>
          <w:sz w:val="22"/>
          <w:szCs w:val="22"/>
          <w:lang w:val="fr-CA"/>
        </w:rPr>
        <w:t xml:space="preserve"> devrait </w:t>
      </w:r>
      <w:r w:rsidR="007F22F0" w:rsidRPr="007A46C0">
        <w:rPr>
          <w:kern w:val="22"/>
          <w:sz w:val="22"/>
          <w:szCs w:val="22"/>
          <w:lang w:val="fr-CA"/>
        </w:rPr>
        <w:t>permettre de poursuivre la réflexion sur les éléments d</w:t>
      </w:r>
      <w:r w:rsidR="00DF1C84">
        <w:rPr>
          <w:kern w:val="22"/>
          <w:sz w:val="22"/>
          <w:szCs w:val="22"/>
          <w:lang w:val="fr-CA"/>
        </w:rPr>
        <w:t>’</w:t>
      </w:r>
      <w:r w:rsidR="007F22F0" w:rsidRPr="007A46C0">
        <w:rPr>
          <w:kern w:val="22"/>
          <w:sz w:val="22"/>
          <w:szCs w:val="22"/>
          <w:lang w:val="fr-CA"/>
        </w:rPr>
        <w:t>un mécanisme d</w:t>
      </w:r>
      <w:r w:rsidR="00DF1C84">
        <w:rPr>
          <w:kern w:val="22"/>
          <w:sz w:val="22"/>
          <w:szCs w:val="22"/>
          <w:lang w:val="fr-CA"/>
        </w:rPr>
        <w:t>’</w:t>
      </w:r>
      <w:r w:rsidR="007F22F0" w:rsidRPr="007A46C0">
        <w:rPr>
          <w:kern w:val="22"/>
          <w:sz w:val="22"/>
          <w:szCs w:val="22"/>
          <w:lang w:val="fr-CA"/>
        </w:rPr>
        <w:t>examen pour renforcer l</w:t>
      </w:r>
      <w:r w:rsidR="00DF1C84">
        <w:rPr>
          <w:kern w:val="22"/>
          <w:sz w:val="22"/>
          <w:szCs w:val="22"/>
          <w:lang w:val="fr-CA"/>
        </w:rPr>
        <w:t>’</w:t>
      </w:r>
      <w:r w:rsidR="007F22F0" w:rsidRPr="007A46C0">
        <w:rPr>
          <w:kern w:val="22"/>
          <w:sz w:val="22"/>
          <w:szCs w:val="22"/>
          <w:lang w:val="fr-CA"/>
        </w:rPr>
        <w:t xml:space="preserve">application et </w:t>
      </w:r>
      <w:r w:rsidR="007F22F0" w:rsidRPr="007A46C0">
        <w:rPr>
          <w:noProof/>
          <w:kern w:val="22"/>
          <w:sz w:val="22"/>
          <w:szCs w:val="22"/>
          <w:lang w:val="fr-CA"/>
        </w:rPr>
        <w:t>peut</w:t>
      </w:r>
      <w:r w:rsidR="00DF1C84">
        <w:rPr>
          <w:noProof/>
          <w:kern w:val="22"/>
          <w:sz w:val="22"/>
          <w:szCs w:val="22"/>
          <w:lang w:val="fr-CA"/>
        </w:rPr>
        <w:noBreakHyphen/>
      </w:r>
      <w:r w:rsidR="007F22F0" w:rsidRPr="007A46C0">
        <w:rPr>
          <w:noProof/>
          <w:kern w:val="22"/>
          <w:sz w:val="22"/>
          <w:szCs w:val="22"/>
          <w:lang w:val="fr-CA"/>
        </w:rPr>
        <w:t>être</w:t>
      </w:r>
      <w:r w:rsidR="007F22F0" w:rsidRPr="007A46C0">
        <w:rPr>
          <w:kern w:val="22"/>
          <w:sz w:val="22"/>
          <w:szCs w:val="22"/>
          <w:lang w:val="fr-CA"/>
        </w:rPr>
        <w:t xml:space="preserve"> sur leur mise à l</w:t>
      </w:r>
      <w:r w:rsidR="00DF1C84">
        <w:rPr>
          <w:kern w:val="22"/>
          <w:sz w:val="22"/>
          <w:szCs w:val="22"/>
          <w:lang w:val="fr-CA"/>
        </w:rPr>
        <w:t>’</w:t>
      </w:r>
      <w:r w:rsidR="007F22F0" w:rsidRPr="007A46C0">
        <w:rPr>
          <w:kern w:val="22"/>
          <w:sz w:val="22"/>
          <w:szCs w:val="22"/>
          <w:lang w:val="fr-CA"/>
        </w:rPr>
        <w:t>essai.</w:t>
      </w:r>
    </w:p>
    <w:p w:rsidR="00B33755" w:rsidRPr="007A46C0" w:rsidRDefault="007F22F0" w:rsidP="005765BD">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À sa première réunion, l</w:t>
      </w:r>
      <w:r w:rsidR="00DF1C84">
        <w:rPr>
          <w:kern w:val="22"/>
          <w:sz w:val="22"/>
          <w:szCs w:val="22"/>
          <w:lang w:val="fr-CA"/>
        </w:rPr>
        <w:t>’</w:t>
      </w:r>
      <w:r w:rsidRPr="007A46C0">
        <w:rPr>
          <w:kern w:val="22"/>
          <w:sz w:val="22"/>
          <w:szCs w:val="22"/>
          <w:lang w:val="fr-CA"/>
        </w:rPr>
        <w:t>Organe subsidiaire chargé de l</w:t>
      </w:r>
      <w:r w:rsidR="00DF1C84">
        <w:rPr>
          <w:kern w:val="22"/>
          <w:sz w:val="22"/>
          <w:szCs w:val="22"/>
          <w:lang w:val="fr-CA"/>
        </w:rPr>
        <w:t>’</w:t>
      </w:r>
      <w:r w:rsidRPr="007A46C0">
        <w:rPr>
          <w:kern w:val="22"/>
          <w:sz w:val="22"/>
          <w:szCs w:val="22"/>
          <w:lang w:val="fr-CA"/>
        </w:rPr>
        <w:t>application a examiné ce sujet dans le cadre de son mode de fonctionnement. La documentation préparée pour cette réunion sur la base de l</w:t>
      </w:r>
      <w:r w:rsidR="00DF1C84">
        <w:rPr>
          <w:kern w:val="22"/>
          <w:sz w:val="22"/>
          <w:szCs w:val="22"/>
          <w:lang w:val="fr-CA"/>
        </w:rPr>
        <w:t>’</w:t>
      </w:r>
      <w:r w:rsidRPr="007A46C0">
        <w:rPr>
          <w:kern w:val="22"/>
          <w:sz w:val="22"/>
          <w:szCs w:val="22"/>
          <w:lang w:val="fr-CA"/>
        </w:rPr>
        <w:t>analyse et des expériences des mécanismes d</w:t>
      </w:r>
      <w:r w:rsidR="00DF1C84">
        <w:rPr>
          <w:kern w:val="22"/>
          <w:sz w:val="22"/>
          <w:szCs w:val="22"/>
          <w:lang w:val="fr-CA"/>
        </w:rPr>
        <w:t>’</w:t>
      </w:r>
      <w:r w:rsidRPr="007A46C0">
        <w:rPr>
          <w:kern w:val="22"/>
          <w:sz w:val="22"/>
          <w:szCs w:val="22"/>
          <w:lang w:val="fr-CA"/>
        </w:rPr>
        <w:t>examen existants, autant au sein de la Convention et de ses Protocoles qu</w:t>
      </w:r>
      <w:r w:rsidR="005765BD" w:rsidRPr="007A46C0">
        <w:rPr>
          <w:kern w:val="22"/>
          <w:sz w:val="22"/>
          <w:szCs w:val="22"/>
          <w:lang w:val="fr-CA"/>
        </w:rPr>
        <w:t>e dans d</w:t>
      </w:r>
      <w:r w:rsidR="00DF1C84">
        <w:rPr>
          <w:kern w:val="22"/>
          <w:sz w:val="22"/>
          <w:szCs w:val="22"/>
          <w:lang w:val="fr-CA"/>
        </w:rPr>
        <w:t>’</w:t>
      </w:r>
      <w:r w:rsidR="005765BD" w:rsidRPr="007A46C0">
        <w:rPr>
          <w:kern w:val="22"/>
          <w:sz w:val="22"/>
          <w:szCs w:val="22"/>
          <w:lang w:val="fr-CA"/>
        </w:rPr>
        <w:t>autres instances concernées, demeure pertinente.</w:t>
      </w:r>
      <w:r w:rsidR="005765BD" w:rsidRPr="007A46C0">
        <w:rPr>
          <w:kern w:val="22"/>
          <w:sz w:val="22"/>
          <w:szCs w:val="22"/>
          <w:vertAlign w:val="superscript"/>
          <w:lang w:val="fr-CA"/>
        </w:rPr>
        <w:footnoteReference w:id="4"/>
      </w:r>
    </w:p>
    <w:p w:rsidR="005C6A9A" w:rsidRPr="007A46C0" w:rsidRDefault="005765BD" w:rsidP="003349A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lastRenderedPageBreak/>
        <w:t>Il pourrait s</w:t>
      </w:r>
      <w:r w:rsidR="00DF1C84">
        <w:rPr>
          <w:kern w:val="22"/>
          <w:sz w:val="22"/>
          <w:szCs w:val="22"/>
          <w:lang w:val="fr-CA"/>
        </w:rPr>
        <w:t>’</w:t>
      </w:r>
      <w:r w:rsidRPr="007A46C0">
        <w:rPr>
          <w:kern w:val="22"/>
          <w:sz w:val="22"/>
          <w:szCs w:val="22"/>
          <w:lang w:val="fr-CA"/>
        </w:rPr>
        <w:t>avérer utile d</w:t>
      </w:r>
      <w:r w:rsidR="00DF1C84">
        <w:rPr>
          <w:kern w:val="22"/>
          <w:sz w:val="22"/>
          <w:szCs w:val="22"/>
          <w:lang w:val="fr-CA"/>
        </w:rPr>
        <w:t>’</w:t>
      </w:r>
      <w:r w:rsidR="006642E5" w:rsidRPr="007A46C0">
        <w:rPr>
          <w:kern w:val="22"/>
          <w:sz w:val="22"/>
          <w:szCs w:val="22"/>
          <w:lang w:val="fr-CA"/>
        </w:rPr>
        <w:t>étudier</w:t>
      </w:r>
      <w:r w:rsidRPr="007A46C0">
        <w:rPr>
          <w:kern w:val="22"/>
          <w:sz w:val="22"/>
          <w:szCs w:val="22"/>
          <w:lang w:val="fr-CA"/>
        </w:rPr>
        <w:t xml:space="preserve"> les diverses dimensions des mécanismes d</w:t>
      </w:r>
      <w:r w:rsidR="00DF1C84">
        <w:rPr>
          <w:kern w:val="22"/>
          <w:sz w:val="22"/>
          <w:szCs w:val="22"/>
          <w:lang w:val="fr-CA"/>
        </w:rPr>
        <w:t>’</w:t>
      </w:r>
      <w:r w:rsidRPr="007A46C0">
        <w:rPr>
          <w:kern w:val="22"/>
          <w:sz w:val="22"/>
          <w:szCs w:val="22"/>
          <w:lang w:val="fr-CA"/>
        </w:rPr>
        <w:t xml:space="preserve">examen. </w:t>
      </w:r>
      <w:r w:rsidRPr="007A46C0">
        <w:rPr>
          <w:noProof/>
          <w:kern w:val="22"/>
          <w:sz w:val="22"/>
          <w:szCs w:val="22"/>
          <w:lang w:val="fr-CA"/>
        </w:rPr>
        <w:t>Celles</w:t>
      </w:r>
      <w:r w:rsidR="00DF1C84">
        <w:rPr>
          <w:noProof/>
          <w:kern w:val="22"/>
          <w:sz w:val="22"/>
          <w:szCs w:val="22"/>
          <w:lang w:val="fr-CA"/>
        </w:rPr>
        <w:noBreakHyphen/>
      </w:r>
      <w:r w:rsidRPr="007A46C0">
        <w:rPr>
          <w:noProof/>
          <w:kern w:val="22"/>
          <w:sz w:val="22"/>
          <w:szCs w:val="22"/>
          <w:lang w:val="fr-CA"/>
        </w:rPr>
        <w:t>ci</w:t>
      </w:r>
      <w:r w:rsidRPr="007A46C0">
        <w:rPr>
          <w:kern w:val="22"/>
          <w:sz w:val="22"/>
          <w:szCs w:val="22"/>
          <w:lang w:val="fr-CA"/>
        </w:rPr>
        <w:t xml:space="preserve"> sont présentées en paires, en prenant note qu</w:t>
      </w:r>
      <w:r w:rsidR="00DF1C84">
        <w:rPr>
          <w:kern w:val="22"/>
          <w:sz w:val="22"/>
          <w:szCs w:val="22"/>
          <w:lang w:val="fr-CA"/>
        </w:rPr>
        <w:t>’</w:t>
      </w:r>
      <w:r w:rsidRPr="007A46C0">
        <w:rPr>
          <w:kern w:val="22"/>
          <w:sz w:val="22"/>
          <w:szCs w:val="22"/>
          <w:lang w:val="fr-CA"/>
        </w:rPr>
        <w:t>il peut exister une</w:t>
      </w:r>
      <w:r w:rsidR="006642E5" w:rsidRPr="007A46C0">
        <w:rPr>
          <w:kern w:val="22"/>
          <w:sz w:val="22"/>
          <w:szCs w:val="22"/>
          <w:lang w:val="fr-CA"/>
        </w:rPr>
        <w:t xml:space="preserve"> éc</w:t>
      </w:r>
      <w:r w:rsidR="003349A9">
        <w:rPr>
          <w:kern w:val="22"/>
          <w:sz w:val="22"/>
          <w:szCs w:val="22"/>
          <w:lang w:val="fr-CA"/>
        </w:rPr>
        <w:t>helle mobile</w:t>
      </w:r>
      <w:r w:rsidR="006642E5" w:rsidRPr="007A46C0">
        <w:rPr>
          <w:kern w:val="22"/>
          <w:sz w:val="22"/>
          <w:szCs w:val="22"/>
          <w:lang w:val="fr-CA"/>
        </w:rPr>
        <w:t xml:space="preserve"> entre les extrêmes et que plusieurs éléments pourraient utilement se compléter mutuellement. Les mécanismes d</w:t>
      </w:r>
      <w:r w:rsidR="00DF1C84">
        <w:rPr>
          <w:kern w:val="22"/>
          <w:sz w:val="22"/>
          <w:szCs w:val="22"/>
          <w:lang w:val="fr-CA"/>
        </w:rPr>
        <w:t>’</w:t>
      </w:r>
      <w:r w:rsidR="006642E5" w:rsidRPr="007A46C0">
        <w:rPr>
          <w:kern w:val="22"/>
          <w:sz w:val="22"/>
          <w:szCs w:val="22"/>
          <w:lang w:val="fr-CA"/>
        </w:rPr>
        <w:t>examen peuvent couvrir un certain nombre de dimensions et d</w:t>
      </w:r>
      <w:r w:rsidR="00DF1C84">
        <w:rPr>
          <w:kern w:val="22"/>
          <w:sz w:val="22"/>
          <w:szCs w:val="22"/>
          <w:lang w:val="fr-CA"/>
        </w:rPr>
        <w:t>’</w:t>
      </w:r>
      <w:r w:rsidR="006642E5" w:rsidRPr="007A46C0">
        <w:rPr>
          <w:kern w:val="22"/>
          <w:sz w:val="22"/>
          <w:szCs w:val="22"/>
          <w:lang w:val="fr-CA"/>
        </w:rPr>
        <w:t>approches, dont :</w:t>
      </w:r>
    </w:p>
    <w:p w:rsidR="00B33755" w:rsidRPr="007A46C0" w:rsidRDefault="008736D1" w:rsidP="003349A9">
      <w:pPr>
        <w:numPr>
          <w:ilvl w:val="1"/>
          <w:numId w:val="15"/>
        </w:numPr>
        <w:suppressLineNumbers/>
        <w:suppressAutoHyphens/>
        <w:spacing w:after="120"/>
        <w:ind w:left="1418" w:hanging="709"/>
        <w:jc w:val="both"/>
        <w:rPr>
          <w:snapToGrid w:val="0"/>
          <w:kern w:val="22"/>
          <w:sz w:val="22"/>
          <w:szCs w:val="22"/>
          <w:lang w:val="fr-CA"/>
        </w:rPr>
      </w:pPr>
      <w:r w:rsidRPr="007A46C0">
        <w:rPr>
          <w:snapToGrid w:val="0"/>
          <w:kern w:val="22"/>
          <w:sz w:val="22"/>
          <w:szCs w:val="22"/>
          <w:lang w:val="fr-CA"/>
        </w:rPr>
        <w:t xml:space="preserve">i) </w:t>
      </w:r>
      <w:r w:rsidR="00A0355B" w:rsidRPr="007A46C0">
        <w:rPr>
          <w:snapToGrid w:val="0"/>
          <w:kern w:val="22"/>
          <w:sz w:val="22"/>
          <w:szCs w:val="22"/>
          <w:lang w:val="fr-CA"/>
        </w:rPr>
        <w:t>Une perspective agrégée des progrès accomplis dans la mise en œuvre à l</w:t>
      </w:r>
      <w:r w:rsidR="00DF1C84">
        <w:rPr>
          <w:snapToGrid w:val="0"/>
          <w:kern w:val="22"/>
          <w:sz w:val="22"/>
          <w:szCs w:val="22"/>
          <w:lang w:val="fr-CA"/>
        </w:rPr>
        <w:t>’</w:t>
      </w:r>
      <w:r w:rsidR="00A0355B" w:rsidRPr="007A46C0">
        <w:rPr>
          <w:snapToGrid w:val="0"/>
          <w:kern w:val="22"/>
          <w:sz w:val="22"/>
          <w:szCs w:val="22"/>
          <w:lang w:val="fr-CA"/>
        </w:rPr>
        <w:t>échelle mondiale, s</w:t>
      </w:r>
      <w:r w:rsidR="00DF1C84">
        <w:rPr>
          <w:snapToGrid w:val="0"/>
          <w:kern w:val="22"/>
          <w:sz w:val="22"/>
          <w:szCs w:val="22"/>
          <w:lang w:val="fr-CA"/>
        </w:rPr>
        <w:t>’</w:t>
      </w:r>
      <w:r w:rsidR="00A0355B" w:rsidRPr="007A46C0">
        <w:rPr>
          <w:snapToGrid w:val="0"/>
          <w:kern w:val="22"/>
          <w:sz w:val="22"/>
          <w:szCs w:val="22"/>
          <w:lang w:val="fr-CA"/>
        </w:rPr>
        <w:t>appuyant essentiellement sur l</w:t>
      </w:r>
      <w:r w:rsidR="00DF1C84">
        <w:rPr>
          <w:snapToGrid w:val="0"/>
          <w:kern w:val="22"/>
          <w:sz w:val="22"/>
          <w:szCs w:val="22"/>
          <w:lang w:val="fr-CA"/>
        </w:rPr>
        <w:t>’</w:t>
      </w:r>
      <w:r w:rsidR="00A0355B" w:rsidRPr="007A46C0">
        <w:rPr>
          <w:snapToGrid w:val="0"/>
          <w:kern w:val="22"/>
          <w:sz w:val="22"/>
          <w:szCs w:val="22"/>
          <w:lang w:val="fr-CA"/>
        </w:rPr>
        <w:t>analyse des informations transmises par les Parties</w:t>
      </w:r>
      <w:r w:rsidR="00A66DC1" w:rsidRPr="007A46C0">
        <w:rPr>
          <w:snapToGrid w:val="0"/>
          <w:kern w:val="22"/>
          <w:sz w:val="22"/>
          <w:szCs w:val="22"/>
          <w:lang w:val="fr-CA"/>
        </w:rPr>
        <w:t>,</w:t>
      </w:r>
      <w:r w:rsidR="00A0355B" w:rsidRPr="007A46C0">
        <w:rPr>
          <w:snapToGrid w:val="0"/>
          <w:kern w:val="22"/>
          <w:sz w:val="22"/>
          <w:szCs w:val="22"/>
          <w:lang w:val="fr-CA"/>
        </w:rPr>
        <w:t xml:space="preserve"> principalement par le biais de leurs rapports nationaux et stratégies et plans d</w:t>
      </w:r>
      <w:r w:rsidR="00DF1C84">
        <w:rPr>
          <w:snapToGrid w:val="0"/>
          <w:kern w:val="22"/>
          <w:sz w:val="22"/>
          <w:szCs w:val="22"/>
          <w:lang w:val="fr-CA"/>
        </w:rPr>
        <w:t>’</w:t>
      </w:r>
      <w:r w:rsidR="00A0355B" w:rsidRPr="007A46C0">
        <w:rPr>
          <w:snapToGrid w:val="0"/>
          <w:kern w:val="22"/>
          <w:sz w:val="22"/>
          <w:szCs w:val="22"/>
          <w:lang w:val="fr-CA"/>
        </w:rPr>
        <w:t xml:space="preserve">action nationaux pour la biodiversité (SPANB); </w:t>
      </w:r>
      <w:r w:rsidR="00A0355B" w:rsidRPr="007A46C0">
        <w:rPr>
          <w:i/>
          <w:snapToGrid w:val="0"/>
          <w:kern w:val="22"/>
          <w:sz w:val="22"/>
          <w:szCs w:val="22"/>
          <w:lang w:val="fr-CA"/>
        </w:rPr>
        <w:t>versus</w:t>
      </w:r>
      <w:r w:rsidRPr="007A46C0">
        <w:rPr>
          <w:snapToGrid w:val="0"/>
          <w:kern w:val="22"/>
          <w:sz w:val="22"/>
          <w:szCs w:val="22"/>
          <w:lang w:val="fr-CA"/>
        </w:rPr>
        <w:t xml:space="preserve"> </w:t>
      </w:r>
    </w:p>
    <w:p w:rsidR="008736D1" w:rsidRPr="007A46C0" w:rsidRDefault="008736D1" w:rsidP="003349A9">
      <w:pPr>
        <w:suppressLineNumbers/>
        <w:suppressAutoHyphens/>
        <w:spacing w:after="120"/>
        <w:ind w:left="1418"/>
        <w:jc w:val="both"/>
        <w:rPr>
          <w:snapToGrid w:val="0"/>
          <w:kern w:val="22"/>
          <w:sz w:val="22"/>
          <w:szCs w:val="22"/>
          <w:lang w:val="fr-CA"/>
        </w:rPr>
      </w:pPr>
      <w:r w:rsidRPr="007A46C0">
        <w:rPr>
          <w:snapToGrid w:val="0"/>
          <w:kern w:val="22"/>
          <w:sz w:val="22"/>
          <w:szCs w:val="22"/>
          <w:lang w:val="fr-CA"/>
        </w:rPr>
        <w:t xml:space="preserve">ii) </w:t>
      </w:r>
      <w:r w:rsidR="00A0355B" w:rsidRPr="007A46C0">
        <w:rPr>
          <w:snapToGrid w:val="0"/>
          <w:kern w:val="22"/>
          <w:sz w:val="22"/>
          <w:szCs w:val="22"/>
          <w:lang w:val="fr-CA"/>
        </w:rPr>
        <w:t>Un examen pays par pays des progrès</w:t>
      </w:r>
      <w:r w:rsidR="00A66DC1" w:rsidRPr="007A46C0">
        <w:rPr>
          <w:snapToGrid w:val="0"/>
          <w:kern w:val="22"/>
          <w:sz w:val="22"/>
          <w:szCs w:val="22"/>
          <w:lang w:val="fr-CA"/>
        </w:rPr>
        <w:t xml:space="preserve"> accomplis</w:t>
      </w:r>
      <w:r w:rsidR="00A0355B" w:rsidRPr="007A46C0">
        <w:rPr>
          <w:snapToGrid w:val="0"/>
          <w:kern w:val="22"/>
          <w:sz w:val="22"/>
          <w:szCs w:val="22"/>
          <w:lang w:val="fr-CA"/>
        </w:rPr>
        <w:t xml:space="preserve"> dans la mise en œuvre. </w:t>
      </w:r>
      <w:r w:rsidR="00A66DC1" w:rsidRPr="007A46C0">
        <w:rPr>
          <w:snapToGrid w:val="0"/>
          <w:kern w:val="22"/>
          <w:sz w:val="22"/>
          <w:szCs w:val="22"/>
          <w:lang w:val="fr-CA"/>
        </w:rPr>
        <w:t>De tels examens sont actuellement en cours sur des thèmes choisis, tels que</w:t>
      </w:r>
      <w:r w:rsidR="00A0355B" w:rsidRPr="007A46C0">
        <w:rPr>
          <w:snapToGrid w:val="0"/>
          <w:kern w:val="22"/>
          <w:sz w:val="22"/>
          <w:szCs w:val="22"/>
          <w:lang w:val="fr-CA"/>
        </w:rPr>
        <w:t xml:space="preserve"> </w:t>
      </w:r>
      <w:r w:rsidR="00A66DC1" w:rsidRPr="007A46C0">
        <w:rPr>
          <w:snapToGrid w:val="0"/>
          <w:kern w:val="22"/>
          <w:sz w:val="22"/>
          <w:szCs w:val="22"/>
          <w:lang w:val="fr-CA"/>
        </w:rPr>
        <w:t>les zones protégées ou la restauration. Des examens approfondis des progrès dans l</w:t>
      </w:r>
      <w:r w:rsidR="00DF1C84">
        <w:rPr>
          <w:snapToGrid w:val="0"/>
          <w:kern w:val="22"/>
          <w:sz w:val="22"/>
          <w:szCs w:val="22"/>
          <w:lang w:val="fr-CA"/>
        </w:rPr>
        <w:t>’</w:t>
      </w:r>
      <w:r w:rsidR="00A66DC1" w:rsidRPr="007A46C0">
        <w:rPr>
          <w:snapToGrid w:val="0"/>
          <w:kern w:val="22"/>
          <w:sz w:val="22"/>
          <w:szCs w:val="22"/>
          <w:lang w:val="fr-CA"/>
        </w:rPr>
        <w:t xml:space="preserve">application et des obstacles rencontrés, assortis de recommandations pour surmonter ces derniers, sont menés dans le cadre de projets pilotes par le biais du </w:t>
      </w:r>
      <w:r w:rsidR="00A66DC1" w:rsidRPr="007A46C0">
        <w:rPr>
          <w:kern w:val="22"/>
          <w:sz w:val="22"/>
          <w:szCs w:val="22"/>
          <w:lang w:val="fr-CA"/>
        </w:rPr>
        <w:t>mécanisme d</w:t>
      </w:r>
      <w:r w:rsidR="00DF1C84">
        <w:rPr>
          <w:kern w:val="22"/>
          <w:sz w:val="22"/>
          <w:szCs w:val="22"/>
          <w:lang w:val="fr-CA"/>
        </w:rPr>
        <w:t>’</w:t>
      </w:r>
      <w:r w:rsidR="00A66DC1" w:rsidRPr="007A46C0">
        <w:rPr>
          <w:kern w:val="22"/>
          <w:sz w:val="22"/>
          <w:szCs w:val="22"/>
          <w:lang w:val="fr-CA"/>
        </w:rPr>
        <w:t>examen facultatif par les pairs;</w:t>
      </w:r>
    </w:p>
    <w:p w:rsidR="00B33755" w:rsidRPr="007A46C0" w:rsidRDefault="008736D1" w:rsidP="003349A9">
      <w:pPr>
        <w:numPr>
          <w:ilvl w:val="1"/>
          <w:numId w:val="15"/>
        </w:numPr>
        <w:suppressLineNumbers/>
        <w:suppressAutoHyphens/>
        <w:spacing w:after="120"/>
        <w:ind w:left="1418" w:hanging="709"/>
        <w:jc w:val="both"/>
        <w:rPr>
          <w:snapToGrid w:val="0"/>
          <w:kern w:val="22"/>
          <w:sz w:val="22"/>
          <w:szCs w:val="22"/>
          <w:lang w:val="fr-CA"/>
        </w:rPr>
      </w:pPr>
      <w:r w:rsidRPr="007A46C0">
        <w:rPr>
          <w:snapToGrid w:val="0"/>
          <w:kern w:val="22"/>
          <w:sz w:val="22"/>
          <w:szCs w:val="22"/>
          <w:lang w:val="fr-CA"/>
        </w:rPr>
        <w:t xml:space="preserve">i) </w:t>
      </w:r>
      <w:r w:rsidR="00D56DBB" w:rsidRPr="007A46C0">
        <w:rPr>
          <w:snapToGrid w:val="0"/>
          <w:kern w:val="22"/>
          <w:sz w:val="22"/>
          <w:szCs w:val="22"/>
          <w:lang w:val="fr-CA"/>
        </w:rPr>
        <w:t>L</w:t>
      </w:r>
      <w:r w:rsidR="00DF1C84">
        <w:rPr>
          <w:snapToGrid w:val="0"/>
          <w:kern w:val="22"/>
          <w:sz w:val="22"/>
          <w:szCs w:val="22"/>
          <w:lang w:val="fr-CA"/>
        </w:rPr>
        <w:t>’</w:t>
      </w:r>
      <w:r w:rsidR="00D56DBB" w:rsidRPr="007A46C0">
        <w:rPr>
          <w:snapToGrid w:val="0"/>
          <w:kern w:val="22"/>
          <w:sz w:val="22"/>
          <w:szCs w:val="22"/>
          <w:lang w:val="fr-CA"/>
        </w:rPr>
        <w:t>examen de données scientifiques, techniques et technologiques émanant de sources multiples axées sur l</w:t>
      </w:r>
      <w:r w:rsidR="00DF1C84">
        <w:rPr>
          <w:snapToGrid w:val="0"/>
          <w:kern w:val="22"/>
          <w:sz w:val="22"/>
          <w:szCs w:val="22"/>
          <w:lang w:val="fr-CA"/>
        </w:rPr>
        <w:t>’</w:t>
      </w:r>
      <w:r w:rsidR="00D56DBB" w:rsidRPr="007A46C0">
        <w:rPr>
          <w:snapToGrid w:val="0"/>
          <w:kern w:val="22"/>
          <w:sz w:val="22"/>
          <w:szCs w:val="22"/>
          <w:lang w:val="fr-CA"/>
        </w:rPr>
        <w:t xml:space="preserve">état et les tendances, les causes </w:t>
      </w:r>
      <w:r w:rsidR="00D56DBB" w:rsidRPr="007A46C0">
        <w:rPr>
          <w:noProof/>
          <w:snapToGrid w:val="0"/>
          <w:kern w:val="22"/>
          <w:sz w:val="22"/>
          <w:szCs w:val="22"/>
          <w:lang w:val="fr-CA"/>
        </w:rPr>
        <w:t>sous</w:t>
      </w:r>
      <w:r w:rsidR="00DF1C84">
        <w:rPr>
          <w:noProof/>
          <w:snapToGrid w:val="0"/>
          <w:kern w:val="22"/>
          <w:sz w:val="22"/>
          <w:szCs w:val="22"/>
          <w:lang w:val="fr-CA"/>
        </w:rPr>
        <w:noBreakHyphen/>
      </w:r>
      <w:r w:rsidR="00D56DBB" w:rsidRPr="007A46C0">
        <w:rPr>
          <w:noProof/>
          <w:snapToGrid w:val="0"/>
          <w:kern w:val="22"/>
          <w:sz w:val="22"/>
          <w:szCs w:val="22"/>
          <w:lang w:val="fr-CA"/>
        </w:rPr>
        <w:t>jacentes des</w:t>
      </w:r>
      <w:r w:rsidR="00D56DBB" w:rsidRPr="007A46C0">
        <w:rPr>
          <w:snapToGrid w:val="0"/>
          <w:kern w:val="22"/>
          <w:sz w:val="22"/>
          <w:szCs w:val="22"/>
          <w:lang w:val="fr-CA"/>
        </w:rPr>
        <w:t xml:space="preserve"> changements, et les menaces à la biodiversité à diverses échelles; </w:t>
      </w:r>
      <w:r w:rsidR="00D56DBB" w:rsidRPr="007A46C0">
        <w:rPr>
          <w:i/>
          <w:snapToGrid w:val="0"/>
          <w:kern w:val="22"/>
          <w:sz w:val="22"/>
          <w:szCs w:val="22"/>
          <w:lang w:val="fr-CA"/>
        </w:rPr>
        <w:t>versus</w:t>
      </w:r>
    </w:p>
    <w:p w:rsidR="008736D1" w:rsidRPr="007A46C0" w:rsidRDefault="008736D1" w:rsidP="003349A9">
      <w:pPr>
        <w:suppressLineNumbers/>
        <w:suppressAutoHyphens/>
        <w:spacing w:after="120"/>
        <w:ind w:left="1418" w:firstLine="22"/>
        <w:jc w:val="both"/>
        <w:rPr>
          <w:snapToGrid w:val="0"/>
          <w:kern w:val="22"/>
          <w:sz w:val="22"/>
          <w:szCs w:val="22"/>
          <w:lang w:val="fr-CA"/>
        </w:rPr>
      </w:pPr>
      <w:r w:rsidRPr="007A46C0">
        <w:rPr>
          <w:snapToGrid w:val="0"/>
          <w:kern w:val="22"/>
          <w:sz w:val="22"/>
          <w:szCs w:val="22"/>
          <w:lang w:val="fr-CA"/>
        </w:rPr>
        <w:t xml:space="preserve">ii) </w:t>
      </w:r>
      <w:r w:rsidR="00D56DBB" w:rsidRPr="007A46C0">
        <w:rPr>
          <w:snapToGrid w:val="0"/>
          <w:kern w:val="22"/>
          <w:sz w:val="22"/>
          <w:szCs w:val="22"/>
          <w:lang w:val="fr-CA"/>
        </w:rPr>
        <w:t>Un examen des engagements et activités des Parties pour mettre en œuvre la Convention, l</w:t>
      </w:r>
      <w:r w:rsidR="00DF1C84">
        <w:rPr>
          <w:snapToGrid w:val="0"/>
          <w:kern w:val="22"/>
          <w:sz w:val="22"/>
          <w:szCs w:val="22"/>
          <w:lang w:val="fr-CA"/>
        </w:rPr>
        <w:t>’</w:t>
      </w:r>
      <w:r w:rsidR="00D56DBB" w:rsidRPr="007A46C0">
        <w:rPr>
          <w:snapToGrid w:val="0"/>
          <w:kern w:val="22"/>
          <w:sz w:val="22"/>
          <w:szCs w:val="22"/>
          <w:lang w:val="fr-CA"/>
        </w:rPr>
        <w:t>examen des obstacles rencontrés par les décideurs à tous les niveaux et l</w:t>
      </w:r>
      <w:r w:rsidR="00DF1C84">
        <w:rPr>
          <w:snapToGrid w:val="0"/>
          <w:kern w:val="22"/>
          <w:sz w:val="22"/>
          <w:szCs w:val="22"/>
          <w:lang w:val="fr-CA"/>
        </w:rPr>
        <w:t>’</w:t>
      </w:r>
      <w:r w:rsidR="00D56DBB" w:rsidRPr="007A46C0">
        <w:rPr>
          <w:snapToGrid w:val="0"/>
          <w:kern w:val="22"/>
          <w:sz w:val="22"/>
          <w:szCs w:val="22"/>
          <w:lang w:val="fr-CA"/>
        </w:rPr>
        <w:t>élaboration d</w:t>
      </w:r>
      <w:r w:rsidR="00DF1C84">
        <w:rPr>
          <w:snapToGrid w:val="0"/>
          <w:kern w:val="22"/>
          <w:sz w:val="22"/>
          <w:szCs w:val="22"/>
          <w:lang w:val="fr-CA"/>
        </w:rPr>
        <w:t>’</w:t>
      </w:r>
      <w:r w:rsidR="00D56DBB" w:rsidRPr="007A46C0">
        <w:rPr>
          <w:snapToGrid w:val="0"/>
          <w:kern w:val="22"/>
          <w:sz w:val="22"/>
          <w:szCs w:val="22"/>
          <w:lang w:val="fr-CA"/>
        </w:rPr>
        <w:t>options visant à surmonter ces obstacles, et un examen des moyens de mise en œuvre pour ce faire;</w:t>
      </w:r>
    </w:p>
    <w:p w:rsidR="00B33755" w:rsidRPr="007A46C0" w:rsidRDefault="008736D1" w:rsidP="003349A9">
      <w:pPr>
        <w:numPr>
          <w:ilvl w:val="1"/>
          <w:numId w:val="15"/>
        </w:numPr>
        <w:suppressLineNumbers/>
        <w:suppressAutoHyphens/>
        <w:spacing w:after="120"/>
        <w:ind w:left="1418" w:hanging="709"/>
        <w:jc w:val="both"/>
        <w:rPr>
          <w:snapToGrid w:val="0"/>
          <w:kern w:val="22"/>
          <w:sz w:val="22"/>
          <w:szCs w:val="22"/>
          <w:lang w:val="fr-CA"/>
        </w:rPr>
      </w:pPr>
      <w:r w:rsidRPr="007A46C0">
        <w:rPr>
          <w:snapToGrid w:val="0"/>
          <w:kern w:val="22"/>
          <w:sz w:val="22"/>
          <w:szCs w:val="22"/>
          <w:lang w:val="fr-CA"/>
        </w:rPr>
        <w:t xml:space="preserve">i) </w:t>
      </w:r>
      <w:r w:rsidR="00D56DBB" w:rsidRPr="007A46C0">
        <w:rPr>
          <w:snapToGrid w:val="0"/>
          <w:kern w:val="22"/>
          <w:sz w:val="22"/>
          <w:szCs w:val="22"/>
          <w:lang w:val="fr-CA"/>
        </w:rPr>
        <w:t>Un examen de l</w:t>
      </w:r>
      <w:r w:rsidR="00DF1C84">
        <w:rPr>
          <w:snapToGrid w:val="0"/>
          <w:kern w:val="22"/>
          <w:sz w:val="22"/>
          <w:szCs w:val="22"/>
          <w:lang w:val="fr-CA"/>
        </w:rPr>
        <w:t>’</w:t>
      </w:r>
      <w:r w:rsidR="00D56DBB" w:rsidRPr="007A46C0">
        <w:rPr>
          <w:snapToGrid w:val="0"/>
          <w:kern w:val="22"/>
          <w:sz w:val="22"/>
          <w:szCs w:val="22"/>
          <w:lang w:val="fr-CA"/>
        </w:rPr>
        <w:t xml:space="preserve">efficacité de divers types de mesures prises conformément aux objectifs de la Convention; </w:t>
      </w:r>
      <w:r w:rsidR="00D56DBB" w:rsidRPr="007A46C0">
        <w:rPr>
          <w:i/>
          <w:snapToGrid w:val="0"/>
          <w:kern w:val="22"/>
          <w:sz w:val="22"/>
          <w:szCs w:val="22"/>
          <w:lang w:val="fr-CA"/>
        </w:rPr>
        <w:t>versus</w:t>
      </w:r>
    </w:p>
    <w:p w:rsidR="008736D1" w:rsidRPr="007A46C0" w:rsidRDefault="008736D1" w:rsidP="003349A9">
      <w:pPr>
        <w:suppressLineNumbers/>
        <w:suppressAutoHyphens/>
        <w:spacing w:after="120"/>
        <w:ind w:left="709" w:firstLine="709"/>
        <w:jc w:val="both"/>
        <w:rPr>
          <w:snapToGrid w:val="0"/>
          <w:kern w:val="22"/>
          <w:sz w:val="22"/>
          <w:szCs w:val="22"/>
          <w:lang w:val="fr-CA"/>
        </w:rPr>
      </w:pPr>
      <w:r w:rsidRPr="007A46C0">
        <w:rPr>
          <w:snapToGrid w:val="0"/>
          <w:kern w:val="22"/>
          <w:sz w:val="22"/>
          <w:szCs w:val="22"/>
          <w:lang w:val="fr-CA"/>
        </w:rPr>
        <w:t xml:space="preserve">ii) </w:t>
      </w:r>
      <w:r w:rsidR="00D56DBB" w:rsidRPr="007A46C0">
        <w:rPr>
          <w:snapToGrid w:val="0"/>
          <w:kern w:val="22"/>
          <w:sz w:val="22"/>
          <w:szCs w:val="22"/>
          <w:lang w:val="fr-CA"/>
        </w:rPr>
        <w:t>Un examen de l</w:t>
      </w:r>
      <w:r w:rsidR="00DF1C84">
        <w:rPr>
          <w:snapToGrid w:val="0"/>
          <w:kern w:val="22"/>
          <w:sz w:val="22"/>
          <w:szCs w:val="22"/>
          <w:lang w:val="fr-CA"/>
        </w:rPr>
        <w:t>’</w:t>
      </w:r>
      <w:r w:rsidR="00D56DBB" w:rsidRPr="007A46C0">
        <w:rPr>
          <w:snapToGrid w:val="0"/>
          <w:kern w:val="22"/>
          <w:sz w:val="22"/>
          <w:szCs w:val="22"/>
          <w:lang w:val="fr-CA"/>
        </w:rPr>
        <w:t>efficacité de mesures particulières prises par les Parties;</w:t>
      </w:r>
    </w:p>
    <w:p w:rsidR="00037D25" w:rsidRPr="007A46C0" w:rsidRDefault="00B33755" w:rsidP="003349A9">
      <w:pPr>
        <w:numPr>
          <w:ilvl w:val="1"/>
          <w:numId w:val="15"/>
        </w:numPr>
        <w:suppressLineNumbers/>
        <w:suppressAutoHyphens/>
        <w:spacing w:after="120"/>
        <w:ind w:left="1418" w:hanging="709"/>
        <w:jc w:val="both"/>
        <w:rPr>
          <w:snapToGrid w:val="0"/>
          <w:kern w:val="22"/>
          <w:sz w:val="22"/>
          <w:szCs w:val="22"/>
          <w:lang w:val="fr-CA"/>
        </w:rPr>
      </w:pPr>
      <w:r w:rsidRPr="007A46C0">
        <w:rPr>
          <w:snapToGrid w:val="0"/>
          <w:kern w:val="22"/>
          <w:sz w:val="22"/>
          <w:szCs w:val="22"/>
          <w:lang w:val="fr-CA"/>
        </w:rPr>
        <w:t xml:space="preserve">i) </w:t>
      </w:r>
      <w:r w:rsidR="00D56DBB" w:rsidRPr="007A46C0">
        <w:rPr>
          <w:snapToGrid w:val="0"/>
          <w:kern w:val="22"/>
          <w:sz w:val="22"/>
          <w:szCs w:val="22"/>
          <w:lang w:val="fr-CA"/>
        </w:rPr>
        <w:t>Des mécanismes</w:t>
      </w:r>
      <w:r w:rsidR="00E03CC6" w:rsidRPr="007A46C0">
        <w:rPr>
          <w:snapToGrid w:val="0"/>
          <w:kern w:val="22"/>
          <w:sz w:val="22"/>
          <w:szCs w:val="22"/>
          <w:lang w:val="fr-CA"/>
        </w:rPr>
        <w:t xml:space="preserve"> de vérification du respect des dispositions, tels qu</w:t>
      </w:r>
      <w:r w:rsidR="00DF1C84">
        <w:rPr>
          <w:snapToGrid w:val="0"/>
          <w:kern w:val="22"/>
          <w:sz w:val="22"/>
          <w:szCs w:val="22"/>
          <w:lang w:val="fr-CA"/>
        </w:rPr>
        <w:t>’</w:t>
      </w:r>
      <w:r w:rsidR="00E03CC6" w:rsidRPr="007A46C0">
        <w:rPr>
          <w:snapToGrid w:val="0"/>
          <w:kern w:val="22"/>
          <w:sz w:val="22"/>
          <w:szCs w:val="22"/>
          <w:lang w:val="fr-CA"/>
        </w:rPr>
        <w:t>établis au titre des Protocoles de Cartagena et de Nagoya et de nombreux autres accords multilatéraux sur l</w:t>
      </w:r>
      <w:r w:rsidR="00DF1C84">
        <w:rPr>
          <w:snapToGrid w:val="0"/>
          <w:kern w:val="22"/>
          <w:sz w:val="22"/>
          <w:szCs w:val="22"/>
          <w:lang w:val="fr-CA"/>
        </w:rPr>
        <w:t>’</w:t>
      </w:r>
      <w:r w:rsidR="00E03CC6" w:rsidRPr="007A46C0">
        <w:rPr>
          <w:snapToGrid w:val="0"/>
          <w:kern w:val="22"/>
          <w:sz w:val="22"/>
          <w:szCs w:val="22"/>
          <w:lang w:val="fr-CA"/>
        </w:rPr>
        <w:t>environnement, pour faire appliquer la mise en œuvre;</w:t>
      </w:r>
      <w:r w:rsidR="00E03CC6" w:rsidRPr="007A46C0">
        <w:rPr>
          <w:i/>
          <w:snapToGrid w:val="0"/>
          <w:kern w:val="22"/>
          <w:sz w:val="22"/>
          <w:szCs w:val="22"/>
          <w:lang w:val="fr-CA"/>
        </w:rPr>
        <w:t xml:space="preserve"> versus</w:t>
      </w:r>
    </w:p>
    <w:p w:rsidR="005C6A9A" w:rsidRPr="007A46C0" w:rsidRDefault="00B33755" w:rsidP="003349A9">
      <w:pPr>
        <w:suppressLineNumbers/>
        <w:suppressAutoHyphens/>
        <w:spacing w:after="120"/>
        <w:ind w:left="1418"/>
        <w:jc w:val="both"/>
        <w:rPr>
          <w:snapToGrid w:val="0"/>
          <w:kern w:val="22"/>
          <w:sz w:val="22"/>
          <w:szCs w:val="22"/>
          <w:lang w:val="fr-CA"/>
        </w:rPr>
      </w:pPr>
      <w:r w:rsidRPr="007A46C0">
        <w:rPr>
          <w:snapToGrid w:val="0"/>
          <w:kern w:val="22"/>
          <w:sz w:val="22"/>
          <w:szCs w:val="22"/>
          <w:lang w:val="fr-CA"/>
        </w:rPr>
        <w:t xml:space="preserve">ii) </w:t>
      </w:r>
      <w:r w:rsidR="00E03CC6" w:rsidRPr="007A46C0">
        <w:rPr>
          <w:snapToGrid w:val="0"/>
          <w:kern w:val="22"/>
          <w:sz w:val="22"/>
          <w:szCs w:val="22"/>
          <w:lang w:val="fr-CA"/>
        </w:rPr>
        <w:t>Des mécanismes axés sur le partage des expériences, l</w:t>
      </w:r>
      <w:r w:rsidR="00DF1C84">
        <w:rPr>
          <w:snapToGrid w:val="0"/>
          <w:kern w:val="22"/>
          <w:sz w:val="22"/>
          <w:szCs w:val="22"/>
          <w:lang w:val="fr-CA"/>
        </w:rPr>
        <w:t>’</w:t>
      </w:r>
      <w:r w:rsidR="00E03CC6" w:rsidRPr="007A46C0">
        <w:rPr>
          <w:snapToGrid w:val="0"/>
          <w:kern w:val="22"/>
          <w:sz w:val="22"/>
          <w:szCs w:val="22"/>
          <w:lang w:val="fr-CA"/>
        </w:rPr>
        <w:t>apprentissage commun, et la conception et l</w:t>
      </w:r>
      <w:r w:rsidR="00DF1C84">
        <w:rPr>
          <w:snapToGrid w:val="0"/>
          <w:kern w:val="22"/>
          <w:sz w:val="22"/>
          <w:szCs w:val="22"/>
          <w:lang w:val="fr-CA"/>
        </w:rPr>
        <w:t>’</w:t>
      </w:r>
      <w:r w:rsidR="00E03CC6" w:rsidRPr="007A46C0">
        <w:rPr>
          <w:snapToGrid w:val="0"/>
          <w:kern w:val="22"/>
          <w:sz w:val="22"/>
          <w:szCs w:val="22"/>
          <w:lang w:val="fr-CA"/>
        </w:rPr>
        <w:t>utilisation appropriées de mécanismes de soutien qui permettraient</w:t>
      </w:r>
      <w:r w:rsidR="003349A9">
        <w:rPr>
          <w:snapToGrid w:val="0"/>
          <w:kern w:val="22"/>
          <w:sz w:val="22"/>
          <w:szCs w:val="22"/>
          <w:lang w:val="fr-CA"/>
        </w:rPr>
        <w:t xml:space="preserve"> de faciliter la mise en œuvre.</w:t>
      </w:r>
    </w:p>
    <w:p w:rsidR="00B056DF" w:rsidRPr="007A46C0" w:rsidRDefault="0049644D" w:rsidP="003349A9">
      <w:pPr>
        <w:pStyle w:val="Para1"/>
        <w:numPr>
          <w:ilvl w:val="0"/>
          <w:numId w:val="13"/>
        </w:numPr>
        <w:suppressLineNumbers/>
        <w:tabs>
          <w:tab w:val="clear" w:pos="360"/>
        </w:tabs>
        <w:suppressAutoHyphens/>
        <w:spacing w:before="120"/>
        <w:jc w:val="both"/>
        <w:rPr>
          <w:kern w:val="22"/>
          <w:sz w:val="22"/>
          <w:szCs w:val="22"/>
          <w:lang w:val="fr-CA"/>
        </w:rPr>
      </w:pPr>
      <w:r w:rsidRPr="007A46C0">
        <w:rPr>
          <w:kern w:val="22"/>
          <w:sz w:val="22"/>
          <w:szCs w:val="22"/>
          <w:lang w:val="fr-CA"/>
        </w:rPr>
        <w:t>S</w:t>
      </w:r>
      <w:r w:rsidR="00DF1C84">
        <w:rPr>
          <w:kern w:val="22"/>
          <w:sz w:val="22"/>
          <w:szCs w:val="22"/>
          <w:lang w:val="fr-CA"/>
        </w:rPr>
        <w:t>’</w:t>
      </w:r>
      <w:r w:rsidRPr="007A46C0">
        <w:rPr>
          <w:kern w:val="22"/>
          <w:sz w:val="22"/>
          <w:szCs w:val="22"/>
          <w:lang w:val="fr-CA"/>
        </w:rPr>
        <w:t>agissant des mandats des deux organes subsidiaires permanents, l</w:t>
      </w:r>
      <w:r w:rsidR="00DF1C84">
        <w:rPr>
          <w:kern w:val="22"/>
          <w:sz w:val="22"/>
          <w:szCs w:val="22"/>
          <w:lang w:val="fr-CA"/>
        </w:rPr>
        <w:t>’</w:t>
      </w:r>
      <w:r w:rsidR="002625AA" w:rsidRPr="007A46C0">
        <w:rPr>
          <w:kern w:val="22"/>
          <w:sz w:val="22"/>
          <w:szCs w:val="22"/>
          <w:lang w:val="fr-CA"/>
        </w:rPr>
        <w:t>Organe subsidiaire chargé de donner des avis scientifiques, techni</w:t>
      </w:r>
      <w:r w:rsidR="003349A9">
        <w:rPr>
          <w:kern w:val="22"/>
          <w:sz w:val="22"/>
          <w:szCs w:val="22"/>
          <w:lang w:val="fr-CA"/>
        </w:rPr>
        <w:t xml:space="preserve">ques et technologiques </w:t>
      </w:r>
      <w:r w:rsidR="002625AA" w:rsidRPr="007A46C0">
        <w:rPr>
          <w:kern w:val="22"/>
          <w:sz w:val="22"/>
          <w:szCs w:val="22"/>
          <w:lang w:val="fr-CA"/>
        </w:rPr>
        <w:t>jouit d</w:t>
      </w:r>
      <w:r w:rsidR="00DF1C84">
        <w:rPr>
          <w:kern w:val="22"/>
          <w:sz w:val="22"/>
          <w:szCs w:val="22"/>
          <w:lang w:val="fr-CA"/>
        </w:rPr>
        <w:t>’</w:t>
      </w:r>
      <w:r w:rsidR="002625AA" w:rsidRPr="007A46C0">
        <w:rPr>
          <w:kern w:val="22"/>
          <w:sz w:val="22"/>
          <w:szCs w:val="22"/>
          <w:lang w:val="fr-CA"/>
        </w:rPr>
        <w:t>un avantage comparatif dans l</w:t>
      </w:r>
      <w:r w:rsidR="00DF1C84">
        <w:rPr>
          <w:kern w:val="22"/>
          <w:sz w:val="22"/>
          <w:szCs w:val="22"/>
          <w:lang w:val="fr-CA"/>
        </w:rPr>
        <w:t>’</w:t>
      </w:r>
      <w:r w:rsidR="002625AA" w:rsidRPr="007A46C0">
        <w:rPr>
          <w:kern w:val="22"/>
          <w:sz w:val="22"/>
          <w:szCs w:val="22"/>
          <w:lang w:val="fr-CA"/>
        </w:rPr>
        <w:t>examen de données scientifiques, techniques et technologiques (a) i)) et l</w:t>
      </w:r>
      <w:r w:rsidR="00DF1C84">
        <w:rPr>
          <w:kern w:val="22"/>
          <w:sz w:val="22"/>
          <w:szCs w:val="22"/>
          <w:lang w:val="fr-CA"/>
        </w:rPr>
        <w:t>’</w:t>
      </w:r>
      <w:r w:rsidR="002625AA" w:rsidRPr="007A46C0">
        <w:rPr>
          <w:kern w:val="22"/>
          <w:sz w:val="22"/>
          <w:szCs w:val="22"/>
          <w:lang w:val="fr-CA"/>
        </w:rPr>
        <w:t>efficacité des types de mesures (b) i)), tandis que l</w:t>
      </w:r>
      <w:r w:rsidR="00DF1C84">
        <w:rPr>
          <w:kern w:val="22"/>
          <w:sz w:val="22"/>
          <w:szCs w:val="22"/>
          <w:lang w:val="fr-CA"/>
        </w:rPr>
        <w:t>’</w:t>
      </w:r>
      <w:r w:rsidR="002625AA" w:rsidRPr="007A46C0">
        <w:rPr>
          <w:kern w:val="22"/>
          <w:sz w:val="22"/>
          <w:szCs w:val="22"/>
          <w:lang w:val="fr-CA"/>
        </w:rPr>
        <w:t>Organe subsidiaire chargé de l</w:t>
      </w:r>
      <w:r w:rsidR="00DF1C84">
        <w:rPr>
          <w:kern w:val="22"/>
          <w:sz w:val="22"/>
          <w:szCs w:val="22"/>
          <w:lang w:val="fr-CA"/>
        </w:rPr>
        <w:t>’</w:t>
      </w:r>
      <w:r w:rsidR="002625AA" w:rsidRPr="007A46C0">
        <w:rPr>
          <w:kern w:val="22"/>
          <w:sz w:val="22"/>
          <w:szCs w:val="22"/>
          <w:lang w:val="fr-CA"/>
        </w:rPr>
        <w:t>application joue un rôle prépondérant dans la réalisation ou la supervision des autres approches.</w:t>
      </w:r>
    </w:p>
    <w:p w:rsidR="00E540CF" w:rsidRPr="007A46C0" w:rsidRDefault="0001383C" w:rsidP="003349A9">
      <w:pPr>
        <w:pStyle w:val="Para1"/>
        <w:numPr>
          <w:ilvl w:val="0"/>
          <w:numId w:val="13"/>
        </w:numPr>
        <w:suppressLineNumbers/>
        <w:tabs>
          <w:tab w:val="clear" w:pos="360"/>
        </w:tabs>
        <w:suppressAutoHyphens/>
        <w:spacing w:before="120"/>
        <w:jc w:val="both"/>
        <w:rPr>
          <w:kern w:val="22"/>
          <w:sz w:val="22"/>
          <w:szCs w:val="22"/>
          <w:lang w:val="fr-CA"/>
        </w:rPr>
      </w:pPr>
      <w:r w:rsidRPr="007A46C0">
        <w:rPr>
          <w:kern w:val="22"/>
          <w:sz w:val="22"/>
          <w:szCs w:val="22"/>
          <w:lang w:val="fr-CA"/>
        </w:rPr>
        <w:t>Les récentes avancées dans le développement de mécanismes d</w:t>
      </w:r>
      <w:r w:rsidR="00DF1C84">
        <w:rPr>
          <w:kern w:val="22"/>
          <w:sz w:val="22"/>
          <w:szCs w:val="22"/>
          <w:lang w:val="fr-CA"/>
        </w:rPr>
        <w:t>’</w:t>
      </w:r>
      <w:r w:rsidRPr="007A46C0">
        <w:rPr>
          <w:kern w:val="22"/>
          <w:sz w:val="22"/>
          <w:szCs w:val="22"/>
          <w:lang w:val="fr-CA"/>
        </w:rPr>
        <w:t>examen existants au titre de la Convention sont présentées dans la section III.</w:t>
      </w:r>
    </w:p>
    <w:p w:rsidR="007F72EB" w:rsidRPr="007A46C0" w:rsidRDefault="00C36CA4" w:rsidP="003349A9">
      <w:pPr>
        <w:pStyle w:val="Para1"/>
        <w:numPr>
          <w:ilvl w:val="0"/>
          <w:numId w:val="13"/>
        </w:numPr>
        <w:suppressLineNumbers/>
        <w:tabs>
          <w:tab w:val="clear" w:pos="360"/>
        </w:tabs>
        <w:suppressAutoHyphens/>
        <w:spacing w:before="120"/>
        <w:jc w:val="both"/>
        <w:rPr>
          <w:kern w:val="22"/>
          <w:sz w:val="22"/>
          <w:szCs w:val="22"/>
          <w:lang w:val="fr-CA"/>
        </w:rPr>
      </w:pPr>
      <w:r w:rsidRPr="007A46C0">
        <w:rPr>
          <w:kern w:val="22"/>
          <w:sz w:val="22"/>
          <w:szCs w:val="22"/>
          <w:lang w:val="fr-CA"/>
        </w:rPr>
        <w:t>La considération d</w:t>
      </w:r>
      <w:r w:rsidR="00DF1C84">
        <w:rPr>
          <w:kern w:val="22"/>
          <w:sz w:val="22"/>
          <w:szCs w:val="22"/>
          <w:lang w:val="fr-CA"/>
        </w:rPr>
        <w:t>’</w:t>
      </w:r>
      <w:r w:rsidRPr="007A46C0">
        <w:rPr>
          <w:kern w:val="22"/>
          <w:sz w:val="22"/>
          <w:szCs w:val="22"/>
          <w:lang w:val="fr-CA"/>
        </w:rPr>
        <w:t>approches relatives à l</w:t>
      </w:r>
      <w:r w:rsidR="00DF1C84">
        <w:rPr>
          <w:kern w:val="22"/>
          <w:sz w:val="22"/>
          <w:szCs w:val="22"/>
          <w:lang w:val="fr-CA"/>
        </w:rPr>
        <w:t>’</w:t>
      </w:r>
      <w:r w:rsidRPr="007A46C0">
        <w:rPr>
          <w:kern w:val="22"/>
          <w:sz w:val="22"/>
          <w:szCs w:val="22"/>
          <w:lang w:val="fr-CA"/>
        </w:rPr>
        <w:t>examen de l</w:t>
      </w:r>
      <w:r w:rsidR="00DF1C84">
        <w:rPr>
          <w:kern w:val="22"/>
          <w:sz w:val="22"/>
          <w:szCs w:val="22"/>
          <w:lang w:val="fr-CA"/>
        </w:rPr>
        <w:t>’</w:t>
      </w:r>
      <w:r w:rsidRPr="007A46C0">
        <w:rPr>
          <w:kern w:val="22"/>
          <w:sz w:val="22"/>
          <w:szCs w:val="22"/>
          <w:lang w:val="fr-CA"/>
        </w:rPr>
        <w:t>application peut aussi utilement s</w:t>
      </w:r>
      <w:r w:rsidR="00DF1C84">
        <w:rPr>
          <w:kern w:val="22"/>
          <w:sz w:val="22"/>
          <w:szCs w:val="22"/>
          <w:lang w:val="fr-CA"/>
        </w:rPr>
        <w:t>’</w:t>
      </w:r>
      <w:r w:rsidRPr="007A46C0">
        <w:rPr>
          <w:kern w:val="22"/>
          <w:sz w:val="22"/>
          <w:szCs w:val="22"/>
          <w:lang w:val="fr-CA"/>
        </w:rPr>
        <w:t>inspirer/ tirer parti des expériences d</w:t>
      </w:r>
      <w:r w:rsidR="00DF1C84">
        <w:rPr>
          <w:kern w:val="22"/>
          <w:sz w:val="22"/>
          <w:szCs w:val="22"/>
          <w:lang w:val="fr-CA"/>
        </w:rPr>
        <w:t>’</w:t>
      </w:r>
      <w:r w:rsidRPr="007A46C0">
        <w:rPr>
          <w:kern w:val="22"/>
          <w:sz w:val="22"/>
          <w:szCs w:val="22"/>
          <w:lang w:val="fr-CA"/>
        </w:rPr>
        <w:t xml:space="preserve">autres organes concernés. </w:t>
      </w:r>
      <w:r w:rsidRPr="007A46C0">
        <w:rPr>
          <w:noProof/>
          <w:kern w:val="22"/>
          <w:sz w:val="22"/>
          <w:szCs w:val="22"/>
          <w:lang w:val="fr-CA"/>
        </w:rPr>
        <w:t>Celles</w:t>
      </w:r>
      <w:r w:rsidR="00DF1C84">
        <w:rPr>
          <w:noProof/>
          <w:kern w:val="22"/>
          <w:sz w:val="22"/>
          <w:szCs w:val="22"/>
          <w:lang w:val="fr-CA"/>
        </w:rPr>
        <w:noBreakHyphen/>
      </w:r>
      <w:r w:rsidRPr="007A46C0">
        <w:rPr>
          <w:noProof/>
          <w:kern w:val="22"/>
          <w:sz w:val="22"/>
          <w:szCs w:val="22"/>
          <w:lang w:val="fr-CA"/>
        </w:rPr>
        <w:t>ci ont</w:t>
      </w:r>
      <w:r w:rsidRPr="007A46C0">
        <w:rPr>
          <w:kern w:val="22"/>
          <w:sz w:val="22"/>
          <w:szCs w:val="22"/>
          <w:lang w:val="fr-CA"/>
        </w:rPr>
        <w:t xml:space="preserve"> été examinées en détail dans la documentation de la première réunion de l</w:t>
      </w:r>
      <w:r w:rsidR="00DF1C84">
        <w:rPr>
          <w:kern w:val="22"/>
          <w:sz w:val="22"/>
          <w:szCs w:val="22"/>
          <w:lang w:val="fr-CA"/>
        </w:rPr>
        <w:t>’</w:t>
      </w:r>
      <w:r w:rsidRPr="007A46C0">
        <w:rPr>
          <w:kern w:val="22"/>
          <w:sz w:val="22"/>
          <w:szCs w:val="22"/>
          <w:lang w:val="fr-CA"/>
        </w:rPr>
        <w:t>Organe subsidiaire chargé de l</w:t>
      </w:r>
      <w:r w:rsidR="00DF1C84">
        <w:rPr>
          <w:kern w:val="22"/>
          <w:sz w:val="22"/>
          <w:szCs w:val="22"/>
          <w:lang w:val="fr-CA"/>
        </w:rPr>
        <w:t>’</w:t>
      </w:r>
      <w:r w:rsidRPr="007A46C0">
        <w:rPr>
          <w:kern w:val="22"/>
          <w:sz w:val="22"/>
          <w:szCs w:val="22"/>
          <w:lang w:val="fr-CA"/>
        </w:rPr>
        <w:t>application. Depuis</w:t>
      </w:r>
      <w:r w:rsidR="000A3415" w:rsidRPr="007A46C0">
        <w:rPr>
          <w:kern w:val="22"/>
          <w:sz w:val="22"/>
          <w:szCs w:val="22"/>
          <w:lang w:val="fr-CA"/>
        </w:rPr>
        <w:t xml:space="preserve"> la première réunion de l</w:t>
      </w:r>
      <w:r w:rsidR="00DF1C84">
        <w:rPr>
          <w:kern w:val="22"/>
          <w:sz w:val="22"/>
          <w:szCs w:val="22"/>
          <w:lang w:val="fr-CA"/>
        </w:rPr>
        <w:t>’</w:t>
      </w:r>
      <w:r w:rsidR="000A3415" w:rsidRPr="007A46C0">
        <w:rPr>
          <w:kern w:val="22"/>
          <w:sz w:val="22"/>
          <w:szCs w:val="22"/>
          <w:lang w:val="fr-CA"/>
        </w:rPr>
        <w:t xml:space="preserve">Organe subsidiaire, des faits nouveaux sont intervenus au titre </w:t>
      </w:r>
      <w:r w:rsidR="000A3415" w:rsidRPr="007A46C0">
        <w:rPr>
          <w:noProof/>
          <w:kern w:val="22"/>
          <w:sz w:val="22"/>
          <w:szCs w:val="22"/>
          <w:lang w:val="fr-CA"/>
        </w:rPr>
        <w:t>de la Convention</w:t>
      </w:r>
      <w:r w:rsidR="00DF1C84">
        <w:rPr>
          <w:noProof/>
          <w:kern w:val="22"/>
          <w:sz w:val="22"/>
          <w:szCs w:val="22"/>
          <w:lang w:val="fr-CA"/>
        </w:rPr>
        <w:noBreakHyphen/>
      </w:r>
      <w:r w:rsidR="000A3415" w:rsidRPr="007A46C0">
        <w:rPr>
          <w:noProof/>
          <w:kern w:val="22"/>
          <w:sz w:val="22"/>
          <w:szCs w:val="22"/>
          <w:lang w:val="fr-CA"/>
        </w:rPr>
        <w:t>cadre des Nations Unies sur les changements climatiques (CCNUCC) et de la Convention sur la conservation des espèces migratrices appartenant à la faune sauva</w:t>
      </w:r>
      <w:r w:rsidR="003349A9">
        <w:rPr>
          <w:noProof/>
          <w:kern w:val="22"/>
          <w:sz w:val="22"/>
          <w:szCs w:val="22"/>
          <w:lang w:val="fr-CA"/>
        </w:rPr>
        <w:t xml:space="preserve">ge (CMS). Ces faits </w:t>
      </w:r>
      <w:r w:rsidR="000A3415" w:rsidRPr="007A46C0">
        <w:rPr>
          <w:noProof/>
          <w:kern w:val="22"/>
          <w:sz w:val="22"/>
          <w:szCs w:val="22"/>
          <w:lang w:val="fr-CA"/>
        </w:rPr>
        <w:t>figurent</w:t>
      </w:r>
      <w:r w:rsidR="000A3415" w:rsidRPr="007A46C0">
        <w:rPr>
          <w:kern w:val="22"/>
          <w:sz w:val="22"/>
          <w:szCs w:val="22"/>
          <w:lang w:val="fr-CA"/>
        </w:rPr>
        <w:t xml:space="preserve"> dans l</w:t>
      </w:r>
      <w:r w:rsidR="00DF1C84">
        <w:rPr>
          <w:kern w:val="22"/>
          <w:sz w:val="22"/>
          <w:szCs w:val="22"/>
          <w:lang w:val="fr-CA"/>
        </w:rPr>
        <w:t>’</w:t>
      </w:r>
      <w:r w:rsidR="000A3415" w:rsidRPr="007A46C0">
        <w:rPr>
          <w:kern w:val="22"/>
          <w:sz w:val="22"/>
          <w:szCs w:val="22"/>
          <w:lang w:val="fr-CA"/>
        </w:rPr>
        <w:t>annexe au présent document.</w:t>
      </w:r>
    </w:p>
    <w:p w:rsidR="001579D1" w:rsidRPr="007A46C0" w:rsidRDefault="00E53C62" w:rsidP="00D062F1">
      <w:pPr>
        <w:pStyle w:val="Para1"/>
        <w:numPr>
          <w:ilvl w:val="0"/>
          <w:numId w:val="13"/>
        </w:numPr>
        <w:suppressLineNumbers/>
        <w:tabs>
          <w:tab w:val="clear" w:pos="360"/>
        </w:tabs>
        <w:suppressAutoHyphens/>
        <w:spacing w:before="120"/>
        <w:jc w:val="both"/>
        <w:rPr>
          <w:kern w:val="22"/>
          <w:sz w:val="22"/>
          <w:szCs w:val="22"/>
          <w:lang w:val="fr-CA"/>
        </w:rPr>
      </w:pPr>
      <w:r w:rsidRPr="007A46C0">
        <w:rPr>
          <w:kern w:val="22"/>
          <w:sz w:val="22"/>
          <w:szCs w:val="22"/>
          <w:lang w:val="fr-CA"/>
        </w:rPr>
        <w:lastRenderedPageBreak/>
        <w:t>Par ailleurs, il pourrait être utile de s</w:t>
      </w:r>
      <w:r w:rsidR="00DF1C84">
        <w:rPr>
          <w:kern w:val="22"/>
          <w:sz w:val="22"/>
          <w:szCs w:val="22"/>
          <w:lang w:val="fr-CA"/>
        </w:rPr>
        <w:t>’</w:t>
      </w:r>
      <w:r w:rsidRPr="007A46C0">
        <w:rPr>
          <w:kern w:val="22"/>
          <w:sz w:val="22"/>
          <w:szCs w:val="22"/>
          <w:lang w:val="fr-CA"/>
        </w:rPr>
        <w:t>inspirer des processus et des résultats de certains des mécanismes d</w:t>
      </w:r>
      <w:r w:rsidR="00DF1C84">
        <w:rPr>
          <w:kern w:val="22"/>
          <w:sz w:val="22"/>
          <w:szCs w:val="22"/>
          <w:lang w:val="fr-CA"/>
        </w:rPr>
        <w:t>’</w:t>
      </w:r>
      <w:r w:rsidRPr="007A46C0">
        <w:rPr>
          <w:kern w:val="22"/>
          <w:sz w:val="22"/>
          <w:szCs w:val="22"/>
          <w:lang w:val="fr-CA"/>
        </w:rPr>
        <w:t>examen d</w:t>
      </w:r>
      <w:r w:rsidR="00DF1C84">
        <w:rPr>
          <w:kern w:val="22"/>
          <w:sz w:val="22"/>
          <w:szCs w:val="22"/>
          <w:lang w:val="fr-CA"/>
        </w:rPr>
        <w:t>’</w:t>
      </w:r>
      <w:r w:rsidRPr="007A46C0">
        <w:rPr>
          <w:kern w:val="22"/>
          <w:sz w:val="22"/>
          <w:szCs w:val="22"/>
          <w:lang w:val="fr-CA"/>
        </w:rPr>
        <w:t>autres organisations pour appuyer l</w:t>
      </w:r>
      <w:r w:rsidR="00DF1C84">
        <w:rPr>
          <w:kern w:val="22"/>
          <w:sz w:val="22"/>
          <w:szCs w:val="22"/>
          <w:lang w:val="fr-CA"/>
        </w:rPr>
        <w:t>’</w:t>
      </w:r>
      <w:r w:rsidRPr="007A46C0">
        <w:rPr>
          <w:kern w:val="22"/>
          <w:sz w:val="22"/>
          <w:szCs w:val="22"/>
          <w:lang w:val="fr-CA"/>
        </w:rPr>
        <w:t>examen de l</w:t>
      </w:r>
      <w:r w:rsidR="00DF1C84">
        <w:rPr>
          <w:kern w:val="22"/>
          <w:sz w:val="22"/>
          <w:szCs w:val="22"/>
          <w:lang w:val="fr-CA"/>
        </w:rPr>
        <w:t>’</w:t>
      </w:r>
      <w:r w:rsidRPr="007A46C0">
        <w:rPr>
          <w:kern w:val="22"/>
          <w:sz w:val="22"/>
          <w:szCs w:val="22"/>
          <w:lang w:val="fr-CA"/>
        </w:rPr>
        <w:t xml:space="preserve">application au titre de la Convention. </w:t>
      </w:r>
      <w:r w:rsidR="00D062F1" w:rsidRPr="007A46C0">
        <w:rPr>
          <w:kern w:val="22"/>
          <w:sz w:val="22"/>
          <w:szCs w:val="22"/>
          <w:lang w:val="fr-CA"/>
        </w:rPr>
        <w:t>Ainsi, l</w:t>
      </w:r>
      <w:r w:rsidR="00590C6C" w:rsidRPr="007A46C0">
        <w:rPr>
          <w:kern w:val="22"/>
          <w:sz w:val="22"/>
          <w:szCs w:val="22"/>
          <w:lang w:val="fr-CA"/>
        </w:rPr>
        <w:t xml:space="preserve">es exemples </w:t>
      </w:r>
      <w:r w:rsidR="00EB4325" w:rsidRPr="007A46C0">
        <w:rPr>
          <w:kern w:val="22"/>
          <w:sz w:val="22"/>
          <w:szCs w:val="22"/>
          <w:lang w:val="fr-CA"/>
        </w:rPr>
        <w:t>suivants</w:t>
      </w:r>
      <w:r w:rsidR="00590C6C" w:rsidRPr="007A46C0">
        <w:rPr>
          <w:kern w:val="22"/>
          <w:sz w:val="22"/>
          <w:szCs w:val="22"/>
          <w:lang w:val="fr-CA"/>
        </w:rPr>
        <w:t xml:space="preserve"> pourraient fournir des informations concernant la mise en œuvre de mesures au titre de la Convention :</w:t>
      </w:r>
    </w:p>
    <w:p w:rsidR="001579D1" w:rsidRPr="007A46C0" w:rsidRDefault="00EB4325" w:rsidP="00D062F1">
      <w:pPr>
        <w:numPr>
          <w:ilvl w:val="0"/>
          <w:numId w:val="17"/>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E</w:t>
      </w:r>
      <w:r w:rsidR="00590C6C" w:rsidRPr="007A46C0">
        <w:rPr>
          <w:snapToGrid w:val="0"/>
          <w:kern w:val="22"/>
          <w:sz w:val="22"/>
          <w:szCs w:val="22"/>
          <w:lang w:val="fr-CA"/>
        </w:rPr>
        <w:t>xamens relatifs à la biodiversité de l</w:t>
      </w:r>
      <w:r w:rsidR="00DF1C84">
        <w:rPr>
          <w:snapToGrid w:val="0"/>
          <w:kern w:val="22"/>
          <w:sz w:val="22"/>
          <w:szCs w:val="22"/>
          <w:lang w:val="fr-CA"/>
        </w:rPr>
        <w:t>’</w:t>
      </w:r>
      <w:r w:rsidR="00590C6C" w:rsidRPr="007A46C0">
        <w:rPr>
          <w:snapToGrid w:val="0"/>
          <w:kern w:val="22"/>
          <w:sz w:val="22"/>
          <w:szCs w:val="22"/>
          <w:lang w:val="fr-CA"/>
        </w:rPr>
        <w:t>Organisation de coopération et de développement économiques et autres examens sectoriels ou thématiques pertinents;</w:t>
      </w:r>
    </w:p>
    <w:p w:rsidR="001579D1" w:rsidRPr="007A46C0" w:rsidRDefault="00EB4325" w:rsidP="00D062F1">
      <w:pPr>
        <w:numPr>
          <w:ilvl w:val="0"/>
          <w:numId w:val="17"/>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E</w:t>
      </w:r>
      <w:r w:rsidR="00590C6C" w:rsidRPr="007A46C0">
        <w:rPr>
          <w:snapToGrid w:val="0"/>
          <w:kern w:val="22"/>
          <w:sz w:val="22"/>
          <w:szCs w:val="22"/>
          <w:lang w:val="fr-CA"/>
        </w:rPr>
        <w:t>xamens nationaux facultatifs de la mise en œuvre du Programme de développement durable à l</w:t>
      </w:r>
      <w:r w:rsidR="00DF1C84">
        <w:rPr>
          <w:snapToGrid w:val="0"/>
          <w:kern w:val="22"/>
          <w:sz w:val="22"/>
          <w:szCs w:val="22"/>
          <w:lang w:val="fr-CA"/>
        </w:rPr>
        <w:t>’</w:t>
      </w:r>
      <w:r w:rsidR="00590C6C" w:rsidRPr="007A46C0">
        <w:rPr>
          <w:snapToGrid w:val="0"/>
          <w:kern w:val="22"/>
          <w:sz w:val="22"/>
          <w:szCs w:val="22"/>
          <w:lang w:val="fr-CA"/>
        </w:rPr>
        <w:t>horizon</w:t>
      </w:r>
      <w:r w:rsidR="00DF1C84">
        <w:rPr>
          <w:snapToGrid w:val="0"/>
          <w:kern w:val="22"/>
          <w:sz w:val="22"/>
          <w:szCs w:val="22"/>
          <w:lang w:val="fr-CA"/>
        </w:rPr>
        <w:t> 2030</w:t>
      </w:r>
      <w:r w:rsidR="00590C6C" w:rsidRPr="007A46C0">
        <w:rPr>
          <w:snapToGrid w:val="0"/>
          <w:kern w:val="22"/>
          <w:sz w:val="22"/>
          <w:szCs w:val="22"/>
          <w:lang w:val="fr-CA"/>
        </w:rPr>
        <w:t xml:space="preserve"> sous l</w:t>
      </w:r>
      <w:r w:rsidR="00DF1C84">
        <w:rPr>
          <w:snapToGrid w:val="0"/>
          <w:kern w:val="22"/>
          <w:sz w:val="22"/>
          <w:szCs w:val="22"/>
          <w:lang w:val="fr-CA"/>
        </w:rPr>
        <w:t>’</w:t>
      </w:r>
      <w:r w:rsidR="00590C6C" w:rsidRPr="007A46C0">
        <w:rPr>
          <w:snapToGrid w:val="0"/>
          <w:kern w:val="22"/>
          <w:sz w:val="22"/>
          <w:szCs w:val="22"/>
          <w:lang w:val="fr-CA"/>
        </w:rPr>
        <w:t>égide du Forum politique de haut niveau pour le développement durable</w:t>
      </w:r>
      <w:r w:rsidRPr="007A46C0">
        <w:rPr>
          <w:snapToGrid w:val="0"/>
          <w:kern w:val="22"/>
          <w:sz w:val="22"/>
          <w:szCs w:val="22"/>
          <w:lang w:val="fr-CA"/>
        </w:rPr>
        <w:t>;</w:t>
      </w:r>
    </w:p>
    <w:p w:rsidR="00D673F8" w:rsidRPr="007A46C0" w:rsidRDefault="00EB4325" w:rsidP="00D062F1">
      <w:pPr>
        <w:numPr>
          <w:ilvl w:val="0"/>
          <w:numId w:val="17"/>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 xml:space="preserve">Processus de vérification nationaux (voir </w:t>
      </w:r>
      <w:r w:rsidR="00D062F1" w:rsidRPr="007A46C0">
        <w:rPr>
          <w:snapToGrid w:val="0"/>
          <w:kern w:val="22"/>
          <w:sz w:val="22"/>
          <w:szCs w:val="22"/>
          <w:lang w:val="fr-CA"/>
        </w:rPr>
        <w:t xml:space="preserve">la </w:t>
      </w:r>
      <w:r w:rsidRPr="007A46C0">
        <w:rPr>
          <w:snapToGrid w:val="0"/>
          <w:kern w:val="22"/>
          <w:sz w:val="22"/>
          <w:szCs w:val="22"/>
          <w:lang w:val="fr-CA"/>
        </w:rPr>
        <w:t>section III);</w:t>
      </w:r>
    </w:p>
    <w:p w:rsidR="001579D1" w:rsidRPr="007A46C0" w:rsidRDefault="00EB4325" w:rsidP="00D062F1">
      <w:pPr>
        <w:numPr>
          <w:ilvl w:val="0"/>
          <w:numId w:val="17"/>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Examens des progrès accomplis dans la mise en œuvre par des acteurs non étatiques.</w:t>
      </w:r>
    </w:p>
    <w:p w:rsidR="003203BE" w:rsidRPr="007A46C0" w:rsidRDefault="00DE2A00" w:rsidP="00644480">
      <w:pPr>
        <w:pStyle w:val="Heading1"/>
        <w:numPr>
          <w:ilvl w:val="0"/>
          <w:numId w:val="14"/>
        </w:numPr>
        <w:suppressLineNumbers/>
        <w:suppressAutoHyphens/>
        <w:spacing w:before="120"/>
        <w:ind w:left="0" w:firstLine="0"/>
        <w:rPr>
          <w:snapToGrid w:val="0"/>
          <w:kern w:val="22"/>
          <w:sz w:val="22"/>
          <w:szCs w:val="22"/>
          <w:lang w:val="fr-CA"/>
        </w:rPr>
      </w:pPr>
      <w:r w:rsidRPr="007A46C0">
        <w:rPr>
          <w:snapToGrid w:val="0"/>
          <w:kern w:val="22"/>
          <w:sz w:val="22"/>
          <w:szCs w:val="22"/>
          <w:lang w:val="fr-CA"/>
        </w:rPr>
        <w:t xml:space="preserve">renforcement des/ </w:t>
      </w:r>
      <w:r w:rsidR="002B1D67" w:rsidRPr="007A46C0">
        <w:rPr>
          <w:snapToGrid w:val="0"/>
          <w:kern w:val="22"/>
          <w:sz w:val="22"/>
          <w:szCs w:val="22"/>
          <w:lang w:val="fr-CA"/>
        </w:rPr>
        <w:t>progrès</w:t>
      </w:r>
      <w:r w:rsidRPr="007A46C0">
        <w:rPr>
          <w:snapToGrid w:val="0"/>
          <w:kern w:val="22"/>
          <w:sz w:val="22"/>
          <w:szCs w:val="22"/>
          <w:lang w:val="fr-CA"/>
        </w:rPr>
        <w:t xml:space="preserve"> accomplis dans les mécanismes d</w:t>
      </w:r>
      <w:r w:rsidR="00DF1C84">
        <w:rPr>
          <w:snapToGrid w:val="0"/>
          <w:kern w:val="22"/>
          <w:sz w:val="22"/>
          <w:szCs w:val="22"/>
          <w:lang w:val="fr-CA"/>
        </w:rPr>
        <w:t>’</w:t>
      </w:r>
      <w:r w:rsidRPr="007A46C0">
        <w:rPr>
          <w:snapToGrid w:val="0"/>
          <w:kern w:val="22"/>
          <w:sz w:val="22"/>
          <w:szCs w:val="22"/>
          <w:lang w:val="fr-CA"/>
        </w:rPr>
        <w:t>examen de l</w:t>
      </w:r>
      <w:r w:rsidR="00DF1C84">
        <w:rPr>
          <w:snapToGrid w:val="0"/>
          <w:kern w:val="22"/>
          <w:sz w:val="22"/>
          <w:szCs w:val="22"/>
          <w:lang w:val="fr-CA"/>
        </w:rPr>
        <w:t>’</w:t>
      </w:r>
      <w:r w:rsidRPr="007A46C0">
        <w:rPr>
          <w:snapToGrid w:val="0"/>
          <w:kern w:val="22"/>
          <w:sz w:val="22"/>
          <w:szCs w:val="22"/>
          <w:lang w:val="fr-CA"/>
        </w:rPr>
        <w:t xml:space="preserve">application   </w:t>
      </w:r>
      <w:r w:rsidR="002B1D67" w:rsidRPr="007A46C0">
        <w:rPr>
          <w:snapToGrid w:val="0"/>
          <w:kern w:val="22"/>
          <w:sz w:val="22"/>
          <w:szCs w:val="22"/>
          <w:lang w:val="fr-CA"/>
        </w:rPr>
        <w:t xml:space="preserve"> </w:t>
      </w:r>
      <w:r w:rsidR="003203BE" w:rsidRPr="007A46C0">
        <w:rPr>
          <w:snapToGrid w:val="0"/>
          <w:kern w:val="22"/>
          <w:sz w:val="22"/>
          <w:szCs w:val="22"/>
          <w:lang w:val="fr-CA"/>
        </w:rPr>
        <w:t xml:space="preserve">Progress in </w:t>
      </w:r>
      <w:r w:rsidR="000C237B" w:rsidRPr="007A46C0">
        <w:rPr>
          <w:snapToGrid w:val="0"/>
          <w:kern w:val="22"/>
          <w:sz w:val="22"/>
          <w:szCs w:val="22"/>
          <w:lang w:val="fr-CA"/>
        </w:rPr>
        <w:t xml:space="preserve">mechanisms for </w:t>
      </w:r>
      <w:r w:rsidR="003203BE" w:rsidRPr="007A46C0">
        <w:rPr>
          <w:snapToGrid w:val="0"/>
          <w:kern w:val="22"/>
          <w:sz w:val="22"/>
          <w:szCs w:val="22"/>
          <w:lang w:val="fr-CA"/>
        </w:rPr>
        <w:t>review of implementation</w:t>
      </w:r>
    </w:p>
    <w:p w:rsidR="003203BE" w:rsidRPr="007A46C0" w:rsidRDefault="00A8016F" w:rsidP="00A8016F">
      <w:pPr>
        <w:pStyle w:val="Para1"/>
        <w:numPr>
          <w:ilvl w:val="0"/>
          <w:numId w:val="13"/>
        </w:numPr>
        <w:suppressLineNumbers/>
        <w:tabs>
          <w:tab w:val="clear" w:pos="360"/>
          <w:tab w:val="num" w:pos="720"/>
        </w:tabs>
        <w:suppressAutoHyphens/>
        <w:spacing w:before="120"/>
        <w:jc w:val="both"/>
        <w:rPr>
          <w:kern w:val="22"/>
          <w:sz w:val="22"/>
          <w:szCs w:val="22"/>
          <w:lang w:val="fr-CA"/>
        </w:rPr>
      </w:pPr>
      <w:r>
        <w:rPr>
          <w:kern w:val="22"/>
          <w:sz w:val="22"/>
          <w:szCs w:val="22"/>
          <w:lang w:val="fr-CA"/>
        </w:rPr>
        <w:t xml:space="preserve">La présente section examine </w:t>
      </w:r>
      <w:r w:rsidR="00DE2A00" w:rsidRPr="007A46C0">
        <w:rPr>
          <w:kern w:val="22"/>
          <w:sz w:val="22"/>
          <w:szCs w:val="22"/>
          <w:lang w:val="fr-CA"/>
        </w:rPr>
        <w:t>la manière dont les ajustem</w:t>
      </w:r>
      <w:r>
        <w:rPr>
          <w:kern w:val="22"/>
          <w:sz w:val="22"/>
          <w:szCs w:val="22"/>
          <w:lang w:val="fr-CA"/>
        </w:rPr>
        <w:t xml:space="preserve">ents au format de présentation </w:t>
      </w:r>
      <w:r w:rsidR="00DE2A00" w:rsidRPr="007A46C0">
        <w:rPr>
          <w:kern w:val="22"/>
          <w:sz w:val="22"/>
          <w:szCs w:val="22"/>
          <w:lang w:val="fr-CA"/>
        </w:rPr>
        <w:t>des rapports nationaux et les avancées dans l</w:t>
      </w:r>
      <w:r w:rsidR="00DF1C84">
        <w:rPr>
          <w:kern w:val="22"/>
          <w:sz w:val="22"/>
          <w:szCs w:val="22"/>
          <w:lang w:val="fr-CA"/>
        </w:rPr>
        <w:t>’</w:t>
      </w:r>
      <w:r w:rsidR="00DE2A00" w:rsidRPr="007A46C0">
        <w:rPr>
          <w:kern w:val="22"/>
          <w:sz w:val="22"/>
          <w:szCs w:val="22"/>
          <w:lang w:val="fr-CA"/>
        </w:rPr>
        <w:t>analyse des rapports nationaux et la visualisation ont contribué au renforcement du mécanisme d</w:t>
      </w:r>
      <w:r w:rsidR="00DF1C84">
        <w:rPr>
          <w:kern w:val="22"/>
          <w:sz w:val="22"/>
          <w:szCs w:val="22"/>
          <w:lang w:val="fr-CA"/>
        </w:rPr>
        <w:t>’</w:t>
      </w:r>
      <w:r w:rsidR="00DE2A00" w:rsidRPr="007A46C0">
        <w:rPr>
          <w:kern w:val="22"/>
          <w:sz w:val="22"/>
          <w:szCs w:val="22"/>
          <w:lang w:val="fr-CA"/>
        </w:rPr>
        <w:t xml:space="preserve">examen de la Convention. </w:t>
      </w:r>
      <w:r w:rsidR="002A0E45" w:rsidRPr="007A46C0">
        <w:rPr>
          <w:kern w:val="22"/>
          <w:sz w:val="22"/>
          <w:szCs w:val="22"/>
          <w:lang w:val="fr-CA"/>
        </w:rPr>
        <w:t>Elle examine également les progrès accomplis dans la mise en œuvre de la phase pilote du mécanisme d</w:t>
      </w:r>
      <w:r w:rsidR="00DF1C84">
        <w:rPr>
          <w:kern w:val="22"/>
          <w:sz w:val="22"/>
          <w:szCs w:val="22"/>
          <w:lang w:val="fr-CA"/>
        </w:rPr>
        <w:t>’</w:t>
      </w:r>
      <w:r w:rsidR="002A0E45" w:rsidRPr="007A46C0">
        <w:rPr>
          <w:kern w:val="22"/>
          <w:sz w:val="22"/>
          <w:szCs w:val="22"/>
          <w:lang w:val="fr-CA"/>
        </w:rPr>
        <w:t>examen facultatif par les pairs et de l</w:t>
      </w:r>
      <w:r w:rsidR="00DF1C84">
        <w:rPr>
          <w:kern w:val="22"/>
          <w:sz w:val="22"/>
          <w:szCs w:val="22"/>
          <w:lang w:val="fr-CA"/>
        </w:rPr>
        <w:t>’</w:t>
      </w:r>
      <w:r w:rsidR="002A0E45" w:rsidRPr="007A46C0">
        <w:rPr>
          <w:kern w:val="22"/>
          <w:sz w:val="22"/>
          <w:szCs w:val="22"/>
          <w:lang w:val="fr-CA"/>
        </w:rPr>
        <w:t>utilisation de l</w:t>
      </w:r>
      <w:r w:rsidR="00DF1C84">
        <w:rPr>
          <w:kern w:val="22"/>
          <w:sz w:val="22"/>
          <w:szCs w:val="22"/>
          <w:lang w:val="fr-CA"/>
        </w:rPr>
        <w:t>’</w:t>
      </w:r>
      <w:r w:rsidR="002A0E45" w:rsidRPr="007A46C0">
        <w:rPr>
          <w:kern w:val="22"/>
          <w:sz w:val="22"/>
          <w:szCs w:val="22"/>
          <w:lang w:val="fr-CA"/>
        </w:rPr>
        <w:t>outil de suivi des décisions pour faciliter l</w:t>
      </w:r>
      <w:r w:rsidR="00DF1C84">
        <w:rPr>
          <w:kern w:val="22"/>
          <w:sz w:val="22"/>
          <w:szCs w:val="22"/>
          <w:lang w:val="fr-CA"/>
        </w:rPr>
        <w:t>’</w:t>
      </w:r>
      <w:r w:rsidR="002A0E45" w:rsidRPr="007A46C0">
        <w:rPr>
          <w:kern w:val="22"/>
          <w:sz w:val="22"/>
          <w:szCs w:val="22"/>
          <w:lang w:val="fr-CA"/>
        </w:rPr>
        <w:t>examen de la mise en œuvre des décisions. En plus de ces mécanismes au titre de la Convention, d</w:t>
      </w:r>
      <w:r w:rsidR="00DF1C84">
        <w:rPr>
          <w:kern w:val="22"/>
          <w:sz w:val="22"/>
          <w:szCs w:val="22"/>
          <w:lang w:val="fr-CA"/>
        </w:rPr>
        <w:t>’</w:t>
      </w:r>
      <w:r w:rsidR="002A0E45" w:rsidRPr="007A46C0">
        <w:rPr>
          <w:kern w:val="22"/>
          <w:sz w:val="22"/>
          <w:szCs w:val="22"/>
          <w:lang w:val="fr-CA"/>
        </w:rPr>
        <w:t>autres approches évaluant l</w:t>
      </w:r>
      <w:r w:rsidR="00DF1C84">
        <w:rPr>
          <w:kern w:val="22"/>
          <w:sz w:val="22"/>
          <w:szCs w:val="22"/>
          <w:lang w:val="fr-CA"/>
        </w:rPr>
        <w:t>’</w:t>
      </w:r>
      <w:r w:rsidR="002A0E45" w:rsidRPr="007A46C0">
        <w:rPr>
          <w:kern w:val="22"/>
          <w:sz w:val="22"/>
          <w:szCs w:val="22"/>
          <w:lang w:val="fr-CA"/>
        </w:rPr>
        <w:t xml:space="preserve">efficacité des mesures </w:t>
      </w:r>
      <w:r w:rsidR="00017681" w:rsidRPr="007A46C0">
        <w:rPr>
          <w:kern w:val="22"/>
          <w:sz w:val="22"/>
          <w:szCs w:val="22"/>
          <w:lang w:val="fr-CA"/>
        </w:rPr>
        <w:t>sont adoptées sur la base des vérifications.</w:t>
      </w:r>
    </w:p>
    <w:p w:rsidR="00F55C07" w:rsidRPr="007A46C0" w:rsidRDefault="00017681" w:rsidP="0065081C">
      <w:pPr>
        <w:pStyle w:val="Para1"/>
        <w:suppressLineNumbers/>
        <w:suppressAutoHyphens/>
        <w:spacing w:before="120"/>
        <w:rPr>
          <w:i/>
          <w:kern w:val="22"/>
          <w:sz w:val="22"/>
          <w:szCs w:val="22"/>
          <w:lang w:val="fr-CA"/>
        </w:rPr>
      </w:pPr>
      <w:r w:rsidRPr="007A46C0">
        <w:rPr>
          <w:i/>
          <w:kern w:val="22"/>
          <w:sz w:val="22"/>
          <w:szCs w:val="22"/>
          <w:lang w:val="fr-CA"/>
        </w:rPr>
        <w:t>Rapports nationaux</w:t>
      </w:r>
    </w:p>
    <w:p w:rsidR="0065081C" w:rsidRPr="007A46C0" w:rsidRDefault="00017681" w:rsidP="003349A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Les rapports nationaux au titre de la Convention représentent le principal mécanisme</w:t>
      </w:r>
      <w:r w:rsidR="003A49A9" w:rsidRPr="007A46C0">
        <w:rPr>
          <w:kern w:val="22"/>
          <w:sz w:val="22"/>
          <w:szCs w:val="22"/>
          <w:lang w:val="fr-CA"/>
        </w:rPr>
        <w:t xml:space="preserve"> qui permet à la Conférence des Parties et à ses organes subsidiaires d</w:t>
      </w:r>
      <w:r w:rsidR="00DF1C84">
        <w:rPr>
          <w:kern w:val="22"/>
          <w:sz w:val="22"/>
          <w:szCs w:val="22"/>
          <w:lang w:val="fr-CA"/>
        </w:rPr>
        <w:t>’</w:t>
      </w:r>
      <w:r w:rsidR="003A49A9" w:rsidRPr="007A46C0">
        <w:rPr>
          <w:kern w:val="22"/>
          <w:sz w:val="22"/>
          <w:szCs w:val="22"/>
          <w:lang w:val="fr-CA"/>
        </w:rPr>
        <w:t>examiner les progrès accomplis dans la mise en œuvre. Ils sont fondés sur l</w:t>
      </w:r>
      <w:r w:rsidR="00DF1C84">
        <w:rPr>
          <w:kern w:val="22"/>
          <w:sz w:val="22"/>
          <w:szCs w:val="22"/>
          <w:lang w:val="fr-CA"/>
        </w:rPr>
        <w:t>’</w:t>
      </w:r>
      <w:r w:rsidR="003A49A9" w:rsidRPr="007A46C0">
        <w:rPr>
          <w:kern w:val="22"/>
          <w:sz w:val="22"/>
          <w:szCs w:val="22"/>
          <w:lang w:val="fr-CA"/>
        </w:rPr>
        <w:t>examen des cadres juridiques et institutionnels, des progrès accomplis dans la réalisation d</w:t>
      </w:r>
      <w:r w:rsidR="00DF1C84">
        <w:rPr>
          <w:kern w:val="22"/>
          <w:sz w:val="22"/>
          <w:szCs w:val="22"/>
          <w:lang w:val="fr-CA"/>
        </w:rPr>
        <w:t>’</w:t>
      </w:r>
      <w:r w:rsidR="003A49A9" w:rsidRPr="007A46C0">
        <w:rPr>
          <w:kern w:val="22"/>
          <w:sz w:val="22"/>
          <w:szCs w:val="22"/>
          <w:lang w:val="fr-CA"/>
        </w:rPr>
        <w:t>objectifs fixés, et des obstacles rencontrés. et ils permettent de se prononcer sur la mesure dans laquelle les stratégies et plans d</w:t>
      </w:r>
      <w:r w:rsidR="00DF1C84">
        <w:rPr>
          <w:kern w:val="22"/>
          <w:sz w:val="22"/>
          <w:szCs w:val="22"/>
          <w:lang w:val="fr-CA"/>
        </w:rPr>
        <w:t>’</w:t>
      </w:r>
      <w:r w:rsidR="003A49A9" w:rsidRPr="007A46C0">
        <w:rPr>
          <w:kern w:val="22"/>
          <w:sz w:val="22"/>
          <w:szCs w:val="22"/>
          <w:lang w:val="fr-CA"/>
        </w:rPr>
        <w:t>action nationaux pour la biodiversité ont été mis en œuvre par chaque pays.</w:t>
      </w:r>
    </w:p>
    <w:p w:rsidR="0065081C" w:rsidRPr="007A46C0" w:rsidRDefault="00F27A35" w:rsidP="00763F93">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 xml:space="preserve">Dans la décision XIII/27, la Conférence des Parties a adopté les lignes directrices, y compris les modèles de rapports, pour le sixième rapport national. Le sixième rapport national est axé sur </w:t>
      </w:r>
      <w:r w:rsidRPr="007A46C0">
        <w:rPr>
          <w:noProof/>
          <w:kern w:val="22"/>
          <w:sz w:val="22"/>
          <w:szCs w:val="22"/>
          <w:lang w:val="fr-CA"/>
        </w:rPr>
        <w:t>l</w:t>
      </w:r>
      <w:r w:rsidR="00DF1C84">
        <w:rPr>
          <w:noProof/>
          <w:kern w:val="22"/>
          <w:sz w:val="22"/>
          <w:szCs w:val="22"/>
          <w:lang w:val="fr-CA"/>
        </w:rPr>
        <w:t>’</w:t>
      </w:r>
      <w:r w:rsidRPr="007A46C0">
        <w:rPr>
          <w:noProof/>
          <w:kern w:val="22"/>
          <w:sz w:val="22"/>
          <w:szCs w:val="22"/>
          <w:lang w:val="fr-CA"/>
        </w:rPr>
        <w:t>auto</w:t>
      </w:r>
      <w:r w:rsidR="00DF1C84">
        <w:rPr>
          <w:noProof/>
          <w:kern w:val="22"/>
          <w:sz w:val="22"/>
          <w:szCs w:val="22"/>
          <w:lang w:val="fr-CA"/>
        </w:rPr>
        <w:noBreakHyphen/>
      </w:r>
      <w:r w:rsidRPr="007A46C0">
        <w:rPr>
          <w:noProof/>
          <w:kern w:val="22"/>
          <w:sz w:val="22"/>
          <w:szCs w:val="22"/>
          <w:lang w:val="fr-CA"/>
        </w:rPr>
        <w:t>évaluation des progrès, en termes de résultats, en vue de la réalisation d</w:t>
      </w:r>
      <w:r w:rsidR="00763F93" w:rsidRPr="007A46C0">
        <w:rPr>
          <w:noProof/>
          <w:kern w:val="22"/>
          <w:sz w:val="22"/>
          <w:szCs w:val="22"/>
          <w:lang w:val="fr-CA"/>
        </w:rPr>
        <w:t xml:space="preserve">es </w:t>
      </w:r>
      <w:r w:rsidRPr="007A46C0">
        <w:rPr>
          <w:noProof/>
          <w:kern w:val="22"/>
          <w:sz w:val="22"/>
          <w:szCs w:val="22"/>
          <w:lang w:val="fr-CA"/>
        </w:rPr>
        <w:t>objectifs nationaux</w:t>
      </w:r>
      <w:r w:rsidR="00763F93" w:rsidRPr="007A46C0">
        <w:rPr>
          <w:noProof/>
          <w:kern w:val="22"/>
          <w:sz w:val="22"/>
          <w:szCs w:val="22"/>
          <w:lang w:val="fr-CA"/>
        </w:rPr>
        <w:t>,</w:t>
      </w:r>
      <w:r w:rsidRPr="007A46C0">
        <w:rPr>
          <w:noProof/>
          <w:kern w:val="22"/>
          <w:sz w:val="22"/>
          <w:szCs w:val="22"/>
          <w:lang w:val="fr-CA"/>
        </w:rPr>
        <w:t xml:space="preserve"> et sur la contribution nationale</w:t>
      </w:r>
      <w:r w:rsidRPr="007A46C0">
        <w:rPr>
          <w:kern w:val="22"/>
          <w:sz w:val="22"/>
          <w:szCs w:val="22"/>
          <w:lang w:val="fr-CA"/>
        </w:rPr>
        <w:t xml:space="preserve"> à la réalisation des objectifs mondiaux pour la biodiversité, </w:t>
      </w:r>
      <w:r w:rsidR="00763F93" w:rsidRPr="007A46C0">
        <w:rPr>
          <w:kern w:val="22"/>
          <w:sz w:val="22"/>
          <w:szCs w:val="22"/>
          <w:lang w:val="fr-CA"/>
        </w:rPr>
        <w:t xml:space="preserve">le tout </w:t>
      </w:r>
      <w:r w:rsidRPr="007A46C0">
        <w:rPr>
          <w:kern w:val="22"/>
          <w:sz w:val="22"/>
          <w:szCs w:val="22"/>
          <w:lang w:val="fr-CA"/>
        </w:rPr>
        <w:t>étayé par des données techniques probantes</w:t>
      </w:r>
      <w:r w:rsidR="00763F93" w:rsidRPr="007A46C0">
        <w:rPr>
          <w:kern w:val="22"/>
          <w:sz w:val="22"/>
          <w:szCs w:val="22"/>
          <w:lang w:val="fr-CA"/>
        </w:rPr>
        <w:t>, ce qui comprend le recours à des indicateurs, un examen des mesures clés prises en vue de la réalisation des objectifs et stratégies nationaux, et un examen de l</w:t>
      </w:r>
      <w:r w:rsidR="00DF1C84">
        <w:rPr>
          <w:kern w:val="22"/>
          <w:sz w:val="22"/>
          <w:szCs w:val="22"/>
          <w:lang w:val="fr-CA"/>
        </w:rPr>
        <w:t>’</w:t>
      </w:r>
      <w:r w:rsidR="00763F93" w:rsidRPr="007A46C0">
        <w:rPr>
          <w:kern w:val="22"/>
          <w:sz w:val="22"/>
          <w:szCs w:val="22"/>
          <w:lang w:val="fr-CA"/>
        </w:rPr>
        <w:t>efficacité de ces mesures pour atteindre les résultats escomptés ainsi que l</w:t>
      </w:r>
      <w:r w:rsidR="00DF1C84">
        <w:rPr>
          <w:kern w:val="22"/>
          <w:sz w:val="22"/>
          <w:szCs w:val="22"/>
          <w:lang w:val="fr-CA"/>
        </w:rPr>
        <w:t>’</w:t>
      </w:r>
      <w:r w:rsidR="00763F93" w:rsidRPr="007A46C0">
        <w:rPr>
          <w:kern w:val="22"/>
          <w:sz w:val="22"/>
          <w:szCs w:val="22"/>
          <w:lang w:val="fr-CA"/>
        </w:rPr>
        <w:t>identification des obstacles et des besoins en matière de soutien.</w:t>
      </w:r>
    </w:p>
    <w:p w:rsidR="0065081C" w:rsidRPr="007A46C0" w:rsidRDefault="00763F93" w:rsidP="003349A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S</w:t>
      </w:r>
      <w:r w:rsidR="00DF1C84">
        <w:rPr>
          <w:kern w:val="22"/>
          <w:sz w:val="22"/>
          <w:szCs w:val="22"/>
          <w:lang w:val="fr-CA"/>
        </w:rPr>
        <w:t>’</w:t>
      </w:r>
      <w:r w:rsidRPr="007A46C0">
        <w:rPr>
          <w:kern w:val="22"/>
          <w:sz w:val="22"/>
          <w:szCs w:val="22"/>
          <w:lang w:val="fr-CA"/>
        </w:rPr>
        <w:t>agissant des rapports nationaux en tant que base pour renforcer les éléments d</w:t>
      </w:r>
      <w:r w:rsidR="00DF1C84">
        <w:rPr>
          <w:kern w:val="22"/>
          <w:sz w:val="22"/>
          <w:szCs w:val="22"/>
          <w:lang w:val="fr-CA"/>
        </w:rPr>
        <w:t>’</w:t>
      </w:r>
      <w:r w:rsidRPr="007A46C0">
        <w:rPr>
          <w:kern w:val="22"/>
          <w:sz w:val="22"/>
          <w:szCs w:val="22"/>
          <w:lang w:val="fr-CA"/>
        </w:rPr>
        <w:t>un mécanisme d</w:t>
      </w:r>
      <w:r w:rsidR="00DF1C84">
        <w:rPr>
          <w:kern w:val="22"/>
          <w:sz w:val="22"/>
          <w:szCs w:val="22"/>
          <w:lang w:val="fr-CA"/>
        </w:rPr>
        <w:t>’</w:t>
      </w:r>
      <w:r w:rsidRPr="007A46C0">
        <w:rPr>
          <w:kern w:val="22"/>
          <w:sz w:val="22"/>
          <w:szCs w:val="22"/>
          <w:lang w:val="fr-CA"/>
        </w:rPr>
        <w:t xml:space="preserve">examen, les </w:t>
      </w:r>
      <w:r w:rsidR="002D7E34" w:rsidRPr="007A46C0">
        <w:rPr>
          <w:kern w:val="22"/>
          <w:sz w:val="22"/>
          <w:szCs w:val="22"/>
          <w:lang w:val="fr-CA"/>
        </w:rPr>
        <w:t>développements suivant</w:t>
      </w:r>
      <w:r w:rsidRPr="007A46C0">
        <w:rPr>
          <w:kern w:val="22"/>
          <w:sz w:val="22"/>
          <w:szCs w:val="22"/>
          <w:lang w:val="fr-CA"/>
        </w:rPr>
        <w:t>s sont particulièrement dignes d</w:t>
      </w:r>
      <w:r w:rsidR="00DF1C84">
        <w:rPr>
          <w:kern w:val="22"/>
          <w:sz w:val="22"/>
          <w:szCs w:val="22"/>
          <w:lang w:val="fr-CA"/>
        </w:rPr>
        <w:t>’</w:t>
      </w:r>
      <w:r w:rsidR="003349A9">
        <w:rPr>
          <w:kern w:val="22"/>
          <w:sz w:val="22"/>
          <w:szCs w:val="22"/>
          <w:lang w:val="fr-CA"/>
        </w:rPr>
        <w:t>intérêt :</w:t>
      </w:r>
    </w:p>
    <w:p w:rsidR="0065081C" w:rsidRPr="007A46C0" w:rsidRDefault="00763F93" w:rsidP="003349A9">
      <w:pPr>
        <w:numPr>
          <w:ilvl w:val="0"/>
          <w:numId w:val="20"/>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Les Parties sont invitées à examiner l</w:t>
      </w:r>
      <w:r w:rsidR="00DF1C84">
        <w:rPr>
          <w:snapToGrid w:val="0"/>
          <w:kern w:val="22"/>
          <w:sz w:val="22"/>
          <w:szCs w:val="22"/>
          <w:lang w:val="fr-CA"/>
        </w:rPr>
        <w:t>’</w:t>
      </w:r>
      <w:r w:rsidRPr="007A46C0">
        <w:rPr>
          <w:snapToGrid w:val="0"/>
          <w:kern w:val="22"/>
          <w:sz w:val="22"/>
          <w:szCs w:val="22"/>
          <w:lang w:val="fr-CA"/>
        </w:rPr>
        <w:t xml:space="preserve">efficacité des mesures clés </w:t>
      </w:r>
      <w:r w:rsidRPr="007A46C0">
        <w:rPr>
          <w:kern w:val="22"/>
          <w:sz w:val="22"/>
          <w:szCs w:val="22"/>
          <w:lang w:val="fr-CA"/>
        </w:rPr>
        <w:t>en vue de la réalisation de leurs SPANB et les obstacles rencontrés;</w:t>
      </w:r>
    </w:p>
    <w:p w:rsidR="0065081C" w:rsidRPr="007A46C0" w:rsidRDefault="00763F93" w:rsidP="003349A9">
      <w:pPr>
        <w:numPr>
          <w:ilvl w:val="0"/>
          <w:numId w:val="20"/>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 xml:space="preserve">Les Parties sont invitées à </w:t>
      </w:r>
      <w:r w:rsidR="00FD187B" w:rsidRPr="007A46C0">
        <w:rPr>
          <w:kern w:val="22"/>
          <w:sz w:val="22"/>
          <w:szCs w:val="22"/>
          <w:lang w:val="fr-CA"/>
        </w:rPr>
        <w:t>évaluer</w:t>
      </w:r>
      <w:r w:rsidRPr="007A46C0">
        <w:rPr>
          <w:snapToGrid w:val="0"/>
          <w:kern w:val="22"/>
          <w:sz w:val="22"/>
          <w:szCs w:val="22"/>
          <w:lang w:val="fr-CA"/>
        </w:rPr>
        <w:t xml:space="preserve"> les progrès accomplis dans la réalisation des objectifs nationaux;</w:t>
      </w:r>
    </w:p>
    <w:p w:rsidR="00626213" w:rsidRPr="007A46C0" w:rsidRDefault="00FD187B" w:rsidP="003349A9">
      <w:pPr>
        <w:numPr>
          <w:ilvl w:val="0"/>
          <w:numId w:val="20"/>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Les Parties sont invitées à faire rapport sur les indicateurs ou autres approches adoptées pour évaluer les progrès;</w:t>
      </w:r>
    </w:p>
    <w:p w:rsidR="0065081C" w:rsidRPr="007A46C0" w:rsidRDefault="00FD187B" w:rsidP="003349A9">
      <w:pPr>
        <w:numPr>
          <w:ilvl w:val="0"/>
          <w:numId w:val="20"/>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lastRenderedPageBreak/>
        <w:t>Les Parties sont invitées à évaluer comment les progrès accomplis au niveau national contribuent à la réalisation des objectifs fixés à l</w:t>
      </w:r>
      <w:r w:rsidR="00DF1C84">
        <w:rPr>
          <w:snapToGrid w:val="0"/>
          <w:kern w:val="22"/>
          <w:sz w:val="22"/>
          <w:szCs w:val="22"/>
          <w:lang w:val="fr-CA"/>
        </w:rPr>
        <w:t>’</w:t>
      </w:r>
      <w:r w:rsidRPr="007A46C0">
        <w:rPr>
          <w:snapToGrid w:val="0"/>
          <w:kern w:val="22"/>
          <w:sz w:val="22"/>
          <w:szCs w:val="22"/>
          <w:lang w:val="fr-CA"/>
        </w:rPr>
        <w:t>échelle mondiale;</w:t>
      </w:r>
    </w:p>
    <w:p w:rsidR="00626213" w:rsidRPr="007A46C0" w:rsidRDefault="00FD187B" w:rsidP="003349A9">
      <w:pPr>
        <w:numPr>
          <w:ilvl w:val="0"/>
          <w:numId w:val="20"/>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Les informations transmises par les Parties sont mises à disposition sous forme de cartes à codes de couleurs, qui fournissent une vue rapide de ce qui est rapporté par chaque Partie et facilitent les réactions d</w:t>
      </w:r>
      <w:r w:rsidR="00DF1C84">
        <w:rPr>
          <w:snapToGrid w:val="0"/>
          <w:kern w:val="22"/>
          <w:sz w:val="22"/>
          <w:szCs w:val="22"/>
          <w:lang w:val="fr-CA"/>
        </w:rPr>
        <w:t>’</w:t>
      </w:r>
      <w:r w:rsidRPr="007A46C0">
        <w:rPr>
          <w:snapToGrid w:val="0"/>
          <w:kern w:val="22"/>
          <w:sz w:val="22"/>
          <w:szCs w:val="22"/>
          <w:lang w:val="fr-CA"/>
        </w:rPr>
        <w:t>experts et de la société civile;</w:t>
      </w:r>
    </w:p>
    <w:p w:rsidR="00626213" w:rsidRPr="007A46C0" w:rsidRDefault="002D7E34" w:rsidP="003349A9">
      <w:pPr>
        <w:numPr>
          <w:ilvl w:val="0"/>
          <w:numId w:val="20"/>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L</w:t>
      </w:r>
      <w:r w:rsidR="003B534B" w:rsidRPr="007A46C0">
        <w:rPr>
          <w:snapToGrid w:val="0"/>
          <w:kern w:val="22"/>
          <w:sz w:val="22"/>
          <w:szCs w:val="22"/>
          <w:lang w:val="fr-CA"/>
        </w:rPr>
        <w:t>es informations transmises officiellement en tant que sixième rapport national seront saisies et archivées,</w:t>
      </w:r>
      <w:r w:rsidRPr="007A46C0">
        <w:rPr>
          <w:snapToGrid w:val="0"/>
          <w:kern w:val="22"/>
          <w:sz w:val="22"/>
          <w:szCs w:val="22"/>
          <w:lang w:val="fr-CA"/>
        </w:rPr>
        <w:t xml:space="preserve"> mais</w:t>
      </w:r>
      <w:r w:rsidR="003B534B" w:rsidRPr="007A46C0">
        <w:rPr>
          <w:snapToGrid w:val="0"/>
          <w:kern w:val="22"/>
          <w:sz w:val="22"/>
          <w:szCs w:val="22"/>
          <w:lang w:val="fr-CA"/>
        </w:rPr>
        <w:t xml:space="preserve"> les Parties pourront en tout temps actualiser leurs informations enregistrées antérieurement, y compris </w:t>
      </w:r>
      <w:r w:rsidRPr="007A46C0">
        <w:rPr>
          <w:snapToGrid w:val="0"/>
          <w:kern w:val="22"/>
          <w:sz w:val="22"/>
          <w:szCs w:val="22"/>
          <w:lang w:val="fr-CA"/>
        </w:rPr>
        <w:t>en réponse</w:t>
      </w:r>
      <w:r w:rsidR="003B534B" w:rsidRPr="007A46C0">
        <w:rPr>
          <w:snapToGrid w:val="0"/>
          <w:kern w:val="22"/>
          <w:sz w:val="22"/>
          <w:szCs w:val="22"/>
          <w:lang w:val="fr-CA"/>
        </w:rPr>
        <w:t xml:space="preserve"> à des observations </w:t>
      </w:r>
      <w:r w:rsidR="00ED0B30" w:rsidRPr="007A46C0">
        <w:rPr>
          <w:snapToGrid w:val="0"/>
          <w:kern w:val="22"/>
          <w:sz w:val="22"/>
          <w:szCs w:val="22"/>
          <w:lang w:val="fr-CA"/>
        </w:rPr>
        <w:t>issues</w:t>
      </w:r>
      <w:r w:rsidRPr="007A46C0">
        <w:rPr>
          <w:snapToGrid w:val="0"/>
          <w:kern w:val="22"/>
          <w:sz w:val="22"/>
          <w:szCs w:val="22"/>
          <w:lang w:val="fr-CA"/>
        </w:rPr>
        <w:t xml:space="preserve"> de</w:t>
      </w:r>
      <w:r w:rsidR="00ED0B30" w:rsidRPr="007A46C0">
        <w:rPr>
          <w:snapToGrid w:val="0"/>
          <w:kern w:val="22"/>
          <w:sz w:val="22"/>
          <w:szCs w:val="22"/>
          <w:lang w:val="fr-CA"/>
        </w:rPr>
        <w:t xml:space="preserve"> l</w:t>
      </w:r>
      <w:r w:rsidR="00DF1C84">
        <w:rPr>
          <w:snapToGrid w:val="0"/>
          <w:kern w:val="22"/>
          <w:sz w:val="22"/>
          <w:szCs w:val="22"/>
          <w:lang w:val="fr-CA"/>
        </w:rPr>
        <w:t>’</w:t>
      </w:r>
      <w:r w:rsidR="00ED0B30" w:rsidRPr="007A46C0">
        <w:rPr>
          <w:snapToGrid w:val="0"/>
          <w:kern w:val="22"/>
          <w:sz w:val="22"/>
          <w:szCs w:val="22"/>
          <w:lang w:val="fr-CA"/>
        </w:rPr>
        <w:t>examen par les</w:t>
      </w:r>
      <w:r w:rsidRPr="007A46C0">
        <w:rPr>
          <w:snapToGrid w:val="0"/>
          <w:kern w:val="22"/>
          <w:sz w:val="22"/>
          <w:szCs w:val="22"/>
          <w:lang w:val="fr-CA"/>
        </w:rPr>
        <w:t xml:space="preserve"> pairs ou la société civile.</w:t>
      </w:r>
    </w:p>
    <w:p w:rsidR="00F55C07" w:rsidRPr="007A46C0" w:rsidRDefault="002D7E34" w:rsidP="003349A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Ces dévelo</w:t>
      </w:r>
      <w:r w:rsidRPr="003349A9">
        <w:rPr>
          <w:kern w:val="22"/>
          <w:sz w:val="22"/>
          <w:szCs w:val="22"/>
          <w:lang w:val="fr-CA"/>
        </w:rPr>
        <w:t>ppe</w:t>
      </w:r>
      <w:r w:rsidRPr="007A46C0">
        <w:rPr>
          <w:kern w:val="22"/>
          <w:sz w:val="22"/>
          <w:szCs w:val="22"/>
          <w:lang w:val="fr-CA"/>
        </w:rPr>
        <w:t>ments assurent que les évaluations seront faites par les Parties plutôt qu</w:t>
      </w:r>
      <w:r w:rsidR="00DF1C84">
        <w:rPr>
          <w:kern w:val="22"/>
          <w:sz w:val="22"/>
          <w:szCs w:val="22"/>
          <w:lang w:val="fr-CA"/>
        </w:rPr>
        <w:t>’</w:t>
      </w:r>
      <w:r w:rsidRPr="007A46C0">
        <w:rPr>
          <w:kern w:val="22"/>
          <w:sz w:val="22"/>
          <w:szCs w:val="22"/>
          <w:lang w:val="fr-CA"/>
        </w:rPr>
        <w:t>au moyen de l</w:t>
      </w:r>
      <w:r w:rsidR="00DF1C84">
        <w:rPr>
          <w:kern w:val="22"/>
          <w:sz w:val="22"/>
          <w:szCs w:val="22"/>
          <w:lang w:val="fr-CA"/>
        </w:rPr>
        <w:t>’</w:t>
      </w:r>
      <w:r w:rsidRPr="007A46C0">
        <w:rPr>
          <w:kern w:val="22"/>
          <w:sz w:val="22"/>
          <w:szCs w:val="22"/>
          <w:lang w:val="fr-CA"/>
        </w:rPr>
        <w:t xml:space="preserve">interprétation de textes </w:t>
      </w:r>
      <w:r w:rsidRPr="003349A9">
        <w:rPr>
          <w:kern w:val="22"/>
          <w:sz w:val="22"/>
          <w:szCs w:val="22"/>
          <w:lang w:val="fr-CA"/>
        </w:rPr>
        <w:t>descriptifs par le</w:t>
      </w:r>
      <w:r w:rsidRPr="007A46C0">
        <w:rPr>
          <w:kern w:val="22"/>
          <w:sz w:val="22"/>
          <w:szCs w:val="22"/>
          <w:lang w:val="fr-CA"/>
        </w:rPr>
        <w:t xml:space="preserve"> Secrétariat. Cependant, aucun mécanisme n</w:t>
      </w:r>
      <w:r w:rsidR="00DF1C84">
        <w:rPr>
          <w:kern w:val="22"/>
          <w:sz w:val="22"/>
          <w:szCs w:val="22"/>
          <w:lang w:val="fr-CA"/>
        </w:rPr>
        <w:t>’</w:t>
      </w:r>
      <w:r w:rsidRPr="007A46C0">
        <w:rPr>
          <w:kern w:val="22"/>
          <w:sz w:val="22"/>
          <w:szCs w:val="22"/>
          <w:lang w:val="fr-CA"/>
        </w:rPr>
        <w:t>existe pour l</w:t>
      </w:r>
      <w:r w:rsidR="00DF1C84">
        <w:rPr>
          <w:kern w:val="22"/>
          <w:sz w:val="22"/>
          <w:szCs w:val="22"/>
          <w:lang w:val="fr-CA"/>
        </w:rPr>
        <w:t>’</w:t>
      </w:r>
      <w:r w:rsidRPr="007A46C0">
        <w:rPr>
          <w:kern w:val="22"/>
          <w:sz w:val="22"/>
          <w:szCs w:val="22"/>
          <w:lang w:val="fr-CA"/>
        </w:rPr>
        <w:t xml:space="preserve">examen par les pairs ou </w:t>
      </w:r>
      <w:r w:rsidR="00ED0B30" w:rsidRPr="007A46C0">
        <w:rPr>
          <w:kern w:val="22"/>
          <w:sz w:val="22"/>
          <w:szCs w:val="22"/>
          <w:lang w:val="fr-CA"/>
        </w:rPr>
        <w:t xml:space="preserve">une </w:t>
      </w:r>
      <w:r w:rsidRPr="007A46C0">
        <w:rPr>
          <w:kern w:val="22"/>
          <w:sz w:val="22"/>
          <w:szCs w:val="22"/>
          <w:lang w:val="fr-CA"/>
        </w:rPr>
        <w:t>autre forme de vérification</w:t>
      </w:r>
      <w:r w:rsidR="00ED0B30" w:rsidRPr="007A46C0">
        <w:rPr>
          <w:kern w:val="22"/>
          <w:sz w:val="22"/>
          <w:szCs w:val="22"/>
          <w:lang w:val="fr-CA"/>
        </w:rPr>
        <w:t xml:space="preserve"> de l</w:t>
      </w:r>
      <w:r w:rsidR="00DF1C84">
        <w:rPr>
          <w:kern w:val="22"/>
          <w:sz w:val="22"/>
          <w:szCs w:val="22"/>
          <w:lang w:val="fr-CA"/>
        </w:rPr>
        <w:t>’</w:t>
      </w:r>
      <w:r w:rsidR="00ED0B30" w:rsidRPr="007A46C0">
        <w:rPr>
          <w:kern w:val="22"/>
          <w:sz w:val="22"/>
          <w:szCs w:val="22"/>
          <w:lang w:val="fr-CA"/>
        </w:rPr>
        <w:t>évaluation des progrès rapportée. Par ailleurs, les Parties ont choisi des objectifs nationaux divers, et par conséquent les états d</w:t>
      </w:r>
      <w:r w:rsidR="00DF1C84">
        <w:rPr>
          <w:kern w:val="22"/>
          <w:sz w:val="22"/>
          <w:szCs w:val="22"/>
          <w:lang w:val="fr-CA"/>
        </w:rPr>
        <w:t>’</w:t>
      </w:r>
      <w:r w:rsidR="00ED0B30" w:rsidRPr="007A46C0">
        <w:rPr>
          <w:kern w:val="22"/>
          <w:sz w:val="22"/>
          <w:szCs w:val="22"/>
          <w:lang w:val="fr-CA"/>
        </w:rPr>
        <w:t xml:space="preserve">avancement  ne peuvent pas être agrégés aisément. En outre, les informations sur les obstacles devraient être complémentées par une analyse plus systématique des questions </w:t>
      </w:r>
      <w:r w:rsidR="00ED0B30" w:rsidRPr="007A46C0">
        <w:rPr>
          <w:noProof/>
          <w:kern w:val="22"/>
          <w:sz w:val="22"/>
          <w:szCs w:val="22"/>
          <w:lang w:val="fr-CA"/>
        </w:rPr>
        <w:t>spécifiques sous</w:t>
      </w:r>
      <w:r w:rsidR="00DF1C84">
        <w:rPr>
          <w:noProof/>
          <w:kern w:val="22"/>
          <w:sz w:val="22"/>
          <w:szCs w:val="22"/>
          <w:lang w:val="fr-CA"/>
        </w:rPr>
        <w:noBreakHyphen/>
      </w:r>
      <w:r w:rsidR="00ED0B30" w:rsidRPr="007A46C0">
        <w:rPr>
          <w:noProof/>
          <w:kern w:val="22"/>
          <w:sz w:val="22"/>
          <w:szCs w:val="22"/>
          <w:lang w:val="fr-CA"/>
        </w:rPr>
        <w:t>jacentes</w:t>
      </w:r>
      <w:r w:rsidR="00ED0B30" w:rsidRPr="007A46C0">
        <w:rPr>
          <w:kern w:val="22"/>
          <w:sz w:val="22"/>
          <w:szCs w:val="22"/>
          <w:lang w:val="fr-CA"/>
        </w:rPr>
        <w:t xml:space="preserve"> relatives à la mobilisation de</w:t>
      </w:r>
      <w:r w:rsidR="00262A18" w:rsidRPr="007A46C0">
        <w:rPr>
          <w:kern w:val="22"/>
          <w:sz w:val="22"/>
          <w:szCs w:val="22"/>
          <w:lang w:val="fr-CA"/>
        </w:rPr>
        <w:t>s</w:t>
      </w:r>
      <w:r w:rsidR="00ED0B30" w:rsidRPr="007A46C0">
        <w:rPr>
          <w:kern w:val="22"/>
          <w:sz w:val="22"/>
          <w:szCs w:val="22"/>
          <w:lang w:val="fr-CA"/>
        </w:rPr>
        <w:t xml:space="preserve"> ress</w:t>
      </w:r>
      <w:r w:rsidR="00262A18" w:rsidRPr="007A46C0">
        <w:rPr>
          <w:kern w:val="22"/>
          <w:sz w:val="22"/>
          <w:szCs w:val="22"/>
          <w:lang w:val="fr-CA"/>
        </w:rPr>
        <w:t>ources, au</w:t>
      </w:r>
      <w:r w:rsidR="00ED0B30" w:rsidRPr="007A46C0">
        <w:rPr>
          <w:kern w:val="22"/>
          <w:sz w:val="22"/>
          <w:szCs w:val="22"/>
          <w:lang w:val="fr-CA"/>
        </w:rPr>
        <w:t xml:space="preserve"> mécanisme de financement,</w:t>
      </w:r>
      <w:r w:rsidR="00262A18" w:rsidRPr="007A46C0">
        <w:rPr>
          <w:kern w:val="22"/>
          <w:sz w:val="22"/>
          <w:szCs w:val="22"/>
          <w:lang w:val="fr-CA"/>
        </w:rPr>
        <w:t xml:space="preserve"> et aux</w:t>
      </w:r>
      <w:r w:rsidR="00ED0B30" w:rsidRPr="007A46C0">
        <w:rPr>
          <w:kern w:val="22"/>
          <w:sz w:val="22"/>
          <w:szCs w:val="22"/>
          <w:lang w:val="fr-CA"/>
        </w:rPr>
        <w:t xml:space="preserve"> aspects généraux et stratégiques</w:t>
      </w:r>
      <w:r w:rsidR="00262A18" w:rsidRPr="007A46C0">
        <w:rPr>
          <w:kern w:val="22"/>
          <w:sz w:val="22"/>
          <w:szCs w:val="22"/>
          <w:lang w:val="fr-CA"/>
        </w:rPr>
        <w:t xml:space="preserve"> et aux mécanismes institutionnels pour la coopération technique et scientifique, le mécanisme du centre d</w:t>
      </w:r>
      <w:r w:rsidR="00DF1C84">
        <w:rPr>
          <w:kern w:val="22"/>
          <w:sz w:val="22"/>
          <w:szCs w:val="22"/>
          <w:lang w:val="fr-CA"/>
        </w:rPr>
        <w:t>’</w:t>
      </w:r>
      <w:r w:rsidR="00262A18" w:rsidRPr="007A46C0">
        <w:rPr>
          <w:kern w:val="22"/>
          <w:sz w:val="22"/>
          <w:szCs w:val="22"/>
          <w:lang w:val="fr-CA"/>
        </w:rPr>
        <w:t>échange,</w:t>
      </w:r>
      <w:r w:rsidR="00524481" w:rsidRPr="007A46C0">
        <w:rPr>
          <w:kern w:val="22"/>
          <w:sz w:val="22"/>
          <w:szCs w:val="22"/>
          <w:lang w:val="fr-CA"/>
        </w:rPr>
        <w:t xml:space="preserve"> le renforcement de capacités,</w:t>
      </w:r>
      <w:r w:rsidR="00262A18" w:rsidRPr="007A46C0">
        <w:rPr>
          <w:kern w:val="22"/>
          <w:sz w:val="22"/>
          <w:szCs w:val="22"/>
          <w:lang w:val="fr-CA"/>
        </w:rPr>
        <w:t xml:space="preserve"> le transfert et la communication de technologie</w:t>
      </w:r>
      <w:r w:rsidR="00524481" w:rsidRPr="007A46C0">
        <w:rPr>
          <w:kern w:val="22"/>
          <w:sz w:val="22"/>
          <w:szCs w:val="22"/>
          <w:lang w:val="fr-CA"/>
        </w:rPr>
        <w:t>, l</w:t>
      </w:r>
      <w:r w:rsidR="00DF1C84">
        <w:rPr>
          <w:kern w:val="22"/>
          <w:sz w:val="22"/>
          <w:szCs w:val="22"/>
          <w:lang w:val="fr-CA"/>
        </w:rPr>
        <w:t>’</w:t>
      </w:r>
      <w:r w:rsidR="00524481" w:rsidRPr="007A46C0">
        <w:rPr>
          <w:kern w:val="22"/>
          <w:sz w:val="22"/>
          <w:szCs w:val="22"/>
          <w:lang w:val="fr-CA"/>
        </w:rPr>
        <w:t>éducation et la sensibilisation du public. Il convient d</w:t>
      </w:r>
      <w:r w:rsidR="00DF1C84">
        <w:rPr>
          <w:kern w:val="22"/>
          <w:sz w:val="22"/>
          <w:szCs w:val="22"/>
          <w:lang w:val="fr-CA"/>
        </w:rPr>
        <w:t>’</w:t>
      </w:r>
      <w:r w:rsidR="00524481" w:rsidRPr="007A46C0">
        <w:rPr>
          <w:kern w:val="22"/>
          <w:sz w:val="22"/>
          <w:szCs w:val="22"/>
          <w:lang w:val="fr-CA"/>
        </w:rPr>
        <w:t>aborder ces lacunes ou limites pour faire avancer le mécanisme d</w:t>
      </w:r>
      <w:r w:rsidR="00DF1C84">
        <w:rPr>
          <w:kern w:val="22"/>
          <w:sz w:val="22"/>
          <w:szCs w:val="22"/>
          <w:lang w:val="fr-CA"/>
        </w:rPr>
        <w:t>’</w:t>
      </w:r>
      <w:r w:rsidR="00524481" w:rsidRPr="007A46C0">
        <w:rPr>
          <w:kern w:val="22"/>
          <w:sz w:val="22"/>
          <w:szCs w:val="22"/>
          <w:lang w:val="fr-CA"/>
        </w:rPr>
        <w:t>examen</w:t>
      </w:r>
      <w:r w:rsidR="00ED0B30" w:rsidRPr="007A46C0">
        <w:rPr>
          <w:kern w:val="22"/>
          <w:sz w:val="22"/>
          <w:szCs w:val="22"/>
          <w:lang w:val="fr-CA"/>
        </w:rPr>
        <w:t xml:space="preserve"> </w:t>
      </w:r>
      <w:r w:rsidR="00524481" w:rsidRPr="007A46C0">
        <w:rPr>
          <w:kern w:val="22"/>
          <w:sz w:val="22"/>
          <w:szCs w:val="22"/>
          <w:lang w:val="fr-CA"/>
        </w:rPr>
        <w:t>de la Convention.</w:t>
      </w:r>
    </w:p>
    <w:p w:rsidR="00642E5B" w:rsidRPr="007A46C0" w:rsidRDefault="00524481" w:rsidP="003349A9">
      <w:pPr>
        <w:pStyle w:val="Para1"/>
        <w:keepNext/>
        <w:suppressLineNumbers/>
        <w:suppressAutoHyphens/>
        <w:spacing w:before="120"/>
        <w:rPr>
          <w:i/>
          <w:kern w:val="22"/>
          <w:sz w:val="22"/>
          <w:szCs w:val="22"/>
          <w:lang w:val="fr-CA"/>
        </w:rPr>
      </w:pPr>
      <w:r w:rsidRPr="007A46C0">
        <w:rPr>
          <w:i/>
          <w:kern w:val="22"/>
          <w:sz w:val="22"/>
          <w:szCs w:val="22"/>
          <w:lang w:val="fr-CA"/>
        </w:rPr>
        <w:t>Examen par les pairs volontaire</w:t>
      </w:r>
    </w:p>
    <w:p w:rsidR="00642E5B" w:rsidRPr="007A46C0" w:rsidRDefault="00524481" w:rsidP="003349A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Le processus d</w:t>
      </w:r>
      <w:r w:rsidR="00DF1C84">
        <w:rPr>
          <w:kern w:val="22"/>
          <w:sz w:val="22"/>
          <w:szCs w:val="22"/>
          <w:lang w:val="fr-CA"/>
        </w:rPr>
        <w:t>’</w:t>
      </w:r>
      <w:r w:rsidRPr="007A46C0">
        <w:rPr>
          <w:kern w:val="22"/>
          <w:sz w:val="22"/>
          <w:szCs w:val="22"/>
          <w:lang w:val="fr-CA"/>
        </w:rPr>
        <w:t>examen par les pairs volontaire cherche à aider les Parties à renforcer leurs capacités individuelles et collectives pour mettre plus effica</w:t>
      </w:r>
      <w:r w:rsidR="003349A9">
        <w:rPr>
          <w:kern w:val="22"/>
          <w:sz w:val="22"/>
          <w:szCs w:val="22"/>
          <w:lang w:val="fr-CA"/>
        </w:rPr>
        <w:t>cement en œuvre la Convention :</w:t>
      </w:r>
    </w:p>
    <w:p w:rsidR="00642E5B" w:rsidRPr="007A46C0" w:rsidRDefault="00524481" w:rsidP="003349A9">
      <w:pPr>
        <w:numPr>
          <w:ilvl w:val="0"/>
          <w:numId w:val="18"/>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En évaluant l</w:t>
      </w:r>
      <w:r w:rsidR="00DF1C84">
        <w:rPr>
          <w:snapToGrid w:val="0"/>
          <w:kern w:val="22"/>
          <w:sz w:val="22"/>
          <w:szCs w:val="22"/>
          <w:lang w:val="fr-CA"/>
        </w:rPr>
        <w:t>’</w:t>
      </w:r>
      <w:r w:rsidRPr="007A46C0">
        <w:rPr>
          <w:snapToGrid w:val="0"/>
          <w:kern w:val="22"/>
          <w:sz w:val="22"/>
          <w:szCs w:val="22"/>
          <w:lang w:val="fr-CA"/>
        </w:rPr>
        <w:t>élaboration et la mise en œuvre de stratégies et plans d</w:t>
      </w:r>
      <w:r w:rsidR="00DF1C84">
        <w:rPr>
          <w:snapToGrid w:val="0"/>
          <w:kern w:val="22"/>
          <w:sz w:val="22"/>
          <w:szCs w:val="22"/>
          <w:lang w:val="fr-CA"/>
        </w:rPr>
        <w:t>’</w:t>
      </w:r>
      <w:r w:rsidRPr="007A46C0">
        <w:rPr>
          <w:snapToGrid w:val="0"/>
          <w:kern w:val="22"/>
          <w:sz w:val="22"/>
          <w:szCs w:val="22"/>
          <w:lang w:val="fr-CA"/>
        </w:rPr>
        <w:t>action nationaux pour la biodiversité dans le cadre du Plan stratégique 2011</w:t>
      </w:r>
      <w:r w:rsidR="00DF1C84">
        <w:rPr>
          <w:snapToGrid w:val="0"/>
          <w:kern w:val="22"/>
          <w:sz w:val="22"/>
          <w:szCs w:val="22"/>
          <w:lang w:val="fr-CA"/>
        </w:rPr>
        <w:noBreakHyphen/>
      </w:r>
      <w:r w:rsidRPr="007A46C0">
        <w:rPr>
          <w:snapToGrid w:val="0"/>
          <w:kern w:val="22"/>
          <w:sz w:val="22"/>
          <w:szCs w:val="22"/>
          <w:lang w:val="fr-CA"/>
        </w:rPr>
        <w:t>2020 pour la diversité biologique et en formulant</w:t>
      </w:r>
      <w:r w:rsidR="006B4ADD" w:rsidRPr="007A46C0">
        <w:rPr>
          <w:snapToGrid w:val="0"/>
          <w:kern w:val="22"/>
          <w:sz w:val="22"/>
          <w:szCs w:val="22"/>
          <w:lang w:val="fr-CA"/>
        </w:rPr>
        <w:t xml:space="preserve"> des recommandations spécifiques pour les Parties examinées;</w:t>
      </w:r>
    </w:p>
    <w:p w:rsidR="00642E5B" w:rsidRPr="007A46C0" w:rsidRDefault="006B4ADD" w:rsidP="003349A9">
      <w:pPr>
        <w:numPr>
          <w:ilvl w:val="0"/>
          <w:numId w:val="18"/>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En fournissant des occasions d</w:t>
      </w:r>
      <w:r w:rsidR="00DF1C84">
        <w:rPr>
          <w:snapToGrid w:val="0"/>
          <w:kern w:val="22"/>
          <w:sz w:val="22"/>
          <w:szCs w:val="22"/>
          <w:lang w:val="fr-CA"/>
        </w:rPr>
        <w:t>’</w:t>
      </w:r>
      <w:r w:rsidRPr="007A46C0">
        <w:rPr>
          <w:snapToGrid w:val="0"/>
          <w:kern w:val="22"/>
          <w:sz w:val="22"/>
          <w:szCs w:val="22"/>
          <w:lang w:val="fr-CA"/>
        </w:rPr>
        <w:t>apprentissage par les pairs pour les Parties directement concernées et d</w:t>
      </w:r>
      <w:r w:rsidR="00DF1C84">
        <w:rPr>
          <w:snapToGrid w:val="0"/>
          <w:kern w:val="22"/>
          <w:sz w:val="22"/>
          <w:szCs w:val="22"/>
          <w:lang w:val="fr-CA"/>
        </w:rPr>
        <w:t>’</w:t>
      </w:r>
      <w:r w:rsidRPr="007A46C0">
        <w:rPr>
          <w:snapToGrid w:val="0"/>
          <w:kern w:val="22"/>
          <w:sz w:val="22"/>
          <w:szCs w:val="22"/>
          <w:lang w:val="fr-CA"/>
        </w:rPr>
        <w:t>autres Parties;</w:t>
      </w:r>
    </w:p>
    <w:p w:rsidR="00642E5B" w:rsidRPr="007A46C0" w:rsidRDefault="006B4ADD" w:rsidP="003349A9">
      <w:pPr>
        <w:numPr>
          <w:ilvl w:val="0"/>
          <w:numId w:val="18"/>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En renforçant la transparence et la responsabilité pour l</w:t>
      </w:r>
      <w:r w:rsidR="00DF1C84">
        <w:rPr>
          <w:snapToGrid w:val="0"/>
          <w:kern w:val="22"/>
          <w:sz w:val="22"/>
          <w:szCs w:val="22"/>
          <w:lang w:val="fr-CA"/>
        </w:rPr>
        <w:t>’</w:t>
      </w:r>
      <w:r w:rsidRPr="007A46C0">
        <w:rPr>
          <w:snapToGrid w:val="0"/>
          <w:kern w:val="22"/>
          <w:sz w:val="22"/>
          <w:szCs w:val="22"/>
          <w:lang w:val="fr-CA"/>
        </w:rPr>
        <w:t>élaboration et la mise en œuvre des stratégies et plans d</w:t>
      </w:r>
      <w:r w:rsidR="00DF1C84">
        <w:rPr>
          <w:snapToGrid w:val="0"/>
          <w:kern w:val="22"/>
          <w:sz w:val="22"/>
          <w:szCs w:val="22"/>
          <w:lang w:val="fr-CA"/>
        </w:rPr>
        <w:t>’</w:t>
      </w:r>
      <w:r w:rsidRPr="007A46C0">
        <w:rPr>
          <w:snapToGrid w:val="0"/>
          <w:kern w:val="22"/>
          <w:sz w:val="22"/>
          <w:szCs w:val="22"/>
          <w:lang w:val="fr-CA"/>
        </w:rPr>
        <w:t>action nationaux pour la biodiversité</w:t>
      </w:r>
      <w:r w:rsidR="003269AD" w:rsidRPr="007A46C0">
        <w:rPr>
          <w:snapToGrid w:val="0"/>
          <w:kern w:val="22"/>
          <w:sz w:val="22"/>
          <w:szCs w:val="22"/>
          <w:lang w:val="fr-CA"/>
        </w:rPr>
        <w:t xml:space="preserve"> envers le public et les autres Parties.</w:t>
      </w:r>
    </w:p>
    <w:p w:rsidR="00642E5B" w:rsidRPr="007A46C0" w:rsidRDefault="003269AD" w:rsidP="003349A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L</w:t>
      </w:r>
      <w:r w:rsidR="00DF1C84">
        <w:rPr>
          <w:kern w:val="22"/>
          <w:sz w:val="22"/>
          <w:szCs w:val="22"/>
          <w:lang w:val="fr-CA"/>
        </w:rPr>
        <w:t>’</w:t>
      </w:r>
      <w:r w:rsidRPr="007A46C0">
        <w:rPr>
          <w:kern w:val="22"/>
          <w:sz w:val="22"/>
          <w:szCs w:val="22"/>
          <w:lang w:val="fr-CA"/>
        </w:rPr>
        <w:t>examen par les pairs volontaire</w:t>
      </w:r>
      <w:r w:rsidR="00C660E0" w:rsidRPr="007A46C0">
        <w:rPr>
          <w:kern w:val="22"/>
          <w:sz w:val="22"/>
          <w:szCs w:val="22"/>
          <w:lang w:val="fr-CA"/>
        </w:rPr>
        <w:t xml:space="preserve"> est axé sur le processus politique global pour la biodiversité, en particulier tel qu</w:t>
      </w:r>
      <w:r w:rsidR="00DF1C84">
        <w:rPr>
          <w:kern w:val="22"/>
          <w:sz w:val="22"/>
          <w:szCs w:val="22"/>
          <w:lang w:val="fr-CA"/>
        </w:rPr>
        <w:t>’</w:t>
      </w:r>
      <w:r w:rsidR="00C660E0" w:rsidRPr="007A46C0">
        <w:rPr>
          <w:kern w:val="22"/>
          <w:sz w:val="22"/>
          <w:szCs w:val="22"/>
          <w:lang w:val="fr-CA"/>
        </w:rPr>
        <w:t>énoncé dans les stratégies et plans d</w:t>
      </w:r>
      <w:r w:rsidR="00DF1C84">
        <w:rPr>
          <w:kern w:val="22"/>
          <w:sz w:val="22"/>
          <w:szCs w:val="22"/>
          <w:lang w:val="fr-CA"/>
        </w:rPr>
        <w:t>’</w:t>
      </w:r>
      <w:r w:rsidR="00C660E0" w:rsidRPr="007A46C0">
        <w:rPr>
          <w:kern w:val="22"/>
          <w:sz w:val="22"/>
          <w:szCs w:val="22"/>
          <w:lang w:val="fr-CA"/>
        </w:rPr>
        <w:t>action nationaux pour la biodiversité, et consiste en une analyse approfondie d</w:t>
      </w:r>
      <w:r w:rsidR="00DF1C84">
        <w:rPr>
          <w:kern w:val="22"/>
          <w:sz w:val="22"/>
          <w:szCs w:val="22"/>
          <w:lang w:val="fr-CA"/>
        </w:rPr>
        <w:t>’</w:t>
      </w:r>
      <w:r w:rsidR="00C660E0" w:rsidRPr="007A46C0">
        <w:rPr>
          <w:kern w:val="22"/>
          <w:sz w:val="22"/>
          <w:szCs w:val="22"/>
          <w:lang w:val="fr-CA"/>
        </w:rPr>
        <w:t xml:space="preserve">un nombre limité de </w:t>
      </w:r>
      <w:r w:rsidR="000A3EBF" w:rsidRPr="007A46C0">
        <w:rPr>
          <w:kern w:val="22"/>
          <w:sz w:val="22"/>
          <w:szCs w:val="22"/>
          <w:lang w:val="fr-CA"/>
        </w:rPr>
        <w:t>domaines d</w:t>
      </w:r>
      <w:r w:rsidR="00DF1C84">
        <w:rPr>
          <w:kern w:val="22"/>
          <w:sz w:val="22"/>
          <w:szCs w:val="22"/>
          <w:lang w:val="fr-CA"/>
        </w:rPr>
        <w:t>’</w:t>
      </w:r>
      <w:r w:rsidR="000A3EBF" w:rsidRPr="007A46C0">
        <w:rPr>
          <w:kern w:val="22"/>
          <w:sz w:val="22"/>
          <w:szCs w:val="22"/>
          <w:lang w:val="fr-CA"/>
        </w:rPr>
        <w:t xml:space="preserve">action et de questions </w:t>
      </w:r>
      <w:r w:rsidR="00C660E0" w:rsidRPr="007A46C0">
        <w:rPr>
          <w:kern w:val="22"/>
          <w:sz w:val="22"/>
          <w:szCs w:val="22"/>
          <w:lang w:val="fr-CA"/>
        </w:rPr>
        <w:t>politiques clés</w:t>
      </w:r>
      <w:r w:rsidR="003349A9">
        <w:rPr>
          <w:kern w:val="22"/>
          <w:sz w:val="22"/>
          <w:szCs w:val="22"/>
          <w:lang w:val="fr-CA"/>
        </w:rPr>
        <w:t>.</w:t>
      </w:r>
    </w:p>
    <w:p w:rsidR="00642E5B" w:rsidRPr="007A46C0" w:rsidRDefault="000A3EBF" w:rsidP="00B93058">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Dans sa décision XIII/25, la Conférence des Parties a pris note des progrès accomplis dans l</w:t>
      </w:r>
      <w:r w:rsidR="00DF1C84">
        <w:rPr>
          <w:kern w:val="22"/>
          <w:sz w:val="22"/>
          <w:szCs w:val="22"/>
          <w:lang w:val="fr-CA"/>
        </w:rPr>
        <w:t>’</w:t>
      </w:r>
      <w:r w:rsidRPr="007A46C0">
        <w:rPr>
          <w:kern w:val="22"/>
          <w:sz w:val="22"/>
          <w:szCs w:val="22"/>
          <w:lang w:val="fr-CA"/>
        </w:rPr>
        <w:t>élaboration d</w:t>
      </w:r>
      <w:r w:rsidR="00DF1C84">
        <w:rPr>
          <w:kern w:val="22"/>
          <w:sz w:val="22"/>
          <w:szCs w:val="22"/>
          <w:lang w:val="fr-CA"/>
        </w:rPr>
        <w:t>’</w:t>
      </w:r>
      <w:r w:rsidRPr="007A46C0">
        <w:rPr>
          <w:kern w:val="22"/>
          <w:sz w:val="22"/>
          <w:szCs w:val="22"/>
          <w:lang w:val="fr-CA"/>
        </w:rPr>
        <w:t>un mécanisme d</w:t>
      </w:r>
      <w:r w:rsidR="00DF1C84">
        <w:rPr>
          <w:kern w:val="22"/>
          <w:sz w:val="22"/>
          <w:szCs w:val="22"/>
          <w:lang w:val="fr-CA"/>
        </w:rPr>
        <w:t>’</w:t>
      </w:r>
      <w:r w:rsidRPr="007A46C0">
        <w:rPr>
          <w:kern w:val="22"/>
          <w:sz w:val="22"/>
          <w:szCs w:val="22"/>
          <w:lang w:val="fr-CA"/>
        </w:rPr>
        <w:t>examen facultatif par les pairs, en particulier l</w:t>
      </w:r>
      <w:r w:rsidR="00DF1C84">
        <w:rPr>
          <w:kern w:val="22"/>
          <w:sz w:val="22"/>
          <w:szCs w:val="22"/>
          <w:lang w:val="fr-CA"/>
        </w:rPr>
        <w:t>’</w:t>
      </w:r>
      <w:r w:rsidRPr="007A46C0">
        <w:rPr>
          <w:kern w:val="22"/>
          <w:sz w:val="22"/>
          <w:szCs w:val="22"/>
          <w:lang w:val="fr-CA"/>
        </w:rPr>
        <w:t>élaboration d</w:t>
      </w:r>
      <w:r w:rsidR="00DF1C84">
        <w:rPr>
          <w:kern w:val="22"/>
          <w:sz w:val="22"/>
          <w:szCs w:val="22"/>
          <w:lang w:val="fr-CA"/>
        </w:rPr>
        <w:t>’</w:t>
      </w:r>
      <w:r w:rsidRPr="007A46C0">
        <w:rPr>
          <w:kern w:val="22"/>
          <w:sz w:val="22"/>
          <w:szCs w:val="22"/>
          <w:lang w:val="fr-CA"/>
        </w:rPr>
        <w:t>un projet de méthodologie pour cet examen, élaboré en réponse au paragraphe 3 de la décision XII/29, et a prié la Secrétaire exécutive dans la limite des ressources disponibles, de faciliter la poursuite de la mise à l</w:t>
      </w:r>
      <w:r w:rsidR="00DF1C84">
        <w:rPr>
          <w:kern w:val="22"/>
          <w:sz w:val="22"/>
          <w:szCs w:val="22"/>
          <w:lang w:val="fr-CA"/>
        </w:rPr>
        <w:t>’</w:t>
      </w:r>
      <w:r w:rsidRPr="007A46C0">
        <w:rPr>
          <w:kern w:val="22"/>
          <w:sz w:val="22"/>
          <w:szCs w:val="22"/>
          <w:lang w:val="fr-CA"/>
        </w:rPr>
        <w:t>essai et de l</w:t>
      </w:r>
      <w:r w:rsidR="00DF1C84">
        <w:rPr>
          <w:kern w:val="22"/>
          <w:sz w:val="22"/>
          <w:szCs w:val="22"/>
          <w:lang w:val="fr-CA"/>
        </w:rPr>
        <w:t>’</w:t>
      </w:r>
      <w:r w:rsidRPr="007A46C0">
        <w:rPr>
          <w:kern w:val="22"/>
          <w:sz w:val="22"/>
          <w:szCs w:val="22"/>
          <w:lang w:val="fr-CA"/>
        </w:rPr>
        <w:t>élaboration de la méthodologi</w:t>
      </w:r>
      <w:r w:rsidR="00B93058" w:rsidRPr="007A46C0">
        <w:rPr>
          <w:kern w:val="22"/>
          <w:sz w:val="22"/>
          <w:szCs w:val="22"/>
          <w:lang w:val="fr-CA"/>
        </w:rPr>
        <w:t>e,</w:t>
      </w:r>
      <w:r w:rsidR="00B93058" w:rsidRPr="007A46C0">
        <w:rPr>
          <w:kern w:val="22"/>
          <w:sz w:val="22"/>
          <w:szCs w:val="22"/>
          <w:lang w:val="fr-CA"/>
        </w:rPr>
        <w:footnoteReference w:id="5"/>
      </w:r>
      <w:r w:rsidRPr="007A46C0">
        <w:rPr>
          <w:kern w:val="22"/>
          <w:sz w:val="22"/>
          <w:szCs w:val="22"/>
          <w:lang w:val="fr-CA"/>
        </w:rPr>
        <w:t xml:space="preserve"> notamment son application dans le cadre d</w:t>
      </w:r>
      <w:r w:rsidR="00DF1C84">
        <w:rPr>
          <w:kern w:val="22"/>
          <w:sz w:val="22"/>
          <w:szCs w:val="22"/>
          <w:lang w:val="fr-CA"/>
        </w:rPr>
        <w:t>’</w:t>
      </w:r>
      <w:r w:rsidRPr="007A46C0">
        <w:rPr>
          <w:kern w:val="22"/>
          <w:sz w:val="22"/>
          <w:szCs w:val="22"/>
          <w:lang w:val="fr-CA"/>
        </w:rPr>
        <w:t>une phase pilote, et de rendre compte des progrès accomplis, y compris des informations sur le coût de la phase pilote, à l</w:t>
      </w:r>
      <w:r w:rsidR="00DF1C84">
        <w:rPr>
          <w:kern w:val="22"/>
          <w:sz w:val="22"/>
          <w:szCs w:val="22"/>
          <w:lang w:val="fr-CA"/>
        </w:rPr>
        <w:t>’</w:t>
      </w:r>
      <w:r w:rsidRPr="007A46C0">
        <w:rPr>
          <w:kern w:val="22"/>
          <w:sz w:val="22"/>
          <w:szCs w:val="22"/>
          <w:lang w:val="fr-CA"/>
        </w:rPr>
        <w:t>Organe subsidiaire chargé de l</w:t>
      </w:r>
      <w:r w:rsidR="00DF1C84">
        <w:rPr>
          <w:kern w:val="22"/>
          <w:sz w:val="22"/>
          <w:szCs w:val="22"/>
          <w:lang w:val="fr-CA"/>
        </w:rPr>
        <w:t>’</w:t>
      </w:r>
      <w:r w:rsidRPr="007A46C0">
        <w:rPr>
          <w:kern w:val="22"/>
          <w:sz w:val="22"/>
          <w:szCs w:val="22"/>
          <w:lang w:val="fr-CA"/>
        </w:rPr>
        <w:t>application à sa deuxième réunion</w:t>
      </w:r>
      <w:r w:rsidR="00B93058" w:rsidRPr="007A46C0">
        <w:rPr>
          <w:kern w:val="22"/>
          <w:sz w:val="22"/>
          <w:szCs w:val="22"/>
          <w:lang w:val="fr-CA"/>
        </w:rPr>
        <w:t>.</w:t>
      </w:r>
    </w:p>
    <w:p w:rsidR="00642E5B" w:rsidRPr="007A46C0" w:rsidRDefault="00B93058" w:rsidP="003349A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lastRenderedPageBreak/>
        <w:t xml:space="preserve">Pour donner suite aux deux notifications, six Parties ont exprimé leur intérêt à </w:t>
      </w:r>
      <w:r w:rsidR="00D874D7" w:rsidRPr="007A46C0">
        <w:rPr>
          <w:kern w:val="22"/>
          <w:sz w:val="22"/>
          <w:szCs w:val="22"/>
          <w:lang w:val="fr-CA"/>
        </w:rPr>
        <w:t>être examiné</w:t>
      </w:r>
      <w:r w:rsidRPr="007A46C0">
        <w:rPr>
          <w:kern w:val="22"/>
          <w:sz w:val="22"/>
          <w:szCs w:val="22"/>
          <w:lang w:val="fr-CA"/>
        </w:rPr>
        <w:t>es,</w:t>
      </w:r>
      <w:r w:rsidRPr="007A46C0">
        <w:rPr>
          <w:kern w:val="22"/>
          <w:sz w:val="22"/>
          <w:szCs w:val="22"/>
          <w:vertAlign w:val="superscript"/>
          <w:lang w:val="fr-CA"/>
        </w:rPr>
        <w:footnoteReference w:id="6"/>
      </w:r>
      <w:r w:rsidRPr="007A46C0">
        <w:rPr>
          <w:kern w:val="22"/>
          <w:sz w:val="22"/>
          <w:szCs w:val="22"/>
          <w:lang w:val="fr-CA"/>
        </w:rPr>
        <w:t xml:space="preserve"> onze Parties ont </w:t>
      </w:r>
      <w:r w:rsidR="00D874D7" w:rsidRPr="007A46C0">
        <w:rPr>
          <w:kern w:val="22"/>
          <w:sz w:val="22"/>
          <w:szCs w:val="22"/>
          <w:lang w:val="fr-CA"/>
        </w:rPr>
        <w:t>désigné</w:t>
      </w:r>
      <w:r w:rsidRPr="007A46C0">
        <w:rPr>
          <w:kern w:val="22"/>
          <w:sz w:val="22"/>
          <w:szCs w:val="22"/>
          <w:lang w:val="fr-CA"/>
        </w:rPr>
        <w:t xml:space="preserve"> des </w:t>
      </w:r>
      <w:r w:rsidR="00D874D7" w:rsidRPr="007A46C0">
        <w:rPr>
          <w:kern w:val="22"/>
          <w:sz w:val="22"/>
          <w:szCs w:val="22"/>
          <w:lang w:val="fr-CA"/>
        </w:rPr>
        <w:t>examinateur</w:t>
      </w:r>
      <w:r w:rsidRPr="007A46C0">
        <w:rPr>
          <w:kern w:val="22"/>
          <w:sz w:val="22"/>
          <w:szCs w:val="22"/>
          <w:lang w:val="fr-CA"/>
        </w:rPr>
        <w:t>s,</w:t>
      </w:r>
      <w:r w:rsidRPr="007A46C0">
        <w:rPr>
          <w:kern w:val="22"/>
          <w:sz w:val="22"/>
          <w:szCs w:val="22"/>
          <w:vertAlign w:val="superscript"/>
          <w:lang w:val="fr-CA"/>
        </w:rPr>
        <w:t xml:space="preserve"> </w:t>
      </w:r>
      <w:r w:rsidRPr="007A46C0">
        <w:rPr>
          <w:kern w:val="22"/>
          <w:sz w:val="22"/>
          <w:szCs w:val="22"/>
          <w:vertAlign w:val="superscript"/>
          <w:lang w:val="fr-CA"/>
        </w:rPr>
        <w:footnoteReference w:id="7"/>
      </w:r>
      <w:r w:rsidRPr="007A46C0">
        <w:rPr>
          <w:kern w:val="22"/>
          <w:sz w:val="22"/>
          <w:szCs w:val="22"/>
          <w:lang w:val="fr-CA"/>
        </w:rPr>
        <w:t xml:space="preserve"> </w:t>
      </w:r>
      <w:r w:rsidR="00D874D7" w:rsidRPr="007A46C0">
        <w:rPr>
          <w:kern w:val="22"/>
          <w:sz w:val="22"/>
          <w:szCs w:val="22"/>
          <w:lang w:val="fr-CA"/>
        </w:rPr>
        <w:t>et aucune Partie ne s</w:t>
      </w:r>
      <w:r w:rsidR="00DF1C84">
        <w:rPr>
          <w:kern w:val="22"/>
          <w:sz w:val="22"/>
          <w:szCs w:val="22"/>
          <w:lang w:val="fr-CA"/>
        </w:rPr>
        <w:t>’</w:t>
      </w:r>
      <w:r w:rsidR="00D874D7" w:rsidRPr="007A46C0">
        <w:rPr>
          <w:kern w:val="22"/>
          <w:sz w:val="22"/>
          <w:szCs w:val="22"/>
          <w:lang w:val="fr-CA"/>
        </w:rPr>
        <w:t>est déclarée disposée à fournir des ressources additionnelles pour la phase pilote. La phase pilote est financée avec des ressources initialement fournies par la Norvège et la Suède pour la phase d</w:t>
      </w:r>
      <w:r w:rsidR="00DF1C84">
        <w:rPr>
          <w:kern w:val="22"/>
          <w:sz w:val="22"/>
          <w:szCs w:val="22"/>
          <w:lang w:val="fr-CA"/>
        </w:rPr>
        <w:t>’</w:t>
      </w:r>
      <w:r w:rsidR="00D874D7" w:rsidRPr="007A46C0">
        <w:rPr>
          <w:kern w:val="22"/>
          <w:sz w:val="22"/>
          <w:szCs w:val="22"/>
          <w:lang w:val="fr-CA"/>
        </w:rPr>
        <w:t xml:space="preserve">essai, le Japon (par le biais du Fonds japonais pour la biodiversité), et le Secrétariat </w:t>
      </w:r>
      <w:r w:rsidR="006469D1" w:rsidRPr="007A46C0">
        <w:rPr>
          <w:kern w:val="22"/>
          <w:sz w:val="22"/>
          <w:szCs w:val="22"/>
          <w:lang w:val="fr-CA"/>
        </w:rPr>
        <w:t xml:space="preserve">sous </w:t>
      </w:r>
      <w:r w:rsidR="006469D1" w:rsidRPr="007A46C0">
        <w:rPr>
          <w:noProof/>
          <w:kern w:val="22"/>
          <w:sz w:val="22"/>
          <w:szCs w:val="22"/>
          <w:lang w:val="fr-CA"/>
        </w:rPr>
        <w:t>forme d</w:t>
      </w:r>
      <w:r w:rsidR="00DF1C84">
        <w:rPr>
          <w:noProof/>
          <w:kern w:val="22"/>
          <w:sz w:val="22"/>
          <w:szCs w:val="22"/>
          <w:lang w:val="fr-CA"/>
        </w:rPr>
        <w:t>’</w:t>
      </w:r>
      <w:r w:rsidR="006469D1" w:rsidRPr="007A46C0">
        <w:rPr>
          <w:noProof/>
          <w:kern w:val="22"/>
          <w:sz w:val="22"/>
          <w:szCs w:val="22"/>
          <w:lang w:val="fr-CA"/>
        </w:rPr>
        <w:t>heures</w:t>
      </w:r>
      <w:r w:rsidR="00DF1C84">
        <w:rPr>
          <w:noProof/>
          <w:kern w:val="22"/>
          <w:sz w:val="22"/>
          <w:szCs w:val="22"/>
          <w:lang w:val="fr-CA"/>
        </w:rPr>
        <w:noBreakHyphen/>
      </w:r>
      <w:r w:rsidR="006469D1" w:rsidRPr="007A46C0">
        <w:rPr>
          <w:noProof/>
          <w:kern w:val="22"/>
          <w:sz w:val="22"/>
          <w:szCs w:val="22"/>
          <w:lang w:val="fr-CA"/>
        </w:rPr>
        <w:t>personnes</w:t>
      </w:r>
      <w:r w:rsidR="006469D1" w:rsidRPr="007A46C0">
        <w:rPr>
          <w:kern w:val="22"/>
          <w:sz w:val="22"/>
          <w:szCs w:val="22"/>
          <w:lang w:val="fr-CA"/>
        </w:rPr>
        <w:t xml:space="preserve"> allouées à cette fin.</w:t>
      </w:r>
    </w:p>
    <w:p w:rsidR="00642E5B" w:rsidRPr="007A46C0" w:rsidRDefault="006469D1" w:rsidP="003349A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 xml:space="preserve">Suite aux échanges entre examinateurs et examinés potentiels, le Monténégro et le Sri Lanka ont été choisis pour être les deux premiers pays </w:t>
      </w:r>
      <w:proofErr w:type="gramStart"/>
      <w:r w:rsidRPr="007A46C0">
        <w:rPr>
          <w:kern w:val="22"/>
          <w:sz w:val="22"/>
          <w:szCs w:val="22"/>
          <w:lang w:val="fr-CA"/>
        </w:rPr>
        <w:t>a</w:t>
      </w:r>
      <w:proofErr w:type="gramEnd"/>
      <w:r w:rsidRPr="007A46C0">
        <w:rPr>
          <w:kern w:val="22"/>
          <w:sz w:val="22"/>
          <w:szCs w:val="22"/>
          <w:lang w:val="fr-CA"/>
        </w:rPr>
        <w:t xml:space="preserve"> faire l</w:t>
      </w:r>
      <w:r w:rsidR="00DF1C84">
        <w:rPr>
          <w:kern w:val="22"/>
          <w:sz w:val="22"/>
          <w:szCs w:val="22"/>
          <w:lang w:val="fr-CA"/>
        </w:rPr>
        <w:t>’</w:t>
      </w:r>
      <w:r w:rsidRPr="007A46C0">
        <w:rPr>
          <w:kern w:val="22"/>
          <w:sz w:val="22"/>
          <w:szCs w:val="22"/>
          <w:lang w:val="fr-CA"/>
        </w:rPr>
        <w:t>objet d</w:t>
      </w:r>
      <w:r w:rsidR="00DF1C84">
        <w:rPr>
          <w:kern w:val="22"/>
          <w:sz w:val="22"/>
          <w:szCs w:val="22"/>
          <w:lang w:val="fr-CA"/>
        </w:rPr>
        <w:t>’</w:t>
      </w:r>
      <w:r w:rsidRPr="007A46C0">
        <w:rPr>
          <w:kern w:val="22"/>
          <w:sz w:val="22"/>
          <w:szCs w:val="22"/>
          <w:lang w:val="fr-CA"/>
        </w:rPr>
        <w:t xml:space="preserve">un examen au cours de la phase pilote. Cette sélection a été guidée par les critères suivants, ainsi que par des questions de nature pratique, linguistique et </w:t>
      </w:r>
      <w:r w:rsidR="00595FD1" w:rsidRPr="007A46C0">
        <w:rPr>
          <w:kern w:val="22"/>
          <w:sz w:val="22"/>
          <w:szCs w:val="22"/>
          <w:lang w:val="fr-CA"/>
        </w:rPr>
        <w:t>de</w:t>
      </w:r>
      <w:r w:rsidRPr="007A46C0">
        <w:rPr>
          <w:kern w:val="22"/>
          <w:sz w:val="22"/>
          <w:szCs w:val="22"/>
          <w:lang w:val="fr-CA"/>
        </w:rPr>
        <w:t xml:space="preserve"> répartition géographique :</w:t>
      </w:r>
    </w:p>
    <w:p w:rsidR="00642E5B" w:rsidRPr="007A46C0" w:rsidRDefault="00595FD1" w:rsidP="00595FD1">
      <w:pPr>
        <w:numPr>
          <w:ilvl w:val="0"/>
          <w:numId w:val="16"/>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Preuve d</w:t>
      </w:r>
      <w:r w:rsidR="00DF1C84">
        <w:rPr>
          <w:snapToGrid w:val="0"/>
          <w:kern w:val="22"/>
          <w:sz w:val="22"/>
          <w:szCs w:val="22"/>
          <w:lang w:val="fr-CA"/>
        </w:rPr>
        <w:t>’</w:t>
      </w:r>
      <w:r w:rsidRPr="007A46C0">
        <w:rPr>
          <w:snapToGrid w:val="0"/>
          <w:kern w:val="22"/>
          <w:sz w:val="22"/>
          <w:szCs w:val="22"/>
          <w:lang w:val="fr-CA"/>
        </w:rPr>
        <w:t>un niveau de soutien gouvernemental élevé pour le processus d</w:t>
      </w:r>
      <w:r w:rsidR="00DF1C84">
        <w:rPr>
          <w:snapToGrid w:val="0"/>
          <w:kern w:val="22"/>
          <w:sz w:val="22"/>
          <w:szCs w:val="22"/>
          <w:lang w:val="fr-CA"/>
        </w:rPr>
        <w:t>’</w:t>
      </w:r>
      <w:r w:rsidRPr="007A46C0">
        <w:rPr>
          <w:snapToGrid w:val="0"/>
          <w:kern w:val="22"/>
          <w:sz w:val="22"/>
          <w:szCs w:val="22"/>
          <w:lang w:val="fr-CA"/>
        </w:rPr>
        <w:t>examen par les pairs volontaire;</w:t>
      </w:r>
    </w:p>
    <w:p w:rsidR="00642E5B" w:rsidRPr="007A46C0" w:rsidRDefault="00595FD1" w:rsidP="00595FD1">
      <w:pPr>
        <w:numPr>
          <w:ilvl w:val="0"/>
          <w:numId w:val="16"/>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Dernier rapport national présenté;</w:t>
      </w:r>
    </w:p>
    <w:p w:rsidR="00642E5B" w:rsidRPr="007A46C0" w:rsidRDefault="00595FD1" w:rsidP="00595FD1">
      <w:pPr>
        <w:numPr>
          <w:ilvl w:val="0"/>
          <w:numId w:val="16"/>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 xml:space="preserve">Dernier SPANB adopté en tant que document de politique générale; ou un </w:t>
      </w:r>
      <w:proofErr w:type="spellStart"/>
      <w:r w:rsidRPr="007A46C0">
        <w:rPr>
          <w:snapToGrid w:val="0"/>
          <w:kern w:val="22"/>
          <w:sz w:val="22"/>
          <w:szCs w:val="22"/>
          <w:lang w:val="fr-CA"/>
        </w:rPr>
        <w:t>avant</w:t>
      </w:r>
      <w:r w:rsidR="00DF1C84">
        <w:rPr>
          <w:snapToGrid w:val="0"/>
          <w:kern w:val="22"/>
          <w:sz w:val="22"/>
          <w:szCs w:val="22"/>
          <w:lang w:val="fr-CA"/>
        </w:rPr>
        <w:noBreakHyphen/>
      </w:r>
      <w:r w:rsidRPr="007A46C0">
        <w:rPr>
          <w:snapToGrid w:val="0"/>
          <w:kern w:val="22"/>
          <w:sz w:val="22"/>
          <w:szCs w:val="22"/>
          <w:lang w:val="fr-CA"/>
        </w:rPr>
        <w:t>projet</w:t>
      </w:r>
      <w:proofErr w:type="spellEnd"/>
      <w:r w:rsidRPr="007A46C0">
        <w:rPr>
          <w:snapToGrid w:val="0"/>
          <w:kern w:val="22"/>
          <w:sz w:val="22"/>
          <w:szCs w:val="22"/>
          <w:lang w:val="fr-CA"/>
        </w:rPr>
        <w:t xml:space="preserve"> avancé de SPANB, ou des politiques équivalentes, en cours de révision;</w:t>
      </w:r>
    </w:p>
    <w:p w:rsidR="00642E5B" w:rsidRPr="007A46C0" w:rsidRDefault="00133FDD" w:rsidP="00133FDD">
      <w:pPr>
        <w:numPr>
          <w:ilvl w:val="0"/>
          <w:numId w:val="16"/>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Volonté de contribuer aux coûts locaux de l</w:t>
      </w:r>
      <w:r w:rsidR="00DF1C84">
        <w:rPr>
          <w:snapToGrid w:val="0"/>
          <w:kern w:val="22"/>
          <w:sz w:val="22"/>
          <w:szCs w:val="22"/>
          <w:lang w:val="fr-CA"/>
        </w:rPr>
        <w:t>’</w:t>
      </w:r>
      <w:r w:rsidRPr="007A46C0">
        <w:rPr>
          <w:snapToGrid w:val="0"/>
          <w:kern w:val="22"/>
          <w:sz w:val="22"/>
          <w:szCs w:val="22"/>
          <w:lang w:val="fr-CA"/>
        </w:rPr>
        <w:t>examen.</w:t>
      </w:r>
    </w:p>
    <w:p w:rsidR="00B76757" w:rsidRPr="007A46C0" w:rsidRDefault="00BB3592" w:rsidP="001C3AAC">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Suite à l</w:t>
      </w:r>
      <w:r w:rsidR="00DF1C84">
        <w:rPr>
          <w:kern w:val="22"/>
          <w:sz w:val="22"/>
          <w:szCs w:val="22"/>
          <w:lang w:val="fr-CA"/>
        </w:rPr>
        <w:t>’</w:t>
      </w:r>
      <w:r w:rsidRPr="007A46C0">
        <w:rPr>
          <w:kern w:val="22"/>
          <w:sz w:val="22"/>
          <w:szCs w:val="22"/>
          <w:lang w:val="fr-CA"/>
        </w:rPr>
        <w:t>établissement de l</w:t>
      </w:r>
      <w:r w:rsidR="00DF1C84">
        <w:rPr>
          <w:kern w:val="22"/>
          <w:sz w:val="22"/>
          <w:szCs w:val="22"/>
          <w:lang w:val="fr-CA"/>
        </w:rPr>
        <w:t>’</w:t>
      </w:r>
      <w:r w:rsidRPr="007A46C0">
        <w:rPr>
          <w:kern w:val="22"/>
          <w:sz w:val="22"/>
          <w:szCs w:val="22"/>
          <w:lang w:val="fr-CA"/>
        </w:rPr>
        <w:t>équipe qui procèdera à l</w:t>
      </w:r>
      <w:r w:rsidR="00DF1C84">
        <w:rPr>
          <w:kern w:val="22"/>
          <w:sz w:val="22"/>
          <w:szCs w:val="22"/>
          <w:lang w:val="fr-CA"/>
        </w:rPr>
        <w:t>’</w:t>
      </w:r>
      <w:r w:rsidRPr="007A46C0">
        <w:rPr>
          <w:kern w:val="22"/>
          <w:sz w:val="22"/>
          <w:szCs w:val="22"/>
          <w:lang w:val="fr-CA"/>
        </w:rPr>
        <w:t>examen par les pairs et à l</w:t>
      </w:r>
      <w:r w:rsidR="00DF1C84">
        <w:rPr>
          <w:kern w:val="22"/>
          <w:sz w:val="22"/>
          <w:szCs w:val="22"/>
          <w:lang w:val="fr-CA"/>
        </w:rPr>
        <w:t>’</w:t>
      </w:r>
      <w:r w:rsidRPr="007A46C0">
        <w:rPr>
          <w:kern w:val="22"/>
          <w:sz w:val="22"/>
          <w:szCs w:val="22"/>
          <w:lang w:val="fr-CA"/>
        </w:rPr>
        <w:t>étude documentaire, une visite de pays a été effectuée au Monténégro en novembre 2017.</w:t>
      </w:r>
      <w:r w:rsidR="001952DC" w:rsidRPr="007A46C0">
        <w:rPr>
          <w:kern w:val="22"/>
          <w:sz w:val="22"/>
          <w:szCs w:val="22"/>
          <w:lang w:val="fr-CA"/>
        </w:rPr>
        <w:t xml:space="preserve"> Un projet de rapport élaboré par l</w:t>
      </w:r>
      <w:r w:rsidR="00DF1C84">
        <w:rPr>
          <w:kern w:val="22"/>
          <w:sz w:val="22"/>
          <w:szCs w:val="22"/>
          <w:lang w:val="fr-CA"/>
        </w:rPr>
        <w:t>’</w:t>
      </w:r>
      <w:r w:rsidR="001952DC" w:rsidRPr="007A46C0">
        <w:rPr>
          <w:kern w:val="22"/>
          <w:sz w:val="22"/>
          <w:szCs w:val="22"/>
          <w:lang w:val="fr-CA"/>
        </w:rPr>
        <w:t>équipe d</w:t>
      </w:r>
      <w:r w:rsidR="00DF1C84">
        <w:rPr>
          <w:kern w:val="22"/>
          <w:sz w:val="22"/>
          <w:szCs w:val="22"/>
          <w:lang w:val="fr-CA"/>
        </w:rPr>
        <w:t>’</w:t>
      </w:r>
      <w:r w:rsidR="001952DC" w:rsidRPr="007A46C0">
        <w:rPr>
          <w:kern w:val="22"/>
          <w:sz w:val="22"/>
          <w:szCs w:val="22"/>
          <w:lang w:val="fr-CA"/>
        </w:rPr>
        <w:t>examen a été envoyé au pays pour la vérification des faits</w:t>
      </w:r>
      <w:r w:rsidR="001C3AAC" w:rsidRPr="007A46C0">
        <w:rPr>
          <w:kern w:val="22"/>
          <w:sz w:val="22"/>
          <w:szCs w:val="22"/>
          <w:lang w:val="fr-CA"/>
        </w:rPr>
        <w:t>, puis</w:t>
      </w:r>
      <w:r w:rsidR="001952DC" w:rsidRPr="007A46C0">
        <w:rPr>
          <w:kern w:val="22"/>
          <w:sz w:val="22"/>
          <w:szCs w:val="22"/>
          <w:lang w:val="fr-CA"/>
        </w:rPr>
        <w:t xml:space="preserve"> une version corrigée pour que la Partie faisant l</w:t>
      </w:r>
      <w:r w:rsidR="00DF1C84">
        <w:rPr>
          <w:kern w:val="22"/>
          <w:sz w:val="22"/>
          <w:szCs w:val="22"/>
          <w:lang w:val="fr-CA"/>
        </w:rPr>
        <w:t>’</w:t>
      </w:r>
      <w:r w:rsidR="001952DC" w:rsidRPr="007A46C0">
        <w:rPr>
          <w:kern w:val="22"/>
          <w:sz w:val="22"/>
          <w:szCs w:val="22"/>
          <w:lang w:val="fr-CA"/>
        </w:rPr>
        <w:t>objet d</w:t>
      </w:r>
      <w:r w:rsidR="00DF1C84">
        <w:rPr>
          <w:kern w:val="22"/>
          <w:sz w:val="22"/>
          <w:szCs w:val="22"/>
          <w:lang w:val="fr-CA"/>
        </w:rPr>
        <w:t>’</w:t>
      </w:r>
      <w:r w:rsidR="001C3AAC" w:rsidRPr="007A46C0">
        <w:rPr>
          <w:kern w:val="22"/>
          <w:sz w:val="22"/>
          <w:szCs w:val="22"/>
          <w:lang w:val="fr-CA"/>
        </w:rPr>
        <w:t>un examen puisse formuler d</w:t>
      </w:r>
      <w:r w:rsidR="001952DC" w:rsidRPr="007A46C0">
        <w:rPr>
          <w:kern w:val="22"/>
          <w:sz w:val="22"/>
          <w:szCs w:val="22"/>
          <w:lang w:val="fr-CA"/>
        </w:rPr>
        <w:t>es commentaires.</w:t>
      </w:r>
    </w:p>
    <w:p w:rsidR="00B76757" w:rsidRPr="007A46C0" w:rsidRDefault="001C3AAC" w:rsidP="001C3AAC">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Autant l</w:t>
      </w:r>
      <w:r w:rsidR="00DF1C84">
        <w:rPr>
          <w:kern w:val="22"/>
          <w:sz w:val="22"/>
          <w:szCs w:val="22"/>
          <w:lang w:val="fr-CA"/>
        </w:rPr>
        <w:t>’</w:t>
      </w:r>
      <w:r w:rsidRPr="007A46C0">
        <w:rPr>
          <w:kern w:val="22"/>
          <w:sz w:val="22"/>
          <w:szCs w:val="22"/>
          <w:lang w:val="fr-CA"/>
        </w:rPr>
        <w:t>équipe d</w:t>
      </w:r>
      <w:r w:rsidR="00DF1C84">
        <w:rPr>
          <w:kern w:val="22"/>
          <w:sz w:val="22"/>
          <w:szCs w:val="22"/>
          <w:lang w:val="fr-CA"/>
        </w:rPr>
        <w:t>’</w:t>
      </w:r>
      <w:r w:rsidRPr="007A46C0">
        <w:rPr>
          <w:kern w:val="22"/>
          <w:sz w:val="22"/>
          <w:szCs w:val="22"/>
          <w:lang w:val="fr-CA"/>
        </w:rPr>
        <w:t>examen que les représentants de la Partie faisant l</w:t>
      </w:r>
      <w:r w:rsidR="00DF1C84">
        <w:rPr>
          <w:kern w:val="22"/>
          <w:sz w:val="22"/>
          <w:szCs w:val="22"/>
          <w:lang w:val="fr-CA"/>
        </w:rPr>
        <w:t>’</w:t>
      </w:r>
      <w:r w:rsidRPr="007A46C0">
        <w:rPr>
          <w:kern w:val="22"/>
          <w:sz w:val="22"/>
          <w:szCs w:val="22"/>
          <w:lang w:val="fr-CA"/>
        </w:rPr>
        <w:t>objet de l</w:t>
      </w:r>
      <w:r w:rsidR="00DF1C84">
        <w:rPr>
          <w:kern w:val="22"/>
          <w:sz w:val="22"/>
          <w:szCs w:val="22"/>
          <w:lang w:val="fr-CA"/>
        </w:rPr>
        <w:t>’</w:t>
      </w:r>
      <w:r w:rsidRPr="007A46C0">
        <w:rPr>
          <w:kern w:val="22"/>
          <w:sz w:val="22"/>
          <w:szCs w:val="22"/>
          <w:lang w:val="fr-CA"/>
        </w:rPr>
        <w:t>examen se sont dits satisfaits du processus et de ses résultats et ont estimé que l</w:t>
      </w:r>
      <w:r w:rsidR="00DF1C84">
        <w:rPr>
          <w:kern w:val="22"/>
          <w:sz w:val="22"/>
          <w:szCs w:val="22"/>
          <w:lang w:val="fr-CA"/>
        </w:rPr>
        <w:t>’</w:t>
      </w:r>
      <w:r w:rsidRPr="007A46C0">
        <w:rPr>
          <w:kern w:val="22"/>
          <w:sz w:val="22"/>
          <w:szCs w:val="22"/>
          <w:lang w:val="fr-CA"/>
        </w:rPr>
        <w:t>approche et la méthodologie de l</w:t>
      </w:r>
      <w:r w:rsidR="00DF1C84">
        <w:rPr>
          <w:kern w:val="22"/>
          <w:sz w:val="22"/>
          <w:szCs w:val="22"/>
          <w:lang w:val="fr-CA"/>
        </w:rPr>
        <w:t>’</w:t>
      </w:r>
      <w:r w:rsidRPr="007A46C0">
        <w:rPr>
          <w:kern w:val="22"/>
          <w:sz w:val="22"/>
          <w:szCs w:val="22"/>
          <w:lang w:val="fr-CA"/>
        </w:rPr>
        <w:t>examen par les pairs volontaire sont efficaces. De plus amples détails concernant l</w:t>
      </w:r>
      <w:r w:rsidR="00DF1C84">
        <w:rPr>
          <w:kern w:val="22"/>
          <w:sz w:val="22"/>
          <w:szCs w:val="22"/>
          <w:lang w:val="fr-CA"/>
        </w:rPr>
        <w:t>’</w:t>
      </w:r>
      <w:r w:rsidRPr="007A46C0">
        <w:rPr>
          <w:kern w:val="22"/>
          <w:sz w:val="22"/>
          <w:szCs w:val="22"/>
          <w:lang w:val="fr-CA"/>
        </w:rPr>
        <w:t>examen par les pairs de la mise en œuvre de la Convention par le Monténégro figurent dans une note d</w:t>
      </w:r>
      <w:r w:rsidR="00DF1C84">
        <w:rPr>
          <w:kern w:val="22"/>
          <w:sz w:val="22"/>
          <w:szCs w:val="22"/>
          <w:lang w:val="fr-CA"/>
        </w:rPr>
        <w:t>’</w:t>
      </w:r>
      <w:r w:rsidRPr="007A46C0">
        <w:rPr>
          <w:kern w:val="22"/>
          <w:sz w:val="22"/>
          <w:szCs w:val="22"/>
          <w:lang w:val="fr-CA"/>
        </w:rPr>
        <w:t>information.</w:t>
      </w:r>
      <w:r w:rsidRPr="007A46C0">
        <w:rPr>
          <w:kern w:val="22"/>
          <w:sz w:val="22"/>
          <w:szCs w:val="22"/>
          <w:vertAlign w:val="superscript"/>
          <w:lang w:val="fr-CA"/>
        </w:rPr>
        <w:footnoteReference w:id="8"/>
      </w:r>
      <w:r w:rsidRPr="007A46C0">
        <w:rPr>
          <w:kern w:val="22"/>
          <w:sz w:val="22"/>
          <w:szCs w:val="22"/>
          <w:vertAlign w:val="superscript"/>
          <w:lang w:val="fr-CA"/>
        </w:rPr>
        <w:t xml:space="preserve"> </w:t>
      </w:r>
      <w:r w:rsidRPr="007A46C0">
        <w:rPr>
          <w:kern w:val="22"/>
          <w:sz w:val="22"/>
          <w:szCs w:val="22"/>
          <w:lang w:val="fr-CA"/>
        </w:rPr>
        <w:t xml:space="preserve"> L</w:t>
      </w:r>
      <w:r w:rsidR="00DF1C84">
        <w:rPr>
          <w:kern w:val="22"/>
          <w:sz w:val="22"/>
          <w:szCs w:val="22"/>
          <w:lang w:val="fr-CA"/>
        </w:rPr>
        <w:t>’</w:t>
      </w:r>
      <w:r w:rsidRPr="007A46C0">
        <w:rPr>
          <w:kern w:val="22"/>
          <w:sz w:val="22"/>
          <w:szCs w:val="22"/>
          <w:lang w:val="fr-CA"/>
        </w:rPr>
        <w:t>examen par les pairs volontaire pour le Sri Lanka a été lancé.</w:t>
      </w:r>
    </w:p>
    <w:p w:rsidR="00642E5B" w:rsidRPr="007A46C0" w:rsidRDefault="001C3AAC" w:rsidP="009933FB">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Le coût direct de l</w:t>
      </w:r>
      <w:r w:rsidR="00DF1C84">
        <w:rPr>
          <w:kern w:val="22"/>
          <w:sz w:val="22"/>
          <w:szCs w:val="22"/>
          <w:lang w:val="fr-CA"/>
        </w:rPr>
        <w:t>’</w:t>
      </w:r>
      <w:r w:rsidRPr="007A46C0">
        <w:rPr>
          <w:kern w:val="22"/>
          <w:sz w:val="22"/>
          <w:szCs w:val="22"/>
          <w:lang w:val="fr-CA"/>
        </w:rPr>
        <w:t>examen par les pairs de la mise en œuvre de la Convention par le Monténégro s</w:t>
      </w:r>
      <w:r w:rsidR="00DF1C84">
        <w:rPr>
          <w:kern w:val="22"/>
          <w:sz w:val="22"/>
          <w:szCs w:val="22"/>
          <w:lang w:val="fr-CA"/>
        </w:rPr>
        <w:t>’</w:t>
      </w:r>
      <w:r w:rsidRPr="007A46C0">
        <w:rPr>
          <w:kern w:val="22"/>
          <w:sz w:val="22"/>
          <w:szCs w:val="22"/>
          <w:lang w:val="fr-CA"/>
        </w:rPr>
        <w:t>est élevé à environ 24 000 USD.</w:t>
      </w:r>
      <w:r w:rsidRPr="007A46C0">
        <w:rPr>
          <w:kern w:val="22"/>
          <w:sz w:val="22"/>
          <w:szCs w:val="22"/>
          <w:vertAlign w:val="superscript"/>
          <w:lang w:val="fr-CA"/>
        </w:rPr>
        <w:footnoteReference w:id="9"/>
      </w:r>
      <w:r w:rsidRPr="007A46C0">
        <w:rPr>
          <w:kern w:val="22"/>
          <w:sz w:val="22"/>
          <w:szCs w:val="22"/>
          <w:lang w:val="fr-CA"/>
        </w:rPr>
        <w:t xml:space="preserve"> </w:t>
      </w:r>
      <w:r w:rsidR="009B4F85" w:rsidRPr="007A46C0">
        <w:rPr>
          <w:kern w:val="22"/>
          <w:sz w:val="22"/>
          <w:szCs w:val="22"/>
          <w:lang w:val="fr-CA"/>
        </w:rPr>
        <w:t>Ce montant comprend les frais de voyage et l</w:t>
      </w:r>
      <w:r w:rsidR="00DF1C84">
        <w:rPr>
          <w:kern w:val="22"/>
          <w:sz w:val="22"/>
          <w:szCs w:val="22"/>
          <w:lang w:val="fr-CA"/>
        </w:rPr>
        <w:t>’</w:t>
      </w:r>
      <w:r w:rsidR="009B4F85" w:rsidRPr="007A46C0">
        <w:rPr>
          <w:kern w:val="22"/>
          <w:sz w:val="22"/>
          <w:szCs w:val="22"/>
          <w:lang w:val="fr-CA"/>
        </w:rPr>
        <w:t>indemnité journalière de subsistance pour le personnel du SCDB et les examinateurs provenant de pays en développement.</w:t>
      </w:r>
      <w:r w:rsidRPr="007A46C0">
        <w:rPr>
          <w:kern w:val="22"/>
          <w:sz w:val="22"/>
          <w:szCs w:val="22"/>
          <w:lang w:val="fr-CA"/>
        </w:rPr>
        <w:t xml:space="preserve"> </w:t>
      </w:r>
      <w:r w:rsidR="00B919C1" w:rsidRPr="007A46C0">
        <w:rPr>
          <w:kern w:val="22"/>
          <w:sz w:val="22"/>
          <w:szCs w:val="22"/>
          <w:lang w:val="fr-CA"/>
        </w:rPr>
        <w:t>Il ne comprend pas la participation d</w:t>
      </w:r>
      <w:r w:rsidR="00DF1C84">
        <w:rPr>
          <w:kern w:val="22"/>
          <w:sz w:val="22"/>
          <w:szCs w:val="22"/>
          <w:lang w:val="fr-CA"/>
        </w:rPr>
        <w:t>’</w:t>
      </w:r>
      <w:r w:rsidR="00B919C1" w:rsidRPr="007A46C0">
        <w:rPr>
          <w:kern w:val="22"/>
          <w:sz w:val="22"/>
          <w:szCs w:val="22"/>
          <w:lang w:val="fr-CA"/>
        </w:rPr>
        <w:t>examinateurs provenant de pays développés ou les coûts encourus par le pays hôte pour lancer et participer à l</w:t>
      </w:r>
      <w:r w:rsidR="00DF1C84">
        <w:rPr>
          <w:kern w:val="22"/>
          <w:sz w:val="22"/>
          <w:szCs w:val="22"/>
          <w:lang w:val="fr-CA"/>
        </w:rPr>
        <w:t>’</w:t>
      </w:r>
      <w:r w:rsidR="00B919C1" w:rsidRPr="007A46C0">
        <w:rPr>
          <w:kern w:val="22"/>
          <w:sz w:val="22"/>
          <w:szCs w:val="22"/>
          <w:lang w:val="fr-CA"/>
        </w:rPr>
        <w:t>examen par les pairs et pour soutenir l</w:t>
      </w:r>
      <w:r w:rsidR="00DF1C84">
        <w:rPr>
          <w:kern w:val="22"/>
          <w:sz w:val="22"/>
          <w:szCs w:val="22"/>
          <w:lang w:val="fr-CA"/>
        </w:rPr>
        <w:t>’</w:t>
      </w:r>
      <w:r w:rsidR="00B919C1" w:rsidRPr="007A46C0">
        <w:rPr>
          <w:kern w:val="22"/>
          <w:sz w:val="22"/>
          <w:szCs w:val="22"/>
          <w:lang w:val="fr-CA"/>
        </w:rPr>
        <w:t>équipe d</w:t>
      </w:r>
      <w:r w:rsidR="00DF1C84">
        <w:rPr>
          <w:kern w:val="22"/>
          <w:sz w:val="22"/>
          <w:szCs w:val="22"/>
          <w:lang w:val="fr-CA"/>
        </w:rPr>
        <w:t>’</w:t>
      </w:r>
      <w:r w:rsidR="00B919C1" w:rsidRPr="007A46C0">
        <w:rPr>
          <w:kern w:val="22"/>
          <w:sz w:val="22"/>
          <w:szCs w:val="22"/>
          <w:lang w:val="fr-CA"/>
        </w:rPr>
        <w:t>examen pendant la visite de pays. De même, il n</w:t>
      </w:r>
      <w:r w:rsidR="00DF1C84">
        <w:rPr>
          <w:kern w:val="22"/>
          <w:sz w:val="22"/>
          <w:szCs w:val="22"/>
          <w:lang w:val="fr-CA"/>
        </w:rPr>
        <w:t>’</w:t>
      </w:r>
      <w:r w:rsidR="00B919C1" w:rsidRPr="007A46C0">
        <w:rPr>
          <w:kern w:val="22"/>
          <w:sz w:val="22"/>
          <w:szCs w:val="22"/>
          <w:lang w:val="fr-CA"/>
        </w:rPr>
        <w:t xml:space="preserve">inclut pas </w:t>
      </w:r>
      <w:r w:rsidR="00B919C1" w:rsidRPr="007A46C0">
        <w:rPr>
          <w:noProof/>
          <w:kern w:val="22"/>
          <w:sz w:val="22"/>
          <w:szCs w:val="22"/>
          <w:lang w:val="fr-CA"/>
        </w:rPr>
        <w:t>les heures</w:t>
      </w:r>
      <w:r w:rsidR="00DF1C84">
        <w:rPr>
          <w:noProof/>
          <w:kern w:val="22"/>
          <w:sz w:val="22"/>
          <w:szCs w:val="22"/>
          <w:lang w:val="fr-CA"/>
        </w:rPr>
        <w:noBreakHyphen/>
      </w:r>
      <w:r w:rsidR="00B919C1" w:rsidRPr="007A46C0">
        <w:rPr>
          <w:noProof/>
          <w:kern w:val="22"/>
          <w:sz w:val="22"/>
          <w:szCs w:val="22"/>
          <w:lang w:val="fr-CA"/>
        </w:rPr>
        <w:t>personnes du personnel du Secrétariat consacrées à l</w:t>
      </w:r>
      <w:r w:rsidR="00DF1C84">
        <w:rPr>
          <w:noProof/>
          <w:kern w:val="22"/>
          <w:sz w:val="22"/>
          <w:szCs w:val="22"/>
          <w:lang w:val="fr-CA"/>
        </w:rPr>
        <w:t>’</w:t>
      </w:r>
      <w:r w:rsidR="00B919C1" w:rsidRPr="007A46C0">
        <w:rPr>
          <w:noProof/>
          <w:kern w:val="22"/>
          <w:sz w:val="22"/>
          <w:szCs w:val="22"/>
          <w:lang w:val="fr-CA"/>
        </w:rPr>
        <w:t>examen par les pairs, montant qui a été largement pris en charge par le Fonds japonais pour la biodiversité. L</w:t>
      </w:r>
      <w:r w:rsidR="00DF1C84">
        <w:rPr>
          <w:noProof/>
          <w:kern w:val="22"/>
          <w:sz w:val="22"/>
          <w:szCs w:val="22"/>
          <w:lang w:val="fr-CA"/>
        </w:rPr>
        <w:t>’</w:t>
      </w:r>
      <w:r w:rsidR="00B919C1" w:rsidRPr="007A46C0">
        <w:rPr>
          <w:noProof/>
          <w:kern w:val="22"/>
          <w:sz w:val="22"/>
          <w:szCs w:val="22"/>
          <w:lang w:val="fr-CA"/>
        </w:rPr>
        <w:t>examen du Monténégro a exigé environ un mois de travail d</w:t>
      </w:r>
      <w:r w:rsidR="00DF1C84">
        <w:rPr>
          <w:noProof/>
          <w:kern w:val="22"/>
          <w:sz w:val="22"/>
          <w:szCs w:val="22"/>
          <w:lang w:val="fr-CA"/>
        </w:rPr>
        <w:t>’</w:t>
      </w:r>
      <w:r w:rsidR="00B919C1" w:rsidRPr="007A46C0">
        <w:rPr>
          <w:noProof/>
          <w:kern w:val="22"/>
          <w:sz w:val="22"/>
          <w:szCs w:val="22"/>
          <w:lang w:val="fr-CA"/>
        </w:rPr>
        <w:t>un administrateur et d</w:t>
      </w:r>
      <w:r w:rsidR="00DF1C84">
        <w:rPr>
          <w:noProof/>
          <w:kern w:val="22"/>
          <w:sz w:val="22"/>
          <w:szCs w:val="22"/>
          <w:lang w:val="fr-CA"/>
        </w:rPr>
        <w:t>’</w:t>
      </w:r>
      <w:r w:rsidR="00B919C1" w:rsidRPr="007A46C0">
        <w:rPr>
          <w:noProof/>
          <w:kern w:val="22"/>
          <w:sz w:val="22"/>
          <w:szCs w:val="22"/>
          <w:lang w:val="fr-CA"/>
        </w:rPr>
        <w:t>un assistant de programme. Les heures</w:t>
      </w:r>
      <w:r w:rsidR="00DF1C84">
        <w:rPr>
          <w:noProof/>
          <w:kern w:val="22"/>
          <w:sz w:val="22"/>
          <w:szCs w:val="22"/>
          <w:lang w:val="fr-CA"/>
        </w:rPr>
        <w:noBreakHyphen/>
      </w:r>
      <w:r w:rsidR="00B919C1" w:rsidRPr="007A46C0">
        <w:rPr>
          <w:noProof/>
          <w:kern w:val="22"/>
          <w:sz w:val="22"/>
          <w:szCs w:val="22"/>
          <w:lang w:val="fr-CA"/>
        </w:rPr>
        <w:t>personnes des</w:t>
      </w:r>
      <w:r w:rsidR="00B919C1" w:rsidRPr="007A46C0">
        <w:rPr>
          <w:kern w:val="22"/>
          <w:sz w:val="22"/>
          <w:szCs w:val="22"/>
          <w:lang w:val="fr-CA"/>
        </w:rPr>
        <w:t xml:space="preserve"> examinateurs ont été prises en charge par leurs institutions respectives.</w:t>
      </w:r>
    </w:p>
    <w:p w:rsidR="00337BC7" w:rsidRPr="007A46C0" w:rsidRDefault="009933FB" w:rsidP="003349A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En conclusion, l</w:t>
      </w:r>
      <w:r w:rsidR="00DF1C84">
        <w:rPr>
          <w:kern w:val="22"/>
          <w:sz w:val="22"/>
          <w:szCs w:val="22"/>
          <w:lang w:val="fr-CA"/>
        </w:rPr>
        <w:t>’</w:t>
      </w:r>
      <w:r w:rsidRPr="007A46C0">
        <w:rPr>
          <w:kern w:val="22"/>
          <w:sz w:val="22"/>
          <w:szCs w:val="22"/>
          <w:lang w:val="fr-CA"/>
        </w:rPr>
        <w:t>examen par les pairs volontaire est le seul mécanisme établi par lequel la mise en œuvre d</w:t>
      </w:r>
      <w:r w:rsidR="00DF1C84">
        <w:rPr>
          <w:kern w:val="22"/>
          <w:sz w:val="22"/>
          <w:szCs w:val="22"/>
          <w:lang w:val="fr-CA"/>
        </w:rPr>
        <w:t>’</w:t>
      </w:r>
      <w:r w:rsidRPr="007A46C0">
        <w:rPr>
          <w:kern w:val="22"/>
          <w:sz w:val="22"/>
          <w:szCs w:val="22"/>
          <w:lang w:val="fr-CA"/>
        </w:rPr>
        <w:t>une Partie est</w:t>
      </w:r>
      <w:r w:rsidR="007373E5" w:rsidRPr="007A46C0">
        <w:rPr>
          <w:kern w:val="22"/>
          <w:sz w:val="22"/>
          <w:szCs w:val="22"/>
          <w:lang w:val="fr-CA"/>
        </w:rPr>
        <w:t xml:space="preserve"> individuellement</w:t>
      </w:r>
      <w:r w:rsidRPr="007A46C0">
        <w:rPr>
          <w:kern w:val="22"/>
          <w:sz w:val="22"/>
          <w:szCs w:val="22"/>
          <w:lang w:val="fr-CA"/>
        </w:rPr>
        <w:t xml:space="preserve"> examinée. Il est axé sur des échanges entre pairs et l</w:t>
      </w:r>
      <w:r w:rsidR="00DF1C84">
        <w:rPr>
          <w:kern w:val="22"/>
          <w:sz w:val="22"/>
          <w:szCs w:val="22"/>
          <w:lang w:val="fr-CA"/>
        </w:rPr>
        <w:t>’</w:t>
      </w:r>
      <w:r w:rsidRPr="007A46C0">
        <w:rPr>
          <w:kern w:val="22"/>
          <w:sz w:val="22"/>
          <w:szCs w:val="22"/>
          <w:lang w:val="fr-CA"/>
        </w:rPr>
        <w:t>apprentissage commun</w:t>
      </w:r>
      <w:r w:rsidR="00A51EFA" w:rsidRPr="007A46C0">
        <w:rPr>
          <w:kern w:val="22"/>
          <w:sz w:val="22"/>
          <w:szCs w:val="22"/>
          <w:lang w:val="fr-CA"/>
        </w:rPr>
        <w:t>. Les recommandations émanant de l</w:t>
      </w:r>
      <w:r w:rsidR="00DF1C84">
        <w:rPr>
          <w:kern w:val="22"/>
          <w:sz w:val="22"/>
          <w:szCs w:val="22"/>
          <w:lang w:val="fr-CA"/>
        </w:rPr>
        <w:t>’</w:t>
      </w:r>
      <w:r w:rsidR="00A51EFA" w:rsidRPr="007A46C0">
        <w:rPr>
          <w:kern w:val="22"/>
          <w:sz w:val="22"/>
          <w:szCs w:val="22"/>
          <w:lang w:val="fr-CA"/>
        </w:rPr>
        <w:t>examen par les pairs volontaire en tant que processus formel</w:t>
      </w:r>
      <w:r w:rsidR="00F9711B" w:rsidRPr="007A46C0">
        <w:rPr>
          <w:kern w:val="22"/>
          <w:sz w:val="22"/>
          <w:szCs w:val="22"/>
          <w:lang w:val="fr-CA"/>
        </w:rPr>
        <w:t xml:space="preserve"> ont un certain poids qui peut fournir le soutien nécessaire aux institutions chargées</w:t>
      </w:r>
      <w:r w:rsidRPr="007A46C0">
        <w:rPr>
          <w:kern w:val="22"/>
          <w:sz w:val="22"/>
          <w:szCs w:val="22"/>
          <w:lang w:val="fr-CA"/>
        </w:rPr>
        <w:t xml:space="preserve"> </w:t>
      </w:r>
      <w:r w:rsidR="00F9711B" w:rsidRPr="007A46C0">
        <w:rPr>
          <w:kern w:val="22"/>
          <w:sz w:val="22"/>
          <w:szCs w:val="22"/>
          <w:lang w:val="fr-CA"/>
        </w:rPr>
        <w:t>de la mise en œuvre nationale</w:t>
      </w:r>
      <w:r w:rsidR="00C731C6" w:rsidRPr="007A46C0">
        <w:rPr>
          <w:kern w:val="22"/>
          <w:sz w:val="22"/>
          <w:szCs w:val="22"/>
          <w:lang w:val="fr-CA"/>
        </w:rPr>
        <w:t xml:space="preserve"> pour qu</w:t>
      </w:r>
      <w:r w:rsidR="00DF1C84">
        <w:rPr>
          <w:kern w:val="22"/>
          <w:sz w:val="22"/>
          <w:szCs w:val="22"/>
          <w:lang w:val="fr-CA"/>
        </w:rPr>
        <w:t>’</w:t>
      </w:r>
      <w:r w:rsidR="00C731C6" w:rsidRPr="007A46C0">
        <w:rPr>
          <w:kern w:val="22"/>
          <w:sz w:val="22"/>
          <w:szCs w:val="22"/>
          <w:lang w:val="fr-CA"/>
        </w:rPr>
        <w:t>elles puissent leur donner suite.</w:t>
      </w:r>
      <w:r w:rsidR="007373E5" w:rsidRPr="007A46C0">
        <w:rPr>
          <w:kern w:val="22"/>
          <w:sz w:val="22"/>
          <w:szCs w:val="22"/>
          <w:lang w:val="fr-CA"/>
        </w:rPr>
        <w:t xml:space="preserve"> Il serait donc souhaitable de poursuivre </w:t>
      </w:r>
      <w:r w:rsidR="007373E5" w:rsidRPr="007A46C0">
        <w:rPr>
          <w:kern w:val="22"/>
          <w:sz w:val="22"/>
          <w:szCs w:val="22"/>
          <w:lang w:val="fr-CA"/>
        </w:rPr>
        <w:lastRenderedPageBreak/>
        <w:t>et achever la phase pilote de l</w:t>
      </w:r>
      <w:r w:rsidR="00DF1C84">
        <w:rPr>
          <w:kern w:val="22"/>
          <w:sz w:val="22"/>
          <w:szCs w:val="22"/>
          <w:lang w:val="fr-CA"/>
        </w:rPr>
        <w:t>’</w:t>
      </w:r>
      <w:r w:rsidR="007373E5" w:rsidRPr="007A46C0">
        <w:rPr>
          <w:kern w:val="22"/>
          <w:sz w:val="22"/>
          <w:szCs w:val="22"/>
          <w:lang w:val="fr-CA"/>
        </w:rPr>
        <w:t>examen par les pairs volontaire et de pleinement établir ce processus dans le  cadre d</w:t>
      </w:r>
      <w:r w:rsidR="00DF1C84">
        <w:rPr>
          <w:kern w:val="22"/>
          <w:sz w:val="22"/>
          <w:szCs w:val="22"/>
          <w:lang w:val="fr-CA"/>
        </w:rPr>
        <w:t>’</w:t>
      </w:r>
      <w:r w:rsidR="007373E5" w:rsidRPr="007A46C0">
        <w:rPr>
          <w:kern w:val="22"/>
          <w:sz w:val="22"/>
          <w:szCs w:val="22"/>
          <w:lang w:val="fr-CA"/>
        </w:rPr>
        <w:t>un mécanisme d</w:t>
      </w:r>
      <w:r w:rsidR="00DF1C84">
        <w:rPr>
          <w:kern w:val="22"/>
          <w:sz w:val="22"/>
          <w:szCs w:val="22"/>
          <w:lang w:val="fr-CA"/>
        </w:rPr>
        <w:t>’</w:t>
      </w:r>
      <w:r w:rsidR="007373E5" w:rsidRPr="007A46C0">
        <w:rPr>
          <w:kern w:val="22"/>
          <w:sz w:val="22"/>
          <w:szCs w:val="22"/>
          <w:lang w:val="fr-CA"/>
        </w:rPr>
        <w:t>examen au titre de la Convention.</w:t>
      </w:r>
    </w:p>
    <w:p w:rsidR="00680BCD" w:rsidRPr="007A46C0" w:rsidRDefault="00FA1A44" w:rsidP="00FA1A44">
      <w:pPr>
        <w:pStyle w:val="Para1"/>
        <w:suppressLineNumbers/>
        <w:suppressAutoHyphens/>
        <w:spacing w:before="120"/>
        <w:rPr>
          <w:i/>
          <w:kern w:val="22"/>
          <w:sz w:val="22"/>
          <w:szCs w:val="22"/>
          <w:lang w:val="fr-CA"/>
        </w:rPr>
      </w:pPr>
      <w:r w:rsidRPr="007A46C0">
        <w:rPr>
          <w:i/>
          <w:kern w:val="22"/>
          <w:sz w:val="22"/>
          <w:szCs w:val="22"/>
          <w:lang w:val="fr-CA"/>
        </w:rPr>
        <w:t>Outil de suivi des décisions</w:t>
      </w:r>
    </w:p>
    <w:p w:rsidR="00680BCD" w:rsidRPr="007A46C0" w:rsidRDefault="00FA1A44" w:rsidP="003349A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Au paragraphe 5 de la décision </w:t>
      </w:r>
      <w:r w:rsidR="00680BCD" w:rsidRPr="007A46C0">
        <w:rPr>
          <w:kern w:val="22"/>
          <w:sz w:val="22"/>
          <w:szCs w:val="22"/>
          <w:lang w:val="fr-CA"/>
        </w:rPr>
        <w:t>XIII/25,</w:t>
      </w:r>
      <w:r w:rsidRPr="007A46C0">
        <w:rPr>
          <w:kern w:val="22"/>
          <w:sz w:val="22"/>
          <w:szCs w:val="22"/>
          <w:lang w:val="fr-CA"/>
        </w:rPr>
        <w:t xml:space="preserve"> la Conférence des Parties a prié la Secrétaire exécutive de peaufiner l</w:t>
      </w:r>
      <w:r w:rsidR="00DF1C84">
        <w:rPr>
          <w:kern w:val="22"/>
          <w:sz w:val="22"/>
          <w:szCs w:val="22"/>
          <w:lang w:val="fr-CA"/>
        </w:rPr>
        <w:t>’</w:t>
      </w:r>
      <w:r w:rsidRPr="007A46C0">
        <w:rPr>
          <w:kern w:val="22"/>
          <w:sz w:val="22"/>
          <w:szCs w:val="22"/>
          <w:lang w:val="fr-CA"/>
        </w:rPr>
        <w:t>outil de suivi des décisions, et de continuer à examiner les décisions prises par la Conférence des</w:t>
      </w:r>
      <w:r w:rsidRPr="007A46C0">
        <w:rPr>
          <w:noProof/>
          <w:kern w:val="22"/>
          <w:sz w:val="22"/>
          <w:szCs w:val="22"/>
          <w:lang w:val="fr-CA"/>
        </w:rPr>
        <w:t xml:space="preserve"> Parties, depuis la première réunion à la septième réunion, ainsi que les décisions des dixième et onzième </w:t>
      </w:r>
      <w:r w:rsidRPr="007A46C0">
        <w:rPr>
          <w:kern w:val="22"/>
          <w:sz w:val="22"/>
          <w:szCs w:val="22"/>
          <w:lang w:val="fr-CA"/>
        </w:rPr>
        <w:t>réunions. Par conséquent, le Secrétariat a élaboré une version préliminaire de l</w:t>
      </w:r>
      <w:r w:rsidR="00DF1C84">
        <w:rPr>
          <w:kern w:val="22"/>
          <w:sz w:val="22"/>
          <w:szCs w:val="22"/>
          <w:lang w:val="fr-CA"/>
        </w:rPr>
        <w:t>’</w:t>
      </w:r>
      <w:r w:rsidR="000D0488" w:rsidRPr="007A46C0">
        <w:rPr>
          <w:kern w:val="22"/>
          <w:sz w:val="22"/>
          <w:szCs w:val="22"/>
          <w:lang w:val="fr-CA"/>
        </w:rPr>
        <w:t>outil</w:t>
      </w:r>
      <w:r w:rsidRPr="007A46C0">
        <w:rPr>
          <w:kern w:val="22"/>
          <w:sz w:val="22"/>
          <w:szCs w:val="22"/>
          <w:lang w:val="fr-CA"/>
        </w:rPr>
        <w:t xml:space="preserve"> de suivi des décisions, disponible à l</w:t>
      </w:r>
      <w:r w:rsidR="00DF1C84">
        <w:rPr>
          <w:kern w:val="22"/>
          <w:sz w:val="22"/>
          <w:szCs w:val="22"/>
          <w:lang w:val="fr-CA"/>
        </w:rPr>
        <w:t>’</w:t>
      </w:r>
      <w:r w:rsidRPr="007A46C0">
        <w:rPr>
          <w:kern w:val="22"/>
          <w:sz w:val="22"/>
          <w:szCs w:val="22"/>
          <w:lang w:val="fr-CA"/>
        </w:rPr>
        <w:t>adresse</w:t>
      </w:r>
      <w:r w:rsidRPr="007A46C0">
        <w:rPr>
          <w:lang w:val="fr-CA"/>
        </w:rPr>
        <w:t xml:space="preserve"> </w:t>
      </w:r>
      <w:hyperlink r:id="rId14" w:history="1">
        <w:r w:rsidRPr="007A46C0">
          <w:rPr>
            <w:rStyle w:val="Hyperlink"/>
            <w:kern w:val="22"/>
            <w:sz w:val="22"/>
            <w:szCs w:val="22"/>
            <w:lang w:val="fr-CA"/>
          </w:rPr>
          <w:t>https://www.cbd.int/decisions/tracking/</w:t>
        </w:r>
      </w:hyperlink>
      <w:r w:rsidRPr="007A46C0">
        <w:rPr>
          <w:kern w:val="22"/>
          <w:sz w:val="22"/>
          <w:szCs w:val="22"/>
          <w:vertAlign w:val="superscript"/>
          <w:lang w:val="fr-CA"/>
        </w:rPr>
        <w:footnoteReference w:id="10"/>
      </w:r>
      <w:r w:rsidRPr="007A46C0">
        <w:rPr>
          <w:kern w:val="22"/>
          <w:sz w:val="22"/>
          <w:szCs w:val="22"/>
          <w:lang w:val="fr-CA"/>
        </w:rPr>
        <w:t xml:space="preserve"> Cette version comprend </w:t>
      </w:r>
      <w:r w:rsidR="000D0488" w:rsidRPr="007A46C0">
        <w:rPr>
          <w:kern w:val="22"/>
          <w:sz w:val="22"/>
          <w:szCs w:val="22"/>
          <w:lang w:val="fr-CA"/>
        </w:rPr>
        <w:t>des informations sur l</w:t>
      </w:r>
      <w:r w:rsidR="00DF1C84">
        <w:rPr>
          <w:kern w:val="22"/>
          <w:sz w:val="22"/>
          <w:szCs w:val="22"/>
          <w:lang w:val="fr-CA"/>
        </w:rPr>
        <w:t>’</w:t>
      </w:r>
      <w:r w:rsidR="000D0488" w:rsidRPr="007A46C0">
        <w:rPr>
          <w:kern w:val="22"/>
          <w:sz w:val="22"/>
          <w:szCs w:val="22"/>
          <w:lang w:val="fr-CA"/>
        </w:rPr>
        <w:t>examen de toutes les décisions jusqu</w:t>
      </w:r>
      <w:r w:rsidR="00DF1C84">
        <w:rPr>
          <w:kern w:val="22"/>
          <w:sz w:val="22"/>
          <w:szCs w:val="22"/>
          <w:lang w:val="fr-CA"/>
        </w:rPr>
        <w:t>’</w:t>
      </w:r>
      <w:r w:rsidR="000D0488" w:rsidRPr="007A46C0">
        <w:rPr>
          <w:kern w:val="22"/>
          <w:sz w:val="22"/>
          <w:szCs w:val="22"/>
          <w:lang w:val="fr-CA"/>
        </w:rPr>
        <w:t>à la douzième réunion de la Conférence des Parties inclusivement. Pour les décisions de la treizième réunion, les textes ont été téléchargés pour permettre l</w:t>
      </w:r>
      <w:r w:rsidR="00DF1C84">
        <w:rPr>
          <w:kern w:val="22"/>
          <w:sz w:val="22"/>
          <w:szCs w:val="22"/>
          <w:lang w:val="fr-CA"/>
        </w:rPr>
        <w:t>’</w:t>
      </w:r>
      <w:r w:rsidR="000D0488" w:rsidRPr="007A46C0">
        <w:rPr>
          <w:kern w:val="22"/>
          <w:sz w:val="22"/>
          <w:szCs w:val="22"/>
          <w:lang w:val="fr-CA"/>
        </w:rPr>
        <w:t>ajout d</w:t>
      </w:r>
      <w:r w:rsidR="00DF1C84">
        <w:rPr>
          <w:kern w:val="22"/>
          <w:sz w:val="22"/>
          <w:szCs w:val="22"/>
          <w:lang w:val="fr-CA"/>
        </w:rPr>
        <w:t>’</w:t>
      </w:r>
      <w:r w:rsidR="000D0488" w:rsidRPr="007A46C0">
        <w:rPr>
          <w:kern w:val="22"/>
          <w:sz w:val="22"/>
          <w:szCs w:val="22"/>
          <w:lang w:val="fr-CA"/>
        </w:rPr>
        <w:t>informations ou de liens à toute information pertinente qui pourrai</w:t>
      </w:r>
      <w:r w:rsidR="00683E80" w:rsidRPr="007A46C0">
        <w:rPr>
          <w:kern w:val="22"/>
          <w:sz w:val="22"/>
          <w:szCs w:val="22"/>
          <w:lang w:val="fr-CA"/>
        </w:rPr>
        <w:t>en</w:t>
      </w:r>
      <w:r w:rsidR="000D0488" w:rsidRPr="007A46C0">
        <w:rPr>
          <w:kern w:val="22"/>
          <w:sz w:val="22"/>
          <w:szCs w:val="22"/>
          <w:lang w:val="fr-CA"/>
        </w:rPr>
        <w:t>t être disponible</w:t>
      </w:r>
      <w:r w:rsidR="00683E80" w:rsidRPr="007A46C0">
        <w:rPr>
          <w:kern w:val="22"/>
          <w:sz w:val="22"/>
          <w:szCs w:val="22"/>
          <w:lang w:val="fr-CA"/>
        </w:rPr>
        <w:t>s</w:t>
      </w:r>
      <w:r w:rsidRPr="007A46C0">
        <w:rPr>
          <w:kern w:val="22"/>
          <w:sz w:val="22"/>
          <w:szCs w:val="22"/>
          <w:lang w:val="fr-CA"/>
        </w:rPr>
        <w:t xml:space="preserve"> </w:t>
      </w:r>
      <w:r w:rsidR="000D0488" w:rsidRPr="007A46C0">
        <w:rPr>
          <w:kern w:val="22"/>
          <w:sz w:val="22"/>
          <w:szCs w:val="22"/>
          <w:lang w:val="fr-CA"/>
        </w:rPr>
        <w:t>en temps utile/ voulu/ opportun.</w:t>
      </w:r>
    </w:p>
    <w:p w:rsidR="00680BCD" w:rsidRPr="007A46C0" w:rsidRDefault="00C1566A" w:rsidP="0036526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L</w:t>
      </w:r>
      <w:r w:rsidR="00DF1C84">
        <w:rPr>
          <w:kern w:val="22"/>
          <w:sz w:val="22"/>
          <w:szCs w:val="22"/>
          <w:lang w:val="fr-CA"/>
        </w:rPr>
        <w:t>’</w:t>
      </w:r>
      <w:r w:rsidRPr="007A46C0">
        <w:rPr>
          <w:kern w:val="22"/>
          <w:sz w:val="22"/>
          <w:szCs w:val="22"/>
          <w:lang w:val="fr-CA"/>
        </w:rPr>
        <w:t>examen des décisions a été mené selon les critères figurant à l</w:t>
      </w:r>
      <w:r w:rsidR="00DF1C84">
        <w:rPr>
          <w:kern w:val="22"/>
          <w:sz w:val="22"/>
          <w:szCs w:val="22"/>
          <w:lang w:val="fr-CA"/>
        </w:rPr>
        <w:t>’</w:t>
      </w:r>
      <w:r w:rsidR="00365269" w:rsidRPr="007A46C0">
        <w:rPr>
          <w:kern w:val="22"/>
          <w:sz w:val="22"/>
          <w:szCs w:val="22"/>
          <w:lang w:val="fr-CA"/>
        </w:rPr>
        <w:t>annexe de la décision XII/28</w:t>
      </w:r>
      <w:r w:rsidRPr="007A46C0">
        <w:rPr>
          <w:kern w:val="22"/>
          <w:sz w:val="22"/>
          <w:szCs w:val="22"/>
          <w:lang w:val="fr-CA"/>
        </w:rPr>
        <w:t xml:space="preserve"> et a tenu compte de l</w:t>
      </w:r>
      <w:r w:rsidR="00DF1C84">
        <w:rPr>
          <w:kern w:val="22"/>
          <w:sz w:val="22"/>
          <w:szCs w:val="22"/>
          <w:lang w:val="fr-CA"/>
        </w:rPr>
        <w:t>’</w:t>
      </w:r>
      <w:r w:rsidRPr="007A46C0">
        <w:rPr>
          <w:kern w:val="22"/>
          <w:sz w:val="22"/>
          <w:szCs w:val="22"/>
          <w:lang w:val="fr-CA"/>
        </w:rPr>
        <w:t xml:space="preserve">expérience acquise </w:t>
      </w:r>
      <w:r w:rsidR="00FE6192" w:rsidRPr="007A46C0">
        <w:rPr>
          <w:kern w:val="22"/>
          <w:sz w:val="22"/>
          <w:szCs w:val="22"/>
          <w:lang w:val="fr-CA"/>
        </w:rPr>
        <w:t xml:space="preserve">lors </w:t>
      </w:r>
      <w:r w:rsidRPr="007A46C0">
        <w:rPr>
          <w:kern w:val="22"/>
          <w:sz w:val="22"/>
          <w:szCs w:val="22"/>
          <w:lang w:val="fr-CA"/>
        </w:rPr>
        <w:t xml:space="preserve">de la mise en œuvre de la phase pilote. Il est rappelé que les décisions de la Conférence des Parties de la </w:t>
      </w:r>
      <w:r w:rsidRPr="007A46C0">
        <w:rPr>
          <w:noProof/>
          <w:kern w:val="22"/>
          <w:sz w:val="22"/>
          <w:szCs w:val="22"/>
          <w:lang w:val="fr-CA"/>
        </w:rPr>
        <w:t>première à la septième réunions</w:t>
      </w:r>
      <w:r w:rsidR="00FE6192" w:rsidRPr="007A46C0">
        <w:rPr>
          <w:noProof/>
          <w:kern w:val="22"/>
          <w:sz w:val="22"/>
          <w:szCs w:val="22"/>
          <w:lang w:val="fr-CA"/>
        </w:rPr>
        <w:t xml:space="preserve"> </w:t>
      </w:r>
      <w:r w:rsidR="00DF4B38" w:rsidRPr="007A46C0">
        <w:rPr>
          <w:noProof/>
          <w:kern w:val="22"/>
          <w:sz w:val="22"/>
          <w:szCs w:val="22"/>
          <w:lang w:val="fr-CA"/>
        </w:rPr>
        <w:t>avaient</w:t>
      </w:r>
      <w:r w:rsidR="00FE6192" w:rsidRPr="007A46C0">
        <w:rPr>
          <w:kern w:val="22"/>
          <w:sz w:val="22"/>
          <w:szCs w:val="22"/>
          <w:lang w:val="fr-CA"/>
        </w:rPr>
        <w:t xml:space="preserve"> déjà été examinées par le Secrétariat dans le passé afin de faciliter le retrait de décisions après le début </w:t>
      </w:r>
      <w:r w:rsidR="004C74C0" w:rsidRPr="007A46C0">
        <w:rPr>
          <w:kern w:val="22"/>
          <w:sz w:val="22"/>
          <w:szCs w:val="22"/>
          <w:lang w:val="fr-CA"/>
        </w:rPr>
        <w:t>de l</w:t>
      </w:r>
      <w:r w:rsidR="00DF1C84">
        <w:rPr>
          <w:kern w:val="22"/>
          <w:sz w:val="22"/>
          <w:szCs w:val="22"/>
          <w:lang w:val="fr-CA"/>
        </w:rPr>
        <w:t>’</w:t>
      </w:r>
      <w:r w:rsidR="004C74C0" w:rsidRPr="007A46C0">
        <w:rPr>
          <w:kern w:val="22"/>
          <w:sz w:val="22"/>
          <w:szCs w:val="22"/>
          <w:lang w:val="fr-CA"/>
        </w:rPr>
        <w:t>exercice</w:t>
      </w:r>
      <w:r w:rsidR="00FE6192" w:rsidRPr="007A46C0">
        <w:rPr>
          <w:kern w:val="22"/>
          <w:sz w:val="22"/>
          <w:szCs w:val="22"/>
          <w:lang w:val="fr-CA"/>
        </w:rPr>
        <w:t xml:space="preserve"> de retrait en 2002.</w:t>
      </w:r>
      <w:r w:rsidR="00FE6192" w:rsidRPr="007A46C0">
        <w:rPr>
          <w:kern w:val="22"/>
          <w:sz w:val="22"/>
          <w:szCs w:val="22"/>
          <w:vertAlign w:val="superscript"/>
          <w:lang w:val="fr-CA"/>
        </w:rPr>
        <w:footnoteReference w:id="11"/>
      </w:r>
      <w:r w:rsidR="00FE6192" w:rsidRPr="007A46C0">
        <w:rPr>
          <w:kern w:val="22"/>
          <w:sz w:val="22"/>
          <w:szCs w:val="22"/>
          <w:lang w:val="fr-CA"/>
        </w:rPr>
        <w:t xml:space="preserve"> </w:t>
      </w:r>
      <w:r w:rsidR="004C74C0" w:rsidRPr="007A46C0">
        <w:rPr>
          <w:kern w:val="22"/>
          <w:sz w:val="22"/>
          <w:szCs w:val="22"/>
          <w:lang w:val="fr-CA"/>
        </w:rPr>
        <w:t>Lorsque l</w:t>
      </w:r>
      <w:r w:rsidR="00DF1C84">
        <w:rPr>
          <w:kern w:val="22"/>
          <w:sz w:val="22"/>
          <w:szCs w:val="22"/>
          <w:lang w:val="fr-CA"/>
        </w:rPr>
        <w:t>’</w:t>
      </w:r>
      <w:r w:rsidR="004C74C0" w:rsidRPr="007A46C0">
        <w:rPr>
          <w:kern w:val="22"/>
          <w:sz w:val="22"/>
          <w:szCs w:val="22"/>
          <w:lang w:val="fr-CA"/>
        </w:rPr>
        <w:t>exercice de retrait de décisions a été arrêté (décision XII/28), les décisions retirées ont par conséquent été étiquetées dans l</w:t>
      </w:r>
      <w:r w:rsidR="00DF1C84">
        <w:rPr>
          <w:kern w:val="22"/>
          <w:sz w:val="22"/>
          <w:szCs w:val="22"/>
          <w:lang w:val="fr-CA"/>
        </w:rPr>
        <w:t>’</w:t>
      </w:r>
      <w:r w:rsidR="004C74C0" w:rsidRPr="007A46C0">
        <w:rPr>
          <w:kern w:val="22"/>
          <w:sz w:val="22"/>
          <w:szCs w:val="22"/>
          <w:lang w:val="fr-CA"/>
        </w:rPr>
        <w:t>outil avec le même statut</w:t>
      </w:r>
      <w:r w:rsidR="00DF4B38" w:rsidRPr="007A46C0">
        <w:rPr>
          <w:kern w:val="22"/>
          <w:sz w:val="22"/>
          <w:szCs w:val="22"/>
          <w:lang w:val="fr-CA"/>
        </w:rPr>
        <w:t xml:space="preserve"> (retirée, dépassée, remplacée, mise en œuvre, active) comme indiqué dans les documents d</w:t>
      </w:r>
      <w:r w:rsidR="00DF1C84">
        <w:rPr>
          <w:kern w:val="22"/>
          <w:sz w:val="22"/>
          <w:szCs w:val="22"/>
          <w:lang w:val="fr-CA"/>
        </w:rPr>
        <w:t>’</w:t>
      </w:r>
      <w:r w:rsidR="00DF4B38" w:rsidRPr="007A46C0">
        <w:rPr>
          <w:kern w:val="22"/>
          <w:sz w:val="22"/>
          <w:szCs w:val="22"/>
          <w:lang w:val="fr-CA"/>
        </w:rPr>
        <w:t>examen préparés et présentés par le Secrétariat à l</w:t>
      </w:r>
      <w:r w:rsidR="00DF1C84">
        <w:rPr>
          <w:kern w:val="22"/>
          <w:sz w:val="22"/>
          <w:szCs w:val="22"/>
          <w:lang w:val="fr-CA"/>
        </w:rPr>
        <w:t>’</w:t>
      </w:r>
      <w:r w:rsidR="00DF4B38" w:rsidRPr="007A46C0">
        <w:rPr>
          <w:kern w:val="22"/>
          <w:sz w:val="22"/>
          <w:szCs w:val="22"/>
          <w:lang w:val="fr-CA"/>
        </w:rPr>
        <w:t xml:space="preserve">époque. </w:t>
      </w:r>
      <w:r w:rsidR="00BA4FC5" w:rsidRPr="007A46C0">
        <w:rPr>
          <w:kern w:val="22"/>
          <w:sz w:val="22"/>
          <w:szCs w:val="22"/>
          <w:lang w:val="fr-CA"/>
        </w:rPr>
        <w:t>Par conséquent, il n</w:t>
      </w:r>
      <w:r w:rsidR="00DF1C84">
        <w:rPr>
          <w:kern w:val="22"/>
          <w:sz w:val="22"/>
          <w:szCs w:val="22"/>
          <w:lang w:val="fr-CA"/>
        </w:rPr>
        <w:t>’</w:t>
      </w:r>
      <w:r w:rsidR="00BA4FC5" w:rsidRPr="007A46C0">
        <w:rPr>
          <w:kern w:val="22"/>
          <w:sz w:val="22"/>
          <w:szCs w:val="22"/>
          <w:lang w:val="fr-CA"/>
        </w:rPr>
        <w:t>y aura aucune étiquette « retirée » dans l</w:t>
      </w:r>
      <w:r w:rsidR="00DF1C84">
        <w:rPr>
          <w:kern w:val="22"/>
          <w:sz w:val="22"/>
          <w:szCs w:val="22"/>
          <w:lang w:val="fr-CA"/>
        </w:rPr>
        <w:t>’</w:t>
      </w:r>
      <w:r w:rsidR="00BA4FC5" w:rsidRPr="007A46C0">
        <w:rPr>
          <w:kern w:val="22"/>
          <w:sz w:val="22"/>
          <w:szCs w:val="22"/>
          <w:lang w:val="fr-CA"/>
        </w:rPr>
        <w:t xml:space="preserve">outil mais plutôt une note </w:t>
      </w:r>
      <w:r w:rsidR="00365269" w:rsidRPr="007A46C0">
        <w:rPr>
          <w:kern w:val="22"/>
          <w:sz w:val="22"/>
          <w:szCs w:val="22"/>
          <w:lang w:val="fr-CA"/>
        </w:rPr>
        <w:t xml:space="preserve">qui a été ajoutée </w:t>
      </w:r>
      <w:r w:rsidR="00BA4FC5" w:rsidRPr="007A46C0">
        <w:rPr>
          <w:kern w:val="22"/>
          <w:sz w:val="22"/>
          <w:szCs w:val="22"/>
          <w:lang w:val="fr-CA"/>
        </w:rPr>
        <w:t>indiquant le fait historique que la décision a été retirée</w:t>
      </w:r>
      <w:r w:rsidR="00365269" w:rsidRPr="007A46C0">
        <w:rPr>
          <w:kern w:val="22"/>
          <w:sz w:val="22"/>
          <w:szCs w:val="22"/>
          <w:lang w:val="fr-CA"/>
        </w:rPr>
        <w:t>.</w:t>
      </w:r>
    </w:p>
    <w:p w:rsidR="00680BCD" w:rsidRPr="007A46C0" w:rsidRDefault="00365269" w:rsidP="0036526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Des fonctions et étiquettes additionnelles ont été ajoutées à l</w:t>
      </w:r>
      <w:r w:rsidR="00DF1C84">
        <w:rPr>
          <w:kern w:val="22"/>
          <w:sz w:val="22"/>
          <w:szCs w:val="22"/>
          <w:lang w:val="fr-CA"/>
        </w:rPr>
        <w:t>’</w:t>
      </w:r>
      <w:r w:rsidRPr="007A46C0">
        <w:rPr>
          <w:kern w:val="22"/>
          <w:sz w:val="22"/>
          <w:szCs w:val="22"/>
          <w:lang w:val="fr-CA"/>
        </w:rPr>
        <w:t>outil couvrant les sujets appropriés au titre de la Convention et des Objectifs d</w:t>
      </w:r>
      <w:r w:rsidR="00DF1C84">
        <w:rPr>
          <w:kern w:val="22"/>
          <w:sz w:val="22"/>
          <w:szCs w:val="22"/>
          <w:lang w:val="fr-CA"/>
        </w:rPr>
        <w:t>’</w:t>
      </w:r>
      <w:r w:rsidRPr="007A46C0">
        <w:rPr>
          <w:kern w:val="22"/>
          <w:sz w:val="22"/>
          <w:szCs w:val="22"/>
          <w:lang w:val="fr-CA"/>
        </w:rPr>
        <w:t>Aichi pour la biodiversité, en vue de fournir des filtres additionnels pour le moteur de recherche.</w:t>
      </w:r>
      <w:r w:rsidRPr="007A46C0">
        <w:rPr>
          <w:kern w:val="22"/>
          <w:sz w:val="22"/>
          <w:szCs w:val="22"/>
          <w:vertAlign w:val="superscript"/>
          <w:lang w:val="fr-CA"/>
        </w:rPr>
        <w:footnoteReference w:id="12"/>
      </w:r>
    </w:p>
    <w:p w:rsidR="00680BCD" w:rsidRPr="007A46C0" w:rsidRDefault="00B9694F" w:rsidP="00AD3D27">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Le maintien de l</w:t>
      </w:r>
      <w:r w:rsidR="00DF1C84">
        <w:rPr>
          <w:kern w:val="22"/>
          <w:sz w:val="22"/>
          <w:szCs w:val="22"/>
          <w:lang w:val="fr-CA"/>
        </w:rPr>
        <w:t>’</w:t>
      </w:r>
      <w:r w:rsidRPr="007A46C0">
        <w:rPr>
          <w:kern w:val="22"/>
          <w:sz w:val="22"/>
          <w:szCs w:val="22"/>
          <w:lang w:val="fr-CA"/>
        </w:rPr>
        <w:t>outil de suivi des décisions est une tâche permanente, étant donné que le statut et d</w:t>
      </w:r>
      <w:r w:rsidR="00DF1C84">
        <w:rPr>
          <w:kern w:val="22"/>
          <w:sz w:val="22"/>
          <w:szCs w:val="22"/>
          <w:lang w:val="fr-CA"/>
        </w:rPr>
        <w:t>’</w:t>
      </w:r>
      <w:r w:rsidRPr="007A46C0">
        <w:rPr>
          <w:kern w:val="22"/>
          <w:sz w:val="22"/>
          <w:szCs w:val="22"/>
          <w:lang w:val="fr-CA"/>
        </w:rPr>
        <w:t>autres éléments des décisions peuvent changer au fil du temps.</w:t>
      </w:r>
      <w:r w:rsidRPr="007A46C0">
        <w:rPr>
          <w:kern w:val="22"/>
          <w:sz w:val="22"/>
          <w:szCs w:val="22"/>
          <w:vertAlign w:val="superscript"/>
          <w:lang w:val="fr-CA"/>
        </w:rPr>
        <w:footnoteReference w:id="13"/>
      </w:r>
      <w:r w:rsidRPr="007A46C0">
        <w:rPr>
          <w:kern w:val="22"/>
          <w:sz w:val="22"/>
          <w:szCs w:val="22"/>
          <w:lang w:val="fr-CA"/>
        </w:rPr>
        <w:t xml:space="preserve"> Par ailleurs, il est envisagé de faire en sorte que toutes les futures notifications et la documentation pertinente soient incorporées dans l</w:t>
      </w:r>
      <w:r w:rsidR="00DF1C84">
        <w:rPr>
          <w:kern w:val="22"/>
          <w:sz w:val="22"/>
          <w:szCs w:val="22"/>
          <w:lang w:val="fr-CA"/>
        </w:rPr>
        <w:t>’</w:t>
      </w:r>
      <w:r w:rsidRPr="007A46C0">
        <w:rPr>
          <w:kern w:val="22"/>
          <w:sz w:val="22"/>
          <w:szCs w:val="22"/>
          <w:lang w:val="fr-CA"/>
        </w:rPr>
        <w:t xml:space="preserve">outil de suivi des décisions </w:t>
      </w:r>
      <w:r w:rsidR="00AD3D27" w:rsidRPr="007A46C0">
        <w:rPr>
          <w:kern w:val="22"/>
          <w:sz w:val="22"/>
          <w:szCs w:val="22"/>
          <w:lang w:val="fr-CA"/>
        </w:rPr>
        <w:t xml:space="preserve">pour chaque décision concernée ou les éléments de </w:t>
      </w:r>
      <w:r w:rsidR="00AD3D27" w:rsidRPr="007A46C0">
        <w:rPr>
          <w:noProof/>
          <w:kern w:val="22"/>
          <w:sz w:val="22"/>
          <w:szCs w:val="22"/>
          <w:lang w:val="fr-CA"/>
        </w:rPr>
        <w:t>celle</w:t>
      </w:r>
      <w:r w:rsidR="00DF1C84">
        <w:rPr>
          <w:noProof/>
          <w:kern w:val="22"/>
          <w:sz w:val="22"/>
          <w:szCs w:val="22"/>
          <w:lang w:val="fr-CA"/>
        </w:rPr>
        <w:noBreakHyphen/>
      </w:r>
      <w:r w:rsidR="00AD3D27" w:rsidRPr="007A46C0">
        <w:rPr>
          <w:noProof/>
          <w:kern w:val="22"/>
          <w:sz w:val="22"/>
          <w:szCs w:val="22"/>
          <w:lang w:val="fr-CA"/>
        </w:rPr>
        <w:t>ci dès</w:t>
      </w:r>
      <w:r w:rsidR="00AD3D27" w:rsidRPr="007A46C0">
        <w:rPr>
          <w:kern w:val="22"/>
          <w:sz w:val="22"/>
          <w:szCs w:val="22"/>
          <w:lang w:val="fr-CA"/>
        </w:rPr>
        <w:t xml:space="preserve"> que de telles notifications sont publiées ou que des documents deviennent disponibles.</w:t>
      </w:r>
    </w:p>
    <w:p w:rsidR="00D666B6" w:rsidRPr="007A46C0" w:rsidRDefault="00AD3D27" w:rsidP="00D03608">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Une fo</w:t>
      </w:r>
      <w:r w:rsidR="00D03608" w:rsidRPr="007A46C0">
        <w:rPr>
          <w:kern w:val="22"/>
          <w:sz w:val="22"/>
          <w:szCs w:val="22"/>
          <w:lang w:val="fr-CA"/>
        </w:rPr>
        <w:t>is que</w:t>
      </w:r>
      <w:r w:rsidRPr="007A46C0">
        <w:rPr>
          <w:kern w:val="22"/>
          <w:sz w:val="22"/>
          <w:szCs w:val="22"/>
          <w:lang w:val="fr-CA"/>
        </w:rPr>
        <w:t xml:space="preserve"> l</w:t>
      </w:r>
      <w:r w:rsidR="00DF1C84">
        <w:rPr>
          <w:kern w:val="22"/>
          <w:sz w:val="22"/>
          <w:szCs w:val="22"/>
          <w:lang w:val="fr-CA"/>
        </w:rPr>
        <w:t>’</w:t>
      </w:r>
      <w:r w:rsidRPr="007A46C0">
        <w:rPr>
          <w:kern w:val="22"/>
          <w:sz w:val="22"/>
          <w:szCs w:val="22"/>
          <w:lang w:val="fr-CA"/>
        </w:rPr>
        <w:t>élaboration de l</w:t>
      </w:r>
      <w:r w:rsidR="00DF1C84">
        <w:rPr>
          <w:kern w:val="22"/>
          <w:sz w:val="22"/>
          <w:szCs w:val="22"/>
          <w:lang w:val="fr-CA"/>
        </w:rPr>
        <w:t>’</w:t>
      </w:r>
      <w:r w:rsidRPr="007A46C0">
        <w:rPr>
          <w:kern w:val="22"/>
          <w:sz w:val="22"/>
          <w:szCs w:val="22"/>
          <w:lang w:val="fr-CA"/>
        </w:rPr>
        <w:t xml:space="preserve">outil de suivi des décisions sera complété avec des fonctions de recherche et de filtrage </w:t>
      </w:r>
      <w:r w:rsidR="00D03608" w:rsidRPr="007A46C0">
        <w:rPr>
          <w:kern w:val="22"/>
          <w:sz w:val="22"/>
          <w:szCs w:val="22"/>
          <w:lang w:val="fr-CA"/>
        </w:rPr>
        <w:t>activées, l</w:t>
      </w:r>
      <w:r w:rsidR="00DF1C84">
        <w:rPr>
          <w:kern w:val="22"/>
          <w:sz w:val="22"/>
          <w:szCs w:val="22"/>
          <w:lang w:val="fr-CA"/>
        </w:rPr>
        <w:t>’</w:t>
      </w:r>
      <w:r w:rsidR="00D03608" w:rsidRPr="007A46C0">
        <w:rPr>
          <w:kern w:val="22"/>
          <w:sz w:val="22"/>
          <w:szCs w:val="22"/>
          <w:lang w:val="fr-CA"/>
        </w:rPr>
        <w:t>outil</w:t>
      </w:r>
      <w:r w:rsidRPr="007A46C0">
        <w:rPr>
          <w:kern w:val="22"/>
          <w:sz w:val="22"/>
          <w:szCs w:val="22"/>
          <w:lang w:val="fr-CA"/>
        </w:rPr>
        <w:t xml:space="preserve"> brossera un tableau complet de l</w:t>
      </w:r>
      <w:r w:rsidR="00DF1C84">
        <w:rPr>
          <w:kern w:val="22"/>
          <w:sz w:val="22"/>
          <w:szCs w:val="22"/>
          <w:lang w:val="fr-CA"/>
        </w:rPr>
        <w:t>’</w:t>
      </w:r>
      <w:r w:rsidRPr="007A46C0">
        <w:rPr>
          <w:kern w:val="22"/>
          <w:sz w:val="22"/>
          <w:szCs w:val="22"/>
          <w:lang w:val="fr-CA"/>
        </w:rPr>
        <w:t>état de la mise en œuvre des décisions prises à l</w:t>
      </w:r>
      <w:r w:rsidR="00DF1C84">
        <w:rPr>
          <w:kern w:val="22"/>
          <w:sz w:val="22"/>
          <w:szCs w:val="22"/>
          <w:lang w:val="fr-CA"/>
        </w:rPr>
        <w:t>’</w:t>
      </w:r>
      <w:r w:rsidRPr="007A46C0">
        <w:rPr>
          <w:kern w:val="22"/>
          <w:sz w:val="22"/>
          <w:szCs w:val="22"/>
          <w:lang w:val="fr-CA"/>
        </w:rPr>
        <w:t>échelle mondiale et permettra aux Parties de l</w:t>
      </w:r>
      <w:r w:rsidR="00DF1C84">
        <w:rPr>
          <w:kern w:val="22"/>
          <w:sz w:val="22"/>
          <w:szCs w:val="22"/>
          <w:lang w:val="fr-CA"/>
        </w:rPr>
        <w:t>’</w:t>
      </w:r>
      <w:r w:rsidRPr="007A46C0">
        <w:rPr>
          <w:kern w:val="22"/>
          <w:sz w:val="22"/>
          <w:szCs w:val="22"/>
          <w:lang w:val="fr-CA"/>
        </w:rPr>
        <w:t>utiliser comme une liste de contrôle</w:t>
      </w:r>
      <w:r w:rsidR="00D03608" w:rsidRPr="007A46C0">
        <w:rPr>
          <w:kern w:val="22"/>
          <w:sz w:val="22"/>
          <w:szCs w:val="22"/>
          <w:lang w:val="fr-CA"/>
        </w:rPr>
        <w:t xml:space="preserve"> pour vérifier le statut des décisions qui nécessitent la prise de certaines mesures de leur part. Ces informations permettront de facilement distinguer les décisions qui ont été abordées de celles qui sont encore en instance/ attente.</w:t>
      </w:r>
    </w:p>
    <w:p w:rsidR="00196773" w:rsidRPr="007A46C0" w:rsidRDefault="00DA7A5E" w:rsidP="003349A9">
      <w:pPr>
        <w:pStyle w:val="Para1"/>
        <w:suppressLineNumbers/>
        <w:suppressAutoHyphens/>
        <w:spacing w:before="120"/>
        <w:rPr>
          <w:rFonts w:eastAsia="Malgun Gothic"/>
          <w:i/>
          <w:kern w:val="22"/>
          <w:sz w:val="22"/>
          <w:szCs w:val="22"/>
          <w:lang w:val="fr-CA"/>
        </w:rPr>
      </w:pPr>
      <w:r w:rsidRPr="007A46C0">
        <w:rPr>
          <w:rFonts w:eastAsia="Malgun Gothic"/>
          <w:i/>
          <w:kern w:val="22"/>
          <w:sz w:val="22"/>
          <w:szCs w:val="22"/>
          <w:lang w:val="fr-CA"/>
        </w:rPr>
        <w:t>Processus nationaux</w:t>
      </w:r>
      <w:r w:rsidR="003B6F56" w:rsidRPr="007A46C0">
        <w:rPr>
          <w:rFonts w:eastAsia="Malgun Gothic"/>
          <w:i/>
          <w:kern w:val="22"/>
          <w:sz w:val="22"/>
          <w:szCs w:val="22"/>
          <w:lang w:val="fr-CA"/>
        </w:rPr>
        <w:t> : Audits de performance des engagem</w:t>
      </w:r>
      <w:r w:rsidR="003349A9">
        <w:rPr>
          <w:rFonts w:eastAsia="Malgun Gothic"/>
          <w:i/>
          <w:kern w:val="22"/>
          <w:sz w:val="22"/>
          <w:szCs w:val="22"/>
          <w:lang w:val="fr-CA"/>
        </w:rPr>
        <w:t>ents en matière de biodiversité</w:t>
      </w:r>
    </w:p>
    <w:p w:rsidR="00196773" w:rsidRPr="007A46C0" w:rsidRDefault="003B6F56" w:rsidP="002918B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lastRenderedPageBreak/>
        <w:t xml:space="preserve">Le Groupe de travail </w:t>
      </w:r>
      <w:r w:rsidR="00337DFD" w:rsidRPr="007A46C0">
        <w:rPr>
          <w:kern w:val="22"/>
          <w:sz w:val="22"/>
          <w:szCs w:val="22"/>
          <w:lang w:val="fr-CA"/>
        </w:rPr>
        <w:t>sur l</w:t>
      </w:r>
      <w:r w:rsidR="00DF1C84">
        <w:rPr>
          <w:kern w:val="22"/>
          <w:sz w:val="22"/>
          <w:szCs w:val="22"/>
          <w:lang w:val="fr-CA"/>
        </w:rPr>
        <w:t>’</w:t>
      </w:r>
      <w:r w:rsidR="00337DFD" w:rsidRPr="007A46C0">
        <w:rPr>
          <w:kern w:val="22"/>
          <w:sz w:val="22"/>
          <w:szCs w:val="22"/>
          <w:lang w:val="fr-CA"/>
        </w:rPr>
        <w:t>audit environnemental</w:t>
      </w:r>
      <w:r w:rsidR="000059BA" w:rsidRPr="007A46C0">
        <w:rPr>
          <w:kern w:val="22"/>
          <w:sz w:val="22"/>
          <w:szCs w:val="22"/>
          <w:lang w:val="fr-CA"/>
        </w:rPr>
        <w:t xml:space="preserve"> de</w:t>
      </w:r>
      <w:r w:rsidRPr="007A46C0">
        <w:rPr>
          <w:kern w:val="22"/>
          <w:sz w:val="22"/>
          <w:szCs w:val="22"/>
          <w:lang w:val="fr-CA"/>
        </w:rPr>
        <w:t xml:space="preserve"> l</w:t>
      </w:r>
      <w:r w:rsidR="00DF1C84">
        <w:rPr>
          <w:rStyle w:val="FootnoteReference"/>
          <w:b/>
          <w:bCs/>
          <w:u w:val="none"/>
          <w:lang w:val="fr-CA"/>
        </w:rPr>
        <w:t>’</w:t>
      </w:r>
      <w:r w:rsidR="000059BA" w:rsidRPr="007A46C0">
        <w:rPr>
          <w:kern w:val="22"/>
          <w:sz w:val="22"/>
          <w:szCs w:val="22"/>
          <w:lang w:val="fr-CA"/>
        </w:rPr>
        <w:t>Organisation internationale des institutions supérieures de contrôle des finances publiques (INTOSAI) a préparé un document d</w:t>
      </w:r>
      <w:r w:rsidR="00DF1C84">
        <w:rPr>
          <w:kern w:val="22"/>
          <w:sz w:val="22"/>
          <w:szCs w:val="22"/>
          <w:lang w:val="fr-CA"/>
        </w:rPr>
        <w:t>’</w:t>
      </w:r>
      <w:r w:rsidR="000059BA" w:rsidRPr="007A46C0">
        <w:rPr>
          <w:kern w:val="22"/>
          <w:sz w:val="22"/>
          <w:szCs w:val="22"/>
          <w:lang w:val="fr-CA"/>
        </w:rPr>
        <w:t>orientation à l</w:t>
      </w:r>
      <w:r w:rsidR="00DF1C84">
        <w:rPr>
          <w:kern w:val="22"/>
          <w:sz w:val="22"/>
          <w:szCs w:val="22"/>
          <w:lang w:val="fr-CA"/>
        </w:rPr>
        <w:t>’</w:t>
      </w:r>
      <w:r w:rsidR="000059BA" w:rsidRPr="007A46C0">
        <w:rPr>
          <w:kern w:val="22"/>
          <w:sz w:val="22"/>
          <w:szCs w:val="22"/>
          <w:lang w:val="fr-CA"/>
        </w:rPr>
        <w:t>intention des institutions supérieures de contrôle sur les audits de la biodiversité.</w:t>
      </w:r>
      <w:r w:rsidR="000059BA" w:rsidRPr="007A46C0">
        <w:rPr>
          <w:kern w:val="22"/>
          <w:sz w:val="22"/>
          <w:szCs w:val="22"/>
          <w:vertAlign w:val="superscript"/>
          <w:lang w:val="fr-CA"/>
        </w:rPr>
        <w:footnoteReference w:id="14"/>
      </w:r>
      <w:r w:rsidR="000059BA" w:rsidRPr="007A46C0">
        <w:rPr>
          <w:kern w:val="22"/>
          <w:sz w:val="22"/>
          <w:szCs w:val="22"/>
          <w:lang w:val="fr-CA"/>
        </w:rPr>
        <w:t xml:space="preserve"> Sous la conduite des institutions supérieures de contrôle</w:t>
      </w:r>
      <w:r w:rsidR="00D9568C" w:rsidRPr="007A46C0">
        <w:rPr>
          <w:kern w:val="22"/>
          <w:sz w:val="22"/>
          <w:szCs w:val="22"/>
          <w:lang w:val="fr-CA"/>
        </w:rPr>
        <w:t xml:space="preserve"> d</w:t>
      </w:r>
      <w:r w:rsidR="006226E2" w:rsidRPr="007A46C0">
        <w:rPr>
          <w:kern w:val="22"/>
          <w:sz w:val="22"/>
          <w:szCs w:val="22"/>
          <w:lang w:val="fr-CA"/>
        </w:rPr>
        <w:t>e l</w:t>
      </w:r>
      <w:r w:rsidR="00DF1C84">
        <w:rPr>
          <w:kern w:val="22"/>
          <w:sz w:val="22"/>
          <w:szCs w:val="22"/>
          <w:lang w:val="fr-CA"/>
        </w:rPr>
        <w:t>’</w:t>
      </w:r>
      <w:r w:rsidR="006226E2" w:rsidRPr="007A46C0">
        <w:rPr>
          <w:kern w:val="22"/>
          <w:sz w:val="22"/>
          <w:szCs w:val="22"/>
          <w:lang w:val="fr-CA"/>
        </w:rPr>
        <w:t>Indonésie et du</w:t>
      </w:r>
      <w:r w:rsidR="00D9568C" w:rsidRPr="007A46C0">
        <w:rPr>
          <w:kern w:val="22"/>
          <w:sz w:val="22"/>
          <w:szCs w:val="22"/>
          <w:lang w:val="fr-CA"/>
        </w:rPr>
        <w:t xml:space="preserve"> Lesotho et avec l</w:t>
      </w:r>
      <w:r w:rsidR="00DF1C84">
        <w:rPr>
          <w:kern w:val="22"/>
          <w:sz w:val="22"/>
          <w:szCs w:val="22"/>
          <w:lang w:val="fr-CA"/>
        </w:rPr>
        <w:t>’</w:t>
      </w:r>
      <w:r w:rsidR="00D9568C" w:rsidRPr="007A46C0">
        <w:rPr>
          <w:kern w:val="22"/>
          <w:sz w:val="22"/>
          <w:szCs w:val="22"/>
          <w:lang w:val="fr-CA"/>
        </w:rPr>
        <w:t>appui du Secrétariat de la Convention sur la diversité biologique</w:t>
      </w:r>
      <w:r w:rsidR="00337DFD" w:rsidRPr="007A46C0">
        <w:rPr>
          <w:kern w:val="22"/>
          <w:sz w:val="22"/>
          <w:szCs w:val="22"/>
          <w:lang w:val="fr-CA"/>
        </w:rPr>
        <w:t>, le document publié en 2007 sera mis à jour en vue de l</w:t>
      </w:r>
      <w:r w:rsidR="00DF1C84">
        <w:rPr>
          <w:kern w:val="22"/>
          <w:sz w:val="22"/>
          <w:szCs w:val="22"/>
          <w:lang w:val="fr-CA"/>
        </w:rPr>
        <w:t>’</w:t>
      </w:r>
      <w:r w:rsidR="00337DFD" w:rsidRPr="007A46C0">
        <w:rPr>
          <w:kern w:val="22"/>
          <w:sz w:val="22"/>
          <w:szCs w:val="22"/>
          <w:lang w:val="fr-CA"/>
        </w:rPr>
        <w:t>adoption d</w:t>
      </w:r>
      <w:r w:rsidR="00DF1C84">
        <w:rPr>
          <w:kern w:val="22"/>
          <w:sz w:val="22"/>
          <w:szCs w:val="22"/>
          <w:lang w:val="fr-CA"/>
        </w:rPr>
        <w:t>’</w:t>
      </w:r>
      <w:r w:rsidR="00337DFD" w:rsidRPr="007A46C0">
        <w:rPr>
          <w:kern w:val="22"/>
          <w:sz w:val="22"/>
          <w:szCs w:val="22"/>
          <w:lang w:val="fr-CA"/>
        </w:rPr>
        <w:t xml:space="preserve">un document actualisé à </w:t>
      </w:r>
      <w:r w:rsidR="00337DFD" w:rsidRPr="007A46C0">
        <w:rPr>
          <w:noProof/>
          <w:kern w:val="22"/>
          <w:sz w:val="22"/>
          <w:szCs w:val="22"/>
          <w:lang w:val="fr-CA"/>
        </w:rPr>
        <w:t>la dix</w:t>
      </w:r>
      <w:r w:rsidR="00DF1C84">
        <w:rPr>
          <w:noProof/>
          <w:kern w:val="22"/>
          <w:sz w:val="22"/>
          <w:szCs w:val="22"/>
          <w:lang w:val="fr-CA"/>
        </w:rPr>
        <w:noBreakHyphen/>
      </w:r>
      <w:r w:rsidR="00337DFD" w:rsidRPr="007A46C0">
        <w:rPr>
          <w:noProof/>
          <w:kern w:val="22"/>
          <w:sz w:val="22"/>
          <w:szCs w:val="22"/>
          <w:lang w:val="fr-CA"/>
        </w:rPr>
        <w:t>neuvième assemblée du Groupe de travail sur l</w:t>
      </w:r>
      <w:r w:rsidR="00DF1C84">
        <w:rPr>
          <w:noProof/>
          <w:kern w:val="22"/>
          <w:sz w:val="22"/>
          <w:szCs w:val="22"/>
          <w:lang w:val="fr-CA"/>
        </w:rPr>
        <w:t>’</w:t>
      </w:r>
      <w:r w:rsidR="00337DFD" w:rsidRPr="007A46C0">
        <w:rPr>
          <w:noProof/>
          <w:kern w:val="22"/>
          <w:sz w:val="22"/>
          <w:szCs w:val="22"/>
          <w:lang w:val="fr-CA"/>
        </w:rPr>
        <w:t xml:space="preserve">audit environnemental, en septembre 2019. Le </w:t>
      </w:r>
      <w:r w:rsidR="002918B9" w:rsidRPr="007A46C0">
        <w:rPr>
          <w:noProof/>
          <w:kern w:val="22"/>
          <w:sz w:val="22"/>
          <w:szCs w:val="22"/>
          <w:lang w:val="fr-CA"/>
        </w:rPr>
        <w:t>document d</w:t>
      </w:r>
      <w:r w:rsidR="00DF1C84">
        <w:rPr>
          <w:noProof/>
          <w:kern w:val="22"/>
          <w:sz w:val="22"/>
          <w:szCs w:val="22"/>
          <w:lang w:val="fr-CA"/>
        </w:rPr>
        <w:t>’</w:t>
      </w:r>
      <w:r w:rsidR="002918B9" w:rsidRPr="007A46C0">
        <w:rPr>
          <w:noProof/>
          <w:kern w:val="22"/>
          <w:sz w:val="22"/>
          <w:szCs w:val="22"/>
          <w:lang w:val="fr-CA"/>
        </w:rPr>
        <w:t>orientation</w:t>
      </w:r>
      <w:r w:rsidR="00337DFD" w:rsidRPr="007A46C0">
        <w:rPr>
          <w:noProof/>
          <w:kern w:val="22"/>
          <w:sz w:val="22"/>
          <w:szCs w:val="22"/>
          <w:lang w:val="fr-CA"/>
        </w:rPr>
        <w:t xml:space="preserve"> fournit</w:t>
      </w:r>
      <w:r w:rsidR="00337DFD" w:rsidRPr="007A46C0">
        <w:rPr>
          <w:kern w:val="22"/>
          <w:sz w:val="22"/>
          <w:szCs w:val="22"/>
          <w:lang w:val="fr-CA"/>
        </w:rPr>
        <w:t xml:space="preserve"> de multiples exemples de l</w:t>
      </w:r>
      <w:r w:rsidR="00DF1C84">
        <w:rPr>
          <w:kern w:val="22"/>
          <w:sz w:val="22"/>
          <w:szCs w:val="22"/>
          <w:lang w:val="fr-CA"/>
        </w:rPr>
        <w:t>’</w:t>
      </w:r>
      <w:r w:rsidR="00337DFD" w:rsidRPr="007A46C0">
        <w:rPr>
          <w:kern w:val="22"/>
          <w:sz w:val="22"/>
          <w:szCs w:val="22"/>
          <w:lang w:val="fr-CA"/>
        </w:rPr>
        <w:t>utilisation d</w:t>
      </w:r>
      <w:r w:rsidR="00DF1C84">
        <w:rPr>
          <w:kern w:val="22"/>
          <w:sz w:val="22"/>
          <w:szCs w:val="22"/>
          <w:lang w:val="fr-CA"/>
        </w:rPr>
        <w:t>’</w:t>
      </w:r>
      <w:r w:rsidR="00337DFD" w:rsidRPr="007A46C0">
        <w:rPr>
          <w:kern w:val="22"/>
          <w:sz w:val="22"/>
          <w:szCs w:val="22"/>
          <w:lang w:val="fr-CA"/>
        </w:rPr>
        <w:t>audits de performance, et explique le rôle que</w:t>
      </w:r>
      <w:r w:rsidR="002918B9" w:rsidRPr="007A46C0">
        <w:rPr>
          <w:kern w:val="22"/>
          <w:sz w:val="22"/>
          <w:szCs w:val="22"/>
          <w:lang w:val="fr-CA"/>
        </w:rPr>
        <w:t xml:space="preserve"> les</w:t>
      </w:r>
      <w:r w:rsidR="00337DFD" w:rsidRPr="007A46C0">
        <w:rPr>
          <w:kern w:val="22"/>
          <w:sz w:val="22"/>
          <w:szCs w:val="22"/>
          <w:lang w:val="fr-CA"/>
        </w:rPr>
        <w:t xml:space="preserve"> institutions supérieures de contrôle nationales peuvent jouer dans l</w:t>
      </w:r>
      <w:r w:rsidR="00DF1C84">
        <w:rPr>
          <w:kern w:val="22"/>
          <w:sz w:val="22"/>
          <w:szCs w:val="22"/>
          <w:lang w:val="fr-CA"/>
        </w:rPr>
        <w:t>’</w:t>
      </w:r>
      <w:r w:rsidR="00337DFD" w:rsidRPr="007A46C0">
        <w:rPr>
          <w:kern w:val="22"/>
          <w:sz w:val="22"/>
          <w:szCs w:val="22"/>
          <w:lang w:val="fr-CA"/>
        </w:rPr>
        <w:t>évaluation de la mesure dans laquelle les actions relatives à la biodiversité prévues au niveau national ont été mises en œuvre, la rentabilité de telles actions, et la mesure dans laquelle les résultats escomptés</w:t>
      </w:r>
      <w:r w:rsidR="004F1226" w:rsidRPr="007A46C0">
        <w:rPr>
          <w:kern w:val="22"/>
          <w:sz w:val="22"/>
          <w:szCs w:val="22"/>
          <w:lang w:val="fr-CA"/>
        </w:rPr>
        <w:t xml:space="preserve"> émanant de ces actions ont été atteints. De nombreux exemples décrits dans le document d</w:t>
      </w:r>
      <w:r w:rsidR="00DF1C84">
        <w:rPr>
          <w:kern w:val="22"/>
          <w:sz w:val="22"/>
          <w:szCs w:val="22"/>
          <w:lang w:val="fr-CA"/>
        </w:rPr>
        <w:t>’</w:t>
      </w:r>
      <w:r w:rsidR="004F1226" w:rsidRPr="007A46C0">
        <w:rPr>
          <w:kern w:val="22"/>
          <w:sz w:val="22"/>
          <w:szCs w:val="22"/>
          <w:lang w:val="fr-CA"/>
        </w:rPr>
        <w:t>orientation sont axés sur l</w:t>
      </w:r>
      <w:r w:rsidR="00DF1C84">
        <w:rPr>
          <w:kern w:val="22"/>
          <w:sz w:val="22"/>
          <w:szCs w:val="22"/>
          <w:lang w:val="fr-CA"/>
        </w:rPr>
        <w:t>’</w:t>
      </w:r>
      <w:r w:rsidR="004F1226" w:rsidRPr="007A46C0">
        <w:rPr>
          <w:kern w:val="22"/>
          <w:sz w:val="22"/>
          <w:szCs w:val="22"/>
          <w:lang w:val="fr-CA"/>
        </w:rPr>
        <w:t>audit d</w:t>
      </w:r>
      <w:r w:rsidR="00DF1C84">
        <w:rPr>
          <w:kern w:val="22"/>
          <w:sz w:val="22"/>
          <w:szCs w:val="22"/>
          <w:lang w:val="fr-CA"/>
        </w:rPr>
        <w:t>’</w:t>
      </w:r>
      <w:r w:rsidR="004F1226" w:rsidRPr="007A46C0">
        <w:rPr>
          <w:kern w:val="22"/>
          <w:sz w:val="22"/>
          <w:szCs w:val="22"/>
          <w:lang w:val="fr-CA"/>
        </w:rPr>
        <w:t>une question thématique spécifique.</w:t>
      </w:r>
    </w:p>
    <w:p w:rsidR="00196773" w:rsidRPr="007A46C0" w:rsidRDefault="002918B9" w:rsidP="00C23161">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Un exemple d</w:t>
      </w:r>
      <w:r w:rsidR="00DF1C84">
        <w:rPr>
          <w:kern w:val="22"/>
          <w:sz w:val="22"/>
          <w:szCs w:val="22"/>
          <w:lang w:val="fr-CA"/>
        </w:rPr>
        <w:t>’</w:t>
      </w:r>
      <w:r w:rsidRPr="007A46C0">
        <w:rPr>
          <w:kern w:val="22"/>
          <w:sz w:val="22"/>
          <w:szCs w:val="22"/>
          <w:lang w:val="fr-CA"/>
        </w:rPr>
        <w:t>un audit plus large est le mandat, confié par le Parlement canadien au Bureau du vérificateur général du Canada, d</w:t>
      </w:r>
      <w:r w:rsidR="00DF1C84">
        <w:rPr>
          <w:kern w:val="22"/>
          <w:sz w:val="22"/>
          <w:szCs w:val="22"/>
          <w:lang w:val="fr-CA"/>
        </w:rPr>
        <w:t>’</w:t>
      </w:r>
      <w:r w:rsidRPr="007A46C0">
        <w:rPr>
          <w:kern w:val="22"/>
          <w:sz w:val="22"/>
          <w:szCs w:val="22"/>
          <w:lang w:val="fr-CA"/>
        </w:rPr>
        <w:t>entreprendre un audit de performance de plusieurs des objectifs et cibles en matière de biodiversité pour</w:t>
      </w:r>
      <w:r w:rsidR="00DF1C84">
        <w:rPr>
          <w:kern w:val="22"/>
          <w:sz w:val="22"/>
          <w:szCs w:val="22"/>
          <w:lang w:val="fr-CA"/>
        </w:rPr>
        <w:t> 2020</w:t>
      </w:r>
      <w:r w:rsidRPr="007A46C0">
        <w:rPr>
          <w:kern w:val="22"/>
          <w:sz w:val="22"/>
          <w:szCs w:val="22"/>
          <w:lang w:val="fr-CA"/>
        </w:rPr>
        <w:t xml:space="preserve"> pour le Canada.</w:t>
      </w:r>
      <w:r w:rsidRPr="007A46C0">
        <w:rPr>
          <w:kern w:val="22"/>
          <w:sz w:val="22"/>
          <w:szCs w:val="22"/>
          <w:vertAlign w:val="superscript"/>
          <w:lang w:val="fr-CA"/>
        </w:rPr>
        <w:footnoteReference w:id="15"/>
      </w:r>
      <w:r w:rsidRPr="007A46C0">
        <w:rPr>
          <w:kern w:val="22"/>
          <w:sz w:val="22"/>
          <w:szCs w:val="22"/>
          <w:lang w:val="fr-CA"/>
        </w:rPr>
        <w:t xml:space="preserve"> L</w:t>
      </w:r>
      <w:r w:rsidR="00DF1C84">
        <w:rPr>
          <w:kern w:val="22"/>
          <w:sz w:val="22"/>
          <w:szCs w:val="22"/>
          <w:lang w:val="fr-CA"/>
        </w:rPr>
        <w:t>’</w:t>
      </w:r>
      <w:r w:rsidRPr="007A46C0">
        <w:rPr>
          <w:kern w:val="22"/>
          <w:sz w:val="22"/>
          <w:szCs w:val="22"/>
          <w:lang w:val="fr-CA"/>
        </w:rPr>
        <w:t>audit cherche</w:t>
      </w:r>
      <w:r w:rsidR="0044185D" w:rsidRPr="007A46C0">
        <w:rPr>
          <w:kern w:val="22"/>
          <w:sz w:val="22"/>
          <w:szCs w:val="22"/>
          <w:lang w:val="fr-CA"/>
        </w:rPr>
        <w:t xml:space="preserve"> à élucider le rôle de leadership et de coordination du ministère de l</w:t>
      </w:r>
      <w:r w:rsidR="00DF1C84">
        <w:rPr>
          <w:kern w:val="22"/>
          <w:sz w:val="22"/>
          <w:szCs w:val="22"/>
          <w:lang w:val="fr-CA"/>
        </w:rPr>
        <w:t>’</w:t>
      </w:r>
      <w:r w:rsidR="0044185D" w:rsidRPr="007A46C0">
        <w:rPr>
          <w:kern w:val="22"/>
          <w:sz w:val="22"/>
          <w:szCs w:val="22"/>
          <w:lang w:val="fr-CA"/>
        </w:rPr>
        <w:t>Environnement et du Changement climatique du Canada sur la voie de la réalisation des objectifs fixés, et à déterminer l</w:t>
      </w:r>
      <w:r w:rsidR="00DF1C84">
        <w:rPr>
          <w:kern w:val="22"/>
          <w:sz w:val="22"/>
          <w:szCs w:val="22"/>
          <w:lang w:val="fr-CA"/>
        </w:rPr>
        <w:t>’</w:t>
      </w:r>
      <w:r w:rsidR="0044185D" w:rsidRPr="007A46C0">
        <w:rPr>
          <w:kern w:val="22"/>
          <w:sz w:val="22"/>
          <w:szCs w:val="22"/>
          <w:lang w:val="fr-CA"/>
        </w:rPr>
        <w:t>efficacité de la contribution d</w:t>
      </w:r>
      <w:r w:rsidR="00DF1C84">
        <w:rPr>
          <w:kern w:val="22"/>
          <w:sz w:val="22"/>
          <w:szCs w:val="22"/>
          <w:lang w:val="fr-CA"/>
        </w:rPr>
        <w:t>’</w:t>
      </w:r>
      <w:r w:rsidR="0044185D" w:rsidRPr="007A46C0">
        <w:rPr>
          <w:kern w:val="22"/>
          <w:sz w:val="22"/>
          <w:szCs w:val="22"/>
          <w:lang w:val="fr-CA"/>
        </w:rPr>
        <w:t>autres ministères et agences fédéraux à ce processus. Il examine également l</w:t>
      </w:r>
      <w:r w:rsidR="00DF1C84">
        <w:rPr>
          <w:kern w:val="22"/>
          <w:sz w:val="22"/>
          <w:szCs w:val="22"/>
          <w:lang w:val="fr-CA"/>
        </w:rPr>
        <w:t>’</w:t>
      </w:r>
      <w:r w:rsidR="0044185D" w:rsidRPr="007A46C0">
        <w:rPr>
          <w:kern w:val="22"/>
          <w:sz w:val="22"/>
          <w:szCs w:val="22"/>
          <w:lang w:val="fr-CA"/>
        </w:rPr>
        <w:t>efficacité du ministère dans la présentation de rapports sur les progrès et les risques découlant de progrès insuffisants dans la réalisation de ces objectifs.</w:t>
      </w:r>
      <w:r w:rsidR="0044185D" w:rsidRPr="007A46C0">
        <w:rPr>
          <w:kern w:val="22"/>
          <w:sz w:val="22"/>
          <w:szCs w:val="22"/>
          <w:vertAlign w:val="superscript"/>
          <w:lang w:val="fr-CA"/>
        </w:rPr>
        <w:footnoteReference w:id="16"/>
      </w:r>
    </w:p>
    <w:p w:rsidR="00196773" w:rsidRPr="007A46C0" w:rsidRDefault="00C23161" w:rsidP="003349A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Les audits</w:t>
      </w:r>
      <w:r w:rsidR="00F44BBD" w:rsidRPr="007A46C0">
        <w:rPr>
          <w:kern w:val="22"/>
          <w:sz w:val="22"/>
          <w:szCs w:val="22"/>
          <w:lang w:val="fr-CA"/>
        </w:rPr>
        <w:t xml:space="preserve"> sur la biodiversité, habituellement mandatés par les parlements ou d</w:t>
      </w:r>
      <w:r w:rsidR="00DF1C84">
        <w:rPr>
          <w:kern w:val="22"/>
          <w:sz w:val="22"/>
          <w:szCs w:val="22"/>
          <w:lang w:val="fr-CA"/>
        </w:rPr>
        <w:t>’</w:t>
      </w:r>
      <w:r w:rsidR="00F44BBD" w:rsidRPr="007A46C0">
        <w:rPr>
          <w:kern w:val="22"/>
          <w:sz w:val="22"/>
          <w:szCs w:val="22"/>
          <w:lang w:val="fr-CA"/>
        </w:rPr>
        <w:t xml:space="preserve">autres organes législatifs équivalents, </w:t>
      </w:r>
      <w:r w:rsidR="00FB2A6B" w:rsidRPr="007A46C0">
        <w:rPr>
          <w:kern w:val="22"/>
          <w:sz w:val="22"/>
          <w:szCs w:val="22"/>
          <w:lang w:val="fr-CA"/>
        </w:rPr>
        <w:t>peuvent sensiblement contribuer à l</w:t>
      </w:r>
      <w:r w:rsidR="00DF1C84">
        <w:rPr>
          <w:kern w:val="22"/>
          <w:sz w:val="22"/>
          <w:szCs w:val="22"/>
          <w:lang w:val="fr-CA"/>
        </w:rPr>
        <w:t>’</w:t>
      </w:r>
      <w:r w:rsidR="00FB2A6B" w:rsidRPr="007A46C0">
        <w:rPr>
          <w:kern w:val="22"/>
          <w:sz w:val="22"/>
          <w:szCs w:val="22"/>
          <w:lang w:val="fr-CA"/>
        </w:rPr>
        <w:t>intégration du programme sur la diversité biologique et à renforcer la cohérence des politiques au niveau national, en analysant et en faisant ressortir la manière dont les interactions politiques entre divers domaines d</w:t>
      </w:r>
      <w:r w:rsidR="00DF1C84">
        <w:rPr>
          <w:kern w:val="22"/>
          <w:sz w:val="22"/>
          <w:szCs w:val="22"/>
          <w:lang w:val="fr-CA"/>
        </w:rPr>
        <w:t>’</w:t>
      </w:r>
      <w:r w:rsidR="00FB2A6B" w:rsidRPr="007A46C0">
        <w:rPr>
          <w:kern w:val="22"/>
          <w:sz w:val="22"/>
          <w:szCs w:val="22"/>
          <w:lang w:val="fr-CA"/>
        </w:rPr>
        <w:t>activité facilitent ou entravent la réalisation des résultats en matière de biodiversité, et dans certains cas</w:t>
      </w:r>
      <w:r w:rsidR="00140F31" w:rsidRPr="007A46C0">
        <w:rPr>
          <w:kern w:val="22"/>
          <w:sz w:val="22"/>
          <w:szCs w:val="22"/>
          <w:lang w:val="fr-CA"/>
        </w:rPr>
        <w:t>,</w:t>
      </w:r>
      <w:r w:rsidR="00FB2A6B" w:rsidRPr="007A46C0">
        <w:rPr>
          <w:kern w:val="22"/>
          <w:sz w:val="22"/>
          <w:szCs w:val="22"/>
          <w:lang w:val="fr-CA"/>
        </w:rPr>
        <w:t xml:space="preserve"> en offrant des options de rechange ou d</w:t>
      </w:r>
      <w:r w:rsidR="00DF1C84">
        <w:rPr>
          <w:kern w:val="22"/>
          <w:sz w:val="22"/>
          <w:szCs w:val="22"/>
          <w:lang w:val="fr-CA"/>
        </w:rPr>
        <w:t>’</w:t>
      </w:r>
      <w:r w:rsidR="00FB2A6B" w:rsidRPr="007A46C0">
        <w:rPr>
          <w:kern w:val="22"/>
          <w:sz w:val="22"/>
          <w:szCs w:val="22"/>
          <w:lang w:val="fr-CA"/>
        </w:rPr>
        <w:t>autres voies plus efficaces pour atteindre les résultats escomptés. Il pourrait donc être dans l</w:t>
      </w:r>
      <w:r w:rsidR="00DF1C84">
        <w:rPr>
          <w:kern w:val="22"/>
          <w:sz w:val="22"/>
          <w:szCs w:val="22"/>
          <w:lang w:val="fr-CA"/>
        </w:rPr>
        <w:t>’</w:t>
      </w:r>
      <w:r w:rsidR="00FB2A6B" w:rsidRPr="007A46C0">
        <w:rPr>
          <w:kern w:val="22"/>
          <w:sz w:val="22"/>
          <w:szCs w:val="22"/>
          <w:lang w:val="fr-CA"/>
        </w:rPr>
        <w:t xml:space="preserve">intérêt des institutions nationales chargées de la mise en œuvre </w:t>
      </w:r>
      <w:r w:rsidR="00773A17" w:rsidRPr="007A46C0">
        <w:rPr>
          <w:kern w:val="22"/>
          <w:sz w:val="22"/>
          <w:szCs w:val="22"/>
          <w:lang w:val="fr-CA"/>
        </w:rPr>
        <w:t>du programme sur la diversité biologique de promouvoir la collaboration avec l</w:t>
      </w:r>
      <w:r w:rsidR="00DF1C84">
        <w:rPr>
          <w:kern w:val="22"/>
          <w:sz w:val="22"/>
          <w:szCs w:val="22"/>
          <w:lang w:val="fr-CA"/>
        </w:rPr>
        <w:t>’</w:t>
      </w:r>
      <w:r w:rsidR="00773A17" w:rsidRPr="007A46C0">
        <w:rPr>
          <w:kern w:val="22"/>
          <w:sz w:val="22"/>
          <w:szCs w:val="22"/>
          <w:lang w:val="fr-CA"/>
        </w:rPr>
        <w:t>institution supérieure de contrôle</w:t>
      </w:r>
      <w:r w:rsidR="00EE1057" w:rsidRPr="007A46C0">
        <w:rPr>
          <w:kern w:val="22"/>
          <w:sz w:val="22"/>
          <w:szCs w:val="22"/>
          <w:lang w:val="fr-CA"/>
        </w:rPr>
        <w:t xml:space="preserve"> sur l</w:t>
      </w:r>
      <w:r w:rsidR="00B76E20" w:rsidRPr="007A46C0">
        <w:rPr>
          <w:kern w:val="22"/>
          <w:sz w:val="22"/>
          <w:szCs w:val="22"/>
          <w:lang w:val="fr-CA"/>
        </w:rPr>
        <w:t>es audits</w:t>
      </w:r>
      <w:r w:rsidR="00773A17" w:rsidRPr="007A46C0">
        <w:rPr>
          <w:kern w:val="22"/>
          <w:sz w:val="22"/>
          <w:szCs w:val="22"/>
          <w:lang w:val="fr-CA"/>
        </w:rPr>
        <w:t xml:space="preserve"> du p</w:t>
      </w:r>
      <w:r w:rsidR="003349A9">
        <w:rPr>
          <w:kern w:val="22"/>
          <w:sz w:val="22"/>
          <w:szCs w:val="22"/>
          <w:lang w:val="fr-CA"/>
        </w:rPr>
        <w:t xml:space="preserve">ays pour évaluer la </w:t>
      </w:r>
      <w:r w:rsidR="00773A17" w:rsidRPr="007A46C0">
        <w:rPr>
          <w:kern w:val="22"/>
          <w:sz w:val="22"/>
          <w:szCs w:val="22"/>
          <w:lang w:val="fr-CA"/>
        </w:rPr>
        <w:t>l</w:t>
      </w:r>
      <w:r w:rsidR="00DF1C84">
        <w:rPr>
          <w:kern w:val="22"/>
          <w:sz w:val="22"/>
          <w:szCs w:val="22"/>
          <w:lang w:val="fr-CA"/>
        </w:rPr>
        <w:t>’</w:t>
      </w:r>
      <w:r w:rsidR="00773A17" w:rsidRPr="007A46C0">
        <w:rPr>
          <w:kern w:val="22"/>
          <w:sz w:val="22"/>
          <w:szCs w:val="22"/>
          <w:lang w:val="fr-CA"/>
        </w:rPr>
        <w:t>aptitude des cadres politique et économique du pays</w:t>
      </w:r>
      <w:r w:rsidR="00140F31" w:rsidRPr="007A46C0">
        <w:rPr>
          <w:kern w:val="22"/>
          <w:sz w:val="22"/>
          <w:szCs w:val="22"/>
          <w:lang w:val="fr-CA"/>
        </w:rPr>
        <w:t xml:space="preserve"> à réaliser les objectifs nationaux en matière de biodiversité.</w:t>
      </w:r>
      <w:r w:rsidR="00140F31" w:rsidRPr="007A46C0">
        <w:rPr>
          <w:kern w:val="22"/>
          <w:sz w:val="22"/>
          <w:szCs w:val="22"/>
          <w:vertAlign w:val="superscript"/>
          <w:lang w:val="fr-CA"/>
        </w:rPr>
        <w:footnoteReference w:id="17"/>
      </w:r>
      <w:r w:rsidR="00196773" w:rsidRPr="007A46C0">
        <w:rPr>
          <w:kern w:val="22"/>
          <w:sz w:val="22"/>
          <w:szCs w:val="22"/>
          <w:lang w:val="fr-CA"/>
        </w:rPr>
        <w:t>.</w:t>
      </w:r>
    </w:p>
    <w:p w:rsidR="00196773" w:rsidRPr="007A46C0" w:rsidRDefault="00140F31" w:rsidP="00B26B06">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Le</w:t>
      </w:r>
      <w:r w:rsidR="00856591" w:rsidRPr="007A46C0">
        <w:rPr>
          <w:kern w:val="22"/>
          <w:sz w:val="22"/>
          <w:szCs w:val="22"/>
          <w:lang w:val="fr-CA"/>
        </w:rPr>
        <w:t>s termes du</w:t>
      </w:r>
      <w:r w:rsidRPr="007A46C0">
        <w:rPr>
          <w:kern w:val="22"/>
          <w:sz w:val="22"/>
          <w:szCs w:val="22"/>
          <w:lang w:val="fr-CA"/>
        </w:rPr>
        <w:t xml:space="preserve"> mandat de l</w:t>
      </w:r>
      <w:r w:rsidR="00DF1C84">
        <w:rPr>
          <w:kern w:val="22"/>
          <w:sz w:val="22"/>
          <w:szCs w:val="22"/>
          <w:lang w:val="fr-CA"/>
        </w:rPr>
        <w:t>’</w:t>
      </w:r>
      <w:r w:rsidR="00856591" w:rsidRPr="007A46C0">
        <w:rPr>
          <w:kern w:val="22"/>
          <w:sz w:val="22"/>
          <w:szCs w:val="22"/>
          <w:lang w:val="fr-CA"/>
        </w:rPr>
        <w:t>audit sont</w:t>
      </w:r>
      <w:r w:rsidRPr="007A46C0">
        <w:rPr>
          <w:kern w:val="22"/>
          <w:sz w:val="22"/>
          <w:szCs w:val="22"/>
          <w:lang w:val="fr-CA"/>
        </w:rPr>
        <w:t xml:space="preserve"> </w:t>
      </w:r>
      <w:r w:rsidR="00856591" w:rsidRPr="007A46C0">
        <w:rPr>
          <w:kern w:val="22"/>
          <w:sz w:val="22"/>
          <w:szCs w:val="22"/>
          <w:lang w:val="fr-CA"/>
        </w:rPr>
        <w:t>des</w:t>
      </w:r>
      <w:r w:rsidRPr="007A46C0">
        <w:rPr>
          <w:kern w:val="22"/>
          <w:sz w:val="22"/>
          <w:szCs w:val="22"/>
          <w:lang w:val="fr-CA"/>
        </w:rPr>
        <w:t xml:space="preserve"> facteur</w:t>
      </w:r>
      <w:r w:rsidR="00856591" w:rsidRPr="007A46C0">
        <w:rPr>
          <w:kern w:val="22"/>
          <w:sz w:val="22"/>
          <w:szCs w:val="22"/>
          <w:lang w:val="fr-CA"/>
        </w:rPr>
        <w:t>s</w:t>
      </w:r>
      <w:r w:rsidRPr="007A46C0">
        <w:rPr>
          <w:kern w:val="22"/>
          <w:sz w:val="22"/>
          <w:szCs w:val="22"/>
          <w:lang w:val="fr-CA"/>
        </w:rPr>
        <w:t xml:space="preserve"> décisif</w:t>
      </w:r>
      <w:r w:rsidR="00856591" w:rsidRPr="007A46C0">
        <w:rPr>
          <w:kern w:val="22"/>
          <w:sz w:val="22"/>
          <w:szCs w:val="22"/>
          <w:lang w:val="fr-CA"/>
        </w:rPr>
        <w:t>s</w:t>
      </w:r>
      <w:r w:rsidRPr="007A46C0">
        <w:rPr>
          <w:kern w:val="22"/>
          <w:sz w:val="22"/>
          <w:szCs w:val="22"/>
          <w:lang w:val="fr-CA"/>
        </w:rPr>
        <w:t xml:space="preserve"> pour atteindre des résultats positifs pour la biodiversité.</w:t>
      </w:r>
      <w:r w:rsidR="00856591" w:rsidRPr="007A46C0">
        <w:rPr>
          <w:kern w:val="22"/>
          <w:sz w:val="22"/>
          <w:szCs w:val="22"/>
          <w:lang w:val="fr-CA"/>
        </w:rPr>
        <w:t xml:space="preserve"> </w:t>
      </w:r>
      <w:r w:rsidR="00587B32" w:rsidRPr="007A46C0">
        <w:rPr>
          <w:kern w:val="22"/>
          <w:sz w:val="22"/>
          <w:szCs w:val="22"/>
          <w:lang w:val="fr-CA"/>
        </w:rPr>
        <w:t>Ils peuvent être habilitants et promouvoir l</w:t>
      </w:r>
      <w:r w:rsidR="00DF1C84">
        <w:rPr>
          <w:kern w:val="22"/>
          <w:sz w:val="22"/>
          <w:szCs w:val="22"/>
          <w:lang w:val="fr-CA"/>
        </w:rPr>
        <w:t>’</w:t>
      </w:r>
      <w:r w:rsidR="00587B32" w:rsidRPr="007A46C0">
        <w:rPr>
          <w:kern w:val="22"/>
          <w:sz w:val="22"/>
          <w:szCs w:val="22"/>
          <w:lang w:val="fr-CA"/>
        </w:rPr>
        <w:t>intégration de la biodiversité, la cohérence politique et une approche</w:t>
      </w:r>
      <w:r w:rsidRPr="007A46C0">
        <w:rPr>
          <w:kern w:val="22"/>
          <w:sz w:val="22"/>
          <w:szCs w:val="22"/>
          <w:lang w:val="fr-CA"/>
        </w:rPr>
        <w:t xml:space="preserve"> </w:t>
      </w:r>
      <w:r w:rsidR="00587B32" w:rsidRPr="007A46C0">
        <w:rPr>
          <w:kern w:val="22"/>
          <w:sz w:val="22"/>
          <w:szCs w:val="22"/>
          <w:lang w:val="fr-CA"/>
        </w:rPr>
        <w:t>pangouvernementale pour la prise de décisions, et ils devraient idéalement ne pas se limiter aux considérations relatives à l</w:t>
      </w:r>
      <w:r w:rsidR="00DF1C84">
        <w:rPr>
          <w:kern w:val="22"/>
          <w:sz w:val="22"/>
          <w:szCs w:val="22"/>
          <w:lang w:val="fr-CA"/>
        </w:rPr>
        <w:t>’</w:t>
      </w:r>
      <w:r w:rsidR="00587B32" w:rsidRPr="007A46C0">
        <w:rPr>
          <w:kern w:val="22"/>
          <w:sz w:val="22"/>
          <w:szCs w:val="22"/>
          <w:lang w:val="fr-CA"/>
        </w:rPr>
        <w:t xml:space="preserve">utilisation des ressources financières. </w:t>
      </w:r>
      <w:r w:rsidR="00B15AB4" w:rsidRPr="007A46C0">
        <w:rPr>
          <w:kern w:val="22"/>
          <w:sz w:val="22"/>
          <w:szCs w:val="22"/>
          <w:lang w:val="fr-CA"/>
        </w:rPr>
        <w:t>Étant donné que les institutions de contrôle sur les audits ont établi des méthodologies pour évaluer l</w:t>
      </w:r>
      <w:r w:rsidR="00DF1C84">
        <w:rPr>
          <w:kern w:val="22"/>
          <w:sz w:val="22"/>
          <w:szCs w:val="22"/>
          <w:lang w:val="fr-CA"/>
        </w:rPr>
        <w:t>’</w:t>
      </w:r>
      <w:r w:rsidR="00B15AB4" w:rsidRPr="007A46C0">
        <w:rPr>
          <w:kern w:val="22"/>
          <w:sz w:val="22"/>
          <w:szCs w:val="22"/>
          <w:lang w:val="fr-CA"/>
        </w:rPr>
        <w:t>efficacité de mesures</w:t>
      </w:r>
      <w:r w:rsidR="009A3C8A" w:rsidRPr="007A46C0">
        <w:rPr>
          <w:kern w:val="22"/>
          <w:sz w:val="22"/>
          <w:szCs w:val="22"/>
          <w:lang w:val="fr-CA"/>
        </w:rPr>
        <w:t xml:space="preserve"> prises</w:t>
      </w:r>
      <w:r w:rsidR="00B15AB4" w:rsidRPr="007A46C0">
        <w:rPr>
          <w:kern w:val="22"/>
          <w:sz w:val="22"/>
          <w:szCs w:val="22"/>
          <w:lang w:val="fr-CA"/>
        </w:rPr>
        <w:t xml:space="preserve"> </w:t>
      </w:r>
      <w:r w:rsidR="009A3C8A" w:rsidRPr="007A46C0">
        <w:rPr>
          <w:kern w:val="22"/>
          <w:sz w:val="22"/>
          <w:szCs w:val="22"/>
          <w:lang w:val="fr-CA"/>
        </w:rPr>
        <w:t>dans le cadre</w:t>
      </w:r>
      <w:r w:rsidR="00B15AB4" w:rsidRPr="007A46C0">
        <w:rPr>
          <w:kern w:val="22"/>
          <w:sz w:val="22"/>
          <w:szCs w:val="22"/>
          <w:lang w:val="fr-CA"/>
        </w:rPr>
        <w:t xml:space="preserve"> de plans et stratégies et institutions </w:t>
      </w:r>
      <w:r w:rsidR="009A3C8A" w:rsidRPr="007A46C0">
        <w:rPr>
          <w:kern w:val="22"/>
          <w:sz w:val="22"/>
          <w:szCs w:val="22"/>
          <w:lang w:val="fr-CA"/>
        </w:rPr>
        <w:t xml:space="preserve">nationaux </w:t>
      </w:r>
      <w:r w:rsidR="00B15AB4" w:rsidRPr="007A46C0">
        <w:rPr>
          <w:kern w:val="22"/>
          <w:sz w:val="22"/>
          <w:szCs w:val="22"/>
          <w:lang w:val="fr-CA"/>
        </w:rPr>
        <w:t>plus vastes</w:t>
      </w:r>
      <w:r w:rsidR="00EE1057" w:rsidRPr="007A46C0">
        <w:rPr>
          <w:kern w:val="22"/>
          <w:sz w:val="22"/>
          <w:szCs w:val="22"/>
          <w:lang w:val="fr-CA"/>
        </w:rPr>
        <w:t xml:space="preserve">, elles peuvent proposer des approches qui réduisent les incohérences et les conflits entre diverses parties du gouvernement, </w:t>
      </w:r>
      <w:r w:rsidR="009A3C8A" w:rsidRPr="007A46C0">
        <w:rPr>
          <w:kern w:val="22"/>
          <w:sz w:val="22"/>
          <w:szCs w:val="22"/>
          <w:lang w:val="fr-CA"/>
        </w:rPr>
        <w:t>menant</w:t>
      </w:r>
      <w:r w:rsidR="00EE1057" w:rsidRPr="007A46C0">
        <w:rPr>
          <w:kern w:val="22"/>
          <w:sz w:val="22"/>
          <w:szCs w:val="22"/>
          <w:lang w:val="fr-CA"/>
        </w:rPr>
        <w:t xml:space="preserve"> ainsi à de meilleurs résultats avec moins de ressources</w:t>
      </w:r>
      <w:r w:rsidR="00B26B06" w:rsidRPr="007A46C0">
        <w:rPr>
          <w:kern w:val="22"/>
          <w:sz w:val="22"/>
          <w:szCs w:val="22"/>
          <w:lang w:val="fr-CA"/>
        </w:rPr>
        <w:t>.</w:t>
      </w:r>
    </w:p>
    <w:p w:rsidR="00332440" w:rsidRPr="007A46C0" w:rsidRDefault="006B6C49" w:rsidP="003349A9">
      <w:pPr>
        <w:pStyle w:val="Heading1"/>
        <w:numPr>
          <w:ilvl w:val="0"/>
          <w:numId w:val="14"/>
        </w:numPr>
        <w:suppressLineNumbers/>
        <w:suppressAutoHyphens/>
        <w:spacing w:before="120"/>
        <w:ind w:left="0" w:firstLine="0"/>
        <w:rPr>
          <w:snapToGrid w:val="0"/>
          <w:kern w:val="22"/>
          <w:sz w:val="22"/>
          <w:szCs w:val="22"/>
          <w:lang w:val="fr-CA"/>
        </w:rPr>
      </w:pPr>
      <w:r w:rsidRPr="007A46C0">
        <w:rPr>
          <w:snapToGrid w:val="0"/>
          <w:kern w:val="22"/>
          <w:sz w:val="22"/>
          <w:szCs w:val="22"/>
          <w:lang w:val="fr-CA"/>
        </w:rPr>
        <w:lastRenderedPageBreak/>
        <w:t>éventuelles prochaines étapes</w:t>
      </w:r>
    </w:p>
    <w:p w:rsidR="009A5692" w:rsidRPr="007A46C0" w:rsidRDefault="006B6C49" w:rsidP="003349A9">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Les sections précédentes font ressortir certains domaines dans lesquels les éléments existants d</w:t>
      </w:r>
      <w:r w:rsidR="00DF1C84">
        <w:rPr>
          <w:kern w:val="22"/>
          <w:sz w:val="22"/>
          <w:szCs w:val="22"/>
          <w:lang w:val="fr-CA"/>
        </w:rPr>
        <w:t>’</w:t>
      </w:r>
      <w:r w:rsidRPr="007A46C0">
        <w:rPr>
          <w:kern w:val="22"/>
          <w:sz w:val="22"/>
          <w:szCs w:val="22"/>
          <w:lang w:val="fr-CA"/>
        </w:rPr>
        <w:t>un mécanisme d</w:t>
      </w:r>
      <w:r w:rsidR="00DF1C84">
        <w:rPr>
          <w:kern w:val="22"/>
          <w:sz w:val="22"/>
          <w:szCs w:val="22"/>
          <w:lang w:val="fr-CA"/>
        </w:rPr>
        <w:t>’</w:t>
      </w:r>
      <w:r w:rsidRPr="007A46C0">
        <w:rPr>
          <w:kern w:val="22"/>
          <w:sz w:val="22"/>
          <w:szCs w:val="22"/>
          <w:lang w:val="fr-CA"/>
        </w:rPr>
        <w:t>examen au titre de la Convention pourraient être renforcés ou complétés, y compris en tirant parti d</w:t>
      </w:r>
      <w:r w:rsidR="00DF1C84">
        <w:rPr>
          <w:kern w:val="22"/>
          <w:sz w:val="22"/>
          <w:szCs w:val="22"/>
          <w:lang w:val="fr-CA"/>
        </w:rPr>
        <w:t>’</w:t>
      </w:r>
      <w:r w:rsidRPr="007A46C0">
        <w:rPr>
          <w:kern w:val="22"/>
          <w:sz w:val="22"/>
          <w:szCs w:val="22"/>
          <w:lang w:val="fr-CA"/>
        </w:rPr>
        <w:t>enseignements tirés d</w:t>
      </w:r>
      <w:r w:rsidR="00DF1C84">
        <w:rPr>
          <w:kern w:val="22"/>
          <w:sz w:val="22"/>
          <w:szCs w:val="22"/>
          <w:lang w:val="fr-CA"/>
        </w:rPr>
        <w:t>’</w:t>
      </w:r>
      <w:r w:rsidRPr="007A46C0">
        <w:rPr>
          <w:kern w:val="22"/>
          <w:sz w:val="22"/>
          <w:szCs w:val="22"/>
          <w:lang w:val="fr-CA"/>
        </w:rPr>
        <w:t>autres conventions. L</w:t>
      </w:r>
      <w:r w:rsidR="00DF1C84">
        <w:rPr>
          <w:kern w:val="22"/>
          <w:sz w:val="22"/>
          <w:szCs w:val="22"/>
          <w:lang w:val="fr-CA"/>
        </w:rPr>
        <w:t>’</w:t>
      </w:r>
      <w:r w:rsidRPr="007A46C0">
        <w:rPr>
          <w:kern w:val="22"/>
          <w:sz w:val="22"/>
          <w:szCs w:val="22"/>
          <w:lang w:val="fr-CA"/>
        </w:rPr>
        <w:t>annexe II présente un aperçu de possibles éléments d</w:t>
      </w:r>
      <w:r w:rsidR="00DF1C84">
        <w:rPr>
          <w:kern w:val="22"/>
          <w:sz w:val="22"/>
          <w:szCs w:val="22"/>
          <w:lang w:val="fr-CA"/>
        </w:rPr>
        <w:t>’</w:t>
      </w:r>
      <w:r w:rsidRPr="007A46C0">
        <w:rPr>
          <w:kern w:val="22"/>
          <w:sz w:val="22"/>
          <w:szCs w:val="22"/>
          <w:lang w:val="fr-CA"/>
        </w:rPr>
        <w:t>un mécanisme d</w:t>
      </w:r>
      <w:r w:rsidR="00DF1C84">
        <w:rPr>
          <w:kern w:val="22"/>
          <w:sz w:val="22"/>
          <w:szCs w:val="22"/>
          <w:lang w:val="fr-CA"/>
        </w:rPr>
        <w:t>’</w:t>
      </w:r>
      <w:r w:rsidRPr="007A46C0">
        <w:rPr>
          <w:kern w:val="22"/>
          <w:sz w:val="22"/>
          <w:szCs w:val="22"/>
          <w:lang w:val="fr-CA"/>
        </w:rPr>
        <w:t>examen multidimensionnel, y compris des moyens qui pourraient renforcer les éléments existants.</w:t>
      </w:r>
    </w:p>
    <w:p w:rsidR="00B75CF1" w:rsidRPr="007A46C0" w:rsidRDefault="002565D2" w:rsidP="00FA0EFD">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Au paragraphe 34 de la décision XIII/1 sur le suivi du Plan stratégique pour la diversité biologique 2011</w:t>
      </w:r>
      <w:r w:rsidR="00DF1C84">
        <w:rPr>
          <w:kern w:val="22"/>
          <w:sz w:val="22"/>
          <w:szCs w:val="22"/>
          <w:lang w:val="fr-CA"/>
        </w:rPr>
        <w:noBreakHyphen/>
      </w:r>
      <w:r w:rsidRPr="007A46C0">
        <w:rPr>
          <w:kern w:val="22"/>
          <w:sz w:val="22"/>
          <w:szCs w:val="22"/>
          <w:lang w:val="fr-CA"/>
        </w:rPr>
        <w:t xml:space="preserve">2020, la Conférence des Parties a </w:t>
      </w:r>
      <w:r w:rsidR="00D34257" w:rsidRPr="007A46C0">
        <w:rPr>
          <w:kern w:val="22"/>
          <w:sz w:val="22"/>
          <w:szCs w:val="22"/>
          <w:lang w:val="fr-CA"/>
        </w:rPr>
        <w:t>noté que</w:t>
      </w:r>
      <w:r w:rsidR="004D6B96" w:rsidRPr="007A46C0">
        <w:rPr>
          <w:kern w:val="22"/>
          <w:sz w:val="22"/>
          <w:szCs w:val="22"/>
          <w:lang w:val="fr-CA"/>
        </w:rPr>
        <w:t xml:space="preserve"> les travaux relatifs à l</w:t>
      </w:r>
      <w:r w:rsidR="00DF1C84">
        <w:rPr>
          <w:kern w:val="22"/>
          <w:sz w:val="22"/>
          <w:szCs w:val="22"/>
          <w:lang w:val="fr-CA"/>
        </w:rPr>
        <w:t>’</w:t>
      </w:r>
      <w:r w:rsidR="004D6B96" w:rsidRPr="007A46C0">
        <w:rPr>
          <w:kern w:val="22"/>
          <w:sz w:val="22"/>
          <w:szCs w:val="22"/>
          <w:lang w:val="fr-CA"/>
        </w:rPr>
        <w:t>élaboration du cadre de l</w:t>
      </w:r>
      <w:r w:rsidR="00DF1C84">
        <w:rPr>
          <w:kern w:val="22"/>
          <w:sz w:val="22"/>
          <w:szCs w:val="22"/>
          <w:lang w:val="fr-CA"/>
        </w:rPr>
        <w:t>’</w:t>
      </w:r>
      <w:r w:rsidR="004D6B96" w:rsidRPr="007A46C0">
        <w:rPr>
          <w:kern w:val="22"/>
          <w:sz w:val="22"/>
          <w:szCs w:val="22"/>
          <w:lang w:val="fr-CA"/>
        </w:rPr>
        <w:t>après</w:t>
      </w:r>
      <w:r w:rsidR="00DF1C84">
        <w:rPr>
          <w:kern w:val="22"/>
          <w:sz w:val="22"/>
          <w:szCs w:val="22"/>
          <w:lang w:val="fr-CA"/>
        </w:rPr>
        <w:noBreakHyphen/>
      </w:r>
      <w:r w:rsidR="004D6B96" w:rsidRPr="007A46C0">
        <w:rPr>
          <w:kern w:val="22"/>
          <w:sz w:val="22"/>
          <w:szCs w:val="22"/>
          <w:lang w:val="fr-CA"/>
        </w:rPr>
        <w:t>2020 pour la biodiversité doivent inclure des options pour favoriser des engagements et renforcer la mise en œuvre. Dans ce contexte, plusieurs Parties et observateurs, dans leurs soumissions concernant la préparation du cadre mondial de l</w:t>
      </w:r>
      <w:r w:rsidR="00DF1C84">
        <w:rPr>
          <w:kern w:val="22"/>
          <w:sz w:val="22"/>
          <w:szCs w:val="22"/>
          <w:lang w:val="fr-CA"/>
        </w:rPr>
        <w:t>’</w:t>
      </w:r>
      <w:r w:rsidR="004D6B96" w:rsidRPr="007A46C0">
        <w:rPr>
          <w:kern w:val="22"/>
          <w:sz w:val="22"/>
          <w:szCs w:val="22"/>
          <w:lang w:val="fr-CA"/>
        </w:rPr>
        <w:t>après</w:t>
      </w:r>
      <w:r w:rsidR="00DF1C84">
        <w:rPr>
          <w:kern w:val="22"/>
          <w:sz w:val="22"/>
          <w:szCs w:val="22"/>
          <w:lang w:val="fr-CA"/>
        </w:rPr>
        <w:noBreakHyphen/>
      </w:r>
      <w:r w:rsidR="004D6B96" w:rsidRPr="007A46C0">
        <w:rPr>
          <w:kern w:val="22"/>
          <w:sz w:val="22"/>
          <w:szCs w:val="22"/>
          <w:lang w:val="fr-CA"/>
        </w:rPr>
        <w:t>2020 pour la biodiversité,</w:t>
      </w:r>
      <w:r w:rsidR="004D6B96" w:rsidRPr="007A46C0">
        <w:rPr>
          <w:kern w:val="22"/>
          <w:sz w:val="22"/>
          <w:szCs w:val="22"/>
          <w:vertAlign w:val="superscript"/>
          <w:lang w:val="fr-CA"/>
        </w:rPr>
        <w:footnoteReference w:id="18"/>
      </w:r>
      <w:r w:rsidR="004D6B96" w:rsidRPr="007A46C0">
        <w:rPr>
          <w:kern w:val="22"/>
          <w:sz w:val="22"/>
          <w:szCs w:val="22"/>
          <w:lang w:val="fr-CA"/>
        </w:rPr>
        <w:t xml:space="preserve"> ont noté que l</w:t>
      </w:r>
      <w:r w:rsidR="00DF1C84">
        <w:rPr>
          <w:kern w:val="22"/>
          <w:sz w:val="22"/>
          <w:szCs w:val="22"/>
          <w:lang w:val="fr-CA"/>
        </w:rPr>
        <w:t>’</w:t>
      </w:r>
      <w:r w:rsidR="004D6B96" w:rsidRPr="007A46C0">
        <w:rPr>
          <w:kern w:val="22"/>
          <w:sz w:val="22"/>
          <w:szCs w:val="22"/>
          <w:lang w:val="fr-CA"/>
        </w:rPr>
        <w:t>élaboration d</w:t>
      </w:r>
      <w:r w:rsidR="00DF1C84">
        <w:rPr>
          <w:kern w:val="22"/>
          <w:sz w:val="22"/>
          <w:szCs w:val="22"/>
          <w:lang w:val="fr-CA"/>
        </w:rPr>
        <w:t>’</w:t>
      </w:r>
      <w:r w:rsidR="004D6B96" w:rsidRPr="007A46C0">
        <w:rPr>
          <w:kern w:val="22"/>
          <w:sz w:val="22"/>
          <w:szCs w:val="22"/>
          <w:lang w:val="fr-CA"/>
        </w:rPr>
        <w:t>un processus analogue au processus de contribution déterminée au niveau national, ou s</w:t>
      </w:r>
      <w:r w:rsidR="00DF1C84">
        <w:rPr>
          <w:kern w:val="22"/>
          <w:sz w:val="22"/>
          <w:szCs w:val="22"/>
          <w:lang w:val="fr-CA"/>
        </w:rPr>
        <w:t>’</w:t>
      </w:r>
      <w:r w:rsidR="004D6B96" w:rsidRPr="007A46C0">
        <w:rPr>
          <w:kern w:val="22"/>
          <w:sz w:val="22"/>
          <w:szCs w:val="22"/>
          <w:lang w:val="fr-CA"/>
        </w:rPr>
        <w:t xml:space="preserve">en inspirant, au titre de </w:t>
      </w:r>
      <w:r w:rsidR="004D6B96" w:rsidRPr="007A46C0">
        <w:rPr>
          <w:noProof/>
          <w:kern w:val="22"/>
          <w:sz w:val="22"/>
          <w:szCs w:val="22"/>
          <w:lang w:val="fr-CA"/>
        </w:rPr>
        <w:t>la Convention</w:t>
      </w:r>
      <w:r w:rsidR="00DF1C84">
        <w:rPr>
          <w:noProof/>
          <w:kern w:val="22"/>
          <w:sz w:val="22"/>
          <w:szCs w:val="22"/>
          <w:lang w:val="fr-CA"/>
        </w:rPr>
        <w:noBreakHyphen/>
      </w:r>
      <w:r w:rsidR="004D6B96" w:rsidRPr="007A46C0">
        <w:rPr>
          <w:noProof/>
          <w:kern w:val="22"/>
          <w:sz w:val="22"/>
          <w:szCs w:val="22"/>
          <w:lang w:val="fr-CA"/>
        </w:rPr>
        <w:t>cadre des Nations</w:t>
      </w:r>
      <w:r w:rsidR="004D6B96" w:rsidRPr="007A46C0">
        <w:rPr>
          <w:kern w:val="22"/>
          <w:sz w:val="22"/>
          <w:szCs w:val="22"/>
          <w:lang w:val="fr-CA"/>
        </w:rPr>
        <w:t xml:space="preserve"> Unies sur les changements climatiques ou du Programme de fixation des objectifs dans le domaine de la neutralité en matière de dégradation des terres</w:t>
      </w:r>
      <w:r w:rsidR="00176387" w:rsidRPr="007A46C0">
        <w:rPr>
          <w:kern w:val="22"/>
          <w:sz w:val="22"/>
          <w:szCs w:val="22"/>
          <w:vertAlign w:val="superscript"/>
          <w:lang w:val="fr-CA"/>
        </w:rPr>
        <w:footnoteReference w:id="19"/>
      </w:r>
      <w:r w:rsidR="00176387" w:rsidRPr="007A46C0">
        <w:rPr>
          <w:kern w:val="22"/>
          <w:sz w:val="22"/>
          <w:szCs w:val="22"/>
          <w:lang w:val="fr-CA"/>
        </w:rPr>
        <w:t xml:space="preserve"> au titre de la Convention des Nations Unies sur la lutte contre la désertification, pourrait être utile </w:t>
      </w:r>
      <w:r w:rsidR="00C32EC3" w:rsidRPr="007A46C0">
        <w:rPr>
          <w:kern w:val="22"/>
          <w:sz w:val="22"/>
          <w:szCs w:val="22"/>
          <w:lang w:val="fr-CA"/>
        </w:rPr>
        <w:t>à la mise en œuvre réussie du cadre mondial de l</w:t>
      </w:r>
      <w:r w:rsidR="00DF1C84">
        <w:rPr>
          <w:kern w:val="22"/>
          <w:sz w:val="22"/>
          <w:szCs w:val="22"/>
          <w:lang w:val="fr-CA"/>
        </w:rPr>
        <w:t>’</w:t>
      </w:r>
      <w:r w:rsidR="00C32EC3" w:rsidRPr="007A46C0">
        <w:rPr>
          <w:kern w:val="22"/>
          <w:sz w:val="22"/>
          <w:szCs w:val="22"/>
          <w:lang w:val="fr-CA"/>
        </w:rPr>
        <w:t>après</w:t>
      </w:r>
      <w:r w:rsidR="00DF1C84">
        <w:rPr>
          <w:kern w:val="22"/>
          <w:sz w:val="22"/>
          <w:szCs w:val="22"/>
          <w:lang w:val="fr-CA"/>
        </w:rPr>
        <w:noBreakHyphen/>
      </w:r>
      <w:r w:rsidR="00C32EC3" w:rsidRPr="007A46C0">
        <w:rPr>
          <w:kern w:val="22"/>
          <w:sz w:val="22"/>
          <w:szCs w:val="22"/>
          <w:lang w:val="fr-CA"/>
        </w:rPr>
        <w:t>2020 pour la biodiversité.</w:t>
      </w:r>
      <w:r w:rsidR="00176387" w:rsidRPr="007A46C0">
        <w:rPr>
          <w:kern w:val="22"/>
          <w:sz w:val="22"/>
          <w:szCs w:val="22"/>
          <w:lang w:val="fr-CA"/>
        </w:rPr>
        <w:t xml:space="preserve"> </w:t>
      </w:r>
      <w:r w:rsidR="00C32EC3" w:rsidRPr="007A46C0">
        <w:rPr>
          <w:kern w:val="22"/>
          <w:sz w:val="22"/>
          <w:szCs w:val="22"/>
          <w:lang w:val="fr-CA"/>
        </w:rPr>
        <w:t>Il a aussi été question des engagements volontaires proposés autant par des acteurs étatiques et non étatiques.</w:t>
      </w:r>
      <w:r w:rsidR="00C32EC3" w:rsidRPr="007A46C0">
        <w:rPr>
          <w:kern w:val="22"/>
          <w:sz w:val="22"/>
          <w:szCs w:val="22"/>
          <w:vertAlign w:val="superscript"/>
          <w:lang w:val="fr-CA"/>
        </w:rPr>
        <w:footnoteReference w:id="20"/>
      </w:r>
      <w:r w:rsidR="00C32EC3" w:rsidRPr="007A46C0">
        <w:rPr>
          <w:kern w:val="22"/>
          <w:sz w:val="22"/>
          <w:szCs w:val="22"/>
          <w:lang w:val="fr-CA"/>
        </w:rPr>
        <w:t xml:space="preserve"> Quelques soumissions ont par ailleurs proposé que des organisations internationales et non gouvernementales, des organisations de la société civile, le secteur privé, les autorités locales (gouvernements infranationaux) et d</w:t>
      </w:r>
      <w:r w:rsidR="00DF1C84">
        <w:rPr>
          <w:kern w:val="22"/>
          <w:sz w:val="22"/>
          <w:szCs w:val="22"/>
          <w:lang w:val="fr-CA"/>
        </w:rPr>
        <w:t>’</w:t>
      </w:r>
      <w:r w:rsidR="00C32EC3" w:rsidRPr="007A46C0">
        <w:rPr>
          <w:kern w:val="22"/>
          <w:sz w:val="22"/>
          <w:szCs w:val="22"/>
          <w:lang w:val="fr-CA"/>
        </w:rPr>
        <w:t>autres parties prenantes pourraient être encouragés à élaborer des engagements relatifs à la biodiversité qui pourraient contribuer à l</w:t>
      </w:r>
      <w:r w:rsidR="00DF1C84">
        <w:rPr>
          <w:kern w:val="22"/>
          <w:sz w:val="22"/>
          <w:szCs w:val="22"/>
          <w:lang w:val="fr-CA"/>
        </w:rPr>
        <w:t>’</w:t>
      </w:r>
      <w:r w:rsidR="00C32EC3" w:rsidRPr="007A46C0">
        <w:rPr>
          <w:kern w:val="22"/>
          <w:sz w:val="22"/>
          <w:szCs w:val="22"/>
          <w:lang w:val="fr-CA"/>
        </w:rPr>
        <w:t xml:space="preserve">objectif général </w:t>
      </w:r>
      <w:r w:rsidR="00FA0EFD" w:rsidRPr="007A46C0">
        <w:rPr>
          <w:kern w:val="22"/>
          <w:sz w:val="22"/>
          <w:szCs w:val="22"/>
          <w:lang w:val="fr-CA"/>
        </w:rPr>
        <w:t>national et mondial de</w:t>
      </w:r>
      <w:r w:rsidR="00C32EC3" w:rsidRPr="007A46C0">
        <w:rPr>
          <w:kern w:val="22"/>
          <w:sz w:val="22"/>
          <w:szCs w:val="22"/>
          <w:lang w:val="fr-CA"/>
        </w:rPr>
        <w:t xml:space="preserve"> préservation de la diversité biologique.</w:t>
      </w:r>
    </w:p>
    <w:p w:rsidR="00EB42FF" w:rsidRPr="007A46C0" w:rsidRDefault="00322FBF" w:rsidP="00871695">
      <w:pPr>
        <w:numPr>
          <w:ilvl w:val="0"/>
          <w:numId w:val="13"/>
        </w:numPr>
        <w:tabs>
          <w:tab w:val="clear" w:pos="360"/>
        </w:tabs>
        <w:jc w:val="both"/>
        <w:rPr>
          <w:snapToGrid w:val="0"/>
          <w:kern w:val="22"/>
          <w:sz w:val="22"/>
          <w:szCs w:val="22"/>
          <w:lang w:val="fr-CA"/>
        </w:rPr>
      </w:pPr>
      <w:r w:rsidRPr="007A46C0">
        <w:rPr>
          <w:snapToGrid w:val="0"/>
          <w:kern w:val="22"/>
          <w:sz w:val="22"/>
          <w:szCs w:val="22"/>
          <w:lang w:val="fr-CA"/>
        </w:rPr>
        <w:t>Dans la documentation de la première réunion de l</w:t>
      </w:r>
      <w:r w:rsidR="00DF1C84">
        <w:rPr>
          <w:snapToGrid w:val="0"/>
          <w:kern w:val="22"/>
          <w:sz w:val="22"/>
          <w:szCs w:val="22"/>
          <w:lang w:val="fr-CA"/>
        </w:rPr>
        <w:t>’</w:t>
      </w:r>
      <w:r w:rsidRPr="007A46C0">
        <w:rPr>
          <w:snapToGrid w:val="0"/>
          <w:kern w:val="22"/>
          <w:sz w:val="22"/>
          <w:szCs w:val="22"/>
          <w:lang w:val="fr-CA"/>
        </w:rPr>
        <w:t>Organe subsidiaire chargé de l</w:t>
      </w:r>
      <w:r w:rsidR="00DF1C84">
        <w:rPr>
          <w:snapToGrid w:val="0"/>
          <w:kern w:val="22"/>
          <w:sz w:val="22"/>
          <w:szCs w:val="22"/>
          <w:lang w:val="fr-CA"/>
        </w:rPr>
        <w:t>’</w:t>
      </w:r>
      <w:r w:rsidRPr="007A46C0">
        <w:rPr>
          <w:snapToGrid w:val="0"/>
          <w:kern w:val="22"/>
          <w:sz w:val="22"/>
          <w:szCs w:val="22"/>
          <w:lang w:val="fr-CA"/>
        </w:rPr>
        <w:t>application, des éléments possibles d</w:t>
      </w:r>
      <w:r w:rsidR="00DF1C84">
        <w:rPr>
          <w:snapToGrid w:val="0"/>
          <w:kern w:val="22"/>
          <w:sz w:val="22"/>
          <w:szCs w:val="22"/>
          <w:lang w:val="fr-CA"/>
        </w:rPr>
        <w:t>’</w:t>
      </w:r>
      <w:r w:rsidRPr="007A46C0">
        <w:rPr>
          <w:snapToGrid w:val="0"/>
          <w:kern w:val="22"/>
          <w:sz w:val="22"/>
          <w:szCs w:val="22"/>
          <w:lang w:val="fr-CA"/>
        </w:rPr>
        <w:t>un processus d</w:t>
      </w:r>
      <w:r w:rsidR="00DF1C84">
        <w:rPr>
          <w:snapToGrid w:val="0"/>
          <w:kern w:val="22"/>
          <w:sz w:val="22"/>
          <w:szCs w:val="22"/>
          <w:lang w:val="fr-CA"/>
        </w:rPr>
        <w:t>’</w:t>
      </w:r>
      <w:r w:rsidRPr="007A46C0">
        <w:rPr>
          <w:snapToGrid w:val="0"/>
          <w:kern w:val="22"/>
          <w:sz w:val="22"/>
          <w:szCs w:val="22"/>
          <w:lang w:val="fr-CA"/>
        </w:rPr>
        <w:t>examen dirigé par les Parties ont été présentés (SBI/1/10/</w:t>
      </w:r>
      <w:proofErr w:type="spellStart"/>
      <w:r w:rsidRPr="007A46C0">
        <w:rPr>
          <w:snapToGrid w:val="0"/>
          <w:kern w:val="22"/>
          <w:sz w:val="22"/>
          <w:szCs w:val="22"/>
          <w:lang w:val="fr-CA"/>
        </w:rPr>
        <w:t>Add</w:t>
      </w:r>
      <w:proofErr w:type="spellEnd"/>
      <w:r w:rsidRPr="007A46C0">
        <w:rPr>
          <w:snapToGrid w:val="0"/>
          <w:kern w:val="22"/>
          <w:sz w:val="22"/>
          <w:szCs w:val="22"/>
          <w:lang w:val="fr-CA"/>
        </w:rPr>
        <w:t>.3, section III B) comme compléments des approches existantes. À sa deuxième réunion, l</w:t>
      </w:r>
      <w:r w:rsidR="00DF1C84">
        <w:rPr>
          <w:snapToGrid w:val="0"/>
          <w:kern w:val="22"/>
          <w:sz w:val="22"/>
          <w:szCs w:val="22"/>
          <w:lang w:val="fr-CA"/>
        </w:rPr>
        <w:t>’</w:t>
      </w:r>
      <w:r w:rsidRPr="007A46C0">
        <w:rPr>
          <w:snapToGrid w:val="0"/>
          <w:kern w:val="22"/>
          <w:sz w:val="22"/>
          <w:szCs w:val="22"/>
          <w:lang w:val="fr-CA"/>
        </w:rPr>
        <w:t>Organe subsidiaire chargé de l</w:t>
      </w:r>
      <w:r w:rsidR="00DF1C84">
        <w:rPr>
          <w:snapToGrid w:val="0"/>
          <w:kern w:val="22"/>
          <w:sz w:val="22"/>
          <w:szCs w:val="22"/>
          <w:lang w:val="fr-CA"/>
        </w:rPr>
        <w:t>’</w:t>
      </w:r>
      <w:r w:rsidRPr="007A46C0">
        <w:rPr>
          <w:snapToGrid w:val="0"/>
          <w:kern w:val="22"/>
          <w:sz w:val="22"/>
          <w:szCs w:val="22"/>
          <w:lang w:val="fr-CA"/>
        </w:rPr>
        <w:t>application pourrait souhaiter examiner ces éléments, y compris l</w:t>
      </w:r>
      <w:r w:rsidR="00DF1C84">
        <w:rPr>
          <w:snapToGrid w:val="0"/>
          <w:kern w:val="22"/>
          <w:sz w:val="22"/>
          <w:szCs w:val="22"/>
          <w:lang w:val="fr-CA"/>
        </w:rPr>
        <w:t>’</w:t>
      </w:r>
      <w:r w:rsidRPr="007A46C0">
        <w:rPr>
          <w:snapToGrid w:val="0"/>
          <w:kern w:val="22"/>
          <w:sz w:val="22"/>
          <w:szCs w:val="22"/>
          <w:lang w:val="fr-CA"/>
        </w:rPr>
        <w:t>idée de créer un forum à composition non limitée au titre de l</w:t>
      </w:r>
      <w:r w:rsidR="00DF1C84">
        <w:rPr>
          <w:snapToGrid w:val="0"/>
          <w:kern w:val="22"/>
          <w:sz w:val="22"/>
          <w:szCs w:val="22"/>
          <w:lang w:val="fr-CA"/>
        </w:rPr>
        <w:t>’</w:t>
      </w:r>
      <w:r w:rsidRPr="007A46C0">
        <w:rPr>
          <w:snapToGrid w:val="0"/>
          <w:kern w:val="22"/>
          <w:sz w:val="22"/>
          <w:szCs w:val="22"/>
          <w:lang w:val="fr-CA"/>
        </w:rPr>
        <w:t>Organe subsidiaire chargé de l</w:t>
      </w:r>
      <w:r w:rsidR="00DF1C84">
        <w:rPr>
          <w:snapToGrid w:val="0"/>
          <w:kern w:val="22"/>
          <w:sz w:val="22"/>
          <w:szCs w:val="22"/>
          <w:lang w:val="fr-CA"/>
        </w:rPr>
        <w:t>’</w:t>
      </w:r>
      <w:r w:rsidRPr="007A46C0">
        <w:rPr>
          <w:snapToGrid w:val="0"/>
          <w:kern w:val="22"/>
          <w:sz w:val="22"/>
          <w:szCs w:val="22"/>
          <w:lang w:val="fr-CA"/>
        </w:rPr>
        <w:t>application, afin de soutenir davantage l</w:t>
      </w:r>
      <w:r w:rsidR="00DF1C84">
        <w:rPr>
          <w:snapToGrid w:val="0"/>
          <w:kern w:val="22"/>
          <w:sz w:val="22"/>
          <w:szCs w:val="22"/>
          <w:lang w:val="fr-CA"/>
        </w:rPr>
        <w:t>’</w:t>
      </w:r>
      <w:r w:rsidRPr="007A46C0">
        <w:rPr>
          <w:snapToGrid w:val="0"/>
          <w:kern w:val="22"/>
          <w:sz w:val="22"/>
          <w:szCs w:val="22"/>
          <w:lang w:val="fr-CA"/>
        </w:rPr>
        <w:t>examen de l</w:t>
      </w:r>
      <w:r w:rsidR="00DF1C84">
        <w:rPr>
          <w:snapToGrid w:val="0"/>
          <w:kern w:val="22"/>
          <w:sz w:val="22"/>
          <w:szCs w:val="22"/>
          <w:lang w:val="fr-CA"/>
        </w:rPr>
        <w:t>’</w:t>
      </w:r>
      <w:r w:rsidRPr="007A46C0">
        <w:rPr>
          <w:snapToGrid w:val="0"/>
          <w:kern w:val="22"/>
          <w:sz w:val="22"/>
          <w:szCs w:val="22"/>
          <w:lang w:val="fr-CA"/>
        </w:rPr>
        <w:t>application et visant à faciliter l</w:t>
      </w:r>
      <w:r w:rsidR="00DF1C84">
        <w:rPr>
          <w:snapToGrid w:val="0"/>
          <w:kern w:val="22"/>
          <w:sz w:val="22"/>
          <w:szCs w:val="22"/>
          <w:lang w:val="fr-CA"/>
        </w:rPr>
        <w:t>’</w:t>
      </w:r>
      <w:r w:rsidRPr="007A46C0">
        <w:rPr>
          <w:snapToGrid w:val="0"/>
          <w:kern w:val="22"/>
          <w:sz w:val="22"/>
          <w:szCs w:val="22"/>
          <w:lang w:val="fr-CA"/>
        </w:rPr>
        <w:t>échange d</w:t>
      </w:r>
      <w:r w:rsidR="00DF1C84">
        <w:rPr>
          <w:snapToGrid w:val="0"/>
          <w:kern w:val="22"/>
          <w:sz w:val="22"/>
          <w:szCs w:val="22"/>
          <w:lang w:val="fr-CA"/>
        </w:rPr>
        <w:t>’</w:t>
      </w:r>
      <w:r w:rsidRPr="007A46C0">
        <w:rPr>
          <w:snapToGrid w:val="0"/>
          <w:kern w:val="22"/>
          <w:sz w:val="22"/>
          <w:szCs w:val="22"/>
          <w:lang w:val="fr-CA"/>
        </w:rPr>
        <w:t>informations et d</w:t>
      </w:r>
      <w:r w:rsidR="00DF1C84">
        <w:rPr>
          <w:snapToGrid w:val="0"/>
          <w:kern w:val="22"/>
          <w:sz w:val="22"/>
          <w:szCs w:val="22"/>
          <w:lang w:val="fr-CA"/>
        </w:rPr>
        <w:t>’</w:t>
      </w:r>
      <w:r w:rsidRPr="007A46C0">
        <w:rPr>
          <w:snapToGrid w:val="0"/>
          <w:kern w:val="22"/>
          <w:sz w:val="22"/>
          <w:szCs w:val="22"/>
          <w:lang w:val="fr-CA"/>
        </w:rPr>
        <w:t xml:space="preserve">expériences entre les Parties. </w:t>
      </w:r>
      <w:r w:rsidR="00871695" w:rsidRPr="007A46C0">
        <w:rPr>
          <w:snapToGrid w:val="0"/>
          <w:kern w:val="22"/>
          <w:sz w:val="22"/>
          <w:szCs w:val="22"/>
          <w:lang w:val="fr-CA"/>
        </w:rPr>
        <w:t>Une telle approche pourrait être mise à l</w:t>
      </w:r>
      <w:r w:rsidR="00DF1C84">
        <w:rPr>
          <w:snapToGrid w:val="0"/>
          <w:kern w:val="22"/>
          <w:sz w:val="22"/>
          <w:szCs w:val="22"/>
          <w:lang w:val="fr-CA"/>
        </w:rPr>
        <w:t>’</w:t>
      </w:r>
      <w:r w:rsidR="00871695" w:rsidRPr="007A46C0">
        <w:rPr>
          <w:snapToGrid w:val="0"/>
          <w:kern w:val="22"/>
          <w:sz w:val="22"/>
          <w:szCs w:val="22"/>
          <w:lang w:val="fr-CA"/>
        </w:rPr>
        <w:t>essai au cours de la troisième réunion de l</w:t>
      </w:r>
      <w:r w:rsidR="00DF1C84">
        <w:rPr>
          <w:snapToGrid w:val="0"/>
          <w:kern w:val="22"/>
          <w:sz w:val="22"/>
          <w:szCs w:val="22"/>
          <w:lang w:val="fr-CA"/>
        </w:rPr>
        <w:t>’</w:t>
      </w:r>
      <w:r w:rsidR="00871695" w:rsidRPr="007A46C0">
        <w:rPr>
          <w:snapToGrid w:val="0"/>
          <w:kern w:val="22"/>
          <w:sz w:val="22"/>
          <w:szCs w:val="22"/>
          <w:lang w:val="fr-CA"/>
        </w:rPr>
        <w:t>Organe subsidiaire chargé de l</w:t>
      </w:r>
      <w:r w:rsidR="00DF1C84">
        <w:rPr>
          <w:snapToGrid w:val="0"/>
          <w:kern w:val="22"/>
          <w:sz w:val="22"/>
          <w:szCs w:val="22"/>
          <w:lang w:val="fr-CA"/>
        </w:rPr>
        <w:t>’</w:t>
      </w:r>
      <w:r w:rsidR="00871695" w:rsidRPr="007A46C0">
        <w:rPr>
          <w:snapToGrid w:val="0"/>
          <w:kern w:val="22"/>
          <w:sz w:val="22"/>
          <w:szCs w:val="22"/>
          <w:lang w:val="fr-CA"/>
        </w:rPr>
        <w:t>application si les Parties offrent de partager leurs expériences de la mise en œuvre de la Convention et du Plan stratégique 2011</w:t>
      </w:r>
      <w:r w:rsidR="00DF1C84">
        <w:rPr>
          <w:snapToGrid w:val="0"/>
          <w:kern w:val="22"/>
          <w:sz w:val="22"/>
          <w:szCs w:val="22"/>
          <w:lang w:val="fr-CA"/>
        </w:rPr>
        <w:noBreakHyphen/>
      </w:r>
      <w:r w:rsidR="00871695" w:rsidRPr="007A46C0">
        <w:rPr>
          <w:snapToGrid w:val="0"/>
          <w:kern w:val="22"/>
          <w:sz w:val="22"/>
          <w:szCs w:val="22"/>
          <w:lang w:val="fr-CA"/>
        </w:rPr>
        <w:t>2020 pour la diversité biologique. La Secrétaire exécutive pourrait être priée d</w:t>
      </w:r>
      <w:r w:rsidR="00DF1C84">
        <w:rPr>
          <w:snapToGrid w:val="0"/>
          <w:kern w:val="22"/>
          <w:sz w:val="22"/>
          <w:szCs w:val="22"/>
          <w:lang w:val="fr-CA"/>
        </w:rPr>
        <w:t>’</w:t>
      </w:r>
      <w:r w:rsidR="00871695" w:rsidRPr="007A46C0">
        <w:rPr>
          <w:snapToGrid w:val="0"/>
          <w:kern w:val="22"/>
          <w:sz w:val="22"/>
          <w:szCs w:val="22"/>
          <w:lang w:val="fr-CA"/>
        </w:rPr>
        <w:t>élaborer des orientations pour la soumission volontaire de tels rapports d</w:t>
      </w:r>
      <w:r w:rsidR="00DF1C84">
        <w:rPr>
          <w:snapToGrid w:val="0"/>
          <w:kern w:val="22"/>
          <w:sz w:val="22"/>
          <w:szCs w:val="22"/>
          <w:lang w:val="fr-CA"/>
        </w:rPr>
        <w:t>’</w:t>
      </w:r>
      <w:r w:rsidR="00871695" w:rsidRPr="007A46C0">
        <w:rPr>
          <w:snapToGrid w:val="0"/>
          <w:kern w:val="22"/>
          <w:sz w:val="22"/>
          <w:szCs w:val="22"/>
          <w:lang w:val="fr-CA"/>
        </w:rPr>
        <w:t>examen.</w:t>
      </w:r>
    </w:p>
    <w:p w:rsidR="00573E82" w:rsidRPr="007A46C0" w:rsidRDefault="00871695" w:rsidP="002A70E1">
      <w:pPr>
        <w:pStyle w:val="Para1"/>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L</w:t>
      </w:r>
      <w:r w:rsidR="00DF1C84">
        <w:rPr>
          <w:kern w:val="22"/>
          <w:sz w:val="22"/>
          <w:szCs w:val="22"/>
          <w:lang w:val="fr-CA"/>
        </w:rPr>
        <w:t>’</w:t>
      </w:r>
      <w:r w:rsidRPr="007A46C0">
        <w:rPr>
          <w:kern w:val="22"/>
          <w:sz w:val="22"/>
          <w:szCs w:val="22"/>
          <w:lang w:val="fr-CA"/>
        </w:rPr>
        <w:t>Organe subsidiaire chargé de l</w:t>
      </w:r>
      <w:r w:rsidR="00DF1C84">
        <w:rPr>
          <w:kern w:val="22"/>
          <w:sz w:val="22"/>
          <w:szCs w:val="22"/>
          <w:lang w:val="fr-CA"/>
        </w:rPr>
        <w:t>’</w:t>
      </w:r>
      <w:r w:rsidRPr="007A46C0">
        <w:rPr>
          <w:kern w:val="22"/>
          <w:sz w:val="22"/>
          <w:szCs w:val="22"/>
          <w:lang w:val="fr-CA"/>
        </w:rPr>
        <w:t xml:space="preserve">application pourrait également encourager </w:t>
      </w:r>
      <w:r w:rsidR="002A70E1" w:rsidRPr="007A46C0">
        <w:rPr>
          <w:kern w:val="22"/>
          <w:sz w:val="22"/>
          <w:szCs w:val="22"/>
          <w:lang w:val="fr-CA"/>
        </w:rPr>
        <w:t>la poursuite de consultations sur les options pour renforcer le mécanisme d</w:t>
      </w:r>
      <w:r w:rsidR="00DF1C84">
        <w:rPr>
          <w:kern w:val="22"/>
          <w:sz w:val="22"/>
          <w:szCs w:val="22"/>
          <w:lang w:val="fr-CA"/>
        </w:rPr>
        <w:t>’</w:t>
      </w:r>
      <w:r w:rsidR="002A70E1" w:rsidRPr="007A46C0">
        <w:rPr>
          <w:kern w:val="22"/>
          <w:sz w:val="22"/>
          <w:szCs w:val="22"/>
          <w:lang w:val="fr-CA"/>
        </w:rPr>
        <w:t>examen dans le cadre du processus d</w:t>
      </w:r>
      <w:r w:rsidR="00DF1C84">
        <w:rPr>
          <w:kern w:val="22"/>
          <w:sz w:val="22"/>
          <w:szCs w:val="22"/>
          <w:lang w:val="fr-CA"/>
        </w:rPr>
        <w:t>’</w:t>
      </w:r>
      <w:r w:rsidR="002A70E1" w:rsidRPr="007A46C0">
        <w:rPr>
          <w:kern w:val="22"/>
          <w:sz w:val="22"/>
          <w:szCs w:val="22"/>
          <w:lang w:val="fr-CA"/>
        </w:rPr>
        <w:t>élaboration du cadre mondial de l</w:t>
      </w:r>
      <w:r w:rsidR="00DF1C84">
        <w:rPr>
          <w:kern w:val="22"/>
          <w:sz w:val="22"/>
          <w:szCs w:val="22"/>
          <w:lang w:val="fr-CA"/>
        </w:rPr>
        <w:t>’</w:t>
      </w:r>
      <w:r w:rsidR="002A70E1" w:rsidRPr="007A46C0">
        <w:rPr>
          <w:kern w:val="22"/>
          <w:sz w:val="22"/>
          <w:szCs w:val="22"/>
          <w:lang w:val="fr-CA"/>
        </w:rPr>
        <w:t>après</w:t>
      </w:r>
      <w:r w:rsidR="00DF1C84">
        <w:rPr>
          <w:kern w:val="22"/>
          <w:sz w:val="22"/>
          <w:szCs w:val="22"/>
          <w:lang w:val="fr-CA"/>
        </w:rPr>
        <w:noBreakHyphen/>
      </w:r>
      <w:r w:rsidR="002A70E1" w:rsidRPr="007A46C0">
        <w:rPr>
          <w:kern w:val="22"/>
          <w:sz w:val="22"/>
          <w:szCs w:val="22"/>
          <w:lang w:val="fr-CA"/>
        </w:rPr>
        <w:t>2020 pour la biodiversité. Les Parties et les observateurs pourraient être invités à présenter des points de vue et des informations à cet égard, et la Secrétaire exécutive pourrait être priée d</w:t>
      </w:r>
      <w:r w:rsidR="00DF1C84">
        <w:rPr>
          <w:kern w:val="22"/>
          <w:sz w:val="22"/>
          <w:szCs w:val="22"/>
          <w:lang w:val="fr-CA"/>
        </w:rPr>
        <w:t>’</w:t>
      </w:r>
      <w:r w:rsidR="002A70E1" w:rsidRPr="007A46C0">
        <w:rPr>
          <w:kern w:val="22"/>
          <w:sz w:val="22"/>
          <w:szCs w:val="22"/>
          <w:lang w:val="fr-CA"/>
        </w:rPr>
        <w:t>élaborer d</w:t>
      </w:r>
      <w:r w:rsidR="00DF1C84">
        <w:rPr>
          <w:kern w:val="22"/>
          <w:sz w:val="22"/>
          <w:szCs w:val="22"/>
          <w:lang w:val="fr-CA"/>
        </w:rPr>
        <w:t>’</w:t>
      </w:r>
      <w:r w:rsidR="002A70E1" w:rsidRPr="007A46C0">
        <w:rPr>
          <w:kern w:val="22"/>
          <w:sz w:val="22"/>
          <w:szCs w:val="22"/>
          <w:lang w:val="fr-CA"/>
        </w:rPr>
        <w:t>autres options, en consultation avec le bureau et les groupes régionaux, et à la lumière des consultations prévues dans le cadre du processus d</w:t>
      </w:r>
      <w:r w:rsidR="00DF1C84">
        <w:rPr>
          <w:kern w:val="22"/>
          <w:sz w:val="22"/>
          <w:szCs w:val="22"/>
          <w:lang w:val="fr-CA"/>
        </w:rPr>
        <w:t>’</w:t>
      </w:r>
      <w:r w:rsidR="002A70E1" w:rsidRPr="007A46C0">
        <w:rPr>
          <w:kern w:val="22"/>
          <w:sz w:val="22"/>
          <w:szCs w:val="22"/>
          <w:lang w:val="fr-CA"/>
        </w:rPr>
        <w:t>élaboration du cadre mondial de l</w:t>
      </w:r>
      <w:r w:rsidR="00DF1C84">
        <w:rPr>
          <w:kern w:val="22"/>
          <w:sz w:val="22"/>
          <w:szCs w:val="22"/>
          <w:lang w:val="fr-CA"/>
        </w:rPr>
        <w:t>’</w:t>
      </w:r>
      <w:r w:rsidR="002A70E1" w:rsidRPr="007A46C0">
        <w:rPr>
          <w:kern w:val="22"/>
          <w:sz w:val="22"/>
          <w:szCs w:val="22"/>
          <w:lang w:val="fr-CA"/>
        </w:rPr>
        <w:t>après</w:t>
      </w:r>
      <w:r w:rsidR="00DF1C84">
        <w:rPr>
          <w:kern w:val="22"/>
          <w:sz w:val="22"/>
          <w:szCs w:val="22"/>
          <w:lang w:val="fr-CA"/>
        </w:rPr>
        <w:noBreakHyphen/>
      </w:r>
      <w:r w:rsidR="002A70E1" w:rsidRPr="007A46C0">
        <w:rPr>
          <w:kern w:val="22"/>
          <w:sz w:val="22"/>
          <w:szCs w:val="22"/>
          <w:lang w:val="fr-CA"/>
        </w:rPr>
        <w:t>2020 pour la biodiversité.</w:t>
      </w:r>
    </w:p>
    <w:p w:rsidR="00A25115" w:rsidRPr="007A46C0" w:rsidRDefault="00A25115" w:rsidP="00E6163E">
      <w:pPr>
        <w:pStyle w:val="HEADINGNOTFORTOC"/>
        <w:keepLines/>
        <w:tabs>
          <w:tab w:val="clear" w:pos="720"/>
        </w:tabs>
        <w:spacing w:before="120"/>
        <w:ind w:left="360"/>
        <w:rPr>
          <w:snapToGrid w:val="0"/>
          <w:kern w:val="22"/>
          <w:sz w:val="22"/>
          <w:szCs w:val="22"/>
          <w:lang w:val="fr-CA"/>
        </w:rPr>
      </w:pPr>
      <w:r w:rsidRPr="007A46C0">
        <w:rPr>
          <w:snapToGrid w:val="0"/>
          <w:kern w:val="22"/>
          <w:sz w:val="22"/>
          <w:szCs w:val="22"/>
          <w:lang w:val="fr-CA"/>
        </w:rPr>
        <w:lastRenderedPageBreak/>
        <w:t>VII.</w:t>
      </w:r>
      <w:r w:rsidRPr="007A46C0">
        <w:rPr>
          <w:snapToGrid w:val="0"/>
          <w:kern w:val="22"/>
          <w:sz w:val="22"/>
          <w:szCs w:val="22"/>
          <w:lang w:val="fr-CA"/>
        </w:rPr>
        <w:tab/>
      </w:r>
      <w:r w:rsidR="00E6163E" w:rsidRPr="007A46C0">
        <w:rPr>
          <w:snapToGrid w:val="0"/>
          <w:kern w:val="22"/>
          <w:sz w:val="22"/>
          <w:szCs w:val="22"/>
          <w:lang w:val="fr-CA"/>
        </w:rPr>
        <w:t>projet de recommandation</w:t>
      </w:r>
    </w:p>
    <w:p w:rsidR="00A25115" w:rsidRPr="007A46C0" w:rsidRDefault="00E6163E" w:rsidP="00E6163E">
      <w:pPr>
        <w:pStyle w:val="Para1"/>
        <w:keepNext/>
        <w:keepLines/>
        <w:numPr>
          <w:ilvl w:val="0"/>
          <w:numId w:val="13"/>
        </w:numPr>
        <w:suppressLineNumbers/>
        <w:tabs>
          <w:tab w:val="clear" w:pos="360"/>
          <w:tab w:val="num" w:pos="720"/>
        </w:tabs>
        <w:suppressAutoHyphens/>
        <w:spacing w:before="120"/>
        <w:jc w:val="both"/>
        <w:rPr>
          <w:kern w:val="22"/>
          <w:sz w:val="22"/>
          <w:szCs w:val="22"/>
          <w:lang w:val="fr-CA"/>
        </w:rPr>
      </w:pPr>
      <w:r w:rsidRPr="007A46C0">
        <w:rPr>
          <w:kern w:val="22"/>
          <w:sz w:val="22"/>
          <w:szCs w:val="22"/>
          <w:lang w:val="fr-CA"/>
        </w:rPr>
        <w:t>L</w:t>
      </w:r>
      <w:r w:rsidR="00DF1C84">
        <w:rPr>
          <w:kern w:val="22"/>
          <w:sz w:val="22"/>
          <w:szCs w:val="22"/>
          <w:lang w:val="fr-CA"/>
        </w:rPr>
        <w:t>’</w:t>
      </w:r>
      <w:r w:rsidRPr="007A46C0">
        <w:rPr>
          <w:kern w:val="22"/>
          <w:sz w:val="22"/>
          <w:szCs w:val="22"/>
          <w:lang w:val="fr-CA"/>
        </w:rPr>
        <w:t>Organe subsidiaire chargé de l</w:t>
      </w:r>
      <w:r w:rsidR="00DF1C84">
        <w:rPr>
          <w:kern w:val="22"/>
          <w:sz w:val="22"/>
          <w:szCs w:val="22"/>
          <w:lang w:val="fr-CA"/>
        </w:rPr>
        <w:t>’</w:t>
      </w:r>
      <w:r w:rsidRPr="007A46C0">
        <w:rPr>
          <w:kern w:val="22"/>
          <w:sz w:val="22"/>
          <w:szCs w:val="22"/>
          <w:lang w:val="fr-CA"/>
        </w:rPr>
        <w:t>application pourrait souhaiter envisager d</w:t>
      </w:r>
      <w:r w:rsidR="00DF1C84">
        <w:rPr>
          <w:kern w:val="22"/>
          <w:sz w:val="22"/>
          <w:szCs w:val="22"/>
          <w:lang w:val="fr-CA"/>
        </w:rPr>
        <w:t>’</w:t>
      </w:r>
      <w:r w:rsidRPr="007A46C0">
        <w:rPr>
          <w:kern w:val="22"/>
          <w:sz w:val="22"/>
          <w:szCs w:val="22"/>
          <w:lang w:val="fr-CA"/>
        </w:rPr>
        <w:t>adopter une recommandation s</w:t>
      </w:r>
      <w:r w:rsidR="00DF1C84">
        <w:rPr>
          <w:kern w:val="22"/>
          <w:sz w:val="22"/>
          <w:szCs w:val="22"/>
          <w:lang w:val="fr-CA"/>
        </w:rPr>
        <w:t>’</w:t>
      </w:r>
      <w:r w:rsidRPr="007A46C0">
        <w:rPr>
          <w:kern w:val="22"/>
          <w:sz w:val="22"/>
          <w:szCs w:val="22"/>
          <w:lang w:val="fr-CA"/>
        </w:rPr>
        <w:t>alignant sur ce qui suit :</w:t>
      </w:r>
    </w:p>
    <w:p w:rsidR="00A54F67" w:rsidRPr="007A46C0" w:rsidRDefault="00E6163E" w:rsidP="00E6163E">
      <w:pPr>
        <w:pStyle w:val="Para1"/>
        <w:keepNext/>
        <w:keepLines/>
        <w:suppressLineNumbers/>
        <w:suppressAutoHyphens/>
        <w:spacing w:before="120"/>
        <w:ind w:firstLine="720"/>
        <w:jc w:val="both"/>
        <w:rPr>
          <w:i/>
          <w:kern w:val="22"/>
          <w:sz w:val="22"/>
          <w:szCs w:val="22"/>
          <w:lang w:val="fr-CA"/>
        </w:rPr>
      </w:pPr>
      <w:r w:rsidRPr="007A46C0">
        <w:rPr>
          <w:i/>
          <w:kern w:val="22"/>
          <w:sz w:val="22"/>
          <w:szCs w:val="22"/>
          <w:lang w:val="fr-CA"/>
        </w:rPr>
        <w:t>L</w:t>
      </w:r>
      <w:r w:rsidR="00DF1C84">
        <w:rPr>
          <w:i/>
          <w:kern w:val="22"/>
          <w:sz w:val="22"/>
          <w:szCs w:val="22"/>
          <w:lang w:val="fr-CA"/>
        </w:rPr>
        <w:t>’</w:t>
      </w:r>
      <w:r w:rsidRPr="007A46C0">
        <w:rPr>
          <w:i/>
          <w:kern w:val="22"/>
          <w:sz w:val="22"/>
          <w:szCs w:val="22"/>
          <w:lang w:val="fr-CA"/>
        </w:rPr>
        <w:t>Organe subsidiaire chargé de l</w:t>
      </w:r>
      <w:r w:rsidR="00DF1C84">
        <w:rPr>
          <w:i/>
          <w:kern w:val="22"/>
          <w:sz w:val="22"/>
          <w:szCs w:val="22"/>
          <w:lang w:val="fr-CA"/>
        </w:rPr>
        <w:t>’</w:t>
      </w:r>
      <w:r w:rsidRPr="007A46C0">
        <w:rPr>
          <w:i/>
          <w:kern w:val="22"/>
          <w:sz w:val="22"/>
          <w:szCs w:val="22"/>
          <w:lang w:val="fr-CA"/>
        </w:rPr>
        <w:t>application</w:t>
      </w:r>
    </w:p>
    <w:p w:rsidR="00F7242A" w:rsidRPr="007A46C0" w:rsidRDefault="00F7242A" w:rsidP="0093105C">
      <w:pPr>
        <w:pStyle w:val="Para1"/>
        <w:keepLines/>
        <w:numPr>
          <w:ilvl w:val="6"/>
          <w:numId w:val="13"/>
        </w:numPr>
        <w:suppressLineNumbers/>
        <w:tabs>
          <w:tab w:val="clear" w:pos="360"/>
        </w:tabs>
        <w:suppressAutoHyphens/>
        <w:spacing w:before="120"/>
        <w:ind w:left="0" w:firstLine="720"/>
        <w:jc w:val="both"/>
        <w:rPr>
          <w:kern w:val="22"/>
          <w:sz w:val="22"/>
          <w:szCs w:val="22"/>
          <w:lang w:val="fr-CA"/>
        </w:rPr>
      </w:pPr>
      <w:r w:rsidRPr="007A46C0">
        <w:rPr>
          <w:i/>
          <w:kern w:val="22"/>
          <w:sz w:val="22"/>
          <w:szCs w:val="22"/>
          <w:lang w:val="fr-CA"/>
        </w:rPr>
        <w:t>Invite</w:t>
      </w:r>
      <w:r w:rsidR="00E6163E" w:rsidRPr="007A46C0">
        <w:rPr>
          <w:i/>
          <w:kern w:val="22"/>
          <w:sz w:val="22"/>
          <w:szCs w:val="22"/>
          <w:lang w:val="fr-CA"/>
        </w:rPr>
        <w:t xml:space="preserve"> </w:t>
      </w:r>
      <w:r w:rsidR="00E6163E" w:rsidRPr="007A46C0">
        <w:rPr>
          <w:iCs/>
          <w:kern w:val="22"/>
          <w:sz w:val="22"/>
          <w:szCs w:val="22"/>
          <w:lang w:val="fr-CA"/>
        </w:rPr>
        <w:t xml:space="preserve">les Parties et les organisations concernées à fournir des points de vue et des informations concernant de possibles </w:t>
      </w:r>
      <w:r w:rsidR="00BC229B" w:rsidRPr="007A46C0">
        <w:rPr>
          <w:iCs/>
          <w:kern w:val="22"/>
          <w:sz w:val="22"/>
          <w:szCs w:val="22"/>
          <w:lang w:val="fr-CA"/>
        </w:rPr>
        <w:t>options</w:t>
      </w:r>
      <w:r w:rsidR="00E6163E" w:rsidRPr="007A46C0">
        <w:rPr>
          <w:iCs/>
          <w:kern w:val="22"/>
          <w:sz w:val="22"/>
          <w:szCs w:val="22"/>
          <w:lang w:val="fr-CA"/>
        </w:rPr>
        <w:t xml:space="preserve"> </w:t>
      </w:r>
      <w:r w:rsidR="0093105C" w:rsidRPr="007A46C0">
        <w:rPr>
          <w:iCs/>
          <w:kern w:val="22"/>
          <w:sz w:val="22"/>
          <w:szCs w:val="22"/>
          <w:lang w:val="fr-CA"/>
        </w:rPr>
        <w:t>visant à</w:t>
      </w:r>
      <w:r w:rsidR="00E6163E" w:rsidRPr="007A46C0">
        <w:rPr>
          <w:iCs/>
          <w:kern w:val="22"/>
          <w:sz w:val="22"/>
          <w:szCs w:val="22"/>
          <w:lang w:val="fr-CA"/>
        </w:rPr>
        <w:t xml:space="preserve"> améliorer le mécanisme d</w:t>
      </w:r>
      <w:r w:rsidR="00DF1C84">
        <w:rPr>
          <w:iCs/>
          <w:kern w:val="22"/>
          <w:sz w:val="22"/>
          <w:szCs w:val="22"/>
          <w:lang w:val="fr-CA"/>
        </w:rPr>
        <w:t>’</w:t>
      </w:r>
      <w:r w:rsidR="00E6163E" w:rsidRPr="007A46C0">
        <w:rPr>
          <w:iCs/>
          <w:kern w:val="22"/>
          <w:sz w:val="22"/>
          <w:szCs w:val="22"/>
          <w:lang w:val="fr-CA"/>
        </w:rPr>
        <w:t>examen afin de renforcer la mise en œuvre de la Convention;</w:t>
      </w:r>
    </w:p>
    <w:p w:rsidR="00F7242A" w:rsidRPr="007A46C0" w:rsidRDefault="00E6163E" w:rsidP="00E6163E">
      <w:pPr>
        <w:pStyle w:val="Para1"/>
        <w:keepLines/>
        <w:numPr>
          <w:ilvl w:val="6"/>
          <w:numId w:val="13"/>
        </w:numPr>
        <w:suppressLineNumbers/>
        <w:tabs>
          <w:tab w:val="clear" w:pos="360"/>
        </w:tabs>
        <w:suppressAutoHyphens/>
        <w:spacing w:before="120"/>
        <w:ind w:left="0" w:firstLine="720"/>
        <w:jc w:val="both"/>
        <w:rPr>
          <w:kern w:val="22"/>
          <w:sz w:val="22"/>
          <w:szCs w:val="22"/>
          <w:lang w:val="fr-CA"/>
        </w:rPr>
      </w:pPr>
      <w:r w:rsidRPr="007A46C0">
        <w:rPr>
          <w:i/>
          <w:kern w:val="22"/>
          <w:sz w:val="22"/>
          <w:szCs w:val="22"/>
          <w:lang w:val="fr-CA"/>
        </w:rPr>
        <w:t>Prie</w:t>
      </w:r>
      <w:r w:rsidRPr="007A46C0">
        <w:rPr>
          <w:iCs/>
          <w:kern w:val="22"/>
          <w:sz w:val="22"/>
          <w:szCs w:val="22"/>
          <w:lang w:val="fr-CA"/>
        </w:rPr>
        <w:t xml:space="preserve"> la Secrétaire exécutive</w:t>
      </w:r>
      <w:r w:rsidR="0093105C" w:rsidRPr="007A46C0">
        <w:rPr>
          <w:iCs/>
          <w:kern w:val="22"/>
          <w:sz w:val="22"/>
          <w:szCs w:val="22"/>
          <w:lang w:val="fr-CA"/>
        </w:rPr>
        <w:t xml:space="preserve"> de</w:t>
      </w:r>
      <w:r w:rsidRPr="007A46C0">
        <w:rPr>
          <w:iCs/>
          <w:kern w:val="22"/>
          <w:sz w:val="22"/>
          <w:szCs w:val="22"/>
          <w:lang w:val="fr-CA"/>
        </w:rPr>
        <w:t> :</w:t>
      </w:r>
    </w:p>
    <w:p w:rsidR="00F7242A" w:rsidRPr="007A46C0" w:rsidRDefault="0093105C" w:rsidP="00E6163E">
      <w:pPr>
        <w:keepLines/>
        <w:numPr>
          <w:ilvl w:val="0"/>
          <w:numId w:val="21"/>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C</w:t>
      </w:r>
      <w:r w:rsidR="00E6163E" w:rsidRPr="007A46C0">
        <w:rPr>
          <w:snapToGrid w:val="0"/>
          <w:kern w:val="22"/>
          <w:sz w:val="22"/>
          <w:szCs w:val="22"/>
          <w:lang w:val="fr-CA"/>
        </w:rPr>
        <w:t>ompiler et d</w:t>
      </w:r>
      <w:r w:rsidR="00DF1C84">
        <w:rPr>
          <w:snapToGrid w:val="0"/>
          <w:kern w:val="22"/>
          <w:sz w:val="22"/>
          <w:szCs w:val="22"/>
          <w:lang w:val="fr-CA"/>
        </w:rPr>
        <w:t>’</w:t>
      </w:r>
      <w:r w:rsidR="00E6163E" w:rsidRPr="007A46C0">
        <w:rPr>
          <w:snapToGrid w:val="0"/>
          <w:kern w:val="22"/>
          <w:sz w:val="22"/>
          <w:szCs w:val="22"/>
          <w:lang w:val="fr-CA"/>
        </w:rPr>
        <w:t>analyser les points de vu</w:t>
      </w:r>
      <w:r w:rsidR="00843A30" w:rsidRPr="007A46C0">
        <w:rPr>
          <w:snapToGrid w:val="0"/>
          <w:kern w:val="22"/>
          <w:sz w:val="22"/>
          <w:szCs w:val="22"/>
          <w:lang w:val="fr-CA"/>
        </w:rPr>
        <w:t>e et les informations transmis</w:t>
      </w:r>
      <w:r w:rsidR="00E6163E" w:rsidRPr="007A46C0">
        <w:rPr>
          <w:snapToGrid w:val="0"/>
          <w:kern w:val="22"/>
          <w:sz w:val="22"/>
          <w:szCs w:val="22"/>
          <w:lang w:val="fr-CA"/>
        </w:rPr>
        <w:t xml:space="preserve"> conformément au </w:t>
      </w:r>
      <w:r w:rsidR="00E6163E" w:rsidRPr="007A46C0">
        <w:rPr>
          <w:noProof/>
          <w:snapToGrid w:val="0"/>
          <w:kern w:val="22"/>
          <w:sz w:val="22"/>
          <w:szCs w:val="22"/>
          <w:lang w:val="fr-CA"/>
        </w:rPr>
        <w:t>paragraphe 1 ci</w:t>
      </w:r>
      <w:r w:rsidR="00DF1C84">
        <w:rPr>
          <w:noProof/>
          <w:snapToGrid w:val="0"/>
          <w:kern w:val="22"/>
          <w:sz w:val="22"/>
          <w:szCs w:val="22"/>
          <w:lang w:val="fr-CA"/>
        </w:rPr>
        <w:noBreakHyphen/>
      </w:r>
      <w:r w:rsidR="00E6163E" w:rsidRPr="007A46C0">
        <w:rPr>
          <w:noProof/>
          <w:snapToGrid w:val="0"/>
          <w:kern w:val="22"/>
          <w:sz w:val="22"/>
          <w:szCs w:val="22"/>
          <w:lang w:val="fr-CA"/>
        </w:rPr>
        <w:t>dessus</w:t>
      </w:r>
      <w:r w:rsidR="00E6163E" w:rsidRPr="007A46C0">
        <w:rPr>
          <w:snapToGrid w:val="0"/>
          <w:kern w:val="22"/>
          <w:sz w:val="22"/>
          <w:szCs w:val="22"/>
          <w:lang w:val="fr-CA"/>
        </w:rPr>
        <w:t>;</w:t>
      </w:r>
    </w:p>
    <w:p w:rsidR="009168E6" w:rsidRPr="007A46C0" w:rsidRDefault="0093105C" w:rsidP="0093105C">
      <w:pPr>
        <w:keepLines/>
        <w:numPr>
          <w:ilvl w:val="0"/>
          <w:numId w:val="21"/>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R</w:t>
      </w:r>
      <w:r w:rsidR="00BC229B" w:rsidRPr="007A46C0">
        <w:rPr>
          <w:snapToGrid w:val="0"/>
          <w:kern w:val="22"/>
          <w:sz w:val="22"/>
          <w:szCs w:val="22"/>
          <w:lang w:val="fr-CA"/>
        </w:rPr>
        <w:t xml:space="preserve">ecenser et/ou élaborer des options </w:t>
      </w:r>
      <w:r w:rsidRPr="007A46C0">
        <w:rPr>
          <w:iCs/>
          <w:kern w:val="22"/>
          <w:sz w:val="22"/>
          <w:szCs w:val="22"/>
          <w:lang w:val="fr-CA"/>
        </w:rPr>
        <w:t>visant à</w:t>
      </w:r>
      <w:r w:rsidR="00BC229B" w:rsidRPr="007A46C0">
        <w:rPr>
          <w:iCs/>
          <w:kern w:val="22"/>
          <w:sz w:val="22"/>
          <w:szCs w:val="22"/>
          <w:lang w:val="fr-CA"/>
        </w:rPr>
        <w:t xml:space="preserve"> améliorer le mécanisme d</w:t>
      </w:r>
      <w:r w:rsidR="00DF1C84">
        <w:rPr>
          <w:iCs/>
          <w:kern w:val="22"/>
          <w:sz w:val="22"/>
          <w:szCs w:val="22"/>
          <w:lang w:val="fr-CA"/>
        </w:rPr>
        <w:t>’</w:t>
      </w:r>
      <w:r w:rsidR="00BC229B" w:rsidRPr="007A46C0">
        <w:rPr>
          <w:iCs/>
          <w:kern w:val="22"/>
          <w:sz w:val="22"/>
          <w:szCs w:val="22"/>
          <w:lang w:val="fr-CA"/>
        </w:rPr>
        <w:t xml:space="preserve">examen afin de renforcer la mise en œuvre de la Convention, en tenant compte des </w:t>
      </w:r>
      <w:r w:rsidR="00BC229B" w:rsidRPr="007A46C0">
        <w:rPr>
          <w:snapToGrid w:val="0"/>
          <w:kern w:val="22"/>
          <w:sz w:val="22"/>
          <w:szCs w:val="22"/>
          <w:lang w:val="fr-CA"/>
        </w:rPr>
        <w:t>points de vue et informations transmis par les Parties et les observateurs ainsi que des informations figurant dans les notes de la Secrétaire exécutive;</w:t>
      </w:r>
      <w:r w:rsidR="00BC229B" w:rsidRPr="007A46C0">
        <w:rPr>
          <w:rStyle w:val="FootnoteReference"/>
          <w:snapToGrid w:val="0"/>
          <w:kern w:val="22"/>
          <w:sz w:val="22"/>
          <w:szCs w:val="22"/>
          <w:u w:val="none"/>
          <w:vertAlign w:val="superscript"/>
          <w:lang w:val="fr-CA"/>
        </w:rPr>
        <w:footnoteReference w:id="21"/>
      </w:r>
      <w:r w:rsidR="00BC229B" w:rsidRPr="007A46C0">
        <w:rPr>
          <w:snapToGrid w:val="0"/>
          <w:kern w:val="22"/>
          <w:sz w:val="22"/>
          <w:szCs w:val="22"/>
          <w:lang w:val="fr-CA"/>
        </w:rPr>
        <w:t xml:space="preserve"> </w:t>
      </w:r>
    </w:p>
    <w:p w:rsidR="009168E6" w:rsidRPr="007A46C0" w:rsidRDefault="0093105C" w:rsidP="0093105C">
      <w:pPr>
        <w:keepLines/>
        <w:numPr>
          <w:ilvl w:val="0"/>
          <w:numId w:val="21"/>
        </w:numPr>
        <w:suppressLineNumbers/>
        <w:suppressAutoHyphens/>
        <w:spacing w:after="120"/>
        <w:ind w:left="0" w:firstLine="720"/>
        <w:jc w:val="both"/>
        <w:rPr>
          <w:snapToGrid w:val="0"/>
          <w:kern w:val="22"/>
          <w:sz w:val="22"/>
          <w:szCs w:val="22"/>
          <w:lang w:val="fr-CA"/>
        </w:rPr>
      </w:pPr>
      <w:r w:rsidRPr="007A46C0">
        <w:rPr>
          <w:snapToGrid w:val="0"/>
          <w:kern w:val="22"/>
          <w:sz w:val="22"/>
          <w:szCs w:val="22"/>
          <w:lang w:val="fr-CA"/>
        </w:rPr>
        <w:t>Mettre le tout à la disposition des Parties et des observateurs par le biais du centre d</w:t>
      </w:r>
      <w:r w:rsidR="00DF1C84">
        <w:rPr>
          <w:snapToGrid w:val="0"/>
          <w:kern w:val="22"/>
          <w:sz w:val="22"/>
          <w:szCs w:val="22"/>
          <w:lang w:val="fr-CA"/>
        </w:rPr>
        <w:t>’</w:t>
      </w:r>
      <w:r w:rsidRPr="007A46C0">
        <w:rPr>
          <w:snapToGrid w:val="0"/>
          <w:kern w:val="22"/>
          <w:sz w:val="22"/>
          <w:szCs w:val="22"/>
          <w:lang w:val="fr-CA"/>
        </w:rPr>
        <w:t>échange;</w:t>
      </w:r>
    </w:p>
    <w:p w:rsidR="00070B58" w:rsidRPr="007A46C0" w:rsidRDefault="0093105C" w:rsidP="0093105C">
      <w:pPr>
        <w:pStyle w:val="Para1"/>
        <w:keepLines/>
        <w:numPr>
          <w:ilvl w:val="6"/>
          <w:numId w:val="13"/>
        </w:numPr>
        <w:suppressLineNumbers/>
        <w:tabs>
          <w:tab w:val="clear" w:pos="360"/>
        </w:tabs>
        <w:suppressAutoHyphens/>
        <w:spacing w:before="120"/>
        <w:ind w:left="0" w:firstLine="720"/>
        <w:jc w:val="both"/>
        <w:rPr>
          <w:i/>
          <w:kern w:val="22"/>
          <w:sz w:val="22"/>
          <w:szCs w:val="22"/>
          <w:lang w:val="fr-CA"/>
        </w:rPr>
      </w:pPr>
      <w:r w:rsidRPr="007A46C0">
        <w:rPr>
          <w:i/>
          <w:kern w:val="22"/>
          <w:sz w:val="22"/>
          <w:szCs w:val="22"/>
          <w:lang w:val="fr-CA"/>
        </w:rPr>
        <w:t>Recommande</w:t>
      </w:r>
      <w:r w:rsidRPr="007A46C0">
        <w:rPr>
          <w:iCs/>
          <w:kern w:val="22"/>
          <w:sz w:val="22"/>
          <w:szCs w:val="22"/>
          <w:lang w:val="fr-CA"/>
        </w:rPr>
        <w:t xml:space="preserve"> que la Conférence des Parties, dans son examen du processus d</w:t>
      </w:r>
      <w:r w:rsidR="00DF1C84">
        <w:rPr>
          <w:iCs/>
          <w:kern w:val="22"/>
          <w:sz w:val="22"/>
          <w:szCs w:val="22"/>
          <w:lang w:val="fr-CA"/>
        </w:rPr>
        <w:t>’</w:t>
      </w:r>
      <w:r w:rsidRPr="007A46C0">
        <w:rPr>
          <w:iCs/>
          <w:kern w:val="22"/>
          <w:sz w:val="22"/>
          <w:szCs w:val="22"/>
          <w:lang w:val="fr-CA"/>
        </w:rPr>
        <w:t>élaboration du cadre mondial de l</w:t>
      </w:r>
      <w:r w:rsidR="00DF1C84">
        <w:rPr>
          <w:iCs/>
          <w:kern w:val="22"/>
          <w:sz w:val="22"/>
          <w:szCs w:val="22"/>
          <w:lang w:val="fr-CA"/>
        </w:rPr>
        <w:t>’</w:t>
      </w:r>
      <w:r w:rsidRPr="007A46C0">
        <w:rPr>
          <w:iCs/>
          <w:kern w:val="22"/>
          <w:sz w:val="22"/>
          <w:szCs w:val="22"/>
          <w:lang w:val="fr-CA"/>
        </w:rPr>
        <w:t>après</w:t>
      </w:r>
      <w:r w:rsidR="00DF1C84">
        <w:rPr>
          <w:iCs/>
          <w:kern w:val="22"/>
          <w:sz w:val="22"/>
          <w:szCs w:val="22"/>
          <w:lang w:val="fr-CA"/>
        </w:rPr>
        <w:noBreakHyphen/>
      </w:r>
      <w:r w:rsidRPr="007A46C0">
        <w:rPr>
          <w:iCs/>
          <w:kern w:val="22"/>
          <w:sz w:val="22"/>
          <w:szCs w:val="22"/>
          <w:lang w:val="fr-CA"/>
        </w:rPr>
        <w:t>2020 pour la biodiversité, prie la Secrétaire exécutive de consulter les Parties intéressées afin d</w:t>
      </w:r>
      <w:r w:rsidR="00DF1C84">
        <w:rPr>
          <w:iCs/>
          <w:kern w:val="22"/>
          <w:sz w:val="22"/>
          <w:szCs w:val="22"/>
          <w:lang w:val="fr-CA"/>
        </w:rPr>
        <w:t>’</w:t>
      </w:r>
      <w:r w:rsidRPr="007A46C0">
        <w:rPr>
          <w:iCs/>
          <w:kern w:val="22"/>
          <w:sz w:val="22"/>
          <w:szCs w:val="22"/>
          <w:lang w:val="fr-CA"/>
        </w:rPr>
        <w:t>explorer d</w:t>
      </w:r>
      <w:r w:rsidR="00DF1C84">
        <w:rPr>
          <w:iCs/>
          <w:kern w:val="22"/>
          <w:sz w:val="22"/>
          <w:szCs w:val="22"/>
          <w:lang w:val="fr-CA"/>
        </w:rPr>
        <w:t>’</w:t>
      </w:r>
      <w:r w:rsidRPr="007A46C0">
        <w:rPr>
          <w:iCs/>
          <w:kern w:val="22"/>
          <w:sz w:val="22"/>
          <w:szCs w:val="22"/>
          <w:lang w:val="fr-CA"/>
        </w:rPr>
        <w:t>éventuelles modalités d</w:t>
      </w:r>
      <w:r w:rsidR="00DF1C84">
        <w:rPr>
          <w:iCs/>
          <w:kern w:val="22"/>
          <w:sz w:val="22"/>
          <w:szCs w:val="22"/>
          <w:lang w:val="fr-CA"/>
        </w:rPr>
        <w:t>’</w:t>
      </w:r>
      <w:r w:rsidRPr="007A46C0">
        <w:rPr>
          <w:iCs/>
          <w:kern w:val="22"/>
          <w:sz w:val="22"/>
          <w:szCs w:val="22"/>
          <w:lang w:val="fr-CA"/>
        </w:rPr>
        <w:t>application des options visant à renforcer l</w:t>
      </w:r>
      <w:r w:rsidR="00DF1C84">
        <w:rPr>
          <w:iCs/>
          <w:kern w:val="22"/>
          <w:sz w:val="22"/>
          <w:szCs w:val="22"/>
          <w:lang w:val="fr-CA"/>
        </w:rPr>
        <w:t>’</w:t>
      </w:r>
      <w:r w:rsidRPr="007A46C0">
        <w:rPr>
          <w:iCs/>
          <w:kern w:val="22"/>
          <w:sz w:val="22"/>
          <w:szCs w:val="22"/>
          <w:lang w:val="fr-CA"/>
        </w:rPr>
        <w:t>examen de l</w:t>
      </w:r>
      <w:r w:rsidR="00DF1C84">
        <w:rPr>
          <w:iCs/>
          <w:kern w:val="22"/>
          <w:sz w:val="22"/>
          <w:szCs w:val="22"/>
          <w:lang w:val="fr-CA"/>
        </w:rPr>
        <w:t>’</w:t>
      </w:r>
      <w:r w:rsidRPr="007A46C0">
        <w:rPr>
          <w:iCs/>
          <w:kern w:val="22"/>
          <w:sz w:val="22"/>
          <w:szCs w:val="22"/>
          <w:lang w:val="fr-CA"/>
        </w:rPr>
        <w:t>application à la troisième réunion de l</w:t>
      </w:r>
      <w:r w:rsidR="00DF1C84">
        <w:rPr>
          <w:iCs/>
          <w:kern w:val="22"/>
          <w:sz w:val="22"/>
          <w:szCs w:val="22"/>
          <w:lang w:val="fr-CA"/>
        </w:rPr>
        <w:t>’</w:t>
      </w:r>
      <w:r w:rsidRPr="007A46C0">
        <w:rPr>
          <w:iCs/>
          <w:kern w:val="22"/>
          <w:sz w:val="22"/>
          <w:szCs w:val="22"/>
          <w:lang w:val="fr-CA"/>
        </w:rPr>
        <w:t>Organe subsidiaire chargé de l</w:t>
      </w:r>
      <w:r w:rsidR="00DF1C84">
        <w:rPr>
          <w:iCs/>
          <w:kern w:val="22"/>
          <w:sz w:val="22"/>
          <w:szCs w:val="22"/>
          <w:lang w:val="fr-CA"/>
        </w:rPr>
        <w:t>’</w:t>
      </w:r>
      <w:r w:rsidRPr="007A46C0">
        <w:rPr>
          <w:iCs/>
          <w:kern w:val="22"/>
          <w:sz w:val="22"/>
          <w:szCs w:val="22"/>
          <w:lang w:val="fr-CA"/>
        </w:rPr>
        <w:t>application.</w:t>
      </w:r>
    </w:p>
    <w:p w:rsidR="00B33755" w:rsidRPr="007A46C0" w:rsidRDefault="005509A7" w:rsidP="00A25115">
      <w:pPr>
        <w:pStyle w:val="Para1"/>
        <w:jc w:val="center"/>
        <w:rPr>
          <w:i/>
          <w:kern w:val="22"/>
          <w:sz w:val="22"/>
          <w:szCs w:val="22"/>
          <w:lang w:val="fr-CA"/>
        </w:rPr>
      </w:pPr>
      <w:r w:rsidRPr="007A46C0">
        <w:rPr>
          <w:kern w:val="22"/>
          <w:sz w:val="22"/>
          <w:szCs w:val="22"/>
          <w:lang w:val="fr-CA"/>
        </w:rPr>
        <w:br w:type="page"/>
      </w:r>
      <w:r w:rsidR="00B33755" w:rsidRPr="007A46C0">
        <w:rPr>
          <w:i/>
          <w:kern w:val="22"/>
          <w:sz w:val="22"/>
          <w:szCs w:val="22"/>
          <w:lang w:val="fr-CA"/>
        </w:rPr>
        <w:lastRenderedPageBreak/>
        <w:t>Annex</w:t>
      </w:r>
      <w:r w:rsidR="007A46C0" w:rsidRPr="007A46C0">
        <w:rPr>
          <w:i/>
          <w:kern w:val="22"/>
          <w:sz w:val="22"/>
          <w:szCs w:val="22"/>
          <w:lang w:val="fr-CA"/>
        </w:rPr>
        <w:t>e </w:t>
      </w:r>
      <w:r w:rsidR="00B33755" w:rsidRPr="007A46C0">
        <w:rPr>
          <w:i/>
          <w:kern w:val="22"/>
          <w:sz w:val="22"/>
          <w:szCs w:val="22"/>
          <w:lang w:val="fr-CA"/>
        </w:rPr>
        <w:t>I</w:t>
      </w:r>
    </w:p>
    <w:p w:rsidR="00B33755" w:rsidRPr="007A46C0" w:rsidRDefault="00075DFC" w:rsidP="00EC5612">
      <w:pPr>
        <w:pStyle w:val="Para1"/>
        <w:jc w:val="center"/>
        <w:rPr>
          <w:b/>
          <w:kern w:val="22"/>
          <w:sz w:val="22"/>
          <w:szCs w:val="22"/>
          <w:lang w:val="fr-CA"/>
        </w:rPr>
      </w:pPr>
      <w:r>
        <w:rPr>
          <w:rStyle w:val="Heading1Char"/>
          <w:rFonts w:cs="Times New Roman"/>
          <w:kern w:val="22"/>
          <w:szCs w:val="22"/>
          <w:lang w:val="fr-CA"/>
        </w:rPr>
        <w:t>informations actualisées sur les mécanismes d</w:t>
      </w:r>
      <w:r w:rsidR="00DF1C84">
        <w:rPr>
          <w:rStyle w:val="Heading1Char"/>
          <w:rFonts w:cs="Times New Roman"/>
          <w:kern w:val="22"/>
          <w:szCs w:val="22"/>
          <w:lang w:val="fr-CA"/>
        </w:rPr>
        <w:t>’</w:t>
      </w:r>
      <w:r>
        <w:rPr>
          <w:rStyle w:val="Heading1Char"/>
          <w:rFonts w:cs="Times New Roman"/>
          <w:kern w:val="22"/>
          <w:szCs w:val="22"/>
          <w:lang w:val="fr-CA"/>
        </w:rPr>
        <w:t>examen créés au titre de processus intergouvernementaux pertinents</w:t>
      </w:r>
      <w:r w:rsidRPr="007A46C0">
        <w:rPr>
          <w:kern w:val="22"/>
          <w:sz w:val="22"/>
          <w:szCs w:val="22"/>
          <w:vertAlign w:val="superscript"/>
          <w:lang w:val="fr-CA"/>
        </w:rPr>
        <w:footnoteReference w:id="22"/>
      </w:r>
    </w:p>
    <w:p w:rsidR="00B33755" w:rsidRPr="007A46C0" w:rsidRDefault="00075DFC" w:rsidP="00075DFC">
      <w:pPr>
        <w:pStyle w:val="Para1"/>
        <w:suppressLineNumbers/>
        <w:suppressAutoHyphens/>
        <w:spacing w:before="120"/>
        <w:rPr>
          <w:i/>
          <w:kern w:val="22"/>
          <w:sz w:val="22"/>
          <w:szCs w:val="22"/>
          <w:lang w:val="fr-CA"/>
        </w:rPr>
      </w:pPr>
      <w:r>
        <w:rPr>
          <w:i/>
          <w:noProof/>
          <w:kern w:val="22"/>
          <w:sz w:val="22"/>
          <w:szCs w:val="22"/>
          <w:lang w:val="fr-CA"/>
        </w:rPr>
        <w:t>Convention</w:t>
      </w:r>
      <w:r w:rsidR="00DF1C84">
        <w:rPr>
          <w:i/>
          <w:noProof/>
          <w:kern w:val="22"/>
          <w:sz w:val="22"/>
          <w:szCs w:val="22"/>
          <w:lang w:val="fr-CA"/>
        </w:rPr>
        <w:noBreakHyphen/>
      </w:r>
      <w:r>
        <w:rPr>
          <w:i/>
          <w:noProof/>
          <w:kern w:val="22"/>
          <w:sz w:val="22"/>
          <w:szCs w:val="22"/>
          <w:lang w:val="fr-CA"/>
        </w:rPr>
        <w:t>cadre des Nations</w:t>
      </w:r>
      <w:r>
        <w:rPr>
          <w:i/>
          <w:kern w:val="22"/>
          <w:sz w:val="22"/>
          <w:szCs w:val="22"/>
          <w:lang w:val="fr-CA"/>
        </w:rPr>
        <w:t xml:space="preserve"> Unies sur les changements climatiques </w:t>
      </w:r>
      <w:r w:rsidR="00B75CF1" w:rsidRPr="007A46C0">
        <w:rPr>
          <w:i/>
          <w:kern w:val="22"/>
          <w:sz w:val="22"/>
          <w:szCs w:val="22"/>
          <w:lang w:val="fr-CA"/>
        </w:rPr>
        <w:t>United Nations Framework</w:t>
      </w:r>
      <w:r>
        <w:rPr>
          <w:i/>
          <w:kern w:val="22"/>
          <w:sz w:val="22"/>
          <w:szCs w:val="22"/>
          <w:lang w:val="fr-CA"/>
        </w:rPr>
        <w:t xml:space="preserve"> (CCNUCC)</w:t>
      </w:r>
    </w:p>
    <w:p w:rsidR="00B33755" w:rsidRPr="007A46C0" w:rsidRDefault="00A17B58" w:rsidP="00A17B58">
      <w:pPr>
        <w:pStyle w:val="Para1"/>
        <w:numPr>
          <w:ilvl w:val="0"/>
          <w:numId w:val="22"/>
        </w:numPr>
        <w:suppressLineNumbers/>
        <w:tabs>
          <w:tab w:val="clear" w:pos="360"/>
        </w:tabs>
        <w:suppressAutoHyphens/>
        <w:spacing w:before="120"/>
        <w:jc w:val="both"/>
        <w:rPr>
          <w:kern w:val="22"/>
          <w:sz w:val="22"/>
          <w:szCs w:val="22"/>
          <w:lang w:val="fr-CA"/>
        </w:rPr>
      </w:pPr>
      <w:r>
        <w:rPr>
          <w:kern w:val="22"/>
          <w:sz w:val="22"/>
          <w:szCs w:val="22"/>
          <w:lang w:val="fr-CA"/>
        </w:rPr>
        <w:t>Selon l</w:t>
      </w:r>
      <w:r w:rsidR="00DF1C84">
        <w:rPr>
          <w:kern w:val="22"/>
          <w:sz w:val="22"/>
          <w:szCs w:val="22"/>
          <w:lang w:val="fr-CA"/>
        </w:rPr>
        <w:t>’</w:t>
      </w:r>
      <w:r w:rsidR="00075DFC">
        <w:rPr>
          <w:kern w:val="22"/>
          <w:sz w:val="22"/>
          <w:szCs w:val="22"/>
          <w:lang w:val="fr-CA"/>
        </w:rPr>
        <w:t>Accord de Paris sur les changements climatiques</w:t>
      </w:r>
      <w:r>
        <w:rPr>
          <w:kern w:val="22"/>
          <w:sz w:val="22"/>
          <w:szCs w:val="22"/>
          <w:lang w:val="fr-CA"/>
        </w:rPr>
        <w:t>,</w:t>
      </w:r>
      <w:r w:rsidR="00075DFC" w:rsidRPr="007A46C0">
        <w:rPr>
          <w:kern w:val="22"/>
          <w:sz w:val="22"/>
          <w:szCs w:val="22"/>
          <w:vertAlign w:val="superscript"/>
          <w:lang w:val="fr-CA"/>
        </w:rPr>
        <w:footnoteReference w:id="23"/>
      </w:r>
      <w:r w:rsidR="00075DFC" w:rsidRPr="007A46C0">
        <w:rPr>
          <w:kern w:val="22"/>
          <w:sz w:val="22"/>
          <w:szCs w:val="22"/>
          <w:lang w:val="fr-CA"/>
        </w:rPr>
        <w:t xml:space="preserve"> </w:t>
      </w:r>
      <w:r>
        <w:rPr>
          <w:kern w:val="22"/>
          <w:sz w:val="22"/>
          <w:szCs w:val="22"/>
          <w:lang w:val="fr-CA"/>
        </w:rPr>
        <w:t>c</w:t>
      </w:r>
      <w:r w:rsidR="00F62D50" w:rsidRPr="00A17B58">
        <w:rPr>
          <w:kern w:val="22"/>
          <w:sz w:val="22"/>
          <w:szCs w:val="22"/>
          <w:lang w:val="fr-CA"/>
        </w:rPr>
        <w:t>haque Partie établit, communique et actualise les contributions déterminées au niveau national successives qu</w:t>
      </w:r>
      <w:r w:rsidR="00DF1C84">
        <w:rPr>
          <w:kern w:val="22"/>
          <w:sz w:val="22"/>
          <w:szCs w:val="22"/>
          <w:lang w:val="fr-CA"/>
        </w:rPr>
        <w:t>’</w:t>
      </w:r>
      <w:r w:rsidR="00F62D50" w:rsidRPr="00A17B58">
        <w:rPr>
          <w:kern w:val="22"/>
          <w:sz w:val="22"/>
          <w:szCs w:val="22"/>
          <w:lang w:val="fr-CA"/>
        </w:rPr>
        <w:t>elle prévoit de réaliser. La contribution déterminée au niveau national suivante de chaque Partie représentera une progression par rapport à la contribution déterminée au niveau national antérieure et correspondra à son niveau d</w:t>
      </w:r>
      <w:r w:rsidR="00DF1C84">
        <w:rPr>
          <w:kern w:val="22"/>
          <w:sz w:val="22"/>
          <w:szCs w:val="22"/>
          <w:lang w:val="fr-CA"/>
        </w:rPr>
        <w:t>’</w:t>
      </w:r>
      <w:r w:rsidR="00F62D50" w:rsidRPr="00A17B58">
        <w:rPr>
          <w:kern w:val="22"/>
          <w:sz w:val="22"/>
          <w:szCs w:val="22"/>
          <w:lang w:val="fr-CA"/>
        </w:rPr>
        <w:t>ambition le plus élevé possible (le “mécanisme à effet d</w:t>
      </w:r>
      <w:r w:rsidR="00DF1C84">
        <w:rPr>
          <w:kern w:val="22"/>
          <w:sz w:val="22"/>
          <w:szCs w:val="22"/>
          <w:lang w:val="fr-CA"/>
        </w:rPr>
        <w:t>’</w:t>
      </w:r>
      <w:r w:rsidR="00F62D50" w:rsidRPr="00A17B58">
        <w:rPr>
          <w:kern w:val="22"/>
          <w:sz w:val="22"/>
          <w:szCs w:val="22"/>
          <w:lang w:val="fr-CA"/>
        </w:rPr>
        <w:t>entraînement”). Ce mécanisme établit un processus pour continuer à renforcer la prise de mesures régulièrement et en temps voulu tous les cinq ans, commençant avant</w:t>
      </w:r>
      <w:r w:rsidR="00DF1C84">
        <w:rPr>
          <w:kern w:val="22"/>
          <w:sz w:val="22"/>
          <w:szCs w:val="22"/>
          <w:lang w:val="fr-CA"/>
        </w:rPr>
        <w:t> 2020</w:t>
      </w:r>
      <w:r w:rsidR="00F62D50" w:rsidRPr="00A17B58">
        <w:rPr>
          <w:kern w:val="22"/>
          <w:sz w:val="22"/>
          <w:szCs w:val="22"/>
          <w:lang w:val="fr-CA"/>
        </w:rPr>
        <w:t>.</w:t>
      </w:r>
    </w:p>
    <w:p w:rsidR="00B33755" w:rsidRPr="007A46C0" w:rsidRDefault="00F62D50" w:rsidP="00A17B58">
      <w:pPr>
        <w:pStyle w:val="Para1"/>
        <w:numPr>
          <w:ilvl w:val="0"/>
          <w:numId w:val="22"/>
        </w:numPr>
        <w:suppressLineNumbers/>
        <w:tabs>
          <w:tab w:val="clear" w:pos="360"/>
        </w:tabs>
        <w:suppressAutoHyphens/>
        <w:spacing w:before="120"/>
        <w:jc w:val="both"/>
        <w:rPr>
          <w:kern w:val="22"/>
          <w:sz w:val="22"/>
          <w:szCs w:val="22"/>
          <w:lang w:val="fr-CA"/>
        </w:rPr>
      </w:pPr>
      <w:r w:rsidRPr="00A17B58">
        <w:rPr>
          <w:kern w:val="22"/>
          <w:sz w:val="22"/>
          <w:szCs w:val="22"/>
          <w:lang w:val="fr-CA"/>
        </w:rPr>
        <w:t xml:space="preserve">Chaque Partie fournit régulièrement </w:t>
      </w:r>
      <w:r w:rsidR="00A17B58">
        <w:rPr>
          <w:kern w:val="22"/>
          <w:sz w:val="22"/>
          <w:szCs w:val="22"/>
          <w:lang w:val="fr-CA"/>
        </w:rPr>
        <w:t>u</w:t>
      </w:r>
      <w:r w:rsidR="00C51314" w:rsidRPr="00A17B58">
        <w:rPr>
          <w:kern w:val="22"/>
          <w:sz w:val="22"/>
          <w:szCs w:val="22"/>
          <w:lang w:val="fr-CA"/>
        </w:rPr>
        <w:t>n rapport national d</w:t>
      </w:r>
      <w:r w:rsidR="00DF1C84">
        <w:rPr>
          <w:kern w:val="22"/>
          <w:sz w:val="22"/>
          <w:szCs w:val="22"/>
          <w:lang w:val="fr-CA"/>
        </w:rPr>
        <w:t>’</w:t>
      </w:r>
      <w:r w:rsidR="00C51314" w:rsidRPr="00A17B58">
        <w:rPr>
          <w:kern w:val="22"/>
          <w:sz w:val="22"/>
          <w:szCs w:val="22"/>
          <w:lang w:val="fr-CA"/>
        </w:rPr>
        <w:t xml:space="preserve">inventaire des émissions anthropiques et </w:t>
      </w:r>
      <w:r w:rsidR="00A17B58">
        <w:rPr>
          <w:kern w:val="22"/>
          <w:sz w:val="22"/>
          <w:szCs w:val="22"/>
          <w:lang w:val="fr-CA"/>
        </w:rPr>
        <w:t>l</w:t>
      </w:r>
      <w:r w:rsidR="00C51314" w:rsidRPr="00A17B58">
        <w:rPr>
          <w:kern w:val="22"/>
          <w:sz w:val="22"/>
          <w:szCs w:val="22"/>
          <w:lang w:val="fr-CA"/>
        </w:rPr>
        <w:t>es informations nécessaires au suivi des progrès accomplis par chaque Partie dans la mise en œuvre et la réalisation de sa contribution déterminée au niveau national.</w:t>
      </w:r>
      <w:r>
        <w:rPr>
          <w:kern w:val="22"/>
          <w:sz w:val="22"/>
          <w:szCs w:val="22"/>
          <w:lang w:val="fr-CA"/>
        </w:rPr>
        <w:t xml:space="preserve"> </w:t>
      </w:r>
      <w:r w:rsidR="00C51314">
        <w:rPr>
          <w:kern w:val="22"/>
          <w:sz w:val="22"/>
          <w:szCs w:val="22"/>
          <w:lang w:val="fr-CA"/>
        </w:rPr>
        <w:t xml:space="preserve">Par ailleurs, </w:t>
      </w:r>
      <w:r w:rsidR="00A17B58">
        <w:rPr>
          <w:kern w:val="22"/>
          <w:sz w:val="22"/>
          <w:szCs w:val="22"/>
          <w:lang w:val="fr-CA"/>
        </w:rPr>
        <w:t>l</w:t>
      </w:r>
      <w:r w:rsidR="00C51314" w:rsidRPr="00A17B58">
        <w:rPr>
          <w:kern w:val="22"/>
          <w:sz w:val="22"/>
          <w:szCs w:val="22"/>
          <w:lang w:val="fr-CA"/>
        </w:rPr>
        <w:t>es pays développés Parties doivent communiquer des informations sur l</w:t>
      </w:r>
      <w:r w:rsidR="00DF1C84">
        <w:rPr>
          <w:kern w:val="22"/>
          <w:sz w:val="22"/>
          <w:szCs w:val="22"/>
          <w:lang w:val="fr-CA"/>
        </w:rPr>
        <w:t>’</w:t>
      </w:r>
      <w:r w:rsidR="00C51314" w:rsidRPr="00A17B58">
        <w:rPr>
          <w:kern w:val="22"/>
          <w:sz w:val="22"/>
          <w:szCs w:val="22"/>
          <w:lang w:val="fr-CA"/>
        </w:rPr>
        <w:t>appui fourni, sous la forme de ressources financières, d</w:t>
      </w:r>
      <w:r w:rsidR="00DF1C84">
        <w:rPr>
          <w:kern w:val="22"/>
          <w:sz w:val="22"/>
          <w:szCs w:val="22"/>
          <w:lang w:val="fr-CA"/>
        </w:rPr>
        <w:t>’</w:t>
      </w:r>
      <w:r w:rsidR="00C51314" w:rsidRPr="00A17B58">
        <w:rPr>
          <w:kern w:val="22"/>
          <w:sz w:val="22"/>
          <w:szCs w:val="22"/>
          <w:lang w:val="fr-CA"/>
        </w:rPr>
        <w:t>un transfert de technologies et d</w:t>
      </w:r>
      <w:r w:rsidR="00DF1C84">
        <w:rPr>
          <w:kern w:val="22"/>
          <w:sz w:val="22"/>
          <w:szCs w:val="22"/>
          <w:lang w:val="fr-CA"/>
        </w:rPr>
        <w:t>’</w:t>
      </w:r>
      <w:r w:rsidR="00C51314" w:rsidRPr="00A17B58">
        <w:rPr>
          <w:kern w:val="22"/>
          <w:sz w:val="22"/>
          <w:szCs w:val="22"/>
          <w:lang w:val="fr-CA"/>
        </w:rPr>
        <w:t>un renforcement des capacités, aux pays en développement Parties. Ces informations font l</w:t>
      </w:r>
      <w:r w:rsidR="00DF1C84">
        <w:rPr>
          <w:kern w:val="22"/>
          <w:sz w:val="22"/>
          <w:szCs w:val="22"/>
          <w:lang w:val="fr-CA"/>
        </w:rPr>
        <w:t>’</w:t>
      </w:r>
      <w:r w:rsidR="00C51314" w:rsidRPr="00A17B58">
        <w:rPr>
          <w:kern w:val="22"/>
          <w:sz w:val="22"/>
          <w:szCs w:val="22"/>
          <w:lang w:val="fr-CA"/>
        </w:rPr>
        <w:t>objet d</w:t>
      </w:r>
      <w:r w:rsidR="00DF1C84">
        <w:rPr>
          <w:kern w:val="22"/>
          <w:sz w:val="22"/>
          <w:szCs w:val="22"/>
          <w:lang w:val="fr-CA"/>
        </w:rPr>
        <w:t>’</w:t>
      </w:r>
      <w:r w:rsidR="00C51314" w:rsidRPr="00A17B58">
        <w:rPr>
          <w:kern w:val="22"/>
          <w:sz w:val="22"/>
          <w:szCs w:val="22"/>
          <w:lang w:val="fr-CA"/>
        </w:rPr>
        <w:t>un examen technique par des experts qui met en évidence les domaines se prêtant à des améliorations chez la Partie concernée</w:t>
      </w:r>
      <w:r w:rsidR="00C51314">
        <w:t>.</w:t>
      </w:r>
    </w:p>
    <w:p w:rsidR="00B33755" w:rsidRPr="007A46C0" w:rsidRDefault="00C51314" w:rsidP="00A17B58">
      <w:pPr>
        <w:pStyle w:val="Para1"/>
        <w:numPr>
          <w:ilvl w:val="0"/>
          <w:numId w:val="22"/>
        </w:numPr>
        <w:suppressLineNumbers/>
        <w:tabs>
          <w:tab w:val="clear" w:pos="360"/>
        </w:tabs>
        <w:suppressAutoHyphens/>
        <w:spacing w:before="120"/>
        <w:jc w:val="both"/>
        <w:rPr>
          <w:kern w:val="22"/>
          <w:sz w:val="22"/>
          <w:szCs w:val="22"/>
          <w:lang w:val="fr-CA"/>
        </w:rPr>
      </w:pPr>
      <w:r>
        <w:rPr>
          <w:kern w:val="22"/>
          <w:sz w:val="22"/>
          <w:szCs w:val="22"/>
          <w:lang w:val="fr-CA"/>
        </w:rPr>
        <w:t>L</w:t>
      </w:r>
      <w:r w:rsidR="00DF1C84">
        <w:rPr>
          <w:kern w:val="22"/>
          <w:sz w:val="22"/>
          <w:szCs w:val="22"/>
          <w:lang w:val="fr-CA"/>
        </w:rPr>
        <w:t>’</w:t>
      </w:r>
      <w:r>
        <w:rPr>
          <w:kern w:val="22"/>
          <w:sz w:val="22"/>
          <w:szCs w:val="22"/>
          <w:lang w:val="fr-CA"/>
        </w:rPr>
        <w:t>Accord de Paris prévoit également un bilan mondial périodique</w:t>
      </w:r>
      <w:r w:rsidR="00CA0D56">
        <w:rPr>
          <w:kern w:val="22"/>
          <w:sz w:val="22"/>
          <w:szCs w:val="22"/>
          <w:lang w:val="fr-CA"/>
        </w:rPr>
        <w:t xml:space="preserve"> de la mise en œuvre de mesures d</w:t>
      </w:r>
      <w:r w:rsidR="00DF1C84">
        <w:rPr>
          <w:kern w:val="22"/>
          <w:sz w:val="22"/>
          <w:szCs w:val="22"/>
          <w:lang w:val="fr-CA"/>
        </w:rPr>
        <w:t>’</w:t>
      </w:r>
      <w:r w:rsidR="00CA0D56">
        <w:rPr>
          <w:kern w:val="22"/>
          <w:sz w:val="22"/>
          <w:szCs w:val="22"/>
          <w:lang w:val="fr-CA"/>
        </w:rPr>
        <w:t>atténuation, d</w:t>
      </w:r>
      <w:r w:rsidR="00DF1C84">
        <w:rPr>
          <w:kern w:val="22"/>
          <w:sz w:val="22"/>
          <w:szCs w:val="22"/>
          <w:lang w:val="fr-CA"/>
        </w:rPr>
        <w:t>’</w:t>
      </w:r>
      <w:r w:rsidR="00CA0D56">
        <w:rPr>
          <w:kern w:val="22"/>
          <w:sz w:val="22"/>
          <w:szCs w:val="22"/>
          <w:lang w:val="fr-CA"/>
        </w:rPr>
        <w:t xml:space="preserve">adaptation et de financement. </w:t>
      </w:r>
      <w:r w:rsidR="00331E37">
        <w:rPr>
          <w:kern w:val="22"/>
          <w:sz w:val="22"/>
          <w:szCs w:val="22"/>
          <w:lang w:val="fr-CA"/>
        </w:rPr>
        <w:t xml:space="preserve">Le bilan sert à </w:t>
      </w:r>
      <w:r w:rsidR="00331E37" w:rsidRPr="00A17B58">
        <w:rPr>
          <w:kern w:val="22"/>
          <w:sz w:val="22"/>
          <w:szCs w:val="22"/>
          <w:lang w:val="fr-CA"/>
        </w:rPr>
        <w:t xml:space="preserve">examiner le caractère adéquat et </w:t>
      </w:r>
      <w:r w:rsidR="00CA0D56" w:rsidRPr="00A17B58">
        <w:rPr>
          <w:kern w:val="22"/>
          <w:sz w:val="22"/>
          <w:szCs w:val="22"/>
          <w:lang w:val="fr-CA"/>
        </w:rPr>
        <w:t>l</w:t>
      </w:r>
      <w:r w:rsidR="00DF1C84">
        <w:rPr>
          <w:kern w:val="22"/>
          <w:sz w:val="22"/>
          <w:szCs w:val="22"/>
          <w:lang w:val="fr-CA"/>
        </w:rPr>
        <w:t>’</w:t>
      </w:r>
      <w:r w:rsidR="00CA0D56" w:rsidRPr="00A17B58">
        <w:rPr>
          <w:kern w:val="22"/>
          <w:sz w:val="22"/>
          <w:szCs w:val="22"/>
          <w:lang w:val="fr-CA"/>
        </w:rPr>
        <w:t>efficacité de l</w:t>
      </w:r>
      <w:r w:rsidR="00DF1C84">
        <w:rPr>
          <w:kern w:val="22"/>
          <w:sz w:val="22"/>
          <w:szCs w:val="22"/>
          <w:lang w:val="fr-CA"/>
        </w:rPr>
        <w:t>’</w:t>
      </w:r>
      <w:r w:rsidR="00CA0D56" w:rsidRPr="00A17B58">
        <w:rPr>
          <w:kern w:val="22"/>
          <w:sz w:val="22"/>
          <w:szCs w:val="22"/>
          <w:lang w:val="fr-CA"/>
        </w:rPr>
        <w:t>adaptation et de l</w:t>
      </w:r>
      <w:r w:rsidR="00DF1C84">
        <w:rPr>
          <w:kern w:val="22"/>
          <w:sz w:val="22"/>
          <w:szCs w:val="22"/>
          <w:lang w:val="fr-CA"/>
        </w:rPr>
        <w:t>’</w:t>
      </w:r>
      <w:r w:rsidR="00CA0D56" w:rsidRPr="00A17B58">
        <w:rPr>
          <w:kern w:val="22"/>
          <w:sz w:val="22"/>
          <w:szCs w:val="22"/>
          <w:lang w:val="fr-CA"/>
        </w:rPr>
        <w:t>appui</w:t>
      </w:r>
      <w:r>
        <w:rPr>
          <w:kern w:val="22"/>
          <w:sz w:val="22"/>
          <w:szCs w:val="22"/>
          <w:lang w:val="fr-CA"/>
        </w:rPr>
        <w:t xml:space="preserve"> </w:t>
      </w:r>
      <w:r w:rsidR="00331E37">
        <w:rPr>
          <w:kern w:val="22"/>
          <w:sz w:val="22"/>
          <w:szCs w:val="22"/>
          <w:lang w:val="fr-CA"/>
        </w:rPr>
        <w:t>fourni pour l</w:t>
      </w:r>
      <w:r w:rsidR="00DF1C84">
        <w:rPr>
          <w:kern w:val="22"/>
          <w:sz w:val="22"/>
          <w:szCs w:val="22"/>
          <w:lang w:val="fr-CA"/>
        </w:rPr>
        <w:t>’</w:t>
      </w:r>
      <w:r w:rsidR="00331E37">
        <w:rPr>
          <w:kern w:val="22"/>
          <w:sz w:val="22"/>
          <w:szCs w:val="22"/>
          <w:lang w:val="fr-CA"/>
        </w:rPr>
        <w:t>adaptation</w:t>
      </w:r>
      <w:r w:rsidR="00AE3B97">
        <w:rPr>
          <w:kern w:val="22"/>
          <w:sz w:val="22"/>
          <w:szCs w:val="22"/>
          <w:lang w:val="fr-CA"/>
        </w:rPr>
        <w:t>,</w:t>
      </w:r>
      <w:r w:rsidR="00566D32">
        <w:rPr>
          <w:kern w:val="22"/>
          <w:sz w:val="22"/>
          <w:szCs w:val="22"/>
          <w:lang w:val="fr-CA"/>
        </w:rPr>
        <w:t xml:space="preserve"> ainsi que les progrès collectifs accomplis dans la réalisation de l</w:t>
      </w:r>
      <w:r w:rsidR="00DF1C84">
        <w:rPr>
          <w:kern w:val="22"/>
          <w:sz w:val="22"/>
          <w:szCs w:val="22"/>
          <w:lang w:val="fr-CA"/>
        </w:rPr>
        <w:t>’</w:t>
      </w:r>
      <w:r w:rsidR="00566D32">
        <w:rPr>
          <w:kern w:val="22"/>
          <w:sz w:val="22"/>
          <w:szCs w:val="22"/>
          <w:lang w:val="fr-CA"/>
        </w:rPr>
        <w:t>objectif mondial sur l</w:t>
      </w:r>
      <w:r w:rsidR="00DF1C84">
        <w:rPr>
          <w:kern w:val="22"/>
          <w:sz w:val="22"/>
          <w:szCs w:val="22"/>
          <w:lang w:val="fr-CA"/>
        </w:rPr>
        <w:t>’</w:t>
      </w:r>
      <w:r w:rsidR="00566D32">
        <w:rPr>
          <w:kern w:val="22"/>
          <w:sz w:val="22"/>
          <w:szCs w:val="22"/>
          <w:lang w:val="fr-CA"/>
        </w:rPr>
        <w:t>adaptation tous les cinq ans.</w:t>
      </w:r>
      <w:r w:rsidR="00331E37">
        <w:rPr>
          <w:kern w:val="22"/>
          <w:sz w:val="22"/>
          <w:szCs w:val="22"/>
          <w:lang w:val="fr-CA"/>
        </w:rPr>
        <w:t xml:space="preserve"> </w:t>
      </w:r>
      <w:r w:rsidR="00AE3B97">
        <w:rPr>
          <w:kern w:val="22"/>
          <w:sz w:val="22"/>
          <w:szCs w:val="22"/>
          <w:lang w:val="fr-CA"/>
        </w:rPr>
        <w:t>Les soumissions</w:t>
      </w:r>
      <w:r w:rsidR="009659E5">
        <w:rPr>
          <w:kern w:val="22"/>
          <w:sz w:val="22"/>
          <w:szCs w:val="22"/>
          <w:lang w:val="fr-CA"/>
        </w:rPr>
        <w:t xml:space="preserve"> des </w:t>
      </w:r>
      <w:r w:rsidR="009659E5" w:rsidRPr="00A17B58">
        <w:rPr>
          <w:kern w:val="22"/>
          <w:sz w:val="22"/>
          <w:szCs w:val="22"/>
          <w:lang w:val="fr-CA"/>
        </w:rPr>
        <w:t xml:space="preserve">contributions déterminées au niveau national actualisées de chaque pays tous les cinq ans </w:t>
      </w:r>
      <w:r w:rsidR="009659E5" w:rsidRPr="00A17B58">
        <w:rPr>
          <w:noProof/>
          <w:kern w:val="22"/>
          <w:sz w:val="22"/>
          <w:szCs w:val="22"/>
          <w:lang w:val="fr-CA"/>
        </w:rPr>
        <w:t>sont éclairées</w:t>
      </w:r>
      <w:r w:rsidR="009659E5" w:rsidRPr="00A17B58">
        <w:rPr>
          <w:kern w:val="22"/>
          <w:sz w:val="22"/>
          <w:szCs w:val="22"/>
          <w:lang w:val="fr-CA"/>
        </w:rPr>
        <w:t xml:space="preserve"> par le bilan mondial.</w:t>
      </w:r>
    </w:p>
    <w:p w:rsidR="00B33755" w:rsidRPr="007A46C0" w:rsidRDefault="009659E5" w:rsidP="002C44E0">
      <w:pPr>
        <w:pStyle w:val="Para1"/>
        <w:numPr>
          <w:ilvl w:val="0"/>
          <w:numId w:val="22"/>
        </w:numPr>
        <w:suppressLineNumbers/>
        <w:tabs>
          <w:tab w:val="clear" w:pos="360"/>
        </w:tabs>
        <w:suppressAutoHyphens/>
        <w:spacing w:before="120"/>
        <w:jc w:val="both"/>
        <w:rPr>
          <w:kern w:val="22"/>
          <w:sz w:val="22"/>
          <w:szCs w:val="22"/>
          <w:lang w:val="fr-CA"/>
        </w:rPr>
      </w:pPr>
      <w:r>
        <w:rPr>
          <w:kern w:val="22"/>
          <w:sz w:val="22"/>
          <w:szCs w:val="22"/>
          <w:lang w:val="fr-CA"/>
        </w:rPr>
        <w:t>Par ailleurs, l</w:t>
      </w:r>
      <w:r w:rsidR="00DF1C84">
        <w:rPr>
          <w:kern w:val="22"/>
          <w:sz w:val="22"/>
          <w:szCs w:val="22"/>
          <w:lang w:val="fr-CA"/>
        </w:rPr>
        <w:t>’</w:t>
      </w:r>
      <w:r>
        <w:rPr>
          <w:kern w:val="22"/>
          <w:sz w:val="22"/>
          <w:szCs w:val="22"/>
          <w:lang w:val="fr-CA"/>
        </w:rPr>
        <w:t>Accord de Paris a</w:t>
      </w:r>
      <w:r w:rsidRPr="00A17B58">
        <w:rPr>
          <w:kern w:val="22"/>
          <w:sz w:val="22"/>
          <w:szCs w:val="22"/>
          <w:lang w:val="fr-CA"/>
        </w:rPr>
        <w:t xml:space="preserve"> institué un mécanisme pour faciliter la mise en œuvre et promouvoir le respect des dispositions de l</w:t>
      </w:r>
      <w:r w:rsidR="00DF1C84">
        <w:rPr>
          <w:kern w:val="22"/>
          <w:sz w:val="22"/>
          <w:szCs w:val="22"/>
          <w:lang w:val="fr-CA"/>
        </w:rPr>
        <w:t>’</w:t>
      </w:r>
      <w:r w:rsidRPr="00A17B58">
        <w:rPr>
          <w:kern w:val="22"/>
          <w:sz w:val="22"/>
          <w:szCs w:val="22"/>
          <w:lang w:val="fr-CA"/>
        </w:rPr>
        <w:t>Acc</w:t>
      </w:r>
      <w:r w:rsidR="002C44E0">
        <w:rPr>
          <w:kern w:val="22"/>
          <w:sz w:val="22"/>
          <w:szCs w:val="22"/>
          <w:lang w:val="fr-CA"/>
        </w:rPr>
        <w:t>ord</w:t>
      </w:r>
      <w:r w:rsidRPr="00A17B58">
        <w:rPr>
          <w:kern w:val="22"/>
          <w:sz w:val="22"/>
          <w:szCs w:val="22"/>
          <w:lang w:val="fr-CA"/>
        </w:rPr>
        <w:t>, qui est constitué d</w:t>
      </w:r>
      <w:r w:rsidR="00DF1C84">
        <w:rPr>
          <w:kern w:val="22"/>
          <w:sz w:val="22"/>
          <w:szCs w:val="22"/>
          <w:lang w:val="fr-CA"/>
        </w:rPr>
        <w:t>’</w:t>
      </w:r>
      <w:r w:rsidRPr="00A17B58">
        <w:rPr>
          <w:kern w:val="22"/>
          <w:sz w:val="22"/>
          <w:szCs w:val="22"/>
          <w:lang w:val="fr-CA"/>
        </w:rPr>
        <w:t>un comité d</w:t>
      </w:r>
      <w:r w:rsidR="00DF1C84">
        <w:rPr>
          <w:kern w:val="22"/>
          <w:sz w:val="22"/>
          <w:szCs w:val="22"/>
          <w:lang w:val="fr-CA"/>
        </w:rPr>
        <w:t>’</w:t>
      </w:r>
      <w:r w:rsidRPr="00A17B58">
        <w:rPr>
          <w:kern w:val="22"/>
          <w:sz w:val="22"/>
          <w:szCs w:val="22"/>
          <w:lang w:val="fr-CA"/>
        </w:rPr>
        <w:t>experts</w:t>
      </w:r>
      <w:r w:rsidR="002C44E0">
        <w:rPr>
          <w:kern w:val="22"/>
          <w:sz w:val="22"/>
          <w:szCs w:val="22"/>
          <w:lang w:val="fr-CA"/>
        </w:rPr>
        <w:t>,</w:t>
      </w:r>
      <w:r w:rsidRPr="00A17B58">
        <w:rPr>
          <w:kern w:val="22"/>
          <w:sz w:val="22"/>
          <w:szCs w:val="22"/>
          <w:lang w:val="fr-CA"/>
        </w:rPr>
        <w:t xml:space="preserve"> </w:t>
      </w:r>
      <w:r w:rsidR="002C44E0">
        <w:rPr>
          <w:kern w:val="22"/>
          <w:sz w:val="22"/>
          <w:szCs w:val="22"/>
          <w:lang w:val="fr-CA"/>
        </w:rPr>
        <w:t xml:space="preserve">est </w:t>
      </w:r>
      <w:r w:rsidRPr="00A17B58">
        <w:rPr>
          <w:kern w:val="22"/>
          <w:sz w:val="22"/>
          <w:szCs w:val="22"/>
          <w:lang w:val="fr-CA"/>
        </w:rPr>
        <w:t>axé sur la facilitation, et fonctionne d</w:t>
      </w:r>
      <w:r w:rsidR="00DF1C84">
        <w:rPr>
          <w:kern w:val="22"/>
          <w:sz w:val="22"/>
          <w:szCs w:val="22"/>
          <w:lang w:val="fr-CA"/>
        </w:rPr>
        <w:t>’</w:t>
      </w:r>
      <w:r w:rsidRPr="00A17B58">
        <w:rPr>
          <w:kern w:val="22"/>
          <w:sz w:val="22"/>
          <w:szCs w:val="22"/>
          <w:lang w:val="fr-CA"/>
        </w:rPr>
        <w:t>une manière transparente, non accusatoire et non punitive</w:t>
      </w:r>
      <w:r w:rsidR="00B33755" w:rsidRPr="007A46C0">
        <w:rPr>
          <w:kern w:val="22"/>
          <w:sz w:val="22"/>
          <w:szCs w:val="22"/>
          <w:lang w:val="fr-CA"/>
        </w:rPr>
        <w:t>.</w:t>
      </w:r>
    </w:p>
    <w:p w:rsidR="00B33755" w:rsidRPr="007A46C0" w:rsidRDefault="009659E5" w:rsidP="002C44E0">
      <w:pPr>
        <w:pStyle w:val="Para1"/>
        <w:numPr>
          <w:ilvl w:val="0"/>
          <w:numId w:val="22"/>
        </w:numPr>
        <w:suppressLineNumbers/>
        <w:tabs>
          <w:tab w:val="clear" w:pos="360"/>
        </w:tabs>
        <w:suppressAutoHyphens/>
        <w:spacing w:before="120"/>
        <w:jc w:val="both"/>
        <w:rPr>
          <w:kern w:val="22"/>
          <w:sz w:val="22"/>
          <w:szCs w:val="22"/>
          <w:lang w:val="fr-CA"/>
        </w:rPr>
      </w:pPr>
      <w:r>
        <w:rPr>
          <w:kern w:val="22"/>
          <w:sz w:val="22"/>
          <w:szCs w:val="22"/>
          <w:lang w:val="fr-CA"/>
        </w:rPr>
        <w:t xml:space="preserve">La Conférence des </w:t>
      </w:r>
      <w:r>
        <w:rPr>
          <w:noProof/>
          <w:kern w:val="22"/>
          <w:sz w:val="22"/>
          <w:szCs w:val="22"/>
          <w:lang w:val="fr-CA"/>
        </w:rPr>
        <w:t>Parties à la Convention</w:t>
      </w:r>
      <w:r w:rsidR="00DF1C84">
        <w:rPr>
          <w:noProof/>
          <w:kern w:val="22"/>
          <w:sz w:val="22"/>
          <w:szCs w:val="22"/>
          <w:lang w:val="fr-CA"/>
        </w:rPr>
        <w:noBreakHyphen/>
      </w:r>
      <w:r>
        <w:rPr>
          <w:noProof/>
          <w:kern w:val="22"/>
          <w:sz w:val="22"/>
          <w:szCs w:val="22"/>
          <w:lang w:val="fr-CA"/>
        </w:rPr>
        <w:t>cadre des Nations Unies sur les changements climatiques, à sa vingt</w:t>
      </w:r>
      <w:r w:rsidR="00DF1C84">
        <w:rPr>
          <w:noProof/>
          <w:kern w:val="22"/>
          <w:sz w:val="22"/>
          <w:szCs w:val="22"/>
          <w:lang w:val="fr-CA"/>
        </w:rPr>
        <w:noBreakHyphen/>
      </w:r>
      <w:r>
        <w:rPr>
          <w:noProof/>
          <w:kern w:val="22"/>
          <w:sz w:val="22"/>
          <w:szCs w:val="22"/>
          <w:lang w:val="fr-CA"/>
        </w:rPr>
        <w:t>et</w:t>
      </w:r>
      <w:r w:rsidR="00DF1C84">
        <w:rPr>
          <w:noProof/>
          <w:kern w:val="22"/>
          <w:sz w:val="22"/>
          <w:szCs w:val="22"/>
          <w:lang w:val="fr-CA"/>
        </w:rPr>
        <w:noBreakHyphen/>
      </w:r>
      <w:r>
        <w:rPr>
          <w:noProof/>
          <w:kern w:val="22"/>
          <w:sz w:val="22"/>
          <w:szCs w:val="22"/>
          <w:lang w:val="fr-CA"/>
        </w:rPr>
        <w:t>unième réunion, a décidé</w:t>
      </w:r>
      <w:r w:rsidR="00E031ED">
        <w:rPr>
          <w:noProof/>
          <w:kern w:val="22"/>
          <w:sz w:val="22"/>
          <w:szCs w:val="22"/>
          <w:lang w:val="fr-CA"/>
        </w:rPr>
        <w:t>,</w:t>
      </w:r>
      <w:r>
        <w:rPr>
          <w:noProof/>
          <w:kern w:val="22"/>
          <w:sz w:val="22"/>
          <w:szCs w:val="22"/>
          <w:lang w:val="fr-CA"/>
        </w:rPr>
        <w:t xml:space="preserve"> </w:t>
      </w:r>
      <w:r w:rsidR="00E031ED">
        <w:rPr>
          <w:noProof/>
          <w:kern w:val="22"/>
          <w:sz w:val="22"/>
          <w:szCs w:val="22"/>
          <w:lang w:val="fr-CA"/>
        </w:rPr>
        <w:t xml:space="preserve">en 2018, </w:t>
      </w:r>
      <w:r>
        <w:rPr>
          <w:noProof/>
          <w:kern w:val="22"/>
          <w:sz w:val="22"/>
          <w:szCs w:val="22"/>
          <w:lang w:val="fr-CA"/>
        </w:rPr>
        <w:t xml:space="preserve">de convoquer un dialogue </w:t>
      </w:r>
      <w:r w:rsidR="000922C8">
        <w:rPr>
          <w:noProof/>
          <w:kern w:val="22"/>
          <w:sz w:val="22"/>
          <w:szCs w:val="22"/>
          <w:lang w:val="fr-CA"/>
        </w:rPr>
        <w:t>de</w:t>
      </w:r>
      <w:r>
        <w:rPr>
          <w:noProof/>
          <w:kern w:val="22"/>
          <w:sz w:val="22"/>
          <w:szCs w:val="22"/>
          <w:lang w:val="fr-CA"/>
        </w:rPr>
        <w:t xml:space="preserve"> facilitation entre les Parties pour dresser un bilan</w:t>
      </w:r>
      <w:r>
        <w:rPr>
          <w:kern w:val="22"/>
          <w:sz w:val="22"/>
          <w:szCs w:val="22"/>
          <w:lang w:val="fr-CA"/>
        </w:rPr>
        <w:t xml:space="preserve"> des efforts collectifs des Parties relativement aux progrès dans la réalisation de l</w:t>
      </w:r>
      <w:r w:rsidR="00DF1C84">
        <w:rPr>
          <w:kern w:val="22"/>
          <w:sz w:val="22"/>
          <w:szCs w:val="22"/>
          <w:lang w:val="fr-CA"/>
        </w:rPr>
        <w:t>’</w:t>
      </w:r>
      <w:r>
        <w:rPr>
          <w:kern w:val="22"/>
          <w:sz w:val="22"/>
          <w:szCs w:val="22"/>
          <w:lang w:val="fr-CA"/>
        </w:rPr>
        <w:t>objectif à long terme</w:t>
      </w:r>
      <w:r w:rsidR="00E031ED">
        <w:rPr>
          <w:kern w:val="22"/>
          <w:sz w:val="22"/>
          <w:szCs w:val="22"/>
          <w:lang w:val="fr-CA"/>
        </w:rPr>
        <w:t>,</w:t>
      </w:r>
      <w:r>
        <w:rPr>
          <w:kern w:val="22"/>
          <w:sz w:val="22"/>
          <w:szCs w:val="22"/>
          <w:lang w:val="fr-CA"/>
        </w:rPr>
        <w:t xml:space="preserve"> dont il est question au paragraphe 1 de l</w:t>
      </w:r>
      <w:r w:rsidR="00DF1C84">
        <w:rPr>
          <w:kern w:val="22"/>
          <w:sz w:val="22"/>
          <w:szCs w:val="22"/>
          <w:lang w:val="fr-CA"/>
        </w:rPr>
        <w:t>’</w:t>
      </w:r>
      <w:r>
        <w:rPr>
          <w:kern w:val="22"/>
          <w:sz w:val="22"/>
          <w:szCs w:val="22"/>
          <w:lang w:val="fr-CA"/>
        </w:rPr>
        <w:t>article 4 de l</w:t>
      </w:r>
      <w:r w:rsidR="00DF1C84">
        <w:rPr>
          <w:kern w:val="22"/>
          <w:sz w:val="22"/>
          <w:szCs w:val="22"/>
          <w:lang w:val="fr-CA"/>
        </w:rPr>
        <w:t>’</w:t>
      </w:r>
      <w:r>
        <w:rPr>
          <w:kern w:val="22"/>
          <w:sz w:val="22"/>
          <w:szCs w:val="22"/>
          <w:lang w:val="fr-CA"/>
        </w:rPr>
        <w:t>Accord de Paris</w:t>
      </w:r>
      <w:r w:rsidR="00E031ED">
        <w:rPr>
          <w:kern w:val="22"/>
          <w:sz w:val="22"/>
          <w:szCs w:val="22"/>
          <w:lang w:val="fr-CA"/>
        </w:rPr>
        <w:t>,</w:t>
      </w:r>
      <w:r>
        <w:rPr>
          <w:kern w:val="22"/>
          <w:sz w:val="22"/>
          <w:szCs w:val="22"/>
          <w:lang w:val="fr-CA"/>
        </w:rPr>
        <w:t xml:space="preserve"> et d</w:t>
      </w:r>
      <w:r w:rsidR="00DF1C84">
        <w:rPr>
          <w:kern w:val="22"/>
          <w:sz w:val="22"/>
          <w:szCs w:val="22"/>
          <w:lang w:val="fr-CA"/>
        </w:rPr>
        <w:t>’</w:t>
      </w:r>
      <w:r>
        <w:rPr>
          <w:kern w:val="22"/>
          <w:sz w:val="22"/>
          <w:szCs w:val="22"/>
          <w:lang w:val="fr-CA"/>
        </w:rPr>
        <w:t>éclairer la préparation de</w:t>
      </w:r>
      <w:r w:rsidR="00E031ED">
        <w:rPr>
          <w:kern w:val="22"/>
          <w:sz w:val="22"/>
          <w:szCs w:val="22"/>
          <w:lang w:val="fr-CA"/>
        </w:rPr>
        <w:t>s</w:t>
      </w:r>
      <w:r>
        <w:rPr>
          <w:kern w:val="22"/>
          <w:sz w:val="22"/>
          <w:szCs w:val="22"/>
          <w:lang w:val="fr-CA"/>
        </w:rPr>
        <w:t xml:space="preserve"> contributions</w:t>
      </w:r>
      <w:r w:rsidR="00E031ED">
        <w:rPr>
          <w:kern w:val="22"/>
          <w:sz w:val="22"/>
          <w:szCs w:val="22"/>
          <w:lang w:val="fr-CA"/>
        </w:rPr>
        <w:t xml:space="preserve"> déterminées au niveau national.</w:t>
      </w:r>
      <w:r>
        <w:rPr>
          <w:kern w:val="22"/>
          <w:sz w:val="22"/>
          <w:szCs w:val="22"/>
          <w:lang w:val="fr-CA"/>
        </w:rPr>
        <w:t xml:space="preserve"> </w:t>
      </w:r>
      <w:r w:rsidR="000922C8">
        <w:rPr>
          <w:kern w:val="22"/>
          <w:sz w:val="22"/>
          <w:szCs w:val="22"/>
          <w:lang w:val="fr-CA"/>
        </w:rPr>
        <w:t xml:space="preserve">À la </w:t>
      </w:r>
      <w:proofErr w:type="spellStart"/>
      <w:r w:rsidR="000922C8">
        <w:rPr>
          <w:kern w:val="22"/>
          <w:sz w:val="22"/>
          <w:szCs w:val="22"/>
          <w:lang w:val="fr-CA"/>
        </w:rPr>
        <w:t>vingt</w:t>
      </w:r>
      <w:r w:rsidR="00DF1C84">
        <w:rPr>
          <w:kern w:val="22"/>
          <w:sz w:val="22"/>
          <w:szCs w:val="22"/>
          <w:lang w:val="fr-CA"/>
        </w:rPr>
        <w:noBreakHyphen/>
      </w:r>
      <w:r w:rsidR="000922C8">
        <w:rPr>
          <w:kern w:val="22"/>
          <w:sz w:val="22"/>
          <w:szCs w:val="22"/>
          <w:lang w:val="fr-CA"/>
        </w:rPr>
        <w:t>troisième</w:t>
      </w:r>
      <w:proofErr w:type="spellEnd"/>
      <w:r w:rsidR="000922C8">
        <w:rPr>
          <w:kern w:val="22"/>
          <w:sz w:val="22"/>
          <w:szCs w:val="22"/>
          <w:lang w:val="fr-CA"/>
        </w:rPr>
        <w:t xml:space="preserve"> réunion de la Conférence des Parties, le </w:t>
      </w:r>
      <w:r w:rsidR="000922C8">
        <w:rPr>
          <w:noProof/>
          <w:kern w:val="22"/>
          <w:sz w:val="22"/>
          <w:szCs w:val="22"/>
          <w:lang w:val="fr-CA"/>
        </w:rPr>
        <w:t>Dialogue de Talanoa a été</w:t>
      </w:r>
      <w:r w:rsidR="000922C8">
        <w:rPr>
          <w:kern w:val="22"/>
          <w:sz w:val="22"/>
          <w:szCs w:val="22"/>
          <w:lang w:val="fr-CA"/>
        </w:rPr>
        <w:t xml:space="preserve"> lancé, </w:t>
      </w:r>
      <w:r w:rsidR="002C44E0">
        <w:rPr>
          <w:kern w:val="22"/>
          <w:sz w:val="22"/>
          <w:szCs w:val="22"/>
          <w:lang w:val="fr-CA"/>
        </w:rPr>
        <w:t xml:space="preserve">commençant </w:t>
      </w:r>
      <w:r w:rsidR="000922C8">
        <w:rPr>
          <w:kern w:val="22"/>
          <w:sz w:val="22"/>
          <w:szCs w:val="22"/>
          <w:lang w:val="fr-CA"/>
        </w:rPr>
        <w:t xml:space="preserve">en janvier 2018, en tant que série de dialogues de facilitation axés sur les efforts des Parties et des parties prenantes </w:t>
      </w:r>
      <w:r w:rsidR="000922C8">
        <w:rPr>
          <w:noProof/>
          <w:kern w:val="22"/>
          <w:sz w:val="22"/>
          <w:szCs w:val="22"/>
          <w:lang w:val="fr-CA"/>
        </w:rPr>
        <w:t>non</w:t>
      </w:r>
      <w:r w:rsidR="00DF1C84">
        <w:rPr>
          <w:noProof/>
          <w:kern w:val="22"/>
          <w:sz w:val="22"/>
          <w:szCs w:val="22"/>
          <w:lang w:val="fr-CA"/>
        </w:rPr>
        <w:noBreakHyphen/>
      </w:r>
      <w:r w:rsidR="000922C8">
        <w:rPr>
          <w:noProof/>
          <w:kern w:val="22"/>
          <w:sz w:val="22"/>
          <w:szCs w:val="22"/>
          <w:lang w:val="fr-CA"/>
        </w:rPr>
        <w:t>Parties relativement</w:t>
      </w:r>
      <w:r w:rsidR="000922C8">
        <w:rPr>
          <w:kern w:val="22"/>
          <w:sz w:val="22"/>
          <w:szCs w:val="22"/>
          <w:lang w:val="fr-CA"/>
        </w:rPr>
        <w:t xml:space="preserve"> à l</w:t>
      </w:r>
      <w:r w:rsidR="00DF1C84">
        <w:rPr>
          <w:kern w:val="22"/>
          <w:sz w:val="22"/>
          <w:szCs w:val="22"/>
          <w:lang w:val="fr-CA"/>
        </w:rPr>
        <w:t>’</w:t>
      </w:r>
      <w:r w:rsidR="000922C8">
        <w:rPr>
          <w:kern w:val="22"/>
          <w:sz w:val="22"/>
          <w:szCs w:val="22"/>
          <w:lang w:val="fr-CA"/>
        </w:rPr>
        <w:t>action et au soutien pendant la période</w:t>
      </w:r>
      <w:r w:rsidR="00EC5612">
        <w:rPr>
          <w:kern w:val="22"/>
          <w:sz w:val="22"/>
          <w:szCs w:val="22"/>
          <w:lang w:val="fr-CA"/>
        </w:rPr>
        <w:t xml:space="preserve"> précédant</w:t>
      </w:r>
      <w:r w:rsidR="00DF1C84">
        <w:rPr>
          <w:kern w:val="22"/>
          <w:sz w:val="22"/>
          <w:szCs w:val="22"/>
          <w:lang w:val="fr-CA"/>
        </w:rPr>
        <w:t> 2020</w:t>
      </w:r>
      <w:r w:rsidR="00EC5612">
        <w:rPr>
          <w:kern w:val="22"/>
          <w:sz w:val="22"/>
          <w:szCs w:val="22"/>
          <w:lang w:val="fr-CA"/>
        </w:rPr>
        <w:t>.</w:t>
      </w:r>
    </w:p>
    <w:p w:rsidR="00B75CF1" w:rsidRPr="007A46C0" w:rsidRDefault="00EC5612" w:rsidP="00EC5612">
      <w:pPr>
        <w:pStyle w:val="Para1"/>
        <w:suppressLineNumbers/>
        <w:suppressAutoHyphens/>
        <w:spacing w:before="120"/>
        <w:jc w:val="both"/>
        <w:rPr>
          <w:i/>
          <w:kern w:val="22"/>
          <w:sz w:val="22"/>
          <w:szCs w:val="22"/>
          <w:lang w:val="fr-CA"/>
        </w:rPr>
      </w:pPr>
      <w:r>
        <w:rPr>
          <w:i/>
          <w:kern w:val="22"/>
          <w:sz w:val="22"/>
          <w:szCs w:val="22"/>
          <w:lang w:val="fr-CA"/>
        </w:rPr>
        <w:t>Convention sur la conservation des espèces migratrices appartenant à la faune sauvage (CMS)</w:t>
      </w:r>
    </w:p>
    <w:p w:rsidR="00B33755" w:rsidRPr="007A46C0" w:rsidRDefault="007A7C12" w:rsidP="00C757BD">
      <w:pPr>
        <w:pStyle w:val="Para1"/>
        <w:numPr>
          <w:ilvl w:val="0"/>
          <w:numId w:val="22"/>
        </w:numPr>
        <w:suppressLineNumbers/>
        <w:tabs>
          <w:tab w:val="clear" w:pos="360"/>
        </w:tabs>
        <w:suppressAutoHyphens/>
        <w:spacing w:before="120"/>
        <w:jc w:val="both"/>
        <w:rPr>
          <w:kern w:val="22"/>
          <w:sz w:val="22"/>
          <w:szCs w:val="22"/>
          <w:lang w:val="fr-CA"/>
        </w:rPr>
      </w:pPr>
      <w:r>
        <w:rPr>
          <w:kern w:val="22"/>
          <w:sz w:val="22"/>
          <w:szCs w:val="22"/>
          <w:lang w:val="fr-CA"/>
        </w:rPr>
        <w:t>À sa douzième réunion, la Conférence des Parties de la Convention sur la conservation des espèces migratrices appartenant à la faune sauvage (CMS) a établi un mécanisme d</w:t>
      </w:r>
      <w:r w:rsidR="00DF1C84">
        <w:rPr>
          <w:kern w:val="22"/>
          <w:sz w:val="22"/>
          <w:szCs w:val="22"/>
          <w:lang w:val="fr-CA"/>
        </w:rPr>
        <w:t>’</w:t>
      </w:r>
      <w:r>
        <w:rPr>
          <w:kern w:val="22"/>
          <w:sz w:val="22"/>
          <w:szCs w:val="22"/>
          <w:lang w:val="fr-CA"/>
        </w:rPr>
        <w:t xml:space="preserve">examen pour </w:t>
      </w:r>
      <w:r w:rsidR="008E46D3">
        <w:rPr>
          <w:kern w:val="22"/>
          <w:sz w:val="22"/>
          <w:szCs w:val="22"/>
          <w:lang w:val="fr-CA"/>
        </w:rPr>
        <w:t>des questions spécifiques à la mise en œuvre ainsi qu</w:t>
      </w:r>
      <w:r w:rsidR="00DF1C84">
        <w:rPr>
          <w:kern w:val="22"/>
          <w:sz w:val="22"/>
          <w:szCs w:val="22"/>
          <w:lang w:val="fr-CA"/>
        </w:rPr>
        <w:t>’</w:t>
      </w:r>
      <w:r w:rsidR="008E46D3">
        <w:rPr>
          <w:kern w:val="22"/>
          <w:sz w:val="22"/>
          <w:szCs w:val="22"/>
          <w:lang w:val="fr-CA"/>
        </w:rPr>
        <w:t xml:space="preserve">un programme de législation nationale. Le mécanisme </w:t>
      </w:r>
      <w:r w:rsidR="008E46D3">
        <w:rPr>
          <w:kern w:val="22"/>
          <w:sz w:val="22"/>
          <w:szCs w:val="22"/>
          <w:lang w:val="fr-CA"/>
        </w:rPr>
        <w:lastRenderedPageBreak/>
        <w:t>d</w:t>
      </w:r>
      <w:r w:rsidR="00DF1C84">
        <w:rPr>
          <w:kern w:val="22"/>
          <w:sz w:val="22"/>
          <w:szCs w:val="22"/>
          <w:lang w:val="fr-CA"/>
        </w:rPr>
        <w:t>’</w:t>
      </w:r>
      <w:r w:rsidR="008E46D3">
        <w:rPr>
          <w:kern w:val="22"/>
          <w:sz w:val="22"/>
          <w:szCs w:val="22"/>
          <w:lang w:val="fr-CA"/>
        </w:rPr>
        <w:t>examen est non conflictuel, et orienté vers la facilitation et le soutien. Il est basé sur un examen triennal des rapports nationaux par le Secrétariat ou sur des informations spécifiques transmises au Secrétariat lorsque des questions relatives à la mise en œuvre sont soulevées qui peuvent également émaner d</w:t>
      </w:r>
      <w:r w:rsidR="00DF1C84">
        <w:rPr>
          <w:kern w:val="22"/>
          <w:sz w:val="22"/>
          <w:szCs w:val="22"/>
          <w:lang w:val="fr-CA"/>
        </w:rPr>
        <w:t>’</w:t>
      </w:r>
      <w:r w:rsidR="008E46D3">
        <w:rPr>
          <w:kern w:val="22"/>
          <w:sz w:val="22"/>
          <w:szCs w:val="22"/>
          <w:lang w:val="fr-CA"/>
        </w:rPr>
        <w:t>organisations internationales ou d</w:t>
      </w:r>
      <w:r w:rsidR="00DF1C84">
        <w:rPr>
          <w:kern w:val="22"/>
          <w:sz w:val="22"/>
          <w:szCs w:val="22"/>
          <w:lang w:val="fr-CA"/>
        </w:rPr>
        <w:t>’</w:t>
      </w:r>
      <w:r w:rsidR="008E46D3">
        <w:rPr>
          <w:kern w:val="22"/>
          <w:sz w:val="22"/>
          <w:szCs w:val="22"/>
          <w:lang w:val="fr-CA"/>
        </w:rPr>
        <w:t>organismes ou d</w:t>
      </w:r>
      <w:r w:rsidR="00DF1C84">
        <w:rPr>
          <w:kern w:val="22"/>
          <w:sz w:val="22"/>
          <w:szCs w:val="22"/>
          <w:lang w:val="fr-CA"/>
        </w:rPr>
        <w:t>’</w:t>
      </w:r>
      <w:r w:rsidR="008E46D3">
        <w:rPr>
          <w:kern w:val="22"/>
          <w:sz w:val="22"/>
          <w:szCs w:val="22"/>
          <w:lang w:val="fr-CA"/>
        </w:rPr>
        <w:t>organes nationaux non gouvernementaux accrédités.</w:t>
      </w:r>
      <w:r w:rsidR="00B15880">
        <w:rPr>
          <w:kern w:val="22"/>
          <w:sz w:val="22"/>
          <w:szCs w:val="22"/>
          <w:lang w:val="fr-CA"/>
        </w:rPr>
        <w:t xml:space="preserve"> Suite</w:t>
      </w:r>
      <w:r w:rsidR="00C757BD">
        <w:rPr>
          <w:kern w:val="22"/>
          <w:sz w:val="22"/>
          <w:szCs w:val="22"/>
          <w:lang w:val="fr-CA"/>
        </w:rPr>
        <w:t xml:space="preserve"> au triage des informations et à </w:t>
      </w:r>
      <w:r w:rsidR="00B15880">
        <w:rPr>
          <w:kern w:val="22"/>
          <w:sz w:val="22"/>
          <w:szCs w:val="22"/>
          <w:lang w:val="fr-CA"/>
        </w:rPr>
        <w:t>une décision sur leur admissibilité</w:t>
      </w:r>
      <w:r w:rsidR="000228B9">
        <w:rPr>
          <w:kern w:val="22"/>
          <w:sz w:val="22"/>
          <w:szCs w:val="22"/>
          <w:lang w:val="fr-CA"/>
        </w:rPr>
        <w:t>, la Partie concernée est informée et a l</w:t>
      </w:r>
      <w:r w:rsidR="00DF1C84">
        <w:rPr>
          <w:kern w:val="22"/>
          <w:sz w:val="22"/>
          <w:szCs w:val="22"/>
          <w:lang w:val="fr-CA"/>
        </w:rPr>
        <w:t>’</w:t>
      </w:r>
      <w:r w:rsidR="000228B9">
        <w:rPr>
          <w:kern w:val="22"/>
          <w:sz w:val="22"/>
          <w:szCs w:val="22"/>
          <w:lang w:val="fr-CA"/>
        </w:rPr>
        <w:t>occasion de commenter et/ou d</w:t>
      </w:r>
      <w:r w:rsidR="00DF1C84">
        <w:rPr>
          <w:kern w:val="22"/>
          <w:sz w:val="22"/>
          <w:szCs w:val="22"/>
          <w:lang w:val="fr-CA"/>
        </w:rPr>
        <w:t>’</w:t>
      </w:r>
      <w:r w:rsidR="000228B9">
        <w:rPr>
          <w:kern w:val="22"/>
          <w:sz w:val="22"/>
          <w:szCs w:val="22"/>
          <w:lang w:val="fr-CA"/>
        </w:rPr>
        <w:t>aborder la question. Si la question n</w:t>
      </w:r>
      <w:r w:rsidR="00DF1C84">
        <w:rPr>
          <w:kern w:val="22"/>
          <w:sz w:val="22"/>
          <w:szCs w:val="22"/>
          <w:lang w:val="fr-CA"/>
        </w:rPr>
        <w:t>’</w:t>
      </w:r>
      <w:r w:rsidR="000228B9">
        <w:rPr>
          <w:kern w:val="22"/>
          <w:sz w:val="22"/>
          <w:szCs w:val="22"/>
          <w:lang w:val="fr-CA"/>
        </w:rPr>
        <w:t>est pas abordée dans un délai raisonnable, le comité permanent, qui agit à titre d</w:t>
      </w:r>
      <w:r w:rsidR="00DF1C84">
        <w:rPr>
          <w:kern w:val="22"/>
          <w:sz w:val="22"/>
          <w:szCs w:val="22"/>
          <w:lang w:val="fr-CA"/>
        </w:rPr>
        <w:t>’</w:t>
      </w:r>
      <w:r w:rsidR="000228B9">
        <w:rPr>
          <w:kern w:val="22"/>
          <w:sz w:val="22"/>
          <w:szCs w:val="22"/>
          <w:lang w:val="fr-CA"/>
        </w:rPr>
        <w:t>organe d</w:t>
      </w:r>
      <w:r w:rsidR="00DF1C84">
        <w:rPr>
          <w:kern w:val="22"/>
          <w:sz w:val="22"/>
          <w:szCs w:val="22"/>
          <w:lang w:val="fr-CA"/>
        </w:rPr>
        <w:t>’</w:t>
      </w:r>
      <w:r w:rsidR="000228B9">
        <w:rPr>
          <w:kern w:val="22"/>
          <w:sz w:val="22"/>
          <w:szCs w:val="22"/>
          <w:lang w:val="fr-CA"/>
        </w:rPr>
        <w:t>examen, en est informé</w:t>
      </w:r>
      <w:r w:rsidR="00C757BD">
        <w:rPr>
          <w:kern w:val="22"/>
          <w:sz w:val="22"/>
          <w:szCs w:val="22"/>
          <w:lang w:val="fr-CA"/>
        </w:rPr>
        <w:t xml:space="preserve"> et</w:t>
      </w:r>
      <w:r w:rsidR="000228B9">
        <w:rPr>
          <w:kern w:val="22"/>
          <w:sz w:val="22"/>
          <w:szCs w:val="22"/>
          <w:lang w:val="fr-CA"/>
        </w:rPr>
        <w:t xml:space="preserve"> peut prendre un certain nombre de mesures destinées à aider la Partie concernée à aborder la question.</w:t>
      </w:r>
    </w:p>
    <w:p w:rsidR="00B33755" w:rsidRPr="007A46C0" w:rsidRDefault="00C757BD" w:rsidP="009201A6">
      <w:pPr>
        <w:pStyle w:val="Para1"/>
        <w:numPr>
          <w:ilvl w:val="0"/>
          <w:numId w:val="22"/>
        </w:numPr>
        <w:suppressLineNumbers/>
        <w:tabs>
          <w:tab w:val="clear" w:pos="360"/>
        </w:tabs>
        <w:suppressAutoHyphens/>
        <w:spacing w:before="120"/>
        <w:jc w:val="both"/>
        <w:rPr>
          <w:kern w:val="22"/>
          <w:sz w:val="22"/>
          <w:szCs w:val="22"/>
          <w:lang w:val="fr-CA"/>
        </w:rPr>
      </w:pPr>
      <w:r>
        <w:rPr>
          <w:kern w:val="22"/>
          <w:sz w:val="22"/>
          <w:szCs w:val="22"/>
          <w:lang w:val="fr-CA"/>
        </w:rPr>
        <w:t>Le programme de législation nationale cherche à assurer de manière non conflictuelle, et orientée vers la facilitation et le soutien, le respect des obligations de chaque État de l</w:t>
      </w:r>
      <w:r w:rsidR="00DF1C84">
        <w:rPr>
          <w:kern w:val="22"/>
          <w:sz w:val="22"/>
          <w:szCs w:val="22"/>
          <w:lang w:val="fr-CA"/>
        </w:rPr>
        <w:t>’</w:t>
      </w:r>
      <w:r>
        <w:rPr>
          <w:kern w:val="22"/>
          <w:sz w:val="22"/>
          <w:szCs w:val="22"/>
          <w:lang w:val="fr-CA"/>
        </w:rPr>
        <w:t>aire de répartition des espèces migratrices énumérées à l</w:t>
      </w:r>
      <w:r w:rsidR="00DF1C84">
        <w:rPr>
          <w:kern w:val="22"/>
          <w:sz w:val="22"/>
          <w:szCs w:val="22"/>
          <w:lang w:val="fr-CA"/>
        </w:rPr>
        <w:t>’</w:t>
      </w:r>
      <w:r>
        <w:rPr>
          <w:kern w:val="22"/>
          <w:sz w:val="22"/>
          <w:szCs w:val="22"/>
          <w:lang w:val="fr-CA"/>
        </w:rPr>
        <w:t>appendice I</w:t>
      </w:r>
      <w:r w:rsidR="009201A6">
        <w:rPr>
          <w:kern w:val="22"/>
          <w:sz w:val="22"/>
          <w:szCs w:val="22"/>
          <w:lang w:val="fr-CA"/>
        </w:rPr>
        <w:t>,</w:t>
      </w:r>
      <w:r>
        <w:rPr>
          <w:kern w:val="22"/>
          <w:sz w:val="22"/>
          <w:szCs w:val="22"/>
          <w:lang w:val="fr-CA"/>
        </w:rPr>
        <w:t xml:space="preserve"> par le biais d</w:t>
      </w:r>
      <w:r w:rsidR="00DF1C84">
        <w:rPr>
          <w:kern w:val="22"/>
          <w:sz w:val="22"/>
          <w:szCs w:val="22"/>
          <w:lang w:val="fr-CA"/>
        </w:rPr>
        <w:t>’</w:t>
      </w:r>
      <w:r>
        <w:rPr>
          <w:kern w:val="22"/>
          <w:sz w:val="22"/>
          <w:szCs w:val="22"/>
          <w:lang w:val="fr-CA"/>
        </w:rPr>
        <w:t>une législation nationale appropriée. Le programme envisage la fourniture, notamment, de matériel d</w:t>
      </w:r>
      <w:r w:rsidR="00DF1C84">
        <w:rPr>
          <w:kern w:val="22"/>
          <w:sz w:val="22"/>
          <w:szCs w:val="22"/>
          <w:lang w:val="fr-CA"/>
        </w:rPr>
        <w:t>’</w:t>
      </w:r>
      <w:r w:rsidR="009201A6">
        <w:rPr>
          <w:kern w:val="22"/>
          <w:sz w:val="22"/>
          <w:szCs w:val="22"/>
          <w:lang w:val="fr-CA"/>
        </w:rPr>
        <w:t>orientation, de lois types</w:t>
      </w:r>
      <w:r>
        <w:rPr>
          <w:kern w:val="22"/>
          <w:sz w:val="22"/>
          <w:szCs w:val="22"/>
          <w:lang w:val="fr-CA"/>
        </w:rPr>
        <w:t>, d</w:t>
      </w:r>
      <w:r w:rsidR="00DF1C84">
        <w:rPr>
          <w:kern w:val="22"/>
          <w:sz w:val="22"/>
          <w:szCs w:val="22"/>
          <w:lang w:val="fr-CA"/>
        </w:rPr>
        <w:t>’</w:t>
      </w:r>
      <w:r>
        <w:rPr>
          <w:kern w:val="22"/>
          <w:sz w:val="22"/>
          <w:szCs w:val="22"/>
          <w:lang w:val="fr-CA"/>
        </w:rPr>
        <w:t>assistance technique, et d</w:t>
      </w:r>
      <w:r w:rsidR="00DF1C84">
        <w:rPr>
          <w:kern w:val="22"/>
          <w:sz w:val="22"/>
          <w:szCs w:val="22"/>
          <w:lang w:val="fr-CA"/>
        </w:rPr>
        <w:t>’</w:t>
      </w:r>
      <w:r>
        <w:rPr>
          <w:kern w:val="22"/>
          <w:sz w:val="22"/>
          <w:szCs w:val="22"/>
          <w:lang w:val="fr-CA"/>
        </w:rPr>
        <w:t xml:space="preserve">ateliers de renforcement des capacités pour </w:t>
      </w:r>
      <w:r w:rsidR="009201A6">
        <w:rPr>
          <w:kern w:val="22"/>
          <w:sz w:val="22"/>
          <w:szCs w:val="22"/>
          <w:lang w:val="fr-CA"/>
        </w:rPr>
        <w:t>aider les</w:t>
      </w:r>
      <w:r>
        <w:rPr>
          <w:kern w:val="22"/>
          <w:sz w:val="22"/>
          <w:szCs w:val="22"/>
          <w:lang w:val="fr-CA"/>
        </w:rPr>
        <w:t xml:space="preserve"> Parties </w:t>
      </w:r>
      <w:r>
        <w:rPr>
          <w:noProof/>
          <w:kern w:val="22"/>
          <w:sz w:val="22"/>
          <w:szCs w:val="22"/>
          <w:lang w:val="fr-CA"/>
        </w:rPr>
        <w:t>en non</w:t>
      </w:r>
      <w:r w:rsidR="00DF1C84">
        <w:rPr>
          <w:noProof/>
          <w:kern w:val="22"/>
          <w:sz w:val="22"/>
          <w:szCs w:val="22"/>
          <w:lang w:val="fr-CA"/>
        </w:rPr>
        <w:noBreakHyphen/>
      </w:r>
      <w:r>
        <w:rPr>
          <w:noProof/>
          <w:kern w:val="22"/>
          <w:sz w:val="22"/>
          <w:szCs w:val="22"/>
          <w:lang w:val="fr-CA"/>
        </w:rPr>
        <w:t>conformité</w:t>
      </w:r>
      <w:r>
        <w:rPr>
          <w:kern w:val="22"/>
          <w:sz w:val="22"/>
          <w:szCs w:val="22"/>
          <w:lang w:val="fr-CA"/>
        </w:rPr>
        <w:t xml:space="preserve"> à s</w:t>
      </w:r>
      <w:r w:rsidR="00DF1C84">
        <w:rPr>
          <w:kern w:val="22"/>
          <w:sz w:val="22"/>
          <w:szCs w:val="22"/>
          <w:lang w:val="fr-CA"/>
        </w:rPr>
        <w:t>’</w:t>
      </w:r>
      <w:r>
        <w:rPr>
          <w:kern w:val="22"/>
          <w:sz w:val="22"/>
          <w:szCs w:val="22"/>
          <w:lang w:val="fr-CA"/>
        </w:rPr>
        <w:t>acquitter de leurs obligations.</w:t>
      </w:r>
    </w:p>
    <w:p w:rsidR="00004A24" w:rsidRPr="007A46C0" w:rsidRDefault="009201A6" w:rsidP="009201A6">
      <w:pPr>
        <w:pStyle w:val="Para1"/>
        <w:spacing w:before="120"/>
        <w:jc w:val="both"/>
        <w:rPr>
          <w:i/>
          <w:kern w:val="22"/>
          <w:sz w:val="22"/>
          <w:szCs w:val="22"/>
          <w:lang w:val="fr-CA"/>
        </w:rPr>
      </w:pPr>
      <w:r>
        <w:rPr>
          <w:i/>
          <w:kern w:val="22"/>
          <w:sz w:val="22"/>
          <w:szCs w:val="22"/>
          <w:lang w:val="fr-CA"/>
        </w:rPr>
        <w:t>Examens nationaux volontaires de la mise en œuvre du Programme de développement durable à l</w:t>
      </w:r>
      <w:r w:rsidR="00DF1C84">
        <w:rPr>
          <w:i/>
          <w:kern w:val="22"/>
          <w:sz w:val="22"/>
          <w:szCs w:val="22"/>
          <w:lang w:val="fr-CA"/>
        </w:rPr>
        <w:t>’</w:t>
      </w:r>
      <w:r>
        <w:rPr>
          <w:i/>
          <w:kern w:val="22"/>
          <w:sz w:val="22"/>
          <w:szCs w:val="22"/>
          <w:lang w:val="fr-CA"/>
        </w:rPr>
        <w:t>horizon</w:t>
      </w:r>
      <w:r w:rsidR="00DF1C84">
        <w:rPr>
          <w:i/>
          <w:kern w:val="22"/>
          <w:sz w:val="22"/>
          <w:szCs w:val="22"/>
          <w:lang w:val="fr-CA"/>
        </w:rPr>
        <w:t> 2030</w:t>
      </w:r>
    </w:p>
    <w:p w:rsidR="00F02B36" w:rsidRPr="007A46C0" w:rsidRDefault="006658A8" w:rsidP="00F008B0">
      <w:pPr>
        <w:pStyle w:val="Para1"/>
        <w:numPr>
          <w:ilvl w:val="0"/>
          <w:numId w:val="22"/>
        </w:numPr>
        <w:suppressLineNumbers/>
        <w:tabs>
          <w:tab w:val="clear" w:pos="360"/>
        </w:tabs>
        <w:suppressAutoHyphens/>
        <w:spacing w:before="120"/>
        <w:jc w:val="both"/>
        <w:rPr>
          <w:kern w:val="22"/>
          <w:sz w:val="22"/>
          <w:szCs w:val="22"/>
          <w:lang w:val="fr-CA"/>
        </w:rPr>
      </w:pPr>
      <w:r>
        <w:rPr>
          <w:kern w:val="22"/>
          <w:sz w:val="22"/>
          <w:szCs w:val="22"/>
          <w:lang w:val="fr-CA"/>
        </w:rPr>
        <w:t>Dans le cadre du suivi et de l</w:t>
      </w:r>
      <w:r w:rsidR="00DF1C84">
        <w:rPr>
          <w:kern w:val="22"/>
          <w:sz w:val="22"/>
          <w:szCs w:val="22"/>
          <w:lang w:val="fr-CA"/>
        </w:rPr>
        <w:t>’</w:t>
      </w:r>
      <w:r>
        <w:rPr>
          <w:kern w:val="22"/>
          <w:sz w:val="22"/>
          <w:szCs w:val="22"/>
          <w:lang w:val="fr-CA"/>
        </w:rPr>
        <w:t>examen du Programme de développement durable à l</w:t>
      </w:r>
      <w:r w:rsidR="00DF1C84">
        <w:rPr>
          <w:kern w:val="22"/>
          <w:sz w:val="22"/>
          <w:szCs w:val="22"/>
          <w:lang w:val="fr-CA"/>
        </w:rPr>
        <w:t>’</w:t>
      </w:r>
      <w:r>
        <w:rPr>
          <w:kern w:val="22"/>
          <w:sz w:val="22"/>
          <w:szCs w:val="22"/>
          <w:lang w:val="fr-CA"/>
        </w:rPr>
        <w:t>horizon</w:t>
      </w:r>
      <w:r w:rsidR="00DF1C84">
        <w:rPr>
          <w:kern w:val="22"/>
          <w:sz w:val="22"/>
          <w:szCs w:val="22"/>
          <w:lang w:val="fr-CA"/>
        </w:rPr>
        <w:t> 2030</w:t>
      </w:r>
      <w:r>
        <w:rPr>
          <w:kern w:val="22"/>
          <w:sz w:val="22"/>
          <w:szCs w:val="22"/>
          <w:lang w:val="fr-CA"/>
        </w:rPr>
        <w:t>, les États Membres des Nations Unies sont enco</w:t>
      </w:r>
      <w:r w:rsidR="005233D6">
        <w:rPr>
          <w:kern w:val="22"/>
          <w:sz w:val="22"/>
          <w:szCs w:val="22"/>
          <w:lang w:val="fr-CA"/>
        </w:rPr>
        <w:t>u</w:t>
      </w:r>
      <w:r>
        <w:rPr>
          <w:kern w:val="22"/>
          <w:sz w:val="22"/>
          <w:szCs w:val="22"/>
          <w:lang w:val="fr-CA"/>
        </w:rPr>
        <w:t>ragés à</w:t>
      </w:r>
      <w:r w:rsidR="005233D6">
        <w:rPr>
          <w:kern w:val="22"/>
          <w:sz w:val="22"/>
          <w:szCs w:val="22"/>
          <w:lang w:val="fr-CA"/>
        </w:rPr>
        <w:t xml:space="preserve"> </w:t>
      </w:r>
      <w:r w:rsidR="00D50562">
        <w:rPr>
          <w:kern w:val="22"/>
          <w:sz w:val="22"/>
          <w:szCs w:val="22"/>
          <w:lang w:val="fr-CA"/>
        </w:rPr>
        <w:t>« mener à bien des examens réguliers et inclusifs des progrès accomplis aux niveaux national et infranational, qui soient conduits par les pays et qui répondent aux priorités et besoins nationaux » (par. 79).</w:t>
      </w:r>
      <w:r>
        <w:rPr>
          <w:kern w:val="22"/>
          <w:sz w:val="22"/>
          <w:szCs w:val="22"/>
          <w:lang w:val="fr-CA"/>
        </w:rPr>
        <w:t xml:space="preserve"> </w:t>
      </w:r>
      <w:r w:rsidR="00D50562">
        <w:rPr>
          <w:kern w:val="22"/>
          <w:sz w:val="22"/>
          <w:szCs w:val="22"/>
          <w:lang w:val="fr-CA"/>
        </w:rPr>
        <w:t>Ces examens nationaux volontaires sont menés à bien annuellement à New York sous l</w:t>
      </w:r>
      <w:r w:rsidR="00DF1C84">
        <w:rPr>
          <w:kern w:val="22"/>
          <w:sz w:val="22"/>
          <w:szCs w:val="22"/>
          <w:lang w:val="fr-CA"/>
        </w:rPr>
        <w:t>’</w:t>
      </w:r>
      <w:r w:rsidR="00D50562">
        <w:rPr>
          <w:kern w:val="22"/>
          <w:sz w:val="22"/>
          <w:szCs w:val="22"/>
          <w:lang w:val="fr-CA"/>
        </w:rPr>
        <w:t xml:space="preserve">égide du </w:t>
      </w:r>
      <w:r w:rsidR="00D50562" w:rsidRPr="00D50562">
        <w:rPr>
          <w:kern w:val="22"/>
          <w:sz w:val="22"/>
          <w:szCs w:val="22"/>
          <w:lang w:val="fr-CA"/>
        </w:rPr>
        <w:t>Forum politique de haut niveau pour le développement durable</w:t>
      </w:r>
      <w:r w:rsidR="00D50562">
        <w:rPr>
          <w:kern w:val="22"/>
          <w:sz w:val="22"/>
          <w:szCs w:val="22"/>
          <w:lang w:val="fr-CA"/>
        </w:rPr>
        <w:t>. Les examens doivent être volontaires, conduits par les États, entrepris autant par les pays développés que les pays en développement, et ils doivent impliquer de multiples parties prenantes. Un Manuel</w:t>
      </w:r>
      <w:r w:rsidR="00D50562" w:rsidRPr="007A46C0">
        <w:rPr>
          <w:kern w:val="22"/>
          <w:sz w:val="22"/>
          <w:szCs w:val="22"/>
          <w:vertAlign w:val="superscript"/>
          <w:lang w:val="fr-CA"/>
        </w:rPr>
        <w:footnoteReference w:id="24"/>
      </w:r>
      <w:r w:rsidR="00D50562">
        <w:rPr>
          <w:kern w:val="22"/>
          <w:sz w:val="22"/>
          <w:szCs w:val="22"/>
          <w:lang w:val="fr-CA"/>
        </w:rPr>
        <w:t xml:space="preserve"> et des Orientations facultatives</w:t>
      </w:r>
      <w:r w:rsidR="00D50562" w:rsidRPr="007A46C0">
        <w:rPr>
          <w:kern w:val="22"/>
          <w:sz w:val="22"/>
          <w:szCs w:val="22"/>
          <w:vertAlign w:val="superscript"/>
          <w:lang w:val="fr-CA"/>
        </w:rPr>
        <w:footnoteReference w:id="25"/>
      </w:r>
      <w:r w:rsidR="00D50562" w:rsidRPr="007A46C0">
        <w:rPr>
          <w:kern w:val="22"/>
          <w:sz w:val="22"/>
          <w:szCs w:val="22"/>
          <w:lang w:val="fr-CA"/>
        </w:rPr>
        <w:t xml:space="preserve"> </w:t>
      </w:r>
      <w:r w:rsidR="00D50562">
        <w:rPr>
          <w:kern w:val="22"/>
          <w:sz w:val="22"/>
          <w:szCs w:val="22"/>
          <w:lang w:val="fr-CA"/>
        </w:rPr>
        <w:t>ont été préparés</w:t>
      </w:r>
      <w:r w:rsidR="00F008B0">
        <w:rPr>
          <w:kern w:val="22"/>
          <w:sz w:val="22"/>
          <w:szCs w:val="22"/>
          <w:lang w:val="fr-CA"/>
        </w:rPr>
        <w:t xml:space="preserve"> par le </w:t>
      </w:r>
      <w:r w:rsidR="00F008B0" w:rsidRPr="00F008B0">
        <w:rPr>
          <w:kern w:val="22"/>
          <w:sz w:val="22"/>
          <w:szCs w:val="22"/>
          <w:lang w:val="fr-CA"/>
        </w:rPr>
        <w:t>Département des affaires économiques et sociales</w:t>
      </w:r>
      <w:r w:rsidR="00F008B0">
        <w:rPr>
          <w:kern w:val="22"/>
          <w:sz w:val="22"/>
          <w:szCs w:val="22"/>
          <w:lang w:val="fr-CA"/>
        </w:rPr>
        <w:t xml:space="preserve"> pour aider les États Membres dans la préparation de leurs examens nationaux volontaires.</w:t>
      </w:r>
    </w:p>
    <w:p w:rsidR="007568E1" w:rsidRPr="007A46C0" w:rsidRDefault="00F008B0" w:rsidP="00A730C1">
      <w:pPr>
        <w:pStyle w:val="Para1"/>
        <w:numPr>
          <w:ilvl w:val="0"/>
          <w:numId w:val="22"/>
        </w:numPr>
        <w:suppressLineNumbers/>
        <w:tabs>
          <w:tab w:val="clear" w:pos="360"/>
        </w:tabs>
        <w:suppressAutoHyphens/>
        <w:spacing w:before="120"/>
        <w:jc w:val="both"/>
        <w:rPr>
          <w:kern w:val="22"/>
          <w:sz w:val="22"/>
          <w:szCs w:val="22"/>
          <w:lang w:val="fr-CA"/>
        </w:rPr>
      </w:pPr>
      <w:r>
        <w:rPr>
          <w:kern w:val="22"/>
          <w:sz w:val="22"/>
          <w:szCs w:val="22"/>
          <w:lang w:val="fr-CA"/>
        </w:rPr>
        <w:t>L</w:t>
      </w:r>
      <w:r w:rsidR="00DF1C84">
        <w:rPr>
          <w:kern w:val="22"/>
          <w:sz w:val="22"/>
          <w:szCs w:val="22"/>
          <w:lang w:val="fr-CA"/>
        </w:rPr>
        <w:t>’</w:t>
      </w:r>
      <w:r>
        <w:rPr>
          <w:kern w:val="22"/>
          <w:sz w:val="22"/>
          <w:szCs w:val="22"/>
          <w:lang w:val="fr-CA"/>
        </w:rPr>
        <w:t>objectif des examens nationaux volontaires est de faciliter le partage d</w:t>
      </w:r>
      <w:r w:rsidR="00DF1C84">
        <w:rPr>
          <w:kern w:val="22"/>
          <w:sz w:val="22"/>
          <w:szCs w:val="22"/>
          <w:lang w:val="fr-CA"/>
        </w:rPr>
        <w:t>’</w:t>
      </w:r>
      <w:r>
        <w:rPr>
          <w:kern w:val="22"/>
          <w:sz w:val="22"/>
          <w:szCs w:val="22"/>
          <w:lang w:val="fr-CA"/>
        </w:rPr>
        <w:t>expériences, y compris les réussites, les défis et les enseignements tirés, en vue d</w:t>
      </w:r>
      <w:r w:rsidR="00DF1C84">
        <w:rPr>
          <w:kern w:val="22"/>
          <w:sz w:val="22"/>
          <w:szCs w:val="22"/>
          <w:lang w:val="fr-CA"/>
        </w:rPr>
        <w:t>’</w:t>
      </w:r>
      <w:r>
        <w:rPr>
          <w:kern w:val="22"/>
          <w:sz w:val="22"/>
          <w:szCs w:val="22"/>
          <w:lang w:val="fr-CA"/>
        </w:rPr>
        <w:t>accélérer la mise en œuvre du Programme de développement durable à l</w:t>
      </w:r>
      <w:r w:rsidR="00DF1C84">
        <w:rPr>
          <w:kern w:val="22"/>
          <w:sz w:val="22"/>
          <w:szCs w:val="22"/>
          <w:lang w:val="fr-CA"/>
        </w:rPr>
        <w:t>’</w:t>
      </w:r>
      <w:r>
        <w:rPr>
          <w:kern w:val="22"/>
          <w:sz w:val="22"/>
          <w:szCs w:val="22"/>
          <w:lang w:val="fr-CA"/>
        </w:rPr>
        <w:t>horizon</w:t>
      </w:r>
      <w:r w:rsidR="00DF1C84">
        <w:rPr>
          <w:kern w:val="22"/>
          <w:sz w:val="22"/>
          <w:szCs w:val="22"/>
          <w:lang w:val="fr-CA"/>
        </w:rPr>
        <w:t> 2030</w:t>
      </w:r>
      <w:r>
        <w:rPr>
          <w:kern w:val="22"/>
          <w:sz w:val="22"/>
          <w:szCs w:val="22"/>
          <w:lang w:val="fr-CA"/>
        </w:rPr>
        <w:t>. Cela comprend des déclarations sur la manière dont les gouvernements répondent aux transformations du Programme de développement durable à l</w:t>
      </w:r>
      <w:r w:rsidR="00DF1C84">
        <w:rPr>
          <w:kern w:val="22"/>
          <w:sz w:val="22"/>
          <w:szCs w:val="22"/>
          <w:lang w:val="fr-CA"/>
        </w:rPr>
        <w:t>’</w:t>
      </w:r>
      <w:r>
        <w:rPr>
          <w:kern w:val="22"/>
          <w:sz w:val="22"/>
          <w:szCs w:val="22"/>
          <w:lang w:val="fr-CA"/>
        </w:rPr>
        <w:t>horizon</w:t>
      </w:r>
      <w:r w:rsidR="00DF1C84">
        <w:rPr>
          <w:kern w:val="22"/>
          <w:sz w:val="22"/>
          <w:szCs w:val="22"/>
          <w:lang w:val="fr-CA"/>
        </w:rPr>
        <w:t> 2030</w:t>
      </w:r>
      <w:r>
        <w:rPr>
          <w:kern w:val="22"/>
          <w:sz w:val="22"/>
          <w:szCs w:val="22"/>
          <w:lang w:val="fr-CA"/>
        </w:rPr>
        <w:t xml:space="preserve"> par le biais, notamment, de leurs plans et stratégies nationaux de développement, ou d</w:t>
      </w:r>
      <w:r w:rsidR="00DF1C84">
        <w:rPr>
          <w:kern w:val="22"/>
          <w:sz w:val="22"/>
          <w:szCs w:val="22"/>
          <w:lang w:val="fr-CA"/>
        </w:rPr>
        <w:t>’</w:t>
      </w:r>
      <w:r>
        <w:rPr>
          <w:kern w:val="22"/>
          <w:sz w:val="22"/>
          <w:szCs w:val="22"/>
          <w:lang w:val="fr-CA"/>
        </w:rPr>
        <w:t>autres documents pertinents. Les examens nationaux volontaires cherchent également à renforcer les politiques et les institutions gouvernementales et à mobiliser l</w:t>
      </w:r>
      <w:r w:rsidR="00DF1C84">
        <w:rPr>
          <w:kern w:val="22"/>
          <w:sz w:val="22"/>
          <w:szCs w:val="22"/>
          <w:lang w:val="fr-CA"/>
        </w:rPr>
        <w:t>’</w:t>
      </w:r>
      <w:r>
        <w:rPr>
          <w:kern w:val="22"/>
          <w:sz w:val="22"/>
          <w:szCs w:val="22"/>
          <w:lang w:val="fr-CA"/>
        </w:rPr>
        <w:t>appui de multiples parties prenantes et de partenariats pour la mise en œuvre des Objectifs de développement durable</w:t>
      </w:r>
      <w:r>
        <w:rPr>
          <w:noProof/>
          <w:kern w:val="22"/>
          <w:sz w:val="22"/>
          <w:szCs w:val="22"/>
          <w:lang w:val="fr-CA"/>
        </w:rPr>
        <w:t>. Quarante</w:t>
      </w:r>
      <w:r w:rsidR="00DF1C84">
        <w:rPr>
          <w:noProof/>
          <w:kern w:val="22"/>
          <w:sz w:val="22"/>
          <w:szCs w:val="22"/>
          <w:lang w:val="fr-CA"/>
        </w:rPr>
        <w:noBreakHyphen/>
      </w:r>
      <w:r>
        <w:rPr>
          <w:noProof/>
          <w:kern w:val="22"/>
          <w:sz w:val="22"/>
          <w:szCs w:val="22"/>
          <w:lang w:val="fr-CA"/>
        </w:rPr>
        <w:t>trois et 22 pays ont participé aux examens nationaux volontaires en 2016 et 2017, respectivement, et 47 devraient soumettre</w:t>
      </w:r>
      <w:r>
        <w:rPr>
          <w:kern w:val="22"/>
          <w:sz w:val="22"/>
          <w:szCs w:val="22"/>
          <w:lang w:val="fr-CA"/>
        </w:rPr>
        <w:t xml:space="preserve"> un examen national</w:t>
      </w:r>
      <w:r w:rsidR="00A730C1">
        <w:rPr>
          <w:kern w:val="22"/>
          <w:sz w:val="22"/>
          <w:szCs w:val="22"/>
          <w:lang w:val="fr-CA"/>
        </w:rPr>
        <w:t xml:space="preserve"> volontaire en 2018.</w:t>
      </w:r>
    </w:p>
    <w:p w:rsidR="00F02B36" w:rsidRPr="007A46C0" w:rsidRDefault="00A730C1" w:rsidP="00A730C1">
      <w:pPr>
        <w:pStyle w:val="Para1"/>
        <w:numPr>
          <w:ilvl w:val="0"/>
          <w:numId w:val="22"/>
        </w:numPr>
        <w:suppressLineNumbers/>
        <w:tabs>
          <w:tab w:val="clear" w:pos="360"/>
        </w:tabs>
        <w:suppressAutoHyphens/>
        <w:spacing w:before="120"/>
        <w:jc w:val="both"/>
        <w:rPr>
          <w:kern w:val="22"/>
          <w:sz w:val="22"/>
          <w:szCs w:val="22"/>
          <w:lang w:val="fr-CA"/>
        </w:rPr>
      </w:pPr>
      <w:r>
        <w:rPr>
          <w:kern w:val="22"/>
          <w:sz w:val="22"/>
          <w:szCs w:val="22"/>
          <w:lang w:val="fr-CA"/>
        </w:rPr>
        <w:t>Compte tenu de la nature intégrée et indivisible des objectifs et cibles du Programme de développement durable à l</w:t>
      </w:r>
      <w:r w:rsidR="00DF1C84">
        <w:rPr>
          <w:kern w:val="22"/>
          <w:sz w:val="22"/>
          <w:szCs w:val="22"/>
          <w:lang w:val="fr-CA"/>
        </w:rPr>
        <w:t>’</w:t>
      </w:r>
      <w:r>
        <w:rPr>
          <w:kern w:val="22"/>
          <w:sz w:val="22"/>
          <w:szCs w:val="22"/>
          <w:lang w:val="fr-CA"/>
        </w:rPr>
        <w:t>horizon</w:t>
      </w:r>
      <w:r w:rsidR="00DF1C84">
        <w:rPr>
          <w:kern w:val="22"/>
          <w:sz w:val="22"/>
          <w:szCs w:val="22"/>
          <w:lang w:val="fr-CA"/>
        </w:rPr>
        <w:t> 2030</w:t>
      </w:r>
      <w:r>
        <w:rPr>
          <w:kern w:val="22"/>
          <w:sz w:val="22"/>
          <w:szCs w:val="22"/>
          <w:lang w:val="fr-CA"/>
        </w:rPr>
        <w:t>, les examens nationaux volontaires devraient reconnaître l</w:t>
      </w:r>
      <w:r w:rsidR="00DF1C84">
        <w:rPr>
          <w:kern w:val="22"/>
          <w:sz w:val="22"/>
          <w:szCs w:val="22"/>
          <w:lang w:val="fr-CA"/>
        </w:rPr>
        <w:t>’</w:t>
      </w:r>
      <w:r>
        <w:rPr>
          <w:kern w:val="22"/>
          <w:sz w:val="22"/>
          <w:szCs w:val="22"/>
          <w:lang w:val="fr-CA"/>
        </w:rPr>
        <w:t>importance fondamentale de la biodiversité pour réaliser les objectifs du Programme. Une note fournissant des orientations sur la préparation des examens nationaux volontaires du point de vue de la biodiversité est mise à disposition.</w:t>
      </w:r>
      <w:r w:rsidRPr="007A46C0">
        <w:rPr>
          <w:kern w:val="22"/>
          <w:sz w:val="22"/>
          <w:szCs w:val="22"/>
          <w:vertAlign w:val="superscript"/>
          <w:lang w:val="fr-CA"/>
        </w:rPr>
        <w:footnoteReference w:id="26"/>
      </w:r>
    </w:p>
    <w:p w:rsidR="00A25115" w:rsidRPr="007A46C0" w:rsidRDefault="00B33755" w:rsidP="00A25115">
      <w:pPr>
        <w:pStyle w:val="Para1"/>
        <w:jc w:val="center"/>
        <w:rPr>
          <w:i/>
          <w:kern w:val="22"/>
          <w:sz w:val="22"/>
          <w:szCs w:val="22"/>
          <w:lang w:val="fr-CA"/>
        </w:rPr>
      </w:pPr>
      <w:r w:rsidRPr="007A46C0">
        <w:rPr>
          <w:kern w:val="22"/>
          <w:sz w:val="22"/>
          <w:szCs w:val="22"/>
          <w:lang w:val="fr-CA"/>
        </w:rPr>
        <w:br w:type="page"/>
      </w:r>
      <w:r w:rsidR="005509A7" w:rsidRPr="007A46C0">
        <w:rPr>
          <w:i/>
          <w:kern w:val="22"/>
          <w:sz w:val="22"/>
          <w:szCs w:val="22"/>
          <w:lang w:val="fr-CA"/>
        </w:rPr>
        <w:lastRenderedPageBreak/>
        <w:t>Annex</w:t>
      </w:r>
      <w:r w:rsidR="007A46C0" w:rsidRPr="007A46C0">
        <w:rPr>
          <w:i/>
          <w:kern w:val="22"/>
          <w:sz w:val="22"/>
          <w:szCs w:val="22"/>
          <w:lang w:val="fr-CA"/>
        </w:rPr>
        <w:t>e </w:t>
      </w:r>
      <w:r w:rsidR="001D178D" w:rsidRPr="007A46C0">
        <w:rPr>
          <w:i/>
          <w:kern w:val="22"/>
          <w:sz w:val="22"/>
          <w:szCs w:val="22"/>
          <w:lang w:val="fr-CA"/>
        </w:rPr>
        <w:t>II</w:t>
      </w:r>
    </w:p>
    <w:p w:rsidR="005509A7" w:rsidRPr="007A46C0" w:rsidRDefault="007A46C0" w:rsidP="00051FD1">
      <w:pPr>
        <w:pStyle w:val="Heading1"/>
        <w:tabs>
          <w:tab w:val="clear" w:pos="720"/>
        </w:tabs>
        <w:spacing w:before="120"/>
        <w:rPr>
          <w:snapToGrid w:val="0"/>
          <w:kern w:val="22"/>
          <w:sz w:val="22"/>
          <w:szCs w:val="22"/>
          <w:lang w:val="fr-CA"/>
        </w:rPr>
      </w:pPr>
      <w:r w:rsidRPr="007A46C0">
        <w:rPr>
          <w:snapToGrid w:val="0"/>
          <w:kern w:val="22"/>
          <w:sz w:val="22"/>
          <w:szCs w:val="22"/>
          <w:lang w:val="fr-CA"/>
        </w:rPr>
        <w:t>éléments possibles d</w:t>
      </w:r>
      <w:r w:rsidR="00DF1C84">
        <w:rPr>
          <w:snapToGrid w:val="0"/>
          <w:kern w:val="22"/>
          <w:sz w:val="22"/>
          <w:szCs w:val="22"/>
          <w:lang w:val="fr-CA"/>
        </w:rPr>
        <w:t>’</w:t>
      </w:r>
      <w:r w:rsidRPr="007A46C0">
        <w:rPr>
          <w:snapToGrid w:val="0"/>
          <w:kern w:val="22"/>
          <w:sz w:val="22"/>
          <w:szCs w:val="22"/>
          <w:lang w:val="fr-CA"/>
        </w:rPr>
        <w:t>un mécanisme d</w:t>
      </w:r>
      <w:r w:rsidR="00DF1C84">
        <w:rPr>
          <w:snapToGrid w:val="0"/>
          <w:kern w:val="22"/>
          <w:sz w:val="22"/>
          <w:szCs w:val="22"/>
          <w:lang w:val="fr-CA"/>
        </w:rPr>
        <w:t>’</w:t>
      </w:r>
      <w:r w:rsidRPr="007A46C0">
        <w:rPr>
          <w:snapToGrid w:val="0"/>
          <w:kern w:val="22"/>
          <w:sz w:val="22"/>
          <w:szCs w:val="22"/>
          <w:lang w:val="fr-CA"/>
        </w:rPr>
        <w:t xml:space="preserve">examen multidimensionnel au titre de la </w:t>
      </w:r>
      <w:r>
        <w:rPr>
          <w:snapToGrid w:val="0"/>
          <w:kern w:val="22"/>
          <w:sz w:val="22"/>
          <w:szCs w:val="22"/>
          <w:lang w:val="fr-CA"/>
        </w:rPr>
        <w:t xml:space="preserve">Convention </w:t>
      </w:r>
      <w:r w:rsidR="005509A7" w:rsidRPr="007A46C0">
        <w:rPr>
          <w:snapToGrid w:val="0"/>
          <w:kern w:val="22"/>
          <w:sz w:val="22"/>
          <w:szCs w:val="22"/>
          <w:lang w:val="fr-CA"/>
        </w:rPr>
        <w:t>Possible elements of a multidimensional review mechanism under the</w:t>
      </w:r>
      <w:r w:rsidR="00636FAE" w:rsidRPr="007A46C0">
        <w:rPr>
          <w:snapToGrid w:val="0"/>
          <w:kern w:val="22"/>
          <w:sz w:val="22"/>
          <w:szCs w:val="22"/>
          <w:lang w:val="fr-CA"/>
        </w:rPr>
        <w:t> </w:t>
      </w:r>
      <w:r w:rsidR="005509A7" w:rsidRPr="007A46C0">
        <w:rPr>
          <w:snapToGrid w:val="0"/>
          <w:kern w:val="22"/>
          <w:sz w:val="22"/>
          <w:szCs w:val="22"/>
          <w:lang w:val="fr-CA"/>
        </w:rPr>
        <w:t>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2020"/>
        <w:gridCol w:w="1597"/>
        <w:gridCol w:w="1713"/>
        <w:gridCol w:w="2211"/>
      </w:tblGrid>
      <w:tr w:rsidR="00361A19" w:rsidRPr="007A46C0" w:rsidTr="00051FD1">
        <w:trPr>
          <w:tblHeader/>
        </w:trPr>
        <w:tc>
          <w:tcPr>
            <w:tcW w:w="1897" w:type="dxa"/>
            <w:shd w:val="clear" w:color="auto" w:fill="auto"/>
          </w:tcPr>
          <w:p w:rsidR="00DD1DF0" w:rsidRPr="007A46C0" w:rsidRDefault="007A46C0" w:rsidP="007A46C0">
            <w:pPr>
              <w:pStyle w:val="Para1"/>
              <w:jc w:val="center"/>
              <w:rPr>
                <w:rFonts w:eastAsia="MS Mincho"/>
                <w:b/>
                <w:kern w:val="22"/>
                <w:sz w:val="22"/>
                <w:szCs w:val="22"/>
                <w:lang w:val="fr-CA"/>
              </w:rPr>
            </w:pPr>
            <w:r>
              <w:rPr>
                <w:rFonts w:eastAsia="MS Mincho"/>
                <w:b/>
                <w:kern w:val="22"/>
                <w:sz w:val="22"/>
                <w:szCs w:val="22"/>
                <w:lang w:val="fr-CA"/>
              </w:rPr>
              <w:t>Élément</w:t>
            </w:r>
            <w:r w:rsidR="00C55FE3">
              <w:rPr>
                <w:rFonts w:eastAsia="MS Mincho"/>
                <w:b/>
                <w:kern w:val="22"/>
                <w:sz w:val="22"/>
                <w:szCs w:val="22"/>
                <w:lang w:val="fr-CA"/>
              </w:rPr>
              <w:t xml:space="preserve"> </w:t>
            </w:r>
            <w:r w:rsidR="00C55FE3" w:rsidRPr="007A46C0">
              <w:rPr>
                <w:rFonts w:eastAsia="MS Mincho"/>
                <w:b/>
                <w:kern w:val="22"/>
                <w:sz w:val="22"/>
                <w:szCs w:val="22"/>
                <w:lang w:val="fr-CA"/>
              </w:rPr>
              <w:t>(possible)</w:t>
            </w:r>
          </w:p>
        </w:tc>
        <w:tc>
          <w:tcPr>
            <w:tcW w:w="2020" w:type="dxa"/>
            <w:shd w:val="clear" w:color="auto" w:fill="auto"/>
          </w:tcPr>
          <w:p w:rsidR="00DD1DF0" w:rsidRPr="007A46C0" w:rsidRDefault="00C55FE3" w:rsidP="00051FD1">
            <w:pPr>
              <w:pStyle w:val="Para1"/>
              <w:jc w:val="center"/>
              <w:rPr>
                <w:rFonts w:eastAsia="MS Mincho"/>
                <w:b/>
                <w:kern w:val="22"/>
                <w:sz w:val="22"/>
                <w:szCs w:val="22"/>
                <w:lang w:val="fr-CA"/>
              </w:rPr>
            </w:pPr>
            <w:r>
              <w:rPr>
                <w:rFonts w:eastAsia="MS Mincho"/>
                <w:b/>
                <w:kern w:val="22"/>
                <w:sz w:val="22"/>
                <w:szCs w:val="22"/>
                <w:lang w:val="fr-CA"/>
              </w:rPr>
              <w:t>Exe</w:t>
            </w:r>
            <w:r w:rsidR="00DD1DF0" w:rsidRPr="007A46C0">
              <w:rPr>
                <w:rFonts w:eastAsia="MS Mincho"/>
                <w:b/>
                <w:kern w:val="22"/>
                <w:sz w:val="22"/>
                <w:szCs w:val="22"/>
                <w:lang w:val="fr-CA"/>
              </w:rPr>
              <w:t>mple</w:t>
            </w:r>
          </w:p>
        </w:tc>
        <w:tc>
          <w:tcPr>
            <w:tcW w:w="1597" w:type="dxa"/>
            <w:shd w:val="clear" w:color="auto" w:fill="auto"/>
          </w:tcPr>
          <w:p w:rsidR="00DD1DF0" w:rsidRPr="007A46C0" w:rsidRDefault="00C55FE3" w:rsidP="00051FD1">
            <w:pPr>
              <w:pStyle w:val="Para1"/>
              <w:jc w:val="center"/>
              <w:rPr>
                <w:rFonts w:eastAsia="MS Mincho"/>
                <w:b/>
                <w:kern w:val="22"/>
                <w:sz w:val="22"/>
                <w:szCs w:val="22"/>
                <w:lang w:val="fr-CA"/>
              </w:rPr>
            </w:pPr>
            <w:r>
              <w:rPr>
                <w:rFonts w:eastAsia="MS Mincho"/>
                <w:b/>
                <w:kern w:val="22"/>
                <w:sz w:val="22"/>
                <w:szCs w:val="22"/>
                <w:lang w:val="fr-CA"/>
              </w:rPr>
              <w:t>Périodicité</w:t>
            </w:r>
          </w:p>
        </w:tc>
        <w:tc>
          <w:tcPr>
            <w:tcW w:w="1597" w:type="dxa"/>
            <w:shd w:val="clear" w:color="auto" w:fill="auto"/>
          </w:tcPr>
          <w:p w:rsidR="00DD1DF0" w:rsidRPr="007A46C0" w:rsidRDefault="00DD1DF0" w:rsidP="00051FD1">
            <w:pPr>
              <w:pStyle w:val="Para1"/>
              <w:jc w:val="center"/>
              <w:rPr>
                <w:rFonts w:eastAsia="MS Mincho"/>
                <w:b/>
                <w:kern w:val="22"/>
                <w:sz w:val="22"/>
                <w:szCs w:val="22"/>
                <w:lang w:val="fr-CA"/>
              </w:rPr>
            </w:pPr>
            <w:r w:rsidRPr="007A46C0">
              <w:rPr>
                <w:rFonts w:eastAsia="MS Mincho"/>
                <w:b/>
                <w:kern w:val="22"/>
                <w:sz w:val="22"/>
                <w:szCs w:val="22"/>
                <w:lang w:val="fr-CA"/>
              </w:rPr>
              <w:t>Limitations</w:t>
            </w:r>
          </w:p>
        </w:tc>
        <w:tc>
          <w:tcPr>
            <w:tcW w:w="2211" w:type="dxa"/>
            <w:shd w:val="clear" w:color="auto" w:fill="auto"/>
          </w:tcPr>
          <w:p w:rsidR="00DD1DF0" w:rsidRPr="007A46C0" w:rsidRDefault="00DD1DF0" w:rsidP="00C55FE3">
            <w:pPr>
              <w:pStyle w:val="Para1"/>
              <w:jc w:val="center"/>
              <w:rPr>
                <w:rFonts w:eastAsia="MS Mincho"/>
                <w:b/>
                <w:kern w:val="22"/>
                <w:sz w:val="22"/>
                <w:szCs w:val="22"/>
                <w:lang w:val="fr-CA"/>
              </w:rPr>
            </w:pPr>
            <w:r w:rsidRPr="007A46C0">
              <w:rPr>
                <w:rFonts w:eastAsia="MS Mincho"/>
                <w:b/>
                <w:kern w:val="22"/>
                <w:sz w:val="22"/>
                <w:szCs w:val="22"/>
                <w:lang w:val="fr-CA"/>
              </w:rPr>
              <w:t xml:space="preserve">Options </w:t>
            </w:r>
            <w:r w:rsidR="00C55FE3">
              <w:rPr>
                <w:rFonts w:eastAsia="MS Mincho"/>
                <w:b/>
                <w:kern w:val="22"/>
                <w:sz w:val="22"/>
                <w:szCs w:val="22"/>
                <w:lang w:val="fr-CA"/>
              </w:rPr>
              <w:t>pour le renforcement</w:t>
            </w:r>
          </w:p>
        </w:tc>
      </w:tr>
      <w:tr w:rsidR="00361A19" w:rsidRPr="007A46C0" w:rsidTr="00DD1DF0">
        <w:tc>
          <w:tcPr>
            <w:tcW w:w="1897" w:type="dxa"/>
            <w:shd w:val="clear" w:color="auto" w:fill="auto"/>
          </w:tcPr>
          <w:p w:rsidR="00DD1DF0" w:rsidRPr="007A46C0" w:rsidRDefault="00C55FE3" w:rsidP="00C55FE3">
            <w:pPr>
              <w:pStyle w:val="Para1"/>
              <w:rPr>
                <w:rFonts w:eastAsia="MS Mincho"/>
                <w:kern w:val="22"/>
                <w:sz w:val="22"/>
                <w:szCs w:val="22"/>
                <w:lang w:val="fr-CA"/>
              </w:rPr>
            </w:pPr>
            <w:r>
              <w:rPr>
                <w:rFonts w:eastAsia="MS Mincho"/>
                <w:kern w:val="22"/>
                <w:sz w:val="22"/>
                <w:szCs w:val="22"/>
                <w:lang w:val="fr-CA"/>
              </w:rPr>
              <w:t>Examen des progrès accomplis par les Parties collectivement et contribution des objectifs nationaux agrégés à la réalisation des objectifs mondiaux</w:t>
            </w:r>
          </w:p>
        </w:tc>
        <w:tc>
          <w:tcPr>
            <w:tcW w:w="2020" w:type="dxa"/>
            <w:shd w:val="clear" w:color="auto" w:fill="auto"/>
          </w:tcPr>
          <w:p w:rsidR="00DD1DF0" w:rsidRPr="007A46C0" w:rsidRDefault="00C55FE3" w:rsidP="00C55FE3">
            <w:pPr>
              <w:pStyle w:val="Para1"/>
              <w:rPr>
                <w:rFonts w:eastAsia="MS Mincho"/>
                <w:kern w:val="22"/>
                <w:sz w:val="22"/>
                <w:szCs w:val="22"/>
                <w:lang w:val="fr-CA"/>
              </w:rPr>
            </w:pPr>
            <w:r>
              <w:rPr>
                <w:rFonts w:eastAsia="MS Mincho"/>
                <w:kern w:val="22"/>
                <w:sz w:val="22"/>
                <w:szCs w:val="22"/>
                <w:lang w:val="fr-CA"/>
              </w:rPr>
              <w:t>PMB</w:t>
            </w:r>
            <w:r w:rsidR="00DF1C84">
              <w:rPr>
                <w:rFonts w:eastAsia="MS Mincho"/>
                <w:kern w:val="22"/>
                <w:sz w:val="22"/>
                <w:szCs w:val="22"/>
                <w:lang w:val="fr-CA"/>
              </w:rPr>
              <w:noBreakHyphen/>
            </w:r>
            <w:r w:rsidR="00DD1DF0" w:rsidRPr="007A46C0">
              <w:rPr>
                <w:rFonts w:eastAsia="MS Mincho"/>
                <w:kern w:val="22"/>
                <w:sz w:val="22"/>
                <w:szCs w:val="22"/>
                <w:lang w:val="fr-CA"/>
              </w:rPr>
              <w:t>4, CBD/</w:t>
            </w:r>
            <w:r w:rsidR="00DD1DF0" w:rsidRPr="007A46C0">
              <w:rPr>
                <w:rFonts w:eastAsia="MS Mincho"/>
                <w:noProof/>
                <w:kern w:val="22"/>
                <w:sz w:val="22"/>
                <w:szCs w:val="22"/>
                <w:lang w:val="fr-CA"/>
              </w:rPr>
              <w:t>SBI/2/2/</w:t>
            </w:r>
            <w:proofErr w:type="spellStart"/>
            <w:r w:rsidR="00DD1DF0" w:rsidRPr="007A46C0">
              <w:rPr>
                <w:rFonts w:eastAsia="MS Mincho"/>
                <w:noProof/>
                <w:kern w:val="22"/>
                <w:sz w:val="22"/>
                <w:szCs w:val="22"/>
                <w:lang w:val="fr-CA"/>
              </w:rPr>
              <w:t>Add</w:t>
            </w:r>
            <w:proofErr w:type="spellEnd"/>
            <w:r w:rsidR="00DD1DF0" w:rsidRPr="007A46C0">
              <w:rPr>
                <w:rFonts w:eastAsia="MS Mincho"/>
                <w:noProof/>
                <w:kern w:val="22"/>
                <w:sz w:val="22"/>
                <w:szCs w:val="22"/>
                <w:lang w:val="fr-CA"/>
              </w:rPr>
              <w:t xml:space="preserve">.2 </w:t>
            </w:r>
            <w:r>
              <w:rPr>
                <w:rFonts w:eastAsia="MS Mincho"/>
                <w:noProof/>
                <w:kern w:val="22"/>
                <w:sz w:val="22"/>
                <w:szCs w:val="22"/>
                <w:lang w:val="fr-CA"/>
              </w:rPr>
              <w:t>sur la base des SPANB et</w:t>
            </w:r>
            <w:r>
              <w:rPr>
                <w:rFonts w:eastAsia="MS Mincho"/>
                <w:kern w:val="22"/>
                <w:sz w:val="22"/>
                <w:szCs w:val="22"/>
                <w:lang w:val="fr-CA"/>
              </w:rPr>
              <w:t xml:space="preserve"> des rapports nationaux</w:t>
            </w:r>
          </w:p>
        </w:tc>
        <w:tc>
          <w:tcPr>
            <w:tcW w:w="1597" w:type="dxa"/>
            <w:shd w:val="clear" w:color="auto" w:fill="auto"/>
          </w:tcPr>
          <w:p w:rsidR="00DD1DF0" w:rsidRPr="007A46C0" w:rsidRDefault="00A4387D" w:rsidP="00A4387D">
            <w:pPr>
              <w:pStyle w:val="Para1"/>
              <w:rPr>
                <w:rFonts w:eastAsia="MS Mincho"/>
                <w:kern w:val="22"/>
                <w:sz w:val="22"/>
                <w:szCs w:val="22"/>
                <w:lang w:val="fr-CA"/>
              </w:rPr>
            </w:pPr>
            <w:r>
              <w:rPr>
                <w:rFonts w:eastAsia="MS Mincho"/>
                <w:kern w:val="22"/>
                <w:sz w:val="22"/>
                <w:szCs w:val="22"/>
                <w:lang w:val="fr-CA"/>
              </w:rPr>
              <w:t>Actualisations pourraient être continues à mesure que de nouvelles informations sont reçues (</w:t>
            </w:r>
            <w:r w:rsidR="00DD1DF0" w:rsidRPr="007A46C0">
              <w:rPr>
                <w:rFonts w:eastAsia="MS Mincho"/>
                <w:kern w:val="22"/>
                <w:sz w:val="22"/>
                <w:szCs w:val="22"/>
                <w:lang w:val="fr-CA"/>
              </w:rPr>
              <w:t>SBI/2/2)</w:t>
            </w:r>
          </w:p>
        </w:tc>
        <w:tc>
          <w:tcPr>
            <w:tcW w:w="1597" w:type="dxa"/>
            <w:shd w:val="clear" w:color="auto" w:fill="auto"/>
          </w:tcPr>
          <w:p w:rsidR="00DD1DF0" w:rsidRPr="007A46C0" w:rsidRDefault="00A4387D" w:rsidP="00A4387D">
            <w:pPr>
              <w:pStyle w:val="Para1"/>
              <w:rPr>
                <w:rFonts w:eastAsia="MS Mincho"/>
                <w:kern w:val="22"/>
                <w:sz w:val="22"/>
                <w:szCs w:val="22"/>
                <w:lang w:val="fr-CA"/>
              </w:rPr>
            </w:pPr>
            <w:r>
              <w:rPr>
                <w:rFonts w:eastAsia="MS Mincho"/>
                <w:kern w:val="22"/>
                <w:sz w:val="22"/>
                <w:szCs w:val="22"/>
                <w:lang w:val="fr-CA"/>
              </w:rPr>
              <w:t xml:space="preserve">Agrégation problématique. Aucun </w:t>
            </w:r>
            <w:r w:rsidR="00292DE5">
              <w:rPr>
                <w:rFonts w:eastAsia="MS Mincho"/>
                <w:kern w:val="22"/>
                <w:sz w:val="22"/>
                <w:szCs w:val="22"/>
                <w:lang w:val="fr-CA"/>
              </w:rPr>
              <w:t>« </w:t>
            </w:r>
            <w:r w:rsidR="00292DE5" w:rsidRPr="00A17B58">
              <w:rPr>
                <w:kern w:val="22"/>
                <w:sz w:val="22"/>
                <w:szCs w:val="22"/>
                <w:lang w:val="fr-CA"/>
              </w:rPr>
              <w:t>mécanisme à effet d</w:t>
            </w:r>
            <w:r w:rsidR="00DF1C84">
              <w:rPr>
                <w:kern w:val="22"/>
                <w:sz w:val="22"/>
                <w:szCs w:val="22"/>
                <w:lang w:val="fr-CA"/>
              </w:rPr>
              <w:t>’</w:t>
            </w:r>
            <w:r w:rsidR="00292DE5" w:rsidRPr="00A17B58">
              <w:rPr>
                <w:kern w:val="22"/>
                <w:sz w:val="22"/>
                <w:szCs w:val="22"/>
                <w:lang w:val="fr-CA"/>
              </w:rPr>
              <w:t>entraînement</w:t>
            </w:r>
            <w:r w:rsidR="00292DE5">
              <w:rPr>
                <w:kern w:val="22"/>
                <w:sz w:val="22"/>
                <w:szCs w:val="22"/>
                <w:lang w:val="fr-CA"/>
              </w:rPr>
              <w:t> »</w:t>
            </w:r>
            <w:r>
              <w:rPr>
                <w:rFonts w:eastAsia="MS Mincho"/>
                <w:kern w:val="22"/>
                <w:sz w:val="22"/>
                <w:szCs w:val="22"/>
                <w:lang w:val="fr-CA"/>
              </w:rPr>
              <w:t xml:space="preserve"> pour intensifier les progrès </w:t>
            </w:r>
          </w:p>
        </w:tc>
        <w:tc>
          <w:tcPr>
            <w:tcW w:w="2211" w:type="dxa"/>
            <w:shd w:val="clear" w:color="auto" w:fill="auto"/>
          </w:tcPr>
          <w:p w:rsidR="00DD1DF0" w:rsidRPr="007A46C0" w:rsidRDefault="00A4387D" w:rsidP="00A4387D">
            <w:pPr>
              <w:pStyle w:val="Para1"/>
              <w:rPr>
                <w:rFonts w:eastAsia="MS Mincho"/>
                <w:kern w:val="22"/>
                <w:sz w:val="22"/>
                <w:szCs w:val="22"/>
                <w:lang w:val="fr-CA"/>
              </w:rPr>
            </w:pPr>
            <w:r>
              <w:rPr>
                <w:rFonts w:eastAsia="MS Mincho"/>
                <w:kern w:val="22"/>
                <w:sz w:val="22"/>
                <w:szCs w:val="22"/>
                <w:lang w:val="fr-CA"/>
              </w:rPr>
              <w:t>Engagements individuels volontaires</w:t>
            </w:r>
          </w:p>
        </w:tc>
      </w:tr>
      <w:tr w:rsidR="00361A19" w:rsidRPr="007A46C0" w:rsidTr="00DD1DF0">
        <w:tc>
          <w:tcPr>
            <w:tcW w:w="1897" w:type="dxa"/>
            <w:shd w:val="clear" w:color="auto" w:fill="auto"/>
          </w:tcPr>
          <w:p w:rsidR="00DD1DF0" w:rsidRPr="007A46C0" w:rsidRDefault="00A4387D" w:rsidP="00A4387D">
            <w:pPr>
              <w:pStyle w:val="Para1"/>
              <w:rPr>
                <w:rFonts w:eastAsia="MS Mincho"/>
                <w:kern w:val="22"/>
                <w:sz w:val="22"/>
                <w:szCs w:val="22"/>
                <w:lang w:val="fr-CA"/>
              </w:rPr>
            </w:pPr>
            <w:r>
              <w:rPr>
                <w:rFonts w:eastAsia="MS Mincho"/>
                <w:kern w:val="22"/>
                <w:sz w:val="22"/>
                <w:szCs w:val="22"/>
                <w:lang w:val="fr-CA"/>
              </w:rPr>
              <w:t>Examen des progrès accomplis par les Parties dans la réalisation de leurs objectifs et plans d</w:t>
            </w:r>
            <w:r w:rsidR="00DF1C84">
              <w:rPr>
                <w:rFonts w:eastAsia="MS Mincho"/>
                <w:kern w:val="22"/>
                <w:sz w:val="22"/>
                <w:szCs w:val="22"/>
                <w:lang w:val="fr-CA"/>
              </w:rPr>
              <w:t>’</w:t>
            </w:r>
            <w:r>
              <w:rPr>
                <w:rFonts w:eastAsia="MS Mincho"/>
                <w:kern w:val="22"/>
                <w:sz w:val="22"/>
                <w:szCs w:val="22"/>
                <w:lang w:val="fr-CA"/>
              </w:rPr>
              <w:t>action nationaux</w:t>
            </w:r>
          </w:p>
        </w:tc>
        <w:tc>
          <w:tcPr>
            <w:tcW w:w="2020" w:type="dxa"/>
            <w:shd w:val="clear" w:color="auto" w:fill="auto"/>
          </w:tcPr>
          <w:p w:rsidR="00DD1DF0" w:rsidRPr="007A46C0" w:rsidRDefault="00A4387D" w:rsidP="00922CF8">
            <w:pPr>
              <w:pStyle w:val="Para1"/>
              <w:rPr>
                <w:rFonts w:eastAsia="MS Mincho"/>
                <w:kern w:val="22"/>
                <w:sz w:val="22"/>
                <w:szCs w:val="22"/>
                <w:lang w:val="fr-CA"/>
              </w:rPr>
            </w:pPr>
            <w:r>
              <w:rPr>
                <w:rFonts w:eastAsia="MS Mincho"/>
                <w:kern w:val="22"/>
                <w:sz w:val="22"/>
                <w:szCs w:val="22"/>
                <w:lang w:val="fr-CA"/>
              </w:rPr>
              <w:t>Visionnement des informations émanant des rapports nationaux</w:t>
            </w:r>
          </w:p>
        </w:tc>
        <w:tc>
          <w:tcPr>
            <w:tcW w:w="1597" w:type="dxa"/>
            <w:shd w:val="clear" w:color="auto" w:fill="auto"/>
          </w:tcPr>
          <w:p w:rsidR="00DD1DF0" w:rsidRPr="007A46C0" w:rsidRDefault="00922CF8" w:rsidP="00EE12E4">
            <w:pPr>
              <w:pStyle w:val="Para1"/>
              <w:rPr>
                <w:rFonts w:eastAsia="MS Mincho"/>
                <w:kern w:val="22"/>
                <w:sz w:val="22"/>
                <w:szCs w:val="22"/>
                <w:lang w:val="fr-CA"/>
              </w:rPr>
            </w:pPr>
            <w:r>
              <w:rPr>
                <w:rFonts w:eastAsia="MS Mincho"/>
                <w:kern w:val="22"/>
                <w:sz w:val="22"/>
                <w:szCs w:val="22"/>
                <w:lang w:val="fr-CA"/>
              </w:rPr>
              <w:t>Environ tous les quatre ans</w:t>
            </w:r>
          </w:p>
        </w:tc>
        <w:tc>
          <w:tcPr>
            <w:tcW w:w="1597" w:type="dxa"/>
            <w:shd w:val="clear" w:color="auto" w:fill="auto"/>
          </w:tcPr>
          <w:p w:rsidR="00DD1DF0" w:rsidRPr="007A46C0" w:rsidRDefault="00922CF8" w:rsidP="00051FD1">
            <w:pPr>
              <w:pStyle w:val="Para1"/>
              <w:rPr>
                <w:rFonts w:eastAsia="MS Mincho"/>
                <w:kern w:val="22"/>
                <w:sz w:val="22"/>
                <w:szCs w:val="22"/>
                <w:lang w:val="fr-CA"/>
              </w:rPr>
            </w:pPr>
            <w:r>
              <w:rPr>
                <w:rFonts w:eastAsia="MS Mincho"/>
                <w:kern w:val="22"/>
                <w:sz w:val="22"/>
                <w:szCs w:val="22"/>
                <w:lang w:val="fr-CA"/>
              </w:rPr>
              <w:t>Aucun mécanisme de vérification</w:t>
            </w:r>
          </w:p>
        </w:tc>
        <w:tc>
          <w:tcPr>
            <w:tcW w:w="2211" w:type="dxa"/>
            <w:shd w:val="clear" w:color="auto" w:fill="auto"/>
          </w:tcPr>
          <w:p w:rsidR="00DD1DF0" w:rsidRPr="007A46C0" w:rsidRDefault="00922CF8" w:rsidP="00922CF8">
            <w:pPr>
              <w:pStyle w:val="Para1"/>
              <w:rPr>
                <w:rFonts w:eastAsia="MS Mincho"/>
                <w:kern w:val="22"/>
                <w:sz w:val="22"/>
                <w:szCs w:val="22"/>
                <w:lang w:val="fr-CA"/>
              </w:rPr>
            </w:pPr>
            <w:r>
              <w:rPr>
                <w:rFonts w:eastAsia="MS Mincho"/>
                <w:kern w:val="22"/>
                <w:sz w:val="22"/>
                <w:szCs w:val="22"/>
                <w:lang w:val="fr-CA"/>
              </w:rPr>
              <w:t>Vérification par le biais de séances de dialogues ou de forum à composition non limitée</w:t>
            </w:r>
          </w:p>
        </w:tc>
      </w:tr>
      <w:tr w:rsidR="00361A19" w:rsidRPr="007A46C0" w:rsidTr="00DD1DF0">
        <w:tc>
          <w:tcPr>
            <w:tcW w:w="1897" w:type="dxa"/>
            <w:shd w:val="clear" w:color="auto" w:fill="auto"/>
          </w:tcPr>
          <w:p w:rsidR="001C3AD5" w:rsidRPr="007A46C0" w:rsidRDefault="00922CF8" w:rsidP="00922CF8">
            <w:pPr>
              <w:pStyle w:val="Para1"/>
              <w:rPr>
                <w:rFonts w:eastAsia="MS Mincho"/>
                <w:kern w:val="22"/>
                <w:sz w:val="22"/>
                <w:szCs w:val="22"/>
                <w:lang w:val="fr-CA"/>
              </w:rPr>
            </w:pPr>
            <w:r>
              <w:rPr>
                <w:rFonts w:eastAsia="MS Mincho"/>
                <w:kern w:val="22"/>
                <w:sz w:val="22"/>
                <w:szCs w:val="22"/>
                <w:lang w:val="fr-CA"/>
              </w:rPr>
              <w:t>Examen des SPANB</w:t>
            </w:r>
          </w:p>
        </w:tc>
        <w:tc>
          <w:tcPr>
            <w:tcW w:w="2020" w:type="dxa"/>
            <w:shd w:val="clear" w:color="auto" w:fill="auto"/>
          </w:tcPr>
          <w:p w:rsidR="001C3AD5" w:rsidRPr="007A46C0" w:rsidRDefault="00922CF8" w:rsidP="00922CF8">
            <w:pPr>
              <w:pStyle w:val="Para1"/>
              <w:rPr>
                <w:rFonts w:eastAsia="MS Mincho"/>
                <w:kern w:val="22"/>
                <w:sz w:val="22"/>
                <w:szCs w:val="22"/>
                <w:lang w:val="fr-CA"/>
              </w:rPr>
            </w:pPr>
            <w:r>
              <w:rPr>
                <w:rFonts w:eastAsia="MS Mincho"/>
                <w:kern w:val="22"/>
                <w:sz w:val="22"/>
                <w:szCs w:val="22"/>
                <w:lang w:val="fr-CA"/>
              </w:rPr>
              <w:t xml:space="preserve">Examen par les pairs volontaire </w:t>
            </w:r>
          </w:p>
        </w:tc>
        <w:tc>
          <w:tcPr>
            <w:tcW w:w="1597" w:type="dxa"/>
            <w:shd w:val="clear" w:color="auto" w:fill="auto"/>
          </w:tcPr>
          <w:p w:rsidR="001C3AD5" w:rsidRPr="007A46C0" w:rsidRDefault="00922CF8" w:rsidP="00EE12E4">
            <w:pPr>
              <w:pStyle w:val="Para1"/>
              <w:rPr>
                <w:rFonts w:eastAsia="MS Mincho"/>
                <w:kern w:val="22"/>
                <w:sz w:val="22"/>
                <w:szCs w:val="22"/>
                <w:lang w:val="fr-CA"/>
              </w:rPr>
            </w:pPr>
            <w:r>
              <w:rPr>
                <w:rFonts w:eastAsia="MS Mincho"/>
                <w:kern w:val="22"/>
                <w:sz w:val="22"/>
                <w:szCs w:val="22"/>
                <w:lang w:val="fr-CA"/>
              </w:rPr>
              <w:t>Ad hoc</w:t>
            </w:r>
          </w:p>
        </w:tc>
        <w:tc>
          <w:tcPr>
            <w:tcW w:w="1597" w:type="dxa"/>
            <w:shd w:val="clear" w:color="auto" w:fill="auto"/>
          </w:tcPr>
          <w:p w:rsidR="001C3AD5" w:rsidRPr="007A46C0" w:rsidRDefault="00922CF8" w:rsidP="00922CF8">
            <w:pPr>
              <w:pStyle w:val="Para1"/>
              <w:rPr>
                <w:rFonts w:eastAsia="MS Mincho"/>
                <w:kern w:val="22"/>
                <w:sz w:val="22"/>
                <w:szCs w:val="22"/>
                <w:lang w:val="fr-CA"/>
              </w:rPr>
            </w:pPr>
            <w:r>
              <w:rPr>
                <w:rFonts w:eastAsia="MS Mincho"/>
                <w:kern w:val="22"/>
                <w:sz w:val="22"/>
                <w:szCs w:val="22"/>
                <w:lang w:val="fr-CA"/>
              </w:rPr>
              <w:t>Nombre restreint de volontaires à ce jour; processus long et relativement coûteux</w:t>
            </w:r>
          </w:p>
        </w:tc>
        <w:tc>
          <w:tcPr>
            <w:tcW w:w="2211" w:type="dxa"/>
            <w:shd w:val="clear" w:color="auto" w:fill="auto"/>
          </w:tcPr>
          <w:p w:rsidR="001C3AD5" w:rsidRPr="007A46C0" w:rsidRDefault="00922CF8" w:rsidP="00922CF8">
            <w:pPr>
              <w:pStyle w:val="Para1"/>
              <w:rPr>
                <w:rFonts w:eastAsia="MS Mincho"/>
                <w:kern w:val="22"/>
                <w:sz w:val="22"/>
                <w:szCs w:val="22"/>
                <w:lang w:val="fr-CA"/>
              </w:rPr>
            </w:pPr>
            <w:r>
              <w:rPr>
                <w:rFonts w:eastAsia="MS Mincho"/>
                <w:kern w:val="22"/>
                <w:sz w:val="22"/>
                <w:szCs w:val="22"/>
                <w:lang w:val="fr-CA"/>
              </w:rPr>
              <w:t>Vérification par le biais de séances de dialogues et de visites de pays</w:t>
            </w:r>
          </w:p>
        </w:tc>
      </w:tr>
      <w:tr w:rsidR="00361A19" w:rsidRPr="007A46C0" w:rsidTr="00DD1DF0">
        <w:tc>
          <w:tcPr>
            <w:tcW w:w="1897" w:type="dxa"/>
            <w:shd w:val="clear" w:color="auto" w:fill="auto"/>
          </w:tcPr>
          <w:p w:rsidR="00DD1DF0" w:rsidRPr="007A46C0" w:rsidRDefault="00361A19" w:rsidP="00361A19">
            <w:pPr>
              <w:pStyle w:val="Para1"/>
              <w:rPr>
                <w:rFonts w:eastAsia="MS Mincho"/>
                <w:kern w:val="22"/>
                <w:sz w:val="22"/>
                <w:szCs w:val="22"/>
                <w:lang w:val="fr-CA"/>
              </w:rPr>
            </w:pPr>
            <w:r>
              <w:rPr>
                <w:rFonts w:eastAsia="MS Mincho"/>
                <w:kern w:val="22"/>
                <w:sz w:val="22"/>
                <w:szCs w:val="22"/>
                <w:lang w:val="fr-CA"/>
              </w:rPr>
              <w:t xml:space="preserve">Vérification de la conformité avec les exigences procédurales et institutionnelles au titre de la Convention </w:t>
            </w:r>
          </w:p>
        </w:tc>
        <w:tc>
          <w:tcPr>
            <w:tcW w:w="2020" w:type="dxa"/>
            <w:shd w:val="clear" w:color="auto" w:fill="auto"/>
          </w:tcPr>
          <w:p w:rsidR="00DD1DF0" w:rsidRPr="007A46C0" w:rsidRDefault="00361A19" w:rsidP="00361A19">
            <w:pPr>
              <w:pStyle w:val="Para1"/>
              <w:rPr>
                <w:rFonts w:eastAsia="MS Mincho"/>
                <w:kern w:val="22"/>
                <w:sz w:val="22"/>
                <w:szCs w:val="22"/>
                <w:lang w:val="fr-CA"/>
              </w:rPr>
            </w:pPr>
            <w:r>
              <w:rPr>
                <w:rFonts w:eastAsia="MS Mincho"/>
                <w:kern w:val="22"/>
                <w:sz w:val="22"/>
                <w:szCs w:val="22"/>
                <w:lang w:val="fr-CA"/>
              </w:rPr>
              <w:t>Lettres de créance;</w:t>
            </w:r>
          </w:p>
          <w:p w:rsidR="00DD1DF0" w:rsidRPr="007A46C0" w:rsidRDefault="00361A19" w:rsidP="00361A19">
            <w:pPr>
              <w:pStyle w:val="Para1"/>
              <w:rPr>
                <w:rFonts w:eastAsia="MS Mincho"/>
                <w:kern w:val="22"/>
                <w:sz w:val="22"/>
                <w:szCs w:val="22"/>
                <w:lang w:val="fr-CA"/>
              </w:rPr>
            </w:pPr>
            <w:r>
              <w:rPr>
                <w:rFonts w:eastAsia="MS Mincho"/>
                <w:kern w:val="22"/>
                <w:sz w:val="22"/>
                <w:szCs w:val="22"/>
                <w:lang w:val="fr-CA"/>
              </w:rPr>
              <w:t>Examen des contributions financières</w:t>
            </w:r>
          </w:p>
          <w:p w:rsidR="00DD1DF0" w:rsidRPr="007A46C0" w:rsidRDefault="00361A19" w:rsidP="00361A19">
            <w:pPr>
              <w:pStyle w:val="Para1"/>
              <w:rPr>
                <w:rFonts w:eastAsia="MS Mincho"/>
                <w:kern w:val="22"/>
                <w:sz w:val="22"/>
                <w:szCs w:val="22"/>
                <w:lang w:val="fr-CA"/>
              </w:rPr>
            </w:pPr>
            <w:r>
              <w:rPr>
                <w:rFonts w:eastAsia="MS Mincho"/>
                <w:kern w:val="22"/>
                <w:sz w:val="22"/>
                <w:szCs w:val="22"/>
                <w:lang w:val="fr-CA"/>
              </w:rPr>
              <w:t>Outil de suivi des décisions</w:t>
            </w:r>
          </w:p>
        </w:tc>
        <w:tc>
          <w:tcPr>
            <w:tcW w:w="1597" w:type="dxa"/>
            <w:shd w:val="clear" w:color="auto" w:fill="auto"/>
          </w:tcPr>
          <w:p w:rsidR="00DD1DF0" w:rsidRPr="007A46C0" w:rsidRDefault="00361A19" w:rsidP="00EE12E4">
            <w:pPr>
              <w:pStyle w:val="Para1"/>
              <w:rPr>
                <w:rFonts w:eastAsia="MS Mincho"/>
                <w:kern w:val="22"/>
                <w:sz w:val="22"/>
                <w:szCs w:val="22"/>
                <w:lang w:val="fr-CA"/>
              </w:rPr>
            </w:pPr>
            <w:r>
              <w:rPr>
                <w:rFonts w:eastAsia="MS Mincho"/>
                <w:kern w:val="22"/>
                <w:sz w:val="22"/>
                <w:szCs w:val="22"/>
                <w:lang w:val="fr-CA"/>
              </w:rPr>
              <w:t>Tous les deux ans</w:t>
            </w:r>
          </w:p>
        </w:tc>
        <w:tc>
          <w:tcPr>
            <w:tcW w:w="1597" w:type="dxa"/>
            <w:shd w:val="clear" w:color="auto" w:fill="auto"/>
          </w:tcPr>
          <w:p w:rsidR="00DD1DF0" w:rsidRPr="007A46C0" w:rsidRDefault="00361A19" w:rsidP="00361A19">
            <w:pPr>
              <w:pStyle w:val="Para1"/>
              <w:rPr>
                <w:rFonts w:eastAsia="MS Mincho"/>
                <w:kern w:val="22"/>
                <w:sz w:val="22"/>
                <w:szCs w:val="22"/>
                <w:lang w:val="fr-CA"/>
              </w:rPr>
            </w:pPr>
            <w:r>
              <w:rPr>
                <w:rFonts w:eastAsia="MS Mincho"/>
                <w:kern w:val="22"/>
                <w:sz w:val="22"/>
                <w:szCs w:val="22"/>
                <w:lang w:val="fr-CA"/>
              </w:rPr>
              <w:t>Examen de l</w:t>
            </w:r>
            <w:r w:rsidR="00DF1C84">
              <w:rPr>
                <w:rFonts w:eastAsia="MS Mincho"/>
                <w:kern w:val="22"/>
                <w:sz w:val="22"/>
                <w:szCs w:val="22"/>
                <w:lang w:val="fr-CA"/>
              </w:rPr>
              <w:t>’</w:t>
            </w:r>
            <w:r>
              <w:rPr>
                <w:rFonts w:eastAsia="MS Mincho"/>
                <w:kern w:val="22"/>
                <w:sz w:val="22"/>
                <w:szCs w:val="22"/>
                <w:lang w:val="fr-CA"/>
              </w:rPr>
              <w:t>état de la mise en œuvre des décisions, principalement entrepris par le SCDB</w:t>
            </w:r>
          </w:p>
        </w:tc>
        <w:tc>
          <w:tcPr>
            <w:tcW w:w="2211" w:type="dxa"/>
            <w:shd w:val="clear" w:color="auto" w:fill="auto"/>
          </w:tcPr>
          <w:p w:rsidR="00DD1DF0" w:rsidRPr="007A46C0" w:rsidRDefault="00361A19" w:rsidP="00361A19">
            <w:pPr>
              <w:pStyle w:val="Para1"/>
              <w:rPr>
                <w:rFonts w:eastAsia="MS Mincho"/>
                <w:kern w:val="22"/>
                <w:sz w:val="22"/>
                <w:szCs w:val="22"/>
                <w:lang w:val="fr-CA"/>
              </w:rPr>
            </w:pPr>
            <w:r>
              <w:rPr>
                <w:rFonts w:eastAsia="MS Mincho"/>
                <w:kern w:val="22"/>
                <w:sz w:val="22"/>
                <w:szCs w:val="22"/>
                <w:lang w:val="fr-CA"/>
              </w:rPr>
              <w:t>Apports à être sollicités des Parties pour l</w:t>
            </w:r>
            <w:r w:rsidR="00DF1C84">
              <w:rPr>
                <w:rFonts w:eastAsia="MS Mincho"/>
                <w:kern w:val="22"/>
                <w:sz w:val="22"/>
                <w:szCs w:val="22"/>
                <w:lang w:val="fr-CA"/>
              </w:rPr>
              <w:t>’</w:t>
            </w:r>
            <w:r>
              <w:rPr>
                <w:rFonts w:eastAsia="MS Mincho"/>
                <w:kern w:val="22"/>
                <w:sz w:val="22"/>
                <w:szCs w:val="22"/>
                <w:lang w:val="fr-CA"/>
              </w:rPr>
              <w:t>examen de l</w:t>
            </w:r>
            <w:r w:rsidR="00DF1C84">
              <w:rPr>
                <w:rFonts w:eastAsia="MS Mincho"/>
                <w:kern w:val="22"/>
                <w:sz w:val="22"/>
                <w:szCs w:val="22"/>
                <w:lang w:val="fr-CA"/>
              </w:rPr>
              <w:t>’</w:t>
            </w:r>
            <w:r>
              <w:rPr>
                <w:rFonts w:eastAsia="MS Mincho"/>
                <w:kern w:val="22"/>
                <w:sz w:val="22"/>
                <w:szCs w:val="22"/>
                <w:lang w:val="fr-CA"/>
              </w:rPr>
              <w:t>état de la mise en œuvre des décisions</w:t>
            </w:r>
          </w:p>
        </w:tc>
      </w:tr>
      <w:tr w:rsidR="00361A19" w:rsidRPr="007A46C0" w:rsidTr="00DD1DF0">
        <w:tc>
          <w:tcPr>
            <w:tcW w:w="1897" w:type="dxa"/>
            <w:shd w:val="clear" w:color="auto" w:fill="auto"/>
          </w:tcPr>
          <w:p w:rsidR="00DD1DF0" w:rsidRPr="007A46C0" w:rsidRDefault="00361A19" w:rsidP="00361A19">
            <w:pPr>
              <w:pStyle w:val="Para1"/>
              <w:rPr>
                <w:rFonts w:eastAsia="MS Mincho"/>
                <w:kern w:val="22"/>
                <w:sz w:val="22"/>
                <w:szCs w:val="22"/>
                <w:lang w:val="fr-CA"/>
              </w:rPr>
            </w:pPr>
            <w:r>
              <w:rPr>
                <w:rFonts w:eastAsia="MS Mincho"/>
                <w:kern w:val="22"/>
                <w:sz w:val="22"/>
                <w:szCs w:val="22"/>
                <w:lang w:val="fr-CA"/>
              </w:rPr>
              <w:t>Processus d</w:t>
            </w:r>
            <w:r w:rsidR="00DF1C84">
              <w:rPr>
                <w:rFonts w:eastAsia="MS Mincho"/>
                <w:kern w:val="22"/>
                <w:sz w:val="22"/>
                <w:szCs w:val="22"/>
                <w:lang w:val="fr-CA"/>
              </w:rPr>
              <w:t>’</w:t>
            </w:r>
            <w:r>
              <w:rPr>
                <w:rFonts w:eastAsia="MS Mincho"/>
                <w:kern w:val="22"/>
                <w:sz w:val="22"/>
                <w:szCs w:val="22"/>
                <w:lang w:val="fr-CA"/>
              </w:rPr>
              <w:t>examen dirigé par les Parties</w:t>
            </w:r>
          </w:p>
        </w:tc>
        <w:tc>
          <w:tcPr>
            <w:tcW w:w="2020" w:type="dxa"/>
            <w:shd w:val="clear" w:color="auto" w:fill="auto"/>
          </w:tcPr>
          <w:p w:rsidR="00DD1DF0" w:rsidRPr="007A46C0" w:rsidRDefault="00361A19" w:rsidP="00361A19">
            <w:pPr>
              <w:pStyle w:val="Para1"/>
              <w:rPr>
                <w:rFonts w:eastAsia="MS Mincho"/>
                <w:kern w:val="22"/>
                <w:sz w:val="22"/>
                <w:szCs w:val="22"/>
                <w:lang w:val="fr-CA"/>
              </w:rPr>
            </w:pPr>
            <w:r>
              <w:rPr>
                <w:rFonts w:eastAsia="MS Mincho"/>
                <w:kern w:val="22"/>
                <w:sz w:val="22"/>
                <w:szCs w:val="22"/>
                <w:lang w:val="fr-CA"/>
              </w:rPr>
              <w:t>Un organe avec un nombre limité de membres provenant des pays développés et en développement pourrait être créé au titre de l</w:t>
            </w:r>
            <w:r w:rsidR="00DF1C84">
              <w:rPr>
                <w:rFonts w:eastAsia="MS Mincho"/>
                <w:kern w:val="22"/>
                <w:sz w:val="22"/>
                <w:szCs w:val="22"/>
                <w:lang w:val="fr-CA"/>
              </w:rPr>
              <w:t>’</w:t>
            </w:r>
            <w:r>
              <w:rPr>
                <w:rFonts w:eastAsia="MS Mincho"/>
                <w:kern w:val="22"/>
                <w:sz w:val="22"/>
                <w:szCs w:val="22"/>
                <w:lang w:val="fr-CA"/>
              </w:rPr>
              <w:t>Organe subsidiaire chargé de l</w:t>
            </w:r>
            <w:r w:rsidR="00DF1C84">
              <w:rPr>
                <w:rFonts w:eastAsia="MS Mincho"/>
                <w:kern w:val="22"/>
                <w:sz w:val="22"/>
                <w:szCs w:val="22"/>
                <w:lang w:val="fr-CA"/>
              </w:rPr>
              <w:t>’</w:t>
            </w:r>
            <w:r>
              <w:rPr>
                <w:rFonts w:eastAsia="MS Mincho"/>
                <w:kern w:val="22"/>
                <w:sz w:val="22"/>
                <w:szCs w:val="22"/>
                <w:lang w:val="fr-CA"/>
              </w:rPr>
              <w:t xml:space="preserve">application pour examiner les informations fournies par les </w:t>
            </w:r>
            <w:r>
              <w:rPr>
                <w:rFonts w:eastAsia="MS Mincho"/>
                <w:kern w:val="22"/>
                <w:sz w:val="22"/>
                <w:szCs w:val="22"/>
                <w:lang w:val="fr-CA"/>
              </w:rPr>
              <w:lastRenderedPageBreak/>
              <w:t>Parties sur une base volontaire.</w:t>
            </w:r>
          </w:p>
          <w:p w:rsidR="00DD1DF0" w:rsidRPr="007A46C0" w:rsidRDefault="00361A19" w:rsidP="00F24621">
            <w:pPr>
              <w:pStyle w:val="Para1"/>
              <w:rPr>
                <w:rFonts w:eastAsia="MS Mincho"/>
                <w:kern w:val="22"/>
                <w:sz w:val="22"/>
                <w:szCs w:val="22"/>
                <w:lang w:val="fr-CA"/>
              </w:rPr>
            </w:pPr>
            <w:r>
              <w:rPr>
                <w:rFonts w:eastAsia="MS Mincho"/>
                <w:kern w:val="22"/>
                <w:sz w:val="22"/>
                <w:szCs w:val="22"/>
                <w:lang w:val="fr-CA"/>
              </w:rPr>
              <w:t>L</w:t>
            </w:r>
            <w:r w:rsidR="00DF1C84">
              <w:rPr>
                <w:rFonts w:eastAsia="MS Mincho"/>
                <w:kern w:val="22"/>
                <w:sz w:val="22"/>
                <w:szCs w:val="22"/>
                <w:lang w:val="fr-CA"/>
              </w:rPr>
              <w:t>’</w:t>
            </w:r>
            <w:r>
              <w:rPr>
                <w:rFonts w:eastAsia="MS Mincho"/>
                <w:kern w:val="22"/>
                <w:sz w:val="22"/>
                <w:szCs w:val="22"/>
                <w:lang w:val="fr-CA"/>
              </w:rPr>
              <w:t>examen peut vérifier</w:t>
            </w:r>
            <w:r w:rsidR="00F24621">
              <w:rPr>
                <w:rFonts w:eastAsia="MS Mincho"/>
                <w:kern w:val="22"/>
                <w:sz w:val="22"/>
                <w:szCs w:val="22"/>
                <w:lang w:val="fr-CA"/>
              </w:rPr>
              <w:t xml:space="preserve"> si</w:t>
            </w:r>
            <w:r>
              <w:rPr>
                <w:rFonts w:eastAsia="MS Mincho"/>
                <w:kern w:val="22"/>
                <w:sz w:val="22"/>
                <w:szCs w:val="22"/>
                <w:lang w:val="fr-CA"/>
              </w:rPr>
              <w:t xml:space="preserve"> les objectifs nationaux fixés</w:t>
            </w:r>
            <w:r w:rsidR="00F24621">
              <w:rPr>
                <w:rFonts w:eastAsia="MS Mincho"/>
                <w:kern w:val="22"/>
                <w:sz w:val="22"/>
                <w:szCs w:val="22"/>
                <w:lang w:val="fr-CA"/>
              </w:rPr>
              <w:t xml:space="preserve"> s</w:t>
            </w:r>
            <w:r w:rsidR="00DF1C84">
              <w:rPr>
                <w:rFonts w:eastAsia="MS Mincho"/>
                <w:kern w:val="22"/>
                <w:sz w:val="22"/>
                <w:szCs w:val="22"/>
                <w:lang w:val="fr-CA"/>
              </w:rPr>
              <w:t>’</w:t>
            </w:r>
            <w:r w:rsidR="00F24621">
              <w:rPr>
                <w:rFonts w:eastAsia="MS Mincho"/>
                <w:kern w:val="22"/>
                <w:sz w:val="22"/>
                <w:szCs w:val="22"/>
                <w:lang w:val="fr-CA"/>
              </w:rPr>
              <w:t>alignent sur les objectifs mondiaux, et les mesures qui sont prises pour les mettre en œuvre.</w:t>
            </w:r>
          </w:p>
          <w:p w:rsidR="00DD1DF0" w:rsidRPr="007A46C0" w:rsidRDefault="00F24621" w:rsidP="00F24621">
            <w:pPr>
              <w:pStyle w:val="Para1"/>
              <w:rPr>
                <w:rFonts w:eastAsia="MS Mincho"/>
                <w:kern w:val="22"/>
                <w:sz w:val="22"/>
                <w:szCs w:val="22"/>
                <w:lang w:val="fr-CA"/>
              </w:rPr>
            </w:pPr>
            <w:r>
              <w:rPr>
                <w:rFonts w:eastAsia="MS Mincho"/>
                <w:kern w:val="22"/>
                <w:sz w:val="22"/>
                <w:szCs w:val="22"/>
                <w:lang w:val="fr-CA"/>
              </w:rPr>
              <w:t>Les Parties faisant l</w:t>
            </w:r>
            <w:r w:rsidR="00DF1C84">
              <w:rPr>
                <w:rFonts w:eastAsia="MS Mincho"/>
                <w:kern w:val="22"/>
                <w:sz w:val="22"/>
                <w:szCs w:val="22"/>
                <w:lang w:val="fr-CA"/>
              </w:rPr>
              <w:t>’</w:t>
            </w:r>
            <w:r>
              <w:rPr>
                <w:rFonts w:eastAsia="MS Mincho"/>
                <w:kern w:val="22"/>
                <w:sz w:val="22"/>
                <w:szCs w:val="22"/>
                <w:lang w:val="fr-CA"/>
              </w:rPr>
              <w:t>objet d</w:t>
            </w:r>
            <w:r w:rsidR="00DF1C84">
              <w:rPr>
                <w:rFonts w:eastAsia="MS Mincho"/>
                <w:kern w:val="22"/>
                <w:sz w:val="22"/>
                <w:szCs w:val="22"/>
                <w:lang w:val="fr-CA"/>
              </w:rPr>
              <w:t>’</w:t>
            </w:r>
            <w:r>
              <w:rPr>
                <w:rFonts w:eastAsia="MS Mincho"/>
                <w:kern w:val="22"/>
                <w:sz w:val="22"/>
                <w:szCs w:val="22"/>
                <w:lang w:val="fr-CA"/>
              </w:rPr>
              <w:t>un examen pourraient présenter un aperçu de cet examen aux réunions de l</w:t>
            </w:r>
            <w:r w:rsidR="00DF1C84">
              <w:rPr>
                <w:rFonts w:eastAsia="MS Mincho"/>
                <w:kern w:val="22"/>
                <w:sz w:val="22"/>
                <w:szCs w:val="22"/>
                <w:lang w:val="fr-CA"/>
              </w:rPr>
              <w:t>’</w:t>
            </w:r>
            <w:r>
              <w:rPr>
                <w:rFonts w:eastAsia="MS Mincho"/>
                <w:kern w:val="22"/>
                <w:sz w:val="22"/>
                <w:szCs w:val="22"/>
                <w:lang w:val="fr-CA"/>
              </w:rPr>
              <w:t>Organe subsidiaire chargé de l</w:t>
            </w:r>
            <w:r w:rsidR="00DF1C84">
              <w:rPr>
                <w:rFonts w:eastAsia="MS Mincho"/>
                <w:kern w:val="22"/>
                <w:sz w:val="22"/>
                <w:szCs w:val="22"/>
                <w:lang w:val="fr-CA"/>
              </w:rPr>
              <w:t>’</w:t>
            </w:r>
            <w:r>
              <w:rPr>
                <w:rFonts w:eastAsia="MS Mincho"/>
                <w:kern w:val="22"/>
                <w:sz w:val="22"/>
                <w:szCs w:val="22"/>
                <w:lang w:val="fr-CA"/>
              </w:rPr>
              <w:t>application et à d</w:t>
            </w:r>
            <w:r w:rsidR="00DF1C84">
              <w:rPr>
                <w:rFonts w:eastAsia="MS Mincho"/>
                <w:kern w:val="22"/>
                <w:sz w:val="22"/>
                <w:szCs w:val="22"/>
                <w:lang w:val="fr-CA"/>
              </w:rPr>
              <w:t>’</w:t>
            </w:r>
            <w:r>
              <w:rPr>
                <w:rFonts w:eastAsia="MS Mincho"/>
                <w:kern w:val="22"/>
                <w:sz w:val="22"/>
                <w:szCs w:val="22"/>
                <w:lang w:val="fr-CA"/>
              </w:rPr>
              <w:t>autres réunions pertinentes au titre de la Convention.</w:t>
            </w:r>
          </w:p>
        </w:tc>
        <w:tc>
          <w:tcPr>
            <w:tcW w:w="1597" w:type="dxa"/>
            <w:shd w:val="clear" w:color="auto" w:fill="auto"/>
          </w:tcPr>
          <w:p w:rsidR="00DD1DF0" w:rsidRPr="007A46C0" w:rsidRDefault="00F24621" w:rsidP="00F24621">
            <w:pPr>
              <w:pStyle w:val="Para1"/>
              <w:rPr>
                <w:rFonts w:eastAsia="MS Mincho"/>
                <w:kern w:val="22"/>
                <w:sz w:val="22"/>
                <w:szCs w:val="22"/>
                <w:lang w:val="fr-CA"/>
              </w:rPr>
            </w:pPr>
            <w:r>
              <w:rPr>
                <w:rFonts w:eastAsia="MS Mincho"/>
                <w:kern w:val="22"/>
                <w:sz w:val="22"/>
                <w:szCs w:val="22"/>
                <w:lang w:val="fr-CA"/>
              </w:rPr>
              <w:lastRenderedPageBreak/>
              <w:t>Entre les sessions</w:t>
            </w:r>
          </w:p>
          <w:p w:rsidR="00DD1DF0" w:rsidRPr="007A46C0" w:rsidRDefault="00F24621" w:rsidP="00F24621">
            <w:pPr>
              <w:pStyle w:val="Para1"/>
              <w:rPr>
                <w:rFonts w:eastAsia="MS Mincho"/>
                <w:kern w:val="22"/>
                <w:sz w:val="22"/>
                <w:szCs w:val="22"/>
                <w:lang w:val="fr-CA"/>
              </w:rPr>
            </w:pPr>
            <w:r>
              <w:rPr>
                <w:rFonts w:eastAsia="MS Mincho"/>
                <w:kern w:val="22"/>
                <w:sz w:val="22"/>
                <w:szCs w:val="22"/>
                <w:lang w:val="fr-CA"/>
              </w:rPr>
              <w:t>Le cycle complet (toutes les Parties entreprennent puis présentent un examen) est long</w:t>
            </w:r>
            <w:r w:rsidR="00443BD5">
              <w:rPr>
                <w:rFonts w:eastAsia="MS Mincho"/>
                <w:kern w:val="22"/>
                <w:sz w:val="22"/>
                <w:szCs w:val="22"/>
                <w:lang w:val="fr-CA"/>
              </w:rPr>
              <w:t>.</w:t>
            </w:r>
          </w:p>
        </w:tc>
        <w:tc>
          <w:tcPr>
            <w:tcW w:w="1597" w:type="dxa"/>
            <w:shd w:val="clear" w:color="auto" w:fill="auto"/>
          </w:tcPr>
          <w:p w:rsidR="00DD1DF0" w:rsidRPr="007A46C0" w:rsidRDefault="00F24621" w:rsidP="00F24621">
            <w:pPr>
              <w:pStyle w:val="Para1"/>
              <w:rPr>
                <w:rFonts w:eastAsia="MS Mincho"/>
                <w:kern w:val="22"/>
                <w:sz w:val="22"/>
                <w:szCs w:val="22"/>
                <w:lang w:val="fr-CA"/>
              </w:rPr>
            </w:pPr>
            <w:r>
              <w:rPr>
                <w:rFonts w:eastAsia="MS Mincho"/>
                <w:kern w:val="22"/>
                <w:sz w:val="22"/>
                <w:szCs w:val="22"/>
                <w:lang w:val="fr-CA"/>
              </w:rPr>
              <w:t>De nature volontaire</w:t>
            </w:r>
          </w:p>
          <w:p w:rsidR="00DD1DF0" w:rsidRPr="007A46C0" w:rsidRDefault="00F24621" w:rsidP="00F24621">
            <w:pPr>
              <w:pStyle w:val="Para1"/>
              <w:rPr>
                <w:rFonts w:eastAsia="MS Mincho"/>
                <w:kern w:val="22"/>
                <w:sz w:val="22"/>
                <w:szCs w:val="22"/>
                <w:lang w:val="fr-CA"/>
              </w:rPr>
            </w:pPr>
            <w:r>
              <w:rPr>
                <w:rFonts w:eastAsia="MS Mincho"/>
                <w:kern w:val="22"/>
                <w:sz w:val="22"/>
                <w:szCs w:val="22"/>
                <w:lang w:val="fr-CA"/>
              </w:rPr>
              <w:t>La portée et le sujet de l</w:t>
            </w:r>
            <w:r w:rsidR="00DF1C84">
              <w:rPr>
                <w:rFonts w:eastAsia="MS Mincho"/>
                <w:kern w:val="22"/>
                <w:sz w:val="22"/>
                <w:szCs w:val="22"/>
                <w:lang w:val="fr-CA"/>
              </w:rPr>
              <w:t>’</w:t>
            </w:r>
            <w:r>
              <w:rPr>
                <w:rFonts w:eastAsia="MS Mincho"/>
                <w:kern w:val="22"/>
                <w:sz w:val="22"/>
                <w:szCs w:val="22"/>
                <w:lang w:val="fr-CA"/>
              </w:rPr>
              <w:t>examen sont déterminés par les Parties.</w:t>
            </w:r>
          </w:p>
        </w:tc>
        <w:tc>
          <w:tcPr>
            <w:tcW w:w="2211" w:type="dxa"/>
            <w:shd w:val="clear" w:color="auto" w:fill="auto"/>
          </w:tcPr>
          <w:p w:rsidR="00DD1DF0" w:rsidRPr="007A46C0" w:rsidRDefault="00F24621" w:rsidP="006604D1">
            <w:pPr>
              <w:pStyle w:val="Para1"/>
              <w:rPr>
                <w:rFonts w:eastAsia="MS Mincho"/>
                <w:kern w:val="22"/>
                <w:sz w:val="22"/>
                <w:szCs w:val="22"/>
                <w:lang w:val="fr-CA"/>
              </w:rPr>
            </w:pPr>
            <w:r>
              <w:rPr>
                <w:rFonts w:eastAsia="MS Mincho"/>
                <w:kern w:val="22"/>
                <w:sz w:val="22"/>
                <w:szCs w:val="22"/>
                <w:lang w:val="fr-CA"/>
              </w:rPr>
              <w:t>Un soutien (technique et/ou financier) pourrait devoir être fourni pour la préparation de l</w:t>
            </w:r>
            <w:r w:rsidR="00DF1C84">
              <w:rPr>
                <w:rFonts w:eastAsia="MS Mincho"/>
                <w:kern w:val="22"/>
                <w:sz w:val="22"/>
                <w:szCs w:val="22"/>
                <w:lang w:val="fr-CA"/>
              </w:rPr>
              <w:t>’</w:t>
            </w:r>
            <w:r>
              <w:rPr>
                <w:rFonts w:eastAsia="MS Mincho"/>
                <w:kern w:val="22"/>
                <w:sz w:val="22"/>
                <w:szCs w:val="22"/>
                <w:lang w:val="fr-CA"/>
              </w:rPr>
              <w:t>examen, en association avec les cycles de présentation de</w:t>
            </w:r>
            <w:r w:rsidR="006604D1">
              <w:rPr>
                <w:rFonts w:eastAsia="MS Mincho"/>
                <w:kern w:val="22"/>
                <w:sz w:val="22"/>
                <w:szCs w:val="22"/>
                <w:lang w:val="fr-CA"/>
              </w:rPr>
              <w:t>s</w:t>
            </w:r>
            <w:r>
              <w:rPr>
                <w:rFonts w:eastAsia="MS Mincho"/>
                <w:kern w:val="22"/>
                <w:sz w:val="22"/>
                <w:szCs w:val="22"/>
                <w:lang w:val="fr-CA"/>
              </w:rPr>
              <w:t xml:space="preserve"> rapports au titre de la Convention.</w:t>
            </w:r>
          </w:p>
        </w:tc>
      </w:tr>
    </w:tbl>
    <w:p w:rsidR="005509A7" w:rsidRPr="007A46C0" w:rsidRDefault="005509A7" w:rsidP="00051FD1">
      <w:pPr>
        <w:pStyle w:val="Para1"/>
        <w:spacing w:after="0"/>
        <w:jc w:val="center"/>
        <w:rPr>
          <w:kern w:val="22"/>
          <w:sz w:val="22"/>
          <w:szCs w:val="22"/>
          <w:lang w:val="fr-CA"/>
        </w:rPr>
      </w:pPr>
    </w:p>
    <w:p w:rsidR="005509A7" w:rsidRPr="007A46C0" w:rsidRDefault="005509A7" w:rsidP="00051FD1">
      <w:pPr>
        <w:pStyle w:val="Para1"/>
        <w:spacing w:after="0"/>
        <w:rPr>
          <w:kern w:val="22"/>
          <w:sz w:val="22"/>
          <w:szCs w:val="22"/>
          <w:lang w:val="fr-CA"/>
        </w:rPr>
      </w:pPr>
    </w:p>
    <w:p w:rsidR="00A25115" w:rsidRPr="007A46C0" w:rsidRDefault="00A25115" w:rsidP="00A25115">
      <w:pPr>
        <w:pStyle w:val="Para1"/>
        <w:jc w:val="center"/>
        <w:rPr>
          <w:kern w:val="22"/>
          <w:sz w:val="22"/>
          <w:szCs w:val="22"/>
          <w:lang w:val="fr-CA"/>
        </w:rPr>
      </w:pPr>
      <w:r w:rsidRPr="007A46C0">
        <w:rPr>
          <w:kern w:val="22"/>
          <w:sz w:val="22"/>
          <w:szCs w:val="22"/>
          <w:lang w:val="fr-CA"/>
        </w:rPr>
        <w:t>__________</w:t>
      </w:r>
    </w:p>
    <w:p w:rsidR="00A25115" w:rsidRPr="007A46C0" w:rsidRDefault="00A25115" w:rsidP="00A25115">
      <w:pPr>
        <w:pStyle w:val="Para1"/>
        <w:suppressLineNumbers/>
        <w:suppressAutoHyphens/>
        <w:spacing w:before="120"/>
        <w:rPr>
          <w:kern w:val="22"/>
          <w:sz w:val="22"/>
          <w:szCs w:val="22"/>
          <w:lang w:val="fr-CA"/>
        </w:rPr>
      </w:pPr>
    </w:p>
    <w:sectPr w:rsidR="00A25115" w:rsidRPr="007A46C0" w:rsidSect="00A25115">
      <w:headerReference w:type="even" r:id="rId15"/>
      <w:headerReference w:type="default" r:id="rId16"/>
      <w:footerReference w:type="default" r:id="rId17"/>
      <w:pgSz w:w="12240" w:h="15840" w:code="1"/>
      <w:pgMar w:top="1021" w:right="1440" w:bottom="1140"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4FB" w:rsidRDefault="005C54FB">
      <w:r>
        <w:separator/>
      </w:r>
    </w:p>
  </w:endnote>
  <w:endnote w:type="continuationSeparator" w:id="0">
    <w:p w:rsidR="005C54FB" w:rsidRDefault="005C54FB">
      <w:r>
        <w:continuationSeparator/>
      </w:r>
    </w:p>
  </w:endnote>
  <w:endnote w:type="continuationNotice" w:id="1">
    <w:p w:rsidR="005C54FB" w:rsidRDefault="005C54F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3E" w:rsidRDefault="00E6163E" w:rsidP="00051FD1">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4FB" w:rsidRDefault="005C54FB">
      <w:r>
        <w:separator/>
      </w:r>
    </w:p>
  </w:footnote>
  <w:footnote w:type="continuationSeparator" w:id="0">
    <w:p w:rsidR="005C54FB" w:rsidRDefault="005C54FB">
      <w:r>
        <w:continuationSeparator/>
      </w:r>
    </w:p>
  </w:footnote>
  <w:footnote w:type="continuationNotice" w:id="1">
    <w:p w:rsidR="005C54FB" w:rsidRDefault="005C54FB"/>
  </w:footnote>
  <w:footnote w:id="2">
    <w:p w:rsidR="00E6163E" w:rsidRPr="00A66DC1" w:rsidRDefault="00E6163E" w:rsidP="00051FD1">
      <w:pPr>
        <w:pStyle w:val="FootnoteText"/>
        <w:kinsoku w:val="0"/>
        <w:overflowPunct w:val="0"/>
        <w:autoSpaceDE w:val="0"/>
        <w:autoSpaceDN w:val="0"/>
        <w:adjustRightInd w:val="0"/>
        <w:snapToGrid w:val="0"/>
        <w:ind w:firstLine="0"/>
        <w:rPr>
          <w:snapToGrid w:val="0"/>
          <w:kern w:val="18"/>
          <w:szCs w:val="18"/>
          <w:lang w:val="fr-CA"/>
        </w:rPr>
      </w:pPr>
      <w:r w:rsidRPr="00A66DC1">
        <w:rPr>
          <w:rStyle w:val="FootnoteReference"/>
          <w:snapToGrid w:val="0"/>
          <w:kern w:val="18"/>
          <w:szCs w:val="18"/>
          <w:u w:val="none"/>
          <w:lang w:val="fr-CA"/>
        </w:rPr>
        <w:t>*</w:t>
      </w:r>
      <w:r w:rsidRPr="00A66DC1">
        <w:rPr>
          <w:snapToGrid w:val="0"/>
          <w:kern w:val="18"/>
          <w:szCs w:val="18"/>
          <w:lang w:val="fr-CA"/>
        </w:rPr>
        <w:t xml:space="preserve"> </w:t>
      </w:r>
      <w:hyperlink r:id="rId1" w:history="1">
        <w:r w:rsidR="00DF1C84">
          <w:rPr>
            <w:rStyle w:val="Hyperlink"/>
            <w:snapToGrid w:val="0"/>
            <w:kern w:val="18"/>
            <w:szCs w:val="18"/>
            <w:lang w:val="fr-CA"/>
          </w:rPr>
          <w:t>CBD/S</w:t>
        </w:r>
        <w:r w:rsidR="00DF1C84">
          <w:rPr>
            <w:rStyle w:val="Hyperlink"/>
            <w:snapToGrid w:val="0"/>
            <w:kern w:val="18"/>
            <w:szCs w:val="18"/>
            <w:lang w:val="fr-CA"/>
          </w:rPr>
          <w:t>B</w:t>
        </w:r>
        <w:r w:rsidR="00DF1C84">
          <w:rPr>
            <w:rStyle w:val="Hyperlink"/>
            <w:snapToGrid w:val="0"/>
            <w:kern w:val="18"/>
            <w:szCs w:val="18"/>
            <w:lang w:val="fr-CA"/>
          </w:rPr>
          <w:t>I/2/1</w:t>
        </w:r>
      </w:hyperlink>
      <w:r w:rsidR="00DF1C84">
        <w:rPr>
          <w:snapToGrid w:val="0"/>
          <w:kern w:val="18"/>
          <w:szCs w:val="18"/>
          <w:lang w:val="fr-CA"/>
        </w:rPr>
        <w:t xml:space="preserve">. </w:t>
      </w:r>
    </w:p>
  </w:footnote>
  <w:footnote w:id="3">
    <w:p w:rsidR="00E6163E" w:rsidRPr="00A66DC1" w:rsidRDefault="00E6163E" w:rsidP="007F22F0">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CBD/SBI/2/17.</w:t>
      </w:r>
    </w:p>
  </w:footnote>
  <w:footnote w:id="4">
    <w:p w:rsidR="00E6163E" w:rsidRPr="00A66DC1" w:rsidRDefault="00E6163E" w:rsidP="00842AF4">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Pour de plus amples détails, voir UNE</w:t>
      </w:r>
      <w:r>
        <w:rPr>
          <w:snapToGrid w:val="0"/>
          <w:kern w:val="18"/>
          <w:szCs w:val="18"/>
          <w:lang w:val="fr-CA"/>
        </w:rPr>
        <w:t>P/CBD/SBI/1/10/</w:t>
      </w:r>
      <w:proofErr w:type="spellStart"/>
      <w:r>
        <w:rPr>
          <w:snapToGrid w:val="0"/>
          <w:kern w:val="18"/>
          <w:szCs w:val="18"/>
          <w:lang w:val="fr-CA"/>
        </w:rPr>
        <w:t>Add</w:t>
      </w:r>
      <w:proofErr w:type="spellEnd"/>
      <w:r>
        <w:rPr>
          <w:snapToGrid w:val="0"/>
          <w:kern w:val="18"/>
          <w:szCs w:val="18"/>
          <w:lang w:val="fr-CA"/>
        </w:rPr>
        <w:t>.3</w:t>
      </w:r>
      <w:r w:rsidRPr="00A66DC1">
        <w:rPr>
          <w:snapToGrid w:val="0"/>
          <w:kern w:val="18"/>
          <w:szCs w:val="18"/>
          <w:lang w:val="fr-CA"/>
        </w:rPr>
        <w:t>.</w:t>
      </w:r>
      <w:r>
        <w:rPr>
          <w:snapToGrid w:val="0"/>
          <w:kern w:val="18"/>
          <w:szCs w:val="18"/>
          <w:lang w:val="fr-CA"/>
        </w:rPr>
        <w:t xml:space="preserve"> Ce document est également mis à la disposition de l</w:t>
      </w:r>
      <w:r w:rsidR="00DF1C84">
        <w:rPr>
          <w:snapToGrid w:val="0"/>
          <w:kern w:val="18"/>
          <w:szCs w:val="18"/>
          <w:lang w:val="fr-CA"/>
        </w:rPr>
        <w:t>’</w:t>
      </w:r>
      <w:r>
        <w:rPr>
          <w:snapToGrid w:val="0"/>
          <w:kern w:val="18"/>
          <w:szCs w:val="18"/>
          <w:lang w:val="fr-CA"/>
        </w:rPr>
        <w:t>Organe subsidiaire chargé de l</w:t>
      </w:r>
      <w:r w:rsidR="00DF1C84">
        <w:rPr>
          <w:snapToGrid w:val="0"/>
          <w:kern w:val="18"/>
          <w:szCs w:val="18"/>
          <w:lang w:val="fr-CA"/>
        </w:rPr>
        <w:t>’</w:t>
      </w:r>
      <w:r>
        <w:rPr>
          <w:snapToGrid w:val="0"/>
          <w:kern w:val="18"/>
          <w:szCs w:val="18"/>
          <w:lang w:val="fr-CA"/>
        </w:rPr>
        <w:t>application aux fins d</w:t>
      </w:r>
      <w:r w:rsidR="00DF1C84">
        <w:rPr>
          <w:snapToGrid w:val="0"/>
          <w:kern w:val="18"/>
          <w:szCs w:val="18"/>
          <w:lang w:val="fr-CA"/>
        </w:rPr>
        <w:t>’</w:t>
      </w:r>
      <w:r>
        <w:rPr>
          <w:snapToGrid w:val="0"/>
          <w:kern w:val="18"/>
          <w:szCs w:val="18"/>
          <w:lang w:val="fr-CA"/>
        </w:rPr>
        <w:t>information à sa deuxième réunion.</w:t>
      </w:r>
    </w:p>
  </w:footnote>
  <w:footnote w:id="5">
    <w:p w:rsidR="00E6163E" w:rsidRPr="00A66DC1" w:rsidRDefault="00E6163E" w:rsidP="00595FD1">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w:t>
      </w:r>
      <w:r>
        <w:rPr>
          <w:snapToGrid w:val="0"/>
          <w:kern w:val="18"/>
          <w:szCs w:val="18"/>
          <w:lang w:val="fr-CA"/>
        </w:rPr>
        <w:t>La méthodologie utilisée est disponible à l</w:t>
      </w:r>
      <w:r w:rsidR="00DF1C84">
        <w:rPr>
          <w:snapToGrid w:val="0"/>
          <w:kern w:val="18"/>
          <w:szCs w:val="18"/>
          <w:lang w:val="fr-CA"/>
        </w:rPr>
        <w:t>’</w:t>
      </w:r>
      <w:r>
        <w:rPr>
          <w:snapToGrid w:val="0"/>
          <w:kern w:val="18"/>
          <w:szCs w:val="18"/>
          <w:lang w:val="fr-CA"/>
        </w:rPr>
        <w:t>adresse</w:t>
      </w:r>
      <w:r w:rsidRPr="00A66DC1">
        <w:rPr>
          <w:snapToGrid w:val="0"/>
          <w:kern w:val="18"/>
          <w:szCs w:val="18"/>
          <w:lang w:val="fr-CA"/>
        </w:rPr>
        <w:t xml:space="preserve"> </w:t>
      </w:r>
      <w:hyperlink r:id="rId2" w:history="1">
        <w:r w:rsidRPr="00A66DC1">
          <w:rPr>
            <w:rFonts w:eastAsia="Malgun Gothic"/>
            <w:snapToGrid w:val="0"/>
            <w:kern w:val="18"/>
            <w:szCs w:val="18"/>
            <w:lang w:val="fr-CA"/>
          </w:rPr>
          <w:t>https://www.cbd.int/nbsap/vpr/default.shtml</w:t>
        </w:r>
      </w:hyperlink>
      <w:r>
        <w:t xml:space="preserve">. </w:t>
      </w:r>
    </w:p>
  </w:footnote>
  <w:footnote w:id="6">
    <w:p w:rsidR="00E6163E" w:rsidRPr="00A66DC1" w:rsidRDefault="00E6163E" w:rsidP="00133FDD">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w:t>
      </w:r>
      <w:r>
        <w:rPr>
          <w:snapToGrid w:val="0"/>
          <w:kern w:val="18"/>
          <w:szCs w:val="18"/>
          <w:lang w:val="fr-CA"/>
        </w:rPr>
        <w:t>Iraq, Mali, Monténégro, Ouganda, Sri Lanka, Togo</w:t>
      </w:r>
      <w:r w:rsidRPr="00A66DC1">
        <w:rPr>
          <w:snapToGrid w:val="0"/>
          <w:kern w:val="18"/>
          <w:szCs w:val="18"/>
          <w:lang w:val="fr-CA"/>
        </w:rPr>
        <w:t xml:space="preserve"> – </w:t>
      </w:r>
      <w:r>
        <w:rPr>
          <w:snapToGrid w:val="0"/>
          <w:kern w:val="18"/>
          <w:szCs w:val="18"/>
          <w:lang w:val="fr-CA"/>
        </w:rPr>
        <w:t>une manifestation incomplète d</w:t>
      </w:r>
      <w:r w:rsidR="00DF1C84">
        <w:rPr>
          <w:snapToGrid w:val="0"/>
          <w:kern w:val="18"/>
          <w:szCs w:val="18"/>
          <w:lang w:val="fr-CA"/>
        </w:rPr>
        <w:t>’</w:t>
      </w:r>
      <w:r>
        <w:rPr>
          <w:snapToGrid w:val="0"/>
          <w:kern w:val="18"/>
          <w:szCs w:val="18"/>
          <w:lang w:val="fr-CA"/>
        </w:rPr>
        <w:t>intérêt a été reçue du Guyana.</w:t>
      </w:r>
    </w:p>
  </w:footnote>
  <w:footnote w:id="7">
    <w:p w:rsidR="00E6163E" w:rsidRPr="00A66DC1" w:rsidRDefault="00E6163E" w:rsidP="00133FDD">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w:t>
      </w:r>
      <w:r>
        <w:t>Antigua</w:t>
      </w:r>
      <w:r w:rsidR="00DF1C84">
        <w:noBreakHyphen/>
      </w:r>
      <w:proofErr w:type="spellStart"/>
      <w:r>
        <w:t>et</w:t>
      </w:r>
      <w:proofErr w:type="spellEnd"/>
      <w:r w:rsidR="00DF1C84">
        <w:noBreakHyphen/>
      </w:r>
      <w:proofErr w:type="spellStart"/>
      <w:r>
        <w:t>Barbuda</w:t>
      </w:r>
      <w:proofErr w:type="spellEnd"/>
      <w:r>
        <w:rPr>
          <w:snapToGrid w:val="0"/>
          <w:kern w:val="18"/>
          <w:szCs w:val="18"/>
          <w:lang w:val="fr-CA"/>
        </w:rPr>
        <w:t>,</w:t>
      </w:r>
      <w:r w:rsidRPr="00A66DC1">
        <w:rPr>
          <w:snapToGrid w:val="0"/>
          <w:kern w:val="18"/>
          <w:szCs w:val="18"/>
          <w:lang w:val="fr-CA"/>
        </w:rPr>
        <w:t xml:space="preserve"> Fi</w:t>
      </w:r>
      <w:r>
        <w:rPr>
          <w:snapToGrid w:val="0"/>
          <w:kern w:val="18"/>
          <w:szCs w:val="18"/>
          <w:lang w:val="fr-CA"/>
        </w:rPr>
        <w:t>nlande, Japon, Madagascar, Norvège</w:t>
      </w:r>
      <w:r w:rsidRPr="00A66DC1">
        <w:rPr>
          <w:snapToGrid w:val="0"/>
          <w:kern w:val="18"/>
          <w:szCs w:val="18"/>
          <w:lang w:val="fr-CA"/>
        </w:rPr>
        <w:t xml:space="preserve">, </w:t>
      </w:r>
      <w:r>
        <w:rPr>
          <w:snapToGrid w:val="0"/>
          <w:kern w:val="18"/>
          <w:szCs w:val="18"/>
          <w:lang w:val="fr-CA"/>
        </w:rPr>
        <w:t>Ou</w:t>
      </w:r>
      <w:r w:rsidRPr="00A66DC1">
        <w:rPr>
          <w:snapToGrid w:val="0"/>
          <w:kern w:val="18"/>
          <w:szCs w:val="18"/>
          <w:lang w:val="fr-CA"/>
        </w:rPr>
        <w:t>ganda,</w:t>
      </w:r>
      <w:r>
        <w:rPr>
          <w:snapToGrid w:val="0"/>
          <w:kern w:val="18"/>
          <w:szCs w:val="18"/>
          <w:lang w:val="fr-CA"/>
        </w:rPr>
        <w:t xml:space="preserve"> Philippines, Sri </w:t>
      </w:r>
      <w:r w:rsidRPr="00A66DC1">
        <w:rPr>
          <w:snapToGrid w:val="0"/>
          <w:kern w:val="18"/>
          <w:szCs w:val="18"/>
          <w:lang w:val="fr-CA"/>
        </w:rPr>
        <w:t xml:space="preserve">Lanka, Togo, </w:t>
      </w:r>
      <w:r>
        <w:rPr>
          <w:snapToGrid w:val="0"/>
          <w:kern w:val="18"/>
          <w:szCs w:val="18"/>
          <w:lang w:val="fr-CA"/>
        </w:rPr>
        <w:t xml:space="preserve">Union européenne, </w:t>
      </w:r>
      <w:r w:rsidRPr="00A66DC1">
        <w:rPr>
          <w:snapToGrid w:val="0"/>
          <w:kern w:val="18"/>
          <w:szCs w:val="18"/>
          <w:lang w:val="fr-CA"/>
        </w:rPr>
        <w:t>Zimbabwe</w:t>
      </w:r>
      <w:r>
        <w:rPr>
          <w:snapToGrid w:val="0"/>
          <w:kern w:val="18"/>
          <w:szCs w:val="18"/>
          <w:lang w:val="fr-CA"/>
        </w:rPr>
        <w:t>.</w:t>
      </w:r>
    </w:p>
  </w:footnote>
  <w:footnote w:id="8">
    <w:p w:rsidR="00E6163E" w:rsidRPr="00A66DC1" w:rsidRDefault="00E6163E" w:rsidP="001C3AAC">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CBD/SBI/2/INF/27.</w:t>
      </w:r>
    </w:p>
  </w:footnote>
  <w:footnote w:id="9">
    <w:p w:rsidR="00E6163E" w:rsidRPr="00A66DC1" w:rsidRDefault="00E6163E" w:rsidP="002350C7">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w:t>
      </w:r>
      <w:r>
        <w:rPr>
          <w:snapToGrid w:val="0"/>
          <w:kern w:val="18"/>
          <w:szCs w:val="18"/>
          <w:lang w:val="fr-CA"/>
        </w:rPr>
        <w:t>À cause de problèmes de visa, un billet supplémentaire a dû être acheté, ce qui a augmenté les coûts.</w:t>
      </w:r>
    </w:p>
  </w:footnote>
  <w:footnote w:id="10">
    <w:p w:rsidR="00E6163E" w:rsidRPr="00A66DC1" w:rsidRDefault="00E6163E" w:rsidP="00C1566A">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w:t>
      </w:r>
      <w:r>
        <w:rPr>
          <w:snapToGrid w:val="0"/>
          <w:kern w:val="18"/>
          <w:szCs w:val="18"/>
          <w:lang w:val="fr-CA"/>
        </w:rPr>
        <w:t>Le soutien pour les activités visant à développer davantage l</w:t>
      </w:r>
      <w:r w:rsidR="00DF1C84">
        <w:rPr>
          <w:snapToGrid w:val="0"/>
          <w:kern w:val="18"/>
          <w:szCs w:val="18"/>
          <w:lang w:val="fr-CA"/>
        </w:rPr>
        <w:t>’</w:t>
      </w:r>
      <w:r>
        <w:rPr>
          <w:snapToGrid w:val="0"/>
          <w:kern w:val="18"/>
          <w:szCs w:val="18"/>
          <w:lang w:val="fr-CA"/>
        </w:rPr>
        <w:t>outil de suivi des décisions a été fourni par le Fonds japonais pour la biodiversité.</w:t>
      </w:r>
    </w:p>
  </w:footnote>
  <w:footnote w:id="11">
    <w:p w:rsidR="00E6163E" w:rsidRPr="00A66DC1" w:rsidRDefault="00E6163E" w:rsidP="003B6F56">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w:t>
      </w:r>
      <w:r>
        <w:rPr>
          <w:snapToGrid w:val="0"/>
          <w:kern w:val="18"/>
          <w:szCs w:val="18"/>
          <w:lang w:val="fr-CA"/>
        </w:rPr>
        <w:t>Voir</w:t>
      </w:r>
      <w:r w:rsidRPr="00A66DC1">
        <w:rPr>
          <w:snapToGrid w:val="0"/>
          <w:kern w:val="18"/>
          <w:szCs w:val="18"/>
          <w:lang w:val="fr-CA"/>
        </w:rPr>
        <w:t xml:space="preserve"> documents UNEP/CBD/COP/6/INF/17, UNEP/CBD/COP/7/INF/16, UNEP/CBD/COP/8/INF/2 </w:t>
      </w:r>
      <w:r>
        <w:rPr>
          <w:snapToGrid w:val="0"/>
          <w:kern w:val="18"/>
          <w:szCs w:val="18"/>
          <w:lang w:val="fr-CA"/>
        </w:rPr>
        <w:t>et</w:t>
      </w:r>
      <w:r w:rsidRPr="00A66DC1">
        <w:rPr>
          <w:snapToGrid w:val="0"/>
          <w:kern w:val="18"/>
          <w:szCs w:val="18"/>
          <w:lang w:val="fr-CA"/>
        </w:rPr>
        <w:t xml:space="preserve"> UNEP/CBD/COP/11/INF/1.</w:t>
      </w:r>
    </w:p>
  </w:footnote>
  <w:footnote w:id="12">
    <w:p w:rsidR="00E6163E" w:rsidRPr="00A66DC1" w:rsidRDefault="00E6163E" w:rsidP="003349A9">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w:t>
      </w:r>
      <w:r>
        <w:rPr>
          <w:snapToGrid w:val="0"/>
          <w:kern w:val="18"/>
          <w:szCs w:val="18"/>
          <w:lang w:val="fr-CA"/>
        </w:rPr>
        <w:t xml:space="preserve"> Le Secrétariat organisera un événement en marge de la deuxième réunion de l</w:t>
      </w:r>
      <w:r w:rsidR="00DF1C84">
        <w:rPr>
          <w:snapToGrid w:val="0"/>
          <w:kern w:val="18"/>
          <w:szCs w:val="18"/>
          <w:lang w:val="fr-CA"/>
        </w:rPr>
        <w:t>’</w:t>
      </w:r>
      <w:r>
        <w:rPr>
          <w:snapToGrid w:val="0"/>
          <w:kern w:val="18"/>
          <w:szCs w:val="18"/>
          <w:lang w:val="fr-CA"/>
        </w:rPr>
        <w:t>Organe subsidiaire chargé de l</w:t>
      </w:r>
      <w:r w:rsidR="00DF1C84">
        <w:rPr>
          <w:snapToGrid w:val="0"/>
          <w:kern w:val="18"/>
          <w:szCs w:val="18"/>
          <w:lang w:val="fr-CA"/>
        </w:rPr>
        <w:t>’</w:t>
      </w:r>
      <w:r>
        <w:rPr>
          <w:snapToGrid w:val="0"/>
          <w:kern w:val="18"/>
          <w:szCs w:val="18"/>
          <w:lang w:val="fr-CA"/>
        </w:rPr>
        <w:t>application pour faire la démonstration de l</w:t>
      </w:r>
      <w:r w:rsidR="00DF1C84">
        <w:rPr>
          <w:snapToGrid w:val="0"/>
          <w:kern w:val="18"/>
          <w:szCs w:val="18"/>
          <w:lang w:val="fr-CA"/>
        </w:rPr>
        <w:t>’</w:t>
      </w:r>
      <w:r>
        <w:rPr>
          <w:snapToGrid w:val="0"/>
          <w:kern w:val="18"/>
          <w:szCs w:val="18"/>
          <w:lang w:val="fr-CA"/>
        </w:rPr>
        <w:t>outil de suivi des décisions</w:t>
      </w:r>
      <w:r w:rsidR="003349A9">
        <w:rPr>
          <w:snapToGrid w:val="0"/>
          <w:kern w:val="18"/>
          <w:szCs w:val="18"/>
          <w:lang w:val="fr-CA"/>
        </w:rPr>
        <w:t xml:space="preserve"> dans sa dernière version</w:t>
      </w:r>
      <w:r>
        <w:rPr>
          <w:snapToGrid w:val="0"/>
          <w:kern w:val="18"/>
          <w:szCs w:val="18"/>
          <w:lang w:val="fr-CA"/>
        </w:rPr>
        <w:t>.</w:t>
      </w:r>
    </w:p>
  </w:footnote>
  <w:footnote w:id="13">
    <w:p w:rsidR="00E6163E" w:rsidRPr="00A66DC1" w:rsidRDefault="00E6163E" w:rsidP="00B9694F">
      <w:pPr>
        <w:pStyle w:val="FootnoteText"/>
        <w:kinsoku w:val="0"/>
        <w:overflowPunct w:val="0"/>
        <w:autoSpaceDE w:val="0"/>
        <w:autoSpaceDN w:val="0"/>
        <w:adjustRightInd w:val="0"/>
        <w:snapToGrid w:val="0"/>
        <w:ind w:firstLine="0"/>
        <w:rPr>
          <w:noProof/>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UNEP/CBD/</w:t>
      </w:r>
      <w:r w:rsidRPr="00A66DC1">
        <w:rPr>
          <w:noProof/>
          <w:snapToGrid w:val="0"/>
          <w:kern w:val="18"/>
          <w:szCs w:val="18"/>
          <w:lang w:val="fr-CA"/>
        </w:rPr>
        <w:t>SBI/1/10/</w:t>
      </w:r>
      <w:proofErr w:type="spellStart"/>
      <w:r w:rsidRPr="00A66DC1">
        <w:rPr>
          <w:noProof/>
          <w:snapToGrid w:val="0"/>
          <w:kern w:val="18"/>
          <w:szCs w:val="18"/>
          <w:lang w:val="fr-CA"/>
        </w:rPr>
        <w:t>Add</w:t>
      </w:r>
      <w:proofErr w:type="spellEnd"/>
      <w:r w:rsidRPr="00A66DC1">
        <w:rPr>
          <w:noProof/>
          <w:snapToGrid w:val="0"/>
          <w:kern w:val="18"/>
          <w:szCs w:val="18"/>
          <w:lang w:val="fr-CA"/>
        </w:rPr>
        <w:t>.2.</w:t>
      </w:r>
    </w:p>
  </w:footnote>
  <w:footnote w:id="14">
    <w:p w:rsidR="00E6163E" w:rsidRPr="00A66DC1" w:rsidRDefault="00E6163E" w:rsidP="000059BA">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w:t>
      </w:r>
      <w:hyperlink r:id="rId3" w:history="1">
        <w:r w:rsidRPr="00A66DC1">
          <w:rPr>
            <w:rStyle w:val="Hyperlink"/>
            <w:snapToGrid w:val="0"/>
            <w:kern w:val="18"/>
            <w:szCs w:val="18"/>
            <w:lang w:val="fr-CA"/>
          </w:rPr>
          <w:t>http://icisa.cag.gov.in/resource_files/87ca71601d696fd5b6baf378182c0603.pdf</w:t>
        </w:r>
      </w:hyperlink>
    </w:p>
  </w:footnote>
  <w:footnote w:id="15">
    <w:p w:rsidR="00E6163E" w:rsidRPr="00A66DC1" w:rsidRDefault="00E6163E" w:rsidP="002918B9">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w:t>
      </w:r>
      <w:hyperlink r:id="rId4" w:history="1">
        <w:r w:rsidRPr="00A66DC1">
          <w:rPr>
            <w:rStyle w:val="Hyperlink"/>
            <w:snapToGrid w:val="0"/>
            <w:kern w:val="18"/>
            <w:szCs w:val="18"/>
            <w:lang w:val="fr-CA"/>
          </w:rPr>
          <w:t>https://www.cbd.int/countries/targets/?country=ca</w:t>
        </w:r>
      </w:hyperlink>
    </w:p>
  </w:footnote>
  <w:footnote w:id="16">
    <w:p w:rsidR="00E6163E" w:rsidRPr="00A66DC1" w:rsidRDefault="00E6163E" w:rsidP="00B26B06">
      <w:pPr>
        <w:pStyle w:val="Heading3"/>
        <w:keepNext w:val="0"/>
        <w:keepLines/>
        <w:shd w:val="clear" w:color="auto" w:fill="FFFFFF"/>
        <w:kinsoku w:val="0"/>
        <w:overflowPunct w:val="0"/>
        <w:autoSpaceDE w:val="0"/>
        <w:autoSpaceDN w:val="0"/>
        <w:adjustRightInd w:val="0"/>
        <w:snapToGrid w:val="0"/>
        <w:spacing w:before="0" w:after="60"/>
        <w:jc w:val="left"/>
        <w:rPr>
          <w:i w:val="0"/>
          <w:iCs w:val="0"/>
          <w:snapToGrid w:val="0"/>
          <w:kern w:val="18"/>
          <w:sz w:val="18"/>
          <w:szCs w:val="18"/>
          <w:lang w:val="fr-CA"/>
        </w:rPr>
      </w:pPr>
      <w:r w:rsidRPr="00A66DC1">
        <w:rPr>
          <w:i w:val="0"/>
          <w:iCs w:val="0"/>
          <w:snapToGrid w:val="0"/>
          <w:kern w:val="18"/>
          <w:sz w:val="18"/>
          <w:szCs w:val="18"/>
          <w:vertAlign w:val="superscript"/>
          <w:lang w:val="fr-CA"/>
        </w:rPr>
        <w:footnoteRef/>
      </w:r>
      <w:r w:rsidRPr="00A66DC1">
        <w:rPr>
          <w:snapToGrid w:val="0"/>
          <w:kern w:val="18"/>
          <w:sz w:val="18"/>
          <w:szCs w:val="18"/>
          <w:lang w:val="fr-CA"/>
        </w:rPr>
        <w:t xml:space="preserve"> </w:t>
      </w:r>
      <w:r>
        <w:rPr>
          <w:i w:val="0"/>
          <w:iCs w:val="0"/>
          <w:snapToGrid w:val="0"/>
          <w:kern w:val="18"/>
          <w:sz w:val="18"/>
          <w:szCs w:val="18"/>
          <w:lang w:val="fr-CA"/>
        </w:rPr>
        <w:t>Un représentant du Bureau du vérificateur général du Canada a donné un exposé sur les approches d</w:t>
      </w:r>
      <w:r w:rsidR="00DF1C84">
        <w:rPr>
          <w:i w:val="0"/>
          <w:iCs w:val="0"/>
          <w:snapToGrid w:val="0"/>
          <w:kern w:val="18"/>
          <w:sz w:val="18"/>
          <w:szCs w:val="18"/>
          <w:lang w:val="fr-CA"/>
        </w:rPr>
        <w:t>’</w:t>
      </w:r>
      <w:r>
        <w:rPr>
          <w:i w:val="0"/>
          <w:iCs w:val="0"/>
          <w:snapToGrid w:val="0"/>
          <w:kern w:val="18"/>
          <w:sz w:val="18"/>
          <w:szCs w:val="18"/>
          <w:lang w:val="fr-CA"/>
        </w:rPr>
        <w:t>audit lors d</w:t>
      </w:r>
      <w:r w:rsidR="00DF1C84">
        <w:rPr>
          <w:i w:val="0"/>
          <w:iCs w:val="0"/>
          <w:snapToGrid w:val="0"/>
          <w:kern w:val="18"/>
          <w:sz w:val="18"/>
          <w:szCs w:val="18"/>
          <w:lang w:val="fr-CA"/>
        </w:rPr>
        <w:t>’</w:t>
      </w:r>
      <w:r>
        <w:rPr>
          <w:i w:val="0"/>
          <w:iCs w:val="0"/>
          <w:snapToGrid w:val="0"/>
          <w:kern w:val="18"/>
          <w:sz w:val="18"/>
          <w:szCs w:val="18"/>
          <w:lang w:val="fr-CA"/>
        </w:rPr>
        <w:t xml:space="preserve">un atelier sur la préparation du sixième rapport national  (Montréal (Canada), le 9 décembre 2017). – voir </w:t>
      </w:r>
      <w:hyperlink r:id="rId5" w:history="1">
        <w:r w:rsidRPr="00A66DC1">
          <w:rPr>
            <w:rStyle w:val="Hyperlink"/>
            <w:i w:val="0"/>
            <w:iCs w:val="0"/>
            <w:snapToGrid w:val="0"/>
            <w:kern w:val="18"/>
            <w:sz w:val="18"/>
            <w:szCs w:val="18"/>
            <w:lang w:val="fr-CA"/>
          </w:rPr>
          <w:t>https://www.cbd.int/doc/c/a7a0/180e/98bc80349a363a973049a</w:t>
        </w:r>
        <w:r w:rsidRPr="00A66DC1">
          <w:rPr>
            <w:rStyle w:val="Hyperlink"/>
            <w:i w:val="0"/>
            <w:iCs w:val="0"/>
            <w:snapToGrid w:val="0"/>
            <w:kern w:val="18"/>
            <w:sz w:val="18"/>
            <w:szCs w:val="18"/>
            <w:lang w:val="fr-CA"/>
          </w:rPr>
          <w:t>4</w:t>
        </w:r>
        <w:r w:rsidRPr="00A66DC1">
          <w:rPr>
            <w:rStyle w:val="Hyperlink"/>
            <w:i w:val="0"/>
            <w:iCs w:val="0"/>
            <w:snapToGrid w:val="0"/>
            <w:kern w:val="18"/>
            <w:sz w:val="18"/>
            <w:szCs w:val="18"/>
            <w:lang w:val="fr-CA"/>
          </w:rPr>
          <w:t>fc/nrw</w:t>
        </w:r>
        <w:r w:rsidRPr="00A66DC1">
          <w:rPr>
            <w:rStyle w:val="Hyperlink"/>
            <w:i w:val="0"/>
            <w:iCs w:val="0"/>
            <w:snapToGrid w:val="0"/>
            <w:kern w:val="18"/>
            <w:sz w:val="18"/>
            <w:szCs w:val="18"/>
            <w:lang w:val="fr-CA"/>
          </w:rPr>
          <w:t>s</w:t>
        </w:r>
        <w:r w:rsidR="00DF1C84">
          <w:rPr>
            <w:rStyle w:val="Hyperlink"/>
            <w:i w:val="0"/>
            <w:iCs w:val="0"/>
            <w:snapToGrid w:val="0"/>
            <w:kern w:val="18"/>
            <w:sz w:val="18"/>
            <w:szCs w:val="18"/>
            <w:lang w:val="fr-CA"/>
          </w:rPr>
          <w:noBreakHyphen/>
        </w:r>
        <w:r w:rsidRPr="00A66DC1">
          <w:rPr>
            <w:rStyle w:val="Hyperlink"/>
            <w:i w:val="0"/>
            <w:iCs w:val="0"/>
            <w:snapToGrid w:val="0"/>
            <w:kern w:val="18"/>
            <w:sz w:val="18"/>
            <w:szCs w:val="18"/>
            <w:lang w:val="fr-CA"/>
          </w:rPr>
          <w:t>2017</w:t>
        </w:r>
        <w:r w:rsidR="00DF1C84">
          <w:rPr>
            <w:rStyle w:val="Hyperlink"/>
            <w:i w:val="0"/>
            <w:iCs w:val="0"/>
            <w:snapToGrid w:val="0"/>
            <w:kern w:val="18"/>
            <w:sz w:val="18"/>
            <w:szCs w:val="18"/>
            <w:lang w:val="fr-CA"/>
          </w:rPr>
          <w:noBreakHyphen/>
        </w:r>
        <w:r w:rsidRPr="00A66DC1">
          <w:rPr>
            <w:rStyle w:val="Hyperlink"/>
            <w:i w:val="0"/>
            <w:iCs w:val="0"/>
            <w:snapToGrid w:val="0"/>
            <w:kern w:val="18"/>
            <w:sz w:val="18"/>
            <w:szCs w:val="18"/>
            <w:lang w:val="fr-CA"/>
          </w:rPr>
          <w:t>01</w:t>
        </w:r>
        <w:r w:rsidR="00DF1C84">
          <w:rPr>
            <w:rStyle w:val="Hyperlink"/>
            <w:i w:val="0"/>
            <w:iCs w:val="0"/>
            <w:snapToGrid w:val="0"/>
            <w:kern w:val="18"/>
            <w:sz w:val="18"/>
            <w:szCs w:val="18"/>
            <w:lang w:val="fr-CA"/>
          </w:rPr>
          <w:noBreakHyphen/>
        </w:r>
        <w:r w:rsidRPr="00A66DC1">
          <w:rPr>
            <w:rStyle w:val="Hyperlink"/>
            <w:i w:val="0"/>
            <w:iCs w:val="0"/>
            <w:snapToGrid w:val="0"/>
            <w:kern w:val="18"/>
            <w:sz w:val="18"/>
            <w:szCs w:val="18"/>
            <w:lang w:val="fr-CA"/>
          </w:rPr>
          <w:t>presenta</w:t>
        </w:r>
        <w:r w:rsidRPr="00A66DC1">
          <w:rPr>
            <w:rStyle w:val="Hyperlink"/>
            <w:i w:val="0"/>
            <w:iCs w:val="0"/>
            <w:snapToGrid w:val="0"/>
            <w:kern w:val="18"/>
            <w:sz w:val="18"/>
            <w:szCs w:val="18"/>
            <w:lang w:val="fr-CA"/>
          </w:rPr>
          <w:t>t</w:t>
        </w:r>
        <w:r w:rsidRPr="00A66DC1">
          <w:rPr>
            <w:rStyle w:val="Hyperlink"/>
            <w:i w:val="0"/>
            <w:iCs w:val="0"/>
            <w:snapToGrid w:val="0"/>
            <w:kern w:val="18"/>
            <w:sz w:val="18"/>
            <w:szCs w:val="18"/>
            <w:lang w:val="fr-CA"/>
          </w:rPr>
          <w:t>ion</w:t>
        </w:r>
        <w:r w:rsidR="00DF1C84">
          <w:rPr>
            <w:rStyle w:val="Hyperlink"/>
            <w:i w:val="0"/>
            <w:iCs w:val="0"/>
            <w:snapToGrid w:val="0"/>
            <w:kern w:val="18"/>
            <w:sz w:val="18"/>
            <w:szCs w:val="18"/>
            <w:lang w:val="fr-CA"/>
          </w:rPr>
          <w:noBreakHyphen/>
        </w:r>
        <w:r w:rsidRPr="00A66DC1">
          <w:rPr>
            <w:rStyle w:val="Hyperlink"/>
            <w:i w:val="0"/>
            <w:iCs w:val="0"/>
            <w:snapToGrid w:val="0"/>
            <w:kern w:val="18"/>
            <w:sz w:val="18"/>
            <w:szCs w:val="18"/>
            <w:lang w:val="fr-CA"/>
          </w:rPr>
          <w:t>04</w:t>
        </w:r>
        <w:r w:rsidR="00DF1C84">
          <w:rPr>
            <w:rStyle w:val="Hyperlink"/>
            <w:i w:val="0"/>
            <w:iCs w:val="0"/>
            <w:snapToGrid w:val="0"/>
            <w:kern w:val="18"/>
            <w:sz w:val="18"/>
            <w:szCs w:val="18"/>
            <w:lang w:val="fr-CA"/>
          </w:rPr>
          <w:noBreakHyphen/>
        </w:r>
        <w:r w:rsidRPr="00A66DC1">
          <w:rPr>
            <w:rStyle w:val="Hyperlink"/>
            <w:i w:val="0"/>
            <w:iCs w:val="0"/>
            <w:snapToGrid w:val="0"/>
            <w:kern w:val="18"/>
            <w:sz w:val="18"/>
            <w:szCs w:val="18"/>
            <w:lang w:val="fr-CA"/>
          </w:rPr>
          <w:t>en.pdf</w:t>
        </w:r>
      </w:hyperlink>
      <w:r>
        <w:rPr>
          <w:snapToGrid w:val="0"/>
          <w:kern w:val="18"/>
          <w:sz w:val="18"/>
          <w:szCs w:val="18"/>
          <w:lang w:val="fr-CA"/>
        </w:rPr>
        <w:t xml:space="preserve"> </w:t>
      </w:r>
    </w:p>
  </w:footnote>
  <w:footnote w:id="17">
    <w:p w:rsidR="00E6163E" w:rsidRPr="00A66DC1" w:rsidRDefault="00E6163E" w:rsidP="00B26B06">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w:t>
      </w:r>
      <w:r>
        <w:rPr>
          <w:snapToGrid w:val="0"/>
          <w:kern w:val="18"/>
          <w:szCs w:val="18"/>
          <w:lang w:val="fr-CA"/>
        </w:rPr>
        <w:t xml:space="preserve">Voir aussi le paragraphe 14 du document </w:t>
      </w:r>
      <w:r w:rsidRPr="00A66DC1">
        <w:rPr>
          <w:snapToGrid w:val="0"/>
          <w:kern w:val="18"/>
          <w:szCs w:val="18"/>
          <w:lang w:val="fr-CA"/>
        </w:rPr>
        <w:t>CBD/SBSTTA/21/7</w:t>
      </w:r>
      <w:r>
        <w:rPr>
          <w:snapToGrid w:val="0"/>
          <w:kern w:val="18"/>
          <w:szCs w:val="18"/>
          <w:lang w:val="fr-CA"/>
        </w:rPr>
        <w:t xml:space="preserve"> pour des exemples d</w:t>
      </w:r>
      <w:r w:rsidR="00DF1C84">
        <w:rPr>
          <w:snapToGrid w:val="0"/>
          <w:kern w:val="18"/>
          <w:szCs w:val="18"/>
          <w:lang w:val="fr-CA"/>
        </w:rPr>
        <w:t>’</w:t>
      </w:r>
      <w:r>
        <w:rPr>
          <w:snapToGrid w:val="0"/>
          <w:kern w:val="18"/>
          <w:szCs w:val="18"/>
          <w:lang w:val="fr-CA"/>
        </w:rPr>
        <w:t>approches d</w:t>
      </w:r>
      <w:r w:rsidR="00DF1C84">
        <w:rPr>
          <w:snapToGrid w:val="0"/>
          <w:kern w:val="18"/>
          <w:szCs w:val="18"/>
          <w:lang w:val="fr-CA"/>
        </w:rPr>
        <w:t>’</w:t>
      </w:r>
      <w:r>
        <w:rPr>
          <w:snapToGrid w:val="0"/>
          <w:kern w:val="18"/>
          <w:szCs w:val="18"/>
          <w:lang w:val="fr-CA"/>
        </w:rPr>
        <w:t>audit utilisées pour l</w:t>
      </w:r>
      <w:r w:rsidR="00DF1C84">
        <w:rPr>
          <w:snapToGrid w:val="0"/>
          <w:kern w:val="18"/>
          <w:szCs w:val="18"/>
          <w:lang w:val="fr-CA"/>
        </w:rPr>
        <w:t>’</w:t>
      </w:r>
      <w:r>
        <w:rPr>
          <w:snapToGrid w:val="0"/>
          <w:kern w:val="18"/>
          <w:szCs w:val="18"/>
          <w:lang w:val="fr-CA"/>
        </w:rPr>
        <w:t>examen de politiques relatives à la biodiversité et à leur mise en œuvre.</w:t>
      </w:r>
    </w:p>
  </w:footnote>
  <w:footnote w:id="18">
    <w:p w:rsidR="00E6163E" w:rsidRPr="00A66DC1" w:rsidRDefault="00E6163E" w:rsidP="00E6163E">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w:t>
      </w:r>
      <w:r>
        <w:rPr>
          <w:snapToGrid w:val="0"/>
          <w:kern w:val="18"/>
          <w:szCs w:val="18"/>
          <w:lang w:val="fr-CA"/>
        </w:rPr>
        <w:t>Toutes les soumissions sur cette question sont disponibles à l</w:t>
      </w:r>
      <w:r w:rsidR="00DF1C84">
        <w:rPr>
          <w:snapToGrid w:val="0"/>
          <w:kern w:val="18"/>
          <w:szCs w:val="18"/>
          <w:lang w:val="fr-CA"/>
        </w:rPr>
        <w:t>’</w:t>
      </w:r>
      <w:r>
        <w:rPr>
          <w:snapToGrid w:val="0"/>
          <w:kern w:val="18"/>
          <w:szCs w:val="18"/>
          <w:lang w:val="fr-CA"/>
        </w:rPr>
        <w:t xml:space="preserve">adresse </w:t>
      </w:r>
      <w:r w:rsidRPr="00A66DC1">
        <w:rPr>
          <w:snapToGrid w:val="0"/>
          <w:kern w:val="18"/>
          <w:szCs w:val="18"/>
          <w:lang w:val="fr-CA"/>
        </w:rPr>
        <w:t>https://www.cbd.int/post2020/submissions.shtml</w:t>
      </w:r>
      <w:r>
        <w:rPr>
          <w:snapToGrid w:val="0"/>
          <w:kern w:val="18"/>
          <w:szCs w:val="18"/>
          <w:lang w:val="fr-CA"/>
        </w:rPr>
        <w:t xml:space="preserve">  </w:t>
      </w:r>
    </w:p>
  </w:footnote>
  <w:footnote w:id="19">
    <w:p w:rsidR="00E6163E" w:rsidRPr="00A66DC1" w:rsidRDefault="00E6163E" w:rsidP="00176387">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w:t>
      </w:r>
      <w:hyperlink r:id="rId6" w:history="1">
        <w:r w:rsidRPr="00A66DC1">
          <w:rPr>
            <w:rStyle w:val="Hyperlink"/>
            <w:snapToGrid w:val="0"/>
            <w:kern w:val="18"/>
            <w:szCs w:val="18"/>
            <w:lang w:val="fr-CA"/>
          </w:rPr>
          <w:t>http://www2.unccd.int/actions/ldn</w:t>
        </w:r>
        <w:r w:rsidR="00DF1C84">
          <w:rPr>
            <w:rStyle w:val="Hyperlink"/>
            <w:snapToGrid w:val="0"/>
            <w:kern w:val="18"/>
            <w:szCs w:val="18"/>
            <w:lang w:val="fr-CA"/>
          </w:rPr>
          <w:noBreakHyphen/>
        </w:r>
        <w:r w:rsidRPr="00A66DC1">
          <w:rPr>
            <w:rStyle w:val="Hyperlink"/>
            <w:snapToGrid w:val="0"/>
            <w:kern w:val="18"/>
            <w:szCs w:val="18"/>
            <w:lang w:val="fr-CA"/>
          </w:rPr>
          <w:t>target</w:t>
        </w:r>
        <w:r w:rsidR="00DF1C84">
          <w:rPr>
            <w:rStyle w:val="Hyperlink"/>
            <w:snapToGrid w:val="0"/>
            <w:kern w:val="18"/>
            <w:szCs w:val="18"/>
            <w:lang w:val="fr-CA"/>
          </w:rPr>
          <w:noBreakHyphen/>
        </w:r>
        <w:r w:rsidRPr="00A66DC1">
          <w:rPr>
            <w:rStyle w:val="Hyperlink"/>
            <w:snapToGrid w:val="0"/>
            <w:kern w:val="18"/>
            <w:szCs w:val="18"/>
            <w:lang w:val="fr-CA"/>
          </w:rPr>
          <w:t>setting</w:t>
        </w:r>
        <w:r w:rsidR="00DF1C84">
          <w:rPr>
            <w:rStyle w:val="Hyperlink"/>
            <w:snapToGrid w:val="0"/>
            <w:kern w:val="18"/>
            <w:szCs w:val="18"/>
            <w:lang w:val="fr-CA"/>
          </w:rPr>
          <w:noBreakHyphen/>
        </w:r>
        <w:r w:rsidRPr="00A66DC1">
          <w:rPr>
            <w:rStyle w:val="Hyperlink"/>
            <w:snapToGrid w:val="0"/>
            <w:kern w:val="18"/>
            <w:szCs w:val="18"/>
            <w:lang w:val="fr-CA"/>
          </w:rPr>
          <w:t>programme</w:t>
        </w:r>
      </w:hyperlink>
    </w:p>
  </w:footnote>
  <w:footnote w:id="20">
    <w:p w:rsidR="00E6163E" w:rsidRPr="00A66DC1" w:rsidRDefault="00E6163E" w:rsidP="00E6163E">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Pr>
          <w:snapToGrid w:val="0"/>
          <w:kern w:val="18"/>
          <w:szCs w:val="18"/>
          <w:lang w:val="fr-CA"/>
        </w:rPr>
        <w:t>Par exemple, des engagements pour réaliser l</w:t>
      </w:r>
      <w:r w:rsidR="00DF1C84">
        <w:rPr>
          <w:snapToGrid w:val="0"/>
          <w:kern w:val="18"/>
          <w:szCs w:val="18"/>
          <w:lang w:val="fr-CA"/>
        </w:rPr>
        <w:t>’</w:t>
      </w:r>
      <w:r>
        <w:rPr>
          <w:snapToGrid w:val="0"/>
          <w:kern w:val="18"/>
          <w:szCs w:val="18"/>
          <w:lang w:val="fr-CA"/>
        </w:rPr>
        <w:t xml:space="preserve">objectif 14 de développement durable </w:t>
      </w:r>
      <w:r w:rsidR="00DF1C84">
        <w:rPr>
          <w:snapToGrid w:val="0"/>
          <w:kern w:val="18"/>
          <w:szCs w:val="18"/>
          <w:lang w:val="fr-CA"/>
        </w:rPr>
        <w:noBreakHyphen/>
      </w:r>
      <w:r w:rsidRPr="00A66DC1">
        <w:rPr>
          <w:snapToGrid w:val="0"/>
          <w:kern w:val="18"/>
          <w:szCs w:val="18"/>
          <w:lang w:val="fr-CA"/>
        </w:rPr>
        <w:t xml:space="preserve"> </w:t>
      </w:r>
      <w:hyperlink r:id="rId7" w:history="1">
        <w:r w:rsidRPr="00A66DC1">
          <w:rPr>
            <w:rStyle w:val="Hyperlink"/>
            <w:snapToGrid w:val="0"/>
            <w:kern w:val="18"/>
            <w:szCs w:val="18"/>
            <w:lang w:val="fr-CA"/>
          </w:rPr>
          <w:t>ttps://oceanconference.un.org/commitments/</w:t>
        </w:r>
      </w:hyperlink>
    </w:p>
  </w:footnote>
  <w:footnote w:id="21">
    <w:p w:rsidR="00BC229B" w:rsidRPr="00A66DC1" w:rsidRDefault="00BC229B" w:rsidP="00BC229B">
      <w:pPr>
        <w:pStyle w:val="FootnoteText"/>
        <w:kinsoku w:val="0"/>
        <w:overflowPunct w:val="0"/>
        <w:autoSpaceDE w:val="0"/>
        <w:autoSpaceDN w:val="0"/>
        <w:adjustRightInd w:val="0"/>
        <w:snapToGrid w:val="0"/>
        <w:ind w:firstLine="0"/>
        <w:rPr>
          <w:snapToGrid w:val="0"/>
          <w:kern w:val="18"/>
          <w:szCs w:val="18"/>
          <w:lang w:val="fr-CA"/>
        </w:rPr>
      </w:pPr>
      <w:r w:rsidRPr="00A66DC1">
        <w:rPr>
          <w:rStyle w:val="FootnoteReference"/>
          <w:snapToGrid w:val="0"/>
          <w:kern w:val="18"/>
          <w:szCs w:val="18"/>
          <w:u w:val="none"/>
          <w:vertAlign w:val="superscript"/>
          <w:lang w:val="fr-CA"/>
        </w:rPr>
        <w:footnoteRef/>
      </w:r>
      <w:r w:rsidRPr="00A66DC1">
        <w:rPr>
          <w:snapToGrid w:val="0"/>
          <w:kern w:val="18"/>
          <w:szCs w:val="18"/>
          <w:lang w:val="fr-CA"/>
        </w:rPr>
        <w:t xml:space="preserve"> CBD/SBI/1/</w:t>
      </w:r>
      <w:r w:rsidR="003349A9">
        <w:rPr>
          <w:noProof/>
          <w:snapToGrid w:val="0"/>
          <w:kern w:val="18"/>
          <w:szCs w:val="18"/>
          <w:lang w:val="fr-CA"/>
        </w:rPr>
        <w:t>10/</w:t>
      </w:r>
      <w:proofErr w:type="spellStart"/>
      <w:r w:rsidR="003349A9">
        <w:rPr>
          <w:noProof/>
          <w:snapToGrid w:val="0"/>
          <w:kern w:val="18"/>
          <w:szCs w:val="18"/>
          <w:lang w:val="fr-CA"/>
        </w:rPr>
        <w:t>Add</w:t>
      </w:r>
      <w:proofErr w:type="spellEnd"/>
      <w:r w:rsidR="003349A9">
        <w:rPr>
          <w:noProof/>
          <w:snapToGrid w:val="0"/>
          <w:kern w:val="18"/>
          <w:szCs w:val="18"/>
          <w:lang w:val="fr-CA"/>
        </w:rPr>
        <w:t>.3 et</w:t>
      </w:r>
      <w:r w:rsidRPr="00A66DC1">
        <w:rPr>
          <w:snapToGrid w:val="0"/>
          <w:kern w:val="18"/>
          <w:szCs w:val="18"/>
          <w:lang w:val="fr-CA"/>
        </w:rPr>
        <w:t xml:space="preserve"> CBD/SBI/2/11.</w:t>
      </w:r>
    </w:p>
  </w:footnote>
  <w:footnote w:id="22">
    <w:p w:rsidR="00075DFC" w:rsidRPr="00A66DC1" w:rsidRDefault="00075DFC" w:rsidP="002C44E0">
      <w:pPr>
        <w:pStyle w:val="FootnoteText"/>
        <w:kinsoku w:val="0"/>
        <w:overflowPunct w:val="0"/>
        <w:autoSpaceDE w:val="0"/>
        <w:autoSpaceDN w:val="0"/>
        <w:adjustRightInd w:val="0"/>
        <w:snapToGrid w:val="0"/>
        <w:ind w:firstLine="0"/>
        <w:rPr>
          <w:noProof/>
          <w:snapToGrid w:val="0"/>
          <w:kern w:val="18"/>
          <w:szCs w:val="18"/>
          <w:lang w:val="fr-CA"/>
        </w:rPr>
      </w:pPr>
      <w:r w:rsidRPr="00A66DC1">
        <w:rPr>
          <w:rStyle w:val="FootnoteReference"/>
          <w:snapToGrid w:val="0"/>
          <w:kern w:val="18"/>
          <w:szCs w:val="18"/>
          <w:u w:val="none"/>
          <w:vertAlign w:val="superscript"/>
          <w:lang w:val="fr-CA"/>
        </w:rPr>
        <w:footnoteRef/>
      </w:r>
      <w:r w:rsidRPr="00A66DC1">
        <w:rPr>
          <w:snapToGrid w:val="0"/>
          <w:kern w:val="18"/>
          <w:szCs w:val="18"/>
          <w:lang w:val="fr-CA"/>
        </w:rPr>
        <w:t xml:space="preserve"> </w:t>
      </w:r>
      <w:r w:rsidR="002C44E0">
        <w:rPr>
          <w:snapToGrid w:val="0"/>
          <w:kern w:val="18"/>
          <w:szCs w:val="18"/>
          <w:lang w:val="fr-CA"/>
        </w:rPr>
        <w:t>L</w:t>
      </w:r>
      <w:r w:rsidR="00DF1C84">
        <w:rPr>
          <w:snapToGrid w:val="0"/>
          <w:kern w:val="18"/>
          <w:szCs w:val="18"/>
          <w:lang w:val="fr-CA"/>
        </w:rPr>
        <w:t>’</w:t>
      </w:r>
      <w:r w:rsidR="002C44E0">
        <w:rPr>
          <w:snapToGrid w:val="0"/>
          <w:kern w:val="18"/>
          <w:szCs w:val="18"/>
          <w:lang w:val="fr-CA"/>
        </w:rPr>
        <w:t>annexe contient une mise à jour des mécanismes d</w:t>
      </w:r>
      <w:r w:rsidR="00DF1C84">
        <w:rPr>
          <w:snapToGrid w:val="0"/>
          <w:kern w:val="18"/>
          <w:szCs w:val="18"/>
          <w:lang w:val="fr-CA"/>
        </w:rPr>
        <w:t>’</w:t>
      </w:r>
      <w:r w:rsidR="002C44E0">
        <w:rPr>
          <w:snapToGrid w:val="0"/>
          <w:kern w:val="18"/>
          <w:szCs w:val="18"/>
          <w:lang w:val="fr-CA"/>
        </w:rPr>
        <w:t>examen établis depuis l</w:t>
      </w:r>
      <w:r w:rsidR="00DF1C84">
        <w:rPr>
          <w:snapToGrid w:val="0"/>
          <w:kern w:val="18"/>
          <w:szCs w:val="18"/>
          <w:lang w:val="fr-CA"/>
        </w:rPr>
        <w:t>’</w:t>
      </w:r>
      <w:r w:rsidR="002C44E0">
        <w:rPr>
          <w:snapToGrid w:val="0"/>
          <w:kern w:val="18"/>
          <w:szCs w:val="18"/>
          <w:lang w:val="fr-CA"/>
        </w:rPr>
        <w:t xml:space="preserve">examen figurant dans le document </w:t>
      </w:r>
      <w:r w:rsidR="002C44E0" w:rsidRPr="00A66DC1">
        <w:rPr>
          <w:snapToGrid w:val="0"/>
          <w:kern w:val="18"/>
          <w:szCs w:val="18"/>
          <w:lang w:val="fr-CA"/>
        </w:rPr>
        <w:t>UNEP/CBD/SBI/1/</w:t>
      </w:r>
      <w:r w:rsidR="002C44E0" w:rsidRPr="00A66DC1">
        <w:rPr>
          <w:noProof/>
          <w:snapToGrid w:val="0"/>
          <w:kern w:val="18"/>
          <w:szCs w:val="18"/>
          <w:lang w:val="fr-CA"/>
        </w:rPr>
        <w:t>10/</w:t>
      </w:r>
      <w:proofErr w:type="spellStart"/>
      <w:r w:rsidR="002C44E0" w:rsidRPr="00A66DC1">
        <w:rPr>
          <w:noProof/>
          <w:snapToGrid w:val="0"/>
          <w:kern w:val="18"/>
          <w:szCs w:val="18"/>
          <w:lang w:val="fr-CA"/>
        </w:rPr>
        <w:t>Add</w:t>
      </w:r>
      <w:proofErr w:type="spellEnd"/>
      <w:r w:rsidR="002C44E0" w:rsidRPr="00A66DC1">
        <w:rPr>
          <w:noProof/>
          <w:snapToGrid w:val="0"/>
          <w:kern w:val="18"/>
          <w:szCs w:val="18"/>
          <w:lang w:val="fr-CA"/>
        </w:rPr>
        <w:t>.3</w:t>
      </w:r>
      <w:r w:rsidR="002C44E0">
        <w:rPr>
          <w:noProof/>
          <w:snapToGrid w:val="0"/>
          <w:kern w:val="18"/>
          <w:szCs w:val="18"/>
          <w:lang w:val="fr-CA"/>
        </w:rPr>
        <w:t>.</w:t>
      </w:r>
    </w:p>
  </w:footnote>
  <w:footnote w:id="23">
    <w:p w:rsidR="00075DFC" w:rsidRPr="00A66DC1" w:rsidRDefault="00075DFC" w:rsidP="002C44E0">
      <w:pPr>
        <w:pStyle w:val="FootnoteText"/>
        <w:kinsoku w:val="0"/>
        <w:overflowPunct w:val="0"/>
        <w:autoSpaceDE w:val="0"/>
        <w:autoSpaceDN w:val="0"/>
        <w:adjustRightInd w:val="0"/>
        <w:snapToGrid w:val="0"/>
        <w:ind w:firstLine="0"/>
        <w:rPr>
          <w:snapToGrid w:val="0"/>
          <w:kern w:val="18"/>
          <w:szCs w:val="18"/>
          <w:lang w:val="fr-CA"/>
        </w:rPr>
      </w:pPr>
      <w:r w:rsidRPr="00A66DC1">
        <w:rPr>
          <w:rStyle w:val="FootnoteReference"/>
          <w:snapToGrid w:val="0"/>
          <w:kern w:val="18"/>
          <w:szCs w:val="18"/>
          <w:u w:val="none"/>
          <w:vertAlign w:val="superscript"/>
          <w:lang w:val="fr-CA"/>
        </w:rPr>
        <w:footnoteRef/>
      </w:r>
      <w:r w:rsidRPr="00A66DC1">
        <w:rPr>
          <w:snapToGrid w:val="0"/>
          <w:kern w:val="18"/>
          <w:szCs w:val="18"/>
          <w:lang w:val="fr-CA"/>
        </w:rPr>
        <w:t xml:space="preserve"> </w:t>
      </w:r>
      <w:r w:rsidR="002C44E0" w:rsidRPr="002C44E0">
        <w:rPr>
          <w:noProof/>
          <w:snapToGrid w:val="0"/>
          <w:kern w:val="18"/>
          <w:szCs w:val="18"/>
          <w:lang w:val="fr-CA"/>
        </w:rPr>
        <w:t>Nations Unies,</w:t>
      </w:r>
      <w:r w:rsidR="002C44E0">
        <w:rPr>
          <w:noProof/>
          <w:snapToGrid w:val="0"/>
          <w:kern w:val="18"/>
          <w:szCs w:val="18"/>
          <w:lang w:val="fr-CA"/>
        </w:rPr>
        <w:t xml:space="preserve"> </w:t>
      </w:r>
      <w:r w:rsidR="002C44E0" w:rsidRPr="002C44E0">
        <w:rPr>
          <w:i/>
          <w:iCs/>
          <w:noProof/>
          <w:snapToGrid w:val="0"/>
          <w:kern w:val="18"/>
          <w:szCs w:val="18"/>
          <w:lang w:val="fr-CA"/>
        </w:rPr>
        <w:t>Recueil des Traités</w:t>
      </w:r>
      <w:r w:rsidR="002C44E0">
        <w:rPr>
          <w:noProof/>
          <w:snapToGrid w:val="0"/>
          <w:kern w:val="18"/>
          <w:szCs w:val="18"/>
          <w:lang w:val="fr-CA"/>
        </w:rPr>
        <w:t>, n</w:t>
      </w:r>
      <w:r w:rsidR="002C44E0">
        <w:rPr>
          <w:noProof/>
          <w:snapToGrid w:val="0"/>
          <w:kern w:val="18"/>
          <w:szCs w:val="18"/>
          <w:vertAlign w:val="superscript"/>
          <w:lang w:val="fr-CA"/>
        </w:rPr>
        <w:t>o</w:t>
      </w:r>
      <w:r w:rsidR="002C44E0">
        <w:rPr>
          <w:noProof/>
          <w:snapToGrid w:val="0"/>
          <w:kern w:val="18"/>
          <w:szCs w:val="18"/>
          <w:lang w:val="fr-CA"/>
        </w:rPr>
        <w:t> d</w:t>
      </w:r>
      <w:r w:rsidR="00DF1C84">
        <w:rPr>
          <w:noProof/>
          <w:snapToGrid w:val="0"/>
          <w:kern w:val="18"/>
          <w:szCs w:val="18"/>
          <w:lang w:val="fr-CA"/>
        </w:rPr>
        <w:t>’</w:t>
      </w:r>
      <w:r w:rsidR="002C44E0">
        <w:rPr>
          <w:noProof/>
          <w:snapToGrid w:val="0"/>
          <w:kern w:val="18"/>
          <w:szCs w:val="18"/>
          <w:lang w:val="fr-CA"/>
        </w:rPr>
        <w:t xml:space="preserve">enregistrement </w:t>
      </w:r>
      <w:r w:rsidR="002C44E0" w:rsidRPr="00A66DC1">
        <w:rPr>
          <w:snapToGrid w:val="0"/>
          <w:kern w:val="18"/>
          <w:szCs w:val="18"/>
          <w:lang w:val="fr-CA"/>
        </w:rPr>
        <w:t>I</w:t>
      </w:r>
      <w:r w:rsidR="00DF1C84">
        <w:rPr>
          <w:snapToGrid w:val="0"/>
          <w:kern w:val="18"/>
          <w:szCs w:val="18"/>
          <w:lang w:val="fr-CA"/>
        </w:rPr>
        <w:noBreakHyphen/>
      </w:r>
      <w:r w:rsidR="002C44E0" w:rsidRPr="00A66DC1">
        <w:rPr>
          <w:snapToGrid w:val="0"/>
          <w:kern w:val="18"/>
          <w:szCs w:val="18"/>
          <w:lang w:val="fr-CA"/>
        </w:rPr>
        <w:t>54113</w:t>
      </w:r>
      <w:r w:rsidRPr="00A66DC1">
        <w:rPr>
          <w:snapToGrid w:val="0"/>
          <w:kern w:val="18"/>
          <w:szCs w:val="18"/>
          <w:lang w:val="fr-CA"/>
        </w:rPr>
        <w:t>.</w:t>
      </w:r>
    </w:p>
  </w:footnote>
  <w:footnote w:id="24">
    <w:p w:rsidR="00D50562" w:rsidRPr="00A66DC1" w:rsidRDefault="00D50562" w:rsidP="00842AF4">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w:t>
      </w:r>
      <w:hyperlink r:id="rId8" w:history="1">
        <w:r w:rsidR="00842AF4" w:rsidRPr="00A308F4">
          <w:rPr>
            <w:rStyle w:val="Hyperlink"/>
            <w:snapToGrid w:val="0"/>
            <w:kern w:val="18"/>
            <w:szCs w:val="18"/>
            <w:lang w:val="fr-CA"/>
          </w:rPr>
          <w:t>https://sustainabledevelopment.un.org/content/documents/17877VNR_handbook_2018_French.pdf</w:t>
        </w:r>
      </w:hyperlink>
      <w:r w:rsidR="00842AF4">
        <w:rPr>
          <w:snapToGrid w:val="0"/>
          <w:kern w:val="18"/>
          <w:szCs w:val="18"/>
          <w:lang w:val="fr-CA"/>
        </w:rPr>
        <w:t xml:space="preserve"> </w:t>
      </w:r>
    </w:p>
  </w:footnote>
  <w:footnote w:id="25">
    <w:p w:rsidR="00D50562" w:rsidRPr="00A66DC1" w:rsidRDefault="00D50562" w:rsidP="00D50562">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w:t>
      </w:r>
      <w:hyperlink r:id="rId9" w:history="1">
        <w:r w:rsidR="00842AF4" w:rsidRPr="00A308F4">
          <w:rPr>
            <w:rStyle w:val="Hyperlink"/>
            <w:snapToGrid w:val="0"/>
            <w:kern w:val="18"/>
            <w:szCs w:val="18"/>
            <w:lang w:val="fr-CA"/>
          </w:rPr>
          <w:t>https://sustainabledevelopm</w:t>
        </w:r>
        <w:r w:rsidR="00842AF4" w:rsidRPr="00A308F4">
          <w:rPr>
            <w:rStyle w:val="Hyperlink"/>
            <w:snapToGrid w:val="0"/>
            <w:kern w:val="18"/>
            <w:szCs w:val="18"/>
            <w:lang w:val="fr-CA"/>
          </w:rPr>
          <w:t>e</w:t>
        </w:r>
        <w:r w:rsidR="00842AF4" w:rsidRPr="00A308F4">
          <w:rPr>
            <w:rStyle w:val="Hyperlink"/>
            <w:snapToGrid w:val="0"/>
            <w:kern w:val="18"/>
            <w:szCs w:val="18"/>
            <w:lang w:val="fr-CA"/>
          </w:rPr>
          <w:t>nt.un.org/</w:t>
        </w:r>
        <w:r w:rsidR="00842AF4" w:rsidRPr="00A308F4">
          <w:rPr>
            <w:rStyle w:val="Hyperlink"/>
            <w:snapToGrid w:val="0"/>
            <w:kern w:val="18"/>
            <w:szCs w:val="18"/>
            <w:lang w:val="fr-CA"/>
          </w:rPr>
          <w:t>c</w:t>
        </w:r>
        <w:r w:rsidR="00842AF4" w:rsidRPr="00A308F4">
          <w:rPr>
            <w:rStyle w:val="Hyperlink"/>
            <w:snapToGrid w:val="0"/>
            <w:kern w:val="18"/>
            <w:szCs w:val="18"/>
            <w:lang w:val="fr-CA"/>
          </w:rPr>
          <w:t>ontent/docum</w:t>
        </w:r>
        <w:r w:rsidR="00842AF4" w:rsidRPr="00A308F4">
          <w:rPr>
            <w:rStyle w:val="Hyperlink"/>
            <w:snapToGrid w:val="0"/>
            <w:kern w:val="18"/>
            <w:szCs w:val="18"/>
            <w:lang w:val="fr-CA"/>
          </w:rPr>
          <w:t>e</w:t>
        </w:r>
        <w:r w:rsidR="00842AF4" w:rsidRPr="00A308F4">
          <w:rPr>
            <w:rStyle w:val="Hyperlink"/>
            <w:snapToGrid w:val="0"/>
            <w:kern w:val="18"/>
            <w:szCs w:val="18"/>
            <w:lang w:val="fr-CA"/>
          </w:rPr>
          <w:t>nts/17346Updated_Voluntary_Guidelines.pdf</w:t>
        </w:r>
      </w:hyperlink>
      <w:r w:rsidRPr="00A66DC1">
        <w:rPr>
          <w:snapToGrid w:val="0"/>
          <w:kern w:val="18"/>
          <w:szCs w:val="18"/>
          <w:lang w:val="fr-CA"/>
        </w:rPr>
        <w:t xml:space="preserve"> </w:t>
      </w:r>
    </w:p>
  </w:footnote>
  <w:footnote w:id="26">
    <w:p w:rsidR="00A730C1" w:rsidRPr="00A66DC1" w:rsidRDefault="00A730C1" w:rsidP="00A730C1">
      <w:pPr>
        <w:pStyle w:val="FootnoteText"/>
        <w:kinsoku w:val="0"/>
        <w:overflowPunct w:val="0"/>
        <w:autoSpaceDE w:val="0"/>
        <w:autoSpaceDN w:val="0"/>
        <w:adjustRightInd w:val="0"/>
        <w:snapToGrid w:val="0"/>
        <w:ind w:firstLine="0"/>
        <w:rPr>
          <w:snapToGrid w:val="0"/>
          <w:kern w:val="18"/>
          <w:szCs w:val="18"/>
          <w:lang w:val="fr-CA"/>
        </w:rPr>
      </w:pPr>
      <w:r w:rsidRPr="00A66DC1">
        <w:rPr>
          <w:snapToGrid w:val="0"/>
          <w:kern w:val="18"/>
          <w:szCs w:val="18"/>
          <w:vertAlign w:val="superscript"/>
          <w:lang w:val="fr-CA"/>
        </w:rPr>
        <w:footnoteRef/>
      </w:r>
      <w:r w:rsidRPr="00A66DC1">
        <w:rPr>
          <w:snapToGrid w:val="0"/>
          <w:kern w:val="18"/>
          <w:szCs w:val="18"/>
          <w:lang w:val="fr-CA"/>
        </w:rPr>
        <w:t xml:space="preserve"> CBD/SBI/2/INF/27.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3E" w:rsidRPr="00051FD1" w:rsidRDefault="00E6163E" w:rsidP="00051FD1">
    <w:pPr>
      <w:suppressLineNumbers/>
      <w:suppressAutoHyphens/>
      <w:kinsoku w:val="0"/>
      <w:overflowPunct w:val="0"/>
      <w:autoSpaceDE w:val="0"/>
      <w:autoSpaceDN w:val="0"/>
      <w:adjustRightInd w:val="0"/>
      <w:snapToGrid w:val="0"/>
      <w:rPr>
        <w:noProof/>
        <w:snapToGrid w:val="0"/>
        <w:kern w:val="22"/>
        <w:sz w:val="22"/>
        <w:szCs w:val="22"/>
        <w:lang w:val="en-GB"/>
      </w:rPr>
    </w:pPr>
    <w:r w:rsidRPr="00051FD1">
      <w:rPr>
        <w:noProof/>
        <w:snapToGrid w:val="0"/>
        <w:kern w:val="22"/>
        <w:sz w:val="22"/>
        <w:szCs w:val="22"/>
        <w:lang w:val="en-GB"/>
      </w:rPr>
      <w:t>CBD/SBI/2/11</w:t>
    </w:r>
  </w:p>
  <w:p w:rsidR="00E6163E" w:rsidRPr="00051FD1" w:rsidRDefault="00E6163E" w:rsidP="00051FD1">
    <w:pPr>
      <w:pStyle w:val="Header"/>
      <w:suppressLineNumbers/>
      <w:tabs>
        <w:tab w:val="clear" w:pos="4320"/>
        <w:tab w:val="clear" w:pos="8640"/>
      </w:tabs>
      <w:suppressAutoHyphens/>
      <w:kinsoku w:val="0"/>
      <w:overflowPunct w:val="0"/>
      <w:autoSpaceDE w:val="0"/>
      <w:autoSpaceDN w:val="0"/>
      <w:adjustRightInd w:val="0"/>
      <w:snapToGrid w:val="0"/>
      <w:rPr>
        <w:noProof/>
        <w:snapToGrid w:val="0"/>
        <w:kern w:val="22"/>
        <w:sz w:val="22"/>
        <w:szCs w:val="22"/>
        <w:lang w:val="en-GB"/>
      </w:rPr>
    </w:pPr>
    <w:r w:rsidRPr="00051FD1">
      <w:rPr>
        <w:noProof/>
        <w:snapToGrid w:val="0"/>
        <w:kern w:val="22"/>
        <w:sz w:val="22"/>
        <w:szCs w:val="22"/>
        <w:lang w:val="en-GB"/>
      </w:rPr>
      <w:t xml:space="preserve">Page </w:t>
    </w:r>
    <w:r w:rsidRPr="00051FD1">
      <w:rPr>
        <w:noProof/>
        <w:snapToGrid w:val="0"/>
        <w:kern w:val="22"/>
        <w:sz w:val="22"/>
        <w:szCs w:val="22"/>
        <w:lang w:val="en-GB"/>
      </w:rPr>
      <w:fldChar w:fldCharType="begin"/>
    </w:r>
    <w:r w:rsidRPr="00051FD1">
      <w:rPr>
        <w:noProof/>
        <w:snapToGrid w:val="0"/>
        <w:kern w:val="22"/>
        <w:sz w:val="22"/>
        <w:szCs w:val="22"/>
        <w:lang w:val="en-GB"/>
      </w:rPr>
      <w:instrText xml:space="preserve"> PAGE   \* MERGEFORMAT </w:instrText>
    </w:r>
    <w:r w:rsidRPr="00051FD1">
      <w:rPr>
        <w:noProof/>
        <w:snapToGrid w:val="0"/>
        <w:kern w:val="22"/>
        <w:sz w:val="22"/>
        <w:szCs w:val="22"/>
        <w:lang w:val="en-GB"/>
      </w:rPr>
      <w:fldChar w:fldCharType="separate"/>
    </w:r>
    <w:r w:rsidR="00443BD5">
      <w:rPr>
        <w:noProof/>
        <w:snapToGrid w:val="0"/>
        <w:kern w:val="22"/>
        <w:sz w:val="22"/>
        <w:szCs w:val="22"/>
        <w:lang w:val="en-GB"/>
      </w:rPr>
      <w:t>14</w:t>
    </w:r>
    <w:r w:rsidRPr="00051FD1">
      <w:rPr>
        <w:noProof/>
        <w:snapToGrid w:val="0"/>
        <w:kern w:val="22"/>
        <w:sz w:val="22"/>
        <w:szCs w:val="22"/>
        <w:lang w:val="en-GB"/>
      </w:rPr>
      <w:fldChar w:fldCharType="end"/>
    </w:r>
  </w:p>
  <w:p w:rsidR="00E6163E" w:rsidRPr="00051FD1" w:rsidRDefault="00E6163E" w:rsidP="00051FD1">
    <w:pPr>
      <w:pStyle w:val="Header"/>
      <w:suppressLineNumbers/>
      <w:tabs>
        <w:tab w:val="clear" w:pos="4320"/>
        <w:tab w:val="clear" w:pos="8640"/>
      </w:tabs>
      <w:suppressAutoHyphens/>
      <w:kinsoku w:val="0"/>
      <w:overflowPunct w:val="0"/>
      <w:autoSpaceDE w:val="0"/>
      <w:autoSpaceDN w:val="0"/>
      <w:adjustRightInd w:val="0"/>
      <w:snapToGrid w:val="0"/>
      <w:rPr>
        <w:noProof/>
        <w:snapToGrid w:val="0"/>
        <w:kern w:val="22"/>
        <w:sz w:val="22"/>
        <w:szCs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3E" w:rsidRPr="00051FD1" w:rsidRDefault="00E6163E" w:rsidP="00051FD1">
    <w:pPr>
      <w:suppressLineNumbers/>
      <w:suppressAutoHyphens/>
      <w:kinsoku w:val="0"/>
      <w:overflowPunct w:val="0"/>
      <w:autoSpaceDE w:val="0"/>
      <w:autoSpaceDN w:val="0"/>
      <w:adjustRightInd w:val="0"/>
      <w:snapToGrid w:val="0"/>
      <w:jc w:val="right"/>
      <w:rPr>
        <w:noProof/>
        <w:snapToGrid w:val="0"/>
        <w:kern w:val="22"/>
        <w:sz w:val="22"/>
        <w:szCs w:val="22"/>
        <w:lang w:val="en-GB"/>
      </w:rPr>
    </w:pPr>
    <w:r w:rsidRPr="00051FD1">
      <w:rPr>
        <w:noProof/>
        <w:snapToGrid w:val="0"/>
        <w:kern w:val="22"/>
        <w:sz w:val="22"/>
        <w:szCs w:val="22"/>
        <w:lang w:val="en-GB"/>
      </w:rPr>
      <w:t>CBD/SBI/2/11</w:t>
    </w:r>
  </w:p>
  <w:p w:rsidR="00E6163E" w:rsidRPr="00051FD1" w:rsidRDefault="00E6163E" w:rsidP="00051FD1">
    <w:pPr>
      <w:pStyle w:val="Header"/>
      <w:suppressLineNumbers/>
      <w:tabs>
        <w:tab w:val="clear" w:pos="4320"/>
        <w:tab w:val="clear" w:pos="8640"/>
      </w:tabs>
      <w:suppressAutoHyphens/>
      <w:kinsoku w:val="0"/>
      <w:overflowPunct w:val="0"/>
      <w:autoSpaceDE w:val="0"/>
      <w:autoSpaceDN w:val="0"/>
      <w:adjustRightInd w:val="0"/>
      <w:snapToGrid w:val="0"/>
      <w:jc w:val="right"/>
      <w:rPr>
        <w:noProof/>
        <w:snapToGrid w:val="0"/>
        <w:kern w:val="22"/>
        <w:sz w:val="22"/>
        <w:szCs w:val="22"/>
        <w:lang w:val="en-GB"/>
      </w:rPr>
    </w:pPr>
    <w:r w:rsidRPr="00051FD1">
      <w:rPr>
        <w:noProof/>
        <w:snapToGrid w:val="0"/>
        <w:kern w:val="22"/>
        <w:sz w:val="22"/>
        <w:szCs w:val="22"/>
        <w:lang w:val="en-GB"/>
      </w:rPr>
      <w:t xml:space="preserve">Page </w:t>
    </w:r>
    <w:r w:rsidRPr="00051FD1">
      <w:rPr>
        <w:noProof/>
        <w:snapToGrid w:val="0"/>
        <w:kern w:val="22"/>
        <w:sz w:val="22"/>
        <w:szCs w:val="22"/>
        <w:lang w:val="en-GB"/>
      </w:rPr>
      <w:fldChar w:fldCharType="begin"/>
    </w:r>
    <w:r w:rsidRPr="00051FD1">
      <w:rPr>
        <w:noProof/>
        <w:snapToGrid w:val="0"/>
        <w:kern w:val="22"/>
        <w:sz w:val="22"/>
        <w:szCs w:val="22"/>
        <w:lang w:val="en-GB"/>
      </w:rPr>
      <w:instrText xml:space="preserve"> PAGE   \* MERGEFORMAT </w:instrText>
    </w:r>
    <w:r w:rsidRPr="00051FD1">
      <w:rPr>
        <w:noProof/>
        <w:snapToGrid w:val="0"/>
        <w:kern w:val="22"/>
        <w:sz w:val="22"/>
        <w:szCs w:val="22"/>
        <w:lang w:val="en-GB"/>
      </w:rPr>
      <w:fldChar w:fldCharType="separate"/>
    </w:r>
    <w:r w:rsidR="00443BD5">
      <w:rPr>
        <w:noProof/>
        <w:snapToGrid w:val="0"/>
        <w:kern w:val="22"/>
        <w:sz w:val="22"/>
        <w:szCs w:val="22"/>
        <w:lang w:val="en-GB"/>
      </w:rPr>
      <w:t>13</w:t>
    </w:r>
    <w:r w:rsidRPr="00051FD1">
      <w:rPr>
        <w:noProof/>
        <w:snapToGrid w:val="0"/>
        <w:kern w:val="22"/>
        <w:sz w:val="22"/>
        <w:szCs w:val="22"/>
        <w:lang w:val="en-GB"/>
      </w:rPr>
      <w:fldChar w:fldCharType="end"/>
    </w:r>
  </w:p>
  <w:p w:rsidR="00E6163E" w:rsidRPr="00051FD1" w:rsidRDefault="00E6163E" w:rsidP="00051FD1">
    <w:pPr>
      <w:pStyle w:val="Header"/>
      <w:suppressLineNumbers/>
      <w:tabs>
        <w:tab w:val="clear" w:pos="4320"/>
        <w:tab w:val="clear" w:pos="8640"/>
      </w:tabs>
      <w:suppressAutoHyphens/>
      <w:kinsoku w:val="0"/>
      <w:overflowPunct w:val="0"/>
      <w:autoSpaceDE w:val="0"/>
      <w:autoSpaceDN w:val="0"/>
      <w:adjustRightInd w:val="0"/>
      <w:snapToGrid w:val="0"/>
      <w:jc w:val="right"/>
      <w:rPr>
        <w:noProof/>
        <w:snapToGrid w:val="0"/>
        <w:kern w:val="22"/>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208D7B1B"/>
    <w:multiLevelType w:val="hybridMultilevel"/>
    <w:tmpl w:val="08702B72"/>
    <w:lvl w:ilvl="0" w:tplc="0C0C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D7234AB"/>
    <w:multiLevelType w:val="hybridMultilevel"/>
    <w:tmpl w:val="2A14A368"/>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A650566"/>
    <w:multiLevelType w:val="hybridMultilevel"/>
    <w:tmpl w:val="624C6288"/>
    <w:lvl w:ilvl="0" w:tplc="0C0C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nsid w:val="3E6A3C8B"/>
    <w:multiLevelType w:val="hybridMultilevel"/>
    <w:tmpl w:val="BE1CDD2A"/>
    <w:lvl w:ilvl="0" w:tplc="4C7479F4">
      <w:start w:val="1"/>
      <w:numFmt w:val="bullet"/>
      <w:lvlText w:val="•"/>
      <w:lvlJc w:val="left"/>
      <w:pPr>
        <w:tabs>
          <w:tab w:val="num" w:pos="720"/>
        </w:tabs>
        <w:ind w:left="720" w:hanging="360"/>
      </w:pPr>
      <w:rPr>
        <w:rFonts w:ascii="Times New Roman" w:hAnsi="Times New Roman" w:hint="default"/>
      </w:rPr>
    </w:lvl>
    <w:lvl w:ilvl="1" w:tplc="26CE27D8" w:tentative="1">
      <w:start w:val="1"/>
      <w:numFmt w:val="bullet"/>
      <w:lvlText w:val="•"/>
      <w:lvlJc w:val="left"/>
      <w:pPr>
        <w:tabs>
          <w:tab w:val="num" w:pos="1440"/>
        </w:tabs>
        <w:ind w:left="1440" w:hanging="360"/>
      </w:pPr>
      <w:rPr>
        <w:rFonts w:ascii="Times New Roman" w:hAnsi="Times New Roman" w:hint="default"/>
      </w:rPr>
    </w:lvl>
    <w:lvl w:ilvl="2" w:tplc="DE18CCD8" w:tentative="1">
      <w:start w:val="1"/>
      <w:numFmt w:val="bullet"/>
      <w:lvlText w:val="•"/>
      <w:lvlJc w:val="left"/>
      <w:pPr>
        <w:tabs>
          <w:tab w:val="num" w:pos="2160"/>
        </w:tabs>
        <w:ind w:left="2160" w:hanging="360"/>
      </w:pPr>
      <w:rPr>
        <w:rFonts w:ascii="Times New Roman" w:hAnsi="Times New Roman" w:hint="default"/>
      </w:rPr>
    </w:lvl>
    <w:lvl w:ilvl="3" w:tplc="13D66F58" w:tentative="1">
      <w:start w:val="1"/>
      <w:numFmt w:val="bullet"/>
      <w:lvlText w:val="•"/>
      <w:lvlJc w:val="left"/>
      <w:pPr>
        <w:tabs>
          <w:tab w:val="num" w:pos="2880"/>
        </w:tabs>
        <w:ind w:left="2880" w:hanging="360"/>
      </w:pPr>
      <w:rPr>
        <w:rFonts w:ascii="Times New Roman" w:hAnsi="Times New Roman" w:hint="default"/>
      </w:rPr>
    </w:lvl>
    <w:lvl w:ilvl="4" w:tplc="25A6BF40" w:tentative="1">
      <w:start w:val="1"/>
      <w:numFmt w:val="bullet"/>
      <w:lvlText w:val="•"/>
      <w:lvlJc w:val="left"/>
      <w:pPr>
        <w:tabs>
          <w:tab w:val="num" w:pos="3600"/>
        </w:tabs>
        <w:ind w:left="3600" w:hanging="360"/>
      </w:pPr>
      <w:rPr>
        <w:rFonts w:ascii="Times New Roman" w:hAnsi="Times New Roman" w:hint="default"/>
      </w:rPr>
    </w:lvl>
    <w:lvl w:ilvl="5" w:tplc="7B0CE2C8" w:tentative="1">
      <w:start w:val="1"/>
      <w:numFmt w:val="bullet"/>
      <w:lvlText w:val="•"/>
      <w:lvlJc w:val="left"/>
      <w:pPr>
        <w:tabs>
          <w:tab w:val="num" w:pos="4320"/>
        </w:tabs>
        <w:ind w:left="4320" w:hanging="360"/>
      </w:pPr>
      <w:rPr>
        <w:rFonts w:ascii="Times New Roman" w:hAnsi="Times New Roman" w:hint="default"/>
      </w:rPr>
    </w:lvl>
    <w:lvl w:ilvl="6" w:tplc="BCC0C7F8" w:tentative="1">
      <w:start w:val="1"/>
      <w:numFmt w:val="bullet"/>
      <w:lvlText w:val="•"/>
      <w:lvlJc w:val="left"/>
      <w:pPr>
        <w:tabs>
          <w:tab w:val="num" w:pos="5040"/>
        </w:tabs>
        <w:ind w:left="5040" w:hanging="360"/>
      </w:pPr>
      <w:rPr>
        <w:rFonts w:ascii="Times New Roman" w:hAnsi="Times New Roman" w:hint="default"/>
      </w:rPr>
    </w:lvl>
    <w:lvl w:ilvl="7" w:tplc="EE98BFFE" w:tentative="1">
      <w:start w:val="1"/>
      <w:numFmt w:val="bullet"/>
      <w:lvlText w:val="•"/>
      <w:lvlJc w:val="left"/>
      <w:pPr>
        <w:tabs>
          <w:tab w:val="num" w:pos="5760"/>
        </w:tabs>
        <w:ind w:left="5760" w:hanging="360"/>
      </w:pPr>
      <w:rPr>
        <w:rFonts w:ascii="Times New Roman" w:hAnsi="Times New Roman" w:hint="default"/>
      </w:rPr>
    </w:lvl>
    <w:lvl w:ilvl="8" w:tplc="EAB0094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52B4E64"/>
    <w:multiLevelType w:val="hybridMultilevel"/>
    <w:tmpl w:val="C9D6A8FC"/>
    <w:lvl w:ilvl="0" w:tplc="0C0C0017">
      <w:start w:val="1"/>
      <w:numFmt w:val="lowerLetter"/>
      <w:lvlText w:val="%1)"/>
      <w:lvlJc w:val="left"/>
      <w:pPr>
        <w:ind w:left="2496" w:hanging="360"/>
      </w:pPr>
      <w:rPr>
        <w:rFonts w:hint="default"/>
        <w:b w:val="0"/>
      </w:rPr>
    </w:lvl>
    <w:lvl w:ilvl="1" w:tplc="04090019">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2">
    <w:nsid w:val="455F1B79"/>
    <w:multiLevelType w:val="hybridMultilevel"/>
    <w:tmpl w:val="47167C8A"/>
    <w:lvl w:ilvl="0" w:tplc="1FF6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4E0442B4"/>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5707027"/>
    <w:multiLevelType w:val="multilevel"/>
    <w:tmpl w:val="807C92AC"/>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i w:val="0"/>
        <w:i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0CE1700"/>
    <w:multiLevelType w:val="hybridMultilevel"/>
    <w:tmpl w:val="D42AE1E8"/>
    <w:lvl w:ilvl="0" w:tplc="0C0C0017">
      <w:start w:val="1"/>
      <w:numFmt w:val="lowerLetter"/>
      <w:lvlText w:val="%1)"/>
      <w:lvlJc w:val="left"/>
      <w:pPr>
        <w:ind w:left="2496" w:hanging="360"/>
      </w:pPr>
      <w:rPr>
        <w:rFonts w:hint="default"/>
        <w:b w:val="0"/>
      </w:rPr>
    </w:lvl>
    <w:lvl w:ilvl="1" w:tplc="04090019">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20">
    <w:nsid w:val="64EE46A3"/>
    <w:multiLevelType w:val="hybridMultilevel"/>
    <w:tmpl w:val="E99488E0"/>
    <w:lvl w:ilvl="0" w:tplc="5652EF34">
      <w:start w:val="1"/>
      <w:numFmt w:val="decimal"/>
      <w:lvlText w:val="%1."/>
      <w:lvlJc w:val="left"/>
      <w:pPr>
        <w:ind w:left="1260" w:hanging="360"/>
      </w:pPr>
      <w:rPr>
        <w:b w:val="0"/>
        <w:i w:val="0"/>
        <w:sz w:val="22"/>
      </w:rPr>
    </w:lvl>
    <w:lvl w:ilvl="1" w:tplc="0C0C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67126CB6"/>
    <w:multiLevelType w:val="hybridMultilevel"/>
    <w:tmpl w:val="0B1A46F8"/>
    <w:lvl w:ilvl="0" w:tplc="0C0C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4"/>
  </w:num>
  <w:num w:numId="3">
    <w:abstractNumId w:val="10"/>
    <w:lvlOverride w:ilvl="0">
      <w:startOverride w:val="1"/>
    </w:lvlOverride>
  </w:num>
  <w:num w:numId="4">
    <w:abstractNumId w:val="0"/>
  </w:num>
  <w:num w:numId="5">
    <w:abstractNumId w:val="5"/>
  </w:num>
  <w:num w:numId="6">
    <w:abstractNumId w:val="21"/>
  </w:num>
  <w:num w:numId="7">
    <w:abstractNumId w:val="16"/>
  </w:num>
  <w:num w:numId="8">
    <w:abstractNumId w:val="7"/>
  </w:num>
  <w:num w:numId="9">
    <w:abstractNumId w:val="13"/>
  </w:num>
  <w:num w:numId="10">
    <w:abstractNumId w:val="8"/>
  </w:num>
  <w:num w:numId="11">
    <w:abstractNumId w:val="18"/>
  </w:num>
  <w:num w:numId="12">
    <w:abstractNumId w:val="2"/>
  </w:num>
  <w:num w:numId="13">
    <w:abstractNumId w:val="15"/>
  </w:num>
  <w:num w:numId="14">
    <w:abstractNumId w:val="12"/>
  </w:num>
  <w:num w:numId="15">
    <w:abstractNumId w:val="20"/>
  </w:num>
  <w:num w:numId="16">
    <w:abstractNumId w:val="11"/>
  </w:num>
  <w:num w:numId="17">
    <w:abstractNumId w:val="1"/>
  </w:num>
  <w:num w:numId="18">
    <w:abstractNumId w:val="6"/>
  </w:num>
  <w:num w:numId="19">
    <w:abstractNumId w:val="4"/>
  </w:num>
  <w:num w:numId="20">
    <w:abstractNumId w:val="22"/>
  </w:num>
  <w:num w:numId="21">
    <w:abstractNumId w:val="19"/>
  </w:num>
  <w:num w:numId="22">
    <w:abstractNumId w:val="17"/>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CA" w:vendorID="64" w:dllVersion="131078" w:nlCheck="1" w:checkStyle="1"/>
  <w:activeWritingStyle w:appName="MSWord" w:lang="fr-B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82">
      <v:textbox inset="5.85pt,.7pt,5.85pt,.7pt"/>
    </o:shapedefaults>
  </w:hdrShapeDefaults>
  <w:footnotePr>
    <w:footnote w:id="-1"/>
    <w:footnote w:id="0"/>
    <w:footnote w:id="1"/>
  </w:footnotePr>
  <w:endnotePr>
    <w:endnote w:id="-1"/>
    <w:endnote w:id="0"/>
    <w:endnote w:id="1"/>
  </w:endnotePr>
  <w:compat>
    <w:doNotUseHTMLParagraphAutoSpacing/>
    <w:useFELayout/>
  </w:compat>
  <w:rsids>
    <w:rsidRoot w:val="00424E0F"/>
    <w:rsid w:val="00001E04"/>
    <w:rsid w:val="00003800"/>
    <w:rsid w:val="0000395C"/>
    <w:rsid w:val="00004A24"/>
    <w:rsid w:val="00005724"/>
    <w:rsid w:val="000059BA"/>
    <w:rsid w:val="000069DB"/>
    <w:rsid w:val="00006E03"/>
    <w:rsid w:val="0000752C"/>
    <w:rsid w:val="00010915"/>
    <w:rsid w:val="00011D38"/>
    <w:rsid w:val="00011F68"/>
    <w:rsid w:val="00012F49"/>
    <w:rsid w:val="00012F65"/>
    <w:rsid w:val="000130EE"/>
    <w:rsid w:val="00013692"/>
    <w:rsid w:val="000137DC"/>
    <w:rsid w:val="0001383C"/>
    <w:rsid w:val="00013D92"/>
    <w:rsid w:val="00014F89"/>
    <w:rsid w:val="00015F50"/>
    <w:rsid w:val="00017681"/>
    <w:rsid w:val="0001785A"/>
    <w:rsid w:val="000228B9"/>
    <w:rsid w:val="00022A4C"/>
    <w:rsid w:val="00023D05"/>
    <w:rsid w:val="00024A50"/>
    <w:rsid w:val="00025298"/>
    <w:rsid w:val="000261A5"/>
    <w:rsid w:val="00026934"/>
    <w:rsid w:val="00026D45"/>
    <w:rsid w:val="000270CE"/>
    <w:rsid w:val="00030A7A"/>
    <w:rsid w:val="000314DC"/>
    <w:rsid w:val="0003184D"/>
    <w:rsid w:val="00031DBD"/>
    <w:rsid w:val="00032743"/>
    <w:rsid w:val="000332D4"/>
    <w:rsid w:val="0003374F"/>
    <w:rsid w:val="000351C0"/>
    <w:rsid w:val="000359D1"/>
    <w:rsid w:val="00036EC8"/>
    <w:rsid w:val="0003703A"/>
    <w:rsid w:val="000379C5"/>
    <w:rsid w:val="00037B77"/>
    <w:rsid w:val="00037D25"/>
    <w:rsid w:val="0004131C"/>
    <w:rsid w:val="00042217"/>
    <w:rsid w:val="00044140"/>
    <w:rsid w:val="00044448"/>
    <w:rsid w:val="00045335"/>
    <w:rsid w:val="00051FD1"/>
    <w:rsid w:val="000521F3"/>
    <w:rsid w:val="00054BB9"/>
    <w:rsid w:val="00054FD8"/>
    <w:rsid w:val="00057114"/>
    <w:rsid w:val="000577B0"/>
    <w:rsid w:val="00057950"/>
    <w:rsid w:val="000609D1"/>
    <w:rsid w:val="00063331"/>
    <w:rsid w:val="00063619"/>
    <w:rsid w:val="000643AD"/>
    <w:rsid w:val="000644E6"/>
    <w:rsid w:val="00064DD1"/>
    <w:rsid w:val="0006714C"/>
    <w:rsid w:val="00070845"/>
    <w:rsid w:val="00070B58"/>
    <w:rsid w:val="00070E02"/>
    <w:rsid w:val="00070ECE"/>
    <w:rsid w:val="000719F5"/>
    <w:rsid w:val="0007221F"/>
    <w:rsid w:val="0007361F"/>
    <w:rsid w:val="00073903"/>
    <w:rsid w:val="00074504"/>
    <w:rsid w:val="00075DFC"/>
    <w:rsid w:val="00081187"/>
    <w:rsid w:val="00081A12"/>
    <w:rsid w:val="0008235C"/>
    <w:rsid w:val="00083126"/>
    <w:rsid w:val="00083F57"/>
    <w:rsid w:val="00084427"/>
    <w:rsid w:val="0008586B"/>
    <w:rsid w:val="00086B94"/>
    <w:rsid w:val="00087051"/>
    <w:rsid w:val="00087A59"/>
    <w:rsid w:val="00090E40"/>
    <w:rsid w:val="0009153A"/>
    <w:rsid w:val="000922C8"/>
    <w:rsid w:val="00093501"/>
    <w:rsid w:val="000937AA"/>
    <w:rsid w:val="000948E5"/>
    <w:rsid w:val="00095BBA"/>
    <w:rsid w:val="00095BEF"/>
    <w:rsid w:val="00095FB3"/>
    <w:rsid w:val="0009645C"/>
    <w:rsid w:val="000973CE"/>
    <w:rsid w:val="000979C6"/>
    <w:rsid w:val="000A2C8B"/>
    <w:rsid w:val="000A2DD0"/>
    <w:rsid w:val="000A3415"/>
    <w:rsid w:val="000A3E0B"/>
    <w:rsid w:val="000A3EBF"/>
    <w:rsid w:val="000A4E08"/>
    <w:rsid w:val="000A6299"/>
    <w:rsid w:val="000A6ED7"/>
    <w:rsid w:val="000B0E47"/>
    <w:rsid w:val="000B11A5"/>
    <w:rsid w:val="000B2AAA"/>
    <w:rsid w:val="000B3029"/>
    <w:rsid w:val="000B3673"/>
    <w:rsid w:val="000B371E"/>
    <w:rsid w:val="000B61CE"/>
    <w:rsid w:val="000C03F2"/>
    <w:rsid w:val="000C06F8"/>
    <w:rsid w:val="000C175A"/>
    <w:rsid w:val="000C237B"/>
    <w:rsid w:val="000C24A8"/>
    <w:rsid w:val="000C2587"/>
    <w:rsid w:val="000C2CA7"/>
    <w:rsid w:val="000C316D"/>
    <w:rsid w:val="000C342E"/>
    <w:rsid w:val="000C4432"/>
    <w:rsid w:val="000C6C75"/>
    <w:rsid w:val="000C6CC1"/>
    <w:rsid w:val="000C7AED"/>
    <w:rsid w:val="000D0488"/>
    <w:rsid w:val="000D0625"/>
    <w:rsid w:val="000D118D"/>
    <w:rsid w:val="000D2E66"/>
    <w:rsid w:val="000D3A06"/>
    <w:rsid w:val="000D503C"/>
    <w:rsid w:val="000D5550"/>
    <w:rsid w:val="000D61CD"/>
    <w:rsid w:val="000D6716"/>
    <w:rsid w:val="000D6963"/>
    <w:rsid w:val="000D742A"/>
    <w:rsid w:val="000E045D"/>
    <w:rsid w:val="000E0933"/>
    <w:rsid w:val="000E1262"/>
    <w:rsid w:val="000E1A75"/>
    <w:rsid w:val="000E1C4E"/>
    <w:rsid w:val="000E23B2"/>
    <w:rsid w:val="000E44EB"/>
    <w:rsid w:val="000E590C"/>
    <w:rsid w:val="000E766A"/>
    <w:rsid w:val="000E7851"/>
    <w:rsid w:val="000F20E2"/>
    <w:rsid w:val="000F4A5E"/>
    <w:rsid w:val="000F599B"/>
    <w:rsid w:val="000F78FD"/>
    <w:rsid w:val="001009E0"/>
    <w:rsid w:val="001016C8"/>
    <w:rsid w:val="00101A4F"/>
    <w:rsid w:val="00101BF1"/>
    <w:rsid w:val="00101E91"/>
    <w:rsid w:val="00102DB3"/>
    <w:rsid w:val="0010379D"/>
    <w:rsid w:val="00103CAA"/>
    <w:rsid w:val="00104121"/>
    <w:rsid w:val="00104978"/>
    <w:rsid w:val="00105750"/>
    <w:rsid w:val="00105819"/>
    <w:rsid w:val="00105A40"/>
    <w:rsid w:val="00105D8E"/>
    <w:rsid w:val="00106A1E"/>
    <w:rsid w:val="00106B75"/>
    <w:rsid w:val="00107DD4"/>
    <w:rsid w:val="00107F8A"/>
    <w:rsid w:val="001100ED"/>
    <w:rsid w:val="001101D4"/>
    <w:rsid w:val="00110481"/>
    <w:rsid w:val="00112456"/>
    <w:rsid w:val="00112941"/>
    <w:rsid w:val="0011508D"/>
    <w:rsid w:val="0011689E"/>
    <w:rsid w:val="00116E05"/>
    <w:rsid w:val="001171E8"/>
    <w:rsid w:val="001178CC"/>
    <w:rsid w:val="001178F3"/>
    <w:rsid w:val="00117E96"/>
    <w:rsid w:val="00120DAA"/>
    <w:rsid w:val="001221C3"/>
    <w:rsid w:val="00122292"/>
    <w:rsid w:val="00122AA3"/>
    <w:rsid w:val="00122DD5"/>
    <w:rsid w:val="00123CB5"/>
    <w:rsid w:val="00124821"/>
    <w:rsid w:val="00124829"/>
    <w:rsid w:val="00124F73"/>
    <w:rsid w:val="00125806"/>
    <w:rsid w:val="0012695E"/>
    <w:rsid w:val="001274CF"/>
    <w:rsid w:val="001275BC"/>
    <w:rsid w:val="0012765C"/>
    <w:rsid w:val="0013148F"/>
    <w:rsid w:val="00131FC3"/>
    <w:rsid w:val="0013200E"/>
    <w:rsid w:val="00133FDD"/>
    <w:rsid w:val="001343FE"/>
    <w:rsid w:val="00135171"/>
    <w:rsid w:val="0013524D"/>
    <w:rsid w:val="001352FA"/>
    <w:rsid w:val="00135C65"/>
    <w:rsid w:val="00136C38"/>
    <w:rsid w:val="00137579"/>
    <w:rsid w:val="0013779D"/>
    <w:rsid w:val="00140F31"/>
    <w:rsid w:val="00141225"/>
    <w:rsid w:val="001421B4"/>
    <w:rsid w:val="001423AD"/>
    <w:rsid w:val="00142DA6"/>
    <w:rsid w:val="00143C89"/>
    <w:rsid w:val="00144D88"/>
    <w:rsid w:val="0014503F"/>
    <w:rsid w:val="00147A01"/>
    <w:rsid w:val="00150A3A"/>
    <w:rsid w:val="00151E7F"/>
    <w:rsid w:val="00153252"/>
    <w:rsid w:val="00153F5C"/>
    <w:rsid w:val="0015550D"/>
    <w:rsid w:val="00155E23"/>
    <w:rsid w:val="00156840"/>
    <w:rsid w:val="001579D1"/>
    <w:rsid w:val="00157CDC"/>
    <w:rsid w:val="00162471"/>
    <w:rsid w:val="0016273C"/>
    <w:rsid w:val="00162FB8"/>
    <w:rsid w:val="00164124"/>
    <w:rsid w:val="001645D2"/>
    <w:rsid w:val="001647F0"/>
    <w:rsid w:val="00164832"/>
    <w:rsid w:val="0016666F"/>
    <w:rsid w:val="0016675A"/>
    <w:rsid w:val="001671C7"/>
    <w:rsid w:val="00167556"/>
    <w:rsid w:val="0016756E"/>
    <w:rsid w:val="0017060C"/>
    <w:rsid w:val="001724D0"/>
    <w:rsid w:val="00176387"/>
    <w:rsid w:val="00180C75"/>
    <w:rsid w:val="001813C8"/>
    <w:rsid w:val="00181849"/>
    <w:rsid w:val="0018334C"/>
    <w:rsid w:val="00184427"/>
    <w:rsid w:val="00187126"/>
    <w:rsid w:val="00190971"/>
    <w:rsid w:val="00190B7F"/>
    <w:rsid w:val="00191514"/>
    <w:rsid w:val="00191686"/>
    <w:rsid w:val="00193218"/>
    <w:rsid w:val="001938F6"/>
    <w:rsid w:val="00194FF2"/>
    <w:rsid w:val="001952DC"/>
    <w:rsid w:val="00196773"/>
    <w:rsid w:val="00196FB7"/>
    <w:rsid w:val="001A0197"/>
    <w:rsid w:val="001A08ED"/>
    <w:rsid w:val="001A13F6"/>
    <w:rsid w:val="001A1A8C"/>
    <w:rsid w:val="001A1B02"/>
    <w:rsid w:val="001A2504"/>
    <w:rsid w:val="001A43E9"/>
    <w:rsid w:val="001A5E61"/>
    <w:rsid w:val="001A6D5C"/>
    <w:rsid w:val="001B088D"/>
    <w:rsid w:val="001B08C1"/>
    <w:rsid w:val="001B0A9C"/>
    <w:rsid w:val="001B28C7"/>
    <w:rsid w:val="001B2F43"/>
    <w:rsid w:val="001B32A6"/>
    <w:rsid w:val="001B412D"/>
    <w:rsid w:val="001B73B3"/>
    <w:rsid w:val="001C11F2"/>
    <w:rsid w:val="001C19F0"/>
    <w:rsid w:val="001C2363"/>
    <w:rsid w:val="001C2FAC"/>
    <w:rsid w:val="001C3AAC"/>
    <w:rsid w:val="001C3AD5"/>
    <w:rsid w:val="001C427B"/>
    <w:rsid w:val="001C4823"/>
    <w:rsid w:val="001C5070"/>
    <w:rsid w:val="001C73C9"/>
    <w:rsid w:val="001C7D79"/>
    <w:rsid w:val="001C7EF2"/>
    <w:rsid w:val="001D178D"/>
    <w:rsid w:val="001D188A"/>
    <w:rsid w:val="001D1B7B"/>
    <w:rsid w:val="001D2CD9"/>
    <w:rsid w:val="001D34E6"/>
    <w:rsid w:val="001D37AA"/>
    <w:rsid w:val="001D41CA"/>
    <w:rsid w:val="001D428D"/>
    <w:rsid w:val="001D471B"/>
    <w:rsid w:val="001D4BA9"/>
    <w:rsid w:val="001D4C04"/>
    <w:rsid w:val="001D6419"/>
    <w:rsid w:val="001D7285"/>
    <w:rsid w:val="001E039F"/>
    <w:rsid w:val="001E18DE"/>
    <w:rsid w:val="001E199C"/>
    <w:rsid w:val="001E1F80"/>
    <w:rsid w:val="001E2136"/>
    <w:rsid w:val="001E41D6"/>
    <w:rsid w:val="001E46C5"/>
    <w:rsid w:val="001E4C91"/>
    <w:rsid w:val="001F0221"/>
    <w:rsid w:val="001F03A1"/>
    <w:rsid w:val="001F1ADF"/>
    <w:rsid w:val="001F3961"/>
    <w:rsid w:val="001F4EAD"/>
    <w:rsid w:val="001F5234"/>
    <w:rsid w:val="001F5988"/>
    <w:rsid w:val="002014CD"/>
    <w:rsid w:val="002014E6"/>
    <w:rsid w:val="00201752"/>
    <w:rsid w:val="002023FB"/>
    <w:rsid w:val="00202E66"/>
    <w:rsid w:val="00202E7F"/>
    <w:rsid w:val="0020310B"/>
    <w:rsid w:val="002035EF"/>
    <w:rsid w:val="00203E2C"/>
    <w:rsid w:val="002046FD"/>
    <w:rsid w:val="00206DB0"/>
    <w:rsid w:val="00207CEB"/>
    <w:rsid w:val="00207D32"/>
    <w:rsid w:val="002120F6"/>
    <w:rsid w:val="00212CC5"/>
    <w:rsid w:val="00214212"/>
    <w:rsid w:val="002145C7"/>
    <w:rsid w:val="002149CA"/>
    <w:rsid w:val="00215C0E"/>
    <w:rsid w:val="002169EB"/>
    <w:rsid w:val="00216F07"/>
    <w:rsid w:val="00217C77"/>
    <w:rsid w:val="00217F79"/>
    <w:rsid w:val="00220593"/>
    <w:rsid w:val="00222A93"/>
    <w:rsid w:val="0022394D"/>
    <w:rsid w:val="00223A6E"/>
    <w:rsid w:val="00224A97"/>
    <w:rsid w:val="00224C4A"/>
    <w:rsid w:val="002252DA"/>
    <w:rsid w:val="002268B2"/>
    <w:rsid w:val="00227E6F"/>
    <w:rsid w:val="00231453"/>
    <w:rsid w:val="0023272E"/>
    <w:rsid w:val="00233897"/>
    <w:rsid w:val="0023397D"/>
    <w:rsid w:val="002350C7"/>
    <w:rsid w:val="00236763"/>
    <w:rsid w:val="00236D4F"/>
    <w:rsid w:val="00237CAC"/>
    <w:rsid w:val="00240BFA"/>
    <w:rsid w:val="00240C99"/>
    <w:rsid w:val="002432F6"/>
    <w:rsid w:val="00251DA6"/>
    <w:rsid w:val="00252E47"/>
    <w:rsid w:val="00253975"/>
    <w:rsid w:val="00253C0F"/>
    <w:rsid w:val="00254375"/>
    <w:rsid w:val="00254469"/>
    <w:rsid w:val="0025563A"/>
    <w:rsid w:val="00256397"/>
    <w:rsid w:val="002565D2"/>
    <w:rsid w:val="00256F5C"/>
    <w:rsid w:val="002572D9"/>
    <w:rsid w:val="0026001D"/>
    <w:rsid w:val="00261AD1"/>
    <w:rsid w:val="00261C0D"/>
    <w:rsid w:val="00261DED"/>
    <w:rsid w:val="002625AA"/>
    <w:rsid w:val="00262948"/>
    <w:rsid w:val="00262A18"/>
    <w:rsid w:val="00263F82"/>
    <w:rsid w:val="002643CD"/>
    <w:rsid w:val="00264E4F"/>
    <w:rsid w:val="002651B8"/>
    <w:rsid w:val="0026522F"/>
    <w:rsid w:val="002665B7"/>
    <w:rsid w:val="00267AA3"/>
    <w:rsid w:val="002715AD"/>
    <w:rsid w:val="00271A0E"/>
    <w:rsid w:val="00271BEA"/>
    <w:rsid w:val="0027264C"/>
    <w:rsid w:val="00272D13"/>
    <w:rsid w:val="00273401"/>
    <w:rsid w:val="0027698F"/>
    <w:rsid w:val="00276F6A"/>
    <w:rsid w:val="002771D7"/>
    <w:rsid w:val="00277CE2"/>
    <w:rsid w:val="002803F3"/>
    <w:rsid w:val="0028068B"/>
    <w:rsid w:val="00280926"/>
    <w:rsid w:val="002813CE"/>
    <w:rsid w:val="002834FF"/>
    <w:rsid w:val="002843E9"/>
    <w:rsid w:val="002854A9"/>
    <w:rsid w:val="0028680E"/>
    <w:rsid w:val="00286DF5"/>
    <w:rsid w:val="00287580"/>
    <w:rsid w:val="00287A02"/>
    <w:rsid w:val="00290545"/>
    <w:rsid w:val="002907D1"/>
    <w:rsid w:val="002908C6"/>
    <w:rsid w:val="002909E7"/>
    <w:rsid w:val="00290A0E"/>
    <w:rsid w:val="00290E6F"/>
    <w:rsid w:val="002918B9"/>
    <w:rsid w:val="00292620"/>
    <w:rsid w:val="00292DE5"/>
    <w:rsid w:val="00293265"/>
    <w:rsid w:val="00294139"/>
    <w:rsid w:val="00296574"/>
    <w:rsid w:val="002975AD"/>
    <w:rsid w:val="00297742"/>
    <w:rsid w:val="002A0E45"/>
    <w:rsid w:val="002A0E81"/>
    <w:rsid w:val="002A350E"/>
    <w:rsid w:val="002A3BD1"/>
    <w:rsid w:val="002A4871"/>
    <w:rsid w:val="002A4C61"/>
    <w:rsid w:val="002A5095"/>
    <w:rsid w:val="002A54D3"/>
    <w:rsid w:val="002A70E1"/>
    <w:rsid w:val="002A7C31"/>
    <w:rsid w:val="002B1D44"/>
    <w:rsid w:val="002B1D67"/>
    <w:rsid w:val="002B2186"/>
    <w:rsid w:val="002B2241"/>
    <w:rsid w:val="002B4B31"/>
    <w:rsid w:val="002B5091"/>
    <w:rsid w:val="002B5D3C"/>
    <w:rsid w:val="002B63A9"/>
    <w:rsid w:val="002B6732"/>
    <w:rsid w:val="002B674D"/>
    <w:rsid w:val="002B693D"/>
    <w:rsid w:val="002B714F"/>
    <w:rsid w:val="002B7A4B"/>
    <w:rsid w:val="002C08E9"/>
    <w:rsid w:val="002C0A85"/>
    <w:rsid w:val="002C1489"/>
    <w:rsid w:val="002C248D"/>
    <w:rsid w:val="002C2FE8"/>
    <w:rsid w:val="002C3A01"/>
    <w:rsid w:val="002C44E0"/>
    <w:rsid w:val="002C491B"/>
    <w:rsid w:val="002C54DA"/>
    <w:rsid w:val="002C5886"/>
    <w:rsid w:val="002C7620"/>
    <w:rsid w:val="002C7AA0"/>
    <w:rsid w:val="002D2820"/>
    <w:rsid w:val="002D2F3E"/>
    <w:rsid w:val="002D3061"/>
    <w:rsid w:val="002D3260"/>
    <w:rsid w:val="002D34B4"/>
    <w:rsid w:val="002D4F85"/>
    <w:rsid w:val="002D4FB0"/>
    <w:rsid w:val="002D506B"/>
    <w:rsid w:val="002D786C"/>
    <w:rsid w:val="002D7E34"/>
    <w:rsid w:val="002E00FD"/>
    <w:rsid w:val="002E28DE"/>
    <w:rsid w:val="002E2E13"/>
    <w:rsid w:val="002E2EA7"/>
    <w:rsid w:val="002E3B3A"/>
    <w:rsid w:val="002E4B17"/>
    <w:rsid w:val="002E552E"/>
    <w:rsid w:val="002E6C49"/>
    <w:rsid w:val="002F1AF7"/>
    <w:rsid w:val="002F2015"/>
    <w:rsid w:val="002F3417"/>
    <w:rsid w:val="002F3515"/>
    <w:rsid w:val="002F3FF0"/>
    <w:rsid w:val="002F45C9"/>
    <w:rsid w:val="002F7F48"/>
    <w:rsid w:val="00301C4B"/>
    <w:rsid w:val="00302F54"/>
    <w:rsid w:val="003032CB"/>
    <w:rsid w:val="00304B50"/>
    <w:rsid w:val="00305196"/>
    <w:rsid w:val="0030546E"/>
    <w:rsid w:val="00306095"/>
    <w:rsid w:val="003061EF"/>
    <w:rsid w:val="00306331"/>
    <w:rsid w:val="00306C0E"/>
    <w:rsid w:val="0030744F"/>
    <w:rsid w:val="003077F6"/>
    <w:rsid w:val="00307F48"/>
    <w:rsid w:val="00310805"/>
    <w:rsid w:val="00310CB9"/>
    <w:rsid w:val="00311626"/>
    <w:rsid w:val="00312979"/>
    <w:rsid w:val="00312E4C"/>
    <w:rsid w:val="0031320E"/>
    <w:rsid w:val="00316034"/>
    <w:rsid w:val="00316484"/>
    <w:rsid w:val="00316C7D"/>
    <w:rsid w:val="003203BE"/>
    <w:rsid w:val="0032154D"/>
    <w:rsid w:val="00321EAB"/>
    <w:rsid w:val="00322FBF"/>
    <w:rsid w:val="00323CBF"/>
    <w:rsid w:val="00323D1B"/>
    <w:rsid w:val="00323D91"/>
    <w:rsid w:val="00324750"/>
    <w:rsid w:val="0032639C"/>
    <w:rsid w:val="003269AD"/>
    <w:rsid w:val="00326A32"/>
    <w:rsid w:val="0032747F"/>
    <w:rsid w:val="00327AA5"/>
    <w:rsid w:val="003302C8"/>
    <w:rsid w:val="00331E37"/>
    <w:rsid w:val="003320D7"/>
    <w:rsid w:val="00332440"/>
    <w:rsid w:val="003329E8"/>
    <w:rsid w:val="00333434"/>
    <w:rsid w:val="00333B8C"/>
    <w:rsid w:val="00333D9F"/>
    <w:rsid w:val="003340AE"/>
    <w:rsid w:val="003349A9"/>
    <w:rsid w:val="00335D62"/>
    <w:rsid w:val="00336313"/>
    <w:rsid w:val="003367B6"/>
    <w:rsid w:val="0033760E"/>
    <w:rsid w:val="0033779A"/>
    <w:rsid w:val="00337858"/>
    <w:rsid w:val="00337BC7"/>
    <w:rsid w:val="00337DFD"/>
    <w:rsid w:val="0034006B"/>
    <w:rsid w:val="00340181"/>
    <w:rsid w:val="003421AE"/>
    <w:rsid w:val="00342306"/>
    <w:rsid w:val="0034276B"/>
    <w:rsid w:val="00343535"/>
    <w:rsid w:val="0034426C"/>
    <w:rsid w:val="00344DFA"/>
    <w:rsid w:val="00345940"/>
    <w:rsid w:val="0034599A"/>
    <w:rsid w:val="00345A42"/>
    <w:rsid w:val="003469F7"/>
    <w:rsid w:val="00346A14"/>
    <w:rsid w:val="003476D0"/>
    <w:rsid w:val="00347AD4"/>
    <w:rsid w:val="00347E35"/>
    <w:rsid w:val="00350B80"/>
    <w:rsid w:val="0035223B"/>
    <w:rsid w:val="00352E7F"/>
    <w:rsid w:val="00353E84"/>
    <w:rsid w:val="00354355"/>
    <w:rsid w:val="00354C06"/>
    <w:rsid w:val="00354EEE"/>
    <w:rsid w:val="00355E2A"/>
    <w:rsid w:val="00357C70"/>
    <w:rsid w:val="00360D08"/>
    <w:rsid w:val="003613C1"/>
    <w:rsid w:val="00361A19"/>
    <w:rsid w:val="00362558"/>
    <w:rsid w:val="00362758"/>
    <w:rsid w:val="00362C1B"/>
    <w:rsid w:val="0036337B"/>
    <w:rsid w:val="003645D9"/>
    <w:rsid w:val="00364F61"/>
    <w:rsid w:val="00365269"/>
    <w:rsid w:val="00365ABB"/>
    <w:rsid w:val="00366617"/>
    <w:rsid w:val="00367421"/>
    <w:rsid w:val="00367447"/>
    <w:rsid w:val="00367A94"/>
    <w:rsid w:val="003703CE"/>
    <w:rsid w:val="00371727"/>
    <w:rsid w:val="00371D0F"/>
    <w:rsid w:val="00371E53"/>
    <w:rsid w:val="00374C17"/>
    <w:rsid w:val="00375350"/>
    <w:rsid w:val="00375E98"/>
    <w:rsid w:val="00375F94"/>
    <w:rsid w:val="003768B1"/>
    <w:rsid w:val="0037716D"/>
    <w:rsid w:val="0038009A"/>
    <w:rsid w:val="00381F45"/>
    <w:rsid w:val="0038264F"/>
    <w:rsid w:val="003841D6"/>
    <w:rsid w:val="0038485E"/>
    <w:rsid w:val="00384F1B"/>
    <w:rsid w:val="00385E6E"/>
    <w:rsid w:val="00385F34"/>
    <w:rsid w:val="00386C51"/>
    <w:rsid w:val="00387C1C"/>
    <w:rsid w:val="0039039D"/>
    <w:rsid w:val="003909CB"/>
    <w:rsid w:val="00391C20"/>
    <w:rsid w:val="00392B54"/>
    <w:rsid w:val="00392CEB"/>
    <w:rsid w:val="003931A6"/>
    <w:rsid w:val="0039556E"/>
    <w:rsid w:val="00396487"/>
    <w:rsid w:val="003970FB"/>
    <w:rsid w:val="00397AD0"/>
    <w:rsid w:val="00397C73"/>
    <w:rsid w:val="003A0B55"/>
    <w:rsid w:val="003A1052"/>
    <w:rsid w:val="003A10D6"/>
    <w:rsid w:val="003A23C7"/>
    <w:rsid w:val="003A2CE3"/>
    <w:rsid w:val="003A49A9"/>
    <w:rsid w:val="003A4ED6"/>
    <w:rsid w:val="003A4F32"/>
    <w:rsid w:val="003A5411"/>
    <w:rsid w:val="003A752D"/>
    <w:rsid w:val="003A77B3"/>
    <w:rsid w:val="003A7EFF"/>
    <w:rsid w:val="003B01B7"/>
    <w:rsid w:val="003B0FB0"/>
    <w:rsid w:val="003B1329"/>
    <w:rsid w:val="003B168F"/>
    <w:rsid w:val="003B1E1C"/>
    <w:rsid w:val="003B1FD4"/>
    <w:rsid w:val="003B35CB"/>
    <w:rsid w:val="003B3F42"/>
    <w:rsid w:val="003B3F9A"/>
    <w:rsid w:val="003B534B"/>
    <w:rsid w:val="003B5BC8"/>
    <w:rsid w:val="003B6934"/>
    <w:rsid w:val="003B6F56"/>
    <w:rsid w:val="003B6F85"/>
    <w:rsid w:val="003B6FF5"/>
    <w:rsid w:val="003B7242"/>
    <w:rsid w:val="003B7908"/>
    <w:rsid w:val="003C06A1"/>
    <w:rsid w:val="003C0F6D"/>
    <w:rsid w:val="003C3368"/>
    <w:rsid w:val="003C3938"/>
    <w:rsid w:val="003C3E0E"/>
    <w:rsid w:val="003C45BC"/>
    <w:rsid w:val="003C4714"/>
    <w:rsid w:val="003C4EAA"/>
    <w:rsid w:val="003C52EC"/>
    <w:rsid w:val="003C5BAD"/>
    <w:rsid w:val="003C6480"/>
    <w:rsid w:val="003C6BDA"/>
    <w:rsid w:val="003C7BCB"/>
    <w:rsid w:val="003D014C"/>
    <w:rsid w:val="003D1BB8"/>
    <w:rsid w:val="003D1F6D"/>
    <w:rsid w:val="003D2342"/>
    <w:rsid w:val="003D3181"/>
    <w:rsid w:val="003D3309"/>
    <w:rsid w:val="003D3908"/>
    <w:rsid w:val="003D5A21"/>
    <w:rsid w:val="003D72E5"/>
    <w:rsid w:val="003E0258"/>
    <w:rsid w:val="003E1EE0"/>
    <w:rsid w:val="003E22EE"/>
    <w:rsid w:val="003E23CA"/>
    <w:rsid w:val="003E478E"/>
    <w:rsid w:val="003E567A"/>
    <w:rsid w:val="003E6133"/>
    <w:rsid w:val="003E64EA"/>
    <w:rsid w:val="003E6F57"/>
    <w:rsid w:val="003E70E1"/>
    <w:rsid w:val="003F03A9"/>
    <w:rsid w:val="003F04AB"/>
    <w:rsid w:val="003F0F0E"/>
    <w:rsid w:val="003F2E72"/>
    <w:rsid w:val="003F31FD"/>
    <w:rsid w:val="003F3475"/>
    <w:rsid w:val="003F3FE4"/>
    <w:rsid w:val="003F406C"/>
    <w:rsid w:val="003F4150"/>
    <w:rsid w:val="003F58E2"/>
    <w:rsid w:val="003F6938"/>
    <w:rsid w:val="003F6CEC"/>
    <w:rsid w:val="003F7BB1"/>
    <w:rsid w:val="00401C33"/>
    <w:rsid w:val="00401FA0"/>
    <w:rsid w:val="004024BF"/>
    <w:rsid w:val="00402C0C"/>
    <w:rsid w:val="0040313D"/>
    <w:rsid w:val="00403156"/>
    <w:rsid w:val="00403428"/>
    <w:rsid w:val="004037A9"/>
    <w:rsid w:val="00406438"/>
    <w:rsid w:val="0041026A"/>
    <w:rsid w:val="004110A2"/>
    <w:rsid w:val="00411AED"/>
    <w:rsid w:val="00412D1B"/>
    <w:rsid w:val="00414977"/>
    <w:rsid w:val="0041597C"/>
    <w:rsid w:val="004168FE"/>
    <w:rsid w:val="00416FB9"/>
    <w:rsid w:val="004171AA"/>
    <w:rsid w:val="00420661"/>
    <w:rsid w:val="00422B9C"/>
    <w:rsid w:val="004238BD"/>
    <w:rsid w:val="00423A16"/>
    <w:rsid w:val="00424E0F"/>
    <w:rsid w:val="00427620"/>
    <w:rsid w:val="00427938"/>
    <w:rsid w:val="0043078E"/>
    <w:rsid w:val="00431C94"/>
    <w:rsid w:val="00432148"/>
    <w:rsid w:val="004323E3"/>
    <w:rsid w:val="004326EF"/>
    <w:rsid w:val="004328C4"/>
    <w:rsid w:val="0043466F"/>
    <w:rsid w:val="00434BA2"/>
    <w:rsid w:val="00435BC0"/>
    <w:rsid w:val="00436194"/>
    <w:rsid w:val="00436B41"/>
    <w:rsid w:val="00436C05"/>
    <w:rsid w:val="00437A9A"/>
    <w:rsid w:val="0044185D"/>
    <w:rsid w:val="00441A1B"/>
    <w:rsid w:val="00441D0E"/>
    <w:rsid w:val="00442E08"/>
    <w:rsid w:val="0044340B"/>
    <w:rsid w:val="00443BD5"/>
    <w:rsid w:val="00443BEC"/>
    <w:rsid w:val="00443C2E"/>
    <w:rsid w:val="00443CD0"/>
    <w:rsid w:val="0044424B"/>
    <w:rsid w:val="00444B04"/>
    <w:rsid w:val="00445558"/>
    <w:rsid w:val="00446FA2"/>
    <w:rsid w:val="004475A8"/>
    <w:rsid w:val="00447BE5"/>
    <w:rsid w:val="0045087F"/>
    <w:rsid w:val="00450C97"/>
    <w:rsid w:val="0045138F"/>
    <w:rsid w:val="004521B2"/>
    <w:rsid w:val="0045275A"/>
    <w:rsid w:val="004565A5"/>
    <w:rsid w:val="004575D3"/>
    <w:rsid w:val="004577B0"/>
    <w:rsid w:val="0046037E"/>
    <w:rsid w:val="00460673"/>
    <w:rsid w:val="00460E85"/>
    <w:rsid w:val="004616E3"/>
    <w:rsid w:val="00463F0E"/>
    <w:rsid w:val="004651BB"/>
    <w:rsid w:val="00465767"/>
    <w:rsid w:val="004659AD"/>
    <w:rsid w:val="00465C9A"/>
    <w:rsid w:val="004664D6"/>
    <w:rsid w:val="004670B8"/>
    <w:rsid w:val="0046762E"/>
    <w:rsid w:val="00467928"/>
    <w:rsid w:val="00473D34"/>
    <w:rsid w:val="004741F0"/>
    <w:rsid w:val="0047735A"/>
    <w:rsid w:val="004804FA"/>
    <w:rsid w:val="0048166C"/>
    <w:rsid w:val="004823D6"/>
    <w:rsid w:val="0048249B"/>
    <w:rsid w:val="004826A4"/>
    <w:rsid w:val="00484FE8"/>
    <w:rsid w:val="00485352"/>
    <w:rsid w:val="00487093"/>
    <w:rsid w:val="0048735C"/>
    <w:rsid w:val="00487F21"/>
    <w:rsid w:val="004950C3"/>
    <w:rsid w:val="00495470"/>
    <w:rsid w:val="0049644D"/>
    <w:rsid w:val="004A1C76"/>
    <w:rsid w:val="004A1D41"/>
    <w:rsid w:val="004A33D6"/>
    <w:rsid w:val="004A36C3"/>
    <w:rsid w:val="004A5BFF"/>
    <w:rsid w:val="004A60C0"/>
    <w:rsid w:val="004B2405"/>
    <w:rsid w:val="004B42C4"/>
    <w:rsid w:val="004B44EE"/>
    <w:rsid w:val="004B456F"/>
    <w:rsid w:val="004B4799"/>
    <w:rsid w:val="004B65B0"/>
    <w:rsid w:val="004B6735"/>
    <w:rsid w:val="004B67FF"/>
    <w:rsid w:val="004B77B6"/>
    <w:rsid w:val="004C10E8"/>
    <w:rsid w:val="004C16A3"/>
    <w:rsid w:val="004C18D4"/>
    <w:rsid w:val="004C1CEF"/>
    <w:rsid w:val="004C1D73"/>
    <w:rsid w:val="004C2F1E"/>
    <w:rsid w:val="004C3740"/>
    <w:rsid w:val="004C3E72"/>
    <w:rsid w:val="004C41C9"/>
    <w:rsid w:val="004C74C0"/>
    <w:rsid w:val="004D13E7"/>
    <w:rsid w:val="004D1DF2"/>
    <w:rsid w:val="004D1E96"/>
    <w:rsid w:val="004D2280"/>
    <w:rsid w:val="004D2D9D"/>
    <w:rsid w:val="004D3E5C"/>
    <w:rsid w:val="004D3FDF"/>
    <w:rsid w:val="004D426E"/>
    <w:rsid w:val="004D4C00"/>
    <w:rsid w:val="004D581D"/>
    <w:rsid w:val="004D6A9E"/>
    <w:rsid w:val="004D6B96"/>
    <w:rsid w:val="004D7406"/>
    <w:rsid w:val="004D7801"/>
    <w:rsid w:val="004E0DFB"/>
    <w:rsid w:val="004E0E43"/>
    <w:rsid w:val="004E1FE3"/>
    <w:rsid w:val="004E3970"/>
    <w:rsid w:val="004E41C8"/>
    <w:rsid w:val="004E59B0"/>
    <w:rsid w:val="004E6F42"/>
    <w:rsid w:val="004E76BE"/>
    <w:rsid w:val="004E7AD0"/>
    <w:rsid w:val="004F0476"/>
    <w:rsid w:val="004F11EB"/>
    <w:rsid w:val="004F1226"/>
    <w:rsid w:val="004F254E"/>
    <w:rsid w:val="004F3E2C"/>
    <w:rsid w:val="004F5C82"/>
    <w:rsid w:val="004F63FF"/>
    <w:rsid w:val="004F65EC"/>
    <w:rsid w:val="004F661B"/>
    <w:rsid w:val="004F688A"/>
    <w:rsid w:val="004F6BA1"/>
    <w:rsid w:val="004F74AC"/>
    <w:rsid w:val="00503820"/>
    <w:rsid w:val="0050460E"/>
    <w:rsid w:val="005054D2"/>
    <w:rsid w:val="00505EFA"/>
    <w:rsid w:val="00506479"/>
    <w:rsid w:val="00506615"/>
    <w:rsid w:val="00510463"/>
    <w:rsid w:val="00510B3B"/>
    <w:rsid w:val="00511916"/>
    <w:rsid w:val="00511A92"/>
    <w:rsid w:val="00511DB2"/>
    <w:rsid w:val="00512F67"/>
    <w:rsid w:val="00513BE8"/>
    <w:rsid w:val="00513C23"/>
    <w:rsid w:val="00514EC9"/>
    <w:rsid w:val="00514F43"/>
    <w:rsid w:val="005163B1"/>
    <w:rsid w:val="0051736E"/>
    <w:rsid w:val="005201A8"/>
    <w:rsid w:val="00520FD9"/>
    <w:rsid w:val="00521A12"/>
    <w:rsid w:val="0052265A"/>
    <w:rsid w:val="0052302F"/>
    <w:rsid w:val="00523198"/>
    <w:rsid w:val="005233D6"/>
    <w:rsid w:val="005236ED"/>
    <w:rsid w:val="00523FFF"/>
    <w:rsid w:val="00524481"/>
    <w:rsid w:val="00524D8A"/>
    <w:rsid w:val="00527E13"/>
    <w:rsid w:val="00531063"/>
    <w:rsid w:val="00532185"/>
    <w:rsid w:val="005336C8"/>
    <w:rsid w:val="00533B04"/>
    <w:rsid w:val="005341FE"/>
    <w:rsid w:val="00534B64"/>
    <w:rsid w:val="00535943"/>
    <w:rsid w:val="00535C39"/>
    <w:rsid w:val="005361A0"/>
    <w:rsid w:val="00536A59"/>
    <w:rsid w:val="0053760A"/>
    <w:rsid w:val="00540027"/>
    <w:rsid w:val="00540D69"/>
    <w:rsid w:val="00540D86"/>
    <w:rsid w:val="00542389"/>
    <w:rsid w:val="005447D2"/>
    <w:rsid w:val="00545BC6"/>
    <w:rsid w:val="00545CDC"/>
    <w:rsid w:val="00545FC1"/>
    <w:rsid w:val="00546911"/>
    <w:rsid w:val="00547344"/>
    <w:rsid w:val="005509A7"/>
    <w:rsid w:val="00550DA4"/>
    <w:rsid w:val="0055151A"/>
    <w:rsid w:val="00551814"/>
    <w:rsid w:val="00551A1E"/>
    <w:rsid w:val="00552C19"/>
    <w:rsid w:val="00553CC6"/>
    <w:rsid w:val="00554324"/>
    <w:rsid w:val="005565B1"/>
    <w:rsid w:val="00557033"/>
    <w:rsid w:val="00557A51"/>
    <w:rsid w:val="00557B1F"/>
    <w:rsid w:val="00557E44"/>
    <w:rsid w:val="00560B12"/>
    <w:rsid w:val="00561738"/>
    <w:rsid w:val="00562255"/>
    <w:rsid w:val="00562CE2"/>
    <w:rsid w:val="00563080"/>
    <w:rsid w:val="00563469"/>
    <w:rsid w:val="00563B5C"/>
    <w:rsid w:val="00563DCD"/>
    <w:rsid w:val="00563E5E"/>
    <w:rsid w:val="00564EEA"/>
    <w:rsid w:val="00565D64"/>
    <w:rsid w:val="005661A0"/>
    <w:rsid w:val="00566D32"/>
    <w:rsid w:val="005707E6"/>
    <w:rsid w:val="00571158"/>
    <w:rsid w:val="0057128D"/>
    <w:rsid w:val="00573E33"/>
    <w:rsid w:val="00573E4B"/>
    <w:rsid w:val="00573E82"/>
    <w:rsid w:val="00575792"/>
    <w:rsid w:val="005765BD"/>
    <w:rsid w:val="00576779"/>
    <w:rsid w:val="00577071"/>
    <w:rsid w:val="00577F34"/>
    <w:rsid w:val="0058034C"/>
    <w:rsid w:val="00580A7A"/>
    <w:rsid w:val="00581057"/>
    <w:rsid w:val="005817A6"/>
    <w:rsid w:val="0058250A"/>
    <w:rsid w:val="00582865"/>
    <w:rsid w:val="0058374F"/>
    <w:rsid w:val="005853AD"/>
    <w:rsid w:val="005859B0"/>
    <w:rsid w:val="005860D7"/>
    <w:rsid w:val="005864AE"/>
    <w:rsid w:val="00587B32"/>
    <w:rsid w:val="00587BD9"/>
    <w:rsid w:val="00590AF9"/>
    <w:rsid w:val="00590C6C"/>
    <w:rsid w:val="00591FEE"/>
    <w:rsid w:val="00592101"/>
    <w:rsid w:val="00592322"/>
    <w:rsid w:val="00592C48"/>
    <w:rsid w:val="00594176"/>
    <w:rsid w:val="00594994"/>
    <w:rsid w:val="00595431"/>
    <w:rsid w:val="00595FD1"/>
    <w:rsid w:val="00596ABD"/>
    <w:rsid w:val="00596D76"/>
    <w:rsid w:val="00596E7F"/>
    <w:rsid w:val="005972BD"/>
    <w:rsid w:val="00597E2E"/>
    <w:rsid w:val="005A143F"/>
    <w:rsid w:val="005A1FBE"/>
    <w:rsid w:val="005A2655"/>
    <w:rsid w:val="005A2C73"/>
    <w:rsid w:val="005A310E"/>
    <w:rsid w:val="005A350D"/>
    <w:rsid w:val="005A41A8"/>
    <w:rsid w:val="005A466F"/>
    <w:rsid w:val="005A48DA"/>
    <w:rsid w:val="005B03EA"/>
    <w:rsid w:val="005B0938"/>
    <w:rsid w:val="005B0B25"/>
    <w:rsid w:val="005B16E3"/>
    <w:rsid w:val="005B2259"/>
    <w:rsid w:val="005B43E0"/>
    <w:rsid w:val="005B4456"/>
    <w:rsid w:val="005B4A4A"/>
    <w:rsid w:val="005B4CA5"/>
    <w:rsid w:val="005B5F20"/>
    <w:rsid w:val="005B5FE5"/>
    <w:rsid w:val="005C1F1F"/>
    <w:rsid w:val="005C2B95"/>
    <w:rsid w:val="005C4AA2"/>
    <w:rsid w:val="005C5251"/>
    <w:rsid w:val="005C54FB"/>
    <w:rsid w:val="005C57E0"/>
    <w:rsid w:val="005C5A4B"/>
    <w:rsid w:val="005C5B4A"/>
    <w:rsid w:val="005C63FB"/>
    <w:rsid w:val="005C661D"/>
    <w:rsid w:val="005C69B0"/>
    <w:rsid w:val="005C6A5B"/>
    <w:rsid w:val="005C6A9A"/>
    <w:rsid w:val="005C6C31"/>
    <w:rsid w:val="005C7844"/>
    <w:rsid w:val="005C7875"/>
    <w:rsid w:val="005C78F7"/>
    <w:rsid w:val="005D08C5"/>
    <w:rsid w:val="005D0CD4"/>
    <w:rsid w:val="005D2AB0"/>
    <w:rsid w:val="005D3370"/>
    <w:rsid w:val="005D3CC2"/>
    <w:rsid w:val="005D3FD5"/>
    <w:rsid w:val="005D453E"/>
    <w:rsid w:val="005D46C0"/>
    <w:rsid w:val="005D6AC0"/>
    <w:rsid w:val="005D79E5"/>
    <w:rsid w:val="005E13A7"/>
    <w:rsid w:val="005E2220"/>
    <w:rsid w:val="005E298A"/>
    <w:rsid w:val="005E2CCF"/>
    <w:rsid w:val="005E2E4D"/>
    <w:rsid w:val="005E76EB"/>
    <w:rsid w:val="005F09C1"/>
    <w:rsid w:val="005F0BB2"/>
    <w:rsid w:val="005F112D"/>
    <w:rsid w:val="005F14F4"/>
    <w:rsid w:val="005F1CC1"/>
    <w:rsid w:val="005F2EAC"/>
    <w:rsid w:val="005F3185"/>
    <w:rsid w:val="005F32B8"/>
    <w:rsid w:val="005F32ED"/>
    <w:rsid w:val="005F33E1"/>
    <w:rsid w:val="005F3A74"/>
    <w:rsid w:val="005F44DD"/>
    <w:rsid w:val="005F4B5E"/>
    <w:rsid w:val="005F4C5F"/>
    <w:rsid w:val="005F5203"/>
    <w:rsid w:val="005F667B"/>
    <w:rsid w:val="005F6E06"/>
    <w:rsid w:val="005F7B6F"/>
    <w:rsid w:val="005F7D9B"/>
    <w:rsid w:val="00601123"/>
    <w:rsid w:val="0060176C"/>
    <w:rsid w:val="00601D70"/>
    <w:rsid w:val="00601F60"/>
    <w:rsid w:val="006029E2"/>
    <w:rsid w:val="00605190"/>
    <w:rsid w:val="00605A65"/>
    <w:rsid w:val="006102B1"/>
    <w:rsid w:val="006125C1"/>
    <w:rsid w:val="00612959"/>
    <w:rsid w:val="00612C82"/>
    <w:rsid w:val="00612E4B"/>
    <w:rsid w:val="00613311"/>
    <w:rsid w:val="006140FF"/>
    <w:rsid w:val="00614212"/>
    <w:rsid w:val="00615954"/>
    <w:rsid w:val="006162E5"/>
    <w:rsid w:val="00622220"/>
    <w:rsid w:val="006226E2"/>
    <w:rsid w:val="00622C91"/>
    <w:rsid w:val="00623425"/>
    <w:rsid w:val="00623675"/>
    <w:rsid w:val="0062384C"/>
    <w:rsid w:val="00624D52"/>
    <w:rsid w:val="00626213"/>
    <w:rsid w:val="00626E38"/>
    <w:rsid w:val="006271FC"/>
    <w:rsid w:val="006302C4"/>
    <w:rsid w:val="00630662"/>
    <w:rsid w:val="00633E57"/>
    <w:rsid w:val="0063466B"/>
    <w:rsid w:val="0063517C"/>
    <w:rsid w:val="00635C4C"/>
    <w:rsid w:val="00636688"/>
    <w:rsid w:val="00636E17"/>
    <w:rsid w:val="00636FAE"/>
    <w:rsid w:val="00637080"/>
    <w:rsid w:val="006406D1"/>
    <w:rsid w:val="00642A41"/>
    <w:rsid w:val="00642E5B"/>
    <w:rsid w:val="006433C5"/>
    <w:rsid w:val="006434C7"/>
    <w:rsid w:val="0064413D"/>
    <w:rsid w:val="00644438"/>
    <w:rsid w:val="00644480"/>
    <w:rsid w:val="006456D8"/>
    <w:rsid w:val="006468F6"/>
    <w:rsid w:val="006469D1"/>
    <w:rsid w:val="00646F61"/>
    <w:rsid w:val="00647852"/>
    <w:rsid w:val="00650668"/>
    <w:rsid w:val="0065081C"/>
    <w:rsid w:val="00651524"/>
    <w:rsid w:val="00652FFB"/>
    <w:rsid w:val="006530D0"/>
    <w:rsid w:val="006562FD"/>
    <w:rsid w:val="006565E2"/>
    <w:rsid w:val="00656B1A"/>
    <w:rsid w:val="00657358"/>
    <w:rsid w:val="00657C43"/>
    <w:rsid w:val="006604D1"/>
    <w:rsid w:val="00660521"/>
    <w:rsid w:val="006606AF"/>
    <w:rsid w:val="006611FA"/>
    <w:rsid w:val="00663255"/>
    <w:rsid w:val="00664159"/>
    <w:rsid w:val="006642E5"/>
    <w:rsid w:val="00664479"/>
    <w:rsid w:val="0066463D"/>
    <w:rsid w:val="0066465F"/>
    <w:rsid w:val="00664A03"/>
    <w:rsid w:val="00664EF2"/>
    <w:rsid w:val="00665623"/>
    <w:rsid w:val="006658A8"/>
    <w:rsid w:val="00667749"/>
    <w:rsid w:val="00670323"/>
    <w:rsid w:val="006708A8"/>
    <w:rsid w:val="00670F1D"/>
    <w:rsid w:val="00672C3E"/>
    <w:rsid w:val="00673AFB"/>
    <w:rsid w:val="00673B16"/>
    <w:rsid w:val="00673CA1"/>
    <w:rsid w:val="006745AF"/>
    <w:rsid w:val="00675001"/>
    <w:rsid w:val="00680218"/>
    <w:rsid w:val="0068032F"/>
    <w:rsid w:val="00680BCD"/>
    <w:rsid w:val="00680BF7"/>
    <w:rsid w:val="00680D94"/>
    <w:rsid w:val="00681A1D"/>
    <w:rsid w:val="00681B8D"/>
    <w:rsid w:val="0068238F"/>
    <w:rsid w:val="00682F30"/>
    <w:rsid w:val="00683E80"/>
    <w:rsid w:val="006851AD"/>
    <w:rsid w:val="00685C14"/>
    <w:rsid w:val="006860F0"/>
    <w:rsid w:val="00686137"/>
    <w:rsid w:val="006868AA"/>
    <w:rsid w:val="006876C6"/>
    <w:rsid w:val="00690516"/>
    <w:rsid w:val="00690716"/>
    <w:rsid w:val="00690E28"/>
    <w:rsid w:val="00691969"/>
    <w:rsid w:val="0069215E"/>
    <w:rsid w:val="00692F2B"/>
    <w:rsid w:val="00693A84"/>
    <w:rsid w:val="00694907"/>
    <w:rsid w:val="006949DE"/>
    <w:rsid w:val="00694F3E"/>
    <w:rsid w:val="00695566"/>
    <w:rsid w:val="006968AD"/>
    <w:rsid w:val="006A01B1"/>
    <w:rsid w:val="006A09A3"/>
    <w:rsid w:val="006A09F2"/>
    <w:rsid w:val="006A1A94"/>
    <w:rsid w:val="006A3299"/>
    <w:rsid w:val="006A35DD"/>
    <w:rsid w:val="006A3D56"/>
    <w:rsid w:val="006A439C"/>
    <w:rsid w:val="006A4ECF"/>
    <w:rsid w:val="006A6A60"/>
    <w:rsid w:val="006A74D4"/>
    <w:rsid w:val="006A7FB8"/>
    <w:rsid w:val="006B06CD"/>
    <w:rsid w:val="006B1EEB"/>
    <w:rsid w:val="006B2D88"/>
    <w:rsid w:val="006B2DD9"/>
    <w:rsid w:val="006B3B4B"/>
    <w:rsid w:val="006B3E15"/>
    <w:rsid w:val="006B4ADD"/>
    <w:rsid w:val="006B5F7D"/>
    <w:rsid w:val="006B645F"/>
    <w:rsid w:val="006B6C49"/>
    <w:rsid w:val="006B6D9A"/>
    <w:rsid w:val="006B6F19"/>
    <w:rsid w:val="006B76E4"/>
    <w:rsid w:val="006B77A0"/>
    <w:rsid w:val="006C0393"/>
    <w:rsid w:val="006C07F7"/>
    <w:rsid w:val="006C0829"/>
    <w:rsid w:val="006C15D9"/>
    <w:rsid w:val="006C22DF"/>
    <w:rsid w:val="006C34C0"/>
    <w:rsid w:val="006C4C23"/>
    <w:rsid w:val="006C59D6"/>
    <w:rsid w:val="006C5A3C"/>
    <w:rsid w:val="006C5F25"/>
    <w:rsid w:val="006C6AAF"/>
    <w:rsid w:val="006C7AAE"/>
    <w:rsid w:val="006D0293"/>
    <w:rsid w:val="006D0EF8"/>
    <w:rsid w:val="006D1531"/>
    <w:rsid w:val="006D1E40"/>
    <w:rsid w:val="006D2152"/>
    <w:rsid w:val="006D2F6E"/>
    <w:rsid w:val="006D4127"/>
    <w:rsid w:val="006E0152"/>
    <w:rsid w:val="006E04A6"/>
    <w:rsid w:val="006E1516"/>
    <w:rsid w:val="006E1932"/>
    <w:rsid w:val="006E26CB"/>
    <w:rsid w:val="006E2D28"/>
    <w:rsid w:val="006E51A7"/>
    <w:rsid w:val="006E7D4E"/>
    <w:rsid w:val="006F2809"/>
    <w:rsid w:val="006F2CCB"/>
    <w:rsid w:val="006F2F8E"/>
    <w:rsid w:val="006F3435"/>
    <w:rsid w:val="006F49B1"/>
    <w:rsid w:val="006F6029"/>
    <w:rsid w:val="006F72DE"/>
    <w:rsid w:val="006F7A5C"/>
    <w:rsid w:val="006F7BD2"/>
    <w:rsid w:val="007008BE"/>
    <w:rsid w:val="00701B01"/>
    <w:rsid w:val="007029E3"/>
    <w:rsid w:val="00704BF3"/>
    <w:rsid w:val="00704FEA"/>
    <w:rsid w:val="007054F3"/>
    <w:rsid w:val="007062E1"/>
    <w:rsid w:val="007065B0"/>
    <w:rsid w:val="0071093B"/>
    <w:rsid w:val="00711277"/>
    <w:rsid w:val="0071255E"/>
    <w:rsid w:val="00712646"/>
    <w:rsid w:val="0071318C"/>
    <w:rsid w:val="00713727"/>
    <w:rsid w:val="0071465E"/>
    <w:rsid w:val="007153D8"/>
    <w:rsid w:val="00715C16"/>
    <w:rsid w:val="00715DC5"/>
    <w:rsid w:val="00716F1A"/>
    <w:rsid w:val="00717723"/>
    <w:rsid w:val="00720994"/>
    <w:rsid w:val="0072169F"/>
    <w:rsid w:val="0072335A"/>
    <w:rsid w:val="0072400F"/>
    <w:rsid w:val="00725C33"/>
    <w:rsid w:val="007272BC"/>
    <w:rsid w:val="0073008B"/>
    <w:rsid w:val="0073018C"/>
    <w:rsid w:val="00731C60"/>
    <w:rsid w:val="00732E1C"/>
    <w:rsid w:val="00733847"/>
    <w:rsid w:val="00733B4D"/>
    <w:rsid w:val="00734794"/>
    <w:rsid w:val="00735314"/>
    <w:rsid w:val="007358A4"/>
    <w:rsid w:val="00735D50"/>
    <w:rsid w:val="00735F22"/>
    <w:rsid w:val="0073631A"/>
    <w:rsid w:val="007369BB"/>
    <w:rsid w:val="007373E5"/>
    <w:rsid w:val="00737E44"/>
    <w:rsid w:val="00737EC0"/>
    <w:rsid w:val="0074060E"/>
    <w:rsid w:val="00740C96"/>
    <w:rsid w:val="00741B3F"/>
    <w:rsid w:val="007429FE"/>
    <w:rsid w:val="0074397C"/>
    <w:rsid w:val="00743BB9"/>
    <w:rsid w:val="00744966"/>
    <w:rsid w:val="00744D7B"/>
    <w:rsid w:val="00745CC8"/>
    <w:rsid w:val="0074727A"/>
    <w:rsid w:val="0074753B"/>
    <w:rsid w:val="007475A3"/>
    <w:rsid w:val="00747759"/>
    <w:rsid w:val="0075014F"/>
    <w:rsid w:val="00750802"/>
    <w:rsid w:val="0075093A"/>
    <w:rsid w:val="0075167F"/>
    <w:rsid w:val="00752623"/>
    <w:rsid w:val="00752B8D"/>
    <w:rsid w:val="00753D40"/>
    <w:rsid w:val="007568E1"/>
    <w:rsid w:val="007600E4"/>
    <w:rsid w:val="0076065A"/>
    <w:rsid w:val="00761B49"/>
    <w:rsid w:val="00761E6A"/>
    <w:rsid w:val="00762098"/>
    <w:rsid w:val="00762131"/>
    <w:rsid w:val="00763504"/>
    <w:rsid w:val="00763F93"/>
    <w:rsid w:val="00764022"/>
    <w:rsid w:val="0076444A"/>
    <w:rsid w:val="00764C56"/>
    <w:rsid w:val="007664A6"/>
    <w:rsid w:val="00766F69"/>
    <w:rsid w:val="00767248"/>
    <w:rsid w:val="00770736"/>
    <w:rsid w:val="00770903"/>
    <w:rsid w:val="00770A2E"/>
    <w:rsid w:val="00771EAB"/>
    <w:rsid w:val="007720F1"/>
    <w:rsid w:val="00773A17"/>
    <w:rsid w:val="00773EEF"/>
    <w:rsid w:val="00774439"/>
    <w:rsid w:val="007747F5"/>
    <w:rsid w:val="00774BF8"/>
    <w:rsid w:val="0077622A"/>
    <w:rsid w:val="007765AA"/>
    <w:rsid w:val="007768C0"/>
    <w:rsid w:val="0077697B"/>
    <w:rsid w:val="00776BC9"/>
    <w:rsid w:val="00777ECA"/>
    <w:rsid w:val="007806E2"/>
    <w:rsid w:val="00780F65"/>
    <w:rsid w:val="00781AC6"/>
    <w:rsid w:val="00781CC3"/>
    <w:rsid w:val="00783BBD"/>
    <w:rsid w:val="0078513B"/>
    <w:rsid w:val="007854EB"/>
    <w:rsid w:val="00785646"/>
    <w:rsid w:val="00786C77"/>
    <w:rsid w:val="007875AB"/>
    <w:rsid w:val="00787DDF"/>
    <w:rsid w:val="00790297"/>
    <w:rsid w:val="007904EE"/>
    <w:rsid w:val="00790F82"/>
    <w:rsid w:val="00791315"/>
    <w:rsid w:val="007921D8"/>
    <w:rsid w:val="00792AC2"/>
    <w:rsid w:val="007930E8"/>
    <w:rsid w:val="007931FB"/>
    <w:rsid w:val="00793EF9"/>
    <w:rsid w:val="0079470A"/>
    <w:rsid w:val="007947B4"/>
    <w:rsid w:val="007950D5"/>
    <w:rsid w:val="00795ECF"/>
    <w:rsid w:val="00796CC6"/>
    <w:rsid w:val="00797C73"/>
    <w:rsid w:val="00797C75"/>
    <w:rsid w:val="00797DE5"/>
    <w:rsid w:val="007A0207"/>
    <w:rsid w:val="007A0C50"/>
    <w:rsid w:val="007A1364"/>
    <w:rsid w:val="007A273C"/>
    <w:rsid w:val="007A29EF"/>
    <w:rsid w:val="007A3E93"/>
    <w:rsid w:val="007A46C0"/>
    <w:rsid w:val="007A5458"/>
    <w:rsid w:val="007A6791"/>
    <w:rsid w:val="007A681E"/>
    <w:rsid w:val="007A7C12"/>
    <w:rsid w:val="007A7D22"/>
    <w:rsid w:val="007A7DCE"/>
    <w:rsid w:val="007B0A9B"/>
    <w:rsid w:val="007B1D81"/>
    <w:rsid w:val="007B251D"/>
    <w:rsid w:val="007B344F"/>
    <w:rsid w:val="007B3D06"/>
    <w:rsid w:val="007B40B3"/>
    <w:rsid w:val="007B5030"/>
    <w:rsid w:val="007B5627"/>
    <w:rsid w:val="007B683A"/>
    <w:rsid w:val="007B6CFF"/>
    <w:rsid w:val="007B7025"/>
    <w:rsid w:val="007C07E1"/>
    <w:rsid w:val="007C0AD3"/>
    <w:rsid w:val="007C2BC5"/>
    <w:rsid w:val="007C570B"/>
    <w:rsid w:val="007C5AA2"/>
    <w:rsid w:val="007C6812"/>
    <w:rsid w:val="007C71D0"/>
    <w:rsid w:val="007C77C7"/>
    <w:rsid w:val="007D2AD8"/>
    <w:rsid w:val="007D3209"/>
    <w:rsid w:val="007D4B28"/>
    <w:rsid w:val="007D5453"/>
    <w:rsid w:val="007D546F"/>
    <w:rsid w:val="007D5DB0"/>
    <w:rsid w:val="007D6690"/>
    <w:rsid w:val="007D702D"/>
    <w:rsid w:val="007D7730"/>
    <w:rsid w:val="007D77EA"/>
    <w:rsid w:val="007D7C30"/>
    <w:rsid w:val="007E0582"/>
    <w:rsid w:val="007E0EFA"/>
    <w:rsid w:val="007E16CA"/>
    <w:rsid w:val="007E2C9A"/>
    <w:rsid w:val="007E2EE3"/>
    <w:rsid w:val="007E3B27"/>
    <w:rsid w:val="007E4A58"/>
    <w:rsid w:val="007E4BAF"/>
    <w:rsid w:val="007E4FFD"/>
    <w:rsid w:val="007E57EB"/>
    <w:rsid w:val="007E5917"/>
    <w:rsid w:val="007F09E9"/>
    <w:rsid w:val="007F09ED"/>
    <w:rsid w:val="007F0CD6"/>
    <w:rsid w:val="007F0E6B"/>
    <w:rsid w:val="007F1C4C"/>
    <w:rsid w:val="007F22F0"/>
    <w:rsid w:val="007F2D96"/>
    <w:rsid w:val="007F548A"/>
    <w:rsid w:val="007F56A8"/>
    <w:rsid w:val="007F6223"/>
    <w:rsid w:val="007F637A"/>
    <w:rsid w:val="007F6F5A"/>
    <w:rsid w:val="007F7178"/>
    <w:rsid w:val="007F72EB"/>
    <w:rsid w:val="007F7ACC"/>
    <w:rsid w:val="007F7FD6"/>
    <w:rsid w:val="00800D60"/>
    <w:rsid w:val="00801E25"/>
    <w:rsid w:val="00802120"/>
    <w:rsid w:val="00804B13"/>
    <w:rsid w:val="00804B1C"/>
    <w:rsid w:val="008108AA"/>
    <w:rsid w:val="00810D6B"/>
    <w:rsid w:val="00811605"/>
    <w:rsid w:val="008118DC"/>
    <w:rsid w:val="0081221F"/>
    <w:rsid w:val="00814B64"/>
    <w:rsid w:val="008152A5"/>
    <w:rsid w:val="00815FBB"/>
    <w:rsid w:val="00815FD7"/>
    <w:rsid w:val="00816B9F"/>
    <w:rsid w:val="00821AC4"/>
    <w:rsid w:val="00822009"/>
    <w:rsid w:val="00823250"/>
    <w:rsid w:val="00823CDA"/>
    <w:rsid w:val="008241C7"/>
    <w:rsid w:val="008244FA"/>
    <w:rsid w:val="00826454"/>
    <w:rsid w:val="00826C49"/>
    <w:rsid w:val="00826CA7"/>
    <w:rsid w:val="0082723B"/>
    <w:rsid w:val="00827ED5"/>
    <w:rsid w:val="00830241"/>
    <w:rsid w:val="008303F2"/>
    <w:rsid w:val="0083079F"/>
    <w:rsid w:val="00831E80"/>
    <w:rsid w:val="00832400"/>
    <w:rsid w:val="00832C0E"/>
    <w:rsid w:val="00833124"/>
    <w:rsid w:val="008356A3"/>
    <w:rsid w:val="00842AF4"/>
    <w:rsid w:val="00843A30"/>
    <w:rsid w:val="00844613"/>
    <w:rsid w:val="008447AD"/>
    <w:rsid w:val="00844C69"/>
    <w:rsid w:val="0084517D"/>
    <w:rsid w:val="0084533A"/>
    <w:rsid w:val="00850803"/>
    <w:rsid w:val="00850960"/>
    <w:rsid w:val="00851DF9"/>
    <w:rsid w:val="008529A4"/>
    <w:rsid w:val="00852DCD"/>
    <w:rsid w:val="008534B2"/>
    <w:rsid w:val="0085431F"/>
    <w:rsid w:val="00854439"/>
    <w:rsid w:val="008544FB"/>
    <w:rsid w:val="008547A2"/>
    <w:rsid w:val="00854A48"/>
    <w:rsid w:val="00855A23"/>
    <w:rsid w:val="00856591"/>
    <w:rsid w:val="00856F10"/>
    <w:rsid w:val="0085701F"/>
    <w:rsid w:val="008624CB"/>
    <w:rsid w:val="0086259E"/>
    <w:rsid w:val="00862C7B"/>
    <w:rsid w:val="008633C0"/>
    <w:rsid w:val="00863E4F"/>
    <w:rsid w:val="008646FA"/>
    <w:rsid w:val="00864ADE"/>
    <w:rsid w:val="00864C63"/>
    <w:rsid w:val="00866029"/>
    <w:rsid w:val="00866113"/>
    <w:rsid w:val="00871695"/>
    <w:rsid w:val="00871B3C"/>
    <w:rsid w:val="008736D1"/>
    <w:rsid w:val="0087405F"/>
    <w:rsid w:val="00874404"/>
    <w:rsid w:val="00874DFB"/>
    <w:rsid w:val="00874EE1"/>
    <w:rsid w:val="00877B28"/>
    <w:rsid w:val="0088088A"/>
    <w:rsid w:val="008816BF"/>
    <w:rsid w:val="00881CF3"/>
    <w:rsid w:val="008820FA"/>
    <w:rsid w:val="00882DA3"/>
    <w:rsid w:val="00883715"/>
    <w:rsid w:val="00883C04"/>
    <w:rsid w:val="00883C8C"/>
    <w:rsid w:val="00883F1C"/>
    <w:rsid w:val="00884941"/>
    <w:rsid w:val="00886B71"/>
    <w:rsid w:val="0089006A"/>
    <w:rsid w:val="00890431"/>
    <w:rsid w:val="008925C3"/>
    <w:rsid w:val="00892AB6"/>
    <w:rsid w:val="00893296"/>
    <w:rsid w:val="00894A0E"/>
    <w:rsid w:val="00895092"/>
    <w:rsid w:val="00895DC5"/>
    <w:rsid w:val="00896550"/>
    <w:rsid w:val="008966F8"/>
    <w:rsid w:val="00897085"/>
    <w:rsid w:val="008A0E57"/>
    <w:rsid w:val="008A1412"/>
    <w:rsid w:val="008A1744"/>
    <w:rsid w:val="008A1764"/>
    <w:rsid w:val="008A27AA"/>
    <w:rsid w:val="008A3273"/>
    <w:rsid w:val="008A3CAC"/>
    <w:rsid w:val="008A7128"/>
    <w:rsid w:val="008A77F8"/>
    <w:rsid w:val="008A7FE1"/>
    <w:rsid w:val="008B0610"/>
    <w:rsid w:val="008B112D"/>
    <w:rsid w:val="008B15FE"/>
    <w:rsid w:val="008B19E9"/>
    <w:rsid w:val="008B1FED"/>
    <w:rsid w:val="008B2A2B"/>
    <w:rsid w:val="008B3673"/>
    <w:rsid w:val="008B4033"/>
    <w:rsid w:val="008B63D2"/>
    <w:rsid w:val="008B64E0"/>
    <w:rsid w:val="008B7796"/>
    <w:rsid w:val="008C0061"/>
    <w:rsid w:val="008C0AF9"/>
    <w:rsid w:val="008C30A2"/>
    <w:rsid w:val="008C3BBC"/>
    <w:rsid w:val="008C40A2"/>
    <w:rsid w:val="008C44D0"/>
    <w:rsid w:val="008C472D"/>
    <w:rsid w:val="008C4994"/>
    <w:rsid w:val="008C5103"/>
    <w:rsid w:val="008C6D03"/>
    <w:rsid w:val="008C6D13"/>
    <w:rsid w:val="008D0054"/>
    <w:rsid w:val="008D0CDA"/>
    <w:rsid w:val="008D0FDB"/>
    <w:rsid w:val="008D14C3"/>
    <w:rsid w:val="008D1C35"/>
    <w:rsid w:val="008D2698"/>
    <w:rsid w:val="008D3318"/>
    <w:rsid w:val="008D3340"/>
    <w:rsid w:val="008D3396"/>
    <w:rsid w:val="008D3E5A"/>
    <w:rsid w:val="008D46D4"/>
    <w:rsid w:val="008D61B3"/>
    <w:rsid w:val="008D6493"/>
    <w:rsid w:val="008D6D0F"/>
    <w:rsid w:val="008D6E75"/>
    <w:rsid w:val="008D7998"/>
    <w:rsid w:val="008E2627"/>
    <w:rsid w:val="008E34F6"/>
    <w:rsid w:val="008E37B6"/>
    <w:rsid w:val="008E430D"/>
    <w:rsid w:val="008E46D3"/>
    <w:rsid w:val="008E46EF"/>
    <w:rsid w:val="008E5F2D"/>
    <w:rsid w:val="008E66B7"/>
    <w:rsid w:val="008F1464"/>
    <w:rsid w:val="008F21CC"/>
    <w:rsid w:val="008F2E3F"/>
    <w:rsid w:val="008F32AE"/>
    <w:rsid w:val="008F3B7D"/>
    <w:rsid w:val="008F65D7"/>
    <w:rsid w:val="008F6B9C"/>
    <w:rsid w:val="008F6FF4"/>
    <w:rsid w:val="008F7C3A"/>
    <w:rsid w:val="00900159"/>
    <w:rsid w:val="00900CBE"/>
    <w:rsid w:val="00901110"/>
    <w:rsid w:val="00903163"/>
    <w:rsid w:val="00903518"/>
    <w:rsid w:val="00903660"/>
    <w:rsid w:val="00906136"/>
    <w:rsid w:val="00906E22"/>
    <w:rsid w:val="00907949"/>
    <w:rsid w:val="0091071D"/>
    <w:rsid w:val="0091075B"/>
    <w:rsid w:val="0091091B"/>
    <w:rsid w:val="00910C2E"/>
    <w:rsid w:val="00911265"/>
    <w:rsid w:val="009118FB"/>
    <w:rsid w:val="00914CF7"/>
    <w:rsid w:val="009168E6"/>
    <w:rsid w:val="009201A6"/>
    <w:rsid w:val="009223B8"/>
    <w:rsid w:val="00922CF8"/>
    <w:rsid w:val="00923310"/>
    <w:rsid w:val="00923C02"/>
    <w:rsid w:val="009247CA"/>
    <w:rsid w:val="0092496B"/>
    <w:rsid w:val="009252DF"/>
    <w:rsid w:val="0092636F"/>
    <w:rsid w:val="00926601"/>
    <w:rsid w:val="009277CD"/>
    <w:rsid w:val="00927CF9"/>
    <w:rsid w:val="0093105C"/>
    <w:rsid w:val="009310C2"/>
    <w:rsid w:val="0093171C"/>
    <w:rsid w:val="0093225B"/>
    <w:rsid w:val="00933095"/>
    <w:rsid w:val="0093311C"/>
    <w:rsid w:val="00933213"/>
    <w:rsid w:val="00933C8B"/>
    <w:rsid w:val="00934B70"/>
    <w:rsid w:val="00934D9E"/>
    <w:rsid w:val="00934F19"/>
    <w:rsid w:val="009359AF"/>
    <w:rsid w:val="009368BF"/>
    <w:rsid w:val="00936F30"/>
    <w:rsid w:val="009373E0"/>
    <w:rsid w:val="00937665"/>
    <w:rsid w:val="00937BF2"/>
    <w:rsid w:val="00937D2B"/>
    <w:rsid w:val="009416BA"/>
    <w:rsid w:val="00941840"/>
    <w:rsid w:val="0094199B"/>
    <w:rsid w:val="0094212C"/>
    <w:rsid w:val="00942882"/>
    <w:rsid w:val="00943219"/>
    <w:rsid w:val="009443D0"/>
    <w:rsid w:val="00945341"/>
    <w:rsid w:val="00946D84"/>
    <w:rsid w:val="0094725D"/>
    <w:rsid w:val="00950BAA"/>
    <w:rsid w:val="009525AC"/>
    <w:rsid w:val="00952D0D"/>
    <w:rsid w:val="009542E3"/>
    <w:rsid w:val="00956259"/>
    <w:rsid w:val="00956A1F"/>
    <w:rsid w:val="00957836"/>
    <w:rsid w:val="0096016F"/>
    <w:rsid w:val="0096020B"/>
    <w:rsid w:val="009602C5"/>
    <w:rsid w:val="00960511"/>
    <w:rsid w:val="00960A52"/>
    <w:rsid w:val="00961438"/>
    <w:rsid w:val="009617AC"/>
    <w:rsid w:val="009622AD"/>
    <w:rsid w:val="00962A4C"/>
    <w:rsid w:val="00962A63"/>
    <w:rsid w:val="00962BFD"/>
    <w:rsid w:val="00962FC6"/>
    <w:rsid w:val="0096303C"/>
    <w:rsid w:val="009632B4"/>
    <w:rsid w:val="009636B2"/>
    <w:rsid w:val="00963AD2"/>
    <w:rsid w:val="00963BEB"/>
    <w:rsid w:val="009640F3"/>
    <w:rsid w:val="00965833"/>
    <w:rsid w:val="009659E5"/>
    <w:rsid w:val="00965BFE"/>
    <w:rsid w:val="0096600B"/>
    <w:rsid w:val="00966423"/>
    <w:rsid w:val="0096758A"/>
    <w:rsid w:val="0097036C"/>
    <w:rsid w:val="00970BB4"/>
    <w:rsid w:val="00970C08"/>
    <w:rsid w:val="00970CDA"/>
    <w:rsid w:val="00970F61"/>
    <w:rsid w:val="00971A3A"/>
    <w:rsid w:val="009725BF"/>
    <w:rsid w:val="00972A4E"/>
    <w:rsid w:val="00973D73"/>
    <w:rsid w:val="00973DBC"/>
    <w:rsid w:val="009741A7"/>
    <w:rsid w:val="00974D7A"/>
    <w:rsid w:val="00975AEA"/>
    <w:rsid w:val="009762BD"/>
    <w:rsid w:val="00976675"/>
    <w:rsid w:val="009772D1"/>
    <w:rsid w:val="009775E1"/>
    <w:rsid w:val="009803BE"/>
    <w:rsid w:val="009808C2"/>
    <w:rsid w:val="0098101F"/>
    <w:rsid w:val="009822C4"/>
    <w:rsid w:val="0098274B"/>
    <w:rsid w:val="009830D3"/>
    <w:rsid w:val="00983785"/>
    <w:rsid w:val="00984E90"/>
    <w:rsid w:val="009857D9"/>
    <w:rsid w:val="00985D7E"/>
    <w:rsid w:val="009866D8"/>
    <w:rsid w:val="00986F7D"/>
    <w:rsid w:val="00987548"/>
    <w:rsid w:val="00987724"/>
    <w:rsid w:val="00987EFC"/>
    <w:rsid w:val="0099030D"/>
    <w:rsid w:val="009905C4"/>
    <w:rsid w:val="00991CE7"/>
    <w:rsid w:val="00992EAE"/>
    <w:rsid w:val="009933FB"/>
    <w:rsid w:val="00994283"/>
    <w:rsid w:val="009945FB"/>
    <w:rsid w:val="009950D5"/>
    <w:rsid w:val="009958A7"/>
    <w:rsid w:val="009972CB"/>
    <w:rsid w:val="009A0ACC"/>
    <w:rsid w:val="009A151C"/>
    <w:rsid w:val="009A1AED"/>
    <w:rsid w:val="009A2ABE"/>
    <w:rsid w:val="009A2F1F"/>
    <w:rsid w:val="009A389D"/>
    <w:rsid w:val="009A3A90"/>
    <w:rsid w:val="009A3C8A"/>
    <w:rsid w:val="009A471F"/>
    <w:rsid w:val="009A5692"/>
    <w:rsid w:val="009A6D02"/>
    <w:rsid w:val="009A6F1E"/>
    <w:rsid w:val="009A7F3B"/>
    <w:rsid w:val="009B07D2"/>
    <w:rsid w:val="009B0A05"/>
    <w:rsid w:val="009B2066"/>
    <w:rsid w:val="009B2153"/>
    <w:rsid w:val="009B4F85"/>
    <w:rsid w:val="009B5CFE"/>
    <w:rsid w:val="009B72E7"/>
    <w:rsid w:val="009B742A"/>
    <w:rsid w:val="009C0E1B"/>
    <w:rsid w:val="009C21A9"/>
    <w:rsid w:val="009C3020"/>
    <w:rsid w:val="009C3927"/>
    <w:rsid w:val="009C3ED4"/>
    <w:rsid w:val="009C4A05"/>
    <w:rsid w:val="009C592F"/>
    <w:rsid w:val="009D116C"/>
    <w:rsid w:val="009D1418"/>
    <w:rsid w:val="009D17D7"/>
    <w:rsid w:val="009D18D4"/>
    <w:rsid w:val="009D2226"/>
    <w:rsid w:val="009D3A6E"/>
    <w:rsid w:val="009D46DA"/>
    <w:rsid w:val="009E1A04"/>
    <w:rsid w:val="009E1C4B"/>
    <w:rsid w:val="009E23F7"/>
    <w:rsid w:val="009E250C"/>
    <w:rsid w:val="009E3050"/>
    <w:rsid w:val="009E31BB"/>
    <w:rsid w:val="009E33BC"/>
    <w:rsid w:val="009E4386"/>
    <w:rsid w:val="009E5CDF"/>
    <w:rsid w:val="009E656F"/>
    <w:rsid w:val="009E6753"/>
    <w:rsid w:val="009E6803"/>
    <w:rsid w:val="009E6885"/>
    <w:rsid w:val="009F0853"/>
    <w:rsid w:val="009F4407"/>
    <w:rsid w:val="009F521A"/>
    <w:rsid w:val="009F690B"/>
    <w:rsid w:val="009F697E"/>
    <w:rsid w:val="009F6B78"/>
    <w:rsid w:val="00A001C9"/>
    <w:rsid w:val="00A0355B"/>
    <w:rsid w:val="00A03DAC"/>
    <w:rsid w:val="00A04917"/>
    <w:rsid w:val="00A05084"/>
    <w:rsid w:val="00A06701"/>
    <w:rsid w:val="00A06C66"/>
    <w:rsid w:val="00A07DF3"/>
    <w:rsid w:val="00A1286B"/>
    <w:rsid w:val="00A12C4D"/>
    <w:rsid w:val="00A1329A"/>
    <w:rsid w:val="00A15101"/>
    <w:rsid w:val="00A17B58"/>
    <w:rsid w:val="00A212E7"/>
    <w:rsid w:val="00A218C9"/>
    <w:rsid w:val="00A21EDC"/>
    <w:rsid w:val="00A23428"/>
    <w:rsid w:val="00A236B7"/>
    <w:rsid w:val="00A242CD"/>
    <w:rsid w:val="00A24D98"/>
    <w:rsid w:val="00A2507C"/>
    <w:rsid w:val="00A25115"/>
    <w:rsid w:val="00A25187"/>
    <w:rsid w:val="00A25956"/>
    <w:rsid w:val="00A25FA8"/>
    <w:rsid w:val="00A26077"/>
    <w:rsid w:val="00A26781"/>
    <w:rsid w:val="00A26D07"/>
    <w:rsid w:val="00A26E7B"/>
    <w:rsid w:val="00A31CC9"/>
    <w:rsid w:val="00A33C77"/>
    <w:rsid w:val="00A343FE"/>
    <w:rsid w:val="00A36A2E"/>
    <w:rsid w:val="00A430A8"/>
    <w:rsid w:val="00A4387D"/>
    <w:rsid w:val="00A459E0"/>
    <w:rsid w:val="00A463B7"/>
    <w:rsid w:val="00A46A80"/>
    <w:rsid w:val="00A47D8E"/>
    <w:rsid w:val="00A505AC"/>
    <w:rsid w:val="00A51EFA"/>
    <w:rsid w:val="00A521B1"/>
    <w:rsid w:val="00A52C2A"/>
    <w:rsid w:val="00A53784"/>
    <w:rsid w:val="00A53881"/>
    <w:rsid w:val="00A54F67"/>
    <w:rsid w:val="00A55654"/>
    <w:rsid w:val="00A57787"/>
    <w:rsid w:val="00A60583"/>
    <w:rsid w:val="00A61B46"/>
    <w:rsid w:val="00A61D2A"/>
    <w:rsid w:val="00A6234A"/>
    <w:rsid w:val="00A62B2E"/>
    <w:rsid w:val="00A636FD"/>
    <w:rsid w:val="00A66DC1"/>
    <w:rsid w:val="00A66E62"/>
    <w:rsid w:val="00A701C8"/>
    <w:rsid w:val="00A7062A"/>
    <w:rsid w:val="00A730C1"/>
    <w:rsid w:val="00A730F0"/>
    <w:rsid w:val="00A73242"/>
    <w:rsid w:val="00A737FF"/>
    <w:rsid w:val="00A74410"/>
    <w:rsid w:val="00A7496B"/>
    <w:rsid w:val="00A75EAB"/>
    <w:rsid w:val="00A7624F"/>
    <w:rsid w:val="00A76E2C"/>
    <w:rsid w:val="00A76F90"/>
    <w:rsid w:val="00A8016F"/>
    <w:rsid w:val="00A8023F"/>
    <w:rsid w:val="00A808C4"/>
    <w:rsid w:val="00A80C29"/>
    <w:rsid w:val="00A80C3E"/>
    <w:rsid w:val="00A81F73"/>
    <w:rsid w:val="00A8282F"/>
    <w:rsid w:val="00A834C5"/>
    <w:rsid w:val="00A83755"/>
    <w:rsid w:val="00A83E6D"/>
    <w:rsid w:val="00A83E6F"/>
    <w:rsid w:val="00A85DA1"/>
    <w:rsid w:val="00A86064"/>
    <w:rsid w:val="00A86879"/>
    <w:rsid w:val="00A8779D"/>
    <w:rsid w:val="00A902E7"/>
    <w:rsid w:val="00A90DD7"/>
    <w:rsid w:val="00A90F20"/>
    <w:rsid w:val="00A91332"/>
    <w:rsid w:val="00A91E00"/>
    <w:rsid w:val="00A927CF"/>
    <w:rsid w:val="00A92E93"/>
    <w:rsid w:val="00A9328C"/>
    <w:rsid w:val="00A9388F"/>
    <w:rsid w:val="00A950CD"/>
    <w:rsid w:val="00A9526D"/>
    <w:rsid w:val="00A963D8"/>
    <w:rsid w:val="00A96548"/>
    <w:rsid w:val="00AA0522"/>
    <w:rsid w:val="00AA1BA2"/>
    <w:rsid w:val="00AA2D50"/>
    <w:rsid w:val="00AA3791"/>
    <w:rsid w:val="00AA436F"/>
    <w:rsid w:val="00AA4682"/>
    <w:rsid w:val="00AA50D2"/>
    <w:rsid w:val="00AA5871"/>
    <w:rsid w:val="00AA61A3"/>
    <w:rsid w:val="00AA626C"/>
    <w:rsid w:val="00AA6757"/>
    <w:rsid w:val="00AA68AE"/>
    <w:rsid w:val="00AA6BCE"/>
    <w:rsid w:val="00AA6BEB"/>
    <w:rsid w:val="00AA6FED"/>
    <w:rsid w:val="00AA7171"/>
    <w:rsid w:val="00AA7818"/>
    <w:rsid w:val="00AB0FBB"/>
    <w:rsid w:val="00AB1259"/>
    <w:rsid w:val="00AB1C60"/>
    <w:rsid w:val="00AB2497"/>
    <w:rsid w:val="00AB2D52"/>
    <w:rsid w:val="00AB340A"/>
    <w:rsid w:val="00AB38C2"/>
    <w:rsid w:val="00AB52FB"/>
    <w:rsid w:val="00AB5707"/>
    <w:rsid w:val="00AB6B37"/>
    <w:rsid w:val="00AB6E5A"/>
    <w:rsid w:val="00AC0700"/>
    <w:rsid w:val="00AC12B6"/>
    <w:rsid w:val="00AC1700"/>
    <w:rsid w:val="00AC2A99"/>
    <w:rsid w:val="00AC2CC0"/>
    <w:rsid w:val="00AC2F32"/>
    <w:rsid w:val="00AC34AB"/>
    <w:rsid w:val="00AC426B"/>
    <w:rsid w:val="00AC4562"/>
    <w:rsid w:val="00AC5513"/>
    <w:rsid w:val="00AD09FA"/>
    <w:rsid w:val="00AD0A06"/>
    <w:rsid w:val="00AD145F"/>
    <w:rsid w:val="00AD19FF"/>
    <w:rsid w:val="00AD20DE"/>
    <w:rsid w:val="00AD2317"/>
    <w:rsid w:val="00AD361B"/>
    <w:rsid w:val="00AD3D27"/>
    <w:rsid w:val="00AD502E"/>
    <w:rsid w:val="00AD5BCD"/>
    <w:rsid w:val="00AD6BB8"/>
    <w:rsid w:val="00AD7C9A"/>
    <w:rsid w:val="00AD7F36"/>
    <w:rsid w:val="00AE00E6"/>
    <w:rsid w:val="00AE058F"/>
    <w:rsid w:val="00AE0C3B"/>
    <w:rsid w:val="00AE1E94"/>
    <w:rsid w:val="00AE3526"/>
    <w:rsid w:val="00AE356E"/>
    <w:rsid w:val="00AE3B97"/>
    <w:rsid w:val="00AE3DF0"/>
    <w:rsid w:val="00AE4065"/>
    <w:rsid w:val="00AE45EE"/>
    <w:rsid w:val="00AE475D"/>
    <w:rsid w:val="00AE57A5"/>
    <w:rsid w:val="00AE5945"/>
    <w:rsid w:val="00AE622F"/>
    <w:rsid w:val="00AE6B26"/>
    <w:rsid w:val="00AF0ADF"/>
    <w:rsid w:val="00AF24F8"/>
    <w:rsid w:val="00AF2626"/>
    <w:rsid w:val="00AF3B10"/>
    <w:rsid w:val="00AF3DCF"/>
    <w:rsid w:val="00AF4686"/>
    <w:rsid w:val="00AF5323"/>
    <w:rsid w:val="00AF5375"/>
    <w:rsid w:val="00AF53CC"/>
    <w:rsid w:val="00AF6338"/>
    <w:rsid w:val="00AF6C66"/>
    <w:rsid w:val="00B00EA3"/>
    <w:rsid w:val="00B013B7"/>
    <w:rsid w:val="00B032B8"/>
    <w:rsid w:val="00B045E5"/>
    <w:rsid w:val="00B047B9"/>
    <w:rsid w:val="00B0526C"/>
    <w:rsid w:val="00B05434"/>
    <w:rsid w:val="00B056DF"/>
    <w:rsid w:val="00B07A0D"/>
    <w:rsid w:val="00B07A6B"/>
    <w:rsid w:val="00B10C1C"/>
    <w:rsid w:val="00B116E2"/>
    <w:rsid w:val="00B144E7"/>
    <w:rsid w:val="00B147EC"/>
    <w:rsid w:val="00B14DDB"/>
    <w:rsid w:val="00B153EE"/>
    <w:rsid w:val="00B15880"/>
    <w:rsid w:val="00B15AB4"/>
    <w:rsid w:val="00B16A35"/>
    <w:rsid w:val="00B1732A"/>
    <w:rsid w:val="00B20698"/>
    <w:rsid w:val="00B20B61"/>
    <w:rsid w:val="00B214EE"/>
    <w:rsid w:val="00B22379"/>
    <w:rsid w:val="00B22506"/>
    <w:rsid w:val="00B22797"/>
    <w:rsid w:val="00B25945"/>
    <w:rsid w:val="00B25C5B"/>
    <w:rsid w:val="00B2697E"/>
    <w:rsid w:val="00B26B06"/>
    <w:rsid w:val="00B2779D"/>
    <w:rsid w:val="00B3027F"/>
    <w:rsid w:val="00B30E7C"/>
    <w:rsid w:val="00B3154F"/>
    <w:rsid w:val="00B326C2"/>
    <w:rsid w:val="00B332E3"/>
    <w:rsid w:val="00B33755"/>
    <w:rsid w:val="00B33900"/>
    <w:rsid w:val="00B3505B"/>
    <w:rsid w:val="00B355B3"/>
    <w:rsid w:val="00B35BED"/>
    <w:rsid w:val="00B36143"/>
    <w:rsid w:val="00B361A1"/>
    <w:rsid w:val="00B36397"/>
    <w:rsid w:val="00B36ADF"/>
    <w:rsid w:val="00B378D7"/>
    <w:rsid w:val="00B37957"/>
    <w:rsid w:val="00B40F4D"/>
    <w:rsid w:val="00B41073"/>
    <w:rsid w:val="00B41C3D"/>
    <w:rsid w:val="00B433D3"/>
    <w:rsid w:val="00B45EB0"/>
    <w:rsid w:val="00B4642B"/>
    <w:rsid w:val="00B47B85"/>
    <w:rsid w:val="00B53654"/>
    <w:rsid w:val="00B54072"/>
    <w:rsid w:val="00B5522A"/>
    <w:rsid w:val="00B554A2"/>
    <w:rsid w:val="00B559BD"/>
    <w:rsid w:val="00B55E4B"/>
    <w:rsid w:val="00B5607F"/>
    <w:rsid w:val="00B56E46"/>
    <w:rsid w:val="00B57EB9"/>
    <w:rsid w:val="00B60BD8"/>
    <w:rsid w:val="00B610B6"/>
    <w:rsid w:val="00B635BD"/>
    <w:rsid w:val="00B64A51"/>
    <w:rsid w:val="00B661A7"/>
    <w:rsid w:val="00B664E2"/>
    <w:rsid w:val="00B66F31"/>
    <w:rsid w:val="00B67116"/>
    <w:rsid w:val="00B67B5C"/>
    <w:rsid w:val="00B73746"/>
    <w:rsid w:val="00B73996"/>
    <w:rsid w:val="00B73FAA"/>
    <w:rsid w:val="00B75CF1"/>
    <w:rsid w:val="00B75E78"/>
    <w:rsid w:val="00B76757"/>
    <w:rsid w:val="00B767AD"/>
    <w:rsid w:val="00B76917"/>
    <w:rsid w:val="00B76E20"/>
    <w:rsid w:val="00B77E06"/>
    <w:rsid w:val="00B8009D"/>
    <w:rsid w:val="00B80E46"/>
    <w:rsid w:val="00B82916"/>
    <w:rsid w:val="00B83791"/>
    <w:rsid w:val="00B845FC"/>
    <w:rsid w:val="00B84BEE"/>
    <w:rsid w:val="00B85B3D"/>
    <w:rsid w:val="00B87034"/>
    <w:rsid w:val="00B912B1"/>
    <w:rsid w:val="00B914B6"/>
    <w:rsid w:val="00B919C1"/>
    <w:rsid w:val="00B91BD3"/>
    <w:rsid w:val="00B926EE"/>
    <w:rsid w:val="00B93058"/>
    <w:rsid w:val="00B94994"/>
    <w:rsid w:val="00B964D3"/>
    <w:rsid w:val="00B9694F"/>
    <w:rsid w:val="00BA0206"/>
    <w:rsid w:val="00BA09B4"/>
    <w:rsid w:val="00BA1347"/>
    <w:rsid w:val="00BA170D"/>
    <w:rsid w:val="00BA2A4F"/>
    <w:rsid w:val="00BA3847"/>
    <w:rsid w:val="00BA3BC6"/>
    <w:rsid w:val="00BA4E69"/>
    <w:rsid w:val="00BA4FC5"/>
    <w:rsid w:val="00BA691B"/>
    <w:rsid w:val="00BB0180"/>
    <w:rsid w:val="00BB110D"/>
    <w:rsid w:val="00BB2E00"/>
    <w:rsid w:val="00BB325E"/>
    <w:rsid w:val="00BB3592"/>
    <w:rsid w:val="00BB3718"/>
    <w:rsid w:val="00BB39DF"/>
    <w:rsid w:val="00BB3FB3"/>
    <w:rsid w:val="00BB47F9"/>
    <w:rsid w:val="00BB5FB3"/>
    <w:rsid w:val="00BB68A0"/>
    <w:rsid w:val="00BB6ECA"/>
    <w:rsid w:val="00BB76D1"/>
    <w:rsid w:val="00BC0483"/>
    <w:rsid w:val="00BC0CB4"/>
    <w:rsid w:val="00BC0FA0"/>
    <w:rsid w:val="00BC229B"/>
    <w:rsid w:val="00BC5707"/>
    <w:rsid w:val="00BC62B0"/>
    <w:rsid w:val="00BC7DE5"/>
    <w:rsid w:val="00BD0D43"/>
    <w:rsid w:val="00BD1437"/>
    <w:rsid w:val="00BD18CD"/>
    <w:rsid w:val="00BD28E2"/>
    <w:rsid w:val="00BD2A90"/>
    <w:rsid w:val="00BD5EAE"/>
    <w:rsid w:val="00BE0329"/>
    <w:rsid w:val="00BE0B66"/>
    <w:rsid w:val="00BE0D63"/>
    <w:rsid w:val="00BE11B6"/>
    <w:rsid w:val="00BE1AF3"/>
    <w:rsid w:val="00BE30D1"/>
    <w:rsid w:val="00BE4772"/>
    <w:rsid w:val="00BE4DEE"/>
    <w:rsid w:val="00BE74D7"/>
    <w:rsid w:val="00BE7617"/>
    <w:rsid w:val="00BE7ED0"/>
    <w:rsid w:val="00BF041F"/>
    <w:rsid w:val="00BF1056"/>
    <w:rsid w:val="00BF15E5"/>
    <w:rsid w:val="00BF24ED"/>
    <w:rsid w:val="00BF3EDF"/>
    <w:rsid w:val="00BF4283"/>
    <w:rsid w:val="00BF484E"/>
    <w:rsid w:val="00BF48EA"/>
    <w:rsid w:val="00BF6717"/>
    <w:rsid w:val="00BF74BA"/>
    <w:rsid w:val="00C01AB2"/>
    <w:rsid w:val="00C01D4E"/>
    <w:rsid w:val="00C0576D"/>
    <w:rsid w:val="00C05AED"/>
    <w:rsid w:val="00C05B13"/>
    <w:rsid w:val="00C05ECF"/>
    <w:rsid w:val="00C06CA0"/>
    <w:rsid w:val="00C12B06"/>
    <w:rsid w:val="00C14968"/>
    <w:rsid w:val="00C14CEF"/>
    <w:rsid w:val="00C1566A"/>
    <w:rsid w:val="00C166C3"/>
    <w:rsid w:val="00C16FA9"/>
    <w:rsid w:val="00C176FB"/>
    <w:rsid w:val="00C20213"/>
    <w:rsid w:val="00C209AC"/>
    <w:rsid w:val="00C2132E"/>
    <w:rsid w:val="00C22B55"/>
    <w:rsid w:val="00C23161"/>
    <w:rsid w:val="00C24902"/>
    <w:rsid w:val="00C251EE"/>
    <w:rsid w:val="00C257B0"/>
    <w:rsid w:val="00C25B3B"/>
    <w:rsid w:val="00C2620F"/>
    <w:rsid w:val="00C2705B"/>
    <w:rsid w:val="00C272C0"/>
    <w:rsid w:val="00C2764F"/>
    <w:rsid w:val="00C27832"/>
    <w:rsid w:val="00C27C83"/>
    <w:rsid w:val="00C32284"/>
    <w:rsid w:val="00C32EC3"/>
    <w:rsid w:val="00C335C4"/>
    <w:rsid w:val="00C33AB1"/>
    <w:rsid w:val="00C349C1"/>
    <w:rsid w:val="00C34C77"/>
    <w:rsid w:val="00C34F8A"/>
    <w:rsid w:val="00C36CA4"/>
    <w:rsid w:val="00C37CB5"/>
    <w:rsid w:val="00C42BA7"/>
    <w:rsid w:val="00C457C2"/>
    <w:rsid w:val="00C46D4A"/>
    <w:rsid w:val="00C472EE"/>
    <w:rsid w:val="00C4738A"/>
    <w:rsid w:val="00C50788"/>
    <w:rsid w:val="00C50C30"/>
    <w:rsid w:val="00C51314"/>
    <w:rsid w:val="00C51F19"/>
    <w:rsid w:val="00C51F56"/>
    <w:rsid w:val="00C536DD"/>
    <w:rsid w:val="00C55FE3"/>
    <w:rsid w:val="00C57040"/>
    <w:rsid w:val="00C57A87"/>
    <w:rsid w:val="00C60AB3"/>
    <w:rsid w:val="00C60C5B"/>
    <w:rsid w:val="00C61845"/>
    <w:rsid w:val="00C62778"/>
    <w:rsid w:val="00C62EFD"/>
    <w:rsid w:val="00C62FFC"/>
    <w:rsid w:val="00C63202"/>
    <w:rsid w:val="00C63529"/>
    <w:rsid w:val="00C64C4C"/>
    <w:rsid w:val="00C651A4"/>
    <w:rsid w:val="00C65E8A"/>
    <w:rsid w:val="00C660E0"/>
    <w:rsid w:val="00C6679C"/>
    <w:rsid w:val="00C67549"/>
    <w:rsid w:val="00C7118C"/>
    <w:rsid w:val="00C722FE"/>
    <w:rsid w:val="00C72442"/>
    <w:rsid w:val="00C731C6"/>
    <w:rsid w:val="00C749A5"/>
    <w:rsid w:val="00C74BEB"/>
    <w:rsid w:val="00C7564E"/>
    <w:rsid w:val="00C757BD"/>
    <w:rsid w:val="00C800AE"/>
    <w:rsid w:val="00C80C33"/>
    <w:rsid w:val="00C81A74"/>
    <w:rsid w:val="00C82ED6"/>
    <w:rsid w:val="00C84188"/>
    <w:rsid w:val="00C85870"/>
    <w:rsid w:val="00C87797"/>
    <w:rsid w:val="00C90B4A"/>
    <w:rsid w:val="00C92250"/>
    <w:rsid w:val="00C928F0"/>
    <w:rsid w:val="00C95BF2"/>
    <w:rsid w:val="00C95DBE"/>
    <w:rsid w:val="00CA0D56"/>
    <w:rsid w:val="00CA383A"/>
    <w:rsid w:val="00CA3FAE"/>
    <w:rsid w:val="00CA5307"/>
    <w:rsid w:val="00CA6A1A"/>
    <w:rsid w:val="00CA705E"/>
    <w:rsid w:val="00CA745A"/>
    <w:rsid w:val="00CB0A69"/>
    <w:rsid w:val="00CB0F1B"/>
    <w:rsid w:val="00CB0F93"/>
    <w:rsid w:val="00CB3BCE"/>
    <w:rsid w:val="00CB43C6"/>
    <w:rsid w:val="00CB4B4A"/>
    <w:rsid w:val="00CB5ACF"/>
    <w:rsid w:val="00CB6AE3"/>
    <w:rsid w:val="00CB7ADB"/>
    <w:rsid w:val="00CC1109"/>
    <w:rsid w:val="00CC1FCB"/>
    <w:rsid w:val="00CC3430"/>
    <w:rsid w:val="00CC3838"/>
    <w:rsid w:val="00CC42FE"/>
    <w:rsid w:val="00CC4911"/>
    <w:rsid w:val="00CC5907"/>
    <w:rsid w:val="00CC6056"/>
    <w:rsid w:val="00CC64E3"/>
    <w:rsid w:val="00CC66C3"/>
    <w:rsid w:val="00CC6AF4"/>
    <w:rsid w:val="00CC7811"/>
    <w:rsid w:val="00CD0582"/>
    <w:rsid w:val="00CD1035"/>
    <w:rsid w:val="00CD2D05"/>
    <w:rsid w:val="00CD5E1D"/>
    <w:rsid w:val="00CD625C"/>
    <w:rsid w:val="00CE0DE9"/>
    <w:rsid w:val="00CE295B"/>
    <w:rsid w:val="00CE3614"/>
    <w:rsid w:val="00CE4185"/>
    <w:rsid w:val="00CE44E0"/>
    <w:rsid w:val="00CE4575"/>
    <w:rsid w:val="00CE6204"/>
    <w:rsid w:val="00CE633E"/>
    <w:rsid w:val="00CE7ADF"/>
    <w:rsid w:val="00CF1ABB"/>
    <w:rsid w:val="00CF356D"/>
    <w:rsid w:val="00CF415F"/>
    <w:rsid w:val="00CF4426"/>
    <w:rsid w:val="00CF5F12"/>
    <w:rsid w:val="00CF612B"/>
    <w:rsid w:val="00CF67D8"/>
    <w:rsid w:val="00CF6DDC"/>
    <w:rsid w:val="00CF72B6"/>
    <w:rsid w:val="00CF7F55"/>
    <w:rsid w:val="00D00516"/>
    <w:rsid w:val="00D00793"/>
    <w:rsid w:val="00D009D7"/>
    <w:rsid w:val="00D00E34"/>
    <w:rsid w:val="00D020F0"/>
    <w:rsid w:val="00D02149"/>
    <w:rsid w:val="00D0315E"/>
    <w:rsid w:val="00D031D0"/>
    <w:rsid w:val="00D03608"/>
    <w:rsid w:val="00D04FAD"/>
    <w:rsid w:val="00D05168"/>
    <w:rsid w:val="00D062F1"/>
    <w:rsid w:val="00D06331"/>
    <w:rsid w:val="00D072F0"/>
    <w:rsid w:val="00D07753"/>
    <w:rsid w:val="00D1099E"/>
    <w:rsid w:val="00D11024"/>
    <w:rsid w:val="00D11DE4"/>
    <w:rsid w:val="00D1265C"/>
    <w:rsid w:val="00D1381A"/>
    <w:rsid w:val="00D1447F"/>
    <w:rsid w:val="00D15014"/>
    <w:rsid w:val="00D153CD"/>
    <w:rsid w:val="00D1545D"/>
    <w:rsid w:val="00D15BE6"/>
    <w:rsid w:val="00D16003"/>
    <w:rsid w:val="00D16054"/>
    <w:rsid w:val="00D16F0A"/>
    <w:rsid w:val="00D177B5"/>
    <w:rsid w:val="00D201C3"/>
    <w:rsid w:val="00D2031B"/>
    <w:rsid w:val="00D2059D"/>
    <w:rsid w:val="00D22734"/>
    <w:rsid w:val="00D2294B"/>
    <w:rsid w:val="00D25207"/>
    <w:rsid w:val="00D2529D"/>
    <w:rsid w:val="00D260A1"/>
    <w:rsid w:val="00D268FD"/>
    <w:rsid w:val="00D272B0"/>
    <w:rsid w:val="00D272CC"/>
    <w:rsid w:val="00D2789C"/>
    <w:rsid w:val="00D34257"/>
    <w:rsid w:val="00D35028"/>
    <w:rsid w:val="00D356C9"/>
    <w:rsid w:val="00D37E13"/>
    <w:rsid w:val="00D407EF"/>
    <w:rsid w:val="00D4232C"/>
    <w:rsid w:val="00D424CE"/>
    <w:rsid w:val="00D44112"/>
    <w:rsid w:val="00D44375"/>
    <w:rsid w:val="00D45B88"/>
    <w:rsid w:val="00D4781A"/>
    <w:rsid w:val="00D50562"/>
    <w:rsid w:val="00D5200D"/>
    <w:rsid w:val="00D52505"/>
    <w:rsid w:val="00D54549"/>
    <w:rsid w:val="00D549FB"/>
    <w:rsid w:val="00D54A05"/>
    <w:rsid w:val="00D54C96"/>
    <w:rsid w:val="00D5532F"/>
    <w:rsid w:val="00D5606B"/>
    <w:rsid w:val="00D5627E"/>
    <w:rsid w:val="00D56DBB"/>
    <w:rsid w:val="00D56F4C"/>
    <w:rsid w:val="00D57B7E"/>
    <w:rsid w:val="00D60FDC"/>
    <w:rsid w:val="00D611D0"/>
    <w:rsid w:val="00D61890"/>
    <w:rsid w:val="00D61D0D"/>
    <w:rsid w:val="00D62039"/>
    <w:rsid w:val="00D6366F"/>
    <w:rsid w:val="00D63874"/>
    <w:rsid w:val="00D63ACF"/>
    <w:rsid w:val="00D644F1"/>
    <w:rsid w:val="00D6538C"/>
    <w:rsid w:val="00D66600"/>
    <w:rsid w:val="00D666B6"/>
    <w:rsid w:val="00D6702A"/>
    <w:rsid w:val="00D673F8"/>
    <w:rsid w:val="00D67A9A"/>
    <w:rsid w:val="00D706A4"/>
    <w:rsid w:val="00D71930"/>
    <w:rsid w:val="00D71940"/>
    <w:rsid w:val="00D72598"/>
    <w:rsid w:val="00D733A1"/>
    <w:rsid w:val="00D74537"/>
    <w:rsid w:val="00D75002"/>
    <w:rsid w:val="00D75533"/>
    <w:rsid w:val="00D76540"/>
    <w:rsid w:val="00D774B8"/>
    <w:rsid w:val="00D77756"/>
    <w:rsid w:val="00D8064C"/>
    <w:rsid w:val="00D82536"/>
    <w:rsid w:val="00D83548"/>
    <w:rsid w:val="00D84484"/>
    <w:rsid w:val="00D84D2B"/>
    <w:rsid w:val="00D85580"/>
    <w:rsid w:val="00D85911"/>
    <w:rsid w:val="00D87361"/>
    <w:rsid w:val="00D874D7"/>
    <w:rsid w:val="00D8761A"/>
    <w:rsid w:val="00D87FDD"/>
    <w:rsid w:val="00D908B1"/>
    <w:rsid w:val="00D90B18"/>
    <w:rsid w:val="00D9145F"/>
    <w:rsid w:val="00D923A6"/>
    <w:rsid w:val="00D9283A"/>
    <w:rsid w:val="00D92F4F"/>
    <w:rsid w:val="00D9568C"/>
    <w:rsid w:val="00D95C14"/>
    <w:rsid w:val="00D95F25"/>
    <w:rsid w:val="00D961D9"/>
    <w:rsid w:val="00D97732"/>
    <w:rsid w:val="00DA0C9C"/>
    <w:rsid w:val="00DA2415"/>
    <w:rsid w:val="00DA24AB"/>
    <w:rsid w:val="00DA26F1"/>
    <w:rsid w:val="00DA2FC0"/>
    <w:rsid w:val="00DA45F5"/>
    <w:rsid w:val="00DA4AD0"/>
    <w:rsid w:val="00DA560F"/>
    <w:rsid w:val="00DA59F8"/>
    <w:rsid w:val="00DA5EB4"/>
    <w:rsid w:val="00DA7335"/>
    <w:rsid w:val="00DA765B"/>
    <w:rsid w:val="00DA7A5E"/>
    <w:rsid w:val="00DB0338"/>
    <w:rsid w:val="00DB0B74"/>
    <w:rsid w:val="00DB1FCA"/>
    <w:rsid w:val="00DB2CB7"/>
    <w:rsid w:val="00DB38C6"/>
    <w:rsid w:val="00DB6564"/>
    <w:rsid w:val="00DC10BC"/>
    <w:rsid w:val="00DC1D71"/>
    <w:rsid w:val="00DC2CF2"/>
    <w:rsid w:val="00DC33DB"/>
    <w:rsid w:val="00DC3413"/>
    <w:rsid w:val="00DC3A2B"/>
    <w:rsid w:val="00DC41EA"/>
    <w:rsid w:val="00DC5424"/>
    <w:rsid w:val="00DC594A"/>
    <w:rsid w:val="00DC5CE1"/>
    <w:rsid w:val="00DC628F"/>
    <w:rsid w:val="00DC6749"/>
    <w:rsid w:val="00DC6A97"/>
    <w:rsid w:val="00DC71AA"/>
    <w:rsid w:val="00DC78DD"/>
    <w:rsid w:val="00DD1DF0"/>
    <w:rsid w:val="00DD2214"/>
    <w:rsid w:val="00DD255F"/>
    <w:rsid w:val="00DD3CE6"/>
    <w:rsid w:val="00DD5DB8"/>
    <w:rsid w:val="00DD6465"/>
    <w:rsid w:val="00DD7752"/>
    <w:rsid w:val="00DD7DC4"/>
    <w:rsid w:val="00DE003D"/>
    <w:rsid w:val="00DE2A00"/>
    <w:rsid w:val="00DE2AB8"/>
    <w:rsid w:val="00DE4AD2"/>
    <w:rsid w:val="00DE51AF"/>
    <w:rsid w:val="00DE63EC"/>
    <w:rsid w:val="00DE7FB3"/>
    <w:rsid w:val="00DF0EB7"/>
    <w:rsid w:val="00DF187B"/>
    <w:rsid w:val="00DF1C84"/>
    <w:rsid w:val="00DF2B09"/>
    <w:rsid w:val="00DF4935"/>
    <w:rsid w:val="00DF4B38"/>
    <w:rsid w:val="00DF6500"/>
    <w:rsid w:val="00DF71E4"/>
    <w:rsid w:val="00E0055B"/>
    <w:rsid w:val="00E0133B"/>
    <w:rsid w:val="00E01363"/>
    <w:rsid w:val="00E01F4E"/>
    <w:rsid w:val="00E02E76"/>
    <w:rsid w:val="00E031ED"/>
    <w:rsid w:val="00E03CC6"/>
    <w:rsid w:val="00E04BC0"/>
    <w:rsid w:val="00E057BF"/>
    <w:rsid w:val="00E0594C"/>
    <w:rsid w:val="00E061F9"/>
    <w:rsid w:val="00E07238"/>
    <w:rsid w:val="00E0750C"/>
    <w:rsid w:val="00E079F4"/>
    <w:rsid w:val="00E10932"/>
    <w:rsid w:val="00E117FA"/>
    <w:rsid w:val="00E11868"/>
    <w:rsid w:val="00E1187D"/>
    <w:rsid w:val="00E11B49"/>
    <w:rsid w:val="00E11FCC"/>
    <w:rsid w:val="00E120D5"/>
    <w:rsid w:val="00E124BC"/>
    <w:rsid w:val="00E12615"/>
    <w:rsid w:val="00E13427"/>
    <w:rsid w:val="00E151F8"/>
    <w:rsid w:val="00E154C2"/>
    <w:rsid w:val="00E15BF1"/>
    <w:rsid w:val="00E1698A"/>
    <w:rsid w:val="00E17889"/>
    <w:rsid w:val="00E17966"/>
    <w:rsid w:val="00E17EFC"/>
    <w:rsid w:val="00E20B6B"/>
    <w:rsid w:val="00E20DA1"/>
    <w:rsid w:val="00E22D50"/>
    <w:rsid w:val="00E23B71"/>
    <w:rsid w:val="00E2700F"/>
    <w:rsid w:val="00E2756A"/>
    <w:rsid w:val="00E3001D"/>
    <w:rsid w:val="00E30975"/>
    <w:rsid w:val="00E31618"/>
    <w:rsid w:val="00E31DB0"/>
    <w:rsid w:val="00E32B1F"/>
    <w:rsid w:val="00E3306E"/>
    <w:rsid w:val="00E3315C"/>
    <w:rsid w:val="00E3326E"/>
    <w:rsid w:val="00E33A59"/>
    <w:rsid w:val="00E34280"/>
    <w:rsid w:val="00E345AC"/>
    <w:rsid w:val="00E35727"/>
    <w:rsid w:val="00E3605D"/>
    <w:rsid w:val="00E363AD"/>
    <w:rsid w:val="00E369A6"/>
    <w:rsid w:val="00E36A8A"/>
    <w:rsid w:val="00E37477"/>
    <w:rsid w:val="00E3753E"/>
    <w:rsid w:val="00E375D5"/>
    <w:rsid w:val="00E37E87"/>
    <w:rsid w:val="00E403BD"/>
    <w:rsid w:val="00E4053C"/>
    <w:rsid w:val="00E40F82"/>
    <w:rsid w:val="00E44052"/>
    <w:rsid w:val="00E46534"/>
    <w:rsid w:val="00E50034"/>
    <w:rsid w:val="00E50C8A"/>
    <w:rsid w:val="00E51564"/>
    <w:rsid w:val="00E528F2"/>
    <w:rsid w:val="00E53C62"/>
    <w:rsid w:val="00E53C79"/>
    <w:rsid w:val="00E53ED2"/>
    <w:rsid w:val="00E540CF"/>
    <w:rsid w:val="00E54186"/>
    <w:rsid w:val="00E56DE1"/>
    <w:rsid w:val="00E571FA"/>
    <w:rsid w:val="00E57FB2"/>
    <w:rsid w:val="00E60308"/>
    <w:rsid w:val="00E6163E"/>
    <w:rsid w:val="00E61B93"/>
    <w:rsid w:val="00E6234B"/>
    <w:rsid w:val="00E63347"/>
    <w:rsid w:val="00E657EF"/>
    <w:rsid w:val="00E6777A"/>
    <w:rsid w:val="00E708B8"/>
    <w:rsid w:val="00E70B33"/>
    <w:rsid w:val="00E71839"/>
    <w:rsid w:val="00E7263E"/>
    <w:rsid w:val="00E73179"/>
    <w:rsid w:val="00E7325B"/>
    <w:rsid w:val="00E74E82"/>
    <w:rsid w:val="00E74F5D"/>
    <w:rsid w:val="00E74F9D"/>
    <w:rsid w:val="00E77BB6"/>
    <w:rsid w:val="00E77F02"/>
    <w:rsid w:val="00E8104F"/>
    <w:rsid w:val="00E844CE"/>
    <w:rsid w:val="00E85990"/>
    <w:rsid w:val="00E873D5"/>
    <w:rsid w:val="00E87F78"/>
    <w:rsid w:val="00E90ACA"/>
    <w:rsid w:val="00E9264A"/>
    <w:rsid w:val="00E92B8D"/>
    <w:rsid w:val="00E94008"/>
    <w:rsid w:val="00E94180"/>
    <w:rsid w:val="00E95123"/>
    <w:rsid w:val="00E962F1"/>
    <w:rsid w:val="00E9643D"/>
    <w:rsid w:val="00E969EB"/>
    <w:rsid w:val="00EA2A20"/>
    <w:rsid w:val="00EA2E55"/>
    <w:rsid w:val="00EA349D"/>
    <w:rsid w:val="00EA4072"/>
    <w:rsid w:val="00EA6D5E"/>
    <w:rsid w:val="00EA7234"/>
    <w:rsid w:val="00EA7C86"/>
    <w:rsid w:val="00EB1BD6"/>
    <w:rsid w:val="00EB388D"/>
    <w:rsid w:val="00EB3A1D"/>
    <w:rsid w:val="00EB3F93"/>
    <w:rsid w:val="00EB42FF"/>
    <w:rsid w:val="00EB4325"/>
    <w:rsid w:val="00EB4716"/>
    <w:rsid w:val="00EB77FA"/>
    <w:rsid w:val="00EB7F55"/>
    <w:rsid w:val="00EC02C2"/>
    <w:rsid w:val="00EC0AFC"/>
    <w:rsid w:val="00EC1965"/>
    <w:rsid w:val="00EC1CB6"/>
    <w:rsid w:val="00EC2698"/>
    <w:rsid w:val="00EC4C0B"/>
    <w:rsid w:val="00EC5612"/>
    <w:rsid w:val="00EC5B43"/>
    <w:rsid w:val="00EC6FBB"/>
    <w:rsid w:val="00EC774D"/>
    <w:rsid w:val="00ED0A4A"/>
    <w:rsid w:val="00ED0B30"/>
    <w:rsid w:val="00ED17DA"/>
    <w:rsid w:val="00ED1D50"/>
    <w:rsid w:val="00ED2272"/>
    <w:rsid w:val="00ED3578"/>
    <w:rsid w:val="00ED372A"/>
    <w:rsid w:val="00ED4AE3"/>
    <w:rsid w:val="00ED5008"/>
    <w:rsid w:val="00ED5B0A"/>
    <w:rsid w:val="00ED6082"/>
    <w:rsid w:val="00ED6F8C"/>
    <w:rsid w:val="00EE0D9B"/>
    <w:rsid w:val="00EE1057"/>
    <w:rsid w:val="00EE12E4"/>
    <w:rsid w:val="00EE1EFC"/>
    <w:rsid w:val="00EE2523"/>
    <w:rsid w:val="00EE3054"/>
    <w:rsid w:val="00EE41DB"/>
    <w:rsid w:val="00EE453D"/>
    <w:rsid w:val="00EE4FC5"/>
    <w:rsid w:val="00EE5658"/>
    <w:rsid w:val="00EE60BE"/>
    <w:rsid w:val="00EE672C"/>
    <w:rsid w:val="00EE6914"/>
    <w:rsid w:val="00EE74EA"/>
    <w:rsid w:val="00EE756F"/>
    <w:rsid w:val="00EE7AE2"/>
    <w:rsid w:val="00EF1E2B"/>
    <w:rsid w:val="00EF22B7"/>
    <w:rsid w:val="00EF332A"/>
    <w:rsid w:val="00EF676D"/>
    <w:rsid w:val="00EF79A4"/>
    <w:rsid w:val="00F008B0"/>
    <w:rsid w:val="00F0098A"/>
    <w:rsid w:val="00F01019"/>
    <w:rsid w:val="00F01BD6"/>
    <w:rsid w:val="00F02B36"/>
    <w:rsid w:val="00F02D2E"/>
    <w:rsid w:val="00F053EF"/>
    <w:rsid w:val="00F06B27"/>
    <w:rsid w:val="00F07DCD"/>
    <w:rsid w:val="00F131D7"/>
    <w:rsid w:val="00F1476E"/>
    <w:rsid w:val="00F14971"/>
    <w:rsid w:val="00F14B9B"/>
    <w:rsid w:val="00F155AF"/>
    <w:rsid w:val="00F16499"/>
    <w:rsid w:val="00F1701C"/>
    <w:rsid w:val="00F21111"/>
    <w:rsid w:val="00F221BA"/>
    <w:rsid w:val="00F22369"/>
    <w:rsid w:val="00F22EBB"/>
    <w:rsid w:val="00F23123"/>
    <w:rsid w:val="00F23A9F"/>
    <w:rsid w:val="00F23B2E"/>
    <w:rsid w:val="00F23F73"/>
    <w:rsid w:val="00F24621"/>
    <w:rsid w:val="00F24E57"/>
    <w:rsid w:val="00F2642D"/>
    <w:rsid w:val="00F2698A"/>
    <w:rsid w:val="00F27A35"/>
    <w:rsid w:val="00F30535"/>
    <w:rsid w:val="00F309A7"/>
    <w:rsid w:val="00F32D4E"/>
    <w:rsid w:val="00F36622"/>
    <w:rsid w:val="00F36DF6"/>
    <w:rsid w:val="00F371CB"/>
    <w:rsid w:val="00F37E5F"/>
    <w:rsid w:val="00F40291"/>
    <w:rsid w:val="00F4042D"/>
    <w:rsid w:val="00F40576"/>
    <w:rsid w:val="00F4059E"/>
    <w:rsid w:val="00F421D5"/>
    <w:rsid w:val="00F4401E"/>
    <w:rsid w:val="00F444FA"/>
    <w:rsid w:val="00F44893"/>
    <w:rsid w:val="00F44BBD"/>
    <w:rsid w:val="00F454D7"/>
    <w:rsid w:val="00F45921"/>
    <w:rsid w:val="00F45EC8"/>
    <w:rsid w:val="00F4615A"/>
    <w:rsid w:val="00F47BA4"/>
    <w:rsid w:val="00F506D6"/>
    <w:rsid w:val="00F51831"/>
    <w:rsid w:val="00F521CC"/>
    <w:rsid w:val="00F55C07"/>
    <w:rsid w:val="00F55F27"/>
    <w:rsid w:val="00F5682A"/>
    <w:rsid w:val="00F569E7"/>
    <w:rsid w:val="00F56F70"/>
    <w:rsid w:val="00F572F0"/>
    <w:rsid w:val="00F575BF"/>
    <w:rsid w:val="00F60548"/>
    <w:rsid w:val="00F616BF"/>
    <w:rsid w:val="00F62235"/>
    <w:rsid w:val="00F62D50"/>
    <w:rsid w:val="00F63440"/>
    <w:rsid w:val="00F64692"/>
    <w:rsid w:val="00F64878"/>
    <w:rsid w:val="00F702B2"/>
    <w:rsid w:val="00F7071F"/>
    <w:rsid w:val="00F71C70"/>
    <w:rsid w:val="00F7242A"/>
    <w:rsid w:val="00F7247C"/>
    <w:rsid w:val="00F7271D"/>
    <w:rsid w:val="00F73EF3"/>
    <w:rsid w:val="00F7437B"/>
    <w:rsid w:val="00F744CC"/>
    <w:rsid w:val="00F74A64"/>
    <w:rsid w:val="00F756B2"/>
    <w:rsid w:val="00F75DE6"/>
    <w:rsid w:val="00F75DF2"/>
    <w:rsid w:val="00F76D88"/>
    <w:rsid w:val="00F80A23"/>
    <w:rsid w:val="00F81BF3"/>
    <w:rsid w:val="00F81D14"/>
    <w:rsid w:val="00F81FD6"/>
    <w:rsid w:val="00F837C2"/>
    <w:rsid w:val="00F85D30"/>
    <w:rsid w:val="00F85D5A"/>
    <w:rsid w:val="00F85F98"/>
    <w:rsid w:val="00F86645"/>
    <w:rsid w:val="00F878BE"/>
    <w:rsid w:val="00F90CFA"/>
    <w:rsid w:val="00F911F8"/>
    <w:rsid w:val="00F913E3"/>
    <w:rsid w:val="00F91D4E"/>
    <w:rsid w:val="00F920B3"/>
    <w:rsid w:val="00F9384A"/>
    <w:rsid w:val="00F93B0A"/>
    <w:rsid w:val="00F94EAF"/>
    <w:rsid w:val="00F95FA7"/>
    <w:rsid w:val="00F96AD5"/>
    <w:rsid w:val="00F96BBC"/>
    <w:rsid w:val="00F9711B"/>
    <w:rsid w:val="00FA096D"/>
    <w:rsid w:val="00FA0987"/>
    <w:rsid w:val="00FA0A5A"/>
    <w:rsid w:val="00FA0EFD"/>
    <w:rsid w:val="00FA15FD"/>
    <w:rsid w:val="00FA1A44"/>
    <w:rsid w:val="00FA34DA"/>
    <w:rsid w:val="00FA38D7"/>
    <w:rsid w:val="00FA5924"/>
    <w:rsid w:val="00FA7867"/>
    <w:rsid w:val="00FA7F67"/>
    <w:rsid w:val="00FB0381"/>
    <w:rsid w:val="00FB130C"/>
    <w:rsid w:val="00FB2A6B"/>
    <w:rsid w:val="00FB3007"/>
    <w:rsid w:val="00FB4E9B"/>
    <w:rsid w:val="00FB4FD0"/>
    <w:rsid w:val="00FB60C6"/>
    <w:rsid w:val="00FB6595"/>
    <w:rsid w:val="00FB69D6"/>
    <w:rsid w:val="00FB7580"/>
    <w:rsid w:val="00FC0E29"/>
    <w:rsid w:val="00FC10B3"/>
    <w:rsid w:val="00FC15C0"/>
    <w:rsid w:val="00FC1715"/>
    <w:rsid w:val="00FC17AA"/>
    <w:rsid w:val="00FC1842"/>
    <w:rsid w:val="00FC1E49"/>
    <w:rsid w:val="00FC2807"/>
    <w:rsid w:val="00FC2F6F"/>
    <w:rsid w:val="00FC2FB0"/>
    <w:rsid w:val="00FC3453"/>
    <w:rsid w:val="00FC3D0C"/>
    <w:rsid w:val="00FC3F5E"/>
    <w:rsid w:val="00FC4E85"/>
    <w:rsid w:val="00FC614C"/>
    <w:rsid w:val="00FC614E"/>
    <w:rsid w:val="00FC6376"/>
    <w:rsid w:val="00FC6593"/>
    <w:rsid w:val="00FC664D"/>
    <w:rsid w:val="00FC6C5B"/>
    <w:rsid w:val="00FC6DDE"/>
    <w:rsid w:val="00FD06C4"/>
    <w:rsid w:val="00FD187B"/>
    <w:rsid w:val="00FD193C"/>
    <w:rsid w:val="00FD2572"/>
    <w:rsid w:val="00FD2C25"/>
    <w:rsid w:val="00FD395A"/>
    <w:rsid w:val="00FD3AEE"/>
    <w:rsid w:val="00FD43BE"/>
    <w:rsid w:val="00FD5D8A"/>
    <w:rsid w:val="00FE12D2"/>
    <w:rsid w:val="00FE1B18"/>
    <w:rsid w:val="00FE1ECE"/>
    <w:rsid w:val="00FE6192"/>
    <w:rsid w:val="00FE78E0"/>
    <w:rsid w:val="00FF10BE"/>
    <w:rsid w:val="00FF3797"/>
    <w:rsid w:val="00FF38FC"/>
    <w:rsid w:val="00FF444A"/>
    <w:rsid w:val="00FF5492"/>
    <w:rsid w:val="00FF6DCE"/>
    <w:rsid w:val="00FF75BD"/>
    <w:rsid w:val="00FF797B"/>
    <w:rsid w:val="00FF7B4F"/>
    <w:rsid w:val="00FF7C61"/>
  </w:rsids>
  <m:mathPr>
    <m:mathFont m:val="Cambria Math"/>
    <m:brkBin m:val="before"/>
    <m:brkBinSub m:val="--"/>
    <m:smallFrac m:val="off"/>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endnote text"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69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rsid w:val="00CD625C"/>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rsid w:val="00CD625C"/>
    <w:pPr>
      <w:ind w:left="1080" w:hanging="360"/>
    </w:pPr>
    <w:rPr>
      <w:rFonts w:ascii="Courier" w:hAnsi="Courier"/>
      <w:sz w:val="20"/>
    </w:rPr>
  </w:style>
  <w:style w:type="paragraph" w:customStyle="1" w:styleId="BodyText21">
    <w:name w:val="Body Text 21"/>
    <w:basedOn w:val="Normal"/>
    <w:rsid w:val="00CD625C"/>
    <w:rPr>
      <w:sz w:val="22"/>
      <w:lang w:val="en-GB"/>
    </w:rPr>
  </w:style>
  <w:style w:type="paragraph" w:styleId="BlockText">
    <w:name w:val="Block Text"/>
    <w:basedOn w:val="Normal"/>
    <w:rsid w:val="00CD625C"/>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rsid w:val="00CD625C"/>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rsid w:val="00CD625C"/>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rsid w:val="00CD625C"/>
  </w:style>
  <w:style w:type="paragraph" w:customStyle="1" w:styleId="Heading4indent">
    <w:name w:val="Heading 4 indent"/>
    <w:basedOn w:val="Heading4"/>
    <w:rsid w:val="00CD625C"/>
    <w:pPr>
      <w:ind w:left="720"/>
    </w:pPr>
  </w:style>
  <w:style w:type="paragraph" w:styleId="PlainText">
    <w:name w:val="Plain Text"/>
    <w:basedOn w:val="Normal"/>
    <w:link w:val="PlainTextChar"/>
    <w:uiPriority w:val="99"/>
    <w:rsid w:val="00CD625C"/>
    <w:rPr>
      <w:rFonts w:ascii="Courier New" w:hAnsi="Courier New"/>
      <w:sz w:val="20"/>
    </w:rPr>
  </w:style>
  <w:style w:type="paragraph" w:customStyle="1" w:styleId="xl24">
    <w:name w:val="xl24"/>
    <w:basedOn w:val="Normal"/>
    <w:rsid w:val="00CD625C"/>
    <w:pPr>
      <w:spacing w:before="100" w:beforeAutospacing="1" w:after="100" w:afterAutospacing="1"/>
    </w:pPr>
    <w:rPr>
      <w:rFonts w:eastAsia="Arial Unicode MS"/>
      <w:b/>
      <w:bCs/>
      <w:sz w:val="22"/>
      <w:szCs w:val="22"/>
    </w:rPr>
  </w:style>
  <w:style w:type="paragraph" w:customStyle="1" w:styleId="xl25">
    <w:name w:val="xl25"/>
    <w:basedOn w:val="Normal"/>
    <w:rsid w:val="00CD625C"/>
    <w:pPr>
      <w:spacing w:before="100" w:beforeAutospacing="1" w:after="100" w:afterAutospacing="1"/>
    </w:pPr>
    <w:rPr>
      <w:rFonts w:eastAsia="Arial Unicode MS"/>
      <w:b/>
      <w:bCs/>
      <w:sz w:val="22"/>
      <w:szCs w:val="22"/>
    </w:rPr>
  </w:style>
  <w:style w:type="paragraph" w:customStyle="1" w:styleId="xl26">
    <w:name w:val="xl26"/>
    <w:basedOn w:val="Normal"/>
    <w:rsid w:val="00CD625C"/>
    <w:pPr>
      <w:spacing w:before="100" w:beforeAutospacing="1" w:after="100" w:afterAutospacing="1"/>
      <w:jc w:val="center"/>
    </w:pPr>
    <w:rPr>
      <w:rFonts w:eastAsia="Arial Unicode MS"/>
      <w:b/>
      <w:bCs/>
      <w:sz w:val="22"/>
      <w:szCs w:val="22"/>
    </w:rPr>
  </w:style>
  <w:style w:type="paragraph" w:customStyle="1" w:styleId="xl27">
    <w:name w:val="xl27"/>
    <w:basedOn w:val="Normal"/>
    <w:rsid w:val="00CD625C"/>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rsid w:val="00CD625C"/>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rsid w:val="00CD625C"/>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rsid w:val="00CD625C"/>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rsid w:val="00CD625C"/>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rsid w:val="00CD625C"/>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CD625C"/>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CD625C"/>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rsid w:val="00CD625C"/>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rsid w:val="00CD625C"/>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rsid w:val="00CD625C"/>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rsid w:val="00CD625C"/>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rsid w:val="00CD625C"/>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rsid w:val="00CD625C"/>
    <w:pPr>
      <w:spacing w:before="100" w:beforeAutospacing="1" w:after="100" w:afterAutospacing="1"/>
      <w:jc w:val="center"/>
      <w:textAlignment w:val="top"/>
    </w:pPr>
    <w:rPr>
      <w:rFonts w:eastAsia="Arial Unicode MS"/>
      <w:sz w:val="22"/>
      <w:szCs w:val="22"/>
    </w:rPr>
  </w:style>
  <w:style w:type="paragraph" w:customStyle="1" w:styleId="xl41">
    <w:name w:val="xl41"/>
    <w:basedOn w:val="Normal"/>
    <w:rsid w:val="00CD625C"/>
    <w:pPr>
      <w:spacing w:before="100" w:beforeAutospacing="1" w:after="100" w:afterAutospacing="1"/>
      <w:jc w:val="both"/>
      <w:textAlignment w:val="top"/>
    </w:pPr>
    <w:rPr>
      <w:rFonts w:eastAsia="Arial Unicode MS"/>
      <w:sz w:val="22"/>
      <w:szCs w:val="22"/>
    </w:rPr>
  </w:style>
  <w:style w:type="paragraph" w:customStyle="1" w:styleId="xl42">
    <w:name w:val="xl42"/>
    <w:basedOn w:val="Normal"/>
    <w:rsid w:val="00CD625C"/>
    <w:pPr>
      <w:spacing w:before="100" w:beforeAutospacing="1" w:after="100" w:afterAutospacing="1"/>
      <w:jc w:val="center"/>
    </w:pPr>
    <w:rPr>
      <w:rFonts w:eastAsia="Arial Unicode MS"/>
      <w:sz w:val="22"/>
      <w:szCs w:val="22"/>
    </w:rPr>
  </w:style>
  <w:style w:type="paragraph" w:customStyle="1" w:styleId="xl43">
    <w:name w:val="xl43"/>
    <w:basedOn w:val="Normal"/>
    <w:rsid w:val="00CD625C"/>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rsid w:val="00CD625C"/>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rsid w:val="00CD625C"/>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rsid w:val="00CD625C"/>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rsid w:val="00CD625C"/>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rsid w:val="00CD625C"/>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rsid w:val="00CD625C"/>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rsid w:val="00CD625C"/>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rsid w:val="00CD625C"/>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rsid w:val="00CD625C"/>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rsid w:val="00CD625C"/>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rsid w:val="00CD625C"/>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rsid w:val="00CD625C"/>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rsid w:val="00CD625C"/>
    <w:pPr>
      <w:spacing w:before="100" w:beforeAutospacing="1" w:after="100" w:afterAutospacing="1"/>
    </w:pPr>
    <w:rPr>
      <w:rFonts w:eastAsia="Arial Unicode MS"/>
      <w:sz w:val="22"/>
      <w:szCs w:val="22"/>
    </w:rPr>
  </w:style>
  <w:style w:type="paragraph" w:customStyle="1" w:styleId="xl57">
    <w:name w:val="xl57"/>
    <w:basedOn w:val="Normal"/>
    <w:rsid w:val="00CD625C"/>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rsid w:val="00CD625C"/>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rsid w:val="00CD625C"/>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rsid w:val="00CD625C"/>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rsid w:val="00CD625C"/>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rsid w:val="00CD625C"/>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rsid w:val="00CD625C"/>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rsid w:val="00CD625C"/>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rsid w:val="00CD625C"/>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rsid w:val="00CD625C"/>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rsid w:val="00CD625C"/>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rsid w:val="00CD625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rsid w:val="00CD625C"/>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rsid w:val="00CD625C"/>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rsid w:val="00CD62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CD625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CD625C"/>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sid w:val="00CD625C"/>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rsid w:val="00CD625C"/>
    <w:pPr>
      <w:numPr>
        <w:ilvl w:val="1"/>
        <w:numId w:val="2"/>
      </w:numPr>
      <w:tabs>
        <w:tab w:val="clear" w:pos="1800"/>
        <w:tab w:val="num" w:pos="360"/>
      </w:tabs>
    </w:pPr>
  </w:style>
  <w:style w:type="paragraph" w:customStyle="1" w:styleId="aident">
    <w:name w:val="(a) ident"/>
    <w:basedOn w:val="Normal"/>
    <w:rsid w:val="00CD625C"/>
    <w:pPr>
      <w:numPr>
        <w:numId w:val="3"/>
      </w:numPr>
      <w:autoSpaceDE w:val="0"/>
      <w:autoSpaceDN w:val="0"/>
      <w:spacing w:before="120" w:after="120"/>
    </w:pPr>
    <w:rPr>
      <w:snapToGrid w:val="0"/>
      <w:sz w:val="22"/>
      <w:szCs w:val="18"/>
      <w:lang w:val="en-GB"/>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rsid w:val="00CD625C"/>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rsid w:val="00CD625C"/>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CD625C"/>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CD625C"/>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rsid w:val="00CD625C"/>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CD625C"/>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rsid w:val="00CD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CD625C"/>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rsid w:val="00CD625C"/>
    <w:pPr>
      <w:tabs>
        <w:tab w:val="left" w:pos="810"/>
      </w:tabs>
      <w:overflowPunct w:val="0"/>
      <w:autoSpaceDE w:val="0"/>
      <w:autoSpaceDN w:val="0"/>
      <w:adjustRightInd w:val="0"/>
      <w:spacing w:after="240"/>
      <w:textAlignment w:val="baseline"/>
    </w:pPr>
  </w:style>
  <w:style w:type="character" w:customStyle="1" w:styleId="content1">
    <w:name w:val="content1"/>
    <w:rsid w:val="00CD625C"/>
    <w:rPr>
      <w:rFonts w:ascii="Arial" w:hAnsi="Arial" w:cs="Arial" w:hint="default"/>
      <w:b w:val="0"/>
      <w:bCs w:val="0"/>
      <w:color w:val="000000"/>
      <w:sz w:val="24"/>
      <w:szCs w:val="24"/>
    </w:rPr>
  </w:style>
  <w:style w:type="character" w:styleId="CommentReference">
    <w:name w:val="annotation reference"/>
    <w:rsid w:val="00CD625C"/>
    <w:rPr>
      <w:sz w:val="16"/>
      <w:szCs w:val="16"/>
    </w:rPr>
  </w:style>
  <w:style w:type="paragraph" w:styleId="CommentText">
    <w:name w:val="annotation text"/>
    <w:basedOn w:val="Normal"/>
    <w:link w:val="CommentTextChar"/>
    <w:rsid w:val="00CD625C"/>
    <w:rPr>
      <w:sz w:val="20"/>
    </w:rPr>
  </w:style>
  <w:style w:type="character" w:customStyle="1" w:styleId="BodyText2Char">
    <w:name w:val="Body Text 2 Char"/>
    <w:rsid w:val="00CD625C"/>
    <w:rPr>
      <w:sz w:val="22"/>
      <w:lang w:val="en-US" w:eastAsia="en-US" w:bidi="ar-SA"/>
    </w:rPr>
  </w:style>
  <w:style w:type="character" w:customStyle="1" w:styleId="BodyText2CharCharChar">
    <w:name w:val="Body Text 2 Char Char Char"/>
    <w:rsid w:val="00CD625C"/>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CD625C"/>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CD625C"/>
    <w:rPr>
      <w:b/>
      <w:bCs/>
      <w:i/>
      <w:iCs/>
      <w:sz w:val="22"/>
      <w:szCs w:val="24"/>
      <w:lang w:val="en-GB" w:eastAsia="en-US" w:bidi="ar-SA"/>
    </w:rPr>
  </w:style>
  <w:style w:type="paragraph" w:customStyle="1" w:styleId="subhead">
    <w:name w:val="subhead"/>
    <w:basedOn w:val="Normal"/>
    <w:next w:val="Para1"/>
    <w:rsid w:val="00CD625C"/>
    <w:pPr>
      <w:spacing w:before="120" w:after="120"/>
      <w:jc w:val="center"/>
    </w:pPr>
    <w:rPr>
      <w:rFonts w:cs="Angsana New"/>
      <w:i/>
      <w:sz w:val="22"/>
      <w:lang w:val="en-GB"/>
    </w:rPr>
  </w:style>
  <w:style w:type="character" w:styleId="Emphasis">
    <w:name w:val="Emphasis"/>
    <w:uiPriority w:val="20"/>
    <w:qFormat/>
    <w:rsid w:val="00CD625C"/>
    <w:rPr>
      <w:i/>
      <w:iCs/>
    </w:rPr>
  </w:style>
  <w:style w:type="character" w:customStyle="1" w:styleId="BlockTextChar">
    <w:name w:val="Block Text Char"/>
    <w:rsid w:val="00CD625C"/>
    <w:rPr>
      <w:sz w:val="24"/>
      <w:szCs w:val="24"/>
      <w:lang w:val="en-US" w:eastAsia="en-US" w:bidi="ar-SA"/>
    </w:rPr>
  </w:style>
  <w:style w:type="paragraph" w:customStyle="1" w:styleId="bodytext210">
    <w:name w:val="bodytext21"/>
    <w:basedOn w:val="Normal"/>
    <w:rsid w:val="00CD625C"/>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CD625C"/>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sid w:val="00CD625C"/>
    <w:rPr>
      <w:b/>
      <w:bCs/>
    </w:rPr>
  </w:style>
  <w:style w:type="character" w:customStyle="1" w:styleId="MathieuRgnier">
    <w:name w:val="Mathieu Régnier"/>
    <w:semiHidden/>
    <w:rsid w:val="00CD625C"/>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GridTable21">
    <w:name w:val="Grid Table 2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lang w:val="en-GB"/>
    </w:rPr>
  </w:style>
  <w:style w:type="paragraph" w:customStyle="1" w:styleId="PlainTable22">
    <w:name w:val="Plain Table 22"/>
    <w:hidden/>
    <w:uiPriority w:val="99"/>
    <w:semiHidden/>
    <w:rsid w:val="00023D05"/>
    <w:rPr>
      <w:rFonts w:cs="Angsana New"/>
      <w:sz w:val="22"/>
      <w:szCs w:val="24"/>
      <w:lang w:val="en-GB"/>
    </w:rPr>
  </w:style>
  <w:style w:type="paragraph" w:customStyle="1" w:styleId="PlainTable32">
    <w:name w:val="Plain Table 32"/>
    <w:basedOn w:val="Normal"/>
    <w:uiPriority w:val="34"/>
    <w:qFormat/>
    <w:rsid w:val="00914CF7"/>
    <w:pPr>
      <w:ind w:left="720"/>
    </w:pPr>
  </w:style>
  <w:style w:type="paragraph" w:customStyle="1" w:styleId="SubtleEmphasis1">
    <w:name w:val="Subtle Emphasis1"/>
    <w:basedOn w:val="Normal"/>
    <w:uiPriority w:val="34"/>
    <w:qFormat/>
    <w:rsid w:val="009252DF"/>
    <w:pPr>
      <w:ind w:left="720"/>
    </w:pPr>
  </w:style>
  <w:style w:type="paragraph" w:customStyle="1" w:styleId="MediumList1-Accent41">
    <w:name w:val="Medium List 1 - Accent 41"/>
    <w:hidden/>
    <w:uiPriority w:val="99"/>
    <w:semiHidden/>
    <w:rsid w:val="0011508D"/>
    <w:rPr>
      <w:rFonts w:cs="Angsana New"/>
      <w:sz w:val="22"/>
      <w:szCs w:val="24"/>
      <w:lang w:val="en-GB"/>
    </w:rPr>
  </w:style>
  <w:style w:type="character" w:customStyle="1" w:styleId="CommentTextChar">
    <w:name w:val="Comment Text Char"/>
    <w:link w:val="CommentText"/>
    <w:rsid w:val="00D706A4"/>
    <w:rPr>
      <w:rFonts w:cs="Angsana New"/>
      <w:szCs w:val="24"/>
      <w:lang w:val="en-GB"/>
    </w:rPr>
  </w:style>
  <w:style w:type="character" w:customStyle="1" w:styleId="EndnoteTextChar">
    <w:name w:val="Endnote Text Char"/>
    <w:link w:val="EndnoteText"/>
    <w:uiPriority w:val="99"/>
    <w:rsid w:val="00D706A4"/>
    <w:rPr>
      <w:rFonts w:ascii="Courier New" w:hAnsi="Courier New" w:cs="Angsana New"/>
      <w:sz w:val="22"/>
      <w:szCs w:val="24"/>
      <w:lang w:val="en-GB"/>
    </w:rPr>
  </w:style>
  <w:style w:type="character" w:customStyle="1" w:styleId="apple-converted-space">
    <w:name w:val="apple-converted-space"/>
    <w:rsid w:val="004C1CEF"/>
  </w:style>
  <w:style w:type="paragraph" w:customStyle="1" w:styleId="para11">
    <w:name w:val="para1"/>
    <w:basedOn w:val="Normal"/>
    <w:uiPriority w:val="99"/>
    <w:rsid w:val="00422B9C"/>
    <w:pPr>
      <w:tabs>
        <w:tab w:val="num" w:pos="360"/>
      </w:tabs>
      <w:snapToGrid w:val="0"/>
      <w:spacing w:before="120" w:after="120"/>
    </w:pPr>
    <w:rPr>
      <w:szCs w:val="22"/>
      <w:lang w:val="en-US"/>
    </w:rPr>
  </w:style>
  <w:style w:type="character" w:styleId="HTMLVariable">
    <w:name w:val="HTML Variable"/>
    <w:uiPriority w:val="99"/>
    <w:unhideWhenUsed/>
    <w:rsid w:val="00AE058F"/>
    <w:rPr>
      <w:i/>
      <w:iCs/>
    </w:rPr>
  </w:style>
  <w:style w:type="paragraph" w:customStyle="1" w:styleId="MediumGrid1-Accent21">
    <w:name w:val="Medium Grid 1 - Accent 21"/>
    <w:basedOn w:val="Normal"/>
    <w:uiPriority w:val="34"/>
    <w:qFormat/>
    <w:rsid w:val="00780F65"/>
    <w:pPr>
      <w:ind w:left="720"/>
      <w:contextualSpacing/>
    </w:pPr>
    <w:rPr>
      <w:rFonts w:ascii="Calibri" w:eastAsia="Calibri" w:hAnsi="Calibri"/>
      <w:szCs w:val="22"/>
      <w:lang w:eastAsia="en-CA"/>
    </w:rPr>
  </w:style>
  <w:style w:type="paragraph" w:customStyle="1" w:styleId="MediumList2-Accent21">
    <w:name w:val="Medium List 2 - Accent 21"/>
    <w:hidden/>
    <w:uiPriority w:val="99"/>
    <w:semiHidden/>
    <w:rsid w:val="006860F0"/>
    <w:rPr>
      <w:rFonts w:cs="Angsana New"/>
      <w:sz w:val="22"/>
      <w:szCs w:val="24"/>
      <w:lang w:val="en-GB"/>
    </w:rPr>
  </w:style>
  <w:style w:type="paragraph" w:customStyle="1" w:styleId="meetingname">
    <w:name w:val="meeting name"/>
    <w:basedOn w:val="Normal"/>
    <w:qFormat/>
    <w:rsid w:val="00750802"/>
    <w:pPr>
      <w:snapToGrid w:val="0"/>
      <w:ind w:left="170" w:right="3119" w:hanging="170"/>
    </w:pPr>
    <w:rPr>
      <w:rFonts w:eastAsia="Malgun Gothic"/>
      <w:caps/>
    </w:rPr>
  </w:style>
  <w:style w:type="paragraph" w:styleId="Revision">
    <w:name w:val="Revision"/>
    <w:hidden/>
    <w:uiPriority w:val="99"/>
    <w:semiHidden/>
    <w:rsid w:val="000C316D"/>
    <w:rPr>
      <w:rFonts w:cs="Angsana New"/>
      <w:sz w:val="22"/>
      <w:szCs w:val="24"/>
      <w:lang w:val="en-GB"/>
    </w:rPr>
  </w:style>
  <w:style w:type="paragraph" w:styleId="ListParagraph">
    <w:name w:val="List Paragraph"/>
    <w:basedOn w:val="Normal"/>
    <w:uiPriority w:val="34"/>
    <w:qFormat/>
    <w:rsid w:val="00A90DD7"/>
    <w:pPr>
      <w:ind w:left="720"/>
      <w:contextualSpacing/>
    </w:pPr>
  </w:style>
  <w:style w:type="table" w:styleId="TableGrid">
    <w:name w:val="Table Grid"/>
    <w:basedOn w:val="TableNormal"/>
    <w:rsid w:val="00550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07D2"/>
    <w:rPr>
      <w:color w:val="808080"/>
    </w:rPr>
  </w:style>
  <w:style w:type="character" w:customStyle="1" w:styleId="UnresolvedMention">
    <w:name w:val="Unresolved Mention"/>
    <w:basedOn w:val="DefaultParagraphFont"/>
    <w:uiPriority w:val="99"/>
    <w:semiHidden/>
    <w:unhideWhenUsed/>
    <w:rsid w:val="009B07D2"/>
    <w:rPr>
      <w:color w:val="808080"/>
      <w:shd w:val="clear" w:color="auto" w:fill="E6E6E6"/>
    </w:rPr>
  </w:style>
  <w:style w:type="paragraph" w:customStyle="1" w:styleId="StylePara111ptJustifiedBefore6ptKernat11pt">
    <w:name w:val="Style Para1 + 11 pt Justified Before:  6 pt Kern at 11 pt"/>
    <w:basedOn w:val="Para1"/>
    <w:rsid w:val="000C342E"/>
    <w:pPr>
      <w:spacing w:before="120"/>
      <w:jc w:val="both"/>
    </w:pPr>
    <w:rPr>
      <w:kern w:val="22"/>
      <w:sz w:val="22"/>
      <w:szCs w:val="20"/>
      <w:vertAlign w:val="superscript"/>
    </w:rPr>
  </w:style>
  <w:style w:type="character" w:customStyle="1" w:styleId="fr">
    <w:name w:val="fr"/>
    <w:basedOn w:val="DefaultParagraphFont"/>
    <w:rsid w:val="003B6F56"/>
  </w:style>
  <w:style w:type="character" w:customStyle="1" w:styleId="preferred">
    <w:name w:val="preferred"/>
    <w:basedOn w:val="DefaultParagraphFont"/>
    <w:rsid w:val="004D6B96"/>
  </w:style>
</w:styles>
</file>

<file path=word/webSettings.xml><?xml version="1.0" encoding="utf-8"?>
<w:webSettings xmlns:r="http://schemas.openxmlformats.org/officeDocument/2006/relationships" xmlns:w="http://schemas.openxmlformats.org/wordprocessingml/2006/main">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06977087">
      <w:bodyDiv w:val="1"/>
      <w:marLeft w:val="0"/>
      <w:marRight w:val="0"/>
      <w:marTop w:val="0"/>
      <w:marBottom w:val="0"/>
      <w:divBdr>
        <w:top w:val="none" w:sz="0" w:space="0" w:color="auto"/>
        <w:left w:val="none" w:sz="0" w:space="0" w:color="auto"/>
        <w:bottom w:val="none" w:sz="0" w:space="0" w:color="auto"/>
        <w:right w:val="none" w:sz="0" w:space="0" w:color="auto"/>
      </w:divBdr>
    </w:div>
    <w:div w:id="407462530">
      <w:bodyDiv w:val="1"/>
      <w:marLeft w:val="0"/>
      <w:marRight w:val="0"/>
      <w:marTop w:val="0"/>
      <w:marBottom w:val="0"/>
      <w:divBdr>
        <w:top w:val="none" w:sz="0" w:space="0" w:color="auto"/>
        <w:left w:val="none" w:sz="0" w:space="0" w:color="auto"/>
        <w:bottom w:val="none" w:sz="0" w:space="0" w:color="auto"/>
        <w:right w:val="none" w:sz="0" w:space="0" w:color="auto"/>
      </w:divBdr>
    </w:div>
    <w:div w:id="472988687">
      <w:bodyDiv w:val="1"/>
      <w:marLeft w:val="0"/>
      <w:marRight w:val="0"/>
      <w:marTop w:val="0"/>
      <w:marBottom w:val="0"/>
      <w:divBdr>
        <w:top w:val="none" w:sz="0" w:space="0" w:color="auto"/>
        <w:left w:val="none" w:sz="0" w:space="0" w:color="auto"/>
        <w:bottom w:val="none" w:sz="0" w:space="0" w:color="auto"/>
        <w:right w:val="none" w:sz="0" w:space="0" w:color="auto"/>
      </w:divBdr>
    </w:div>
    <w:div w:id="623313911">
      <w:bodyDiv w:val="1"/>
      <w:marLeft w:val="0"/>
      <w:marRight w:val="0"/>
      <w:marTop w:val="0"/>
      <w:marBottom w:val="0"/>
      <w:divBdr>
        <w:top w:val="none" w:sz="0" w:space="0" w:color="auto"/>
        <w:left w:val="none" w:sz="0" w:space="0" w:color="auto"/>
        <w:bottom w:val="none" w:sz="0" w:space="0" w:color="auto"/>
        <w:right w:val="none" w:sz="0" w:space="0" w:color="auto"/>
      </w:divBdr>
    </w:div>
    <w:div w:id="642732334">
      <w:bodyDiv w:val="1"/>
      <w:marLeft w:val="0"/>
      <w:marRight w:val="0"/>
      <w:marTop w:val="0"/>
      <w:marBottom w:val="0"/>
      <w:divBdr>
        <w:top w:val="none" w:sz="0" w:space="0" w:color="auto"/>
        <w:left w:val="none" w:sz="0" w:space="0" w:color="auto"/>
        <w:bottom w:val="none" w:sz="0" w:space="0" w:color="auto"/>
        <w:right w:val="none" w:sz="0" w:space="0" w:color="auto"/>
      </w:divBdr>
    </w:div>
    <w:div w:id="675305716">
      <w:bodyDiv w:val="1"/>
      <w:marLeft w:val="0"/>
      <w:marRight w:val="0"/>
      <w:marTop w:val="0"/>
      <w:marBottom w:val="0"/>
      <w:divBdr>
        <w:top w:val="none" w:sz="0" w:space="0" w:color="auto"/>
        <w:left w:val="none" w:sz="0" w:space="0" w:color="auto"/>
        <w:bottom w:val="none" w:sz="0" w:space="0" w:color="auto"/>
        <w:right w:val="none" w:sz="0" w:space="0" w:color="auto"/>
      </w:divBdr>
    </w:div>
    <w:div w:id="679084849">
      <w:bodyDiv w:val="1"/>
      <w:marLeft w:val="0"/>
      <w:marRight w:val="0"/>
      <w:marTop w:val="0"/>
      <w:marBottom w:val="0"/>
      <w:divBdr>
        <w:top w:val="none" w:sz="0" w:space="0" w:color="auto"/>
        <w:left w:val="none" w:sz="0" w:space="0" w:color="auto"/>
        <w:bottom w:val="none" w:sz="0" w:space="0" w:color="auto"/>
        <w:right w:val="none" w:sz="0" w:space="0" w:color="auto"/>
      </w:divBdr>
    </w:div>
    <w:div w:id="753210071">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99101016">
      <w:bodyDiv w:val="1"/>
      <w:marLeft w:val="0"/>
      <w:marRight w:val="0"/>
      <w:marTop w:val="0"/>
      <w:marBottom w:val="0"/>
      <w:divBdr>
        <w:top w:val="none" w:sz="0" w:space="0" w:color="auto"/>
        <w:left w:val="none" w:sz="0" w:space="0" w:color="auto"/>
        <w:bottom w:val="none" w:sz="0" w:space="0" w:color="auto"/>
        <w:right w:val="none" w:sz="0" w:space="0" w:color="auto"/>
      </w:divBdr>
    </w:div>
    <w:div w:id="907299121">
      <w:bodyDiv w:val="1"/>
      <w:marLeft w:val="0"/>
      <w:marRight w:val="0"/>
      <w:marTop w:val="0"/>
      <w:marBottom w:val="0"/>
      <w:divBdr>
        <w:top w:val="none" w:sz="0" w:space="0" w:color="auto"/>
        <w:left w:val="none" w:sz="0" w:space="0" w:color="auto"/>
        <w:bottom w:val="none" w:sz="0" w:space="0" w:color="auto"/>
        <w:right w:val="none" w:sz="0" w:space="0" w:color="auto"/>
      </w:divBdr>
    </w:div>
    <w:div w:id="979118870">
      <w:bodyDiv w:val="1"/>
      <w:marLeft w:val="0"/>
      <w:marRight w:val="0"/>
      <w:marTop w:val="0"/>
      <w:marBottom w:val="0"/>
      <w:divBdr>
        <w:top w:val="none" w:sz="0" w:space="0" w:color="auto"/>
        <w:left w:val="none" w:sz="0" w:space="0" w:color="auto"/>
        <w:bottom w:val="none" w:sz="0" w:space="0" w:color="auto"/>
        <w:right w:val="none" w:sz="0" w:space="0" w:color="auto"/>
      </w:divBdr>
      <w:divsChild>
        <w:div w:id="363137587">
          <w:marLeft w:val="0"/>
          <w:marRight w:val="0"/>
          <w:marTop w:val="105"/>
          <w:marBottom w:val="105"/>
          <w:divBdr>
            <w:top w:val="none" w:sz="0" w:space="0" w:color="auto"/>
            <w:left w:val="none" w:sz="0" w:space="0" w:color="auto"/>
            <w:bottom w:val="none" w:sz="0" w:space="0" w:color="auto"/>
            <w:right w:val="none" w:sz="0" w:space="0" w:color="auto"/>
          </w:divBdr>
        </w:div>
        <w:div w:id="1135757874">
          <w:marLeft w:val="0"/>
          <w:marRight w:val="0"/>
          <w:marTop w:val="105"/>
          <w:marBottom w:val="105"/>
          <w:divBdr>
            <w:top w:val="none" w:sz="0" w:space="0" w:color="auto"/>
            <w:left w:val="none" w:sz="0" w:space="0" w:color="auto"/>
            <w:bottom w:val="none" w:sz="0" w:space="0" w:color="auto"/>
            <w:right w:val="none" w:sz="0" w:space="0" w:color="auto"/>
          </w:divBdr>
        </w:div>
        <w:div w:id="1373532742">
          <w:marLeft w:val="0"/>
          <w:marRight w:val="0"/>
          <w:marTop w:val="105"/>
          <w:marBottom w:val="105"/>
          <w:divBdr>
            <w:top w:val="none" w:sz="0" w:space="0" w:color="auto"/>
            <w:left w:val="none" w:sz="0" w:space="0" w:color="auto"/>
            <w:bottom w:val="none" w:sz="0" w:space="0" w:color="auto"/>
            <w:right w:val="none" w:sz="0" w:space="0" w:color="auto"/>
          </w:divBdr>
        </w:div>
        <w:div w:id="2000110478">
          <w:marLeft w:val="0"/>
          <w:marRight w:val="0"/>
          <w:marTop w:val="105"/>
          <w:marBottom w:val="105"/>
          <w:divBdr>
            <w:top w:val="none" w:sz="0" w:space="0" w:color="auto"/>
            <w:left w:val="none" w:sz="0" w:space="0" w:color="auto"/>
            <w:bottom w:val="none" w:sz="0" w:space="0" w:color="auto"/>
            <w:right w:val="none" w:sz="0" w:space="0" w:color="auto"/>
          </w:divBdr>
        </w:div>
        <w:div w:id="2105805426">
          <w:marLeft w:val="0"/>
          <w:marRight w:val="0"/>
          <w:marTop w:val="105"/>
          <w:marBottom w:val="105"/>
          <w:divBdr>
            <w:top w:val="none" w:sz="0" w:space="0" w:color="auto"/>
            <w:left w:val="none" w:sz="0" w:space="0" w:color="auto"/>
            <w:bottom w:val="none" w:sz="0" w:space="0" w:color="auto"/>
            <w:right w:val="none" w:sz="0" w:space="0" w:color="auto"/>
          </w:divBdr>
        </w:div>
      </w:divsChild>
    </w:div>
    <w:div w:id="1099985076">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7060605">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323125156">
      <w:bodyDiv w:val="1"/>
      <w:marLeft w:val="0"/>
      <w:marRight w:val="0"/>
      <w:marTop w:val="0"/>
      <w:marBottom w:val="0"/>
      <w:divBdr>
        <w:top w:val="none" w:sz="0" w:space="0" w:color="auto"/>
        <w:left w:val="none" w:sz="0" w:space="0" w:color="auto"/>
        <w:bottom w:val="none" w:sz="0" w:space="0" w:color="auto"/>
        <w:right w:val="none" w:sz="0" w:space="0" w:color="auto"/>
      </w:divBdr>
    </w:div>
    <w:div w:id="1408454337">
      <w:bodyDiv w:val="1"/>
      <w:marLeft w:val="0"/>
      <w:marRight w:val="0"/>
      <w:marTop w:val="0"/>
      <w:marBottom w:val="0"/>
      <w:divBdr>
        <w:top w:val="none" w:sz="0" w:space="0" w:color="auto"/>
        <w:left w:val="none" w:sz="0" w:space="0" w:color="auto"/>
        <w:bottom w:val="none" w:sz="0" w:space="0" w:color="auto"/>
        <w:right w:val="none" w:sz="0" w:space="0" w:color="auto"/>
      </w:divBdr>
    </w:div>
    <w:div w:id="1428038380">
      <w:bodyDiv w:val="1"/>
      <w:marLeft w:val="0"/>
      <w:marRight w:val="0"/>
      <w:marTop w:val="0"/>
      <w:marBottom w:val="0"/>
      <w:divBdr>
        <w:top w:val="none" w:sz="0" w:space="0" w:color="auto"/>
        <w:left w:val="none" w:sz="0" w:space="0" w:color="auto"/>
        <w:bottom w:val="none" w:sz="0" w:space="0" w:color="auto"/>
        <w:right w:val="none" w:sz="0" w:space="0" w:color="auto"/>
      </w:divBdr>
      <w:divsChild>
        <w:div w:id="1396705937">
          <w:marLeft w:val="0"/>
          <w:marRight w:val="0"/>
          <w:marTop w:val="0"/>
          <w:marBottom w:val="0"/>
          <w:divBdr>
            <w:top w:val="none" w:sz="0" w:space="0" w:color="auto"/>
            <w:left w:val="none" w:sz="0" w:space="0" w:color="auto"/>
            <w:bottom w:val="none" w:sz="0" w:space="0" w:color="auto"/>
            <w:right w:val="none" w:sz="0" w:space="0" w:color="auto"/>
          </w:divBdr>
          <w:divsChild>
            <w:div w:id="2042700801">
              <w:marLeft w:val="0"/>
              <w:marRight w:val="0"/>
              <w:marTop w:val="0"/>
              <w:marBottom w:val="0"/>
              <w:divBdr>
                <w:top w:val="none" w:sz="0" w:space="0" w:color="auto"/>
                <w:left w:val="none" w:sz="0" w:space="0" w:color="auto"/>
                <w:bottom w:val="none" w:sz="0" w:space="0" w:color="auto"/>
                <w:right w:val="none" w:sz="0" w:space="0" w:color="auto"/>
              </w:divBdr>
              <w:divsChild>
                <w:div w:id="1387098757">
                  <w:marLeft w:val="0"/>
                  <w:marRight w:val="0"/>
                  <w:marTop w:val="0"/>
                  <w:marBottom w:val="0"/>
                  <w:divBdr>
                    <w:top w:val="none" w:sz="0" w:space="0" w:color="auto"/>
                    <w:left w:val="none" w:sz="0" w:space="0" w:color="auto"/>
                    <w:bottom w:val="none" w:sz="0" w:space="0" w:color="auto"/>
                    <w:right w:val="none" w:sz="0" w:space="0" w:color="auto"/>
                  </w:divBdr>
                  <w:divsChild>
                    <w:div w:id="127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455055535">
      <w:bodyDiv w:val="1"/>
      <w:marLeft w:val="0"/>
      <w:marRight w:val="0"/>
      <w:marTop w:val="0"/>
      <w:marBottom w:val="0"/>
      <w:divBdr>
        <w:top w:val="none" w:sz="0" w:space="0" w:color="auto"/>
        <w:left w:val="none" w:sz="0" w:space="0" w:color="auto"/>
        <w:bottom w:val="none" w:sz="0" w:space="0" w:color="auto"/>
        <w:right w:val="none" w:sz="0" w:space="0" w:color="auto"/>
      </w:divBdr>
    </w:div>
    <w:div w:id="1497110187">
      <w:bodyDiv w:val="1"/>
      <w:marLeft w:val="0"/>
      <w:marRight w:val="0"/>
      <w:marTop w:val="0"/>
      <w:marBottom w:val="0"/>
      <w:divBdr>
        <w:top w:val="none" w:sz="0" w:space="0" w:color="auto"/>
        <w:left w:val="none" w:sz="0" w:space="0" w:color="auto"/>
        <w:bottom w:val="none" w:sz="0" w:space="0" w:color="auto"/>
        <w:right w:val="none" w:sz="0" w:space="0" w:color="auto"/>
      </w:divBdr>
    </w:div>
    <w:div w:id="1499803082">
      <w:bodyDiv w:val="1"/>
      <w:marLeft w:val="0"/>
      <w:marRight w:val="0"/>
      <w:marTop w:val="0"/>
      <w:marBottom w:val="0"/>
      <w:divBdr>
        <w:top w:val="none" w:sz="0" w:space="0" w:color="auto"/>
        <w:left w:val="none" w:sz="0" w:space="0" w:color="auto"/>
        <w:bottom w:val="none" w:sz="0" w:space="0" w:color="auto"/>
        <w:right w:val="none" w:sz="0" w:space="0" w:color="auto"/>
      </w:divBdr>
    </w:div>
    <w:div w:id="1590238781">
      <w:bodyDiv w:val="1"/>
      <w:marLeft w:val="0"/>
      <w:marRight w:val="0"/>
      <w:marTop w:val="0"/>
      <w:marBottom w:val="0"/>
      <w:divBdr>
        <w:top w:val="none" w:sz="0" w:space="0" w:color="auto"/>
        <w:left w:val="none" w:sz="0" w:space="0" w:color="auto"/>
        <w:bottom w:val="none" w:sz="0" w:space="0" w:color="auto"/>
        <w:right w:val="none" w:sz="0" w:space="0" w:color="auto"/>
      </w:divBdr>
      <w:divsChild>
        <w:div w:id="1622418614">
          <w:marLeft w:val="0"/>
          <w:marRight w:val="0"/>
          <w:marTop w:val="0"/>
          <w:marBottom w:val="0"/>
          <w:divBdr>
            <w:top w:val="none" w:sz="0" w:space="0" w:color="auto"/>
            <w:left w:val="none" w:sz="0" w:space="0" w:color="auto"/>
            <w:bottom w:val="none" w:sz="0" w:space="0" w:color="auto"/>
            <w:right w:val="none" w:sz="0" w:space="0" w:color="auto"/>
          </w:divBdr>
          <w:divsChild>
            <w:div w:id="2052606480">
              <w:marLeft w:val="0"/>
              <w:marRight w:val="0"/>
              <w:marTop w:val="0"/>
              <w:marBottom w:val="0"/>
              <w:divBdr>
                <w:top w:val="none" w:sz="0" w:space="0" w:color="auto"/>
                <w:left w:val="none" w:sz="0" w:space="0" w:color="auto"/>
                <w:bottom w:val="none" w:sz="0" w:space="0" w:color="auto"/>
                <w:right w:val="none" w:sz="0" w:space="0" w:color="auto"/>
              </w:divBdr>
              <w:divsChild>
                <w:div w:id="20257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042">
      <w:bodyDiv w:val="1"/>
      <w:marLeft w:val="0"/>
      <w:marRight w:val="0"/>
      <w:marTop w:val="0"/>
      <w:marBottom w:val="0"/>
      <w:divBdr>
        <w:top w:val="none" w:sz="0" w:space="0" w:color="auto"/>
        <w:left w:val="none" w:sz="0" w:space="0" w:color="auto"/>
        <w:bottom w:val="none" w:sz="0" w:space="0" w:color="auto"/>
        <w:right w:val="none" w:sz="0" w:space="0" w:color="auto"/>
      </w:divBdr>
      <w:divsChild>
        <w:div w:id="1408112427">
          <w:marLeft w:val="0"/>
          <w:marRight w:val="0"/>
          <w:marTop w:val="0"/>
          <w:marBottom w:val="0"/>
          <w:divBdr>
            <w:top w:val="none" w:sz="0" w:space="0" w:color="auto"/>
            <w:left w:val="none" w:sz="0" w:space="0" w:color="auto"/>
            <w:bottom w:val="none" w:sz="0" w:space="0" w:color="auto"/>
            <w:right w:val="none" w:sz="0" w:space="0" w:color="auto"/>
          </w:divBdr>
          <w:divsChild>
            <w:div w:id="1139613817">
              <w:marLeft w:val="0"/>
              <w:marRight w:val="0"/>
              <w:marTop w:val="0"/>
              <w:marBottom w:val="0"/>
              <w:divBdr>
                <w:top w:val="none" w:sz="0" w:space="0" w:color="auto"/>
                <w:left w:val="none" w:sz="0" w:space="0" w:color="auto"/>
                <w:bottom w:val="none" w:sz="0" w:space="0" w:color="auto"/>
                <w:right w:val="none" w:sz="0" w:space="0" w:color="auto"/>
              </w:divBdr>
              <w:divsChild>
                <w:div w:id="414666599">
                  <w:marLeft w:val="0"/>
                  <w:marRight w:val="0"/>
                  <w:marTop w:val="0"/>
                  <w:marBottom w:val="0"/>
                  <w:divBdr>
                    <w:top w:val="none" w:sz="0" w:space="0" w:color="auto"/>
                    <w:left w:val="none" w:sz="0" w:space="0" w:color="auto"/>
                    <w:bottom w:val="none" w:sz="0" w:space="0" w:color="auto"/>
                    <w:right w:val="none" w:sz="0" w:space="0" w:color="auto"/>
                  </w:divBdr>
                  <w:divsChild>
                    <w:div w:id="990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42589">
      <w:bodyDiv w:val="1"/>
      <w:marLeft w:val="0"/>
      <w:marRight w:val="0"/>
      <w:marTop w:val="0"/>
      <w:marBottom w:val="0"/>
      <w:divBdr>
        <w:top w:val="none" w:sz="0" w:space="0" w:color="auto"/>
        <w:left w:val="none" w:sz="0" w:space="0" w:color="auto"/>
        <w:bottom w:val="none" w:sz="0" w:space="0" w:color="auto"/>
        <w:right w:val="none" w:sz="0" w:space="0" w:color="auto"/>
      </w:divBdr>
    </w:div>
    <w:div w:id="1681007376">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4819">
      <w:bodyDiv w:val="1"/>
      <w:marLeft w:val="0"/>
      <w:marRight w:val="0"/>
      <w:marTop w:val="0"/>
      <w:marBottom w:val="0"/>
      <w:divBdr>
        <w:top w:val="none" w:sz="0" w:space="0" w:color="auto"/>
        <w:left w:val="none" w:sz="0" w:space="0" w:color="auto"/>
        <w:bottom w:val="none" w:sz="0" w:space="0" w:color="auto"/>
        <w:right w:val="none" w:sz="0" w:space="0" w:color="auto"/>
      </w:divBdr>
      <w:divsChild>
        <w:div w:id="179635668">
          <w:marLeft w:val="0"/>
          <w:marRight w:val="0"/>
          <w:marTop w:val="0"/>
          <w:marBottom w:val="0"/>
          <w:divBdr>
            <w:top w:val="none" w:sz="0" w:space="0" w:color="auto"/>
            <w:left w:val="none" w:sz="0" w:space="0" w:color="auto"/>
            <w:bottom w:val="none" w:sz="0" w:space="0" w:color="auto"/>
            <w:right w:val="none" w:sz="0" w:space="0" w:color="auto"/>
          </w:divBdr>
        </w:div>
        <w:div w:id="522669775">
          <w:marLeft w:val="0"/>
          <w:marRight w:val="0"/>
          <w:marTop w:val="0"/>
          <w:marBottom w:val="0"/>
          <w:divBdr>
            <w:top w:val="none" w:sz="0" w:space="0" w:color="auto"/>
            <w:left w:val="none" w:sz="0" w:space="0" w:color="auto"/>
            <w:bottom w:val="none" w:sz="0" w:space="0" w:color="auto"/>
            <w:right w:val="none" w:sz="0" w:space="0" w:color="auto"/>
          </w:divBdr>
        </w:div>
        <w:div w:id="782188015">
          <w:marLeft w:val="0"/>
          <w:marRight w:val="0"/>
          <w:marTop w:val="0"/>
          <w:marBottom w:val="0"/>
          <w:divBdr>
            <w:top w:val="none" w:sz="0" w:space="0" w:color="auto"/>
            <w:left w:val="none" w:sz="0" w:space="0" w:color="auto"/>
            <w:bottom w:val="none" w:sz="0" w:space="0" w:color="auto"/>
            <w:right w:val="none" w:sz="0" w:space="0" w:color="auto"/>
          </w:divBdr>
        </w:div>
      </w:divsChild>
    </w:div>
    <w:div w:id="1839156670">
      <w:bodyDiv w:val="1"/>
      <w:marLeft w:val="0"/>
      <w:marRight w:val="0"/>
      <w:marTop w:val="0"/>
      <w:marBottom w:val="0"/>
      <w:divBdr>
        <w:top w:val="none" w:sz="0" w:space="0" w:color="auto"/>
        <w:left w:val="none" w:sz="0" w:space="0" w:color="auto"/>
        <w:bottom w:val="none" w:sz="0" w:space="0" w:color="auto"/>
        <w:right w:val="none" w:sz="0" w:space="0" w:color="auto"/>
      </w:divBdr>
      <w:divsChild>
        <w:div w:id="946817819">
          <w:marLeft w:val="0"/>
          <w:marRight w:val="0"/>
          <w:marTop w:val="105"/>
          <w:marBottom w:val="105"/>
          <w:divBdr>
            <w:top w:val="none" w:sz="0" w:space="0" w:color="auto"/>
            <w:left w:val="none" w:sz="0" w:space="0" w:color="auto"/>
            <w:bottom w:val="none" w:sz="0" w:space="0" w:color="auto"/>
            <w:right w:val="none" w:sz="0" w:space="0" w:color="auto"/>
          </w:divBdr>
          <w:divsChild>
            <w:div w:id="154805789">
              <w:marLeft w:val="0"/>
              <w:marRight w:val="0"/>
              <w:marTop w:val="105"/>
              <w:marBottom w:val="105"/>
              <w:divBdr>
                <w:top w:val="none" w:sz="0" w:space="0" w:color="auto"/>
                <w:left w:val="none" w:sz="0" w:space="0" w:color="auto"/>
                <w:bottom w:val="none" w:sz="0" w:space="0" w:color="auto"/>
                <w:right w:val="none" w:sz="0" w:space="0" w:color="auto"/>
              </w:divBdr>
            </w:div>
          </w:divsChild>
        </w:div>
        <w:div w:id="1791898978">
          <w:marLeft w:val="0"/>
          <w:marRight w:val="0"/>
          <w:marTop w:val="105"/>
          <w:marBottom w:val="105"/>
          <w:divBdr>
            <w:top w:val="none" w:sz="0" w:space="0" w:color="auto"/>
            <w:left w:val="none" w:sz="0" w:space="0" w:color="auto"/>
            <w:bottom w:val="none" w:sz="0" w:space="0" w:color="auto"/>
            <w:right w:val="none" w:sz="0" w:space="0" w:color="auto"/>
          </w:divBdr>
        </w:div>
      </w:divsChild>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1953315692">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58310256">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431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25-f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0/cop-10-dec-02-f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d.int/doc/decisions/cop-10/cop-10-dec-02-f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ecisions/tracki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ustainabledevelopment.un.org/content/documents/17877VNR_handbook_2018_French.pdf" TargetMode="External"/><Relationship Id="rId3" Type="http://schemas.openxmlformats.org/officeDocument/2006/relationships/hyperlink" Target="http://icisa.cag.gov.in/resource_files/87ca71601d696fd5b6baf378182c0603.pdf" TargetMode="External"/><Relationship Id="rId7" Type="http://schemas.openxmlformats.org/officeDocument/2006/relationships/hyperlink" Target="https://oceanconference.un.org/commitments/" TargetMode="External"/><Relationship Id="rId2" Type="http://schemas.openxmlformats.org/officeDocument/2006/relationships/hyperlink" Target="https://www.cbd.int/nbsap/vpr/default.shtml" TargetMode="External"/><Relationship Id="rId1" Type="http://schemas.openxmlformats.org/officeDocument/2006/relationships/hyperlink" Target="https://www.cbd.int/doc/c/c418/4b06/65b26745a1c1a1793cc5ea40/sbi-02-01-fr.pdf" TargetMode="External"/><Relationship Id="rId6" Type="http://schemas.openxmlformats.org/officeDocument/2006/relationships/hyperlink" Target="http://www2.unccd.int/actions/ldn-target-setting-programme" TargetMode="External"/><Relationship Id="rId5" Type="http://schemas.openxmlformats.org/officeDocument/2006/relationships/hyperlink" Target="https://www.cbd.int/doc/c/a7a0/180e/98bc80349a363a973049a4fc/nrws-2017-01-presentation-04-en.pdf" TargetMode="External"/><Relationship Id="rId4" Type="http://schemas.openxmlformats.org/officeDocument/2006/relationships/hyperlink" Target="https://www.cbd.int/countries/targets/?country=ca" TargetMode="External"/><Relationship Id="rId9" Type="http://schemas.openxmlformats.org/officeDocument/2006/relationships/hyperlink" Target="https://sustainabledevelopment.un.org/content/documents/17346Updated_Voluntary_Guidelin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3BD651E7CD401E8FCF2400DCA5224F"/>
        <w:category>
          <w:name w:val="General"/>
          <w:gallery w:val="placeholder"/>
        </w:category>
        <w:types>
          <w:type w:val="bbPlcHdr"/>
        </w:types>
        <w:behaviors>
          <w:behavior w:val="content"/>
        </w:behaviors>
        <w:guid w:val="{985FE110-F64B-4EB5-8000-EDA291F5A225}"/>
      </w:docPartPr>
      <w:docPartBody>
        <w:p w:rsidR="00A93D16" w:rsidRDefault="008025B2">
          <w:r w:rsidRPr="00DC4F36">
            <w:rPr>
              <w:rStyle w:val="PlaceholderText"/>
            </w:rPr>
            <w:t>[Title]</w:t>
          </w:r>
        </w:p>
      </w:docPartBody>
    </w:docPart>
    <w:docPart>
      <w:docPartPr>
        <w:name w:val="355983AA81E74E8BAAFAAB098EAFF96F"/>
        <w:category>
          <w:name w:val="General"/>
          <w:gallery w:val="placeholder"/>
        </w:category>
        <w:types>
          <w:type w:val="bbPlcHdr"/>
        </w:types>
        <w:behaviors>
          <w:behavior w:val="content"/>
        </w:behaviors>
        <w:guid w:val="{E4A774C8-D52E-4DB8-B82D-34BA62A265D8}"/>
      </w:docPartPr>
      <w:docPartBody>
        <w:p w:rsidR="00A93D16" w:rsidRDefault="008025B2">
          <w:r w:rsidRPr="00DC4F36">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hyphenationZone w:val="425"/>
  <w:characterSpacingControl w:val="doNotCompress"/>
  <w:compat>
    <w:useFELayout/>
  </w:compat>
  <w:rsids>
    <w:rsidRoot w:val="008025B2"/>
    <w:rsid w:val="00116DEA"/>
    <w:rsid w:val="004B5EFB"/>
    <w:rsid w:val="00511227"/>
    <w:rsid w:val="008025B2"/>
    <w:rsid w:val="008A0E8F"/>
    <w:rsid w:val="00A93D16"/>
    <w:rsid w:val="00F32FB2"/>
  </w:rsids>
  <m:mathPr>
    <m:mathFont m:val="Cambria Math"/>
    <m:brkBin m:val="before"/>
    <m:brkBinSub m:val="--"/>
    <m:smallFrac m:val="off"/>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5B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9CF2-FA41-4F98-B44A-9063314E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14</Pages>
  <Words>6530</Words>
  <Characters>35916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mécanismes pour faciliter l’examen de l’application</vt:lpstr>
    </vt:vector>
  </TitlesOfParts>
  <Company>BIODIVERSITY</Company>
  <LinksUpToDate>false</LinksUpToDate>
  <CharactersWithSpaces>42362</CharactersWithSpaces>
  <SharedDoc>false</SharedDoc>
  <HLinks>
    <vt:vector size="66" baseType="variant">
      <vt:variant>
        <vt:i4>5242955</vt:i4>
      </vt:variant>
      <vt:variant>
        <vt:i4>15</vt:i4>
      </vt:variant>
      <vt:variant>
        <vt:i4>0</vt:i4>
      </vt:variant>
      <vt:variant>
        <vt:i4>5</vt:i4>
      </vt:variant>
      <vt:variant>
        <vt:lpwstr>https://sustainabledevelopment.un.org/content/documents/17346Updated_Voluntary_Guidelines.pdf</vt:lpwstr>
      </vt:variant>
      <vt:variant>
        <vt:lpwstr/>
      </vt:variant>
      <vt:variant>
        <vt:i4>6225992</vt:i4>
      </vt:variant>
      <vt:variant>
        <vt:i4>12</vt:i4>
      </vt:variant>
      <vt:variant>
        <vt:i4>0</vt:i4>
      </vt:variant>
      <vt:variant>
        <vt:i4>5</vt:i4>
      </vt:variant>
      <vt:variant>
        <vt:lpwstr>https://sustainabledevelopment.un.org/content/documents/17354VNR_handbook_2018.pdf</vt:lpwstr>
      </vt:variant>
      <vt:variant>
        <vt:lpwstr/>
      </vt:variant>
      <vt:variant>
        <vt:i4>7340136</vt:i4>
      </vt:variant>
      <vt:variant>
        <vt:i4>9</vt:i4>
      </vt:variant>
      <vt:variant>
        <vt:i4>0</vt:i4>
      </vt:variant>
      <vt:variant>
        <vt:i4>5</vt:i4>
      </vt:variant>
      <vt:variant>
        <vt:lpwstr>https://sustainabledevelopment.un.org/vnrs/</vt:lpwstr>
      </vt:variant>
      <vt:variant>
        <vt:lpwstr/>
      </vt:variant>
      <vt:variant>
        <vt:i4>8257570</vt:i4>
      </vt:variant>
      <vt:variant>
        <vt:i4>6</vt:i4>
      </vt:variant>
      <vt:variant>
        <vt:i4>0</vt:i4>
      </vt:variant>
      <vt:variant>
        <vt:i4>5</vt:i4>
      </vt:variant>
      <vt:variant>
        <vt:lpwstr>https://www.cbd.int/decisions/tracking/</vt:lpwstr>
      </vt:variant>
      <vt:variant>
        <vt:lpwstr/>
      </vt:variant>
      <vt:variant>
        <vt:i4>7012404</vt:i4>
      </vt:variant>
      <vt:variant>
        <vt:i4>3</vt:i4>
      </vt:variant>
      <vt:variant>
        <vt:i4>0</vt:i4>
      </vt:variant>
      <vt:variant>
        <vt:i4>5</vt:i4>
      </vt:variant>
      <vt:variant>
        <vt:lpwstr>https://www.cbd.int/decision/cop/default.shtml?id=13392</vt:lpwstr>
      </vt:variant>
      <vt:variant>
        <vt:lpwstr/>
      </vt:variant>
      <vt:variant>
        <vt:i4>852047</vt:i4>
      </vt:variant>
      <vt:variant>
        <vt:i4>0</vt:i4>
      </vt:variant>
      <vt:variant>
        <vt:i4>0</vt:i4>
      </vt:variant>
      <vt:variant>
        <vt:i4>5</vt:i4>
      </vt:variant>
      <vt:variant>
        <vt:lpwstr>https://www.cbd.int/doc/decisions/cop-13/cop-13-dec-25-en.pdf</vt:lpwstr>
      </vt:variant>
      <vt:variant>
        <vt:lpwstr/>
      </vt:variant>
      <vt:variant>
        <vt:i4>5242955</vt:i4>
      </vt:variant>
      <vt:variant>
        <vt:i4>12</vt:i4>
      </vt:variant>
      <vt:variant>
        <vt:i4>0</vt:i4>
      </vt:variant>
      <vt:variant>
        <vt:i4>5</vt:i4>
      </vt:variant>
      <vt:variant>
        <vt:lpwstr>https://sustainabledevelopment.un.org/content/documents/17346Updated_Voluntary_Guidelines.pdf</vt:lpwstr>
      </vt:variant>
      <vt:variant>
        <vt:lpwstr/>
      </vt:variant>
      <vt:variant>
        <vt:i4>6225992</vt:i4>
      </vt:variant>
      <vt:variant>
        <vt:i4>9</vt:i4>
      </vt:variant>
      <vt:variant>
        <vt:i4>0</vt:i4>
      </vt:variant>
      <vt:variant>
        <vt:i4>5</vt:i4>
      </vt:variant>
      <vt:variant>
        <vt:lpwstr>https://sustainabledevelopment.un.org/content/documents/17354VNR_handbook_2018.pdf</vt:lpwstr>
      </vt:variant>
      <vt:variant>
        <vt:lpwstr/>
      </vt:variant>
      <vt:variant>
        <vt:i4>4259844</vt:i4>
      </vt:variant>
      <vt:variant>
        <vt:i4>6</vt:i4>
      </vt:variant>
      <vt:variant>
        <vt:i4>0</vt:i4>
      </vt:variant>
      <vt:variant>
        <vt:i4>5</vt:i4>
      </vt:variant>
      <vt:variant>
        <vt:lpwstr>https://www.cbd.int/doc/c/a7a0/180e/98bc80349a363a973049a4fc/nrws-2017-01-presentation-04-en.pdf</vt:lpwstr>
      </vt:variant>
      <vt:variant>
        <vt:lpwstr/>
      </vt:variant>
      <vt:variant>
        <vt:i4>7667767</vt:i4>
      </vt:variant>
      <vt:variant>
        <vt:i4>3</vt:i4>
      </vt:variant>
      <vt:variant>
        <vt:i4>0</vt:i4>
      </vt:variant>
      <vt:variant>
        <vt:i4>5</vt:i4>
      </vt:variant>
      <vt:variant>
        <vt:lpwstr>https://www.cbd.int/nbsap/vpr/default.shtml</vt:lpwstr>
      </vt:variant>
      <vt:variant>
        <vt:lpwstr/>
      </vt:variant>
      <vt:variant>
        <vt:i4>1441809</vt:i4>
      </vt:variant>
      <vt:variant>
        <vt:i4>0</vt:i4>
      </vt:variant>
      <vt:variant>
        <vt:i4>0</vt:i4>
      </vt:variant>
      <vt:variant>
        <vt:i4>5</vt:i4>
      </vt:variant>
      <vt:variant>
        <vt:lpwstr>https://www.cbd.int/doc/c/6ce5/878e/5ffa49887c20c19961fe040a/sbi-02-01-en.pdf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mécanismes pour faciliter l’examen de l’application</dc:title>
  <dc:subject>CBD/SBI/2/11</dc:subject>
  <dc:creator>SCBD</dc:creator>
  <cp:lastModifiedBy>User</cp:lastModifiedBy>
  <cp:revision>3</cp:revision>
  <cp:lastPrinted>2018-04-03T12:48:00Z</cp:lastPrinted>
  <dcterms:created xsi:type="dcterms:W3CDTF">2018-06-09T22:36:00Z</dcterms:created>
  <dcterms:modified xsi:type="dcterms:W3CDTF">2018-06-12T21:56:00Z</dcterms:modified>
</cp:coreProperties>
</file>