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FB10AA" w:rsidRPr="007A1F82" w14:paraId="35B9890B" w14:textId="77777777" w:rsidTr="00D23365">
        <w:trPr>
          <w:trHeight w:hRule="exact" w:val="720"/>
        </w:trPr>
        <w:tc>
          <w:tcPr>
            <w:tcW w:w="909" w:type="dxa"/>
            <w:tcBorders>
              <w:top w:val="nil"/>
              <w:bottom w:val="single" w:sz="12" w:space="0" w:color="000000"/>
              <w:right w:val="nil"/>
            </w:tcBorders>
          </w:tcPr>
          <w:p w14:paraId="0243FF21" w14:textId="720963C3" w:rsidR="00FB10AA" w:rsidRPr="007A1F82" w:rsidRDefault="0033084E" w:rsidP="00D23365">
            <w:pPr>
              <w:spacing w:after="120" w:line="480" w:lineRule="auto"/>
              <w:rPr>
                <w:rFonts w:eastAsia="Times New Roman"/>
                <w:kern w:val="22"/>
                <w:sz w:val="20"/>
                <w:szCs w:val="20"/>
                <w:lang w:val="en-US"/>
              </w:rPr>
            </w:pPr>
            <w:bookmarkStart w:id="0" w:name="_Hlk33348613"/>
            <w:r>
              <w:rPr>
                <w:noProof/>
                <w:lang w:val="en-US"/>
              </w:rPr>
              <w:drawing>
                <wp:anchor distT="0" distB="0" distL="114300" distR="114300" simplePos="0" relativeHeight="251658240" behindDoc="0" locked="0" layoutInCell="1" allowOverlap="1" wp14:anchorId="3C4DC63D" wp14:editId="5F87A673">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12" w:space="0" w:color="000000"/>
              <w:right w:val="nil"/>
            </w:tcBorders>
          </w:tcPr>
          <w:p w14:paraId="059F40FA" w14:textId="4F214970" w:rsidR="00FB10AA" w:rsidRPr="00A74BD1" w:rsidRDefault="0033084E" w:rsidP="00D23365">
            <w:pPr>
              <w:spacing w:before="60"/>
              <w:rPr>
                <w:rFonts w:ascii="SimHei" w:eastAsia="SimHei"/>
                <w:sz w:val="20"/>
                <w:szCs w:val="20"/>
              </w:rPr>
            </w:pPr>
            <w:r>
              <w:rPr>
                <w:noProof/>
                <w:lang w:val="en-US"/>
              </w:rPr>
              <w:drawing>
                <wp:anchor distT="0" distB="0" distL="114300" distR="114300" simplePos="0" relativeHeight="251658241" behindDoc="0" locked="0" layoutInCell="1" allowOverlap="1" wp14:anchorId="0EBAEEC6" wp14:editId="2616AE16">
                  <wp:simplePos x="0" y="0"/>
                  <wp:positionH relativeFrom="column">
                    <wp:posOffset>407035</wp:posOffset>
                  </wp:positionH>
                  <wp:positionV relativeFrom="paragraph">
                    <wp:posOffset>22225</wp:posOffset>
                  </wp:positionV>
                  <wp:extent cx="180975" cy="1917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FB10AA" w:rsidRPr="00A74BD1">
              <w:rPr>
                <w:rFonts w:ascii="SimHei" w:eastAsia="SimHei" w:hAnsi="SimSun" w:cs="SimSun" w:hint="eastAsia"/>
                <w:sz w:val="20"/>
                <w:szCs w:val="20"/>
              </w:rPr>
              <w:t>联合国</w:t>
            </w:r>
          </w:p>
          <w:p w14:paraId="498C5BD6" w14:textId="77777777" w:rsidR="00FB10AA" w:rsidRPr="00A74BD1" w:rsidRDefault="00FB10AA" w:rsidP="00D23365">
            <w:pPr>
              <w:rPr>
                <w:rFonts w:ascii="SimHei" w:eastAsia="SimHei"/>
                <w:sz w:val="20"/>
                <w:szCs w:val="20"/>
              </w:rPr>
            </w:pPr>
            <w:r w:rsidRPr="00A74BD1">
              <w:rPr>
                <w:rFonts w:ascii="SimHei" w:eastAsia="SimHei" w:hAnsi="SimSun" w:cs="SimSun" w:hint="eastAsia"/>
                <w:sz w:val="20"/>
                <w:szCs w:val="20"/>
              </w:rPr>
              <w:t>环境规划署</w:t>
            </w:r>
          </w:p>
          <w:p w14:paraId="28AC073D" w14:textId="77777777" w:rsidR="00FB10AA" w:rsidRPr="007A1F82" w:rsidRDefault="00FB10AA" w:rsidP="00D23365">
            <w:pPr>
              <w:rPr>
                <w:rFonts w:eastAsia="Times New Roman"/>
              </w:rPr>
            </w:pPr>
          </w:p>
        </w:tc>
        <w:tc>
          <w:tcPr>
            <w:tcW w:w="5130" w:type="dxa"/>
            <w:tcBorders>
              <w:top w:val="nil"/>
              <w:left w:val="nil"/>
              <w:bottom w:val="single" w:sz="12" w:space="0" w:color="000000"/>
            </w:tcBorders>
          </w:tcPr>
          <w:p w14:paraId="6A9E65EE" w14:textId="3E1CEB4F" w:rsidR="00FB10AA" w:rsidRPr="00A74BD1" w:rsidRDefault="00FB10AA" w:rsidP="00D23365">
            <w:pPr>
              <w:tabs>
                <w:tab w:val="right" w:pos="7611"/>
              </w:tabs>
              <w:spacing w:before="240"/>
              <w:ind w:left="360" w:right="216"/>
              <w:jc w:val="right"/>
              <w:rPr>
                <w:bCs/>
                <w:kern w:val="22"/>
                <w:sz w:val="40"/>
                <w:szCs w:val="40"/>
                <w:lang w:val="en-US"/>
              </w:rPr>
            </w:pPr>
            <w:r w:rsidRPr="009B1582">
              <w:rPr>
                <w:rFonts w:eastAsia="Times New Roman"/>
                <w:bCs/>
                <w:kern w:val="22"/>
                <w:sz w:val="40"/>
                <w:szCs w:val="40"/>
              </w:rPr>
              <w:t>CBD</w:t>
            </w:r>
            <w:r w:rsidRPr="009B1582">
              <w:rPr>
                <w:rFonts w:eastAsia="Times New Roman"/>
                <w:bCs/>
                <w:kern w:val="22"/>
              </w:rPr>
              <w:t>/</w:t>
            </w:r>
            <w:r w:rsidRPr="005A5727">
              <w:rPr>
                <w:rFonts w:eastAsia="Times New Roman"/>
                <w:bCs/>
                <w:kern w:val="22"/>
                <w:sz w:val="24"/>
                <w:szCs w:val="24"/>
              </w:rPr>
              <w:t>SBSTTA/2</w:t>
            </w:r>
            <w:r w:rsidRPr="005A5727">
              <w:rPr>
                <w:bCs/>
                <w:kern w:val="22"/>
                <w:sz w:val="24"/>
                <w:szCs w:val="24"/>
              </w:rPr>
              <w:t>8</w:t>
            </w:r>
            <w:r w:rsidRPr="005A5727">
              <w:rPr>
                <w:rFonts w:eastAsia="Times New Roman"/>
                <w:bCs/>
                <w:kern w:val="22"/>
                <w:sz w:val="24"/>
                <w:szCs w:val="24"/>
              </w:rPr>
              <w:t>/</w:t>
            </w:r>
            <w:r w:rsidRPr="005A5727">
              <w:rPr>
                <w:bCs/>
                <w:kern w:val="22"/>
                <w:sz w:val="24"/>
                <w:szCs w:val="24"/>
              </w:rPr>
              <w:t>5</w:t>
            </w:r>
            <w:r w:rsidR="00BA29BD">
              <w:rPr>
                <w:bCs/>
                <w:kern w:val="22"/>
                <w:sz w:val="24"/>
                <w:szCs w:val="24"/>
              </w:rPr>
              <w:t>/Rev.1</w:t>
            </w:r>
          </w:p>
          <w:p w14:paraId="59B95332" w14:textId="77777777" w:rsidR="00FB10AA" w:rsidRPr="007A1F82" w:rsidRDefault="00FB10AA" w:rsidP="00D23365">
            <w:pPr>
              <w:rPr>
                <w:rFonts w:eastAsia="Times New Roman"/>
                <w:b/>
                <w:kern w:val="22"/>
                <w:sz w:val="20"/>
              </w:rPr>
            </w:pPr>
          </w:p>
        </w:tc>
      </w:tr>
      <w:tr w:rsidR="00FB10AA" w:rsidRPr="007A1F82" w14:paraId="7AA60B96" w14:textId="77777777" w:rsidTr="00D23365">
        <w:trPr>
          <w:trHeight w:val="2040"/>
        </w:trPr>
        <w:tc>
          <w:tcPr>
            <w:tcW w:w="5229" w:type="dxa"/>
            <w:gridSpan w:val="2"/>
            <w:tcBorders>
              <w:top w:val="nil"/>
              <w:bottom w:val="single" w:sz="18" w:space="0" w:color="000000"/>
            </w:tcBorders>
          </w:tcPr>
          <w:p w14:paraId="29CB49B5" w14:textId="77777777" w:rsidR="00FB10AA" w:rsidRPr="007A1F82" w:rsidRDefault="00FB10AA" w:rsidP="00D23365">
            <w:pPr>
              <w:rPr>
                <w:rFonts w:eastAsia="Times New Roman"/>
                <w:b/>
                <w:noProof/>
                <w:lang w:val="en-US"/>
              </w:rPr>
            </w:pPr>
          </w:p>
          <w:p w14:paraId="76D76F01" w14:textId="681F3203" w:rsidR="00FB10AA" w:rsidRPr="007A1F82" w:rsidRDefault="0033084E" w:rsidP="00D23365">
            <w:pPr>
              <w:rPr>
                <w:rFonts w:ascii="Univers" w:hAnsi="Univers"/>
                <w:kern w:val="22"/>
                <w:sz w:val="32"/>
              </w:rPr>
            </w:pPr>
            <w:r>
              <w:rPr>
                <w:rFonts w:eastAsia="Times New Roman"/>
                <w:b/>
                <w:noProof/>
                <w:lang w:val="en-US"/>
              </w:rPr>
              <w:drawing>
                <wp:inline distT="0" distB="0" distL="0" distR="0" wp14:anchorId="3466E8E3" wp14:editId="64ECB66C">
                  <wp:extent cx="2843530" cy="1030605"/>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3530" cy="1030605"/>
                          </a:xfrm>
                          <a:prstGeom prst="rect">
                            <a:avLst/>
                          </a:prstGeom>
                          <a:noFill/>
                          <a:ln>
                            <a:noFill/>
                          </a:ln>
                        </pic:spPr>
                      </pic:pic>
                    </a:graphicData>
                  </a:graphic>
                </wp:inline>
              </w:drawing>
            </w:r>
          </w:p>
        </w:tc>
        <w:tc>
          <w:tcPr>
            <w:tcW w:w="5130" w:type="dxa"/>
            <w:tcBorders>
              <w:top w:val="nil"/>
              <w:bottom w:val="single" w:sz="18" w:space="0" w:color="000000"/>
            </w:tcBorders>
          </w:tcPr>
          <w:p w14:paraId="41CA79CA" w14:textId="77777777" w:rsidR="00FB10AA" w:rsidRPr="005A5727" w:rsidRDefault="00FB10AA" w:rsidP="00D23365">
            <w:pPr>
              <w:ind w:left="2016"/>
              <w:rPr>
                <w:rFonts w:eastAsia="Times New Roman"/>
                <w:bCs/>
                <w:kern w:val="22"/>
                <w:sz w:val="24"/>
                <w:szCs w:val="24"/>
              </w:rPr>
            </w:pPr>
            <w:r w:rsidRPr="005A5727">
              <w:rPr>
                <w:rFonts w:eastAsia="Times New Roman"/>
                <w:bCs/>
                <w:kern w:val="22"/>
                <w:sz w:val="24"/>
                <w:szCs w:val="24"/>
              </w:rPr>
              <w:t>Distr.: General</w:t>
            </w:r>
          </w:p>
          <w:p w14:paraId="0FAF211D" w14:textId="50C1C2F0" w:rsidR="00FB10AA" w:rsidRPr="005A5727" w:rsidRDefault="00BA29BD" w:rsidP="00D23365">
            <w:pPr>
              <w:snapToGrid w:val="0"/>
              <w:ind w:left="2016"/>
              <w:rPr>
                <w:rFonts w:eastAsia="Times New Roman"/>
                <w:kern w:val="22"/>
                <w:sz w:val="24"/>
                <w:szCs w:val="24"/>
              </w:rPr>
            </w:pPr>
            <w:r>
              <w:rPr>
                <w:noProof/>
                <w:sz w:val="24"/>
                <w:szCs w:val="24"/>
              </w:rPr>
              <w:t>18 June</w:t>
            </w:r>
            <w:r w:rsidR="00FB10AA" w:rsidRPr="005A5727">
              <w:rPr>
                <w:noProof/>
                <w:sz w:val="24"/>
                <w:szCs w:val="24"/>
              </w:rPr>
              <w:t xml:space="preserve"> 2026</w:t>
            </w:r>
          </w:p>
          <w:p w14:paraId="4C960A22" w14:textId="77777777" w:rsidR="00FB10AA" w:rsidRPr="005A5727" w:rsidRDefault="00FB10AA" w:rsidP="00D23365">
            <w:pPr>
              <w:snapToGrid w:val="0"/>
              <w:ind w:left="2016"/>
              <w:rPr>
                <w:rFonts w:eastAsia="Times New Roman"/>
                <w:bCs/>
                <w:kern w:val="22"/>
                <w:sz w:val="24"/>
                <w:szCs w:val="24"/>
              </w:rPr>
            </w:pPr>
            <w:r w:rsidRPr="005A5727">
              <w:rPr>
                <w:rFonts w:eastAsia="Times New Roman"/>
                <w:bCs/>
                <w:kern w:val="22"/>
                <w:sz w:val="24"/>
                <w:szCs w:val="24"/>
              </w:rPr>
              <w:t>Chinese</w:t>
            </w:r>
          </w:p>
          <w:p w14:paraId="330FA7D3" w14:textId="77777777" w:rsidR="00FB10AA" w:rsidRPr="007A1F82" w:rsidRDefault="00FB10AA" w:rsidP="00D23365">
            <w:pPr>
              <w:ind w:left="2016"/>
              <w:rPr>
                <w:rFonts w:eastAsia="Times New Roman"/>
                <w:b/>
                <w:kern w:val="22"/>
                <w:u w:val="single"/>
              </w:rPr>
            </w:pPr>
            <w:r w:rsidRPr="005A5727">
              <w:rPr>
                <w:rFonts w:eastAsia="Times New Roman"/>
                <w:bCs/>
                <w:kern w:val="22"/>
                <w:sz w:val="24"/>
                <w:szCs w:val="24"/>
              </w:rPr>
              <w:t>Original: English</w:t>
            </w:r>
          </w:p>
        </w:tc>
      </w:tr>
      <w:bookmarkEnd w:id="0"/>
    </w:tbl>
    <w:p w14:paraId="4F1773B3" w14:textId="77777777" w:rsidR="00FB10AA" w:rsidRDefault="00FB10AA">
      <w:pPr>
        <w:pStyle w:val="AISpacer"/>
        <w:rPr>
          <w:szCs w:val="24"/>
        </w:rPr>
      </w:pPr>
    </w:p>
    <w:tbl>
      <w:tblPr>
        <w:tblW w:w="10206" w:type="dxa"/>
        <w:tblInd w:w="-283" w:type="dxa"/>
        <w:tblLayout w:type="fixed"/>
        <w:tblCellMar>
          <w:left w:w="283" w:type="dxa"/>
        </w:tblCellMar>
        <w:tblLook w:val="0000" w:firstRow="0" w:lastRow="0" w:firstColumn="0" w:lastColumn="0" w:noHBand="0" w:noVBand="0"/>
      </w:tblPr>
      <w:tblGrid>
        <w:gridCol w:w="6094"/>
        <w:gridCol w:w="4112"/>
      </w:tblGrid>
      <w:tr w:rsidR="00FB10AA" w14:paraId="7699CD50" w14:textId="77777777" w:rsidTr="000F6D48">
        <w:trPr>
          <w:trHeight w:val="57"/>
        </w:trPr>
        <w:tc>
          <w:tcPr>
            <w:tcW w:w="6094" w:type="dxa"/>
          </w:tcPr>
          <w:p w14:paraId="51BE7DC2" w14:textId="77777777" w:rsidR="00FB10AA" w:rsidRDefault="00FB10AA">
            <w:pPr>
              <w:pStyle w:val="AFCorN12Bold"/>
              <w:rPr>
                <w:szCs w:val="24"/>
              </w:rPr>
            </w:pPr>
            <w:r>
              <w:rPr>
                <w:szCs w:val="24"/>
                <w:lang w:val="zh-CN"/>
              </w:rPr>
              <w:t>科学、技术和工艺咨询附属机构</w:t>
            </w:r>
          </w:p>
          <w:p w14:paraId="13EB4C41" w14:textId="77777777" w:rsidR="00FB10AA" w:rsidRDefault="00FB10AA">
            <w:pPr>
              <w:pStyle w:val="AFCorNBold"/>
              <w:rPr>
                <w:sz w:val="24"/>
                <w:szCs w:val="24"/>
              </w:rPr>
            </w:pPr>
            <w:r>
              <w:rPr>
                <w:sz w:val="24"/>
                <w:szCs w:val="24"/>
                <w:lang w:val="zh-CN"/>
              </w:rPr>
              <w:t>第二十八次会议</w:t>
            </w:r>
          </w:p>
          <w:p w14:paraId="44D905BF" w14:textId="77777777" w:rsidR="00FB10AA" w:rsidRDefault="00FB10AA">
            <w:pPr>
              <w:pStyle w:val="AFCorNNormal"/>
              <w:rPr>
                <w:sz w:val="24"/>
                <w:szCs w:val="24"/>
              </w:rPr>
            </w:pPr>
            <w:smartTag w:uri="urn:schemas-microsoft-com:office:smarttags" w:element="chsdate">
              <w:smartTagPr>
                <w:attr w:name="IsROCDate" w:val="False"/>
                <w:attr w:name="IsLunarDate" w:val="False"/>
                <w:attr w:name="Day" w:val="27"/>
                <w:attr w:name="Month" w:val="7"/>
                <w:attr w:name="Year" w:val="2026"/>
              </w:smartTagPr>
              <w:r>
                <w:rPr>
                  <w:sz w:val="24"/>
                  <w:szCs w:val="24"/>
                </w:rPr>
                <w:t>2026</w:t>
              </w:r>
              <w:r>
                <w:rPr>
                  <w:sz w:val="24"/>
                  <w:szCs w:val="24"/>
                  <w:lang w:val="zh-CN"/>
                </w:rPr>
                <w:t>年</w:t>
              </w:r>
              <w:r>
                <w:rPr>
                  <w:sz w:val="24"/>
                  <w:szCs w:val="24"/>
                </w:rPr>
                <w:t>7</w:t>
              </w:r>
              <w:r>
                <w:rPr>
                  <w:sz w:val="24"/>
                  <w:szCs w:val="24"/>
                  <w:lang w:val="zh-CN"/>
                </w:rPr>
                <w:t>月</w:t>
              </w:r>
              <w:r>
                <w:rPr>
                  <w:sz w:val="24"/>
                  <w:szCs w:val="24"/>
                </w:rPr>
                <w:t>27</w:t>
              </w:r>
              <w:r>
                <w:rPr>
                  <w:sz w:val="24"/>
                  <w:szCs w:val="24"/>
                  <w:lang w:val="zh-CN"/>
                </w:rPr>
                <w:t>日</w:t>
              </w:r>
            </w:smartTag>
            <w:r>
              <w:rPr>
                <w:sz w:val="24"/>
                <w:szCs w:val="24"/>
                <w:lang w:val="zh-CN"/>
              </w:rPr>
              <w:t>至</w:t>
            </w:r>
            <w:smartTag w:uri="urn:schemas-microsoft-com:office:smarttags" w:element="chsdate">
              <w:smartTagPr>
                <w:attr w:name="IsROCDate" w:val="False"/>
                <w:attr w:name="IsLunarDate" w:val="False"/>
                <w:attr w:name="Day" w:val="1"/>
                <w:attr w:name="Month" w:val="8"/>
                <w:attr w:name="Year" w:val="2026"/>
              </w:smartTagPr>
              <w:r>
                <w:rPr>
                  <w:sz w:val="24"/>
                  <w:szCs w:val="24"/>
                </w:rPr>
                <w:t>8</w:t>
              </w:r>
              <w:r>
                <w:rPr>
                  <w:sz w:val="24"/>
                  <w:szCs w:val="24"/>
                  <w:lang w:val="zh-CN"/>
                </w:rPr>
                <w:t>月</w:t>
              </w:r>
              <w:r>
                <w:rPr>
                  <w:sz w:val="24"/>
                  <w:szCs w:val="24"/>
                </w:rPr>
                <w:t>1</w:t>
              </w:r>
              <w:r>
                <w:rPr>
                  <w:sz w:val="24"/>
                  <w:szCs w:val="24"/>
                  <w:lang w:val="zh-CN"/>
                </w:rPr>
                <w:t>日</w:t>
              </w:r>
            </w:smartTag>
            <w:r>
              <w:rPr>
                <w:sz w:val="24"/>
                <w:szCs w:val="24"/>
              </w:rPr>
              <w:t>，</w:t>
            </w:r>
            <w:r>
              <w:rPr>
                <w:sz w:val="24"/>
                <w:szCs w:val="24"/>
                <w:lang w:val="zh-CN"/>
              </w:rPr>
              <w:t>内罗毕</w:t>
            </w:r>
          </w:p>
          <w:p w14:paraId="54BE49B3" w14:textId="77777777" w:rsidR="00FB10AA" w:rsidRDefault="00FB10AA">
            <w:pPr>
              <w:pStyle w:val="AFCorNNormal"/>
              <w:rPr>
                <w:sz w:val="24"/>
                <w:szCs w:val="24"/>
              </w:rPr>
            </w:pPr>
            <w:r>
              <w:rPr>
                <w:sz w:val="24"/>
                <w:szCs w:val="24"/>
                <w:lang w:val="zh-CN"/>
              </w:rPr>
              <w:t>临时议程</w:t>
            </w:r>
            <w:r>
              <w:rPr>
                <w:rStyle w:val="FootnoteReference"/>
                <w:sz w:val="24"/>
                <w:szCs w:val="24"/>
                <w:lang w:val="zh-CN"/>
              </w:rPr>
              <w:footnoteReference w:customMarkFollows="1" w:id="2"/>
              <w:t>*</w:t>
            </w:r>
            <w:r>
              <w:rPr>
                <w:sz w:val="24"/>
                <w:szCs w:val="24"/>
                <w:lang w:val="zh-CN"/>
              </w:rPr>
              <w:t>项目</w:t>
            </w:r>
            <w:r>
              <w:rPr>
                <w:sz w:val="24"/>
                <w:szCs w:val="24"/>
                <w:lang w:val="zh-CN"/>
              </w:rPr>
              <w:t>6</w:t>
            </w:r>
          </w:p>
          <w:p w14:paraId="231E45A6" w14:textId="77777777" w:rsidR="00FB10AA" w:rsidRDefault="00FB10AA">
            <w:pPr>
              <w:pStyle w:val="AFCorNBold"/>
              <w:spacing w:after="120"/>
              <w:rPr>
                <w:szCs w:val="24"/>
              </w:rPr>
            </w:pPr>
            <w:r>
              <w:rPr>
                <w:sz w:val="24"/>
                <w:szCs w:val="24"/>
                <w:lang w:val="zh-CN"/>
              </w:rPr>
              <w:t>可持续野生生物管理</w:t>
            </w:r>
          </w:p>
        </w:tc>
        <w:tc>
          <w:tcPr>
            <w:tcW w:w="4112" w:type="dxa"/>
          </w:tcPr>
          <w:p w14:paraId="5B62C12D" w14:textId="77777777" w:rsidR="00FB10AA" w:rsidRDefault="00FB10AA">
            <w:pPr>
              <w:pStyle w:val="CBDNormal"/>
              <w:jc w:val="left"/>
              <w:rPr>
                <w:szCs w:val="24"/>
              </w:rPr>
            </w:pPr>
          </w:p>
        </w:tc>
      </w:tr>
    </w:tbl>
    <w:p w14:paraId="05665A78" w14:textId="77777777" w:rsidR="00FB10AA" w:rsidRPr="00CB0FCC" w:rsidRDefault="00FB10AA">
      <w:pPr>
        <w:pStyle w:val="CBDTitle"/>
        <w:rPr>
          <w:rFonts w:ascii="SimHei" w:eastAsia="SimHei" w:hAnsi="SimHei"/>
          <w:szCs w:val="24"/>
        </w:rPr>
      </w:pPr>
      <w:r w:rsidRPr="00CB0FCC">
        <w:rPr>
          <w:rFonts w:ascii="SimHei" w:eastAsia="SimHei" w:hAnsi="SimHei" w:hint="eastAsia"/>
          <w:szCs w:val="24"/>
          <w:lang w:val="zh-CN"/>
        </w:rPr>
        <w:t>可持续野生生物管理</w:t>
      </w:r>
    </w:p>
    <w:p w14:paraId="42A9705B" w14:textId="77777777" w:rsidR="00FB10AA" w:rsidRPr="00CB0FCC" w:rsidRDefault="00FB10AA">
      <w:pPr>
        <w:pStyle w:val="CBDSubTitle"/>
        <w:rPr>
          <w:rFonts w:eastAsiaTheme="minorEastAsia"/>
          <w:sz w:val="24"/>
          <w:szCs w:val="24"/>
        </w:rPr>
      </w:pPr>
      <w:r w:rsidRPr="00CB0FCC">
        <w:rPr>
          <w:rFonts w:eastAsiaTheme="minorEastAsia"/>
          <w:sz w:val="24"/>
          <w:szCs w:val="24"/>
          <w:lang w:val="zh-CN"/>
        </w:rPr>
        <w:t>秘书处的说明</w:t>
      </w:r>
    </w:p>
    <w:p w14:paraId="794826D3" w14:textId="77777777" w:rsidR="00FB10AA" w:rsidRPr="00CB0FCC" w:rsidRDefault="00FB10AA">
      <w:pPr>
        <w:pStyle w:val="CBDH1"/>
        <w:rPr>
          <w:rFonts w:ascii="SimHei" w:eastAsia="SimHei" w:hAnsi="SimHei"/>
          <w:sz w:val="24"/>
          <w:szCs w:val="24"/>
        </w:rPr>
      </w:pPr>
      <w:proofErr w:type="gramStart"/>
      <w:r w:rsidRPr="00CB0FCC">
        <w:rPr>
          <w:rFonts w:ascii="SimHei" w:eastAsia="SimHei" w:hAnsi="SimHei"/>
          <w:sz w:val="24"/>
          <w:szCs w:val="24"/>
          <w:lang w:val="zh-CN"/>
        </w:rPr>
        <w:t>一</w:t>
      </w:r>
      <w:proofErr w:type="gramEnd"/>
      <w:r w:rsidRPr="00CB0FCC">
        <w:rPr>
          <w:rFonts w:ascii="SimHei" w:eastAsia="SimHei" w:hAnsi="SimHei"/>
          <w:sz w:val="24"/>
          <w:szCs w:val="24"/>
          <w:lang w:val="zh-CN"/>
        </w:rPr>
        <w:t>.</w:t>
      </w:r>
      <w:r w:rsidRPr="00CB0FCC">
        <w:rPr>
          <w:rFonts w:ascii="SimHei" w:eastAsia="SimHei" w:hAnsi="SimHei"/>
          <w:sz w:val="24"/>
          <w:szCs w:val="24"/>
        </w:rPr>
        <w:tab/>
      </w:r>
      <w:r w:rsidRPr="00CB0FCC">
        <w:rPr>
          <w:rFonts w:ascii="SimHei" w:eastAsia="SimHei" w:hAnsi="SimHei"/>
          <w:sz w:val="24"/>
          <w:szCs w:val="24"/>
          <w:lang w:val="zh-CN"/>
        </w:rPr>
        <w:t>导言</w:t>
      </w:r>
    </w:p>
    <w:p w14:paraId="60066FB3" w14:textId="77777777" w:rsidR="00FB10AA" w:rsidRPr="00CB0FCC" w:rsidRDefault="00FB10AA">
      <w:pPr>
        <w:pStyle w:val="CBDNormalNumber"/>
        <w:numPr>
          <w:ilvl w:val="0"/>
          <w:numId w:val="35"/>
        </w:numPr>
        <w:ind w:left="567"/>
        <w:rPr>
          <w:rFonts w:eastAsiaTheme="minorEastAsia"/>
          <w:sz w:val="24"/>
          <w:szCs w:val="24"/>
        </w:rPr>
      </w:pPr>
      <w:bookmarkStart w:id="1" w:name="_Hlt232078942"/>
      <w:bookmarkStart w:id="2" w:name="_Hlt232078943"/>
      <w:r w:rsidRPr="00CB0FCC">
        <w:rPr>
          <w:rFonts w:eastAsiaTheme="minorEastAsia"/>
          <w:sz w:val="24"/>
          <w:szCs w:val="24"/>
          <w:lang w:val="zh-CN"/>
        </w:rPr>
        <w:t>缔约方大会在第</w:t>
      </w:r>
      <w:hyperlink r:id="rId13" w:history="1">
        <w:r w:rsidRPr="00CB0FCC">
          <w:rPr>
            <w:rStyle w:val="Hyperlink"/>
            <w:rFonts w:eastAsiaTheme="minorEastAsia"/>
            <w:sz w:val="24"/>
            <w:szCs w:val="24"/>
          </w:rPr>
          <w:t>16/15</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第</w:t>
      </w:r>
      <w:r w:rsidRPr="00CB0FCC">
        <w:rPr>
          <w:rFonts w:eastAsiaTheme="minorEastAsia"/>
          <w:sz w:val="24"/>
          <w:szCs w:val="24"/>
        </w:rPr>
        <w:t>6</w:t>
      </w:r>
      <w:r w:rsidRPr="00CB0FCC">
        <w:rPr>
          <w:rFonts w:eastAsiaTheme="minorEastAsia"/>
          <w:sz w:val="24"/>
          <w:szCs w:val="24"/>
          <w:lang w:val="zh-CN"/>
        </w:rPr>
        <w:t>段请生物多样性公约执行秘书在资源允许的情况下</w:t>
      </w:r>
      <w:r w:rsidRPr="00CB0FCC">
        <w:rPr>
          <w:rFonts w:eastAsiaTheme="minorEastAsia"/>
          <w:sz w:val="24"/>
          <w:szCs w:val="24"/>
        </w:rPr>
        <w:t>，</w:t>
      </w:r>
      <w:r w:rsidRPr="00CB0FCC">
        <w:rPr>
          <w:rFonts w:eastAsiaTheme="minorEastAsia"/>
          <w:sz w:val="24"/>
          <w:szCs w:val="24"/>
          <w:lang w:val="zh-CN"/>
        </w:rPr>
        <w:t>与可持续野生生物管理合作伙伴关系协作</w:t>
      </w:r>
      <w:r w:rsidRPr="00CB0FCC">
        <w:rPr>
          <w:rFonts w:eastAsiaTheme="minorEastAsia"/>
          <w:sz w:val="24"/>
          <w:szCs w:val="24"/>
        </w:rPr>
        <w:t>，</w:t>
      </w:r>
      <w:r w:rsidRPr="00CB0FCC">
        <w:rPr>
          <w:rFonts w:eastAsiaTheme="minorEastAsia"/>
          <w:sz w:val="24"/>
          <w:szCs w:val="24"/>
          <w:lang w:val="zh-CN"/>
        </w:rPr>
        <w:t>特别是与《养护野生动物移栖物种公约》秘书处和《濒危野生动植物种国际贸易公约》秘书处协作</w:t>
      </w:r>
      <w:r w:rsidRPr="00CB0FCC">
        <w:rPr>
          <w:rFonts w:eastAsiaTheme="minorEastAsia"/>
          <w:sz w:val="24"/>
          <w:szCs w:val="24"/>
        </w:rPr>
        <w:t>，</w:t>
      </w:r>
      <w:r w:rsidRPr="00CB0FCC">
        <w:rPr>
          <w:rFonts w:eastAsiaTheme="minorEastAsia"/>
          <w:sz w:val="24"/>
          <w:szCs w:val="24"/>
          <w:lang w:val="zh-CN"/>
        </w:rPr>
        <w:t>根据缔约方、其他国家政府、土著人民和地方社区、妇女和青年以及相关组织的投入</w:t>
      </w:r>
      <w:r w:rsidRPr="00CB0FCC">
        <w:rPr>
          <w:rFonts w:eastAsiaTheme="minorEastAsia"/>
          <w:sz w:val="24"/>
          <w:szCs w:val="24"/>
        </w:rPr>
        <w:t>，</w:t>
      </w:r>
      <w:r w:rsidRPr="00CB0FCC">
        <w:rPr>
          <w:rFonts w:eastAsiaTheme="minorEastAsia"/>
          <w:sz w:val="24"/>
          <w:szCs w:val="24"/>
          <w:lang w:val="zh-CN"/>
        </w:rPr>
        <w:t>编写适用于多种物种和多种做法的野生生物可持续管理全球指导意见草案</w:t>
      </w:r>
      <w:r w:rsidRPr="00CB0FCC">
        <w:rPr>
          <w:rFonts w:eastAsiaTheme="minorEastAsia"/>
          <w:sz w:val="24"/>
          <w:szCs w:val="24"/>
        </w:rPr>
        <w:t>，</w:t>
      </w:r>
      <w:r w:rsidRPr="00CB0FCC">
        <w:rPr>
          <w:rFonts w:eastAsiaTheme="minorEastAsia"/>
          <w:sz w:val="24"/>
          <w:szCs w:val="24"/>
          <w:lang w:val="zh-CN"/>
        </w:rPr>
        <w:t>重点是</w:t>
      </w:r>
      <w:r w:rsidRPr="00CB0FCC">
        <w:rPr>
          <w:rFonts w:eastAsiaTheme="minorEastAsia"/>
          <w:sz w:val="24"/>
          <w:szCs w:val="24"/>
        </w:rPr>
        <w:t>：（</w:t>
      </w:r>
      <w:r w:rsidRPr="00CB0FCC">
        <w:rPr>
          <w:rFonts w:eastAsiaTheme="minorEastAsia"/>
          <w:sz w:val="24"/>
          <w:szCs w:val="24"/>
        </w:rPr>
        <w:t>a</w:t>
      </w:r>
      <w:r w:rsidRPr="00CB0FCC">
        <w:rPr>
          <w:rFonts w:eastAsiaTheme="minorEastAsia"/>
          <w:sz w:val="24"/>
          <w:szCs w:val="24"/>
        </w:rPr>
        <w:t>）</w:t>
      </w:r>
      <w:r w:rsidRPr="00CB0FCC">
        <w:rPr>
          <w:rFonts w:eastAsiaTheme="minorEastAsia"/>
          <w:sz w:val="24"/>
          <w:szCs w:val="24"/>
          <w:lang w:val="zh-CN"/>
        </w:rPr>
        <w:t>包容性和参与性决策</w:t>
      </w:r>
      <w:r w:rsidRPr="00CB0FCC">
        <w:rPr>
          <w:rFonts w:eastAsiaTheme="minorEastAsia"/>
          <w:sz w:val="24"/>
          <w:szCs w:val="24"/>
        </w:rPr>
        <w:t>；（</w:t>
      </w:r>
      <w:r w:rsidRPr="00CB0FCC">
        <w:rPr>
          <w:rFonts w:eastAsiaTheme="minorEastAsia"/>
          <w:sz w:val="24"/>
          <w:szCs w:val="24"/>
        </w:rPr>
        <w:t>b</w:t>
      </w:r>
      <w:r w:rsidRPr="00CB0FCC">
        <w:rPr>
          <w:rFonts w:eastAsiaTheme="minorEastAsia"/>
          <w:sz w:val="24"/>
          <w:szCs w:val="24"/>
        </w:rPr>
        <w:t>）</w:t>
      </w:r>
      <w:r w:rsidRPr="00CB0FCC">
        <w:rPr>
          <w:rFonts w:eastAsiaTheme="minorEastAsia"/>
          <w:sz w:val="24"/>
          <w:szCs w:val="24"/>
          <w:lang w:val="zh-CN"/>
        </w:rPr>
        <w:t>纳入多元知识体系和承认权利</w:t>
      </w:r>
      <w:r w:rsidRPr="00CB0FCC">
        <w:rPr>
          <w:rFonts w:eastAsiaTheme="minorEastAsia"/>
          <w:sz w:val="24"/>
          <w:szCs w:val="24"/>
        </w:rPr>
        <w:t>；（</w:t>
      </w:r>
      <w:r w:rsidRPr="00CB0FCC">
        <w:rPr>
          <w:rFonts w:eastAsiaTheme="minorEastAsia"/>
          <w:sz w:val="24"/>
          <w:szCs w:val="24"/>
        </w:rPr>
        <w:t>c</w:t>
      </w:r>
      <w:r w:rsidRPr="00CB0FCC">
        <w:rPr>
          <w:rFonts w:eastAsiaTheme="minorEastAsia"/>
          <w:sz w:val="24"/>
          <w:szCs w:val="24"/>
        </w:rPr>
        <w:t>）</w:t>
      </w:r>
      <w:r w:rsidRPr="00CB0FCC">
        <w:rPr>
          <w:rFonts w:eastAsiaTheme="minorEastAsia"/>
          <w:sz w:val="24"/>
          <w:szCs w:val="24"/>
          <w:lang w:val="zh-CN"/>
        </w:rPr>
        <w:t>公平分配成本和惠益。</w:t>
      </w:r>
    </w:p>
    <w:bookmarkEnd w:id="1"/>
    <w:bookmarkEnd w:id="2"/>
    <w:p w14:paraId="71F81A63" w14:textId="0C02077D"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公约秘书处根据这项要求发出第</w:t>
      </w:r>
      <w:r w:rsidRPr="00CB0FCC">
        <w:rPr>
          <w:rFonts w:eastAsiaTheme="minorEastAsia"/>
          <w:sz w:val="24"/>
          <w:szCs w:val="24"/>
        </w:rPr>
        <w:t>2025-014</w:t>
      </w:r>
      <w:r w:rsidRPr="00CB0FCC">
        <w:rPr>
          <w:rFonts w:eastAsiaTheme="minorEastAsia"/>
          <w:sz w:val="24"/>
          <w:szCs w:val="24"/>
          <w:lang w:val="zh-CN"/>
        </w:rPr>
        <w:t>号通知</w:t>
      </w:r>
      <w:r w:rsidRPr="00CB0FCC">
        <w:rPr>
          <w:rFonts w:eastAsiaTheme="minorEastAsia"/>
          <w:sz w:val="24"/>
          <w:szCs w:val="24"/>
          <w:lang w:val="en-US"/>
        </w:rPr>
        <w:t>，</w:t>
      </w:r>
      <w:r w:rsidRPr="00CB0FCC">
        <w:rPr>
          <w:rFonts w:eastAsiaTheme="minorEastAsia"/>
          <w:sz w:val="24"/>
          <w:szCs w:val="24"/>
          <w:lang w:val="zh-CN"/>
        </w:rPr>
        <w:t>邀请各缔约方、其他国家政府、土著人民和地方社区以及相关组织提交它们对可持续野生生物管理的全球指导意见的看法和意见。共收到</w:t>
      </w:r>
      <w:r w:rsidRPr="00CB0FCC">
        <w:rPr>
          <w:rFonts w:eastAsiaTheme="minorEastAsia"/>
          <w:sz w:val="24"/>
          <w:szCs w:val="24"/>
          <w:lang w:val="zh-CN"/>
        </w:rPr>
        <w:t>14</w:t>
      </w:r>
      <w:r w:rsidRPr="00CB0FCC">
        <w:rPr>
          <w:rFonts w:eastAsiaTheme="minorEastAsia"/>
          <w:sz w:val="24"/>
          <w:szCs w:val="24"/>
          <w:lang w:val="zh-CN"/>
        </w:rPr>
        <w:t>份来文</w:t>
      </w:r>
      <w:r w:rsidRPr="00CB0FCC">
        <w:rPr>
          <w:rStyle w:val="FootnoteReference"/>
          <w:rFonts w:eastAsiaTheme="minorEastAsia"/>
          <w:sz w:val="24"/>
          <w:szCs w:val="24"/>
          <w:lang w:val="zh-CN"/>
        </w:rPr>
        <w:footnoteReference w:id="3"/>
      </w:r>
      <w:r w:rsidRPr="00CB0FCC">
        <w:rPr>
          <w:rFonts w:eastAsiaTheme="minorEastAsia"/>
          <w:sz w:val="24"/>
          <w:szCs w:val="24"/>
          <w:lang w:val="zh-CN"/>
        </w:rPr>
        <w:t>（</w:t>
      </w:r>
      <w:r w:rsidRPr="00CB0FCC">
        <w:rPr>
          <w:rFonts w:eastAsiaTheme="minorEastAsia"/>
          <w:sz w:val="24"/>
          <w:szCs w:val="24"/>
          <w:lang w:val="zh-CN"/>
        </w:rPr>
        <w:t>8</w:t>
      </w:r>
      <w:r w:rsidRPr="00CB0FCC">
        <w:rPr>
          <w:rFonts w:eastAsiaTheme="minorEastAsia"/>
          <w:sz w:val="24"/>
          <w:szCs w:val="24"/>
          <w:lang w:val="zh-CN"/>
        </w:rPr>
        <w:t>份来自缔约方</w:t>
      </w:r>
      <w:r w:rsidRPr="00CB0FCC">
        <w:rPr>
          <w:rStyle w:val="FootnoteReference"/>
          <w:rFonts w:eastAsiaTheme="minorEastAsia"/>
          <w:sz w:val="24"/>
          <w:szCs w:val="24"/>
          <w:lang w:val="zh-CN"/>
        </w:rPr>
        <w:footnoteReference w:id="4"/>
      </w:r>
      <w:r w:rsidR="004A47FA">
        <w:rPr>
          <w:rFonts w:eastAsiaTheme="minorEastAsia" w:hint="eastAsia"/>
          <w:sz w:val="24"/>
          <w:szCs w:val="24"/>
          <w:lang w:val="zh-CN"/>
        </w:rPr>
        <w:t>，</w:t>
      </w:r>
      <w:r w:rsidRPr="00CB0FCC">
        <w:rPr>
          <w:rFonts w:eastAsiaTheme="minorEastAsia"/>
          <w:sz w:val="24"/>
          <w:szCs w:val="24"/>
          <w:lang w:val="zh-CN"/>
        </w:rPr>
        <w:t>6</w:t>
      </w:r>
      <w:r w:rsidRPr="00CB0FCC">
        <w:rPr>
          <w:rFonts w:eastAsiaTheme="minorEastAsia"/>
          <w:sz w:val="24"/>
          <w:szCs w:val="24"/>
          <w:lang w:val="zh-CN"/>
        </w:rPr>
        <w:t>份来自相关组织</w:t>
      </w:r>
      <w:r w:rsidRPr="00CB0FCC">
        <w:rPr>
          <w:rStyle w:val="FootnoteReference"/>
          <w:rFonts w:eastAsiaTheme="minorEastAsia"/>
          <w:sz w:val="24"/>
          <w:szCs w:val="24"/>
          <w:lang w:val="zh-CN"/>
        </w:rPr>
        <w:footnoteReference w:id="5"/>
      </w:r>
      <w:r w:rsidRPr="00CB0FCC">
        <w:rPr>
          <w:rFonts w:eastAsiaTheme="minorEastAsia"/>
          <w:sz w:val="24"/>
          <w:szCs w:val="24"/>
          <w:lang w:val="zh-CN"/>
        </w:rPr>
        <w:t>）。</w:t>
      </w:r>
    </w:p>
    <w:p w14:paraId="56194B8A" w14:textId="1F60E08F" w:rsidR="00FB10AA" w:rsidRPr="00CB0FCC" w:rsidRDefault="00FB10AA">
      <w:pPr>
        <w:pStyle w:val="CBDNormalNumber"/>
        <w:numPr>
          <w:ilvl w:val="0"/>
          <w:numId w:val="35"/>
        </w:numPr>
        <w:rPr>
          <w:rFonts w:eastAsiaTheme="minorEastAsia"/>
          <w:sz w:val="24"/>
          <w:szCs w:val="24"/>
        </w:rPr>
      </w:pPr>
      <w:r w:rsidRPr="00CB0FCC">
        <w:rPr>
          <w:rFonts w:eastAsiaTheme="minorEastAsia"/>
          <w:sz w:val="24"/>
          <w:szCs w:val="24"/>
          <w:lang w:val="zh-CN"/>
        </w:rPr>
        <w:lastRenderedPageBreak/>
        <w:t>秘书处根据第</w:t>
      </w:r>
      <w:hyperlink r:id="rId14" w:history="1">
        <w:r w:rsidRPr="00CB0FCC">
          <w:rPr>
            <w:rStyle w:val="Hyperlink"/>
            <w:rFonts w:eastAsiaTheme="minorEastAsia"/>
            <w:sz w:val="24"/>
            <w:szCs w:val="24"/>
            <w:lang w:val="en-US"/>
          </w:rPr>
          <w:t>16/15</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第</w:t>
      </w:r>
      <w:r w:rsidRPr="00CB0FCC">
        <w:rPr>
          <w:rFonts w:eastAsiaTheme="minorEastAsia"/>
          <w:sz w:val="24"/>
          <w:szCs w:val="24"/>
          <w:lang w:val="en-US"/>
        </w:rPr>
        <w:t>9</w:t>
      </w:r>
      <w:r w:rsidRPr="00CB0FCC">
        <w:rPr>
          <w:rFonts w:eastAsiaTheme="minorEastAsia"/>
          <w:sz w:val="24"/>
          <w:szCs w:val="24"/>
          <w:lang w:val="zh-CN"/>
        </w:rPr>
        <w:t>段发出第</w:t>
      </w:r>
      <w:r w:rsidRPr="00CB0FCC">
        <w:rPr>
          <w:rFonts w:eastAsiaTheme="minorEastAsia"/>
          <w:sz w:val="24"/>
          <w:szCs w:val="24"/>
        </w:rPr>
        <w:t>2025-015</w:t>
      </w:r>
      <w:r w:rsidRPr="00CB0FCC">
        <w:rPr>
          <w:rFonts w:eastAsiaTheme="minorEastAsia"/>
          <w:sz w:val="24"/>
          <w:szCs w:val="24"/>
          <w:lang w:val="zh-CN"/>
        </w:rPr>
        <w:t>号通知</w:t>
      </w:r>
      <w:r w:rsidRPr="00CB0FCC">
        <w:rPr>
          <w:rFonts w:eastAsiaTheme="minorEastAsia"/>
          <w:sz w:val="24"/>
          <w:szCs w:val="24"/>
          <w:lang w:val="en-US"/>
        </w:rPr>
        <w:t>，</w:t>
      </w:r>
      <w:r w:rsidRPr="00CB0FCC">
        <w:rPr>
          <w:rFonts w:eastAsiaTheme="minorEastAsia"/>
          <w:sz w:val="24"/>
          <w:szCs w:val="24"/>
          <w:lang w:val="zh-CN"/>
        </w:rPr>
        <w:t>邀请各缔约方、其他国家政府、土著人民和地方社区以及相关组织提交它们对可持续野生生物管理最佳做法的意见。共收到</w:t>
      </w:r>
      <w:r w:rsidRPr="00CB0FCC">
        <w:rPr>
          <w:rFonts w:eastAsiaTheme="minorEastAsia"/>
          <w:sz w:val="24"/>
          <w:szCs w:val="24"/>
          <w:lang w:val="zh-CN"/>
        </w:rPr>
        <w:t>21</w:t>
      </w:r>
      <w:r w:rsidRPr="00CB0FCC">
        <w:rPr>
          <w:rFonts w:eastAsiaTheme="minorEastAsia"/>
          <w:sz w:val="24"/>
          <w:szCs w:val="24"/>
          <w:lang w:val="zh-CN"/>
        </w:rPr>
        <w:t>份来文</w:t>
      </w:r>
      <w:r w:rsidRPr="00CB0FCC">
        <w:rPr>
          <w:rStyle w:val="FootnoteReference"/>
          <w:rFonts w:eastAsiaTheme="minorEastAsia"/>
          <w:sz w:val="24"/>
          <w:szCs w:val="24"/>
          <w:lang w:val="zh-CN"/>
        </w:rPr>
        <w:footnoteReference w:id="6"/>
      </w:r>
      <w:r w:rsidRPr="00CB0FCC">
        <w:rPr>
          <w:rFonts w:eastAsiaTheme="minorEastAsia"/>
          <w:sz w:val="24"/>
          <w:szCs w:val="24"/>
          <w:lang w:val="zh-CN"/>
        </w:rPr>
        <w:t>（</w:t>
      </w:r>
      <w:r w:rsidRPr="00CB0FCC">
        <w:rPr>
          <w:rFonts w:eastAsiaTheme="minorEastAsia"/>
          <w:sz w:val="24"/>
          <w:szCs w:val="24"/>
          <w:lang w:val="zh-CN"/>
        </w:rPr>
        <w:t>9</w:t>
      </w:r>
      <w:r w:rsidRPr="00CB0FCC">
        <w:rPr>
          <w:rFonts w:eastAsiaTheme="minorEastAsia"/>
          <w:sz w:val="24"/>
          <w:szCs w:val="24"/>
          <w:lang w:val="zh-CN"/>
        </w:rPr>
        <w:t>份来自缔约方</w:t>
      </w:r>
      <w:r w:rsidRPr="00CB0FCC">
        <w:rPr>
          <w:rStyle w:val="FootnoteReference"/>
          <w:rFonts w:eastAsiaTheme="minorEastAsia"/>
          <w:sz w:val="24"/>
          <w:szCs w:val="24"/>
          <w:lang w:val="zh-CN"/>
        </w:rPr>
        <w:footnoteReference w:id="7"/>
      </w:r>
      <w:r w:rsidR="005C02FF">
        <w:rPr>
          <w:rFonts w:eastAsiaTheme="minorEastAsia" w:hint="eastAsia"/>
          <w:sz w:val="24"/>
          <w:szCs w:val="24"/>
          <w:lang w:val="zh-CN"/>
        </w:rPr>
        <w:t>，</w:t>
      </w:r>
      <w:r w:rsidRPr="00CB0FCC">
        <w:rPr>
          <w:rFonts w:eastAsiaTheme="minorEastAsia"/>
          <w:sz w:val="24"/>
          <w:szCs w:val="24"/>
          <w:lang w:val="zh-CN"/>
        </w:rPr>
        <w:t>12</w:t>
      </w:r>
      <w:r w:rsidRPr="00CB0FCC">
        <w:rPr>
          <w:rFonts w:eastAsiaTheme="minorEastAsia"/>
          <w:sz w:val="24"/>
          <w:szCs w:val="24"/>
          <w:lang w:val="zh-CN"/>
        </w:rPr>
        <w:t>份来自相关组织</w:t>
      </w:r>
      <w:r w:rsidRPr="00CB0FCC">
        <w:rPr>
          <w:rStyle w:val="FootnoteReference"/>
          <w:rFonts w:eastAsiaTheme="minorEastAsia"/>
          <w:sz w:val="24"/>
          <w:szCs w:val="24"/>
          <w:lang w:val="zh-CN"/>
        </w:rPr>
        <w:footnoteReference w:id="8"/>
      </w:r>
      <w:r w:rsidRPr="00CB0FCC">
        <w:rPr>
          <w:rFonts w:eastAsiaTheme="minorEastAsia"/>
          <w:sz w:val="24"/>
          <w:szCs w:val="24"/>
          <w:lang w:val="zh-CN"/>
        </w:rPr>
        <w:t>）。</w:t>
      </w:r>
    </w:p>
    <w:p w14:paraId="2373C57A" w14:textId="1094C26F"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在编写全球指导意见草案的过程中</w:t>
      </w:r>
      <w:r w:rsidRPr="00CB0FCC">
        <w:rPr>
          <w:rFonts w:eastAsiaTheme="minorEastAsia"/>
          <w:sz w:val="24"/>
          <w:szCs w:val="24"/>
        </w:rPr>
        <w:t>，</w:t>
      </w:r>
      <w:r w:rsidRPr="00CB0FCC">
        <w:rPr>
          <w:rFonts w:eastAsiaTheme="minorEastAsia"/>
          <w:sz w:val="24"/>
          <w:szCs w:val="24"/>
          <w:lang w:val="zh-CN"/>
        </w:rPr>
        <w:t>秘书处召集了一个非正式技术指导委员会</w:t>
      </w:r>
      <w:r w:rsidRPr="00CB0FCC">
        <w:rPr>
          <w:rFonts w:eastAsiaTheme="minorEastAsia"/>
          <w:sz w:val="24"/>
          <w:szCs w:val="24"/>
        </w:rPr>
        <w:t>，</w:t>
      </w:r>
      <w:r w:rsidRPr="00CB0FCC">
        <w:rPr>
          <w:rFonts w:eastAsiaTheme="minorEastAsia"/>
          <w:sz w:val="24"/>
          <w:szCs w:val="24"/>
          <w:lang w:val="zh-CN"/>
        </w:rPr>
        <w:t>它由可持续野生生物管理合作伙伴关系、迁徙物种公约和濒危野生动植物种国际贸易公约的代表组成。委员会为草案的编写提供了支持并定期提供咨询意见，并有机会审查该草案的后续各个版本。秘书处根据发出的第</w:t>
      </w:r>
      <w:hyperlink r:id="rId15" w:history="1">
        <w:r w:rsidRPr="00C83507">
          <w:rPr>
            <w:rStyle w:val="Hyperlink"/>
            <w:rFonts w:eastAsiaTheme="minorEastAsia"/>
            <w:sz w:val="24"/>
            <w:szCs w:val="24"/>
            <w:lang w:val="en-US"/>
          </w:rPr>
          <w:t>2025-014</w:t>
        </w:r>
      </w:hyperlink>
      <w:r w:rsidRPr="00CB0FCC">
        <w:rPr>
          <w:rFonts w:eastAsiaTheme="minorEastAsia"/>
          <w:sz w:val="24"/>
          <w:szCs w:val="24"/>
          <w:lang w:val="zh-CN"/>
        </w:rPr>
        <w:t>号和</w:t>
      </w:r>
      <w:hyperlink r:id="rId16" w:history="1">
        <w:r w:rsidRPr="0033142D">
          <w:rPr>
            <w:rStyle w:val="Hyperlink"/>
            <w:rFonts w:eastAsiaTheme="minorEastAsia"/>
            <w:sz w:val="24"/>
            <w:szCs w:val="24"/>
            <w:lang w:val="en-US"/>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收到的来文</w:t>
      </w:r>
      <w:r w:rsidRPr="00CB0FCC">
        <w:rPr>
          <w:rFonts w:eastAsiaTheme="minorEastAsia"/>
          <w:sz w:val="24"/>
          <w:szCs w:val="24"/>
          <w:lang w:val="en-US"/>
        </w:rPr>
        <w:t>，</w:t>
      </w:r>
      <w:r w:rsidRPr="00CB0FCC">
        <w:rPr>
          <w:rFonts w:eastAsiaTheme="minorEastAsia"/>
          <w:sz w:val="24"/>
          <w:szCs w:val="24"/>
          <w:lang w:val="zh-CN"/>
        </w:rPr>
        <w:t>编写了全球指导意见的初稿</w:t>
      </w:r>
      <w:r w:rsidRPr="00CB0FCC">
        <w:rPr>
          <w:rFonts w:eastAsiaTheme="minorEastAsia"/>
          <w:sz w:val="24"/>
          <w:szCs w:val="24"/>
          <w:lang w:val="en-US"/>
        </w:rPr>
        <w:t>；</w:t>
      </w:r>
      <w:r w:rsidRPr="00CB0FCC">
        <w:rPr>
          <w:rFonts w:eastAsiaTheme="minorEastAsia"/>
          <w:sz w:val="24"/>
          <w:szCs w:val="24"/>
          <w:lang w:val="zh-CN"/>
        </w:rPr>
        <w:t>进行了差距分析</w:t>
      </w:r>
      <w:r w:rsidRPr="00CB0FCC">
        <w:rPr>
          <w:rFonts w:eastAsiaTheme="minorEastAsia"/>
          <w:sz w:val="24"/>
          <w:szCs w:val="24"/>
          <w:lang w:val="en-US"/>
        </w:rPr>
        <w:t>，</w:t>
      </w:r>
      <w:r w:rsidRPr="00CB0FCC">
        <w:rPr>
          <w:rFonts w:eastAsiaTheme="minorEastAsia"/>
          <w:sz w:val="24"/>
          <w:szCs w:val="24"/>
          <w:lang w:val="zh-CN"/>
        </w:rPr>
        <w:t>以确定相关多边环境协定和主管政府间组织制定的现有指导意见未充分涵盖的领域</w:t>
      </w:r>
      <w:r w:rsidRPr="00CB0FCC">
        <w:rPr>
          <w:rFonts w:eastAsiaTheme="minorEastAsia"/>
          <w:sz w:val="24"/>
          <w:szCs w:val="24"/>
          <w:lang w:val="en-US"/>
        </w:rPr>
        <w:t>；</w:t>
      </w:r>
      <w:r w:rsidRPr="00CB0FCC">
        <w:rPr>
          <w:rStyle w:val="FootnoteReference"/>
          <w:rFonts w:eastAsiaTheme="minorEastAsia"/>
          <w:sz w:val="24"/>
          <w:szCs w:val="24"/>
          <w:lang w:val="zh-CN"/>
        </w:rPr>
        <w:footnoteReference w:id="9"/>
      </w:r>
      <w:r w:rsidRPr="00CB0FCC">
        <w:rPr>
          <w:rFonts w:eastAsiaTheme="minorEastAsia"/>
          <w:sz w:val="24"/>
          <w:szCs w:val="24"/>
          <w:lang w:val="zh-CN"/>
        </w:rPr>
        <w:t>对与可持续野生生物管理各个领域可能需要补充指导意见的现有指导意见、工具和文件</w:t>
      </w:r>
      <w:r w:rsidRPr="00CB0FCC">
        <w:rPr>
          <w:rStyle w:val="FootnoteReference"/>
          <w:rFonts w:eastAsiaTheme="minorEastAsia"/>
          <w:sz w:val="24"/>
          <w:szCs w:val="24"/>
          <w:lang w:val="zh-CN"/>
        </w:rPr>
        <w:footnoteReference w:id="10"/>
      </w:r>
      <w:r w:rsidRPr="00CB0FCC">
        <w:rPr>
          <w:rFonts w:eastAsiaTheme="minorEastAsia"/>
          <w:sz w:val="24"/>
          <w:szCs w:val="24"/>
          <w:lang w:val="zh-CN"/>
        </w:rPr>
        <w:t>以及生物多样性和生态系统服务政府间科学与政策平台</w:t>
      </w:r>
      <w:r w:rsidR="00CB0FCC">
        <w:rPr>
          <w:rFonts w:eastAsiaTheme="minorEastAsia" w:hint="eastAsia"/>
          <w:sz w:val="24"/>
          <w:szCs w:val="24"/>
          <w:lang w:val="zh-CN"/>
        </w:rPr>
        <w:t>的</w:t>
      </w:r>
      <w:r w:rsidR="00BB77D1" w:rsidRPr="0033142D">
        <w:rPr>
          <w:rFonts w:eastAsiaTheme="majorEastAsia" w:hint="eastAsia"/>
          <w:sz w:val="24"/>
          <w:szCs w:val="24"/>
          <w:lang w:val="zh-CN"/>
        </w:rPr>
        <w:t>《</w:t>
      </w:r>
      <w:r w:rsidRPr="0033142D">
        <w:rPr>
          <w:rFonts w:ascii="KaiTi" w:eastAsiaTheme="majorEastAsia" w:hAnsi="KaiTi"/>
          <w:sz w:val="24"/>
          <w:szCs w:val="24"/>
          <w:lang w:val="zh-CN"/>
        </w:rPr>
        <w:t>野生物种可持续利用专题评估报告</w:t>
      </w:r>
      <w:r w:rsidR="00BB77D1" w:rsidRPr="0033142D">
        <w:rPr>
          <w:rFonts w:eastAsiaTheme="majorEastAsia" w:hint="eastAsia"/>
          <w:sz w:val="24"/>
          <w:szCs w:val="24"/>
          <w:lang w:val="zh-CN"/>
        </w:rPr>
        <w:t>》</w:t>
      </w:r>
      <w:r w:rsidRPr="00CB0FCC">
        <w:rPr>
          <w:rFonts w:eastAsiaTheme="minorEastAsia"/>
          <w:sz w:val="24"/>
          <w:szCs w:val="24"/>
          <w:lang w:val="zh-CN"/>
        </w:rPr>
        <w:t>进行进一步分析。</w:t>
      </w:r>
    </w:p>
    <w:p w14:paraId="2B6B92B8" w14:textId="77777777" w:rsidR="00FB10AA" w:rsidRPr="00CB0FCC" w:rsidRDefault="00FB10AA">
      <w:pPr>
        <w:pStyle w:val="CBDNormalNumber"/>
        <w:numPr>
          <w:ilvl w:val="0"/>
          <w:numId w:val="35"/>
        </w:numPr>
        <w:ind w:left="567"/>
        <w:rPr>
          <w:rFonts w:eastAsiaTheme="minorEastAsia"/>
          <w:sz w:val="24"/>
          <w:szCs w:val="24"/>
        </w:rPr>
      </w:pPr>
      <w:smartTag w:uri="urn:schemas-microsoft-com:office:smarttags" w:element="chsdate">
        <w:smartTagPr>
          <w:attr w:name="IsROCDate" w:val="False"/>
          <w:attr w:name="IsLunarDate" w:val="False"/>
          <w:attr w:name="Day" w:val="9"/>
          <w:attr w:name="Month" w:val="2"/>
          <w:attr w:name="Year" w:val="2026"/>
        </w:smartTagPr>
        <w:r w:rsidRPr="00CB0FCC">
          <w:rPr>
            <w:rFonts w:eastAsiaTheme="minorEastAsia"/>
            <w:sz w:val="24"/>
            <w:szCs w:val="24"/>
          </w:rPr>
          <w:t>2026</w:t>
        </w:r>
        <w:r w:rsidRPr="00CB0FCC">
          <w:rPr>
            <w:rFonts w:eastAsiaTheme="minorEastAsia"/>
            <w:sz w:val="24"/>
            <w:szCs w:val="24"/>
            <w:lang w:val="zh-CN"/>
          </w:rPr>
          <w:t>年</w:t>
        </w:r>
        <w:r w:rsidRPr="00CB0FCC">
          <w:rPr>
            <w:rFonts w:eastAsiaTheme="minorEastAsia"/>
            <w:sz w:val="24"/>
            <w:szCs w:val="24"/>
          </w:rPr>
          <w:t>2</w:t>
        </w:r>
        <w:r w:rsidRPr="00CB0FCC">
          <w:rPr>
            <w:rFonts w:eastAsiaTheme="minorEastAsia"/>
            <w:sz w:val="24"/>
            <w:szCs w:val="24"/>
            <w:lang w:val="zh-CN"/>
          </w:rPr>
          <w:t>月</w:t>
        </w:r>
        <w:r w:rsidRPr="00CB0FCC">
          <w:rPr>
            <w:rFonts w:eastAsiaTheme="minorEastAsia"/>
            <w:sz w:val="24"/>
            <w:szCs w:val="24"/>
          </w:rPr>
          <w:t>9</w:t>
        </w:r>
        <w:r w:rsidRPr="00CB0FCC">
          <w:rPr>
            <w:rFonts w:eastAsiaTheme="minorEastAsia"/>
            <w:sz w:val="24"/>
            <w:szCs w:val="24"/>
            <w:lang w:val="zh-CN"/>
          </w:rPr>
          <w:t>日</w:t>
        </w:r>
      </w:smartTag>
      <w:r w:rsidRPr="00CB0FCC">
        <w:rPr>
          <w:rFonts w:eastAsiaTheme="minorEastAsia"/>
          <w:sz w:val="24"/>
          <w:szCs w:val="24"/>
          <w:lang w:val="zh-CN"/>
        </w:rPr>
        <w:t>至</w:t>
      </w:r>
      <w:r w:rsidRPr="00CB0FCC">
        <w:rPr>
          <w:rFonts w:eastAsiaTheme="minorEastAsia"/>
          <w:sz w:val="24"/>
          <w:szCs w:val="24"/>
        </w:rPr>
        <w:t>11</w:t>
      </w:r>
      <w:r w:rsidRPr="00CB0FCC">
        <w:rPr>
          <w:rFonts w:eastAsiaTheme="minorEastAsia"/>
          <w:sz w:val="24"/>
          <w:szCs w:val="24"/>
          <w:lang w:val="zh-CN"/>
        </w:rPr>
        <w:t>日在德国波恩召开了一次专家会议</w:t>
      </w:r>
      <w:r w:rsidRPr="00CB0FCC">
        <w:rPr>
          <w:rFonts w:eastAsiaTheme="minorEastAsia"/>
          <w:sz w:val="24"/>
          <w:szCs w:val="24"/>
        </w:rPr>
        <w:t>，</w:t>
      </w:r>
      <w:r w:rsidRPr="00CB0FCC">
        <w:rPr>
          <w:rFonts w:eastAsiaTheme="minorEastAsia"/>
          <w:sz w:val="24"/>
          <w:szCs w:val="24"/>
          <w:lang w:val="zh-CN"/>
        </w:rPr>
        <w:t>审查并完善草案案文。会议汇聚了来自</w:t>
      </w:r>
      <w:r w:rsidRPr="00CB0FCC">
        <w:rPr>
          <w:rFonts w:eastAsiaTheme="minorEastAsia"/>
          <w:sz w:val="24"/>
          <w:szCs w:val="24"/>
          <w:lang w:val="zh-CN"/>
        </w:rPr>
        <w:t>18</w:t>
      </w:r>
      <w:r w:rsidRPr="00CB0FCC">
        <w:rPr>
          <w:rFonts w:eastAsiaTheme="minorEastAsia"/>
          <w:sz w:val="24"/>
          <w:szCs w:val="24"/>
          <w:lang w:val="zh-CN"/>
        </w:rPr>
        <w:t>个缔约方以及一系列组织和网络的专家，其中包括来自土著人民和地方社区、联合国相关实体和秘书处、政府间组织、科学机构、民间社会组织以及可持续野生生物管理合作伙伴关系成员的代表。与会者拥有从保护和管理野生生物到生物多样性政策、可持续利用、基于权利的方法、传统知识、分享可持续野生生物管理和跨部门治理所产生的惠益等各个领域的专业知识。</w:t>
      </w:r>
      <w:r w:rsidRPr="00CB0FCC">
        <w:rPr>
          <w:rStyle w:val="FootnoteReference"/>
          <w:rFonts w:eastAsiaTheme="minorEastAsia"/>
          <w:sz w:val="24"/>
          <w:szCs w:val="24"/>
          <w:lang w:val="zh-CN"/>
        </w:rPr>
        <w:footnoteReference w:id="11"/>
      </w:r>
    </w:p>
    <w:p w14:paraId="58E85590" w14:textId="53CA68A4"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在专家会议结束后</w:t>
      </w:r>
      <w:r w:rsidRPr="00CB0FCC">
        <w:rPr>
          <w:rFonts w:eastAsiaTheme="minorEastAsia"/>
          <w:sz w:val="24"/>
          <w:szCs w:val="24"/>
        </w:rPr>
        <w:t>，</w:t>
      </w:r>
      <w:r w:rsidRPr="00CB0FCC">
        <w:rPr>
          <w:rFonts w:eastAsiaTheme="minorEastAsia"/>
          <w:sz w:val="24"/>
          <w:szCs w:val="24"/>
          <w:lang w:val="zh-CN"/>
        </w:rPr>
        <w:t>对全球指导意见草案进行了修订</w:t>
      </w:r>
      <w:r w:rsidRPr="00CB0FCC">
        <w:rPr>
          <w:rFonts w:eastAsiaTheme="minorEastAsia"/>
          <w:sz w:val="24"/>
          <w:szCs w:val="24"/>
        </w:rPr>
        <w:t>，</w:t>
      </w:r>
      <w:r w:rsidRPr="00CB0FCC">
        <w:rPr>
          <w:rFonts w:eastAsiaTheme="minorEastAsia"/>
          <w:sz w:val="24"/>
          <w:szCs w:val="24"/>
          <w:lang w:val="zh-CN"/>
        </w:rPr>
        <w:t>以便纳入会议期间收到的意见和建议。修订后的草案已通过第</w:t>
      </w:r>
      <w:hyperlink r:id="rId17" w:history="1">
        <w:r w:rsidRPr="00CB0FCC">
          <w:rPr>
            <w:rStyle w:val="Hyperlink"/>
            <w:rFonts w:eastAsiaTheme="minorEastAsia"/>
            <w:sz w:val="24"/>
            <w:szCs w:val="24"/>
            <w:lang w:val="en-US"/>
          </w:rPr>
          <w:t>2026-024</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提交进行同行评议</w:t>
      </w:r>
      <w:r w:rsidRPr="00CB0FCC">
        <w:rPr>
          <w:rFonts w:eastAsiaTheme="minorEastAsia"/>
          <w:sz w:val="24"/>
          <w:szCs w:val="24"/>
          <w:lang w:val="en-US"/>
        </w:rPr>
        <w:t>，</w:t>
      </w:r>
      <w:r w:rsidRPr="00CB0FCC">
        <w:rPr>
          <w:rFonts w:eastAsiaTheme="minorEastAsia"/>
          <w:sz w:val="24"/>
          <w:szCs w:val="24"/>
          <w:lang w:val="zh-CN"/>
        </w:rPr>
        <w:t>共收到</w:t>
      </w:r>
      <w:r w:rsidRPr="00CB0FCC">
        <w:rPr>
          <w:rFonts w:eastAsiaTheme="minorEastAsia"/>
          <w:sz w:val="24"/>
          <w:szCs w:val="24"/>
          <w:lang w:val="en-US"/>
        </w:rPr>
        <w:t>27</w:t>
      </w:r>
      <w:r w:rsidRPr="00CB0FCC">
        <w:rPr>
          <w:rFonts w:eastAsiaTheme="minorEastAsia"/>
          <w:sz w:val="24"/>
          <w:szCs w:val="24"/>
          <w:lang w:val="zh-CN"/>
        </w:rPr>
        <w:t>份来文</w:t>
      </w:r>
      <w:r w:rsidRPr="00CB0FCC">
        <w:rPr>
          <w:rStyle w:val="FootnoteReference"/>
          <w:rFonts w:eastAsiaTheme="minorEastAsia"/>
          <w:sz w:val="24"/>
          <w:szCs w:val="24"/>
          <w:lang w:val="zh-CN"/>
        </w:rPr>
        <w:footnoteReference w:id="12"/>
      </w:r>
      <w:r w:rsidRPr="00CB0FCC">
        <w:rPr>
          <w:rFonts w:eastAsiaTheme="minorEastAsia"/>
          <w:sz w:val="24"/>
          <w:szCs w:val="24"/>
          <w:lang w:val="en-US"/>
        </w:rPr>
        <w:t>（</w:t>
      </w:r>
      <w:r w:rsidRPr="00CB0FCC">
        <w:rPr>
          <w:rFonts w:eastAsiaTheme="minorEastAsia"/>
          <w:sz w:val="24"/>
          <w:szCs w:val="24"/>
          <w:lang w:val="en-US"/>
        </w:rPr>
        <w:t>19</w:t>
      </w:r>
      <w:r w:rsidRPr="00CB0FCC">
        <w:rPr>
          <w:rFonts w:eastAsiaTheme="minorEastAsia"/>
          <w:sz w:val="24"/>
          <w:szCs w:val="24"/>
          <w:lang w:val="zh-CN"/>
        </w:rPr>
        <w:t>份来自缔约方</w:t>
      </w:r>
      <w:r w:rsidRPr="00CB0FCC">
        <w:rPr>
          <w:rStyle w:val="FootnoteReference"/>
          <w:rFonts w:eastAsiaTheme="minorEastAsia"/>
          <w:sz w:val="24"/>
          <w:szCs w:val="24"/>
          <w:lang w:val="zh-CN"/>
        </w:rPr>
        <w:footnoteReference w:id="13"/>
      </w:r>
      <w:r w:rsidR="002752ED">
        <w:rPr>
          <w:rFonts w:eastAsiaTheme="minorEastAsia" w:hint="eastAsia"/>
          <w:sz w:val="24"/>
          <w:szCs w:val="24"/>
          <w:lang w:val="zh-CN"/>
        </w:rPr>
        <w:t>，</w:t>
      </w:r>
      <w:r w:rsidRPr="00CB0FCC">
        <w:rPr>
          <w:rFonts w:eastAsiaTheme="minorEastAsia"/>
          <w:sz w:val="24"/>
          <w:szCs w:val="24"/>
          <w:lang w:val="en-US"/>
        </w:rPr>
        <w:t>8</w:t>
      </w:r>
      <w:r w:rsidRPr="00CB0FCC">
        <w:rPr>
          <w:rFonts w:eastAsiaTheme="minorEastAsia"/>
          <w:sz w:val="24"/>
          <w:szCs w:val="24"/>
          <w:lang w:val="zh-CN"/>
        </w:rPr>
        <w:t>份来自相关组织</w:t>
      </w:r>
      <w:r w:rsidRPr="00CB0FCC">
        <w:rPr>
          <w:rStyle w:val="FootnoteReference"/>
          <w:rFonts w:eastAsiaTheme="minorEastAsia"/>
          <w:sz w:val="24"/>
          <w:szCs w:val="24"/>
          <w:lang w:val="zh-CN"/>
        </w:rPr>
        <w:footnoteReference w:id="14"/>
      </w:r>
      <w:r w:rsidRPr="00CB0FCC">
        <w:rPr>
          <w:rFonts w:eastAsiaTheme="minorEastAsia"/>
          <w:sz w:val="24"/>
          <w:szCs w:val="24"/>
          <w:lang w:val="en-US"/>
        </w:rPr>
        <w:t>）</w:t>
      </w:r>
      <w:r w:rsidRPr="00CB0FCC">
        <w:rPr>
          <w:rFonts w:eastAsiaTheme="minorEastAsia"/>
          <w:sz w:val="24"/>
          <w:szCs w:val="24"/>
          <w:lang w:val="zh-CN"/>
        </w:rPr>
        <w:t>。</w:t>
      </w:r>
    </w:p>
    <w:p w14:paraId="64276268"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根据针对该通知收到的来文</w:t>
      </w:r>
      <w:r w:rsidRPr="00CB0FCC">
        <w:rPr>
          <w:rFonts w:eastAsiaTheme="minorEastAsia"/>
          <w:sz w:val="24"/>
          <w:szCs w:val="24"/>
        </w:rPr>
        <w:t>，</w:t>
      </w:r>
      <w:r w:rsidRPr="00CB0FCC">
        <w:rPr>
          <w:rFonts w:eastAsiaTheme="minorEastAsia"/>
          <w:sz w:val="24"/>
          <w:szCs w:val="24"/>
          <w:lang w:val="zh-CN"/>
        </w:rPr>
        <w:t>对全球指导意见进行了进一步完善。</w:t>
      </w:r>
      <w:r w:rsidRPr="00CB0FCC">
        <w:rPr>
          <w:rFonts w:eastAsiaTheme="minorEastAsia"/>
          <w:sz w:val="24"/>
          <w:szCs w:val="24"/>
        </w:rPr>
        <w:t xml:space="preserve"> </w:t>
      </w:r>
    </w:p>
    <w:p w14:paraId="55F71B9A"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全球指导意见草案作为附件附于下文第二节所载建议之后。全球指导意见草案所依据的分析将在一份信息文件中提供。</w:t>
      </w:r>
    </w:p>
    <w:p w14:paraId="03EACB66"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根据第</w:t>
      </w:r>
      <w:hyperlink r:id="rId18" w:history="1">
        <w:r w:rsidRPr="00CB0FCC">
          <w:rPr>
            <w:rStyle w:val="Hyperlink"/>
            <w:rFonts w:eastAsiaTheme="minorEastAsia"/>
            <w:sz w:val="24"/>
            <w:szCs w:val="24"/>
          </w:rPr>
          <w:t>16/15</w:t>
        </w:r>
      </w:hyperlink>
      <w:r w:rsidRPr="00CB0FCC">
        <w:rPr>
          <w:rFonts w:eastAsiaTheme="minorEastAsia"/>
          <w:sz w:val="24"/>
          <w:szCs w:val="24"/>
          <w:lang w:val="zh-CN"/>
        </w:rPr>
        <w:t>号决定</w:t>
      </w:r>
      <w:r w:rsidRPr="00CB0FCC">
        <w:rPr>
          <w:rFonts w:eastAsiaTheme="minorEastAsia"/>
          <w:sz w:val="24"/>
          <w:szCs w:val="24"/>
        </w:rPr>
        <w:t>，</w:t>
      </w:r>
      <w:r w:rsidRPr="00CB0FCC">
        <w:rPr>
          <w:rFonts w:eastAsiaTheme="minorEastAsia"/>
          <w:sz w:val="24"/>
          <w:szCs w:val="24"/>
          <w:lang w:val="zh-CN"/>
        </w:rPr>
        <w:t>全球指导意见草案旨在支持实施《昆明</w:t>
      </w:r>
      <w:r w:rsidRPr="00CB0FCC">
        <w:rPr>
          <w:rFonts w:eastAsiaTheme="minorEastAsia"/>
          <w:sz w:val="24"/>
          <w:szCs w:val="24"/>
        </w:rPr>
        <w:t>-</w:t>
      </w:r>
      <w:r w:rsidRPr="00CB0FCC">
        <w:rPr>
          <w:rFonts w:eastAsiaTheme="minorEastAsia"/>
          <w:sz w:val="24"/>
          <w:szCs w:val="24"/>
          <w:lang w:val="zh-CN"/>
        </w:rPr>
        <w:t>蒙特利尔全球生物多样性框架》</w:t>
      </w:r>
      <w:r w:rsidRPr="00CB0FCC">
        <w:rPr>
          <w:rFonts w:eastAsiaTheme="minorEastAsia"/>
          <w:sz w:val="24"/>
          <w:szCs w:val="24"/>
        </w:rPr>
        <w:t>，</w:t>
      </w:r>
      <w:r w:rsidRPr="00CB0FCC">
        <w:rPr>
          <w:rFonts w:eastAsiaTheme="minorEastAsia"/>
          <w:sz w:val="24"/>
          <w:szCs w:val="24"/>
          <w:lang w:val="zh-CN"/>
        </w:rPr>
        <w:t>特别是行动目标</w:t>
      </w:r>
      <w:r w:rsidRPr="00CB0FCC">
        <w:rPr>
          <w:rFonts w:eastAsiaTheme="minorEastAsia"/>
          <w:sz w:val="24"/>
          <w:szCs w:val="24"/>
        </w:rPr>
        <w:t>4</w:t>
      </w:r>
      <w:r w:rsidRPr="00CB0FCC">
        <w:rPr>
          <w:rFonts w:eastAsiaTheme="minorEastAsia"/>
          <w:sz w:val="24"/>
          <w:szCs w:val="24"/>
          <w:lang w:val="zh-CN"/>
        </w:rPr>
        <w:t>、</w:t>
      </w:r>
      <w:r w:rsidRPr="00CB0FCC">
        <w:rPr>
          <w:rFonts w:eastAsiaTheme="minorEastAsia"/>
          <w:sz w:val="24"/>
          <w:szCs w:val="24"/>
        </w:rPr>
        <w:t>5</w:t>
      </w:r>
      <w:r w:rsidRPr="00CB0FCC">
        <w:rPr>
          <w:rFonts w:eastAsiaTheme="minorEastAsia"/>
          <w:sz w:val="24"/>
          <w:szCs w:val="24"/>
          <w:lang w:val="zh-CN"/>
        </w:rPr>
        <w:t>、</w:t>
      </w:r>
      <w:r w:rsidRPr="00CB0FCC">
        <w:rPr>
          <w:rFonts w:eastAsiaTheme="minorEastAsia"/>
          <w:sz w:val="24"/>
          <w:szCs w:val="24"/>
        </w:rPr>
        <w:t>6</w:t>
      </w:r>
      <w:r w:rsidRPr="00CB0FCC">
        <w:rPr>
          <w:rFonts w:eastAsiaTheme="minorEastAsia"/>
          <w:sz w:val="24"/>
          <w:szCs w:val="24"/>
          <w:lang w:val="zh-CN"/>
        </w:rPr>
        <w:t>、</w:t>
      </w:r>
      <w:r w:rsidRPr="00CB0FCC">
        <w:rPr>
          <w:rFonts w:eastAsiaTheme="minorEastAsia"/>
          <w:sz w:val="24"/>
          <w:szCs w:val="24"/>
        </w:rPr>
        <w:t>9</w:t>
      </w:r>
      <w:r w:rsidRPr="00CB0FCC">
        <w:rPr>
          <w:rFonts w:eastAsiaTheme="minorEastAsia"/>
          <w:sz w:val="24"/>
          <w:szCs w:val="24"/>
          <w:lang w:val="zh-CN"/>
        </w:rPr>
        <w:t>、</w:t>
      </w:r>
      <w:r w:rsidRPr="00CB0FCC">
        <w:rPr>
          <w:rFonts w:eastAsiaTheme="minorEastAsia"/>
          <w:sz w:val="24"/>
          <w:szCs w:val="24"/>
        </w:rPr>
        <w:t>10</w:t>
      </w:r>
      <w:r w:rsidRPr="00CB0FCC">
        <w:rPr>
          <w:rFonts w:eastAsiaTheme="minorEastAsia"/>
          <w:sz w:val="24"/>
          <w:szCs w:val="24"/>
          <w:lang w:val="zh-CN"/>
        </w:rPr>
        <w:t>、</w:t>
      </w:r>
      <w:r w:rsidRPr="00CB0FCC">
        <w:rPr>
          <w:rFonts w:eastAsiaTheme="minorEastAsia"/>
          <w:sz w:val="24"/>
          <w:szCs w:val="24"/>
        </w:rPr>
        <w:t>22</w:t>
      </w:r>
      <w:r w:rsidRPr="00CB0FCC">
        <w:rPr>
          <w:rFonts w:eastAsiaTheme="minorEastAsia"/>
          <w:sz w:val="24"/>
          <w:szCs w:val="24"/>
          <w:lang w:val="zh-CN"/>
        </w:rPr>
        <w:t>和</w:t>
      </w:r>
      <w:r w:rsidRPr="00CB0FCC">
        <w:rPr>
          <w:rFonts w:eastAsiaTheme="minorEastAsia"/>
          <w:sz w:val="24"/>
          <w:szCs w:val="24"/>
        </w:rPr>
        <w:t>23</w:t>
      </w:r>
      <w:r w:rsidRPr="00CB0FCC">
        <w:rPr>
          <w:rFonts w:eastAsiaTheme="minorEastAsia"/>
          <w:sz w:val="24"/>
          <w:szCs w:val="24"/>
        </w:rPr>
        <w:t>，</w:t>
      </w:r>
      <w:r w:rsidRPr="00CB0FCC">
        <w:rPr>
          <w:rFonts w:eastAsiaTheme="minorEastAsia"/>
          <w:sz w:val="24"/>
          <w:szCs w:val="24"/>
          <w:lang w:val="zh-CN"/>
        </w:rPr>
        <w:t>为推进物种保护和恢</w:t>
      </w:r>
      <w:r w:rsidRPr="00CB0FCC">
        <w:rPr>
          <w:rFonts w:eastAsiaTheme="minorEastAsia"/>
          <w:sz w:val="24"/>
          <w:szCs w:val="24"/>
          <w:lang w:val="zh-CN"/>
        </w:rPr>
        <w:lastRenderedPageBreak/>
        <w:t>复提供重要基础</w:t>
      </w:r>
      <w:r w:rsidRPr="00CB0FCC">
        <w:rPr>
          <w:rFonts w:eastAsiaTheme="minorEastAsia"/>
          <w:sz w:val="24"/>
          <w:szCs w:val="24"/>
        </w:rPr>
        <w:t>；</w:t>
      </w:r>
      <w:r w:rsidRPr="00CB0FCC">
        <w:rPr>
          <w:rFonts w:eastAsiaTheme="minorEastAsia"/>
          <w:sz w:val="24"/>
          <w:szCs w:val="24"/>
          <w:lang w:val="zh-CN"/>
        </w:rPr>
        <w:t>确保野生物种的利用和贸易可持续、安全和合法</w:t>
      </w:r>
      <w:r w:rsidRPr="00CB0FCC">
        <w:rPr>
          <w:rFonts w:eastAsiaTheme="minorEastAsia"/>
          <w:sz w:val="24"/>
          <w:szCs w:val="24"/>
        </w:rPr>
        <w:t>；</w:t>
      </w:r>
      <w:r w:rsidRPr="00CB0FCC">
        <w:rPr>
          <w:rFonts w:eastAsiaTheme="minorEastAsia"/>
          <w:sz w:val="24"/>
          <w:szCs w:val="24"/>
          <w:lang w:val="zh-CN"/>
        </w:rPr>
        <w:t>解决与外来入侵物种相关的风险</w:t>
      </w:r>
      <w:r w:rsidRPr="00CB0FCC">
        <w:rPr>
          <w:rFonts w:eastAsiaTheme="minorEastAsia"/>
          <w:sz w:val="24"/>
          <w:szCs w:val="24"/>
        </w:rPr>
        <w:t>；</w:t>
      </w:r>
      <w:r w:rsidRPr="00CB0FCC">
        <w:rPr>
          <w:rFonts w:eastAsiaTheme="minorEastAsia"/>
          <w:sz w:val="24"/>
          <w:szCs w:val="24"/>
          <w:lang w:val="zh-CN"/>
        </w:rPr>
        <w:t>提高人类可持续利用生物多样性得到的惠益。更广泛地说，该指导意见支持</w:t>
      </w:r>
      <w:proofErr w:type="gramStart"/>
      <w:r w:rsidRPr="00CB0FCC">
        <w:rPr>
          <w:rFonts w:eastAsiaTheme="minorEastAsia"/>
          <w:sz w:val="24"/>
          <w:szCs w:val="24"/>
          <w:lang w:val="zh-CN"/>
        </w:rPr>
        <w:t>实施昆蒙框架</w:t>
      </w:r>
      <w:proofErr w:type="gramEnd"/>
      <w:r w:rsidRPr="00CB0FCC">
        <w:rPr>
          <w:rFonts w:eastAsiaTheme="minorEastAsia"/>
          <w:sz w:val="24"/>
          <w:szCs w:val="24"/>
          <w:lang w:val="zh-CN"/>
        </w:rPr>
        <w:t>的相关跨领域要素，包括参与、基于人权的方法、不同知识体系的整合、公平分配成本和惠益、促进政策的一致和监测。</w:t>
      </w:r>
    </w:p>
    <w:p w14:paraId="6189C379" w14:textId="77777777" w:rsidR="00FB10AA" w:rsidRPr="00CB0FCC" w:rsidRDefault="00FB10AA">
      <w:pPr>
        <w:pStyle w:val="CBDH1"/>
        <w:rPr>
          <w:rFonts w:ascii="SimHei" w:eastAsia="SimHei" w:hAnsi="SimHei"/>
          <w:sz w:val="24"/>
          <w:szCs w:val="24"/>
        </w:rPr>
      </w:pPr>
      <w:r w:rsidRPr="00CB0FCC">
        <w:rPr>
          <w:rFonts w:ascii="SimHei" w:eastAsia="SimHei" w:hAnsi="SimHei"/>
          <w:sz w:val="24"/>
          <w:szCs w:val="24"/>
          <w:lang w:val="zh-CN"/>
        </w:rPr>
        <w:t>二．</w:t>
      </w:r>
      <w:r w:rsidRPr="00CB0FCC">
        <w:rPr>
          <w:rFonts w:ascii="SimHei" w:eastAsia="SimHei" w:hAnsi="SimHei"/>
          <w:sz w:val="24"/>
          <w:szCs w:val="24"/>
        </w:rPr>
        <w:tab/>
      </w:r>
      <w:r w:rsidRPr="00CB0FCC">
        <w:rPr>
          <w:rFonts w:ascii="SimHei" w:eastAsia="SimHei" w:hAnsi="SimHei"/>
          <w:sz w:val="24"/>
          <w:szCs w:val="24"/>
          <w:lang w:val="zh-CN"/>
        </w:rPr>
        <w:t>建议</w:t>
      </w:r>
    </w:p>
    <w:p w14:paraId="7D1CD45E"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科学、技术和工艺咨询附属机构不妨建议缔约方大会第十七届会议通过一项内容大致如下的决定</w:t>
      </w:r>
      <w:r w:rsidRPr="00CB0FCC">
        <w:rPr>
          <w:rStyle w:val="FootnoteReference"/>
          <w:rFonts w:eastAsiaTheme="minorEastAsia"/>
          <w:sz w:val="24"/>
          <w:szCs w:val="24"/>
          <w:lang w:val="zh-CN"/>
        </w:rPr>
        <w:footnoteReference w:id="15"/>
      </w:r>
      <w:r w:rsidRPr="00CB0FCC">
        <w:rPr>
          <w:rFonts w:eastAsiaTheme="minorEastAsia"/>
          <w:sz w:val="24"/>
          <w:szCs w:val="24"/>
        </w:rPr>
        <w:t>：</w:t>
      </w:r>
      <w:r w:rsidRPr="00CB0FCC">
        <w:rPr>
          <w:rFonts w:eastAsiaTheme="minorEastAsia"/>
          <w:sz w:val="24"/>
          <w:szCs w:val="24"/>
        </w:rPr>
        <w:t xml:space="preserve"> </w:t>
      </w:r>
    </w:p>
    <w:p w14:paraId="560C0B10" w14:textId="77777777" w:rsidR="00FB10AA" w:rsidRPr="00CB0FCC" w:rsidRDefault="00FB10AA">
      <w:pPr>
        <w:pStyle w:val="CBDNormalNumber"/>
        <w:ind w:left="567" w:firstLine="567"/>
        <w:rPr>
          <w:rFonts w:eastAsiaTheme="minorEastAsia"/>
          <w:i/>
          <w:sz w:val="24"/>
          <w:szCs w:val="24"/>
        </w:rPr>
      </w:pPr>
      <w:r w:rsidRPr="00F34273">
        <w:rPr>
          <w:rFonts w:ascii="KaiTi" w:eastAsia="KaiTi" w:hAnsi="KaiTi"/>
          <w:sz w:val="24"/>
          <w:szCs w:val="24"/>
          <w:lang w:val="zh-CN"/>
        </w:rPr>
        <w:t>缔约方大会</w:t>
      </w:r>
      <w:r w:rsidRPr="00CB0FCC">
        <w:rPr>
          <w:rFonts w:eastAsiaTheme="minorEastAsia"/>
          <w:sz w:val="24"/>
          <w:szCs w:val="24"/>
        </w:rPr>
        <w:t>，</w:t>
      </w:r>
    </w:p>
    <w:p w14:paraId="27115AD4" w14:textId="16C9C36E" w:rsidR="00FB10AA" w:rsidRPr="00CB0FCC" w:rsidRDefault="00FB10AA">
      <w:pPr>
        <w:suppressLineNumbers/>
        <w:suppressAutoHyphens/>
        <w:spacing w:before="120" w:after="120"/>
        <w:ind w:left="567" w:firstLine="567"/>
        <w:rPr>
          <w:rFonts w:eastAsiaTheme="minorEastAsia"/>
          <w:i/>
          <w:kern w:val="22"/>
          <w:sz w:val="24"/>
          <w:szCs w:val="24"/>
        </w:rPr>
      </w:pPr>
      <w:r w:rsidRPr="00F34273">
        <w:rPr>
          <w:rFonts w:ascii="KaiTi" w:eastAsia="KaiTi" w:hAnsi="KaiTi"/>
          <w:sz w:val="24"/>
          <w:szCs w:val="24"/>
          <w:lang w:val="zh-CN"/>
        </w:rPr>
        <w:t>回顾</w:t>
      </w:r>
      <w:smartTag w:uri="urn:schemas-microsoft-com:office:smarttags" w:element="chsdate">
        <w:smartTagPr>
          <w:attr w:name="IsROCDate" w:val="False"/>
          <w:attr w:name="IsLunarDate" w:val="False"/>
          <w:attr w:name="Day" w:val="29"/>
          <w:attr w:name="Month" w:val="11"/>
          <w:attr w:name="Year" w:val="2018"/>
        </w:smartTagPr>
        <w:r w:rsidRPr="00CB0FCC">
          <w:rPr>
            <w:rFonts w:eastAsiaTheme="minorEastAsia"/>
            <w:sz w:val="24"/>
            <w:szCs w:val="24"/>
          </w:rPr>
          <w:t>2018</w:t>
        </w:r>
        <w:r w:rsidRPr="00CB0FCC">
          <w:rPr>
            <w:rFonts w:eastAsiaTheme="minorEastAsia"/>
            <w:sz w:val="24"/>
            <w:szCs w:val="24"/>
            <w:lang w:val="zh-CN"/>
          </w:rPr>
          <w:t>年</w:t>
        </w:r>
        <w:r w:rsidRPr="00CB0FCC">
          <w:rPr>
            <w:rFonts w:eastAsiaTheme="minorEastAsia"/>
            <w:sz w:val="24"/>
            <w:szCs w:val="24"/>
          </w:rPr>
          <w:t>11</w:t>
        </w:r>
        <w:r w:rsidRPr="00CB0FCC">
          <w:rPr>
            <w:rFonts w:eastAsiaTheme="minorEastAsia"/>
            <w:sz w:val="24"/>
            <w:szCs w:val="24"/>
            <w:lang w:val="zh-CN"/>
          </w:rPr>
          <w:t>月</w:t>
        </w:r>
        <w:r w:rsidRPr="00CB0FCC">
          <w:rPr>
            <w:rFonts w:eastAsiaTheme="minorEastAsia"/>
            <w:sz w:val="24"/>
            <w:szCs w:val="24"/>
          </w:rPr>
          <w:t>29</w:t>
        </w:r>
        <w:r w:rsidRPr="00CB0FCC">
          <w:rPr>
            <w:rFonts w:eastAsiaTheme="minorEastAsia"/>
            <w:sz w:val="24"/>
            <w:szCs w:val="24"/>
            <w:lang w:val="zh-CN"/>
          </w:rPr>
          <w:t>日</w:t>
        </w:r>
      </w:smartTag>
      <w:r w:rsidRPr="00CB0FCC">
        <w:rPr>
          <w:rFonts w:eastAsiaTheme="minorEastAsia"/>
          <w:sz w:val="24"/>
          <w:szCs w:val="24"/>
          <w:lang w:val="zh-CN"/>
        </w:rPr>
        <w:t>第</w:t>
      </w:r>
      <w:hyperlink r:id="rId19" w:history="1">
        <w:r w:rsidRPr="00CB0FCC">
          <w:rPr>
            <w:rStyle w:val="Hyperlink"/>
            <w:rFonts w:eastAsiaTheme="minorEastAsia"/>
            <w:kern w:val="22"/>
            <w:sz w:val="24"/>
            <w:szCs w:val="24"/>
          </w:rPr>
          <w:t>14/7</w:t>
        </w:r>
      </w:hyperlink>
      <w:r w:rsidRPr="00CB0FCC">
        <w:rPr>
          <w:rFonts w:eastAsiaTheme="minorEastAsia"/>
          <w:sz w:val="24"/>
          <w:szCs w:val="24"/>
          <w:lang w:val="zh-CN"/>
        </w:rPr>
        <w:t>号、</w:t>
      </w:r>
      <w:smartTag w:uri="urn:schemas-microsoft-com:office:smarttags" w:element="chsdate">
        <w:smartTagPr>
          <w:attr w:name="IsROCDate" w:val="False"/>
          <w:attr w:name="IsLunarDate" w:val="False"/>
          <w:attr w:name="Day" w:val="10"/>
          <w:attr w:name="Month" w:val="12"/>
          <w:attr w:name="Year" w:val="2022"/>
        </w:smartTagPr>
        <w:r w:rsidRPr="00CB0FCC">
          <w:rPr>
            <w:rFonts w:eastAsiaTheme="minorEastAsia"/>
            <w:sz w:val="24"/>
            <w:szCs w:val="24"/>
          </w:rPr>
          <w:t>2022</w:t>
        </w:r>
        <w:r w:rsidRPr="00CB0FCC">
          <w:rPr>
            <w:rFonts w:eastAsiaTheme="minorEastAsia"/>
            <w:sz w:val="24"/>
            <w:szCs w:val="24"/>
            <w:lang w:val="zh-CN"/>
          </w:rPr>
          <w:t>年</w:t>
        </w:r>
        <w:r w:rsidRPr="00CB0FCC">
          <w:rPr>
            <w:rFonts w:eastAsiaTheme="minorEastAsia"/>
            <w:sz w:val="24"/>
            <w:szCs w:val="24"/>
          </w:rPr>
          <w:t>12</w:t>
        </w:r>
        <w:r w:rsidRPr="00CB0FCC">
          <w:rPr>
            <w:rFonts w:eastAsiaTheme="minorEastAsia"/>
            <w:sz w:val="24"/>
            <w:szCs w:val="24"/>
            <w:lang w:val="zh-CN"/>
          </w:rPr>
          <w:t>月</w:t>
        </w:r>
        <w:r w:rsidRPr="00CB0FCC">
          <w:rPr>
            <w:rFonts w:eastAsiaTheme="minorEastAsia"/>
            <w:sz w:val="24"/>
            <w:szCs w:val="24"/>
          </w:rPr>
          <w:t>10</w:t>
        </w:r>
        <w:r w:rsidRPr="00CB0FCC">
          <w:rPr>
            <w:rFonts w:eastAsiaTheme="minorEastAsia"/>
            <w:sz w:val="24"/>
            <w:szCs w:val="24"/>
            <w:lang w:val="zh-CN"/>
          </w:rPr>
          <w:t>日</w:t>
        </w:r>
      </w:smartTag>
      <w:r w:rsidRPr="00CB0FCC">
        <w:rPr>
          <w:rFonts w:eastAsiaTheme="minorEastAsia"/>
          <w:sz w:val="24"/>
          <w:szCs w:val="24"/>
          <w:lang w:val="zh-CN"/>
        </w:rPr>
        <w:t>第</w:t>
      </w:r>
      <w:hyperlink r:id="rId20" w:history="1">
        <w:r w:rsidRPr="00CB0FCC">
          <w:rPr>
            <w:rStyle w:val="Hyperlink"/>
            <w:rFonts w:eastAsiaTheme="minorEastAsia"/>
            <w:kern w:val="22"/>
            <w:sz w:val="24"/>
            <w:szCs w:val="24"/>
          </w:rPr>
          <w:t>15/23</w:t>
        </w:r>
      </w:hyperlink>
      <w:r w:rsidRPr="00CB0FCC">
        <w:rPr>
          <w:rFonts w:eastAsiaTheme="minorEastAsia"/>
          <w:sz w:val="24"/>
          <w:szCs w:val="24"/>
          <w:lang w:val="zh-CN"/>
        </w:rPr>
        <w:t>号和</w:t>
      </w:r>
      <w:smartTag w:uri="urn:schemas-microsoft-com:office:smarttags" w:element="chsdate">
        <w:smartTagPr>
          <w:attr w:name="IsROCDate" w:val="False"/>
          <w:attr w:name="IsLunarDate" w:val="False"/>
          <w:attr w:name="Day" w:val="25"/>
          <w:attr w:name="Month" w:val="10"/>
          <w:attr w:name="Year" w:val="2024"/>
        </w:smartTagPr>
        <w:r w:rsidRPr="00CB0FCC">
          <w:rPr>
            <w:rFonts w:eastAsiaTheme="minorEastAsia"/>
            <w:sz w:val="24"/>
            <w:szCs w:val="24"/>
          </w:rPr>
          <w:t>2024</w:t>
        </w:r>
        <w:r w:rsidRPr="00CB0FCC">
          <w:rPr>
            <w:rFonts w:eastAsiaTheme="minorEastAsia"/>
            <w:sz w:val="24"/>
            <w:szCs w:val="24"/>
            <w:lang w:val="zh-CN"/>
          </w:rPr>
          <w:t>年</w:t>
        </w:r>
        <w:r w:rsidRPr="00CB0FCC">
          <w:rPr>
            <w:rFonts w:eastAsiaTheme="minorEastAsia"/>
            <w:sz w:val="24"/>
            <w:szCs w:val="24"/>
          </w:rPr>
          <w:t>10</w:t>
        </w:r>
        <w:r w:rsidRPr="00CB0FCC">
          <w:rPr>
            <w:rFonts w:eastAsiaTheme="minorEastAsia"/>
            <w:sz w:val="24"/>
            <w:szCs w:val="24"/>
            <w:lang w:val="zh-CN"/>
          </w:rPr>
          <w:t>月</w:t>
        </w:r>
        <w:r w:rsidRPr="00CB0FCC">
          <w:rPr>
            <w:rFonts w:eastAsiaTheme="minorEastAsia"/>
            <w:sz w:val="24"/>
            <w:szCs w:val="24"/>
          </w:rPr>
          <w:t>25</w:t>
        </w:r>
        <w:r w:rsidRPr="00CB0FCC">
          <w:rPr>
            <w:rFonts w:eastAsiaTheme="minorEastAsia"/>
            <w:sz w:val="24"/>
            <w:szCs w:val="24"/>
            <w:lang w:val="zh-CN"/>
          </w:rPr>
          <w:t>日</w:t>
        </w:r>
      </w:smartTag>
      <w:r w:rsidRPr="00CB0FCC">
        <w:rPr>
          <w:rFonts w:eastAsiaTheme="minorEastAsia"/>
          <w:sz w:val="24"/>
          <w:szCs w:val="24"/>
          <w:lang w:val="zh-CN"/>
        </w:rPr>
        <w:t>第</w:t>
      </w:r>
      <w:hyperlink r:id="rId21" w:history="1">
        <w:r w:rsidRPr="00CB0FCC">
          <w:rPr>
            <w:rStyle w:val="Hyperlink"/>
            <w:rFonts w:eastAsiaTheme="minorEastAsia"/>
            <w:kern w:val="22"/>
            <w:sz w:val="24"/>
            <w:szCs w:val="24"/>
          </w:rPr>
          <w:t>16/15</w:t>
        </w:r>
      </w:hyperlink>
      <w:r w:rsidRPr="00CB0FCC">
        <w:rPr>
          <w:rFonts w:eastAsiaTheme="minorEastAsia"/>
          <w:sz w:val="24"/>
          <w:szCs w:val="24"/>
          <w:lang w:val="zh-CN"/>
        </w:rPr>
        <w:t>号决定</w:t>
      </w:r>
      <w:r w:rsidRPr="00CB0FCC">
        <w:rPr>
          <w:rFonts w:eastAsiaTheme="minorEastAsia"/>
          <w:sz w:val="24"/>
          <w:szCs w:val="24"/>
        </w:rPr>
        <w:t>，</w:t>
      </w:r>
    </w:p>
    <w:p w14:paraId="5FD62DB6" w14:textId="77777777" w:rsidR="00FB10AA" w:rsidRPr="00CB0FCC" w:rsidRDefault="00FB10AA">
      <w:pPr>
        <w:pStyle w:val="CBDDesicionText"/>
        <w:rPr>
          <w:rFonts w:eastAsiaTheme="minorEastAsia"/>
          <w:sz w:val="24"/>
          <w:szCs w:val="24"/>
        </w:rPr>
      </w:pPr>
      <w:r w:rsidRPr="00F34273">
        <w:rPr>
          <w:rFonts w:ascii="KaiTi" w:eastAsia="KaiTi" w:hAnsi="KaiTi"/>
          <w:sz w:val="24"/>
          <w:szCs w:val="24"/>
          <w:lang w:val="zh-CN"/>
        </w:rPr>
        <w:t>认识到</w:t>
      </w:r>
      <w:r w:rsidRPr="00CB0FCC">
        <w:rPr>
          <w:rFonts w:eastAsiaTheme="minorEastAsia"/>
          <w:sz w:val="24"/>
          <w:szCs w:val="24"/>
          <w:lang w:val="zh-CN"/>
        </w:rPr>
        <w:t>可持续的野生生物管理有助于实现《生物多样性公约》</w:t>
      </w:r>
      <w:r w:rsidRPr="00CB0FCC">
        <w:rPr>
          <w:rStyle w:val="FootnoteReference"/>
          <w:rFonts w:eastAsiaTheme="minorEastAsia"/>
          <w:sz w:val="24"/>
          <w:szCs w:val="24"/>
          <w:lang w:val="zh-CN"/>
        </w:rPr>
        <w:footnoteReference w:id="16"/>
      </w:r>
      <w:r w:rsidRPr="00CB0FCC">
        <w:rPr>
          <w:rFonts w:eastAsiaTheme="minorEastAsia"/>
          <w:sz w:val="24"/>
          <w:szCs w:val="24"/>
          <w:lang w:val="zh-CN"/>
        </w:rPr>
        <w:t>的目标和落实《昆明</w:t>
      </w:r>
      <w:r w:rsidRPr="00CB0FCC">
        <w:rPr>
          <w:rFonts w:eastAsiaTheme="minorEastAsia"/>
          <w:sz w:val="24"/>
          <w:szCs w:val="24"/>
        </w:rPr>
        <w:t>-</w:t>
      </w:r>
      <w:r w:rsidRPr="00CB0FCC">
        <w:rPr>
          <w:rFonts w:eastAsiaTheme="minorEastAsia"/>
          <w:sz w:val="24"/>
          <w:szCs w:val="24"/>
          <w:lang w:val="zh-CN"/>
        </w:rPr>
        <w:t>蒙特利尔全球生物多样性框架》</w:t>
      </w:r>
      <w:r w:rsidRPr="00CB0FCC">
        <w:rPr>
          <w:rStyle w:val="FootnoteReference"/>
          <w:rFonts w:eastAsiaTheme="minorEastAsia"/>
          <w:sz w:val="24"/>
          <w:szCs w:val="24"/>
          <w:lang w:val="zh-CN"/>
        </w:rPr>
        <w:footnoteReference w:id="17"/>
      </w:r>
      <w:r w:rsidRPr="00CB0FCC">
        <w:rPr>
          <w:rFonts w:eastAsiaTheme="minorEastAsia"/>
          <w:sz w:val="24"/>
          <w:szCs w:val="24"/>
          <w:lang w:val="zh-CN"/>
        </w:rPr>
        <w:t>的相关行动目标</w:t>
      </w:r>
      <w:r w:rsidRPr="00CB0FCC">
        <w:rPr>
          <w:rFonts w:eastAsiaTheme="minorEastAsia"/>
          <w:sz w:val="24"/>
          <w:szCs w:val="24"/>
        </w:rPr>
        <w:t>，</w:t>
      </w:r>
      <w:r w:rsidRPr="00CB0FCC">
        <w:rPr>
          <w:rFonts w:eastAsiaTheme="minorEastAsia"/>
          <w:sz w:val="24"/>
          <w:szCs w:val="24"/>
          <w:lang w:val="zh-CN"/>
        </w:rPr>
        <w:t>并为土著人民和地方社区以及与野生生物有密切关系的其他人民提供重要生态、经济、社会和文化惠益</w:t>
      </w:r>
      <w:r w:rsidRPr="00CB0FCC">
        <w:rPr>
          <w:rFonts w:eastAsiaTheme="minorEastAsia"/>
          <w:sz w:val="24"/>
          <w:szCs w:val="24"/>
        </w:rPr>
        <w:t>，</w:t>
      </w:r>
    </w:p>
    <w:p w14:paraId="36A48FE3" w14:textId="77777777" w:rsidR="00FB10AA" w:rsidRPr="00CB0FCC" w:rsidRDefault="00FB10AA">
      <w:pPr>
        <w:pStyle w:val="CBDDesicionText"/>
        <w:rPr>
          <w:rFonts w:eastAsiaTheme="minorEastAsia"/>
          <w:sz w:val="24"/>
          <w:szCs w:val="24"/>
        </w:rPr>
      </w:pPr>
      <w:r w:rsidRPr="00CB0FCC">
        <w:rPr>
          <w:rFonts w:eastAsiaTheme="minorEastAsia"/>
          <w:sz w:val="24"/>
          <w:szCs w:val="24"/>
        </w:rPr>
        <w:t>1.</w:t>
      </w:r>
      <w:r w:rsidRPr="00CB0FCC">
        <w:rPr>
          <w:rFonts w:eastAsiaTheme="minorEastAsia"/>
          <w:sz w:val="24"/>
          <w:szCs w:val="24"/>
        </w:rPr>
        <w:tab/>
      </w:r>
      <w:r w:rsidRPr="00F34273">
        <w:rPr>
          <w:rFonts w:ascii="KaiTi" w:eastAsia="KaiTi" w:hAnsi="KaiTi"/>
          <w:sz w:val="24"/>
          <w:szCs w:val="24"/>
          <w:lang w:val="zh-CN"/>
        </w:rPr>
        <w:t>通过</w:t>
      </w:r>
      <w:r w:rsidRPr="00CB0FCC">
        <w:rPr>
          <w:rFonts w:eastAsiaTheme="minorEastAsia"/>
          <w:sz w:val="24"/>
          <w:szCs w:val="24"/>
          <w:lang w:val="zh-CN"/>
        </w:rPr>
        <w:t>适用于多种物种和多种做法的可持续野生生物管理全球指导意见</w:t>
      </w:r>
      <w:r w:rsidRPr="00CB0FCC">
        <w:rPr>
          <w:rFonts w:eastAsiaTheme="minorEastAsia"/>
          <w:sz w:val="24"/>
          <w:szCs w:val="24"/>
        </w:rPr>
        <w:t>，</w:t>
      </w:r>
      <w:r w:rsidRPr="00CB0FCC">
        <w:rPr>
          <w:rFonts w:eastAsiaTheme="minorEastAsia"/>
          <w:sz w:val="24"/>
          <w:szCs w:val="24"/>
          <w:lang w:val="zh-CN"/>
        </w:rPr>
        <w:t>重点是</w:t>
      </w:r>
      <w:r w:rsidRPr="00CB0FCC">
        <w:rPr>
          <w:rFonts w:eastAsiaTheme="minorEastAsia"/>
          <w:sz w:val="24"/>
          <w:szCs w:val="24"/>
        </w:rPr>
        <w:t>：（</w:t>
      </w:r>
      <w:r w:rsidRPr="00CB0FCC">
        <w:rPr>
          <w:rFonts w:eastAsiaTheme="minorEastAsia"/>
          <w:sz w:val="24"/>
          <w:szCs w:val="24"/>
        </w:rPr>
        <w:t>a</w:t>
      </w:r>
      <w:r w:rsidRPr="00CB0FCC">
        <w:rPr>
          <w:rFonts w:eastAsiaTheme="minorEastAsia"/>
          <w:sz w:val="24"/>
          <w:szCs w:val="24"/>
        </w:rPr>
        <w:t>）</w:t>
      </w:r>
      <w:r w:rsidRPr="00CB0FCC">
        <w:rPr>
          <w:rFonts w:eastAsiaTheme="minorEastAsia"/>
          <w:sz w:val="24"/>
          <w:szCs w:val="24"/>
          <w:lang w:val="zh-CN"/>
        </w:rPr>
        <w:t>包容性和参与性决策</w:t>
      </w:r>
      <w:r w:rsidRPr="00CB0FCC">
        <w:rPr>
          <w:rFonts w:eastAsiaTheme="minorEastAsia"/>
          <w:sz w:val="24"/>
          <w:szCs w:val="24"/>
        </w:rPr>
        <w:t>；（</w:t>
      </w:r>
      <w:r w:rsidRPr="00CB0FCC">
        <w:rPr>
          <w:rFonts w:eastAsiaTheme="minorEastAsia"/>
          <w:sz w:val="24"/>
          <w:szCs w:val="24"/>
        </w:rPr>
        <w:t>b</w:t>
      </w:r>
      <w:r w:rsidRPr="00CB0FCC">
        <w:rPr>
          <w:rFonts w:eastAsiaTheme="minorEastAsia"/>
          <w:sz w:val="24"/>
          <w:szCs w:val="24"/>
        </w:rPr>
        <w:t>）</w:t>
      </w:r>
      <w:r w:rsidRPr="00CB0FCC">
        <w:rPr>
          <w:rFonts w:eastAsiaTheme="minorEastAsia"/>
          <w:sz w:val="24"/>
          <w:szCs w:val="24"/>
          <w:lang w:val="zh-CN"/>
        </w:rPr>
        <w:t>纳入多元知识体系和承认权利</w:t>
      </w:r>
      <w:r w:rsidRPr="00CB0FCC">
        <w:rPr>
          <w:rFonts w:eastAsiaTheme="minorEastAsia"/>
          <w:sz w:val="24"/>
          <w:szCs w:val="24"/>
        </w:rPr>
        <w:t>；（</w:t>
      </w:r>
      <w:r w:rsidRPr="00CB0FCC">
        <w:rPr>
          <w:rFonts w:eastAsiaTheme="minorEastAsia"/>
          <w:sz w:val="24"/>
          <w:szCs w:val="24"/>
        </w:rPr>
        <w:t>c</w:t>
      </w:r>
      <w:r w:rsidRPr="00CB0FCC">
        <w:rPr>
          <w:rFonts w:eastAsiaTheme="minorEastAsia"/>
          <w:sz w:val="24"/>
          <w:szCs w:val="24"/>
        </w:rPr>
        <w:t>）</w:t>
      </w:r>
      <w:r w:rsidRPr="00CB0FCC">
        <w:rPr>
          <w:rFonts w:eastAsiaTheme="minorEastAsia"/>
          <w:sz w:val="24"/>
          <w:szCs w:val="24"/>
          <w:lang w:val="zh-CN"/>
        </w:rPr>
        <w:t>公平分配成本和惠益</w:t>
      </w:r>
      <w:r w:rsidRPr="00CB0FCC">
        <w:rPr>
          <w:rFonts w:eastAsiaTheme="minorEastAsia"/>
          <w:sz w:val="24"/>
          <w:szCs w:val="24"/>
        </w:rPr>
        <w:t>，</w:t>
      </w:r>
      <w:r w:rsidRPr="00CB0FCC">
        <w:rPr>
          <w:rFonts w:eastAsiaTheme="minorEastAsia"/>
          <w:sz w:val="24"/>
          <w:szCs w:val="24"/>
          <w:lang w:val="zh-CN"/>
        </w:rPr>
        <w:t>如本决定附件所载。</w:t>
      </w:r>
    </w:p>
    <w:p w14:paraId="6230B91A" w14:textId="77777777" w:rsidR="00FB10AA" w:rsidRPr="00CB0FCC" w:rsidRDefault="00FB10AA">
      <w:pPr>
        <w:pStyle w:val="CBDDesicionText"/>
        <w:rPr>
          <w:rFonts w:eastAsiaTheme="minorEastAsia"/>
          <w:sz w:val="24"/>
          <w:szCs w:val="24"/>
        </w:rPr>
      </w:pPr>
      <w:r w:rsidRPr="00CB0FCC">
        <w:rPr>
          <w:rFonts w:eastAsiaTheme="minorEastAsia"/>
          <w:sz w:val="24"/>
          <w:szCs w:val="24"/>
        </w:rPr>
        <w:t>2.</w:t>
      </w:r>
      <w:r w:rsidRPr="00CB0FCC">
        <w:rPr>
          <w:rFonts w:eastAsiaTheme="minorEastAsia"/>
          <w:sz w:val="24"/>
          <w:szCs w:val="24"/>
        </w:rPr>
        <w:tab/>
      </w:r>
      <w:r w:rsidRPr="00F34273">
        <w:rPr>
          <w:rFonts w:ascii="KaiTi" w:eastAsia="KaiTi" w:hAnsi="KaiTi"/>
          <w:sz w:val="24"/>
          <w:szCs w:val="24"/>
          <w:lang w:val="zh-CN"/>
        </w:rPr>
        <w:t>敦促</w:t>
      </w:r>
      <w:r w:rsidRPr="00CB0FCC">
        <w:rPr>
          <w:rFonts w:eastAsiaTheme="minorEastAsia"/>
          <w:sz w:val="24"/>
          <w:szCs w:val="24"/>
          <w:lang w:val="zh-CN"/>
        </w:rPr>
        <w:t>各缔约方并邀请其他国家政府和相关组织酌情并根据国情、优先事项和立法规定</w:t>
      </w:r>
      <w:r w:rsidRPr="00CB0FCC">
        <w:rPr>
          <w:rFonts w:eastAsiaTheme="minorEastAsia"/>
          <w:sz w:val="24"/>
          <w:szCs w:val="24"/>
        </w:rPr>
        <w:t>，</w:t>
      </w:r>
      <w:r w:rsidRPr="00CB0FCC">
        <w:rPr>
          <w:rFonts w:eastAsiaTheme="minorEastAsia"/>
          <w:sz w:val="24"/>
          <w:szCs w:val="24"/>
          <w:lang w:val="zh-CN"/>
        </w:rPr>
        <w:t>将全球指导意见纳入国家生物多样性战略和行动计划、野生生物政策、法律和体制框架以及相关部门和跨部门计划、政策、方案和其他文书</w:t>
      </w:r>
      <w:r w:rsidRPr="00CB0FCC">
        <w:rPr>
          <w:rFonts w:eastAsiaTheme="minorEastAsia"/>
          <w:sz w:val="24"/>
          <w:szCs w:val="24"/>
        </w:rPr>
        <w:t>；</w:t>
      </w:r>
    </w:p>
    <w:p w14:paraId="0239F8C9" w14:textId="5FDDE0DC" w:rsidR="00FB10AA" w:rsidRPr="00CB0FCC" w:rsidRDefault="00FB10AA" w:rsidP="00F54F68">
      <w:pPr>
        <w:pStyle w:val="CBDDesicionText"/>
        <w:jc w:val="left"/>
        <w:rPr>
          <w:rFonts w:eastAsiaTheme="minorEastAsia"/>
          <w:sz w:val="24"/>
          <w:szCs w:val="24"/>
        </w:rPr>
      </w:pPr>
      <w:r w:rsidRPr="00CB0FCC">
        <w:rPr>
          <w:rFonts w:eastAsiaTheme="minorEastAsia"/>
          <w:sz w:val="24"/>
          <w:szCs w:val="24"/>
        </w:rPr>
        <w:t>3.</w:t>
      </w:r>
      <w:r w:rsidR="00F54F68">
        <w:rPr>
          <w:rFonts w:eastAsiaTheme="minorEastAsia"/>
          <w:sz w:val="24"/>
          <w:szCs w:val="24"/>
        </w:rPr>
        <w:tab/>
      </w:r>
      <w:r w:rsidRPr="00E84B73">
        <w:rPr>
          <w:rFonts w:ascii="KaiTi" w:eastAsia="KaiTi" w:hAnsi="KaiTi"/>
          <w:sz w:val="24"/>
          <w:szCs w:val="24"/>
        </w:rPr>
        <w:t>邀请</w:t>
      </w:r>
      <w:r w:rsidRPr="00E84B73">
        <w:rPr>
          <w:rFonts w:eastAsiaTheme="minorEastAsia"/>
          <w:sz w:val="24"/>
          <w:szCs w:val="24"/>
        </w:rPr>
        <w:t>各缔约方推动野生生物管理相关部门协调一致地实施全球指导</w:t>
      </w:r>
      <w:r w:rsidR="00D813FA">
        <w:rPr>
          <w:rFonts w:eastAsiaTheme="minorEastAsia" w:hint="eastAsia"/>
          <w:sz w:val="24"/>
          <w:szCs w:val="24"/>
        </w:rPr>
        <w:t>意见</w:t>
      </w:r>
      <w:r w:rsidRPr="00CB0FCC">
        <w:rPr>
          <w:rFonts w:eastAsiaTheme="minorEastAsia"/>
          <w:sz w:val="24"/>
          <w:szCs w:val="24"/>
        </w:rPr>
        <w:t>；</w:t>
      </w:r>
    </w:p>
    <w:p w14:paraId="0509DE70" w14:textId="724025A5" w:rsidR="00FB10AA" w:rsidRPr="00CB0FCC" w:rsidRDefault="00FB10AA">
      <w:pPr>
        <w:pStyle w:val="CBDDesicionText"/>
        <w:rPr>
          <w:rFonts w:eastAsiaTheme="minorEastAsia"/>
          <w:sz w:val="24"/>
          <w:szCs w:val="24"/>
        </w:rPr>
      </w:pPr>
      <w:r w:rsidRPr="00CB0FCC">
        <w:rPr>
          <w:rFonts w:eastAsiaTheme="minorEastAsia"/>
          <w:sz w:val="24"/>
          <w:szCs w:val="24"/>
        </w:rPr>
        <w:t>4.</w:t>
      </w:r>
      <w:r w:rsidR="00F54F68">
        <w:rPr>
          <w:rFonts w:eastAsiaTheme="minorEastAsia"/>
          <w:sz w:val="24"/>
          <w:szCs w:val="24"/>
        </w:rPr>
        <w:tab/>
      </w:r>
      <w:r w:rsidRPr="00F34273">
        <w:rPr>
          <w:rFonts w:ascii="KaiTi" w:eastAsia="KaiTi" w:hAnsi="KaiTi"/>
          <w:sz w:val="24"/>
          <w:szCs w:val="24"/>
          <w:lang w:val="zh-CN"/>
        </w:rPr>
        <w:t>敦促</w:t>
      </w:r>
      <w:r w:rsidRPr="00CB0FCC">
        <w:rPr>
          <w:rFonts w:eastAsiaTheme="minorEastAsia"/>
          <w:sz w:val="24"/>
          <w:szCs w:val="24"/>
          <w:lang w:val="zh-CN"/>
        </w:rPr>
        <w:t>各缔约方并邀请其他国家政府和有能力的相关行为者支持传播和实施全球指导意见</w:t>
      </w:r>
      <w:r w:rsidRPr="00CB0FCC">
        <w:rPr>
          <w:rFonts w:eastAsiaTheme="minorEastAsia"/>
          <w:sz w:val="24"/>
          <w:szCs w:val="24"/>
        </w:rPr>
        <w:t>，</w:t>
      </w:r>
      <w:r w:rsidRPr="00CB0FCC">
        <w:rPr>
          <w:rFonts w:eastAsiaTheme="minorEastAsia"/>
          <w:sz w:val="24"/>
          <w:szCs w:val="24"/>
          <w:lang w:val="zh-CN"/>
        </w:rPr>
        <w:t>包括酌情通过能力建设、技术合作、调动财政资源以及支持基于社区和权利的办法</w:t>
      </w:r>
      <w:r w:rsidRPr="00CB0FCC">
        <w:rPr>
          <w:rFonts w:eastAsiaTheme="minorEastAsia"/>
          <w:sz w:val="24"/>
          <w:szCs w:val="24"/>
        </w:rPr>
        <w:t>；</w:t>
      </w:r>
    </w:p>
    <w:p w14:paraId="66A710A1" w14:textId="1E157071" w:rsidR="00FB10AA" w:rsidRPr="00CB0FCC" w:rsidRDefault="00FB10AA">
      <w:pPr>
        <w:pStyle w:val="CBDDesicionText"/>
        <w:rPr>
          <w:rFonts w:eastAsiaTheme="minorEastAsia"/>
          <w:sz w:val="24"/>
          <w:szCs w:val="24"/>
        </w:rPr>
      </w:pPr>
      <w:r w:rsidRPr="00CB0FCC">
        <w:rPr>
          <w:rFonts w:eastAsiaTheme="minorEastAsia"/>
          <w:sz w:val="24"/>
          <w:szCs w:val="24"/>
        </w:rPr>
        <w:t>5.</w:t>
      </w:r>
      <w:r w:rsidR="00F54F68">
        <w:rPr>
          <w:rFonts w:eastAsiaTheme="minorEastAsia"/>
          <w:sz w:val="24"/>
          <w:szCs w:val="24"/>
        </w:rPr>
        <w:tab/>
      </w:r>
      <w:r w:rsidRPr="00F34273">
        <w:rPr>
          <w:rFonts w:ascii="KaiTi" w:eastAsia="KaiTi" w:hAnsi="KaiTi"/>
          <w:sz w:val="24"/>
          <w:szCs w:val="24"/>
          <w:lang w:val="zh-CN"/>
        </w:rPr>
        <w:t>邀请</w:t>
      </w:r>
      <w:r w:rsidRPr="00CB0FCC">
        <w:rPr>
          <w:rFonts w:eastAsiaTheme="minorEastAsia"/>
          <w:sz w:val="24"/>
          <w:szCs w:val="24"/>
          <w:lang w:val="zh-CN"/>
        </w:rPr>
        <w:t>各缔约方、土著人民和地方社区以及相关利益攸关方监测和评估全球指导意见的使用情况及有效性</w:t>
      </w:r>
      <w:r w:rsidRPr="00CB0FCC">
        <w:rPr>
          <w:rFonts w:eastAsiaTheme="minorEastAsia"/>
          <w:sz w:val="24"/>
          <w:szCs w:val="24"/>
        </w:rPr>
        <w:t>，</w:t>
      </w:r>
      <w:r w:rsidRPr="00CB0FCC">
        <w:rPr>
          <w:rFonts w:eastAsiaTheme="minorEastAsia"/>
          <w:sz w:val="24"/>
          <w:szCs w:val="24"/>
          <w:lang w:val="zh-CN"/>
        </w:rPr>
        <w:t>并在缔约方大会第十九届会议之前分享其实施经验的信息</w:t>
      </w:r>
      <w:r w:rsidRPr="00CB0FCC">
        <w:rPr>
          <w:rFonts w:eastAsiaTheme="minorEastAsia"/>
          <w:sz w:val="24"/>
          <w:szCs w:val="24"/>
        </w:rPr>
        <w:t>；</w:t>
      </w:r>
    </w:p>
    <w:p w14:paraId="3235EC30" w14:textId="77777777" w:rsidR="00FB10AA" w:rsidRPr="00CB0FCC" w:rsidRDefault="00FB10AA" w:rsidP="00D813FA">
      <w:pPr>
        <w:pStyle w:val="CBDDesicionText"/>
        <w:jc w:val="left"/>
        <w:rPr>
          <w:rFonts w:eastAsiaTheme="minorEastAsia"/>
          <w:sz w:val="24"/>
          <w:szCs w:val="24"/>
        </w:rPr>
      </w:pPr>
      <w:r w:rsidRPr="00CB0FCC">
        <w:rPr>
          <w:rFonts w:eastAsiaTheme="minorEastAsia"/>
          <w:sz w:val="24"/>
          <w:szCs w:val="24"/>
        </w:rPr>
        <w:t>6.</w:t>
      </w:r>
      <w:r w:rsidRPr="00CB0FCC">
        <w:rPr>
          <w:rFonts w:eastAsiaTheme="minorEastAsia"/>
          <w:sz w:val="24"/>
          <w:szCs w:val="24"/>
        </w:rPr>
        <w:tab/>
      </w:r>
      <w:r w:rsidRPr="00F34273">
        <w:rPr>
          <w:rFonts w:ascii="KaiTi" w:eastAsia="KaiTi" w:hAnsi="KaiTi"/>
          <w:sz w:val="24"/>
          <w:szCs w:val="24"/>
          <w:lang w:val="zh-CN"/>
        </w:rPr>
        <w:t>请</w:t>
      </w:r>
      <w:r w:rsidRPr="00CB0FCC">
        <w:rPr>
          <w:rFonts w:eastAsiaTheme="minorEastAsia"/>
          <w:sz w:val="24"/>
          <w:szCs w:val="24"/>
          <w:lang w:val="zh-CN"/>
        </w:rPr>
        <w:t>公约执行秘书在资源允许的情况下</w:t>
      </w:r>
      <w:r w:rsidRPr="00CB0FCC">
        <w:rPr>
          <w:rFonts w:eastAsiaTheme="minorEastAsia"/>
          <w:sz w:val="24"/>
          <w:szCs w:val="24"/>
        </w:rPr>
        <w:t>，</w:t>
      </w:r>
      <w:r w:rsidRPr="00CB0FCC">
        <w:rPr>
          <w:rFonts w:eastAsiaTheme="minorEastAsia"/>
          <w:sz w:val="24"/>
          <w:szCs w:val="24"/>
          <w:lang w:val="zh-CN"/>
        </w:rPr>
        <w:t>并与有关缔约方、其他国家政府、土著人民和地方社区以及可持续野生生物管理合作伙伴关系成员进行协商</w:t>
      </w:r>
      <w:r w:rsidRPr="00CB0FCC">
        <w:rPr>
          <w:rFonts w:eastAsiaTheme="minorEastAsia"/>
          <w:sz w:val="24"/>
          <w:szCs w:val="24"/>
        </w:rPr>
        <w:t>：</w:t>
      </w:r>
    </w:p>
    <w:p w14:paraId="59B2B3B8" w14:textId="77777777" w:rsidR="00FB10AA" w:rsidRPr="00CB0FCC" w:rsidRDefault="00FB10AA">
      <w:pPr>
        <w:pStyle w:val="CBDDesicionText"/>
        <w:rPr>
          <w:rFonts w:eastAsiaTheme="minorEastAsia"/>
          <w:sz w:val="24"/>
          <w:szCs w:val="24"/>
        </w:rPr>
      </w:pPr>
      <w:r w:rsidRPr="00CB0FCC">
        <w:rPr>
          <w:rFonts w:eastAsiaTheme="minorEastAsia"/>
          <w:noProof/>
          <w:sz w:val="24"/>
          <w:szCs w:val="24"/>
        </w:rPr>
        <w:t>(a)</w:t>
      </w:r>
      <w:r w:rsidRPr="00CB0FCC">
        <w:rPr>
          <w:rFonts w:eastAsiaTheme="minorEastAsia"/>
          <w:sz w:val="24"/>
          <w:szCs w:val="24"/>
        </w:rPr>
        <w:tab/>
      </w:r>
      <w:r w:rsidRPr="00CB0FCC">
        <w:rPr>
          <w:rFonts w:eastAsiaTheme="minorEastAsia"/>
          <w:sz w:val="24"/>
          <w:szCs w:val="24"/>
          <w:lang w:val="zh-CN"/>
        </w:rPr>
        <w:t>提高对全球指导意见的认识并促进其使用</w:t>
      </w:r>
      <w:r w:rsidRPr="00CB0FCC">
        <w:rPr>
          <w:rFonts w:eastAsiaTheme="minorEastAsia"/>
          <w:sz w:val="24"/>
          <w:szCs w:val="24"/>
        </w:rPr>
        <w:t>；</w:t>
      </w:r>
    </w:p>
    <w:p w14:paraId="37A58238" w14:textId="77777777" w:rsidR="00FB10AA" w:rsidRPr="00CB0FCC" w:rsidRDefault="00FB10AA">
      <w:pPr>
        <w:pStyle w:val="CBDDesicionText"/>
        <w:rPr>
          <w:rFonts w:eastAsiaTheme="minorEastAsia"/>
          <w:sz w:val="24"/>
          <w:szCs w:val="24"/>
        </w:rPr>
      </w:pPr>
      <w:r w:rsidRPr="00CB0FCC">
        <w:rPr>
          <w:rFonts w:eastAsiaTheme="minorEastAsia"/>
          <w:noProof/>
          <w:sz w:val="24"/>
          <w:szCs w:val="24"/>
        </w:rPr>
        <w:t>(b)</w:t>
      </w:r>
      <w:r w:rsidRPr="00CB0FCC">
        <w:rPr>
          <w:rFonts w:eastAsiaTheme="minorEastAsia"/>
          <w:sz w:val="24"/>
          <w:szCs w:val="24"/>
        </w:rPr>
        <w:tab/>
      </w:r>
      <w:r w:rsidRPr="00CB0FCC">
        <w:rPr>
          <w:rFonts w:eastAsiaTheme="minorEastAsia"/>
          <w:sz w:val="24"/>
          <w:szCs w:val="24"/>
          <w:lang w:val="zh-CN"/>
        </w:rPr>
        <w:t>促进交流关于监测、适应性管理、保障措施、参与性治理和公平惠益分享方面的经验、工具和教训</w:t>
      </w:r>
      <w:r w:rsidRPr="00CB0FCC">
        <w:rPr>
          <w:rFonts w:eastAsiaTheme="minorEastAsia"/>
          <w:sz w:val="24"/>
          <w:szCs w:val="24"/>
        </w:rPr>
        <w:t>；</w:t>
      </w:r>
    </w:p>
    <w:p w14:paraId="63817928" w14:textId="77777777" w:rsidR="00FB10AA" w:rsidRPr="00CB0FCC" w:rsidRDefault="00FB10AA">
      <w:pPr>
        <w:pStyle w:val="CBDDesicionText"/>
        <w:rPr>
          <w:rFonts w:eastAsiaTheme="minorEastAsia"/>
          <w:sz w:val="24"/>
          <w:szCs w:val="24"/>
        </w:rPr>
      </w:pPr>
      <w:r w:rsidRPr="00CB0FCC">
        <w:rPr>
          <w:rFonts w:eastAsiaTheme="minorEastAsia"/>
          <w:noProof/>
          <w:sz w:val="24"/>
          <w:szCs w:val="24"/>
        </w:rPr>
        <w:t>(c)</w:t>
      </w:r>
      <w:r w:rsidRPr="00CB0FCC">
        <w:rPr>
          <w:rFonts w:eastAsiaTheme="minorEastAsia"/>
          <w:sz w:val="24"/>
          <w:szCs w:val="24"/>
        </w:rPr>
        <w:tab/>
      </w:r>
      <w:r w:rsidRPr="00CB0FCC">
        <w:rPr>
          <w:rFonts w:eastAsiaTheme="minorEastAsia"/>
          <w:sz w:val="24"/>
          <w:szCs w:val="24"/>
          <w:lang w:val="zh-CN"/>
        </w:rPr>
        <w:t>汇编上文第</w:t>
      </w:r>
      <w:r w:rsidRPr="00CB0FCC">
        <w:rPr>
          <w:rFonts w:eastAsiaTheme="minorEastAsia"/>
          <w:sz w:val="24"/>
          <w:szCs w:val="24"/>
        </w:rPr>
        <w:t>5</w:t>
      </w:r>
      <w:r w:rsidRPr="00CB0FCC">
        <w:rPr>
          <w:rFonts w:eastAsiaTheme="minorEastAsia"/>
          <w:sz w:val="24"/>
          <w:szCs w:val="24"/>
          <w:lang w:val="zh-CN"/>
        </w:rPr>
        <w:t>段所述信息</w:t>
      </w:r>
      <w:r w:rsidRPr="00CB0FCC">
        <w:rPr>
          <w:rFonts w:eastAsiaTheme="minorEastAsia"/>
          <w:sz w:val="24"/>
          <w:szCs w:val="24"/>
        </w:rPr>
        <w:t>，</w:t>
      </w:r>
      <w:r w:rsidRPr="00CB0FCC">
        <w:rPr>
          <w:rFonts w:eastAsiaTheme="minorEastAsia"/>
          <w:sz w:val="24"/>
          <w:szCs w:val="24"/>
          <w:lang w:val="zh-CN"/>
        </w:rPr>
        <w:t>并通过信息交换所机制和其他适当方法提供</w:t>
      </w:r>
      <w:r w:rsidRPr="00CB0FCC">
        <w:rPr>
          <w:rFonts w:eastAsiaTheme="minorEastAsia"/>
          <w:sz w:val="24"/>
          <w:szCs w:val="24"/>
        </w:rPr>
        <w:t>；</w:t>
      </w:r>
    </w:p>
    <w:p w14:paraId="7911D310" w14:textId="77777777" w:rsidR="00FB10AA" w:rsidRPr="00CB0FCC" w:rsidRDefault="00FB10AA">
      <w:pPr>
        <w:pStyle w:val="CBDDesicionText"/>
        <w:rPr>
          <w:rFonts w:eastAsiaTheme="minorEastAsia"/>
          <w:sz w:val="24"/>
          <w:szCs w:val="24"/>
        </w:rPr>
      </w:pPr>
      <w:r w:rsidRPr="00CB0FCC">
        <w:rPr>
          <w:rFonts w:eastAsiaTheme="minorEastAsia"/>
          <w:noProof/>
          <w:sz w:val="24"/>
          <w:szCs w:val="24"/>
        </w:rPr>
        <w:lastRenderedPageBreak/>
        <w:t>(d)</w:t>
      </w:r>
      <w:r w:rsidRPr="00CB0FCC">
        <w:rPr>
          <w:rFonts w:eastAsiaTheme="minorEastAsia"/>
          <w:sz w:val="24"/>
          <w:szCs w:val="24"/>
        </w:rPr>
        <w:tab/>
      </w:r>
      <w:r w:rsidRPr="00CB0FCC">
        <w:rPr>
          <w:rFonts w:eastAsiaTheme="minorEastAsia"/>
          <w:sz w:val="24"/>
          <w:szCs w:val="24"/>
          <w:lang w:val="zh-CN"/>
        </w:rPr>
        <w:t>编写一份关于实施本决定的进展情况的报告</w:t>
      </w:r>
      <w:r w:rsidRPr="00CB0FCC">
        <w:rPr>
          <w:rFonts w:eastAsiaTheme="minorEastAsia"/>
          <w:sz w:val="24"/>
          <w:szCs w:val="24"/>
        </w:rPr>
        <w:t>，</w:t>
      </w:r>
      <w:r w:rsidRPr="00CB0FCC">
        <w:rPr>
          <w:rFonts w:eastAsiaTheme="minorEastAsia"/>
          <w:sz w:val="24"/>
          <w:szCs w:val="24"/>
          <w:lang w:val="zh-CN"/>
        </w:rPr>
        <w:t>供在缔约方大会第十九届会议之前举行的一次科学、技术和工艺咨询附属机构会议审议。</w:t>
      </w:r>
    </w:p>
    <w:p w14:paraId="3BDAFD5B" w14:textId="77777777" w:rsidR="00FB10AA" w:rsidRPr="00F34273" w:rsidRDefault="00FB10AA">
      <w:pPr>
        <w:pStyle w:val="CBDDesicionAnnex"/>
        <w:rPr>
          <w:rFonts w:ascii="SimHei" w:eastAsia="SimHei" w:hAnsi="SimHei" w:cs="Times New Roman"/>
          <w:sz w:val="28"/>
          <w:szCs w:val="28"/>
        </w:rPr>
      </w:pPr>
      <w:r w:rsidRPr="00F34273">
        <w:rPr>
          <w:rFonts w:ascii="SimHei" w:eastAsia="SimHei" w:hAnsi="SimHei" w:cs="Times New Roman"/>
          <w:sz w:val="28"/>
          <w:szCs w:val="28"/>
          <w:lang w:val="zh-CN"/>
        </w:rPr>
        <w:t>附件</w:t>
      </w:r>
    </w:p>
    <w:p w14:paraId="5B365F4D" w14:textId="77777777" w:rsidR="00FB10AA" w:rsidRPr="00F34273" w:rsidRDefault="00FB10AA">
      <w:pPr>
        <w:pStyle w:val="CBDDesicionAnnex"/>
        <w:rPr>
          <w:rFonts w:ascii="SimHei" w:eastAsia="SimHei" w:hAnsi="SimHei" w:cs="Times New Roman"/>
          <w:szCs w:val="24"/>
        </w:rPr>
      </w:pPr>
      <w:r w:rsidRPr="00F34273">
        <w:rPr>
          <w:rFonts w:ascii="SimHei" w:eastAsia="SimHei" w:hAnsi="SimHei" w:cs="Times New Roman"/>
          <w:szCs w:val="24"/>
          <w:lang w:val="zh-CN"/>
        </w:rPr>
        <w:t>关于适用于多种物种和多种做法的可持续野生生物管理全球指导意见</w:t>
      </w:r>
    </w:p>
    <w:p w14:paraId="4FF3059B" w14:textId="77777777" w:rsidR="00FB10AA" w:rsidRPr="00CB0FCC" w:rsidRDefault="00FB10AA">
      <w:pPr>
        <w:pStyle w:val="CBDH1"/>
        <w:rPr>
          <w:rFonts w:ascii="SimHei" w:eastAsia="SimHei" w:hAnsi="SimHei"/>
          <w:sz w:val="24"/>
          <w:szCs w:val="24"/>
        </w:rPr>
      </w:pPr>
      <w:bookmarkStart w:id="3" w:name="_Ref222762797"/>
      <w:bookmarkStart w:id="4" w:name="_Ref227169508"/>
      <w:proofErr w:type="gramStart"/>
      <w:r w:rsidRPr="00CB0FCC">
        <w:rPr>
          <w:rFonts w:ascii="SimHei" w:eastAsia="SimHei" w:hAnsi="SimHei"/>
          <w:sz w:val="24"/>
          <w:szCs w:val="24"/>
          <w:lang w:val="zh-CN"/>
        </w:rPr>
        <w:t>一</w:t>
      </w:r>
      <w:proofErr w:type="gramEnd"/>
      <w:r w:rsidRPr="00CB0FCC">
        <w:rPr>
          <w:rFonts w:ascii="SimHei" w:eastAsia="SimHei" w:hAnsi="SimHei"/>
          <w:sz w:val="24"/>
          <w:szCs w:val="24"/>
          <w:lang w:val="zh-CN"/>
        </w:rPr>
        <w:t>.</w:t>
      </w:r>
      <w:r w:rsidRPr="00CB0FCC">
        <w:rPr>
          <w:rFonts w:ascii="SimHei" w:eastAsia="SimHei" w:hAnsi="SimHei"/>
          <w:sz w:val="24"/>
          <w:szCs w:val="24"/>
        </w:rPr>
        <w:tab/>
      </w:r>
      <w:r w:rsidRPr="00CB0FCC">
        <w:rPr>
          <w:rFonts w:ascii="SimHei" w:eastAsia="SimHei" w:hAnsi="SimHei"/>
          <w:sz w:val="24"/>
          <w:szCs w:val="24"/>
          <w:lang w:val="zh-CN"/>
        </w:rPr>
        <w:t>背景</w:t>
      </w:r>
    </w:p>
    <w:bookmarkEnd w:id="3"/>
    <w:bookmarkEnd w:id="4"/>
    <w:p w14:paraId="392AF615" w14:textId="77777777" w:rsidR="00FB10AA" w:rsidRPr="00CB0FCC" w:rsidRDefault="00FB10AA">
      <w:pPr>
        <w:pStyle w:val="CBDNormalNumber"/>
        <w:numPr>
          <w:ilvl w:val="0"/>
          <w:numId w:val="38"/>
        </w:numPr>
        <w:rPr>
          <w:rFonts w:eastAsiaTheme="minorEastAsia"/>
          <w:sz w:val="24"/>
          <w:szCs w:val="24"/>
        </w:rPr>
      </w:pPr>
      <w:r w:rsidRPr="00CB0FCC">
        <w:rPr>
          <w:rFonts w:eastAsiaTheme="minorEastAsia"/>
          <w:sz w:val="24"/>
          <w:szCs w:val="24"/>
          <w:lang w:val="zh-CN"/>
        </w:rPr>
        <w:t>在第</w:t>
      </w:r>
      <w:hyperlink r:id="rId22" w:history="1">
        <w:r w:rsidRPr="00CB0FCC">
          <w:rPr>
            <w:rStyle w:val="Hyperlink"/>
            <w:rFonts w:eastAsiaTheme="minorEastAsia"/>
            <w:sz w:val="24"/>
            <w:szCs w:val="24"/>
          </w:rPr>
          <w:t>14/7</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中</w:t>
      </w:r>
      <w:r w:rsidRPr="00CB0FCC">
        <w:rPr>
          <w:rFonts w:eastAsiaTheme="minorEastAsia"/>
          <w:sz w:val="24"/>
          <w:szCs w:val="24"/>
        </w:rPr>
        <w:t>，</w:t>
      </w:r>
      <w:r w:rsidRPr="00CB0FCC">
        <w:rPr>
          <w:rFonts w:eastAsiaTheme="minorEastAsia"/>
          <w:sz w:val="24"/>
          <w:szCs w:val="24"/>
          <w:lang w:val="zh-CN"/>
        </w:rPr>
        <w:t>生物多样性公约</w:t>
      </w:r>
      <w:r w:rsidRPr="00CB0FCC">
        <w:rPr>
          <w:rStyle w:val="FootnoteReference"/>
          <w:rFonts w:eastAsiaTheme="minorEastAsia"/>
          <w:sz w:val="24"/>
          <w:szCs w:val="24"/>
          <w:lang w:val="zh-CN"/>
        </w:rPr>
        <w:footnoteReference w:id="18"/>
      </w:r>
      <w:r w:rsidRPr="00CB0FCC">
        <w:rPr>
          <w:rFonts w:eastAsiaTheme="minorEastAsia"/>
          <w:sz w:val="24"/>
          <w:szCs w:val="24"/>
          <w:lang w:val="zh-CN"/>
        </w:rPr>
        <w:t>缔约方大会确认</w:t>
      </w:r>
      <w:r w:rsidRPr="00CB0FCC">
        <w:rPr>
          <w:rFonts w:eastAsiaTheme="minorEastAsia"/>
          <w:sz w:val="24"/>
          <w:szCs w:val="24"/>
        </w:rPr>
        <w:t>，</w:t>
      </w:r>
      <w:r w:rsidRPr="00CB0FCC">
        <w:rPr>
          <w:rFonts w:eastAsiaTheme="minorEastAsia"/>
          <w:sz w:val="24"/>
          <w:szCs w:val="24"/>
          <w:lang w:val="zh-CN"/>
        </w:rPr>
        <w:t>可持续野生生物管理是有助于实现公约目标的一种综合方法</w:t>
      </w:r>
      <w:r w:rsidRPr="00CB0FCC">
        <w:rPr>
          <w:rFonts w:eastAsiaTheme="minorEastAsia"/>
          <w:sz w:val="24"/>
          <w:szCs w:val="24"/>
        </w:rPr>
        <w:t>，</w:t>
      </w:r>
      <w:r w:rsidRPr="00CB0FCC">
        <w:rPr>
          <w:rFonts w:eastAsiaTheme="minorEastAsia"/>
          <w:sz w:val="24"/>
          <w:szCs w:val="24"/>
          <w:lang w:val="zh-CN"/>
        </w:rPr>
        <w:t>即保护生物多样性、可持续利用其组成部分以及公正和公平分享利用遗传资源所产生的惠益。本指导意见建立在该决定以及缔约方大会后续各项决定的基础上，有助于落实缔约方大会第十五届会议通过的《昆明</w:t>
      </w:r>
      <w:r w:rsidRPr="00CB0FCC">
        <w:rPr>
          <w:rFonts w:eastAsiaTheme="minorEastAsia"/>
          <w:sz w:val="24"/>
          <w:szCs w:val="24"/>
          <w:lang w:val="zh-CN"/>
        </w:rPr>
        <w:t>-</w:t>
      </w:r>
      <w:r w:rsidRPr="00CB0FCC">
        <w:rPr>
          <w:rFonts w:eastAsiaTheme="minorEastAsia"/>
          <w:sz w:val="24"/>
          <w:szCs w:val="24"/>
          <w:lang w:val="zh-CN"/>
        </w:rPr>
        <w:t>蒙特利尔全球生物多样性框架》</w:t>
      </w:r>
      <w:r w:rsidRPr="00CB0FCC">
        <w:rPr>
          <w:rStyle w:val="FootnoteReference"/>
          <w:rFonts w:eastAsiaTheme="minorEastAsia"/>
          <w:sz w:val="24"/>
          <w:szCs w:val="24"/>
          <w:lang w:val="zh-CN"/>
        </w:rPr>
        <w:footnoteReference w:id="19"/>
      </w:r>
      <w:r w:rsidRPr="00CB0FCC">
        <w:rPr>
          <w:rFonts w:eastAsiaTheme="minorEastAsia"/>
          <w:sz w:val="24"/>
          <w:szCs w:val="24"/>
          <w:lang w:val="zh-CN"/>
        </w:rPr>
        <w:t>，特别是有助于实现该《框架》的行动目标</w:t>
      </w:r>
      <w:r w:rsidRPr="00CB0FCC">
        <w:rPr>
          <w:rFonts w:eastAsiaTheme="minorEastAsia"/>
          <w:sz w:val="24"/>
          <w:szCs w:val="24"/>
          <w:lang w:val="zh-CN"/>
        </w:rPr>
        <w:t>4</w:t>
      </w:r>
      <w:r w:rsidRPr="00CB0FCC">
        <w:rPr>
          <w:rFonts w:eastAsiaTheme="minorEastAsia"/>
          <w:sz w:val="24"/>
          <w:szCs w:val="24"/>
          <w:lang w:val="zh-CN"/>
        </w:rPr>
        <w:t>至</w:t>
      </w:r>
      <w:r w:rsidRPr="00CB0FCC">
        <w:rPr>
          <w:rFonts w:eastAsiaTheme="minorEastAsia"/>
          <w:sz w:val="24"/>
          <w:szCs w:val="24"/>
          <w:lang w:val="zh-CN"/>
        </w:rPr>
        <w:t>6</w:t>
      </w:r>
      <w:r w:rsidRPr="00CB0FCC">
        <w:rPr>
          <w:rFonts w:eastAsiaTheme="minorEastAsia"/>
          <w:sz w:val="24"/>
          <w:szCs w:val="24"/>
          <w:lang w:val="zh-CN"/>
        </w:rPr>
        <w:t>、</w:t>
      </w:r>
      <w:r w:rsidRPr="00CB0FCC">
        <w:rPr>
          <w:rFonts w:eastAsiaTheme="minorEastAsia"/>
          <w:sz w:val="24"/>
          <w:szCs w:val="24"/>
          <w:lang w:val="zh-CN"/>
        </w:rPr>
        <w:t>9</w:t>
      </w:r>
      <w:r w:rsidRPr="00CB0FCC">
        <w:rPr>
          <w:rFonts w:eastAsiaTheme="minorEastAsia"/>
          <w:sz w:val="24"/>
          <w:szCs w:val="24"/>
          <w:lang w:val="zh-CN"/>
        </w:rPr>
        <w:t>、</w:t>
      </w:r>
      <w:r w:rsidRPr="00CB0FCC">
        <w:rPr>
          <w:rFonts w:eastAsiaTheme="minorEastAsia"/>
          <w:sz w:val="24"/>
          <w:szCs w:val="24"/>
          <w:lang w:val="zh-CN"/>
        </w:rPr>
        <w:t>10</w:t>
      </w:r>
      <w:r w:rsidRPr="00CB0FCC">
        <w:rPr>
          <w:rFonts w:eastAsiaTheme="minorEastAsia"/>
          <w:sz w:val="24"/>
          <w:szCs w:val="24"/>
          <w:lang w:val="zh-CN"/>
        </w:rPr>
        <w:t>、</w:t>
      </w:r>
      <w:r w:rsidRPr="00CB0FCC">
        <w:rPr>
          <w:rFonts w:eastAsiaTheme="minorEastAsia"/>
          <w:sz w:val="24"/>
          <w:szCs w:val="24"/>
          <w:lang w:val="zh-CN"/>
        </w:rPr>
        <w:t>22</w:t>
      </w:r>
      <w:r w:rsidRPr="00CB0FCC">
        <w:rPr>
          <w:rFonts w:eastAsiaTheme="minorEastAsia"/>
          <w:sz w:val="24"/>
          <w:szCs w:val="24"/>
          <w:lang w:val="zh-CN"/>
        </w:rPr>
        <w:t>和</w:t>
      </w:r>
      <w:r w:rsidRPr="00CB0FCC">
        <w:rPr>
          <w:rFonts w:eastAsiaTheme="minorEastAsia"/>
          <w:sz w:val="24"/>
          <w:szCs w:val="24"/>
          <w:lang w:val="zh-CN"/>
        </w:rPr>
        <w:t>23</w:t>
      </w:r>
      <w:r w:rsidRPr="00CB0FCC">
        <w:rPr>
          <w:rFonts w:eastAsiaTheme="minorEastAsia"/>
          <w:sz w:val="24"/>
          <w:szCs w:val="24"/>
          <w:lang w:val="zh-CN"/>
        </w:rPr>
        <w:t>；这些目标为推进物种保护与恢复、确保野生物种的利用与贸易可持续、安全和合法以及增进人类福祉奠定了基础。</w:t>
      </w:r>
    </w:p>
    <w:p w14:paraId="402F5740" w14:textId="39A41972" w:rsidR="00FB10AA" w:rsidRPr="00CB0FCC" w:rsidRDefault="00FB10AA">
      <w:pPr>
        <w:pStyle w:val="CBDNormalNumber"/>
        <w:numPr>
          <w:ilvl w:val="0"/>
          <w:numId w:val="38"/>
        </w:numPr>
        <w:ind w:left="567"/>
        <w:rPr>
          <w:rFonts w:eastAsiaTheme="minorEastAsia"/>
          <w:sz w:val="24"/>
          <w:szCs w:val="24"/>
        </w:rPr>
      </w:pPr>
      <w:bookmarkStart w:id="5" w:name="_Ref222762992"/>
      <w:r w:rsidRPr="00CB0FCC">
        <w:rPr>
          <w:rFonts w:eastAsiaTheme="minorEastAsia"/>
          <w:sz w:val="24"/>
          <w:szCs w:val="24"/>
          <w:lang w:val="zh-CN"/>
        </w:rPr>
        <w:t>本指导意见采用了第</w:t>
      </w:r>
      <w:hyperlink r:id="rId23" w:history="1">
        <w:r w:rsidRPr="00CB0FCC">
          <w:rPr>
            <w:rStyle w:val="Hyperlink"/>
            <w:rFonts w:eastAsiaTheme="minorEastAsia"/>
            <w:sz w:val="24"/>
            <w:szCs w:val="24"/>
          </w:rPr>
          <w:t>14/7</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关于</w:t>
      </w:r>
      <w:r w:rsidRPr="00CB0FCC">
        <w:rPr>
          <w:rFonts w:eastAsiaTheme="minorEastAsia"/>
          <w:sz w:val="24"/>
          <w:szCs w:val="24"/>
        </w:rPr>
        <w:t>“</w:t>
      </w:r>
      <w:r w:rsidRPr="00CB0FCC">
        <w:rPr>
          <w:rFonts w:eastAsiaTheme="minorEastAsia"/>
          <w:sz w:val="24"/>
          <w:szCs w:val="24"/>
          <w:lang w:val="zh-CN"/>
        </w:rPr>
        <w:t>可持续野生生物管理</w:t>
      </w:r>
      <w:r w:rsidRPr="00CB0FCC">
        <w:rPr>
          <w:rFonts w:eastAsiaTheme="minorEastAsia"/>
          <w:sz w:val="24"/>
          <w:szCs w:val="24"/>
        </w:rPr>
        <w:t>”</w:t>
      </w:r>
      <w:r w:rsidRPr="00CB0FCC">
        <w:rPr>
          <w:rFonts w:eastAsiaTheme="minorEastAsia"/>
          <w:sz w:val="24"/>
          <w:szCs w:val="24"/>
          <w:lang w:val="zh-CN"/>
        </w:rPr>
        <w:t>一词的定义</w:t>
      </w:r>
      <w:r w:rsidR="00345871">
        <w:rPr>
          <w:rFonts w:eastAsiaTheme="minorEastAsia" w:hint="eastAsia"/>
          <w:sz w:val="24"/>
          <w:szCs w:val="24"/>
          <w:lang w:val="en-US"/>
        </w:rPr>
        <w:t>作为</w:t>
      </w:r>
      <w:r w:rsidR="00477DA0">
        <w:rPr>
          <w:rFonts w:eastAsiaTheme="minorEastAsia" w:hint="eastAsia"/>
          <w:sz w:val="24"/>
          <w:szCs w:val="24"/>
          <w:lang w:val="en-US"/>
        </w:rPr>
        <w:t>基础</w:t>
      </w:r>
      <w:r w:rsidRPr="00CB0FCC">
        <w:rPr>
          <w:rFonts w:eastAsiaTheme="minorEastAsia"/>
          <w:sz w:val="24"/>
          <w:szCs w:val="24"/>
        </w:rPr>
        <w:t>，</w:t>
      </w:r>
      <w:r w:rsidR="00477DA0">
        <w:rPr>
          <w:rFonts w:eastAsiaTheme="minorEastAsia" w:hint="eastAsia"/>
          <w:sz w:val="24"/>
          <w:szCs w:val="24"/>
          <w:lang w:val="zh-CN"/>
        </w:rPr>
        <w:t>那就是</w:t>
      </w:r>
      <w:r w:rsidRPr="00CB0FCC">
        <w:rPr>
          <w:rFonts w:eastAsiaTheme="minorEastAsia"/>
          <w:sz w:val="24"/>
          <w:szCs w:val="24"/>
        </w:rPr>
        <w:t>“</w:t>
      </w:r>
      <w:r w:rsidRPr="00CB0FCC">
        <w:rPr>
          <w:rFonts w:eastAsiaTheme="minorEastAsia"/>
          <w:sz w:val="24"/>
          <w:szCs w:val="24"/>
          <w:lang w:val="zh-CN"/>
        </w:rPr>
        <w:t>对野生生物进行健全管理</w:t>
      </w:r>
      <w:r w:rsidRPr="00CB0FCC">
        <w:rPr>
          <w:rFonts w:eastAsiaTheme="minorEastAsia"/>
          <w:sz w:val="24"/>
          <w:szCs w:val="24"/>
        </w:rPr>
        <w:t>，</w:t>
      </w:r>
      <w:r w:rsidRPr="00CB0FCC">
        <w:rPr>
          <w:rFonts w:eastAsiaTheme="minorEastAsia"/>
          <w:sz w:val="24"/>
          <w:szCs w:val="24"/>
          <w:lang w:val="zh-CN"/>
        </w:rPr>
        <w:t>以长期维持其种群和栖息地</w:t>
      </w:r>
      <w:r w:rsidRPr="00CB0FCC">
        <w:rPr>
          <w:rFonts w:eastAsiaTheme="minorEastAsia"/>
          <w:sz w:val="24"/>
          <w:szCs w:val="24"/>
        </w:rPr>
        <w:t>，</w:t>
      </w:r>
      <w:r w:rsidRPr="00CB0FCC">
        <w:rPr>
          <w:rFonts w:eastAsiaTheme="minorEastAsia"/>
          <w:sz w:val="24"/>
          <w:szCs w:val="24"/>
          <w:lang w:val="zh-CN"/>
        </w:rPr>
        <w:t>同时顾及人类的社会经济需要</w:t>
      </w:r>
      <w:r w:rsidRPr="00CB0FCC">
        <w:rPr>
          <w:rFonts w:eastAsiaTheme="minorEastAsia"/>
          <w:sz w:val="24"/>
          <w:szCs w:val="24"/>
        </w:rPr>
        <w:t>”</w:t>
      </w:r>
      <w:r w:rsidRPr="00CB0FCC">
        <w:rPr>
          <w:rFonts w:eastAsiaTheme="minorEastAsia"/>
          <w:sz w:val="24"/>
          <w:szCs w:val="24"/>
          <w:lang w:val="zh-CN"/>
        </w:rPr>
        <w:t>。</w:t>
      </w:r>
    </w:p>
    <w:bookmarkEnd w:id="5"/>
    <w:p w14:paraId="733300FF" w14:textId="6C173BEC" w:rsidR="00FB10AA" w:rsidRPr="00CB0FCC" w:rsidRDefault="00FB10AA">
      <w:pPr>
        <w:pStyle w:val="CBDNormalNumber"/>
        <w:numPr>
          <w:ilvl w:val="0"/>
          <w:numId w:val="38"/>
        </w:numPr>
        <w:ind w:left="567"/>
        <w:rPr>
          <w:rFonts w:eastAsiaTheme="minorEastAsia"/>
          <w:sz w:val="24"/>
          <w:szCs w:val="24"/>
        </w:rPr>
      </w:pPr>
      <w:r w:rsidRPr="00CB0FCC">
        <w:rPr>
          <w:rFonts w:eastAsiaTheme="minorEastAsia"/>
          <w:sz w:val="24"/>
          <w:szCs w:val="24"/>
          <w:lang w:val="zh-CN"/>
        </w:rPr>
        <w:t>可持续野生生物管理得到由《生物多样性公约》</w:t>
      </w:r>
      <w:r w:rsidRPr="00CB0FCC">
        <w:rPr>
          <w:rFonts w:eastAsiaTheme="minorEastAsia"/>
          <w:sz w:val="24"/>
          <w:szCs w:val="24"/>
        </w:rPr>
        <w:t>（</w:t>
      </w:r>
      <w:r w:rsidRPr="00CB0FCC">
        <w:rPr>
          <w:rFonts w:eastAsiaTheme="minorEastAsia"/>
          <w:sz w:val="24"/>
          <w:szCs w:val="24"/>
          <w:lang w:val="zh-CN"/>
        </w:rPr>
        <w:t>特别是第</w:t>
      </w:r>
      <w:r w:rsidRPr="00CB0FCC">
        <w:rPr>
          <w:rFonts w:eastAsiaTheme="minorEastAsia"/>
          <w:sz w:val="24"/>
          <w:szCs w:val="24"/>
        </w:rPr>
        <w:t>6</w:t>
      </w:r>
      <w:r w:rsidRPr="00CB0FCC">
        <w:rPr>
          <w:rFonts w:eastAsiaTheme="minorEastAsia"/>
          <w:sz w:val="24"/>
          <w:szCs w:val="24"/>
          <w:lang w:val="zh-CN"/>
        </w:rPr>
        <w:t>至</w:t>
      </w:r>
      <w:r w:rsidRPr="00CB0FCC">
        <w:rPr>
          <w:rFonts w:eastAsiaTheme="minorEastAsia"/>
          <w:sz w:val="24"/>
          <w:szCs w:val="24"/>
        </w:rPr>
        <w:t>8</w:t>
      </w:r>
      <w:r w:rsidRPr="00CB0FCC">
        <w:rPr>
          <w:rFonts w:eastAsiaTheme="minorEastAsia"/>
          <w:sz w:val="24"/>
          <w:szCs w:val="24"/>
          <w:lang w:val="zh-CN"/>
        </w:rPr>
        <w:t>条及第</w:t>
      </w:r>
      <w:r w:rsidRPr="00CB0FCC">
        <w:rPr>
          <w:rFonts w:eastAsiaTheme="minorEastAsia"/>
          <w:sz w:val="24"/>
          <w:szCs w:val="24"/>
        </w:rPr>
        <w:t>10</w:t>
      </w:r>
      <w:r w:rsidRPr="00CB0FCC">
        <w:rPr>
          <w:rFonts w:eastAsiaTheme="minorEastAsia"/>
          <w:sz w:val="24"/>
          <w:szCs w:val="24"/>
          <w:lang w:val="zh-CN"/>
        </w:rPr>
        <w:t>条</w:t>
      </w:r>
      <w:r w:rsidRPr="00CB0FCC">
        <w:rPr>
          <w:rFonts w:eastAsiaTheme="minorEastAsia"/>
          <w:sz w:val="24"/>
          <w:szCs w:val="24"/>
        </w:rPr>
        <w:t>）</w:t>
      </w:r>
      <w:r w:rsidRPr="00CB0FCC">
        <w:rPr>
          <w:rFonts w:eastAsiaTheme="minorEastAsia"/>
          <w:sz w:val="24"/>
          <w:szCs w:val="24"/>
          <w:lang w:val="zh-CN"/>
        </w:rPr>
        <w:t>、《</w:t>
      </w:r>
      <w:r w:rsidRPr="00CB0FCC">
        <w:rPr>
          <w:rFonts w:eastAsiaTheme="minorEastAsia"/>
          <w:color w:val="000000"/>
          <w:sz w:val="24"/>
          <w:szCs w:val="24"/>
          <w:lang w:val="zh-CN"/>
        </w:rPr>
        <w:t>保护野生动物迁徙物种公约</w:t>
      </w:r>
      <w:r w:rsidRPr="00CB0FCC">
        <w:rPr>
          <w:rFonts w:eastAsiaTheme="minorEastAsia"/>
          <w:sz w:val="24"/>
          <w:szCs w:val="24"/>
          <w:lang w:val="zh-CN"/>
        </w:rPr>
        <w:t>》、《</w:t>
      </w:r>
      <w:r w:rsidRPr="00CB0FCC">
        <w:rPr>
          <w:rFonts w:eastAsiaTheme="minorEastAsia"/>
          <w:color w:val="000000"/>
          <w:sz w:val="24"/>
          <w:szCs w:val="24"/>
          <w:lang w:val="zh-CN"/>
        </w:rPr>
        <w:t>濒危野生动植物种国际贸易公约</w:t>
      </w:r>
      <w:r w:rsidRPr="00CB0FCC">
        <w:rPr>
          <w:rFonts w:eastAsiaTheme="minorEastAsia"/>
          <w:sz w:val="24"/>
          <w:szCs w:val="24"/>
          <w:lang w:val="zh-CN"/>
        </w:rPr>
        <w:t>》、联合国粮食及农业组织以及国际自然保护联盟等建立的广泛国际规范框架的支持。此外，与此相关的还有《关于生物多样性可持续利用的亚的斯亚贝巴原则和准则》</w:t>
      </w:r>
      <w:r w:rsidRPr="00CB0FCC">
        <w:rPr>
          <w:rStyle w:val="FootnoteReference"/>
          <w:rFonts w:eastAsiaTheme="minorEastAsia"/>
          <w:sz w:val="24"/>
          <w:szCs w:val="24"/>
          <w:lang w:val="zh-CN"/>
        </w:rPr>
        <w:footnoteReference w:id="20"/>
      </w:r>
      <w:r w:rsidRPr="00CB0FCC">
        <w:rPr>
          <w:rFonts w:eastAsiaTheme="minorEastAsia"/>
          <w:sz w:val="24"/>
          <w:szCs w:val="24"/>
          <w:lang w:val="zh-CN"/>
        </w:rPr>
        <w:t>以及生物多样性公约缔约方大会关于可持续野生生物管理的其他各项决定（包括第</w:t>
      </w:r>
      <w:hyperlink r:id="rId24" w:history="1">
        <w:r w:rsidRPr="00CB0FCC">
          <w:rPr>
            <w:rStyle w:val="Hyperlink"/>
            <w:rFonts w:eastAsiaTheme="minorEastAsia"/>
            <w:sz w:val="24"/>
            <w:szCs w:val="24"/>
            <w:lang w:val="zh-CN"/>
          </w:rPr>
          <w:t>14/7</w:t>
        </w:r>
      </w:hyperlink>
      <w:r w:rsidR="00F776BC" w:rsidRPr="00CB0FCC">
        <w:rPr>
          <w:rFonts w:eastAsiaTheme="minorEastAsia"/>
          <w:sz w:val="24"/>
          <w:szCs w:val="24"/>
          <w:lang w:val="zh-CN"/>
        </w:rPr>
        <w:t>号</w:t>
      </w:r>
      <w:r w:rsidRPr="00CB0FCC">
        <w:rPr>
          <w:rFonts w:eastAsiaTheme="minorEastAsia"/>
          <w:sz w:val="24"/>
          <w:szCs w:val="24"/>
          <w:lang w:val="zh-CN"/>
        </w:rPr>
        <w:t>、</w:t>
      </w:r>
      <w:r w:rsidR="00F776BC">
        <w:rPr>
          <w:rFonts w:eastAsiaTheme="minorEastAsia" w:hint="eastAsia"/>
          <w:sz w:val="24"/>
          <w:szCs w:val="24"/>
          <w:lang w:val="zh-CN"/>
        </w:rPr>
        <w:t>第</w:t>
      </w:r>
      <w:hyperlink r:id="rId25" w:history="1">
        <w:r w:rsidRPr="00CB0FCC">
          <w:rPr>
            <w:rStyle w:val="Hyperlink"/>
            <w:rFonts w:eastAsiaTheme="minorEastAsia"/>
            <w:sz w:val="24"/>
            <w:szCs w:val="24"/>
            <w:lang w:val="zh-CN"/>
          </w:rPr>
          <w:t>15/23</w:t>
        </w:r>
      </w:hyperlink>
      <w:r w:rsidR="00F776BC" w:rsidRPr="00CB0FCC">
        <w:rPr>
          <w:rFonts w:eastAsiaTheme="minorEastAsia"/>
          <w:sz w:val="24"/>
          <w:szCs w:val="24"/>
          <w:lang w:val="zh-CN"/>
        </w:rPr>
        <w:t>号</w:t>
      </w:r>
      <w:r w:rsidRPr="00CB0FCC">
        <w:rPr>
          <w:rFonts w:eastAsiaTheme="minorEastAsia"/>
          <w:sz w:val="24"/>
          <w:szCs w:val="24"/>
          <w:lang w:val="zh-CN"/>
        </w:rPr>
        <w:t>和</w:t>
      </w:r>
      <w:r w:rsidR="00F776BC">
        <w:rPr>
          <w:rFonts w:eastAsiaTheme="minorEastAsia" w:hint="eastAsia"/>
          <w:sz w:val="24"/>
          <w:szCs w:val="24"/>
          <w:lang w:val="zh-CN"/>
        </w:rPr>
        <w:t>第</w:t>
      </w:r>
      <w:hyperlink r:id="rId26" w:history="1">
        <w:r w:rsidRPr="00CB0FCC">
          <w:rPr>
            <w:rStyle w:val="Hyperlink"/>
            <w:rFonts w:eastAsiaTheme="minorEastAsia"/>
            <w:sz w:val="24"/>
            <w:szCs w:val="24"/>
            <w:lang w:val="zh-CN"/>
          </w:rPr>
          <w:t>16/15</w:t>
        </w:r>
      </w:hyperlink>
      <w:r w:rsidRPr="00CB0FCC">
        <w:rPr>
          <w:rFonts w:eastAsiaTheme="minorEastAsia"/>
          <w:sz w:val="24"/>
          <w:szCs w:val="24"/>
          <w:lang w:val="zh-CN"/>
        </w:rPr>
        <w:t>号决定）。《昆蒙框架》进一步强化了关于遏制物种灭绝、确保野生物种的可持续与合法利用、恢复生态系统以及加强惠益分享的承诺。</w:t>
      </w:r>
    </w:p>
    <w:p w14:paraId="06BA332C" w14:textId="77777777" w:rsidR="00FB10AA" w:rsidRPr="00CB0FCC" w:rsidRDefault="00FB10AA">
      <w:pPr>
        <w:pStyle w:val="CBDNormalNumber"/>
        <w:numPr>
          <w:ilvl w:val="0"/>
          <w:numId w:val="38"/>
        </w:numPr>
        <w:ind w:left="567"/>
        <w:rPr>
          <w:rFonts w:eastAsiaTheme="minorEastAsia"/>
          <w:sz w:val="24"/>
          <w:szCs w:val="24"/>
        </w:rPr>
      </w:pPr>
      <w:bookmarkStart w:id="6" w:name="_Ref228901175"/>
      <w:r w:rsidRPr="00CB0FCC">
        <w:rPr>
          <w:rFonts w:eastAsiaTheme="minorEastAsia"/>
          <w:sz w:val="24"/>
          <w:szCs w:val="24"/>
          <w:lang w:val="zh-CN"/>
        </w:rPr>
        <w:t>野生生物持续提供至关重要的生态、经济、文化和社会效益</w:t>
      </w:r>
      <w:r w:rsidRPr="00CB0FCC">
        <w:rPr>
          <w:rFonts w:eastAsiaTheme="minorEastAsia"/>
          <w:sz w:val="24"/>
          <w:szCs w:val="24"/>
        </w:rPr>
        <w:t>，</w:t>
      </w:r>
      <w:r w:rsidRPr="00CB0FCC">
        <w:rPr>
          <w:rFonts w:eastAsiaTheme="minorEastAsia"/>
          <w:sz w:val="24"/>
          <w:szCs w:val="24"/>
          <w:lang w:val="zh-CN"/>
        </w:rPr>
        <w:t>特别是在农村和生物多样性丰富的地区</w:t>
      </w:r>
      <w:r w:rsidRPr="00CB0FCC">
        <w:rPr>
          <w:rFonts w:eastAsiaTheme="minorEastAsia"/>
          <w:sz w:val="24"/>
          <w:szCs w:val="24"/>
        </w:rPr>
        <w:t>，</w:t>
      </w:r>
      <w:r w:rsidRPr="00CB0FCC">
        <w:rPr>
          <w:rFonts w:eastAsiaTheme="minorEastAsia"/>
          <w:sz w:val="24"/>
          <w:szCs w:val="24"/>
          <w:lang w:val="zh-CN"/>
        </w:rPr>
        <w:t>它们支撑着生计、粮食系统和文化的延续。尽管许多野生物种的利用处于不可持续的境地，但也有其他物种得到有效保护和管理，</w:t>
      </w:r>
      <w:proofErr w:type="gramStart"/>
      <w:r w:rsidRPr="00CB0FCC">
        <w:rPr>
          <w:rFonts w:eastAsiaTheme="minorEastAsia"/>
          <w:sz w:val="24"/>
          <w:szCs w:val="24"/>
          <w:lang w:val="zh-CN"/>
        </w:rPr>
        <w:t>这彰显</w:t>
      </w:r>
      <w:proofErr w:type="gramEnd"/>
      <w:r w:rsidRPr="00CB0FCC">
        <w:rPr>
          <w:rFonts w:eastAsiaTheme="minorEastAsia"/>
          <w:sz w:val="24"/>
          <w:szCs w:val="24"/>
          <w:lang w:val="zh-CN"/>
        </w:rPr>
        <w:t>了采取因地制宜的办法的重要性。这些状况说明了采取协调一致、了解风险、透明、问</w:t>
      </w:r>
      <w:proofErr w:type="gramStart"/>
      <w:r w:rsidRPr="00CB0FCC">
        <w:rPr>
          <w:rFonts w:eastAsiaTheme="minorEastAsia"/>
          <w:sz w:val="24"/>
          <w:szCs w:val="24"/>
          <w:lang w:val="zh-CN"/>
        </w:rPr>
        <w:t>责以及</w:t>
      </w:r>
      <w:proofErr w:type="gramEnd"/>
      <w:r w:rsidRPr="00CB0FCC">
        <w:rPr>
          <w:rFonts w:eastAsiaTheme="minorEastAsia"/>
          <w:sz w:val="24"/>
          <w:szCs w:val="24"/>
          <w:lang w:val="zh-CN"/>
        </w:rPr>
        <w:t>适应性管理措施的必要性；此类管理措施应释放累积的压力和取得长期价值，整合科学与本地知识体系，并确保野生生物管理在生态上可持续且符合保护目标。</w:t>
      </w:r>
      <w:r w:rsidRPr="00CB0FCC">
        <w:rPr>
          <w:rFonts w:eastAsiaTheme="minorEastAsia"/>
          <w:sz w:val="24"/>
          <w:szCs w:val="24"/>
        </w:rPr>
        <w:t xml:space="preserve"> </w:t>
      </w:r>
    </w:p>
    <w:bookmarkEnd w:id="6"/>
    <w:p w14:paraId="3049CE44" w14:textId="77777777" w:rsidR="00FB10AA" w:rsidRPr="00CB0FCC" w:rsidRDefault="00FB10AA">
      <w:pPr>
        <w:pStyle w:val="CBDNormalNumber"/>
        <w:numPr>
          <w:ilvl w:val="0"/>
          <w:numId w:val="38"/>
        </w:numPr>
        <w:ind w:left="567"/>
        <w:rPr>
          <w:rFonts w:eastAsiaTheme="minorEastAsia"/>
          <w:sz w:val="24"/>
          <w:szCs w:val="24"/>
        </w:rPr>
      </w:pPr>
      <w:r w:rsidRPr="00CB0FCC">
        <w:rPr>
          <w:rFonts w:eastAsiaTheme="minorEastAsia"/>
          <w:sz w:val="24"/>
          <w:szCs w:val="24"/>
          <w:lang w:val="zh-CN"/>
        </w:rPr>
        <w:t>根据</w:t>
      </w:r>
      <w:r w:rsidRPr="007C0058">
        <w:rPr>
          <w:sz w:val="24"/>
          <w:szCs w:val="24"/>
          <w:lang w:val="zh-CN"/>
        </w:rPr>
        <w:t>《</w:t>
      </w:r>
      <w:r w:rsidRPr="007C0058">
        <w:rPr>
          <w:rFonts w:ascii="KaiTi" w:hAnsi="KaiTi"/>
          <w:sz w:val="24"/>
          <w:szCs w:val="24"/>
          <w:lang w:val="zh-CN"/>
        </w:rPr>
        <w:t>野生物种可持续利用专题评估报告</w:t>
      </w:r>
      <w:r w:rsidRPr="007C0058">
        <w:rPr>
          <w:sz w:val="24"/>
          <w:szCs w:val="24"/>
          <w:lang w:val="zh-CN"/>
        </w:rPr>
        <w:t>》</w:t>
      </w:r>
      <w:r w:rsidRPr="00CB0FCC">
        <w:rPr>
          <w:rFonts w:eastAsiaTheme="minorEastAsia"/>
          <w:sz w:val="24"/>
          <w:szCs w:val="24"/>
        </w:rPr>
        <w:t>，</w:t>
      </w:r>
      <w:r w:rsidRPr="00CB0FCC">
        <w:rPr>
          <w:rFonts w:eastAsiaTheme="minorEastAsia"/>
          <w:sz w:val="24"/>
          <w:szCs w:val="24"/>
          <w:lang w:val="zh-CN"/>
        </w:rPr>
        <w:t>许多野生生物种群和物种正处于衰退之中</w:t>
      </w:r>
      <w:r w:rsidRPr="00CB0FCC">
        <w:rPr>
          <w:rFonts w:eastAsiaTheme="minorEastAsia"/>
          <w:sz w:val="24"/>
          <w:szCs w:val="24"/>
        </w:rPr>
        <w:t>，</w:t>
      </w:r>
      <w:r w:rsidRPr="00CB0FCC">
        <w:rPr>
          <w:rFonts w:eastAsiaTheme="minorEastAsia"/>
          <w:sz w:val="24"/>
          <w:szCs w:val="24"/>
          <w:lang w:val="zh-CN"/>
        </w:rPr>
        <w:t>特别是在土地和海洋的利用发生变化、直接开发利用、气候发生变化、污染以及外来入侵物种等压力因素未得到有效管控的地区。这些相互作用的压力因素增加了物种灭绝风险，削弱了生态系统功能，并损害了自然对人类的贡献；同时，人口增长、人均消费增加以及对土地和海洋利用需求的扩大等更广泛的间接社会经</w:t>
      </w:r>
      <w:r w:rsidRPr="00CB0FCC">
        <w:rPr>
          <w:rFonts w:eastAsiaTheme="minorEastAsia"/>
          <w:sz w:val="24"/>
          <w:szCs w:val="24"/>
          <w:lang w:val="zh-CN"/>
        </w:rPr>
        <w:lastRenderedPageBreak/>
        <w:t>济驱动因素进一步加剧了这些压力。现有的各种风险</w:t>
      </w:r>
      <w:r w:rsidRPr="00CB0FCC">
        <w:rPr>
          <w:rFonts w:eastAsiaTheme="minorEastAsia"/>
          <w:sz w:val="24"/>
          <w:szCs w:val="24"/>
          <w:lang w:val="zh-CN"/>
        </w:rPr>
        <w:t>——</w:t>
      </w:r>
      <w:r w:rsidRPr="00CB0FCC">
        <w:rPr>
          <w:rFonts w:eastAsiaTheme="minorEastAsia"/>
          <w:sz w:val="24"/>
          <w:szCs w:val="24"/>
          <w:lang w:val="zh-CN"/>
        </w:rPr>
        <w:t>包括由野生生物疾病的变化、野生生物贸易与贩运的增加以及人与野生生物冲突而引发的风险</w:t>
      </w:r>
      <w:r w:rsidRPr="00CB0FCC">
        <w:rPr>
          <w:rFonts w:eastAsiaTheme="minorEastAsia"/>
          <w:sz w:val="24"/>
          <w:szCs w:val="24"/>
          <w:lang w:val="zh-CN"/>
        </w:rPr>
        <w:t>——</w:t>
      </w:r>
      <w:r w:rsidRPr="00CB0FCC">
        <w:rPr>
          <w:rFonts w:eastAsiaTheme="minorEastAsia"/>
          <w:sz w:val="24"/>
          <w:szCs w:val="24"/>
          <w:lang w:val="zh-CN"/>
        </w:rPr>
        <w:t>可能会进一步加剧脆弱性，特别是对于那些种群数量下降或分布范围有限的物种以及与野生生物关系密切的土著人民和地方社区而言。</w:t>
      </w:r>
    </w:p>
    <w:p w14:paraId="1A7AD1C9" w14:textId="77777777" w:rsidR="00FB10AA" w:rsidRPr="00CB0FCC" w:rsidRDefault="00FB10AA">
      <w:pPr>
        <w:pStyle w:val="CBDH1"/>
        <w:rPr>
          <w:rFonts w:ascii="SimHei" w:eastAsia="SimHei" w:hAnsi="SimHei"/>
          <w:sz w:val="24"/>
          <w:szCs w:val="24"/>
        </w:rPr>
      </w:pPr>
      <w:r w:rsidRPr="00CB0FCC">
        <w:rPr>
          <w:rFonts w:ascii="SimHei" w:eastAsia="SimHei" w:hAnsi="SimHei"/>
          <w:sz w:val="24"/>
          <w:szCs w:val="24"/>
          <w:lang w:val="zh-CN"/>
        </w:rPr>
        <w:t>二．</w:t>
      </w:r>
      <w:r w:rsidRPr="00CB0FCC">
        <w:rPr>
          <w:rFonts w:ascii="SimHei" w:eastAsia="SimHei" w:hAnsi="SimHei"/>
          <w:sz w:val="24"/>
          <w:szCs w:val="24"/>
        </w:rPr>
        <w:tab/>
      </w:r>
      <w:r w:rsidRPr="00CB0FCC">
        <w:rPr>
          <w:rFonts w:ascii="SimHei" w:eastAsia="SimHei" w:hAnsi="SimHei"/>
          <w:sz w:val="24"/>
          <w:szCs w:val="24"/>
          <w:lang w:val="zh-CN"/>
        </w:rPr>
        <w:t>任务规定</w:t>
      </w:r>
    </w:p>
    <w:p w14:paraId="74CEBFA4" w14:textId="77777777" w:rsidR="00FB10AA" w:rsidRPr="00CB0FCC" w:rsidRDefault="00FB10AA">
      <w:pPr>
        <w:pStyle w:val="CBDNormalNumber"/>
        <w:numPr>
          <w:ilvl w:val="0"/>
          <w:numId w:val="38"/>
        </w:numPr>
        <w:ind w:left="567"/>
        <w:rPr>
          <w:rFonts w:eastAsiaTheme="minorEastAsia"/>
          <w:sz w:val="24"/>
          <w:szCs w:val="24"/>
        </w:rPr>
      </w:pPr>
      <w:r w:rsidRPr="00CB0FCC">
        <w:rPr>
          <w:rFonts w:eastAsiaTheme="minorEastAsia"/>
          <w:sz w:val="24"/>
          <w:szCs w:val="24"/>
          <w:lang w:val="zh-CN"/>
        </w:rPr>
        <w:t>本指导意见根据第</w:t>
      </w:r>
      <w:hyperlink r:id="rId27" w:history="1">
        <w:r w:rsidRPr="00CB0FCC">
          <w:rPr>
            <w:rStyle w:val="Hyperlink"/>
            <w:rFonts w:eastAsiaTheme="minorEastAsia"/>
            <w:sz w:val="24"/>
            <w:szCs w:val="24"/>
          </w:rPr>
          <w:t>16/15</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进行编制</w:t>
      </w:r>
      <w:r w:rsidRPr="00CB0FCC">
        <w:rPr>
          <w:rFonts w:eastAsiaTheme="minorEastAsia"/>
          <w:sz w:val="24"/>
          <w:szCs w:val="24"/>
        </w:rPr>
        <w:t>，</w:t>
      </w:r>
      <w:r w:rsidRPr="00CB0FCC">
        <w:rPr>
          <w:rFonts w:eastAsiaTheme="minorEastAsia"/>
          <w:sz w:val="24"/>
          <w:szCs w:val="24"/>
          <w:lang w:val="zh-CN"/>
        </w:rPr>
        <w:t>其中缔约方大会请生物多样性公约执行秘书在资源允许的情况下</w:t>
      </w:r>
      <w:r w:rsidRPr="00CB0FCC">
        <w:rPr>
          <w:rFonts w:eastAsiaTheme="minorEastAsia"/>
          <w:sz w:val="24"/>
          <w:szCs w:val="24"/>
        </w:rPr>
        <w:t>，</w:t>
      </w:r>
      <w:r w:rsidRPr="00CB0FCC">
        <w:rPr>
          <w:rFonts w:eastAsiaTheme="minorEastAsia"/>
          <w:sz w:val="24"/>
          <w:szCs w:val="24"/>
          <w:lang w:val="zh-CN"/>
        </w:rPr>
        <w:t>与可持续野生生物管理合作伙伴关系协作</w:t>
      </w:r>
      <w:r w:rsidRPr="00CB0FCC">
        <w:rPr>
          <w:rFonts w:eastAsiaTheme="minorEastAsia"/>
          <w:sz w:val="24"/>
          <w:szCs w:val="24"/>
        </w:rPr>
        <w:t>，</w:t>
      </w:r>
      <w:r w:rsidRPr="00CB0FCC">
        <w:rPr>
          <w:rFonts w:eastAsiaTheme="minorEastAsia"/>
          <w:sz w:val="24"/>
          <w:szCs w:val="24"/>
          <w:lang w:val="zh-CN"/>
        </w:rPr>
        <w:t>特别是与《养护野生动物移栖物种公约》秘书处和《濒危野生动植物种国际贸易公约》秘书处协作</w:t>
      </w:r>
      <w:r w:rsidRPr="00CB0FCC">
        <w:rPr>
          <w:rFonts w:eastAsiaTheme="minorEastAsia"/>
          <w:sz w:val="24"/>
          <w:szCs w:val="24"/>
        </w:rPr>
        <w:t>，</w:t>
      </w:r>
      <w:r w:rsidRPr="00CB0FCC">
        <w:rPr>
          <w:rFonts w:eastAsiaTheme="minorEastAsia"/>
          <w:sz w:val="24"/>
          <w:szCs w:val="24"/>
          <w:lang w:val="zh-CN"/>
        </w:rPr>
        <w:t>根据缔约方、其他国家政府、土著人民和地方社区、妇女、青年以及相关组织的投入</w:t>
      </w:r>
      <w:r w:rsidRPr="00CB0FCC">
        <w:rPr>
          <w:rFonts w:eastAsiaTheme="minorEastAsia"/>
          <w:sz w:val="24"/>
          <w:szCs w:val="24"/>
        </w:rPr>
        <w:t>，</w:t>
      </w:r>
      <w:r w:rsidRPr="00CB0FCC">
        <w:rPr>
          <w:rFonts w:eastAsiaTheme="minorEastAsia"/>
          <w:sz w:val="24"/>
          <w:szCs w:val="24"/>
          <w:lang w:val="zh-CN"/>
        </w:rPr>
        <w:t>编写适用于多种物种和多种做法的野生生物可持续管理的全球指导意见草案</w:t>
      </w:r>
      <w:r w:rsidRPr="00CB0FCC">
        <w:rPr>
          <w:rFonts w:eastAsiaTheme="minorEastAsia"/>
          <w:sz w:val="24"/>
          <w:szCs w:val="24"/>
        </w:rPr>
        <w:t>，</w:t>
      </w:r>
      <w:r w:rsidRPr="00CB0FCC">
        <w:rPr>
          <w:rFonts w:eastAsiaTheme="minorEastAsia"/>
          <w:sz w:val="24"/>
          <w:szCs w:val="24"/>
          <w:lang w:val="zh-CN"/>
        </w:rPr>
        <w:t>重点是</w:t>
      </w:r>
      <w:r w:rsidRPr="00CB0FCC">
        <w:rPr>
          <w:rFonts w:eastAsiaTheme="minorEastAsia"/>
          <w:sz w:val="24"/>
          <w:szCs w:val="24"/>
        </w:rPr>
        <w:t>：（</w:t>
      </w:r>
      <w:r w:rsidRPr="00CB0FCC">
        <w:rPr>
          <w:rFonts w:eastAsiaTheme="minorEastAsia"/>
          <w:sz w:val="24"/>
          <w:szCs w:val="24"/>
        </w:rPr>
        <w:t>a</w:t>
      </w:r>
      <w:r w:rsidRPr="00CB0FCC">
        <w:rPr>
          <w:rFonts w:eastAsiaTheme="minorEastAsia"/>
          <w:sz w:val="24"/>
          <w:szCs w:val="24"/>
        </w:rPr>
        <w:t>）</w:t>
      </w:r>
      <w:r w:rsidRPr="00CB0FCC">
        <w:rPr>
          <w:rFonts w:eastAsiaTheme="minorEastAsia"/>
          <w:sz w:val="24"/>
          <w:szCs w:val="24"/>
          <w:lang w:val="zh-CN"/>
        </w:rPr>
        <w:t>包容性和参与性决策</w:t>
      </w:r>
      <w:r w:rsidRPr="00CB0FCC">
        <w:rPr>
          <w:rFonts w:eastAsiaTheme="minorEastAsia"/>
          <w:sz w:val="24"/>
          <w:szCs w:val="24"/>
        </w:rPr>
        <w:t>；（</w:t>
      </w:r>
      <w:r w:rsidRPr="00CB0FCC">
        <w:rPr>
          <w:rFonts w:eastAsiaTheme="minorEastAsia"/>
          <w:sz w:val="24"/>
          <w:szCs w:val="24"/>
        </w:rPr>
        <w:t>b</w:t>
      </w:r>
      <w:r w:rsidRPr="00CB0FCC">
        <w:rPr>
          <w:rFonts w:eastAsiaTheme="minorEastAsia"/>
          <w:sz w:val="24"/>
          <w:szCs w:val="24"/>
        </w:rPr>
        <w:t>）</w:t>
      </w:r>
      <w:r w:rsidRPr="00CB0FCC">
        <w:rPr>
          <w:rFonts w:eastAsiaTheme="minorEastAsia"/>
          <w:sz w:val="24"/>
          <w:szCs w:val="24"/>
          <w:lang w:val="zh-CN"/>
        </w:rPr>
        <w:t>纳入多元知识体系和承认权利</w:t>
      </w:r>
      <w:r w:rsidRPr="00CB0FCC">
        <w:rPr>
          <w:rFonts w:eastAsiaTheme="minorEastAsia"/>
          <w:sz w:val="24"/>
          <w:szCs w:val="24"/>
        </w:rPr>
        <w:t>；（</w:t>
      </w:r>
      <w:r w:rsidRPr="00CB0FCC">
        <w:rPr>
          <w:rFonts w:eastAsiaTheme="minorEastAsia"/>
          <w:sz w:val="24"/>
          <w:szCs w:val="24"/>
        </w:rPr>
        <w:t>c</w:t>
      </w:r>
      <w:r w:rsidRPr="00CB0FCC">
        <w:rPr>
          <w:rFonts w:eastAsiaTheme="minorEastAsia"/>
          <w:sz w:val="24"/>
          <w:szCs w:val="24"/>
        </w:rPr>
        <w:t>）</w:t>
      </w:r>
      <w:r w:rsidRPr="00CB0FCC">
        <w:rPr>
          <w:rFonts w:eastAsiaTheme="minorEastAsia"/>
          <w:sz w:val="24"/>
          <w:szCs w:val="24"/>
          <w:lang w:val="zh-CN"/>
        </w:rPr>
        <w:t>公平分配成本和惠益。</w:t>
      </w:r>
    </w:p>
    <w:p w14:paraId="3A9AFC8D" w14:textId="77777777" w:rsidR="00FB10AA" w:rsidRPr="00CB0FCC" w:rsidRDefault="00FB10AA">
      <w:pPr>
        <w:pStyle w:val="CBDH1"/>
        <w:rPr>
          <w:rFonts w:ascii="SimHei" w:eastAsia="SimHei" w:hAnsi="SimHei"/>
          <w:sz w:val="24"/>
          <w:szCs w:val="24"/>
          <w:lang w:val="zh-CN"/>
        </w:rPr>
      </w:pPr>
      <w:r w:rsidRPr="00CB0FCC">
        <w:rPr>
          <w:rFonts w:ascii="SimHei" w:eastAsia="SimHei" w:hAnsi="SimHei"/>
          <w:sz w:val="24"/>
          <w:szCs w:val="24"/>
          <w:lang w:val="zh-CN"/>
        </w:rPr>
        <w:t>三.</w:t>
      </w:r>
      <w:r w:rsidRPr="00CB0FCC">
        <w:rPr>
          <w:rFonts w:ascii="SimHei" w:eastAsia="SimHei" w:hAnsi="SimHei"/>
          <w:sz w:val="24"/>
          <w:szCs w:val="24"/>
          <w:lang w:val="zh-CN"/>
        </w:rPr>
        <w:tab/>
        <w:t>目的和范围</w:t>
      </w:r>
    </w:p>
    <w:p w14:paraId="66D77E5E" w14:textId="77777777" w:rsidR="00FB10AA" w:rsidRPr="00CB0FCC" w:rsidRDefault="00FB10AA">
      <w:pPr>
        <w:pStyle w:val="CBDNormalNumber"/>
        <w:numPr>
          <w:ilvl w:val="0"/>
          <w:numId w:val="38"/>
        </w:numPr>
        <w:rPr>
          <w:rFonts w:eastAsiaTheme="minorEastAsia"/>
          <w:sz w:val="24"/>
          <w:szCs w:val="24"/>
        </w:rPr>
      </w:pPr>
      <w:r w:rsidRPr="00CB0FCC">
        <w:rPr>
          <w:rFonts w:eastAsiaTheme="minorEastAsia"/>
          <w:sz w:val="24"/>
          <w:szCs w:val="24"/>
          <w:lang w:val="zh-CN"/>
        </w:rPr>
        <w:t>根据第</w:t>
      </w:r>
      <w:hyperlink r:id="rId28" w:history="1">
        <w:r w:rsidRPr="00CB0FCC">
          <w:rPr>
            <w:rStyle w:val="Hyperlink"/>
            <w:rFonts w:eastAsiaTheme="minorEastAsia"/>
            <w:sz w:val="24"/>
            <w:szCs w:val="24"/>
          </w:rPr>
          <w:t>16/15</w:t>
        </w:r>
      </w:hyperlink>
      <w:r w:rsidRPr="00CB0FCC">
        <w:rPr>
          <w:rFonts w:eastAsiaTheme="minorEastAsia"/>
          <w:sz w:val="24"/>
          <w:szCs w:val="24"/>
          <w:lang w:val="zh-CN"/>
        </w:rPr>
        <w:t>号决定</w:t>
      </w:r>
      <w:r w:rsidRPr="00CB0FCC">
        <w:rPr>
          <w:rFonts w:eastAsiaTheme="minorEastAsia"/>
          <w:sz w:val="24"/>
          <w:szCs w:val="24"/>
        </w:rPr>
        <w:t>，</w:t>
      </w:r>
      <w:proofErr w:type="gramStart"/>
      <w:r w:rsidRPr="00CB0FCC">
        <w:rPr>
          <w:rFonts w:eastAsiaTheme="minorEastAsia"/>
          <w:sz w:val="24"/>
          <w:szCs w:val="24"/>
          <w:lang w:val="zh-CN"/>
        </w:rPr>
        <w:t>本全球</w:t>
      </w:r>
      <w:proofErr w:type="gramEnd"/>
      <w:r w:rsidRPr="00CB0FCC">
        <w:rPr>
          <w:rFonts w:eastAsiaTheme="minorEastAsia"/>
          <w:sz w:val="24"/>
          <w:szCs w:val="24"/>
          <w:lang w:val="zh-CN"/>
        </w:rPr>
        <w:t>指导意见适用于陆地、内陆水域、海洋和沿海生态系统中的多种物种</w:t>
      </w:r>
      <w:r w:rsidRPr="00CB0FCC">
        <w:rPr>
          <w:rFonts w:eastAsiaTheme="minorEastAsia"/>
          <w:sz w:val="24"/>
          <w:szCs w:val="24"/>
        </w:rPr>
        <w:t>，</w:t>
      </w:r>
      <w:r w:rsidRPr="00CB0FCC">
        <w:rPr>
          <w:rFonts w:eastAsiaTheme="minorEastAsia"/>
          <w:sz w:val="24"/>
          <w:szCs w:val="24"/>
          <w:lang w:val="zh-CN"/>
        </w:rPr>
        <w:t>并涵盖采猎性与非采猎性做法</w:t>
      </w:r>
      <w:r w:rsidRPr="00CB0FCC">
        <w:rPr>
          <w:rFonts w:eastAsiaTheme="minorEastAsia"/>
          <w:sz w:val="24"/>
          <w:szCs w:val="24"/>
        </w:rPr>
        <w:t>，</w:t>
      </w:r>
      <w:r w:rsidRPr="00CB0FCC">
        <w:rPr>
          <w:rFonts w:eastAsiaTheme="minorEastAsia"/>
          <w:sz w:val="24"/>
          <w:szCs w:val="24"/>
          <w:lang w:val="zh-CN"/>
        </w:rPr>
        <w:t>包括捕捞、采集野生植物</w:t>
      </w:r>
      <w:r w:rsidRPr="00CB0FCC">
        <w:rPr>
          <w:rFonts w:eastAsiaTheme="minorEastAsia"/>
          <w:sz w:val="24"/>
          <w:szCs w:val="24"/>
        </w:rPr>
        <w:t>/</w:t>
      </w:r>
      <w:r w:rsidRPr="00CB0FCC">
        <w:rPr>
          <w:rFonts w:eastAsiaTheme="minorEastAsia"/>
          <w:sz w:val="24"/>
          <w:szCs w:val="24"/>
          <w:lang w:val="zh-CN"/>
        </w:rPr>
        <w:t>真菌</w:t>
      </w:r>
      <w:r w:rsidRPr="00CB0FCC">
        <w:rPr>
          <w:rFonts w:eastAsiaTheme="minorEastAsia"/>
          <w:sz w:val="24"/>
          <w:szCs w:val="24"/>
        </w:rPr>
        <w:t>/</w:t>
      </w:r>
      <w:r w:rsidRPr="00CB0FCC">
        <w:rPr>
          <w:rFonts w:eastAsiaTheme="minorEastAsia"/>
          <w:sz w:val="24"/>
          <w:szCs w:val="24"/>
          <w:lang w:val="zh-CN"/>
        </w:rPr>
        <w:t>藻类、伐木、捕获陆生和水生动物以及以观赏野生生物为基础的旅游活动。</w:t>
      </w:r>
      <w:r w:rsidRPr="00CB0FCC">
        <w:rPr>
          <w:rFonts w:eastAsiaTheme="minorEastAsia"/>
          <w:sz w:val="24"/>
          <w:szCs w:val="24"/>
        </w:rPr>
        <w:t xml:space="preserve"> </w:t>
      </w:r>
    </w:p>
    <w:p w14:paraId="7417D17C" w14:textId="6F260D3D" w:rsidR="00FB10AA" w:rsidRPr="00CB0FCC" w:rsidRDefault="00FB10AA">
      <w:pPr>
        <w:pStyle w:val="CBDNormalNumber"/>
        <w:numPr>
          <w:ilvl w:val="0"/>
          <w:numId w:val="38"/>
        </w:numPr>
        <w:rPr>
          <w:rFonts w:eastAsiaTheme="minorEastAsia"/>
          <w:sz w:val="24"/>
          <w:szCs w:val="24"/>
        </w:rPr>
      </w:pPr>
      <w:proofErr w:type="gramStart"/>
      <w:r w:rsidRPr="00CB0FCC">
        <w:rPr>
          <w:rFonts w:eastAsiaTheme="minorEastAsia"/>
          <w:sz w:val="24"/>
          <w:szCs w:val="24"/>
          <w:lang w:val="zh-CN"/>
        </w:rPr>
        <w:t>本全球</w:t>
      </w:r>
      <w:proofErr w:type="gramEnd"/>
      <w:r w:rsidRPr="00CB0FCC">
        <w:rPr>
          <w:rFonts w:eastAsiaTheme="minorEastAsia"/>
          <w:sz w:val="24"/>
          <w:szCs w:val="24"/>
          <w:lang w:val="zh-CN"/>
        </w:rPr>
        <w:t>指导意见旨在解决差距分析中发现的问题</w:t>
      </w:r>
      <w:r w:rsidRPr="00CB0FCC">
        <w:rPr>
          <w:rFonts w:eastAsiaTheme="minorEastAsia"/>
          <w:sz w:val="24"/>
          <w:szCs w:val="24"/>
          <w:lang w:val="en-US"/>
        </w:rPr>
        <w:t>，</w:t>
      </w:r>
      <w:r w:rsidRPr="00CB0FCC">
        <w:rPr>
          <w:rFonts w:eastAsiaTheme="minorEastAsia"/>
          <w:sz w:val="24"/>
          <w:szCs w:val="24"/>
          <w:lang w:val="zh-CN"/>
        </w:rPr>
        <w:t>即查明相关多边环境协定和主管政府间组织制定的现有指导意见</w:t>
      </w:r>
      <w:r w:rsidRPr="00CB0FCC">
        <w:rPr>
          <w:rStyle w:val="FootnoteReference"/>
          <w:rFonts w:eastAsiaTheme="minorEastAsia"/>
          <w:sz w:val="24"/>
          <w:szCs w:val="24"/>
          <w:lang w:val="zh-CN"/>
        </w:rPr>
        <w:footnoteReference w:id="21"/>
      </w:r>
      <w:r w:rsidRPr="00CB0FCC">
        <w:rPr>
          <w:rFonts w:eastAsiaTheme="minorEastAsia"/>
          <w:sz w:val="24"/>
          <w:szCs w:val="24"/>
          <w:lang w:val="zh-CN"/>
        </w:rPr>
        <w:t>未能充分涵盖的领域</w:t>
      </w:r>
      <w:r w:rsidRPr="00CB0FCC">
        <w:rPr>
          <w:rFonts w:eastAsiaTheme="minorEastAsia"/>
          <w:sz w:val="24"/>
          <w:szCs w:val="24"/>
          <w:lang w:val="en-US"/>
        </w:rPr>
        <w:t>，</w:t>
      </w:r>
      <w:r w:rsidRPr="00CB0FCC">
        <w:rPr>
          <w:rFonts w:eastAsiaTheme="minorEastAsia"/>
          <w:sz w:val="24"/>
          <w:szCs w:val="24"/>
          <w:lang w:val="zh-CN"/>
        </w:rPr>
        <w:t>并针对可能需要补充指导意见的可持续野生生物管理各领域中的现有指导意见、工具和文件进行进一步分析</w:t>
      </w:r>
      <w:r w:rsidRPr="00CB0FCC">
        <w:rPr>
          <w:rStyle w:val="FootnoteReference"/>
          <w:rFonts w:eastAsiaTheme="minorEastAsia"/>
          <w:sz w:val="24"/>
          <w:szCs w:val="24"/>
          <w:lang w:val="zh-CN"/>
        </w:rPr>
        <w:footnoteReference w:id="22"/>
      </w:r>
      <w:r w:rsidRPr="00CB0FCC">
        <w:rPr>
          <w:rFonts w:eastAsiaTheme="minorEastAsia"/>
          <w:sz w:val="24"/>
          <w:szCs w:val="24"/>
          <w:lang w:val="zh-CN"/>
        </w:rPr>
        <w:t>。此外，本指导意见还回应了针对第</w:t>
      </w:r>
      <w:hyperlink r:id="rId29" w:history="1">
        <w:r w:rsidRPr="003F243B">
          <w:rPr>
            <w:rStyle w:val="Hyperlink"/>
            <w:rFonts w:eastAsiaTheme="minorEastAsia"/>
            <w:sz w:val="24"/>
            <w:szCs w:val="24"/>
            <w:lang w:val="zh-CN"/>
          </w:rPr>
          <w:t>2025-014</w:t>
        </w:r>
      </w:hyperlink>
      <w:r w:rsidRPr="00CB0FCC">
        <w:rPr>
          <w:rFonts w:eastAsiaTheme="minorEastAsia"/>
          <w:sz w:val="24"/>
          <w:szCs w:val="24"/>
          <w:lang w:val="zh-CN"/>
        </w:rPr>
        <w:t>号和第</w:t>
      </w:r>
      <w:hyperlink r:id="rId30" w:history="1">
        <w:r w:rsidRPr="0038602B">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所发出的邀请而提交的意见，并采纳了上述</w:t>
      </w:r>
      <w:r w:rsidRPr="0038602B">
        <w:rPr>
          <w:sz w:val="24"/>
          <w:szCs w:val="24"/>
          <w:lang w:val="zh-CN"/>
        </w:rPr>
        <w:t>《</w:t>
      </w:r>
      <w:r w:rsidRPr="0038602B">
        <w:rPr>
          <w:rFonts w:ascii="KaiTi" w:hAnsi="KaiTi"/>
          <w:sz w:val="24"/>
          <w:szCs w:val="24"/>
          <w:lang w:val="zh-CN"/>
        </w:rPr>
        <w:t>野生物种可持续利用专题评估报告</w:t>
      </w:r>
      <w:r w:rsidRPr="0038602B">
        <w:rPr>
          <w:sz w:val="24"/>
          <w:szCs w:val="24"/>
          <w:lang w:val="zh-CN"/>
        </w:rPr>
        <w:t>》</w:t>
      </w:r>
      <w:r w:rsidRPr="00CB0FCC">
        <w:rPr>
          <w:rFonts w:eastAsiaTheme="minorEastAsia"/>
          <w:sz w:val="24"/>
          <w:szCs w:val="24"/>
          <w:lang w:val="zh-CN"/>
        </w:rPr>
        <w:t>概述的相关结论。</w:t>
      </w:r>
    </w:p>
    <w:p w14:paraId="50CC6D1E" w14:textId="77777777" w:rsidR="00FB10AA" w:rsidRPr="00CB0FCC" w:rsidRDefault="00FB10AA">
      <w:pPr>
        <w:pStyle w:val="CBDNormalNumber"/>
        <w:numPr>
          <w:ilvl w:val="0"/>
          <w:numId w:val="38"/>
        </w:numPr>
        <w:rPr>
          <w:rFonts w:eastAsiaTheme="minorEastAsia"/>
          <w:sz w:val="24"/>
          <w:szCs w:val="24"/>
        </w:rPr>
      </w:pPr>
      <w:r w:rsidRPr="00CB0FCC">
        <w:rPr>
          <w:rFonts w:eastAsiaTheme="minorEastAsia"/>
          <w:sz w:val="24"/>
          <w:szCs w:val="24"/>
          <w:lang w:val="zh-CN"/>
        </w:rPr>
        <w:t>本指导意见旨在支持缔约方加强野生生物可持续管理的政策和体制框架</w:t>
      </w:r>
      <w:r w:rsidRPr="00CB0FCC">
        <w:rPr>
          <w:rFonts w:eastAsiaTheme="minorEastAsia"/>
          <w:sz w:val="24"/>
          <w:szCs w:val="24"/>
        </w:rPr>
        <w:t>，</w:t>
      </w:r>
      <w:r w:rsidRPr="00CB0FCC">
        <w:rPr>
          <w:rFonts w:eastAsiaTheme="minorEastAsia"/>
          <w:sz w:val="24"/>
          <w:szCs w:val="24"/>
          <w:lang w:val="zh-CN"/>
        </w:rPr>
        <w:t>以符合《生物多样性公约》和《昆蒙框架》的目标。依照第</w:t>
      </w:r>
      <w:hyperlink r:id="rId31" w:history="1">
        <w:r w:rsidRPr="00CB0FCC">
          <w:rPr>
            <w:rStyle w:val="Hyperlink"/>
            <w:rFonts w:eastAsiaTheme="minorEastAsia"/>
            <w:sz w:val="24"/>
            <w:szCs w:val="24"/>
            <w:lang w:val="zh-CN"/>
          </w:rPr>
          <w:t>16/15</w:t>
        </w:r>
      </w:hyperlink>
      <w:r w:rsidRPr="00CB0FCC">
        <w:rPr>
          <w:rFonts w:eastAsiaTheme="minorEastAsia"/>
          <w:sz w:val="24"/>
          <w:szCs w:val="24"/>
          <w:lang w:val="zh-CN"/>
        </w:rPr>
        <w:t>号决定，其目标为：</w:t>
      </w:r>
    </w:p>
    <w:p w14:paraId="4D830777" w14:textId="77777777" w:rsidR="00FB10AA" w:rsidRPr="00CB0FCC" w:rsidRDefault="00FB10AA">
      <w:pPr>
        <w:pStyle w:val="CBDNormalNumber"/>
        <w:numPr>
          <w:ilvl w:val="0"/>
          <w:numId w:val="36"/>
        </w:numPr>
        <w:ind w:left="567" w:firstLine="567"/>
        <w:rPr>
          <w:rFonts w:eastAsiaTheme="minorEastAsia"/>
          <w:sz w:val="24"/>
          <w:szCs w:val="24"/>
        </w:rPr>
      </w:pPr>
      <w:r w:rsidRPr="00CB0FCC">
        <w:rPr>
          <w:rFonts w:eastAsiaTheme="minorEastAsia"/>
          <w:sz w:val="24"/>
          <w:szCs w:val="24"/>
          <w:lang w:val="zh-CN"/>
        </w:rPr>
        <w:t>促进制定包容性和参与性决策；</w:t>
      </w:r>
    </w:p>
    <w:p w14:paraId="36C24BD4" w14:textId="77777777" w:rsidR="00FB10AA" w:rsidRPr="00CB0FCC" w:rsidRDefault="00FB10AA">
      <w:pPr>
        <w:pStyle w:val="CBDNormalNumber"/>
        <w:numPr>
          <w:ilvl w:val="0"/>
          <w:numId w:val="36"/>
        </w:numPr>
        <w:ind w:left="567" w:firstLine="567"/>
        <w:rPr>
          <w:rFonts w:eastAsiaTheme="minorEastAsia"/>
          <w:sz w:val="24"/>
          <w:szCs w:val="24"/>
        </w:rPr>
      </w:pPr>
      <w:r w:rsidRPr="00CB0FCC">
        <w:rPr>
          <w:rFonts w:eastAsiaTheme="minorEastAsia"/>
          <w:sz w:val="24"/>
          <w:szCs w:val="24"/>
          <w:lang w:val="zh-CN"/>
        </w:rPr>
        <w:t>促进纳入多元知识体系和承认权利</w:t>
      </w:r>
      <w:r w:rsidRPr="00CB0FCC">
        <w:rPr>
          <w:rFonts w:eastAsiaTheme="minorEastAsia"/>
          <w:sz w:val="24"/>
          <w:szCs w:val="24"/>
        </w:rPr>
        <w:t>；</w:t>
      </w:r>
    </w:p>
    <w:p w14:paraId="56E3D78F" w14:textId="77777777" w:rsidR="00FB10AA" w:rsidRPr="00CB0FCC" w:rsidRDefault="00FB10AA">
      <w:pPr>
        <w:pStyle w:val="CBDNormalNumber"/>
        <w:numPr>
          <w:ilvl w:val="0"/>
          <w:numId w:val="36"/>
        </w:numPr>
        <w:ind w:left="567" w:firstLine="567"/>
        <w:rPr>
          <w:rFonts w:eastAsiaTheme="minorEastAsia"/>
          <w:sz w:val="24"/>
          <w:szCs w:val="24"/>
        </w:rPr>
      </w:pPr>
      <w:r w:rsidRPr="00CB0FCC">
        <w:rPr>
          <w:rFonts w:eastAsiaTheme="minorEastAsia"/>
          <w:sz w:val="24"/>
          <w:szCs w:val="24"/>
          <w:lang w:val="zh-CN"/>
        </w:rPr>
        <w:t>促进公正和公平地分配成本和分享使用和管理野生生物所产生的惠益。</w:t>
      </w:r>
    </w:p>
    <w:p w14:paraId="7DD17717" w14:textId="51876DF9" w:rsidR="00FB10AA" w:rsidRPr="00CB0FCC" w:rsidRDefault="00FB10AA">
      <w:pPr>
        <w:pStyle w:val="CBDNormalNumber"/>
        <w:numPr>
          <w:ilvl w:val="0"/>
          <w:numId w:val="38"/>
        </w:numPr>
        <w:rPr>
          <w:rFonts w:eastAsiaTheme="minorEastAsia"/>
          <w:sz w:val="24"/>
          <w:szCs w:val="24"/>
        </w:rPr>
      </w:pPr>
      <w:r w:rsidRPr="00CB0FCC">
        <w:rPr>
          <w:rFonts w:eastAsiaTheme="minorEastAsia"/>
          <w:sz w:val="24"/>
          <w:szCs w:val="24"/>
          <w:lang w:val="zh-CN"/>
        </w:rPr>
        <w:t>本指导意见认识到跨部门政策的一致性与协调对于促进其实施至关重要</w:t>
      </w:r>
      <w:r w:rsidRPr="00CB0FCC">
        <w:rPr>
          <w:rFonts w:eastAsiaTheme="minorEastAsia"/>
          <w:sz w:val="24"/>
          <w:szCs w:val="24"/>
        </w:rPr>
        <w:t>，</w:t>
      </w:r>
      <w:r w:rsidRPr="00CB0FCC">
        <w:rPr>
          <w:rFonts w:eastAsiaTheme="minorEastAsia"/>
          <w:sz w:val="24"/>
          <w:szCs w:val="24"/>
          <w:lang w:val="zh-CN"/>
        </w:rPr>
        <w:t>因此将加强跨部门</w:t>
      </w:r>
      <w:proofErr w:type="gramStart"/>
      <w:r w:rsidRPr="00CB0FCC">
        <w:rPr>
          <w:rFonts w:eastAsiaTheme="minorEastAsia"/>
          <w:sz w:val="24"/>
          <w:szCs w:val="24"/>
          <w:lang w:val="zh-CN"/>
        </w:rPr>
        <w:t>及跨治理</w:t>
      </w:r>
      <w:proofErr w:type="gramEnd"/>
      <w:r w:rsidRPr="00CB0FCC">
        <w:rPr>
          <w:rFonts w:eastAsiaTheme="minorEastAsia"/>
          <w:sz w:val="24"/>
          <w:szCs w:val="24"/>
          <w:lang w:val="zh-CN"/>
        </w:rPr>
        <w:t>层级的政策一致性作为一项目标。在根据第</w:t>
      </w:r>
      <w:hyperlink r:id="rId32" w:history="1">
        <w:r w:rsidRPr="0018617A">
          <w:rPr>
            <w:rStyle w:val="Hyperlink"/>
            <w:rFonts w:eastAsiaTheme="minorEastAsia"/>
            <w:sz w:val="24"/>
            <w:szCs w:val="24"/>
            <w:lang w:val="zh-CN"/>
          </w:rPr>
          <w:t>2025-014</w:t>
        </w:r>
      </w:hyperlink>
      <w:r w:rsidRPr="00CB0FCC">
        <w:rPr>
          <w:rFonts w:eastAsiaTheme="minorEastAsia"/>
          <w:sz w:val="24"/>
          <w:szCs w:val="24"/>
          <w:lang w:val="zh-CN"/>
        </w:rPr>
        <w:t>号和第</w:t>
      </w:r>
      <w:hyperlink r:id="rId33" w:history="1">
        <w:r w:rsidRPr="005A48F8">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收到的来文中都强调了这一需求。</w:t>
      </w:r>
    </w:p>
    <w:p w14:paraId="67D2AE01"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本指导意见阐述了一般原则、保障措施以及广泛的行动领域</w:t>
      </w:r>
      <w:r w:rsidRPr="00CB0FCC">
        <w:rPr>
          <w:rFonts w:eastAsiaTheme="minorEastAsia"/>
          <w:sz w:val="24"/>
          <w:szCs w:val="24"/>
        </w:rPr>
        <w:t>，</w:t>
      </w:r>
      <w:r w:rsidRPr="00CB0FCC">
        <w:rPr>
          <w:rFonts w:eastAsiaTheme="minorEastAsia"/>
          <w:sz w:val="24"/>
          <w:szCs w:val="24"/>
          <w:lang w:val="zh-CN"/>
        </w:rPr>
        <w:t>旨在支持缔约方加强可持续野生生物管理方面的国家举措。虽然指导意见未提供详细的操作指导或设定针对特定物种的技术标准，但这些问题可通过补充</w:t>
      </w:r>
      <w:proofErr w:type="gramStart"/>
      <w:r w:rsidRPr="00CB0FCC">
        <w:rPr>
          <w:rFonts w:eastAsiaTheme="minorEastAsia"/>
          <w:sz w:val="24"/>
          <w:szCs w:val="24"/>
          <w:lang w:val="zh-CN"/>
        </w:rPr>
        <w:t>性国家</w:t>
      </w:r>
      <w:proofErr w:type="gramEnd"/>
      <w:r w:rsidRPr="00CB0FCC">
        <w:rPr>
          <w:rFonts w:eastAsiaTheme="minorEastAsia"/>
          <w:sz w:val="24"/>
          <w:szCs w:val="24"/>
          <w:lang w:val="zh-CN"/>
        </w:rPr>
        <w:t>措施以及相关的部门或特定的种群分类文书加以解决。</w:t>
      </w:r>
    </w:p>
    <w:p w14:paraId="186A57EC" w14:textId="77777777" w:rsidR="00FB10AA" w:rsidRPr="00CB0FCC" w:rsidRDefault="00FB10AA">
      <w:pPr>
        <w:pStyle w:val="CBDNormalNumber"/>
        <w:numPr>
          <w:ilvl w:val="0"/>
          <w:numId w:val="35"/>
        </w:numPr>
        <w:rPr>
          <w:rFonts w:eastAsiaTheme="minorEastAsia"/>
          <w:b/>
          <w:sz w:val="24"/>
          <w:szCs w:val="24"/>
        </w:rPr>
      </w:pPr>
      <w:r w:rsidRPr="00CB0FCC">
        <w:rPr>
          <w:rFonts w:eastAsiaTheme="minorEastAsia"/>
          <w:sz w:val="24"/>
          <w:szCs w:val="24"/>
          <w:lang w:val="zh-CN"/>
        </w:rPr>
        <w:lastRenderedPageBreak/>
        <w:t>本指导意见使用的物种分组和做法类别</w:t>
      </w:r>
      <w:r w:rsidRPr="00CB0FCC">
        <w:rPr>
          <w:rFonts w:eastAsiaTheme="minorEastAsia"/>
          <w:sz w:val="24"/>
          <w:szCs w:val="24"/>
        </w:rPr>
        <w:t>（</w:t>
      </w:r>
      <w:r w:rsidRPr="00CB0FCC">
        <w:rPr>
          <w:rFonts w:eastAsiaTheme="minorEastAsia"/>
          <w:sz w:val="24"/>
          <w:szCs w:val="24"/>
          <w:lang w:val="zh-CN"/>
        </w:rPr>
        <w:t>见下文方框</w:t>
      </w:r>
      <w:r w:rsidRPr="00CB0FCC">
        <w:rPr>
          <w:rFonts w:eastAsiaTheme="minorEastAsia"/>
          <w:sz w:val="24"/>
          <w:szCs w:val="24"/>
        </w:rPr>
        <w:t>）</w:t>
      </w:r>
      <w:r w:rsidRPr="00CB0FCC">
        <w:rPr>
          <w:rFonts w:eastAsiaTheme="minorEastAsia"/>
          <w:sz w:val="24"/>
          <w:szCs w:val="24"/>
          <w:lang w:val="zh-CN"/>
        </w:rPr>
        <w:t>都以生物多样性和生态系统服务政府间科学与政策平台发布的上述专题评估报告采用的分类体系为基础。这些分组和类别旨在支持适用于多种物种和多种做法，同时允许缔约方根据本国和本地具体情况调整实施方式。</w:t>
      </w:r>
    </w:p>
    <w:tbl>
      <w:tblPr>
        <w:tblW w:w="88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0"/>
      </w:tblGrid>
      <w:tr w:rsidR="00FB10AA" w14:paraId="4697EF0B" w14:textId="77777777">
        <w:trPr>
          <w:trHeight w:val="558"/>
        </w:trPr>
        <w:tc>
          <w:tcPr>
            <w:tcW w:w="8800" w:type="dxa"/>
            <w:shd w:val="clear" w:color="auto" w:fill="FFFFFF"/>
          </w:tcPr>
          <w:p w14:paraId="42BBC05E" w14:textId="77777777" w:rsidR="00FB10AA" w:rsidRPr="00652664" w:rsidRDefault="00FB10AA">
            <w:pPr>
              <w:pStyle w:val="CBDNormalNumber"/>
              <w:tabs>
                <w:tab w:val="clear" w:pos="567"/>
              </w:tabs>
              <w:ind w:left="0"/>
              <w:rPr>
                <w:rFonts w:eastAsiaTheme="minorEastAsia"/>
                <w:b/>
                <w:bCs/>
              </w:rPr>
            </w:pPr>
            <w:r w:rsidRPr="00652664">
              <w:rPr>
                <w:rFonts w:eastAsiaTheme="minorEastAsia"/>
                <w:b/>
                <w:bCs/>
                <w:lang w:val="zh-CN"/>
              </w:rPr>
              <w:t>本指导意见中使用的物种分组和做法类别</w:t>
            </w:r>
          </w:p>
          <w:p w14:paraId="37CFA280" w14:textId="77777777" w:rsidR="00FB10AA" w:rsidRPr="00D77F30" w:rsidRDefault="00FB10AA">
            <w:pPr>
              <w:pStyle w:val="CBDNormalNumber"/>
              <w:tabs>
                <w:tab w:val="clear" w:pos="567"/>
                <w:tab w:val="left" w:pos="430"/>
              </w:tabs>
              <w:ind w:left="0"/>
              <w:rPr>
                <w:rFonts w:eastAsiaTheme="minorEastAsia"/>
              </w:rPr>
            </w:pPr>
            <w:r w:rsidRPr="00D77F30">
              <w:rPr>
                <w:rFonts w:eastAsiaTheme="minorEastAsia"/>
                <w:noProof/>
              </w:rPr>
              <w:t>(a)</w:t>
            </w:r>
            <w:r w:rsidRPr="00D77F30">
              <w:rPr>
                <w:rFonts w:eastAsiaTheme="minorEastAsia"/>
              </w:rPr>
              <w:tab/>
            </w:r>
            <w:r w:rsidRPr="00D77F30">
              <w:rPr>
                <w:rFonts w:eastAsiaTheme="minorEastAsia"/>
                <w:b/>
                <w:lang w:val="zh-CN"/>
              </w:rPr>
              <w:t>物种分组</w:t>
            </w:r>
            <w:r w:rsidRPr="00D77F30">
              <w:rPr>
                <w:rFonts w:eastAsiaTheme="minorEastAsia"/>
                <w:b/>
              </w:rPr>
              <w:t>：</w:t>
            </w:r>
            <w:r w:rsidRPr="00D77F30">
              <w:rPr>
                <w:rFonts w:eastAsiaTheme="minorEastAsia"/>
                <w:lang w:val="zh-CN"/>
              </w:rPr>
              <w:t>本指导意见适用于陆地、内陆水域、海洋和沿海生态系统中的野生物种</w:t>
            </w:r>
            <w:r w:rsidRPr="00D77F30">
              <w:rPr>
                <w:rFonts w:eastAsiaTheme="minorEastAsia"/>
              </w:rPr>
              <w:t>，</w:t>
            </w:r>
            <w:r w:rsidRPr="00D77F30">
              <w:rPr>
                <w:rFonts w:eastAsiaTheme="minorEastAsia"/>
                <w:lang w:val="zh-CN"/>
              </w:rPr>
              <w:t>包括水生动物、陆生动物、树木和其他植物</w:t>
            </w:r>
            <w:r w:rsidRPr="00D77F30">
              <w:rPr>
                <w:rFonts w:eastAsiaTheme="minorEastAsia"/>
              </w:rPr>
              <w:t>，</w:t>
            </w:r>
            <w:r w:rsidRPr="00D77F30">
              <w:rPr>
                <w:rFonts w:eastAsiaTheme="minorEastAsia"/>
                <w:lang w:val="zh-CN"/>
              </w:rPr>
              <w:t>包括藻类和真菌</w:t>
            </w:r>
            <w:r w:rsidRPr="00D77F30">
              <w:rPr>
                <w:rFonts w:eastAsiaTheme="minorEastAsia"/>
              </w:rPr>
              <w:t>；</w:t>
            </w:r>
          </w:p>
          <w:p w14:paraId="3399E5DD" w14:textId="77777777" w:rsidR="00FB10AA" w:rsidRPr="00D77F30" w:rsidRDefault="00FB10AA">
            <w:pPr>
              <w:pStyle w:val="CBDNormalNumber"/>
              <w:tabs>
                <w:tab w:val="clear" w:pos="567"/>
                <w:tab w:val="left" w:pos="430"/>
              </w:tabs>
              <w:ind w:left="0"/>
              <w:rPr>
                <w:rFonts w:eastAsiaTheme="minorEastAsia"/>
              </w:rPr>
            </w:pPr>
            <w:r w:rsidRPr="00D77F30">
              <w:rPr>
                <w:rFonts w:eastAsiaTheme="minorEastAsia"/>
                <w:noProof/>
              </w:rPr>
              <w:t>(b)</w:t>
            </w:r>
            <w:r w:rsidRPr="00D77F30">
              <w:rPr>
                <w:rFonts w:eastAsiaTheme="minorEastAsia"/>
              </w:rPr>
              <w:tab/>
            </w:r>
            <w:proofErr w:type="gramStart"/>
            <w:r w:rsidRPr="00D77F30">
              <w:rPr>
                <w:rFonts w:eastAsiaTheme="minorEastAsia"/>
                <w:b/>
                <w:lang w:val="zh-CN"/>
              </w:rPr>
              <w:t>做法类别</w:t>
            </w:r>
            <w:r w:rsidRPr="00D77F30">
              <w:rPr>
                <w:rFonts w:eastAsiaTheme="minorEastAsia"/>
                <w:b/>
              </w:rPr>
              <w:t>:</w:t>
            </w:r>
            <w:r w:rsidRPr="00D77F30">
              <w:rPr>
                <w:rFonts w:eastAsiaTheme="minorEastAsia"/>
                <w:lang w:val="zh-CN"/>
              </w:rPr>
              <w:t>本指导意见涵盖了采猎性与非采猎性做法</w:t>
            </w:r>
            <w:proofErr w:type="gramEnd"/>
            <w:r w:rsidRPr="00D77F30">
              <w:rPr>
                <w:rFonts w:eastAsiaTheme="minorEastAsia"/>
                <w:lang w:val="zh-CN"/>
              </w:rPr>
              <w:t>。采猎性做法包括捕捞、从野外采集植物、真菌和藻类、伐木以及猎捕陆生和水生动物，包括移除完整或部分生物体以及收集野生生物的部分部位或衍生物。非采猎性做法包括观赏野生生物的旅游以及与野生生物相关的文化、精神和教育服务；</w:t>
            </w:r>
          </w:p>
          <w:p w14:paraId="32140F33" w14:textId="77777777" w:rsidR="00FB10AA" w:rsidRDefault="00FB10AA">
            <w:pPr>
              <w:pStyle w:val="CBDNormalNumber"/>
              <w:tabs>
                <w:tab w:val="clear" w:pos="567"/>
                <w:tab w:val="left" w:pos="430"/>
              </w:tabs>
              <w:ind w:left="0"/>
              <w:rPr>
                <w:szCs w:val="24"/>
              </w:rPr>
            </w:pPr>
            <w:r w:rsidRPr="00D77F30">
              <w:rPr>
                <w:rFonts w:eastAsiaTheme="minorEastAsia"/>
                <w:noProof/>
              </w:rPr>
              <w:t>(c)</w:t>
            </w:r>
            <w:r w:rsidRPr="00D77F30">
              <w:rPr>
                <w:rFonts w:eastAsiaTheme="minorEastAsia"/>
              </w:rPr>
              <w:tab/>
            </w:r>
            <w:proofErr w:type="gramStart"/>
            <w:r w:rsidRPr="00D77F30">
              <w:rPr>
                <w:rFonts w:eastAsiaTheme="minorEastAsia"/>
                <w:b/>
                <w:lang w:val="zh-CN"/>
              </w:rPr>
              <w:t>类别的使用</w:t>
            </w:r>
            <w:r w:rsidRPr="00D77F30">
              <w:rPr>
                <w:rFonts w:eastAsiaTheme="minorEastAsia"/>
                <w:b/>
              </w:rPr>
              <w:t>:</w:t>
            </w:r>
            <w:r w:rsidRPr="00D77F30">
              <w:rPr>
                <w:rFonts w:eastAsiaTheme="minorEastAsia"/>
                <w:lang w:val="zh-CN"/>
              </w:rPr>
              <w:t>这些类别仅用于制定针对多种物种和多种做法的指导意见</w:t>
            </w:r>
            <w:proofErr w:type="gramEnd"/>
            <w:r w:rsidRPr="00D77F30">
              <w:rPr>
                <w:rFonts w:eastAsiaTheme="minorEastAsia"/>
                <w:lang w:val="zh-CN"/>
              </w:rPr>
              <w:t>。鼓励缔约方灵活运用这些类别，并确保其运用方式符合国家立法、习惯治理体系及相关国际义务。使用本指导意见中的这些类别并不意味着所有物种或做法都适合于可持续利用。特别是当外来物种对生物多样性、生态系统功能或本土物种构成风险时，管理措施应优先考虑预防和控制。</w:t>
            </w:r>
            <w:r>
              <w:rPr>
                <w:szCs w:val="24"/>
              </w:rPr>
              <w:t xml:space="preserve"> </w:t>
            </w:r>
          </w:p>
        </w:tc>
      </w:tr>
    </w:tbl>
    <w:p w14:paraId="4DBA58D4" w14:textId="77777777" w:rsidR="00FB10AA" w:rsidRPr="00CB0FCC" w:rsidRDefault="00FB10AA">
      <w:pPr>
        <w:pStyle w:val="CBDH1"/>
        <w:rPr>
          <w:rFonts w:ascii="SimHei" w:eastAsia="SimHei" w:hAnsi="SimHei"/>
          <w:sz w:val="24"/>
          <w:szCs w:val="24"/>
          <w:lang w:val="zh-CN"/>
        </w:rPr>
      </w:pPr>
      <w:r w:rsidRPr="00CB0FCC">
        <w:rPr>
          <w:rFonts w:ascii="SimHei" w:eastAsia="SimHei" w:hAnsi="SimHei"/>
          <w:sz w:val="24"/>
          <w:szCs w:val="24"/>
          <w:lang w:val="zh-CN"/>
        </w:rPr>
        <w:t>四.</w:t>
      </w:r>
      <w:r w:rsidRPr="00CB0FCC">
        <w:rPr>
          <w:rFonts w:ascii="SimHei" w:eastAsia="SimHei" w:hAnsi="SimHei"/>
          <w:sz w:val="24"/>
          <w:szCs w:val="24"/>
          <w:lang w:val="zh-CN"/>
        </w:rPr>
        <w:tab/>
        <w:t>原则</w:t>
      </w:r>
    </w:p>
    <w:p w14:paraId="00EEA312"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本指导意见借鉴了《生物多样性公约》、《关于生物多样性可持续利用的亚的斯亚贝巴原则和准则》、第</w:t>
      </w:r>
      <w:hyperlink r:id="rId34" w:history="1">
        <w:r w:rsidRPr="00CB0FCC">
          <w:rPr>
            <w:rStyle w:val="Hyperlink"/>
            <w:rFonts w:eastAsiaTheme="minorEastAsia"/>
            <w:sz w:val="24"/>
            <w:szCs w:val="24"/>
          </w:rPr>
          <w:t>14/7</w:t>
        </w:r>
      </w:hyperlink>
      <w:r w:rsidRPr="00CB0FCC">
        <w:rPr>
          <w:rFonts w:eastAsiaTheme="minorEastAsia"/>
          <w:sz w:val="24"/>
          <w:szCs w:val="24"/>
          <w:lang w:val="zh-CN"/>
        </w:rPr>
        <w:t>号决定、《昆明</w:t>
      </w:r>
      <w:r w:rsidRPr="00CB0FCC">
        <w:rPr>
          <w:rFonts w:eastAsiaTheme="minorEastAsia"/>
          <w:sz w:val="24"/>
          <w:szCs w:val="24"/>
        </w:rPr>
        <w:t>-</w:t>
      </w:r>
      <w:r w:rsidRPr="00CB0FCC">
        <w:rPr>
          <w:rFonts w:eastAsiaTheme="minorEastAsia"/>
          <w:sz w:val="24"/>
          <w:szCs w:val="24"/>
          <w:lang w:val="zh-CN"/>
        </w:rPr>
        <w:t>蒙特利尔全球生物多样性框架》</w:t>
      </w:r>
      <w:r w:rsidRPr="00CB0FCC">
        <w:rPr>
          <w:rFonts w:eastAsiaTheme="minorEastAsia"/>
          <w:sz w:val="24"/>
          <w:szCs w:val="24"/>
        </w:rPr>
        <w:t>，</w:t>
      </w:r>
      <w:r w:rsidRPr="00CB0FCC">
        <w:rPr>
          <w:rFonts w:eastAsiaTheme="minorEastAsia"/>
          <w:sz w:val="24"/>
          <w:szCs w:val="24"/>
          <w:lang w:val="zh-CN"/>
        </w:rPr>
        <w:t>包括其行动目标</w:t>
      </w:r>
      <w:r w:rsidRPr="00CB0FCC">
        <w:rPr>
          <w:rFonts w:eastAsiaTheme="minorEastAsia"/>
          <w:sz w:val="24"/>
          <w:szCs w:val="24"/>
        </w:rPr>
        <w:t>4</w:t>
      </w:r>
      <w:r w:rsidRPr="00CB0FCC">
        <w:rPr>
          <w:rFonts w:eastAsiaTheme="minorEastAsia"/>
          <w:sz w:val="24"/>
          <w:szCs w:val="24"/>
          <w:lang w:val="zh-CN"/>
        </w:rPr>
        <w:t>至</w:t>
      </w:r>
      <w:r w:rsidRPr="00CB0FCC">
        <w:rPr>
          <w:rFonts w:eastAsiaTheme="minorEastAsia"/>
          <w:sz w:val="24"/>
          <w:szCs w:val="24"/>
        </w:rPr>
        <w:t>6</w:t>
      </w:r>
      <w:r w:rsidRPr="00CB0FCC">
        <w:rPr>
          <w:rFonts w:eastAsiaTheme="minorEastAsia"/>
          <w:sz w:val="24"/>
          <w:szCs w:val="24"/>
          <w:lang w:val="zh-CN"/>
        </w:rPr>
        <w:t>、</w:t>
      </w:r>
      <w:r w:rsidRPr="00CB0FCC">
        <w:rPr>
          <w:rFonts w:eastAsiaTheme="minorEastAsia"/>
          <w:sz w:val="24"/>
          <w:szCs w:val="24"/>
        </w:rPr>
        <w:t>9</w:t>
      </w:r>
      <w:r w:rsidRPr="00CB0FCC">
        <w:rPr>
          <w:rFonts w:eastAsiaTheme="minorEastAsia"/>
          <w:sz w:val="24"/>
          <w:szCs w:val="24"/>
          <w:lang w:val="zh-CN"/>
        </w:rPr>
        <w:t>、</w:t>
      </w:r>
      <w:r w:rsidRPr="00CB0FCC">
        <w:rPr>
          <w:rFonts w:eastAsiaTheme="minorEastAsia"/>
          <w:sz w:val="24"/>
          <w:szCs w:val="24"/>
        </w:rPr>
        <w:t>10</w:t>
      </w:r>
      <w:r w:rsidRPr="00CB0FCC">
        <w:rPr>
          <w:rFonts w:eastAsiaTheme="minorEastAsia"/>
          <w:sz w:val="24"/>
          <w:szCs w:val="24"/>
          <w:lang w:val="zh-CN"/>
        </w:rPr>
        <w:t>、</w:t>
      </w:r>
      <w:r w:rsidRPr="00CB0FCC">
        <w:rPr>
          <w:rFonts w:eastAsiaTheme="minorEastAsia"/>
          <w:sz w:val="24"/>
          <w:szCs w:val="24"/>
        </w:rPr>
        <w:t>22</w:t>
      </w:r>
      <w:r w:rsidRPr="00CB0FCC">
        <w:rPr>
          <w:rFonts w:eastAsiaTheme="minorEastAsia"/>
          <w:sz w:val="24"/>
          <w:szCs w:val="24"/>
          <w:lang w:val="zh-CN"/>
        </w:rPr>
        <w:t>和</w:t>
      </w:r>
      <w:r w:rsidRPr="00CB0FCC">
        <w:rPr>
          <w:rFonts w:eastAsiaTheme="minorEastAsia"/>
          <w:sz w:val="24"/>
          <w:szCs w:val="24"/>
        </w:rPr>
        <w:t>23</w:t>
      </w:r>
      <w:r w:rsidRPr="00CB0FCC">
        <w:rPr>
          <w:rFonts w:eastAsiaTheme="minorEastAsia"/>
          <w:sz w:val="24"/>
          <w:szCs w:val="24"/>
        </w:rPr>
        <w:t>，</w:t>
      </w:r>
      <w:r w:rsidRPr="00CB0FCC">
        <w:rPr>
          <w:rFonts w:eastAsiaTheme="minorEastAsia"/>
          <w:sz w:val="24"/>
          <w:szCs w:val="24"/>
          <w:lang w:val="zh-CN"/>
        </w:rPr>
        <w:t>以及</w:t>
      </w:r>
      <w:r w:rsidRPr="00FD02CB">
        <w:rPr>
          <w:sz w:val="24"/>
          <w:szCs w:val="24"/>
          <w:lang w:val="zh-CN"/>
        </w:rPr>
        <w:t>《</w:t>
      </w:r>
      <w:r w:rsidRPr="00FD02CB">
        <w:rPr>
          <w:rFonts w:ascii="KaiTi" w:hAnsi="KaiTi"/>
          <w:sz w:val="24"/>
          <w:szCs w:val="24"/>
          <w:lang w:val="zh-CN"/>
        </w:rPr>
        <w:t>野生生物物种可持续利用专题评估报告</w:t>
      </w:r>
      <w:r w:rsidRPr="00FD02CB">
        <w:rPr>
          <w:sz w:val="24"/>
          <w:szCs w:val="24"/>
          <w:lang w:val="zh-CN"/>
        </w:rPr>
        <w:t>》</w:t>
      </w:r>
      <w:r w:rsidRPr="00CB0FCC">
        <w:rPr>
          <w:rFonts w:eastAsiaTheme="minorEastAsia"/>
          <w:sz w:val="24"/>
          <w:szCs w:val="24"/>
          <w:lang w:val="zh-CN"/>
        </w:rPr>
        <w:t>的相关结论。本指导意见采用了体现《生物多样性公约》目标的原则和方法（见表</w:t>
      </w:r>
      <w:r w:rsidRPr="00CB0FCC">
        <w:rPr>
          <w:rFonts w:eastAsiaTheme="minorEastAsia"/>
          <w:sz w:val="24"/>
          <w:szCs w:val="24"/>
          <w:lang w:val="zh-CN"/>
        </w:rPr>
        <w:t>1</w:t>
      </w:r>
      <w:r w:rsidRPr="00CB0FCC">
        <w:rPr>
          <w:rFonts w:eastAsiaTheme="minorEastAsia"/>
          <w:sz w:val="24"/>
          <w:szCs w:val="24"/>
          <w:lang w:val="zh-CN"/>
        </w:rPr>
        <w:t>），这些原则和方法指导着可持续野生生物管理的设计、解读和实施，以支持生物多样性的保护、人类福祉和公平治理。</w:t>
      </w:r>
    </w:p>
    <w:p w14:paraId="5DF2AC26" w14:textId="77777777" w:rsidR="00FB10AA" w:rsidRPr="00CB0FCC" w:rsidRDefault="00FB10AA" w:rsidP="00CB0FCC">
      <w:pPr>
        <w:pStyle w:val="CBDNormalNumber"/>
        <w:ind w:left="567"/>
        <w:jc w:val="left"/>
        <w:rPr>
          <w:rFonts w:eastAsiaTheme="minorEastAsia"/>
          <w:b/>
          <w:sz w:val="24"/>
          <w:szCs w:val="24"/>
        </w:rPr>
      </w:pPr>
      <w:r w:rsidRPr="00CB0FCC">
        <w:rPr>
          <w:rFonts w:eastAsiaTheme="minorEastAsia"/>
          <w:sz w:val="24"/>
          <w:szCs w:val="24"/>
          <w:lang w:val="zh-CN"/>
        </w:rPr>
        <w:t>表</w:t>
      </w:r>
      <w:r w:rsidRPr="00CB0FCC">
        <w:rPr>
          <w:rFonts w:eastAsiaTheme="minorEastAsia"/>
          <w:sz w:val="24"/>
          <w:szCs w:val="24"/>
        </w:rPr>
        <w:t>1</w:t>
      </w:r>
      <w:r w:rsidRPr="00CB0FCC">
        <w:rPr>
          <w:rFonts w:eastAsiaTheme="minorEastAsia"/>
          <w:sz w:val="24"/>
          <w:szCs w:val="24"/>
        </w:rPr>
        <w:br/>
      </w:r>
      <w:r w:rsidRPr="00F34273">
        <w:rPr>
          <w:rFonts w:ascii="SimHei" w:eastAsia="SimHei" w:hAnsi="SimHei"/>
          <w:sz w:val="24"/>
          <w:szCs w:val="24"/>
          <w:lang w:val="zh-CN"/>
        </w:rPr>
        <w:t>制定野生生物可持续管理的全球指导意见的原则和办法</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536"/>
        <w:gridCol w:w="2552"/>
      </w:tblGrid>
      <w:tr w:rsidR="00FB10AA" w14:paraId="161254DA" w14:textId="77777777">
        <w:trPr>
          <w:tblHeader/>
        </w:trPr>
        <w:tc>
          <w:tcPr>
            <w:tcW w:w="1701" w:type="dxa"/>
          </w:tcPr>
          <w:p w14:paraId="41C31A01" w14:textId="77777777" w:rsidR="00FB10AA" w:rsidRPr="00BC18F9" w:rsidRDefault="00FB10AA">
            <w:pPr>
              <w:jc w:val="left"/>
              <w:rPr>
                <w:rFonts w:ascii="KaiTi" w:eastAsia="KaiTi" w:hAnsi="KaiTi"/>
              </w:rPr>
            </w:pPr>
            <w:r w:rsidRPr="00BC18F9">
              <w:rPr>
                <w:rFonts w:ascii="KaiTi" w:eastAsia="KaiTi" w:hAnsi="KaiTi"/>
                <w:lang w:val="zh-CN"/>
              </w:rPr>
              <w:t>原则和办法</w:t>
            </w:r>
          </w:p>
        </w:tc>
        <w:tc>
          <w:tcPr>
            <w:tcW w:w="4536" w:type="dxa"/>
          </w:tcPr>
          <w:p w14:paraId="74C96264" w14:textId="77777777" w:rsidR="00FB10AA" w:rsidRPr="00BC18F9" w:rsidRDefault="00FB10AA">
            <w:pPr>
              <w:jc w:val="left"/>
              <w:rPr>
                <w:rFonts w:ascii="KaiTi" w:eastAsia="KaiTi" w:hAnsi="KaiTi"/>
              </w:rPr>
            </w:pPr>
            <w:r w:rsidRPr="00BC18F9">
              <w:rPr>
                <w:rFonts w:ascii="KaiTi" w:eastAsia="KaiTi" w:hAnsi="KaiTi"/>
                <w:lang w:val="zh-CN"/>
              </w:rPr>
              <w:t>主要考虑因素</w:t>
            </w:r>
          </w:p>
        </w:tc>
        <w:tc>
          <w:tcPr>
            <w:tcW w:w="2552" w:type="dxa"/>
          </w:tcPr>
          <w:p w14:paraId="6CD081D9" w14:textId="77777777" w:rsidR="00FB10AA" w:rsidRPr="00BC18F9" w:rsidRDefault="00FB10AA">
            <w:pPr>
              <w:jc w:val="left"/>
              <w:rPr>
                <w:rFonts w:ascii="KaiTi" w:eastAsia="KaiTi" w:hAnsi="KaiTi"/>
              </w:rPr>
            </w:pPr>
            <w:r w:rsidRPr="00BC18F9">
              <w:rPr>
                <w:rFonts w:ascii="KaiTi" w:eastAsia="KaiTi" w:hAnsi="KaiTi"/>
                <w:lang w:val="zh-CN"/>
              </w:rPr>
              <w:t>来源</w:t>
            </w:r>
          </w:p>
        </w:tc>
      </w:tr>
      <w:tr w:rsidR="00FB10AA" w14:paraId="1D20364F" w14:textId="77777777">
        <w:tc>
          <w:tcPr>
            <w:tcW w:w="1701" w:type="dxa"/>
            <w:vMerge w:val="restart"/>
          </w:tcPr>
          <w:p w14:paraId="584DDBC7" w14:textId="77777777" w:rsidR="00FB10AA" w:rsidRPr="00BC18F9" w:rsidRDefault="00FB10AA">
            <w:pPr>
              <w:jc w:val="left"/>
              <w:rPr>
                <w:rFonts w:eastAsiaTheme="minorEastAsia"/>
              </w:rPr>
            </w:pPr>
            <w:r w:rsidRPr="00BC18F9">
              <w:rPr>
                <w:rFonts w:eastAsiaTheme="minorEastAsia"/>
                <w:lang w:val="zh-CN"/>
              </w:rPr>
              <w:t>生态可持续性与预防性做法</w:t>
            </w:r>
          </w:p>
        </w:tc>
        <w:tc>
          <w:tcPr>
            <w:tcW w:w="4536" w:type="dxa"/>
          </w:tcPr>
          <w:p w14:paraId="3DF53E0E" w14:textId="77777777" w:rsidR="00FB10AA" w:rsidRPr="00BC18F9" w:rsidRDefault="00FB10AA">
            <w:pPr>
              <w:jc w:val="left"/>
              <w:rPr>
                <w:rFonts w:eastAsiaTheme="minorEastAsia"/>
              </w:rPr>
            </w:pPr>
            <w:r w:rsidRPr="00BC18F9">
              <w:rPr>
                <w:rFonts w:eastAsiaTheme="minorEastAsia"/>
                <w:lang w:val="zh-CN"/>
              </w:rPr>
              <w:t>资源管理者和使用者有责任确保野生生物管理活动的开展方式能够维持生态进程、物种及遗传变异性保持在长期存活所需的水平之上。</w:t>
            </w:r>
          </w:p>
        </w:tc>
        <w:tc>
          <w:tcPr>
            <w:tcW w:w="2552" w:type="dxa"/>
          </w:tcPr>
          <w:p w14:paraId="045A73FC" w14:textId="5D04CD95" w:rsidR="00FB10AA" w:rsidRPr="00BC18F9" w:rsidRDefault="00FB10AA">
            <w:pPr>
              <w:jc w:val="left"/>
              <w:rPr>
                <w:rFonts w:eastAsiaTheme="minorEastAsia"/>
              </w:rPr>
            </w:pPr>
            <w:r w:rsidRPr="00BC18F9">
              <w:rPr>
                <w:rFonts w:eastAsiaTheme="minorEastAsia"/>
                <w:lang w:val="zh-CN"/>
              </w:rPr>
              <w:t>《亚的斯亚贝巴原则和准则》</w:t>
            </w:r>
            <w:r w:rsidRPr="00BC18F9">
              <w:rPr>
                <w:rFonts w:eastAsiaTheme="minorEastAsia"/>
              </w:rPr>
              <w:t>（</w:t>
            </w:r>
            <w:r w:rsidRPr="00BC18F9">
              <w:rPr>
                <w:rFonts w:eastAsiaTheme="minorEastAsia"/>
                <w:lang w:val="zh-CN"/>
              </w:rPr>
              <w:t>第</w:t>
            </w:r>
            <w:hyperlink r:id="rId35" w:history="1">
              <w:r w:rsidRPr="00BC18F9">
                <w:rPr>
                  <w:rStyle w:val="Hyperlink"/>
                  <w:rFonts w:eastAsiaTheme="minorEastAsia"/>
                </w:rPr>
                <w:t>VII/12</w:t>
              </w:r>
            </w:hyperlink>
            <w:r w:rsidRPr="00BC18F9">
              <w:rPr>
                <w:rFonts w:eastAsiaTheme="minorEastAsia"/>
                <w:lang w:val="zh-CN"/>
              </w:rPr>
              <w:t>号决定</w:t>
            </w:r>
            <w:r w:rsidRPr="00BC18F9">
              <w:rPr>
                <w:rFonts w:eastAsiaTheme="minorEastAsia"/>
              </w:rPr>
              <w:t>，</w:t>
            </w:r>
            <w:r w:rsidRPr="00BC18F9">
              <w:rPr>
                <w:rFonts w:eastAsiaTheme="minorEastAsia"/>
                <w:lang w:val="zh-CN"/>
              </w:rPr>
              <w:t>附件二</w:t>
            </w:r>
            <w:r w:rsidRPr="00BC18F9">
              <w:rPr>
                <w:rFonts w:eastAsiaTheme="minorEastAsia"/>
              </w:rPr>
              <w:t>）</w:t>
            </w:r>
          </w:p>
        </w:tc>
      </w:tr>
      <w:tr w:rsidR="00FB10AA" w14:paraId="09AA7456" w14:textId="77777777">
        <w:tc>
          <w:tcPr>
            <w:tcW w:w="1701" w:type="dxa"/>
            <w:vMerge/>
          </w:tcPr>
          <w:p w14:paraId="77D02B2B" w14:textId="77777777" w:rsidR="00FB10AA" w:rsidRPr="00BC18F9" w:rsidRDefault="00FB10AA">
            <w:pPr>
              <w:jc w:val="left"/>
              <w:rPr>
                <w:rFonts w:eastAsiaTheme="minorEastAsia"/>
              </w:rPr>
            </w:pPr>
          </w:p>
        </w:tc>
        <w:tc>
          <w:tcPr>
            <w:tcW w:w="4536" w:type="dxa"/>
          </w:tcPr>
          <w:p w14:paraId="081512DA" w14:textId="77777777" w:rsidR="00FB10AA" w:rsidRPr="00BC18F9" w:rsidRDefault="00FB10AA">
            <w:pPr>
              <w:jc w:val="left"/>
              <w:rPr>
                <w:rFonts w:eastAsiaTheme="minorEastAsia"/>
              </w:rPr>
            </w:pPr>
            <w:r w:rsidRPr="00BC18F9">
              <w:rPr>
                <w:rFonts w:eastAsiaTheme="minorEastAsia"/>
                <w:lang w:val="zh-CN"/>
              </w:rPr>
              <w:t>缔约方应在管理决策中采用预防性办法。</w:t>
            </w:r>
          </w:p>
        </w:tc>
        <w:tc>
          <w:tcPr>
            <w:tcW w:w="2552" w:type="dxa"/>
          </w:tcPr>
          <w:p w14:paraId="2B80DCFC" w14:textId="77777777" w:rsidR="00FB10AA" w:rsidRPr="00BC18F9" w:rsidRDefault="00FB10AA">
            <w:pPr>
              <w:jc w:val="left"/>
              <w:rPr>
                <w:rFonts w:eastAsiaTheme="minorEastAsia"/>
              </w:rPr>
            </w:pPr>
            <w:r w:rsidRPr="00BC18F9">
              <w:rPr>
                <w:rFonts w:eastAsiaTheme="minorEastAsia"/>
                <w:lang w:val="zh-CN"/>
              </w:rPr>
              <w:t>《亚的斯亚贝巴原则和准则》</w:t>
            </w:r>
          </w:p>
        </w:tc>
      </w:tr>
      <w:tr w:rsidR="00FB10AA" w14:paraId="0128E6D7" w14:textId="77777777">
        <w:tc>
          <w:tcPr>
            <w:tcW w:w="1701" w:type="dxa"/>
            <w:vMerge/>
          </w:tcPr>
          <w:p w14:paraId="6B3DB0FA" w14:textId="77777777" w:rsidR="00FB10AA" w:rsidRPr="00BC18F9" w:rsidRDefault="00FB10AA">
            <w:pPr>
              <w:jc w:val="left"/>
              <w:rPr>
                <w:rFonts w:eastAsiaTheme="minorEastAsia"/>
              </w:rPr>
            </w:pPr>
          </w:p>
        </w:tc>
        <w:tc>
          <w:tcPr>
            <w:tcW w:w="4536" w:type="dxa"/>
          </w:tcPr>
          <w:p w14:paraId="38BB4754" w14:textId="77777777" w:rsidR="00FB10AA" w:rsidRPr="00BC18F9" w:rsidRDefault="00FB10AA">
            <w:pPr>
              <w:jc w:val="left"/>
              <w:rPr>
                <w:rFonts w:eastAsiaTheme="minorEastAsia"/>
              </w:rPr>
            </w:pPr>
            <w:r w:rsidRPr="00BC18F9">
              <w:rPr>
                <w:rFonts w:eastAsiaTheme="minorEastAsia"/>
                <w:lang w:val="zh-CN"/>
              </w:rPr>
              <w:t>生物多样性遭受严重减少或损失的威胁时</w:t>
            </w:r>
            <w:r w:rsidRPr="00BC18F9">
              <w:rPr>
                <w:rFonts w:eastAsiaTheme="minorEastAsia"/>
              </w:rPr>
              <w:t>，</w:t>
            </w:r>
            <w:r w:rsidRPr="00BC18F9">
              <w:rPr>
                <w:rFonts w:eastAsiaTheme="minorEastAsia"/>
                <w:lang w:val="zh-CN"/>
              </w:rPr>
              <w:t>不应以缺乏充分的科学定论为理由</w:t>
            </w:r>
            <w:r w:rsidRPr="00BC18F9">
              <w:rPr>
                <w:rFonts w:eastAsiaTheme="minorEastAsia"/>
              </w:rPr>
              <w:t>，</w:t>
            </w:r>
            <w:r w:rsidRPr="00BC18F9">
              <w:rPr>
                <w:rFonts w:eastAsiaTheme="minorEastAsia"/>
                <w:lang w:val="zh-CN"/>
              </w:rPr>
              <w:t>而推迟采取旨在避免或尽量减轻此种威胁的措施。</w:t>
            </w:r>
          </w:p>
        </w:tc>
        <w:tc>
          <w:tcPr>
            <w:tcW w:w="2552" w:type="dxa"/>
          </w:tcPr>
          <w:p w14:paraId="03AC398F" w14:textId="77777777" w:rsidR="00FB10AA" w:rsidRPr="00BC18F9" w:rsidRDefault="00FB10AA">
            <w:pPr>
              <w:jc w:val="left"/>
              <w:rPr>
                <w:rFonts w:eastAsiaTheme="minorEastAsia"/>
              </w:rPr>
            </w:pPr>
            <w:r w:rsidRPr="00BC18F9">
              <w:rPr>
                <w:rFonts w:eastAsiaTheme="minorEastAsia"/>
                <w:lang w:val="zh-CN"/>
              </w:rPr>
              <w:t>《生物多样性公约》（序言）</w:t>
            </w:r>
          </w:p>
        </w:tc>
      </w:tr>
      <w:tr w:rsidR="00FB10AA" w14:paraId="6A62B2AE" w14:textId="77777777">
        <w:tc>
          <w:tcPr>
            <w:tcW w:w="1701" w:type="dxa"/>
            <w:vMerge/>
          </w:tcPr>
          <w:p w14:paraId="192C68F3" w14:textId="77777777" w:rsidR="00FB10AA" w:rsidRPr="00BC18F9" w:rsidRDefault="00FB10AA">
            <w:pPr>
              <w:jc w:val="left"/>
              <w:rPr>
                <w:rFonts w:eastAsiaTheme="minorEastAsia"/>
              </w:rPr>
            </w:pPr>
          </w:p>
        </w:tc>
        <w:tc>
          <w:tcPr>
            <w:tcW w:w="4536" w:type="dxa"/>
          </w:tcPr>
          <w:p w14:paraId="57C2F783" w14:textId="77777777" w:rsidR="00FB10AA" w:rsidRPr="00BC18F9" w:rsidRDefault="00FB10AA">
            <w:pPr>
              <w:jc w:val="left"/>
              <w:rPr>
                <w:rFonts w:eastAsiaTheme="minorEastAsia"/>
              </w:rPr>
            </w:pPr>
            <w:r w:rsidRPr="00BC18F9">
              <w:rPr>
                <w:rFonts w:eastAsiaTheme="minorEastAsia"/>
                <w:lang w:val="zh-CN"/>
              </w:rPr>
              <w:t>野生生物管理若要被视为可持续</w:t>
            </w:r>
            <w:r w:rsidRPr="00BC18F9">
              <w:rPr>
                <w:rFonts w:eastAsiaTheme="minorEastAsia"/>
              </w:rPr>
              <w:t>，</w:t>
            </w:r>
            <w:r w:rsidRPr="00BC18F9">
              <w:rPr>
                <w:rFonts w:eastAsiaTheme="minorEastAsia"/>
                <w:lang w:val="zh-CN"/>
              </w:rPr>
              <w:t>应考量生态限度、累积影响及不确定性</w:t>
            </w:r>
            <w:r w:rsidRPr="00BC18F9">
              <w:rPr>
                <w:rFonts w:eastAsiaTheme="minorEastAsia"/>
              </w:rPr>
              <w:t>，</w:t>
            </w:r>
            <w:r w:rsidRPr="00BC18F9">
              <w:rPr>
                <w:rFonts w:eastAsiaTheme="minorEastAsia"/>
                <w:lang w:val="zh-CN"/>
              </w:rPr>
              <w:t>并避免采取可能导致不可逆转的生物多样性丧失风险的行动</w:t>
            </w:r>
            <w:r w:rsidRPr="00BC18F9">
              <w:rPr>
                <w:rFonts w:eastAsiaTheme="minorEastAsia"/>
              </w:rPr>
              <w:t>；</w:t>
            </w:r>
            <w:r w:rsidRPr="00BC18F9">
              <w:rPr>
                <w:rFonts w:eastAsiaTheme="minorEastAsia"/>
                <w:lang w:val="zh-CN"/>
              </w:rPr>
              <w:t>当证据显示存在高风险时</w:t>
            </w:r>
            <w:r w:rsidRPr="00BC18F9">
              <w:rPr>
                <w:rFonts w:eastAsiaTheme="minorEastAsia"/>
              </w:rPr>
              <w:t>，</w:t>
            </w:r>
            <w:r w:rsidRPr="00BC18F9">
              <w:rPr>
                <w:rFonts w:eastAsiaTheme="minorEastAsia"/>
                <w:lang w:val="zh-CN"/>
              </w:rPr>
              <w:t>应采取早期行动。</w:t>
            </w:r>
          </w:p>
        </w:tc>
        <w:tc>
          <w:tcPr>
            <w:tcW w:w="2552" w:type="dxa"/>
          </w:tcPr>
          <w:p w14:paraId="6D9E3BA2" w14:textId="77777777" w:rsidR="00FB10AA" w:rsidRPr="00BC18F9" w:rsidRDefault="00FB10AA">
            <w:pPr>
              <w:jc w:val="left"/>
              <w:rPr>
                <w:rFonts w:eastAsiaTheme="minorEastAsia"/>
              </w:rPr>
            </w:pPr>
            <w:r w:rsidRPr="00BC18F9">
              <w:rPr>
                <w:rFonts w:eastAsiaTheme="minorEastAsia"/>
                <w:lang w:val="zh-CN"/>
              </w:rPr>
              <w:t>《</w:t>
            </w:r>
            <w:r w:rsidRPr="007506FA">
              <w:rPr>
                <w:rFonts w:ascii="KaiTi" w:eastAsia="KaiTi" w:hAnsi="KaiTi"/>
                <w:lang w:val="zh-CN"/>
              </w:rPr>
              <w:t>野生生物物种可持续利用专题评估报告</w:t>
            </w:r>
            <w:r w:rsidRPr="00BC18F9">
              <w:rPr>
                <w:rFonts w:eastAsiaTheme="minorEastAsia"/>
                <w:lang w:val="zh-CN"/>
              </w:rPr>
              <w:t>》</w:t>
            </w:r>
            <w:r w:rsidRPr="00BC18F9">
              <w:rPr>
                <w:rFonts w:eastAsiaTheme="minorEastAsia"/>
              </w:rPr>
              <w:t>（</w:t>
            </w:r>
            <w:r w:rsidRPr="00BC18F9">
              <w:rPr>
                <w:rFonts w:eastAsiaTheme="minorEastAsia"/>
                <w:lang w:val="zh-CN"/>
              </w:rPr>
              <w:t>生物多样性和生态系统服务政府间科学与政策平台</w:t>
            </w:r>
            <w:r w:rsidRPr="00BC18F9">
              <w:rPr>
                <w:rFonts w:eastAsiaTheme="minorEastAsia"/>
              </w:rPr>
              <w:t>）</w:t>
            </w:r>
          </w:p>
        </w:tc>
      </w:tr>
      <w:tr w:rsidR="00FB10AA" w14:paraId="273D5701" w14:textId="77777777">
        <w:tc>
          <w:tcPr>
            <w:tcW w:w="1701" w:type="dxa"/>
            <w:vMerge/>
          </w:tcPr>
          <w:p w14:paraId="676DAEBA" w14:textId="77777777" w:rsidR="00FB10AA" w:rsidRPr="00BC18F9" w:rsidRDefault="00FB10AA">
            <w:pPr>
              <w:jc w:val="left"/>
              <w:rPr>
                <w:rFonts w:eastAsiaTheme="minorEastAsia"/>
              </w:rPr>
            </w:pPr>
          </w:p>
        </w:tc>
        <w:tc>
          <w:tcPr>
            <w:tcW w:w="4536" w:type="dxa"/>
          </w:tcPr>
          <w:p w14:paraId="75D4F686" w14:textId="77777777" w:rsidR="00FB10AA" w:rsidRPr="00BC18F9" w:rsidRDefault="00FB10AA">
            <w:pPr>
              <w:jc w:val="left"/>
              <w:rPr>
                <w:rFonts w:eastAsiaTheme="minorEastAsia"/>
              </w:rPr>
            </w:pPr>
            <w:r w:rsidRPr="00BC18F9">
              <w:rPr>
                <w:rFonts w:eastAsiaTheme="minorEastAsia"/>
                <w:lang w:val="zh-CN"/>
              </w:rPr>
              <w:t>确保野生物种的使用、采猎、交易是可持续的、安全的、合法的</w:t>
            </w:r>
            <w:r w:rsidRPr="00BC18F9">
              <w:rPr>
                <w:rFonts w:eastAsiaTheme="minorEastAsia"/>
              </w:rPr>
              <w:t>，</w:t>
            </w:r>
            <w:r w:rsidRPr="00BC18F9">
              <w:rPr>
                <w:rFonts w:eastAsiaTheme="minorEastAsia"/>
                <w:lang w:val="zh-CN"/>
              </w:rPr>
              <w:t>防止过度开发</w:t>
            </w:r>
            <w:r w:rsidRPr="00BC18F9">
              <w:rPr>
                <w:rFonts w:eastAsiaTheme="minorEastAsia"/>
              </w:rPr>
              <w:t>，</w:t>
            </w:r>
            <w:r w:rsidRPr="00BC18F9">
              <w:rPr>
                <w:rFonts w:eastAsiaTheme="minorEastAsia"/>
                <w:lang w:val="zh-CN"/>
              </w:rPr>
              <w:t>减少对非目标物种和生态系统的影响</w:t>
            </w:r>
            <w:r w:rsidRPr="00BC18F9">
              <w:rPr>
                <w:rFonts w:eastAsiaTheme="minorEastAsia"/>
              </w:rPr>
              <w:t>，</w:t>
            </w:r>
            <w:r w:rsidRPr="00BC18F9">
              <w:rPr>
                <w:rFonts w:eastAsiaTheme="minorEastAsia"/>
                <w:lang w:val="zh-CN"/>
              </w:rPr>
              <w:t>减少病原体溢出的风险</w:t>
            </w:r>
            <w:r w:rsidRPr="00BC18F9">
              <w:rPr>
                <w:rFonts w:eastAsiaTheme="minorEastAsia"/>
              </w:rPr>
              <w:t>，</w:t>
            </w:r>
            <w:r w:rsidRPr="00BC18F9">
              <w:rPr>
                <w:rFonts w:eastAsiaTheme="minorEastAsia"/>
                <w:lang w:val="zh-CN"/>
              </w:rPr>
              <w:t>采用生态系统方法</w:t>
            </w:r>
            <w:r w:rsidRPr="00BC18F9">
              <w:rPr>
                <w:rFonts w:eastAsiaTheme="minorEastAsia"/>
              </w:rPr>
              <w:t>，</w:t>
            </w:r>
            <w:r w:rsidRPr="00BC18F9">
              <w:rPr>
                <w:rFonts w:eastAsiaTheme="minorEastAsia"/>
                <w:lang w:val="zh-CN"/>
              </w:rPr>
              <w:t>同时尊重和保护土著人民和地方社区的可持续习惯使用。</w:t>
            </w:r>
          </w:p>
        </w:tc>
        <w:tc>
          <w:tcPr>
            <w:tcW w:w="2552" w:type="dxa"/>
          </w:tcPr>
          <w:p w14:paraId="06027489" w14:textId="77777777" w:rsidR="00FB10AA" w:rsidRPr="00BC18F9" w:rsidRDefault="00FB10AA">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5</w:t>
            </w:r>
            <w:r w:rsidRPr="00BC18F9">
              <w:rPr>
                <w:rFonts w:eastAsiaTheme="minorEastAsia"/>
                <w:lang w:val="zh-CN"/>
              </w:rPr>
              <w:t>）</w:t>
            </w:r>
          </w:p>
        </w:tc>
      </w:tr>
      <w:tr w:rsidR="00FB10AA" w14:paraId="7107BF69" w14:textId="77777777">
        <w:tc>
          <w:tcPr>
            <w:tcW w:w="1701" w:type="dxa"/>
            <w:vMerge w:val="restart"/>
          </w:tcPr>
          <w:p w14:paraId="773F93C8" w14:textId="77777777" w:rsidR="00FB10AA" w:rsidRPr="00BC18F9" w:rsidRDefault="00FB10AA">
            <w:pPr>
              <w:jc w:val="left"/>
              <w:rPr>
                <w:rFonts w:eastAsiaTheme="minorEastAsia"/>
              </w:rPr>
            </w:pPr>
            <w:r w:rsidRPr="00BC18F9">
              <w:rPr>
                <w:rFonts w:eastAsiaTheme="minorEastAsia"/>
                <w:lang w:val="zh-CN"/>
              </w:rPr>
              <w:t>基于人权的方法和包容</w:t>
            </w:r>
            <w:proofErr w:type="gramStart"/>
            <w:r w:rsidRPr="00BC18F9">
              <w:rPr>
                <w:rFonts w:eastAsiaTheme="minorEastAsia"/>
                <w:lang w:val="zh-CN"/>
              </w:rPr>
              <w:t>性参与</w:t>
            </w:r>
            <w:proofErr w:type="gramEnd"/>
          </w:p>
        </w:tc>
        <w:tc>
          <w:tcPr>
            <w:tcW w:w="4536" w:type="dxa"/>
          </w:tcPr>
          <w:p w14:paraId="5D15585D" w14:textId="77777777" w:rsidR="00FB10AA" w:rsidRPr="00BC18F9" w:rsidRDefault="00FB10AA">
            <w:pPr>
              <w:jc w:val="left"/>
              <w:rPr>
                <w:rFonts w:eastAsiaTheme="minorEastAsia"/>
              </w:rPr>
            </w:pPr>
            <w:r w:rsidRPr="00BC18F9">
              <w:rPr>
                <w:rFonts w:eastAsiaTheme="minorEastAsia"/>
                <w:lang w:val="zh-CN"/>
              </w:rPr>
              <w:t>在符合本国法律前提下</w:t>
            </w:r>
            <w:r w:rsidRPr="00BC18F9">
              <w:rPr>
                <w:rFonts w:eastAsiaTheme="minorEastAsia"/>
              </w:rPr>
              <w:t>，</w:t>
            </w:r>
            <w:r w:rsidRPr="00BC18F9">
              <w:rPr>
                <w:rFonts w:eastAsiaTheme="minorEastAsia"/>
                <w:lang w:val="zh-CN"/>
              </w:rPr>
              <w:t>每一缔约方应尊重、保存和维护土著人民和地方社区体现传统生活方式并与生物多样性保护和</w:t>
            </w:r>
            <w:proofErr w:type="gramStart"/>
            <w:r w:rsidRPr="00BC18F9">
              <w:rPr>
                <w:rFonts w:eastAsiaTheme="minorEastAsia"/>
                <w:lang w:val="zh-CN"/>
              </w:rPr>
              <w:t>可</w:t>
            </w:r>
            <w:proofErr w:type="gramEnd"/>
            <w:r w:rsidRPr="00BC18F9">
              <w:rPr>
                <w:rFonts w:eastAsiaTheme="minorEastAsia"/>
                <w:lang w:val="zh-CN"/>
              </w:rPr>
              <w:t>持续利用相关的知识、创新和做法</w:t>
            </w:r>
            <w:r w:rsidRPr="00BC18F9">
              <w:rPr>
                <w:rFonts w:eastAsiaTheme="minorEastAsia"/>
              </w:rPr>
              <w:t>；</w:t>
            </w:r>
            <w:r w:rsidRPr="00BC18F9">
              <w:rPr>
                <w:rFonts w:eastAsiaTheme="minorEastAsia"/>
                <w:lang w:val="zh-CN"/>
              </w:rPr>
              <w:t>在征得此类知识、创新和做法持有者的同意并使其参与的情况下</w:t>
            </w:r>
            <w:r w:rsidRPr="00BC18F9">
              <w:rPr>
                <w:rFonts w:eastAsiaTheme="minorEastAsia"/>
              </w:rPr>
              <w:t>，</w:t>
            </w:r>
            <w:r w:rsidRPr="00BC18F9">
              <w:rPr>
                <w:rFonts w:eastAsiaTheme="minorEastAsia"/>
                <w:lang w:val="zh-CN"/>
              </w:rPr>
              <w:t>促进其更广泛的应用</w:t>
            </w:r>
            <w:r w:rsidRPr="00BC18F9">
              <w:rPr>
                <w:rFonts w:eastAsiaTheme="minorEastAsia"/>
              </w:rPr>
              <w:t>；</w:t>
            </w:r>
            <w:r w:rsidRPr="00BC18F9">
              <w:rPr>
                <w:rFonts w:eastAsiaTheme="minorEastAsia"/>
                <w:lang w:val="zh-CN"/>
              </w:rPr>
              <w:t>鼓励公平分享利用此类知识、创新和做法所产生的惠益。</w:t>
            </w:r>
          </w:p>
        </w:tc>
        <w:tc>
          <w:tcPr>
            <w:tcW w:w="2552" w:type="dxa"/>
          </w:tcPr>
          <w:p w14:paraId="16EBD99B" w14:textId="224443E6" w:rsidR="00FB10AA" w:rsidRPr="00BC18F9" w:rsidRDefault="00FB10AA">
            <w:pPr>
              <w:jc w:val="left"/>
              <w:rPr>
                <w:rFonts w:eastAsiaTheme="minorEastAsia"/>
              </w:rPr>
            </w:pPr>
            <w:r w:rsidRPr="00BC18F9">
              <w:rPr>
                <w:rFonts w:eastAsiaTheme="minorEastAsia"/>
                <w:noProof/>
              </w:rPr>
              <w:t>《生物多样性公约》（第</w:t>
            </w:r>
            <w:r w:rsidRPr="00BC18F9">
              <w:rPr>
                <w:rFonts w:eastAsiaTheme="minorEastAsia"/>
                <w:noProof/>
              </w:rPr>
              <w:t>8</w:t>
            </w:r>
            <w:r w:rsidR="00573588">
              <w:rPr>
                <w:rFonts w:eastAsiaTheme="minorEastAsia" w:hint="eastAsia"/>
                <w:noProof/>
              </w:rPr>
              <w:t xml:space="preserve"> </w:t>
            </w:r>
            <w:r w:rsidR="00AF3836">
              <w:rPr>
                <w:rFonts w:eastAsiaTheme="minorEastAsia" w:hint="eastAsia"/>
                <w:noProof/>
              </w:rPr>
              <w:t>条</w:t>
            </w:r>
            <w:r w:rsidRPr="00BC18F9">
              <w:rPr>
                <w:rFonts w:eastAsiaTheme="minorEastAsia"/>
                <w:noProof/>
              </w:rPr>
              <w:t>（</w:t>
            </w:r>
            <w:r w:rsidRPr="00BC18F9">
              <w:rPr>
                <w:rFonts w:eastAsiaTheme="minorEastAsia"/>
                <w:noProof/>
              </w:rPr>
              <w:t>j</w:t>
            </w:r>
            <w:r w:rsidRPr="00BC18F9">
              <w:rPr>
                <w:rFonts w:eastAsiaTheme="minorEastAsia"/>
                <w:noProof/>
              </w:rPr>
              <w:t>）</w:t>
            </w:r>
            <w:r w:rsidR="00C95E22">
              <w:rPr>
                <w:rFonts w:eastAsiaTheme="minorEastAsia" w:hint="eastAsia"/>
                <w:noProof/>
              </w:rPr>
              <w:t>款</w:t>
            </w:r>
            <w:r w:rsidRPr="00BC18F9">
              <w:rPr>
                <w:rFonts w:eastAsiaTheme="minorEastAsia"/>
                <w:noProof/>
              </w:rPr>
              <w:t>）</w:t>
            </w:r>
          </w:p>
        </w:tc>
      </w:tr>
      <w:tr w:rsidR="00FB10AA" w14:paraId="60A9C214" w14:textId="77777777">
        <w:tc>
          <w:tcPr>
            <w:tcW w:w="1701" w:type="dxa"/>
            <w:vMerge/>
          </w:tcPr>
          <w:p w14:paraId="51471083" w14:textId="77777777" w:rsidR="00FB10AA" w:rsidRPr="00BC18F9" w:rsidRDefault="00FB10AA">
            <w:pPr>
              <w:jc w:val="left"/>
              <w:rPr>
                <w:rFonts w:eastAsiaTheme="minorEastAsia"/>
              </w:rPr>
            </w:pPr>
          </w:p>
        </w:tc>
        <w:tc>
          <w:tcPr>
            <w:tcW w:w="4536" w:type="dxa"/>
          </w:tcPr>
          <w:p w14:paraId="2E5144B0" w14:textId="77777777" w:rsidR="00FB10AA" w:rsidRPr="00BC18F9" w:rsidRDefault="00FB10AA">
            <w:pPr>
              <w:jc w:val="left"/>
              <w:rPr>
                <w:rFonts w:eastAsiaTheme="minorEastAsia"/>
              </w:rPr>
            </w:pPr>
            <w:r w:rsidRPr="00BC18F9">
              <w:rPr>
                <w:rFonts w:eastAsiaTheme="minorEastAsia"/>
                <w:lang w:val="zh-CN"/>
              </w:rPr>
              <w:t>各国在通过和实行可能影响到土著人民和地方社区的立法或行政措施前</w:t>
            </w:r>
            <w:r w:rsidRPr="00BC18F9">
              <w:rPr>
                <w:rFonts w:eastAsiaTheme="minorEastAsia"/>
              </w:rPr>
              <w:t>，</w:t>
            </w:r>
            <w:r w:rsidRPr="00BC18F9">
              <w:rPr>
                <w:rFonts w:eastAsiaTheme="minorEastAsia"/>
                <w:lang w:val="zh-CN"/>
              </w:rPr>
              <w:t>应本着诚意</w:t>
            </w:r>
            <w:r w:rsidRPr="00BC18F9">
              <w:rPr>
                <w:rFonts w:eastAsiaTheme="minorEastAsia"/>
              </w:rPr>
              <w:t>，</w:t>
            </w:r>
            <w:r w:rsidRPr="00BC18F9">
              <w:rPr>
                <w:rFonts w:eastAsiaTheme="minorEastAsia"/>
                <w:lang w:val="zh-CN"/>
              </w:rPr>
              <w:t>与相关土著人民和地方社区进行协商和合作</w:t>
            </w:r>
            <w:r w:rsidRPr="00BC18F9">
              <w:rPr>
                <w:rFonts w:eastAsiaTheme="minorEastAsia"/>
              </w:rPr>
              <w:t>，</w:t>
            </w:r>
            <w:r w:rsidRPr="00BC18F9">
              <w:rPr>
                <w:rFonts w:eastAsiaTheme="minorEastAsia"/>
                <w:lang w:val="zh-CN"/>
              </w:rPr>
              <w:t>事先征得他们的自由知情同意。</w:t>
            </w:r>
            <w:r w:rsidRPr="00BC18F9">
              <w:rPr>
                <w:rFonts w:eastAsiaTheme="minorEastAsia"/>
              </w:rPr>
              <w:t xml:space="preserve"> </w:t>
            </w:r>
          </w:p>
        </w:tc>
        <w:tc>
          <w:tcPr>
            <w:tcW w:w="2552" w:type="dxa"/>
          </w:tcPr>
          <w:p w14:paraId="7EC4D845" w14:textId="77777777" w:rsidR="00FB10AA" w:rsidRPr="00BC18F9" w:rsidRDefault="00FB10AA">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w:t>
            </w:r>
            <w:r w:rsidRPr="00BC18F9">
              <w:rPr>
                <w:rFonts w:eastAsiaTheme="minorEastAsia"/>
                <w:lang w:val="zh-CN"/>
              </w:rPr>
              <w:t>C</w:t>
            </w:r>
            <w:r w:rsidRPr="00BC18F9">
              <w:rPr>
                <w:rFonts w:eastAsiaTheme="minorEastAsia"/>
                <w:lang w:val="zh-CN"/>
              </w:rPr>
              <w:t>部分）</w:t>
            </w:r>
          </w:p>
        </w:tc>
      </w:tr>
      <w:tr w:rsidR="00FB10AA" w14:paraId="55394808" w14:textId="77777777">
        <w:tc>
          <w:tcPr>
            <w:tcW w:w="1701" w:type="dxa"/>
            <w:vMerge/>
          </w:tcPr>
          <w:p w14:paraId="6B877292" w14:textId="77777777" w:rsidR="00FB10AA" w:rsidRPr="00BC18F9" w:rsidRDefault="00FB10AA">
            <w:pPr>
              <w:jc w:val="left"/>
              <w:rPr>
                <w:rFonts w:eastAsiaTheme="minorEastAsia"/>
              </w:rPr>
            </w:pPr>
          </w:p>
        </w:tc>
        <w:tc>
          <w:tcPr>
            <w:tcW w:w="4536" w:type="dxa"/>
          </w:tcPr>
          <w:p w14:paraId="46434E2A" w14:textId="77777777" w:rsidR="00FB10AA" w:rsidRPr="00BC18F9" w:rsidRDefault="00FB10AA">
            <w:pPr>
              <w:jc w:val="left"/>
              <w:rPr>
                <w:rFonts w:eastAsiaTheme="minorEastAsia"/>
              </w:rPr>
            </w:pPr>
            <w:r w:rsidRPr="00BC18F9">
              <w:rPr>
                <w:rFonts w:eastAsiaTheme="minorEastAsia"/>
                <w:lang w:val="zh-CN"/>
              </w:rPr>
              <w:t>缔约方必须考虑到妇女在野生生物管理方面的作用、知识和做法</w:t>
            </w:r>
            <w:r w:rsidRPr="00BC18F9">
              <w:rPr>
                <w:rFonts w:eastAsiaTheme="minorEastAsia"/>
              </w:rPr>
              <w:t>，</w:t>
            </w:r>
            <w:r w:rsidRPr="00BC18F9">
              <w:rPr>
                <w:rFonts w:eastAsiaTheme="minorEastAsia"/>
                <w:lang w:val="zh-CN"/>
              </w:rPr>
              <w:t>并在保障其权利与安全时</w:t>
            </w:r>
            <w:r w:rsidRPr="00BC18F9">
              <w:rPr>
                <w:rFonts w:eastAsiaTheme="minorEastAsia"/>
              </w:rPr>
              <w:t>，</w:t>
            </w:r>
            <w:r w:rsidRPr="00BC18F9">
              <w:rPr>
                <w:rFonts w:eastAsiaTheme="minorEastAsia"/>
                <w:lang w:val="zh-CN"/>
              </w:rPr>
              <w:t>采用性别平等的方法。</w:t>
            </w:r>
          </w:p>
        </w:tc>
        <w:tc>
          <w:tcPr>
            <w:tcW w:w="2552" w:type="dxa"/>
          </w:tcPr>
          <w:p w14:paraId="1F1A764E" w14:textId="77777777" w:rsidR="00FB10AA" w:rsidRPr="00BC18F9" w:rsidRDefault="00FB10AA">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22</w:t>
            </w:r>
            <w:r w:rsidRPr="00BC18F9">
              <w:rPr>
                <w:rFonts w:eastAsiaTheme="minorEastAsia"/>
                <w:lang w:val="zh-CN"/>
              </w:rPr>
              <w:t>）</w:t>
            </w:r>
          </w:p>
        </w:tc>
      </w:tr>
      <w:tr w:rsidR="00FB10AA" w14:paraId="05B38D37" w14:textId="77777777">
        <w:tc>
          <w:tcPr>
            <w:tcW w:w="1701" w:type="dxa"/>
            <w:vMerge w:val="restart"/>
          </w:tcPr>
          <w:p w14:paraId="118D2F81" w14:textId="77777777" w:rsidR="00FB10AA" w:rsidRPr="00BC18F9" w:rsidRDefault="00FB10AA">
            <w:pPr>
              <w:jc w:val="left"/>
              <w:rPr>
                <w:rFonts w:eastAsiaTheme="minorEastAsia"/>
              </w:rPr>
            </w:pPr>
            <w:r w:rsidRPr="00BC18F9">
              <w:rPr>
                <w:rFonts w:eastAsiaTheme="minorEastAsia"/>
                <w:lang w:val="zh-CN"/>
              </w:rPr>
              <w:t>公平和公正分享惠益</w:t>
            </w:r>
          </w:p>
        </w:tc>
        <w:tc>
          <w:tcPr>
            <w:tcW w:w="4536" w:type="dxa"/>
          </w:tcPr>
          <w:p w14:paraId="70641E1C" w14:textId="77777777" w:rsidR="00FB10AA" w:rsidRPr="00BC18F9" w:rsidRDefault="00FB10AA">
            <w:pPr>
              <w:jc w:val="left"/>
              <w:rPr>
                <w:rFonts w:eastAsiaTheme="minorEastAsia"/>
              </w:rPr>
            </w:pPr>
            <w:r w:rsidRPr="00BC18F9">
              <w:rPr>
                <w:rFonts w:eastAsiaTheme="minorEastAsia"/>
                <w:lang w:val="zh-CN"/>
              </w:rPr>
              <w:t>在公平分配野生生物管理所产生的惠益时</w:t>
            </w:r>
            <w:r w:rsidRPr="00BC18F9">
              <w:rPr>
                <w:rFonts w:eastAsiaTheme="minorEastAsia"/>
              </w:rPr>
              <w:t>，</w:t>
            </w:r>
            <w:r w:rsidRPr="00BC18F9">
              <w:rPr>
                <w:rFonts w:eastAsiaTheme="minorEastAsia"/>
                <w:lang w:val="zh-CN"/>
              </w:rPr>
              <w:t>应体现土著人民和地方社区的需求与贡献。</w:t>
            </w:r>
          </w:p>
        </w:tc>
        <w:tc>
          <w:tcPr>
            <w:tcW w:w="2552" w:type="dxa"/>
          </w:tcPr>
          <w:p w14:paraId="4BE4057E" w14:textId="77777777" w:rsidR="00FB10AA" w:rsidRPr="00BC18F9" w:rsidRDefault="00FB10AA">
            <w:pPr>
              <w:jc w:val="left"/>
              <w:rPr>
                <w:rFonts w:eastAsiaTheme="minorEastAsia"/>
              </w:rPr>
            </w:pPr>
            <w:r w:rsidRPr="00BC18F9">
              <w:rPr>
                <w:rFonts w:eastAsiaTheme="minorEastAsia"/>
                <w:lang w:val="zh-CN"/>
              </w:rPr>
              <w:t>《亚的斯亚贝巴原则和准则》</w:t>
            </w:r>
          </w:p>
        </w:tc>
      </w:tr>
      <w:tr w:rsidR="00FB10AA" w14:paraId="54A400D3" w14:textId="77777777">
        <w:trPr>
          <w:trHeight w:val="837"/>
        </w:trPr>
        <w:tc>
          <w:tcPr>
            <w:tcW w:w="1701" w:type="dxa"/>
            <w:vMerge/>
          </w:tcPr>
          <w:p w14:paraId="543D33AC" w14:textId="77777777" w:rsidR="00FB10AA" w:rsidRPr="00BC18F9" w:rsidRDefault="00FB10AA">
            <w:pPr>
              <w:jc w:val="left"/>
              <w:rPr>
                <w:rFonts w:eastAsiaTheme="minorEastAsia"/>
              </w:rPr>
            </w:pPr>
          </w:p>
        </w:tc>
        <w:tc>
          <w:tcPr>
            <w:tcW w:w="4536" w:type="dxa"/>
          </w:tcPr>
          <w:p w14:paraId="4AF42C45" w14:textId="77777777" w:rsidR="00FB10AA" w:rsidRPr="00BC18F9" w:rsidRDefault="00FB10AA">
            <w:pPr>
              <w:jc w:val="left"/>
              <w:rPr>
                <w:rFonts w:eastAsiaTheme="minorEastAsia"/>
              </w:rPr>
            </w:pPr>
            <w:r w:rsidRPr="00BC18F9">
              <w:rPr>
                <w:rFonts w:eastAsiaTheme="minorEastAsia"/>
                <w:lang w:val="zh-CN"/>
              </w:rPr>
              <w:t>管理和保护野生生物的费用应列入和体现在其利用所产生的惠益分配之中。</w:t>
            </w:r>
          </w:p>
        </w:tc>
        <w:tc>
          <w:tcPr>
            <w:tcW w:w="2552" w:type="dxa"/>
          </w:tcPr>
          <w:p w14:paraId="1453244B" w14:textId="77777777" w:rsidR="00FB10AA" w:rsidRPr="00BC18F9" w:rsidRDefault="00FB10AA">
            <w:pPr>
              <w:jc w:val="left"/>
              <w:rPr>
                <w:rFonts w:eastAsiaTheme="minorEastAsia"/>
              </w:rPr>
            </w:pPr>
            <w:r w:rsidRPr="00BC18F9">
              <w:rPr>
                <w:rFonts w:eastAsiaTheme="minorEastAsia"/>
                <w:lang w:val="zh-CN"/>
              </w:rPr>
              <w:t>《亚的斯亚贝巴原则和准则》</w:t>
            </w:r>
          </w:p>
        </w:tc>
      </w:tr>
      <w:tr w:rsidR="00FB10AA" w14:paraId="2B16D98C" w14:textId="77777777">
        <w:tc>
          <w:tcPr>
            <w:tcW w:w="1701" w:type="dxa"/>
            <w:vMerge w:val="restart"/>
          </w:tcPr>
          <w:p w14:paraId="32C0859B" w14:textId="77777777" w:rsidR="00FB10AA" w:rsidRPr="00BC18F9" w:rsidRDefault="00FB10AA">
            <w:pPr>
              <w:jc w:val="left"/>
              <w:rPr>
                <w:rFonts w:eastAsiaTheme="minorEastAsia"/>
              </w:rPr>
            </w:pPr>
            <w:r w:rsidRPr="00BC18F9">
              <w:rPr>
                <w:rFonts w:eastAsiaTheme="minorEastAsia"/>
                <w:lang w:val="zh-CN"/>
              </w:rPr>
              <w:t>整合知识体系与适应性管理措施</w:t>
            </w:r>
          </w:p>
        </w:tc>
        <w:tc>
          <w:tcPr>
            <w:tcW w:w="4536" w:type="dxa"/>
          </w:tcPr>
          <w:p w14:paraId="1ED254D1" w14:textId="77777777" w:rsidR="00FB10AA" w:rsidRPr="00BC18F9" w:rsidRDefault="00FB10AA">
            <w:pPr>
              <w:jc w:val="left"/>
              <w:rPr>
                <w:rFonts w:eastAsiaTheme="minorEastAsia"/>
              </w:rPr>
            </w:pPr>
            <w:r w:rsidRPr="00BC18F9">
              <w:rPr>
                <w:rFonts w:eastAsiaTheme="minorEastAsia"/>
                <w:lang w:val="zh-CN"/>
              </w:rPr>
              <w:t>应基于科学知识、地方知识和传统知识</w:t>
            </w:r>
            <w:r w:rsidRPr="00BC18F9">
              <w:rPr>
                <w:rFonts w:eastAsiaTheme="minorEastAsia"/>
              </w:rPr>
              <w:t>，</w:t>
            </w:r>
            <w:r w:rsidRPr="00BC18F9">
              <w:rPr>
                <w:rFonts w:eastAsiaTheme="minorEastAsia"/>
                <w:lang w:val="zh-CN"/>
              </w:rPr>
              <w:t>实施野生生物适应性管理。</w:t>
            </w:r>
          </w:p>
        </w:tc>
        <w:tc>
          <w:tcPr>
            <w:tcW w:w="2552" w:type="dxa"/>
          </w:tcPr>
          <w:p w14:paraId="060C90AC" w14:textId="77777777" w:rsidR="00FB10AA" w:rsidRPr="00BC18F9" w:rsidRDefault="00FB10AA">
            <w:pPr>
              <w:jc w:val="left"/>
              <w:rPr>
                <w:rFonts w:eastAsiaTheme="minorEastAsia"/>
              </w:rPr>
            </w:pPr>
            <w:r w:rsidRPr="00BC18F9">
              <w:rPr>
                <w:rFonts w:eastAsiaTheme="minorEastAsia"/>
                <w:lang w:val="zh-CN"/>
              </w:rPr>
              <w:t>《亚的斯亚贝巴原则和准则》</w:t>
            </w:r>
          </w:p>
        </w:tc>
      </w:tr>
      <w:tr w:rsidR="00FB10AA" w14:paraId="25A02749" w14:textId="77777777">
        <w:tc>
          <w:tcPr>
            <w:tcW w:w="1701" w:type="dxa"/>
            <w:vMerge/>
          </w:tcPr>
          <w:p w14:paraId="26A49924" w14:textId="77777777" w:rsidR="00FB10AA" w:rsidRPr="00BC18F9" w:rsidRDefault="00FB10AA">
            <w:pPr>
              <w:jc w:val="left"/>
              <w:rPr>
                <w:rFonts w:eastAsiaTheme="minorEastAsia"/>
              </w:rPr>
            </w:pPr>
          </w:p>
        </w:tc>
        <w:tc>
          <w:tcPr>
            <w:tcW w:w="4536" w:type="dxa"/>
          </w:tcPr>
          <w:p w14:paraId="1393C649" w14:textId="77777777" w:rsidR="00FB10AA" w:rsidRPr="00BC18F9" w:rsidRDefault="00FB10AA">
            <w:pPr>
              <w:jc w:val="left"/>
              <w:rPr>
                <w:rFonts w:eastAsiaTheme="minorEastAsia"/>
              </w:rPr>
            </w:pPr>
            <w:r w:rsidRPr="00BC18F9">
              <w:rPr>
                <w:rFonts w:eastAsiaTheme="minorEastAsia"/>
                <w:lang w:val="zh-CN"/>
              </w:rPr>
              <w:t>应根据对利用情况、环境和社会经济影响以及所利用资源状况的监测而获得的迭代、及时和透明的反馈实施适应性管理。</w:t>
            </w:r>
          </w:p>
        </w:tc>
        <w:tc>
          <w:tcPr>
            <w:tcW w:w="2552" w:type="dxa"/>
          </w:tcPr>
          <w:p w14:paraId="272A8795" w14:textId="77777777" w:rsidR="00FB10AA" w:rsidRPr="00BC18F9" w:rsidRDefault="00FB10AA">
            <w:pPr>
              <w:jc w:val="left"/>
              <w:rPr>
                <w:rFonts w:eastAsiaTheme="minorEastAsia"/>
              </w:rPr>
            </w:pPr>
            <w:r w:rsidRPr="00BC18F9">
              <w:rPr>
                <w:rFonts w:eastAsiaTheme="minorEastAsia"/>
                <w:lang w:val="zh-CN"/>
              </w:rPr>
              <w:t>《亚的斯亚贝巴原则和准则》</w:t>
            </w:r>
          </w:p>
        </w:tc>
      </w:tr>
      <w:tr w:rsidR="00FB10AA" w14:paraId="0DC80E16" w14:textId="77777777">
        <w:tc>
          <w:tcPr>
            <w:tcW w:w="1701" w:type="dxa"/>
            <w:vMerge/>
          </w:tcPr>
          <w:p w14:paraId="0C0FF24A" w14:textId="77777777" w:rsidR="00FB10AA" w:rsidRPr="00BC18F9" w:rsidRDefault="00FB10AA">
            <w:pPr>
              <w:jc w:val="left"/>
              <w:rPr>
                <w:rFonts w:eastAsiaTheme="minorEastAsia"/>
              </w:rPr>
            </w:pPr>
          </w:p>
        </w:tc>
        <w:tc>
          <w:tcPr>
            <w:tcW w:w="4536" w:type="dxa"/>
          </w:tcPr>
          <w:p w14:paraId="5ACEC165" w14:textId="77777777" w:rsidR="00FB10AA" w:rsidRPr="00BC18F9" w:rsidRDefault="00FB10AA">
            <w:pPr>
              <w:jc w:val="left"/>
              <w:rPr>
                <w:rFonts w:eastAsiaTheme="minorEastAsia"/>
              </w:rPr>
            </w:pPr>
            <w:r w:rsidRPr="00BC18F9">
              <w:rPr>
                <w:rFonts w:eastAsiaTheme="minorEastAsia"/>
                <w:lang w:val="zh-CN"/>
              </w:rPr>
              <w:t>在利用传统知识和本地知识时</w:t>
            </w:r>
            <w:r w:rsidRPr="00BC18F9">
              <w:rPr>
                <w:rFonts w:eastAsiaTheme="minorEastAsia"/>
              </w:rPr>
              <w:t>，</w:t>
            </w:r>
            <w:r w:rsidRPr="00BC18F9">
              <w:rPr>
                <w:rFonts w:eastAsiaTheme="minorEastAsia"/>
                <w:lang w:val="zh-CN"/>
              </w:rPr>
              <w:t>缔约方应采取适当行动</w:t>
            </w:r>
            <w:r w:rsidRPr="00BC18F9">
              <w:rPr>
                <w:rFonts w:eastAsiaTheme="minorEastAsia"/>
              </w:rPr>
              <w:t>，</w:t>
            </w:r>
            <w:r w:rsidRPr="00BC18F9">
              <w:rPr>
                <w:rFonts w:eastAsiaTheme="minorEastAsia"/>
                <w:lang w:val="zh-CN"/>
              </w:rPr>
              <w:t>确保获得</w:t>
            </w:r>
            <w:proofErr w:type="gramStart"/>
            <w:r w:rsidRPr="00BC18F9">
              <w:rPr>
                <w:rFonts w:eastAsiaTheme="minorEastAsia"/>
                <w:lang w:val="zh-CN"/>
              </w:rPr>
              <w:t>该知识</w:t>
            </w:r>
            <w:proofErr w:type="gramEnd"/>
            <w:r w:rsidRPr="00BC18F9">
              <w:rPr>
                <w:rFonts w:eastAsiaTheme="minorEastAsia"/>
                <w:lang w:val="zh-CN"/>
              </w:rPr>
              <w:t>持有者的同意和批准。</w:t>
            </w:r>
          </w:p>
        </w:tc>
        <w:tc>
          <w:tcPr>
            <w:tcW w:w="2552" w:type="dxa"/>
          </w:tcPr>
          <w:p w14:paraId="48DE2897" w14:textId="77777777" w:rsidR="00FB10AA" w:rsidRPr="00BC18F9" w:rsidRDefault="00FB10AA">
            <w:pPr>
              <w:jc w:val="left"/>
              <w:rPr>
                <w:rFonts w:eastAsiaTheme="minorEastAsia"/>
              </w:rPr>
            </w:pPr>
            <w:r w:rsidRPr="00BC18F9">
              <w:rPr>
                <w:rFonts w:eastAsiaTheme="minorEastAsia"/>
                <w:color w:val="000000"/>
                <w:lang w:val="zh-CN"/>
              </w:rPr>
              <w:t>《</w:t>
            </w:r>
            <w:r w:rsidRPr="00BC18F9">
              <w:rPr>
                <w:rFonts w:eastAsiaTheme="minorEastAsia"/>
                <w:color w:val="000000"/>
                <w:lang w:val="zh-CN"/>
              </w:rPr>
              <w:t>“</w:t>
            </w:r>
            <w:r w:rsidRPr="00BC18F9">
              <w:rPr>
                <w:rFonts w:eastAsiaTheme="minorEastAsia"/>
                <w:color w:val="000000"/>
                <w:lang w:val="zh-CN"/>
              </w:rPr>
              <w:t>生命之根</w:t>
            </w:r>
            <w:r w:rsidRPr="00BC18F9">
              <w:rPr>
                <w:rFonts w:eastAsiaTheme="minorEastAsia"/>
                <w:color w:val="000000"/>
                <w:lang w:val="zh-CN"/>
              </w:rPr>
              <w:t>”</w:t>
            </w:r>
            <w:r w:rsidRPr="00BC18F9">
              <w:rPr>
                <w:rFonts w:eastAsiaTheme="minorEastAsia"/>
                <w:color w:val="000000"/>
                <w:lang w:val="zh-CN"/>
              </w:rPr>
              <w:t>自愿准则》（第</w:t>
            </w:r>
            <w:hyperlink r:id="rId36" w:history="1">
              <w:r w:rsidRPr="00BC18F9">
                <w:rPr>
                  <w:rStyle w:val="Hyperlink"/>
                  <w:rFonts w:eastAsiaTheme="minorEastAsia"/>
                  <w:lang w:val="zh-CN"/>
                </w:rPr>
                <w:t>XIII/18</w:t>
              </w:r>
            </w:hyperlink>
            <w:r w:rsidRPr="00BC18F9">
              <w:rPr>
                <w:rFonts w:eastAsiaTheme="minorEastAsia"/>
                <w:color w:val="000000"/>
                <w:lang w:val="zh-CN"/>
              </w:rPr>
              <w:t>号决定，附件）</w:t>
            </w:r>
          </w:p>
        </w:tc>
      </w:tr>
      <w:tr w:rsidR="00FB10AA" w14:paraId="2874001B" w14:textId="77777777">
        <w:tc>
          <w:tcPr>
            <w:tcW w:w="1701" w:type="dxa"/>
            <w:vMerge w:val="restart"/>
          </w:tcPr>
          <w:p w14:paraId="4ED124AE" w14:textId="77777777" w:rsidR="00FB10AA" w:rsidRPr="00BC18F9" w:rsidRDefault="00FB10AA">
            <w:pPr>
              <w:jc w:val="left"/>
              <w:rPr>
                <w:rFonts w:eastAsiaTheme="minorEastAsia"/>
              </w:rPr>
            </w:pPr>
            <w:r w:rsidRPr="00BC18F9">
              <w:rPr>
                <w:rFonts w:eastAsiaTheme="minorEastAsia"/>
                <w:lang w:val="zh-CN"/>
              </w:rPr>
              <w:t>政策一致性与体制协调</w:t>
            </w:r>
          </w:p>
        </w:tc>
        <w:tc>
          <w:tcPr>
            <w:tcW w:w="4536" w:type="dxa"/>
          </w:tcPr>
          <w:p w14:paraId="4878F403" w14:textId="77777777" w:rsidR="00FB10AA" w:rsidRPr="00BC18F9" w:rsidRDefault="00FB10AA">
            <w:pPr>
              <w:jc w:val="left"/>
              <w:rPr>
                <w:rFonts w:eastAsiaTheme="minorEastAsia"/>
              </w:rPr>
            </w:pPr>
            <w:r w:rsidRPr="00BC18F9">
              <w:rPr>
                <w:rFonts w:eastAsiaTheme="minorEastAsia"/>
                <w:lang w:val="zh-CN"/>
              </w:rPr>
              <w:t>各级治理层面均应制</w:t>
            </w:r>
            <w:proofErr w:type="gramStart"/>
            <w:r w:rsidRPr="00BC18F9">
              <w:rPr>
                <w:rFonts w:eastAsiaTheme="minorEastAsia"/>
                <w:lang w:val="zh-CN"/>
              </w:rPr>
              <w:t>订支持</w:t>
            </w:r>
            <w:proofErr w:type="gramEnd"/>
            <w:r w:rsidRPr="00BC18F9">
              <w:rPr>
                <w:rFonts w:eastAsiaTheme="minorEastAsia"/>
                <w:lang w:val="zh-CN"/>
              </w:rPr>
              <w:t>性政策、法律和体制</w:t>
            </w:r>
            <w:r w:rsidRPr="00BC18F9">
              <w:rPr>
                <w:rFonts w:eastAsiaTheme="minorEastAsia"/>
              </w:rPr>
              <w:t>，</w:t>
            </w:r>
            <w:r w:rsidRPr="00BC18F9">
              <w:rPr>
                <w:rFonts w:eastAsiaTheme="minorEastAsia"/>
                <w:lang w:val="zh-CN"/>
              </w:rPr>
              <w:t>并确保各级之间存在有效的联系。</w:t>
            </w:r>
          </w:p>
        </w:tc>
        <w:tc>
          <w:tcPr>
            <w:tcW w:w="2552" w:type="dxa"/>
          </w:tcPr>
          <w:p w14:paraId="6335F7E5" w14:textId="77777777" w:rsidR="00FB10AA" w:rsidRPr="00BC18F9" w:rsidRDefault="00FB10AA">
            <w:pPr>
              <w:jc w:val="left"/>
              <w:rPr>
                <w:rFonts w:eastAsiaTheme="minorEastAsia"/>
              </w:rPr>
            </w:pPr>
            <w:r w:rsidRPr="00BC18F9">
              <w:rPr>
                <w:rFonts w:eastAsiaTheme="minorEastAsia"/>
                <w:lang w:val="zh-CN"/>
              </w:rPr>
              <w:t>《亚的斯亚贝巴原则和准则》</w:t>
            </w:r>
          </w:p>
        </w:tc>
      </w:tr>
      <w:tr w:rsidR="00FB10AA" w14:paraId="502517A4" w14:textId="77777777">
        <w:tc>
          <w:tcPr>
            <w:tcW w:w="1701" w:type="dxa"/>
            <w:vMerge/>
          </w:tcPr>
          <w:p w14:paraId="0534E594" w14:textId="77777777" w:rsidR="00FB10AA" w:rsidRPr="00BC18F9" w:rsidRDefault="00FB10AA">
            <w:pPr>
              <w:jc w:val="left"/>
              <w:rPr>
                <w:rFonts w:eastAsiaTheme="minorEastAsia"/>
              </w:rPr>
            </w:pPr>
          </w:p>
        </w:tc>
        <w:tc>
          <w:tcPr>
            <w:tcW w:w="4536" w:type="dxa"/>
          </w:tcPr>
          <w:p w14:paraId="5958031B" w14:textId="77777777" w:rsidR="00FB10AA" w:rsidRPr="00BC18F9" w:rsidRDefault="00FB10AA">
            <w:pPr>
              <w:jc w:val="left"/>
              <w:rPr>
                <w:rFonts w:eastAsiaTheme="minorEastAsia"/>
              </w:rPr>
            </w:pPr>
            <w:r w:rsidRPr="00BC18F9">
              <w:rPr>
                <w:rFonts w:eastAsiaTheme="minorEastAsia"/>
                <w:lang w:val="zh-CN"/>
              </w:rPr>
              <w:t>在可能以及适当的情况下</w:t>
            </w:r>
            <w:r w:rsidRPr="00BC18F9">
              <w:rPr>
                <w:rFonts w:eastAsiaTheme="minorEastAsia"/>
              </w:rPr>
              <w:t>，</w:t>
            </w:r>
            <w:r w:rsidRPr="00BC18F9">
              <w:rPr>
                <w:rFonts w:eastAsiaTheme="minorEastAsia"/>
                <w:lang w:val="zh-CN"/>
              </w:rPr>
              <w:t>应将野生生物的保护和</w:t>
            </w:r>
            <w:proofErr w:type="gramStart"/>
            <w:r w:rsidRPr="00BC18F9">
              <w:rPr>
                <w:rFonts w:eastAsiaTheme="minorEastAsia"/>
                <w:lang w:val="zh-CN"/>
              </w:rPr>
              <w:t>可</w:t>
            </w:r>
            <w:proofErr w:type="gramEnd"/>
            <w:r w:rsidRPr="00BC18F9">
              <w:rPr>
                <w:rFonts w:eastAsiaTheme="minorEastAsia"/>
                <w:lang w:val="zh-CN"/>
              </w:rPr>
              <w:t>持续利用纳入相关部门或跨部门计划、方案和政策。</w:t>
            </w:r>
          </w:p>
        </w:tc>
        <w:tc>
          <w:tcPr>
            <w:tcW w:w="2552" w:type="dxa"/>
          </w:tcPr>
          <w:p w14:paraId="207C0052" w14:textId="46327445" w:rsidR="00FB10AA" w:rsidRPr="00BC18F9" w:rsidRDefault="00FB10AA">
            <w:pPr>
              <w:jc w:val="left"/>
              <w:rPr>
                <w:rFonts w:eastAsiaTheme="minorEastAsia"/>
              </w:rPr>
            </w:pPr>
            <w:r w:rsidRPr="00BC18F9">
              <w:rPr>
                <w:rFonts w:eastAsiaTheme="minorEastAsia"/>
                <w:lang w:val="zh-CN"/>
              </w:rPr>
              <w:t>《生物多样性公约》（第</w:t>
            </w:r>
            <w:r w:rsidRPr="00BC18F9">
              <w:rPr>
                <w:rFonts w:eastAsiaTheme="minorEastAsia"/>
                <w:lang w:val="zh-CN"/>
              </w:rPr>
              <w:t>6</w:t>
            </w:r>
            <w:r w:rsidR="00C95E22">
              <w:rPr>
                <w:rFonts w:eastAsiaTheme="minorEastAsia" w:hint="eastAsia"/>
                <w:lang w:val="zh-CN"/>
              </w:rPr>
              <w:t>条</w:t>
            </w:r>
            <w:r w:rsidRPr="00BC18F9">
              <w:rPr>
                <w:rFonts w:eastAsiaTheme="minorEastAsia"/>
                <w:lang w:val="zh-CN"/>
              </w:rPr>
              <w:t>（</w:t>
            </w:r>
            <w:r w:rsidRPr="00BC18F9">
              <w:rPr>
                <w:rFonts w:eastAsiaTheme="minorEastAsia"/>
                <w:lang w:val="zh-CN"/>
              </w:rPr>
              <w:t>b</w:t>
            </w:r>
            <w:r w:rsidRPr="00BC18F9">
              <w:rPr>
                <w:rFonts w:eastAsiaTheme="minorEastAsia"/>
                <w:lang w:val="zh-CN"/>
              </w:rPr>
              <w:t>）</w:t>
            </w:r>
            <w:r w:rsidR="00C95E22">
              <w:rPr>
                <w:rFonts w:eastAsiaTheme="minorEastAsia" w:hint="eastAsia"/>
                <w:lang w:val="zh-CN"/>
              </w:rPr>
              <w:t>款</w:t>
            </w:r>
            <w:r w:rsidRPr="00BC18F9">
              <w:rPr>
                <w:rFonts w:eastAsiaTheme="minorEastAsia"/>
                <w:lang w:val="zh-CN"/>
              </w:rPr>
              <w:t>）</w:t>
            </w:r>
          </w:p>
        </w:tc>
      </w:tr>
      <w:tr w:rsidR="00FB10AA" w14:paraId="3815911A" w14:textId="77777777">
        <w:tc>
          <w:tcPr>
            <w:tcW w:w="1701" w:type="dxa"/>
            <w:vMerge/>
          </w:tcPr>
          <w:p w14:paraId="3A08BDDA" w14:textId="77777777" w:rsidR="00FB10AA" w:rsidRPr="00BC18F9" w:rsidRDefault="00FB10AA">
            <w:pPr>
              <w:jc w:val="left"/>
              <w:rPr>
                <w:rFonts w:eastAsiaTheme="minorEastAsia"/>
              </w:rPr>
            </w:pPr>
          </w:p>
        </w:tc>
        <w:tc>
          <w:tcPr>
            <w:tcW w:w="4536" w:type="dxa"/>
          </w:tcPr>
          <w:p w14:paraId="7C6834C6" w14:textId="77777777" w:rsidR="00FB10AA" w:rsidRPr="00BC18F9" w:rsidRDefault="00FB10AA">
            <w:pPr>
              <w:jc w:val="left"/>
              <w:rPr>
                <w:rFonts w:eastAsiaTheme="minorEastAsia"/>
              </w:rPr>
            </w:pPr>
            <w:r w:rsidRPr="00BC18F9">
              <w:rPr>
                <w:rFonts w:eastAsiaTheme="minorEastAsia"/>
                <w:lang w:val="zh-CN"/>
              </w:rPr>
              <w:t>应根据国家能力</w:t>
            </w:r>
            <w:r w:rsidRPr="00BC18F9">
              <w:rPr>
                <w:rFonts w:eastAsiaTheme="minorEastAsia"/>
              </w:rPr>
              <w:t>，</w:t>
            </w:r>
            <w:r w:rsidRPr="00BC18F9">
              <w:rPr>
                <w:rFonts w:eastAsiaTheme="minorEastAsia"/>
                <w:lang w:val="zh-CN"/>
              </w:rPr>
              <w:t>并按照国家计划、优先事项和方案</w:t>
            </w:r>
            <w:r w:rsidRPr="00BC18F9">
              <w:rPr>
                <w:rFonts w:eastAsiaTheme="minorEastAsia"/>
              </w:rPr>
              <w:t>，</w:t>
            </w:r>
            <w:r w:rsidRPr="00BC18F9">
              <w:rPr>
                <w:rFonts w:eastAsiaTheme="minorEastAsia"/>
                <w:lang w:val="zh-CN"/>
              </w:rPr>
              <w:t>为实现《生物多样性公约》目标的国家活动提供财政支持和激励措施。</w:t>
            </w:r>
          </w:p>
        </w:tc>
        <w:tc>
          <w:tcPr>
            <w:tcW w:w="2552" w:type="dxa"/>
          </w:tcPr>
          <w:p w14:paraId="44BD954D" w14:textId="4B48B5E9" w:rsidR="00FB10AA" w:rsidRPr="00BC18F9" w:rsidRDefault="00FB10AA">
            <w:pPr>
              <w:jc w:val="left"/>
              <w:rPr>
                <w:rFonts w:eastAsiaTheme="minorEastAsia"/>
              </w:rPr>
            </w:pPr>
            <w:r w:rsidRPr="00BC18F9">
              <w:rPr>
                <w:rFonts w:eastAsiaTheme="minorEastAsia"/>
                <w:lang w:val="zh-CN"/>
              </w:rPr>
              <w:t>《生物多样性公约》（第</w:t>
            </w:r>
            <w:r w:rsidRPr="00BC18F9">
              <w:rPr>
                <w:rFonts w:eastAsiaTheme="minorEastAsia"/>
                <w:lang w:val="zh-CN"/>
              </w:rPr>
              <w:t>20</w:t>
            </w:r>
            <w:r w:rsidR="00C95E22">
              <w:rPr>
                <w:rFonts w:eastAsiaTheme="minorEastAsia" w:hint="eastAsia"/>
                <w:lang w:val="zh-CN"/>
              </w:rPr>
              <w:t>条</w:t>
            </w:r>
            <w:r w:rsidR="00550FF9">
              <w:rPr>
                <w:rFonts w:eastAsiaTheme="minorEastAsia" w:hint="eastAsia"/>
                <w:lang w:val="zh-CN"/>
              </w:rPr>
              <w:t>第</w:t>
            </w:r>
            <w:r w:rsidRPr="00BC18F9">
              <w:rPr>
                <w:rFonts w:eastAsiaTheme="minorEastAsia"/>
                <w:lang w:val="zh-CN"/>
              </w:rPr>
              <w:t>（</w:t>
            </w:r>
            <w:r w:rsidRPr="00BC18F9">
              <w:rPr>
                <w:rFonts w:eastAsiaTheme="minorEastAsia"/>
                <w:lang w:val="zh-CN"/>
              </w:rPr>
              <w:t>1</w:t>
            </w:r>
            <w:r w:rsidRPr="00BC18F9">
              <w:rPr>
                <w:rFonts w:eastAsiaTheme="minorEastAsia"/>
                <w:lang w:val="zh-CN"/>
              </w:rPr>
              <w:t>）</w:t>
            </w:r>
            <w:r w:rsidR="00C95E22">
              <w:rPr>
                <w:rFonts w:eastAsiaTheme="minorEastAsia" w:hint="eastAsia"/>
                <w:lang w:val="zh-CN"/>
              </w:rPr>
              <w:t>款</w:t>
            </w:r>
            <w:r w:rsidRPr="00BC18F9">
              <w:rPr>
                <w:rFonts w:eastAsiaTheme="minorEastAsia"/>
                <w:lang w:val="zh-CN"/>
              </w:rPr>
              <w:t>）</w:t>
            </w:r>
          </w:p>
        </w:tc>
      </w:tr>
      <w:tr w:rsidR="00FB10AA" w14:paraId="535F6506" w14:textId="77777777" w:rsidTr="00851702">
        <w:tc>
          <w:tcPr>
            <w:tcW w:w="1701" w:type="dxa"/>
            <w:vMerge/>
            <w:tcBorders>
              <w:bottom w:val="single" w:sz="4" w:space="0" w:color="auto"/>
            </w:tcBorders>
          </w:tcPr>
          <w:p w14:paraId="2E6C5C07" w14:textId="77777777" w:rsidR="00FB10AA" w:rsidRPr="00BC18F9" w:rsidRDefault="00FB10AA">
            <w:pPr>
              <w:jc w:val="left"/>
              <w:rPr>
                <w:rFonts w:eastAsiaTheme="minorEastAsia"/>
              </w:rPr>
            </w:pPr>
          </w:p>
        </w:tc>
        <w:tc>
          <w:tcPr>
            <w:tcW w:w="4536" w:type="dxa"/>
            <w:tcBorders>
              <w:bottom w:val="single" w:sz="4" w:space="0" w:color="auto"/>
            </w:tcBorders>
          </w:tcPr>
          <w:p w14:paraId="0E133A42" w14:textId="77777777" w:rsidR="00FB10AA" w:rsidRPr="00BC18F9" w:rsidRDefault="00FB10AA">
            <w:pPr>
              <w:jc w:val="left"/>
              <w:rPr>
                <w:rFonts w:eastAsiaTheme="minorEastAsia"/>
              </w:rPr>
            </w:pPr>
            <w:r w:rsidRPr="00BC18F9">
              <w:rPr>
                <w:rFonts w:eastAsiaTheme="minorEastAsia"/>
                <w:lang w:val="zh-CN"/>
              </w:rPr>
              <w:t>缔约方根据任何现有国际协定所享有的权利和承担的义务不受《生物多样性公约》规定</w:t>
            </w:r>
            <w:r w:rsidRPr="00BC18F9">
              <w:rPr>
                <w:rFonts w:eastAsiaTheme="minorEastAsia"/>
                <w:lang w:val="zh-CN"/>
              </w:rPr>
              <w:lastRenderedPageBreak/>
              <w:t>的影响</w:t>
            </w:r>
            <w:r w:rsidRPr="00BC18F9">
              <w:rPr>
                <w:rFonts w:eastAsiaTheme="minorEastAsia"/>
              </w:rPr>
              <w:t>，</w:t>
            </w:r>
            <w:r w:rsidRPr="00BC18F9">
              <w:rPr>
                <w:rFonts w:eastAsiaTheme="minorEastAsia"/>
                <w:lang w:val="zh-CN"/>
              </w:rPr>
              <w:t>除非行使这些权利和义务会对生物多样性造成严重损害或威胁。</w:t>
            </w:r>
          </w:p>
        </w:tc>
        <w:tc>
          <w:tcPr>
            <w:tcW w:w="2552" w:type="dxa"/>
            <w:tcBorders>
              <w:bottom w:val="single" w:sz="4" w:space="0" w:color="auto"/>
            </w:tcBorders>
          </w:tcPr>
          <w:p w14:paraId="12AEB4EB" w14:textId="7E6A338D" w:rsidR="00FB10AA" w:rsidRPr="00BC18F9" w:rsidRDefault="00FB10AA">
            <w:pPr>
              <w:jc w:val="left"/>
              <w:rPr>
                <w:rFonts w:eastAsiaTheme="minorEastAsia"/>
              </w:rPr>
            </w:pPr>
            <w:r w:rsidRPr="00BC18F9">
              <w:rPr>
                <w:rFonts w:eastAsiaTheme="minorEastAsia"/>
                <w:lang w:val="zh-CN"/>
              </w:rPr>
              <w:lastRenderedPageBreak/>
              <w:t>《生物多样性公约》（第</w:t>
            </w:r>
            <w:r w:rsidRPr="00BC18F9">
              <w:rPr>
                <w:rFonts w:eastAsiaTheme="minorEastAsia"/>
                <w:lang w:val="zh-CN"/>
              </w:rPr>
              <w:t>22</w:t>
            </w:r>
            <w:r w:rsidR="00C95E22">
              <w:rPr>
                <w:rFonts w:eastAsiaTheme="minorEastAsia" w:hint="eastAsia"/>
                <w:lang w:val="zh-CN"/>
              </w:rPr>
              <w:t>条</w:t>
            </w:r>
            <w:r w:rsidR="00550FF9">
              <w:rPr>
                <w:rFonts w:eastAsiaTheme="minorEastAsia" w:hint="eastAsia"/>
                <w:lang w:val="zh-CN"/>
              </w:rPr>
              <w:t>第</w:t>
            </w:r>
            <w:r w:rsidRPr="00BC18F9">
              <w:rPr>
                <w:rFonts w:eastAsiaTheme="minorEastAsia"/>
                <w:lang w:val="zh-CN"/>
              </w:rPr>
              <w:t>（</w:t>
            </w:r>
            <w:r w:rsidRPr="00BC18F9">
              <w:rPr>
                <w:rFonts w:eastAsiaTheme="minorEastAsia"/>
                <w:lang w:val="zh-CN"/>
              </w:rPr>
              <w:t>1</w:t>
            </w:r>
            <w:r w:rsidRPr="00BC18F9">
              <w:rPr>
                <w:rFonts w:eastAsiaTheme="minorEastAsia"/>
                <w:lang w:val="zh-CN"/>
              </w:rPr>
              <w:t>）</w:t>
            </w:r>
            <w:r w:rsidR="00C95E22">
              <w:rPr>
                <w:rFonts w:eastAsiaTheme="minorEastAsia" w:hint="eastAsia"/>
                <w:lang w:val="zh-CN"/>
              </w:rPr>
              <w:t>款</w:t>
            </w:r>
            <w:r w:rsidRPr="00BC18F9">
              <w:rPr>
                <w:rFonts w:eastAsiaTheme="minorEastAsia"/>
                <w:lang w:val="zh-CN"/>
              </w:rPr>
              <w:t>）</w:t>
            </w:r>
          </w:p>
        </w:tc>
      </w:tr>
      <w:tr w:rsidR="009C6355" w14:paraId="4962A28B" w14:textId="77777777" w:rsidTr="00851702">
        <w:tc>
          <w:tcPr>
            <w:tcW w:w="8789" w:type="dxa"/>
            <w:gridSpan w:val="3"/>
            <w:tcBorders>
              <w:left w:val="nil"/>
              <w:bottom w:val="nil"/>
              <w:right w:val="nil"/>
            </w:tcBorders>
          </w:tcPr>
          <w:p w14:paraId="7A311E41" w14:textId="133F2F39" w:rsidR="009C6355" w:rsidRPr="00851702" w:rsidRDefault="009C6355">
            <w:pPr>
              <w:jc w:val="left"/>
              <w:rPr>
                <w:rFonts w:eastAsiaTheme="minorEastAsia"/>
                <w:sz w:val="18"/>
                <w:szCs w:val="18"/>
                <w:lang w:val="zh-CN"/>
              </w:rPr>
            </w:pPr>
            <w:r w:rsidRPr="00851702">
              <w:rPr>
                <w:sz w:val="24"/>
                <w:szCs w:val="24"/>
                <w:vertAlign w:val="superscript"/>
                <w:lang w:val="en-US"/>
              </w:rPr>
              <w:t>a</w:t>
            </w:r>
            <w:r>
              <w:rPr>
                <w:sz w:val="18"/>
                <w:szCs w:val="18"/>
                <w:lang w:val="en-US"/>
              </w:rPr>
              <w:t xml:space="preserve">   </w:t>
            </w:r>
            <w:proofErr w:type="gramStart"/>
            <w:r w:rsidRPr="00851702">
              <w:rPr>
                <w:sz w:val="18"/>
                <w:szCs w:val="18"/>
              </w:rPr>
              <w:t>凡提到</w:t>
            </w:r>
            <w:r w:rsidRPr="00851702">
              <w:rPr>
                <w:sz w:val="18"/>
                <w:szCs w:val="18"/>
              </w:rPr>
              <w:t>“</w:t>
            </w:r>
            <w:proofErr w:type="gramEnd"/>
            <w:r w:rsidRPr="00851702">
              <w:rPr>
                <w:sz w:val="18"/>
                <w:szCs w:val="18"/>
              </w:rPr>
              <w:t>自由、</w:t>
            </w:r>
            <w:proofErr w:type="gramStart"/>
            <w:r w:rsidRPr="00851702">
              <w:rPr>
                <w:sz w:val="18"/>
                <w:szCs w:val="18"/>
              </w:rPr>
              <w:t>事先和知情同意</w:t>
            </w:r>
            <w:r w:rsidRPr="00851702">
              <w:rPr>
                <w:sz w:val="18"/>
                <w:szCs w:val="18"/>
              </w:rPr>
              <w:t>”</w:t>
            </w:r>
            <w:r w:rsidRPr="00851702">
              <w:rPr>
                <w:sz w:val="18"/>
                <w:szCs w:val="18"/>
              </w:rPr>
              <w:t>均指</w:t>
            </w:r>
            <w:proofErr w:type="gramEnd"/>
            <w:r w:rsidRPr="00851702">
              <w:rPr>
                <w:sz w:val="18"/>
                <w:szCs w:val="18"/>
              </w:rPr>
              <w:t>“</w:t>
            </w:r>
            <w:proofErr w:type="gramStart"/>
            <w:r w:rsidRPr="00851702">
              <w:rPr>
                <w:sz w:val="18"/>
                <w:szCs w:val="18"/>
              </w:rPr>
              <w:t>事先和知情同意</w:t>
            </w:r>
            <w:r w:rsidRPr="00851702">
              <w:rPr>
                <w:sz w:val="18"/>
                <w:szCs w:val="18"/>
              </w:rPr>
              <w:t>”</w:t>
            </w:r>
            <w:r w:rsidRPr="00851702">
              <w:rPr>
                <w:sz w:val="18"/>
                <w:szCs w:val="18"/>
              </w:rPr>
              <w:t>、</w:t>
            </w:r>
            <w:proofErr w:type="gramEnd"/>
            <w:r w:rsidRPr="00851702">
              <w:rPr>
                <w:sz w:val="18"/>
                <w:szCs w:val="18"/>
              </w:rPr>
              <w:t>“</w:t>
            </w:r>
            <w:r w:rsidRPr="00851702">
              <w:rPr>
                <w:sz w:val="18"/>
                <w:szCs w:val="18"/>
              </w:rPr>
              <w:t>自由、</w:t>
            </w:r>
            <w:proofErr w:type="gramStart"/>
            <w:r w:rsidRPr="00851702">
              <w:rPr>
                <w:sz w:val="18"/>
                <w:szCs w:val="18"/>
              </w:rPr>
              <w:t>事先和知情同意</w:t>
            </w:r>
            <w:r w:rsidRPr="00851702">
              <w:rPr>
                <w:sz w:val="18"/>
                <w:szCs w:val="18"/>
              </w:rPr>
              <w:t>”</w:t>
            </w:r>
            <w:r w:rsidRPr="00851702">
              <w:rPr>
                <w:sz w:val="18"/>
                <w:szCs w:val="18"/>
              </w:rPr>
              <w:t>和</w:t>
            </w:r>
            <w:proofErr w:type="gramEnd"/>
            <w:r w:rsidRPr="00851702">
              <w:rPr>
                <w:sz w:val="18"/>
                <w:szCs w:val="18"/>
              </w:rPr>
              <w:t>“</w:t>
            </w:r>
            <w:proofErr w:type="gramStart"/>
            <w:r w:rsidRPr="00851702">
              <w:rPr>
                <w:sz w:val="18"/>
                <w:szCs w:val="18"/>
              </w:rPr>
              <w:t>批准和参与</w:t>
            </w:r>
            <w:r w:rsidRPr="00851702">
              <w:rPr>
                <w:sz w:val="18"/>
                <w:szCs w:val="18"/>
              </w:rPr>
              <w:t>”</w:t>
            </w:r>
            <w:r w:rsidRPr="00851702">
              <w:rPr>
                <w:sz w:val="18"/>
                <w:szCs w:val="18"/>
              </w:rPr>
              <w:t>这三种表述</w:t>
            </w:r>
            <w:proofErr w:type="gramEnd"/>
          </w:p>
        </w:tc>
      </w:tr>
    </w:tbl>
    <w:p w14:paraId="0DB3863A" w14:textId="0B5AF72E" w:rsidR="00FB10AA" w:rsidRPr="00CB0FCC" w:rsidRDefault="00FB10AA">
      <w:pPr>
        <w:pStyle w:val="CBDH1"/>
        <w:rPr>
          <w:rFonts w:ascii="SimHei" w:eastAsia="SimHei" w:hAnsi="SimHei"/>
          <w:sz w:val="24"/>
          <w:szCs w:val="24"/>
          <w:lang w:val="zh-CN"/>
        </w:rPr>
      </w:pPr>
      <w:r w:rsidRPr="00CB0FCC">
        <w:rPr>
          <w:rFonts w:ascii="SimHei" w:eastAsia="SimHei" w:hAnsi="SimHei"/>
          <w:sz w:val="24"/>
          <w:szCs w:val="24"/>
          <w:lang w:val="zh-CN"/>
        </w:rPr>
        <w:t>五.</w:t>
      </w:r>
      <w:r w:rsidRPr="00CB0FCC">
        <w:rPr>
          <w:rFonts w:ascii="SimHei" w:eastAsia="SimHei" w:hAnsi="SimHei"/>
          <w:sz w:val="24"/>
          <w:szCs w:val="24"/>
          <w:lang w:val="zh-CN"/>
        </w:rPr>
        <w:tab/>
        <w:t>保障措施</w:t>
      </w:r>
    </w:p>
    <w:p w14:paraId="3B3119E4"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本指导意见中的保障措施</w:t>
      </w:r>
      <w:r w:rsidRPr="00CB0FCC">
        <w:rPr>
          <w:rFonts w:eastAsiaTheme="minorEastAsia"/>
          <w:sz w:val="24"/>
          <w:szCs w:val="24"/>
          <w:lang w:val="en-CA"/>
        </w:rPr>
        <w:t>（</w:t>
      </w:r>
      <w:r w:rsidRPr="00CB0FCC">
        <w:rPr>
          <w:rFonts w:eastAsiaTheme="minorEastAsia"/>
          <w:sz w:val="24"/>
          <w:szCs w:val="24"/>
          <w:lang w:val="zh-CN"/>
        </w:rPr>
        <w:t>见表</w:t>
      </w:r>
      <w:r w:rsidRPr="00CB0FCC">
        <w:rPr>
          <w:rFonts w:eastAsiaTheme="minorEastAsia"/>
          <w:sz w:val="24"/>
          <w:szCs w:val="24"/>
          <w:lang w:val="en-CA"/>
        </w:rPr>
        <w:t>2</w:t>
      </w:r>
      <w:r w:rsidRPr="00CB0FCC">
        <w:rPr>
          <w:rFonts w:eastAsiaTheme="minorEastAsia"/>
          <w:sz w:val="24"/>
          <w:szCs w:val="24"/>
          <w:lang w:val="en-CA"/>
        </w:rPr>
        <w:t>）</w:t>
      </w:r>
      <w:r w:rsidRPr="00CB0FCC">
        <w:rPr>
          <w:rFonts w:eastAsiaTheme="minorEastAsia"/>
          <w:sz w:val="24"/>
          <w:szCs w:val="24"/>
          <w:lang w:val="zh-CN"/>
        </w:rPr>
        <w:t>是指为确保可持续野生生物管理的干预措施能够避免或最大限度地减少对生物多样性造成非预期的不利影响并能促进生态完整性、社会公平和问责制的程序与措施。保障措施可包括环境和社会影响评估以及公众参与，并应以针对具体情况、透明且可不断改进的方式加以实施。</w:t>
      </w:r>
    </w:p>
    <w:p w14:paraId="65BB09DB" w14:textId="77777777" w:rsidR="00FB10AA" w:rsidRPr="00F34273" w:rsidRDefault="00FB10AA" w:rsidP="00CB0FCC">
      <w:pPr>
        <w:pStyle w:val="CBDNormalNumber"/>
        <w:ind w:left="567"/>
        <w:jc w:val="left"/>
        <w:rPr>
          <w:rFonts w:ascii="SimHei" w:eastAsia="SimHei" w:hAnsi="SimHei"/>
          <w:b/>
          <w:sz w:val="24"/>
          <w:szCs w:val="24"/>
        </w:rPr>
      </w:pPr>
      <w:r w:rsidRPr="00CB0FCC">
        <w:rPr>
          <w:rFonts w:eastAsiaTheme="minorEastAsia"/>
          <w:sz w:val="24"/>
          <w:szCs w:val="24"/>
          <w:lang w:val="zh-CN"/>
        </w:rPr>
        <w:t>表</w:t>
      </w:r>
      <w:r w:rsidRPr="00CB0FCC">
        <w:rPr>
          <w:rFonts w:eastAsiaTheme="minorEastAsia"/>
          <w:sz w:val="24"/>
          <w:szCs w:val="24"/>
          <w:lang w:val="zh-CN"/>
        </w:rPr>
        <w:t>2</w:t>
      </w:r>
      <w:r w:rsidRPr="00CB0FCC">
        <w:rPr>
          <w:rFonts w:eastAsiaTheme="minorEastAsia"/>
          <w:sz w:val="24"/>
          <w:szCs w:val="24"/>
          <w:lang w:val="zh-CN"/>
        </w:rPr>
        <w:br/>
      </w:r>
      <w:r w:rsidRPr="00F34273">
        <w:rPr>
          <w:rFonts w:ascii="SimHei" w:eastAsia="SimHei" w:hAnsi="SimHei"/>
          <w:sz w:val="24"/>
          <w:szCs w:val="24"/>
          <w:lang w:val="zh-CN"/>
        </w:rPr>
        <w:t>野生生物可持续管理的保障措施</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611"/>
        <w:gridCol w:w="2578"/>
      </w:tblGrid>
      <w:tr w:rsidR="00FB10AA" w14:paraId="11B68D86" w14:textId="77777777">
        <w:trPr>
          <w:tblHeader/>
        </w:trPr>
        <w:tc>
          <w:tcPr>
            <w:tcW w:w="1701" w:type="dxa"/>
          </w:tcPr>
          <w:p w14:paraId="53760214" w14:textId="77777777" w:rsidR="00FB10AA" w:rsidRPr="00F34273" w:rsidRDefault="00FB10AA">
            <w:pPr>
              <w:pStyle w:val="CBDNormalNumber"/>
              <w:spacing w:before="0" w:after="0"/>
              <w:ind w:left="0"/>
              <w:rPr>
                <w:rFonts w:ascii="KaiTi" w:eastAsia="KaiTi" w:hAnsi="KaiTi"/>
                <w:szCs w:val="24"/>
              </w:rPr>
            </w:pPr>
            <w:r w:rsidRPr="00F34273">
              <w:rPr>
                <w:rFonts w:ascii="KaiTi" w:eastAsia="KaiTi" w:hAnsi="KaiTi" w:hint="eastAsia"/>
                <w:sz w:val="20"/>
                <w:szCs w:val="24"/>
                <w:lang w:val="zh-CN"/>
              </w:rPr>
              <w:t>专题领域</w:t>
            </w:r>
          </w:p>
        </w:tc>
        <w:tc>
          <w:tcPr>
            <w:tcW w:w="4611" w:type="dxa"/>
          </w:tcPr>
          <w:p w14:paraId="713AAC34" w14:textId="77777777" w:rsidR="00FB10AA" w:rsidRPr="00F34273" w:rsidRDefault="00FB10AA">
            <w:pPr>
              <w:pStyle w:val="CBDNormalNumber"/>
              <w:spacing w:before="0" w:after="0"/>
              <w:ind w:left="0"/>
              <w:rPr>
                <w:rFonts w:ascii="KaiTi" w:eastAsia="KaiTi" w:hAnsi="KaiTi"/>
                <w:szCs w:val="24"/>
              </w:rPr>
            </w:pPr>
            <w:r w:rsidRPr="00F34273">
              <w:rPr>
                <w:rFonts w:ascii="KaiTi" w:eastAsia="KaiTi" w:hAnsi="KaiTi" w:hint="eastAsia"/>
                <w:sz w:val="20"/>
                <w:szCs w:val="24"/>
                <w:lang w:val="zh-CN"/>
              </w:rPr>
              <w:t>保障措施</w:t>
            </w:r>
          </w:p>
        </w:tc>
        <w:tc>
          <w:tcPr>
            <w:tcW w:w="2578" w:type="dxa"/>
          </w:tcPr>
          <w:p w14:paraId="72ED3927" w14:textId="77777777" w:rsidR="00FB10AA" w:rsidRPr="00F34273" w:rsidRDefault="00FB10AA">
            <w:pPr>
              <w:pStyle w:val="CBDNormalNumber"/>
              <w:spacing w:before="0" w:after="0"/>
              <w:ind w:left="0"/>
              <w:rPr>
                <w:rFonts w:ascii="KaiTi" w:eastAsia="KaiTi" w:hAnsi="KaiTi"/>
                <w:szCs w:val="24"/>
              </w:rPr>
            </w:pPr>
            <w:r w:rsidRPr="00F34273">
              <w:rPr>
                <w:rFonts w:ascii="KaiTi" w:eastAsia="KaiTi" w:hAnsi="KaiTi" w:hint="eastAsia"/>
                <w:sz w:val="20"/>
                <w:szCs w:val="24"/>
                <w:lang w:val="zh-CN"/>
              </w:rPr>
              <w:t>来源</w:t>
            </w:r>
          </w:p>
        </w:tc>
      </w:tr>
      <w:tr w:rsidR="00FB10AA" w14:paraId="5D2CF132" w14:textId="77777777">
        <w:tc>
          <w:tcPr>
            <w:tcW w:w="1701" w:type="dxa"/>
            <w:vMerge w:val="restart"/>
          </w:tcPr>
          <w:p w14:paraId="23600700"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生态完整性</w:t>
            </w:r>
          </w:p>
        </w:tc>
        <w:tc>
          <w:tcPr>
            <w:tcW w:w="4611" w:type="dxa"/>
            <w:tcBorders>
              <w:bottom w:val="nil"/>
            </w:tcBorders>
          </w:tcPr>
          <w:p w14:paraId="35F9631E"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野生生物管理措施应维护生态系统的完整性和生物多样性</w:t>
            </w:r>
            <w:r w:rsidRPr="00BC18F9">
              <w:rPr>
                <w:rFonts w:eastAsiaTheme="minorEastAsia"/>
              </w:rPr>
              <w:t>，</w:t>
            </w:r>
            <w:r w:rsidRPr="00BC18F9">
              <w:rPr>
                <w:rFonts w:eastAsiaTheme="minorEastAsia"/>
                <w:lang w:val="zh-CN"/>
              </w:rPr>
              <w:t>确保管理措施不会导致栖息地长期退化、生态系统功能丧失或外来入侵物种的引进和扩散。</w:t>
            </w:r>
          </w:p>
        </w:tc>
        <w:tc>
          <w:tcPr>
            <w:tcW w:w="2578" w:type="dxa"/>
          </w:tcPr>
          <w:p w14:paraId="3B5C40C1" w14:textId="3F779811" w:rsidR="00FB10AA" w:rsidRPr="00BC18F9" w:rsidRDefault="00FB10AA">
            <w:pPr>
              <w:pStyle w:val="CBDNormalNumber"/>
              <w:spacing w:before="0" w:after="0"/>
              <w:ind w:left="0"/>
              <w:jc w:val="left"/>
              <w:rPr>
                <w:rFonts w:eastAsiaTheme="minorEastAsia"/>
                <w:lang w:val="en-US"/>
              </w:rPr>
            </w:pPr>
            <w:r w:rsidRPr="00BC18F9">
              <w:rPr>
                <w:rFonts w:eastAsiaTheme="minorEastAsia"/>
                <w:lang w:val="zh-CN"/>
              </w:rPr>
              <w:t>《生物多样性公约》</w:t>
            </w:r>
            <w:r w:rsidRPr="00BC18F9">
              <w:rPr>
                <w:rFonts w:eastAsiaTheme="minorEastAsia"/>
              </w:rPr>
              <w:t>（</w:t>
            </w:r>
            <w:r w:rsidRPr="00BC18F9">
              <w:rPr>
                <w:rFonts w:eastAsiaTheme="minorEastAsia"/>
                <w:lang w:val="zh-CN"/>
              </w:rPr>
              <w:t>第</w:t>
            </w:r>
            <w:r w:rsidRPr="00BC18F9">
              <w:rPr>
                <w:rFonts w:eastAsiaTheme="minorEastAsia"/>
              </w:rPr>
              <w:t>8</w:t>
            </w:r>
            <w:r w:rsidRPr="00BC18F9">
              <w:rPr>
                <w:rFonts w:eastAsiaTheme="minorEastAsia"/>
                <w:lang w:val="zh-CN"/>
              </w:rPr>
              <w:t>条</w:t>
            </w:r>
            <w:r w:rsidRPr="00BC18F9">
              <w:rPr>
                <w:rFonts w:eastAsiaTheme="minorEastAsia"/>
              </w:rPr>
              <w:t>，</w:t>
            </w:r>
            <w:r w:rsidRPr="00550FF9">
              <w:rPr>
                <w:rFonts w:eastAsiaTheme="minorEastAsia"/>
                <w:lang w:val="zh-CN"/>
              </w:rPr>
              <w:t>特别是</w:t>
            </w:r>
            <w:r w:rsidRPr="00550FF9">
              <w:rPr>
                <w:rFonts w:eastAsiaTheme="minorEastAsia"/>
              </w:rPr>
              <w:t>（</w:t>
            </w:r>
            <w:r w:rsidRPr="00550FF9">
              <w:rPr>
                <w:rFonts w:eastAsiaTheme="minorEastAsia"/>
              </w:rPr>
              <w:t>h</w:t>
            </w:r>
            <w:r w:rsidRPr="00550FF9">
              <w:rPr>
                <w:rFonts w:eastAsiaTheme="minorEastAsia"/>
              </w:rPr>
              <w:t>）</w:t>
            </w:r>
            <w:r w:rsidRPr="00550FF9">
              <w:rPr>
                <w:rFonts w:eastAsiaTheme="minorEastAsia"/>
                <w:lang w:val="zh-CN"/>
              </w:rPr>
              <w:t>款</w:t>
            </w:r>
            <w:r w:rsidRPr="00550FF9">
              <w:rPr>
                <w:rFonts w:eastAsiaTheme="minorEastAsia"/>
              </w:rPr>
              <w:t>）</w:t>
            </w:r>
          </w:p>
        </w:tc>
      </w:tr>
      <w:tr w:rsidR="00FB10AA" w14:paraId="3BF24DB1" w14:textId="77777777">
        <w:tc>
          <w:tcPr>
            <w:tcW w:w="1701" w:type="dxa"/>
            <w:vMerge/>
          </w:tcPr>
          <w:p w14:paraId="202DF723" w14:textId="77777777" w:rsidR="00FB10AA" w:rsidRPr="00BC18F9" w:rsidRDefault="00FB10AA">
            <w:pPr>
              <w:pStyle w:val="CBDNormalNumber"/>
              <w:spacing w:before="0" w:after="0"/>
              <w:ind w:left="360"/>
              <w:rPr>
                <w:rFonts w:eastAsiaTheme="minorEastAsia"/>
              </w:rPr>
            </w:pPr>
          </w:p>
        </w:tc>
        <w:tc>
          <w:tcPr>
            <w:tcW w:w="4611" w:type="dxa"/>
            <w:tcBorders>
              <w:top w:val="nil"/>
            </w:tcBorders>
          </w:tcPr>
          <w:p w14:paraId="1E6EC9BE"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干预措施不应将生态或社会风险从一个物种、生态系统或社区转移到另一个物种、生态系统或社区</w:t>
            </w:r>
            <w:r w:rsidRPr="00BC18F9">
              <w:rPr>
                <w:rFonts w:eastAsiaTheme="minorEastAsia"/>
              </w:rPr>
              <w:t>，</w:t>
            </w:r>
            <w:r w:rsidRPr="00BC18F9">
              <w:rPr>
                <w:rFonts w:eastAsiaTheme="minorEastAsia"/>
                <w:lang w:val="zh-CN"/>
              </w:rPr>
              <w:t>也不应加剧对陆地景观和海洋景观的累积压力。</w:t>
            </w:r>
          </w:p>
        </w:tc>
        <w:tc>
          <w:tcPr>
            <w:tcW w:w="2578" w:type="dxa"/>
          </w:tcPr>
          <w:p w14:paraId="1B3E3134"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第</w:t>
            </w:r>
            <w:r w:rsidRPr="00BC18F9">
              <w:rPr>
                <w:rFonts w:eastAsiaTheme="minorEastAsia"/>
                <w:lang w:val="zh-CN"/>
              </w:rPr>
              <w:t xml:space="preserve"> V/6</w:t>
            </w:r>
            <w:r w:rsidRPr="00BC18F9">
              <w:rPr>
                <w:rFonts w:eastAsiaTheme="minorEastAsia"/>
                <w:lang w:val="zh-CN"/>
              </w:rPr>
              <w:t>号决定，附件二（原则</w:t>
            </w:r>
            <w:r w:rsidRPr="00BC18F9">
              <w:rPr>
                <w:rFonts w:eastAsiaTheme="minorEastAsia"/>
                <w:lang w:val="zh-CN"/>
              </w:rPr>
              <w:t>3</w:t>
            </w:r>
            <w:r w:rsidRPr="00BC18F9">
              <w:rPr>
                <w:rFonts w:eastAsiaTheme="minorEastAsia"/>
                <w:lang w:val="zh-CN"/>
              </w:rPr>
              <w:t>和</w:t>
            </w:r>
            <w:r w:rsidRPr="00BC18F9">
              <w:rPr>
                <w:rFonts w:eastAsiaTheme="minorEastAsia"/>
                <w:lang w:val="zh-CN"/>
              </w:rPr>
              <w:t>5</w:t>
            </w:r>
            <w:r w:rsidRPr="00BC18F9">
              <w:rPr>
                <w:rFonts w:eastAsiaTheme="minorEastAsia"/>
                <w:lang w:val="zh-CN"/>
              </w:rPr>
              <w:t>）</w:t>
            </w:r>
          </w:p>
        </w:tc>
      </w:tr>
      <w:tr w:rsidR="00FB10AA" w14:paraId="45B0BCE1" w14:textId="77777777">
        <w:tc>
          <w:tcPr>
            <w:tcW w:w="1701" w:type="dxa"/>
            <w:vMerge/>
          </w:tcPr>
          <w:p w14:paraId="599B42CF" w14:textId="77777777" w:rsidR="00FB10AA" w:rsidRPr="00BC18F9" w:rsidRDefault="00FB10AA">
            <w:pPr>
              <w:pStyle w:val="CBDNormalNumber"/>
              <w:spacing w:before="0" w:after="0"/>
              <w:ind w:left="360"/>
              <w:rPr>
                <w:rFonts w:eastAsiaTheme="minorEastAsia"/>
              </w:rPr>
            </w:pPr>
          </w:p>
        </w:tc>
        <w:tc>
          <w:tcPr>
            <w:tcW w:w="4611" w:type="dxa"/>
            <w:tcBorders>
              <w:top w:val="nil"/>
            </w:tcBorders>
          </w:tcPr>
          <w:p w14:paraId="345EF24A"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与野生生物相关的重大干预措施应酌情接受环境和社会影响评估</w:t>
            </w:r>
            <w:r w:rsidRPr="00BC18F9">
              <w:rPr>
                <w:rFonts w:eastAsiaTheme="minorEastAsia"/>
              </w:rPr>
              <w:t>，</w:t>
            </w:r>
            <w:r w:rsidRPr="00BC18F9">
              <w:rPr>
                <w:rFonts w:eastAsiaTheme="minorEastAsia"/>
                <w:lang w:val="zh-CN"/>
              </w:rPr>
              <w:t>并得到监测和评估的支持。</w:t>
            </w:r>
          </w:p>
        </w:tc>
        <w:tc>
          <w:tcPr>
            <w:tcW w:w="2578" w:type="dxa"/>
          </w:tcPr>
          <w:p w14:paraId="3981DAB9"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《生物多样性公约》（第</w:t>
            </w:r>
            <w:r w:rsidRPr="00BC18F9">
              <w:rPr>
                <w:rFonts w:eastAsiaTheme="minorEastAsia"/>
                <w:lang w:val="zh-CN"/>
              </w:rPr>
              <w:t>14</w:t>
            </w:r>
            <w:r w:rsidRPr="00BC18F9">
              <w:rPr>
                <w:rFonts w:eastAsiaTheme="minorEastAsia"/>
                <w:lang w:val="zh-CN"/>
              </w:rPr>
              <w:t>条）</w:t>
            </w:r>
          </w:p>
        </w:tc>
      </w:tr>
      <w:tr w:rsidR="00FB10AA" w14:paraId="5954B450" w14:textId="77777777">
        <w:trPr>
          <w:trHeight w:val="1629"/>
        </w:trPr>
        <w:tc>
          <w:tcPr>
            <w:tcW w:w="1701" w:type="dxa"/>
            <w:vMerge/>
          </w:tcPr>
          <w:p w14:paraId="284ADD21" w14:textId="77777777" w:rsidR="00FB10AA" w:rsidRPr="00BC18F9" w:rsidRDefault="00FB10AA">
            <w:pPr>
              <w:pStyle w:val="CBDNormalNumber"/>
              <w:spacing w:before="0" w:after="0"/>
              <w:ind w:left="360"/>
              <w:rPr>
                <w:rFonts w:eastAsiaTheme="minorEastAsia"/>
              </w:rPr>
            </w:pPr>
          </w:p>
        </w:tc>
        <w:tc>
          <w:tcPr>
            <w:tcW w:w="4611" w:type="dxa"/>
            <w:tcBorders>
              <w:top w:val="nil"/>
            </w:tcBorders>
          </w:tcPr>
          <w:p w14:paraId="5B120936"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如果提出与野生生物相关的主要干预措施</w:t>
            </w:r>
            <w:r w:rsidRPr="00BC18F9">
              <w:rPr>
                <w:rFonts w:eastAsiaTheme="minorEastAsia"/>
              </w:rPr>
              <w:t>，</w:t>
            </w:r>
            <w:r w:rsidRPr="00BC18F9">
              <w:rPr>
                <w:rFonts w:eastAsiaTheme="minorEastAsia"/>
                <w:lang w:val="zh-CN"/>
              </w:rPr>
              <w:t>包括物种易位、入侵物种管理或建立保护区</w:t>
            </w:r>
            <w:r w:rsidRPr="00BC18F9">
              <w:rPr>
                <w:rFonts w:eastAsiaTheme="minorEastAsia"/>
              </w:rPr>
              <w:t>，</w:t>
            </w:r>
            <w:r w:rsidRPr="00BC18F9">
              <w:rPr>
                <w:rFonts w:eastAsiaTheme="minorEastAsia"/>
                <w:lang w:val="zh-CN"/>
              </w:rPr>
              <w:t>社会可行性评估应补充环境和社会影响评估</w:t>
            </w:r>
            <w:r w:rsidRPr="00BC18F9">
              <w:rPr>
                <w:rFonts w:eastAsiaTheme="minorEastAsia"/>
              </w:rPr>
              <w:t>，</w:t>
            </w:r>
            <w:r w:rsidRPr="00BC18F9">
              <w:rPr>
                <w:rFonts w:eastAsiaTheme="minorEastAsia"/>
                <w:lang w:val="zh-CN"/>
              </w:rPr>
              <w:t>以确定文化价值、潜在的得失和分配影响。</w:t>
            </w:r>
          </w:p>
          <w:p w14:paraId="5DF84EBB"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野生生物管理措施应通过识别和管理外来入侵物种的引进途径防止其引进和传播</w:t>
            </w:r>
            <w:r w:rsidRPr="00BC18F9">
              <w:rPr>
                <w:rFonts w:eastAsiaTheme="minorEastAsia"/>
              </w:rPr>
              <w:t>，</w:t>
            </w:r>
            <w:r w:rsidRPr="00BC18F9">
              <w:rPr>
                <w:rFonts w:eastAsiaTheme="minorEastAsia"/>
                <w:lang w:val="zh-CN"/>
              </w:rPr>
              <w:t>并根据相关情况</w:t>
            </w:r>
            <w:r w:rsidRPr="00BC18F9">
              <w:rPr>
                <w:rFonts w:eastAsiaTheme="minorEastAsia"/>
              </w:rPr>
              <w:t>，</w:t>
            </w:r>
            <w:r w:rsidRPr="00BC18F9">
              <w:rPr>
                <w:rFonts w:eastAsiaTheme="minorEastAsia"/>
                <w:lang w:val="zh-CN"/>
              </w:rPr>
              <w:t>支持根除或控制外来物种</w:t>
            </w:r>
            <w:r w:rsidRPr="00BC18F9">
              <w:rPr>
                <w:rFonts w:eastAsiaTheme="minorEastAsia"/>
              </w:rPr>
              <w:t>，</w:t>
            </w:r>
            <w:r w:rsidRPr="00BC18F9">
              <w:rPr>
                <w:rFonts w:eastAsiaTheme="minorEastAsia"/>
                <w:lang w:val="zh-CN"/>
              </w:rPr>
              <w:t>特别是在优先地点。</w:t>
            </w:r>
          </w:p>
        </w:tc>
        <w:tc>
          <w:tcPr>
            <w:tcW w:w="2578" w:type="dxa"/>
          </w:tcPr>
          <w:p w14:paraId="19F14E47"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6</w:t>
            </w:r>
            <w:r w:rsidRPr="00BC18F9">
              <w:rPr>
                <w:rFonts w:eastAsiaTheme="minorEastAsia"/>
                <w:lang w:val="zh-CN"/>
              </w:rPr>
              <w:t>）</w:t>
            </w:r>
          </w:p>
        </w:tc>
      </w:tr>
      <w:tr w:rsidR="00FB10AA" w14:paraId="525B9BB7" w14:textId="77777777">
        <w:trPr>
          <w:trHeight w:val="1673"/>
        </w:trPr>
        <w:tc>
          <w:tcPr>
            <w:tcW w:w="1701" w:type="dxa"/>
            <w:vMerge w:val="restart"/>
          </w:tcPr>
          <w:p w14:paraId="21963595"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社会公平和人类福祉</w:t>
            </w:r>
          </w:p>
        </w:tc>
        <w:tc>
          <w:tcPr>
            <w:tcW w:w="4611" w:type="dxa"/>
          </w:tcPr>
          <w:p w14:paraId="1A926AC6"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可持续野生生物管理措施应确保野生物种的使用、采猎、贸易是可持续的、安全的、合法的</w:t>
            </w:r>
            <w:r w:rsidRPr="00BC18F9">
              <w:rPr>
                <w:rFonts w:eastAsiaTheme="minorEastAsia"/>
              </w:rPr>
              <w:t>，</w:t>
            </w:r>
            <w:r w:rsidRPr="00BC18F9">
              <w:rPr>
                <w:rFonts w:eastAsiaTheme="minorEastAsia"/>
                <w:lang w:val="zh-CN"/>
              </w:rPr>
              <w:t>防止过度开发</w:t>
            </w:r>
            <w:r w:rsidRPr="00BC18F9">
              <w:rPr>
                <w:rFonts w:eastAsiaTheme="minorEastAsia"/>
              </w:rPr>
              <w:t>，</w:t>
            </w:r>
            <w:r w:rsidRPr="00BC18F9">
              <w:rPr>
                <w:rFonts w:eastAsiaTheme="minorEastAsia"/>
                <w:lang w:val="zh-CN"/>
              </w:rPr>
              <w:t>尽量减少对非目标物种和生态系统产生影响</w:t>
            </w:r>
            <w:r w:rsidRPr="00BC18F9">
              <w:rPr>
                <w:rFonts w:eastAsiaTheme="minorEastAsia"/>
              </w:rPr>
              <w:t>，</w:t>
            </w:r>
            <w:r w:rsidRPr="00BC18F9">
              <w:rPr>
                <w:rFonts w:eastAsiaTheme="minorEastAsia"/>
                <w:lang w:val="zh-CN"/>
              </w:rPr>
              <w:t>减少病原体溢出的风险</w:t>
            </w:r>
            <w:r w:rsidRPr="00BC18F9">
              <w:rPr>
                <w:rFonts w:eastAsiaTheme="minorEastAsia"/>
              </w:rPr>
              <w:t>，</w:t>
            </w:r>
            <w:r w:rsidRPr="00BC18F9">
              <w:rPr>
                <w:rFonts w:eastAsiaTheme="minorEastAsia"/>
                <w:lang w:val="zh-CN"/>
              </w:rPr>
              <w:t>采用生态系统方法</w:t>
            </w:r>
            <w:r w:rsidRPr="00BC18F9">
              <w:rPr>
                <w:rFonts w:eastAsiaTheme="minorEastAsia"/>
              </w:rPr>
              <w:t>，</w:t>
            </w:r>
            <w:r w:rsidRPr="00BC18F9">
              <w:rPr>
                <w:rFonts w:eastAsiaTheme="minorEastAsia"/>
                <w:lang w:val="zh-CN"/>
              </w:rPr>
              <w:t>同时尊重和保护土著人民和地方社区的可持续习惯使用。</w:t>
            </w:r>
          </w:p>
        </w:tc>
        <w:tc>
          <w:tcPr>
            <w:tcW w:w="2578" w:type="dxa"/>
          </w:tcPr>
          <w:p w14:paraId="7E16F901"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5</w:t>
            </w:r>
            <w:r w:rsidRPr="00BC18F9">
              <w:rPr>
                <w:rFonts w:eastAsiaTheme="minorEastAsia"/>
                <w:lang w:val="zh-CN"/>
              </w:rPr>
              <w:t>）</w:t>
            </w:r>
          </w:p>
        </w:tc>
      </w:tr>
      <w:tr w:rsidR="00FB10AA" w14:paraId="1BE3A605" w14:textId="77777777">
        <w:tc>
          <w:tcPr>
            <w:tcW w:w="1701" w:type="dxa"/>
            <w:vMerge/>
          </w:tcPr>
          <w:p w14:paraId="1F719B2B" w14:textId="77777777" w:rsidR="00FB10AA" w:rsidRPr="00BC18F9" w:rsidRDefault="00FB10AA">
            <w:pPr>
              <w:pStyle w:val="CBDNormalNumber"/>
              <w:spacing w:before="0" w:after="0"/>
              <w:ind w:left="0"/>
              <w:jc w:val="left"/>
              <w:rPr>
                <w:rFonts w:eastAsiaTheme="minorEastAsia"/>
              </w:rPr>
            </w:pPr>
          </w:p>
        </w:tc>
        <w:tc>
          <w:tcPr>
            <w:tcW w:w="4611" w:type="dxa"/>
            <w:tcBorders>
              <w:top w:val="nil"/>
            </w:tcBorders>
          </w:tcPr>
          <w:p w14:paraId="645A725F"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可持续野生生物管理措施应在相关情况</w:t>
            </w:r>
            <w:proofErr w:type="gramStart"/>
            <w:r w:rsidRPr="00BC18F9">
              <w:rPr>
                <w:rFonts w:eastAsiaTheme="minorEastAsia"/>
                <w:lang w:val="zh-CN"/>
              </w:rPr>
              <w:t>下明确</w:t>
            </w:r>
            <w:proofErr w:type="gramEnd"/>
            <w:r w:rsidRPr="00BC18F9">
              <w:rPr>
                <w:rFonts w:eastAsiaTheme="minorEastAsia"/>
                <w:lang w:val="zh-CN"/>
              </w:rPr>
              <w:t>识别、防止和减轻人类与野生生物的冲突</w:t>
            </w:r>
            <w:r w:rsidRPr="00BC18F9">
              <w:rPr>
                <w:rFonts w:eastAsiaTheme="minorEastAsia"/>
              </w:rPr>
              <w:t>，</w:t>
            </w:r>
            <w:r w:rsidRPr="00BC18F9">
              <w:rPr>
                <w:rFonts w:eastAsiaTheme="minorEastAsia"/>
                <w:lang w:val="zh-CN"/>
              </w:rPr>
              <w:t>认识到野生生物可能对人身安全、生计和福祉构成直接威胁</w:t>
            </w:r>
            <w:r w:rsidRPr="00BC18F9">
              <w:rPr>
                <w:rFonts w:eastAsiaTheme="minorEastAsia"/>
              </w:rPr>
              <w:t>，</w:t>
            </w:r>
            <w:r w:rsidRPr="00BC18F9">
              <w:rPr>
                <w:rFonts w:eastAsiaTheme="minorEastAsia"/>
                <w:lang w:val="zh-CN"/>
              </w:rPr>
              <w:t>而失控的冲突可能会引发报复并破坏保护和可持续发展目标。</w:t>
            </w:r>
          </w:p>
        </w:tc>
        <w:tc>
          <w:tcPr>
            <w:tcW w:w="2578" w:type="dxa"/>
          </w:tcPr>
          <w:p w14:paraId="7CE297BA"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《人类与野生生物冲突与共存准则》</w:t>
            </w:r>
            <w:r w:rsidRPr="00BC18F9">
              <w:rPr>
                <w:rFonts w:eastAsiaTheme="minorEastAsia"/>
              </w:rPr>
              <w:t>（</w:t>
            </w:r>
            <w:r w:rsidRPr="00BC18F9">
              <w:rPr>
                <w:rFonts w:eastAsiaTheme="minorEastAsia"/>
                <w:lang w:val="zh-CN"/>
              </w:rPr>
              <w:t>国际自然保护联盟物种生存委员会</w:t>
            </w:r>
            <w:r w:rsidRPr="00BC18F9">
              <w:rPr>
                <w:rFonts w:eastAsiaTheme="minorEastAsia"/>
              </w:rPr>
              <w:t>）</w:t>
            </w:r>
          </w:p>
        </w:tc>
      </w:tr>
      <w:tr w:rsidR="00FB10AA" w14:paraId="2BB50B8B" w14:textId="77777777">
        <w:tc>
          <w:tcPr>
            <w:tcW w:w="1701" w:type="dxa"/>
            <w:vMerge/>
          </w:tcPr>
          <w:p w14:paraId="0764D394" w14:textId="77777777" w:rsidR="00FB10AA" w:rsidRPr="00BC18F9" w:rsidRDefault="00FB10AA">
            <w:pPr>
              <w:pStyle w:val="CBDNormalNumber"/>
              <w:spacing w:before="0" w:after="0"/>
              <w:ind w:left="0"/>
              <w:rPr>
                <w:rFonts w:eastAsiaTheme="minorEastAsia"/>
              </w:rPr>
            </w:pPr>
          </w:p>
        </w:tc>
        <w:tc>
          <w:tcPr>
            <w:tcW w:w="4611" w:type="dxa"/>
            <w:tcBorders>
              <w:top w:val="nil"/>
            </w:tcBorders>
          </w:tcPr>
          <w:p w14:paraId="42158C5D"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影响习惯性获取、生计使用或具有重要文化意义的做法的管理行动应让受影响的社区参与</w:t>
            </w:r>
            <w:r w:rsidRPr="00BC18F9">
              <w:rPr>
                <w:rFonts w:eastAsiaTheme="minorEastAsia"/>
              </w:rPr>
              <w:t>，</w:t>
            </w:r>
            <w:r w:rsidRPr="00BC18F9">
              <w:rPr>
                <w:rFonts w:eastAsiaTheme="minorEastAsia"/>
                <w:lang w:val="zh-CN"/>
              </w:rPr>
              <w:t>并酌情包括公平和有效的补救形式。</w:t>
            </w:r>
          </w:p>
        </w:tc>
        <w:tc>
          <w:tcPr>
            <w:tcW w:w="2578" w:type="dxa"/>
          </w:tcPr>
          <w:p w14:paraId="4FB69D15" w14:textId="1BB02A9A" w:rsidR="00FB10AA" w:rsidRPr="00BC18F9" w:rsidRDefault="00FB10AA">
            <w:pPr>
              <w:pStyle w:val="CBDNormalNumber"/>
              <w:spacing w:before="0" w:after="0"/>
              <w:ind w:left="0"/>
              <w:jc w:val="left"/>
              <w:rPr>
                <w:rFonts w:eastAsiaTheme="minorEastAsia"/>
                <w:lang w:val="en-US"/>
              </w:rPr>
            </w:pPr>
            <w:r w:rsidRPr="00BC18F9">
              <w:rPr>
                <w:rFonts w:eastAsiaTheme="minorEastAsia"/>
                <w:lang w:val="zh-CN"/>
              </w:rPr>
              <w:t>《生物多样性公约》</w:t>
            </w:r>
            <w:r w:rsidRPr="00BC18F9">
              <w:rPr>
                <w:rFonts w:eastAsiaTheme="minorEastAsia"/>
              </w:rPr>
              <w:t>（</w:t>
            </w:r>
            <w:r w:rsidRPr="00BC18F9">
              <w:rPr>
                <w:rFonts w:eastAsiaTheme="minorEastAsia"/>
                <w:lang w:val="zh-CN"/>
              </w:rPr>
              <w:t>第</w:t>
            </w:r>
            <w:r w:rsidRPr="00BC18F9">
              <w:rPr>
                <w:rFonts w:eastAsiaTheme="minorEastAsia"/>
              </w:rPr>
              <w:t>8</w:t>
            </w:r>
            <w:r w:rsidR="00550FF9">
              <w:rPr>
                <w:rFonts w:eastAsiaTheme="minorEastAsia" w:hint="eastAsia"/>
              </w:rPr>
              <w:t>条</w:t>
            </w:r>
            <w:r w:rsidRPr="00BC18F9">
              <w:rPr>
                <w:rFonts w:eastAsiaTheme="minorEastAsia"/>
              </w:rPr>
              <w:t>（</w:t>
            </w:r>
            <w:r w:rsidRPr="00BC18F9">
              <w:rPr>
                <w:rFonts w:eastAsiaTheme="minorEastAsia"/>
              </w:rPr>
              <w:t>j</w:t>
            </w:r>
            <w:r w:rsidRPr="00BC18F9">
              <w:rPr>
                <w:rFonts w:eastAsiaTheme="minorEastAsia"/>
              </w:rPr>
              <w:t>）</w:t>
            </w:r>
            <w:r w:rsidR="00550FF9">
              <w:rPr>
                <w:rFonts w:eastAsiaTheme="minorEastAsia" w:hint="eastAsia"/>
                <w:lang w:val="zh-CN"/>
              </w:rPr>
              <w:t>款</w:t>
            </w:r>
            <w:r w:rsidRPr="00BC18F9">
              <w:rPr>
                <w:rFonts w:eastAsiaTheme="minorEastAsia"/>
                <w:lang w:val="zh-CN"/>
              </w:rPr>
              <w:t>和第</w:t>
            </w:r>
            <w:r w:rsidRPr="00BC18F9">
              <w:rPr>
                <w:rFonts w:eastAsiaTheme="minorEastAsia"/>
              </w:rPr>
              <w:t>10</w:t>
            </w:r>
            <w:r w:rsidR="00550FF9">
              <w:rPr>
                <w:rFonts w:eastAsiaTheme="minorEastAsia" w:hint="eastAsia"/>
              </w:rPr>
              <w:t>条</w:t>
            </w:r>
            <w:r w:rsidRPr="00BC18F9">
              <w:rPr>
                <w:rFonts w:eastAsiaTheme="minorEastAsia"/>
              </w:rPr>
              <w:t>（</w:t>
            </w:r>
            <w:r w:rsidRPr="00BC18F9">
              <w:rPr>
                <w:rFonts w:eastAsiaTheme="minorEastAsia"/>
              </w:rPr>
              <w:t>c</w:t>
            </w:r>
            <w:r w:rsidRPr="00BC18F9">
              <w:rPr>
                <w:rFonts w:eastAsiaTheme="minorEastAsia"/>
              </w:rPr>
              <w:t>）</w:t>
            </w:r>
            <w:r w:rsidR="00550FF9">
              <w:rPr>
                <w:rFonts w:eastAsiaTheme="minorEastAsia" w:hint="eastAsia"/>
              </w:rPr>
              <w:t>款</w:t>
            </w:r>
            <w:r w:rsidRPr="00BC18F9">
              <w:rPr>
                <w:rFonts w:eastAsiaTheme="minorEastAsia"/>
              </w:rPr>
              <w:t>）</w:t>
            </w:r>
          </w:p>
        </w:tc>
      </w:tr>
      <w:tr w:rsidR="00FB10AA" w14:paraId="404AFECC" w14:textId="77777777">
        <w:tc>
          <w:tcPr>
            <w:tcW w:w="1701" w:type="dxa"/>
            <w:vMerge/>
          </w:tcPr>
          <w:p w14:paraId="5B888FF6" w14:textId="77777777" w:rsidR="00FB10AA" w:rsidRPr="00BC18F9" w:rsidRDefault="00FB10AA">
            <w:pPr>
              <w:pStyle w:val="CBDNormalNumber"/>
              <w:spacing w:before="0" w:after="0"/>
              <w:ind w:left="0"/>
              <w:rPr>
                <w:rFonts w:eastAsiaTheme="minorEastAsia"/>
              </w:rPr>
            </w:pPr>
          </w:p>
        </w:tc>
        <w:tc>
          <w:tcPr>
            <w:tcW w:w="4611" w:type="dxa"/>
            <w:tcBorders>
              <w:top w:val="nil"/>
            </w:tcBorders>
          </w:tcPr>
          <w:p w14:paraId="2107C09D"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惠益分享安排应透明并基于明确的规则</w:t>
            </w:r>
            <w:r w:rsidRPr="00BC18F9">
              <w:rPr>
                <w:rFonts w:eastAsiaTheme="minorEastAsia"/>
              </w:rPr>
              <w:t>，</w:t>
            </w:r>
            <w:r w:rsidRPr="00BC18F9">
              <w:rPr>
                <w:rFonts w:eastAsiaTheme="minorEastAsia"/>
                <w:lang w:val="zh-CN"/>
              </w:rPr>
              <w:t>并且不应加剧现有的不平等状况</w:t>
            </w:r>
            <w:r w:rsidRPr="00BC18F9">
              <w:rPr>
                <w:rFonts w:eastAsiaTheme="minorEastAsia"/>
              </w:rPr>
              <w:t>，</w:t>
            </w:r>
            <w:r w:rsidRPr="00BC18F9">
              <w:rPr>
                <w:rFonts w:eastAsiaTheme="minorEastAsia"/>
                <w:lang w:val="zh-CN"/>
              </w:rPr>
              <w:t>包括性别上的不平等。</w:t>
            </w:r>
          </w:p>
        </w:tc>
        <w:tc>
          <w:tcPr>
            <w:tcW w:w="2578" w:type="dxa"/>
          </w:tcPr>
          <w:p w14:paraId="4174FE42"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《亚的斯亚贝巴原则和准则》（原则</w:t>
            </w:r>
            <w:r w:rsidRPr="00BC18F9">
              <w:rPr>
                <w:rFonts w:eastAsiaTheme="minorEastAsia"/>
                <w:lang w:val="zh-CN"/>
              </w:rPr>
              <w:t>12</w:t>
            </w:r>
            <w:r w:rsidRPr="00BC18F9">
              <w:rPr>
                <w:rFonts w:eastAsiaTheme="minorEastAsia"/>
                <w:lang w:val="zh-CN"/>
              </w:rPr>
              <w:t>，运作准则）</w:t>
            </w:r>
          </w:p>
        </w:tc>
      </w:tr>
      <w:tr w:rsidR="00FB10AA" w14:paraId="0AA3259C" w14:textId="77777777">
        <w:tc>
          <w:tcPr>
            <w:tcW w:w="1701" w:type="dxa"/>
            <w:vMerge w:val="restart"/>
            <w:tcBorders>
              <w:top w:val="nil"/>
            </w:tcBorders>
          </w:tcPr>
          <w:p w14:paraId="181DA344"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透明度和问责制</w:t>
            </w:r>
          </w:p>
        </w:tc>
        <w:tc>
          <w:tcPr>
            <w:tcW w:w="4611" w:type="dxa"/>
            <w:tcBorders>
              <w:top w:val="nil"/>
            </w:tcBorders>
          </w:tcPr>
          <w:p w14:paraId="440D224C"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可持续野生生物管理框架应是可持续的</w:t>
            </w:r>
            <w:r w:rsidRPr="00BC18F9">
              <w:rPr>
                <w:rFonts w:eastAsiaTheme="minorEastAsia"/>
              </w:rPr>
              <w:t>，</w:t>
            </w:r>
            <w:r w:rsidRPr="00BC18F9">
              <w:rPr>
                <w:rFonts w:eastAsiaTheme="minorEastAsia"/>
                <w:lang w:val="zh-CN"/>
              </w:rPr>
              <w:t>并应促进透明的治理</w:t>
            </w:r>
            <w:r w:rsidRPr="00BC18F9">
              <w:rPr>
                <w:rFonts w:eastAsiaTheme="minorEastAsia"/>
              </w:rPr>
              <w:t>，</w:t>
            </w:r>
            <w:r w:rsidRPr="00BC18F9">
              <w:rPr>
                <w:rFonts w:eastAsiaTheme="minorEastAsia"/>
                <w:lang w:val="zh-CN"/>
              </w:rPr>
              <w:t>包括获取与监测结果、采猎数据、许可证颁发制度和收入分配等相关的信息和数据。</w:t>
            </w:r>
          </w:p>
        </w:tc>
        <w:tc>
          <w:tcPr>
            <w:tcW w:w="2578" w:type="dxa"/>
          </w:tcPr>
          <w:p w14:paraId="46E99919"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21</w:t>
            </w:r>
            <w:r w:rsidRPr="00BC18F9">
              <w:rPr>
                <w:rFonts w:eastAsiaTheme="minorEastAsia"/>
                <w:lang w:val="zh-CN"/>
              </w:rPr>
              <w:t>）</w:t>
            </w:r>
          </w:p>
        </w:tc>
      </w:tr>
      <w:tr w:rsidR="00FB10AA" w14:paraId="4A37C5E0" w14:textId="77777777">
        <w:trPr>
          <w:trHeight w:val="1505"/>
        </w:trPr>
        <w:tc>
          <w:tcPr>
            <w:tcW w:w="1701" w:type="dxa"/>
            <w:vMerge/>
          </w:tcPr>
          <w:p w14:paraId="2FE676C3" w14:textId="77777777" w:rsidR="00FB10AA" w:rsidRPr="00BC18F9" w:rsidRDefault="00FB10AA">
            <w:pPr>
              <w:pStyle w:val="CBDNormalNumber"/>
              <w:spacing w:before="0" w:after="0"/>
              <w:ind w:left="0"/>
              <w:rPr>
                <w:rFonts w:eastAsiaTheme="minorEastAsia"/>
              </w:rPr>
            </w:pPr>
          </w:p>
        </w:tc>
        <w:tc>
          <w:tcPr>
            <w:tcW w:w="4611" w:type="dxa"/>
            <w:tcBorders>
              <w:top w:val="nil"/>
            </w:tcBorders>
          </w:tcPr>
          <w:p w14:paraId="3766ED4F"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野生生物的捕猎、处理和贸易做法应酌情符合动物福利、道德规范和安全标准以及国家立法和适用的国际义务。</w:t>
            </w:r>
          </w:p>
          <w:p w14:paraId="02AABAB5" w14:textId="77777777" w:rsidR="00FB10AA" w:rsidRPr="00BC18F9" w:rsidRDefault="00FB10AA">
            <w:pPr>
              <w:pStyle w:val="CBDNormalNumber"/>
              <w:spacing w:before="0" w:after="0"/>
              <w:ind w:left="0"/>
              <w:jc w:val="left"/>
              <w:rPr>
                <w:rFonts w:eastAsiaTheme="minorEastAsia"/>
              </w:rPr>
            </w:pPr>
            <w:r w:rsidRPr="00BC18F9">
              <w:rPr>
                <w:rFonts w:eastAsiaTheme="minorEastAsia"/>
                <w:lang w:val="zh-CN"/>
              </w:rPr>
              <w:t>在野生生物监测和管理中应用新兴技术应尊重公平性、可及性、文化适宜性和社区权利。</w:t>
            </w:r>
          </w:p>
        </w:tc>
        <w:tc>
          <w:tcPr>
            <w:tcW w:w="2578" w:type="dxa"/>
          </w:tcPr>
          <w:p w14:paraId="6AC95E69" w14:textId="5E9A0974" w:rsidR="00FB10AA" w:rsidRPr="00BC18F9" w:rsidRDefault="00FB10AA">
            <w:pPr>
              <w:pStyle w:val="CBDNormalNumber"/>
              <w:spacing w:before="0" w:after="0"/>
              <w:ind w:left="0"/>
              <w:jc w:val="left"/>
              <w:rPr>
                <w:rFonts w:eastAsiaTheme="minorEastAsia"/>
                <w:lang w:val="en-US"/>
              </w:rPr>
            </w:pPr>
            <w:r w:rsidRPr="00BC18F9">
              <w:rPr>
                <w:rFonts w:eastAsiaTheme="minorEastAsia"/>
                <w:lang w:val="zh-CN"/>
              </w:rPr>
              <w:t>《生物多样性公约》</w:t>
            </w:r>
            <w:r w:rsidRPr="00BC18F9">
              <w:rPr>
                <w:rFonts w:eastAsiaTheme="minorEastAsia"/>
              </w:rPr>
              <w:t>（</w:t>
            </w:r>
            <w:r w:rsidRPr="00BC18F9">
              <w:rPr>
                <w:rFonts w:eastAsiaTheme="minorEastAsia"/>
                <w:lang w:val="zh-CN"/>
              </w:rPr>
              <w:t>第</w:t>
            </w:r>
            <w:r w:rsidRPr="00BC18F9">
              <w:rPr>
                <w:rFonts w:eastAsiaTheme="minorEastAsia"/>
              </w:rPr>
              <w:t>8</w:t>
            </w:r>
            <w:r w:rsidR="00E23EBF">
              <w:rPr>
                <w:rFonts w:eastAsiaTheme="minorEastAsia" w:hint="eastAsia"/>
              </w:rPr>
              <w:t>条</w:t>
            </w:r>
            <w:r w:rsidRPr="00BC18F9">
              <w:rPr>
                <w:rFonts w:eastAsiaTheme="minorEastAsia"/>
              </w:rPr>
              <w:t>（</w:t>
            </w:r>
            <w:r w:rsidR="00513891">
              <w:rPr>
                <w:sz w:val="20"/>
                <w:szCs w:val="20"/>
              </w:rPr>
              <w:t>l</w:t>
            </w:r>
            <w:r w:rsidRPr="00BC18F9">
              <w:rPr>
                <w:rFonts w:eastAsiaTheme="minorEastAsia"/>
              </w:rPr>
              <w:t>）</w:t>
            </w:r>
            <w:r w:rsidR="00E23EBF">
              <w:rPr>
                <w:rFonts w:eastAsiaTheme="minorEastAsia" w:hint="eastAsia"/>
              </w:rPr>
              <w:t>款</w:t>
            </w:r>
            <w:r w:rsidRPr="00BC18F9">
              <w:rPr>
                <w:rFonts w:eastAsiaTheme="minorEastAsia"/>
                <w:lang w:val="zh-CN"/>
              </w:rPr>
              <w:t>和第</w:t>
            </w:r>
            <w:r w:rsidRPr="00BC18F9">
              <w:rPr>
                <w:rFonts w:eastAsiaTheme="minorEastAsia"/>
              </w:rPr>
              <w:t>10</w:t>
            </w:r>
            <w:r w:rsidR="00E23EBF">
              <w:rPr>
                <w:rFonts w:eastAsiaTheme="minorEastAsia" w:hint="eastAsia"/>
              </w:rPr>
              <w:t>条</w:t>
            </w:r>
            <w:r w:rsidRPr="00BC18F9">
              <w:rPr>
                <w:rFonts w:eastAsiaTheme="minorEastAsia"/>
              </w:rPr>
              <w:t>（</w:t>
            </w:r>
            <w:r w:rsidRPr="00BC18F9">
              <w:rPr>
                <w:rFonts w:eastAsiaTheme="minorEastAsia"/>
              </w:rPr>
              <w:t>b</w:t>
            </w:r>
            <w:r w:rsidRPr="00BC18F9">
              <w:rPr>
                <w:rFonts w:eastAsiaTheme="minorEastAsia"/>
              </w:rPr>
              <w:t>）</w:t>
            </w:r>
            <w:r w:rsidR="00E23EBF">
              <w:rPr>
                <w:rFonts w:eastAsiaTheme="minorEastAsia" w:hint="eastAsia"/>
              </w:rPr>
              <w:t>款</w:t>
            </w:r>
            <w:r w:rsidRPr="00BC18F9">
              <w:rPr>
                <w:rFonts w:eastAsiaTheme="minorEastAsia"/>
              </w:rPr>
              <w:t>）</w:t>
            </w:r>
          </w:p>
        </w:tc>
      </w:tr>
    </w:tbl>
    <w:p w14:paraId="58AF0A26" w14:textId="77777777" w:rsidR="00FB10AA" w:rsidRPr="00CB0FCC" w:rsidRDefault="00FB10AA">
      <w:pPr>
        <w:pStyle w:val="CBDH1"/>
        <w:rPr>
          <w:rFonts w:ascii="SimHei" w:eastAsia="SimHei" w:hAnsi="SimHei"/>
          <w:sz w:val="24"/>
          <w:szCs w:val="24"/>
          <w:lang w:val="zh-CN"/>
        </w:rPr>
      </w:pPr>
      <w:r w:rsidRPr="00CB0FCC">
        <w:rPr>
          <w:rFonts w:ascii="SimHei" w:eastAsia="SimHei" w:hAnsi="SimHei"/>
          <w:sz w:val="24"/>
          <w:szCs w:val="24"/>
          <w:lang w:val="zh-CN"/>
        </w:rPr>
        <w:t>六.</w:t>
      </w:r>
      <w:r w:rsidRPr="00CB0FCC">
        <w:rPr>
          <w:rFonts w:ascii="SimHei" w:eastAsia="SimHei" w:hAnsi="SimHei"/>
          <w:sz w:val="24"/>
          <w:szCs w:val="24"/>
          <w:lang w:val="zh-CN"/>
        </w:rPr>
        <w:tab/>
        <w:t>制定和实施可持续野生生物管理政策的关键要素</w:t>
      </w:r>
    </w:p>
    <w:p w14:paraId="4E254399"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根据第</w:t>
      </w:r>
      <w:hyperlink r:id="rId37" w:history="1">
        <w:r w:rsidRPr="00CB0FCC">
          <w:rPr>
            <w:rStyle w:val="Hyperlink"/>
            <w:rFonts w:eastAsiaTheme="minorEastAsia"/>
            <w:sz w:val="24"/>
            <w:szCs w:val="24"/>
          </w:rPr>
          <w:t>16/15</w:t>
        </w:r>
      </w:hyperlink>
      <w:r w:rsidRPr="00CB0FCC">
        <w:rPr>
          <w:rFonts w:eastAsiaTheme="minorEastAsia"/>
          <w:sz w:val="24"/>
          <w:szCs w:val="24"/>
          <w:lang w:val="zh-CN"/>
        </w:rPr>
        <w:t>号决定</w:t>
      </w:r>
      <w:r w:rsidRPr="00CB0FCC">
        <w:rPr>
          <w:rFonts w:eastAsiaTheme="minorEastAsia"/>
          <w:sz w:val="24"/>
          <w:szCs w:val="24"/>
        </w:rPr>
        <w:t>，</w:t>
      </w:r>
      <w:r w:rsidRPr="00CB0FCC">
        <w:rPr>
          <w:rFonts w:eastAsiaTheme="minorEastAsia"/>
          <w:sz w:val="24"/>
          <w:szCs w:val="24"/>
          <w:lang w:val="zh-CN"/>
        </w:rPr>
        <w:t>本指导意见采用</w:t>
      </w:r>
      <w:r w:rsidRPr="00F651DC">
        <w:rPr>
          <w:sz w:val="24"/>
          <w:szCs w:val="24"/>
          <w:lang w:val="zh-CN"/>
        </w:rPr>
        <w:t>《</w:t>
      </w:r>
      <w:r w:rsidRPr="00F651DC">
        <w:rPr>
          <w:rFonts w:ascii="KaiTi" w:hAnsi="KaiTi"/>
          <w:sz w:val="24"/>
          <w:szCs w:val="24"/>
          <w:lang w:val="zh-CN"/>
        </w:rPr>
        <w:t>野生物种可持续利用的专题评估报告</w:t>
      </w:r>
      <w:r w:rsidRPr="00F651DC">
        <w:rPr>
          <w:sz w:val="24"/>
          <w:szCs w:val="24"/>
          <w:lang w:val="zh-CN"/>
        </w:rPr>
        <w:t>》</w:t>
      </w:r>
      <w:r w:rsidRPr="00CB0FCC">
        <w:rPr>
          <w:rFonts w:eastAsiaTheme="minorEastAsia"/>
          <w:sz w:val="24"/>
          <w:szCs w:val="24"/>
          <w:lang w:val="zh-CN"/>
        </w:rPr>
        <w:t>确定的进行有效政策行动的七个关键要素</w:t>
      </w:r>
      <w:r w:rsidRPr="00CB0FCC">
        <w:rPr>
          <w:rFonts w:eastAsiaTheme="minorEastAsia"/>
          <w:sz w:val="24"/>
          <w:szCs w:val="24"/>
        </w:rPr>
        <w:t>；</w:t>
      </w:r>
      <w:r w:rsidRPr="00CB0FCC">
        <w:rPr>
          <w:rFonts w:eastAsiaTheme="minorEastAsia"/>
          <w:sz w:val="24"/>
          <w:szCs w:val="24"/>
          <w:lang w:val="zh-CN"/>
        </w:rPr>
        <w:t>这些要素旨在用于制定和实施野生物种可持续利用的政策。这些关键要素包括：</w:t>
      </w:r>
    </w:p>
    <w:p w14:paraId="069F1EB9"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包容性和参与性决策；</w:t>
      </w:r>
    </w:p>
    <w:p w14:paraId="216A6664"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纳入多元知识体系和承认权利；</w:t>
      </w:r>
    </w:p>
    <w:p w14:paraId="09E6D33D"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公平分配成本和分享惠益</w:t>
      </w:r>
      <w:r w:rsidRPr="00CB0FCC">
        <w:rPr>
          <w:rFonts w:eastAsiaTheme="minorEastAsia"/>
          <w:sz w:val="24"/>
          <w:szCs w:val="24"/>
          <w:lang w:val="en-US"/>
        </w:rPr>
        <w:t>；</w:t>
      </w:r>
    </w:p>
    <w:p w14:paraId="77427484"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制定符合当地社会生态状况的政策；</w:t>
      </w:r>
    </w:p>
    <w:p w14:paraId="4B7CF658"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监测社会生态做法和状况；</w:t>
      </w:r>
    </w:p>
    <w:p w14:paraId="14037AB1"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协调跨部门政策；</w:t>
      </w:r>
    </w:p>
    <w:p w14:paraId="6486A147"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制定从习惯性到法定性的健全体制。</w:t>
      </w:r>
    </w:p>
    <w:p w14:paraId="1BE61DDA"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要素</w:t>
      </w:r>
      <w:r w:rsidRPr="00CB0FCC">
        <w:rPr>
          <w:rFonts w:eastAsiaTheme="minorEastAsia"/>
          <w:sz w:val="24"/>
          <w:szCs w:val="24"/>
        </w:rPr>
        <w:t>（</w:t>
      </w:r>
      <w:r w:rsidRPr="00CB0FCC">
        <w:rPr>
          <w:rFonts w:eastAsiaTheme="minorEastAsia"/>
          <w:sz w:val="24"/>
          <w:szCs w:val="24"/>
        </w:rPr>
        <w:t>a</w:t>
      </w:r>
      <w:r w:rsidRPr="00CB0FCC">
        <w:rPr>
          <w:rFonts w:eastAsiaTheme="minorEastAsia"/>
          <w:sz w:val="24"/>
          <w:szCs w:val="24"/>
        </w:rPr>
        <w:t>）</w:t>
      </w:r>
      <w:r w:rsidRPr="00CB0FCC">
        <w:rPr>
          <w:rFonts w:eastAsiaTheme="minorEastAsia"/>
          <w:sz w:val="24"/>
          <w:szCs w:val="24"/>
          <w:lang w:val="zh-CN"/>
        </w:rPr>
        <w:t>、</w:t>
      </w:r>
      <w:r w:rsidRPr="00CB0FCC">
        <w:rPr>
          <w:rFonts w:eastAsiaTheme="minorEastAsia"/>
          <w:sz w:val="24"/>
          <w:szCs w:val="24"/>
        </w:rPr>
        <w:t>（</w:t>
      </w:r>
      <w:r w:rsidRPr="00CB0FCC">
        <w:rPr>
          <w:rFonts w:eastAsiaTheme="minorEastAsia"/>
          <w:sz w:val="24"/>
          <w:szCs w:val="24"/>
        </w:rPr>
        <w:t>b</w:t>
      </w:r>
      <w:r w:rsidRPr="00CB0FCC">
        <w:rPr>
          <w:rFonts w:eastAsiaTheme="minorEastAsia"/>
          <w:sz w:val="24"/>
          <w:szCs w:val="24"/>
        </w:rPr>
        <w:t>）</w:t>
      </w:r>
      <w:r w:rsidRPr="00CB0FCC">
        <w:rPr>
          <w:rFonts w:eastAsiaTheme="minorEastAsia"/>
          <w:sz w:val="24"/>
          <w:szCs w:val="24"/>
          <w:lang w:val="zh-CN"/>
        </w:rPr>
        <w:t>和</w:t>
      </w:r>
      <w:r w:rsidRPr="00CB0FCC">
        <w:rPr>
          <w:rFonts w:eastAsiaTheme="minorEastAsia"/>
          <w:sz w:val="24"/>
          <w:szCs w:val="24"/>
        </w:rPr>
        <w:t>（</w:t>
      </w:r>
      <w:r w:rsidRPr="00CB0FCC">
        <w:rPr>
          <w:rFonts w:eastAsiaTheme="minorEastAsia"/>
          <w:sz w:val="24"/>
          <w:szCs w:val="24"/>
        </w:rPr>
        <w:t>c</w:t>
      </w:r>
      <w:r w:rsidRPr="00CB0FCC">
        <w:rPr>
          <w:rFonts w:eastAsiaTheme="minorEastAsia"/>
          <w:sz w:val="24"/>
          <w:szCs w:val="24"/>
        </w:rPr>
        <w:t>）</w:t>
      </w:r>
      <w:r w:rsidRPr="00CB0FCC">
        <w:rPr>
          <w:rFonts w:eastAsiaTheme="minorEastAsia"/>
          <w:sz w:val="24"/>
          <w:szCs w:val="24"/>
          <w:lang w:val="zh-CN"/>
        </w:rPr>
        <w:t>主要在下文第七节</w:t>
      </w:r>
      <w:r w:rsidRPr="00CB0FCC">
        <w:rPr>
          <w:rFonts w:eastAsiaTheme="minorEastAsia"/>
          <w:sz w:val="24"/>
          <w:szCs w:val="24"/>
        </w:rPr>
        <w:t>B</w:t>
      </w:r>
      <w:r w:rsidRPr="00CB0FCC">
        <w:rPr>
          <w:rFonts w:eastAsiaTheme="minorEastAsia"/>
          <w:sz w:val="24"/>
          <w:szCs w:val="24"/>
          <w:lang w:val="zh-CN"/>
        </w:rPr>
        <w:t>、</w:t>
      </w:r>
      <w:r w:rsidRPr="00CB0FCC">
        <w:rPr>
          <w:rFonts w:eastAsiaTheme="minorEastAsia"/>
          <w:sz w:val="24"/>
          <w:szCs w:val="24"/>
        </w:rPr>
        <w:t>C</w:t>
      </w:r>
      <w:r w:rsidRPr="00CB0FCC">
        <w:rPr>
          <w:rFonts w:eastAsiaTheme="minorEastAsia"/>
          <w:sz w:val="24"/>
          <w:szCs w:val="24"/>
          <w:lang w:val="zh-CN"/>
        </w:rPr>
        <w:t>和</w:t>
      </w:r>
      <w:r w:rsidRPr="00CB0FCC">
        <w:rPr>
          <w:rFonts w:eastAsiaTheme="minorEastAsia"/>
          <w:sz w:val="24"/>
          <w:szCs w:val="24"/>
        </w:rPr>
        <w:t>D</w:t>
      </w:r>
      <w:r w:rsidRPr="00CB0FCC">
        <w:rPr>
          <w:rFonts w:eastAsiaTheme="minorEastAsia"/>
          <w:sz w:val="24"/>
          <w:szCs w:val="24"/>
          <w:lang w:val="zh-CN"/>
        </w:rPr>
        <w:t>部分论述</w:t>
      </w:r>
      <w:r w:rsidRPr="00CB0FCC">
        <w:rPr>
          <w:rFonts w:eastAsiaTheme="minorEastAsia"/>
          <w:sz w:val="24"/>
          <w:szCs w:val="24"/>
        </w:rPr>
        <w:t>，</w:t>
      </w:r>
      <w:r w:rsidRPr="00CB0FCC">
        <w:rPr>
          <w:rFonts w:eastAsiaTheme="minorEastAsia"/>
          <w:sz w:val="24"/>
          <w:szCs w:val="24"/>
          <w:lang w:val="zh-CN"/>
        </w:rPr>
        <w:t>而要素</w:t>
      </w:r>
      <w:r w:rsidRPr="00CB0FCC">
        <w:rPr>
          <w:rFonts w:eastAsiaTheme="minorEastAsia"/>
          <w:sz w:val="24"/>
          <w:szCs w:val="24"/>
        </w:rPr>
        <w:t>（</w:t>
      </w:r>
      <w:r w:rsidRPr="00CB0FCC">
        <w:rPr>
          <w:rFonts w:eastAsiaTheme="minorEastAsia"/>
          <w:sz w:val="24"/>
          <w:szCs w:val="24"/>
        </w:rPr>
        <w:t>d</w:t>
      </w:r>
      <w:r w:rsidRPr="00CB0FCC">
        <w:rPr>
          <w:rFonts w:eastAsiaTheme="minorEastAsia"/>
          <w:sz w:val="24"/>
          <w:szCs w:val="24"/>
        </w:rPr>
        <w:t>）</w:t>
      </w:r>
      <w:r w:rsidRPr="00CB0FCC">
        <w:rPr>
          <w:rFonts w:eastAsiaTheme="minorEastAsia"/>
          <w:sz w:val="24"/>
          <w:szCs w:val="24"/>
          <w:lang w:val="zh-CN"/>
        </w:rPr>
        <w:t>、</w:t>
      </w:r>
      <w:r w:rsidRPr="00CB0FCC">
        <w:rPr>
          <w:rFonts w:eastAsiaTheme="minorEastAsia"/>
          <w:sz w:val="24"/>
          <w:szCs w:val="24"/>
        </w:rPr>
        <w:t>（</w:t>
      </w:r>
      <w:r w:rsidRPr="00CB0FCC">
        <w:rPr>
          <w:rFonts w:eastAsiaTheme="minorEastAsia"/>
          <w:sz w:val="24"/>
          <w:szCs w:val="24"/>
        </w:rPr>
        <w:t>e</w:t>
      </w:r>
      <w:r w:rsidRPr="00CB0FCC">
        <w:rPr>
          <w:rFonts w:eastAsiaTheme="minorEastAsia"/>
          <w:sz w:val="24"/>
          <w:szCs w:val="24"/>
        </w:rPr>
        <w:t>）</w:t>
      </w:r>
      <w:r w:rsidRPr="00CB0FCC">
        <w:rPr>
          <w:rFonts w:eastAsiaTheme="minorEastAsia"/>
          <w:sz w:val="24"/>
          <w:szCs w:val="24"/>
          <w:lang w:val="zh-CN"/>
        </w:rPr>
        <w:t>、</w:t>
      </w:r>
      <w:r w:rsidRPr="00CB0FCC">
        <w:rPr>
          <w:rFonts w:eastAsiaTheme="minorEastAsia"/>
          <w:sz w:val="24"/>
          <w:szCs w:val="24"/>
        </w:rPr>
        <w:t>（</w:t>
      </w:r>
      <w:r w:rsidRPr="00CB0FCC">
        <w:rPr>
          <w:rFonts w:eastAsiaTheme="minorEastAsia"/>
          <w:sz w:val="24"/>
          <w:szCs w:val="24"/>
        </w:rPr>
        <w:t>f</w:t>
      </w:r>
      <w:r w:rsidRPr="00CB0FCC">
        <w:rPr>
          <w:rFonts w:eastAsiaTheme="minorEastAsia"/>
          <w:sz w:val="24"/>
          <w:szCs w:val="24"/>
        </w:rPr>
        <w:t>）</w:t>
      </w:r>
      <w:r w:rsidRPr="00CB0FCC">
        <w:rPr>
          <w:rFonts w:eastAsiaTheme="minorEastAsia"/>
          <w:sz w:val="24"/>
          <w:szCs w:val="24"/>
          <w:lang w:val="zh-CN"/>
        </w:rPr>
        <w:t>和</w:t>
      </w:r>
      <w:r w:rsidRPr="00CB0FCC">
        <w:rPr>
          <w:rFonts w:eastAsiaTheme="minorEastAsia"/>
          <w:sz w:val="24"/>
          <w:szCs w:val="24"/>
        </w:rPr>
        <w:t>（</w:t>
      </w:r>
      <w:r w:rsidRPr="00CB0FCC">
        <w:rPr>
          <w:rFonts w:eastAsiaTheme="minorEastAsia"/>
          <w:sz w:val="24"/>
          <w:szCs w:val="24"/>
        </w:rPr>
        <w:t>g</w:t>
      </w:r>
      <w:r w:rsidRPr="00CB0FCC">
        <w:rPr>
          <w:rFonts w:eastAsiaTheme="minorEastAsia"/>
          <w:sz w:val="24"/>
          <w:szCs w:val="24"/>
        </w:rPr>
        <w:t>）</w:t>
      </w:r>
      <w:r w:rsidRPr="00CB0FCC">
        <w:rPr>
          <w:rFonts w:eastAsiaTheme="minorEastAsia"/>
          <w:sz w:val="24"/>
          <w:szCs w:val="24"/>
          <w:lang w:val="zh-CN"/>
        </w:rPr>
        <w:t>则贯穿本指导意见</w:t>
      </w:r>
      <w:r w:rsidRPr="00CB0FCC">
        <w:rPr>
          <w:rFonts w:eastAsiaTheme="minorEastAsia"/>
          <w:sz w:val="24"/>
          <w:szCs w:val="24"/>
        </w:rPr>
        <w:t>，</w:t>
      </w:r>
      <w:r w:rsidRPr="00CB0FCC">
        <w:rPr>
          <w:rFonts w:eastAsiaTheme="minorEastAsia"/>
          <w:sz w:val="24"/>
          <w:szCs w:val="24"/>
          <w:lang w:val="zh-CN"/>
        </w:rPr>
        <w:t>包括第七节</w:t>
      </w:r>
      <w:r w:rsidRPr="00CB0FCC">
        <w:rPr>
          <w:rFonts w:eastAsiaTheme="minorEastAsia"/>
          <w:sz w:val="24"/>
          <w:szCs w:val="24"/>
        </w:rPr>
        <w:t>A</w:t>
      </w:r>
      <w:r w:rsidRPr="00CB0FCC">
        <w:rPr>
          <w:rFonts w:eastAsiaTheme="minorEastAsia"/>
          <w:sz w:val="24"/>
          <w:szCs w:val="24"/>
          <w:lang w:val="zh-CN"/>
        </w:rPr>
        <w:t>部分以及第四节和第五节。</w:t>
      </w:r>
    </w:p>
    <w:p w14:paraId="6613EDBD" w14:textId="77777777" w:rsidR="00FB10AA" w:rsidRPr="00CB0FCC" w:rsidRDefault="00FB10AA">
      <w:pPr>
        <w:pStyle w:val="CBDNormalNumber"/>
        <w:numPr>
          <w:ilvl w:val="0"/>
          <w:numId w:val="35"/>
        </w:numPr>
        <w:ind w:left="567"/>
        <w:rPr>
          <w:rFonts w:eastAsiaTheme="minorEastAsia"/>
          <w:sz w:val="24"/>
          <w:szCs w:val="24"/>
        </w:rPr>
      </w:pPr>
      <w:r w:rsidRPr="0060595C">
        <w:rPr>
          <w:sz w:val="24"/>
          <w:szCs w:val="24"/>
          <w:lang w:val="zh-CN"/>
        </w:rPr>
        <w:t>《</w:t>
      </w:r>
      <w:r w:rsidRPr="0060595C">
        <w:rPr>
          <w:rFonts w:ascii="KaiTi" w:hAnsi="KaiTi"/>
          <w:sz w:val="24"/>
          <w:szCs w:val="24"/>
          <w:lang w:val="zh-CN"/>
        </w:rPr>
        <w:t>野生物种可持续利用专题评估报告</w:t>
      </w:r>
      <w:r w:rsidRPr="0060595C">
        <w:rPr>
          <w:sz w:val="24"/>
          <w:szCs w:val="24"/>
          <w:lang w:val="zh-CN"/>
        </w:rPr>
        <w:t>》</w:t>
      </w:r>
      <w:r w:rsidRPr="00CB0FCC">
        <w:rPr>
          <w:rFonts w:eastAsiaTheme="minorEastAsia"/>
          <w:sz w:val="24"/>
          <w:szCs w:val="24"/>
          <w:lang w:val="zh-CN"/>
        </w:rPr>
        <w:t>指出</w:t>
      </w:r>
      <w:r w:rsidRPr="00CB0FCC">
        <w:rPr>
          <w:rFonts w:eastAsiaTheme="minorEastAsia"/>
          <w:sz w:val="24"/>
          <w:szCs w:val="24"/>
        </w:rPr>
        <w:t>，</w:t>
      </w:r>
      <w:r w:rsidRPr="00CB0FCC">
        <w:rPr>
          <w:rFonts w:eastAsiaTheme="minorEastAsia"/>
          <w:sz w:val="24"/>
          <w:szCs w:val="24"/>
          <w:lang w:val="zh-CN"/>
        </w:rPr>
        <w:t>这些关键要素能够增强利用野生物种的可持续性</w:t>
      </w:r>
      <w:r w:rsidRPr="00CB0FCC">
        <w:rPr>
          <w:rFonts w:eastAsiaTheme="minorEastAsia"/>
          <w:sz w:val="24"/>
          <w:szCs w:val="24"/>
        </w:rPr>
        <w:t>，</w:t>
      </w:r>
      <w:r w:rsidRPr="00CB0FCC">
        <w:rPr>
          <w:rFonts w:eastAsiaTheme="minorEastAsia"/>
          <w:sz w:val="24"/>
          <w:szCs w:val="24"/>
          <w:lang w:val="zh-CN"/>
        </w:rPr>
        <w:t>并可作为加强实施工作的先决条件。它们通过增强合法性、支持适应性及因地制宜的实施措施、提高政策一致性与协调性，以及巩固应对社会生态变化所需的体制条件，从而影响可持续野生生物管理的成效。</w:t>
      </w:r>
    </w:p>
    <w:p w14:paraId="259458AF" w14:textId="77777777" w:rsidR="00FB10AA" w:rsidRPr="00CB0FCC" w:rsidRDefault="00FB10AA">
      <w:pPr>
        <w:pStyle w:val="CBDH1"/>
        <w:rPr>
          <w:rFonts w:ascii="SimHei" w:eastAsia="SimHei" w:hAnsi="SimHei"/>
          <w:sz w:val="24"/>
          <w:szCs w:val="24"/>
          <w:lang w:val="zh-CN"/>
        </w:rPr>
      </w:pPr>
      <w:r w:rsidRPr="00CB0FCC">
        <w:rPr>
          <w:rFonts w:ascii="SimHei" w:eastAsia="SimHei" w:hAnsi="SimHei"/>
          <w:sz w:val="24"/>
          <w:szCs w:val="24"/>
          <w:lang w:val="zh-CN"/>
        </w:rPr>
        <w:t>七.</w:t>
      </w:r>
      <w:r w:rsidRPr="00CB0FCC">
        <w:rPr>
          <w:rFonts w:ascii="SimHei" w:eastAsia="SimHei" w:hAnsi="SimHei"/>
          <w:sz w:val="24"/>
          <w:szCs w:val="24"/>
          <w:lang w:val="zh-CN"/>
        </w:rPr>
        <w:tab/>
        <w:t>实施可持续野生生物管理的行动</w:t>
      </w:r>
    </w:p>
    <w:p w14:paraId="471AF010" w14:textId="44D29FD8" w:rsidR="00FB10AA" w:rsidRPr="00CB0FCC" w:rsidRDefault="00FB10AA">
      <w:pPr>
        <w:pStyle w:val="CBDNormalNumber"/>
        <w:numPr>
          <w:ilvl w:val="0"/>
          <w:numId w:val="35"/>
        </w:numPr>
        <w:ind w:left="567"/>
        <w:rPr>
          <w:rFonts w:eastAsiaTheme="minorEastAsia"/>
          <w:b/>
          <w:sz w:val="24"/>
          <w:szCs w:val="24"/>
        </w:rPr>
      </w:pPr>
      <w:r w:rsidRPr="00CB0FCC">
        <w:rPr>
          <w:rFonts w:eastAsiaTheme="minorEastAsia"/>
          <w:sz w:val="24"/>
          <w:szCs w:val="24"/>
          <w:lang w:val="zh-CN"/>
        </w:rPr>
        <w:t>本节载有缔约方在支持实施可持续野生生物管理时可考虑采取的四项行动</w:t>
      </w:r>
      <w:r w:rsidRPr="00CB0FCC">
        <w:rPr>
          <w:rFonts w:eastAsiaTheme="minorEastAsia"/>
          <w:sz w:val="24"/>
          <w:szCs w:val="24"/>
        </w:rPr>
        <w:t>：</w:t>
      </w:r>
      <w:r w:rsidRPr="00CB0FCC">
        <w:rPr>
          <w:rFonts w:eastAsiaTheme="minorEastAsia"/>
          <w:sz w:val="24"/>
          <w:szCs w:val="24"/>
          <w:lang w:val="zh-CN"/>
        </w:rPr>
        <w:t>支持政策一致性和跨部门整合的跨领域要素</w:t>
      </w:r>
      <w:r w:rsidRPr="00CB0FCC">
        <w:rPr>
          <w:rFonts w:eastAsiaTheme="minorEastAsia"/>
          <w:sz w:val="24"/>
          <w:szCs w:val="24"/>
        </w:rPr>
        <w:t>；</w:t>
      </w:r>
      <w:r w:rsidRPr="00CB0FCC">
        <w:rPr>
          <w:rFonts w:eastAsiaTheme="minorEastAsia"/>
          <w:sz w:val="24"/>
          <w:szCs w:val="24"/>
          <w:lang w:val="zh-CN"/>
        </w:rPr>
        <w:t>包容性和参与性决策</w:t>
      </w:r>
      <w:r w:rsidRPr="00CB0FCC">
        <w:rPr>
          <w:rFonts w:eastAsiaTheme="minorEastAsia"/>
          <w:sz w:val="24"/>
          <w:szCs w:val="24"/>
        </w:rPr>
        <w:t>；</w:t>
      </w:r>
      <w:r w:rsidRPr="00CB0FCC">
        <w:rPr>
          <w:rFonts w:eastAsiaTheme="minorEastAsia"/>
          <w:sz w:val="24"/>
          <w:szCs w:val="24"/>
          <w:lang w:val="zh-CN"/>
        </w:rPr>
        <w:t>纳入多元知识体</w:t>
      </w:r>
      <w:r w:rsidRPr="00CB0FCC">
        <w:rPr>
          <w:rFonts w:eastAsiaTheme="minorEastAsia"/>
          <w:sz w:val="24"/>
          <w:szCs w:val="24"/>
          <w:lang w:val="zh-CN"/>
        </w:rPr>
        <w:lastRenderedPageBreak/>
        <w:t>系和承认权利</w:t>
      </w:r>
      <w:r w:rsidRPr="00CB0FCC">
        <w:rPr>
          <w:rFonts w:eastAsiaTheme="minorEastAsia"/>
          <w:sz w:val="24"/>
          <w:szCs w:val="24"/>
        </w:rPr>
        <w:t>；</w:t>
      </w:r>
      <w:r w:rsidRPr="00CB0FCC">
        <w:rPr>
          <w:rFonts w:eastAsiaTheme="minorEastAsia"/>
          <w:sz w:val="24"/>
          <w:szCs w:val="24"/>
          <w:lang w:val="zh-CN"/>
        </w:rPr>
        <w:t>公平分配成本和分享惠益。</w:t>
      </w:r>
      <w:r w:rsidRPr="00CB0FCC">
        <w:rPr>
          <w:rFonts w:eastAsiaTheme="minorEastAsia"/>
          <w:sz w:val="24"/>
          <w:szCs w:val="24"/>
          <w:lang w:val="zh-CN"/>
        </w:rPr>
        <w:t>B</w:t>
      </w:r>
      <w:r w:rsidRPr="00CB0FCC">
        <w:rPr>
          <w:rFonts w:eastAsiaTheme="minorEastAsia"/>
          <w:sz w:val="24"/>
          <w:szCs w:val="24"/>
          <w:lang w:val="zh-CN"/>
        </w:rPr>
        <w:t>、</w:t>
      </w:r>
      <w:r w:rsidRPr="00CB0FCC">
        <w:rPr>
          <w:rFonts w:eastAsiaTheme="minorEastAsia"/>
          <w:sz w:val="24"/>
          <w:szCs w:val="24"/>
          <w:lang w:val="zh-CN"/>
        </w:rPr>
        <w:t>C</w:t>
      </w:r>
      <w:r w:rsidRPr="00CB0FCC">
        <w:rPr>
          <w:rFonts w:eastAsiaTheme="minorEastAsia"/>
          <w:sz w:val="24"/>
          <w:szCs w:val="24"/>
          <w:lang w:val="zh-CN"/>
        </w:rPr>
        <w:t>和</w:t>
      </w:r>
      <w:r w:rsidRPr="00CB0FCC">
        <w:rPr>
          <w:rFonts w:eastAsiaTheme="minorEastAsia"/>
          <w:sz w:val="24"/>
          <w:szCs w:val="24"/>
          <w:lang w:val="zh-CN"/>
        </w:rPr>
        <w:t>D</w:t>
      </w:r>
      <w:r w:rsidRPr="00CB0FCC">
        <w:rPr>
          <w:rFonts w:eastAsiaTheme="minorEastAsia"/>
          <w:sz w:val="24"/>
          <w:szCs w:val="24"/>
          <w:lang w:val="zh-CN"/>
        </w:rPr>
        <w:t>小节载有第</w:t>
      </w:r>
      <w:hyperlink r:id="rId38" w:history="1">
        <w:r w:rsidRPr="00CB0FCC">
          <w:rPr>
            <w:rStyle w:val="Hyperlink"/>
            <w:rFonts w:eastAsiaTheme="minorEastAsia"/>
            <w:sz w:val="24"/>
            <w:szCs w:val="24"/>
            <w:lang w:val="zh-CN"/>
          </w:rPr>
          <w:t>16/15</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所列各领域的重点；增加了</w:t>
      </w:r>
      <w:r w:rsidRPr="00CB0FCC">
        <w:rPr>
          <w:rFonts w:eastAsiaTheme="minorEastAsia"/>
          <w:sz w:val="24"/>
          <w:szCs w:val="24"/>
          <w:lang w:val="zh-CN"/>
        </w:rPr>
        <w:t>A</w:t>
      </w:r>
      <w:r w:rsidRPr="00CB0FCC">
        <w:rPr>
          <w:rFonts w:eastAsiaTheme="minorEastAsia"/>
          <w:sz w:val="24"/>
          <w:szCs w:val="24"/>
          <w:lang w:val="zh-CN"/>
        </w:rPr>
        <w:t>小节是因为其主题事项在第</w:t>
      </w:r>
      <w:hyperlink r:id="rId39" w:history="1">
        <w:r w:rsidRPr="00EB32A4">
          <w:rPr>
            <w:rStyle w:val="Hyperlink"/>
            <w:rFonts w:eastAsiaTheme="minorEastAsia"/>
            <w:sz w:val="24"/>
            <w:szCs w:val="24"/>
            <w:lang w:val="zh-CN"/>
          </w:rPr>
          <w:t>2025-014</w:t>
        </w:r>
      </w:hyperlink>
      <w:r w:rsidRPr="00CB0FCC">
        <w:rPr>
          <w:rFonts w:eastAsiaTheme="minorEastAsia"/>
          <w:sz w:val="24"/>
          <w:szCs w:val="24"/>
          <w:lang w:val="zh-CN"/>
        </w:rPr>
        <w:t>号和第</w:t>
      </w:r>
      <w:hyperlink r:id="rId40" w:history="1">
        <w:r w:rsidRPr="007A260E">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发布后收到的各方意见中占据了重要地位。</w:t>
      </w:r>
    </w:p>
    <w:p w14:paraId="6F788262"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在实施本指导意见时</w:t>
      </w:r>
      <w:r w:rsidRPr="00CB0FCC">
        <w:rPr>
          <w:rFonts w:eastAsiaTheme="minorEastAsia"/>
          <w:sz w:val="24"/>
          <w:szCs w:val="24"/>
        </w:rPr>
        <w:t>，</w:t>
      </w:r>
      <w:r w:rsidRPr="00CB0FCC">
        <w:rPr>
          <w:rFonts w:eastAsiaTheme="minorEastAsia"/>
          <w:sz w:val="24"/>
          <w:szCs w:val="24"/>
          <w:lang w:val="zh-CN"/>
        </w:rPr>
        <w:t>可结合生态条件、文化多样性和治理体系等因素</w:t>
      </w:r>
      <w:r w:rsidRPr="00CB0FCC">
        <w:rPr>
          <w:rFonts w:eastAsiaTheme="minorEastAsia"/>
          <w:sz w:val="24"/>
          <w:szCs w:val="24"/>
        </w:rPr>
        <w:t>，</w:t>
      </w:r>
      <w:r w:rsidRPr="00CB0FCC">
        <w:rPr>
          <w:rFonts w:eastAsiaTheme="minorEastAsia"/>
          <w:sz w:val="24"/>
          <w:szCs w:val="24"/>
          <w:lang w:val="zh-CN"/>
        </w:rPr>
        <w:t>针对国家和地方的具体情况进行调整。在对指导意见进行此类调整时，缔约方可考虑不同生态区域（如温带、热带、亚热带、干旱区、极地、山区、岛屿、沿海及城市环境）的差异，并认识到实施方面的需求、压力、拥有的数据及治理安排都可能</w:t>
      </w:r>
      <w:proofErr w:type="gramStart"/>
      <w:r w:rsidRPr="00CB0FCC">
        <w:rPr>
          <w:rFonts w:eastAsiaTheme="minorEastAsia"/>
          <w:sz w:val="24"/>
          <w:szCs w:val="24"/>
          <w:lang w:val="zh-CN"/>
        </w:rPr>
        <w:t>因区域</w:t>
      </w:r>
      <w:proofErr w:type="gramEnd"/>
      <w:r w:rsidRPr="00CB0FCC">
        <w:rPr>
          <w:rFonts w:eastAsiaTheme="minorEastAsia"/>
          <w:sz w:val="24"/>
          <w:szCs w:val="24"/>
          <w:lang w:val="zh-CN"/>
        </w:rPr>
        <w:t>和做法的不同而存在差异。</w:t>
      </w:r>
    </w:p>
    <w:p w14:paraId="7D2ECB01"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此外</w:t>
      </w:r>
      <w:r w:rsidRPr="00CB0FCC">
        <w:rPr>
          <w:rFonts w:eastAsiaTheme="minorEastAsia"/>
          <w:sz w:val="24"/>
          <w:szCs w:val="24"/>
        </w:rPr>
        <w:t>，</w:t>
      </w:r>
      <w:r w:rsidRPr="00CB0FCC">
        <w:rPr>
          <w:rFonts w:eastAsiaTheme="minorEastAsia"/>
          <w:sz w:val="24"/>
          <w:szCs w:val="24"/>
          <w:lang w:val="zh-CN"/>
        </w:rPr>
        <w:t>符合区域特定做法的技术工具也可酌情作为本指导意见的补充</w:t>
      </w:r>
      <w:r w:rsidRPr="00CB0FCC">
        <w:rPr>
          <w:rFonts w:eastAsiaTheme="minorEastAsia"/>
          <w:sz w:val="24"/>
          <w:szCs w:val="24"/>
        </w:rPr>
        <w:t>，</w:t>
      </w:r>
      <w:r w:rsidRPr="00CB0FCC">
        <w:rPr>
          <w:rFonts w:eastAsiaTheme="minorEastAsia"/>
          <w:sz w:val="24"/>
          <w:szCs w:val="24"/>
          <w:lang w:val="zh-CN"/>
        </w:rPr>
        <w:t>以满足在更详细的方法、指标、情景分析或操作标准等方面的需要。</w:t>
      </w:r>
    </w:p>
    <w:p w14:paraId="072EEAAA" w14:textId="77777777" w:rsidR="00FB10AA" w:rsidRPr="00CD7E7F" w:rsidRDefault="00FB10AA" w:rsidP="00CD7E7F">
      <w:pPr>
        <w:pStyle w:val="CBDH1"/>
        <w:rPr>
          <w:rFonts w:ascii="SimHei" w:eastAsia="SimHei" w:hAnsi="SimHei"/>
          <w:sz w:val="24"/>
          <w:szCs w:val="24"/>
          <w:lang w:val="zh-CN"/>
        </w:rPr>
      </w:pPr>
      <w:r w:rsidRPr="00CD7E7F">
        <w:rPr>
          <w:rFonts w:ascii="SimHei" w:eastAsia="SimHei" w:hAnsi="SimHei"/>
          <w:sz w:val="24"/>
          <w:szCs w:val="24"/>
          <w:lang w:val="zh-CN"/>
        </w:rPr>
        <w:t>A.</w:t>
      </w:r>
      <w:r w:rsidRPr="00CD7E7F">
        <w:rPr>
          <w:rFonts w:ascii="SimHei" w:eastAsia="SimHei" w:hAnsi="SimHei"/>
          <w:sz w:val="24"/>
          <w:szCs w:val="24"/>
          <w:lang w:val="zh-CN"/>
        </w:rPr>
        <w:tab/>
        <w:t>跨领域要素：政策一致性与跨部门整合</w:t>
      </w:r>
    </w:p>
    <w:p w14:paraId="2DED34A1" w14:textId="77777777" w:rsidR="00FB10AA" w:rsidRPr="00CB0FCC" w:rsidRDefault="00FB10AA">
      <w:pPr>
        <w:pStyle w:val="CBDNormalNumber"/>
        <w:numPr>
          <w:ilvl w:val="0"/>
          <w:numId w:val="35"/>
        </w:numPr>
        <w:ind w:left="567"/>
        <w:rPr>
          <w:rFonts w:eastAsiaTheme="minorEastAsia"/>
          <w:sz w:val="24"/>
          <w:szCs w:val="24"/>
        </w:rPr>
      </w:pPr>
      <w:r w:rsidRPr="00CB0FCC">
        <w:rPr>
          <w:rFonts w:eastAsiaTheme="minorEastAsia"/>
          <w:sz w:val="24"/>
          <w:szCs w:val="24"/>
          <w:lang w:val="zh-CN"/>
        </w:rPr>
        <w:t>政策一致性与跨部门整合至关重要</w:t>
      </w:r>
      <w:r w:rsidRPr="00CB0FCC">
        <w:rPr>
          <w:rFonts w:eastAsiaTheme="minorEastAsia"/>
          <w:sz w:val="24"/>
          <w:szCs w:val="24"/>
        </w:rPr>
        <w:t>，</w:t>
      </w:r>
      <w:r w:rsidRPr="00CB0FCC">
        <w:rPr>
          <w:rFonts w:eastAsiaTheme="minorEastAsia"/>
          <w:sz w:val="24"/>
          <w:szCs w:val="24"/>
          <w:lang w:val="zh-CN"/>
        </w:rPr>
        <w:t>因为可持续野生生物管理受到跨部门和</w:t>
      </w:r>
      <w:proofErr w:type="gramStart"/>
      <w:r w:rsidRPr="00CB0FCC">
        <w:rPr>
          <w:rFonts w:eastAsiaTheme="minorEastAsia"/>
          <w:sz w:val="24"/>
          <w:szCs w:val="24"/>
          <w:lang w:val="zh-CN"/>
        </w:rPr>
        <w:t>跨治理</w:t>
      </w:r>
      <w:proofErr w:type="gramEnd"/>
      <w:r w:rsidRPr="00CB0FCC">
        <w:rPr>
          <w:rFonts w:eastAsiaTheme="minorEastAsia"/>
          <w:sz w:val="24"/>
          <w:szCs w:val="24"/>
          <w:lang w:val="zh-CN"/>
        </w:rPr>
        <w:t>层级以及在各种社会生态背景下相互作用的各种驱动因素的影响。生物多样性和生态系统服务政府间科学与政策平台的评估报告指出，增强可持续性的关键要素是制定协调一致的政策、建立稳健的习惯和法定体制、对社会生态状况及做法进行监测以及制定符合当地社会生态背景的政策。这些办法有助于协调相关部门和层级的措施、加强促进实施的体制支持、减少碎片化和政策不一致并对不断变化的社会生态状况采取适应性措施。因此，应酌情根据国情和优先事项，采取以下行动：</w:t>
      </w:r>
      <w:r w:rsidRPr="00CB0FCC">
        <w:rPr>
          <w:rFonts w:eastAsiaTheme="minorEastAsia"/>
          <w:sz w:val="24"/>
          <w:szCs w:val="24"/>
        </w:rPr>
        <w:t xml:space="preserve"> </w:t>
      </w:r>
    </w:p>
    <w:p w14:paraId="0008D929" w14:textId="12C7EF86"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促成协调一致的政策、法律和体制条件</w:t>
      </w:r>
      <w:r w:rsidRPr="00CB0FCC">
        <w:rPr>
          <w:rFonts w:eastAsiaTheme="minorEastAsia"/>
          <w:sz w:val="24"/>
          <w:szCs w:val="24"/>
        </w:rPr>
        <w:t>，</w:t>
      </w:r>
      <w:r w:rsidRPr="00CB0FCC">
        <w:rPr>
          <w:rFonts w:eastAsiaTheme="minorEastAsia"/>
          <w:sz w:val="24"/>
          <w:szCs w:val="24"/>
          <w:lang w:val="zh-CN"/>
        </w:rPr>
        <w:t>以便对野生生物进行可持续和包容性管理</w:t>
      </w:r>
      <w:r w:rsidRPr="00CB0FCC">
        <w:rPr>
          <w:rFonts w:eastAsiaTheme="minorEastAsia"/>
          <w:sz w:val="24"/>
          <w:szCs w:val="24"/>
        </w:rPr>
        <w:t>，</w:t>
      </w:r>
      <w:r w:rsidRPr="00CB0FCC">
        <w:rPr>
          <w:rFonts w:eastAsiaTheme="minorEastAsia"/>
          <w:sz w:val="24"/>
          <w:szCs w:val="24"/>
          <w:lang w:val="zh-CN"/>
        </w:rPr>
        <w:t>包括发展与各项保护目标、生态极限、可追溯性需求、公平分享惠益以及促进土著人民和地方社区及相关利益攸关方的权利和生计相一致的可持续野生生物经济</w:t>
      </w:r>
      <w:r w:rsidRPr="00CB0FCC">
        <w:rPr>
          <w:rFonts w:eastAsiaTheme="minorEastAsia"/>
          <w:sz w:val="24"/>
          <w:szCs w:val="24"/>
        </w:rPr>
        <w:t>；</w:t>
      </w:r>
    </w:p>
    <w:p w14:paraId="6E7FB71C" w14:textId="77777777" w:rsidR="00FB10AA" w:rsidRPr="00CB0FCC" w:rsidRDefault="00FB10AA">
      <w:pPr>
        <w:pStyle w:val="CBDNormalNumber"/>
        <w:numPr>
          <w:ilvl w:val="1"/>
          <w:numId w:val="35"/>
        </w:numPr>
        <w:rPr>
          <w:rFonts w:eastAsiaTheme="minorEastAsia"/>
          <w:sz w:val="24"/>
          <w:szCs w:val="24"/>
        </w:rPr>
      </w:pPr>
      <w:r w:rsidRPr="00CB0FCC">
        <w:rPr>
          <w:rFonts w:eastAsiaTheme="minorEastAsia"/>
          <w:sz w:val="24"/>
          <w:szCs w:val="24"/>
          <w:lang w:val="zh-CN"/>
        </w:rPr>
        <w:t>通过确定牵头机构、协调与监测机制以及相关规程的方式</w:t>
      </w:r>
      <w:r w:rsidRPr="00CB0FCC">
        <w:rPr>
          <w:rFonts w:eastAsiaTheme="minorEastAsia"/>
          <w:sz w:val="24"/>
          <w:szCs w:val="24"/>
        </w:rPr>
        <w:t>，</w:t>
      </w:r>
      <w:r w:rsidRPr="00CB0FCC">
        <w:rPr>
          <w:rFonts w:eastAsiaTheme="minorEastAsia"/>
          <w:sz w:val="24"/>
          <w:szCs w:val="24"/>
          <w:lang w:val="zh-CN"/>
        </w:rPr>
        <w:t>加强跨部门法规和协调</w:t>
      </w:r>
      <w:r w:rsidRPr="00CB0FCC">
        <w:rPr>
          <w:rFonts w:eastAsiaTheme="minorEastAsia"/>
          <w:sz w:val="24"/>
          <w:szCs w:val="24"/>
        </w:rPr>
        <w:t>，</w:t>
      </w:r>
      <w:r w:rsidRPr="00CB0FCC">
        <w:rPr>
          <w:rFonts w:eastAsiaTheme="minorEastAsia"/>
          <w:sz w:val="24"/>
          <w:szCs w:val="24"/>
          <w:lang w:val="zh-CN"/>
        </w:rPr>
        <w:t>以应对以下各项关键压力</w:t>
      </w:r>
      <w:r w:rsidRPr="00CB0FCC">
        <w:rPr>
          <w:rFonts w:eastAsiaTheme="minorEastAsia"/>
          <w:sz w:val="24"/>
          <w:szCs w:val="24"/>
        </w:rPr>
        <w:t>：</w:t>
      </w:r>
      <w:r w:rsidRPr="00CB0FCC">
        <w:rPr>
          <w:rFonts w:eastAsiaTheme="minorEastAsia"/>
          <w:sz w:val="24"/>
          <w:szCs w:val="24"/>
        </w:rPr>
        <w:t xml:space="preserve"> </w:t>
      </w:r>
    </w:p>
    <w:p w14:paraId="34A09660" w14:textId="77777777" w:rsidR="00FB10AA" w:rsidRPr="00CB0FCC" w:rsidRDefault="00FB10AA" w:rsidP="00D52E32">
      <w:pPr>
        <w:pStyle w:val="CBDNormalNumber"/>
        <w:numPr>
          <w:ilvl w:val="2"/>
          <w:numId w:val="40"/>
        </w:numPr>
        <w:rPr>
          <w:rFonts w:eastAsiaTheme="minorEastAsia"/>
          <w:sz w:val="24"/>
          <w:szCs w:val="24"/>
        </w:rPr>
      </w:pPr>
      <w:r w:rsidRPr="00CB0FCC">
        <w:rPr>
          <w:rFonts w:eastAsiaTheme="minorEastAsia"/>
          <w:sz w:val="24"/>
          <w:szCs w:val="24"/>
          <w:lang w:val="zh-CN"/>
        </w:rPr>
        <w:t>野生生物犯罪及非法利用或贸易；</w:t>
      </w:r>
    </w:p>
    <w:p w14:paraId="0FB5A30A" w14:textId="77777777" w:rsidR="00FB10AA" w:rsidRPr="00CB0FCC" w:rsidRDefault="00FB10AA" w:rsidP="00D52E32">
      <w:pPr>
        <w:pStyle w:val="CBDNormalNumber"/>
        <w:numPr>
          <w:ilvl w:val="2"/>
          <w:numId w:val="40"/>
        </w:numPr>
        <w:rPr>
          <w:rFonts w:eastAsiaTheme="minorEastAsia"/>
          <w:sz w:val="24"/>
          <w:szCs w:val="24"/>
        </w:rPr>
      </w:pPr>
      <w:r w:rsidRPr="00CB0FCC">
        <w:rPr>
          <w:rFonts w:eastAsiaTheme="minorEastAsia"/>
          <w:sz w:val="24"/>
          <w:szCs w:val="24"/>
          <w:lang w:val="zh-CN"/>
        </w:rPr>
        <w:t>栖息地丧失、退化和碎片化；</w:t>
      </w:r>
    </w:p>
    <w:p w14:paraId="463C7905" w14:textId="77777777" w:rsidR="00FB10AA" w:rsidRPr="00CB0FCC" w:rsidRDefault="00FB10AA" w:rsidP="00D52E32">
      <w:pPr>
        <w:pStyle w:val="CBDNormalNumber"/>
        <w:numPr>
          <w:ilvl w:val="2"/>
          <w:numId w:val="40"/>
        </w:numPr>
        <w:rPr>
          <w:rFonts w:eastAsiaTheme="minorEastAsia"/>
          <w:sz w:val="24"/>
          <w:szCs w:val="24"/>
        </w:rPr>
      </w:pPr>
      <w:r w:rsidRPr="00CB0FCC">
        <w:rPr>
          <w:rFonts w:eastAsiaTheme="minorEastAsia"/>
          <w:sz w:val="24"/>
          <w:szCs w:val="24"/>
          <w:lang w:val="zh-CN"/>
        </w:rPr>
        <w:t>与气候相关的风险；</w:t>
      </w:r>
    </w:p>
    <w:p w14:paraId="18FB8C1C" w14:textId="77777777" w:rsidR="00FB10AA" w:rsidRPr="00CB0FCC" w:rsidRDefault="00FB10AA" w:rsidP="00D52E32">
      <w:pPr>
        <w:pStyle w:val="CBDNormalNumber"/>
        <w:numPr>
          <w:ilvl w:val="2"/>
          <w:numId w:val="40"/>
        </w:numPr>
        <w:rPr>
          <w:rFonts w:eastAsiaTheme="minorEastAsia"/>
          <w:sz w:val="24"/>
          <w:szCs w:val="24"/>
        </w:rPr>
      </w:pPr>
      <w:r w:rsidRPr="00CB0FCC">
        <w:rPr>
          <w:rFonts w:eastAsiaTheme="minorEastAsia"/>
          <w:sz w:val="24"/>
          <w:szCs w:val="24"/>
          <w:lang w:val="zh-CN"/>
        </w:rPr>
        <w:t>生物安全风险、外来入侵物种及人畜共患疾病风险</w:t>
      </w:r>
      <w:r w:rsidRPr="00CB0FCC">
        <w:rPr>
          <w:rFonts w:eastAsiaTheme="minorEastAsia"/>
          <w:sz w:val="24"/>
          <w:szCs w:val="24"/>
        </w:rPr>
        <w:t>；</w:t>
      </w:r>
    </w:p>
    <w:p w14:paraId="053AD91B" w14:textId="77777777" w:rsidR="00FB10AA" w:rsidRPr="00CB0FCC" w:rsidRDefault="00FB10AA" w:rsidP="00D52E32">
      <w:pPr>
        <w:pStyle w:val="CBDNormalNumber"/>
        <w:numPr>
          <w:ilvl w:val="2"/>
          <w:numId w:val="40"/>
        </w:numPr>
        <w:rPr>
          <w:rFonts w:eastAsiaTheme="minorEastAsia"/>
          <w:sz w:val="24"/>
          <w:szCs w:val="24"/>
        </w:rPr>
      </w:pPr>
      <w:r w:rsidRPr="00CB0FCC">
        <w:rPr>
          <w:rFonts w:eastAsiaTheme="minorEastAsia"/>
          <w:sz w:val="24"/>
          <w:szCs w:val="24"/>
          <w:lang w:val="zh-CN"/>
        </w:rPr>
        <w:t>污染；</w:t>
      </w:r>
    </w:p>
    <w:p w14:paraId="3DA7867F" w14:textId="77777777" w:rsidR="00FB10AA" w:rsidRPr="00CB0FCC" w:rsidRDefault="00FB10AA" w:rsidP="00D52E32">
      <w:pPr>
        <w:pStyle w:val="CBDNormalNumber"/>
        <w:numPr>
          <w:ilvl w:val="2"/>
          <w:numId w:val="40"/>
        </w:numPr>
        <w:rPr>
          <w:rFonts w:eastAsiaTheme="minorEastAsia"/>
          <w:sz w:val="24"/>
          <w:szCs w:val="24"/>
        </w:rPr>
      </w:pPr>
      <w:r w:rsidRPr="00CB0FCC">
        <w:rPr>
          <w:rFonts w:eastAsiaTheme="minorEastAsia"/>
          <w:sz w:val="24"/>
          <w:szCs w:val="24"/>
          <w:lang w:val="zh-CN"/>
        </w:rPr>
        <w:t>合法、可持续和</w:t>
      </w:r>
      <w:proofErr w:type="gramStart"/>
      <w:r w:rsidRPr="00CB0FCC">
        <w:rPr>
          <w:rFonts w:eastAsiaTheme="minorEastAsia"/>
          <w:sz w:val="24"/>
          <w:szCs w:val="24"/>
          <w:lang w:val="zh-CN"/>
        </w:rPr>
        <w:t>可</w:t>
      </w:r>
      <w:proofErr w:type="gramEnd"/>
      <w:r w:rsidRPr="00CB0FCC">
        <w:rPr>
          <w:rFonts w:eastAsiaTheme="minorEastAsia"/>
          <w:sz w:val="24"/>
          <w:szCs w:val="24"/>
          <w:lang w:val="zh-CN"/>
        </w:rPr>
        <w:t>追溯的野生生物利用与贸易</w:t>
      </w:r>
      <w:r w:rsidRPr="00CB0FCC">
        <w:rPr>
          <w:rFonts w:eastAsiaTheme="minorEastAsia"/>
          <w:sz w:val="24"/>
          <w:szCs w:val="24"/>
        </w:rPr>
        <w:t>；</w:t>
      </w:r>
    </w:p>
    <w:p w14:paraId="5EDF9DFC"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推动将生态连通性和栖息地保护纳入空间和发展规划</w:t>
      </w:r>
      <w:r w:rsidRPr="00CB0FCC">
        <w:rPr>
          <w:rFonts w:eastAsiaTheme="minorEastAsia"/>
          <w:sz w:val="24"/>
          <w:szCs w:val="24"/>
        </w:rPr>
        <w:t>，</w:t>
      </w:r>
      <w:r w:rsidRPr="00CB0FCC">
        <w:rPr>
          <w:rFonts w:eastAsiaTheme="minorEastAsia"/>
          <w:sz w:val="24"/>
          <w:szCs w:val="24"/>
          <w:lang w:val="zh-CN"/>
        </w:rPr>
        <w:t>具体措施包括</w:t>
      </w:r>
      <w:r w:rsidRPr="00CB0FCC">
        <w:rPr>
          <w:rFonts w:eastAsiaTheme="minorEastAsia"/>
          <w:sz w:val="24"/>
          <w:szCs w:val="24"/>
        </w:rPr>
        <w:t>：</w:t>
      </w:r>
      <w:r w:rsidRPr="00CB0FCC">
        <w:rPr>
          <w:rFonts w:eastAsiaTheme="minorEastAsia"/>
          <w:sz w:val="24"/>
          <w:szCs w:val="24"/>
          <w:lang w:val="zh-CN"/>
        </w:rPr>
        <w:t>圈定和保障关键栖息地、生态廊道和迁徙通道以及具有文化和社会生态重要性的区域、将其纳入分区规划和战略环境评估进程并使相关行动与国家土地利用或海域利用规划以及在适当时与区域和全球连通性倡议相协调</w:t>
      </w:r>
      <w:r w:rsidRPr="00CB0FCC">
        <w:rPr>
          <w:rFonts w:eastAsiaTheme="minorEastAsia"/>
          <w:sz w:val="24"/>
          <w:szCs w:val="24"/>
        </w:rPr>
        <w:t>；</w:t>
      </w:r>
    </w:p>
    <w:p w14:paraId="43BCC34F"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推动将可持续野生生物管理议题</w:t>
      </w:r>
      <w:proofErr w:type="gramStart"/>
      <w:r w:rsidRPr="00CB0FCC">
        <w:rPr>
          <w:rFonts w:eastAsiaTheme="minorEastAsia"/>
          <w:sz w:val="24"/>
          <w:szCs w:val="24"/>
          <w:lang w:val="zh-CN"/>
        </w:rPr>
        <w:t>酌情更</w:t>
      </w:r>
      <w:proofErr w:type="gramEnd"/>
      <w:r w:rsidRPr="00CB0FCC">
        <w:rPr>
          <w:rFonts w:eastAsiaTheme="minorEastAsia"/>
          <w:sz w:val="24"/>
          <w:szCs w:val="24"/>
          <w:lang w:val="zh-CN"/>
        </w:rPr>
        <w:t>深入地融入城市规划进程</w:t>
      </w:r>
      <w:r w:rsidRPr="00CB0FCC">
        <w:rPr>
          <w:rFonts w:eastAsiaTheme="minorEastAsia"/>
          <w:sz w:val="24"/>
          <w:szCs w:val="24"/>
        </w:rPr>
        <w:t>，</w:t>
      </w:r>
      <w:r w:rsidRPr="00CB0FCC">
        <w:rPr>
          <w:rFonts w:eastAsiaTheme="minorEastAsia"/>
          <w:sz w:val="24"/>
          <w:szCs w:val="24"/>
          <w:lang w:val="zh-CN"/>
        </w:rPr>
        <w:t>包括</w:t>
      </w:r>
      <w:r w:rsidRPr="00CB0FCC">
        <w:rPr>
          <w:rFonts w:eastAsiaTheme="minorEastAsia"/>
          <w:sz w:val="24"/>
          <w:szCs w:val="24"/>
        </w:rPr>
        <w:t>：</w:t>
      </w:r>
      <w:r w:rsidRPr="00CB0FCC">
        <w:rPr>
          <w:rFonts w:eastAsiaTheme="minorEastAsia"/>
          <w:sz w:val="24"/>
          <w:szCs w:val="24"/>
          <w:lang w:val="zh-CN"/>
        </w:rPr>
        <w:t>采用基于自然的解决方案、更新城市野生生物管理准则、建立预防和应对城市地区</w:t>
      </w:r>
      <w:r w:rsidRPr="00CB0FCC">
        <w:rPr>
          <w:rFonts w:eastAsiaTheme="minorEastAsia"/>
          <w:sz w:val="24"/>
          <w:szCs w:val="24"/>
          <w:lang w:val="zh-CN"/>
        </w:rPr>
        <w:lastRenderedPageBreak/>
        <w:t>人与野生生物互动的规程以及支持旨在提高对野生生物认知水平并鼓励城市居民参与社区野生生物管护的跨部门倡议</w:t>
      </w:r>
      <w:r w:rsidRPr="00CB0FCC">
        <w:rPr>
          <w:rFonts w:eastAsiaTheme="minorEastAsia"/>
          <w:sz w:val="24"/>
          <w:szCs w:val="24"/>
        </w:rPr>
        <w:t>；</w:t>
      </w:r>
    </w:p>
    <w:p w14:paraId="3B9D83B8"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通过建立或利用现有区域平台和制定及整合双边或多边安排的方式</w:t>
      </w:r>
      <w:r w:rsidRPr="00CB0FCC">
        <w:rPr>
          <w:rFonts w:eastAsiaTheme="minorEastAsia"/>
          <w:sz w:val="24"/>
          <w:szCs w:val="24"/>
        </w:rPr>
        <w:t>，</w:t>
      </w:r>
      <w:r w:rsidRPr="00CB0FCC">
        <w:rPr>
          <w:rFonts w:eastAsiaTheme="minorEastAsia"/>
          <w:sz w:val="24"/>
          <w:szCs w:val="24"/>
          <w:lang w:val="zh-CN"/>
        </w:rPr>
        <w:t>加强针对共有物种和生态系统的区域及跨界合作</w:t>
      </w:r>
      <w:r w:rsidRPr="00CB0FCC">
        <w:rPr>
          <w:rFonts w:eastAsiaTheme="minorEastAsia"/>
          <w:sz w:val="24"/>
          <w:szCs w:val="24"/>
        </w:rPr>
        <w:t>，</w:t>
      </w:r>
      <w:r w:rsidRPr="00CB0FCC">
        <w:rPr>
          <w:rFonts w:eastAsiaTheme="minorEastAsia"/>
          <w:sz w:val="24"/>
          <w:szCs w:val="24"/>
          <w:lang w:val="zh-CN"/>
        </w:rPr>
        <w:t>以开展协调一致的保护行动、监测、统一的捕猎或贸易管制以及跨界保护区和生态廊道的联合管理</w:t>
      </w:r>
      <w:r w:rsidRPr="00CB0FCC">
        <w:rPr>
          <w:rFonts w:eastAsiaTheme="minorEastAsia"/>
          <w:sz w:val="24"/>
          <w:szCs w:val="24"/>
        </w:rPr>
        <w:t>；</w:t>
      </w:r>
    </w:p>
    <w:p w14:paraId="24D2F167"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酌情支持商业、私营和金融部门在各部门</w:t>
      </w:r>
      <w:proofErr w:type="gramStart"/>
      <w:r w:rsidRPr="00CB0FCC">
        <w:rPr>
          <w:rFonts w:eastAsiaTheme="minorEastAsia"/>
          <w:sz w:val="24"/>
          <w:szCs w:val="24"/>
          <w:lang w:val="zh-CN"/>
        </w:rPr>
        <w:t>内部及跨部门</w:t>
      </w:r>
      <w:proofErr w:type="gramEnd"/>
      <w:r w:rsidRPr="00CB0FCC">
        <w:rPr>
          <w:rFonts w:eastAsiaTheme="minorEastAsia"/>
          <w:sz w:val="24"/>
          <w:szCs w:val="24"/>
          <w:lang w:val="zh-CN"/>
        </w:rPr>
        <w:t>层面推动生物多样性主流化</w:t>
      </w:r>
      <w:r w:rsidRPr="00CB0FCC">
        <w:rPr>
          <w:rFonts w:eastAsiaTheme="minorEastAsia"/>
          <w:sz w:val="24"/>
          <w:szCs w:val="24"/>
        </w:rPr>
        <w:t>，</w:t>
      </w:r>
      <w:r w:rsidRPr="00CB0FCC">
        <w:rPr>
          <w:rFonts w:eastAsiaTheme="minorEastAsia"/>
          <w:sz w:val="24"/>
          <w:szCs w:val="24"/>
          <w:lang w:val="zh-CN"/>
        </w:rPr>
        <w:t>以便确保野生物种的可持续管理</w:t>
      </w:r>
      <w:r w:rsidRPr="00CB0FCC">
        <w:rPr>
          <w:rFonts w:eastAsiaTheme="minorEastAsia"/>
          <w:sz w:val="24"/>
          <w:szCs w:val="24"/>
        </w:rPr>
        <w:t>，</w:t>
      </w:r>
      <w:r w:rsidRPr="00CB0FCC">
        <w:rPr>
          <w:rFonts w:eastAsiaTheme="minorEastAsia"/>
          <w:sz w:val="24"/>
          <w:szCs w:val="24"/>
          <w:lang w:val="zh-CN"/>
        </w:rPr>
        <w:t>包括消除野生生物犯罪</w:t>
      </w:r>
      <w:r w:rsidRPr="00CB0FCC">
        <w:rPr>
          <w:rFonts w:eastAsiaTheme="minorEastAsia"/>
          <w:sz w:val="24"/>
          <w:szCs w:val="24"/>
        </w:rPr>
        <w:t>，</w:t>
      </w:r>
      <w:r w:rsidRPr="00CB0FCC">
        <w:rPr>
          <w:rFonts w:eastAsiaTheme="minorEastAsia"/>
          <w:sz w:val="24"/>
          <w:szCs w:val="24"/>
          <w:lang w:val="zh-CN"/>
        </w:rPr>
        <w:t>并规定企业、公司及金融机构披露其供应链中涉及野生生物的风险、依赖关系及影响</w:t>
      </w:r>
      <w:r w:rsidRPr="00CB0FCC">
        <w:rPr>
          <w:rFonts w:eastAsiaTheme="minorEastAsia"/>
          <w:sz w:val="24"/>
          <w:szCs w:val="24"/>
        </w:rPr>
        <w:t>；</w:t>
      </w:r>
    </w:p>
    <w:p w14:paraId="4B83C1CD"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应对可持续管理野生物种的挑战</w:t>
      </w:r>
      <w:r w:rsidRPr="00CB0FCC">
        <w:rPr>
          <w:rFonts w:eastAsiaTheme="minorEastAsia"/>
          <w:sz w:val="24"/>
          <w:szCs w:val="24"/>
        </w:rPr>
        <w:t>，</w:t>
      </w:r>
      <w:r w:rsidRPr="00CB0FCC">
        <w:rPr>
          <w:rFonts w:eastAsiaTheme="minorEastAsia"/>
          <w:sz w:val="24"/>
          <w:szCs w:val="24"/>
          <w:lang w:val="zh-CN"/>
        </w:rPr>
        <w:t>如陆地景观和海洋景观的变化、气候变化、污染及外来入侵物种</w:t>
      </w:r>
      <w:r w:rsidRPr="00CB0FCC">
        <w:rPr>
          <w:rFonts w:eastAsiaTheme="minorEastAsia"/>
          <w:sz w:val="24"/>
          <w:szCs w:val="24"/>
        </w:rPr>
        <w:t>，</w:t>
      </w:r>
      <w:r w:rsidRPr="00CB0FCC">
        <w:rPr>
          <w:rFonts w:eastAsiaTheme="minorEastAsia"/>
          <w:sz w:val="24"/>
          <w:szCs w:val="24"/>
          <w:lang w:val="zh-CN"/>
        </w:rPr>
        <w:t>并加强与应对共同挑战的各个多边环境协定秘书处的合作与协调</w:t>
      </w:r>
      <w:r w:rsidRPr="00CB0FCC">
        <w:rPr>
          <w:rFonts w:eastAsiaTheme="minorEastAsia"/>
          <w:sz w:val="24"/>
          <w:szCs w:val="24"/>
        </w:rPr>
        <w:t>；</w:t>
      </w:r>
    </w:p>
    <w:p w14:paraId="18AEB6F5"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推动将气候相关风险更有系统地纳入野生生物管理</w:t>
      </w:r>
      <w:r w:rsidRPr="00CB0FCC">
        <w:rPr>
          <w:rFonts w:eastAsiaTheme="minorEastAsia"/>
          <w:sz w:val="24"/>
          <w:szCs w:val="24"/>
        </w:rPr>
        <w:t>，</w:t>
      </w:r>
      <w:r w:rsidRPr="00CB0FCC">
        <w:rPr>
          <w:rFonts w:eastAsiaTheme="minorEastAsia"/>
          <w:sz w:val="24"/>
          <w:szCs w:val="24"/>
          <w:lang w:val="zh-CN"/>
        </w:rPr>
        <w:t>具体做法包括</w:t>
      </w:r>
      <w:r w:rsidRPr="00CB0FCC">
        <w:rPr>
          <w:rFonts w:eastAsiaTheme="minorEastAsia"/>
          <w:sz w:val="24"/>
          <w:szCs w:val="24"/>
        </w:rPr>
        <w:t>：</w:t>
      </w:r>
      <w:r w:rsidRPr="00CB0FCC">
        <w:rPr>
          <w:rFonts w:eastAsiaTheme="minorEastAsia"/>
          <w:sz w:val="24"/>
          <w:szCs w:val="24"/>
          <w:lang w:val="zh-CN"/>
        </w:rPr>
        <w:t>在适当时评估气候变化对物种种群、栖息地、生态连通性、疾病状况、人与野生生物互动及利用可持续性的影响</w:t>
      </w:r>
      <w:r w:rsidRPr="00CB0FCC">
        <w:rPr>
          <w:rFonts w:eastAsiaTheme="minorEastAsia"/>
          <w:sz w:val="24"/>
          <w:szCs w:val="24"/>
        </w:rPr>
        <w:t>，</w:t>
      </w:r>
      <w:r w:rsidRPr="00CB0FCC">
        <w:rPr>
          <w:rFonts w:eastAsiaTheme="minorEastAsia"/>
          <w:sz w:val="24"/>
          <w:szCs w:val="24"/>
          <w:lang w:val="zh-CN"/>
        </w:rPr>
        <w:t>并根据这些影响调整相应管理措施</w:t>
      </w:r>
      <w:r w:rsidRPr="00CB0FCC">
        <w:rPr>
          <w:rFonts w:eastAsiaTheme="minorEastAsia"/>
          <w:sz w:val="24"/>
          <w:szCs w:val="24"/>
        </w:rPr>
        <w:t>；</w:t>
      </w:r>
    </w:p>
    <w:p w14:paraId="01AD948C"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加强或制定国家级野生生物资源目录、监测系统和适应性管理框架</w:t>
      </w:r>
      <w:r w:rsidRPr="00CB0FCC">
        <w:rPr>
          <w:rFonts w:eastAsiaTheme="minorEastAsia"/>
          <w:sz w:val="24"/>
          <w:szCs w:val="24"/>
        </w:rPr>
        <w:t>，</w:t>
      </w:r>
      <w:r w:rsidRPr="00CB0FCC">
        <w:rPr>
          <w:rFonts w:eastAsiaTheme="minorEastAsia"/>
          <w:sz w:val="24"/>
          <w:szCs w:val="24"/>
          <w:lang w:val="zh-CN"/>
        </w:rPr>
        <w:t>以便根据生态证据、风险及不确定性</w:t>
      </w:r>
      <w:r w:rsidRPr="00CB0FCC">
        <w:rPr>
          <w:rFonts w:eastAsiaTheme="minorEastAsia"/>
          <w:sz w:val="24"/>
          <w:szCs w:val="24"/>
        </w:rPr>
        <w:t>，</w:t>
      </w:r>
      <w:r w:rsidRPr="00CB0FCC">
        <w:rPr>
          <w:rFonts w:eastAsiaTheme="minorEastAsia"/>
          <w:sz w:val="24"/>
          <w:szCs w:val="24"/>
          <w:lang w:val="zh-CN"/>
        </w:rPr>
        <w:t>支持对管理工具</w:t>
      </w:r>
      <w:r w:rsidRPr="00CB0FCC">
        <w:rPr>
          <w:rFonts w:eastAsiaTheme="minorEastAsia"/>
          <w:sz w:val="24"/>
          <w:szCs w:val="24"/>
        </w:rPr>
        <w:t>，</w:t>
      </w:r>
      <w:r w:rsidRPr="00CB0FCC">
        <w:rPr>
          <w:rFonts w:eastAsiaTheme="minorEastAsia"/>
          <w:sz w:val="24"/>
          <w:szCs w:val="24"/>
          <w:lang w:val="zh-CN"/>
        </w:rPr>
        <w:t>包括配额、许可证及管理计划</w:t>
      </w:r>
      <w:r w:rsidRPr="00CB0FCC">
        <w:rPr>
          <w:rFonts w:eastAsiaTheme="minorEastAsia"/>
          <w:sz w:val="24"/>
          <w:szCs w:val="24"/>
        </w:rPr>
        <w:t>，</w:t>
      </w:r>
      <w:r w:rsidRPr="00CB0FCC">
        <w:rPr>
          <w:rFonts w:eastAsiaTheme="minorEastAsia"/>
          <w:sz w:val="24"/>
          <w:szCs w:val="24"/>
          <w:lang w:val="zh-CN"/>
        </w:rPr>
        <w:t>进行定期审查和根据证据</w:t>
      </w:r>
      <w:proofErr w:type="gramStart"/>
      <w:r w:rsidRPr="00CB0FCC">
        <w:rPr>
          <w:rFonts w:eastAsiaTheme="minorEastAsia"/>
          <w:sz w:val="24"/>
          <w:szCs w:val="24"/>
          <w:lang w:val="zh-CN"/>
        </w:rPr>
        <w:t>作出</w:t>
      </w:r>
      <w:proofErr w:type="gramEnd"/>
      <w:r w:rsidRPr="00CB0FCC">
        <w:rPr>
          <w:rFonts w:eastAsiaTheme="minorEastAsia"/>
          <w:sz w:val="24"/>
          <w:szCs w:val="24"/>
          <w:lang w:val="zh-CN"/>
        </w:rPr>
        <w:t>调整</w:t>
      </w:r>
      <w:r w:rsidRPr="00CB0FCC">
        <w:rPr>
          <w:rFonts w:eastAsiaTheme="minorEastAsia"/>
          <w:sz w:val="24"/>
          <w:szCs w:val="24"/>
        </w:rPr>
        <w:t>；</w:t>
      </w:r>
    </w:p>
    <w:p w14:paraId="7B287388" w14:textId="77777777" w:rsidR="00FB10AA" w:rsidRPr="00C5403A" w:rsidRDefault="00FB10AA" w:rsidP="00C5403A">
      <w:pPr>
        <w:pStyle w:val="CBDNormalNumber"/>
        <w:numPr>
          <w:ilvl w:val="1"/>
          <w:numId w:val="35"/>
        </w:numPr>
        <w:rPr>
          <w:rFonts w:eastAsiaTheme="minorEastAsia"/>
          <w:sz w:val="24"/>
          <w:szCs w:val="24"/>
          <w:lang w:val="zh-CN"/>
        </w:rPr>
      </w:pPr>
      <w:r w:rsidRPr="00CB0FCC">
        <w:rPr>
          <w:rFonts w:eastAsiaTheme="minorEastAsia"/>
          <w:sz w:val="24"/>
          <w:szCs w:val="24"/>
          <w:lang w:val="zh-CN"/>
        </w:rPr>
        <w:t>视情况加强最低限度的监测与审查安排</w:t>
      </w:r>
      <w:r w:rsidRPr="00C5403A">
        <w:rPr>
          <w:rFonts w:eastAsiaTheme="minorEastAsia"/>
          <w:sz w:val="24"/>
          <w:szCs w:val="24"/>
          <w:lang w:val="zh-CN"/>
        </w:rPr>
        <w:t>，</w:t>
      </w:r>
      <w:r w:rsidRPr="00CB0FCC">
        <w:rPr>
          <w:rFonts w:eastAsiaTheme="minorEastAsia"/>
          <w:sz w:val="24"/>
          <w:szCs w:val="24"/>
          <w:lang w:val="zh-CN"/>
        </w:rPr>
        <w:t>包括建立生态与社会基准信息、定期审查管理措施、监测成效与累积压力以及建立透明的报告机制</w:t>
      </w:r>
      <w:r w:rsidRPr="00C5403A">
        <w:rPr>
          <w:rFonts w:eastAsiaTheme="minorEastAsia"/>
          <w:sz w:val="24"/>
          <w:szCs w:val="24"/>
          <w:lang w:val="zh-CN"/>
        </w:rPr>
        <w:t>，</w:t>
      </w:r>
      <w:r w:rsidRPr="00CB0FCC">
        <w:rPr>
          <w:rFonts w:eastAsiaTheme="minorEastAsia"/>
          <w:sz w:val="24"/>
          <w:szCs w:val="24"/>
          <w:lang w:val="zh-CN"/>
        </w:rPr>
        <w:t>从而支持进行适应性管理</w:t>
      </w:r>
      <w:r w:rsidRPr="00C5403A">
        <w:rPr>
          <w:rFonts w:eastAsiaTheme="minorEastAsia"/>
          <w:sz w:val="24"/>
          <w:szCs w:val="24"/>
          <w:lang w:val="zh-CN"/>
        </w:rPr>
        <w:t>，</w:t>
      </w:r>
      <w:r w:rsidRPr="00CB0FCC">
        <w:rPr>
          <w:rFonts w:eastAsiaTheme="minorEastAsia"/>
          <w:sz w:val="24"/>
          <w:szCs w:val="24"/>
          <w:lang w:val="zh-CN"/>
        </w:rPr>
        <w:t>并在发现做法不可持续或不公平时及时</w:t>
      </w:r>
      <w:proofErr w:type="gramStart"/>
      <w:r w:rsidRPr="00CB0FCC">
        <w:rPr>
          <w:rFonts w:eastAsiaTheme="minorEastAsia"/>
          <w:sz w:val="24"/>
          <w:szCs w:val="24"/>
          <w:lang w:val="zh-CN"/>
        </w:rPr>
        <w:t>作出</w:t>
      </w:r>
      <w:proofErr w:type="gramEnd"/>
      <w:r w:rsidRPr="00CB0FCC">
        <w:rPr>
          <w:rFonts w:eastAsiaTheme="minorEastAsia"/>
          <w:sz w:val="24"/>
          <w:szCs w:val="24"/>
          <w:lang w:val="zh-CN"/>
        </w:rPr>
        <w:t>调整</w:t>
      </w:r>
      <w:r w:rsidRPr="00C5403A">
        <w:rPr>
          <w:rFonts w:eastAsiaTheme="minorEastAsia"/>
          <w:sz w:val="24"/>
          <w:szCs w:val="24"/>
          <w:lang w:val="zh-CN"/>
        </w:rPr>
        <w:t>；</w:t>
      </w:r>
    </w:p>
    <w:p w14:paraId="59E51CD9" w14:textId="77777777" w:rsidR="00FB10AA" w:rsidRPr="00C5403A" w:rsidRDefault="00FB10AA" w:rsidP="00C5403A">
      <w:pPr>
        <w:pStyle w:val="CBDNormalNumber"/>
        <w:numPr>
          <w:ilvl w:val="1"/>
          <w:numId w:val="35"/>
        </w:numPr>
        <w:rPr>
          <w:rFonts w:eastAsiaTheme="minorEastAsia"/>
          <w:sz w:val="24"/>
          <w:szCs w:val="24"/>
          <w:lang w:val="zh-CN"/>
        </w:rPr>
      </w:pPr>
      <w:r w:rsidRPr="00CB0FCC">
        <w:rPr>
          <w:rFonts w:eastAsiaTheme="minorEastAsia"/>
          <w:sz w:val="24"/>
          <w:szCs w:val="24"/>
          <w:lang w:val="zh-CN"/>
        </w:rPr>
        <w:t>针对具体实施需求</w:t>
      </w:r>
      <w:r w:rsidRPr="00C5403A">
        <w:rPr>
          <w:rFonts w:eastAsiaTheme="minorEastAsia"/>
          <w:sz w:val="24"/>
          <w:szCs w:val="24"/>
          <w:lang w:val="zh-CN"/>
        </w:rPr>
        <w:t>，</w:t>
      </w:r>
      <w:r w:rsidRPr="00CB0FCC">
        <w:rPr>
          <w:rFonts w:eastAsiaTheme="minorEastAsia"/>
          <w:sz w:val="24"/>
          <w:szCs w:val="24"/>
          <w:lang w:val="zh-CN"/>
        </w:rPr>
        <w:t>通过开展</w:t>
      </w:r>
      <w:r w:rsidRPr="00C5403A">
        <w:rPr>
          <w:rFonts w:eastAsiaTheme="minorEastAsia"/>
          <w:sz w:val="24"/>
          <w:szCs w:val="24"/>
          <w:lang w:val="zh-CN"/>
        </w:rPr>
        <w:t>“</w:t>
      </w:r>
      <w:r w:rsidRPr="00CB0FCC">
        <w:rPr>
          <w:rFonts w:eastAsiaTheme="minorEastAsia"/>
          <w:sz w:val="24"/>
          <w:szCs w:val="24"/>
          <w:lang w:val="zh-CN"/>
        </w:rPr>
        <w:t>培训员培训</w:t>
      </w:r>
      <w:r w:rsidRPr="00C5403A">
        <w:rPr>
          <w:rFonts w:eastAsiaTheme="minorEastAsia"/>
          <w:sz w:val="24"/>
          <w:szCs w:val="24"/>
          <w:lang w:val="zh-CN"/>
        </w:rPr>
        <w:t>”</w:t>
      </w:r>
      <w:r w:rsidRPr="00CB0FCC">
        <w:rPr>
          <w:rFonts w:eastAsiaTheme="minorEastAsia"/>
          <w:sz w:val="24"/>
          <w:szCs w:val="24"/>
          <w:lang w:val="zh-CN"/>
        </w:rPr>
        <w:t>活动以及与学术机构、土著人民和地方社区、区域及次区域技术与科学合作支持中心及社区机构建立伙伴关系</w:t>
      </w:r>
      <w:r w:rsidRPr="00C5403A">
        <w:rPr>
          <w:rFonts w:eastAsiaTheme="minorEastAsia"/>
          <w:sz w:val="24"/>
          <w:szCs w:val="24"/>
          <w:lang w:val="zh-CN"/>
        </w:rPr>
        <w:t>，</w:t>
      </w:r>
      <w:r w:rsidRPr="00CB0FCC">
        <w:rPr>
          <w:rFonts w:eastAsiaTheme="minorEastAsia"/>
          <w:sz w:val="24"/>
          <w:szCs w:val="24"/>
          <w:lang w:val="zh-CN"/>
        </w:rPr>
        <w:t>推动有针对性的教育、提高认识和能力建设举措</w:t>
      </w:r>
      <w:r w:rsidRPr="00C5403A">
        <w:rPr>
          <w:rFonts w:eastAsiaTheme="minorEastAsia"/>
          <w:sz w:val="24"/>
          <w:szCs w:val="24"/>
          <w:lang w:val="zh-CN"/>
        </w:rPr>
        <w:t>；</w:t>
      </w:r>
    </w:p>
    <w:p w14:paraId="459085BA" w14:textId="77777777" w:rsidR="00FB10AA" w:rsidRPr="00CB0FCC" w:rsidRDefault="00FB10AA" w:rsidP="00C5403A">
      <w:pPr>
        <w:pStyle w:val="CBDNormalNumber"/>
        <w:numPr>
          <w:ilvl w:val="1"/>
          <w:numId w:val="35"/>
        </w:numPr>
        <w:rPr>
          <w:rFonts w:eastAsiaTheme="minorEastAsia"/>
          <w:sz w:val="24"/>
          <w:szCs w:val="24"/>
        </w:rPr>
      </w:pPr>
      <w:r w:rsidRPr="00CB0FCC">
        <w:rPr>
          <w:rFonts w:eastAsiaTheme="minorEastAsia"/>
          <w:sz w:val="24"/>
          <w:szCs w:val="24"/>
          <w:lang w:val="zh-CN"/>
        </w:rPr>
        <w:t>支持调动充足的人力、技术和财政资源</w:t>
      </w:r>
      <w:r w:rsidRPr="00C5403A">
        <w:rPr>
          <w:rFonts w:eastAsiaTheme="minorEastAsia"/>
          <w:sz w:val="24"/>
          <w:szCs w:val="24"/>
          <w:lang w:val="zh-CN"/>
        </w:rPr>
        <w:t>，</w:t>
      </w:r>
      <w:r w:rsidRPr="00CB0FCC">
        <w:rPr>
          <w:rFonts w:eastAsiaTheme="minorEastAsia"/>
          <w:sz w:val="24"/>
          <w:szCs w:val="24"/>
          <w:lang w:val="zh-CN"/>
        </w:rPr>
        <w:t>具体做法包括</w:t>
      </w:r>
      <w:r w:rsidRPr="00C5403A">
        <w:rPr>
          <w:rFonts w:eastAsiaTheme="minorEastAsia"/>
          <w:sz w:val="24"/>
          <w:szCs w:val="24"/>
          <w:lang w:val="zh-CN"/>
        </w:rPr>
        <w:t>：</w:t>
      </w:r>
      <w:r w:rsidRPr="00CB0FCC">
        <w:rPr>
          <w:rFonts w:eastAsiaTheme="minorEastAsia"/>
          <w:sz w:val="24"/>
          <w:szCs w:val="24"/>
          <w:lang w:val="zh-CN"/>
        </w:rPr>
        <w:t>将成本纳入部门预算、利用生物多样性融资机制以及在适当时利用符合国家优先事项和保障措施的可持续融资工具。</w:t>
      </w:r>
    </w:p>
    <w:p w14:paraId="546702B1" w14:textId="77777777" w:rsidR="00FB10AA" w:rsidRPr="00CD7E7F" w:rsidRDefault="00FB10AA" w:rsidP="00CD7E7F">
      <w:pPr>
        <w:pStyle w:val="CBDH1"/>
        <w:rPr>
          <w:rFonts w:ascii="SimHei" w:eastAsia="SimHei" w:hAnsi="SimHei"/>
          <w:sz w:val="24"/>
          <w:szCs w:val="24"/>
          <w:lang w:val="zh-CN"/>
        </w:rPr>
      </w:pPr>
      <w:r w:rsidRPr="00CD7E7F">
        <w:rPr>
          <w:rFonts w:ascii="SimHei" w:eastAsia="SimHei" w:hAnsi="SimHei"/>
          <w:sz w:val="24"/>
          <w:szCs w:val="24"/>
          <w:lang w:val="zh-CN"/>
        </w:rPr>
        <w:t>B.</w:t>
      </w:r>
      <w:r w:rsidRPr="00CD7E7F">
        <w:rPr>
          <w:rFonts w:ascii="SimHei" w:eastAsia="SimHei" w:hAnsi="SimHei"/>
          <w:sz w:val="24"/>
          <w:szCs w:val="24"/>
          <w:lang w:val="zh-CN"/>
        </w:rPr>
        <w:tab/>
        <w:t>包容性和参与性决策</w:t>
      </w:r>
    </w:p>
    <w:p w14:paraId="0EDF1D24" w14:textId="16C7F8EC" w:rsidR="00FB10AA" w:rsidRPr="00CB0FCC" w:rsidRDefault="00FB10AA" w:rsidP="002C7520">
      <w:pPr>
        <w:pStyle w:val="CBDNormalNumber"/>
        <w:numPr>
          <w:ilvl w:val="0"/>
          <w:numId w:val="35"/>
        </w:numPr>
        <w:ind w:left="567"/>
        <w:rPr>
          <w:rFonts w:eastAsiaTheme="minorEastAsia"/>
          <w:sz w:val="24"/>
          <w:szCs w:val="24"/>
        </w:rPr>
      </w:pPr>
      <w:r w:rsidRPr="00CB0FCC">
        <w:rPr>
          <w:rFonts w:eastAsiaTheme="minorEastAsia"/>
          <w:sz w:val="24"/>
          <w:szCs w:val="24"/>
          <w:lang w:val="zh-CN"/>
        </w:rPr>
        <w:t>包容性和参与式决策能够增强合法性、提高决策的质量和</w:t>
      </w:r>
      <w:proofErr w:type="gramStart"/>
      <w:r w:rsidRPr="00CB0FCC">
        <w:rPr>
          <w:rFonts w:eastAsiaTheme="minorEastAsia"/>
          <w:sz w:val="24"/>
          <w:szCs w:val="24"/>
          <w:lang w:val="zh-CN"/>
        </w:rPr>
        <w:t>可</w:t>
      </w:r>
      <w:proofErr w:type="gramEnd"/>
      <w:r w:rsidRPr="00CB0FCC">
        <w:rPr>
          <w:rFonts w:eastAsiaTheme="minorEastAsia"/>
          <w:sz w:val="24"/>
          <w:szCs w:val="24"/>
          <w:lang w:val="zh-CN"/>
        </w:rPr>
        <w:t>接受度并支持实施符合社会生态环境的可持续野生生物管理。根据对第</w:t>
      </w:r>
      <w:hyperlink r:id="rId41" w:history="1">
        <w:r w:rsidRPr="00E4612D">
          <w:rPr>
            <w:rStyle w:val="Hyperlink"/>
            <w:rFonts w:eastAsiaTheme="minorEastAsia"/>
            <w:sz w:val="24"/>
            <w:szCs w:val="24"/>
            <w:lang w:val="zh-CN"/>
          </w:rPr>
          <w:t>2025-014</w:t>
        </w:r>
      </w:hyperlink>
      <w:r w:rsidRPr="00CB0FCC">
        <w:rPr>
          <w:rFonts w:eastAsiaTheme="minorEastAsia"/>
          <w:sz w:val="24"/>
          <w:szCs w:val="24"/>
          <w:lang w:val="zh-CN"/>
        </w:rPr>
        <w:t>号和</w:t>
      </w:r>
      <w:hyperlink r:id="rId42" w:history="1">
        <w:r w:rsidRPr="00B021D7">
          <w:rPr>
            <w:rStyle w:val="Hyperlink"/>
            <w:rFonts w:eastAsiaTheme="minorEastAsia"/>
            <w:sz w:val="24"/>
            <w:szCs w:val="24"/>
            <w:lang w:val="zh-CN"/>
          </w:rPr>
          <w:t>第</w:t>
        </w:r>
        <w:r w:rsidRPr="00B021D7">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收到的意见，有效的野生生物管理有赖于土著人民和地方社区、妇女、青年、民间社会组织、科学家及相关主管部门的透明、有序和实质性参与；这种参与不应仅限于咨询，还应在适当时包括共同决策、共同管理和共同设计。为支持可持续野生生物管理措施，应酌情根据国情和优先事项，采取以下行动：</w:t>
      </w:r>
    </w:p>
    <w:p w14:paraId="206DA394"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推动符合目的的参与式进程</w:t>
      </w:r>
      <w:r w:rsidRPr="00CB0FCC">
        <w:rPr>
          <w:rFonts w:eastAsiaTheme="minorEastAsia"/>
          <w:sz w:val="24"/>
          <w:szCs w:val="24"/>
        </w:rPr>
        <w:t>，</w:t>
      </w:r>
      <w:r w:rsidRPr="00CB0FCC">
        <w:rPr>
          <w:rFonts w:eastAsiaTheme="minorEastAsia"/>
          <w:sz w:val="24"/>
          <w:szCs w:val="24"/>
          <w:lang w:val="zh-CN"/>
        </w:rPr>
        <w:t>确保尽早认定利益攸关方、明确其角色与职责、提供相关语言的信息、给予充足的参与时间和记录意见被考虑的情况</w:t>
      </w:r>
      <w:r w:rsidRPr="00CB0FCC">
        <w:rPr>
          <w:rFonts w:eastAsiaTheme="minorEastAsia"/>
          <w:sz w:val="24"/>
          <w:szCs w:val="24"/>
        </w:rPr>
        <w:t>；</w:t>
      </w:r>
    </w:p>
    <w:p w14:paraId="292932C5"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推动利益攸关方尽早参与野生生物管理措施和政策的设计</w:t>
      </w:r>
      <w:r w:rsidRPr="00CB0FCC">
        <w:rPr>
          <w:rFonts w:eastAsiaTheme="minorEastAsia"/>
          <w:sz w:val="24"/>
          <w:szCs w:val="24"/>
        </w:rPr>
        <w:t>，</w:t>
      </w:r>
      <w:r w:rsidRPr="00CB0FCC">
        <w:rPr>
          <w:rFonts w:eastAsiaTheme="minorEastAsia"/>
          <w:sz w:val="24"/>
          <w:szCs w:val="24"/>
          <w:lang w:val="zh-CN"/>
        </w:rPr>
        <w:t>包括捕猎制度、空间规划和恢复举措</w:t>
      </w:r>
      <w:r w:rsidRPr="00CB0FCC">
        <w:rPr>
          <w:rFonts w:eastAsiaTheme="minorEastAsia"/>
          <w:sz w:val="24"/>
          <w:szCs w:val="24"/>
        </w:rPr>
        <w:t>，</w:t>
      </w:r>
      <w:r w:rsidRPr="00CB0FCC">
        <w:rPr>
          <w:rFonts w:eastAsiaTheme="minorEastAsia"/>
          <w:sz w:val="24"/>
          <w:szCs w:val="24"/>
          <w:lang w:val="zh-CN"/>
        </w:rPr>
        <w:t>并在适用的情况下</w:t>
      </w:r>
      <w:r w:rsidRPr="00CB0FCC">
        <w:rPr>
          <w:rFonts w:eastAsiaTheme="minorEastAsia"/>
          <w:sz w:val="24"/>
          <w:szCs w:val="24"/>
        </w:rPr>
        <w:t>，</w:t>
      </w:r>
      <w:r w:rsidRPr="00CB0FCC">
        <w:rPr>
          <w:rFonts w:eastAsiaTheme="minorEastAsia"/>
          <w:sz w:val="24"/>
          <w:szCs w:val="24"/>
          <w:lang w:val="zh-CN"/>
        </w:rPr>
        <w:t>应用自由、事先和知情同意程序</w:t>
      </w:r>
      <w:r w:rsidRPr="00CB0FCC">
        <w:rPr>
          <w:rFonts w:eastAsiaTheme="minorEastAsia"/>
          <w:sz w:val="24"/>
          <w:szCs w:val="24"/>
        </w:rPr>
        <w:t>；</w:t>
      </w:r>
    </w:p>
    <w:p w14:paraId="2C8D666A" w14:textId="1B3CA4F9"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lastRenderedPageBreak/>
        <w:t>支持土著人民和地方社区、妇女、青年、</w:t>
      </w:r>
      <w:r w:rsidR="00FC1E49" w:rsidRPr="00CB0FCC">
        <w:rPr>
          <w:rFonts w:eastAsiaTheme="minorEastAsia"/>
          <w:sz w:val="24"/>
          <w:szCs w:val="24"/>
          <w:lang w:val="zh-CN"/>
        </w:rPr>
        <w:t>相关利益攸关方如公共主管部门、</w:t>
      </w:r>
      <w:r w:rsidRPr="00CB0FCC">
        <w:rPr>
          <w:rFonts w:eastAsiaTheme="minorEastAsia"/>
          <w:sz w:val="24"/>
          <w:szCs w:val="24"/>
          <w:lang w:val="zh-CN"/>
        </w:rPr>
        <w:t>私人土地所有者、野生生物管理者、民间社会、学术界、私营部门行为者以及卫生和兽医部门在适当时参与决策过程</w:t>
      </w:r>
      <w:r w:rsidRPr="00CB0FCC">
        <w:rPr>
          <w:rFonts w:eastAsiaTheme="minorEastAsia"/>
          <w:sz w:val="24"/>
          <w:szCs w:val="24"/>
        </w:rPr>
        <w:t>；</w:t>
      </w:r>
    </w:p>
    <w:p w14:paraId="479EC8D9"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通过明确的职权范围、决策程序以及针对管理法定、习惯和私人体系交互之处的机制</w:t>
      </w:r>
      <w:r w:rsidRPr="00CB0FCC">
        <w:rPr>
          <w:rFonts w:eastAsiaTheme="minorEastAsia"/>
          <w:sz w:val="24"/>
          <w:szCs w:val="24"/>
        </w:rPr>
        <w:t>，</w:t>
      </w:r>
      <w:r w:rsidRPr="00CB0FCC">
        <w:rPr>
          <w:rFonts w:eastAsiaTheme="minorEastAsia"/>
          <w:sz w:val="24"/>
          <w:szCs w:val="24"/>
          <w:lang w:val="zh-CN"/>
        </w:rPr>
        <w:t>促进或加强参与</w:t>
      </w:r>
      <w:proofErr w:type="gramStart"/>
      <w:r w:rsidRPr="00CB0FCC">
        <w:rPr>
          <w:rFonts w:eastAsiaTheme="minorEastAsia"/>
          <w:sz w:val="24"/>
          <w:szCs w:val="24"/>
          <w:lang w:val="zh-CN"/>
        </w:rPr>
        <w:t>式治理</w:t>
      </w:r>
      <w:proofErr w:type="gramEnd"/>
      <w:r w:rsidRPr="00CB0FCC">
        <w:rPr>
          <w:rFonts w:eastAsiaTheme="minorEastAsia"/>
          <w:sz w:val="24"/>
          <w:szCs w:val="24"/>
          <w:lang w:val="zh-CN"/>
        </w:rPr>
        <w:t>机制</w:t>
      </w:r>
      <w:r w:rsidRPr="00CB0FCC">
        <w:rPr>
          <w:rFonts w:eastAsiaTheme="minorEastAsia"/>
          <w:sz w:val="24"/>
          <w:szCs w:val="24"/>
        </w:rPr>
        <w:t>；</w:t>
      </w:r>
    </w:p>
    <w:p w14:paraId="318C0C97"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在符合国家法律和相关国际义务的前提下</w:t>
      </w:r>
      <w:r w:rsidRPr="00CB0FCC">
        <w:rPr>
          <w:rFonts w:eastAsiaTheme="minorEastAsia"/>
          <w:sz w:val="24"/>
          <w:szCs w:val="24"/>
        </w:rPr>
        <w:t>，</w:t>
      </w:r>
      <w:r w:rsidRPr="00CB0FCC">
        <w:rPr>
          <w:rFonts w:eastAsiaTheme="minorEastAsia"/>
          <w:sz w:val="24"/>
          <w:szCs w:val="24"/>
          <w:lang w:val="zh-CN"/>
        </w:rPr>
        <w:t>通过技术援助、法律支持、能力建设和适当供资</w:t>
      </w:r>
      <w:r w:rsidRPr="00CB0FCC">
        <w:rPr>
          <w:rFonts w:eastAsiaTheme="minorEastAsia"/>
          <w:sz w:val="24"/>
          <w:szCs w:val="24"/>
        </w:rPr>
        <w:t>，</w:t>
      </w:r>
      <w:r w:rsidRPr="00CB0FCC">
        <w:rPr>
          <w:rFonts w:eastAsiaTheme="minorEastAsia"/>
          <w:sz w:val="24"/>
          <w:szCs w:val="24"/>
          <w:lang w:val="zh-CN"/>
        </w:rPr>
        <w:t>承认并支持基于社区的治理工具</w:t>
      </w:r>
      <w:r w:rsidRPr="00CB0FCC">
        <w:rPr>
          <w:rFonts w:eastAsiaTheme="minorEastAsia"/>
          <w:sz w:val="24"/>
          <w:szCs w:val="24"/>
        </w:rPr>
        <w:t>，</w:t>
      </w:r>
      <w:r w:rsidRPr="00CB0FCC">
        <w:rPr>
          <w:rFonts w:eastAsiaTheme="minorEastAsia"/>
          <w:sz w:val="24"/>
          <w:szCs w:val="24"/>
          <w:lang w:val="zh-CN"/>
        </w:rPr>
        <w:t>如生物文化社区规范、社区林业安排及缓冲区治理体系</w:t>
      </w:r>
      <w:r w:rsidRPr="00CB0FCC">
        <w:rPr>
          <w:rFonts w:eastAsiaTheme="minorEastAsia"/>
          <w:sz w:val="24"/>
          <w:szCs w:val="24"/>
        </w:rPr>
        <w:t>，</w:t>
      </w:r>
      <w:r w:rsidRPr="00CB0FCC">
        <w:rPr>
          <w:rFonts w:eastAsiaTheme="minorEastAsia"/>
          <w:sz w:val="24"/>
          <w:szCs w:val="24"/>
          <w:lang w:val="zh-CN"/>
        </w:rPr>
        <w:t>并承认土著人民和地方社区及其知识体系</w:t>
      </w:r>
      <w:r w:rsidRPr="00CB0FCC">
        <w:rPr>
          <w:rFonts w:eastAsiaTheme="minorEastAsia"/>
          <w:sz w:val="24"/>
          <w:szCs w:val="24"/>
        </w:rPr>
        <w:t>，</w:t>
      </w:r>
      <w:r w:rsidRPr="00CB0FCC">
        <w:rPr>
          <w:rFonts w:eastAsiaTheme="minorEastAsia"/>
          <w:sz w:val="24"/>
          <w:szCs w:val="24"/>
          <w:lang w:val="zh-CN"/>
        </w:rPr>
        <w:t>包括与野生生物相关的文化、精神和关系价值</w:t>
      </w:r>
      <w:r w:rsidRPr="00CB0FCC">
        <w:rPr>
          <w:rFonts w:eastAsiaTheme="minorEastAsia"/>
          <w:sz w:val="24"/>
          <w:szCs w:val="24"/>
        </w:rPr>
        <w:t>，</w:t>
      </w:r>
      <w:proofErr w:type="gramStart"/>
      <w:r w:rsidRPr="00CB0FCC">
        <w:rPr>
          <w:rFonts w:eastAsiaTheme="minorEastAsia"/>
          <w:sz w:val="24"/>
          <w:szCs w:val="24"/>
          <w:lang w:val="zh-CN"/>
        </w:rPr>
        <w:t>作出</w:t>
      </w:r>
      <w:proofErr w:type="gramEnd"/>
      <w:r w:rsidRPr="00CB0FCC">
        <w:rPr>
          <w:rFonts w:eastAsiaTheme="minorEastAsia"/>
          <w:sz w:val="24"/>
          <w:szCs w:val="24"/>
          <w:lang w:val="zh-CN"/>
        </w:rPr>
        <w:t>的贡献</w:t>
      </w:r>
      <w:r w:rsidRPr="00CB0FCC">
        <w:rPr>
          <w:rFonts w:eastAsiaTheme="minorEastAsia"/>
          <w:sz w:val="24"/>
          <w:szCs w:val="24"/>
        </w:rPr>
        <w:t>；</w:t>
      </w:r>
    </w:p>
    <w:p w14:paraId="64CBDBF0"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在制定政策文书和工具时</w:t>
      </w:r>
      <w:r w:rsidRPr="00CB0FCC">
        <w:rPr>
          <w:rFonts w:eastAsiaTheme="minorEastAsia"/>
          <w:sz w:val="24"/>
          <w:szCs w:val="24"/>
        </w:rPr>
        <w:t>，</w:t>
      </w:r>
      <w:r w:rsidRPr="00CB0FCC">
        <w:rPr>
          <w:rFonts w:eastAsiaTheme="minorEastAsia"/>
          <w:sz w:val="24"/>
          <w:szCs w:val="24"/>
          <w:lang w:val="zh-CN"/>
        </w:rPr>
        <w:t>承认习惯性野生生物管理体系的作用</w:t>
      </w:r>
      <w:r w:rsidRPr="00CB0FCC">
        <w:rPr>
          <w:rFonts w:eastAsiaTheme="minorEastAsia"/>
          <w:sz w:val="24"/>
          <w:szCs w:val="24"/>
        </w:rPr>
        <w:t>，</w:t>
      </w:r>
      <w:r w:rsidRPr="00CB0FCC">
        <w:rPr>
          <w:rFonts w:eastAsiaTheme="minorEastAsia"/>
          <w:sz w:val="24"/>
          <w:szCs w:val="24"/>
          <w:lang w:val="zh-CN"/>
        </w:rPr>
        <w:t>从而促进并酌情加强</w:t>
      </w:r>
      <w:proofErr w:type="gramStart"/>
      <w:r w:rsidRPr="00CB0FCC">
        <w:rPr>
          <w:rFonts w:eastAsiaTheme="minorEastAsia"/>
          <w:sz w:val="24"/>
          <w:szCs w:val="24"/>
          <w:lang w:val="zh-CN"/>
        </w:rPr>
        <w:t>保有权</w:t>
      </w:r>
      <w:proofErr w:type="gramEnd"/>
      <w:r w:rsidRPr="00CB0FCC">
        <w:rPr>
          <w:rFonts w:eastAsiaTheme="minorEastAsia"/>
          <w:sz w:val="24"/>
          <w:szCs w:val="24"/>
          <w:lang w:val="zh-CN"/>
        </w:rPr>
        <w:t>与获取安排</w:t>
      </w:r>
      <w:r w:rsidRPr="00CB0FCC">
        <w:rPr>
          <w:rFonts w:eastAsiaTheme="minorEastAsia"/>
          <w:sz w:val="24"/>
          <w:szCs w:val="24"/>
        </w:rPr>
        <w:t>，</w:t>
      </w:r>
      <w:r w:rsidRPr="00CB0FCC">
        <w:rPr>
          <w:rFonts w:eastAsiaTheme="minorEastAsia"/>
          <w:sz w:val="24"/>
          <w:szCs w:val="24"/>
          <w:lang w:val="zh-CN"/>
        </w:rPr>
        <w:t>同时明确</w:t>
      </w:r>
      <w:proofErr w:type="gramStart"/>
      <w:r w:rsidRPr="00CB0FCC">
        <w:rPr>
          <w:rFonts w:eastAsiaTheme="minorEastAsia"/>
          <w:sz w:val="24"/>
          <w:szCs w:val="24"/>
          <w:lang w:val="zh-CN"/>
        </w:rPr>
        <w:t>保有权</w:t>
      </w:r>
      <w:proofErr w:type="gramEnd"/>
      <w:r w:rsidRPr="00CB0FCC">
        <w:rPr>
          <w:rFonts w:eastAsiaTheme="minorEastAsia"/>
          <w:sz w:val="24"/>
          <w:szCs w:val="24"/>
          <w:lang w:val="zh-CN"/>
        </w:rPr>
        <w:t>和使用权与野生生物治理、惠益分享和管护责任之间的关系</w:t>
      </w:r>
      <w:r w:rsidRPr="00CB0FCC">
        <w:rPr>
          <w:rFonts w:eastAsiaTheme="minorEastAsia"/>
          <w:sz w:val="24"/>
          <w:szCs w:val="24"/>
        </w:rPr>
        <w:t>；</w:t>
      </w:r>
    </w:p>
    <w:p w14:paraId="7BC17348"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通过公布管理计划、捕猎或配额制定依据、监测摘要信息、许可证颁发规则和收益分配情况</w:t>
      </w:r>
      <w:r w:rsidRPr="00CB0FCC">
        <w:rPr>
          <w:rFonts w:eastAsiaTheme="minorEastAsia"/>
          <w:sz w:val="24"/>
          <w:szCs w:val="24"/>
        </w:rPr>
        <w:t>，</w:t>
      </w:r>
      <w:r w:rsidRPr="00CB0FCC">
        <w:rPr>
          <w:rFonts w:eastAsiaTheme="minorEastAsia"/>
          <w:sz w:val="24"/>
          <w:szCs w:val="24"/>
          <w:lang w:val="zh-CN"/>
        </w:rPr>
        <w:t>促进公开公布相关社会生态和经济信息</w:t>
      </w:r>
      <w:r w:rsidRPr="00CB0FCC">
        <w:rPr>
          <w:rFonts w:eastAsiaTheme="minorEastAsia"/>
          <w:sz w:val="24"/>
          <w:szCs w:val="24"/>
        </w:rPr>
        <w:t>，</w:t>
      </w:r>
      <w:r w:rsidRPr="00CB0FCC">
        <w:rPr>
          <w:rFonts w:eastAsiaTheme="minorEastAsia"/>
          <w:sz w:val="24"/>
          <w:szCs w:val="24"/>
          <w:lang w:val="zh-CN"/>
        </w:rPr>
        <w:t>同时</w:t>
      </w:r>
      <w:r w:rsidRPr="00CB0FCC">
        <w:rPr>
          <w:rFonts w:eastAsiaTheme="minorEastAsia"/>
          <w:sz w:val="24"/>
          <w:szCs w:val="24"/>
        </w:rPr>
        <w:t>，</w:t>
      </w:r>
      <w:r w:rsidRPr="00CB0FCC">
        <w:rPr>
          <w:rFonts w:eastAsiaTheme="minorEastAsia"/>
          <w:sz w:val="24"/>
          <w:szCs w:val="24"/>
          <w:lang w:val="zh-CN"/>
        </w:rPr>
        <w:t>对于披露可能会增加风险的敏感信息</w:t>
      </w:r>
      <w:r w:rsidRPr="00CB0FCC">
        <w:rPr>
          <w:rFonts w:eastAsiaTheme="minorEastAsia"/>
          <w:sz w:val="24"/>
          <w:szCs w:val="24"/>
        </w:rPr>
        <w:t>，</w:t>
      </w:r>
      <w:r w:rsidRPr="00CB0FCC">
        <w:rPr>
          <w:rFonts w:eastAsiaTheme="minorEastAsia"/>
          <w:sz w:val="24"/>
          <w:szCs w:val="24"/>
          <w:lang w:val="zh-CN"/>
        </w:rPr>
        <w:t>例如</w:t>
      </w:r>
      <w:proofErr w:type="gramStart"/>
      <w:r w:rsidRPr="00CB0FCC">
        <w:rPr>
          <w:rFonts w:eastAsiaTheme="minorEastAsia"/>
          <w:sz w:val="24"/>
          <w:szCs w:val="24"/>
          <w:lang w:val="zh-CN"/>
        </w:rPr>
        <w:t>偷猎热点</w:t>
      </w:r>
      <w:proofErr w:type="gramEnd"/>
      <w:r w:rsidRPr="00CB0FCC">
        <w:rPr>
          <w:rFonts w:eastAsiaTheme="minorEastAsia"/>
          <w:sz w:val="24"/>
          <w:szCs w:val="24"/>
          <w:lang w:val="zh-CN"/>
        </w:rPr>
        <w:t>或机密传统知识</w:t>
      </w:r>
      <w:r w:rsidRPr="00CB0FCC">
        <w:rPr>
          <w:rFonts w:eastAsiaTheme="minorEastAsia"/>
          <w:sz w:val="24"/>
          <w:szCs w:val="24"/>
        </w:rPr>
        <w:t>，</w:t>
      </w:r>
      <w:r w:rsidRPr="00CB0FCC">
        <w:rPr>
          <w:rFonts w:eastAsiaTheme="minorEastAsia"/>
          <w:sz w:val="24"/>
          <w:szCs w:val="24"/>
          <w:lang w:val="zh-CN"/>
        </w:rPr>
        <w:t>则应予以保护</w:t>
      </w:r>
      <w:r w:rsidRPr="00CB0FCC">
        <w:rPr>
          <w:rFonts w:eastAsiaTheme="minorEastAsia"/>
          <w:sz w:val="24"/>
          <w:szCs w:val="24"/>
        </w:rPr>
        <w:t>；</w:t>
      </w:r>
    </w:p>
    <w:p w14:paraId="47707CFA"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通过配额、席位轮换以及消除妇女、青年和代表性不足群体包括处于弱势境地及最依赖生物多样性的群体所面临的障碍等措施</w:t>
      </w:r>
      <w:r w:rsidRPr="00CB0FCC">
        <w:rPr>
          <w:rFonts w:eastAsiaTheme="minorEastAsia"/>
          <w:sz w:val="24"/>
          <w:szCs w:val="24"/>
        </w:rPr>
        <w:t>，</w:t>
      </w:r>
      <w:r w:rsidRPr="00CB0FCC">
        <w:rPr>
          <w:rFonts w:eastAsiaTheme="minorEastAsia"/>
          <w:sz w:val="24"/>
          <w:szCs w:val="24"/>
          <w:lang w:val="zh-CN"/>
        </w:rPr>
        <w:t>促进野生生物治理机构的性别代表性平衡</w:t>
      </w:r>
      <w:r w:rsidRPr="00CB0FCC">
        <w:rPr>
          <w:rFonts w:eastAsiaTheme="minorEastAsia"/>
          <w:sz w:val="24"/>
          <w:szCs w:val="24"/>
        </w:rPr>
        <w:t>；</w:t>
      </w:r>
    </w:p>
    <w:p w14:paraId="41776B58"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推动建立易于利用的预防申诉、解决争议和管理冲突机制</w:t>
      </w:r>
      <w:r w:rsidRPr="00CB0FCC">
        <w:rPr>
          <w:rFonts w:eastAsiaTheme="minorEastAsia"/>
          <w:sz w:val="24"/>
          <w:szCs w:val="24"/>
        </w:rPr>
        <w:t>，</w:t>
      </w:r>
      <w:r w:rsidRPr="00CB0FCC">
        <w:rPr>
          <w:rFonts w:eastAsiaTheme="minorEastAsia"/>
          <w:sz w:val="24"/>
          <w:szCs w:val="24"/>
          <w:lang w:val="zh-CN"/>
        </w:rPr>
        <w:t>并确保对处理结果进行监测</w:t>
      </w:r>
      <w:r w:rsidRPr="00CB0FCC">
        <w:rPr>
          <w:rFonts w:eastAsiaTheme="minorEastAsia"/>
          <w:sz w:val="24"/>
          <w:szCs w:val="24"/>
        </w:rPr>
        <w:t>，</w:t>
      </w:r>
      <w:r w:rsidRPr="00CB0FCC">
        <w:rPr>
          <w:rFonts w:eastAsiaTheme="minorEastAsia"/>
          <w:sz w:val="24"/>
          <w:szCs w:val="24"/>
          <w:lang w:val="zh-CN"/>
        </w:rPr>
        <w:t>将其用于改进政策与做法</w:t>
      </w:r>
      <w:r w:rsidRPr="00CB0FCC">
        <w:rPr>
          <w:rFonts w:eastAsiaTheme="minorEastAsia"/>
          <w:sz w:val="24"/>
          <w:szCs w:val="24"/>
        </w:rPr>
        <w:t>；</w:t>
      </w:r>
    </w:p>
    <w:p w14:paraId="1D5DF7B9"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在做出具有重大生态或社会影响的决策时</w:t>
      </w:r>
      <w:r w:rsidRPr="00CB0FCC">
        <w:rPr>
          <w:rFonts w:eastAsiaTheme="minorEastAsia"/>
          <w:sz w:val="24"/>
          <w:szCs w:val="24"/>
        </w:rPr>
        <w:t>，</w:t>
      </w:r>
      <w:r w:rsidRPr="00CB0FCC">
        <w:rPr>
          <w:rFonts w:eastAsiaTheme="minorEastAsia"/>
          <w:sz w:val="24"/>
          <w:szCs w:val="24"/>
          <w:lang w:val="zh-CN"/>
        </w:rPr>
        <w:t>应进行参与</w:t>
      </w:r>
      <w:proofErr w:type="gramStart"/>
      <w:r w:rsidRPr="00CB0FCC">
        <w:rPr>
          <w:rFonts w:eastAsiaTheme="minorEastAsia"/>
          <w:sz w:val="24"/>
          <w:szCs w:val="24"/>
          <w:lang w:val="zh-CN"/>
        </w:rPr>
        <w:t>式风险</w:t>
      </w:r>
      <w:proofErr w:type="gramEnd"/>
      <w:r w:rsidRPr="00CB0FCC">
        <w:rPr>
          <w:rFonts w:eastAsiaTheme="minorEastAsia"/>
          <w:sz w:val="24"/>
          <w:szCs w:val="24"/>
          <w:lang w:val="zh-CN"/>
        </w:rPr>
        <w:t>评估、情景规划和</w:t>
      </w:r>
      <w:proofErr w:type="gramStart"/>
      <w:r w:rsidRPr="00CB0FCC">
        <w:rPr>
          <w:rFonts w:eastAsiaTheme="minorEastAsia"/>
          <w:sz w:val="24"/>
          <w:szCs w:val="24"/>
          <w:lang w:val="zh-CN"/>
        </w:rPr>
        <w:t>作出</w:t>
      </w:r>
      <w:proofErr w:type="gramEnd"/>
      <w:r w:rsidRPr="00CB0FCC">
        <w:rPr>
          <w:rFonts w:eastAsiaTheme="minorEastAsia"/>
          <w:sz w:val="24"/>
          <w:szCs w:val="24"/>
          <w:lang w:val="zh-CN"/>
        </w:rPr>
        <w:t>权衡分析。缔约方可酌情考虑提供协助、技术支持和能力建设，以促进公平参与；</w:t>
      </w:r>
    </w:p>
    <w:p w14:paraId="38F52523"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在发生人与野生生物冲突及人畜共患疾病风险的背景下</w:t>
      </w:r>
      <w:r w:rsidRPr="00CB0FCC">
        <w:rPr>
          <w:rFonts w:eastAsiaTheme="minorEastAsia"/>
          <w:sz w:val="24"/>
          <w:szCs w:val="24"/>
        </w:rPr>
        <w:t>，</w:t>
      </w:r>
      <w:r w:rsidRPr="00CB0FCC">
        <w:rPr>
          <w:rFonts w:eastAsiaTheme="minorEastAsia"/>
          <w:sz w:val="24"/>
          <w:szCs w:val="24"/>
          <w:lang w:val="zh-CN"/>
        </w:rPr>
        <w:t>通过建立野生生物管理部门与社区、卫生及兽医服务部门以及相关部门的联系</w:t>
      </w:r>
      <w:r w:rsidRPr="00CB0FCC">
        <w:rPr>
          <w:rFonts w:eastAsiaTheme="minorEastAsia"/>
          <w:sz w:val="24"/>
          <w:szCs w:val="24"/>
        </w:rPr>
        <w:t>，</w:t>
      </w:r>
      <w:r w:rsidRPr="00CB0FCC">
        <w:rPr>
          <w:rFonts w:eastAsiaTheme="minorEastAsia"/>
          <w:sz w:val="24"/>
          <w:szCs w:val="24"/>
          <w:lang w:val="zh-CN"/>
        </w:rPr>
        <w:t>并利用预警系统、社区响应小组以及安全处置和报告的商定规程等务实措施</w:t>
      </w:r>
      <w:r w:rsidRPr="00CB0FCC">
        <w:rPr>
          <w:rFonts w:eastAsiaTheme="minorEastAsia"/>
          <w:sz w:val="24"/>
          <w:szCs w:val="24"/>
        </w:rPr>
        <w:t>，</w:t>
      </w:r>
      <w:r w:rsidRPr="00CB0FCC">
        <w:rPr>
          <w:rFonts w:eastAsiaTheme="minorEastAsia"/>
          <w:sz w:val="24"/>
          <w:szCs w:val="24"/>
          <w:lang w:val="zh-CN"/>
        </w:rPr>
        <w:t>促进包容性对话与进行联合行动。</w:t>
      </w:r>
      <w:r w:rsidRPr="00CB0FCC">
        <w:rPr>
          <w:rFonts w:eastAsiaTheme="minorEastAsia"/>
          <w:sz w:val="24"/>
          <w:szCs w:val="24"/>
        </w:rPr>
        <w:t xml:space="preserve"> </w:t>
      </w:r>
    </w:p>
    <w:p w14:paraId="2F9E7AA5" w14:textId="77777777" w:rsidR="00FB10AA" w:rsidRPr="00CD7E7F" w:rsidRDefault="00FB10AA" w:rsidP="00CD7E7F">
      <w:pPr>
        <w:pStyle w:val="CBDH1"/>
        <w:rPr>
          <w:rFonts w:ascii="SimHei" w:eastAsia="SimHei" w:hAnsi="SimHei"/>
          <w:sz w:val="24"/>
          <w:szCs w:val="24"/>
          <w:lang w:val="zh-CN"/>
        </w:rPr>
      </w:pPr>
      <w:r w:rsidRPr="00CD7E7F">
        <w:rPr>
          <w:rFonts w:ascii="SimHei" w:eastAsia="SimHei" w:hAnsi="SimHei"/>
          <w:sz w:val="24"/>
          <w:szCs w:val="24"/>
          <w:lang w:val="zh-CN"/>
        </w:rPr>
        <w:t>C.</w:t>
      </w:r>
      <w:r w:rsidRPr="00CD7E7F">
        <w:rPr>
          <w:rFonts w:ascii="SimHei" w:eastAsia="SimHei" w:hAnsi="SimHei"/>
          <w:sz w:val="24"/>
          <w:szCs w:val="24"/>
          <w:lang w:val="zh-CN"/>
        </w:rPr>
        <w:tab/>
        <w:t>纳入多元知识体系和承认权利</w:t>
      </w:r>
    </w:p>
    <w:p w14:paraId="6DD3D7FE" w14:textId="01534B57" w:rsidR="00FB10AA" w:rsidRPr="00CB0FCC" w:rsidRDefault="00FB10AA" w:rsidP="002C7520">
      <w:pPr>
        <w:pStyle w:val="CBDNormalNumber"/>
        <w:numPr>
          <w:ilvl w:val="0"/>
          <w:numId w:val="35"/>
        </w:numPr>
        <w:ind w:left="567"/>
        <w:rPr>
          <w:rFonts w:eastAsiaTheme="minorEastAsia"/>
          <w:sz w:val="24"/>
          <w:szCs w:val="24"/>
        </w:rPr>
      </w:pPr>
      <w:r w:rsidRPr="00CB0FCC">
        <w:rPr>
          <w:rFonts w:eastAsiaTheme="minorEastAsia"/>
          <w:sz w:val="24"/>
          <w:szCs w:val="24"/>
          <w:lang w:val="zh-CN"/>
        </w:rPr>
        <w:t>若能借鉴多元知识体系</w:t>
      </w:r>
      <w:r w:rsidRPr="00CB0FCC">
        <w:rPr>
          <w:rFonts w:eastAsiaTheme="minorEastAsia"/>
          <w:sz w:val="24"/>
          <w:szCs w:val="24"/>
        </w:rPr>
        <w:t>，</w:t>
      </w:r>
      <w:r w:rsidRPr="00CB0FCC">
        <w:rPr>
          <w:rFonts w:eastAsiaTheme="minorEastAsia"/>
          <w:sz w:val="24"/>
          <w:szCs w:val="24"/>
          <w:lang w:val="zh-CN"/>
        </w:rPr>
        <w:t>并以确保承认相关权利、治理体系和责任的方式加以实施</w:t>
      </w:r>
      <w:r w:rsidRPr="00CB0FCC">
        <w:rPr>
          <w:rFonts w:eastAsiaTheme="minorEastAsia"/>
          <w:sz w:val="24"/>
          <w:szCs w:val="24"/>
        </w:rPr>
        <w:t>，</w:t>
      </w:r>
      <w:r w:rsidRPr="00CB0FCC">
        <w:rPr>
          <w:rFonts w:eastAsiaTheme="minorEastAsia"/>
          <w:sz w:val="24"/>
          <w:szCs w:val="24"/>
          <w:lang w:val="zh-CN"/>
        </w:rPr>
        <w:t>可持续野生生物管理便能得到加强。根据对第</w:t>
      </w:r>
      <w:hyperlink r:id="rId43" w:history="1">
        <w:r w:rsidRPr="00C00131">
          <w:rPr>
            <w:rStyle w:val="Hyperlink"/>
            <w:rFonts w:eastAsiaTheme="minorEastAsia"/>
            <w:sz w:val="24"/>
            <w:szCs w:val="24"/>
            <w:lang w:val="zh-CN"/>
          </w:rPr>
          <w:t>2025-014</w:t>
        </w:r>
      </w:hyperlink>
      <w:r w:rsidRPr="00CB0FCC">
        <w:rPr>
          <w:rFonts w:eastAsiaTheme="minorEastAsia"/>
          <w:sz w:val="24"/>
          <w:szCs w:val="24"/>
          <w:lang w:val="zh-CN"/>
        </w:rPr>
        <w:t>号和第</w:t>
      </w:r>
      <w:hyperlink r:id="rId44" w:history="1">
        <w:r w:rsidRPr="00BD4AE5">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提交的意见强调指出，将科学知识与传统知识结合</w:t>
      </w:r>
      <w:proofErr w:type="gramStart"/>
      <w:r w:rsidRPr="00CB0FCC">
        <w:rPr>
          <w:rFonts w:eastAsiaTheme="minorEastAsia"/>
          <w:sz w:val="24"/>
          <w:szCs w:val="24"/>
          <w:lang w:val="zh-CN"/>
        </w:rPr>
        <w:t>考量</w:t>
      </w:r>
      <w:proofErr w:type="gramEnd"/>
      <w:r w:rsidRPr="00CB0FCC">
        <w:rPr>
          <w:rFonts w:eastAsiaTheme="minorEastAsia"/>
          <w:sz w:val="24"/>
          <w:szCs w:val="24"/>
          <w:lang w:val="zh-CN"/>
        </w:rPr>
        <w:t>往往能取得到更佳成效；尊重土著人民和地方社区的权利，包括涉及习惯治理体系、</w:t>
      </w:r>
      <w:proofErr w:type="gramStart"/>
      <w:r w:rsidRPr="00CB0FCC">
        <w:rPr>
          <w:rFonts w:eastAsiaTheme="minorEastAsia"/>
          <w:sz w:val="24"/>
          <w:szCs w:val="24"/>
          <w:lang w:val="zh-CN"/>
        </w:rPr>
        <w:t>保有权安排</w:t>
      </w:r>
      <w:proofErr w:type="gramEnd"/>
      <w:r w:rsidRPr="00CB0FCC">
        <w:rPr>
          <w:rFonts w:eastAsiaTheme="minorEastAsia"/>
          <w:sz w:val="24"/>
          <w:szCs w:val="24"/>
          <w:lang w:val="zh-CN"/>
        </w:rPr>
        <w:t>以及与知识相关的权利，是实现有效和公平实施的重要条件。缔约方应酌情根据国情和优先事项，采取以下行动，推动可持续野生生物管理</w:t>
      </w:r>
      <w:proofErr w:type="gramStart"/>
      <w:r w:rsidRPr="00CB0FCC">
        <w:rPr>
          <w:rFonts w:eastAsiaTheme="minorEastAsia"/>
          <w:sz w:val="24"/>
          <w:szCs w:val="24"/>
          <w:lang w:val="zh-CN"/>
        </w:rPr>
        <w:t>措</w:t>
      </w:r>
      <w:proofErr w:type="gramEnd"/>
      <w:r w:rsidRPr="00CB0FCC">
        <w:rPr>
          <w:rFonts w:eastAsiaTheme="minorEastAsia"/>
          <w:sz w:val="24"/>
          <w:szCs w:val="24"/>
          <w:lang w:val="zh-CN"/>
        </w:rPr>
        <w:t>：</w:t>
      </w:r>
    </w:p>
    <w:p w14:paraId="7312131F"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承认与野生生物管理相关的地方和习惯治理体系、</w:t>
      </w:r>
      <w:proofErr w:type="gramStart"/>
      <w:r w:rsidRPr="00CB0FCC">
        <w:rPr>
          <w:rFonts w:eastAsiaTheme="minorEastAsia"/>
          <w:sz w:val="24"/>
          <w:szCs w:val="24"/>
          <w:lang w:val="zh-CN"/>
        </w:rPr>
        <w:t>保有权安排</w:t>
      </w:r>
      <w:proofErr w:type="gramEnd"/>
      <w:r w:rsidRPr="00CB0FCC">
        <w:rPr>
          <w:rFonts w:eastAsiaTheme="minorEastAsia"/>
          <w:sz w:val="24"/>
          <w:szCs w:val="24"/>
          <w:lang w:val="zh-CN"/>
        </w:rPr>
        <w:t>和社区制定的规则</w:t>
      </w:r>
      <w:r w:rsidRPr="00CB0FCC">
        <w:rPr>
          <w:rFonts w:eastAsiaTheme="minorEastAsia"/>
          <w:sz w:val="24"/>
          <w:szCs w:val="24"/>
        </w:rPr>
        <w:t>，</w:t>
      </w:r>
      <w:r w:rsidRPr="00CB0FCC">
        <w:rPr>
          <w:rFonts w:eastAsiaTheme="minorEastAsia"/>
          <w:sz w:val="24"/>
          <w:szCs w:val="24"/>
          <w:lang w:val="zh-CN"/>
        </w:rPr>
        <w:t>并确保其符合国家法律及相关国际义务</w:t>
      </w:r>
      <w:r w:rsidRPr="00CB0FCC">
        <w:rPr>
          <w:rFonts w:eastAsiaTheme="minorEastAsia"/>
          <w:sz w:val="24"/>
          <w:szCs w:val="24"/>
        </w:rPr>
        <w:t>；</w:t>
      </w:r>
      <w:r w:rsidRPr="00CB0FCC">
        <w:rPr>
          <w:rFonts w:eastAsiaTheme="minorEastAsia"/>
          <w:sz w:val="24"/>
          <w:szCs w:val="24"/>
          <w:lang w:val="zh-CN"/>
        </w:rPr>
        <w:t>这可通过法律承认、支持习惯机构以及在体系重叠时达成协商协议等方式实现</w:t>
      </w:r>
      <w:r w:rsidRPr="00CB0FCC">
        <w:rPr>
          <w:rFonts w:eastAsiaTheme="minorEastAsia"/>
          <w:sz w:val="24"/>
          <w:szCs w:val="24"/>
        </w:rPr>
        <w:t>；</w:t>
      </w:r>
    </w:p>
    <w:p w14:paraId="1774832D"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lastRenderedPageBreak/>
        <w:t>鼓励采取支持采用适当规程和程序以征求知识持有者的同意与批准的办法</w:t>
      </w:r>
      <w:r w:rsidRPr="00CB0FCC">
        <w:rPr>
          <w:rFonts w:eastAsiaTheme="minorEastAsia"/>
          <w:sz w:val="24"/>
          <w:szCs w:val="24"/>
        </w:rPr>
        <w:t>，</w:t>
      </w:r>
      <w:r w:rsidRPr="00CB0FCC">
        <w:rPr>
          <w:rFonts w:eastAsiaTheme="minorEastAsia"/>
          <w:sz w:val="24"/>
          <w:szCs w:val="24"/>
          <w:lang w:val="zh-CN"/>
        </w:rPr>
        <w:t>同时尊重传统知识的知识产权、数据主权、使用知识而产生的符合文化习俗的惠益分享和由社区制定的获取规则</w:t>
      </w:r>
      <w:r w:rsidRPr="00CB0FCC">
        <w:rPr>
          <w:rFonts w:eastAsiaTheme="minorEastAsia"/>
          <w:sz w:val="24"/>
          <w:szCs w:val="24"/>
        </w:rPr>
        <w:t>；</w:t>
      </w:r>
    </w:p>
    <w:p w14:paraId="6BD91303"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促进建立相关机制</w:t>
      </w:r>
      <w:r w:rsidRPr="00CB0FCC">
        <w:rPr>
          <w:rFonts w:eastAsiaTheme="minorEastAsia"/>
          <w:sz w:val="24"/>
          <w:szCs w:val="24"/>
        </w:rPr>
        <w:t>，</w:t>
      </w:r>
      <w:r w:rsidRPr="00CB0FCC">
        <w:rPr>
          <w:rFonts w:eastAsiaTheme="minorEastAsia"/>
          <w:sz w:val="24"/>
          <w:szCs w:val="24"/>
          <w:lang w:val="zh-CN"/>
        </w:rPr>
        <w:t>将科学知识体系与传统知识体系作为独特和互补的证据来源整合到野生生物规划、监测和审查</w:t>
      </w:r>
      <w:r w:rsidRPr="00CB0FCC">
        <w:rPr>
          <w:rFonts w:eastAsiaTheme="minorEastAsia"/>
          <w:sz w:val="24"/>
          <w:szCs w:val="24"/>
        </w:rPr>
        <w:t>；</w:t>
      </w:r>
    </w:p>
    <w:p w14:paraId="01BB46BD"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在社区同意的前提下</w:t>
      </w:r>
      <w:r w:rsidRPr="00CB0FCC">
        <w:rPr>
          <w:rFonts w:eastAsiaTheme="minorEastAsia"/>
          <w:sz w:val="24"/>
          <w:szCs w:val="24"/>
        </w:rPr>
        <w:t>，</w:t>
      </w:r>
      <w:r w:rsidRPr="00CB0FCC">
        <w:rPr>
          <w:rFonts w:eastAsiaTheme="minorEastAsia"/>
          <w:sz w:val="24"/>
          <w:szCs w:val="24"/>
          <w:lang w:val="zh-CN"/>
        </w:rPr>
        <w:t>促进建立基于社区的知识记录系统和由地方管理的知识库</w:t>
      </w:r>
      <w:r w:rsidRPr="00CB0FCC">
        <w:rPr>
          <w:rFonts w:eastAsiaTheme="minorEastAsia"/>
          <w:sz w:val="24"/>
          <w:szCs w:val="24"/>
        </w:rPr>
        <w:t>，</w:t>
      </w:r>
      <w:r w:rsidRPr="00CB0FCC">
        <w:rPr>
          <w:rFonts w:eastAsiaTheme="minorEastAsia"/>
          <w:sz w:val="24"/>
          <w:szCs w:val="24"/>
          <w:lang w:val="zh-CN"/>
        </w:rPr>
        <w:t>例如由社区管理的档案、数据库或其他用于存储和传播知识的系统</w:t>
      </w:r>
      <w:r w:rsidRPr="00CB0FCC">
        <w:rPr>
          <w:rFonts w:eastAsiaTheme="minorEastAsia"/>
          <w:sz w:val="24"/>
          <w:szCs w:val="24"/>
        </w:rPr>
        <w:t>，</w:t>
      </w:r>
      <w:r w:rsidRPr="00CB0FCC">
        <w:rPr>
          <w:rFonts w:eastAsiaTheme="minorEastAsia"/>
          <w:sz w:val="24"/>
          <w:szCs w:val="24"/>
          <w:lang w:val="zh-CN"/>
        </w:rPr>
        <w:t>同时尊重社区制定的获取、使用和共享规程</w:t>
      </w:r>
      <w:r w:rsidRPr="00CB0FCC">
        <w:rPr>
          <w:rFonts w:eastAsiaTheme="minorEastAsia"/>
          <w:sz w:val="24"/>
          <w:szCs w:val="24"/>
        </w:rPr>
        <w:t>；</w:t>
      </w:r>
    </w:p>
    <w:p w14:paraId="089582D3"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通过融入管理周期的社区交流、指导方案和</w:t>
      </w:r>
      <w:r w:rsidRPr="00CB0FCC">
        <w:rPr>
          <w:rFonts w:eastAsiaTheme="minorEastAsia"/>
          <w:sz w:val="24"/>
          <w:szCs w:val="24"/>
        </w:rPr>
        <w:t>“</w:t>
      </w:r>
      <w:r w:rsidRPr="00CB0FCC">
        <w:rPr>
          <w:rFonts w:eastAsiaTheme="minorEastAsia"/>
          <w:sz w:val="24"/>
          <w:szCs w:val="24"/>
          <w:lang w:val="zh-CN"/>
        </w:rPr>
        <w:t>在实践中学习</w:t>
      </w:r>
      <w:r w:rsidRPr="00CB0FCC">
        <w:rPr>
          <w:rFonts w:eastAsiaTheme="minorEastAsia"/>
          <w:sz w:val="24"/>
          <w:szCs w:val="24"/>
        </w:rPr>
        <w:t>”</w:t>
      </w:r>
      <w:r w:rsidRPr="00CB0FCC">
        <w:rPr>
          <w:rFonts w:eastAsiaTheme="minorEastAsia"/>
          <w:sz w:val="24"/>
          <w:szCs w:val="24"/>
          <w:lang w:val="zh-CN"/>
        </w:rPr>
        <w:t>的方式</w:t>
      </w:r>
      <w:r w:rsidRPr="00CB0FCC">
        <w:rPr>
          <w:rFonts w:eastAsiaTheme="minorEastAsia"/>
          <w:sz w:val="24"/>
          <w:szCs w:val="24"/>
        </w:rPr>
        <w:t>，</w:t>
      </w:r>
      <w:r w:rsidRPr="00CB0FCC">
        <w:rPr>
          <w:rFonts w:eastAsiaTheme="minorEastAsia"/>
          <w:sz w:val="24"/>
          <w:szCs w:val="24"/>
          <w:lang w:val="zh-CN"/>
        </w:rPr>
        <w:t>促进代际知识传承和适应性学习过程</w:t>
      </w:r>
      <w:r w:rsidRPr="00CB0FCC">
        <w:rPr>
          <w:rFonts w:eastAsiaTheme="minorEastAsia"/>
          <w:sz w:val="24"/>
          <w:szCs w:val="24"/>
        </w:rPr>
        <w:t>，</w:t>
      </w:r>
      <w:r w:rsidRPr="00CB0FCC">
        <w:rPr>
          <w:rFonts w:eastAsiaTheme="minorEastAsia"/>
          <w:sz w:val="24"/>
          <w:szCs w:val="24"/>
          <w:lang w:val="zh-CN"/>
        </w:rPr>
        <w:t>使管理系统能够应对社会生态的变化</w:t>
      </w:r>
      <w:r w:rsidRPr="00CB0FCC">
        <w:rPr>
          <w:rFonts w:eastAsiaTheme="minorEastAsia"/>
          <w:sz w:val="24"/>
          <w:szCs w:val="24"/>
        </w:rPr>
        <w:t>；</w:t>
      </w:r>
    </w:p>
    <w:p w14:paraId="6AC89B0A"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在适当情况下</w:t>
      </w:r>
      <w:r w:rsidRPr="00CB0FCC">
        <w:rPr>
          <w:rFonts w:eastAsiaTheme="minorEastAsia"/>
          <w:sz w:val="24"/>
          <w:szCs w:val="24"/>
        </w:rPr>
        <w:t>，</w:t>
      </w:r>
      <w:r w:rsidRPr="00CB0FCC">
        <w:rPr>
          <w:rFonts w:eastAsiaTheme="minorEastAsia"/>
          <w:sz w:val="24"/>
          <w:szCs w:val="24"/>
          <w:lang w:val="zh-CN"/>
        </w:rPr>
        <w:t>将基于社区的监测纳入国家生物多样性清单和报告系统</w:t>
      </w:r>
      <w:r w:rsidRPr="00CB0FCC">
        <w:rPr>
          <w:rFonts w:eastAsiaTheme="minorEastAsia"/>
          <w:sz w:val="24"/>
          <w:szCs w:val="24"/>
        </w:rPr>
        <w:t>，</w:t>
      </w:r>
      <w:r w:rsidRPr="00CB0FCC">
        <w:rPr>
          <w:rFonts w:eastAsiaTheme="minorEastAsia"/>
          <w:sz w:val="24"/>
          <w:szCs w:val="24"/>
          <w:lang w:val="zh-CN"/>
        </w:rPr>
        <w:t>并采用标准化而又具灵活性的方法</w:t>
      </w:r>
      <w:r w:rsidRPr="00CB0FCC">
        <w:rPr>
          <w:rFonts w:eastAsiaTheme="minorEastAsia"/>
          <w:sz w:val="24"/>
          <w:szCs w:val="24"/>
        </w:rPr>
        <w:t>，</w:t>
      </w:r>
      <w:r w:rsidRPr="00CB0FCC">
        <w:rPr>
          <w:rFonts w:eastAsiaTheme="minorEastAsia"/>
          <w:sz w:val="24"/>
          <w:szCs w:val="24"/>
          <w:lang w:val="zh-CN"/>
        </w:rPr>
        <w:t>提供培训和资源</w:t>
      </w:r>
      <w:r w:rsidRPr="00CB0FCC">
        <w:rPr>
          <w:rFonts w:eastAsiaTheme="minorEastAsia"/>
          <w:sz w:val="24"/>
          <w:szCs w:val="24"/>
        </w:rPr>
        <w:t>，</w:t>
      </w:r>
      <w:r w:rsidRPr="00CB0FCC">
        <w:rPr>
          <w:rFonts w:eastAsiaTheme="minorEastAsia"/>
          <w:sz w:val="24"/>
          <w:szCs w:val="24"/>
          <w:lang w:val="zh-CN"/>
        </w:rPr>
        <w:t>支持数据收集、管理及向社区反馈</w:t>
      </w:r>
      <w:r w:rsidRPr="00CB0FCC">
        <w:rPr>
          <w:rFonts w:eastAsiaTheme="minorEastAsia"/>
          <w:sz w:val="24"/>
          <w:szCs w:val="24"/>
        </w:rPr>
        <w:t>；</w:t>
      </w:r>
    </w:p>
    <w:p w14:paraId="2CF0BCEB"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在相关且情况适当时</w:t>
      </w:r>
      <w:r w:rsidRPr="00CB0FCC">
        <w:rPr>
          <w:rFonts w:eastAsiaTheme="minorEastAsia"/>
          <w:sz w:val="24"/>
          <w:szCs w:val="24"/>
        </w:rPr>
        <w:t>，</w:t>
      </w:r>
      <w:r w:rsidRPr="00CB0FCC">
        <w:rPr>
          <w:rFonts w:eastAsiaTheme="minorEastAsia"/>
          <w:sz w:val="24"/>
          <w:szCs w:val="24"/>
          <w:lang w:val="zh-CN"/>
        </w:rPr>
        <w:t>借鉴科学与传统知识体系</w:t>
      </w:r>
      <w:r w:rsidRPr="00CB0FCC">
        <w:rPr>
          <w:rFonts w:eastAsiaTheme="minorEastAsia"/>
          <w:sz w:val="24"/>
          <w:szCs w:val="24"/>
        </w:rPr>
        <w:t>，</w:t>
      </w:r>
      <w:r w:rsidRPr="00CB0FCC">
        <w:rPr>
          <w:rFonts w:eastAsiaTheme="minorEastAsia"/>
          <w:sz w:val="24"/>
          <w:szCs w:val="24"/>
          <w:lang w:val="zh-CN"/>
        </w:rPr>
        <w:t>并应用涉及知情同意、使用符合文化习俗的知识以及数据治理的保障措施</w:t>
      </w:r>
      <w:r w:rsidRPr="00CB0FCC">
        <w:rPr>
          <w:rFonts w:eastAsiaTheme="minorEastAsia"/>
          <w:sz w:val="24"/>
          <w:szCs w:val="24"/>
        </w:rPr>
        <w:t>，</w:t>
      </w:r>
      <w:r w:rsidRPr="00CB0FCC">
        <w:rPr>
          <w:rFonts w:eastAsiaTheme="minorEastAsia"/>
          <w:sz w:val="24"/>
          <w:szCs w:val="24"/>
          <w:lang w:val="zh-CN"/>
        </w:rPr>
        <w:t>关注种群结构、连通性和野生遗传多样性</w:t>
      </w:r>
      <w:r w:rsidRPr="00CB0FCC">
        <w:rPr>
          <w:rFonts w:eastAsiaTheme="minorEastAsia"/>
          <w:sz w:val="24"/>
          <w:szCs w:val="24"/>
        </w:rPr>
        <w:t>；</w:t>
      </w:r>
    </w:p>
    <w:p w14:paraId="2A8C5C76"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加强编制物种目录、种群评估和栖息地监测的能力</w:t>
      </w:r>
      <w:r w:rsidRPr="00CB0FCC">
        <w:rPr>
          <w:rFonts w:eastAsiaTheme="minorEastAsia"/>
          <w:sz w:val="24"/>
          <w:szCs w:val="24"/>
        </w:rPr>
        <w:t>，</w:t>
      </w:r>
      <w:r w:rsidRPr="00CB0FCC">
        <w:rPr>
          <w:rFonts w:eastAsiaTheme="minorEastAsia"/>
          <w:sz w:val="24"/>
          <w:szCs w:val="24"/>
          <w:lang w:val="zh-CN"/>
        </w:rPr>
        <w:t>在数据匮乏的情况下</w:t>
      </w:r>
      <w:r w:rsidRPr="00CB0FCC">
        <w:rPr>
          <w:rFonts w:eastAsiaTheme="minorEastAsia"/>
          <w:sz w:val="24"/>
          <w:szCs w:val="24"/>
        </w:rPr>
        <w:t>，</w:t>
      </w:r>
      <w:r w:rsidRPr="00CB0FCC">
        <w:rPr>
          <w:rFonts w:eastAsiaTheme="minorEastAsia"/>
          <w:sz w:val="24"/>
          <w:szCs w:val="24"/>
          <w:lang w:val="zh-CN"/>
        </w:rPr>
        <w:t>优先采用基于风险和基于生态系统的方法</w:t>
      </w:r>
      <w:r w:rsidRPr="00CB0FCC">
        <w:rPr>
          <w:rFonts w:eastAsiaTheme="minorEastAsia"/>
          <w:sz w:val="24"/>
          <w:szCs w:val="24"/>
        </w:rPr>
        <w:t>，</w:t>
      </w:r>
      <w:r w:rsidRPr="00CB0FCC">
        <w:rPr>
          <w:rFonts w:eastAsiaTheme="minorEastAsia"/>
          <w:sz w:val="24"/>
          <w:szCs w:val="24"/>
          <w:lang w:val="zh-CN"/>
        </w:rPr>
        <w:t>并在可行时</w:t>
      </w:r>
      <w:r w:rsidRPr="00CB0FCC">
        <w:rPr>
          <w:rFonts w:eastAsiaTheme="minorEastAsia"/>
          <w:sz w:val="24"/>
          <w:szCs w:val="24"/>
        </w:rPr>
        <w:t>，</w:t>
      </w:r>
      <w:r w:rsidRPr="00CB0FCC">
        <w:rPr>
          <w:rFonts w:eastAsiaTheme="minorEastAsia"/>
          <w:sz w:val="24"/>
          <w:szCs w:val="24"/>
          <w:lang w:val="zh-CN"/>
        </w:rPr>
        <w:t>推广开放及</w:t>
      </w:r>
      <w:r w:rsidRPr="00CB0FCC">
        <w:rPr>
          <w:rFonts w:eastAsiaTheme="minorEastAsia"/>
          <w:sz w:val="24"/>
          <w:szCs w:val="24"/>
        </w:rPr>
        <w:t>FAIR</w:t>
      </w:r>
      <w:r w:rsidRPr="00CB0FCC">
        <w:rPr>
          <w:rFonts w:eastAsiaTheme="minorEastAsia"/>
          <w:sz w:val="24"/>
          <w:szCs w:val="24"/>
        </w:rPr>
        <w:t>（</w:t>
      </w:r>
      <w:r w:rsidRPr="00CB0FCC">
        <w:rPr>
          <w:rFonts w:eastAsiaTheme="minorEastAsia"/>
          <w:sz w:val="24"/>
          <w:szCs w:val="24"/>
          <w:lang w:val="zh-CN"/>
        </w:rPr>
        <w:t>可找寻、可访问、可交互和</w:t>
      </w:r>
      <w:proofErr w:type="gramStart"/>
      <w:r w:rsidRPr="00CB0FCC">
        <w:rPr>
          <w:rFonts w:eastAsiaTheme="minorEastAsia"/>
          <w:sz w:val="24"/>
          <w:szCs w:val="24"/>
          <w:lang w:val="zh-CN"/>
        </w:rPr>
        <w:t>可</w:t>
      </w:r>
      <w:proofErr w:type="gramEnd"/>
      <w:r w:rsidRPr="00CB0FCC">
        <w:rPr>
          <w:rFonts w:eastAsiaTheme="minorEastAsia"/>
          <w:sz w:val="24"/>
          <w:szCs w:val="24"/>
          <w:lang w:val="zh-CN"/>
        </w:rPr>
        <w:t>再用</w:t>
      </w:r>
      <w:r w:rsidRPr="00CB0FCC">
        <w:rPr>
          <w:rFonts w:eastAsiaTheme="minorEastAsia"/>
          <w:sz w:val="24"/>
          <w:szCs w:val="24"/>
        </w:rPr>
        <w:t>）</w:t>
      </w:r>
      <w:r w:rsidRPr="00CB0FCC">
        <w:rPr>
          <w:rFonts w:eastAsiaTheme="minorEastAsia"/>
          <w:sz w:val="24"/>
          <w:szCs w:val="24"/>
          <w:lang w:val="zh-CN"/>
        </w:rPr>
        <w:t>原则</w:t>
      </w:r>
      <w:r w:rsidRPr="00CB0FCC">
        <w:rPr>
          <w:rFonts w:eastAsiaTheme="minorEastAsia"/>
          <w:sz w:val="24"/>
          <w:szCs w:val="24"/>
        </w:rPr>
        <w:t>；</w:t>
      </w:r>
    </w:p>
    <w:p w14:paraId="65C3F395"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在适当时鼓励透明地获取监测和管理信息</w:t>
      </w:r>
      <w:r w:rsidRPr="00CB0FCC">
        <w:rPr>
          <w:rFonts w:eastAsiaTheme="minorEastAsia"/>
          <w:sz w:val="24"/>
          <w:szCs w:val="24"/>
        </w:rPr>
        <w:t>，</w:t>
      </w:r>
      <w:r w:rsidRPr="00CB0FCC">
        <w:rPr>
          <w:rFonts w:eastAsiaTheme="minorEastAsia"/>
          <w:sz w:val="24"/>
          <w:szCs w:val="24"/>
          <w:lang w:val="zh-CN"/>
        </w:rPr>
        <w:t>同时对敏感数据例如受威胁物种的地点或机密传统知识采取保障措施</w:t>
      </w:r>
      <w:r w:rsidRPr="00CB0FCC">
        <w:rPr>
          <w:rFonts w:eastAsiaTheme="minorEastAsia"/>
          <w:sz w:val="24"/>
          <w:szCs w:val="24"/>
        </w:rPr>
        <w:t>；</w:t>
      </w:r>
    </w:p>
    <w:p w14:paraId="2964775E"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推动</w:t>
      </w:r>
      <w:r w:rsidRPr="00CB0FCC">
        <w:rPr>
          <w:rFonts w:eastAsiaTheme="minorEastAsia"/>
          <w:sz w:val="24"/>
          <w:szCs w:val="24"/>
        </w:rPr>
        <w:t>“</w:t>
      </w:r>
      <w:r w:rsidRPr="00CB0FCC">
        <w:rPr>
          <w:rFonts w:eastAsiaTheme="minorEastAsia"/>
          <w:sz w:val="24"/>
          <w:szCs w:val="24"/>
          <w:lang w:val="zh-CN"/>
        </w:rPr>
        <w:t>同一健康</w:t>
      </w:r>
      <w:r w:rsidRPr="00CB0FCC">
        <w:rPr>
          <w:rFonts w:eastAsiaTheme="minorEastAsia"/>
          <w:sz w:val="24"/>
          <w:szCs w:val="24"/>
        </w:rPr>
        <w:t>”</w:t>
      </w:r>
      <w:r w:rsidRPr="00CB0FCC">
        <w:rPr>
          <w:rFonts w:eastAsiaTheme="minorEastAsia"/>
          <w:sz w:val="24"/>
          <w:szCs w:val="24"/>
          <w:lang w:val="zh-CN"/>
        </w:rPr>
        <w:t>举措</w:t>
      </w:r>
      <w:r w:rsidRPr="00CB0FCC">
        <w:rPr>
          <w:rFonts w:eastAsiaTheme="minorEastAsia"/>
          <w:sz w:val="24"/>
          <w:szCs w:val="24"/>
        </w:rPr>
        <w:t>，</w:t>
      </w:r>
      <w:r w:rsidRPr="00CB0FCC">
        <w:rPr>
          <w:rFonts w:eastAsiaTheme="minorEastAsia"/>
          <w:sz w:val="24"/>
          <w:szCs w:val="24"/>
          <w:lang w:val="zh-CN"/>
        </w:rPr>
        <w:t>将野生生物健康监测措施纳入可持续野生生物管理框架</w:t>
      </w:r>
      <w:r w:rsidRPr="00CB0FCC">
        <w:rPr>
          <w:rFonts w:eastAsiaTheme="minorEastAsia"/>
          <w:sz w:val="24"/>
          <w:szCs w:val="24"/>
        </w:rPr>
        <w:t>；</w:t>
      </w:r>
      <w:r w:rsidRPr="00CB0FCC">
        <w:rPr>
          <w:rFonts w:eastAsiaTheme="minorEastAsia"/>
          <w:sz w:val="24"/>
          <w:szCs w:val="24"/>
          <w:lang w:val="zh-CN"/>
        </w:rPr>
        <w:t>在环境、林业、渔业、农业和卫生主管部门之间建立信息共享渠道</w:t>
      </w:r>
      <w:r w:rsidRPr="00CB0FCC">
        <w:rPr>
          <w:rFonts w:eastAsiaTheme="minorEastAsia"/>
          <w:sz w:val="24"/>
          <w:szCs w:val="24"/>
        </w:rPr>
        <w:t>；</w:t>
      </w:r>
      <w:r w:rsidRPr="00CB0FCC">
        <w:rPr>
          <w:rFonts w:eastAsiaTheme="minorEastAsia"/>
          <w:sz w:val="24"/>
          <w:szCs w:val="24"/>
          <w:lang w:val="zh-CN"/>
        </w:rPr>
        <w:t>并根据同</w:t>
      </w:r>
      <w:proofErr w:type="gramStart"/>
      <w:r w:rsidRPr="00CB0FCC">
        <w:rPr>
          <w:rFonts w:eastAsiaTheme="minorEastAsia"/>
          <w:sz w:val="24"/>
          <w:szCs w:val="24"/>
          <w:lang w:val="zh-CN"/>
        </w:rPr>
        <w:t>一健康</w:t>
      </w:r>
      <w:proofErr w:type="gramEnd"/>
      <w:r w:rsidRPr="00CB0FCC">
        <w:rPr>
          <w:rFonts w:eastAsiaTheme="minorEastAsia"/>
          <w:sz w:val="24"/>
          <w:szCs w:val="24"/>
          <w:lang w:val="zh-CN"/>
        </w:rPr>
        <w:t>四方联盟的同</w:t>
      </w:r>
      <w:proofErr w:type="gramStart"/>
      <w:r w:rsidRPr="00CB0FCC">
        <w:rPr>
          <w:rFonts w:eastAsiaTheme="minorEastAsia"/>
          <w:sz w:val="24"/>
          <w:szCs w:val="24"/>
          <w:lang w:val="zh-CN"/>
        </w:rPr>
        <w:t>一健康</w:t>
      </w:r>
      <w:proofErr w:type="gramEnd"/>
      <w:r w:rsidRPr="00CB0FCC">
        <w:rPr>
          <w:rFonts w:eastAsiaTheme="minorEastAsia"/>
          <w:sz w:val="24"/>
          <w:szCs w:val="24"/>
          <w:lang w:val="zh-CN"/>
        </w:rPr>
        <w:t>联合行动计划</w:t>
      </w:r>
      <w:r w:rsidRPr="00CB0FCC">
        <w:rPr>
          <w:rFonts w:eastAsiaTheme="minorEastAsia"/>
          <w:sz w:val="24"/>
          <w:szCs w:val="24"/>
        </w:rPr>
        <w:t>（</w:t>
      </w:r>
      <w:r w:rsidRPr="00CB0FCC">
        <w:rPr>
          <w:rFonts w:eastAsiaTheme="minorEastAsia"/>
          <w:sz w:val="24"/>
          <w:szCs w:val="24"/>
        </w:rPr>
        <w:t>2022–2026</w:t>
      </w:r>
      <w:r w:rsidRPr="00CB0FCC">
        <w:rPr>
          <w:rFonts w:eastAsiaTheme="minorEastAsia"/>
          <w:sz w:val="24"/>
          <w:szCs w:val="24"/>
          <w:lang w:val="zh-CN"/>
        </w:rPr>
        <w:t>年</w:t>
      </w:r>
      <w:r w:rsidRPr="00CB0FCC">
        <w:rPr>
          <w:rFonts w:eastAsiaTheme="minorEastAsia"/>
          <w:sz w:val="24"/>
          <w:szCs w:val="24"/>
        </w:rPr>
        <w:t>），</w:t>
      </w:r>
      <w:r w:rsidRPr="00CB0FCC">
        <w:rPr>
          <w:rFonts w:eastAsiaTheme="minorEastAsia"/>
          <w:sz w:val="24"/>
          <w:szCs w:val="24"/>
          <w:lang w:val="zh-CN"/>
        </w:rPr>
        <w:t>在情况适当时</w:t>
      </w:r>
      <w:r w:rsidRPr="00CB0FCC">
        <w:rPr>
          <w:rFonts w:eastAsiaTheme="minorEastAsia"/>
          <w:sz w:val="24"/>
          <w:szCs w:val="24"/>
        </w:rPr>
        <w:t>，</w:t>
      </w:r>
      <w:r w:rsidRPr="00CB0FCC">
        <w:rPr>
          <w:rFonts w:eastAsiaTheme="minorEastAsia"/>
          <w:sz w:val="24"/>
          <w:szCs w:val="24"/>
          <w:lang w:val="zh-CN"/>
        </w:rPr>
        <w:t>将安全处置、生物安全和风险沟通措施纳入野生生物管理计划</w:t>
      </w:r>
      <w:r w:rsidRPr="00CB0FCC">
        <w:rPr>
          <w:rFonts w:eastAsiaTheme="minorEastAsia"/>
          <w:sz w:val="24"/>
          <w:szCs w:val="24"/>
        </w:rPr>
        <w:t>；</w:t>
      </w:r>
    </w:p>
    <w:p w14:paraId="0E441BA1" w14:textId="77777777" w:rsidR="00FB10AA" w:rsidRPr="00CB0FCC" w:rsidRDefault="00FB10AA" w:rsidP="006925A5">
      <w:pPr>
        <w:pStyle w:val="CBDNormalNumber"/>
        <w:numPr>
          <w:ilvl w:val="1"/>
          <w:numId w:val="35"/>
        </w:numPr>
        <w:tabs>
          <w:tab w:val="left" w:pos="709"/>
        </w:tabs>
        <w:rPr>
          <w:rFonts w:eastAsiaTheme="minorEastAsia"/>
          <w:sz w:val="24"/>
          <w:szCs w:val="24"/>
        </w:rPr>
      </w:pPr>
      <w:r w:rsidRPr="00CB0FCC">
        <w:rPr>
          <w:rFonts w:eastAsiaTheme="minorEastAsia"/>
          <w:sz w:val="24"/>
          <w:szCs w:val="24"/>
          <w:lang w:val="zh-CN"/>
        </w:rPr>
        <w:t>在采用</w:t>
      </w:r>
      <w:r w:rsidRPr="00CB0FCC">
        <w:rPr>
          <w:rFonts w:eastAsiaTheme="minorEastAsia"/>
          <w:sz w:val="24"/>
          <w:szCs w:val="24"/>
        </w:rPr>
        <w:t>“</w:t>
      </w:r>
      <w:r w:rsidRPr="00CB0FCC">
        <w:rPr>
          <w:rFonts w:eastAsiaTheme="minorEastAsia"/>
          <w:sz w:val="24"/>
          <w:szCs w:val="24"/>
          <w:lang w:val="zh-CN"/>
        </w:rPr>
        <w:t>同一健康</w:t>
      </w:r>
      <w:r w:rsidRPr="00CB0FCC">
        <w:rPr>
          <w:rFonts w:eastAsiaTheme="minorEastAsia"/>
          <w:sz w:val="24"/>
          <w:szCs w:val="24"/>
        </w:rPr>
        <w:t>”</w:t>
      </w:r>
      <w:r w:rsidRPr="00CB0FCC">
        <w:rPr>
          <w:rFonts w:eastAsiaTheme="minorEastAsia"/>
          <w:sz w:val="24"/>
          <w:szCs w:val="24"/>
          <w:lang w:val="zh-CN"/>
        </w:rPr>
        <w:t>办法时</w:t>
      </w:r>
      <w:r w:rsidRPr="00CB0FCC">
        <w:rPr>
          <w:rFonts w:eastAsiaTheme="minorEastAsia"/>
          <w:sz w:val="24"/>
          <w:szCs w:val="24"/>
        </w:rPr>
        <w:t>，</w:t>
      </w:r>
      <w:r w:rsidRPr="00CB0FCC">
        <w:rPr>
          <w:rFonts w:eastAsiaTheme="minorEastAsia"/>
          <w:sz w:val="24"/>
          <w:szCs w:val="24"/>
          <w:lang w:val="zh-CN"/>
        </w:rPr>
        <w:t>鼓励监测并定期审查野生生物种群、生态系统完整性、人类福祉、家畜健康及降低风险外溢的成效</w:t>
      </w:r>
      <w:r w:rsidRPr="00CB0FCC">
        <w:rPr>
          <w:rFonts w:eastAsiaTheme="minorEastAsia"/>
          <w:sz w:val="24"/>
          <w:szCs w:val="24"/>
        </w:rPr>
        <w:t>，</w:t>
      </w:r>
      <w:r w:rsidRPr="00CB0FCC">
        <w:rPr>
          <w:rFonts w:eastAsiaTheme="minorEastAsia"/>
          <w:sz w:val="24"/>
          <w:szCs w:val="24"/>
          <w:lang w:val="zh-CN"/>
        </w:rPr>
        <w:t>以加强基于证据的学习和适应性管理</w:t>
      </w:r>
      <w:r w:rsidRPr="00CB0FCC">
        <w:rPr>
          <w:rFonts w:eastAsiaTheme="minorEastAsia"/>
          <w:sz w:val="24"/>
          <w:szCs w:val="24"/>
        </w:rPr>
        <w:t>；</w:t>
      </w:r>
    </w:p>
    <w:p w14:paraId="65E4B818" w14:textId="77777777" w:rsidR="00FB10AA" w:rsidRPr="00CB0FCC" w:rsidRDefault="00FB10AA" w:rsidP="006925A5">
      <w:pPr>
        <w:pStyle w:val="CBDNormalNumber"/>
        <w:numPr>
          <w:ilvl w:val="1"/>
          <w:numId w:val="35"/>
        </w:numPr>
        <w:tabs>
          <w:tab w:val="left" w:pos="709"/>
        </w:tabs>
        <w:rPr>
          <w:rFonts w:eastAsiaTheme="minorEastAsia"/>
          <w:sz w:val="24"/>
          <w:szCs w:val="24"/>
        </w:rPr>
      </w:pPr>
      <w:r w:rsidRPr="00CB0FCC">
        <w:rPr>
          <w:rFonts w:eastAsiaTheme="minorEastAsia"/>
          <w:sz w:val="24"/>
          <w:szCs w:val="24"/>
          <w:lang w:val="zh-CN"/>
        </w:rPr>
        <w:t>促进在监测和执法中使用遥感、声学监测、</w:t>
      </w:r>
      <w:r w:rsidRPr="00CB0FCC">
        <w:rPr>
          <w:rFonts w:eastAsiaTheme="minorEastAsia"/>
          <w:sz w:val="24"/>
          <w:szCs w:val="24"/>
        </w:rPr>
        <w:t>eDNA</w:t>
      </w:r>
      <w:r w:rsidRPr="00CB0FCC">
        <w:rPr>
          <w:rFonts w:eastAsiaTheme="minorEastAsia"/>
          <w:sz w:val="24"/>
          <w:szCs w:val="24"/>
          <w:lang w:val="zh-CN"/>
        </w:rPr>
        <w:t>、数字许可和追踪工具等新兴技术</w:t>
      </w:r>
      <w:r w:rsidRPr="00CB0FCC">
        <w:rPr>
          <w:rFonts w:eastAsiaTheme="minorEastAsia"/>
          <w:sz w:val="24"/>
          <w:szCs w:val="24"/>
        </w:rPr>
        <w:t>，</w:t>
      </w:r>
      <w:r w:rsidRPr="00CB0FCC">
        <w:rPr>
          <w:rFonts w:eastAsiaTheme="minorEastAsia"/>
          <w:sz w:val="24"/>
          <w:szCs w:val="24"/>
          <w:lang w:val="zh-CN"/>
        </w:rPr>
        <w:t>确保公平、可及性和文化适宜性。</w:t>
      </w:r>
    </w:p>
    <w:p w14:paraId="12774AEF" w14:textId="77777777" w:rsidR="00FB10AA" w:rsidRPr="00CD7E7F" w:rsidRDefault="00FB10AA" w:rsidP="00CD7E7F">
      <w:pPr>
        <w:pStyle w:val="CBDH1"/>
        <w:rPr>
          <w:rFonts w:ascii="SimHei" w:eastAsia="SimHei" w:hAnsi="SimHei"/>
          <w:sz w:val="24"/>
          <w:szCs w:val="24"/>
          <w:lang w:val="zh-CN"/>
        </w:rPr>
      </w:pPr>
      <w:r w:rsidRPr="00CD7E7F">
        <w:rPr>
          <w:rFonts w:ascii="SimHei" w:eastAsia="SimHei" w:hAnsi="SimHei"/>
          <w:sz w:val="24"/>
          <w:szCs w:val="24"/>
          <w:lang w:val="zh-CN"/>
        </w:rPr>
        <w:t>D.</w:t>
      </w:r>
      <w:r w:rsidRPr="00CD7E7F">
        <w:rPr>
          <w:rFonts w:ascii="SimHei" w:eastAsia="SimHei" w:hAnsi="SimHei"/>
          <w:sz w:val="24"/>
          <w:szCs w:val="24"/>
          <w:lang w:val="zh-CN"/>
        </w:rPr>
        <w:tab/>
        <w:t>公平分配成本和分享惠益</w:t>
      </w:r>
    </w:p>
    <w:p w14:paraId="058280FA" w14:textId="0091AE44" w:rsidR="00FB10AA" w:rsidRPr="00CB0FCC" w:rsidRDefault="00FB10AA" w:rsidP="002C7520">
      <w:pPr>
        <w:pStyle w:val="CBDNormalNumber"/>
        <w:numPr>
          <w:ilvl w:val="0"/>
          <w:numId w:val="35"/>
        </w:numPr>
        <w:ind w:left="567"/>
        <w:rPr>
          <w:rFonts w:eastAsiaTheme="minorEastAsia"/>
          <w:sz w:val="24"/>
          <w:szCs w:val="24"/>
        </w:rPr>
      </w:pPr>
      <w:r w:rsidRPr="00CB0FCC">
        <w:rPr>
          <w:rFonts w:eastAsiaTheme="minorEastAsia"/>
          <w:sz w:val="24"/>
          <w:szCs w:val="24"/>
          <w:lang w:val="zh-CN"/>
        </w:rPr>
        <w:t>成本和惠益的公平分配对于可持续野生生物管理非常重要</w:t>
      </w:r>
      <w:r w:rsidRPr="00CB0FCC">
        <w:rPr>
          <w:rFonts w:eastAsiaTheme="minorEastAsia"/>
          <w:sz w:val="24"/>
          <w:szCs w:val="24"/>
        </w:rPr>
        <w:t>，</w:t>
      </w:r>
      <w:r w:rsidRPr="00CB0FCC">
        <w:rPr>
          <w:rFonts w:eastAsiaTheme="minorEastAsia"/>
          <w:sz w:val="24"/>
          <w:szCs w:val="24"/>
          <w:lang w:val="zh-CN"/>
        </w:rPr>
        <w:t>因为它可以加强公平性、合法性和长期有效性</w:t>
      </w:r>
      <w:r w:rsidRPr="00CB0FCC">
        <w:rPr>
          <w:rFonts w:eastAsiaTheme="minorEastAsia"/>
          <w:sz w:val="24"/>
          <w:szCs w:val="24"/>
        </w:rPr>
        <w:t>，</w:t>
      </w:r>
      <w:r w:rsidRPr="00CB0FCC">
        <w:rPr>
          <w:rFonts w:eastAsiaTheme="minorEastAsia"/>
          <w:sz w:val="24"/>
          <w:szCs w:val="24"/>
          <w:lang w:val="zh-CN"/>
        </w:rPr>
        <w:t>特别是在与野生生物的利用、保护和共存相关的负担和惠益分配不均的情况下。在根据第</w:t>
      </w:r>
      <w:hyperlink r:id="rId45" w:history="1">
        <w:r w:rsidRPr="005230B0">
          <w:rPr>
            <w:rStyle w:val="Hyperlink"/>
            <w:rFonts w:eastAsiaTheme="minorEastAsia"/>
            <w:sz w:val="24"/>
            <w:szCs w:val="24"/>
            <w:lang w:val="zh-CN"/>
          </w:rPr>
          <w:t>2025-014</w:t>
        </w:r>
      </w:hyperlink>
      <w:r w:rsidRPr="00CB0FCC">
        <w:rPr>
          <w:rFonts w:eastAsiaTheme="minorEastAsia"/>
          <w:sz w:val="24"/>
          <w:szCs w:val="24"/>
          <w:lang w:val="zh-CN"/>
        </w:rPr>
        <w:t>号和</w:t>
      </w:r>
      <w:hyperlink r:id="rId46" w:history="1">
        <w:r w:rsidRPr="004525EC">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收到的意见中，强调如果承担养护野生生物成本的人，包括土著人民和地方社区以及相关利益攸关方，可从他们的养护、可持续利用和保护努力获得切实和公平的惠益，则野生生物管理就可能更加有效和持久。缔约方应酌情根据国情和优先事项，采取以下行动，推动可持续野生生物管理</w:t>
      </w:r>
      <w:proofErr w:type="gramStart"/>
      <w:r w:rsidRPr="00CB0FCC">
        <w:rPr>
          <w:rFonts w:eastAsiaTheme="minorEastAsia"/>
          <w:sz w:val="24"/>
          <w:szCs w:val="24"/>
          <w:lang w:val="zh-CN"/>
        </w:rPr>
        <w:t>措</w:t>
      </w:r>
      <w:proofErr w:type="gramEnd"/>
      <w:r w:rsidRPr="00CB0FCC">
        <w:rPr>
          <w:rFonts w:eastAsiaTheme="minorEastAsia"/>
          <w:sz w:val="24"/>
          <w:szCs w:val="24"/>
          <w:lang w:val="zh-CN"/>
        </w:rPr>
        <w:t>：</w:t>
      </w:r>
    </w:p>
    <w:p w14:paraId="7A9ABB9A"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lastRenderedPageBreak/>
        <w:t>确保惠益分享安排涵盖货币和非货币惠益</w:t>
      </w:r>
      <w:r w:rsidRPr="00CB0FCC">
        <w:rPr>
          <w:rFonts w:eastAsiaTheme="minorEastAsia"/>
          <w:sz w:val="24"/>
          <w:szCs w:val="24"/>
        </w:rPr>
        <w:t>，</w:t>
      </w:r>
      <w:r w:rsidRPr="00CB0FCC">
        <w:rPr>
          <w:rFonts w:eastAsiaTheme="minorEastAsia"/>
          <w:sz w:val="24"/>
          <w:szCs w:val="24"/>
          <w:lang w:val="zh-CN"/>
        </w:rPr>
        <w:t>例如能力建设、公平获取信息和监测结果、加强体制、承认习惯治理制度以及支持文化传统、知识、做法和生计用途</w:t>
      </w:r>
      <w:r w:rsidRPr="00CB0FCC">
        <w:rPr>
          <w:rFonts w:eastAsiaTheme="minorEastAsia"/>
          <w:sz w:val="24"/>
          <w:szCs w:val="24"/>
        </w:rPr>
        <w:t>；</w:t>
      </w:r>
    </w:p>
    <w:p w14:paraId="1D1BF969"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在明确的资格条件、治理结构和申诉机制的基础上</w:t>
      </w:r>
      <w:r w:rsidRPr="00CB0FCC">
        <w:rPr>
          <w:rFonts w:eastAsiaTheme="minorEastAsia"/>
          <w:sz w:val="24"/>
          <w:szCs w:val="24"/>
        </w:rPr>
        <w:t>，</w:t>
      </w:r>
      <w:r w:rsidRPr="00CB0FCC">
        <w:rPr>
          <w:rFonts w:eastAsiaTheme="minorEastAsia"/>
          <w:sz w:val="24"/>
          <w:szCs w:val="24"/>
          <w:lang w:val="zh-CN"/>
        </w:rPr>
        <w:t>促进公平、透明、参与性和负责任的惠益分享安排</w:t>
      </w:r>
      <w:r w:rsidRPr="00CB0FCC">
        <w:rPr>
          <w:rFonts w:eastAsiaTheme="minorEastAsia"/>
          <w:sz w:val="24"/>
          <w:szCs w:val="24"/>
        </w:rPr>
        <w:t>；</w:t>
      </w:r>
    </w:p>
    <w:p w14:paraId="553BEB5D"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通过预防、缓解和激励措施</w:t>
      </w:r>
      <w:r w:rsidRPr="00CB0FCC">
        <w:rPr>
          <w:rFonts w:eastAsiaTheme="minorEastAsia"/>
          <w:sz w:val="24"/>
          <w:szCs w:val="24"/>
        </w:rPr>
        <w:t>，</w:t>
      </w:r>
      <w:r w:rsidRPr="00CB0FCC">
        <w:rPr>
          <w:rFonts w:eastAsiaTheme="minorEastAsia"/>
          <w:sz w:val="24"/>
          <w:szCs w:val="24"/>
          <w:lang w:val="zh-CN"/>
        </w:rPr>
        <w:t>适当关注养护野生生物者所承受的不同成本</w:t>
      </w:r>
      <w:r w:rsidRPr="00CB0FCC">
        <w:rPr>
          <w:rFonts w:eastAsiaTheme="minorEastAsia"/>
          <w:sz w:val="24"/>
          <w:szCs w:val="24"/>
        </w:rPr>
        <w:t>，</w:t>
      </w:r>
      <w:r w:rsidRPr="00CB0FCC">
        <w:rPr>
          <w:rFonts w:eastAsiaTheme="minorEastAsia"/>
          <w:sz w:val="24"/>
          <w:szCs w:val="24"/>
          <w:lang w:val="zh-CN"/>
        </w:rPr>
        <w:t>例如人与野生生物的冲突、机会成本和监管负担</w:t>
      </w:r>
      <w:r w:rsidRPr="00CB0FCC">
        <w:rPr>
          <w:rFonts w:eastAsiaTheme="minorEastAsia"/>
          <w:sz w:val="24"/>
          <w:szCs w:val="24"/>
        </w:rPr>
        <w:t>，</w:t>
      </w:r>
      <w:r w:rsidRPr="00CB0FCC">
        <w:rPr>
          <w:rFonts w:eastAsiaTheme="minorEastAsia"/>
          <w:sz w:val="24"/>
          <w:szCs w:val="24"/>
          <w:lang w:val="zh-CN"/>
        </w:rPr>
        <w:t>其中特别关注性别差异的影响、妇女的参与和领导以及弱势群体</w:t>
      </w:r>
      <w:r w:rsidRPr="00CB0FCC">
        <w:rPr>
          <w:rFonts w:eastAsiaTheme="minorEastAsia"/>
          <w:sz w:val="24"/>
          <w:szCs w:val="24"/>
        </w:rPr>
        <w:t>；</w:t>
      </w:r>
    </w:p>
    <w:p w14:paraId="76C12DCB"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促进采取措施保护男女环境人权维护者的安全和权利</w:t>
      </w:r>
      <w:r w:rsidRPr="00CB0FCC">
        <w:rPr>
          <w:rFonts w:eastAsiaTheme="minorEastAsia"/>
          <w:sz w:val="24"/>
          <w:szCs w:val="24"/>
        </w:rPr>
        <w:t>，</w:t>
      </w:r>
      <w:r w:rsidRPr="00CB0FCC">
        <w:rPr>
          <w:rFonts w:eastAsiaTheme="minorEastAsia"/>
          <w:sz w:val="24"/>
          <w:szCs w:val="24"/>
          <w:lang w:val="zh-CN"/>
        </w:rPr>
        <w:t>同时考虑到性别差异的暴力行为和维护者所经历的问题</w:t>
      </w:r>
      <w:r w:rsidRPr="00CB0FCC">
        <w:rPr>
          <w:rFonts w:eastAsiaTheme="minorEastAsia"/>
          <w:sz w:val="24"/>
          <w:szCs w:val="24"/>
        </w:rPr>
        <w:t>；</w:t>
      </w:r>
    </w:p>
    <w:p w14:paraId="6C06AADF" w14:textId="77777777" w:rsidR="00FB10AA" w:rsidRPr="00CB0FCC" w:rsidRDefault="00FB10AA" w:rsidP="006925A5">
      <w:pPr>
        <w:pStyle w:val="CBDNormalNumber"/>
        <w:numPr>
          <w:ilvl w:val="1"/>
          <w:numId w:val="35"/>
        </w:numPr>
        <w:tabs>
          <w:tab w:val="clear" w:pos="567"/>
          <w:tab w:val="left" w:pos="709"/>
        </w:tabs>
        <w:rPr>
          <w:rFonts w:eastAsiaTheme="minorEastAsia"/>
          <w:sz w:val="24"/>
          <w:szCs w:val="24"/>
        </w:rPr>
      </w:pPr>
      <w:r w:rsidRPr="00CB0FCC">
        <w:rPr>
          <w:rFonts w:eastAsiaTheme="minorEastAsia"/>
          <w:sz w:val="24"/>
          <w:szCs w:val="24"/>
          <w:lang w:val="zh-CN"/>
        </w:rPr>
        <w:t>酌情促进建立或加强保险机制、补偿计划和其他激励工具</w:t>
      </w:r>
      <w:r w:rsidRPr="00CB0FCC">
        <w:rPr>
          <w:rFonts w:eastAsiaTheme="minorEastAsia"/>
          <w:sz w:val="24"/>
          <w:szCs w:val="24"/>
        </w:rPr>
        <w:t>，</w:t>
      </w:r>
      <w:r w:rsidRPr="00CB0FCC">
        <w:rPr>
          <w:rFonts w:eastAsiaTheme="minorEastAsia"/>
          <w:sz w:val="24"/>
          <w:szCs w:val="24"/>
          <w:lang w:val="zh-CN"/>
        </w:rPr>
        <w:t>以解决陆地和水生生态系统作物受损、牲畜损失和其他与人与野生生物相互作用产生的成本问题</w:t>
      </w:r>
      <w:r w:rsidRPr="00CB0FCC">
        <w:rPr>
          <w:rFonts w:eastAsiaTheme="minorEastAsia"/>
          <w:sz w:val="24"/>
          <w:szCs w:val="24"/>
        </w:rPr>
        <w:t>，</w:t>
      </w:r>
      <w:r w:rsidRPr="00CB0FCC">
        <w:rPr>
          <w:rFonts w:eastAsiaTheme="minorEastAsia"/>
          <w:sz w:val="24"/>
          <w:szCs w:val="24"/>
          <w:lang w:val="zh-CN"/>
        </w:rPr>
        <w:t>从而支持共存并减少社会和经济脆弱性</w:t>
      </w:r>
      <w:r w:rsidRPr="00CB0FCC">
        <w:rPr>
          <w:rFonts w:eastAsiaTheme="minorEastAsia"/>
          <w:sz w:val="24"/>
          <w:szCs w:val="24"/>
        </w:rPr>
        <w:t>；</w:t>
      </w:r>
    </w:p>
    <w:p w14:paraId="56D61D07" w14:textId="77777777" w:rsidR="00FB10AA" w:rsidRPr="00CB0FCC" w:rsidRDefault="00FB10AA" w:rsidP="006925A5">
      <w:pPr>
        <w:pStyle w:val="CBDNormalNumber"/>
        <w:numPr>
          <w:ilvl w:val="1"/>
          <w:numId w:val="35"/>
        </w:numPr>
        <w:tabs>
          <w:tab w:val="clear" w:pos="567"/>
          <w:tab w:val="left" w:pos="709"/>
        </w:tabs>
        <w:rPr>
          <w:rFonts w:eastAsiaTheme="minorEastAsia"/>
          <w:sz w:val="24"/>
          <w:szCs w:val="24"/>
        </w:rPr>
      </w:pPr>
      <w:r w:rsidRPr="00CB0FCC">
        <w:rPr>
          <w:rFonts w:eastAsiaTheme="minorEastAsia"/>
          <w:sz w:val="24"/>
          <w:szCs w:val="24"/>
          <w:lang w:val="zh-CN"/>
        </w:rPr>
        <w:t>建立法律和政策框架</w:t>
      </w:r>
      <w:r w:rsidRPr="00CB0FCC">
        <w:rPr>
          <w:rFonts w:eastAsiaTheme="minorEastAsia"/>
          <w:sz w:val="24"/>
          <w:szCs w:val="24"/>
        </w:rPr>
        <w:t>，</w:t>
      </w:r>
      <w:r w:rsidRPr="00CB0FCC">
        <w:rPr>
          <w:rFonts w:eastAsiaTheme="minorEastAsia"/>
          <w:sz w:val="24"/>
          <w:szCs w:val="24"/>
          <w:lang w:val="zh-CN"/>
        </w:rPr>
        <w:t>通过阐明收入分享模式、下放适当的财政权力以及支持土著人民和地方社区的社会企业和商业的方式</w:t>
      </w:r>
      <w:r w:rsidRPr="00CB0FCC">
        <w:rPr>
          <w:rFonts w:eastAsiaTheme="minorEastAsia"/>
          <w:sz w:val="24"/>
          <w:szCs w:val="24"/>
        </w:rPr>
        <w:t>，</w:t>
      </w:r>
      <w:r w:rsidRPr="00CB0FCC">
        <w:rPr>
          <w:rFonts w:eastAsiaTheme="minorEastAsia"/>
          <w:sz w:val="24"/>
          <w:szCs w:val="24"/>
          <w:lang w:val="zh-CN"/>
        </w:rPr>
        <w:t>使土著人民和地方社区以及相关利益攸关方能够从可持续野生生物的利用、贸易和旅游业中获得收入和其他惠益</w:t>
      </w:r>
      <w:r w:rsidRPr="00CB0FCC">
        <w:rPr>
          <w:rFonts w:eastAsiaTheme="minorEastAsia"/>
          <w:sz w:val="24"/>
          <w:szCs w:val="24"/>
        </w:rPr>
        <w:t>；</w:t>
      </w:r>
    </w:p>
    <w:p w14:paraId="6F2484A9" w14:textId="77777777" w:rsidR="00FB10AA" w:rsidRPr="00CB0FCC" w:rsidRDefault="00FB10AA" w:rsidP="006925A5">
      <w:pPr>
        <w:pStyle w:val="CBDNormalNumber"/>
        <w:numPr>
          <w:ilvl w:val="1"/>
          <w:numId w:val="35"/>
        </w:numPr>
        <w:tabs>
          <w:tab w:val="clear" w:pos="567"/>
          <w:tab w:val="left" w:pos="709"/>
        </w:tabs>
        <w:rPr>
          <w:rFonts w:eastAsiaTheme="minorEastAsia"/>
          <w:sz w:val="24"/>
          <w:szCs w:val="24"/>
        </w:rPr>
      </w:pPr>
      <w:r w:rsidRPr="00CB0FCC">
        <w:rPr>
          <w:rFonts w:eastAsiaTheme="minorEastAsia"/>
          <w:sz w:val="24"/>
          <w:szCs w:val="24"/>
          <w:lang w:val="zh-CN"/>
        </w:rPr>
        <w:t>通过独立监督、定期财务和绩效审计、披露收入和分配、建立申诉和补救机制以及防止报复的措施</w:t>
      </w:r>
      <w:r w:rsidRPr="00CB0FCC">
        <w:rPr>
          <w:rFonts w:eastAsiaTheme="minorEastAsia"/>
          <w:sz w:val="24"/>
          <w:szCs w:val="24"/>
        </w:rPr>
        <w:t>，</w:t>
      </w:r>
      <w:r w:rsidRPr="00CB0FCC">
        <w:rPr>
          <w:rFonts w:eastAsiaTheme="minorEastAsia"/>
          <w:sz w:val="24"/>
          <w:szCs w:val="24"/>
          <w:lang w:val="zh-CN"/>
        </w:rPr>
        <w:t>加强对惠益分享和野生生物收入的问责</w:t>
      </w:r>
      <w:r w:rsidRPr="00CB0FCC">
        <w:rPr>
          <w:rFonts w:eastAsiaTheme="minorEastAsia"/>
          <w:sz w:val="24"/>
          <w:szCs w:val="24"/>
        </w:rPr>
        <w:t>；</w:t>
      </w:r>
    </w:p>
    <w:p w14:paraId="67022F8B"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认识到小规模捕猎者、加工者和社会企业在野生生物价值链中的作用</w:t>
      </w:r>
      <w:r w:rsidRPr="00CB0FCC">
        <w:rPr>
          <w:rFonts w:eastAsiaTheme="minorEastAsia"/>
          <w:sz w:val="24"/>
          <w:szCs w:val="24"/>
        </w:rPr>
        <w:t>，</w:t>
      </w:r>
      <w:r w:rsidRPr="00CB0FCC">
        <w:rPr>
          <w:rFonts w:eastAsiaTheme="minorEastAsia"/>
          <w:sz w:val="24"/>
          <w:szCs w:val="24"/>
          <w:lang w:val="zh-CN"/>
        </w:rPr>
        <w:t>并确保监管措施不会使在本地和习惯系统中运作的行为者处于过分不利的地位</w:t>
      </w:r>
      <w:r w:rsidRPr="00CB0FCC">
        <w:rPr>
          <w:rFonts w:eastAsiaTheme="minorEastAsia"/>
          <w:sz w:val="24"/>
          <w:szCs w:val="24"/>
        </w:rPr>
        <w:t>；</w:t>
      </w:r>
    </w:p>
    <w:p w14:paraId="59E6D3EB"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促进与可持续野生生物管理相关的多样化和适应气候变化的生计战略</w:t>
      </w:r>
      <w:r w:rsidRPr="00CB0FCC">
        <w:rPr>
          <w:rFonts w:eastAsiaTheme="minorEastAsia"/>
          <w:sz w:val="24"/>
          <w:szCs w:val="24"/>
        </w:rPr>
        <w:t>，</w:t>
      </w:r>
      <w:r w:rsidRPr="00CB0FCC">
        <w:rPr>
          <w:rFonts w:eastAsiaTheme="minorEastAsia"/>
          <w:sz w:val="24"/>
          <w:szCs w:val="24"/>
          <w:lang w:val="zh-CN"/>
        </w:rPr>
        <w:t>例如非采猎性利用</w:t>
      </w:r>
      <w:r w:rsidRPr="00CB0FCC">
        <w:rPr>
          <w:rFonts w:eastAsiaTheme="minorEastAsia"/>
          <w:sz w:val="24"/>
          <w:szCs w:val="24"/>
        </w:rPr>
        <w:t>，</w:t>
      </w:r>
      <w:r w:rsidRPr="00CB0FCC">
        <w:rPr>
          <w:rFonts w:eastAsiaTheme="minorEastAsia"/>
          <w:sz w:val="24"/>
          <w:szCs w:val="24"/>
          <w:lang w:val="zh-CN"/>
        </w:rPr>
        <w:t>并对旅游业采取持续性的保障措施</w:t>
      </w:r>
      <w:r w:rsidRPr="00CB0FCC">
        <w:rPr>
          <w:rFonts w:eastAsiaTheme="minorEastAsia"/>
          <w:sz w:val="24"/>
          <w:szCs w:val="24"/>
        </w:rPr>
        <w:t>，</w:t>
      </w:r>
      <w:r w:rsidRPr="00CB0FCC">
        <w:rPr>
          <w:rFonts w:eastAsiaTheme="minorEastAsia"/>
          <w:sz w:val="24"/>
          <w:szCs w:val="24"/>
          <w:lang w:val="zh-CN"/>
        </w:rPr>
        <w:t>例如进行影响监测</w:t>
      </w:r>
      <w:r w:rsidRPr="00CB0FCC">
        <w:rPr>
          <w:rFonts w:eastAsiaTheme="minorEastAsia"/>
          <w:sz w:val="24"/>
          <w:szCs w:val="24"/>
        </w:rPr>
        <w:t>；</w:t>
      </w:r>
    </w:p>
    <w:p w14:paraId="075CB1D8"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探索创新和</w:t>
      </w:r>
      <w:proofErr w:type="gramStart"/>
      <w:r w:rsidRPr="00CB0FCC">
        <w:rPr>
          <w:rFonts w:eastAsiaTheme="minorEastAsia"/>
          <w:sz w:val="24"/>
          <w:szCs w:val="24"/>
          <w:lang w:val="zh-CN"/>
        </w:rPr>
        <w:t>可</w:t>
      </w:r>
      <w:proofErr w:type="gramEnd"/>
      <w:r w:rsidRPr="00CB0FCC">
        <w:rPr>
          <w:rFonts w:eastAsiaTheme="minorEastAsia"/>
          <w:sz w:val="24"/>
          <w:szCs w:val="24"/>
          <w:lang w:val="zh-CN"/>
        </w:rPr>
        <w:t>持续的融资机制</w:t>
      </w:r>
      <w:r w:rsidRPr="00CB0FCC">
        <w:rPr>
          <w:rFonts w:eastAsiaTheme="minorEastAsia"/>
          <w:sz w:val="24"/>
          <w:szCs w:val="24"/>
        </w:rPr>
        <w:t>，</w:t>
      </w:r>
      <w:r w:rsidRPr="00CB0FCC">
        <w:rPr>
          <w:rFonts w:eastAsiaTheme="minorEastAsia"/>
          <w:sz w:val="24"/>
          <w:szCs w:val="24"/>
          <w:lang w:val="zh-CN"/>
        </w:rPr>
        <w:t>例如与生物多样性相关的税收、付费的生态系统服务和公私伙伴关系</w:t>
      </w:r>
      <w:r w:rsidRPr="00CB0FCC">
        <w:rPr>
          <w:rFonts w:eastAsiaTheme="minorEastAsia"/>
          <w:sz w:val="24"/>
          <w:szCs w:val="24"/>
        </w:rPr>
        <w:t>，</w:t>
      </w:r>
      <w:r w:rsidRPr="00CB0FCC">
        <w:rPr>
          <w:rFonts w:eastAsiaTheme="minorEastAsia"/>
          <w:sz w:val="24"/>
          <w:szCs w:val="24"/>
          <w:lang w:val="zh-CN"/>
        </w:rPr>
        <w:t>其中具有明确的社会生态保障措施</w:t>
      </w:r>
      <w:r w:rsidRPr="00CB0FCC">
        <w:rPr>
          <w:rFonts w:eastAsiaTheme="minorEastAsia"/>
          <w:sz w:val="24"/>
          <w:szCs w:val="24"/>
        </w:rPr>
        <w:t>，</w:t>
      </w:r>
      <w:r w:rsidRPr="00CB0FCC">
        <w:rPr>
          <w:rFonts w:eastAsiaTheme="minorEastAsia"/>
          <w:sz w:val="24"/>
          <w:szCs w:val="24"/>
          <w:lang w:val="zh-CN"/>
        </w:rPr>
        <w:t>包括额外性、避免不当激励措施、监测生物多样性成果和尊重权利</w:t>
      </w:r>
      <w:r w:rsidRPr="00CB0FCC">
        <w:rPr>
          <w:rFonts w:eastAsiaTheme="minorEastAsia"/>
          <w:sz w:val="24"/>
          <w:szCs w:val="24"/>
        </w:rPr>
        <w:t>；</w:t>
      </w:r>
    </w:p>
    <w:p w14:paraId="0A1F6C49" w14:textId="77777777"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促进公平进入有可持续来源的野生生物部分和衍生物的市场</w:t>
      </w:r>
      <w:r w:rsidRPr="00CB0FCC">
        <w:rPr>
          <w:rFonts w:eastAsiaTheme="minorEastAsia"/>
          <w:sz w:val="24"/>
          <w:szCs w:val="24"/>
        </w:rPr>
        <w:t>，</w:t>
      </w:r>
      <w:r w:rsidRPr="00CB0FCC">
        <w:rPr>
          <w:rFonts w:eastAsiaTheme="minorEastAsia"/>
          <w:sz w:val="24"/>
          <w:szCs w:val="24"/>
          <w:lang w:val="zh-CN"/>
        </w:rPr>
        <w:t>同时确保商业化与保护目标保持一致并在生态限度范围内</w:t>
      </w:r>
      <w:r w:rsidRPr="00CB0FCC">
        <w:rPr>
          <w:rFonts w:eastAsiaTheme="minorEastAsia"/>
          <w:sz w:val="24"/>
          <w:szCs w:val="24"/>
        </w:rPr>
        <w:t>，</w:t>
      </w:r>
      <w:r w:rsidRPr="00CB0FCC">
        <w:rPr>
          <w:rFonts w:eastAsiaTheme="minorEastAsia"/>
          <w:sz w:val="24"/>
          <w:szCs w:val="24"/>
          <w:lang w:val="zh-CN"/>
        </w:rPr>
        <w:t>并为具有明显社会生态效益的替代商业模式提供激励</w:t>
      </w:r>
      <w:r w:rsidRPr="00CB0FCC">
        <w:rPr>
          <w:rFonts w:eastAsiaTheme="minorEastAsia"/>
          <w:sz w:val="24"/>
          <w:szCs w:val="24"/>
        </w:rPr>
        <w:t>，</w:t>
      </w:r>
      <w:r w:rsidRPr="00CB0FCC">
        <w:rPr>
          <w:rFonts w:eastAsiaTheme="minorEastAsia"/>
          <w:sz w:val="24"/>
          <w:szCs w:val="24"/>
          <w:lang w:val="zh-CN"/>
        </w:rPr>
        <w:t>包括社会和团结经济内的商业模式</w:t>
      </w:r>
      <w:r w:rsidRPr="00CB0FCC">
        <w:rPr>
          <w:rFonts w:eastAsiaTheme="minorEastAsia"/>
          <w:sz w:val="24"/>
          <w:szCs w:val="24"/>
        </w:rPr>
        <w:t>，</w:t>
      </w:r>
      <w:r w:rsidRPr="00CB0FCC">
        <w:rPr>
          <w:rFonts w:eastAsiaTheme="minorEastAsia"/>
          <w:sz w:val="24"/>
          <w:szCs w:val="24"/>
          <w:lang w:val="zh-CN"/>
        </w:rPr>
        <w:t>同时考虑到采取预防性做法</w:t>
      </w:r>
      <w:r w:rsidRPr="00CB0FCC">
        <w:rPr>
          <w:rFonts w:eastAsiaTheme="minorEastAsia"/>
          <w:sz w:val="24"/>
          <w:szCs w:val="24"/>
        </w:rPr>
        <w:t>；</w:t>
      </w:r>
    </w:p>
    <w:p w14:paraId="7289E490" w14:textId="6FD716F4" w:rsidR="00FB10AA" w:rsidRPr="00CB0FCC" w:rsidRDefault="00FB10AA" w:rsidP="006925A5">
      <w:pPr>
        <w:pStyle w:val="CBDNormalNumber"/>
        <w:numPr>
          <w:ilvl w:val="1"/>
          <w:numId w:val="35"/>
        </w:numPr>
        <w:rPr>
          <w:rFonts w:eastAsiaTheme="minorEastAsia"/>
          <w:sz w:val="24"/>
          <w:szCs w:val="24"/>
        </w:rPr>
      </w:pPr>
      <w:r w:rsidRPr="00CB0FCC">
        <w:rPr>
          <w:rFonts w:eastAsiaTheme="minorEastAsia"/>
          <w:sz w:val="24"/>
          <w:szCs w:val="24"/>
          <w:lang w:val="zh-CN"/>
        </w:rPr>
        <w:t>支持恢复野生生物种群、栖息地或生态功能下降的举措。此类举措应考虑到成本和惠益的公平分配，包括对保有权、获取、生计和</w:t>
      </w:r>
      <w:proofErr w:type="gramStart"/>
      <w:r w:rsidRPr="00CB0FCC">
        <w:rPr>
          <w:rFonts w:eastAsiaTheme="minorEastAsia"/>
          <w:sz w:val="24"/>
          <w:szCs w:val="24"/>
          <w:lang w:val="zh-CN"/>
        </w:rPr>
        <w:t>可</w:t>
      </w:r>
      <w:proofErr w:type="gramEnd"/>
      <w:r w:rsidRPr="00CB0FCC">
        <w:rPr>
          <w:rFonts w:eastAsiaTheme="minorEastAsia"/>
          <w:sz w:val="24"/>
          <w:szCs w:val="24"/>
          <w:lang w:val="zh-CN"/>
        </w:rPr>
        <w:t>持续习惯性使用的影响，并酌情让土著人民和地方社区以及相关利益攸关方参与。</w:t>
      </w:r>
    </w:p>
    <w:p w14:paraId="2F12636C" w14:textId="77777777" w:rsidR="00FB10AA" w:rsidRDefault="00FB10AA">
      <w:pPr>
        <w:pStyle w:val="CBDNormalNumber"/>
        <w:ind w:left="567"/>
        <w:rPr>
          <w:szCs w:val="24"/>
        </w:rPr>
        <w:sectPr w:rsidR="00FB10AA">
          <w:headerReference w:type="even" r:id="rId47"/>
          <w:headerReference w:type="default" r:id="rId48"/>
          <w:footerReference w:type="even" r:id="rId49"/>
          <w:footerReference w:type="default" r:id="rId50"/>
          <w:headerReference w:type="first" r:id="rId51"/>
          <w:footerReference w:type="first" r:id="rId52"/>
          <w:pgSz w:w="12240" w:h="15840" w:code="1"/>
          <w:pgMar w:top="1021" w:right="1440" w:bottom="1134" w:left="1440" w:header="709" w:footer="709" w:gutter="0"/>
          <w:cols w:space="708"/>
          <w:titlePg/>
          <w:docGrid w:linePitch="360"/>
        </w:sectPr>
      </w:pPr>
    </w:p>
    <w:p w14:paraId="6F7CEA7E" w14:textId="77777777" w:rsidR="00FB10AA" w:rsidRPr="00A15B05" w:rsidRDefault="00FB10AA">
      <w:pPr>
        <w:pStyle w:val="CBDAnnex"/>
        <w:rPr>
          <w:rFonts w:ascii="SimHei" w:eastAsia="SimHei" w:hAnsi="SimHei"/>
          <w:szCs w:val="24"/>
          <w:lang w:bidi="ar-SA"/>
        </w:rPr>
      </w:pPr>
      <w:r w:rsidRPr="00A15B05">
        <w:rPr>
          <w:rFonts w:ascii="SimHei" w:eastAsia="SimHei" w:hAnsi="SimHei" w:hint="eastAsia"/>
          <w:szCs w:val="24"/>
          <w:lang w:val="zh-CN" w:bidi="ar-SA"/>
        </w:rPr>
        <w:lastRenderedPageBreak/>
        <w:t>附件</w:t>
      </w:r>
    </w:p>
    <w:p w14:paraId="263CCFD2" w14:textId="77777777" w:rsidR="00FB10AA" w:rsidRPr="00A15B05" w:rsidRDefault="00FB10AA">
      <w:pPr>
        <w:pStyle w:val="CBDTitle"/>
        <w:rPr>
          <w:rFonts w:ascii="SimHei" w:eastAsia="SimHei" w:hAnsi="SimHei"/>
          <w:szCs w:val="24"/>
        </w:rPr>
      </w:pPr>
      <w:r w:rsidRPr="00A15B05">
        <w:rPr>
          <w:rFonts w:ascii="SimHei" w:eastAsia="SimHei" w:hAnsi="SimHei" w:hint="eastAsia"/>
          <w:szCs w:val="24"/>
          <w:lang w:val="zh-CN"/>
        </w:rPr>
        <w:t>估计所需的预算外资源</w:t>
      </w:r>
    </w:p>
    <w:p w14:paraId="05FD826F" w14:textId="0F1276FD" w:rsidR="00FB10AA" w:rsidRDefault="00FB10AA">
      <w:pPr>
        <w:pStyle w:val="CBDNormalNoNumber"/>
        <w:rPr>
          <w:szCs w:val="24"/>
        </w:rPr>
      </w:pPr>
      <w:r>
        <w:rPr>
          <w:rFonts w:ascii="SimSun" w:hint="eastAsia"/>
          <w:szCs w:val="24"/>
          <w:lang w:val="zh-CN"/>
        </w:rPr>
        <w:t>下表由秘书处编制</w:t>
      </w:r>
      <w:r>
        <w:rPr>
          <w:rFonts w:ascii="SimSun" w:hint="eastAsia"/>
          <w:szCs w:val="24"/>
        </w:rPr>
        <w:t>，</w:t>
      </w:r>
      <w:r>
        <w:rPr>
          <w:rFonts w:ascii="SimSun" w:hint="eastAsia"/>
          <w:szCs w:val="24"/>
          <w:lang w:val="zh-CN"/>
        </w:rPr>
        <w:t>旨在列出供缔约方大会审议的决定草案要求秘书处实施的活动所需的预算</w:t>
      </w:r>
      <w:proofErr w:type="gramStart"/>
      <w:r>
        <w:rPr>
          <w:rFonts w:ascii="SimSun" w:hint="eastAsia"/>
          <w:szCs w:val="24"/>
          <w:lang w:val="zh-CN"/>
        </w:rPr>
        <w:t>外资源</w:t>
      </w:r>
      <w:proofErr w:type="gramEnd"/>
      <w:r>
        <w:rPr>
          <w:rFonts w:ascii="SimSun" w:hint="eastAsia"/>
          <w:szCs w:val="24"/>
          <w:lang w:val="zh-CN"/>
        </w:rPr>
        <w:t>估计数</w:t>
      </w:r>
      <w:r w:rsidR="00B506F1">
        <w:rPr>
          <w:rFonts w:ascii="SimSun" w:hint="eastAsia"/>
          <w:szCs w:val="24"/>
          <w:lang w:val="zh-CN"/>
        </w:rPr>
        <w:t>，便利</w:t>
      </w:r>
      <w:r w:rsidR="00867DC7">
        <w:rPr>
          <w:rFonts w:ascii="SimSun" w:hint="eastAsia"/>
          <w:szCs w:val="24"/>
          <w:lang w:val="zh-CN"/>
        </w:rPr>
        <w:t>对决定草案的审议</w:t>
      </w:r>
      <w:r>
        <w:rPr>
          <w:rFonts w:ascii="SimSun" w:hint="eastAsia"/>
          <w:szCs w:val="24"/>
          <w:lang w:val="zh-CN"/>
        </w:rPr>
        <w:t>。本附件不属于提交</w:t>
      </w:r>
      <w:r w:rsidR="00ED1729">
        <w:rPr>
          <w:rFonts w:ascii="SimSun" w:hint="eastAsia"/>
          <w:szCs w:val="24"/>
          <w:lang w:val="zh-CN"/>
        </w:rPr>
        <w:t>科</w:t>
      </w:r>
      <w:proofErr w:type="gramStart"/>
      <w:r w:rsidR="00ED1729">
        <w:rPr>
          <w:rFonts w:ascii="SimSun" w:hint="eastAsia"/>
          <w:szCs w:val="24"/>
          <w:lang w:val="zh-CN"/>
        </w:rPr>
        <w:t>咨</w:t>
      </w:r>
      <w:proofErr w:type="gramEnd"/>
      <w:r>
        <w:rPr>
          <w:rFonts w:ascii="SimSun" w:hint="eastAsia"/>
          <w:szCs w:val="24"/>
          <w:lang w:val="zh-CN"/>
        </w:rPr>
        <w:t>机构审议的决定草案的组成部分。</w:t>
      </w:r>
    </w:p>
    <w:p w14:paraId="69819950" w14:textId="77777777" w:rsidR="00FB10AA" w:rsidRDefault="00FB10AA">
      <w:pPr>
        <w:pStyle w:val="CBDTableTitle"/>
        <w:tabs>
          <w:tab w:val="clear" w:pos="567"/>
        </w:tabs>
        <w:ind w:left="0"/>
        <w:rPr>
          <w:szCs w:val="24"/>
        </w:rPr>
      </w:pPr>
      <w:r>
        <w:rPr>
          <w:rFonts w:ascii="SimSun" w:hint="eastAsia"/>
          <w:szCs w:val="24"/>
          <w:lang w:val="zh-CN"/>
        </w:rPr>
        <w:t>所需的预算外资源</w:t>
      </w:r>
    </w:p>
    <w:p w14:paraId="2BE38CB9" w14:textId="77777777" w:rsidR="00FB10AA" w:rsidRDefault="00FB10AA">
      <w:pPr>
        <w:spacing w:before="120" w:after="120"/>
        <w:rPr>
          <w:i/>
          <w:szCs w:val="24"/>
        </w:rPr>
      </w:pPr>
      <w:r>
        <w:rPr>
          <w:rFonts w:ascii="SimSun" w:hint="eastAsia"/>
          <w:sz w:val="18"/>
          <w:szCs w:val="24"/>
          <w:lang w:val="en-US"/>
        </w:rPr>
        <w:t>（</w:t>
      </w:r>
      <w:r w:rsidRPr="00A15B05">
        <w:rPr>
          <w:rFonts w:asciiTheme="minorEastAsia" w:eastAsiaTheme="minorEastAsia" w:hAnsiTheme="minorEastAsia" w:hint="eastAsia"/>
          <w:sz w:val="18"/>
          <w:szCs w:val="24"/>
          <w:lang w:val="zh-CN"/>
        </w:rPr>
        <w:t>美元</w:t>
      </w:r>
      <w:r>
        <w:rPr>
          <w:rFonts w:ascii="SimSun" w:hint="eastAsia"/>
          <w:sz w:val="18"/>
          <w:szCs w:val="24"/>
          <w:lang w:val="en-US"/>
        </w:rPr>
        <w:t>）</w:t>
      </w:r>
    </w:p>
    <w:tbl>
      <w:tblPr>
        <w:tblW w:w="9923" w:type="dxa"/>
        <w:tblLayout w:type="fixed"/>
        <w:tblCellMar>
          <w:left w:w="0" w:type="dxa"/>
          <w:right w:w="0" w:type="dxa"/>
        </w:tblCellMar>
        <w:tblLook w:val="00A0" w:firstRow="1" w:lastRow="0" w:firstColumn="1" w:lastColumn="0" w:noHBand="0" w:noVBand="0"/>
      </w:tblPr>
      <w:tblGrid>
        <w:gridCol w:w="431"/>
        <w:gridCol w:w="3398"/>
        <w:gridCol w:w="1010"/>
        <w:gridCol w:w="887"/>
        <w:gridCol w:w="889"/>
        <w:gridCol w:w="895"/>
        <w:gridCol w:w="1282"/>
        <w:gridCol w:w="1131"/>
      </w:tblGrid>
      <w:tr w:rsidR="00FB10AA" w14:paraId="7D7DC470" w14:textId="77777777">
        <w:trPr>
          <w:trHeight w:val="290"/>
        </w:trPr>
        <w:tc>
          <w:tcPr>
            <w:tcW w:w="217" w:type="pct"/>
            <w:tcBorders>
              <w:top w:val="single" w:sz="4" w:space="0" w:color="auto"/>
              <w:bottom w:val="single" w:sz="8" w:space="0" w:color="auto"/>
            </w:tcBorders>
            <w:vAlign w:val="bottom"/>
          </w:tcPr>
          <w:p w14:paraId="539A55F2" w14:textId="4FDCF57B" w:rsidR="00FB10AA" w:rsidRPr="00F533A7" w:rsidRDefault="00F533A7">
            <w:pPr>
              <w:jc w:val="left"/>
              <w:rPr>
                <w:rFonts w:eastAsia="KaiTi"/>
                <w:szCs w:val="24"/>
              </w:rPr>
            </w:pPr>
            <w:r w:rsidRPr="00F533A7">
              <w:rPr>
                <w:rFonts w:eastAsia="KaiTi"/>
                <w:sz w:val="20"/>
                <w:szCs w:val="24"/>
                <w:lang w:val="zh-CN"/>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2DFFC5B" w14:textId="77777777" w:rsidR="00FB10AA" w:rsidRPr="00A15B05" w:rsidRDefault="00FB10AA">
            <w:pPr>
              <w:jc w:val="left"/>
              <w:rPr>
                <w:rFonts w:ascii="KaiTi" w:eastAsia="KaiTi" w:hAnsi="KaiTi"/>
                <w:szCs w:val="24"/>
              </w:rPr>
            </w:pPr>
            <w:r w:rsidRPr="00A15B05">
              <w:rPr>
                <w:rFonts w:ascii="KaiTi" w:eastAsia="KaiTi" w:hAnsi="KaiTi" w:hint="eastAsia"/>
                <w:sz w:val="20"/>
                <w:szCs w:val="24"/>
                <w:lang w:val="zh-CN"/>
              </w:rPr>
              <w:t>活动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45E107EC" w14:textId="0C692C15" w:rsidR="00FB10AA" w:rsidRPr="00A15B05" w:rsidRDefault="00FB10AA">
            <w:pPr>
              <w:jc w:val="center"/>
              <w:rPr>
                <w:rFonts w:ascii="KaiTi" w:eastAsia="KaiTi" w:hAnsi="KaiTi"/>
                <w:szCs w:val="24"/>
              </w:rPr>
            </w:pPr>
            <w:r w:rsidRPr="00A15B05">
              <w:rPr>
                <w:rFonts w:ascii="KaiTi" w:eastAsia="KaiTi" w:hAnsi="KaiTi" w:hint="eastAsia"/>
                <w:sz w:val="20"/>
                <w:szCs w:val="24"/>
                <w:lang w:val="zh-CN"/>
              </w:rPr>
              <w:t>会议</w:t>
            </w:r>
            <w:r w:rsidR="00A15B05">
              <w:rPr>
                <w:rFonts w:ascii="KaiTi" w:eastAsia="KaiTi" w:hAnsi="KaiTi"/>
                <w:sz w:val="20"/>
                <w:szCs w:val="24"/>
                <w:lang w:val="zh-CN"/>
              </w:rPr>
              <w:br/>
            </w:r>
            <w:r w:rsidR="00A15B05">
              <w:rPr>
                <w:rFonts w:ascii="KaiTi" w:eastAsia="KaiTi" w:hAnsi="KaiTi" w:hint="eastAsia"/>
                <w:sz w:val="20"/>
                <w:szCs w:val="24"/>
                <w:lang w:val="zh-CN"/>
              </w:rPr>
              <w:t xml:space="preserve"> </w:t>
            </w:r>
            <w:r w:rsidRPr="00A15B05">
              <w:rPr>
                <w:rFonts w:ascii="KaiTi" w:eastAsia="KaiTi" w:hAnsi="KaiTi" w:hint="eastAsia"/>
                <w:sz w:val="20"/>
                <w:szCs w:val="24"/>
                <w:lang w:val="zh-CN"/>
              </w:rPr>
              <w:t>费用</w:t>
            </w:r>
            <w:r w:rsidRPr="00A15B05">
              <w:rPr>
                <w:rFonts w:ascii="KaiTi" w:eastAsia="KaiTi" w:hAnsi="KaiTi"/>
                <w:sz w:val="20"/>
                <w:szCs w:val="24"/>
                <w:vertAlign w:val="superscript"/>
                <w:lang w:val="zh-CN"/>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64F9D2E8" w14:textId="67FA92FE" w:rsidR="00FB10AA" w:rsidRPr="00A15B05" w:rsidRDefault="00FB10AA">
            <w:pPr>
              <w:jc w:val="center"/>
              <w:rPr>
                <w:rFonts w:ascii="KaiTi" w:eastAsia="KaiTi" w:hAnsi="KaiTi"/>
                <w:szCs w:val="24"/>
              </w:rPr>
            </w:pPr>
            <w:r w:rsidRPr="00A15B05">
              <w:rPr>
                <w:rFonts w:ascii="KaiTi" w:eastAsia="KaiTi" w:hAnsi="KaiTi" w:hint="eastAsia"/>
                <w:sz w:val="20"/>
                <w:szCs w:val="24"/>
                <w:lang w:val="zh-CN"/>
              </w:rPr>
              <w:t>工作人员差旅费</w:t>
            </w:r>
            <w:r w:rsidR="00A15B05">
              <w:rPr>
                <w:rFonts w:ascii="KaiTi" w:eastAsia="KaiTi" w:hAnsi="KaiTi" w:hint="eastAsia"/>
                <w:sz w:val="20"/>
                <w:szCs w:val="24"/>
                <w:lang w:val="zh-CN"/>
              </w:rPr>
              <w:t>用</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5F1CF6E1" w14:textId="6B5B1E5E" w:rsidR="00FB10AA" w:rsidRPr="00A15B05" w:rsidRDefault="00FB10AA">
            <w:pPr>
              <w:jc w:val="center"/>
              <w:rPr>
                <w:rFonts w:ascii="KaiTi" w:eastAsia="KaiTi" w:hAnsi="KaiTi"/>
                <w:szCs w:val="24"/>
              </w:rPr>
            </w:pPr>
            <w:r w:rsidRPr="00A15B05">
              <w:rPr>
                <w:rFonts w:ascii="KaiTi" w:eastAsia="KaiTi" w:hAnsi="KaiTi" w:hint="eastAsia"/>
                <w:sz w:val="20"/>
                <w:szCs w:val="24"/>
                <w:lang w:val="zh-CN"/>
              </w:rPr>
              <w:t>人事</w:t>
            </w:r>
            <w:r w:rsidR="00A15B05">
              <w:rPr>
                <w:rFonts w:ascii="KaiTi" w:eastAsia="KaiTi" w:hAnsi="KaiTi"/>
                <w:sz w:val="20"/>
                <w:szCs w:val="24"/>
                <w:lang w:val="zh-CN"/>
              </w:rPr>
              <w:br/>
            </w:r>
            <w:r w:rsidR="00A15B05">
              <w:rPr>
                <w:rFonts w:ascii="KaiTi" w:eastAsia="KaiTi" w:hAnsi="KaiTi" w:hint="eastAsia"/>
                <w:sz w:val="20"/>
                <w:szCs w:val="24"/>
                <w:lang w:val="zh-CN"/>
              </w:rPr>
              <w:t xml:space="preserve"> </w:t>
            </w:r>
            <w:r w:rsidRPr="00A15B05">
              <w:rPr>
                <w:rFonts w:ascii="KaiTi" w:eastAsia="KaiTi" w:hAnsi="KaiTi" w:hint="eastAsia"/>
                <w:sz w:val="20"/>
                <w:szCs w:val="24"/>
                <w:lang w:val="zh-CN"/>
              </w:rPr>
              <w:t>费</w:t>
            </w:r>
            <w:r w:rsidR="00A15B05">
              <w:rPr>
                <w:rFonts w:ascii="KaiTi" w:eastAsia="KaiTi" w:hAnsi="KaiTi" w:hint="eastAsia"/>
                <w:sz w:val="20"/>
                <w:szCs w:val="24"/>
                <w:lang w:val="zh-CN"/>
              </w:rPr>
              <w:t>用</w:t>
            </w:r>
            <w:r w:rsidRPr="00A15B05">
              <w:rPr>
                <w:rFonts w:ascii="KaiTi" w:eastAsia="KaiTi" w:hAnsi="KaiTi"/>
                <w:sz w:val="20"/>
                <w:szCs w:val="24"/>
                <w:vertAlign w:val="superscript"/>
                <w:lang w:val="zh-CN"/>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5380574" w14:textId="77777777" w:rsidR="00FB10AA" w:rsidRPr="00A15B05" w:rsidRDefault="00FB10AA">
            <w:pPr>
              <w:jc w:val="center"/>
              <w:rPr>
                <w:rFonts w:ascii="KaiTi" w:eastAsia="KaiTi" w:hAnsi="KaiTi"/>
                <w:szCs w:val="24"/>
              </w:rPr>
            </w:pPr>
            <w:r w:rsidRPr="00A15B05">
              <w:rPr>
                <w:rFonts w:ascii="KaiTi" w:eastAsia="KaiTi" w:hAnsi="KaiTi" w:hint="eastAsia"/>
                <w:sz w:val="20"/>
                <w:szCs w:val="24"/>
                <w:lang w:val="zh-CN"/>
              </w:rPr>
              <w:t>小计</w:t>
            </w:r>
          </w:p>
        </w:tc>
        <w:tc>
          <w:tcPr>
            <w:tcW w:w="646" w:type="pct"/>
            <w:tcBorders>
              <w:top w:val="single" w:sz="4" w:space="0" w:color="auto"/>
              <w:bottom w:val="single" w:sz="8" w:space="0" w:color="auto"/>
            </w:tcBorders>
            <w:noWrap/>
            <w:tcMar>
              <w:top w:w="0" w:type="dxa"/>
              <w:left w:w="108" w:type="dxa"/>
              <w:bottom w:w="0" w:type="dxa"/>
              <w:right w:w="108" w:type="dxa"/>
            </w:tcMar>
          </w:tcPr>
          <w:p w14:paraId="01362CAE" w14:textId="21A8E8E0" w:rsidR="00FB10AA" w:rsidRPr="00A15B05" w:rsidRDefault="00FB10AA">
            <w:pPr>
              <w:jc w:val="center"/>
              <w:rPr>
                <w:rFonts w:ascii="KaiTi" w:eastAsia="KaiTi" w:hAnsi="KaiTi"/>
                <w:szCs w:val="24"/>
              </w:rPr>
            </w:pPr>
            <w:r w:rsidRPr="00A15B05">
              <w:rPr>
                <w:rFonts w:ascii="KaiTi" w:eastAsia="KaiTi" w:hAnsi="KaiTi" w:hint="eastAsia"/>
                <w:sz w:val="20"/>
                <w:szCs w:val="24"/>
                <w:lang w:val="zh-CN"/>
              </w:rPr>
              <w:t>方案支助</w:t>
            </w:r>
            <w:r w:rsidR="00A15B05">
              <w:rPr>
                <w:rFonts w:ascii="KaiTi" w:eastAsia="KaiTi" w:hAnsi="KaiTi"/>
                <w:sz w:val="20"/>
                <w:szCs w:val="24"/>
                <w:lang w:val="zh-CN"/>
              </w:rPr>
              <w:br/>
            </w:r>
            <w:r w:rsidRPr="00A15B05">
              <w:rPr>
                <w:rFonts w:ascii="KaiTi" w:eastAsia="KaiTi" w:hAnsi="KaiTi" w:hint="eastAsia"/>
                <w:sz w:val="20"/>
                <w:szCs w:val="24"/>
                <w:lang w:val="zh-CN"/>
              </w:rPr>
              <w:t>费用（</w:t>
            </w:r>
            <w:r w:rsidRPr="00A15B05">
              <w:rPr>
                <w:rFonts w:ascii="KaiTi" w:eastAsia="KaiTi" w:hAnsi="KaiTi"/>
                <w:sz w:val="20"/>
                <w:szCs w:val="24"/>
                <w:lang w:val="zh-CN"/>
              </w:rPr>
              <w:t>13%</w:t>
            </w:r>
            <w:r w:rsidRPr="00A15B05">
              <w:rPr>
                <w:rFonts w:ascii="KaiTi" w:eastAsia="KaiTi" w:hAnsi="KaiTi" w:hint="eastAsia"/>
                <w:sz w:val="20"/>
                <w:szCs w:val="24"/>
                <w:lang w:val="zh-CN"/>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165CB44E" w14:textId="77777777" w:rsidR="00FB10AA" w:rsidRPr="00A15B05" w:rsidRDefault="00FB10AA">
            <w:pPr>
              <w:jc w:val="right"/>
              <w:rPr>
                <w:rFonts w:ascii="KaiTi" w:eastAsia="KaiTi" w:hAnsi="KaiTi"/>
                <w:szCs w:val="24"/>
              </w:rPr>
            </w:pPr>
            <w:r w:rsidRPr="00A15B05">
              <w:rPr>
                <w:rFonts w:ascii="KaiTi" w:eastAsia="KaiTi" w:hAnsi="KaiTi" w:hint="eastAsia"/>
                <w:sz w:val="20"/>
                <w:szCs w:val="24"/>
                <w:lang w:val="zh-CN"/>
              </w:rPr>
              <w:t>共计</w:t>
            </w:r>
          </w:p>
        </w:tc>
      </w:tr>
      <w:tr w:rsidR="00A166DA" w:rsidRPr="00402127" w14:paraId="524F1FC6" w14:textId="77777777" w:rsidTr="002538C1">
        <w:tblPrEx>
          <w:tblLook w:val="04A0" w:firstRow="1" w:lastRow="0" w:firstColumn="1" w:lastColumn="0" w:noHBand="0" w:noVBand="1"/>
        </w:tblPrEx>
        <w:trPr>
          <w:trHeight w:val="290"/>
        </w:trPr>
        <w:tc>
          <w:tcPr>
            <w:tcW w:w="217" w:type="pct"/>
            <w:tcBorders>
              <w:top w:val="single" w:sz="8" w:space="0" w:color="auto"/>
            </w:tcBorders>
          </w:tcPr>
          <w:p w14:paraId="011EB239" w14:textId="77777777" w:rsidR="00A166DA" w:rsidRPr="004E4ADE" w:rsidRDefault="00A166DA" w:rsidP="002538C1">
            <w:pPr>
              <w:rPr>
                <w:sz w:val="20"/>
                <w:szCs w:val="20"/>
              </w:rPr>
            </w:pPr>
            <w:r w:rsidRPr="004E4ADE">
              <w:rPr>
                <w:sz w:val="20"/>
                <w:szCs w:val="20"/>
              </w:rPr>
              <w:t>6 (a)</w:t>
            </w:r>
          </w:p>
        </w:tc>
        <w:tc>
          <w:tcPr>
            <w:tcW w:w="1712" w:type="pct"/>
            <w:tcBorders>
              <w:top w:val="single" w:sz="8" w:space="0" w:color="auto"/>
            </w:tcBorders>
            <w:noWrap/>
            <w:tcMar>
              <w:top w:w="0" w:type="dxa"/>
              <w:left w:w="108" w:type="dxa"/>
              <w:bottom w:w="0" w:type="dxa"/>
              <w:right w:w="108" w:type="dxa"/>
            </w:tcMar>
            <w:vAlign w:val="center"/>
            <w:hideMark/>
          </w:tcPr>
          <w:p w14:paraId="11A7E736" w14:textId="71735DE9" w:rsidR="00A166DA" w:rsidRPr="004E4ADE" w:rsidRDefault="00A166DA" w:rsidP="002538C1">
            <w:pPr>
              <w:jc w:val="left"/>
              <w:rPr>
                <w:sz w:val="20"/>
                <w:szCs w:val="20"/>
              </w:rPr>
            </w:pPr>
            <w:r>
              <w:rPr>
                <w:rFonts w:ascii="SimSun" w:hint="eastAsia"/>
                <w:sz w:val="20"/>
                <w:szCs w:val="24"/>
                <w:lang w:val="zh-CN"/>
              </w:rPr>
              <w:t>提高对全球指导意见的认识并促进其使用</w:t>
            </w:r>
          </w:p>
          <w:p w14:paraId="715DC66D" w14:textId="77777777" w:rsidR="00A166DA" w:rsidRPr="004E4ADE" w:rsidRDefault="00A166DA" w:rsidP="002538C1">
            <w:pPr>
              <w:jc w:val="left"/>
              <w:rPr>
                <w:sz w:val="20"/>
                <w:szCs w:val="20"/>
              </w:rPr>
            </w:pPr>
          </w:p>
        </w:tc>
        <w:tc>
          <w:tcPr>
            <w:tcW w:w="509" w:type="pct"/>
            <w:tcBorders>
              <w:top w:val="single" w:sz="8" w:space="0" w:color="auto"/>
            </w:tcBorders>
            <w:noWrap/>
            <w:tcMar>
              <w:top w:w="0" w:type="dxa"/>
              <w:left w:w="108" w:type="dxa"/>
              <w:bottom w:w="0" w:type="dxa"/>
              <w:right w:w="108" w:type="dxa"/>
            </w:tcMar>
            <w:vAlign w:val="bottom"/>
            <w:hideMark/>
          </w:tcPr>
          <w:p w14:paraId="359237B3" w14:textId="77777777" w:rsidR="00A166DA" w:rsidRPr="004E4ADE" w:rsidRDefault="00A166DA" w:rsidP="002538C1">
            <w:pPr>
              <w:jc w:val="right"/>
              <w:rPr>
                <w:sz w:val="20"/>
                <w:szCs w:val="20"/>
              </w:rPr>
            </w:pPr>
            <w:r w:rsidRPr="004E4ADE">
              <w:rPr>
                <w:sz w:val="20"/>
                <w:szCs w:val="20"/>
              </w:rPr>
              <w:t>28 000</w:t>
            </w:r>
          </w:p>
        </w:tc>
        <w:tc>
          <w:tcPr>
            <w:tcW w:w="447" w:type="pct"/>
            <w:tcBorders>
              <w:top w:val="single" w:sz="8" w:space="0" w:color="auto"/>
            </w:tcBorders>
            <w:noWrap/>
            <w:tcMar>
              <w:top w:w="0" w:type="dxa"/>
              <w:left w:w="108" w:type="dxa"/>
              <w:bottom w:w="0" w:type="dxa"/>
              <w:right w:w="108" w:type="dxa"/>
            </w:tcMar>
            <w:vAlign w:val="bottom"/>
            <w:hideMark/>
          </w:tcPr>
          <w:p w14:paraId="456FA611" w14:textId="77777777" w:rsidR="00A166DA" w:rsidRPr="004E4ADE" w:rsidRDefault="00A166DA" w:rsidP="002538C1">
            <w:pPr>
              <w:jc w:val="right"/>
              <w:rPr>
                <w:sz w:val="20"/>
                <w:szCs w:val="20"/>
              </w:rPr>
            </w:pPr>
            <w:r w:rsidRPr="004E4ADE">
              <w:rPr>
                <w:sz w:val="20"/>
                <w:szCs w:val="20"/>
              </w:rPr>
              <w:t>31 500</w:t>
            </w:r>
          </w:p>
        </w:tc>
        <w:tc>
          <w:tcPr>
            <w:tcW w:w="448" w:type="pct"/>
            <w:tcBorders>
              <w:top w:val="single" w:sz="8" w:space="0" w:color="auto"/>
            </w:tcBorders>
            <w:noWrap/>
            <w:tcMar>
              <w:top w:w="0" w:type="dxa"/>
              <w:left w:w="108" w:type="dxa"/>
              <w:bottom w:w="0" w:type="dxa"/>
              <w:right w:w="108" w:type="dxa"/>
            </w:tcMar>
            <w:vAlign w:val="bottom"/>
            <w:hideMark/>
          </w:tcPr>
          <w:p w14:paraId="6742C46C" w14:textId="77777777" w:rsidR="00A166DA" w:rsidRPr="004E4ADE" w:rsidRDefault="00A166DA" w:rsidP="002538C1">
            <w:pPr>
              <w:jc w:val="right"/>
              <w:rPr>
                <w:sz w:val="20"/>
                <w:szCs w:val="20"/>
              </w:rPr>
            </w:pPr>
            <w:r w:rsidRPr="004E4ADE">
              <w:rPr>
                <w:sz w:val="20"/>
                <w:szCs w:val="20"/>
              </w:rPr>
              <w:t>63 000</w:t>
            </w:r>
          </w:p>
        </w:tc>
        <w:tc>
          <w:tcPr>
            <w:tcW w:w="451" w:type="pct"/>
            <w:tcBorders>
              <w:top w:val="single" w:sz="8" w:space="0" w:color="auto"/>
            </w:tcBorders>
            <w:noWrap/>
            <w:tcMar>
              <w:top w:w="0" w:type="dxa"/>
              <w:left w:w="108" w:type="dxa"/>
              <w:bottom w:w="0" w:type="dxa"/>
              <w:right w:w="108" w:type="dxa"/>
            </w:tcMar>
            <w:vAlign w:val="bottom"/>
            <w:hideMark/>
          </w:tcPr>
          <w:p w14:paraId="077652CE" w14:textId="77777777" w:rsidR="00A166DA" w:rsidRPr="004E4ADE" w:rsidRDefault="00A166DA" w:rsidP="002538C1">
            <w:pPr>
              <w:jc w:val="right"/>
              <w:rPr>
                <w:sz w:val="20"/>
                <w:szCs w:val="20"/>
              </w:rPr>
            </w:pPr>
            <w:r w:rsidRPr="004E4ADE">
              <w:rPr>
                <w:sz w:val="20"/>
                <w:szCs w:val="20"/>
              </w:rPr>
              <w:t>122 500</w:t>
            </w:r>
          </w:p>
        </w:tc>
        <w:tc>
          <w:tcPr>
            <w:tcW w:w="646" w:type="pct"/>
            <w:tcBorders>
              <w:top w:val="single" w:sz="8" w:space="0" w:color="auto"/>
            </w:tcBorders>
            <w:noWrap/>
            <w:tcMar>
              <w:top w:w="0" w:type="dxa"/>
              <w:left w:w="108" w:type="dxa"/>
              <w:bottom w:w="0" w:type="dxa"/>
              <w:right w:w="108" w:type="dxa"/>
            </w:tcMar>
            <w:vAlign w:val="bottom"/>
            <w:hideMark/>
          </w:tcPr>
          <w:p w14:paraId="61536E11" w14:textId="77777777" w:rsidR="00A166DA" w:rsidRPr="004E4ADE" w:rsidRDefault="00A166DA" w:rsidP="002538C1">
            <w:pPr>
              <w:jc w:val="right"/>
              <w:rPr>
                <w:sz w:val="20"/>
                <w:szCs w:val="20"/>
              </w:rPr>
            </w:pPr>
            <w:r w:rsidRPr="004E4ADE">
              <w:rPr>
                <w:sz w:val="20"/>
                <w:szCs w:val="20"/>
              </w:rPr>
              <w:t>15 925</w:t>
            </w:r>
          </w:p>
        </w:tc>
        <w:tc>
          <w:tcPr>
            <w:tcW w:w="570" w:type="pct"/>
            <w:tcBorders>
              <w:top w:val="single" w:sz="8" w:space="0" w:color="auto"/>
            </w:tcBorders>
            <w:noWrap/>
            <w:tcMar>
              <w:top w:w="0" w:type="dxa"/>
              <w:left w:w="108" w:type="dxa"/>
              <w:bottom w:w="0" w:type="dxa"/>
              <w:right w:w="108" w:type="dxa"/>
            </w:tcMar>
            <w:vAlign w:val="bottom"/>
            <w:hideMark/>
          </w:tcPr>
          <w:p w14:paraId="58B27C15" w14:textId="77777777" w:rsidR="00A166DA" w:rsidRPr="004E4ADE" w:rsidRDefault="00A166DA" w:rsidP="002538C1">
            <w:pPr>
              <w:jc w:val="right"/>
              <w:rPr>
                <w:sz w:val="20"/>
                <w:szCs w:val="20"/>
              </w:rPr>
            </w:pPr>
            <w:r w:rsidRPr="004E4ADE">
              <w:rPr>
                <w:sz w:val="20"/>
                <w:szCs w:val="20"/>
              </w:rPr>
              <w:t>138 425</w:t>
            </w:r>
          </w:p>
        </w:tc>
      </w:tr>
      <w:tr w:rsidR="00A166DA" w:rsidRPr="00402127" w14:paraId="5BC1E616" w14:textId="77777777" w:rsidTr="002538C1">
        <w:tblPrEx>
          <w:tblLook w:val="04A0" w:firstRow="1" w:lastRow="0" w:firstColumn="1" w:lastColumn="0" w:noHBand="0" w:noVBand="1"/>
        </w:tblPrEx>
        <w:trPr>
          <w:trHeight w:val="290"/>
        </w:trPr>
        <w:tc>
          <w:tcPr>
            <w:tcW w:w="217" w:type="pct"/>
          </w:tcPr>
          <w:p w14:paraId="4082C938" w14:textId="77777777" w:rsidR="00A166DA" w:rsidRPr="004E4ADE" w:rsidRDefault="00A166DA" w:rsidP="002538C1">
            <w:pPr>
              <w:rPr>
                <w:sz w:val="20"/>
                <w:szCs w:val="20"/>
              </w:rPr>
            </w:pPr>
            <w:r w:rsidRPr="004E4ADE">
              <w:rPr>
                <w:sz w:val="20"/>
                <w:szCs w:val="20"/>
              </w:rPr>
              <w:t xml:space="preserve">6 (b) </w:t>
            </w:r>
          </w:p>
        </w:tc>
        <w:tc>
          <w:tcPr>
            <w:tcW w:w="1712" w:type="pct"/>
            <w:noWrap/>
            <w:tcMar>
              <w:top w:w="0" w:type="dxa"/>
              <w:left w:w="108" w:type="dxa"/>
              <w:bottom w:w="0" w:type="dxa"/>
              <w:right w:w="108" w:type="dxa"/>
            </w:tcMar>
            <w:vAlign w:val="bottom"/>
          </w:tcPr>
          <w:p w14:paraId="746E3E76" w14:textId="59C84CD6" w:rsidR="00A166DA" w:rsidRPr="00402127" w:rsidRDefault="00A166DA" w:rsidP="002538C1">
            <w:pPr>
              <w:jc w:val="left"/>
              <w:rPr>
                <w:sz w:val="20"/>
                <w:szCs w:val="20"/>
              </w:rPr>
            </w:pPr>
            <w:r>
              <w:rPr>
                <w:rFonts w:ascii="SimSun" w:hint="eastAsia"/>
                <w:sz w:val="20"/>
                <w:szCs w:val="24"/>
                <w:lang w:val="zh-CN"/>
              </w:rPr>
              <w:t>促进交流关于监测、适应性管理、保障措施、参与性治理和公平惠益分享方面的经验、工具和教训</w:t>
            </w:r>
          </w:p>
        </w:tc>
        <w:tc>
          <w:tcPr>
            <w:tcW w:w="509" w:type="pct"/>
            <w:noWrap/>
            <w:tcMar>
              <w:top w:w="0" w:type="dxa"/>
              <w:left w:w="108" w:type="dxa"/>
              <w:bottom w:w="0" w:type="dxa"/>
              <w:right w:w="108" w:type="dxa"/>
            </w:tcMar>
            <w:vAlign w:val="bottom"/>
          </w:tcPr>
          <w:p w14:paraId="445F1BE5" w14:textId="77777777" w:rsidR="00A166DA" w:rsidRPr="00402127" w:rsidRDefault="00A166DA" w:rsidP="002538C1">
            <w:pPr>
              <w:jc w:val="right"/>
            </w:pPr>
            <w:r w:rsidRPr="00402127">
              <w:sym w:font="Symbol" w:char="F02D"/>
            </w:r>
          </w:p>
        </w:tc>
        <w:tc>
          <w:tcPr>
            <w:tcW w:w="447" w:type="pct"/>
            <w:noWrap/>
            <w:tcMar>
              <w:top w:w="0" w:type="dxa"/>
              <w:left w:w="108" w:type="dxa"/>
              <w:bottom w:w="0" w:type="dxa"/>
              <w:right w:w="108" w:type="dxa"/>
            </w:tcMar>
            <w:vAlign w:val="bottom"/>
          </w:tcPr>
          <w:p w14:paraId="0FBDF0BE" w14:textId="77777777" w:rsidR="00A166DA" w:rsidRPr="00402127" w:rsidRDefault="00A166DA" w:rsidP="002538C1">
            <w:pPr>
              <w:jc w:val="right"/>
            </w:pPr>
            <w:r w:rsidRPr="00402127">
              <w:sym w:font="Symbol" w:char="F02D"/>
            </w:r>
          </w:p>
        </w:tc>
        <w:tc>
          <w:tcPr>
            <w:tcW w:w="448" w:type="pct"/>
            <w:noWrap/>
            <w:tcMar>
              <w:top w:w="0" w:type="dxa"/>
              <w:left w:w="108" w:type="dxa"/>
              <w:bottom w:w="0" w:type="dxa"/>
              <w:right w:w="108" w:type="dxa"/>
            </w:tcMar>
            <w:vAlign w:val="bottom"/>
          </w:tcPr>
          <w:p w14:paraId="04C9669E" w14:textId="77777777" w:rsidR="00A166DA" w:rsidRPr="004E4ADE" w:rsidRDefault="00A166DA" w:rsidP="002538C1">
            <w:pPr>
              <w:jc w:val="right"/>
              <w:rPr>
                <w:sz w:val="20"/>
                <w:szCs w:val="20"/>
              </w:rPr>
            </w:pPr>
            <w:r w:rsidRPr="004E4ADE">
              <w:rPr>
                <w:sz w:val="20"/>
                <w:szCs w:val="20"/>
              </w:rPr>
              <w:t>54 000</w:t>
            </w:r>
          </w:p>
        </w:tc>
        <w:tc>
          <w:tcPr>
            <w:tcW w:w="451" w:type="pct"/>
            <w:noWrap/>
            <w:tcMar>
              <w:top w:w="0" w:type="dxa"/>
              <w:left w:w="108" w:type="dxa"/>
              <w:bottom w:w="0" w:type="dxa"/>
              <w:right w:w="108" w:type="dxa"/>
            </w:tcMar>
            <w:vAlign w:val="bottom"/>
          </w:tcPr>
          <w:p w14:paraId="3D727AB7" w14:textId="77777777" w:rsidR="00A166DA" w:rsidRPr="004E4ADE" w:rsidRDefault="00A166DA" w:rsidP="002538C1">
            <w:pPr>
              <w:jc w:val="right"/>
              <w:rPr>
                <w:sz w:val="20"/>
                <w:szCs w:val="20"/>
              </w:rPr>
            </w:pPr>
            <w:r w:rsidRPr="004E4ADE">
              <w:rPr>
                <w:sz w:val="20"/>
                <w:szCs w:val="20"/>
              </w:rPr>
              <w:t>54 000</w:t>
            </w:r>
          </w:p>
        </w:tc>
        <w:tc>
          <w:tcPr>
            <w:tcW w:w="646" w:type="pct"/>
            <w:noWrap/>
            <w:tcMar>
              <w:top w:w="0" w:type="dxa"/>
              <w:left w:w="108" w:type="dxa"/>
              <w:bottom w:w="0" w:type="dxa"/>
              <w:right w:w="108" w:type="dxa"/>
            </w:tcMar>
            <w:vAlign w:val="bottom"/>
          </w:tcPr>
          <w:p w14:paraId="6BDA849C" w14:textId="77777777" w:rsidR="00A166DA" w:rsidRPr="00402127" w:rsidRDefault="00A166DA" w:rsidP="002538C1">
            <w:pPr>
              <w:jc w:val="right"/>
              <w:rPr>
                <w:sz w:val="20"/>
                <w:szCs w:val="20"/>
              </w:rPr>
            </w:pPr>
            <w:r w:rsidRPr="00402127">
              <w:rPr>
                <w:sz w:val="20"/>
                <w:szCs w:val="20"/>
              </w:rPr>
              <w:t>7 020</w:t>
            </w:r>
          </w:p>
        </w:tc>
        <w:tc>
          <w:tcPr>
            <w:tcW w:w="570" w:type="pct"/>
            <w:noWrap/>
            <w:tcMar>
              <w:top w:w="0" w:type="dxa"/>
              <w:left w:w="108" w:type="dxa"/>
              <w:bottom w:w="0" w:type="dxa"/>
              <w:right w:w="108" w:type="dxa"/>
            </w:tcMar>
            <w:vAlign w:val="bottom"/>
          </w:tcPr>
          <w:p w14:paraId="391E5579" w14:textId="77777777" w:rsidR="00A166DA" w:rsidRPr="00402127" w:rsidRDefault="00A166DA" w:rsidP="002538C1">
            <w:pPr>
              <w:jc w:val="right"/>
              <w:rPr>
                <w:sz w:val="20"/>
                <w:szCs w:val="20"/>
              </w:rPr>
            </w:pPr>
            <w:r w:rsidRPr="00402127">
              <w:rPr>
                <w:sz w:val="20"/>
                <w:szCs w:val="20"/>
              </w:rPr>
              <w:t>61 020</w:t>
            </w:r>
          </w:p>
        </w:tc>
      </w:tr>
      <w:tr w:rsidR="00A166DA" w:rsidRPr="00402127" w14:paraId="771B4F3C" w14:textId="77777777" w:rsidTr="002538C1">
        <w:tblPrEx>
          <w:tblLook w:val="04A0" w:firstRow="1" w:lastRow="0" w:firstColumn="1" w:lastColumn="0" w:noHBand="0" w:noVBand="1"/>
        </w:tblPrEx>
        <w:trPr>
          <w:trHeight w:val="290"/>
        </w:trPr>
        <w:tc>
          <w:tcPr>
            <w:tcW w:w="217" w:type="pct"/>
            <w:tcBorders>
              <w:bottom w:val="single" w:sz="4" w:space="0" w:color="auto"/>
            </w:tcBorders>
          </w:tcPr>
          <w:p w14:paraId="38A4BFBF" w14:textId="77777777" w:rsidR="00A166DA" w:rsidRPr="004E4ADE" w:rsidRDefault="00A166DA" w:rsidP="002538C1">
            <w:pPr>
              <w:rPr>
                <w:sz w:val="20"/>
                <w:szCs w:val="20"/>
              </w:rPr>
            </w:pPr>
            <w:r w:rsidRPr="004E4ADE">
              <w:rPr>
                <w:sz w:val="20"/>
                <w:szCs w:val="20"/>
              </w:rPr>
              <w:t>6 (c)</w:t>
            </w:r>
          </w:p>
        </w:tc>
        <w:tc>
          <w:tcPr>
            <w:tcW w:w="1712" w:type="pct"/>
            <w:tcBorders>
              <w:bottom w:val="single" w:sz="4" w:space="0" w:color="auto"/>
            </w:tcBorders>
            <w:noWrap/>
            <w:tcMar>
              <w:top w:w="0" w:type="dxa"/>
              <w:left w:w="108" w:type="dxa"/>
              <w:bottom w:w="0" w:type="dxa"/>
              <w:right w:w="108" w:type="dxa"/>
            </w:tcMar>
            <w:vAlign w:val="bottom"/>
          </w:tcPr>
          <w:p w14:paraId="235CCF7D" w14:textId="3B0E8BE0" w:rsidR="00A166DA" w:rsidRPr="00402127" w:rsidRDefault="00A166DA" w:rsidP="002538C1">
            <w:pPr>
              <w:jc w:val="left"/>
              <w:rPr>
                <w:sz w:val="20"/>
                <w:szCs w:val="20"/>
              </w:rPr>
            </w:pPr>
            <w:r>
              <w:rPr>
                <w:rFonts w:ascii="SimSun" w:hint="eastAsia"/>
                <w:sz w:val="20"/>
                <w:szCs w:val="24"/>
                <w:lang w:val="zh-CN"/>
              </w:rPr>
              <w:t>汇编决定草案第</w:t>
            </w:r>
            <w:r>
              <w:rPr>
                <w:sz w:val="20"/>
                <w:szCs w:val="24"/>
              </w:rPr>
              <w:t>5</w:t>
            </w:r>
            <w:r>
              <w:rPr>
                <w:rFonts w:ascii="SimSun" w:hint="eastAsia"/>
                <w:sz w:val="20"/>
                <w:szCs w:val="24"/>
                <w:lang w:val="zh-CN"/>
              </w:rPr>
              <w:t>段所述信息</w:t>
            </w:r>
            <w:r>
              <w:rPr>
                <w:rFonts w:ascii="SimSun" w:hint="eastAsia"/>
                <w:sz w:val="20"/>
                <w:szCs w:val="24"/>
              </w:rPr>
              <w:t>，</w:t>
            </w:r>
            <w:r>
              <w:rPr>
                <w:rFonts w:ascii="SimSun" w:hint="eastAsia"/>
                <w:sz w:val="20"/>
                <w:szCs w:val="24"/>
                <w:lang w:val="zh-CN"/>
              </w:rPr>
              <w:t>并通过信息交换</w:t>
            </w:r>
            <w:proofErr w:type="gramStart"/>
            <w:r>
              <w:rPr>
                <w:rFonts w:ascii="SimSun" w:hint="eastAsia"/>
                <w:sz w:val="20"/>
                <w:szCs w:val="24"/>
                <w:lang w:val="zh-CN"/>
              </w:rPr>
              <w:t>所机制</w:t>
            </w:r>
            <w:proofErr w:type="gramEnd"/>
            <w:r>
              <w:rPr>
                <w:rFonts w:ascii="SimSun" w:hint="eastAsia"/>
                <w:sz w:val="20"/>
                <w:szCs w:val="24"/>
                <w:lang w:val="zh-CN"/>
              </w:rPr>
              <w:t>和其他适当方法提供</w:t>
            </w:r>
          </w:p>
        </w:tc>
        <w:tc>
          <w:tcPr>
            <w:tcW w:w="509" w:type="pct"/>
            <w:tcBorders>
              <w:bottom w:val="single" w:sz="4" w:space="0" w:color="auto"/>
            </w:tcBorders>
            <w:noWrap/>
            <w:tcMar>
              <w:top w:w="0" w:type="dxa"/>
              <w:left w:w="108" w:type="dxa"/>
              <w:bottom w:w="0" w:type="dxa"/>
              <w:right w:w="108" w:type="dxa"/>
            </w:tcMar>
            <w:vAlign w:val="bottom"/>
          </w:tcPr>
          <w:p w14:paraId="3A90C4BA" w14:textId="77777777" w:rsidR="00A166DA" w:rsidRPr="00402127" w:rsidRDefault="00A166DA" w:rsidP="002538C1">
            <w:pPr>
              <w:jc w:val="right"/>
            </w:pPr>
            <w:r w:rsidRPr="00402127">
              <w:sym w:font="Symbol" w:char="F02D"/>
            </w:r>
          </w:p>
        </w:tc>
        <w:tc>
          <w:tcPr>
            <w:tcW w:w="447" w:type="pct"/>
            <w:tcBorders>
              <w:bottom w:val="single" w:sz="4" w:space="0" w:color="auto"/>
            </w:tcBorders>
            <w:noWrap/>
            <w:tcMar>
              <w:top w:w="0" w:type="dxa"/>
              <w:left w:w="108" w:type="dxa"/>
              <w:bottom w:w="0" w:type="dxa"/>
              <w:right w:w="108" w:type="dxa"/>
            </w:tcMar>
            <w:vAlign w:val="bottom"/>
          </w:tcPr>
          <w:p w14:paraId="5ED7F700" w14:textId="77777777" w:rsidR="00A166DA" w:rsidRPr="00402127" w:rsidRDefault="00A166DA" w:rsidP="002538C1">
            <w:pPr>
              <w:jc w:val="right"/>
            </w:pPr>
            <w:r w:rsidRPr="00402127">
              <w:sym w:font="Symbol" w:char="F02D"/>
            </w:r>
          </w:p>
        </w:tc>
        <w:tc>
          <w:tcPr>
            <w:tcW w:w="448" w:type="pct"/>
            <w:tcBorders>
              <w:bottom w:val="single" w:sz="4" w:space="0" w:color="auto"/>
            </w:tcBorders>
            <w:noWrap/>
            <w:tcMar>
              <w:top w:w="0" w:type="dxa"/>
              <w:left w:w="108" w:type="dxa"/>
              <w:bottom w:w="0" w:type="dxa"/>
              <w:right w:w="108" w:type="dxa"/>
            </w:tcMar>
            <w:vAlign w:val="bottom"/>
          </w:tcPr>
          <w:p w14:paraId="1E2B9644" w14:textId="77777777" w:rsidR="00A166DA" w:rsidRPr="004E4ADE" w:rsidRDefault="00A166DA" w:rsidP="002538C1">
            <w:pPr>
              <w:jc w:val="right"/>
              <w:rPr>
                <w:sz w:val="20"/>
                <w:szCs w:val="20"/>
              </w:rPr>
            </w:pPr>
            <w:r w:rsidRPr="004E4ADE">
              <w:rPr>
                <w:sz w:val="20"/>
                <w:szCs w:val="20"/>
              </w:rPr>
              <w:t>36 000</w:t>
            </w:r>
          </w:p>
        </w:tc>
        <w:tc>
          <w:tcPr>
            <w:tcW w:w="451" w:type="pct"/>
            <w:tcBorders>
              <w:bottom w:val="single" w:sz="4" w:space="0" w:color="auto"/>
            </w:tcBorders>
            <w:noWrap/>
            <w:tcMar>
              <w:top w:w="0" w:type="dxa"/>
              <w:left w:w="108" w:type="dxa"/>
              <w:bottom w:w="0" w:type="dxa"/>
              <w:right w:w="108" w:type="dxa"/>
            </w:tcMar>
            <w:vAlign w:val="bottom"/>
          </w:tcPr>
          <w:p w14:paraId="09306B53" w14:textId="77777777" w:rsidR="00A166DA" w:rsidRPr="004E4ADE" w:rsidRDefault="00A166DA" w:rsidP="002538C1">
            <w:pPr>
              <w:jc w:val="right"/>
              <w:rPr>
                <w:sz w:val="20"/>
                <w:szCs w:val="20"/>
              </w:rPr>
            </w:pPr>
            <w:r w:rsidRPr="004E4ADE">
              <w:rPr>
                <w:sz w:val="20"/>
                <w:szCs w:val="20"/>
              </w:rPr>
              <w:t>36 000</w:t>
            </w:r>
          </w:p>
        </w:tc>
        <w:tc>
          <w:tcPr>
            <w:tcW w:w="646" w:type="pct"/>
            <w:tcBorders>
              <w:bottom w:val="single" w:sz="4" w:space="0" w:color="auto"/>
            </w:tcBorders>
            <w:noWrap/>
            <w:tcMar>
              <w:top w:w="0" w:type="dxa"/>
              <w:left w:w="108" w:type="dxa"/>
              <w:bottom w:w="0" w:type="dxa"/>
              <w:right w:w="108" w:type="dxa"/>
            </w:tcMar>
            <w:vAlign w:val="bottom"/>
          </w:tcPr>
          <w:p w14:paraId="2192009B" w14:textId="77777777" w:rsidR="00A166DA" w:rsidRPr="00402127" w:rsidRDefault="00A166DA" w:rsidP="002538C1">
            <w:pPr>
              <w:jc w:val="right"/>
              <w:rPr>
                <w:sz w:val="20"/>
                <w:szCs w:val="20"/>
              </w:rPr>
            </w:pPr>
            <w:r w:rsidRPr="00402127">
              <w:rPr>
                <w:sz w:val="20"/>
                <w:szCs w:val="20"/>
              </w:rPr>
              <w:t>4 680</w:t>
            </w:r>
          </w:p>
        </w:tc>
        <w:tc>
          <w:tcPr>
            <w:tcW w:w="570" w:type="pct"/>
            <w:tcBorders>
              <w:bottom w:val="single" w:sz="4" w:space="0" w:color="auto"/>
            </w:tcBorders>
            <w:noWrap/>
            <w:tcMar>
              <w:top w:w="0" w:type="dxa"/>
              <w:left w:w="108" w:type="dxa"/>
              <w:bottom w:w="0" w:type="dxa"/>
              <w:right w:w="108" w:type="dxa"/>
            </w:tcMar>
            <w:vAlign w:val="bottom"/>
          </w:tcPr>
          <w:p w14:paraId="792E0FA6" w14:textId="77777777" w:rsidR="00A166DA" w:rsidRPr="00402127" w:rsidRDefault="00A166DA" w:rsidP="002538C1">
            <w:pPr>
              <w:jc w:val="right"/>
              <w:rPr>
                <w:sz w:val="20"/>
                <w:szCs w:val="20"/>
              </w:rPr>
            </w:pPr>
            <w:r w:rsidRPr="00402127">
              <w:rPr>
                <w:sz w:val="20"/>
                <w:szCs w:val="20"/>
              </w:rPr>
              <w:t>40 680</w:t>
            </w:r>
          </w:p>
        </w:tc>
      </w:tr>
      <w:tr w:rsidR="00A166DA" w:rsidRPr="00402127" w14:paraId="2FA63F0A" w14:textId="77777777" w:rsidTr="002538C1">
        <w:tblPrEx>
          <w:tblLook w:val="04A0" w:firstRow="1" w:lastRow="0" w:firstColumn="1" w:lastColumn="0" w:noHBand="0" w:noVBand="1"/>
        </w:tblPrEx>
        <w:trPr>
          <w:trHeight w:val="290"/>
        </w:trPr>
        <w:tc>
          <w:tcPr>
            <w:tcW w:w="217" w:type="pct"/>
            <w:tcBorders>
              <w:top w:val="single" w:sz="4" w:space="0" w:color="auto"/>
              <w:bottom w:val="single" w:sz="8" w:space="0" w:color="auto"/>
            </w:tcBorders>
          </w:tcPr>
          <w:p w14:paraId="6DBB9B6B" w14:textId="77777777" w:rsidR="00A166DA" w:rsidRPr="004E4ADE" w:rsidRDefault="00A166DA" w:rsidP="002538C1">
            <w:pPr>
              <w:rPr>
                <w:b/>
                <w:bCs/>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514643FE" w14:textId="702EC500" w:rsidR="00A166DA" w:rsidRPr="00402127" w:rsidRDefault="00A166DA" w:rsidP="002538C1">
            <w:pPr>
              <w:tabs>
                <w:tab w:val="clear" w:pos="567"/>
                <w:tab w:val="left" w:pos="230"/>
              </w:tabs>
              <w:jc w:val="left"/>
              <w:rPr>
                <w:b/>
                <w:bCs/>
                <w:sz w:val="20"/>
                <w:szCs w:val="20"/>
              </w:rPr>
            </w:pPr>
            <w:r w:rsidRPr="004E4ADE">
              <w:rPr>
                <w:b/>
                <w:bCs/>
                <w:sz w:val="20"/>
                <w:szCs w:val="20"/>
              </w:rPr>
              <w:tab/>
            </w:r>
            <w:r w:rsidR="0011320E">
              <w:rPr>
                <w:rFonts w:hint="eastAsia"/>
                <w:b/>
                <w:bCs/>
                <w:sz w:val="20"/>
                <w:szCs w:val="20"/>
              </w:rPr>
              <w:t>共计</w:t>
            </w:r>
          </w:p>
        </w:tc>
        <w:tc>
          <w:tcPr>
            <w:tcW w:w="1404" w:type="pct"/>
            <w:gridSpan w:val="3"/>
            <w:tcBorders>
              <w:top w:val="single" w:sz="4" w:space="0" w:color="auto"/>
              <w:bottom w:val="single" w:sz="8" w:space="0" w:color="auto"/>
            </w:tcBorders>
            <w:vAlign w:val="bottom"/>
          </w:tcPr>
          <w:p w14:paraId="0FAB4550" w14:textId="77777777" w:rsidR="00A166DA" w:rsidRPr="004E4ADE" w:rsidRDefault="00A166DA" w:rsidP="002538C1">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88EBFF7" w14:textId="77777777" w:rsidR="00A166DA" w:rsidRPr="00402127" w:rsidRDefault="00A166DA" w:rsidP="002538C1">
            <w:pPr>
              <w:jc w:val="right"/>
              <w:rPr>
                <w:b/>
                <w:bCs/>
                <w:sz w:val="20"/>
                <w:szCs w:val="20"/>
              </w:rPr>
            </w:pPr>
            <w:r w:rsidRPr="00402127">
              <w:rPr>
                <w:b/>
                <w:bCs/>
                <w:sz w:val="20"/>
                <w:szCs w:val="20"/>
              </w:rPr>
              <w:t>212 500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57673F85" w14:textId="77777777" w:rsidR="00A166DA" w:rsidRPr="00402127" w:rsidRDefault="00A166DA" w:rsidP="002538C1">
            <w:pPr>
              <w:jc w:val="right"/>
              <w:rPr>
                <w:b/>
                <w:bCs/>
                <w:sz w:val="20"/>
                <w:szCs w:val="20"/>
              </w:rPr>
            </w:pPr>
            <w:r w:rsidRPr="00402127">
              <w:rPr>
                <w:b/>
                <w:bCs/>
                <w:sz w:val="20"/>
                <w:szCs w:val="20"/>
              </w:rPr>
              <w:t>27 625</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EFCB486" w14:textId="77777777" w:rsidR="00A166DA" w:rsidRPr="00402127" w:rsidRDefault="00A166DA" w:rsidP="002538C1">
            <w:pPr>
              <w:ind w:right="-22"/>
              <w:jc w:val="right"/>
              <w:rPr>
                <w:b/>
                <w:bCs/>
                <w:sz w:val="20"/>
                <w:szCs w:val="20"/>
              </w:rPr>
            </w:pPr>
            <w:r w:rsidRPr="00402127">
              <w:rPr>
                <w:b/>
                <w:bCs/>
                <w:sz w:val="20"/>
                <w:szCs w:val="20"/>
              </w:rPr>
              <w:t>240 125</w:t>
            </w:r>
          </w:p>
        </w:tc>
      </w:tr>
    </w:tbl>
    <w:p w14:paraId="51A0FB9E" w14:textId="56D00E22" w:rsidR="00FB10AA" w:rsidRDefault="0011320E">
      <w:pPr>
        <w:spacing w:before="120"/>
        <w:ind w:firstLine="567"/>
        <w:rPr>
          <w:szCs w:val="24"/>
        </w:rPr>
      </w:pPr>
      <w:r w:rsidRPr="00F533A7">
        <w:rPr>
          <w:rFonts w:ascii="SimSun" w:eastAsia="KaiTi" w:hint="eastAsia"/>
          <w:sz w:val="18"/>
          <w:szCs w:val="24"/>
          <w:lang w:val="zh-CN"/>
        </w:rPr>
        <w:t>英文</w:t>
      </w:r>
      <w:r w:rsidR="00FB10AA" w:rsidRPr="00F533A7">
        <w:rPr>
          <w:rFonts w:ascii="SimSun" w:eastAsia="KaiTi" w:hint="eastAsia"/>
          <w:sz w:val="18"/>
          <w:szCs w:val="24"/>
          <w:lang w:val="zh-CN"/>
        </w:rPr>
        <w:t>简称</w:t>
      </w:r>
      <w:r w:rsidR="00FB10AA">
        <w:rPr>
          <w:rFonts w:ascii="SimSun" w:hint="eastAsia"/>
          <w:sz w:val="18"/>
          <w:szCs w:val="24"/>
        </w:rPr>
        <w:t>：</w:t>
      </w:r>
      <w:r w:rsidR="00FB10AA">
        <w:rPr>
          <w:sz w:val="18"/>
          <w:szCs w:val="24"/>
        </w:rPr>
        <w:t xml:space="preserve">OP - </w:t>
      </w:r>
      <w:r w:rsidR="00FB10AA">
        <w:rPr>
          <w:rFonts w:ascii="SimSun" w:hint="eastAsia"/>
          <w:sz w:val="18"/>
          <w:szCs w:val="24"/>
          <w:lang w:val="zh-CN"/>
        </w:rPr>
        <w:t>决定草案执行部分</w:t>
      </w:r>
    </w:p>
    <w:p w14:paraId="27E1B783" w14:textId="77777777" w:rsidR="00FB10AA" w:rsidRDefault="00FB10AA">
      <w:pPr>
        <w:ind w:firstLine="567"/>
        <w:rPr>
          <w:sz w:val="18"/>
          <w:szCs w:val="24"/>
        </w:rPr>
      </w:pPr>
      <w:r>
        <w:rPr>
          <w:i/>
          <w:noProof/>
          <w:sz w:val="18"/>
          <w:szCs w:val="24"/>
          <w:vertAlign w:val="superscript"/>
        </w:rPr>
        <w:t>a</w:t>
      </w:r>
      <w:r>
        <w:rPr>
          <w:sz w:val="18"/>
          <w:szCs w:val="24"/>
        </w:rPr>
        <w:tab/>
      </w:r>
      <w:r>
        <w:rPr>
          <w:rFonts w:ascii="SimSun" w:hint="eastAsia"/>
          <w:sz w:val="18"/>
          <w:szCs w:val="24"/>
          <w:lang w:val="zh-CN"/>
        </w:rPr>
        <w:t>包括与会人员差旅费。</w:t>
      </w:r>
    </w:p>
    <w:p w14:paraId="1949F1A3" w14:textId="6E1866D0" w:rsidR="00FB10AA" w:rsidRDefault="00FB10AA">
      <w:pPr>
        <w:ind w:firstLine="567"/>
        <w:rPr>
          <w:rFonts w:ascii="SimSun"/>
          <w:sz w:val="18"/>
          <w:szCs w:val="24"/>
          <w:lang w:val="zh-CN"/>
        </w:rPr>
      </w:pPr>
      <w:r>
        <w:rPr>
          <w:i/>
          <w:noProof/>
          <w:sz w:val="18"/>
          <w:szCs w:val="24"/>
          <w:vertAlign w:val="superscript"/>
        </w:rPr>
        <w:t>b</w:t>
      </w:r>
      <w:r>
        <w:rPr>
          <w:sz w:val="18"/>
          <w:szCs w:val="24"/>
        </w:rPr>
        <w:tab/>
      </w:r>
      <w:r w:rsidR="00843682">
        <w:rPr>
          <w:rFonts w:ascii="SimSun" w:hint="eastAsia"/>
          <w:sz w:val="18"/>
          <w:szCs w:val="24"/>
          <w:lang w:val="zh-CN"/>
        </w:rPr>
        <w:t>咨询人</w:t>
      </w:r>
      <w:r>
        <w:rPr>
          <w:rFonts w:ascii="SimSun" w:hint="eastAsia"/>
          <w:sz w:val="18"/>
          <w:szCs w:val="24"/>
          <w:lang w:val="zh-CN"/>
        </w:rPr>
        <w:t>、合作伙伴和</w:t>
      </w:r>
      <w:r w:rsidR="00843682">
        <w:rPr>
          <w:rFonts w:ascii="SimSun" w:hint="eastAsia"/>
          <w:sz w:val="18"/>
          <w:szCs w:val="24"/>
          <w:lang w:val="zh-CN"/>
        </w:rPr>
        <w:t>额外</w:t>
      </w:r>
      <w:r>
        <w:rPr>
          <w:rFonts w:ascii="SimSun" w:hint="eastAsia"/>
          <w:sz w:val="18"/>
          <w:szCs w:val="24"/>
          <w:lang w:val="zh-CN"/>
        </w:rPr>
        <w:t>工作人员。</w:t>
      </w:r>
    </w:p>
    <w:p w14:paraId="22734A4E" w14:textId="77777777" w:rsidR="00AE16A9" w:rsidRDefault="00AE16A9">
      <w:pPr>
        <w:ind w:firstLine="567"/>
        <w:rPr>
          <w:rFonts w:ascii="SimSun"/>
          <w:sz w:val="18"/>
          <w:szCs w:val="24"/>
          <w:lang w:val="zh-CN"/>
        </w:rPr>
      </w:pPr>
    </w:p>
    <w:p w14:paraId="44C7B3E9" w14:textId="15C61134" w:rsidR="00FB10AA" w:rsidRDefault="00FB10AA">
      <w:pPr>
        <w:pStyle w:val="CBDNormalNumber"/>
        <w:tabs>
          <w:tab w:val="clear" w:pos="567"/>
        </w:tabs>
        <w:ind w:left="0"/>
        <w:jc w:val="center"/>
        <w:rPr>
          <w:szCs w:val="24"/>
        </w:rPr>
      </w:pPr>
      <w:r>
        <w:rPr>
          <w:szCs w:val="24"/>
        </w:rPr>
        <w:t>__________</w:t>
      </w:r>
    </w:p>
    <w:sectPr w:rsidR="00FB10AA" w:rsidSect="00FB10AA">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6C8A" w14:textId="77777777" w:rsidR="00630D87" w:rsidRDefault="00630D87">
      <w:pPr>
        <w:rPr>
          <w:szCs w:val="24"/>
        </w:rPr>
      </w:pPr>
      <w:r>
        <w:rPr>
          <w:szCs w:val="24"/>
        </w:rPr>
        <w:separator/>
      </w:r>
    </w:p>
  </w:endnote>
  <w:endnote w:type="continuationSeparator" w:id="0">
    <w:p w14:paraId="37D07CF0" w14:textId="77777777" w:rsidR="00630D87" w:rsidRDefault="00630D87">
      <w:pPr>
        <w:rPr>
          <w:szCs w:val="24"/>
        </w:rPr>
      </w:pPr>
      <w:r>
        <w:rPr>
          <w:szCs w:val="24"/>
        </w:rPr>
        <w:continuationSeparator/>
      </w:r>
    </w:p>
  </w:endnote>
  <w:endnote w:type="continuationNotice" w:id="1">
    <w:p w14:paraId="7DB0FFD7" w14:textId="77777777" w:rsidR="00630D87" w:rsidRDefault="00630D87">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9E98" w14:textId="77777777" w:rsidR="00FB10AA" w:rsidRDefault="00FB10AA">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53A4" w14:textId="77777777" w:rsidR="00FB10AA" w:rsidRDefault="00FB10AA">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4F9C" w14:textId="77777777" w:rsidR="00FB10AA" w:rsidRDefault="00FB10AA">
    <w:pPr>
      <w:pStyle w:val="Footer"/>
      <w:jc w:val="right"/>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CD13F" w14:textId="77777777" w:rsidR="00630D87" w:rsidRDefault="00630D87">
      <w:pPr>
        <w:rPr>
          <w:szCs w:val="24"/>
        </w:rPr>
      </w:pPr>
      <w:r>
        <w:rPr>
          <w:szCs w:val="24"/>
        </w:rPr>
        <w:separator/>
      </w:r>
    </w:p>
  </w:footnote>
  <w:footnote w:type="continuationSeparator" w:id="0">
    <w:p w14:paraId="39C983B9" w14:textId="77777777" w:rsidR="00630D87" w:rsidRDefault="00630D87">
      <w:pPr>
        <w:rPr>
          <w:szCs w:val="24"/>
        </w:rPr>
      </w:pPr>
      <w:r>
        <w:rPr>
          <w:szCs w:val="24"/>
        </w:rPr>
        <w:continuationSeparator/>
      </w:r>
    </w:p>
  </w:footnote>
  <w:footnote w:type="continuationNotice" w:id="1">
    <w:p w14:paraId="60FA1B1D" w14:textId="77777777" w:rsidR="00630D87" w:rsidRDefault="00630D87">
      <w:pPr>
        <w:rPr>
          <w:szCs w:val="24"/>
        </w:rPr>
      </w:pPr>
    </w:p>
  </w:footnote>
  <w:footnote w:id="2">
    <w:p w14:paraId="12BCD395" w14:textId="77777777" w:rsidR="00FB10AA" w:rsidRPr="004A47FA" w:rsidRDefault="00FB10AA" w:rsidP="004A47FA">
      <w:pPr>
        <w:pStyle w:val="FootnoteText"/>
        <w:spacing w:after="60"/>
        <w:rPr>
          <w:rFonts w:eastAsiaTheme="minorEastAsia"/>
          <w:sz w:val="20"/>
        </w:rPr>
      </w:pPr>
      <w:r w:rsidRPr="004A47FA">
        <w:rPr>
          <w:rStyle w:val="FootnoteReference"/>
          <w:rFonts w:eastAsiaTheme="minorEastAsia"/>
          <w:sz w:val="20"/>
        </w:rPr>
        <w:t>*</w:t>
      </w:r>
      <w:r w:rsidRPr="004A47FA">
        <w:rPr>
          <w:rFonts w:eastAsiaTheme="minorEastAsia"/>
          <w:sz w:val="20"/>
        </w:rPr>
        <w:t xml:space="preserve"> </w:t>
      </w:r>
      <w:hyperlink r:id="rId1" w:history="1">
        <w:r w:rsidRPr="004A47FA">
          <w:rPr>
            <w:rStyle w:val="Hyperlink"/>
            <w:rFonts w:eastAsiaTheme="minorEastAsia"/>
            <w:sz w:val="20"/>
            <w:lang w:val="en-US"/>
          </w:rPr>
          <w:t>CBD/SBSTTA/28/1</w:t>
        </w:r>
      </w:hyperlink>
      <w:r w:rsidRPr="004A47FA">
        <w:rPr>
          <w:rFonts w:eastAsiaTheme="minorEastAsia"/>
          <w:sz w:val="20"/>
          <w:lang w:val="zh-CN"/>
        </w:rPr>
        <w:t>。</w:t>
      </w:r>
    </w:p>
  </w:footnote>
  <w:footnote w:id="3">
    <w:p w14:paraId="710DAFCD" w14:textId="77777777" w:rsidR="00FB10AA" w:rsidRPr="004A47FA" w:rsidRDefault="00FB10AA" w:rsidP="004A47FA">
      <w:pPr>
        <w:pStyle w:val="FootnoteText"/>
        <w:spacing w:after="60"/>
        <w:rPr>
          <w:rFonts w:eastAsiaTheme="minorEastAsia"/>
          <w:sz w:val="20"/>
        </w:rPr>
      </w:pPr>
      <w:r w:rsidRPr="004A47FA">
        <w:rPr>
          <w:rStyle w:val="FootnoteReference"/>
          <w:rFonts w:eastAsiaTheme="minorEastAsia"/>
          <w:sz w:val="20"/>
        </w:rPr>
        <w:footnoteRef/>
      </w:r>
      <w:r w:rsidRPr="004A47FA">
        <w:rPr>
          <w:rFonts w:eastAsiaTheme="minorEastAsia"/>
          <w:sz w:val="20"/>
        </w:rPr>
        <w:t xml:space="preserve"> </w:t>
      </w:r>
      <w:r w:rsidRPr="004A47FA">
        <w:rPr>
          <w:rFonts w:eastAsiaTheme="minorEastAsia"/>
          <w:sz w:val="20"/>
          <w:lang w:val="zh-CN"/>
        </w:rPr>
        <w:t>所有来文可查阅</w:t>
      </w:r>
      <w:r w:rsidRPr="004A47FA">
        <w:rPr>
          <w:rFonts w:eastAsiaTheme="minorEastAsia"/>
          <w:sz w:val="20"/>
          <w:lang w:val="en-US"/>
        </w:rPr>
        <w:t>：</w:t>
      </w:r>
      <w:hyperlink r:id="rId2" w:history="1">
        <w:r w:rsidRPr="004A47FA">
          <w:rPr>
            <w:rStyle w:val="Hyperlink"/>
            <w:rFonts w:eastAsiaTheme="minorEastAsia"/>
            <w:sz w:val="20"/>
            <w:lang w:val="en-US"/>
          </w:rPr>
          <w:t>www.cbd.int/notifications/2025-014</w:t>
        </w:r>
      </w:hyperlink>
      <w:r w:rsidRPr="004A47FA">
        <w:rPr>
          <w:rFonts w:eastAsiaTheme="minorEastAsia"/>
          <w:sz w:val="20"/>
          <w:lang w:val="zh-CN"/>
        </w:rPr>
        <w:t>。</w:t>
      </w:r>
    </w:p>
  </w:footnote>
  <w:footnote w:id="4">
    <w:p w14:paraId="351E3FEA" w14:textId="754C0EC9" w:rsidR="00FB10AA" w:rsidRPr="004A47FA" w:rsidRDefault="00FB10AA" w:rsidP="004A47FA">
      <w:pPr>
        <w:pStyle w:val="FootnoteText"/>
        <w:spacing w:after="60"/>
        <w:rPr>
          <w:rFonts w:eastAsiaTheme="minorEastAsia"/>
          <w:sz w:val="20"/>
        </w:rPr>
      </w:pPr>
      <w:r w:rsidRPr="004A47FA">
        <w:rPr>
          <w:rStyle w:val="FootnoteReference"/>
          <w:rFonts w:eastAsiaTheme="minorEastAsia"/>
          <w:sz w:val="20"/>
        </w:rPr>
        <w:footnoteRef/>
      </w:r>
      <w:r w:rsidRPr="004A47FA">
        <w:rPr>
          <w:rFonts w:eastAsiaTheme="minorEastAsia"/>
          <w:sz w:val="20"/>
        </w:rPr>
        <w:t xml:space="preserve"> </w:t>
      </w:r>
      <w:r w:rsidRPr="004A47FA">
        <w:rPr>
          <w:rFonts w:eastAsiaTheme="minorEastAsia"/>
          <w:sz w:val="20"/>
          <w:lang w:val="zh-CN"/>
        </w:rPr>
        <w:t>巴西、加拿大、欧盟及其成员国、芬兰、墨西哥、沙特阿拉伯、西班牙和大不列颠及北爱尔兰联合王国。</w:t>
      </w:r>
    </w:p>
  </w:footnote>
  <w:footnote w:id="5">
    <w:p w14:paraId="6486B1F9" w14:textId="77777777" w:rsidR="00FB10AA" w:rsidRPr="004A47FA" w:rsidRDefault="00FB10AA" w:rsidP="004A47FA">
      <w:pPr>
        <w:pStyle w:val="FootnoteText"/>
        <w:spacing w:after="60"/>
        <w:rPr>
          <w:rFonts w:eastAsiaTheme="minorEastAsia"/>
          <w:sz w:val="20"/>
        </w:rPr>
      </w:pPr>
      <w:r w:rsidRPr="004A47FA">
        <w:rPr>
          <w:rStyle w:val="FootnoteReference"/>
          <w:rFonts w:eastAsiaTheme="minorEastAsia"/>
          <w:sz w:val="20"/>
        </w:rPr>
        <w:footnoteRef/>
      </w:r>
      <w:r w:rsidRPr="004A47FA">
        <w:rPr>
          <w:rFonts w:eastAsiaTheme="minorEastAsia"/>
          <w:sz w:val="20"/>
        </w:rPr>
        <w:t xml:space="preserve"> </w:t>
      </w:r>
      <w:r w:rsidRPr="004A47FA">
        <w:rPr>
          <w:rStyle w:val="style21"/>
          <w:rFonts w:eastAsiaTheme="minorEastAsia"/>
          <w:color w:val="auto"/>
          <w:sz w:val="20"/>
          <w:szCs w:val="20"/>
          <w:lang w:val="zh-CN"/>
        </w:rPr>
        <w:t>生物多样性公约次国家政府和生物多样性咨询委员会、全球青年生物多样性网络、尼泊尔土著民族保护协会、非洲</w:t>
      </w:r>
      <w:r w:rsidRPr="004A47FA">
        <w:rPr>
          <w:rStyle w:val="style21"/>
          <w:rFonts w:eastAsiaTheme="minorEastAsia"/>
          <w:color w:val="auto"/>
          <w:sz w:val="20"/>
          <w:szCs w:val="20"/>
          <w:lang w:val="zh-CN"/>
        </w:rPr>
        <w:t>-</w:t>
      </w:r>
      <w:r w:rsidRPr="004A47FA">
        <w:rPr>
          <w:rStyle w:val="style21"/>
          <w:rFonts w:eastAsiaTheme="minorEastAsia"/>
          <w:color w:val="auto"/>
          <w:sz w:val="20"/>
          <w:szCs w:val="20"/>
          <w:lang w:val="zh-CN"/>
        </w:rPr>
        <w:t>欧亚迁徙水鸟保护协定秘书处、移栖物种公约秘书处和妇女促进生物多样性网络。</w:t>
      </w:r>
    </w:p>
  </w:footnote>
  <w:footnote w:id="6">
    <w:p w14:paraId="1E667F9E"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zh-CN"/>
        </w:rPr>
        <w:t>所有来文可查阅</w:t>
      </w:r>
      <w:r w:rsidRPr="002752ED">
        <w:rPr>
          <w:rFonts w:eastAsiaTheme="minorEastAsia"/>
          <w:sz w:val="20"/>
          <w:lang w:val="en-US"/>
        </w:rPr>
        <w:t>：</w:t>
      </w:r>
      <w:hyperlink r:id="rId3" w:history="1">
        <w:r w:rsidRPr="002752ED">
          <w:rPr>
            <w:rStyle w:val="Hyperlink"/>
            <w:rFonts w:eastAsiaTheme="minorEastAsia"/>
            <w:sz w:val="20"/>
            <w:lang w:val="en-US"/>
          </w:rPr>
          <w:t>www.cbd.int/notifications/2025-015</w:t>
        </w:r>
      </w:hyperlink>
      <w:r w:rsidRPr="002752ED">
        <w:rPr>
          <w:rFonts w:eastAsiaTheme="minorEastAsia"/>
          <w:sz w:val="20"/>
          <w:lang w:val="zh-CN"/>
        </w:rPr>
        <w:t>。</w:t>
      </w:r>
    </w:p>
  </w:footnote>
  <w:footnote w:id="7">
    <w:p w14:paraId="5D3A81ED"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Style w:val="y2iqfc"/>
          <w:rFonts w:eastAsiaTheme="minorEastAsia"/>
          <w:sz w:val="20"/>
          <w:lang w:val="zh-CN"/>
        </w:rPr>
        <w:t>巴林、巴西、加拿大、欧盟、墨西哥、巴基斯坦、秘鲁、瑞典和联合王国</w:t>
      </w:r>
      <w:r w:rsidRPr="002752ED">
        <w:rPr>
          <w:rFonts w:eastAsiaTheme="minorEastAsia"/>
          <w:sz w:val="20"/>
          <w:lang w:val="zh-CN"/>
        </w:rPr>
        <w:t>。</w:t>
      </w:r>
    </w:p>
  </w:footnote>
  <w:footnote w:id="8">
    <w:p w14:paraId="28973D69"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zh-CN"/>
        </w:rPr>
        <w:t>鱼类与野生动物机构</w:t>
      </w:r>
      <w:r w:rsidRPr="002752ED">
        <w:rPr>
          <w:rFonts w:eastAsiaTheme="minorEastAsia"/>
          <w:sz w:val="20"/>
          <w:lang w:val="zh-CN"/>
        </w:rPr>
        <w:t>​​</w:t>
      </w:r>
      <w:r w:rsidRPr="002752ED">
        <w:rPr>
          <w:rFonts w:eastAsiaTheme="minorEastAsia"/>
          <w:sz w:val="20"/>
          <w:lang w:val="zh-CN"/>
        </w:rPr>
        <w:t>协会、英国射击与自然保护协会、</w:t>
      </w:r>
      <w:proofErr w:type="gramStart"/>
      <w:r w:rsidRPr="002752ED">
        <w:rPr>
          <w:rFonts w:hint="eastAsia"/>
          <w:sz w:val="20"/>
        </w:rPr>
        <w:t>养护愿景组织</w:t>
      </w:r>
      <w:proofErr w:type="gramEnd"/>
      <w:r w:rsidRPr="002752ED">
        <w:rPr>
          <w:rFonts w:hint="eastAsia"/>
          <w:sz w:val="20"/>
        </w:rPr>
        <w:t>、</w:t>
      </w:r>
      <w:r w:rsidRPr="002752ED">
        <w:rPr>
          <w:rFonts w:eastAsiaTheme="minorEastAsia"/>
          <w:sz w:val="20"/>
          <w:lang w:val="zh-CN"/>
        </w:rPr>
        <w:t>联合国粮食及农业组织、尼泊尔土著民族保护协会、玻利维亚气候阵线平台、非洲资源协会、史密斯森博物院、尼泊尔湿地生物多样性养护协会、联合国环境规划署、埃克塞特大学和世界保护动物联合会。</w:t>
      </w:r>
    </w:p>
  </w:footnote>
  <w:footnote w:id="9">
    <w:p w14:paraId="4D1BB697"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en-US"/>
        </w:rPr>
        <w:t>CBD/COP/16/INF/6</w:t>
      </w:r>
      <w:r w:rsidRPr="002752ED">
        <w:rPr>
          <w:rFonts w:eastAsiaTheme="minorEastAsia"/>
          <w:sz w:val="20"/>
          <w:lang w:val="zh-CN"/>
        </w:rPr>
        <w:t>。</w:t>
      </w:r>
    </w:p>
  </w:footnote>
  <w:footnote w:id="10">
    <w:p w14:paraId="3B38A9B4"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en-US"/>
        </w:rPr>
        <w:t>CBD/COP/16/INF/7</w:t>
      </w:r>
      <w:r w:rsidRPr="002752ED">
        <w:rPr>
          <w:rFonts w:eastAsiaTheme="minorEastAsia"/>
          <w:sz w:val="20"/>
          <w:lang w:val="zh-CN"/>
        </w:rPr>
        <w:t>。</w:t>
      </w:r>
    </w:p>
  </w:footnote>
  <w:footnote w:id="11">
    <w:p w14:paraId="07D338FC"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zh-CN"/>
        </w:rPr>
        <w:t>此次专家会议是在欧盟的慷慨支持下举办的。</w:t>
      </w:r>
      <w:r w:rsidRPr="002752ED">
        <w:rPr>
          <w:rFonts w:eastAsiaTheme="minorEastAsia"/>
          <w:sz w:val="20"/>
        </w:rPr>
        <w:t xml:space="preserve"> </w:t>
      </w:r>
    </w:p>
  </w:footnote>
  <w:footnote w:id="12">
    <w:p w14:paraId="4D3DBFD0"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zh-CN"/>
        </w:rPr>
        <w:t>所有来文可查阅</w:t>
      </w:r>
      <w:r w:rsidRPr="002752ED">
        <w:rPr>
          <w:rFonts w:eastAsiaTheme="minorEastAsia"/>
          <w:sz w:val="20"/>
          <w:lang w:val="en-US"/>
        </w:rPr>
        <w:t>：</w:t>
      </w:r>
      <w:hyperlink r:id="rId4" w:history="1">
        <w:r w:rsidRPr="002752ED">
          <w:rPr>
            <w:rStyle w:val="Hyperlink"/>
            <w:rFonts w:eastAsiaTheme="minorEastAsia"/>
            <w:sz w:val="20"/>
            <w:lang w:val="en-US"/>
          </w:rPr>
          <w:t>www.cbd.int/notifications/2026-024</w:t>
        </w:r>
      </w:hyperlink>
      <w:r w:rsidRPr="002752ED">
        <w:rPr>
          <w:rFonts w:eastAsiaTheme="minorEastAsia"/>
          <w:sz w:val="20"/>
          <w:lang w:val="zh-CN"/>
        </w:rPr>
        <w:t>。</w:t>
      </w:r>
    </w:p>
  </w:footnote>
  <w:footnote w:id="13">
    <w:p w14:paraId="54F4651B" w14:textId="77777777" w:rsidR="00FB10AA" w:rsidRPr="002752ED" w:rsidRDefault="00FB10AA" w:rsidP="002752ED">
      <w:pPr>
        <w:pStyle w:val="FootnoteText"/>
        <w:spacing w:after="60"/>
        <w:rPr>
          <w:rFonts w:eastAsiaTheme="minorEastAsia"/>
          <w:sz w:val="20"/>
        </w:rPr>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zh-CN"/>
        </w:rPr>
        <w:t>阿根廷、澳大利亚、巴西、加拿大、哥伦比亚、欧盟、法国、德国、以色列、日本、墨西哥、新西兰、阿曼、新加坡、南非、西班牙、瑞典、瑞士和联合王国。</w:t>
      </w:r>
    </w:p>
  </w:footnote>
  <w:footnote w:id="14">
    <w:p w14:paraId="3ED78EC8" w14:textId="77777777" w:rsidR="00FB10AA" w:rsidRDefault="00FB10AA" w:rsidP="002752ED">
      <w:pPr>
        <w:pStyle w:val="FootnoteText"/>
        <w:spacing w:after="60"/>
      </w:pPr>
      <w:r w:rsidRPr="002752ED">
        <w:rPr>
          <w:rStyle w:val="FootnoteReference"/>
          <w:rFonts w:eastAsiaTheme="minorEastAsia"/>
          <w:sz w:val="20"/>
        </w:rPr>
        <w:footnoteRef/>
      </w:r>
      <w:r w:rsidRPr="002752ED">
        <w:rPr>
          <w:rFonts w:eastAsiaTheme="minorEastAsia"/>
          <w:sz w:val="20"/>
        </w:rPr>
        <w:t xml:space="preserve"> </w:t>
      </w:r>
      <w:r w:rsidRPr="002752ED">
        <w:rPr>
          <w:rFonts w:eastAsiaTheme="minorEastAsia"/>
          <w:sz w:val="20"/>
          <w:lang w:val="zh-CN"/>
        </w:rPr>
        <w:t>生物多样性公约妇女核心小组、濒危野生动物和植物物种国际贸易公约秘书处、南非</w:t>
      </w:r>
      <w:r w:rsidRPr="002752ED">
        <w:rPr>
          <w:rFonts w:eastAsiaTheme="minorEastAsia"/>
          <w:sz w:val="20"/>
          <w:lang w:val="zh-CN"/>
        </w:rPr>
        <w:t>EMS</w:t>
      </w:r>
      <w:r w:rsidRPr="002752ED">
        <w:rPr>
          <w:rFonts w:eastAsiaTheme="minorEastAsia"/>
          <w:sz w:val="20"/>
          <w:lang w:val="zh-CN"/>
        </w:rPr>
        <w:t>基金会、真菌基金会、</w:t>
      </w:r>
      <w:r w:rsidRPr="002752ED">
        <w:rPr>
          <w:rFonts w:eastAsiaTheme="minorEastAsia"/>
          <w:color w:val="000000"/>
          <w:sz w:val="20"/>
          <w:lang w:val="zh-CN"/>
        </w:rPr>
        <w:t>全球青年生物多样性网络、</w:t>
      </w:r>
      <w:r w:rsidRPr="002752ED">
        <w:rPr>
          <w:rFonts w:eastAsiaTheme="minorEastAsia"/>
          <w:sz w:val="20"/>
          <w:lang w:val="zh-CN"/>
        </w:rPr>
        <w:t>尼泊尔湿地生物多样性养护协会、可持续海洋联盟和世界保护动物联合会。</w:t>
      </w:r>
      <w:r>
        <w:rPr>
          <w:rFonts w:ascii="SimSun"/>
          <w:kern w:val="1"/>
          <w:szCs w:val="24"/>
          <w:lang w:val="zh-CN"/>
        </w:rPr>
        <w:t xml:space="preserve"> </w:t>
      </w:r>
      <w:r>
        <w:rPr>
          <w:rFonts w:ascii="SimSun"/>
          <w:i/>
          <w:kern w:val="22"/>
          <w:szCs w:val="24"/>
          <w:lang w:val="zh-CN"/>
        </w:rPr>
        <w:t xml:space="preserve"> </w:t>
      </w:r>
    </w:p>
  </w:footnote>
  <w:footnote w:id="15">
    <w:p w14:paraId="6E8D5D8E" w14:textId="77777777" w:rsidR="00FB10AA" w:rsidRPr="00066621" w:rsidRDefault="00FB10AA" w:rsidP="00066621">
      <w:pPr>
        <w:pStyle w:val="FootnoteText"/>
        <w:spacing w:after="60"/>
        <w:rPr>
          <w:sz w:val="20"/>
        </w:rPr>
      </w:pPr>
      <w:r w:rsidRPr="00066621">
        <w:rPr>
          <w:rStyle w:val="FootnoteReference"/>
          <w:sz w:val="20"/>
        </w:rPr>
        <w:footnoteRef/>
      </w:r>
      <w:r w:rsidRPr="00066621">
        <w:rPr>
          <w:sz w:val="20"/>
        </w:rPr>
        <w:t xml:space="preserve"> </w:t>
      </w:r>
      <w:r w:rsidRPr="00066621">
        <w:rPr>
          <w:sz w:val="20"/>
          <w:lang w:val="zh-CN"/>
        </w:rPr>
        <w:t>本文件附件载有决定草案所述各项活动所需的预算</w:t>
      </w:r>
      <w:proofErr w:type="gramStart"/>
      <w:r w:rsidRPr="00066621">
        <w:rPr>
          <w:sz w:val="20"/>
          <w:lang w:val="zh-CN"/>
        </w:rPr>
        <w:t>外资源</w:t>
      </w:r>
      <w:proofErr w:type="gramEnd"/>
      <w:r w:rsidRPr="00066621">
        <w:rPr>
          <w:sz w:val="20"/>
          <w:lang w:val="zh-CN"/>
        </w:rPr>
        <w:t>估计数额。</w:t>
      </w:r>
    </w:p>
  </w:footnote>
  <w:footnote w:id="16">
    <w:p w14:paraId="404AF4B1" w14:textId="77777777" w:rsidR="00FB10AA" w:rsidRPr="00066621" w:rsidRDefault="00FB10AA" w:rsidP="00066621">
      <w:pPr>
        <w:pStyle w:val="FootnoteText"/>
        <w:spacing w:after="60"/>
        <w:rPr>
          <w:sz w:val="20"/>
        </w:rPr>
      </w:pPr>
      <w:r w:rsidRPr="00066621">
        <w:rPr>
          <w:rStyle w:val="FootnoteReference"/>
          <w:sz w:val="20"/>
        </w:rPr>
        <w:footnoteRef/>
      </w:r>
      <w:r w:rsidRPr="00066621">
        <w:rPr>
          <w:sz w:val="20"/>
        </w:rPr>
        <w:t xml:space="preserve"> </w:t>
      </w:r>
      <w:r w:rsidRPr="00066621">
        <w:rPr>
          <w:sz w:val="20"/>
          <w:lang w:val="zh-CN"/>
        </w:rPr>
        <w:t>联合国，</w:t>
      </w:r>
      <w:r w:rsidRPr="00A86EF7">
        <w:rPr>
          <w:sz w:val="20"/>
          <w:lang w:val="zh-CN"/>
        </w:rPr>
        <w:t>《条约汇编》</w:t>
      </w:r>
      <w:r w:rsidRPr="00066621">
        <w:rPr>
          <w:sz w:val="20"/>
          <w:lang w:val="zh-CN"/>
        </w:rPr>
        <w:t>，第</w:t>
      </w:r>
      <w:r w:rsidRPr="00066621">
        <w:rPr>
          <w:sz w:val="20"/>
          <w:lang w:val="zh-CN"/>
        </w:rPr>
        <w:t>1760</w:t>
      </w:r>
      <w:r w:rsidRPr="00066621">
        <w:rPr>
          <w:sz w:val="20"/>
          <w:lang w:val="zh-CN"/>
        </w:rPr>
        <w:t>卷，第</w:t>
      </w:r>
      <w:r w:rsidRPr="00066621">
        <w:rPr>
          <w:sz w:val="20"/>
          <w:lang w:val="zh-CN"/>
        </w:rPr>
        <w:t>30619</w:t>
      </w:r>
      <w:r w:rsidRPr="00066621">
        <w:rPr>
          <w:sz w:val="20"/>
          <w:lang w:val="zh-CN"/>
        </w:rPr>
        <w:t>号。</w:t>
      </w:r>
    </w:p>
  </w:footnote>
  <w:footnote w:id="17">
    <w:p w14:paraId="1699F78E" w14:textId="77777777" w:rsidR="00FB10AA" w:rsidRPr="007B0EFA" w:rsidRDefault="00FB10AA" w:rsidP="00066621">
      <w:pPr>
        <w:pStyle w:val="FootnoteText"/>
        <w:spacing w:after="60"/>
        <w:rPr>
          <w:sz w:val="20"/>
        </w:rPr>
      </w:pPr>
      <w:r w:rsidRPr="00066621">
        <w:rPr>
          <w:rStyle w:val="FootnoteReference"/>
          <w:sz w:val="20"/>
        </w:rPr>
        <w:footnoteRef/>
      </w:r>
      <w:r w:rsidRPr="00066621">
        <w:rPr>
          <w:sz w:val="20"/>
        </w:rPr>
        <w:t xml:space="preserve"> </w:t>
      </w:r>
      <w:r w:rsidRPr="00066621">
        <w:rPr>
          <w:sz w:val="20"/>
          <w:lang w:val="zh-CN"/>
        </w:rPr>
        <w:t>第</w:t>
      </w:r>
      <w:hyperlink r:id="rId5" w:history="1">
        <w:r w:rsidRPr="00066621">
          <w:rPr>
            <w:rStyle w:val="Hyperlink"/>
            <w:color w:val="0000FF"/>
            <w:sz w:val="20"/>
            <w:lang w:val="zh-CN"/>
          </w:rPr>
          <w:t>15/4</w:t>
        </w:r>
      </w:hyperlink>
      <w:r w:rsidRPr="00066621">
        <w:rPr>
          <w:kern w:val="22"/>
          <w:sz w:val="20"/>
          <w:lang w:val="zh-CN"/>
        </w:rPr>
        <w:t>号决定，附件。</w:t>
      </w:r>
    </w:p>
  </w:footnote>
  <w:footnote w:id="18">
    <w:p w14:paraId="2BBAC07A" w14:textId="77777777" w:rsidR="00FB10AA" w:rsidRPr="006A3D52" w:rsidRDefault="00FB10AA" w:rsidP="00A11115">
      <w:pPr>
        <w:pStyle w:val="FootnoteText"/>
        <w:spacing w:after="60"/>
        <w:rPr>
          <w:sz w:val="20"/>
        </w:rPr>
      </w:pPr>
      <w:r w:rsidRPr="006A3D52">
        <w:rPr>
          <w:rStyle w:val="FootnoteReference"/>
          <w:sz w:val="20"/>
        </w:rPr>
        <w:footnoteRef/>
      </w:r>
      <w:r w:rsidRPr="006A3D52">
        <w:rPr>
          <w:sz w:val="20"/>
        </w:rPr>
        <w:t xml:space="preserve"> </w:t>
      </w:r>
      <w:r w:rsidRPr="006A3D52">
        <w:rPr>
          <w:rFonts w:ascii="SimSun" w:hint="eastAsia"/>
          <w:sz w:val="20"/>
          <w:lang w:val="zh-CN"/>
        </w:rPr>
        <w:t>联合国，</w:t>
      </w:r>
      <w:r w:rsidRPr="00D9721B">
        <w:rPr>
          <w:rFonts w:ascii="SimSun" w:hint="eastAsia"/>
          <w:sz w:val="20"/>
          <w:lang w:val="zh-CN"/>
        </w:rPr>
        <w:t>《</w:t>
      </w:r>
      <w:r w:rsidRPr="00D9721B">
        <w:rPr>
          <w:rFonts w:ascii="KaiTi" w:hAnsi="KaiTi" w:hint="eastAsia"/>
          <w:sz w:val="20"/>
          <w:lang w:val="zh-CN"/>
        </w:rPr>
        <w:t>条约汇编</w:t>
      </w:r>
      <w:r w:rsidRPr="00D9721B">
        <w:rPr>
          <w:rFonts w:ascii="SimSun" w:hint="eastAsia"/>
          <w:sz w:val="20"/>
          <w:lang w:val="zh-CN"/>
        </w:rPr>
        <w:t>》</w:t>
      </w:r>
      <w:r w:rsidRPr="006A3D52">
        <w:rPr>
          <w:rFonts w:ascii="SimSun" w:hint="eastAsia"/>
          <w:sz w:val="20"/>
          <w:lang w:val="zh-CN"/>
        </w:rPr>
        <w:t>，第</w:t>
      </w:r>
      <w:r w:rsidRPr="006A3D52">
        <w:rPr>
          <w:rFonts w:ascii="SimSun"/>
          <w:sz w:val="20"/>
          <w:lang w:val="zh-CN"/>
        </w:rPr>
        <w:t>1760</w:t>
      </w:r>
      <w:r w:rsidRPr="006A3D52">
        <w:rPr>
          <w:rFonts w:ascii="SimSun" w:hint="eastAsia"/>
          <w:sz w:val="20"/>
          <w:lang w:val="zh-CN"/>
        </w:rPr>
        <w:t>卷，第</w:t>
      </w:r>
      <w:r w:rsidRPr="006A3D52">
        <w:rPr>
          <w:rFonts w:ascii="SimSun"/>
          <w:sz w:val="20"/>
          <w:lang w:val="zh-CN"/>
        </w:rPr>
        <w:t>30619</w:t>
      </w:r>
      <w:r w:rsidRPr="006A3D52">
        <w:rPr>
          <w:rFonts w:ascii="SimSun" w:hint="eastAsia"/>
          <w:sz w:val="20"/>
          <w:lang w:val="zh-CN"/>
        </w:rPr>
        <w:t>号。</w:t>
      </w:r>
    </w:p>
  </w:footnote>
  <w:footnote w:id="19">
    <w:p w14:paraId="3676E382" w14:textId="77777777" w:rsidR="00FB10AA" w:rsidRPr="006A3D52" w:rsidRDefault="00FB10AA" w:rsidP="00A11115">
      <w:pPr>
        <w:pStyle w:val="FootnoteText"/>
        <w:spacing w:after="60"/>
        <w:rPr>
          <w:sz w:val="20"/>
        </w:rPr>
      </w:pPr>
      <w:r w:rsidRPr="006A3D52">
        <w:rPr>
          <w:rStyle w:val="FootnoteReference"/>
          <w:sz w:val="20"/>
        </w:rPr>
        <w:footnoteRef/>
      </w:r>
      <w:r w:rsidRPr="006A3D52">
        <w:rPr>
          <w:sz w:val="20"/>
        </w:rPr>
        <w:t xml:space="preserve"> </w:t>
      </w:r>
      <w:r w:rsidRPr="006A3D52">
        <w:rPr>
          <w:rFonts w:ascii="SimSun" w:hint="eastAsia"/>
          <w:sz w:val="20"/>
          <w:lang w:val="zh-CN"/>
        </w:rPr>
        <w:t>第</w:t>
      </w:r>
      <w:hyperlink r:id="rId6" w:history="1">
        <w:r w:rsidRPr="006A3D52">
          <w:rPr>
            <w:rStyle w:val="Hyperlink"/>
            <w:sz w:val="20"/>
            <w:lang w:val="zh-CN"/>
          </w:rPr>
          <w:t>15/4</w:t>
        </w:r>
      </w:hyperlink>
      <w:r w:rsidRPr="006A3D52">
        <w:rPr>
          <w:rFonts w:ascii="SimSun" w:hint="eastAsia"/>
          <w:kern w:val="22"/>
          <w:sz w:val="20"/>
          <w:lang w:val="zh-CN"/>
        </w:rPr>
        <w:t>号决定，附件。</w:t>
      </w:r>
    </w:p>
  </w:footnote>
  <w:footnote w:id="20">
    <w:p w14:paraId="0A02CE3E" w14:textId="2E575A5A" w:rsidR="00FB10AA" w:rsidRPr="007B0EFA" w:rsidRDefault="00FB10AA" w:rsidP="00A11115">
      <w:pPr>
        <w:pStyle w:val="FootnoteText"/>
        <w:spacing w:after="60"/>
        <w:rPr>
          <w:sz w:val="20"/>
        </w:rPr>
      </w:pPr>
      <w:r w:rsidRPr="006A3D52">
        <w:rPr>
          <w:rStyle w:val="FootnoteReference"/>
          <w:sz w:val="20"/>
        </w:rPr>
        <w:footnoteRef/>
      </w:r>
      <w:r w:rsidRPr="006A3D52">
        <w:rPr>
          <w:sz w:val="20"/>
        </w:rPr>
        <w:t xml:space="preserve"> </w:t>
      </w:r>
      <w:r w:rsidRPr="006A3D52">
        <w:rPr>
          <w:rFonts w:ascii="SimSun" w:hint="eastAsia"/>
          <w:sz w:val="20"/>
          <w:lang w:val="zh-CN"/>
        </w:rPr>
        <w:t>第</w:t>
      </w:r>
      <w:hyperlink r:id="rId7" w:history="1">
        <w:r w:rsidRPr="006A3D52">
          <w:rPr>
            <w:rStyle w:val="Hyperlink"/>
            <w:sz w:val="20"/>
            <w:lang w:val="zh-CN"/>
          </w:rPr>
          <w:t>VII/12</w:t>
        </w:r>
      </w:hyperlink>
      <w:r w:rsidRPr="006A3D52">
        <w:rPr>
          <w:rFonts w:ascii="SimSun" w:hint="eastAsia"/>
          <w:sz w:val="20"/>
          <w:lang w:val="zh-CN"/>
        </w:rPr>
        <w:t>号决定，附件二。</w:t>
      </w:r>
    </w:p>
  </w:footnote>
  <w:footnote w:id="21">
    <w:p w14:paraId="28AED619" w14:textId="77777777" w:rsidR="00FB10AA" w:rsidRPr="005A48F8" w:rsidRDefault="00FB10AA" w:rsidP="00FA50EE">
      <w:pPr>
        <w:pStyle w:val="FootnoteText"/>
        <w:spacing w:after="60"/>
        <w:rPr>
          <w:sz w:val="20"/>
        </w:rPr>
      </w:pPr>
      <w:r w:rsidRPr="005A48F8">
        <w:rPr>
          <w:rStyle w:val="FootnoteReference"/>
          <w:sz w:val="20"/>
        </w:rPr>
        <w:footnoteRef/>
      </w:r>
      <w:r w:rsidRPr="005A48F8">
        <w:rPr>
          <w:sz w:val="20"/>
        </w:rPr>
        <w:t xml:space="preserve"> </w:t>
      </w:r>
      <w:hyperlink r:id="rId8" w:history="1">
        <w:r w:rsidRPr="005A48F8">
          <w:rPr>
            <w:rStyle w:val="Hyperlink"/>
            <w:sz w:val="20"/>
            <w:lang w:val="en-US"/>
          </w:rPr>
          <w:t>CBD/COP/16/INF/6</w:t>
        </w:r>
      </w:hyperlink>
      <w:r w:rsidRPr="005A48F8">
        <w:rPr>
          <w:sz w:val="20"/>
          <w:lang w:val="zh-CN"/>
        </w:rPr>
        <w:t>。</w:t>
      </w:r>
    </w:p>
  </w:footnote>
  <w:footnote w:id="22">
    <w:p w14:paraId="5658520D" w14:textId="77777777" w:rsidR="00FB10AA" w:rsidRPr="007B0EFA" w:rsidRDefault="00FB10AA" w:rsidP="00FA50EE">
      <w:pPr>
        <w:pStyle w:val="FootnoteText"/>
        <w:spacing w:after="60"/>
        <w:rPr>
          <w:sz w:val="20"/>
        </w:rPr>
      </w:pPr>
      <w:r w:rsidRPr="005A48F8">
        <w:rPr>
          <w:rStyle w:val="FootnoteReference"/>
          <w:sz w:val="20"/>
        </w:rPr>
        <w:footnoteRef/>
      </w:r>
      <w:r w:rsidRPr="005A48F8">
        <w:rPr>
          <w:sz w:val="20"/>
        </w:rPr>
        <w:t xml:space="preserve"> </w:t>
      </w:r>
      <w:hyperlink r:id="rId9" w:history="1">
        <w:r w:rsidRPr="005A48F8">
          <w:rPr>
            <w:rStyle w:val="Hyperlink"/>
            <w:sz w:val="20"/>
            <w:lang w:val="en-US"/>
          </w:rPr>
          <w:t>CBD/COP/16/INF/7</w:t>
        </w:r>
      </w:hyperlink>
      <w:r w:rsidRPr="005A48F8">
        <w:rPr>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F9CE" w14:textId="666BE263" w:rsidR="00FB10AA" w:rsidRPr="0033084E" w:rsidRDefault="00FB10AA">
    <w:pPr>
      <w:pStyle w:val="Header"/>
      <w:spacing w:after="240"/>
      <w:rPr>
        <w:sz w:val="24"/>
        <w:szCs w:val="24"/>
      </w:rPr>
    </w:pPr>
    <w:r w:rsidRPr="0033084E">
      <w:rPr>
        <w:sz w:val="24"/>
        <w:szCs w:val="24"/>
      </w:rPr>
      <w:t>CBD/SBSTTA/28/5</w:t>
    </w:r>
    <w:r w:rsidR="00345871">
      <w:rPr>
        <w:sz w:val="24"/>
        <w:szCs w:val="24"/>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9C1E" w14:textId="7EF4B170" w:rsidR="00FB10AA" w:rsidRPr="0033084E" w:rsidRDefault="00FB10AA">
    <w:pPr>
      <w:pStyle w:val="Header"/>
      <w:spacing w:after="240"/>
      <w:jc w:val="right"/>
      <w:rPr>
        <w:sz w:val="24"/>
        <w:szCs w:val="24"/>
      </w:rPr>
    </w:pPr>
    <w:r w:rsidRPr="0033084E">
      <w:rPr>
        <w:sz w:val="24"/>
        <w:szCs w:val="24"/>
      </w:rPr>
      <w:t>CBD/SBSTTA/28/5</w:t>
    </w:r>
    <w:r w:rsidR="00345871">
      <w:rPr>
        <w:sz w:val="24"/>
        <w:szCs w:val="24"/>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265C" w14:textId="77777777" w:rsidR="00FB10AA" w:rsidRDefault="00FB10AA">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468C18"/>
    <w:lvl w:ilvl="0">
      <w:start w:val="1"/>
      <w:numFmt w:val="decimal"/>
      <w:pStyle w:val="ListNumber3"/>
      <w:lvlText w:val="%1."/>
      <w:lvlJc w:val="left"/>
      <w:pPr>
        <w:tabs>
          <w:tab w:val="num" w:pos="2040"/>
        </w:tabs>
        <w:ind w:left="2040" w:hanging="360"/>
      </w:pPr>
      <w:rPr>
        <w:rFonts w:cs="Times New Roman"/>
      </w:rPr>
    </w:lvl>
  </w:abstractNum>
  <w:abstractNum w:abstractNumId="1" w15:restartNumberingAfterBreak="0">
    <w:nsid w:val="FFFFFF7D"/>
    <w:multiLevelType w:val="singleLevel"/>
    <w:tmpl w:val="8916AB34"/>
    <w:lvl w:ilvl="0">
      <w:start w:val="1"/>
      <w:numFmt w:val="decimal"/>
      <w:pStyle w:val="ListNumber2"/>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1B0985A"/>
    <w:lvl w:ilvl="0">
      <w:start w:val="1"/>
      <w:numFmt w:val="decimal"/>
      <w:pStyle w:val="ListNumber"/>
      <w:lvlText w:val="%1."/>
      <w:lvlJc w:val="left"/>
      <w:pPr>
        <w:tabs>
          <w:tab w:val="num" w:pos="926"/>
        </w:tabs>
        <w:ind w:left="926" w:hanging="360"/>
      </w:pPr>
      <w:rPr>
        <w:rFonts w:cs="Times New Roman"/>
      </w:rPr>
    </w:lvl>
  </w:abstractNum>
  <w:abstractNum w:abstractNumId="3" w15:restartNumberingAfterBreak="0">
    <w:nsid w:val="FFFFFF7F"/>
    <w:multiLevelType w:val="singleLevel"/>
    <w:tmpl w:val="F3B4F70A"/>
    <w:lvl w:ilvl="0">
      <w:start w:val="1"/>
      <w:numFmt w:val="decimal"/>
      <w:pStyle w:val="StylePara1Before0pt"/>
      <w:lvlText w:val="%1."/>
      <w:lvlJc w:val="left"/>
      <w:pPr>
        <w:tabs>
          <w:tab w:val="num" w:pos="643"/>
        </w:tabs>
        <w:ind w:left="643" w:hanging="360"/>
      </w:pPr>
      <w:rPr>
        <w:rFonts w:cs="Times New Roman"/>
      </w:r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787E76"/>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B7478"/>
    <w:multiLevelType w:val="multilevel"/>
    <w:tmpl w:val="222A08B4"/>
    <w:numStyleLink w:val="ListCBD"/>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Times New Roman" w:hAnsi="Times New Roman" w:cs="Times New Roman"/>
      </w:rPr>
    </w:lvl>
    <w:lvl w:ilvl="1" w:tplc="30090019" w:tentative="1">
      <w:start w:val="1"/>
      <w:numFmt w:val="lowerLetter"/>
      <w:lvlText w:val="%2."/>
      <w:lvlJc w:val="left"/>
      <w:pPr>
        <w:ind w:left="2356" w:hanging="360"/>
      </w:pPr>
      <w:rPr>
        <w:rFonts w:cs="Times New Roman"/>
      </w:rPr>
    </w:lvl>
    <w:lvl w:ilvl="2" w:tplc="3009001B" w:tentative="1">
      <w:start w:val="1"/>
      <w:numFmt w:val="lowerRoman"/>
      <w:lvlText w:val="%3."/>
      <w:lvlJc w:val="right"/>
      <w:pPr>
        <w:ind w:left="3076" w:hanging="180"/>
      </w:pPr>
      <w:rPr>
        <w:rFonts w:cs="Times New Roman"/>
      </w:rPr>
    </w:lvl>
    <w:lvl w:ilvl="3" w:tplc="3009000F" w:tentative="1">
      <w:start w:val="1"/>
      <w:numFmt w:val="decimal"/>
      <w:lvlText w:val="%4."/>
      <w:lvlJc w:val="left"/>
      <w:pPr>
        <w:ind w:left="3796" w:hanging="360"/>
      </w:pPr>
      <w:rPr>
        <w:rFonts w:cs="Times New Roman"/>
      </w:rPr>
    </w:lvl>
    <w:lvl w:ilvl="4" w:tplc="30090019" w:tentative="1">
      <w:start w:val="1"/>
      <w:numFmt w:val="lowerLetter"/>
      <w:lvlText w:val="%5."/>
      <w:lvlJc w:val="left"/>
      <w:pPr>
        <w:ind w:left="4516" w:hanging="360"/>
      </w:pPr>
      <w:rPr>
        <w:rFonts w:cs="Times New Roman"/>
      </w:rPr>
    </w:lvl>
    <w:lvl w:ilvl="5" w:tplc="3009001B" w:tentative="1">
      <w:start w:val="1"/>
      <w:numFmt w:val="lowerRoman"/>
      <w:lvlText w:val="%6."/>
      <w:lvlJc w:val="right"/>
      <w:pPr>
        <w:ind w:left="5236" w:hanging="180"/>
      </w:pPr>
      <w:rPr>
        <w:rFonts w:cs="Times New Roman"/>
      </w:rPr>
    </w:lvl>
    <w:lvl w:ilvl="6" w:tplc="3009000F" w:tentative="1">
      <w:start w:val="1"/>
      <w:numFmt w:val="decimal"/>
      <w:lvlText w:val="%7."/>
      <w:lvlJc w:val="left"/>
      <w:pPr>
        <w:ind w:left="5956" w:hanging="360"/>
      </w:pPr>
      <w:rPr>
        <w:rFonts w:cs="Times New Roman"/>
      </w:rPr>
    </w:lvl>
    <w:lvl w:ilvl="7" w:tplc="30090019" w:tentative="1">
      <w:start w:val="1"/>
      <w:numFmt w:val="lowerLetter"/>
      <w:lvlText w:val="%8."/>
      <w:lvlJc w:val="left"/>
      <w:pPr>
        <w:ind w:left="6676" w:hanging="360"/>
      </w:pPr>
      <w:rPr>
        <w:rFonts w:cs="Times New Roman"/>
      </w:rPr>
    </w:lvl>
    <w:lvl w:ilvl="8" w:tplc="3009001B" w:tentative="1">
      <w:start w:val="1"/>
      <w:numFmt w:val="lowerRoman"/>
      <w:lvlText w:val="%9."/>
      <w:lvlJc w:val="right"/>
      <w:pPr>
        <w:ind w:left="7396" w:hanging="180"/>
      </w:pPr>
      <w:rPr>
        <w:rFonts w:cs="Times New Roman"/>
      </w:rPr>
    </w:lvl>
  </w:abstractNum>
  <w:abstractNum w:abstractNumId="13" w15:restartNumberingAfterBreak="0">
    <w:nsid w:val="499D5F66"/>
    <w:multiLevelType w:val="multilevel"/>
    <w:tmpl w:val="222A08B4"/>
    <w:styleLink w:val="ListCBD"/>
    <w:lvl w:ilvl="0">
      <w:start w:val="1"/>
      <w:numFmt w:val="decimal"/>
      <w:lvlText w:val="%1."/>
      <w:lvlJc w:val="left"/>
      <w:pPr>
        <w:ind w:left="568"/>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C8F337E"/>
    <w:multiLevelType w:val="multilevel"/>
    <w:tmpl w:val="222A08B4"/>
    <w:numStyleLink w:val="ListCBD"/>
  </w:abstractNum>
  <w:abstractNum w:abstractNumId="16" w15:restartNumberingAfterBreak="0">
    <w:nsid w:val="5D943BEE"/>
    <w:multiLevelType w:val="multilevel"/>
    <w:tmpl w:val="E23A47E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929460292">
    <w:abstractNumId w:val="9"/>
  </w:num>
  <w:num w:numId="2" w16cid:durableId="212352962">
    <w:abstractNumId w:val="7"/>
  </w:num>
  <w:num w:numId="3" w16cid:durableId="2144732912">
    <w:abstractNumId w:val="6"/>
  </w:num>
  <w:num w:numId="4" w16cid:durableId="750197490">
    <w:abstractNumId w:val="5"/>
  </w:num>
  <w:num w:numId="5" w16cid:durableId="1978023959">
    <w:abstractNumId w:val="4"/>
  </w:num>
  <w:num w:numId="6" w16cid:durableId="847018320">
    <w:abstractNumId w:val="8"/>
  </w:num>
  <w:num w:numId="7" w16cid:durableId="1474759219">
    <w:abstractNumId w:val="3"/>
  </w:num>
  <w:num w:numId="8" w16cid:durableId="335503960">
    <w:abstractNumId w:val="2"/>
  </w:num>
  <w:num w:numId="9" w16cid:durableId="2017002171">
    <w:abstractNumId w:val="1"/>
  </w:num>
  <w:num w:numId="10" w16cid:durableId="716319502">
    <w:abstractNumId w:val="0"/>
  </w:num>
  <w:num w:numId="11" w16cid:durableId="1432169050">
    <w:abstractNumId w:val="9"/>
  </w:num>
  <w:num w:numId="12" w16cid:durableId="1156338580">
    <w:abstractNumId w:val="7"/>
  </w:num>
  <w:num w:numId="13" w16cid:durableId="423108229">
    <w:abstractNumId w:val="6"/>
  </w:num>
  <w:num w:numId="14" w16cid:durableId="807358083">
    <w:abstractNumId w:val="5"/>
  </w:num>
  <w:num w:numId="15" w16cid:durableId="1835870922">
    <w:abstractNumId w:val="4"/>
  </w:num>
  <w:num w:numId="16" w16cid:durableId="1346129606">
    <w:abstractNumId w:val="8"/>
  </w:num>
  <w:num w:numId="17" w16cid:durableId="1008949999">
    <w:abstractNumId w:val="3"/>
  </w:num>
  <w:num w:numId="18" w16cid:durableId="1370491680">
    <w:abstractNumId w:val="2"/>
  </w:num>
  <w:num w:numId="19" w16cid:durableId="797455386">
    <w:abstractNumId w:val="1"/>
  </w:num>
  <w:num w:numId="20" w16cid:durableId="29838479">
    <w:abstractNumId w:val="0"/>
  </w:num>
  <w:num w:numId="21" w16cid:durableId="1644845605">
    <w:abstractNumId w:val="4"/>
  </w:num>
  <w:num w:numId="22" w16cid:durableId="1219709663">
    <w:abstractNumId w:val="8"/>
  </w:num>
  <w:num w:numId="23" w16cid:durableId="444081999">
    <w:abstractNumId w:val="3"/>
  </w:num>
  <w:num w:numId="24" w16cid:durableId="803040080">
    <w:abstractNumId w:val="2"/>
  </w:num>
  <w:num w:numId="25" w16cid:durableId="335812601">
    <w:abstractNumId w:val="1"/>
  </w:num>
  <w:num w:numId="26" w16cid:durableId="480928944">
    <w:abstractNumId w:val="19"/>
  </w:num>
  <w:num w:numId="27" w16cid:durableId="796987713">
    <w:abstractNumId w:val="11"/>
  </w:num>
  <w:num w:numId="28" w16cid:durableId="893388911">
    <w:abstractNumId w:val="14"/>
  </w:num>
  <w:num w:numId="29" w16cid:durableId="2021008856">
    <w:abstractNumId w:val="18"/>
  </w:num>
  <w:num w:numId="30" w16cid:durableId="1275134532">
    <w:abstractNumId w:val="9"/>
  </w:num>
  <w:num w:numId="31" w16cid:durableId="529102010">
    <w:abstractNumId w:val="7"/>
  </w:num>
  <w:num w:numId="32" w16cid:durableId="1833258954">
    <w:abstractNumId w:val="6"/>
  </w:num>
  <w:num w:numId="33" w16cid:durableId="217396652">
    <w:abstractNumId w:val="13"/>
  </w:num>
  <w:num w:numId="34" w16cid:durableId="347751989">
    <w:abstractNumId w:val="17"/>
  </w:num>
  <w:num w:numId="35" w16cid:durableId="1699549621">
    <w:abstractNumId w:val="16"/>
  </w:num>
  <w:num w:numId="36" w16cid:durableId="1739548024">
    <w:abstractNumId w:val="12"/>
  </w:num>
  <w:num w:numId="37" w16cid:durableId="4198409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2588608">
    <w:abstractNumId w:val="15"/>
  </w:num>
  <w:num w:numId="39" w16cid:durableId="1958098658">
    <w:abstractNumId w:val="11"/>
  </w:num>
  <w:num w:numId="40" w16cid:durableId="879904168">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1A6A"/>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376"/>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492"/>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8"/>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847"/>
    <w:rsid w:val="00065AE5"/>
    <w:rsid w:val="00066621"/>
    <w:rsid w:val="00066658"/>
    <w:rsid w:val="000667A4"/>
    <w:rsid w:val="00066912"/>
    <w:rsid w:val="00066B24"/>
    <w:rsid w:val="0006704F"/>
    <w:rsid w:val="000675D5"/>
    <w:rsid w:val="00067EDF"/>
    <w:rsid w:val="00067F66"/>
    <w:rsid w:val="000701D5"/>
    <w:rsid w:val="000702C9"/>
    <w:rsid w:val="00070436"/>
    <w:rsid w:val="0007077A"/>
    <w:rsid w:val="0007097F"/>
    <w:rsid w:val="000709F2"/>
    <w:rsid w:val="00070A06"/>
    <w:rsid w:val="00070AE7"/>
    <w:rsid w:val="00070D21"/>
    <w:rsid w:val="00070F3B"/>
    <w:rsid w:val="000717DC"/>
    <w:rsid w:val="00071A0A"/>
    <w:rsid w:val="00071E7E"/>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C43"/>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A30"/>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8A8"/>
    <w:rsid w:val="000C09CB"/>
    <w:rsid w:val="000C0B2B"/>
    <w:rsid w:val="000C18C4"/>
    <w:rsid w:val="000C1EE6"/>
    <w:rsid w:val="000C2230"/>
    <w:rsid w:val="000C23CF"/>
    <w:rsid w:val="000C24D0"/>
    <w:rsid w:val="000C2648"/>
    <w:rsid w:val="000C2706"/>
    <w:rsid w:val="000C2AFF"/>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95F"/>
    <w:rsid w:val="000D2976"/>
    <w:rsid w:val="000D2B02"/>
    <w:rsid w:val="000D2D3F"/>
    <w:rsid w:val="000D2E37"/>
    <w:rsid w:val="000D32D6"/>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40"/>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301"/>
    <w:rsid w:val="000E5782"/>
    <w:rsid w:val="000E5E77"/>
    <w:rsid w:val="000E6655"/>
    <w:rsid w:val="000E69E2"/>
    <w:rsid w:val="000E7862"/>
    <w:rsid w:val="000F0224"/>
    <w:rsid w:val="000F1282"/>
    <w:rsid w:val="000F184D"/>
    <w:rsid w:val="000F1947"/>
    <w:rsid w:val="000F1B8D"/>
    <w:rsid w:val="000F1EE0"/>
    <w:rsid w:val="000F281A"/>
    <w:rsid w:val="000F284D"/>
    <w:rsid w:val="000F291B"/>
    <w:rsid w:val="000F305E"/>
    <w:rsid w:val="000F327B"/>
    <w:rsid w:val="000F32F9"/>
    <w:rsid w:val="000F4149"/>
    <w:rsid w:val="000F52B8"/>
    <w:rsid w:val="000F535B"/>
    <w:rsid w:val="000F6178"/>
    <w:rsid w:val="000F645C"/>
    <w:rsid w:val="000F6493"/>
    <w:rsid w:val="000F6D48"/>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80E"/>
    <w:rsid w:val="00112AEE"/>
    <w:rsid w:val="00112CEE"/>
    <w:rsid w:val="0011320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07B"/>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6F21"/>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89"/>
    <w:rsid w:val="001623EF"/>
    <w:rsid w:val="001626F7"/>
    <w:rsid w:val="00162786"/>
    <w:rsid w:val="001629A1"/>
    <w:rsid w:val="001630EE"/>
    <w:rsid w:val="0016319E"/>
    <w:rsid w:val="0016374F"/>
    <w:rsid w:val="0016377B"/>
    <w:rsid w:val="0016391C"/>
    <w:rsid w:val="00163AF6"/>
    <w:rsid w:val="00163C12"/>
    <w:rsid w:val="001641E6"/>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30F"/>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17A"/>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284"/>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022"/>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034"/>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98"/>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573"/>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95"/>
    <w:rsid w:val="002258FD"/>
    <w:rsid w:val="00225A23"/>
    <w:rsid w:val="00225F37"/>
    <w:rsid w:val="002262B4"/>
    <w:rsid w:val="002262D9"/>
    <w:rsid w:val="00226504"/>
    <w:rsid w:val="002267E6"/>
    <w:rsid w:val="0022686B"/>
    <w:rsid w:val="00226CFD"/>
    <w:rsid w:val="0022764D"/>
    <w:rsid w:val="002277A3"/>
    <w:rsid w:val="002277FB"/>
    <w:rsid w:val="00227CB2"/>
    <w:rsid w:val="00230101"/>
    <w:rsid w:val="0023032D"/>
    <w:rsid w:val="00230621"/>
    <w:rsid w:val="00230718"/>
    <w:rsid w:val="00230BB1"/>
    <w:rsid w:val="00230D55"/>
    <w:rsid w:val="00230ECE"/>
    <w:rsid w:val="0023102E"/>
    <w:rsid w:val="00231050"/>
    <w:rsid w:val="00231067"/>
    <w:rsid w:val="0023111B"/>
    <w:rsid w:val="00231129"/>
    <w:rsid w:val="00231210"/>
    <w:rsid w:val="002324A2"/>
    <w:rsid w:val="0023251C"/>
    <w:rsid w:val="00232918"/>
    <w:rsid w:val="00232F7D"/>
    <w:rsid w:val="00233514"/>
    <w:rsid w:val="002338DD"/>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5DE"/>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892"/>
    <w:rsid w:val="00255D1E"/>
    <w:rsid w:val="002561D6"/>
    <w:rsid w:val="00256340"/>
    <w:rsid w:val="002565DB"/>
    <w:rsid w:val="00256B63"/>
    <w:rsid w:val="00257107"/>
    <w:rsid w:val="00257473"/>
    <w:rsid w:val="002575D4"/>
    <w:rsid w:val="00257D5F"/>
    <w:rsid w:val="0026045D"/>
    <w:rsid w:val="002617C3"/>
    <w:rsid w:val="0026184B"/>
    <w:rsid w:val="00261A79"/>
    <w:rsid w:val="0026299A"/>
    <w:rsid w:val="00262AFB"/>
    <w:rsid w:val="002631FB"/>
    <w:rsid w:val="00263228"/>
    <w:rsid w:val="00263683"/>
    <w:rsid w:val="00263707"/>
    <w:rsid w:val="002642DD"/>
    <w:rsid w:val="0026440B"/>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2ED"/>
    <w:rsid w:val="0027548D"/>
    <w:rsid w:val="0027554C"/>
    <w:rsid w:val="00276146"/>
    <w:rsid w:val="0027619F"/>
    <w:rsid w:val="00276C64"/>
    <w:rsid w:val="00276E54"/>
    <w:rsid w:val="00276F36"/>
    <w:rsid w:val="00276FC9"/>
    <w:rsid w:val="002776B6"/>
    <w:rsid w:val="002777AE"/>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1EC6"/>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520"/>
    <w:rsid w:val="002C77E2"/>
    <w:rsid w:val="002C7C5D"/>
    <w:rsid w:val="002D0242"/>
    <w:rsid w:val="002D0420"/>
    <w:rsid w:val="002D0850"/>
    <w:rsid w:val="002D092D"/>
    <w:rsid w:val="002D0EC6"/>
    <w:rsid w:val="002D1051"/>
    <w:rsid w:val="002D10EA"/>
    <w:rsid w:val="002D14E7"/>
    <w:rsid w:val="002D1FF0"/>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244"/>
    <w:rsid w:val="00302E1B"/>
    <w:rsid w:val="003032C7"/>
    <w:rsid w:val="00303BF8"/>
    <w:rsid w:val="00303EC4"/>
    <w:rsid w:val="0030448D"/>
    <w:rsid w:val="0030499F"/>
    <w:rsid w:val="003064BD"/>
    <w:rsid w:val="0030658F"/>
    <w:rsid w:val="00306790"/>
    <w:rsid w:val="003068C7"/>
    <w:rsid w:val="00306914"/>
    <w:rsid w:val="00306B09"/>
    <w:rsid w:val="00307C40"/>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E8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084E"/>
    <w:rsid w:val="003310B0"/>
    <w:rsid w:val="003310E7"/>
    <w:rsid w:val="0033142D"/>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7E7"/>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2D"/>
    <w:rsid w:val="00344347"/>
    <w:rsid w:val="00345161"/>
    <w:rsid w:val="0034548A"/>
    <w:rsid w:val="003454CF"/>
    <w:rsid w:val="0034578B"/>
    <w:rsid w:val="00345871"/>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27FA"/>
    <w:rsid w:val="003531D2"/>
    <w:rsid w:val="0035402C"/>
    <w:rsid w:val="00354CA3"/>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E0"/>
    <w:rsid w:val="00380CF3"/>
    <w:rsid w:val="00380D9A"/>
    <w:rsid w:val="0038136B"/>
    <w:rsid w:val="00381461"/>
    <w:rsid w:val="00381607"/>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2B"/>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1C9E"/>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B86"/>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09F"/>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4B1"/>
    <w:rsid w:val="003F0B6F"/>
    <w:rsid w:val="003F167F"/>
    <w:rsid w:val="003F172C"/>
    <w:rsid w:val="003F1AEC"/>
    <w:rsid w:val="003F1B35"/>
    <w:rsid w:val="003F1FEC"/>
    <w:rsid w:val="003F2155"/>
    <w:rsid w:val="003F237B"/>
    <w:rsid w:val="003F243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4BA"/>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6EB7"/>
    <w:rsid w:val="00427069"/>
    <w:rsid w:val="004271E4"/>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7AC"/>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5EC"/>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74"/>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0F9"/>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2FC"/>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A0"/>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85"/>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DD3"/>
    <w:rsid w:val="004A3E21"/>
    <w:rsid w:val="004A3ECC"/>
    <w:rsid w:val="004A3FF0"/>
    <w:rsid w:val="004A47FA"/>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DA8"/>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1A"/>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3AC"/>
    <w:rsid w:val="00511868"/>
    <w:rsid w:val="00511B70"/>
    <w:rsid w:val="00511C45"/>
    <w:rsid w:val="00511F5B"/>
    <w:rsid w:val="00511FBF"/>
    <w:rsid w:val="005127E8"/>
    <w:rsid w:val="00512CE8"/>
    <w:rsid w:val="00513126"/>
    <w:rsid w:val="005131A6"/>
    <w:rsid w:val="005132B1"/>
    <w:rsid w:val="00513891"/>
    <w:rsid w:val="00513EC1"/>
    <w:rsid w:val="00514415"/>
    <w:rsid w:val="00514890"/>
    <w:rsid w:val="00514B93"/>
    <w:rsid w:val="00514DDD"/>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05B"/>
    <w:rsid w:val="005230B0"/>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247"/>
    <w:rsid w:val="00543C05"/>
    <w:rsid w:val="00543E82"/>
    <w:rsid w:val="00544277"/>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0FF9"/>
    <w:rsid w:val="00551650"/>
    <w:rsid w:val="005516AF"/>
    <w:rsid w:val="0055195E"/>
    <w:rsid w:val="00551FE1"/>
    <w:rsid w:val="0055320F"/>
    <w:rsid w:val="00553321"/>
    <w:rsid w:val="00553774"/>
    <w:rsid w:val="00553C2F"/>
    <w:rsid w:val="00553F02"/>
    <w:rsid w:val="00554422"/>
    <w:rsid w:val="00554510"/>
    <w:rsid w:val="00555475"/>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3588"/>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1E9F"/>
    <w:rsid w:val="0058245D"/>
    <w:rsid w:val="00582725"/>
    <w:rsid w:val="00582728"/>
    <w:rsid w:val="005828BE"/>
    <w:rsid w:val="00582912"/>
    <w:rsid w:val="00582A31"/>
    <w:rsid w:val="00582C28"/>
    <w:rsid w:val="00582EE6"/>
    <w:rsid w:val="00583091"/>
    <w:rsid w:val="00583B5B"/>
    <w:rsid w:val="00583C12"/>
    <w:rsid w:val="005840B1"/>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34A"/>
    <w:rsid w:val="005875B1"/>
    <w:rsid w:val="005876D8"/>
    <w:rsid w:val="00587ED6"/>
    <w:rsid w:val="00590199"/>
    <w:rsid w:val="00590250"/>
    <w:rsid w:val="005908FF"/>
    <w:rsid w:val="00590AA2"/>
    <w:rsid w:val="00590CB2"/>
    <w:rsid w:val="00590D0F"/>
    <w:rsid w:val="00590DE2"/>
    <w:rsid w:val="00591107"/>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048"/>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8F8"/>
    <w:rsid w:val="005A4AFC"/>
    <w:rsid w:val="005A4F58"/>
    <w:rsid w:val="005A5017"/>
    <w:rsid w:val="005A5151"/>
    <w:rsid w:val="005A5727"/>
    <w:rsid w:val="005A6029"/>
    <w:rsid w:val="005A648D"/>
    <w:rsid w:val="005A6504"/>
    <w:rsid w:val="005A6747"/>
    <w:rsid w:val="005A67EE"/>
    <w:rsid w:val="005A6AF8"/>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2FF"/>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A7E"/>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577"/>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595C"/>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E7E"/>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362"/>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0D87"/>
    <w:rsid w:val="00630E5D"/>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29F1"/>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664"/>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A45"/>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DE"/>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806"/>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874"/>
    <w:rsid w:val="00683C7A"/>
    <w:rsid w:val="00683CC2"/>
    <w:rsid w:val="00683DED"/>
    <w:rsid w:val="00684117"/>
    <w:rsid w:val="00684F99"/>
    <w:rsid w:val="00684FC0"/>
    <w:rsid w:val="006850E0"/>
    <w:rsid w:val="006853B9"/>
    <w:rsid w:val="0068588C"/>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5A5"/>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89"/>
    <w:rsid w:val="006A032A"/>
    <w:rsid w:val="006A1546"/>
    <w:rsid w:val="006A154E"/>
    <w:rsid w:val="006A19B9"/>
    <w:rsid w:val="006A1A31"/>
    <w:rsid w:val="006A1DF8"/>
    <w:rsid w:val="006A1FA8"/>
    <w:rsid w:val="006A2193"/>
    <w:rsid w:val="006A21B9"/>
    <w:rsid w:val="006A2505"/>
    <w:rsid w:val="006A274E"/>
    <w:rsid w:val="006A2C62"/>
    <w:rsid w:val="006A2DAE"/>
    <w:rsid w:val="006A32A4"/>
    <w:rsid w:val="006A35F2"/>
    <w:rsid w:val="006A37A5"/>
    <w:rsid w:val="006A3D52"/>
    <w:rsid w:val="006A4413"/>
    <w:rsid w:val="006A450A"/>
    <w:rsid w:val="006A473D"/>
    <w:rsid w:val="006A4922"/>
    <w:rsid w:val="006A4987"/>
    <w:rsid w:val="006A4CD1"/>
    <w:rsid w:val="006A4E08"/>
    <w:rsid w:val="006A4ED2"/>
    <w:rsid w:val="006A4F38"/>
    <w:rsid w:val="006A5540"/>
    <w:rsid w:val="006A55B4"/>
    <w:rsid w:val="006A5BF1"/>
    <w:rsid w:val="006A5D40"/>
    <w:rsid w:val="006A5EB6"/>
    <w:rsid w:val="006A617F"/>
    <w:rsid w:val="006A6604"/>
    <w:rsid w:val="006A672F"/>
    <w:rsid w:val="006A675C"/>
    <w:rsid w:val="006A6CB0"/>
    <w:rsid w:val="006A6CCF"/>
    <w:rsid w:val="006A743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BB2"/>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630"/>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8CC"/>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82C"/>
    <w:rsid w:val="00713CBF"/>
    <w:rsid w:val="00714012"/>
    <w:rsid w:val="00714D4B"/>
    <w:rsid w:val="00714DDC"/>
    <w:rsid w:val="007150A3"/>
    <w:rsid w:val="00715212"/>
    <w:rsid w:val="0071529D"/>
    <w:rsid w:val="00715962"/>
    <w:rsid w:val="00715BD2"/>
    <w:rsid w:val="00715BE2"/>
    <w:rsid w:val="00715DBC"/>
    <w:rsid w:val="00715E7B"/>
    <w:rsid w:val="00716787"/>
    <w:rsid w:val="00716936"/>
    <w:rsid w:val="00716F3B"/>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4DE9"/>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6FA"/>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3F5"/>
    <w:rsid w:val="007644CC"/>
    <w:rsid w:val="0076463B"/>
    <w:rsid w:val="00764FB8"/>
    <w:rsid w:val="007650C2"/>
    <w:rsid w:val="00765898"/>
    <w:rsid w:val="007660E3"/>
    <w:rsid w:val="00766240"/>
    <w:rsid w:val="00766705"/>
    <w:rsid w:val="00766A3F"/>
    <w:rsid w:val="0076727D"/>
    <w:rsid w:val="00767599"/>
    <w:rsid w:val="0076791B"/>
    <w:rsid w:val="00767D4F"/>
    <w:rsid w:val="00767E53"/>
    <w:rsid w:val="00767EC1"/>
    <w:rsid w:val="00767EF9"/>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47FF"/>
    <w:rsid w:val="00785280"/>
    <w:rsid w:val="007855F6"/>
    <w:rsid w:val="00785EC0"/>
    <w:rsid w:val="0078638B"/>
    <w:rsid w:val="00786539"/>
    <w:rsid w:val="007872DA"/>
    <w:rsid w:val="00787501"/>
    <w:rsid w:val="0078782B"/>
    <w:rsid w:val="00790A51"/>
    <w:rsid w:val="0079162F"/>
    <w:rsid w:val="007917E7"/>
    <w:rsid w:val="00791E68"/>
    <w:rsid w:val="007926C2"/>
    <w:rsid w:val="00792728"/>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546"/>
    <w:rsid w:val="007A1DB6"/>
    <w:rsid w:val="007A1F4C"/>
    <w:rsid w:val="007A1F82"/>
    <w:rsid w:val="007A2087"/>
    <w:rsid w:val="007A260E"/>
    <w:rsid w:val="007A28ED"/>
    <w:rsid w:val="007A2947"/>
    <w:rsid w:val="007A2FC2"/>
    <w:rsid w:val="007A30A1"/>
    <w:rsid w:val="007A30C7"/>
    <w:rsid w:val="007A3321"/>
    <w:rsid w:val="007A3527"/>
    <w:rsid w:val="007A3EBF"/>
    <w:rsid w:val="007A41BC"/>
    <w:rsid w:val="007A4446"/>
    <w:rsid w:val="007A4595"/>
    <w:rsid w:val="007A47E7"/>
    <w:rsid w:val="007A4934"/>
    <w:rsid w:val="007A4E18"/>
    <w:rsid w:val="007A5102"/>
    <w:rsid w:val="007A5146"/>
    <w:rsid w:val="007A5240"/>
    <w:rsid w:val="007A599E"/>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0EFA"/>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05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C7F7E"/>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0A4A"/>
    <w:rsid w:val="007F126A"/>
    <w:rsid w:val="007F16A8"/>
    <w:rsid w:val="007F1793"/>
    <w:rsid w:val="007F25BC"/>
    <w:rsid w:val="007F29EC"/>
    <w:rsid w:val="007F2FFA"/>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66EC"/>
    <w:rsid w:val="0082729A"/>
    <w:rsid w:val="0082747C"/>
    <w:rsid w:val="008275C4"/>
    <w:rsid w:val="00830BCB"/>
    <w:rsid w:val="00831162"/>
    <w:rsid w:val="00831B4D"/>
    <w:rsid w:val="00832203"/>
    <w:rsid w:val="00832667"/>
    <w:rsid w:val="00832689"/>
    <w:rsid w:val="00833110"/>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682"/>
    <w:rsid w:val="008437EC"/>
    <w:rsid w:val="0084382D"/>
    <w:rsid w:val="0084388C"/>
    <w:rsid w:val="00843B15"/>
    <w:rsid w:val="008440FB"/>
    <w:rsid w:val="00844197"/>
    <w:rsid w:val="008442BE"/>
    <w:rsid w:val="00844475"/>
    <w:rsid w:val="008447F4"/>
    <w:rsid w:val="00845307"/>
    <w:rsid w:val="00845E48"/>
    <w:rsid w:val="00846167"/>
    <w:rsid w:val="0084647B"/>
    <w:rsid w:val="00846956"/>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702"/>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0DC9"/>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67DC7"/>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57A"/>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2D4"/>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0E4"/>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1F6"/>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B62"/>
    <w:rsid w:val="008C7D2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1295"/>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DF0"/>
    <w:rsid w:val="00900039"/>
    <w:rsid w:val="009002A8"/>
    <w:rsid w:val="009007A2"/>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170"/>
    <w:rsid w:val="00917535"/>
    <w:rsid w:val="0091759B"/>
    <w:rsid w:val="00917BF2"/>
    <w:rsid w:val="00917CCD"/>
    <w:rsid w:val="00920C8C"/>
    <w:rsid w:val="0092134E"/>
    <w:rsid w:val="00921575"/>
    <w:rsid w:val="009216CC"/>
    <w:rsid w:val="009217B5"/>
    <w:rsid w:val="0092225E"/>
    <w:rsid w:val="009227CC"/>
    <w:rsid w:val="00922956"/>
    <w:rsid w:val="00923514"/>
    <w:rsid w:val="009236A8"/>
    <w:rsid w:val="0092444A"/>
    <w:rsid w:val="00924514"/>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7B2"/>
    <w:rsid w:val="00936E29"/>
    <w:rsid w:val="00936E96"/>
    <w:rsid w:val="00937511"/>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43"/>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A7"/>
    <w:rsid w:val="00973706"/>
    <w:rsid w:val="009737E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C5"/>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42E"/>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961"/>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1582"/>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D34"/>
    <w:rsid w:val="009B7E3A"/>
    <w:rsid w:val="009C01F6"/>
    <w:rsid w:val="009C04A4"/>
    <w:rsid w:val="009C070D"/>
    <w:rsid w:val="009C08E9"/>
    <w:rsid w:val="009C100D"/>
    <w:rsid w:val="009C1114"/>
    <w:rsid w:val="009C1492"/>
    <w:rsid w:val="009C16EC"/>
    <w:rsid w:val="009C1A3C"/>
    <w:rsid w:val="009C24DD"/>
    <w:rsid w:val="009C2AF9"/>
    <w:rsid w:val="009C3032"/>
    <w:rsid w:val="009C3B81"/>
    <w:rsid w:val="009C404D"/>
    <w:rsid w:val="009C41F7"/>
    <w:rsid w:val="009C430F"/>
    <w:rsid w:val="009C435D"/>
    <w:rsid w:val="009C43E8"/>
    <w:rsid w:val="009C462D"/>
    <w:rsid w:val="009C496C"/>
    <w:rsid w:val="009C4B1D"/>
    <w:rsid w:val="009C4E7C"/>
    <w:rsid w:val="009C526A"/>
    <w:rsid w:val="009C5DDD"/>
    <w:rsid w:val="009C5ED3"/>
    <w:rsid w:val="009C5FC3"/>
    <w:rsid w:val="009C612D"/>
    <w:rsid w:val="009C6355"/>
    <w:rsid w:val="009C6D92"/>
    <w:rsid w:val="009C76A7"/>
    <w:rsid w:val="009C7BCB"/>
    <w:rsid w:val="009D0650"/>
    <w:rsid w:val="009D0819"/>
    <w:rsid w:val="009D1BDE"/>
    <w:rsid w:val="009D1D80"/>
    <w:rsid w:val="009D20C3"/>
    <w:rsid w:val="009D2191"/>
    <w:rsid w:val="009D241D"/>
    <w:rsid w:val="009D254D"/>
    <w:rsid w:val="009D2630"/>
    <w:rsid w:val="009D2668"/>
    <w:rsid w:val="009D28ED"/>
    <w:rsid w:val="009D2D7A"/>
    <w:rsid w:val="009D2F7E"/>
    <w:rsid w:val="009D2FF1"/>
    <w:rsid w:val="009D38C3"/>
    <w:rsid w:val="009D471E"/>
    <w:rsid w:val="009D4E96"/>
    <w:rsid w:val="009D5276"/>
    <w:rsid w:val="009D5485"/>
    <w:rsid w:val="009D5525"/>
    <w:rsid w:val="009D5952"/>
    <w:rsid w:val="009D5D20"/>
    <w:rsid w:val="009D5D3D"/>
    <w:rsid w:val="009D635D"/>
    <w:rsid w:val="009D63DC"/>
    <w:rsid w:val="009D675B"/>
    <w:rsid w:val="009D67B7"/>
    <w:rsid w:val="009D69AE"/>
    <w:rsid w:val="009D6BB5"/>
    <w:rsid w:val="009D6E78"/>
    <w:rsid w:val="009D70C8"/>
    <w:rsid w:val="009D72FE"/>
    <w:rsid w:val="009D7438"/>
    <w:rsid w:val="009D78AE"/>
    <w:rsid w:val="009D7A37"/>
    <w:rsid w:val="009E04AD"/>
    <w:rsid w:val="009E0D56"/>
    <w:rsid w:val="009E0EDC"/>
    <w:rsid w:val="009E1070"/>
    <w:rsid w:val="009E10C4"/>
    <w:rsid w:val="009E1647"/>
    <w:rsid w:val="009E18AE"/>
    <w:rsid w:val="009E1C21"/>
    <w:rsid w:val="009E1C99"/>
    <w:rsid w:val="009E1F94"/>
    <w:rsid w:val="009E2157"/>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579B"/>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15"/>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05"/>
    <w:rsid w:val="00A15BC7"/>
    <w:rsid w:val="00A15F57"/>
    <w:rsid w:val="00A161EF"/>
    <w:rsid w:val="00A166DA"/>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3B7"/>
    <w:rsid w:val="00A23482"/>
    <w:rsid w:val="00A23C96"/>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36"/>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BD1"/>
    <w:rsid w:val="00A74D57"/>
    <w:rsid w:val="00A74E8C"/>
    <w:rsid w:val="00A75655"/>
    <w:rsid w:val="00A75C60"/>
    <w:rsid w:val="00A75EBE"/>
    <w:rsid w:val="00A76068"/>
    <w:rsid w:val="00A7627F"/>
    <w:rsid w:val="00A76B9E"/>
    <w:rsid w:val="00A76F7A"/>
    <w:rsid w:val="00A77136"/>
    <w:rsid w:val="00A775A3"/>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EF7"/>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33"/>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882"/>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62A5"/>
    <w:rsid w:val="00AD690F"/>
    <w:rsid w:val="00AD6947"/>
    <w:rsid w:val="00AD69ED"/>
    <w:rsid w:val="00AD6B2C"/>
    <w:rsid w:val="00AD6BEC"/>
    <w:rsid w:val="00AD7BD3"/>
    <w:rsid w:val="00AD7C11"/>
    <w:rsid w:val="00AD7C43"/>
    <w:rsid w:val="00AD7DEC"/>
    <w:rsid w:val="00AD7FD0"/>
    <w:rsid w:val="00AE071A"/>
    <w:rsid w:val="00AE0909"/>
    <w:rsid w:val="00AE0CF7"/>
    <w:rsid w:val="00AE0FEE"/>
    <w:rsid w:val="00AE14F1"/>
    <w:rsid w:val="00AE15DB"/>
    <w:rsid w:val="00AE16A9"/>
    <w:rsid w:val="00AE1A85"/>
    <w:rsid w:val="00AE1A95"/>
    <w:rsid w:val="00AE1B57"/>
    <w:rsid w:val="00AE1DE0"/>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634"/>
    <w:rsid w:val="00AF3836"/>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197"/>
    <w:rsid w:val="00B00312"/>
    <w:rsid w:val="00B005D1"/>
    <w:rsid w:val="00B00A71"/>
    <w:rsid w:val="00B00B69"/>
    <w:rsid w:val="00B01445"/>
    <w:rsid w:val="00B0169C"/>
    <w:rsid w:val="00B0178C"/>
    <w:rsid w:val="00B01890"/>
    <w:rsid w:val="00B018FF"/>
    <w:rsid w:val="00B01912"/>
    <w:rsid w:val="00B02170"/>
    <w:rsid w:val="00B021D7"/>
    <w:rsid w:val="00B024A6"/>
    <w:rsid w:val="00B02A47"/>
    <w:rsid w:val="00B02EC4"/>
    <w:rsid w:val="00B0303E"/>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39A"/>
    <w:rsid w:val="00B06913"/>
    <w:rsid w:val="00B0699D"/>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9E0"/>
    <w:rsid w:val="00B15BCA"/>
    <w:rsid w:val="00B15C19"/>
    <w:rsid w:val="00B15C84"/>
    <w:rsid w:val="00B16053"/>
    <w:rsid w:val="00B16264"/>
    <w:rsid w:val="00B167D9"/>
    <w:rsid w:val="00B16911"/>
    <w:rsid w:val="00B1698E"/>
    <w:rsid w:val="00B17431"/>
    <w:rsid w:val="00B1794B"/>
    <w:rsid w:val="00B17AE8"/>
    <w:rsid w:val="00B17B90"/>
    <w:rsid w:val="00B17C45"/>
    <w:rsid w:val="00B17DFB"/>
    <w:rsid w:val="00B2021E"/>
    <w:rsid w:val="00B20A20"/>
    <w:rsid w:val="00B2146A"/>
    <w:rsid w:val="00B21808"/>
    <w:rsid w:val="00B22634"/>
    <w:rsid w:val="00B22872"/>
    <w:rsid w:val="00B2292D"/>
    <w:rsid w:val="00B2297B"/>
    <w:rsid w:val="00B22D18"/>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75C"/>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6A60"/>
    <w:rsid w:val="00B470D2"/>
    <w:rsid w:val="00B4771F"/>
    <w:rsid w:val="00B47894"/>
    <w:rsid w:val="00B47B6B"/>
    <w:rsid w:val="00B503A2"/>
    <w:rsid w:val="00B506F1"/>
    <w:rsid w:val="00B50D35"/>
    <w:rsid w:val="00B50F20"/>
    <w:rsid w:val="00B50F40"/>
    <w:rsid w:val="00B50FC7"/>
    <w:rsid w:val="00B51A9B"/>
    <w:rsid w:val="00B52373"/>
    <w:rsid w:val="00B52877"/>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1C82"/>
    <w:rsid w:val="00B61C99"/>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197C"/>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61"/>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9BD"/>
    <w:rsid w:val="00BA2B17"/>
    <w:rsid w:val="00BA2C97"/>
    <w:rsid w:val="00BA2F71"/>
    <w:rsid w:val="00BA3199"/>
    <w:rsid w:val="00BA3222"/>
    <w:rsid w:val="00BA32F8"/>
    <w:rsid w:val="00BA335F"/>
    <w:rsid w:val="00BA3382"/>
    <w:rsid w:val="00BA3684"/>
    <w:rsid w:val="00BA36A8"/>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20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7D1"/>
    <w:rsid w:val="00BB7F6F"/>
    <w:rsid w:val="00BC0346"/>
    <w:rsid w:val="00BC0683"/>
    <w:rsid w:val="00BC0A4F"/>
    <w:rsid w:val="00BC130B"/>
    <w:rsid w:val="00BC1850"/>
    <w:rsid w:val="00BC18F9"/>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83F"/>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4AE5"/>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7B5"/>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131"/>
    <w:rsid w:val="00C00F1D"/>
    <w:rsid w:val="00C0128B"/>
    <w:rsid w:val="00C015CB"/>
    <w:rsid w:val="00C016BE"/>
    <w:rsid w:val="00C01C77"/>
    <w:rsid w:val="00C02EF2"/>
    <w:rsid w:val="00C03576"/>
    <w:rsid w:val="00C048C1"/>
    <w:rsid w:val="00C04913"/>
    <w:rsid w:val="00C04A19"/>
    <w:rsid w:val="00C04AB3"/>
    <w:rsid w:val="00C04C54"/>
    <w:rsid w:val="00C05383"/>
    <w:rsid w:val="00C05911"/>
    <w:rsid w:val="00C0591E"/>
    <w:rsid w:val="00C05F2E"/>
    <w:rsid w:val="00C05FAE"/>
    <w:rsid w:val="00C0604C"/>
    <w:rsid w:val="00C061E6"/>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E91"/>
    <w:rsid w:val="00C44FB9"/>
    <w:rsid w:val="00C452FE"/>
    <w:rsid w:val="00C4539E"/>
    <w:rsid w:val="00C45573"/>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BF9"/>
    <w:rsid w:val="00C52F24"/>
    <w:rsid w:val="00C531D1"/>
    <w:rsid w:val="00C53635"/>
    <w:rsid w:val="00C53AF7"/>
    <w:rsid w:val="00C53D24"/>
    <w:rsid w:val="00C5403A"/>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65C"/>
    <w:rsid w:val="00C76C2F"/>
    <w:rsid w:val="00C76F6D"/>
    <w:rsid w:val="00C779F9"/>
    <w:rsid w:val="00C80311"/>
    <w:rsid w:val="00C81B56"/>
    <w:rsid w:val="00C81BE5"/>
    <w:rsid w:val="00C82351"/>
    <w:rsid w:val="00C829AA"/>
    <w:rsid w:val="00C82C72"/>
    <w:rsid w:val="00C82E33"/>
    <w:rsid w:val="00C83214"/>
    <w:rsid w:val="00C83507"/>
    <w:rsid w:val="00C83583"/>
    <w:rsid w:val="00C835E6"/>
    <w:rsid w:val="00C838AB"/>
    <w:rsid w:val="00C838BA"/>
    <w:rsid w:val="00C83D73"/>
    <w:rsid w:val="00C83E69"/>
    <w:rsid w:val="00C843E7"/>
    <w:rsid w:val="00C84913"/>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5E22"/>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0FCC"/>
    <w:rsid w:val="00CB108D"/>
    <w:rsid w:val="00CB16C3"/>
    <w:rsid w:val="00CB181D"/>
    <w:rsid w:val="00CB23FE"/>
    <w:rsid w:val="00CB3F9E"/>
    <w:rsid w:val="00CB45BF"/>
    <w:rsid w:val="00CB45DD"/>
    <w:rsid w:val="00CB4BC6"/>
    <w:rsid w:val="00CB5A9B"/>
    <w:rsid w:val="00CB5DA7"/>
    <w:rsid w:val="00CB6474"/>
    <w:rsid w:val="00CB672D"/>
    <w:rsid w:val="00CB686D"/>
    <w:rsid w:val="00CB70B0"/>
    <w:rsid w:val="00CB73FB"/>
    <w:rsid w:val="00CB7C8F"/>
    <w:rsid w:val="00CB7C9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73E"/>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D7E7F"/>
    <w:rsid w:val="00CD7F38"/>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9B3"/>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1D3"/>
    <w:rsid w:val="00D163F5"/>
    <w:rsid w:val="00D16BC1"/>
    <w:rsid w:val="00D16E50"/>
    <w:rsid w:val="00D17030"/>
    <w:rsid w:val="00D174E0"/>
    <w:rsid w:val="00D176AF"/>
    <w:rsid w:val="00D177AE"/>
    <w:rsid w:val="00D178DD"/>
    <w:rsid w:val="00D17EE0"/>
    <w:rsid w:val="00D200B0"/>
    <w:rsid w:val="00D20E16"/>
    <w:rsid w:val="00D20FA1"/>
    <w:rsid w:val="00D21368"/>
    <w:rsid w:val="00D21645"/>
    <w:rsid w:val="00D21DDA"/>
    <w:rsid w:val="00D21F2D"/>
    <w:rsid w:val="00D22373"/>
    <w:rsid w:val="00D224AB"/>
    <w:rsid w:val="00D226C4"/>
    <w:rsid w:val="00D22B3B"/>
    <w:rsid w:val="00D23003"/>
    <w:rsid w:val="00D23365"/>
    <w:rsid w:val="00D239CF"/>
    <w:rsid w:val="00D23E32"/>
    <w:rsid w:val="00D2481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4AC"/>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65A"/>
    <w:rsid w:val="00D37847"/>
    <w:rsid w:val="00D3787C"/>
    <w:rsid w:val="00D37EB2"/>
    <w:rsid w:val="00D4045B"/>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0B3"/>
    <w:rsid w:val="00D52707"/>
    <w:rsid w:val="00D528DA"/>
    <w:rsid w:val="00D52BE5"/>
    <w:rsid w:val="00D52CD6"/>
    <w:rsid w:val="00D52E32"/>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AF3"/>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77F30"/>
    <w:rsid w:val="00D80341"/>
    <w:rsid w:val="00D80F3E"/>
    <w:rsid w:val="00D8111A"/>
    <w:rsid w:val="00D81153"/>
    <w:rsid w:val="00D8122B"/>
    <w:rsid w:val="00D813FA"/>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5D9"/>
    <w:rsid w:val="00D90761"/>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3F1"/>
    <w:rsid w:val="00D94722"/>
    <w:rsid w:val="00D94D88"/>
    <w:rsid w:val="00D94F99"/>
    <w:rsid w:val="00D950DE"/>
    <w:rsid w:val="00D9510C"/>
    <w:rsid w:val="00D95A4C"/>
    <w:rsid w:val="00D95E76"/>
    <w:rsid w:val="00D95EC2"/>
    <w:rsid w:val="00D95F1F"/>
    <w:rsid w:val="00D961F2"/>
    <w:rsid w:val="00D9643D"/>
    <w:rsid w:val="00D966B7"/>
    <w:rsid w:val="00D9721B"/>
    <w:rsid w:val="00D97283"/>
    <w:rsid w:val="00D979AB"/>
    <w:rsid w:val="00D979F8"/>
    <w:rsid w:val="00D97AAF"/>
    <w:rsid w:val="00D97BB3"/>
    <w:rsid w:val="00DA0959"/>
    <w:rsid w:val="00DA0BA7"/>
    <w:rsid w:val="00DA1A9A"/>
    <w:rsid w:val="00DA1ED1"/>
    <w:rsid w:val="00DA20A6"/>
    <w:rsid w:val="00DA2649"/>
    <w:rsid w:val="00DA2707"/>
    <w:rsid w:val="00DA2EB6"/>
    <w:rsid w:val="00DA35F9"/>
    <w:rsid w:val="00DA3B1A"/>
    <w:rsid w:val="00DA3ED2"/>
    <w:rsid w:val="00DA41FA"/>
    <w:rsid w:val="00DA4787"/>
    <w:rsid w:val="00DA5529"/>
    <w:rsid w:val="00DA5909"/>
    <w:rsid w:val="00DA593E"/>
    <w:rsid w:val="00DA59F8"/>
    <w:rsid w:val="00DA5CC8"/>
    <w:rsid w:val="00DA5D3D"/>
    <w:rsid w:val="00DA5F86"/>
    <w:rsid w:val="00DA687A"/>
    <w:rsid w:val="00DA692C"/>
    <w:rsid w:val="00DA6A9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D9C"/>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DC1"/>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7F4"/>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AFF"/>
    <w:rsid w:val="00E00BF3"/>
    <w:rsid w:val="00E00CBA"/>
    <w:rsid w:val="00E00E92"/>
    <w:rsid w:val="00E00FDE"/>
    <w:rsid w:val="00E01008"/>
    <w:rsid w:val="00E018DA"/>
    <w:rsid w:val="00E01FCC"/>
    <w:rsid w:val="00E020DA"/>
    <w:rsid w:val="00E023B8"/>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C5"/>
    <w:rsid w:val="00E219EE"/>
    <w:rsid w:val="00E222D8"/>
    <w:rsid w:val="00E22368"/>
    <w:rsid w:val="00E22441"/>
    <w:rsid w:val="00E2250C"/>
    <w:rsid w:val="00E2258C"/>
    <w:rsid w:val="00E22C3B"/>
    <w:rsid w:val="00E22E22"/>
    <w:rsid w:val="00E23204"/>
    <w:rsid w:val="00E2378B"/>
    <w:rsid w:val="00E23A16"/>
    <w:rsid w:val="00E23B4C"/>
    <w:rsid w:val="00E23DD2"/>
    <w:rsid w:val="00E23EBF"/>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0964"/>
    <w:rsid w:val="00E4144E"/>
    <w:rsid w:val="00E417D5"/>
    <w:rsid w:val="00E41912"/>
    <w:rsid w:val="00E41D72"/>
    <w:rsid w:val="00E4246D"/>
    <w:rsid w:val="00E42ACC"/>
    <w:rsid w:val="00E42BA8"/>
    <w:rsid w:val="00E42C25"/>
    <w:rsid w:val="00E42FC7"/>
    <w:rsid w:val="00E43318"/>
    <w:rsid w:val="00E43787"/>
    <w:rsid w:val="00E437FC"/>
    <w:rsid w:val="00E43DA0"/>
    <w:rsid w:val="00E43FCA"/>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12D"/>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E0"/>
    <w:rsid w:val="00E53147"/>
    <w:rsid w:val="00E53236"/>
    <w:rsid w:val="00E53262"/>
    <w:rsid w:val="00E533BF"/>
    <w:rsid w:val="00E535ED"/>
    <w:rsid w:val="00E53707"/>
    <w:rsid w:val="00E53AAD"/>
    <w:rsid w:val="00E541E8"/>
    <w:rsid w:val="00E54C8E"/>
    <w:rsid w:val="00E54D53"/>
    <w:rsid w:val="00E54F3F"/>
    <w:rsid w:val="00E550E2"/>
    <w:rsid w:val="00E552B9"/>
    <w:rsid w:val="00E5550C"/>
    <w:rsid w:val="00E5562E"/>
    <w:rsid w:val="00E5582A"/>
    <w:rsid w:val="00E55E9C"/>
    <w:rsid w:val="00E56EE3"/>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3"/>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3DE"/>
    <w:rsid w:val="00E9192E"/>
    <w:rsid w:val="00E91B94"/>
    <w:rsid w:val="00E91CE2"/>
    <w:rsid w:val="00E91E40"/>
    <w:rsid w:val="00E91E71"/>
    <w:rsid w:val="00E91F4C"/>
    <w:rsid w:val="00E92162"/>
    <w:rsid w:val="00E927CF"/>
    <w:rsid w:val="00E92AB5"/>
    <w:rsid w:val="00E92E90"/>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2A4"/>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444"/>
    <w:rsid w:val="00ED06B6"/>
    <w:rsid w:val="00ED06BE"/>
    <w:rsid w:val="00ED0B79"/>
    <w:rsid w:val="00ED1490"/>
    <w:rsid w:val="00ED15F3"/>
    <w:rsid w:val="00ED1729"/>
    <w:rsid w:val="00ED1DD0"/>
    <w:rsid w:val="00ED220B"/>
    <w:rsid w:val="00ED2F3D"/>
    <w:rsid w:val="00ED3849"/>
    <w:rsid w:val="00ED39C6"/>
    <w:rsid w:val="00ED3AC8"/>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02"/>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72"/>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A1A"/>
    <w:rsid w:val="00F30DBF"/>
    <w:rsid w:val="00F31056"/>
    <w:rsid w:val="00F311EA"/>
    <w:rsid w:val="00F31578"/>
    <w:rsid w:val="00F31965"/>
    <w:rsid w:val="00F31C94"/>
    <w:rsid w:val="00F31D3C"/>
    <w:rsid w:val="00F322C9"/>
    <w:rsid w:val="00F3291A"/>
    <w:rsid w:val="00F32FED"/>
    <w:rsid w:val="00F3333B"/>
    <w:rsid w:val="00F33F15"/>
    <w:rsid w:val="00F34273"/>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C45"/>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3A7"/>
    <w:rsid w:val="00F53487"/>
    <w:rsid w:val="00F536A2"/>
    <w:rsid w:val="00F537C9"/>
    <w:rsid w:val="00F538E3"/>
    <w:rsid w:val="00F5452A"/>
    <w:rsid w:val="00F54B3E"/>
    <w:rsid w:val="00F54F68"/>
    <w:rsid w:val="00F56307"/>
    <w:rsid w:val="00F56349"/>
    <w:rsid w:val="00F566B8"/>
    <w:rsid w:val="00F5677C"/>
    <w:rsid w:val="00F56B36"/>
    <w:rsid w:val="00F56B39"/>
    <w:rsid w:val="00F56D3F"/>
    <w:rsid w:val="00F57663"/>
    <w:rsid w:val="00F57953"/>
    <w:rsid w:val="00F57FFB"/>
    <w:rsid w:val="00F603A6"/>
    <w:rsid w:val="00F61074"/>
    <w:rsid w:val="00F611BF"/>
    <w:rsid w:val="00F61442"/>
    <w:rsid w:val="00F614A2"/>
    <w:rsid w:val="00F62386"/>
    <w:rsid w:val="00F629FA"/>
    <w:rsid w:val="00F62DFB"/>
    <w:rsid w:val="00F632B8"/>
    <w:rsid w:val="00F63369"/>
    <w:rsid w:val="00F6376B"/>
    <w:rsid w:val="00F63CC3"/>
    <w:rsid w:val="00F64073"/>
    <w:rsid w:val="00F648DE"/>
    <w:rsid w:val="00F64C92"/>
    <w:rsid w:val="00F64D7E"/>
    <w:rsid w:val="00F651DC"/>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342"/>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6BC"/>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96A"/>
    <w:rsid w:val="00F844A3"/>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1D"/>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711"/>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0EE"/>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0AA"/>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1E49"/>
    <w:rsid w:val="00FC218E"/>
    <w:rsid w:val="00FC262B"/>
    <w:rsid w:val="00FC2684"/>
    <w:rsid w:val="00FC2D60"/>
    <w:rsid w:val="00FC3567"/>
    <w:rsid w:val="00FC37E4"/>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2CB"/>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3F1D"/>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16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E74E0"/>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67F2F107"/>
  <w15:docId w15:val="{A9B31DE2-FF32-4AC5-9502-2D20FCB5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20E"/>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34"/>
      </w:numPr>
      <w:tabs>
        <w:tab w:val="clear" w:pos="567"/>
      </w:tabs>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34"/>
      </w:numPr>
      <w:tabs>
        <w:tab w:val="clear" w:pos="567"/>
      </w:tabs>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34"/>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34"/>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34"/>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9"/>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cs="Times New Roman"/>
      <w:lang w:val="en-GB"/>
    </w:rPr>
  </w:style>
  <w:style w:type="paragraph" w:styleId="Title">
    <w:name w:val="Title"/>
    <w:basedOn w:val="Normal"/>
    <w:next w:val="Normal"/>
    <w:link w:val="TitleChar"/>
    <w:uiPriority w:val="99"/>
    <w:qFormat/>
    <w:pPr>
      <w:keepNext/>
      <w:spacing w:before="240" w:after="240"/>
      <w:ind w:left="567"/>
    </w:pPr>
    <w:rPr>
      <w:rFonts w:ascii="Times New Roman Bold" w:hAnsi="Times New Roman Bold"/>
      <w:b/>
      <w:bCs/>
      <w:spacing w:val="5"/>
      <w:kern w:val="28"/>
      <w:sz w:val="28"/>
      <w:szCs w:val="28"/>
    </w:rPr>
  </w:style>
  <w:style w:type="character" w:customStyle="1" w:styleId="TitleChar">
    <w:name w:val="Title Char"/>
    <w:link w:val="Title"/>
    <w:uiPriority w:val="99"/>
    <w:locked/>
    <w:rPr>
      <w:rFonts w:ascii="Times New Roman Bold" w:eastAsia="Times New Roman"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uiPriority w:val="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semiHidden/>
    <w:rsid w:val="006C6AEB"/>
    <w:rPr>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
    <w:uiPriority w:val="99"/>
    <w:locked/>
    <w:rPr>
      <w:rFonts w:cs="Times New Roman"/>
      <w:vertAlign w:val="superscript"/>
      <w:lang w:val="en-GB"/>
    </w:rPr>
  </w:style>
  <w:style w:type="paragraph" w:customStyle="1" w:styleId="Footnote">
    <w:name w:val="Footnote"/>
    <w:basedOn w:val="FootnoteText"/>
    <w:uiPriority w:val="99"/>
    <w:rPr>
      <w:szCs w:val="18"/>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hAnsi="Times New Roman Bold"/>
      <w:b/>
      <w:color w:val="5A5A5A"/>
    </w:rPr>
  </w:style>
  <w:style w:type="character" w:customStyle="1" w:styleId="SubtitleChar">
    <w:name w:val="Subtitle Char"/>
    <w:link w:val="Subtitle"/>
    <w:uiPriority w:val="99"/>
    <w:locked/>
    <w:rPr>
      <w:rFonts w:ascii="Times New Roman Bold" w:eastAsia="Times New Roman" w:hAnsi="Times New Roman Bold" w:cs="Times New Roman"/>
      <w:b/>
      <w:color w:val="5A5A5A"/>
      <w:kern w:val="0"/>
      <w:lang w:val="en-GB"/>
    </w:rPr>
  </w:style>
  <w:style w:type="paragraph" w:customStyle="1" w:styleId="Para1">
    <w:name w:val="Para 1"/>
    <w:basedOn w:val="Normal"/>
    <w:uiPriority w:val="99"/>
    <w:pPr>
      <w:spacing w:before="120" w:after="120"/>
      <w:ind w:left="567"/>
    </w:pPr>
  </w:style>
  <w:style w:type="character" w:styleId="PlaceholderText">
    <w:name w:val="Placeholder Tex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kern w:val="0"/>
      <w:sz w:val="20"/>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kern w:val="0"/>
      <w:sz w:val="20"/>
      <w:lang w:val="en-GB"/>
    </w:rPr>
  </w:style>
  <w:style w:type="paragraph" w:customStyle="1" w:styleId="Para2">
    <w:name w:val="Para 2"/>
    <w:uiPriority w:val="99"/>
    <w:pPr>
      <w:tabs>
        <w:tab w:val="left" w:pos="1701"/>
      </w:tabs>
      <w:spacing w:before="120" w:after="120"/>
      <w:ind w:left="567" w:firstLine="567"/>
      <w:jc w:val="both"/>
    </w:pPr>
    <w:rPr>
      <w:sz w:val="22"/>
      <w:szCs w:val="24"/>
      <w:lang w:val="en-GB"/>
    </w:rPr>
  </w:style>
  <w:style w:type="paragraph" w:customStyle="1" w:styleId="Annex">
    <w:name w:val="Annex"/>
    <w:basedOn w:val="Normal"/>
    <w:uiPriority w:val="99"/>
    <w:pPr>
      <w:spacing w:after="240"/>
    </w:pPr>
    <w:rPr>
      <w:b/>
      <w:sz w:val="28"/>
    </w:rPr>
  </w:style>
  <w:style w:type="paragraph" w:customStyle="1" w:styleId="Para30">
    <w:name w:val="Para 3"/>
    <w:basedOn w:val="Normal"/>
    <w:uiPriority w:val="99"/>
    <w:pPr>
      <w:numPr>
        <w:numId w:val="26"/>
      </w:numPr>
      <w:spacing w:before="120" w:after="120"/>
      <w:ind w:left="1134" w:firstLine="0"/>
    </w:p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styleId="Revision">
    <w:name w:val="Revision"/>
    <w:hidden/>
    <w:uiPriority w:val="99"/>
    <w:semiHidden/>
    <w:rPr>
      <w:noProof/>
      <w:sz w:val="24"/>
      <w:szCs w:val="24"/>
    </w:rPr>
  </w:style>
  <w:style w:type="character" w:styleId="PageNumber">
    <w:name w:val="page number"/>
    <w:uiPriority w:val="99"/>
    <w:rPr>
      <w:rFonts w:ascii="Times New Roman" w:hAnsi="Times New Roman" w:cs="Times New Roman"/>
      <w:sz w:val="22"/>
      <w:lang w:val="en-GB"/>
    </w:rPr>
  </w:style>
  <w:style w:type="paragraph" w:customStyle="1" w:styleId="Para3">
    <w:name w:val="Para3"/>
    <w:basedOn w:val="Normal"/>
    <w:uiPriority w:val="99"/>
    <w:pPr>
      <w:numPr>
        <w:ilvl w:val="2"/>
        <w:numId w:val="28"/>
      </w:numPr>
      <w:tabs>
        <w:tab w:val="left" w:pos="1980"/>
      </w:tabs>
      <w:spacing w:before="80" w:after="80"/>
      <w:jc w:val="left"/>
    </w:pPr>
    <w:rPr>
      <w:sz w:val="24"/>
      <w:szCs w:val="20"/>
    </w:rPr>
  </w:style>
  <w:style w:type="paragraph" w:customStyle="1" w:styleId="meetingname">
    <w:name w:val="meeting name"/>
    <w:basedOn w:val="Cornernotation"/>
    <w:uiPriority w:val="99"/>
    <w:pPr>
      <w:ind w:left="170" w:hanging="170"/>
    </w:pPr>
    <w:rPr>
      <w:b w:val="0"/>
      <w:caps/>
    </w:rPr>
  </w:style>
  <w:style w:type="paragraph" w:customStyle="1" w:styleId="StylePara1Before0pt">
    <w:name w:val="Style Para1 + Before:  0 pt"/>
    <w:basedOn w:val="Normal"/>
    <w:uiPriority w:val="99"/>
    <w:pPr>
      <w:numPr>
        <w:numId w:val="7"/>
      </w:numPr>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spacing w:after="160" w:line="240" w:lineRule="exact"/>
      <w:jc w:val="left"/>
    </w:pPr>
    <w:rPr>
      <w:kern w:val="2"/>
      <w:vertAlign w:val="superscript"/>
    </w:rPr>
  </w:style>
  <w:style w:type="paragraph" w:customStyle="1" w:styleId="paragraph">
    <w:name w:val="paragraph"/>
    <w:basedOn w:val="Normal"/>
    <w:uiPriority w:val="99"/>
    <w:pPr>
      <w:spacing w:before="100" w:beforeAutospacing="1" w:after="100" w:afterAutospacing="1"/>
      <w:jc w:val="left"/>
    </w:pPr>
    <w:rPr>
      <w:sz w:val="24"/>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uiPriority w:val="99"/>
    <w:qFormat/>
    <w:pPr>
      <w:ind w:left="720"/>
      <w:contextualSpacing/>
    </w:pPr>
    <w:rPr>
      <w:sz w:val="20"/>
      <w:szCs w:val="20"/>
    </w:rPr>
  </w:style>
  <w:style w:type="paragraph" w:styleId="NormalWeb">
    <w:name w:val="Normal (Web)"/>
    <w:basedOn w:val="Normal"/>
    <w:uiPriority w:val="99"/>
    <w:semiHidden/>
    <w:pPr>
      <w:spacing w:before="100" w:beforeAutospacing="1" w:after="100" w:afterAutospacing="1"/>
      <w:jc w:val="left"/>
    </w:pPr>
    <w:rPr>
      <w:sz w:val="24"/>
    </w:rPr>
  </w:style>
  <w:style w:type="character" w:styleId="FollowedHyperlink">
    <w:name w:val="FollowedHyperlink"/>
    <w:uiPriority w:val="99"/>
    <w:semiHidden/>
    <w:locked/>
    <w:rPr>
      <w:rFonts w:cs="Times New Roman"/>
      <w:color w:val="954F72"/>
      <w:u w:val="single"/>
      <w:lang w:val="en-GB"/>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tabs>
        <w:tab w:val="left" w:pos="3969"/>
      </w:tabs>
      <w:spacing w:before="120" w:after="120"/>
      <w:ind w:left="568"/>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Pr>
      <w:rFonts w:ascii="Times New Roman" w:hAnsi="Times New Roman" w:cs="Times New Roman"/>
      <w:color w:val="0563C1"/>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i/>
      <w:iCs/>
      <w:color w:val="4472C4"/>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0"/>
      <w:lang w:val="en-GB"/>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lang w:val="en-GB"/>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kern w:val="0"/>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44546A"/>
      <w:sz w:val="18"/>
      <w:szCs w:val="18"/>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kern w:val="0"/>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9E2F3"/>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BE4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DEDE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FFF2C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EEAF6"/>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E2EF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CF1F9"/>
    </w:tcPr>
  </w:style>
  <w:style w:type="table" w:styleId="ColorfulList-Accent2">
    <w:name w:val="Colorful List Accent 2"/>
    <w:basedOn w:val="TableNormal"/>
    <w:uiPriority w:val="99"/>
    <w:semiHidden/>
    <w:rPr>
      <w:color w:val="000000"/>
    </w:rPr>
    <w:tblPr/>
    <w:tcPr>
      <w:shd w:val="clear" w:color="auto" w:fill="FDF2EA"/>
    </w:tcPr>
  </w:style>
  <w:style w:type="table" w:styleId="ColorfulList-Accent3">
    <w:name w:val="Colorful List Accent 3"/>
    <w:basedOn w:val="TableNormal"/>
    <w:uiPriority w:val="99"/>
    <w:semiHidden/>
    <w:rPr>
      <w:color w:val="000000"/>
    </w:rPr>
    <w:tblPr/>
    <w:tcPr>
      <w:shd w:val="clear" w:color="auto" w:fill="F6F6F6"/>
    </w:tcPr>
  </w:style>
  <w:style w:type="table" w:styleId="ColorfulList-Accent4">
    <w:name w:val="Colorful List Accent 4"/>
    <w:basedOn w:val="TableNormal"/>
    <w:uiPriority w:val="99"/>
    <w:semiHidden/>
    <w:rPr>
      <w:color w:val="000000"/>
    </w:rPr>
    <w:tblPr/>
    <w:tcPr>
      <w:shd w:val="clear" w:color="auto" w:fill="FFF8E6"/>
    </w:tcPr>
  </w:style>
  <w:style w:type="table" w:styleId="ColorfulList-Accent5">
    <w:name w:val="Colorful List Accent 5"/>
    <w:basedOn w:val="TableNormal"/>
    <w:uiPriority w:val="99"/>
    <w:semiHidden/>
    <w:rPr>
      <w:color w:val="000000"/>
    </w:rPr>
    <w:tblPr/>
    <w:tcPr>
      <w:shd w:val="clear" w:color="auto" w:fill="EEF5FB"/>
    </w:tcPr>
  </w:style>
  <w:style w:type="table" w:styleId="ColorfulList-Accent6">
    <w:name w:val="Colorful List Accent 6"/>
    <w:basedOn w:val="TableNormal"/>
    <w:uiPriority w:val="99"/>
    <w:semiHidden/>
    <w:rPr>
      <w:color w:val="000000"/>
    </w:rPr>
    <w:tblPr/>
    <w:tcPr>
      <w:shd w:val="clear" w:color="auto" w:fill="F0F7EC"/>
    </w:tcPr>
  </w:style>
  <w:style w:type="table" w:styleId="ColorfulShading">
    <w:name w:val="Colorful Shading"/>
    <w:basedOn w:val="TableNormal"/>
    <w:uiPriority w:val="99"/>
    <w:semiHidden/>
    <w:rPr>
      <w:color w:val="000000"/>
    </w:rPr>
    <w:tblPr>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style>
  <w:style w:type="table" w:styleId="ColorfulShading-Accent2">
    <w:name w:val="Colorful Shading Accent 2"/>
    <w:basedOn w:val="TableNormal"/>
    <w:uiPriority w:val="99"/>
    <w:semiHidden/>
    <w:rPr>
      <w:color w:val="000000"/>
    </w:rPr>
    <w:tblPr>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style>
  <w:style w:type="table" w:styleId="ColorfulShading-Accent3">
    <w:name w:val="Colorful Shading Accent 3"/>
    <w:basedOn w:val="TableNormal"/>
    <w:uiPriority w:val="99"/>
    <w:semiHidden/>
    <w:rPr>
      <w:color w:val="000000"/>
    </w:rPr>
    <w:tblPr>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style>
  <w:style w:type="table" w:styleId="ColorfulShading-Accent4">
    <w:name w:val="Colorful Shading Accent 4"/>
    <w:basedOn w:val="TableNormal"/>
    <w:uiPriority w:val="99"/>
    <w:semiHidden/>
    <w:rPr>
      <w:color w:val="000000"/>
    </w:rPr>
    <w:tblPr>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style>
  <w:style w:type="table" w:styleId="ColorfulShading-Accent5">
    <w:name w:val="Colorful Shading Accent 5"/>
    <w:basedOn w:val="TableNormal"/>
    <w:uiPriority w:val="99"/>
    <w:semiHidden/>
    <w:rPr>
      <w:color w:val="000000"/>
    </w:rPr>
    <w:tblPr>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style>
  <w:style w:type="table" w:styleId="ColorfulShading-Accent6">
    <w:name w:val="Colorful Shading Accent 6"/>
    <w:basedOn w:val="TableNormal"/>
    <w:uiPriority w:val="99"/>
    <w:semiHidden/>
    <w:rPr>
      <w:color w:val="000000"/>
    </w:rPr>
    <w:tblPr>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472C4"/>
    </w:tcPr>
  </w:style>
  <w:style w:type="table" w:styleId="DarkList-Accent2">
    <w:name w:val="Dark List Accent 2"/>
    <w:basedOn w:val="TableNormal"/>
    <w:uiPriority w:val="99"/>
    <w:semiHidden/>
    <w:rPr>
      <w:color w:val="FFFFFF"/>
    </w:rPr>
    <w:tblPr/>
    <w:tcPr>
      <w:shd w:val="clear" w:color="auto" w:fill="ED7D31"/>
    </w:tcPr>
  </w:style>
  <w:style w:type="table" w:styleId="DarkList-Accent3">
    <w:name w:val="Dark List Accent 3"/>
    <w:basedOn w:val="TableNormal"/>
    <w:uiPriority w:val="99"/>
    <w:semiHidden/>
    <w:rPr>
      <w:color w:val="FFFFFF"/>
    </w:rPr>
    <w:tblPr/>
    <w:tcPr>
      <w:shd w:val="clear" w:color="auto" w:fill="A5A5A5"/>
    </w:tcPr>
  </w:style>
  <w:style w:type="table" w:styleId="DarkList-Accent4">
    <w:name w:val="Dark List Accent 4"/>
    <w:basedOn w:val="TableNormal"/>
    <w:uiPriority w:val="99"/>
    <w:semiHidden/>
    <w:rPr>
      <w:color w:val="FFFFFF"/>
    </w:rPr>
    <w:tblPr/>
    <w:tcPr>
      <w:shd w:val="clear" w:color="auto" w:fill="FFC000"/>
    </w:tcPr>
  </w:style>
  <w:style w:type="table" w:styleId="DarkList-Accent5">
    <w:name w:val="Dark List Accent 5"/>
    <w:basedOn w:val="TableNormal"/>
    <w:uiPriority w:val="99"/>
    <w:semiHidden/>
    <w:rPr>
      <w:color w:val="FFFFFF"/>
    </w:rPr>
    <w:tblPr/>
    <w:tcPr>
      <w:shd w:val="clear" w:color="auto" w:fill="5B9BD5"/>
    </w:tcPr>
  </w:style>
  <w:style w:type="table" w:styleId="DarkList-Accent6">
    <w:name w:val="Dark List Accent 6"/>
    <w:basedOn w:val="TableNormal"/>
    <w:uiPriority w:val="99"/>
    <w:semiHidden/>
    <w:rPr>
      <w:color w:val="FFFFFF"/>
    </w:rPr>
    <w:tblPr/>
    <w:tcPr>
      <w:shd w:val="clear" w:color="auto" w:fill="70AD47"/>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472C4"/>
      <w:lang w:val="en-GB"/>
    </w:rPr>
  </w:style>
  <w:style w:type="paragraph" w:styleId="IntenseQuote">
    <w:name w:val="Intense Quote"/>
    <w:basedOn w:val="Normal"/>
    <w:next w:val="Normal"/>
    <w:link w:val="IntenseQuoteChar"/>
    <w:uiPriority w:val="99"/>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Pr>
      <w:rFonts w:ascii="Times New Roman" w:eastAsia="Times New Roman" w:hAnsi="Times New Roman" w:cs="Times New Roman"/>
      <w:i/>
      <w:iCs/>
      <w:color w:val="4472C4"/>
      <w:kern w:val="0"/>
      <w:lang w:val="en-GB"/>
    </w:rPr>
  </w:style>
  <w:style w:type="character" w:styleId="IntenseReference">
    <w:name w:val="Intense Reference"/>
    <w:uiPriority w:val="99"/>
    <w:qFormat/>
    <w:rPr>
      <w:rFonts w:cs="Times New Roman"/>
      <w:b/>
      <w:bCs/>
      <w:smallCaps/>
      <w:color w:val="4472C4"/>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style>
  <w:style w:type="table" w:styleId="LightGrid-Accent2">
    <w:name w:val="Light Grid Accent 2"/>
    <w:basedOn w:val="TableNormal"/>
    <w:uiPriority w:val="99"/>
    <w:semiHidden/>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style>
  <w:style w:type="table" w:styleId="LightGrid-Accent3">
    <w:name w:val="Light Grid Accent 3"/>
    <w:basedOn w:val="TableNormal"/>
    <w:uiPriority w:val="99"/>
    <w:semiHidden/>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LightGrid-Accent4">
    <w:name w:val="Light Grid Accent 4"/>
    <w:basedOn w:val="TableNormal"/>
    <w:uiPriority w:val="99"/>
    <w:semiHidden/>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style>
  <w:style w:type="table" w:styleId="LightGrid-Accent5">
    <w:name w:val="Light Grid Accent 5"/>
    <w:basedOn w:val="TableNormal"/>
    <w:uiPriority w:val="99"/>
    <w:semiHidden/>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style>
  <w:style w:type="table" w:styleId="LightGrid-Accent6">
    <w:name w:val="Light Grid Accent 6"/>
    <w:basedOn w:val="TableNormal"/>
    <w:uiPriority w:val="99"/>
    <w:semiHidden/>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472C4"/>
        <w:left w:val="single" w:sz="8" w:space="0" w:color="4472C4"/>
        <w:bottom w:val="single" w:sz="8" w:space="0" w:color="4472C4"/>
        <w:right w:val="single" w:sz="8" w:space="0" w:color="4472C4"/>
      </w:tblBorders>
    </w:tblPr>
  </w:style>
  <w:style w:type="table" w:styleId="LightList-Accent2">
    <w:name w:val="Light List Accent 2"/>
    <w:basedOn w:val="TableNormal"/>
    <w:uiPriority w:val="99"/>
    <w:semiHidden/>
    <w:tblPr>
      <w:tblBorders>
        <w:top w:val="single" w:sz="8" w:space="0" w:color="ED7D31"/>
        <w:left w:val="single" w:sz="8" w:space="0" w:color="ED7D31"/>
        <w:bottom w:val="single" w:sz="8" w:space="0" w:color="ED7D31"/>
        <w:right w:val="single" w:sz="8" w:space="0" w:color="ED7D31"/>
      </w:tblBorders>
    </w:tblPr>
  </w:style>
  <w:style w:type="table" w:styleId="LightList-Accent3">
    <w:name w:val="Light List Accent 3"/>
    <w:basedOn w:val="TableNormal"/>
    <w:uiPriority w:val="99"/>
    <w:semiHidden/>
    <w:tblPr>
      <w:tblBorders>
        <w:top w:val="single" w:sz="8" w:space="0" w:color="A5A5A5"/>
        <w:left w:val="single" w:sz="8" w:space="0" w:color="A5A5A5"/>
        <w:bottom w:val="single" w:sz="8" w:space="0" w:color="A5A5A5"/>
        <w:right w:val="single" w:sz="8" w:space="0" w:color="A5A5A5"/>
      </w:tblBorders>
    </w:tblPr>
  </w:style>
  <w:style w:type="table" w:styleId="LightList-Accent4">
    <w:name w:val="Light List Accent 4"/>
    <w:basedOn w:val="TableNormal"/>
    <w:uiPriority w:val="99"/>
    <w:semiHidden/>
    <w:tblPr>
      <w:tblBorders>
        <w:top w:val="single" w:sz="8" w:space="0" w:color="FFC000"/>
        <w:left w:val="single" w:sz="8" w:space="0" w:color="FFC000"/>
        <w:bottom w:val="single" w:sz="8" w:space="0" w:color="FFC000"/>
        <w:right w:val="single" w:sz="8" w:space="0" w:color="FFC000"/>
      </w:tblBorders>
    </w:tblPr>
  </w:style>
  <w:style w:type="table" w:styleId="LightList-Accent5">
    <w:name w:val="Light List Accent 5"/>
    <w:basedOn w:val="TableNormal"/>
    <w:uiPriority w:val="99"/>
    <w:semiHidden/>
    <w:tblPr>
      <w:tblBorders>
        <w:top w:val="single" w:sz="8" w:space="0" w:color="5B9BD5"/>
        <w:left w:val="single" w:sz="8" w:space="0" w:color="5B9BD5"/>
        <w:bottom w:val="single" w:sz="8" w:space="0" w:color="5B9BD5"/>
        <w:right w:val="single" w:sz="8" w:space="0" w:color="5B9BD5"/>
      </w:tblBorders>
    </w:tblPr>
  </w:style>
  <w:style w:type="table" w:styleId="LightList-Accent6">
    <w:name w:val="Light List Accent 6"/>
    <w:basedOn w:val="TableNormal"/>
    <w:uiPriority w:val="99"/>
    <w:semiHidden/>
    <w:tblPr>
      <w:tblBorders>
        <w:top w:val="single" w:sz="8" w:space="0" w:color="70AD47"/>
        <w:left w:val="single" w:sz="8" w:space="0" w:color="70AD47"/>
        <w:bottom w:val="single" w:sz="8" w:space="0" w:color="70AD47"/>
        <w:right w:val="single" w:sz="8" w:space="0" w:color="70AD47"/>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2F5496"/>
    </w:rPr>
    <w:tblPr>
      <w:tblBorders>
        <w:top w:val="single" w:sz="8" w:space="0" w:color="4472C4"/>
        <w:bottom w:val="single" w:sz="8" w:space="0" w:color="4472C4"/>
      </w:tblBorders>
    </w:tblPr>
  </w:style>
  <w:style w:type="table" w:styleId="LightShading-Accent2">
    <w:name w:val="Light Shading Accent 2"/>
    <w:basedOn w:val="TableNormal"/>
    <w:uiPriority w:val="99"/>
    <w:semiHidden/>
    <w:rPr>
      <w:color w:val="C45911"/>
    </w:rPr>
    <w:tblPr>
      <w:tblBorders>
        <w:top w:val="single" w:sz="8" w:space="0" w:color="ED7D31"/>
        <w:bottom w:val="single" w:sz="8" w:space="0" w:color="ED7D31"/>
      </w:tblBorders>
    </w:tblPr>
  </w:style>
  <w:style w:type="table" w:styleId="LightShading-Accent3">
    <w:name w:val="Light Shading Accent 3"/>
    <w:basedOn w:val="TableNormal"/>
    <w:uiPriority w:val="99"/>
    <w:semiHidden/>
    <w:rPr>
      <w:color w:val="7B7B7B"/>
    </w:rPr>
    <w:tblPr>
      <w:tblBorders>
        <w:top w:val="single" w:sz="8" w:space="0" w:color="A5A5A5"/>
        <w:bottom w:val="single" w:sz="8" w:space="0" w:color="A5A5A5"/>
      </w:tblBorders>
    </w:tblPr>
  </w:style>
  <w:style w:type="table" w:styleId="LightShading-Accent4">
    <w:name w:val="Light Shading Accent 4"/>
    <w:basedOn w:val="TableNormal"/>
    <w:uiPriority w:val="99"/>
    <w:semiHidden/>
    <w:rPr>
      <w:color w:val="BF8F00"/>
    </w:rPr>
    <w:tblPr>
      <w:tblBorders>
        <w:top w:val="single" w:sz="8" w:space="0" w:color="FFC000"/>
        <w:bottom w:val="single" w:sz="8" w:space="0" w:color="FFC000"/>
      </w:tblBorders>
    </w:tblPr>
  </w:style>
  <w:style w:type="table" w:styleId="LightShading-Accent5">
    <w:name w:val="Light Shading Accent 5"/>
    <w:basedOn w:val="TableNormal"/>
    <w:uiPriority w:val="99"/>
    <w:semiHidden/>
    <w:rPr>
      <w:color w:val="2E74B5"/>
    </w:rPr>
    <w:tblPr>
      <w:tblBorders>
        <w:top w:val="single" w:sz="8" w:space="0" w:color="5B9BD5"/>
        <w:bottom w:val="single" w:sz="8" w:space="0" w:color="5B9BD5"/>
      </w:tblBorders>
    </w:tblPr>
  </w:style>
  <w:style w:type="table" w:styleId="LightShading-Accent6">
    <w:name w:val="Light Shading Accent 6"/>
    <w:basedOn w:val="TableNormal"/>
    <w:uiPriority w:val="99"/>
    <w:semiHidden/>
    <w:rPr>
      <w:color w:val="538135"/>
    </w:rPr>
    <w:tblPr>
      <w:tblBorders>
        <w:top w:val="single" w:sz="8" w:space="0" w:color="70AD47"/>
        <w:bottom w:val="single" w:sz="8" w:space="0" w:color="70AD47"/>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1"/>
      </w:numPr>
      <w:contextualSpacing/>
    </w:pPr>
  </w:style>
  <w:style w:type="paragraph" w:styleId="ListBullet2">
    <w:name w:val="List Bullet 2"/>
    <w:basedOn w:val="Normal"/>
    <w:uiPriority w:val="99"/>
    <w:semiHidden/>
    <w:pPr>
      <w:numPr>
        <w:numId w:val="2"/>
      </w:numPr>
      <w:contextualSpacing/>
    </w:pPr>
  </w:style>
  <w:style w:type="paragraph" w:styleId="ListBullet3">
    <w:name w:val="List Bullet 3"/>
    <w:basedOn w:val="Normal"/>
    <w:uiPriority w:val="99"/>
    <w:semiHidden/>
    <w:pPr>
      <w:numPr>
        <w:numId w:val="3"/>
      </w:numPr>
      <w:contextualSpacing/>
    </w:pPr>
  </w:style>
  <w:style w:type="paragraph" w:styleId="ListBullet4">
    <w:name w:val="List Bullet 4"/>
    <w:basedOn w:val="Normal"/>
    <w:uiPriority w:val="99"/>
    <w:semiHidden/>
    <w:pPr>
      <w:numPr>
        <w:numId w:val="14"/>
      </w:numPr>
      <w:tabs>
        <w:tab w:val="clear" w:pos="1620"/>
        <w:tab w:val="num" w:pos="1209"/>
      </w:tabs>
      <w:ind w:left="1209"/>
      <w:contextualSpacing/>
    </w:pPr>
  </w:style>
  <w:style w:type="paragraph" w:styleId="ListBullet5">
    <w:name w:val="List Bullet 5"/>
    <w:basedOn w:val="Normal"/>
    <w:uiPriority w:val="99"/>
    <w:semiHidden/>
    <w:pPr>
      <w:numPr>
        <w:numId w:val="5"/>
      </w:numPr>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numPr>
        <w:numId w:val="8"/>
      </w:numPr>
      <w:tabs>
        <w:tab w:val="num" w:pos="360"/>
      </w:tabs>
      <w:ind w:left="360"/>
      <w:contextualSpacing/>
    </w:pPr>
  </w:style>
  <w:style w:type="paragraph" w:styleId="ListNumber2">
    <w:name w:val="List Number 2"/>
    <w:basedOn w:val="Normal"/>
    <w:uiPriority w:val="99"/>
    <w:semiHidden/>
    <w:pPr>
      <w:numPr>
        <w:numId w:val="9"/>
      </w:numPr>
      <w:tabs>
        <w:tab w:val="num" w:pos="643"/>
      </w:tabs>
      <w:ind w:left="643"/>
      <w:contextualSpacing/>
    </w:pPr>
  </w:style>
  <w:style w:type="paragraph" w:styleId="ListNumber3">
    <w:name w:val="List Number 3"/>
    <w:basedOn w:val="Normal"/>
    <w:uiPriority w:val="99"/>
    <w:semiHidden/>
    <w:pPr>
      <w:numPr>
        <w:numId w:val="10"/>
      </w:numPr>
      <w:tabs>
        <w:tab w:val="clear" w:pos="2040"/>
        <w:tab w:val="num" w:pos="926"/>
      </w:tabs>
      <w:ind w:left="926"/>
      <w:contextualSpacing/>
    </w:pPr>
  </w:style>
  <w:style w:type="paragraph" w:styleId="ListNumber4">
    <w:name w:val="List Number 4"/>
    <w:basedOn w:val="Normal"/>
    <w:uiPriority w:val="99"/>
    <w:semiHidden/>
    <w:pPr>
      <w:tabs>
        <w:tab w:val="num" w:pos="1209"/>
        <w:tab w:val="num" w:pos="1492"/>
      </w:tabs>
      <w:ind w:left="1209" w:hanging="360"/>
      <w:contextualSpacing/>
    </w:pPr>
  </w:style>
  <w:style w:type="paragraph" w:styleId="ListNumber5">
    <w:name w:val="List Number 5"/>
    <w:basedOn w:val="Normal"/>
    <w:uiPriority w:val="99"/>
    <w:semiHidden/>
    <w:pPr>
      <w:tabs>
        <w:tab w:val="num" w:pos="2059"/>
      </w:tabs>
      <w:ind w:left="2059"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Pr>
      <w:color w:val="FFFFFF"/>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Pr>
      <w:color w:val="FFFFFF"/>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Pr>
      <w:color w:val="FFFFFF"/>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Pr>
      <w:color w:val="FFFFFF"/>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Pr>
      <w:color w:val="FFFFFF"/>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2F5496"/>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Pr>
      <w:color w:val="C45911"/>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Pr>
      <w:color w:val="7B7B7B"/>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Pr>
      <w:color w:val="BF8F00"/>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Pr>
      <w:color w:val="2E74B5"/>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Pr>
      <w:color w:val="538135"/>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2F5496"/>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C45911"/>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B7B7B"/>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BF8F0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2E74B5"/>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538135"/>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style>
  <w:style w:type="table" w:styleId="MediumGrid1-Accent2">
    <w:name w:val="Medium Grid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table" w:styleId="MediumGrid1-Accent3">
    <w:name w:val="Medium Grid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style>
  <w:style w:type="table" w:styleId="MediumGrid1-Accent4">
    <w:name w:val="Medium Grid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style>
  <w:style w:type="table" w:styleId="MediumGrid1-Accent5">
    <w:name w:val="Medium Grid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style>
  <w:style w:type="table" w:styleId="MediumGrid1-Accent6">
    <w:name w:val="Medium Grid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style>
  <w:style w:type="table" w:styleId="MediumGrid2-Accent2">
    <w:name w:val="Medium Grid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style>
  <w:style w:type="table" w:styleId="MediumGrid2-Accent3">
    <w:name w:val="Medium Grid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style>
  <w:style w:type="table" w:styleId="MediumGrid2-Accent4">
    <w:name w:val="Medium Grid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style>
  <w:style w:type="table" w:styleId="MediumGrid2-Accent5">
    <w:name w:val="Medium Grid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style>
  <w:style w:type="table" w:styleId="MediumGrid2-Accent6">
    <w:name w:val="Medium Grid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472C4"/>
        <w:bottom w:val="single" w:sz="8" w:space="0" w:color="4472C4"/>
      </w:tblBorders>
    </w:tblPr>
  </w:style>
  <w:style w:type="table" w:styleId="MediumList1-Accent2">
    <w:name w:val="Medium List 1 Accent 2"/>
    <w:basedOn w:val="TableNormal"/>
    <w:uiPriority w:val="99"/>
    <w:semiHidden/>
    <w:rPr>
      <w:color w:val="000000"/>
    </w:rPr>
    <w:tblPr>
      <w:tblBorders>
        <w:top w:val="single" w:sz="8" w:space="0" w:color="ED7D31"/>
        <w:bottom w:val="single" w:sz="8" w:space="0" w:color="ED7D31"/>
      </w:tblBorders>
    </w:tblPr>
  </w:style>
  <w:style w:type="table" w:styleId="MediumList1-Accent3">
    <w:name w:val="Medium List 1 Accent 3"/>
    <w:basedOn w:val="TableNormal"/>
    <w:uiPriority w:val="99"/>
    <w:semiHidden/>
    <w:rPr>
      <w:color w:val="000000"/>
    </w:rPr>
    <w:tblPr>
      <w:tblBorders>
        <w:top w:val="single" w:sz="8" w:space="0" w:color="A5A5A5"/>
        <w:bottom w:val="single" w:sz="8" w:space="0" w:color="A5A5A5"/>
      </w:tblBorders>
    </w:tblPr>
  </w:style>
  <w:style w:type="table" w:styleId="MediumList1-Accent4">
    <w:name w:val="Medium List 1 Accent 4"/>
    <w:basedOn w:val="TableNormal"/>
    <w:uiPriority w:val="99"/>
    <w:semiHidden/>
    <w:rPr>
      <w:color w:val="000000"/>
    </w:rPr>
    <w:tblPr>
      <w:tblBorders>
        <w:top w:val="single" w:sz="8" w:space="0" w:color="FFC000"/>
        <w:bottom w:val="single" w:sz="8" w:space="0" w:color="FFC000"/>
      </w:tblBorders>
    </w:tblPr>
  </w:style>
  <w:style w:type="table" w:styleId="MediumList1-Accent5">
    <w:name w:val="Medium List 1 Accent 5"/>
    <w:basedOn w:val="TableNormal"/>
    <w:uiPriority w:val="99"/>
    <w:semiHidden/>
    <w:rPr>
      <w:color w:val="000000"/>
    </w:rPr>
    <w:tblPr>
      <w:tblBorders>
        <w:top w:val="single" w:sz="8" w:space="0" w:color="5B9BD5"/>
        <w:bottom w:val="single" w:sz="8" w:space="0" w:color="5B9BD5"/>
      </w:tblBorders>
    </w:tblPr>
  </w:style>
  <w:style w:type="table" w:styleId="MediumList1-Accent6">
    <w:name w:val="Medium List 1 Accent 6"/>
    <w:basedOn w:val="TableNormal"/>
    <w:uiPriority w:val="99"/>
    <w:semiHidden/>
    <w:rPr>
      <w:color w:val="000000"/>
    </w:rPr>
    <w:tblPr>
      <w:tblBorders>
        <w:top w:val="single" w:sz="8" w:space="0" w:color="70AD47"/>
        <w:bottom w:val="single" w:sz="8" w:space="0" w:color="70AD47"/>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tblBorders>
    </w:tblPr>
  </w:style>
  <w:style w:type="table" w:styleId="MediumList2-Accent2">
    <w:name w:val="Medium List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tblBorders>
    </w:tblPr>
  </w:style>
  <w:style w:type="table" w:styleId="MediumList2-Accent3">
    <w:name w:val="Medium List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tblBorders>
    </w:tblPr>
  </w:style>
  <w:style w:type="table" w:styleId="MediumList2-Accent4">
    <w:name w:val="Medium List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tblBorders>
    </w:tblPr>
  </w:style>
  <w:style w:type="table" w:styleId="MediumList2-Accent5">
    <w:name w:val="Medium List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tblBorders>
    </w:tblPr>
  </w:style>
  <w:style w:type="table" w:styleId="MediumList2-Accent6">
    <w:name w:val="Medium List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tblBorders>
    </w:tblPr>
  </w:style>
  <w:style w:type="table" w:styleId="MediumShading1-Accent2">
    <w:name w:val="Medium Shading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tblBorders>
    </w:tblPr>
  </w:style>
  <w:style w:type="table" w:styleId="MediumShading1-Accent3">
    <w:name w:val="Medium Shading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tblBorders>
    </w:tblPr>
  </w:style>
  <w:style w:type="table" w:styleId="MediumShading1-Accent4">
    <w:name w:val="Medium Shading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tblBorders>
    </w:tblPr>
  </w:style>
  <w:style w:type="table" w:styleId="MediumShading1-Accent5">
    <w:name w:val="Medium Shading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tblBorders>
    </w:tblPr>
  </w:style>
  <w:style w:type="table" w:styleId="MediumShading1-Accent6">
    <w:name w:val="Medium Shading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kern w:val="0"/>
      <w:sz w:val="24"/>
      <w:szCs w:val="24"/>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kern w:val="0"/>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kern w:val="0"/>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2F5496"/>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Para10">
    <w:name w:val="Para1"/>
    <w:basedOn w:val="Normal"/>
    <w:uiPriority w:val="99"/>
    <w:pPr>
      <w:tabs>
        <w:tab w:val="clear" w:pos="567"/>
        <w:tab w:val="clear" w:pos="1134"/>
        <w:tab w:val="clear" w:pos="1701"/>
        <w:tab w:val="clear" w:pos="2268"/>
        <w:tab w:val="num" w:pos="360"/>
      </w:tabs>
      <w:spacing w:before="120" w:after="120"/>
    </w:pPr>
    <w:rPr>
      <w:sz w:val="20"/>
      <w:szCs w:val="18"/>
    </w:rPr>
  </w:style>
  <w:style w:type="paragraph" w:customStyle="1" w:styleId="para4">
    <w:name w:val="para4"/>
    <w:basedOn w:val="Normal"/>
    <w:uiPriority w:val="99"/>
    <w:pPr>
      <w:tabs>
        <w:tab w:val="clear" w:pos="567"/>
        <w:tab w:val="clear" w:pos="1134"/>
        <w:tab w:val="clear" w:pos="1701"/>
        <w:tab w:val="clear" w:pos="2268"/>
      </w:tabs>
      <w:overflowPunct w:val="0"/>
      <w:autoSpaceDE w:val="0"/>
      <w:autoSpaceDN w:val="0"/>
      <w:adjustRightInd w:val="0"/>
      <w:spacing w:after="120" w:line="240" w:lineRule="atLeast"/>
      <w:textAlignment w:val="baseline"/>
    </w:pPr>
    <w:rPr>
      <w:color w:val="000000"/>
      <w:sz w:val="20"/>
      <w:szCs w:val="20"/>
    </w:rPr>
  </w:style>
  <w:style w:type="character" w:customStyle="1" w:styleId="Para1Char">
    <w:name w:val="Para1 Char"/>
    <w:uiPriority w:val="99"/>
    <w:locked/>
    <w:rPr>
      <w:rFonts w:ascii="Times New Roman" w:hAnsi="Times New Roman"/>
      <w:snapToGrid w:val="0"/>
      <w:kern w:val="0"/>
      <w:sz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uiPriority w:val="99"/>
    <w:locked/>
    <w:rPr>
      <w:rFonts w:ascii="Times New Roman" w:eastAsia="Times New Roman" w:hAnsi="Times New Roman"/>
      <w:kern w:val="0"/>
      <w:lang w:val="en-GB"/>
    </w:rPr>
  </w:style>
  <w:style w:type="paragraph" w:customStyle="1" w:styleId="Default">
    <w:name w:val="Default"/>
    <w:uiPriority w:val="99"/>
    <w:pPr>
      <w:autoSpaceDE w:val="0"/>
      <w:autoSpaceDN w:val="0"/>
      <w:adjustRightInd w:val="0"/>
    </w:pPr>
    <w:rPr>
      <w:color w:val="000000"/>
      <w:sz w:val="24"/>
      <w:szCs w:val="24"/>
      <w:lang w:val="en-CA"/>
    </w:rPr>
  </w:style>
  <w:style w:type="paragraph" w:customStyle="1" w:styleId="pf0">
    <w:name w:val="pf0"/>
    <w:basedOn w:val="Normal"/>
    <w:uiPriority w:val="99"/>
    <w:pPr>
      <w:tabs>
        <w:tab w:val="clear" w:pos="567"/>
        <w:tab w:val="clear" w:pos="1134"/>
        <w:tab w:val="clear" w:pos="1701"/>
        <w:tab w:val="clear" w:pos="2268"/>
      </w:tabs>
      <w:spacing w:before="100" w:beforeAutospacing="1" w:after="100" w:afterAutospacing="1"/>
      <w:jc w:val="left"/>
    </w:pPr>
    <w:rPr>
      <w:sz w:val="24"/>
      <w:szCs w:val="24"/>
      <w:lang w:val="en-US"/>
    </w:rPr>
  </w:style>
  <w:style w:type="character" w:customStyle="1" w:styleId="cf01">
    <w:name w:val="cf01"/>
    <w:uiPriority w:val="99"/>
    <w:rPr>
      <w:rFonts w:ascii="Times New Roman" w:hAnsi="Times New Roman" w:cs="Times New Roman"/>
      <w:sz w:val="18"/>
      <w:szCs w:val="18"/>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style21">
    <w:name w:val="style21"/>
    <w:uiPriority w:val="99"/>
    <w:rPr>
      <w:rFonts w:cs="Times New Roman"/>
      <w:color w:val="000080"/>
      <w:sz w:val="24"/>
      <w:szCs w:val="24"/>
    </w:rPr>
  </w:style>
  <w:style w:type="character" w:customStyle="1" w:styleId="y2iqfc">
    <w:name w:val="y2iqfc"/>
    <w:uiPriority w:val="99"/>
  </w:style>
  <w:style w:type="numbering" w:customStyle="1" w:styleId="ListCBD">
    <w:name w:val="ListCBD"/>
    <w:rsid w:val="006C6AEB"/>
    <w:pPr>
      <w:numPr>
        <w:numId w:val="33"/>
      </w:numPr>
    </w:pPr>
  </w:style>
  <w:style w:type="numbering" w:customStyle="1" w:styleId="CBDHeadings">
    <w:name w:val="CBD_Headings"/>
    <w:rsid w:val="006C6AEB"/>
    <w:pPr>
      <w:numPr>
        <w:numId w:val="34"/>
      </w:numPr>
    </w:pPr>
  </w:style>
  <w:style w:type="character" w:styleId="UnresolvedMention">
    <w:name w:val="Unresolved Mention"/>
    <w:basedOn w:val="DefaultParagraphFont"/>
    <w:uiPriority w:val="99"/>
    <w:semiHidden/>
    <w:unhideWhenUsed/>
    <w:rsid w:val="00C83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10607">
      <w:marLeft w:val="0"/>
      <w:marRight w:val="0"/>
      <w:marTop w:val="0"/>
      <w:marBottom w:val="0"/>
      <w:divBdr>
        <w:top w:val="none" w:sz="0" w:space="0" w:color="auto"/>
        <w:left w:val="none" w:sz="0" w:space="0" w:color="auto"/>
        <w:bottom w:val="none" w:sz="0" w:space="0" w:color="auto"/>
        <w:right w:val="none" w:sz="0" w:space="0" w:color="auto"/>
      </w:divBdr>
    </w:div>
    <w:div w:id="1276710608">
      <w:marLeft w:val="0"/>
      <w:marRight w:val="0"/>
      <w:marTop w:val="0"/>
      <w:marBottom w:val="0"/>
      <w:divBdr>
        <w:top w:val="none" w:sz="0" w:space="0" w:color="auto"/>
        <w:left w:val="none" w:sz="0" w:space="0" w:color="auto"/>
        <w:bottom w:val="none" w:sz="0" w:space="0" w:color="auto"/>
        <w:right w:val="none" w:sz="0" w:space="0" w:color="auto"/>
      </w:divBdr>
    </w:div>
    <w:div w:id="1276710609">
      <w:marLeft w:val="0"/>
      <w:marRight w:val="0"/>
      <w:marTop w:val="0"/>
      <w:marBottom w:val="0"/>
      <w:divBdr>
        <w:top w:val="none" w:sz="0" w:space="0" w:color="auto"/>
        <w:left w:val="none" w:sz="0" w:space="0" w:color="auto"/>
        <w:bottom w:val="none" w:sz="0" w:space="0" w:color="auto"/>
        <w:right w:val="none" w:sz="0" w:space="0" w:color="auto"/>
      </w:divBdr>
    </w:div>
    <w:div w:id="1276710610">
      <w:marLeft w:val="0"/>
      <w:marRight w:val="0"/>
      <w:marTop w:val="0"/>
      <w:marBottom w:val="0"/>
      <w:divBdr>
        <w:top w:val="none" w:sz="0" w:space="0" w:color="auto"/>
        <w:left w:val="none" w:sz="0" w:space="0" w:color="auto"/>
        <w:bottom w:val="none" w:sz="0" w:space="0" w:color="auto"/>
        <w:right w:val="none" w:sz="0" w:space="0" w:color="auto"/>
      </w:divBdr>
      <w:divsChild>
        <w:div w:id="1276710626">
          <w:marLeft w:val="0"/>
          <w:marRight w:val="0"/>
          <w:marTop w:val="0"/>
          <w:marBottom w:val="0"/>
          <w:divBdr>
            <w:top w:val="none" w:sz="0" w:space="0" w:color="auto"/>
            <w:left w:val="none" w:sz="0" w:space="0" w:color="auto"/>
            <w:bottom w:val="none" w:sz="0" w:space="0" w:color="auto"/>
            <w:right w:val="none" w:sz="0" w:space="0" w:color="auto"/>
          </w:divBdr>
          <w:divsChild>
            <w:div w:id="12767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0611">
      <w:marLeft w:val="0"/>
      <w:marRight w:val="0"/>
      <w:marTop w:val="0"/>
      <w:marBottom w:val="0"/>
      <w:divBdr>
        <w:top w:val="none" w:sz="0" w:space="0" w:color="auto"/>
        <w:left w:val="none" w:sz="0" w:space="0" w:color="auto"/>
        <w:bottom w:val="none" w:sz="0" w:space="0" w:color="auto"/>
        <w:right w:val="none" w:sz="0" w:space="0" w:color="auto"/>
      </w:divBdr>
    </w:div>
    <w:div w:id="1276710612">
      <w:marLeft w:val="0"/>
      <w:marRight w:val="0"/>
      <w:marTop w:val="0"/>
      <w:marBottom w:val="0"/>
      <w:divBdr>
        <w:top w:val="none" w:sz="0" w:space="0" w:color="auto"/>
        <w:left w:val="none" w:sz="0" w:space="0" w:color="auto"/>
        <w:bottom w:val="none" w:sz="0" w:space="0" w:color="auto"/>
        <w:right w:val="none" w:sz="0" w:space="0" w:color="auto"/>
      </w:divBdr>
    </w:div>
    <w:div w:id="1276710613">
      <w:marLeft w:val="0"/>
      <w:marRight w:val="0"/>
      <w:marTop w:val="0"/>
      <w:marBottom w:val="0"/>
      <w:divBdr>
        <w:top w:val="none" w:sz="0" w:space="0" w:color="auto"/>
        <w:left w:val="none" w:sz="0" w:space="0" w:color="auto"/>
        <w:bottom w:val="none" w:sz="0" w:space="0" w:color="auto"/>
        <w:right w:val="none" w:sz="0" w:space="0" w:color="auto"/>
      </w:divBdr>
    </w:div>
    <w:div w:id="1276710614">
      <w:marLeft w:val="0"/>
      <w:marRight w:val="0"/>
      <w:marTop w:val="0"/>
      <w:marBottom w:val="0"/>
      <w:divBdr>
        <w:top w:val="none" w:sz="0" w:space="0" w:color="auto"/>
        <w:left w:val="none" w:sz="0" w:space="0" w:color="auto"/>
        <w:bottom w:val="none" w:sz="0" w:space="0" w:color="auto"/>
        <w:right w:val="none" w:sz="0" w:space="0" w:color="auto"/>
      </w:divBdr>
    </w:div>
    <w:div w:id="1276710615">
      <w:marLeft w:val="0"/>
      <w:marRight w:val="0"/>
      <w:marTop w:val="0"/>
      <w:marBottom w:val="0"/>
      <w:divBdr>
        <w:top w:val="none" w:sz="0" w:space="0" w:color="auto"/>
        <w:left w:val="none" w:sz="0" w:space="0" w:color="auto"/>
        <w:bottom w:val="none" w:sz="0" w:space="0" w:color="auto"/>
        <w:right w:val="none" w:sz="0" w:space="0" w:color="auto"/>
      </w:divBdr>
    </w:div>
    <w:div w:id="1276710616">
      <w:marLeft w:val="0"/>
      <w:marRight w:val="0"/>
      <w:marTop w:val="0"/>
      <w:marBottom w:val="0"/>
      <w:divBdr>
        <w:top w:val="none" w:sz="0" w:space="0" w:color="auto"/>
        <w:left w:val="none" w:sz="0" w:space="0" w:color="auto"/>
        <w:bottom w:val="none" w:sz="0" w:space="0" w:color="auto"/>
        <w:right w:val="none" w:sz="0" w:space="0" w:color="auto"/>
      </w:divBdr>
    </w:div>
    <w:div w:id="1276710617">
      <w:marLeft w:val="0"/>
      <w:marRight w:val="0"/>
      <w:marTop w:val="0"/>
      <w:marBottom w:val="0"/>
      <w:divBdr>
        <w:top w:val="none" w:sz="0" w:space="0" w:color="auto"/>
        <w:left w:val="none" w:sz="0" w:space="0" w:color="auto"/>
        <w:bottom w:val="none" w:sz="0" w:space="0" w:color="auto"/>
        <w:right w:val="none" w:sz="0" w:space="0" w:color="auto"/>
      </w:divBdr>
    </w:div>
    <w:div w:id="1276710618">
      <w:marLeft w:val="0"/>
      <w:marRight w:val="0"/>
      <w:marTop w:val="0"/>
      <w:marBottom w:val="0"/>
      <w:divBdr>
        <w:top w:val="none" w:sz="0" w:space="0" w:color="auto"/>
        <w:left w:val="none" w:sz="0" w:space="0" w:color="auto"/>
        <w:bottom w:val="none" w:sz="0" w:space="0" w:color="auto"/>
        <w:right w:val="none" w:sz="0" w:space="0" w:color="auto"/>
      </w:divBdr>
    </w:div>
    <w:div w:id="1276710619">
      <w:marLeft w:val="0"/>
      <w:marRight w:val="0"/>
      <w:marTop w:val="0"/>
      <w:marBottom w:val="0"/>
      <w:divBdr>
        <w:top w:val="none" w:sz="0" w:space="0" w:color="auto"/>
        <w:left w:val="none" w:sz="0" w:space="0" w:color="auto"/>
        <w:bottom w:val="none" w:sz="0" w:space="0" w:color="auto"/>
        <w:right w:val="none" w:sz="0" w:space="0" w:color="auto"/>
      </w:divBdr>
    </w:div>
    <w:div w:id="1276710620">
      <w:marLeft w:val="0"/>
      <w:marRight w:val="0"/>
      <w:marTop w:val="0"/>
      <w:marBottom w:val="0"/>
      <w:divBdr>
        <w:top w:val="none" w:sz="0" w:space="0" w:color="auto"/>
        <w:left w:val="none" w:sz="0" w:space="0" w:color="auto"/>
        <w:bottom w:val="none" w:sz="0" w:space="0" w:color="auto"/>
        <w:right w:val="none" w:sz="0" w:space="0" w:color="auto"/>
      </w:divBdr>
    </w:div>
    <w:div w:id="1276710621">
      <w:marLeft w:val="0"/>
      <w:marRight w:val="0"/>
      <w:marTop w:val="0"/>
      <w:marBottom w:val="0"/>
      <w:divBdr>
        <w:top w:val="none" w:sz="0" w:space="0" w:color="auto"/>
        <w:left w:val="none" w:sz="0" w:space="0" w:color="auto"/>
        <w:bottom w:val="none" w:sz="0" w:space="0" w:color="auto"/>
        <w:right w:val="none" w:sz="0" w:space="0" w:color="auto"/>
      </w:divBdr>
    </w:div>
    <w:div w:id="1276710622">
      <w:marLeft w:val="0"/>
      <w:marRight w:val="0"/>
      <w:marTop w:val="0"/>
      <w:marBottom w:val="0"/>
      <w:divBdr>
        <w:top w:val="none" w:sz="0" w:space="0" w:color="auto"/>
        <w:left w:val="none" w:sz="0" w:space="0" w:color="auto"/>
        <w:bottom w:val="none" w:sz="0" w:space="0" w:color="auto"/>
        <w:right w:val="none" w:sz="0" w:space="0" w:color="auto"/>
      </w:divBdr>
    </w:div>
    <w:div w:id="1276710623">
      <w:marLeft w:val="0"/>
      <w:marRight w:val="0"/>
      <w:marTop w:val="0"/>
      <w:marBottom w:val="0"/>
      <w:divBdr>
        <w:top w:val="none" w:sz="0" w:space="0" w:color="auto"/>
        <w:left w:val="none" w:sz="0" w:space="0" w:color="auto"/>
        <w:bottom w:val="none" w:sz="0" w:space="0" w:color="auto"/>
        <w:right w:val="none" w:sz="0" w:space="0" w:color="auto"/>
      </w:divBdr>
    </w:div>
    <w:div w:id="1276710624">
      <w:marLeft w:val="0"/>
      <w:marRight w:val="0"/>
      <w:marTop w:val="0"/>
      <w:marBottom w:val="0"/>
      <w:divBdr>
        <w:top w:val="none" w:sz="0" w:space="0" w:color="auto"/>
        <w:left w:val="none" w:sz="0" w:space="0" w:color="auto"/>
        <w:bottom w:val="none" w:sz="0" w:space="0" w:color="auto"/>
        <w:right w:val="none" w:sz="0" w:space="0" w:color="auto"/>
      </w:divBdr>
    </w:div>
    <w:div w:id="1276710625">
      <w:marLeft w:val="0"/>
      <w:marRight w:val="0"/>
      <w:marTop w:val="0"/>
      <w:marBottom w:val="0"/>
      <w:divBdr>
        <w:top w:val="none" w:sz="0" w:space="0" w:color="auto"/>
        <w:left w:val="none" w:sz="0" w:space="0" w:color="auto"/>
        <w:bottom w:val="none" w:sz="0" w:space="0" w:color="auto"/>
        <w:right w:val="none" w:sz="0" w:space="0" w:color="auto"/>
      </w:divBdr>
    </w:div>
    <w:div w:id="1276710627">
      <w:marLeft w:val="0"/>
      <w:marRight w:val="0"/>
      <w:marTop w:val="0"/>
      <w:marBottom w:val="0"/>
      <w:divBdr>
        <w:top w:val="none" w:sz="0" w:space="0" w:color="auto"/>
        <w:left w:val="none" w:sz="0" w:space="0" w:color="auto"/>
        <w:bottom w:val="none" w:sz="0" w:space="0" w:color="auto"/>
        <w:right w:val="none" w:sz="0" w:space="0" w:color="auto"/>
      </w:divBdr>
    </w:div>
    <w:div w:id="1276710628">
      <w:marLeft w:val="0"/>
      <w:marRight w:val="0"/>
      <w:marTop w:val="0"/>
      <w:marBottom w:val="0"/>
      <w:divBdr>
        <w:top w:val="none" w:sz="0" w:space="0" w:color="auto"/>
        <w:left w:val="none" w:sz="0" w:space="0" w:color="auto"/>
        <w:bottom w:val="none" w:sz="0" w:space="0" w:color="auto"/>
        <w:right w:val="none" w:sz="0" w:space="0" w:color="auto"/>
      </w:divBdr>
    </w:div>
    <w:div w:id="1276710630">
      <w:marLeft w:val="0"/>
      <w:marRight w:val="0"/>
      <w:marTop w:val="0"/>
      <w:marBottom w:val="0"/>
      <w:divBdr>
        <w:top w:val="none" w:sz="0" w:space="0" w:color="auto"/>
        <w:left w:val="none" w:sz="0" w:space="0" w:color="auto"/>
        <w:bottom w:val="none" w:sz="0" w:space="0" w:color="auto"/>
        <w:right w:val="none" w:sz="0" w:space="0" w:color="auto"/>
      </w:divBdr>
    </w:div>
    <w:div w:id="1276710631">
      <w:marLeft w:val="0"/>
      <w:marRight w:val="0"/>
      <w:marTop w:val="0"/>
      <w:marBottom w:val="0"/>
      <w:divBdr>
        <w:top w:val="none" w:sz="0" w:space="0" w:color="auto"/>
        <w:left w:val="none" w:sz="0" w:space="0" w:color="auto"/>
        <w:bottom w:val="none" w:sz="0" w:space="0" w:color="auto"/>
        <w:right w:val="none" w:sz="0" w:space="0" w:color="auto"/>
      </w:divBdr>
    </w:div>
    <w:div w:id="1276710632">
      <w:marLeft w:val="0"/>
      <w:marRight w:val="0"/>
      <w:marTop w:val="0"/>
      <w:marBottom w:val="0"/>
      <w:divBdr>
        <w:top w:val="none" w:sz="0" w:space="0" w:color="auto"/>
        <w:left w:val="none" w:sz="0" w:space="0" w:color="auto"/>
        <w:bottom w:val="none" w:sz="0" w:space="0" w:color="auto"/>
        <w:right w:val="none" w:sz="0" w:space="0" w:color="auto"/>
      </w:divBdr>
    </w:div>
    <w:div w:id="1276710633">
      <w:marLeft w:val="0"/>
      <w:marRight w:val="0"/>
      <w:marTop w:val="0"/>
      <w:marBottom w:val="0"/>
      <w:divBdr>
        <w:top w:val="none" w:sz="0" w:space="0" w:color="auto"/>
        <w:left w:val="none" w:sz="0" w:space="0" w:color="auto"/>
        <w:bottom w:val="none" w:sz="0" w:space="0" w:color="auto"/>
        <w:right w:val="none" w:sz="0" w:space="0" w:color="auto"/>
      </w:divBdr>
    </w:div>
    <w:div w:id="1276710634">
      <w:marLeft w:val="0"/>
      <w:marRight w:val="0"/>
      <w:marTop w:val="0"/>
      <w:marBottom w:val="0"/>
      <w:divBdr>
        <w:top w:val="none" w:sz="0" w:space="0" w:color="auto"/>
        <w:left w:val="none" w:sz="0" w:space="0" w:color="auto"/>
        <w:bottom w:val="none" w:sz="0" w:space="0" w:color="auto"/>
        <w:right w:val="none" w:sz="0" w:space="0" w:color="auto"/>
      </w:divBdr>
      <w:divsChild>
        <w:div w:id="1276710648">
          <w:marLeft w:val="0"/>
          <w:marRight w:val="0"/>
          <w:marTop w:val="0"/>
          <w:marBottom w:val="0"/>
          <w:divBdr>
            <w:top w:val="none" w:sz="0" w:space="0" w:color="auto"/>
            <w:left w:val="none" w:sz="0" w:space="0" w:color="auto"/>
            <w:bottom w:val="none" w:sz="0" w:space="0" w:color="auto"/>
            <w:right w:val="none" w:sz="0" w:space="0" w:color="auto"/>
          </w:divBdr>
          <w:divsChild>
            <w:div w:id="12767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0635">
      <w:marLeft w:val="0"/>
      <w:marRight w:val="0"/>
      <w:marTop w:val="0"/>
      <w:marBottom w:val="0"/>
      <w:divBdr>
        <w:top w:val="none" w:sz="0" w:space="0" w:color="auto"/>
        <w:left w:val="none" w:sz="0" w:space="0" w:color="auto"/>
        <w:bottom w:val="none" w:sz="0" w:space="0" w:color="auto"/>
        <w:right w:val="none" w:sz="0" w:space="0" w:color="auto"/>
      </w:divBdr>
    </w:div>
    <w:div w:id="1276710636">
      <w:marLeft w:val="0"/>
      <w:marRight w:val="0"/>
      <w:marTop w:val="0"/>
      <w:marBottom w:val="0"/>
      <w:divBdr>
        <w:top w:val="none" w:sz="0" w:space="0" w:color="auto"/>
        <w:left w:val="none" w:sz="0" w:space="0" w:color="auto"/>
        <w:bottom w:val="none" w:sz="0" w:space="0" w:color="auto"/>
        <w:right w:val="none" w:sz="0" w:space="0" w:color="auto"/>
      </w:divBdr>
    </w:div>
    <w:div w:id="1276710637">
      <w:marLeft w:val="0"/>
      <w:marRight w:val="0"/>
      <w:marTop w:val="0"/>
      <w:marBottom w:val="0"/>
      <w:divBdr>
        <w:top w:val="none" w:sz="0" w:space="0" w:color="auto"/>
        <w:left w:val="none" w:sz="0" w:space="0" w:color="auto"/>
        <w:bottom w:val="none" w:sz="0" w:space="0" w:color="auto"/>
        <w:right w:val="none" w:sz="0" w:space="0" w:color="auto"/>
      </w:divBdr>
    </w:div>
    <w:div w:id="1276710638">
      <w:marLeft w:val="0"/>
      <w:marRight w:val="0"/>
      <w:marTop w:val="0"/>
      <w:marBottom w:val="0"/>
      <w:divBdr>
        <w:top w:val="none" w:sz="0" w:space="0" w:color="auto"/>
        <w:left w:val="none" w:sz="0" w:space="0" w:color="auto"/>
        <w:bottom w:val="none" w:sz="0" w:space="0" w:color="auto"/>
        <w:right w:val="none" w:sz="0" w:space="0" w:color="auto"/>
      </w:divBdr>
    </w:div>
    <w:div w:id="1276710639">
      <w:marLeft w:val="0"/>
      <w:marRight w:val="0"/>
      <w:marTop w:val="0"/>
      <w:marBottom w:val="0"/>
      <w:divBdr>
        <w:top w:val="none" w:sz="0" w:space="0" w:color="auto"/>
        <w:left w:val="none" w:sz="0" w:space="0" w:color="auto"/>
        <w:bottom w:val="none" w:sz="0" w:space="0" w:color="auto"/>
        <w:right w:val="none" w:sz="0" w:space="0" w:color="auto"/>
      </w:divBdr>
    </w:div>
    <w:div w:id="1276710640">
      <w:marLeft w:val="0"/>
      <w:marRight w:val="0"/>
      <w:marTop w:val="0"/>
      <w:marBottom w:val="0"/>
      <w:divBdr>
        <w:top w:val="none" w:sz="0" w:space="0" w:color="auto"/>
        <w:left w:val="none" w:sz="0" w:space="0" w:color="auto"/>
        <w:bottom w:val="none" w:sz="0" w:space="0" w:color="auto"/>
        <w:right w:val="none" w:sz="0" w:space="0" w:color="auto"/>
      </w:divBdr>
    </w:div>
    <w:div w:id="1276710641">
      <w:marLeft w:val="0"/>
      <w:marRight w:val="0"/>
      <w:marTop w:val="0"/>
      <w:marBottom w:val="0"/>
      <w:divBdr>
        <w:top w:val="none" w:sz="0" w:space="0" w:color="auto"/>
        <w:left w:val="none" w:sz="0" w:space="0" w:color="auto"/>
        <w:bottom w:val="none" w:sz="0" w:space="0" w:color="auto"/>
        <w:right w:val="none" w:sz="0" w:space="0" w:color="auto"/>
      </w:divBdr>
    </w:div>
    <w:div w:id="1276710642">
      <w:marLeft w:val="0"/>
      <w:marRight w:val="0"/>
      <w:marTop w:val="0"/>
      <w:marBottom w:val="0"/>
      <w:divBdr>
        <w:top w:val="none" w:sz="0" w:space="0" w:color="auto"/>
        <w:left w:val="none" w:sz="0" w:space="0" w:color="auto"/>
        <w:bottom w:val="none" w:sz="0" w:space="0" w:color="auto"/>
        <w:right w:val="none" w:sz="0" w:space="0" w:color="auto"/>
      </w:divBdr>
    </w:div>
    <w:div w:id="1276710643">
      <w:marLeft w:val="0"/>
      <w:marRight w:val="0"/>
      <w:marTop w:val="0"/>
      <w:marBottom w:val="0"/>
      <w:divBdr>
        <w:top w:val="none" w:sz="0" w:space="0" w:color="auto"/>
        <w:left w:val="none" w:sz="0" w:space="0" w:color="auto"/>
        <w:bottom w:val="none" w:sz="0" w:space="0" w:color="auto"/>
        <w:right w:val="none" w:sz="0" w:space="0" w:color="auto"/>
      </w:divBdr>
    </w:div>
    <w:div w:id="1276710645">
      <w:marLeft w:val="0"/>
      <w:marRight w:val="0"/>
      <w:marTop w:val="0"/>
      <w:marBottom w:val="0"/>
      <w:divBdr>
        <w:top w:val="none" w:sz="0" w:space="0" w:color="auto"/>
        <w:left w:val="none" w:sz="0" w:space="0" w:color="auto"/>
        <w:bottom w:val="none" w:sz="0" w:space="0" w:color="auto"/>
        <w:right w:val="none" w:sz="0" w:space="0" w:color="auto"/>
      </w:divBdr>
    </w:div>
    <w:div w:id="1276710646">
      <w:marLeft w:val="0"/>
      <w:marRight w:val="0"/>
      <w:marTop w:val="0"/>
      <w:marBottom w:val="0"/>
      <w:divBdr>
        <w:top w:val="none" w:sz="0" w:space="0" w:color="auto"/>
        <w:left w:val="none" w:sz="0" w:space="0" w:color="auto"/>
        <w:bottom w:val="none" w:sz="0" w:space="0" w:color="auto"/>
        <w:right w:val="none" w:sz="0" w:space="0" w:color="auto"/>
      </w:divBdr>
    </w:div>
    <w:div w:id="1276710647">
      <w:marLeft w:val="0"/>
      <w:marRight w:val="0"/>
      <w:marTop w:val="0"/>
      <w:marBottom w:val="0"/>
      <w:divBdr>
        <w:top w:val="none" w:sz="0" w:space="0" w:color="auto"/>
        <w:left w:val="none" w:sz="0" w:space="0" w:color="auto"/>
        <w:bottom w:val="none" w:sz="0" w:space="0" w:color="auto"/>
        <w:right w:val="none" w:sz="0" w:space="0" w:color="auto"/>
      </w:divBdr>
    </w:div>
    <w:div w:id="1276710649">
      <w:marLeft w:val="0"/>
      <w:marRight w:val="0"/>
      <w:marTop w:val="0"/>
      <w:marBottom w:val="0"/>
      <w:divBdr>
        <w:top w:val="none" w:sz="0" w:space="0" w:color="auto"/>
        <w:left w:val="none" w:sz="0" w:space="0" w:color="auto"/>
        <w:bottom w:val="none" w:sz="0" w:space="0" w:color="auto"/>
        <w:right w:val="none" w:sz="0" w:space="0" w:color="auto"/>
      </w:divBdr>
    </w:div>
    <w:div w:id="12767106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notifications/2025/ntf-2025-014-wildlife-en.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4" TargetMode="External"/><Relationship Id="rId42" Type="http://schemas.openxmlformats.org/officeDocument/2006/relationships/hyperlink" Target="https://www.cbd.int/doc/notifications/2025/ntf-2025-015-wildlife-en.pdf"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notifications/2025/ntf-2025-015-wildlife-en.pdf" TargetMode="External"/><Relationship Id="rId29" Type="http://schemas.openxmlformats.org/officeDocument/2006/relationships/hyperlink" Target="https://www.cbd.int/doc/notifications/2025/ntf-2025-014-wildlife-en.pdf" TargetMode="External"/><Relationship Id="rId11" Type="http://schemas.openxmlformats.org/officeDocument/2006/relationships/image" Target="media/image2.png"/><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notifications/2025/ntf-2025-015-wildlife-en.pdf" TargetMode="External"/><Relationship Id="rId45" Type="http://schemas.openxmlformats.org/officeDocument/2006/relationships/hyperlink" Target="https://www.cbd.int/doc/notifications/2025/ntf-2025-014-wildlife-en.pd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19" Type="http://schemas.openxmlformats.org/officeDocument/2006/relationships/hyperlink" Target="https://www.cbd.int/decisions/cop?m=cop-14"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oc/notifications/2025/ntf-2025-015-wildlife-en.pdf" TargetMode="External"/><Relationship Id="rId52"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notifications/2025/ntf-2025-015-wildlife-en.pdf" TargetMode="External"/><Relationship Id="rId35" Type="http://schemas.openxmlformats.org/officeDocument/2006/relationships/hyperlink" Target="https://www.cbd.int/doc/decisions/cop-07/full/cop-07-dec-zh.pdf" TargetMode="External"/><Relationship Id="rId43" Type="http://schemas.openxmlformats.org/officeDocument/2006/relationships/hyperlink" Target="https://www.cbd.int/doc/notifications/2025/ntf-2025-014-wildlife-en.pdf" TargetMode="External"/><Relationship Id="rId4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notifications/2026-024"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oc/notifications/2025/ntf-2025-015-wildlife-en.pdf"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oc/notifications/2025/ntf-2025-014-wildlife-en.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oc/notifications/2025/ntf-2025-014-wildlife-en.pdf"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3"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6" TargetMode="External"/><Relationship Id="rId3" Type="http://schemas.openxmlformats.org/officeDocument/2006/relationships/hyperlink" Target="https://www.cbd.int/notifications/2025-015" TargetMode="External"/><Relationship Id="rId7" Type="http://schemas.openxmlformats.org/officeDocument/2006/relationships/hyperlink" Target="https://www.cbd.int/doc/decisions/cop-07/full/cop-07-dec-zh.pdf"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notifications/2026-024" TargetMode="External"/><Relationship Id="rId9" Type="http://schemas.openxmlformats.org/officeDocument/2006/relationships/hyperlink" Target="https://www.cbd.int/documents/CBD/COP/16/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0B964F-9302-4477-BB7E-328511F8F3CE}">
  <ds:schemaRefs>
    <ds:schemaRef ds:uri="http://schemas.microsoft.com/sharepoint/v3/contenttype/forms"/>
  </ds:schemaRefs>
</ds:datastoreItem>
</file>

<file path=customXml/itemProps2.xml><?xml version="1.0" encoding="utf-8"?>
<ds:datastoreItem xmlns:ds="http://schemas.openxmlformats.org/officeDocument/2006/customXml" ds:itemID="{99BD98D4-F876-4715-AF77-C91B9F630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E98E9-9001-4368-8F13-2E6083CBEDBB}">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5</TotalTime>
  <Pages>15</Pages>
  <Words>2422</Words>
  <Characters>14272</Characters>
  <Application>Microsoft Office Word</Application>
  <DocSecurity>0</DocSecurity>
  <Lines>274</Lines>
  <Paragraphs>127</Paragraphs>
  <ScaleCrop>false</ScaleCrop>
  <HeadingPairs>
    <vt:vector size="2" baseType="variant">
      <vt:variant>
        <vt:lpstr>Title</vt:lpstr>
      </vt:variant>
      <vt:variant>
        <vt:i4>1</vt:i4>
      </vt:variant>
    </vt:vector>
  </HeadingPairs>
  <TitlesOfParts>
    <vt:vector size="1" baseType="lpstr">
      <vt:lpstr>Sustainable wildlife management</vt:lpstr>
    </vt:vector>
  </TitlesOfParts>
  <Company/>
  <LinksUpToDate>false</LinksUpToDate>
  <CharactersWithSpaces>16567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Veronique Lefebvre</cp:lastModifiedBy>
  <cp:revision>6</cp:revision>
  <cp:lastPrinted>2026-06-19T19:01:00Z</cp:lastPrinted>
  <dcterms:created xsi:type="dcterms:W3CDTF">2026-06-19T19:01:00Z</dcterms:created>
  <dcterms:modified xsi:type="dcterms:W3CDTF">2026-06-19T20:15:00Z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0x0101007A328EB00E67F346B6174BE96D327B2B</vt:lpwstr>
  </property>
</Properties>
</file>