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07A6E" w:rsidRPr="001F2400" w14:paraId="41D56E08" w14:textId="77777777" w:rsidTr="00A72329">
        <w:trPr>
          <w:trHeight w:val="709"/>
        </w:trPr>
        <w:tc>
          <w:tcPr>
            <w:tcW w:w="976" w:type="dxa"/>
            <w:tcBorders>
              <w:bottom w:val="single" w:sz="12" w:space="0" w:color="auto"/>
            </w:tcBorders>
          </w:tcPr>
          <w:p w14:paraId="250576B6" w14:textId="77777777" w:rsidR="00207A6E" w:rsidRPr="00890C7C" w:rsidRDefault="00207A6E" w:rsidP="00A72329">
            <w:pPr>
              <w:rPr>
                <w:kern w:val="22"/>
              </w:rPr>
            </w:pPr>
            <w:r w:rsidRPr="00890C7C">
              <w:rPr>
                <w:noProof/>
                <w:kern w:val="22"/>
                <w:lang w:eastAsia="en-CA"/>
              </w:rPr>
              <w:drawing>
                <wp:inline distT="0" distB="0" distL="0" distR="0" wp14:anchorId="630904E9" wp14:editId="6C0E3F4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DA7F530" w14:textId="77777777" w:rsidR="00207A6E" w:rsidRPr="00890C7C" w:rsidRDefault="00207A6E" w:rsidP="00A72329">
            <w:pPr>
              <w:rPr>
                <w:kern w:val="22"/>
              </w:rPr>
            </w:pPr>
            <w:r w:rsidRPr="00890C7C">
              <w:rPr>
                <w:noProof/>
                <w:kern w:val="22"/>
                <w:lang w:eastAsia="en-CA"/>
              </w:rPr>
              <w:drawing>
                <wp:inline distT="0" distB="0" distL="0" distR="0" wp14:anchorId="799F52F2" wp14:editId="703E165B">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F7620CF" w14:textId="77777777" w:rsidR="00207A6E" w:rsidRPr="00890C7C" w:rsidRDefault="00207A6E" w:rsidP="00A72329">
            <w:pPr>
              <w:jc w:val="right"/>
              <w:rPr>
                <w:rFonts w:ascii="Arial" w:hAnsi="Arial" w:cs="Arial"/>
                <w:b/>
                <w:kern w:val="22"/>
                <w:sz w:val="32"/>
                <w:szCs w:val="32"/>
              </w:rPr>
            </w:pPr>
            <w:r w:rsidRPr="00890C7C">
              <w:rPr>
                <w:rFonts w:ascii="Arial" w:hAnsi="Arial" w:cs="Arial"/>
                <w:b/>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F16F02" w:rsidRPr="001F2400" w14:paraId="0EF3099F" w14:textId="77777777" w:rsidTr="009554D5">
        <w:trPr>
          <w:trHeight w:val="1693"/>
        </w:trPr>
        <w:tc>
          <w:tcPr>
            <w:tcW w:w="6227" w:type="dxa"/>
            <w:tcBorders>
              <w:top w:val="nil"/>
              <w:bottom w:val="single" w:sz="36" w:space="0" w:color="000000"/>
            </w:tcBorders>
          </w:tcPr>
          <w:p w14:paraId="33EAF1AA" w14:textId="77777777" w:rsidR="00F16F02" w:rsidRPr="001F2400" w:rsidRDefault="00F16F02">
            <w:pPr>
              <w:rPr>
                <w:snapToGrid w:val="0"/>
                <w:kern w:val="22"/>
              </w:rPr>
            </w:pPr>
          </w:p>
          <w:p w14:paraId="5745C88B" w14:textId="77777777" w:rsidR="00F16F02" w:rsidRPr="001F2400" w:rsidRDefault="00F16F02" w:rsidP="00736BC2">
            <w:pPr>
              <w:rPr>
                <w:snapToGrid w:val="0"/>
                <w:kern w:val="22"/>
              </w:rPr>
            </w:pPr>
            <w:r w:rsidRPr="00890C7C">
              <w:rPr>
                <w:noProof/>
                <w:kern w:val="22"/>
                <w:lang w:eastAsia="en-CA"/>
              </w:rPr>
              <w:drawing>
                <wp:inline distT="0" distB="0" distL="0" distR="0" wp14:anchorId="18EC986C" wp14:editId="47A02859">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p w14:paraId="2B2B68C5" w14:textId="77777777" w:rsidR="00F16F02" w:rsidRPr="001F2400" w:rsidRDefault="00F16F02">
            <w:pPr>
              <w:rPr>
                <w:rFonts w:ascii="Univers" w:hAnsi="Univers"/>
                <w:snapToGrid w:val="0"/>
                <w:kern w:val="22"/>
                <w:sz w:val="32"/>
              </w:rPr>
            </w:pPr>
          </w:p>
        </w:tc>
        <w:tc>
          <w:tcPr>
            <w:tcW w:w="1144" w:type="dxa"/>
            <w:tcBorders>
              <w:top w:val="nil"/>
              <w:bottom w:val="single" w:sz="36" w:space="0" w:color="000000"/>
            </w:tcBorders>
          </w:tcPr>
          <w:p w14:paraId="3B5F131A" w14:textId="77777777" w:rsidR="00F16F02" w:rsidRPr="001F2400" w:rsidRDefault="00F16F02">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496C9580" w14:textId="77777777" w:rsidR="00F16F02" w:rsidRPr="001F2400" w:rsidRDefault="00F16F02" w:rsidP="00890C7C">
            <w:pPr>
              <w:ind w:left="63"/>
              <w:jc w:val="left"/>
              <w:rPr>
                <w:snapToGrid w:val="0"/>
                <w:kern w:val="22"/>
                <w:szCs w:val="22"/>
              </w:rPr>
            </w:pPr>
            <w:r w:rsidRPr="001F2400">
              <w:rPr>
                <w:snapToGrid w:val="0"/>
                <w:kern w:val="22"/>
                <w:szCs w:val="22"/>
              </w:rPr>
              <w:t>Distr.</w:t>
            </w:r>
          </w:p>
          <w:p w14:paraId="65B02D29" w14:textId="1AFC4448" w:rsidR="00F16F02" w:rsidRPr="001F2400" w:rsidRDefault="0067228A" w:rsidP="00890C7C">
            <w:pPr>
              <w:ind w:left="63"/>
              <w:jc w:val="left"/>
              <w:rPr>
                <w:snapToGrid w:val="0"/>
                <w:kern w:val="22"/>
                <w:szCs w:val="22"/>
              </w:rPr>
            </w:pPr>
            <w:r w:rsidRPr="001F2400">
              <w:rPr>
                <w:snapToGrid w:val="0"/>
                <w:kern w:val="22"/>
                <w:szCs w:val="22"/>
              </w:rPr>
              <w:t>GENERAL</w:t>
            </w:r>
          </w:p>
          <w:p w14:paraId="32C159AF" w14:textId="77777777" w:rsidR="00F16F02" w:rsidRPr="001F2400" w:rsidRDefault="00F16F02" w:rsidP="00890C7C">
            <w:pPr>
              <w:ind w:left="63"/>
              <w:jc w:val="left"/>
              <w:rPr>
                <w:snapToGrid w:val="0"/>
                <w:kern w:val="22"/>
                <w:szCs w:val="22"/>
              </w:rPr>
            </w:pPr>
          </w:p>
          <w:sdt>
            <w:sdtPr>
              <w:rPr>
                <w:kern w:val="22"/>
                <w:szCs w:val="22"/>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EndPr/>
            <w:sdtContent>
              <w:p w14:paraId="3E9A559B" w14:textId="77777777" w:rsidR="00F16F02" w:rsidRPr="001F2400" w:rsidRDefault="00B6487F" w:rsidP="00890C7C">
                <w:pPr>
                  <w:ind w:left="63"/>
                  <w:jc w:val="left"/>
                  <w:rPr>
                    <w:snapToGrid w:val="0"/>
                    <w:kern w:val="22"/>
                    <w:szCs w:val="22"/>
                  </w:rPr>
                </w:pPr>
                <w:r w:rsidRPr="00890C7C">
                  <w:rPr>
                    <w:kern w:val="22"/>
                    <w:szCs w:val="22"/>
                  </w:rPr>
                  <w:t>CBD/WG2020/1/</w:t>
                </w:r>
                <w:r w:rsidR="00496917" w:rsidRPr="00890C7C">
                  <w:rPr>
                    <w:kern w:val="22"/>
                    <w:szCs w:val="22"/>
                  </w:rPr>
                  <w:t>2</w:t>
                </w:r>
              </w:p>
            </w:sdtContent>
          </w:sdt>
          <w:p w14:paraId="41D2FCA4" w14:textId="0CD7962F" w:rsidR="00F16F02" w:rsidRPr="001F2400" w:rsidRDefault="005E3A9C" w:rsidP="00890C7C">
            <w:pPr>
              <w:ind w:left="63"/>
              <w:jc w:val="left"/>
              <w:rPr>
                <w:snapToGrid w:val="0"/>
                <w:kern w:val="22"/>
                <w:szCs w:val="22"/>
              </w:rPr>
            </w:pPr>
            <w:r w:rsidRPr="001F2400">
              <w:rPr>
                <w:snapToGrid w:val="0"/>
                <w:kern w:val="22"/>
                <w:szCs w:val="22"/>
              </w:rPr>
              <w:t xml:space="preserve">2 </w:t>
            </w:r>
            <w:r w:rsidR="00846CCC" w:rsidRPr="001F2400">
              <w:rPr>
                <w:snapToGrid w:val="0"/>
                <w:kern w:val="22"/>
                <w:szCs w:val="22"/>
              </w:rPr>
              <w:t>Ju</w:t>
            </w:r>
            <w:r w:rsidR="0067228A" w:rsidRPr="001F2400">
              <w:rPr>
                <w:snapToGrid w:val="0"/>
                <w:kern w:val="22"/>
                <w:szCs w:val="22"/>
              </w:rPr>
              <w:t>ly</w:t>
            </w:r>
            <w:r w:rsidR="00846CCC" w:rsidRPr="001F2400">
              <w:rPr>
                <w:snapToGrid w:val="0"/>
                <w:kern w:val="22"/>
                <w:szCs w:val="22"/>
              </w:rPr>
              <w:t xml:space="preserve"> </w:t>
            </w:r>
            <w:r w:rsidR="00D15589" w:rsidRPr="001F2400">
              <w:rPr>
                <w:snapToGrid w:val="0"/>
                <w:kern w:val="22"/>
                <w:szCs w:val="22"/>
              </w:rPr>
              <w:t>201</w:t>
            </w:r>
            <w:r w:rsidR="00060B3E" w:rsidRPr="001F2400">
              <w:rPr>
                <w:snapToGrid w:val="0"/>
                <w:kern w:val="22"/>
                <w:szCs w:val="22"/>
              </w:rPr>
              <w:t>9</w:t>
            </w:r>
          </w:p>
          <w:p w14:paraId="5632F78B" w14:textId="77777777" w:rsidR="00F16F02" w:rsidRPr="001F2400" w:rsidRDefault="00F16F02" w:rsidP="00890C7C">
            <w:pPr>
              <w:ind w:left="63"/>
              <w:jc w:val="left"/>
              <w:rPr>
                <w:snapToGrid w:val="0"/>
                <w:kern w:val="22"/>
                <w:szCs w:val="22"/>
              </w:rPr>
            </w:pPr>
          </w:p>
          <w:p w14:paraId="7C4F72C6" w14:textId="77777777" w:rsidR="00F16F02" w:rsidRPr="001F2400" w:rsidRDefault="00F16F02" w:rsidP="00890C7C">
            <w:pPr>
              <w:ind w:left="63"/>
              <w:jc w:val="left"/>
              <w:rPr>
                <w:snapToGrid w:val="0"/>
                <w:color w:val="FF0000"/>
                <w:kern w:val="22"/>
                <w:szCs w:val="22"/>
                <w:u w:val="single"/>
              </w:rPr>
            </w:pPr>
            <w:r w:rsidRPr="001F2400">
              <w:rPr>
                <w:snapToGrid w:val="0"/>
                <w:kern w:val="22"/>
                <w:szCs w:val="22"/>
              </w:rPr>
              <w:t>ORIGINAL:  ENGLISH</w:t>
            </w:r>
          </w:p>
        </w:tc>
      </w:tr>
    </w:tbl>
    <w:bookmarkStart w:id="0" w:name="Meeting"/>
    <w:p w14:paraId="1CC4DDA0" w14:textId="77777777" w:rsidR="00D97C40" w:rsidRPr="00D53BEB" w:rsidRDefault="00562428" w:rsidP="00D97C40">
      <w:pPr>
        <w:pStyle w:val="meetingname"/>
        <w:ind w:right="5816"/>
        <w:rPr>
          <w:kern w:val="22"/>
          <w:szCs w:val="22"/>
        </w:rPr>
      </w:pPr>
      <w:sdt>
        <w:sdtPr>
          <w:rPr>
            <w:kern w:val="22"/>
            <w:szCs w:val="22"/>
          </w:rPr>
          <w:alias w:val="Meeting"/>
          <w:tag w:val="Meeting"/>
          <w:id w:val="1412045910"/>
          <w:placeholder>
            <w:docPart w:val="719BEB6F4B05438B95E20987EC1D04FC"/>
          </w:placeholder>
          <w:text/>
        </w:sdtPr>
        <w:sdtEndPr/>
        <w:sdtContent>
          <w:r w:rsidR="00D97C40" w:rsidRPr="00D53BEB">
            <w:rPr>
              <w:kern w:val="22"/>
              <w:szCs w:val="22"/>
            </w:rPr>
            <w:t>OPEN-ENDED WORKING GROUP on the post-2020 global biodiversity framework</w:t>
          </w:r>
        </w:sdtContent>
      </w:sdt>
      <w:bookmarkEnd w:id="0"/>
    </w:p>
    <w:p w14:paraId="4776F3D4" w14:textId="77777777" w:rsidR="00D97C40" w:rsidRPr="00D53BEB" w:rsidRDefault="00D97C40" w:rsidP="00D97C40">
      <w:pPr>
        <w:rPr>
          <w:snapToGrid w:val="0"/>
          <w:kern w:val="22"/>
          <w:szCs w:val="22"/>
          <w:lang w:eastAsia="nb-NO"/>
        </w:rPr>
      </w:pPr>
      <w:r w:rsidRPr="00D53BEB">
        <w:rPr>
          <w:snapToGrid w:val="0"/>
          <w:kern w:val="22"/>
          <w:szCs w:val="22"/>
          <w:lang w:eastAsia="nb-NO"/>
        </w:rPr>
        <w:t>First meeting</w:t>
      </w:r>
    </w:p>
    <w:p w14:paraId="3974E867" w14:textId="5AD435AD" w:rsidR="005B6A66" w:rsidRPr="00D53BEB" w:rsidRDefault="00D97C40" w:rsidP="00D97C40">
      <w:pPr>
        <w:rPr>
          <w:snapToGrid w:val="0"/>
          <w:kern w:val="22"/>
          <w:szCs w:val="22"/>
          <w:lang w:eastAsia="nb-NO"/>
        </w:rPr>
      </w:pPr>
      <w:r w:rsidRPr="00D53BEB">
        <w:rPr>
          <w:snapToGrid w:val="0"/>
          <w:kern w:val="22"/>
          <w:szCs w:val="22"/>
          <w:lang w:eastAsia="nb-NO"/>
        </w:rPr>
        <w:t>Nairobi, 27-30 August 2019</w:t>
      </w:r>
    </w:p>
    <w:p w14:paraId="1A1C1E8B" w14:textId="38942A4D" w:rsidR="0067228A" w:rsidRPr="00D53BEB" w:rsidRDefault="0067228A" w:rsidP="00D97C40">
      <w:pPr>
        <w:rPr>
          <w:snapToGrid w:val="0"/>
          <w:kern w:val="22"/>
          <w:szCs w:val="22"/>
          <w:lang w:eastAsia="nb-NO"/>
        </w:rPr>
      </w:pPr>
      <w:r w:rsidRPr="00D53BEB">
        <w:rPr>
          <w:snapToGrid w:val="0"/>
          <w:kern w:val="22"/>
          <w:szCs w:val="22"/>
          <w:lang w:eastAsia="nb-NO"/>
        </w:rPr>
        <w:t>Item 3 of the provisional agenda</w:t>
      </w:r>
      <w:r w:rsidRPr="00890C7C">
        <w:rPr>
          <w:rStyle w:val="FootnoteReference"/>
          <w:snapToGrid w:val="0"/>
          <w:kern w:val="22"/>
          <w:sz w:val="22"/>
          <w:szCs w:val="22"/>
          <w:u w:val="none"/>
          <w:vertAlign w:val="superscript"/>
          <w:lang w:eastAsia="nb-NO"/>
        </w:rPr>
        <w:footnoteReference w:customMarkFollows="1" w:id="1"/>
        <w:t>*</w:t>
      </w:r>
    </w:p>
    <w:sdt>
      <w:sdtPr>
        <w:rPr>
          <w:b/>
          <w:caps/>
          <w:snapToGrid/>
          <w:kern w:val="22"/>
          <w:szCs w:val="22"/>
        </w:rPr>
        <w:alias w:val="Title"/>
        <w:tag w:val=""/>
        <w:id w:val="1132532128"/>
        <w:placeholder>
          <w:docPart w:val="B5D93EE96593482F81D6B232F2EE5327"/>
        </w:placeholder>
        <w:dataBinding w:prefixMappings="xmlns:ns0='http://purl.org/dc/elements/1.1/' xmlns:ns1='http://schemas.openxmlformats.org/package/2006/metadata/core-properties' " w:xpath="/ns1:coreProperties[1]/ns0:title[1]" w:storeItemID="{6C3C8BC8-F283-45AE-878A-BAB7291924A1}"/>
        <w:text/>
      </w:sdtPr>
      <w:sdtEndPr/>
      <w:sdtContent>
        <w:p w14:paraId="55048FD5" w14:textId="7A581F99" w:rsidR="00EC2A40" w:rsidRPr="00890C7C" w:rsidRDefault="00731F0B" w:rsidP="00D97C40">
          <w:pPr>
            <w:pStyle w:val="Para1"/>
            <w:numPr>
              <w:ilvl w:val="0"/>
              <w:numId w:val="0"/>
            </w:numPr>
            <w:spacing w:before="240"/>
            <w:jc w:val="center"/>
            <w:rPr>
              <w:b/>
              <w:caps/>
              <w:snapToGrid/>
              <w:kern w:val="22"/>
              <w:szCs w:val="22"/>
            </w:rPr>
          </w:pPr>
          <w:r w:rsidRPr="00890C7C">
            <w:rPr>
              <w:b/>
              <w:caps/>
              <w:snapToGrid/>
              <w:kern w:val="22"/>
              <w:szCs w:val="22"/>
            </w:rPr>
            <w:t>Overview of the consultations</w:t>
          </w:r>
          <w:r w:rsidR="005E3A9C" w:rsidRPr="00890C7C">
            <w:rPr>
              <w:b/>
              <w:caps/>
              <w:snapToGrid/>
              <w:kern w:val="22"/>
              <w:szCs w:val="22"/>
            </w:rPr>
            <w:t xml:space="preserve"> </w:t>
          </w:r>
          <w:r w:rsidRPr="00890C7C">
            <w:rPr>
              <w:b/>
              <w:caps/>
              <w:snapToGrid/>
              <w:kern w:val="22"/>
              <w:szCs w:val="22"/>
            </w:rPr>
            <w:t>conducted, and other contributions received</w:t>
          </w:r>
          <w:r w:rsidR="00604879" w:rsidRPr="00890C7C">
            <w:rPr>
              <w:b/>
              <w:caps/>
              <w:snapToGrid/>
              <w:kern w:val="22"/>
              <w:szCs w:val="22"/>
            </w:rPr>
            <w:t>,</w:t>
          </w:r>
          <w:r w:rsidRPr="00890C7C">
            <w:rPr>
              <w:b/>
              <w:caps/>
              <w:snapToGrid/>
              <w:kern w:val="22"/>
              <w:szCs w:val="22"/>
            </w:rPr>
            <w:t xml:space="preserve"> regarding the preparation of the post-2020 global biodiversity framework</w:t>
          </w:r>
        </w:p>
      </w:sdtContent>
    </w:sdt>
    <w:p w14:paraId="2B0EC51B" w14:textId="77777777" w:rsidR="00EC2A40" w:rsidRPr="006C6ABF" w:rsidRDefault="00D97C40" w:rsidP="00D97C40">
      <w:pPr>
        <w:pStyle w:val="ListParagraph"/>
        <w:numPr>
          <w:ilvl w:val="0"/>
          <w:numId w:val="5"/>
        </w:numPr>
        <w:tabs>
          <w:tab w:val="left" w:pos="426"/>
        </w:tabs>
        <w:spacing w:before="240" w:after="120"/>
        <w:ind w:left="0" w:firstLine="0"/>
        <w:contextualSpacing w:val="0"/>
        <w:jc w:val="center"/>
        <w:outlineLvl w:val="0"/>
        <w:rPr>
          <w:b/>
          <w:iCs/>
          <w:snapToGrid w:val="0"/>
          <w:kern w:val="22"/>
          <w:szCs w:val="22"/>
        </w:rPr>
      </w:pPr>
      <w:r w:rsidRPr="006C6ABF">
        <w:rPr>
          <w:b/>
          <w:iCs/>
          <w:snapToGrid w:val="0"/>
          <w:kern w:val="22"/>
          <w:szCs w:val="22"/>
        </w:rPr>
        <w:t>INTRODUCTION</w:t>
      </w:r>
    </w:p>
    <w:p w14:paraId="2B79ACF6" w14:textId="44DE0B4D" w:rsidR="00190360" w:rsidRPr="00890C7C" w:rsidRDefault="00183241" w:rsidP="00190360">
      <w:pPr>
        <w:pStyle w:val="Para1"/>
        <w:tabs>
          <w:tab w:val="clear" w:pos="630"/>
        </w:tabs>
        <w:ind w:left="0"/>
        <w:rPr>
          <w:kern w:val="22"/>
          <w:szCs w:val="22"/>
        </w:rPr>
      </w:pPr>
      <w:r w:rsidRPr="00890C7C">
        <w:rPr>
          <w:kern w:val="22"/>
          <w:szCs w:val="22"/>
        </w:rPr>
        <w:t xml:space="preserve">Decision </w:t>
      </w:r>
      <w:hyperlink r:id="rId11" w:history="1">
        <w:r w:rsidRPr="00890C7C">
          <w:rPr>
            <w:rStyle w:val="Hyperlink"/>
            <w:kern w:val="22"/>
            <w:szCs w:val="22"/>
          </w:rPr>
          <w:t>14/34</w:t>
        </w:r>
      </w:hyperlink>
      <w:r w:rsidRPr="00890C7C">
        <w:rPr>
          <w:kern w:val="22"/>
          <w:szCs w:val="22"/>
        </w:rPr>
        <w:t xml:space="preserve"> sets out the process for developing the post-2020 global biodiversity </w:t>
      </w:r>
      <w:r w:rsidR="00D14293" w:rsidRPr="00890C7C">
        <w:rPr>
          <w:kern w:val="22"/>
          <w:szCs w:val="22"/>
        </w:rPr>
        <w:t>framework</w:t>
      </w:r>
      <w:r w:rsidRPr="00890C7C">
        <w:rPr>
          <w:kern w:val="22"/>
          <w:szCs w:val="22"/>
        </w:rPr>
        <w:t>.</w:t>
      </w:r>
      <w:r w:rsidR="008B4F2D" w:rsidRPr="00890C7C">
        <w:rPr>
          <w:kern w:val="22"/>
          <w:szCs w:val="22"/>
        </w:rPr>
        <w:t xml:space="preserve"> </w:t>
      </w:r>
      <w:r w:rsidR="007616B7" w:rsidRPr="00890C7C">
        <w:rPr>
          <w:kern w:val="22"/>
          <w:szCs w:val="22"/>
        </w:rPr>
        <w:t xml:space="preserve">The process adopted called for </w:t>
      </w:r>
      <w:r w:rsidR="00624B78" w:rsidRPr="00890C7C">
        <w:rPr>
          <w:kern w:val="22"/>
          <w:szCs w:val="22"/>
        </w:rPr>
        <w:t>several</w:t>
      </w:r>
      <w:r w:rsidR="007616B7" w:rsidRPr="00890C7C">
        <w:rPr>
          <w:kern w:val="22"/>
          <w:szCs w:val="22"/>
        </w:rPr>
        <w:t xml:space="preserve"> consultation</w:t>
      </w:r>
      <w:r w:rsidR="00F137CF" w:rsidRPr="00890C7C">
        <w:rPr>
          <w:kern w:val="22"/>
          <w:szCs w:val="22"/>
        </w:rPr>
        <w:t>s</w:t>
      </w:r>
      <w:r w:rsidR="007616B7" w:rsidRPr="00890C7C">
        <w:rPr>
          <w:kern w:val="22"/>
          <w:szCs w:val="22"/>
        </w:rPr>
        <w:t xml:space="preserve"> including but not limited to online discussion forums and global, regional and thematic workshops. The process also called for documentation</w:t>
      </w:r>
      <w:r w:rsidR="007E4604" w:rsidRPr="00890C7C">
        <w:rPr>
          <w:kern w:val="22"/>
          <w:szCs w:val="22"/>
        </w:rPr>
        <w:t xml:space="preserve"> to be developed in an iterative manner with opportunities to comment on </w:t>
      </w:r>
      <w:r w:rsidR="00E55806" w:rsidRPr="00890C7C">
        <w:rPr>
          <w:kern w:val="22"/>
          <w:szCs w:val="22"/>
        </w:rPr>
        <w:t xml:space="preserve">the </w:t>
      </w:r>
      <w:r w:rsidR="007E4604" w:rsidRPr="00890C7C">
        <w:rPr>
          <w:kern w:val="22"/>
          <w:szCs w:val="22"/>
        </w:rPr>
        <w:t xml:space="preserve">relevant documentation. </w:t>
      </w:r>
      <w:r w:rsidR="00A72329" w:rsidRPr="00890C7C">
        <w:rPr>
          <w:kern w:val="22"/>
          <w:szCs w:val="22"/>
        </w:rPr>
        <w:t>Considering</w:t>
      </w:r>
      <w:r w:rsidR="003715AE" w:rsidRPr="00890C7C">
        <w:rPr>
          <w:kern w:val="22"/>
          <w:szCs w:val="22"/>
        </w:rPr>
        <w:t xml:space="preserve"> this</w:t>
      </w:r>
      <w:r w:rsidR="007E4604" w:rsidRPr="00890C7C">
        <w:rPr>
          <w:kern w:val="22"/>
          <w:szCs w:val="22"/>
        </w:rPr>
        <w:t xml:space="preserve"> </w:t>
      </w:r>
      <w:r w:rsidR="00604879" w:rsidRPr="00890C7C">
        <w:rPr>
          <w:kern w:val="22"/>
          <w:szCs w:val="22"/>
        </w:rPr>
        <w:t>decision,</w:t>
      </w:r>
      <w:r w:rsidR="007E4604" w:rsidRPr="00890C7C">
        <w:rPr>
          <w:kern w:val="22"/>
          <w:szCs w:val="22"/>
        </w:rPr>
        <w:t xml:space="preserve"> </w:t>
      </w:r>
      <w:r w:rsidR="005E3A9C" w:rsidRPr="00890C7C">
        <w:rPr>
          <w:kern w:val="22"/>
          <w:szCs w:val="22"/>
        </w:rPr>
        <w:t>several</w:t>
      </w:r>
      <w:r w:rsidR="007E4604" w:rsidRPr="00890C7C">
        <w:rPr>
          <w:kern w:val="22"/>
          <w:szCs w:val="22"/>
        </w:rPr>
        <w:t xml:space="preserve"> consultation processes have been undertaken or initiated. </w:t>
      </w:r>
      <w:r w:rsidR="002212FB" w:rsidRPr="00890C7C">
        <w:rPr>
          <w:kern w:val="22"/>
          <w:szCs w:val="22"/>
        </w:rPr>
        <w:t>Further</w:t>
      </w:r>
      <w:r w:rsidR="0067228A" w:rsidRPr="00D53BEB">
        <w:rPr>
          <w:kern w:val="22"/>
          <w:szCs w:val="22"/>
        </w:rPr>
        <w:t>,</w:t>
      </w:r>
      <w:r w:rsidR="002212FB" w:rsidRPr="00890C7C">
        <w:rPr>
          <w:kern w:val="22"/>
          <w:szCs w:val="22"/>
        </w:rPr>
        <w:t xml:space="preserve"> the Secretariat has established a webpage for all activities related to the preparation of the post 2020 biodiversity framework including a calendar of key events, and a page dedicated to the Co-</w:t>
      </w:r>
      <w:r w:rsidR="005D797E">
        <w:rPr>
          <w:kern w:val="22"/>
          <w:szCs w:val="22"/>
        </w:rPr>
        <w:t>C</w:t>
      </w:r>
      <w:r w:rsidR="002212FB" w:rsidRPr="00890C7C">
        <w:rPr>
          <w:kern w:val="22"/>
          <w:szCs w:val="22"/>
        </w:rPr>
        <w:t>hairs of the</w:t>
      </w:r>
      <w:r w:rsidR="00832876" w:rsidRPr="00890C7C">
        <w:rPr>
          <w:kern w:val="22"/>
          <w:szCs w:val="22"/>
        </w:rPr>
        <w:t xml:space="preserve"> </w:t>
      </w:r>
      <w:r w:rsidR="0067228A" w:rsidRPr="00D53BEB">
        <w:rPr>
          <w:kern w:val="22"/>
          <w:szCs w:val="22"/>
        </w:rPr>
        <w:t>O</w:t>
      </w:r>
      <w:r w:rsidR="00832876" w:rsidRPr="00890C7C">
        <w:rPr>
          <w:kern w:val="22"/>
          <w:szCs w:val="22"/>
        </w:rPr>
        <w:t xml:space="preserve">pen-ended </w:t>
      </w:r>
      <w:r w:rsidR="0067228A" w:rsidRPr="00D53BEB">
        <w:rPr>
          <w:kern w:val="22"/>
          <w:szCs w:val="22"/>
        </w:rPr>
        <w:t>W</w:t>
      </w:r>
      <w:r w:rsidR="00832876" w:rsidRPr="00890C7C">
        <w:rPr>
          <w:kern w:val="22"/>
          <w:szCs w:val="22"/>
        </w:rPr>
        <w:t xml:space="preserve">orking </w:t>
      </w:r>
      <w:r w:rsidR="0067228A" w:rsidRPr="00D53BEB">
        <w:rPr>
          <w:kern w:val="22"/>
          <w:szCs w:val="22"/>
        </w:rPr>
        <w:t>G</w:t>
      </w:r>
      <w:r w:rsidR="00832876" w:rsidRPr="00890C7C">
        <w:rPr>
          <w:kern w:val="22"/>
          <w:szCs w:val="22"/>
        </w:rPr>
        <w:t>roup</w:t>
      </w:r>
      <w:r w:rsidR="0067228A" w:rsidRPr="00D53BEB">
        <w:rPr>
          <w:kern w:val="22"/>
          <w:szCs w:val="22"/>
        </w:rPr>
        <w:t>.</w:t>
      </w:r>
      <w:r w:rsidR="002212FB" w:rsidRPr="00890C7C">
        <w:rPr>
          <w:kern w:val="22"/>
          <w:szCs w:val="22"/>
          <w:vertAlign w:val="superscript"/>
        </w:rPr>
        <w:footnoteReference w:id="2"/>
      </w:r>
      <w:r w:rsidR="002212FB" w:rsidRPr="00890C7C">
        <w:rPr>
          <w:kern w:val="22"/>
          <w:szCs w:val="22"/>
        </w:rPr>
        <w:t xml:space="preserve"> In </w:t>
      </w:r>
      <w:r w:rsidR="008755E5" w:rsidRPr="00890C7C">
        <w:rPr>
          <w:kern w:val="22"/>
          <w:szCs w:val="22"/>
        </w:rPr>
        <w:t>addition,</w:t>
      </w:r>
      <w:r w:rsidR="002212FB" w:rsidRPr="00890C7C">
        <w:rPr>
          <w:kern w:val="22"/>
          <w:szCs w:val="22"/>
        </w:rPr>
        <w:t xml:space="preserve"> an </w:t>
      </w:r>
      <w:r w:rsidR="00190360" w:rsidRPr="00890C7C">
        <w:rPr>
          <w:kern w:val="22"/>
          <w:szCs w:val="22"/>
        </w:rPr>
        <w:t>online</w:t>
      </w:r>
      <w:r w:rsidR="002212FB" w:rsidRPr="00890C7C">
        <w:rPr>
          <w:kern w:val="22"/>
          <w:szCs w:val="22"/>
        </w:rPr>
        <w:t xml:space="preserve"> platform</w:t>
      </w:r>
      <w:r w:rsidR="00CC2A35" w:rsidRPr="00D53BEB">
        <w:rPr>
          <w:kern w:val="22"/>
          <w:szCs w:val="22"/>
        </w:rPr>
        <w:t xml:space="preserve"> for the Sharm El-Sheikh to Kunming Action Agenda for Nature and People, has been established.</w:t>
      </w:r>
      <w:r w:rsidR="002212FB" w:rsidRPr="00890C7C">
        <w:rPr>
          <w:kern w:val="22"/>
          <w:szCs w:val="22"/>
          <w:vertAlign w:val="superscript"/>
        </w:rPr>
        <w:footnoteReference w:id="3"/>
      </w:r>
    </w:p>
    <w:p w14:paraId="4289A15C" w14:textId="330C8AFC" w:rsidR="001E6E1A" w:rsidRPr="00890C7C" w:rsidRDefault="001E6E1A" w:rsidP="00AA4A91">
      <w:pPr>
        <w:pStyle w:val="Para1"/>
        <w:tabs>
          <w:tab w:val="clear" w:pos="630"/>
        </w:tabs>
        <w:ind w:left="0"/>
        <w:rPr>
          <w:kern w:val="22"/>
          <w:szCs w:val="22"/>
        </w:rPr>
      </w:pPr>
      <w:bookmarkStart w:id="1" w:name="_Hlk13048434"/>
      <w:r w:rsidRPr="00890C7C">
        <w:rPr>
          <w:rFonts w:eastAsia="Malgun Gothic"/>
          <w:kern w:val="22"/>
          <w:szCs w:val="22"/>
        </w:rPr>
        <w:t>The consultation process undertaken to date ha</w:t>
      </w:r>
      <w:r w:rsidR="0067228A" w:rsidRPr="00890C7C">
        <w:rPr>
          <w:rFonts w:eastAsia="Malgun Gothic"/>
          <w:kern w:val="22"/>
          <w:szCs w:val="22"/>
        </w:rPr>
        <w:t>s</w:t>
      </w:r>
      <w:r w:rsidRPr="00890C7C">
        <w:rPr>
          <w:rFonts w:eastAsia="Malgun Gothic"/>
          <w:kern w:val="22"/>
          <w:szCs w:val="22"/>
        </w:rPr>
        <w:t xml:space="preserve"> benefited from the support of many Parties and organi</w:t>
      </w:r>
      <w:r w:rsidR="0067228A" w:rsidRPr="006C6ABF">
        <w:rPr>
          <w:rFonts w:eastAsia="Malgun Gothic"/>
          <w:kern w:val="22"/>
          <w:szCs w:val="22"/>
        </w:rPr>
        <w:t>z</w:t>
      </w:r>
      <w:r w:rsidRPr="00890C7C">
        <w:rPr>
          <w:rFonts w:eastAsia="Malgun Gothic"/>
          <w:kern w:val="22"/>
          <w:szCs w:val="22"/>
        </w:rPr>
        <w:t xml:space="preserve">ations, including </w:t>
      </w:r>
      <w:r w:rsidR="00190360" w:rsidRPr="00890C7C">
        <w:rPr>
          <w:rFonts w:eastAsia="Malgun Gothic"/>
          <w:kern w:val="22"/>
          <w:szCs w:val="22"/>
        </w:rPr>
        <w:t xml:space="preserve">Canada, the European Union, Finland, Germany, New Zealand, </w:t>
      </w:r>
      <w:r w:rsidR="00D516CB" w:rsidRPr="00890C7C">
        <w:rPr>
          <w:kern w:val="22"/>
          <w:szCs w:val="22"/>
        </w:rPr>
        <w:t>Norway</w:t>
      </w:r>
      <w:r w:rsidR="00190360" w:rsidRPr="00890C7C">
        <w:rPr>
          <w:kern w:val="22"/>
          <w:szCs w:val="22"/>
        </w:rPr>
        <w:t xml:space="preserve">, </w:t>
      </w:r>
      <w:r w:rsidR="00190360" w:rsidRPr="00890C7C">
        <w:rPr>
          <w:rFonts w:eastAsia="Malgun Gothic"/>
          <w:kern w:val="22"/>
          <w:szCs w:val="22"/>
        </w:rPr>
        <w:t>Serbia,</w:t>
      </w:r>
      <w:r w:rsidR="00190360" w:rsidRPr="00890C7C">
        <w:rPr>
          <w:kern w:val="22"/>
          <w:szCs w:val="22"/>
        </w:rPr>
        <w:t xml:space="preserve"> Sweden, Switzerland, the United Kingdom of Great Britain and Northern Ireland</w:t>
      </w:r>
      <w:r w:rsidR="00190360" w:rsidRPr="00890C7C">
        <w:rPr>
          <w:rFonts w:eastAsia="Malgun Gothic"/>
          <w:kern w:val="22"/>
          <w:szCs w:val="22"/>
        </w:rPr>
        <w:t xml:space="preserve"> and Uruguay</w:t>
      </w:r>
      <w:r w:rsidR="00190360" w:rsidRPr="00890C7C">
        <w:rPr>
          <w:kern w:val="22"/>
          <w:szCs w:val="22"/>
        </w:rPr>
        <w:t xml:space="preserve">, </w:t>
      </w:r>
      <w:r w:rsidRPr="00890C7C">
        <w:rPr>
          <w:rFonts w:eastAsia="Malgun Gothic"/>
          <w:kern w:val="22"/>
          <w:szCs w:val="22"/>
        </w:rPr>
        <w:t xml:space="preserve">as well as the African Union, </w:t>
      </w:r>
      <w:r w:rsidR="00190360" w:rsidRPr="00890C7C">
        <w:rPr>
          <w:rFonts w:eastAsia="Malgun Gothic"/>
          <w:kern w:val="22"/>
          <w:szCs w:val="22"/>
        </w:rPr>
        <w:t>the United Nations Development Programme</w:t>
      </w:r>
      <w:r w:rsidRPr="00890C7C">
        <w:rPr>
          <w:rFonts w:eastAsia="Malgun Gothic"/>
          <w:kern w:val="22"/>
          <w:szCs w:val="22"/>
        </w:rPr>
        <w:t xml:space="preserve"> and UN Women. This support has enabled a comprehensive consultation process to be undertaken.</w:t>
      </w:r>
    </w:p>
    <w:bookmarkEnd w:id="1"/>
    <w:p w14:paraId="237BAE0A" w14:textId="447AD667" w:rsidR="00B241DC" w:rsidRPr="00890C7C" w:rsidRDefault="008755E5" w:rsidP="00AA4A91">
      <w:pPr>
        <w:pStyle w:val="Para1"/>
        <w:tabs>
          <w:tab w:val="clear" w:pos="630"/>
        </w:tabs>
        <w:ind w:left="0"/>
        <w:rPr>
          <w:kern w:val="22"/>
          <w:szCs w:val="22"/>
        </w:rPr>
      </w:pPr>
      <w:r w:rsidRPr="00890C7C">
        <w:rPr>
          <w:kern w:val="22"/>
          <w:szCs w:val="22"/>
        </w:rPr>
        <w:t>Th</w:t>
      </w:r>
      <w:r w:rsidR="0067228A" w:rsidRPr="00D53BEB">
        <w:rPr>
          <w:kern w:val="22"/>
          <w:szCs w:val="22"/>
        </w:rPr>
        <w:t>e present</w:t>
      </w:r>
      <w:r w:rsidRPr="00890C7C">
        <w:rPr>
          <w:kern w:val="22"/>
          <w:szCs w:val="22"/>
        </w:rPr>
        <w:t xml:space="preserve"> </w:t>
      </w:r>
      <w:r w:rsidR="0067228A" w:rsidRPr="00D53BEB">
        <w:rPr>
          <w:kern w:val="22"/>
          <w:szCs w:val="22"/>
        </w:rPr>
        <w:t>document</w:t>
      </w:r>
      <w:r w:rsidR="005E3A9C" w:rsidRPr="00890C7C">
        <w:rPr>
          <w:kern w:val="22"/>
          <w:szCs w:val="22"/>
        </w:rPr>
        <w:t>,</w:t>
      </w:r>
      <w:r w:rsidR="00846CCC" w:rsidRPr="00890C7C">
        <w:rPr>
          <w:kern w:val="22"/>
          <w:szCs w:val="22"/>
        </w:rPr>
        <w:t xml:space="preserve"> prepared under the guidance of the </w:t>
      </w:r>
      <w:r w:rsidR="00832876" w:rsidRPr="00890C7C">
        <w:rPr>
          <w:kern w:val="22"/>
          <w:szCs w:val="22"/>
        </w:rPr>
        <w:t>C</w:t>
      </w:r>
      <w:r w:rsidR="00846CCC" w:rsidRPr="00890C7C">
        <w:rPr>
          <w:kern w:val="22"/>
          <w:szCs w:val="22"/>
        </w:rPr>
        <w:t>o-</w:t>
      </w:r>
      <w:r w:rsidR="005D797E">
        <w:rPr>
          <w:kern w:val="22"/>
          <w:szCs w:val="22"/>
        </w:rPr>
        <w:t>C</w:t>
      </w:r>
      <w:r w:rsidR="00846CCC" w:rsidRPr="00890C7C">
        <w:rPr>
          <w:kern w:val="22"/>
          <w:szCs w:val="22"/>
        </w:rPr>
        <w:t xml:space="preserve">hairs of the </w:t>
      </w:r>
      <w:r w:rsidR="00832876" w:rsidRPr="00890C7C">
        <w:rPr>
          <w:kern w:val="22"/>
          <w:szCs w:val="22"/>
        </w:rPr>
        <w:t>W</w:t>
      </w:r>
      <w:r w:rsidR="00846CCC" w:rsidRPr="00890C7C">
        <w:rPr>
          <w:kern w:val="22"/>
          <w:szCs w:val="22"/>
        </w:rPr>
        <w:t xml:space="preserve">orking </w:t>
      </w:r>
      <w:r w:rsidR="00832876" w:rsidRPr="00890C7C">
        <w:rPr>
          <w:kern w:val="22"/>
          <w:szCs w:val="22"/>
        </w:rPr>
        <w:t>G</w:t>
      </w:r>
      <w:r w:rsidR="00846CCC" w:rsidRPr="00890C7C">
        <w:rPr>
          <w:kern w:val="22"/>
          <w:szCs w:val="22"/>
        </w:rPr>
        <w:t>roup</w:t>
      </w:r>
      <w:r w:rsidR="005E3A9C" w:rsidRPr="00890C7C">
        <w:rPr>
          <w:kern w:val="22"/>
          <w:szCs w:val="22"/>
        </w:rPr>
        <w:t>,</w:t>
      </w:r>
      <w:r w:rsidR="007E4604" w:rsidRPr="00890C7C">
        <w:rPr>
          <w:kern w:val="22"/>
          <w:szCs w:val="22"/>
        </w:rPr>
        <w:t xml:space="preserve"> provides an overview of </w:t>
      </w:r>
      <w:r w:rsidR="00A72329" w:rsidRPr="00890C7C">
        <w:rPr>
          <w:kern w:val="22"/>
          <w:szCs w:val="22"/>
        </w:rPr>
        <w:t xml:space="preserve">the </w:t>
      </w:r>
      <w:r w:rsidR="007E4604" w:rsidRPr="00890C7C">
        <w:rPr>
          <w:kern w:val="22"/>
          <w:szCs w:val="22"/>
        </w:rPr>
        <w:t>consultation</w:t>
      </w:r>
      <w:r w:rsidR="00F17B0E" w:rsidRPr="00890C7C">
        <w:rPr>
          <w:kern w:val="22"/>
          <w:szCs w:val="22"/>
        </w:rPr>
        <w:t>s</w:t>
      </w:r>
      <w:r w:rsidR="00A72329" w:rsidRPr="00890C7C">
        <w:rPr>
          <w:kern w:val="22"/>
          <w:szCs w:val="22"/>
        </w:rPr>
        <w:t xml:space="preserve"> undertaken to date</w:t>
      </w:r>
      <w:r w:rsidR="005E3A9C" w:rsidRPr="00890C7C">
        <w:rPr>
          <w:kern w:val="22"/>
          <w:szCs w:val="22"/>
        </w:rPr>
        <w:t xml:space="preserve"> (section II). It also</w:t>
      </w:r>
      <w:r w:rsidR="00F17B0E" w:rsidRPr="00890C7C">
        <w:rPr>
          <w:kern w:val="22"/>
          <w:szCs w:val="22"/>
        </w:rPr>
        <w:t xml:space="preserve"> </w:t>
      </w:r>
      <w:r w:rsidR="00A72329" w:rsidRPr="00890C7C">
        <w:rPr>
          <w:kern w:val="22"/>
          <w:szCs w:val="22"/>
        </w:rPr>
        <w:t>provides an overview of the level of participation in the consultation processes organi</w:t>
      </w:r>
      <w:r w:rsidR="0067228A" w:rsidRPr="00D53BEB">
        <w:rPr>
          <w:kern w:val="22"/>
          <w:szCs w:val="22"/>
        </w:rPr>
        <w:t>z</w:t>
      </w:r>
      <w:r w:rsidR="00A72329" w:rsidRPr="00890C7C">
        <w:rPr>
          <w:kern w:val="22"/>
          <w:szCs w:val="22"/>
        </w:rPr>
        <w:t>ed by the Secretariat</w:t>
      </w:r>
      <w:r w:rsidR="005E3A9C" w:rsidRPr="00890C7C">
        <w:rPr>
          <w:kern w:val="22"/>
          <w:szCs w:val="22"/>
        </w:rPr>
        <w:t xml:space="preserve"> (section III)</w:t>
      </w:r>
      <w:r w:rsidR="0067228A" w:rsidRPr="00D53BEB">
        <w:rPr>
          <w:kern w:val="22"/>
          <w:szCs w:val="22"/>
        </w:rPr>
        <w:t xml:space="preserve"> </w:t>
      </w:r>
      <w:r w:rsidR="00786655" w:rsidRPr="00890C7C">
        <w:rPr>
          <w:kern w:val="22"/>
          <w:szCs w:val="22"/>
        </w:rPr>
        <w:t xml:space="preserve">and </w:t>
      </w:r>
      <w:r w:rsidR="00F17B0E" w:rsidRPr="00890C7C">
        <w:rPr>
          <w:kern w:val="22"/>
          <w:szCs w:val="22"/>
        </w:rPr>
        <w:t xml:space="preserve">provides information on </w:t>
      </w:r>
      <w:r w:rsidR="00FB4B18" w:rsidRPr="00890C7C">
        <w:rPr>
          <w:kern w:val="22"/>
          <w:szCs w:val="22"/>
        </w:rPr>
        <w:t xml:space="preserve">forthcoming </w:t>
      </w:r>
      <w:r w:rsidR="00F17B0E" w:rsidRPr="00890C7C">
        <w:rPr>
          <w:kern w:val="22"/>
          <w:szCs w:val="22"/>
        </w:rPr>
        <w:t>consultations</w:t>
      </w:r>
      <w:r w:rsidR="005E3A9C" w:rsidRPr="00890C7C">
        <w:rPr>
          <w:kern w:val="22"/>
          <w:szCs w:val="22"/>
        </w:rPr>
        <w:t xml:space="preserve"> (section IV)</w:t>
      </w:r>
      <w:r w:rsidRPr="00890C7C">
        <w:rPr>
          <w:kern w:val="22"/>
          <w:szCs w:val="22"/>
        </w:rPr>
        <w:t>.</w:t>
      </w:r>
    </w:p>
    <w:p w14:paraId="5AD077A5" w14:textId="7D3D4F57" w:rsidR="00D97C40" w:rsidRPr="006C6ABF" w:rsidRDefault="00846CCC" w:rsidP="00890C7C">
      <w:pPr>
        <w:pStyle w:val="ListParagraph"/>
        <w:keepNext/>
        <w:numPr>
          <w:ilvl w:val="0"/>
          <w:numId w:val="5"/>
        </w:numPr>
        <w:tabs>
          <w:tab w:val="left" w:pos="426"/>
        </w:tabs>
        <w:spacing w:before="120" w:after="120"/>
        <w:ind w:left="0" w:firstLine="0"/>
        <w:contextualSpacing w:val="0"/>
        <w:jc w:val="center"/>
        <w:outlineLvl w:val="0"/>
        <w:rPr>
          <w:b/>
          <w:iCs/>
          <w:snapToGrid w:val="0"/>
          <w:kern w:val="22"/>
          <w:szCs w:val="22"/>
        </w:rPr>
      </w:pPr>
      <w:r w:rsidRPr="006C6ABF">
        <w:rPr>
          <w:b/>
          <w:iCs/>
          <w:snapToGrid w:val="0"/>
          <w:kern w:val="22"/>
          <w:szCs w:val="22"/>
        </w:rPr>
        <w:t>CONSULTATION</w:t>
      </w:r>
      <w:r w:rsidR="00A11929" w:rsidRPr="006C6ABF">
        <w:rPr>
          <w:b/>
          <w:iCs/>
          <w:snapToGrid w:val="0"/>
          <w:kern w:val="22"/>
          <w:szCs w:val="22"/>
        </w:rPr>
        <w:t>S AND OTHER INPUTS</w:t>
      </w:r>
    </w:p>
    <w:p w14:paraId="0A8ACFC2" w14:textId="16094254" w:rsidR="00D97C40" w:rsidRPr="00890C7C" w:rsidRDefault="002B7AF0" w:rsidP="00890C7C">
      <w:pPr>
        <w:pStyle w:val="Heading2"/>
        <w:numPr>
          <w:ilvl w:val="0"/>
          <w:numId w:val="58"/>
        </w:numPr>
        <w:ind w:left="714" w:hanging="357"/>
        <w:rPr>
          <w:iCs w:val="0"/>
          <w:snapToGrid w:val="0"/>
          <w:kern w:val="22"/>
          <w:szCs w:val="22"/>
        </w:rPr>
      </w:pPr>
      <w:r w:rsidRPr="00890C7C">
        <w:rPr>
          <w:snapToGrid w:val="0"/>
          <w:kern w:val="22"/>
          <w:szCs w:val="22"/>
        </w:rPr>
        <w:t>Documentation and s</w:t>
      </w:r>
      <w:r w:rsidR="00D97C40" w:rsidRPr="00890C7C">
        <w:rPr>
          <w:snapToGrid w:val="0"/>
          <w:kern w:val="22"/>
          <w:szCs w:val="22"/>
        </w:rPr>
        <w:t>ubmissions of views</w:t>
      </w:r>
    </w:p>
    <w:p w14:paraId="76279824" w14:textId="407E2550" w:rsidR="00D97C40" w:rsidRPr="00890C7C" w:rsidRDefault="00D97C40" w:rsidP="00AA4A91">
      <w:pPr>
        <w:pStyle w:val="Para1"/>
        <w:tabs>
          <w:tab w:val="clear" w:pos="630"/>
        </w:tabs>
        <w:ind w:left="0"/>
        <w:rPr>
          <w:kern w:val="22"/>
          <w:szCs w:val="22"/>
        </w:rPr>
      </w:pPr>
      <w:r w:rsidRPr="00890C7C">
        <w:rPr>
          <w:kern w:val="22"/>
          <w:szCs w:val="22"/>
        </w:rPr>
        <w:t>Th</w:t>
      </w:r>
      <w:r w:rsidR="00DF2F95" w:rsidRPr="00890C7C">
        <w:rPr>
          <w:kern w:val="22"/>
          <w:szCs w:val="22"/>
        </w:rPr>
        <w:t>r</w:t>
      </w:r>
      <w:r w:rsidRPr="00890C7C">
        <w:rPr>
          <w:kern w:val="22"/>
          <w:szCs w:val="22"/>
        </w:rPr>
        <w:t>ough various notifications</w:t>
      </w:r>
      <w:r w:rsidR="00DF2F95" w:rsidRPr="00890C7C">
        <w:rPr>
          <w:kern w:val="22"/>
          <w:szCs w:val="22"/>
        </w:rPr>
        <w:t>,</w:t>
      </w:r>
      <w:r w:rsidRPr="00890C7C">
        <w:rPr>
          <w:kern w:val="22"/>
          <w:szCs w:val="22"/>
        </w:rPr>
        <w:t xml:space="preserve"> Parties to the Convention and its Protocols as well as observers have been invited to share their perspectives on the scope and content of the post-2020 global biodiversity </w:t>
      </w:r>
      <w:r w:rsidRPr="00890C7C">
        <w:rPr>
          <w:kern w:val="22"/>
          <w:szCs w:val="22"/>
        </w:rPr>
        <w:lastRenderedPageBreak/>
        <w:t>framework</w:t>
      </w:r>
      <w:r w:rsidR="007402C3" w:rsidRPr="00D53BEB">
        <w:rPr>
          <w:kern w:val="22"/>
          <w:szCs w:val="22"/>
        </w:rPr>
        <w:t>.</w:t>
      </w:r>
      <w:r w:rsidRPr="00890C7C">
        <w:rPr>
          <w:kern w:val="22"/>
          <w:szCs w:val="22"/>
          <w:vertAlign w:val="superscript"/>
        </w:rPr>
        <w:footnoteReference w:id="4"/>
      </w:r>
      <w:r w:rsidRPr="00890C7C">
        <w:rPr>
          <w:kern w:val="22"/>
          <w:szCs w:val="22"/>
        </w:rPr>
        <w:t xml:space="preserve"> </w:t>
      </w:r>
      <w:r w:rsidR="00A11929" w:rsidRPr="00890C7C">
        <w:rPr>
          <w:kern w:val="22"/>
          <w:szCs w:val="22"/>
        </w:rPr>
        <w:t xml:space="preserve">An invitation for the submission </w:t>
      </w:r>
      <w:r w:rsidRPr="00890C7C">
        <w:rPr>
          <w:kern w:val="22"/>
          <w:szCs w:val="22"/>
        </w:rPr>
        <w:t xml:space="preserve">of initial views was </w:t>
      </w:r>
      <w:r w:rsidR="00A11929" w:rsidRPr="00890C7C">
        <w:rPr>
          <w:kern w:val="22"/>
          <w:szCs w:val="22"/>
        </w:rPr>
        <w:t xml:space="preserve">issued </w:t>
      </w:r>
      <w:r w:rsidRPr="00890C7C">
        <w:rPr>
          <w:kern w:val="22"/>
          <w:szCs w:val="22"/>
        </w:rPr>
        <w:t>on 16 July 2018</w:t>
      </w:r>
      <w:r w:rsidR="007402C3" w:rsidRPr="00D53BEB">
        <w:rPr>
          <w:kern w:val="22"/>
          <w:szCs w:val="22"/>
        </w:rPr>
        <w:t>.</w:t>
      </w:r>
      <w:r w:rsidRPr="00890C7C">
        <w:rPr>
          <w:kern w:val="22"/>
          <w:szCs w:val="22"/>
          <w:vertAlign w:val="superscript"/>
        </w:rPr>
        <w:footnoteReference w:id="5"/>
      </w:r>
      <w:r w:rsidRPr="00890C7C">
        <w:rPr>
          <w:kern w:val="22"/>
          <w:szCs w:val="22"/>
        </w:rPr>
        <w:t xml:space="preserve"> The </w:t>
      </w:r>
      <w:r w:rsidR="003151BD" w:rsidRPr="00890C7C">
        <w:rPr>
          <w:kern w:val="22"/>
          <w:szCs w:val="22"/>
        </w:rPr>
        <w:t xml:space="preserve">submissions </w:t>
      </w:r>
      <w:r w:rsidRPr="00890C7C">
        <w:rPr>
          <w:kern w:val="22"/>
          <w:szCs w:val="22"/>
        </w:rPr>
        <w:t>received were used to prepare an initial synthesis of views</w:t>
      </w:r>
      <w:r w:rsidR="005E3A9C" w:rsidRPr="00890C7C">
        <w:rPr>
          <w:rStyle w:val="FootnoteReference"/>
          <w:kern w:val="22"/>
          <w:sz w:val="22"/>
          <w:szCs w:val="22"/>
          <w:u w:val="none"/>
          <w:vertAlign w:val="superscript"/>
        </w:rPr>
        <w:footnoteReference w:id="6"/>
      </w:r>
      <w:r w:rsidRPr="00890C7C">
        <w:rPr>
          <w:kern w:val="22"/>
          <w:szCs w:val="22"/>
        </w:rPr>
        <w:t xml:space="preserve"> as well as a discussion paper on the post-2020 global biodiversity framework</w:t>
      </w:r>
      <w:r w:rsidR="007402C3" w:rsidRPr="00D53BEB">
        <w:rPr>
          <w:kern w:val="22"/>
          <w:szCs w:val="22"/>
        </w:rPr>
        <w:t>.</w:t>
      </w:r>
      <w:r w:rsidR="005E3A9C" w:rsidRPr="00890C7C">
        <w:rPr>
          <w:kern w:val="22"/>
          <w:szCs w:val="22"/>
          <w:vertAlign w:val="superscript"/>
        </w:rPr>
        <w:footnoteReference w:id="7"/>
      </w:r>
      <w:r w:rsidRPr="00890C7C">
        <w:rPr>
          <w:kern w:val="22"/>
          <w:szCs w:val="22"/>
        </w:rPr>
        <w:t xml:space="preserve"> Both documents were </w:t>
      </w:r>
      <w:r w:rsidR="00190360" w:rsidRPr="00890C7C">
        <w:rPr>
          <w:kern w:val="22"/>
          <w:szCs w:val="22"/>
        </w:rPr>
        <w:t>available for</w:t>
      </w:r>
      <w:r w:rsidRPr="00890C7C">
        <w:rPr>
          <w:kern w:val="22"/>
          <w:szCs w:val="22"/>
        </w:rPr>
        <w:t xml:space="preserve"> the regional and thematic consultation meetings. Further views on the scope and content of the post-2020 global biodiversity framework were invited on 30 January 2019</w:t>
      </w:r>
      <w:r w:rsidR="007402C3" w:rsidRPr="00D53BEB">
        <w:rPr>
          <w:kern w:val="22"/>
          <w:szCs w:val="22"/>
        </w:rPr>
        <w:t>.</w:t>
      </w:r>
      <w:r w:rsidRPr="00890C7C">
        <w:rPr>
          <w:kern w:val="22"/>
          <w:szCs w:val="22"/>
          <w:vertAlign w:val="superscript"/>
        </w:rPr>
        <w:footnoteReference w:id="8"/>
      </w:r>
      <w:r w:rsidRPr="00890C7C">
        <w:rPr>
          <w:kern w:val="22"/>
          <w:szCs w:val="22"/>
        </w:rPr>
        <w:t xml:space="preserve"> The views received have been synthesized and</w:t>
      </w:r>
      <w:r w:rsidR="00DD2F0C" w:rsidRPr="00890C7C">
        <w:rPr>
          <w:kern w:val="22"/>
          <w:szCs w:val="22"/>
        </w:rPr>
        <w:t xml:space="preserve"> </w:t>
      </w:r>
      <w:r w:rsidRPr="00890C7C">
        <w:rPr>
          <w:kern w:val="22"/>
          <w:szCs w:val="22"/>
        </w:rPr>
        <w:t>made</w:t>
      </w:r>
      <w:r w:rsidR="00A11929" w:rsidRPr="00890C7C">
        <w:rPr>
          <w:kern w:val="22"/>
          <w:szCs w:val="22"/>
        </w:rPr>
        <w:t xml:space="preserve"> </w:t>
      </w:r>
      <w:r w:rsidRPr="00890C7C">
        <w:rPr>
          <w:kern w:val="22"/>
          <w:szCs w:val="22"/>
        </w:rPr>
        <w:t>available as an information document</w:t>
      </w:r>
      <w:r w:rsidR="007402C3" w:rsidRPr="00D53BEB">
        <w:rPr>
          <w:kern w:val="22"/>
          <w:szCs w:val="22"/>
        </w:rPr>
        <w:t>.</w:t>
      </w:r>
      <w:r w:rsidR="008755E5" w:rsidRPr="00890C7C">
        <w:rPr>
          <w:kern w:val="22"/>
          <w:szCs w:val="22"/>
          <w:vertAlign w:val="superscript"/>
        </w:rPr>
        <w:footnoteReference w:id="9"/>
      </w:r>
      <w:r w:rsidR="00BB051D" w:rsidRPr="00890C7C">
        <w:rPr>
          <w:kern w:val="22"/>
          <w:szCs w:val="22"/>
        </w:rPr>
        <w:t xml:space="preserve"> </w:t>
      </w:r>
      <w:r w:rsidR="00190360" w:rsidRPr="00890C7C">
        <w:rPr>
          <w:kern w:val="22"/>
          <w:szCs w:val="22"/>
        </w:rPr>
        <w:t>S</w:t>
      </w:r>
      <w:r w:rsidRPr="00890C7C">
        <w:rPr>
          <w:kern w:val="22"/>
          <w:szCs w:val="22"/>
        </w:rPr>
        <w:t xml:space="preserve">everal Parties and </w:t>
      </w:r>
      <w:r w:rsidR="00DF2F95" w:rsidRPr="00890C7C">
        <w:rPr>
          <w:kern w:val="22"/>
          <w:szCs w:val="22"/>
        </w:rPr>
        <w:t>o</w:t>
      </w:r>
      <w:r w:rsidRPr="00890C7C">
        <w:rPr>
          <w:kern w:val="22"/>
          <w:szCs w:val="22"/>
        </w:rPr>
        <w:t xml:space="preserve">bservers </w:t>
      </w:r>
      <w:r w:rsidR="008755E5" w:rsidRPr="00890C7C">
        <w:rPr>
          <w:kern w:val="22"/>
          <w:szCs w:val="22"/>
        </w:rPr>
        <w:t xml:space="preserve">also </w:t>
      </w:r>
      <w:r w:rsidRPr="00890C7C">
        <w:rPr>
          <w:kern w:val="22"/>
          <w:szCs w:val="22"/>
        </w:rPr>
        <w:t xml:space="preserve">provided their perspectives and views on the scope and content of the post-2020 global biodiversity framework </w:t>
      </w:r>
      <w:r w:rsidR="00DD2F0C" w:rsidRPr="00890C7C">
        <w:rPr>
          <w:kern w:val="22"/>
          <w:szCs w:val="22"/>
        </w:rPr>
        <w:t xml:space="preserve">in response to </w:t>
      </w:r>
      <w:r w:rsidRPr="00890C7C">
        <w:rPr>
          <w:kern w:val="22"/>
          <w:szCs w:val="22"/>
        </w:rPr>
        <w:t>earlier notifications</w:t>
      </w:r>
      <w:r w:rsidR="00360492" w:rsidRPr="00890C7C">
        <w:rPr>
          <w:kern w:val="22"/>
          <w:szCs w:val="22"/>
          <w:vertAlign w:val="superscript"/>
        </w:rPr>
        <w:footnoteReference w:id="10"/>
      </w:r>
      <w:r w:rsidRPr="00890C7C">
        <w:rPr>
          <w:kern w:val="22"/>
          <w:szCs w:val="22"/>
        </w:rPr>
        <w:t xml:space="preserve"> seeking views on the process for developing the post-2020 framework.</w:t>
      </w:r>
    </w:p>
    <w:p w14:paraId="680487C6" w14:textId="4DBBE3A7" w:rsidR="00825C62" w:rsidRPr="00890C7C" w:rsidRDefault="00D97C40" w:rsidP="00890C7C">
      <w:pPr>
        <w:pStyle w:val="Heading2"/>
        <w:numPr>
          <w:ilvl w:val="0"/>
          <w:numId w:val="58"/>
        </w:numPr>
        <w:rPr>
          <w:rFonts w:eastAsia="Malgun Gothic"/>
          <w:kern w:val="22"/>
          <w:szCs w:val="22"/>
        </w:rPr>
      </w:pPr>
      <w:r w:rsidRPr="00890C7C">
        <w:rPr>
          <w:rFonts w:eastAsia="Malgun Gothic"/>
          <w:kern w:val="22"/>
          <w:szCs w:val="22"/>
        </w:rPr>
        <w:t xml:space="preserve">Regional </w:t>
      </w:r>
      <w:r w:rsidR="00E60B0B" w:rsidRPr="006C6ABF">
        <w:rPr>
          <w:rFonts w:eastAsia="Malgun Gothic"/>
          <w:kern w:val="22"/>
          <w:szCs w:val="22"/>
        </w:rPr>
        <w:t>c</w:t>
      </w:r>
      <w:r w:rsidRPr="00890C7C">
        <w:rPr>
          <w:rFonts w:eastAsia="Malgun Gothic"/>
          <w:kern w:val="22"/>
          <w:szCs w:val="22"/>
        </w:rPr>
        <w:t>onsultation</w:t>
      </w:r>
      <w:r w:rsidR="00D34134">
        <w:rPr>
          <w:rFonts w:eastAsia="Malgun Gothic"/>
          <w:kern w:val="22"/>
          <w:szCs w:val="22"/>
        </w:rPr>
        <w:t>s</w:t>
      </w:r>
    </w:p>
    <w:p w14:paraId="10D9A9F3" w14:textId="6BD6D5E4" w:rsidR="007E4604" w:rsidRPr="00890C7C" w:rsidRDefault="007E4604" w:rsidP="00AA4A91">
      <w:pPr>
        <w:pStyle w:val="Para1"/>
        <w:tabs>
          <w:tab w:val="clear" w:pos="630"/>
        </w:tabs>
        <w:ind w:left="0"/>
        <w:rPr>
          <w:kern w:val="22"/>
          <w:szCs w:val="22"/>
        </w:rPr>
      </w:pPr>
      <w:r w:rsidRPr="00890C7C">
        <w:rPr>
          <w:kern w:val="22"/>
          <w:szCs w:val="22"/>
        </w:rPr>
        <w:t>Five regional consultations have been undertaken</w:t>
      </w:r>
      <w:r w:rsidR="00DD2F0C" w:rsidRPr="00890C7C">
        <w:rPr>
          <w:kern w:val="22"/>
          <w:szCs w:val="22"/>
        </w:rPr>
        <w:t xml:space="preserve"> to date</w:t>
      </w:r>
      <w:r w:rsidRPr="00890C7C">
        <w:rPr>
          <w:kern w:val="22"/>
          <w:szCs w:val="22"/>
        </w:rPr>
        <w:t xml:space="preserve">. The purpose of these consultations, which </w:t>
      </w:r>
      <w:r w:rsidR="00825C62" w:rsidRPr="00890C7C">
        <w:rPr>
          <w:kern w:val="22"/>
          <w:szCs w:val="22"/>
        </w:rPr>
        <w:t xml:space="preserve">all </w:t>
      </w:r>
      <w:r w:rsidRPr="00890C7C">
        <w:rPr>
          <w:kern w:val="22"/>
          <w:szCs w:val="22"/>
        </w:rPr>
        <w:t>followed a similar format, was to share ideas</w:t>
      </w:r>
      <w:r w:rsidR="00A11929" w:rsidRPr="00890C7C">
        <w:rPr>
          <w:kern w:val="22"/>
          <w:szCs w:val="22"/>
        </w:rPr>
        <w:t>,</w:t>
      </w:r>
      <w:r w:rsidRPr="00890C7C">
        <w:rPr>
          <w:kern w:val="22"/>
          <w:szCs w:val="22"/>
        </w:rPr>
        <w:t xml:space="preserve"> perspectives </w:t>
      </w:r>
      <w:r w:rsidR="003151BD" w:rsidRPr="00890C7C">
        <w:rPr>
          <w:kern w:val="22"/>
          <w:szCs w:val="22"/>
        </w:rPr>
        <w:t xml:space="preserve">and </w:t>
      </w:r>
      <w:r w:rsidR="006743ED" w:rsidRPr="00890C7C">
        <w:rPr>
          <w:kern w:val="22"/>
          <w:szCs w:val="22"/>
        </w:rPr>
        <w:t>open</w:t>
      </w:r>
      <w:r w:rsidR="003151BD" w:rsidRPr="00890C7C">
        <w:rPr>
          <w:kern w:val="22"/>
          <w:szCs w:val="22"/>
        </w:rPr>
        <w:t xml:space="preserve"> a dialogue </w:t>
      </w:r>
      <w:r w:rsidRPr="00890C7C">
        <w:rPr>
          <w:kern w:val="22"/>
          <w:szCs w:val="22"/>
        </w:rPr>
        <w:t>on the scope and content</w:t>
      </w:r>
      <w:r w:rsidR="00DD2F0C" w:rsidRPr="00890C7C">
        <w:rPr>
          <w:kern w:val="22"/>
          <w:szCs w:val="22"/>
        </w:rPr>
        <w:t xml:space="preserve">, </w:t>
      </w:r>
      <w:r w:rsidRPr="00890C7C">
        <w:rPr>
          <w:kern w:val="22"/>
          <w:szCs w:val="22"/>
        </w:rPr>
        <w:t xml:space="preserve">of the post-2020 global biodiversity framework. </w:t>
      </w:r>
      <w:r w:rsidR="008755E5" w:rsidRPr="00890C7C">
        <w:rPr>
          <w:kern w:val="22"/>
          <w:szCs w:val="22"/>
        </w:rPr>
        <w:t>The reports of these workshops are available for the information of the Working Group.</w:t>
      </w:r>
      <w:r w:rsidR="008755E5" w:rsidRPr="00890C7C">
        <w:rPr>
          <w:kern w:val="22"/>
          <w:szCs w:val="22"/>
          <w:vertAlign w:val="superscript"/>
        </w:rPr>
        <w:footnoteReference w:id="11"/>
      </w:r>
      <w:r w:rsidR="008755E5" w:rsidRPr="00890C7C">
        <w:rPr>
          <w:kern w:val="22"/>
          <w:szCs w:val="22"/>
        </w:rPr>
        <w:t xml:space="preserve"> </w:t>
      </w:r>
      <w:r w:rsidRPr="00890C7C">
        <w:rPr>
          <w:kern w:val="22"/>
          <w:szCs w:val="22"/>
        </w:rPr>
        <w:t xml:space="preserve">Regional </w:t>
      </w:r>
      <w:r w:rsidR="00DF2F95" w:rsidRPr="00890C7C">
        <w:rPr>
          <w:kern w:val="22"/>
          <w:szCs w:val="22"/>
        </w:rPr>
        <w:t>c</w:t>
      </w:r>
      <w:r w:rsidRPr="00890C7C">
        <w:rPr>
          <w:kern w:val="22"/>
          <w:szCs w:val="22"/>
        </w:rPr>
        <w:t>onsultation</w:t>
      </w:r>
      <w:r w:rsidR="00DD2F0C" w:rsidRPr="00890C7C">
        <w:rPr>
          <w:kern w:val="22"/>
          <w:szCs w:val="22"/>
        </w:rPr>
        <w:t xml:space="preserve">s </w:t>
      </w:r>
      <w:r w:rsidRPr="00890C7C">
        <w:rPr>
          <w:kern w:val="22"/>
          <w:szCs w:val="22"/>
        </w:rPr>
        <w:t xml:space="preserve">were </w:t>
      </w:r>
      <w:r w:rsidR="00DD2F0C" w:rsidRPr="00890C7C">
        <w:rPr>
          <w:kern w:val="22"/>
          <w:szCs w:val="22"/>
        </w:rPr>
        <w:t xml:space="preserve">held </w:t>
      </w:r>
      <w:r w:rsidRPr="00890C7C">
        <w:rPr>
          <w:kern w:val="22"/>
          <w:szCs w:val="22"/>
        </w:rPr>
        <w:t>for:</w:t>
      </w:r>
    </w:p>
    <w:p w14:paraId="09597BCA" w14:textId="6A9FE174" w:rsidR="007E4604" w:rsidRPr="00D53BEB" w:rsidRDefault="007E4604" w:rsidP="00A72329">
      <w:pPr>
        <w:pStyle w:val="Para1"/>
        <w:numPr>
          <w:ilvl w:val="1"/>
          <w:numId w:val="8"/>
        </w:numPr>
        <w:rPr>
          <w:rFonts w:eastAsia="Malgun Gothic"/>
          <w:kern w:val="22"/>
          <w:szCs w:val="22"/>
        </w:rPr>
      </w:pPr>
      <w:r w:rsidRPr="00D53BEB">
        <w:rPr>
          <w:rFonts w:eastAsia="Malgun Gothic"/>
          <w:kern w:val="22"/>
          <w:szCs w:val="22"/>
        </w:rPr>
        <w:t>Asia and the Pacific</w:t>
      </w:r>
      <w:r w:rsidR="00E60B0B" w:rsidRPr="00D53BEB">
        <w:rPr>
          <w:rFonts w:eastAsia="Malgun Gothic"/>
          <w:kern w:val="22"/>
          <w:szCs w:val="22"/>
        </w:rPr>
        <w:t>:</w:t>
      </w:r>
      <w:r w:rsidRPr="00D53BEB">
        <w:rPr>
          <w:rFonts w:eastAsia="Malgun Gothic"/>
          <w:kern w:val="22"/>
          <w:szCs w:val="22"/>
        </w:rPr>
        <w:t xml:space="preserve"> Nagoya, Japan</w:t>
      </w:r>
      <w:r w:rsidR="00E60B0B" w:rsidRPr="00D53BEB">
        <w:rPr>
          <w:rFonts w:eastAsia="Malgun Gothic"/>
          <w:kern w:val="22"/>
          <w:szCs w:val="22"/>
        </w:rPr>
        <w:t>,</w:t>
      </w:r>
      <w:r w:rsidR="007402C3" w:rsidRPr="00D53BEB">
        <w:rPr>
          <w:rFonts w:eastAsia="Malgun Gothic"/>
          <w:kern w:val="22"/>
          <w:szCs w:val="22"/>
        </w:rPr>
        <w:t xml:space="preserve"> 28 January-1 February 2019;</w:t>
      </w:r>
    </w:p>
    <w:p w14:paraId="48EEA3D0" w14:textId="3ED794C5" w:rsidR="007E4604" w:rsidRPr="00D53BEB" w:rsidRDefault="007E4604" w:rsidP="007E4604">
      <w:pPr>
        <w:pStyle w:val="Para1"/>
        <w:numPr>
          <w:ilvl w:val="1"/>
          <w:numId w:val="8"/>
        </w:numPr>
        <w:rPr>
          <w:rFonts w:eastAsia="Malgun Gothic"/>
          <w:kern w:val="22"/>
          <w:szCs w:val="22"/>
        </w:rPr>
      </w:pPr>
      <w:r w:rsidRPr="00D53BEB">
        <w:rPr>
          <w:rFonts w:eastAsia="Malgun Gothic"/>
          <w:kern w:val="22"/>
          <w:szCs w:val="22"/>
        </w:rPr>
        <w:t>Western European and Others Group and Other Members of the European Union</w:t>
      </w:r>
      <w:r w:rsidR="00E60B0B" w:rsidRPr="00D53BEB">
        <w:rPr>
          <w:rFonts w:eastAsia="Malgun Gothic"/>
          <w:kern w:val="22"/>
          <w:szCs w:val="22"/>
        </w:rPr>
        <w:t>:</w:t>
      </w:r>
      <w:r w:rsidRPr="00D53BEB">
        <w:rPr>
          <w:rFonts w:eastAsia="Malgun Gothic"/>
          <w:kern w:val="22"/>
          <w:szCs w:val="22"/>
        </w:rPr>
        <w:t xml:space="preserve"> </w:t>
      </w:r>
      <w:r w:rsidR="007402C3" w:rsidRPr="00D53BEB">
        <w:rPr>
          <w:rFonts w:eastAsia="Malgun Gothic"/>
          <w:kern w:val="22"/>
          <w:szCs w:val="22"/>
        </w:rPr>
        <w:t>Bonn</w:t>
      </w:r>
      <w:r w:rsidR="00E60B0B" w:rsidRPr="00D53BEB">
        <w:rPr>
          <w:rFonts w:eastAsia="Malgun Gothic"/>
          <w:kern w:val="22"/>
          <w:szCs w:val="22"/>
        </w:rPr>
        <w:t>,</w:t>
      </w:r>
      <w:r w:rsidR="007402C3" w:rsidRPr="00D53BEB">
        <w:rPr>
          <w:rFonts w:eastAsia="Malgun Gothic"/>
          <w:kern w:val="22"/>
          <w:szCs w:val="22"/>
        </w:rPr>
        <w:t xml:space="preserve"> </w:t>
      </w:r>
      <w:r w:rsidRPr="00D53BEB">
        <w:rPr>
          <w:rFonts w:eastAsia="Malgun Gothic"/>
          <w:kern w:val="22"/>
          <w:szCs w:val="22"/>
        </w:rPr>
        <w:t>19-21 March 2019</w:t>
      </w:r>
      <w:r w:rsidR="007402C3" w:rsidRPr="00D53BEB">
        <w:rPr>
          <w:rFonts w:eastAsia="Malgun Gothic"/>
          <w:kern w:val="22"/>
          <w:szCs w:val="22"/>
        </w:rPr>
        <w:t>;</w:t>
      </w:r>
    </w:p>
    <w:p w14:paraId="060F3B95" w14:textId="4291865C" w:rsidR="007E4604" w:rsidRPr="00D53BEB" w:rsidRDefault="007E4604" w:rsidP="00A72329">
      <w:pPr>
        <w:pStyle w:val="Para1"/>
        <w:numPr>
          <w:ilvl w:val="1"/>
          <w:numId w:val="8"/>
        </w:numPr>
        <w:rPr>
          <w:rFonts w:eastAsia="Malgun Gothic"/>
          <w:kern w:val="22"/>
          <w:szCs w:val="22"/>
        </w:rPr>
      </w:pPr>
      <w:r w:rsidRPr="00D53BEB">
        <w:rPr>
          <w:rFonts w:eastAsia="Malgun Gothic"/>
          <w:kern w:val="22"/>
          <w:szCs w:val="22"/>
        </w:rPr>
        <w:t>Africa</w:t>
      </w:r>
      <w:r w:rsidR="00E60B0B" w:rsidRPr="00D53BEB">
        <w:rPr>
          <w:rFonts w:eastAsia="Malgun Gothic"/>
          <w:kern w:val="22"/>
          <w:szCs w:val="22"/>
        </w:rPr>
        <w:t>:</w:t>
      </w:r>
      <w:r w:rsidRPr="00D53BEB">
        <w:rPr>
          <w:rFonts w:eastAsia="Malgun Gothic"/>
          <w:kern w:val="22"/>
          <w:szCs w:val="22"/>
        </w:rPr>
        <w:t xml:space="preserve"> </w:t>
      </w:r>
      <w:r w:rsidR="007402C3" w:rsidRPr="00D53BEB">
        <w:rPr>
          <w:rFonts w:eastAsia="Malgun Gothic"/>
          <w:kern w:val="22"/>
          <w:szCs w:val="22"/>
        </w:rPr>
        <w:t>Addis Ababa</w:t>
      </w:r>
      <w:r w:rsidR="00E60B0B" w:rsidRPr="00D53BEB">
        <w:rPr>
          <w:rFonts w:eastAsia="Malgun Gothic"/>
          <w:kern w:val="22"/>
          <w:szCs w:val="22"/>
        </w:rPr>
        <w:t>,</w:t>
      </w:r>
      <w:r w:rsidR="007402C3" w:rsidRPr="00D53BEB">
        <w:rPr>
          <w:rFonts w:eastAsia="Malgun Gothic"/>
          <w:kern w:val="22"/>
          <w:szCs w:val="22"/>
        </w:rPr>
        <w:t xml:space="preserve"> </w:t>
      </w:r>
      <w:r w:rsidRPr="00D53BEB">
        <w:rPr>
          <w:rFonts w:eastAsia="Malgun Gothic"/>
          <w:kern w:val="22"/>
          <w:szCs w:val="22"/>
        </w:rPr>
        <w:t>2-5 April 2019</w:t>
      </w:r>
      <w:r w:rsidR="007402C3" w:rsidRPr="00D53BEB">
        <w:rPr>
          <w:rFonts w:eastAsia="Malgun Gothic"/>
          <w:kern w:val="22"/>
          <w:szCs w:val="22"/>
        </w:rPr>
        <w:t>;</w:t>
      </w:r>
    </w:p>
    <w:p w14:paraId="116D6E84" w14:textId="28397AF1" w:rsidR="007E4604" w:rsidRPr="00D53BEB" w:rsidRDefault="007E4604" w:rsidP="007E4604">
      <w:pPr>
        <w:pStyle w:val="Para1"/>
        <w:numPr>
          <w:ilvl w:val="1"/>
          <w:numId w:val="8"/>
        </w:numPr>
        <w:rPr>
          <w:rFonts w:eastAsia="Malgun Gothic"/>
          <w:kern w:val="22"/>
          <w:szCs w:val="22"/>
        </w:rPr>
      </w:pPr>
      <w:r w:rsidRPr="00D53BEB">
        <w:rPr>
          <w:rFonts w:eastAsia="Malgun Gothic"/>
          <w:kern w:val="22"/>
          <w:szCs w:val="22"/>
        </w:rPr>
        <w:t>Central and Eastern Europe</w:t>
      </w:r>
      <w:r w:rsidR="00A86060" w:rsidRPr="00D53BEB">
        <w:rPr>
          <w:rFonts w:eastAsia="Malgun Gothic"/>
          <w:kern w:val="22"/>
          <w:szCs w:val="22"/>
        </w:rPr>
        <w:t>:</w:t>
      </w:r>
      <w:r w:rsidRPr="00D53BEB">
        <w:rPr>
          <w:rFonts w:eastAsia="Malgun Gothic"/>
          <w:kern w:val="22"/>
          <w:szCs w:val="22"/>
        </w:rPr>
        <w:t xml:space="preserve"> </w:t>
      </w:r>
      <w:r w:rsidR="007402C3" w:rsidRPr="00D53BEB">
        <w:rPr>
          <w:rFonts w:eastAsia="Malgun Gothic"/>
          <w:kern w:val="22"/>
          <w:szCs w:val="22"/>
        </w:rPr>
        <w:t>Belgrade</w:t>
      </w:r>
      <w:r w:rsidR="00A86060" w:rsidRPr="00D53BEB">
        <w:rPr>
          <w:rFonts w:eastAsia="Malgun Gothic"/>
          <w:kern w:val="22"/>
          <w:szCs w:val="22"/>
        </w:rPr>
        <w:t>,</w:t>
      </w:r>
      <w:r w:rsidR="007402C3" w:rsidRPr="00D53BEB">
        <w:rPr>
          <w:rFonts w:eastAsia="Malgun Gothic"/>
          <w:kern w:val="22"/>
          <w:szCs w:val="22"/>
        </w:rPr>
        <w:t xml:space="preserve"> </w:t>
      </w:r>
      <w:r w:rsidRPr="00D53BEB">
        <w:rPr>
          <w:rFonts w:eastAsia="Malgun Gothic"/>
          <w:kern w:val="22"/>
          <w:szCs w:val="22"/>
        </w:rPr>
        <w:t>16-18 April 2019</w:t>
      </w:r>
      <w:r w:rsidR="007402C3" w:rsidRPr="00D53BEB">
        <w:rPr>
          <w:rFonts w:eastAsia="Malgun Gothic"/>
          <w:kern w:val="22"/>
          <w:szCs w:val="22"/>
        </w:rPr>
        <w:t>;</w:t>
      </w:r>
    </w:p>
    <w:p w14:paraId="2E3577F3" w14:textId="5CD1EEFE" w:rsidR="00D97C40" w:rsidRPr="00D53BEB" w:rsidRDefault="007E4604" w:rsidP="00D97C40">
      <w:pPr>
        <w:pStyle w:val="Para1"/>
        <w:numPr>
          <w:ilvl w:val="1"/>
          <w:numId w:val="8"/>
        </w:numPr>
        <w:rPr>
          <w:rFonts w:eastAsia="Malgun Gothic"/>
          <w:kern w:val="22"/>
          <w:szCs w:val="22"/>
        </w:rPr>
      </w:pPr>
      <w:r w:rsidRPr="00D53BEB">
        <w:rPr>
          <w:rFonts w:eastAsia="Malgun Gothic"/>
          <w:kern w:val="22"/>
          <w:szCs w:val="22"/>
        </w:rPr>
        <w:t>Latin America and the Caribbean</w:t>
      </w:r>
      <w:r w:rsidR="00A86060" w:rsidRPr="00D53BEB">
        <w:rPr>
          <w:rFonts w:eastAsia="Malgun Gothic"/>
          <w:kern w:val="22"/>
          <w:szCs w:val="22"/>
        </w:rPr>
        <w:t>:</w:t>
      </w:r>
      <w:r w:rsidRPr="00D53BEB">
        <w:rPr>
          <w:rFonts w:eastAsia="Malgun Gothic"/>
          <w:kern w:val="22"/>
          <w:szCs w:val="22"/>
        </w:rPr>
        <w:t xml:space="preserve"> </w:t>
      </w:r>
      <w:r w:rsidR="007402C3" w:rsidRPr="00D53BEB">
        <w:rPr>
          <w:rFonts w:eastAsia="Malgun Gothic"/>
          <w:kern w:val="22"/>
          <w:szCs w:val="22"/>
        </w:rPr>
        <w:t>Montevideo</w:t>
      </w:r>
      <w:r w:rsidR="00A86060" w:rsidRPr="00D53BEB">
        <w:rPr>
          <w:rFonts w:eastAsia="Malgun Gothic"/>
          <w:kern w:val="22"/>
          <w:szCs w:val="22"/>
        </w:rPr>
        <w:t>,</w:t>
      </w:r>
      <w:r w:rsidR="007402C3" w:rsidRPr="00D53BEB">
        <w:rPr>
          <w:rFonts w:eastAsia="Malgun Gothic"/>
          <w:kern w:val="22"/>
          <w:szCs w:val="22"/>
        </w:rPr>
        <w:t xml:space="preserve"> </w:t>
      </w:r>
      <w:r w:rsidRPr="00D53BEB">
        <w:rPr>
          <w:rFonts w:eastAsia="Malgun Gothic"/>
          <w:kern w:val="22"/>
          <w:szCs w:val="22"/>
        </w:rPr>
        <w:t>14-17 May 2019</w:t>
      </w:r>
      <w:r w:rsidR="007402C3" w:rsidRPr="00D53BEB">
        <w:rPr>
          <w:rFonts w:eastAsia="Malgun Gothic"/>
          <w:kern w:val="22"/>
          <w:szCs w:val="22"/>
        </w:rPr>
        <w:t>.</w:t>
      </w:r>
    </w:p>
    <w:p w14:paraId="5388CEBA" w14:textId="7CCA7E9B" w:rsidR="00D97C40" w:rsidRPr="00890C7C" w:rsidRDefault="00D97C40" w:rsidP="00890C7C">
      <w:pPr>
        <w:pStyle w:val="Heading2"/>
        <w:numPr>
          <w:ilvl w:val="0"/>
          <w:numId w:val="58"/>
        </w:numPr>
        <w:rPr>
          <w:rFonts w:eastAsia="Malgun Gothic"/>
          <w:kern w:val="22"/>
          <w:szCs w:val="22"/>
        </w:rPr>
      </w:pPr>
      <w:r w:rsidRPr="00890C7C">
        <w:rPr>
          <w:rFonts w:eastAsia="Malgun Gothic"/>
          <w:kern w:val="22"/>
          <w:szCs w:val="22"/>
        </w:rPr>
        <w:t xml:space="preserve">Thematic </w:t>
      </w:r>
      <w:r w:rsidR="00DA273E" w:rsidRPr="006C6ABF">
        <w:rPr>
          <w:rFonts w:eastAsia="Malgun Gothic"/>
          <w:kern w:val="22"/>
          <w:szCs w:val="22"/>
        </w:rPr>
        <w:t>c</w:t>
      </w:r>
      <w:r w:rsidRPr="00890C7C">
        <w:rPr>
          <w:rFonts w:eastAsia="Malgun Gothic"/>
          <w:kern w:val="22"/>
          <w:szCs w:val="22"/>
        </w:rPr>
        <w:t>onsultations</w:t>
      </w:r>
    </w:p>
    <w:p w14:paraId="426FA464" w14:textId="2E931C6B" w:rsidR="00825C62" w:rsidRPr="00890C7C" w:rsidRDefault="00A11929" w:rsidP="00AA4A91">
      <w:pPr>
        <w:pStyle w:val="Para1"/>
        <w:tabs>
          <w:tab w:val="clear" w:pos="630"/>
        </w:tabs>
        <w:ind w:left="0"/>
        <w:rPr>
          <w:kern w:val="22"/>
          <w:szCs w:val="22"/>
        </w:rPr>
      </w:pPr>
      <w:r w:rsidRPr="00890C7C">
        <w:rPr>
          <w:kern w:val="22"/>
          <w:szCs w:val="22"/>
        </w:rPr>
        <w:t>To date</w:t>
      </w:r>
      <w:r w:rsidR="003C1E5E" w:rsidRPr="00D53BEB">
        <w:rPr>
          <w:kern w:val="22"/>
          <w:szCs w:val="22"/>
        </w:rPr>
        <w:t>,</w:t>
      </w:r>
      <w:r w:rsidRPr="00890C7C" w:rsidDel="00DD2F0C">
        <w:rPr>
          <w:kern w:val="22"/>
          <w:szCs w:val="22"/>
        </w:rPr>
        <w:t xml:space="preserve"> </w:t>
      </w:r>
      <w:r w:rsidRPr="00890C7C">
        <w:rPr>
          <w:kern w:val="22"/>
          <w:szCs w:val="22"/>
        </w:rPr>
        <w:t>t</w:t>
      </w:r>
      <w:r w:rsidR="00DD2F0C" w:rsidRPr="00890C7C">
        <w:rPr>
          <w:kern w:val="22"/>
          <w:szCs w:val="22"/>
        </w:rPr>
        <w:t>hree</w:t>
      </w:r>
      <w:r w:rsidR="00825C62" w:rsidRPr="00890C7C">
        <w:rPr>
          <w:kern w:val="22"/>
          <w:szCs w:val="22"/>
        </w:rPr>
        <w:t xml:space="preserve"> thematic consultations have been undertaken:</w:t>
      </w:r>
    </w:p>
    <w:p w14:paraId="50025C9B" w14:textId="6E828A52" w:rsidR="00624B78" w:rsidRPr="00D53BEB" w:rsidRDefault="00624B78" w:rsidP="00890C7C">
      <w:pPr>
        <w:pStyle w:val="Para1"/>
        <w:numPr>
          <w:ilvl w:val="1"/>
          <w:numId w:val="8"/>
        </w:numPr>
        <w:tabs>
          <w:tab w:val="clear" w:pos="1440"/>
        </w:tabs>
        <w:rPr>
          <w:rFonts w:eastAsia="Malgun Gothic"/>
          <w:kern w:val="22"/>
          <w:szCs w:val="22"/>
        </w:rPr>
      </w:pPr>
      <w:r w:rsidRPr="00D53BEB">
        <w:rPr>
          <w:rFonts w:eastAsia="Malgun Gothic"/>
          <w:kern w:val="22"/>
          <w:szCs w:val="22"/>
        </w:rPr>
        <w:t xml:space="preserve">An </w:t>
      </w:r>
      <w:r w:rsidR="00F5674C" w:rsidRPr="00D53BEB">
        <w:rPr>
          <w:rFonts w:eastAsia="Malgun Gothic"/>
          <w:kern w:val="22"/>
          <w:szCs w:val="22"/>
        </w:rPr>
        <w:t>E</w:t>
      </w:r>
      <w:r w:rsidRPr="00D53BEB">
        <w:rPr>
          <w:rFonts w:eastAsia="Malgun Gothic"/>
          <w:kern w:val="22"/>
          <w:szCs w:val="22"/>
        </w:rPr>
        <w:t xml:space="preserve">xpert </w:t>
      </w:r>
      <w:r w:rsidR="00F5674C" w:rsidRPr="00D53BEB">
        <w:rPr>
          <w:rFonts w:eastAsia="Malgun Gothic"/>
          <w:kern w:val="22"/>
          <w:szCs w:val="22"/>
        </w:rPr>
        <w:t>W</w:t>
      </w:r>
      <w:r w:rsidRPr="00D53BEB">
        <w:rPr>
          <w:rFonts w:eastAsia="Malgun Gothic"/>
          <w:kern w:val="22"/>
          <w:szCs w:val="22"/>
        </w:rPr>
        <w:t xml:space="preserve">orkshop to </w:t>
      </w:r>
      <w:r w:rsidR="00F5674C" w:rsidRPr="00D53BEB">
        <w:rPr>
          <w:rFonts w:eastAsia="Malgun Gothic"/>
          <w:kern w:val="22"/>
          <w:szCs w:val="22"/>
        </w:rPr>
        <w:t>D</w:t>
      </w:r>
      <w:r w:rsidRPr="00D53BEB">
        <w:rPr>
          <w:rFonts w:eastAsia="Malgun Gothic"/>
          <w:kern w:val="22"/>
          <w:szCs w:val="22"/>
        </w:rPr>
        <w:t xml:space="preserve">evelop </w:t>
      </w:r>
      <w:r w:rsidR="00F5674C" w:rsidRPr="00D53BEB">
        <w:rPr>
          <w:rFonts w:eastAsia="Malgun Gothic"/>
          <w:kern w:val="22"/>
          <w:szCs w:val="22"/>
        </w:rPr>
        <w:t>R</w:t>
      </w:r>
      <w:r w:rsidRPr="00D53BEB">
        <w:rPr>
          <w:rFonts w:eastAsia="Malgun Gothic"/>
          <w:kern w:val="22"/>
          <w:szCs w:val="22"/>
        </w:rPr>
        <w:t xml:space="preserve">ecommendations for </w:t>
      </w:r>
      <w:r w:rsidR="00F5674C" w:rsidRPr="00D53BEB">
        <w:rPr>
          <w:rFonts w:eastAsia="Malgun Gothic"/>
          <w:kern w:val="22"/>
          <w:szCs w:val="22"/>
        </w:rPr>
        <w:t>P</w:t>
      </w:r>
      <w:r w:rsidRPr="00D53BEB">
        <w:rPr>
          <w:rFonts w:eastAsia="Malgun Gothic"/>
          <w:kern w:val="22"/>
          <w:szCs w:val="22"/>
        </w:rPr>
        <w:t xml:space="preserve">ossible </w:t>
      </w:r>
      <w:r w:rsidR="00F5674C" w:rsidRPr="00D53BEB">
        <w:rPr>
          <w:rFonts w:eastAsia="Malgun Gothic"/>
          <w:kern w:val="22"/>
          <w:szCs w:val="22"/>
        </w:rPr>
        <w:t>G</w:t>
      </w:r>
      <w:r w:rsidRPr="00D53BEB">
        <w:rPr>
          <w:rFonts w:eastAsia="Malgun Gothic"/>
          <w:kern w:val="22"/>
          <w:szCs w:val="22"/>
        </w:rPr>
        <w:t xml:space="preserve">ender </w:t>
      </w:r>
      <w:r w:rsidR="00F5674C" w:rsidRPr="00D53BEB">
        <w:rPr>
          <w:rFonts w:eastAsia="Malgun Gothic"/>
          <w:kern w:val="22"/>
          <w:szCs w:val="22"/>
        </w:rPr>
        <w:t>E</w:t>
      </w:r>
      <w:r w:rsidRPr="00D53BEB">
        <w:rPr>
          <w:rFonts w:eastAsia="Malgun Gothic"/>
          <w:kern w:val="22"/>
          <w:szCs w:val="22"/>
        </w:rPr>
        <w:t xml:space="preserve">lements in the </w:t>
      </w:r>
      <w:r w:rsidR="00F5674C" w:rsidRPr="00D53BEB">
        <w:rPr>
          <w:rFonts w:eastAsia="Malgun Gothic"/>
          <w:kern w:val="22"/>
          <w:szCs w:val="22"/>
        </w:rPr>
        <w:t>P</w:t>
      </w:r>
      <w:r w:rsidRPr="00D53BEB">
        <w:rPr>
          <w:rFonts w:eastAsia="Malgun Gothic"/>
          <w:kern w:val="22"/>
          <w:szCs w:val="22"/>
        </w:rPr>
        <w:t>ost</w:t>
      </w:r>
      <w:r w:rsidR="007402C3" w:rsidRPr="00D53BEB">
        <w:rPr>
          <w:rFonts w:eastAsia="Malgun Gothic"/>
          <w:kern w:val="22"/>
          <w:szCs w:val="22"/>
        </w:rPr>
        <w:noBreakHyphen/>
      </w:r>
      <w:r w:rsidRPr="00D53BEB">
        <w:rPr>
          <w:rFonts w:eastAsia="Malgun Gothic"/>
          <w:kern w:val="22"/>
          <w:szCs w:val="22"/>
        </w:rPr>
        <w:t xml:space="preserve">2020 </w:t>
      </w:r>
      <w:r w:rsidR="00F5674C" w:rsidRPr="00D53BEB">
        <w:rPr>
          <w:rFonts w:eastAsia="Malgun Gothic"/>
          <w:kern w:val="22"/>
          <w:szCs w:val="22"/>
        </w:rPr>
        <w:t>G</w:t>
      </w:r>
      <w:r w:rsidRPr="00D53BEB">
        <w:rPr>
          <w:rFonts w:eastAsia="Malgun Gothic"/>
          <w:kern w:val="22"/>
          <w:szCs w:val="22"/>
        </w:rPr>
        <w:t xml:space="preserve">lobal </w:t>
      </w:r>
      <w:r w:rsidR="00F5674C" w:rsidRPr="00D53BEB">
        <w:rPr>
          <w:rFonts w:eastAsia="Malgun Gothic"/>
          <w:kern w:val="22"/>
          <w:szCs w:val="22"/>
        </w:rPr>
        <w:t>B</w:t>
      </w:r>
      <w:r w:rsidRPr="00D53BEB">
        <w:rPr>
          <w:rFonts w:eastAsia="Malgun Gothic"/>
          <w:kern w:val="22"/>
          <w:szCs w:val="22"/>
        </w:rPr>
        <w:t xml:space="preserve">iodiversity </w:t>
      </w:r>
      <w:r w:rsidR="00F5674C" w:rsidRPr="00D53BEB">
        <w:rPr>
          <w:rFonts w:eastAsia="Malgun Gothic"/>
          <w:kern w:val="22"/>
          <w:szCs w:val="22"/>
        </w:rPr>
        <w:t>F</w:t>
      </w:r>
      <w:r w:rsidRPr="00D53BEB">
        <w:rPr>
          <w:rFonts w:eastAsia="Malgun Gothic"/>
          <w:kern w:val="22"/>
          <w:szCs w:val="22"/>
        </w:rPr>
        <w:t>ramework</w:t>
      </w:r>
      <w:r w:rsidR="00830543" w:rsidRPr="00D53BEB">
        <w:rPr>
          <w:rFonts w:eastAsia="Malgun Gothic"/>
          <w:kern w:val="22"/>
          <w:szCs w:val="22"/>
        </w:rPr>
        <w:t>:</w:t>
      </w:r>
      <w:r w:rsidRPr="00D53BEB">
        <w:rPr>
          <w:rFonts w:eastAsia="Malgun Gothic"/>
          <w:kern w:val="22"/>
          <w:szCs w:val="22"/>
        </w:rPr>
        <w:t xml:space="preserve"> New York, United States of America</w:t>
      </w:r>
      <w:r w:rsidR="00830543" w:rsidRPr="00D53BEB">
        <w:rPr>
          <w:rFonts w:eastAsia="Malgun Gothic"/>
          <w:kern w:val="22"/>
          <w:szCs w:val="22"/>
        </w:rPr>
        <w:t>,</w:t>
      </w:r>
      <w:r w:rsidR="007402C3" w:rsidRPr="00D53BEB">
        <w:rPr>
          <w:rFonts w:eastAsia="Malgun Gothic"/>
          <w:kern w:val="22"/>
          <w:szCs w:val="22"/>
        </w:rPr>
        <w:t xml:space="preserve"> 11-12 April 2019</w:t>
      </w:r>
      <w:r w:rsidR="00A11929" w:rsidRPr="00D53BEB">
        <w:rPr>
          <w:rFonts w:eastAsia="Malgun Gothic"/>
          <w:kern w:val="22"/>
          <w:szCs w:val="22"/>
        </w:rPr>
        <w:t>;</w:t>
      </w:r>
    </w:p>
    <w:p w14:paraId="67337F56" w14:textId="0094AED4" w:rsidR="00A11929" w:rsidRPr="00D53BEB" w:rsidRDefault="00825C62" w:rsidP="00890C7C">
      <w:pPr>
        <w:pStyle w:val="Para1"/>
        <w:numPr>
          <w:ilvl w:val="1"/>
          <w:numId w:val="8"/>
        </w:numPr>
        <w:tabs>
          <w:tab w:val="clear" w:pos="1440"/>
        </w:tabs>
        <w:rPr>
          <w:rFonts w:eastAsia="Malgun Gothic"/>
          <w:kern w:val="22"/>
          <w:szCs w:val="22"/>
        </w:rPr>
      </w:pPr>
      <w:r w:rsidRPr="00D53BEB">
        <w:rPr>
          <w:rFonts w:eastAsia="Malgun Gothic"/>
          <w:kern w:val="22"/>
          <w:szCs w:val="22"/>
        </w:rPr>
        <w:t xml:space="preserve">A </w:t>
      </w:r>
      <w:r w:rsidR="00F5674C" w:rsidRPr="00D53BEB">
        <w:rPr>
          <w:rFonts w:eastAsia="Malgun Gothic"/>
          <w:kern w:val="22"/>
          <w:szCs w:val="22"/>
        </w:rPr>
        <w:t>C</w:t>
      </w:r>
      <w:r w:rsidRPr="00D53BEB">
        <w:rPr>
          <w:rFonts w:eastAsia="Malgun Gothic"/>
          <w:kern w:val="22"/>
          <w:szCs w:val="22"/>
        </w:rPr>
        <w:t xml:space="preserve">onsultation </w:t>
      </w:r>
      <w:r w:rsidR="00F5674C" w:rsidRPr="00D53BEB">
        <w:rPr>
          <w:rFonts w:eastAsia="Malgun Gothic"/>
          <w:kern w:val="22"/>
          <w:szCs w:val="22"/>
        </w:rPr>
        <w:t>W</w:t>
      </w:r>
      <w:r w:rsidRPr="00D53BEB">
        <w:rPr>
          <w:rFonts w:eastAsia="Malgun Gothic"/>
          <w:kern w:val="22"/>
          <w:szCs w:val="22"/>
        </w:rPr>
        <w:t xml:space="preserve">orkshop of </w:t>
      </w:r>
      <w:r w:rsidR="00F5674C" w:rsidRPr="00D53BEB">
        <w:rPr>
          <w:rFonts w:eastAsia="Malgun Gothic"/>
          <w:kern w:val="22"/>
          <w:szCs w:val="22"/>
        </w:rPr>
        <w:t>B</w:t>
      </w:r>
      <w:r w:rsidRPr="00D53BEB">
        <w:rPr>
          <w:rFonts w:eastAsia="Malgun Gothic"/>
          <w:kern w:val="22"/>
          <w:szCs w:val="22"/>
        </w:rPr>
        <w:t xml:space="preserve">iodiversity-related Conventions on the </w:t>
      </w:r>
      <w:r w:rsidR="00F5674C" w:rsidRPr="00D53BEB">
        <w:rPr>
          <w:rFonts w:eastAsia="Malgun Gothic"/>
          <w:kern w:val="22"/>
          <w:szCs w:val="22"/>
        </w:rPr>
        <w:t>P</w:t>
      </w:r>
      <w:r w:rsidRPr="00D53BEB">
        <w:rPr>
          <w:rFonts w:eastAsia="Malgun Gothic"/>
          <w:kern w:val="22"/>
          <w:szCs w:val="22"/>
        </w:rPr>
        <w:t xml:space="preserve">ost-2020 </w:t>
      </w:r>
      <w:r w:rsidR="00F5674C" w:rsidRPr="00D53BEB">
        <w:rPr>
          <w:rFonts w:eastAsia="Malgun Gothic"/>
          <w:kern w:val="22"/>
          <w:szCs w:val="22"/>
        </w:rPr>
        <w:t>G</w:t>
      </w:r>
      <w:r w:rsidRPr="00D53BEB">
        <w:rPr>
          <w:rFonts w:eastAsia="Malgun Gothic"/>
          <w:kern w:val="22"/>
          <w:szCs w:val="22"/>
        </w:rPr>
        <w:t xml:space="preserve">lobal </w:t>
      </w:r>
      <w:r w:rsidR="00F5674C" w:rsidRPr="00D53BEB">
        <w:rPr>
          <w:rFonts w:eastAsia="Malgun Gothic"/>
          <w:kern w:val="22"/>
          <w:szCs w:val="22"/>
        </w:rPr>
        <w:t>B</w:t>
      </w:r>
      <w:r w:rsidRPr="00D53BEB">
        <w:rPr>
          <w:rFonts w:eastAsia="Malgun Gothic"/>
          <w:kern w:val="22"/>
          <w:szCs w:val="22"/>
        </w:rPr>
        <w:t xml:space="preserve">iodiversity </w:t>
      </w:r>
      <w:r w:rsidR="00F5674C" w:rsidRPr="00D53BEB">
        <w:rPr>
          <w:rFonts w:eastAsia="Malgun Gothic"/>
          <w:kern w:val="22"/>
          <w:szCs w:val="22"/>
        </w:rPr>
        <w:t>F</w:t>
      </w:r>
      <w:r w:rsidRPr="00D53BEB">
        <w:rPr>
          <w:rFonts w:eastAsia="Malgun Gothic"/>
          <w:kern w:val="22"/>
          <w:szCs w:val="22"/>
        </w:rPr>
        <w:t>ramework</w:t>
      </w:r>
      <w:r w:rsidR="00830543" w:rsidRPr="00D53BEB">
        <w:rPr>
          <w:rFonts w:eastAsia="Malgun Gothic"/>
          <w:kern w:val="22"/>
          <w:szCs w:val="22"/>
        </w:rPr>
        <w:t>:</w:t>
      </w:r>
      <w:r w:rsidRPr="00D53BEB">
        <w:rPr>
          <w:rFonts w:eastAsia="Malgun Gothic"/>
          <w:kern w:val="22"/>
          <w:szCs w:val="22"/>
        </w:rPr>
        <w:t xml:space="preserve"> </w:t>
      </w:r>
      <w:r w:rsidR="007402C3" w:rsidRPr="00D53BEB">
        <w:rPr>
          <w:rFonts w:eastAsia="Malgun Gothic"/>
          <w:kern w:val="22"/>
          <w:szCs w:val="22"/>
        </w:rPr>
        <w:t>Bern</w:t>
      </w:r>
      <w:r w:rsidR="00F5674C" w:rsidRPr="00D53BEB">
        <w:rPr>
          <w:rFonts w:eastAsia="Malgun Gothic"/>
          <w:kern w:val="22"/>
          <w:szCs w:val="22"/>
        </w:rPr>
        <w:t>,</w:t>
      </w:r>
      <w:r w:rsidR="007402C3" w:rsidRPr="00D53BEB">
        <w:rPr>
          <w:rFonts w:eastAsia="Malgun Gothic"/>
          <w:kern w:val="22"/>
          <w:szCs w:val="22"/>
        </w:rPr>
        <w:t xml:space="preserve"> </w:t>
      </w:r>
      <w:r w:rsidRPr="00D53BEB">
        <w:rPr>
          <w:rFonts w:eastAsia="Malgun Gothic"/>
          <w:kern w:val="22"/>
          <w:szCs w:val="22"/>
        </w:rPr>
        <w:t>10-12 June 2019</w:t>
      </w:r>
      <w:r w:rsidR="00A11929" w:rsidRPr="00D53BEB">
        <w:rPr>
          <w:rFonts w:eastAsia="Malgun Gothic"/>
          <w:kern w:val="22"/>
          <w:szCs w:val="22"/>
        </w:rPr>
        <w:t>;</w:t>
      </w:r>
    </w:p>
    <w:p w14:paraId="39035855" w14:textId="51156002" w:rsidR="00EC4F03" w:rsidRPr="00D53BEB" w:rsidRDefault="005A2987" w:rsidP="00890C7C">
      <w:pPr>
        <w:pStyle w:val="Para1"/>
        <w:numPr>
          <w:ilvl w:val="1"/>
          <w:numId w:val="8"/>
        </w:numPr>
        <w:tabs>
          <w:tab w:val="clear" w:pos="1440"/>
        </w:tabs>
        <w:rPr>
          <w:rFonts w:eastAsia="Malgun Gothic"/>
          <w:kern w:val="22"/>
          <w:szCs w:val="22"/>
        </w:rPr>
      </w:pPr>
      <w:r w:rsidRPr="00D53BEB">
        <w:rPr>
          <w:rFonts w:eastAsia="Malgun Gothic"/>
          <w:kern w:val="22"/>
          <w:szCs w:val="22"/>
        </w:rPr>
        <w:t>A global consultation</w:t>
      </w:r>
      <w:r w:rsidR="00883459" w:rsidRPr="00D53BEB">
        <w:rPr>
          <w:rFonts w:eastAsia="Malgun Gothic"/>
          <w:kern w:val="22"/>
          <w:szCs w:val="22"/>
        </w:rPr>
        <w:t xml:space="preserve"> focused on the science base for the post-2020 global biodiversity framework held through the Trondheim Conference on Biodiversity</w:t>
      </w:r>
      <w:r w:rsidR="00507A9F" w:rsidRPr="00D53BEB">
        <w:rPr>
          <w:rFonts w:eastAsia="Malgun Gothic"/>
          <w:kern w:val="22"/>
          <w:szCs w:val="22"/>
        </w:rPr>
        <w:t>:</w:t>
      </w:r>
      <w:r w:rsidR="00EC4F03" w:rsidRPr="00D53BEB">
        <w:rPr>
          <w:rFonts w:eastAsia="Malgun Gothic"/>
          <w:kern w:val="22"/>
          <w:szCs w:val="22"/>
        </w:rPr>
        <w:t xml:space="preserve"> Trondheim,</w:t>
      </w:r>
      <w:r w:rsidR="00883459" w:rsidRPr="00D53BEB">
        <w:rPr>
          <w:rFonts w:eastAsia="Malgun Gothic"/>
          <w:kern w:val="22"/>
          <w:szCs w:val="22"/>
        </w:rPr>
        <w:t xml:space="preserve"> Norway</w:t>
      </w:r>
      <w:r w:rsidR="00830543" w:rsidRPr="00D53BEB">
        <w:rPr>
          <w:rFonts w:eastAsia="Malgun Gothic"/>
          <w:kern w:val="22"/>
          <w:szCs w:val="22"/>
        </w:rPr>
        <w:t>,</w:t>
      </w:r>
      <w:r w:rsidR="007402C3" w:rsidRPr="00D53BEB">
        <w:rPr>
          <w:rFonts w:eastAsia="Malgun Gothic"/>
          <w:kern w:val="22"/>
          <w:szCs w:val="22"/>
        </w:rPr>
        <w:t xml:space="preserve"> 2-5 July 2019</w:t>
      </w:r>
      <w:r w:rsidR="00EC4F03" w:rsidRPr="00D53BEB">
        <w:rPr>
          <w:rFonts w:eastAsia="Malgun Gothic"/>
          <w:kern w:val="22"/>
          <w:szCs w:val="22"/>
        </w:rPr>
        <w:t>.</w:t>
      </w:r>
    </w:p>
    <w:p w14:paraId="6BDDB8A1" w14:textId="743E59F5" w:rsidR="00BB051D" w:rsidRPr="00D53BEB" w:rsidRDefault="00EC4F03" w:rsidP="001E6E1A">
      <w:pPr>
        <w:pStyle w:val="Para1"/>
        <w:numPr>
          <w:ilvl w:val="0"/>
          <w:numId w:val="0"/>
        </w:numPr>
        <w:rPr>
          <w:rFonts w:eastAsia="Malgun Gothic"/>
          <w:kern w:val="22"/>
          <w:szCs w:val="22"/>
        </w:rPr>
      </w:pPr>
      <w:r w:rsidRPr="00D53BEB">
        <w:rPr>
          <w:rFonts w:eastAsia="Malgun Gothic"/>
          <w:kern w:val="22"/>
          <w:szCs w:val="22"/>
        </w:rPr>
        <w:t>T</w:t>
      </w:r>
      <w:r w:rsidR="00BB051D" w:rsidRPr="00D53BEB">
        <w:rPr>
          <w:rFonts w:eastAsia="Malgun Gothic"/>
          <w:kern w:val="22"/>
          <w:szCs w:val="22"/>
        </w:rPr>
        <w:t>he reports of these workshops are available for the information of the Working Group.</w:t>
      </w:r>
      <w:r w:rsidR="00F6280C" w:rsidRPr="00890C7C">
        <w:rPr>
          <w:rStyle w:val="FootnoteReference"/>
          <w:rFonts w:eastAsia="Malgun Gothic"/>
          <w:kern w:val="22"/>
          <w:sz w:val="22"/>
          <w:szCs w:val="22"/>
          <w:u w:val="none"/>
          <w:vertAlign w:val="superscript"/>
        </w:rPr>
        <w:footnoteReference w:id="12"/>
      </w:r>
    </w:p>
    <w:p w14:paraId="3400F878" w14:textId="170DFF65" w:rsidR="00BB051D" w:rsidRPr="00890C7C" w:rsidRDefault="001A4C1C" w:rsidP="00890C7C">
      <w:pPr>
        <w:pStyle w:val="Heading2"/>
        <w:numPr>
          <w:ilvl w:val="0"/>
          <w:numId w:val="58"/>
        </w:numPr>
        <w:ind w:left="714" w:hanging="357"/>
        <w:rPr>
          <w:rFonts w:eastAsia="Malgun Gothic"/>
          <w:kern w:val="22"/>
          <w:szCs w:val="22"/>
        </w:rPr>
      </w:pPr>
      <w:r w:rsidRPr="00890C7C">
        <w:rPr>
          <w:rFonts w:eastAsia="Malgun Gothic"/>
          <w:kern w:val="22"/>
          <w:szCs w:val="22"/>
        </w:rPr>
        <w:t>Dialogues facilitated by Parties</w:t>
      </w:r>
    </w:p>
    <w:p w14:paraId="1396DE9E" w14:textId="4565BCDE" w:rsidR="00EC4F03" w:rsidRPr="00635ED9" w:rsidRDefault="00A72329" w:rsidP="00AA4A91">
      <w:pPr>
        <w:pStyle w:val="Para1"/>
        <w:tabs>
          <w:tab w:val="clear" w:pos="630"/>
        </w:tabs>
        <w:ind w:left="0"/>
        <w:rPr>
          <w:kern w:val="22"/>
          <w:szCs w:val="22"/>
        </w:rPr>
      </w:pPr>
      <w:r w:rsidRPr="00635ED9">
        <w:rPr>
          <w:kern w:val="22"/>
          <w:szCs w:val="22"/>
        </w:rPr>
        <w:t xml:space="preserve">Through </w:t>
      </w:r>
      <w:r w:rsidR="007402C3" w:rsidRPr="00635ED9">
        <w:rPr>
          <w:kern w:val="22"/>
          <w:szCs w:val="22"/>
        </w:rPr>
        <w:t>d</w:t>
      </w:r>
      <w:r w:rsidRPr="00635ED9">
        <w:rPr>
          <w:kern w:val="22"/>
          <w:szCs w:val="22"/>
        </w:rPr>
        <w:t xml:space="preserve">ecision 14/34, </w:t>
      </w:r>
      <w:r w:rsidR="001A4C1C" w:rsidRPr="00635ED9">
        <w:rPr>
          <w:kern w:val="22"/>
          <w:szCs w:val="22"/>
        </w:rPr>
        <w:t xml:space="preserve">Parties and others </w:t>
      </w:r>
      <w:r w:rsidRPr="00635ED9">
        <w:rPr>
          <w:kern w:val="22"/>
          <w:szCs w:val="22"/>
        </w:rPr>
        <w:t xml:space="preserve">were </w:t>
      </w:r>
      <w:r w:rsidR="001A4C1C" w:rsidRPr="00635ED9">
        <w:rPr>
          <w:kern w:val="22"/>
          <w:szCs w:val="22"/>
        </w:rPr>
        <w:t>encouraged to facilitate dialogues on the post</w:t>
      </w:r>
      <w:r w:rsidR="007402C3" w:rsidRPr="00635ED9">
        <w:rPr>
          <w:kern w:val="22"/>
          <w:szCs w:val="22"/>
        </w:rPr>
        <w:noBreakHyphen/>
      </w:r>
      <w:r w:rsidR="001A4C1C" w:rsidRPr="00635ED9">
        <w:rPr>
          <w:kern w:val="22"/>
          <w:szCs w:val="22"/>
        </w:rPr>
        <w:t>2020 global biodiversity framework and to make the results of these dialogues available through the clearing</w:t>
      </w:r>
      <w:r w:rsidR="007402C3" w:rsidRPr="00635ED9">
        <w:rPr>
          <w:kern w:val="22"/>
          <w:szCs w:val="22"/>
        </w:rPr>
        <w:noBreakHyphen/>
      </w:r>
      <w:r w:rsidR="001A4C1C" w:rsidRPr="00635ED9">
        <w:rPr>
          <w:kern w:val="22"/>
          <w:szCs w:val="22"/>
        </w:rPr>
        <w:t>house mechanism of the Convention and other appropriate means.</w:t>
      </w:r>
      <w:r w:rsidR="00BB051D" w:rsidRPr="00635ED9">
        <w:rPr>
          <w:kern w:val="22"/>
          <w:szCs w:val="22"/>
        </w:rPr>
        <w:t xml:space="preserve"> </w:t>
      </w:r>
      <w:r w:rsidR="0046046E" w:rsidRPr="00635ED9">
        <w:rPr>
          <w:kern w:val="22"/>
          <w:szCs w:val="22"/>
        </w:rPr>
        <w:t>Between January and June 2019</w:t>
      </w:r>
      <w:r w:rsidR="00616047" w:rsidRPr="00635ED9">
        <w:rPr>
          <w:kern w:val="22"/>
          <w:szCs w:val="22"/>
        </w:rPr>
        <w:t>,</w:t>
      </w:r>
      <w:r w:rsidR="0046046E" w:rsidRPr="00635ED9">
        <w:rPr>
          <w:kern w:val="22"/>
          <w:szCs w:val="22"/>
        </w:rPr>
        <w:t xml:space="preserve"> </w:t>
      </w:r>
      <w:r w:rsidR="00D82332" w:rsidRPr="00635ED9">
        <w:rPr>
          <w:kern w:val="22"/>
          <w:szCs w:val="22"/>
        </w:rPr>
        <w:t>several</w:t>
      </w:r>
      <w:r w:rsidR="001A4C1C" w:rsidRPr="00635ED9">
        <w:rPr>
          <w:kern w:val="22"/>
          <w:szCs w:val="22"/>
        </w:rPr>
        <w:t xml:space="preserve"> high-level dialogues </w:t>
      </w:r>
      <w:r w:rsidR="00091BA3" w:rsidRPr="00635ED9">
        <w:rPr>
          <w:kern w:val="22"/>
          <w:szCs w:val="22"/>
        </w:rPr>
        <w:t>were</w:t>
      </w:r>
      <w:r w:rsidR="001A4C1C" w:rsidRPr="00635ED9">
        <w:rPr>
          <w:kern w:val="22"/>
          <w:szCs w:val="22"/>
        </w:rPr>
        <w:t xml:space="preserve"> held</w:t>
      </w:r>
      <w:r w:rsidR="00C62A1B" w:rsidRPr="00635ED9">
        <w:rPr>
          <w:kern w:val="22"/>
          <w:szCs w:val="22"/>
        </w:rPr>
        <w:t>,</w:t>
      </w:r>
      <w:r w:rsidR="001A4C1C" w:rsidRPr="00635ED9">
        <w:rPr>
          <w:kern w:val="22"/>
          <w:szCs w:val="22"/>
        </w:rPr>
        <w:t xml:space="preserve"> including</w:t>
      </w:r>
      <w:r w:rsidR="00C62A1B" w:rsidRPr="00635ED9">
        <w:rPr>
          <w:kern w:val="22"/>
          <w:szCs w:val="22"/>
        </w:rPr>
        <w:t xml:space="preserve"> the following</w:t>
      </w:r>
      <w:r w:rsidR="001A4C1C" w:rsidRPr="00635ED9">
        <w:rPr>
          <w:kern w:val="22"/>
          <w:szCs w:val="22"/>
        </w:rPr>
        <w:t>:</w:t>
      </w:r>
    </w:p>
    <w:p w14:paraId="53936F82" w14:textId="1AAF5336" w:rsidR="00EC4F03" w:rsidRPr="00890C7C" w:rsidRDefault="00EC4F03" w:rsidP="00890C7C">
      <w:pPr>
        <w:pStyle w:val="Para1"/>
        <w:numPr>
          <w:ilvl w:val="1"/>
          <w:numId w:val="49"/>
        </w:numPr>
        <w:tabs>
          <w:tab w:val="clear" w:pos="1440"/>
        </w:tabs>
        <w:rPr>
          <w:rFonts w:eastAsia="Malgun Gothic"/>
          <w:bCs/>
          <w:kern w:val="22"/>
          <w:szCs w:val="22"/>
        </w:rPr>
      </w:pPr>
      <w:r w:rsidRPr="00890C7C">
        <w:rPr>
          <w:rFonts w:eastAsia="Malgun Gothic"/>
          <w:bCs/>
          <w:kern w:val="22"/>
          <w:szCs w:val="22"/>
        </w:rPr>
        <w:lastRenderedPageBreak/>
        <w:t xml:space="preserve">A </w:t>
      </w:r>
      <w:r w:rsidR="00D97B91" w:rsidRPr="00D53BEB">
        <w:rPr>
          <w:rFonts w:eastAsia="Malgun Gothic"/>
          <w:bCs/>
          <w:kern w:val="22"/>
          <w:szCs w:val="22"/>
        </w:rPr>
        <w:t>m</w:t>
      </w:r>
      <w:r w:rsidR="001A4C1C" w:rsidRPr="00890C7C">
        <w:rPr>
          <w:rFonts w:eastAsia="Malgun Gothic"/>
          <w:bCs/>
          <w:kern w:val="22"/>
          <w:szCs w:val="22"/>
        </w:rPr>
        <w:t>inisterial round</w:t>
      </w:r>
      <w:r w:rsidR="00D97B91" w:rsidRPr="00D53BEB">
        <w:rPr>
          <w:rFonts w:eastAsia="Malgun Gothic"/>
          <w:bCs/>
          <w:kern w:val="22"/>
          <w:szCs w:val="22"/>
        </w:rPr>
        <w:t xml:space="preserve"> </w:t>
      </w:r>
      <w:r w:rsidR="001A4C1C" w:rsidRPr="00890C7C">
        <w:rPr>
          <w:rFonts w:eastAsia="Malgun Gothic"/>
          <w:bCs/>
          <w:kern w:val="22"/>
          <w:szCs w:val="22"/>
        </w:rPr>
        <w:t xml:space="preserve">table on </w:t>
      </w:r>
      <w:r w:rsidRPr="00890C7C">
        <w:rPr>
          <w:rFonts w:eastAsia="Malgun Gothic"/>
          <w:bCs/>
          <w:kern w:val="22"/>
          <w:szCs w:val="22"/>
        </w:rPr>
        <w:t xml:space="preserve">the </w:t>
      </w:r>
      <w:r w:rsidR="001A4C1C" w:rsidRPr="00890C7C">
        <w:rPr>
          <w:rFonts w:eastAsia="Malgun Gothic"/>
          <w:bCs/>
          <w:kern w:val="22"/>
          <w:szCs w:val="22"/>
        </w:rPr>
        <w:t xml:space="preserve">main outcomes of the 2018 </w:t>
      </w:r>
      <w:r w:rsidR="00A16A83" w:rsidRPr="00D53BEB">
        <w:rPr>
          <w:rFonts w:eastAsia="Malgun Gothic"/>
          <w:bCs/>
          <w:kern w:val="22"/>
          <w:szCs w:val="22"/>
        </w:rPr>
        <w:t>United Nations</w:t>
      </w:r>
      <w:r w:rsidR="00A16A83" w:rsidRPr="00890C7C">
        <w:rPr>
          <w:rFonts w:eastAsia="Malgun Gothic"/>
          <w:bCs/>
          <w:kern w:val="22"/>
          <w:szCs w:val="22"/>
        </w:rPr>
        <w:t xml:space="preserve"> </w:t>
      </w:r>
      <w:r w:rsidR="001A4C1C" w:rsidRPr="00890C7C">
        <w:rPr>
          <w:rFonts w:eastAsia="Malgun Gothic"/>
          <w:bCs/>
          <w:kern w:val="22"/>
          <w:szCs w:val="22"/>
        </w:rPr>
        <w:t>Biodiversity Conference and the development of the post</w:t>
      </w:r>
      <w:r w:rsidR="00832876" w:rsidRPr="00890C7C">
        <w:rPr>
          <w:rFonts w:eastAsia="Malgun Gothic"/>
          <w:bCs/>
          <w:kern w:val="22"/>
          <w:szCs w:val="22"/>
        </w:rPr>
        <w:t>-</w:t>
      </w:r>
      <w:r w:rsidR="001A4C1C" w:rsidRPr="00890C7C">
        <w:rPr>
          <w:rFonts w:eastAsia="Malgun Gothic"/>
          <w:bCs/>
          <w:kern w:val="22"/>
          <w:szCs w:val="22"/>
        </w:rPr>
        <w:t>2020 global biodiversity framework</w:t>
      </w:r>
      <w:r w:rsidR="000C37AF" w:rsidRPr="00890C7C">
        <w:rPr>
          <w:rFonts w:eastAsia="Malgun Gothic"/>
          <w:bCs/>
          <w:kern w:val="22"/>
          <w:szCs w:val="22"/>
        </w:rPr>
        <w:t>, convened by the President</w:t>
      </w:r>
      <w:r w:rsidRPr="00890C7C">
        <w:rPr>
          <w:rFonts w:eastAsia="Malgun Gothic"/>
          <w:bCs/>
          <w:kern w:val="22"/>
          <w:szCs w:val="22"/>
        </w:rPr>
        <w:t xml:space="preserve"> </w:t>
      </w:r>
      <w:r w:rsidR="007402C3" w:rsidRPr="00890C7C">
        <w:rPr>
          <w:rFonts w:eastAsia="Malgun Gothic"/>
          <w:bCs/>
          <w:kern w:val="22"/>
          <w:szCs w:val="22"/>
        </w:rPr>
        <w:t xml:space="preserve">of the fourteenth meeting of the Conference of the Parties </w:t>
      </w:r>
      <w:r w:rsidR="00A16A83" w:rsidRPr="00D53BEB">
        <w:rPr>
          <w:rFonts w:eastAsia="Malgun Gothic"/>
          <w:bCs/>
          <w:kern w:val="22"/>
          <w:szCs w:val="22"/>
        </w:rPr>
        <w:t xml:space="preserve">on </w:t>
      </w:r>
      <w:r w:rsidR="00495C39" w:rsidRPr="00890C7C">
        <w:rPr>
          <w:rFonts w:eastAsia="Malgun Gothic"/>
          <w:bCs/>
          <w:kern w:val="22"/>
          <w:szCs w:val="22"/>
        </w:rPr>
        <w:t>14 March 2019</w:t>
      </w:r>
      <w:r w:rsidRPr="00890C7C">
        <w:rPr>
          <w:rFonts w:eastAsia="Malgun Gothic"/>
          <w:bCs/>
          <w:kern w:val="22"/>
          <w:szCs w:val="22"/>
        </w:rPr>
        <w:t xml:space="preserve"> in</w:t>
      </w:r>
      <w:r w:rsidR="00495C39" w:rsidRPr="00890C7C">
        <w:rPr>
          <w:rFonts w:eastAsia="Malgun Gothic"/>
          <w:bCs/>
          <w:kern w:val="22"/>
          <w:szCs w:val="22"/>
        </w:rPr>
        <w:t xml:space="preserve"> Nairobi</w:t>
      </w:r>
      <w:r w:rsidRPr="00890C7C">
        <w:rPr>
          <w:rFonts w:eastAsia="Malgun Gothic"/>
          <w:bCs/>
          <w:kern w:val="22"/>
          <w:szCs w:val="22"/>
        </w:rPr>
        <w:t xml:space="preserve">, </w:t>
      </w:r>
      <w:r w:rsidR="009010BA" w:rsidRPr="00890C7C">
        <w:rPr>
          <w:rFonts w:eastAsia="Malgun Gothic"/>
          <w:bCs/>
          <w:kern w:val="22"/>
          <w:szCs w:val="22"/>
        </w:rPr>
        <w:t xml:space="preserve">on the margins of </w:t>
      </w:r>
      <w:r w:rsidR="00832876" w:rsidRPr="00890C7C">
        <w:rPr>
          <w:rFonts w:eastAsia="Malgun Gothic"/>
          <w:bCs/>
          <w:kern w:val="22"/>
          <w:szCs w:val="22"/>
        </w:rPr>
        <w:t>fourth meeting of the United Nations Environment Assembly</w:t>
      </w:r>
      <w:r w:rsidR="007402C3" w:rsidRPr="00890C7C">
        <w:rPr>
          <w:rFonts w:eastAsia="Malgun Gothic"/>
          <w:bCs/>
          <w:kern w:val="22"/>
          <w:szCs w:val="22"/>
        </w:rPr>
        <w:t>;</w:t>
      </w:r>
      <w:r w:rsidR="004646D1" w:rsidRPr="00890C7C">
        <w:rPr>
          <w:rStyle w:val="FootnoteReference"/>
          <w:rFonts w:eastAsia="Malgun Gothic"/>
          <w:bCs/>
          <w:kern w:val="22"/>
          <w:sz w:val="22"/>
          <w:szCs w:val="22"/>
          <w:u w:val="none"/>
          <w:vertAlign w:val="superscript"/>
        </w:rPr>
        <w:footnoteReference w:id="13"/>
      </w:r>
    </w:p>
    <w:p w14:paraId="6BEC0818" w14:textId="5A16A439" w:rsidR="000C37AF" w:rsidRPr="00890C7C" w:rsidRDefault="000C37AF" w:rsidP="00890C7C">
      <w:pPr>
        <w:pStyle w:val="Para1"/>
        <w:numPr>
          <w:ilvl w:val="1"/>
          <w:numId w:val="49"/>
        </w:numPr>
        <w:tabs>
          <w:tab w:val="clear" w:pos="1440"/>
        </w:tabs>
        <w:rPr>
          <w:rFonts w:eastAsia="Malgun Gothic"/>
          <w:bCs/>
          <w:kern w:val="22"/>
          <w:szCs w:val="22"/>
        </w:rPr>
      </w:pPr>
      <w:r w:rsidRPr="00890C7C">
        <w:rPr>
          <w:rFonts w:eastAsia="Malgun Gothic"/>
          <w:bCs/>
          <w:kern w:val="22"/>
          <w:szCs w:val="22"/>
        </w:rPr>
        <w:t xml:space="preserve">A </w:t>
      </w:r>
      <w:r w:rsidR="00A16A83" w:rsidRPr="00D53BEB">
        <w:rPr>
          <w:rFonts w:eastAsia="Malgun Gothic"/>
          <w:bCs/>
          <w:kern w:val="22"/>
          <w:szCs w:val="22"/>
        </w:rPr>
        <w:t>“</w:t>
      </w:r>
      <w:r w:rsidRPr="00D53BEB">
        <w:rPr>
          <w:rFonts w:eastAsia="Malgun Gothic"/>
          <w:bCs/>
          <w:kern w:val="22"/>
          <w:szCs w:val="22"/>
        </w:rPr>
        <w:t>Nature Champions Summit</w:t>
      </w:r>
      <w:r w:rsidR="00A16A83" w:rsidRPr="00D53BEB">
        <w:rPr>
          <w:rFonts w:eastAsia="Malgun Gothic"/>
          <w:bCs/>
          <w:kern w:val="22"/>
          <w:szCs w:val="22"/>
        </w:rPr>
        <w:t>”</w:t>
      </w:r>
      <w:r w:rsidR="00616047" w:rsidRPr="00D53BEB">
        <w:rPr>
          <w:rFonts w:eastAsia="Malgun Gothic"/>
          <w:bCs/>
          <w:kern w:val="22"/>
          <w:szCs w:val="22"/>
        </w:rPr>
        <w:t xml:space="preserve"> </w:t>
      </w:r>
      <w:r w:rsidRPr="00D53BEB">
        <w:rPr>
          <w:rFonts w:eastAsia="Malgun Gothic"/>
          <w:bCs/>
          <w:kern w:val="22"/>
          <w:szCs w:val="22"/>
        </w:rPr>
        <w:t>convened by the Government of Canada</w:t>
      </w:r>
      <w:r w:rsidR="00EC4F03" w:rsidRPr="00D53BEB">
        <w:rPr>
          <w:rFonts w:eastAsia="Malgun Gothic"/>
          <w:bCs/>
          <w:kern w:val="22"/>
          <w:szCs w:val="22"/>
        </w:rPr>
        <w:t xml:space="preserve"> (</w:t>
      </w:r>
      <w:r w:rsidRPr="00D53BEB">
        <w:rPr>
          <w:rFonts w:eastAsia="Malgun Gothic"/>
          <w:bCs/>
          <w:kern w:val="22"/>
          <w:szCs w:val="22"/>
        </w:rPr>
        <w:t>24-25 April 2019</w:t>
      </w:r>
      <w:r w:rsidR="00EC4F03" w:rsidRPr="00D53BEB">
        <w:rPr>
          <w:rFonts w:eastAsia="Malgun Gothic"/>
          <w:bCs/>
          <w:kern w:val="22"/>
          <w:szCs w:val="22"/>
        </w:rPr>
        <w:t>)</w:t>
      </w:r>
      <w:r w:rsidR="00D84D6B" w:rsidRPr="00D53BEB">
        <w:rPr>
          <w:rFonts w:eastAsia="Malgun Gothic"/>
          <w:bCs/>
          <w:kern w:val="22"/>
          <w:szCs w:val="22"/>
        </w:rPr>
        <w:t>;</w:t>
      </w:r>
      <w:r w:rsidR="004646D1" w:rsidRPr="00890C7C">
        <w:rPr>
          <w:rStyle w:val="FootnoteReference"/>
          <w:rFonts w:eastAsia="Malgun Gothic"/>
          <w:bCs/>
          <w:kern w:val="22"/>
          <w:sz w:val="22"/>
          <w:szCs w:val="22"/>
          <w:u w:val="none"/>
          <w:vertAlign w:val="superscript"/>
        </w:rPr>
        <w:footnoteReference w:id="14"/>
      </w:r>
    </w:p>
    <w:p w14:paraId="58FF6426" w14:textId="70D2DF69" w:rsidR="001A4C1C" w:rsidRPr="00890C7C" w:rsidRDefault="00EC4F03" w:rsidP="00890C7C">
      <w:pPr>
        <w:pStyle w:val="Para1"/>
        <w:numPr>
          <w:ilvl w:val="1"/>
          <w:numId w:val="8"/>
        </w:numPr>
        <w:tabs>
          <w:tab w:val="clear" w:pos="1440"/>
        </w:tabs>
        <w:rPr>
          <w:rFonts w:eastAsia="Malgun Gothic"/>
          <w:bCs/>
          <w:kern w:val="22"/>
          <w:szCs w:val="22"/>
        </w:rPr>
      </w:pPr>
      <w:r w:rsidRPr="00D53BEB">
        <w:rPr>
          <w:rFonts w:eastAsia="Malgun Gothic"/>
          <w:bCs/>
          <w:kern w:val="22"/>
          <w:szCs w:val="22"/>
        </w:rPr>
        <w:t xml:space="preserve">A </w:t>
      </w:r>
      <w:r w:rsidR="000C37AF" w:rsidRPr="00D53BEB">
        <w:rPr>
          <w:rFonts w:eastAsia="Malgun Gothic"/>
          <w:bCs/>
          <w:kern w:val="22"/>
          <w:szCs w:val="22"/>
        </w:rPr>
        <w:t xml:space="preserve">G7 Environment Ministers Meeting </w:t>
      </w:r>
      <w:r w:rsidR="004646D1" w:rsidRPr="00D53BEB">
        <w:rPr>
          <w:rFonts w:eastAsia="Malgun Gothic"/>
          <w:bCs/>
          <w:kern w:val="22"/>
          <w:szCs w:val="22"/>
        </w:rPr>
        <w:t>convened by the Government of France</w:t>
      </w:r>
      <w:r w:rsidRPr="00D53BEB">
        <w:rPr>
          <w:rFonts w:eastAsia="Malgun Gothic"/>
          <w:bCs/>
          <w:kern w:val="22"/>
          <w:szCs w:val="22"/>
        </w:rPr>
        <w:t xml:space="preserve"> (</w:t>
      </w:r>
      <w:r w:rsidR="004646D1" w:rsidRPr="00D53BEB">
        <w:rPr>
          <w:rFonts w:eastAsia="Malgun Gothic"/>
          <w:bCs/>
          <w:kern w:val="22"/>
          <w:szCs w:val="22"/>
        </w:rPr>
        <w:t>5-6 May 2019</w:t>
      </w:r>
      <w:r w:rsidRPr="00D53BEB">
        <w:rPr>
          <w:rFonts w:eastAsia="Malgun Gothic"/>
          <w:bCs/>
          <w:kern w:val="22"/>
          <w:szCs w:val="22"/>
        </w:rPr>
        <w:t>)</w:t>
      </w:r>
      <w:r w:rsidR="00D84D6B" w:rsidRPr="00D53BEB">
        <w:rPr>
          <w:rFonts w:eastAsia="Malgun Gothic"/>
          <w:bCs/>
          <w:kern w:val="22"/>
          <w:szCs w:val="22"/>
        </w:rPr>
        <w:t>;</w:t>
      </w:r>
      <w:r w:rsidR="004646D1" w:rsidRPr="00890C7C">
        <w:rPr>
          <w:rStyle w:val="FootnoteReference"/>
          <w:rFonts w:eastAsia="Malgun Gothic"/>
          <w:bCs/>
          <w:kern w:val="22"/>
          <w:sz w:val="22"/>
          <w:szCs w:val="22"/>
          <w:u w:val="none"/>
          <w:vertAlign w:val="superscript"/>
        </w:rPr>
        <w:footnoteReference w:id="15"/>
      </w:r>
    </w:p>
    <w:p w14:paraId="1F81D58B" w14:textId="65C24EB8" w:rsidR="00676908" w:rsidRPr="00890C7C" w:rsidRDefault="00EC4F03" w:rsidP="00890C7C">
      <w:pPr>
        <w:pStyle w:val="Para1"/>
        <w:numPr>
          <w:ilvl w:val="1"/>
          <w:numId w:val="8"/>
        </w:numPr>
        <w:tabs>
          <w:tab w:val="clear" w:pos="1440"/>
        </w:tabs>
        <w:rPr>
          <w:rFonts w:eastAsia="Malgun Gothic"/>
          <w:bCs/>
          <w:kern w:val="22"/>
          <w:szCs w:val="22"/>
        </w:rPr>
      </w:pPr>
      <w:r w:rsidRPr="00890C7C">
        <w:rPr>
          <w:rFonts w:eastAsia="Malgun Gothic"/>
          <w:kern w:val="22"/>
          <w:szCs w:val="22"/>
        </w:rPr>
        <w:t xml:space="preserve">A </w:t>
      </w:r>
      <w:r w:rsidR="00360492" w:rsidRPr="00890C7C">
        <w:rPr>
          <w:rFonts w:eastAsia="仿宋"/>
          <w:kern w:val="22"/>
          <w:szCs w:val="22"/>
        </w:rPr>
        <w:t xml:space="preserve">session on the </w:t>
      </w:r>
      <w:r w:rsidR="00752A9A" w:rsidRPr="00890C7C">
        <w:rPr>
          <w:rFonts w:eastAsia="仿宋"/>
          <w:kern w:val="22"/>
          <w:szCs w:val="22"/>
        </w:rPr>
        <w:t xml:space="preserve">2050 Vision of Biodiversity Conservation </w:t>
      </w:r>
      <w:r w:rsidR="00293752" w:rsidRPr="00890C7C">
        <w:rPr>
          <w:rFonts w:eastAsia="仿宋"/>
          <w:kern w:val="22"/>
          <w:szCs w:val="22"/>
        </w:rPr>
        <w:t xml:space="preserve">held </w:t>
      </w:r>
      <w:r w:rsidR="00360492" w:rsidRPr="00890C7C">
        <w:rPr>
          <w:rFonts w:eastAsia="仿宋"/>
          <w:kern w:val="22"/>
          <w:szCs w:val="22"/>
        </w:rPr>
        <w:t xml:space="preserve">during </w:t>
      </w:r>
      <w:r w:rsidR="00DB23DB" w:rsidRPr="00890C7C">
        <w:rPr>
          <w:rFonts w:eastAsia="仿宋"/>
          <w:kern w:val="22"/>
          <w:szCs w:val="22"/>
        </w:rPr>
        <w:t xml:space="preserve">the </w:t>
      </w:r>
      <w:r w:rsidR="00752A9A" w:rsidRPr="00890C7C">
        <w:rPr>
          <w:rFonts w:eastAsia="SimHei"/>
          <w:kern w:val="22"/>
          <w:szCs w:val="22"/>
        </w:rPr>
        <w:t xml:space="preserve">2019 Annual General Meeting of </w:t>
      </w:r>
      <w:r w:rsidR="00DB23DB" w:rsidRPr="00890C7C">
        <w:rPr>
          <w:rFonts w:eastAsia="SimHei"/>
          <w:kern w:val="22"/>
          <w:szCs w:val="22"/>
        </w:rPr>
        <w:t xml:space="preserve">the </w:t>
      </w:r>
      <w:r w:rsidR="000F13EF" w:rsidRPr="00890C7C">
        <w:rPr>
          <w:rFonts w:eastAsia="SimHei"/>
          <w:kern w:val="22"/>
          <w:szCs w:val="22"/>
        </w:rPr>
        <w:t>C</w:t>
      </w:r>
      <w:r w:rsidR="000F13EF" w:rsidRPr="00890C7C">
        <w:rPr>
          <w:rFonts w:eastAsiaTheme="minorHAnsi"/>
          <w:kern w:val="22"/>
          <w:szCs w:val="22"/>
        </w:rPr>
        <w:t>hina Council for International Cooperation on</w:t>
      </w:r>
      <w:r w:rsidR="00752A9A" w:rsidRPr="00890C7C">
        <w:rPr>
          <w:rFonts w:eastAsiaTheme="minorHAnsi"/>
          <w:caps/>
          <w:kern w:val="22"/>
          <w:szCs w:val="22"/>
        </w:rPr>
        <w:t xml:space="preserve"> </w:t>
      </w:r>
      <w:r w:rsidR="000F13EF" w:rsidRPr="00890C7C">
        <w:rPr>
          <w:rFonts w:eastAsiaTheme="minorHAnsi"/>
          <w:caps/>
          <w:kern w:val="22"/>
          <w:szCs w:val="22"/>
        </w:rPr>
        <w:t>E</w:t>
      </w:r>
      <w:r w:rsidR="000F13EF" w:rsidRPr="00890C7C">
        <w:rPr>
          <w:rFonts w:eastAsiaTheme="minorHAnsi"/>
          <w:kern w:val="22"/>
          <w:szCs w:val="22"/>
        </w:rPr>
        <w:t xml:space="preserve">nvironment and Development </w:t>
      </w:r>
      <w:r w:rsidR="00DB23DB" w:rsidRPr="00890C7C">
        <w:rPr>
          <w:rFonts w:eastAsiaTheme="minorHAnsi"/>
          <w:kern w:val="22"/>
          <w:szCs w:val="22"/>
        </w:rPr>
        <w:t xml:space="preserve">convened by the Government of China </w:t>
      </w:r>
      <w:r w:rsidRPr="00890C7C">
        <w:rPr>
          <w:rFonts w:eastAsiaTheme="minorHAnsi"/>
          <w:kern w:val="22"/>
          <w:szCs w:val="22"/>
        </w:rPr>
        <w:t>(</w:t>
      </w:r>
      <w:r w:rsidR="000F13EF" w:rsidRPr="00890C7C">
        <w:rPr>
          <w:rFonts w:eastAsiaTheme="minorHAnsi"/>
          <w:kern w:val="22"/>
          <w:szCs w:val="22"/>
        </w:rPr>
        <w:t>2 June 2019</w:t>
      </w:r>
      <w:r w:rsidRPr="00890C7C">
        <w:rPr>
          <w:rFonts w:eastAsiaTheme="minorHAnsi"/>
          <w:kern w:val="22"/>
          <w:szCs w:val="22"/>
        </w:rPr>
        <w:t>)</w:t>
      </w:r>
      <w:r w:rsidR="000F13EF" w:rsidRPr="00890C7C">
        <w:rPr>
          <w:rFonts w:eastAsiaTheme="minorHAnsi"/>
          <w:kern w:val="22"/>
          <w:szCs w:val="22"/>
        </w:rPr>
        <w:t>.</w:t>
      </w:r>
    </w:p>
    <w:p w14:paraId="5AC89FBC" w14:textId="7F0B02C2" w:rsidR="0069002F" w:rsidRPr="00890C7C" w:rsidRDefault="0069002F" w:rsidP="00890C7C">
      <w:pPr>
        <w:pStyle w:val="Heading2"/>
        <w:numPr>
          <w:ilvl w:val="0"/>
          <w:numId w:val="58"/>
        </w:numPr>
        <w:tabs>
          <w:tab w:val="clear" w:pos="720"/>
        </w:tabs>
        <w:ind w:left="714" w:hanging="357"/>
        <w:rPr>
          <w:rFonts w:eastAsia="Malgun Gothic"/>
          <w:kern w:val="22"/>
          <w:szCs w:val="22"/>
        </w:rPr>
      </w:pPr>
      <w:r w:rsidRPr="00890C7C">
        <w:rPr>
          <w:rFonts w:eastAsia="Malgun Gothic"/>
          <w:kern w:val="22"/>
          <w:szCs w:val="22"/>
        </w:rPr>
        <w:t xml:space="preserve">Dialogues supported by observers </w:t>
      </w:r>
    </w:p>
    <w:p w14:paraId="70377B03" w14:textId="64D1C56A" w:rsidR="004646D1" w:rsidRPr="00890C7C" w:rsidRDefault="0046046E" w:rsidP="00AA4A91">
      <w:pPr>
        <w:pStyle w:val="Para1"/>
        <w:tabs>
          <w:tab w:val="clear" w:pos="630"/>
        </w:tabs>
        <w:ind w:left="0"/>
        <w:rPr>
          <w:kern w:val="22"/>
          <w:szCs w:val="22"/>
        </w:rPr>
      </w:pPr>
      <w:r w:rsidRPr="00890C7C">
        <w:rPr>
          <w:kern w:val="22"/>
          <w:szCs w:val="22"/>
        </w:rPr>
        <w:t xml:space="preserve">Between </w:t>
      </w:r>
      <w:r w:rsidR="000D7381" w:rsidRPr="00890C7C">
        <w:rPr>
          <w:kern w:val="22"/>
          <w:szCs w:val="22"/>
        </w:rPr>
        <w:t xml:space="preserve">December </w:t>
      </w:r>
      <w:r w:rsidRPr="00890C7C">
        <w:rPr>
          <w:kern w:val="22"/>
          <w:szCs w:val="22"/>
        </w:rPr>
        <w:t>2018 and December 2019</w:t>
      </w:r>
      <w:r w:rsidR="00D84D6B" w:rsidRPr="00D53BEB">
        <w:rPr>
          <w:kern w:val="22"/>
          <w:szCs w:val="22"/>
        </w:rPr>
        <w:t>,</w:t>
      </w:r>
      <w:r w:rsidRPr="00890C7C">
        <w:rPr>
          <w:kern w:val="22"/>
          <w:szCs w:val="22"/>
        </w:rPr>
        <w:t xml:space="preserve"> s</w:t>
      </w:r>
      <w:r w:rsidR="004646D1" w:rsidRPr="00890C7C">
        <w:rPr>
          <w:kern w:val="22"/>
          <w:szCs w:val="22"/>
        </w:rPr>
        <w:t>everal organi</w:t>
      </w:r>
      <w:r w:rsidR="00D84D6B" w:rsidRPr="00D53BEB">
        <w:rPr>
          <w:kern w:val="22"/>
          <w:szCs w:val="22"/>
        </w:rPr>
        <w:t>z</w:t>
      </w:r>
      <w:r w:rsidR="004646D1" w:rsidRPr="00890C7C">
        <w:rPr>
          <w:kern w:val="22"/>
          <w:szCs w:val="22"/>
        </w:rPr>
        <w:t xml:space="preserve">ations have </w:t>
      </w:r>
      <w:r w:rsidR="00AF36AD" w:rsidRPr="00D53BEB">
        <w:rPr>
          <w:kern w:val="22"/>
          <w:szCs w:val="22"/>
        </w:rPr>
        <w:t xml:space="preserve">convened </w:t>
      </w:r>
      <w:r w:rsidR="004646D1" w:rsidRPr="00890C7C">
        <w:rPr>
          <w:kern w:val="22"/>
          <w:szCs w:val="22"/>
        </w:rPr>
        <w:t>or are planning to convene consultations related to the development of the post-2020 global biodiversity framework. These include:</w:t>
      </w:r>
    </w:p>
    <w:p w14:paraId="65F68B75" w14:textId="0DB09B12" w:rsidR="00101D6A" w:rsidRPr="00D53BEB" w:rsidRDefault="00EC4F03" w:rsidP="00890C7C">
      <w:pPr>
        <w:pStyle w:val="Para1"/>
        <w:numPr>
          <w:ilvl w:val="1"/>
          <w:numId w:val="8"/>
        </w:numPr>
        <w:tabs>
          <w:tab w:val="clear" w:pos="1440"/>
        </w:tabs>
        <w:rPr>
          <w:rFonts w:eastAsia="Malgun Gothic"/>
          <w:kern w:val="22"/>
          <w:szCs w:val="22"/>
        </w:rPr>
      </w:pPr>
      <w:r w:rsidRPr="00D53BEB">
        <w:rPr>
          <w:rFonts w:eastAsia="Malgun Gothic"/>
          <w:kern w:val="22"/>
          <w:szCs w:val="22"/>
        </w:rPr>
        <w:t>A</w:t>
      </w:r>
      <w:r w:rsidR="00101D6A" w:rsidRPr="00D53BEB">
        <w:rPr>
          <w:rFonts w:eastAsia="Malgun Gothic"/>
          <w:kern w:val="22"/>
          <w:szCs w:val="22"/>
        </w:rPr>
        <w:t>n expert meeting on indicators for the post-2020 global biodiversity framework</w:t>
      </w:r>
      <w:r w:rsidRPr="00D53BEB">
        <w:rPr>
          <w:rFonts w:eastAsia="Malgun Gothic"/>
          <w:kern w:val="22"/>
          <w:szCs w:val="22"/>
        </w:rPr>
        <w:t>,</w:t>
      </w:r>
      <w:r w:rsidR="00101D6A" w:rsidRPr="00D53BEB">
        <w:rPr>
          <w:rFonts w:eastAsia="Malgun Gothic"/>
          <w:kern w:val="22"/>
          <w:szCs w:val="22"/>
        </w:rPr>
        <w:t xml:space="preserve"> based on the United Nation</w:t>
      </w:r>
      <w:r w:rsidR="00024739">
        <w:rPr>
          <w:rFonts w:eastAsia="Malgun Gothic"/>
          <w:kern w:val="22"/>
          <w:szCs w:val="22"/>
        </w:rPr>
        <w:t>s</w:t>
      </w:r>
      <w:bookmarkStart w:id="2" w:name="_GoBack"/>
      <w:bookmarkEnd w:id="2"/>
      <w:r w:rsidR="00101D6A" w:rsidRPr="00D53BEB">
        <w:rPr>
          <w:rFonts w:eastAsia="Malgun Gothic"/>
          <w:kern w:val="22"/>
          <w:szCs w:val="22"/>
        </w:rPr>
        <w:t xml:space="preserve"> Systems of Environmental Economic Accounting (SEEA)</w:t>
      </w:r>
      <w:r w:rsidRPr="00D53BEB">
        <w:rPr>
          <w:rFonts w:eastAsia="Malgun Gothic"/>
          <w:kern w:val="22"/>
          <w:szCs w:val="22"/>
        </w:rPr>
        <w:t>, organi</w:t>
      </w:r>
      <w:r w:rsidR="00D84D6B" w:rsidRPr="00D53BEB">
        <w:rPr>
          <w:rFonts w:eastAsia="Malgun Gothic"/>
          <w:kern w:val="22"/>
          <w:szCs w:val="22"/>
        </w:rPr>
        <w:t>z</w:t>
      </w:r>
      <w:r w:rsidRPr="00D53BEB">
        <w:rPr>
          <w:rFonts w:eastAsia="Malgun Gothic"/>
          <w:kern w:val="22"/>
          <w:szCs w:val="22"/>
        </w:rPr>
        <w:t xml:space="preserve">ed by </w:t>
      </w:r>
      <w:r w:rsidR="00D84D6B" w:rsidRPr="00D53BEB">
        <w:rPr>
          <w:rFonts w:eastAsia="Malgun Gothic"/>
          <w:kern w:val="22"/>
          <w:szCs w:val="22"/>
        </w:rPr>
        <w:t>the United Nation Environment Programme’s World Conservation Monitoring Centre (</w:t>
      </w:r>
      <w:r w:rsidRPr="00D53BEB">
        <w:rPr>
          <w:rFonts w:eastAsia="Malgun Gothic"/>
          <w:kern w:val="22"/>
          <w:szCs w:val="22"/>
        </w:rPr>
        <w:t>UNEP-WCMC</w:t>
      </w:r>
      <w:r w:rsidR="00D84D6B" w:rsidRPr="00D53BEB">
        <w:rPr>
          <w:rFonts w:eastAsia="Malgun Gothic"/>
          <w:kern w:val="22"/>
          <w:szCs w:val="22"/>
        </w:rPr>
        <w:t>)</w:t>
      </w:r>
      <w:r w:rsidRPr="00D53BEB">
        <w:rPr>
          <w:rFonts w:eastAsia="Malgun Gothic"/>
          <w:kern w:val="22"/>
          <w:szCs w:val="22"/>
        </w:rPr>
        <w:t xml:space="preserve"> and the United Nations Statistics </w:t>
      </w:r>
      <w:r w:rsidR="00126159" w:rsidRPr="00D53BEB">
        <w:rPr>
          <w:rFonts w:eastAsia="Malgun Gothic"/>
          <w:kern w:val="22"/>
          <w:szCs w:val="22"/>
        </w:rPr>
        <w:t>D</w:t>
      </w:r>
      <w:r w:rsidRPr="00D53BEB">
        <w:rPr>
          <w:rFonts w:eastAsia="Malgun Gothic"/>
          <w:kern w:val="22"/>
          <w:szCs w:val="22"/>
        </w:rPr>
        <w:t>ivision</w:t>
      </w:r>
      <w:r w:rsidR="00101D6A" w:rsidRPr="00D53BEB">
        <w:rPr>
          <w:rFonts w:eastAsia="Malgun Gothic"/>
          <w:kern w:val="22"/>
          <w:szCs w:val="22"/>
        </w:rPr>
        <w:t xml:space="preserve"> in Cambridge, </w:t>
      </w:r>
      <w:r w:rsidR="000D7381" w:rsidRPr="00D53BEB">
        <w:rPr>
          <w:rFonts w:eastAsia="Malgun Gothic"/>
          <w:kern w:val="22"/>
          <w:szCs w:val="22"/>
        </w:rPr>
        <w:t>United Kingdom of Great Britain and Norther Ireland (12-14 February 2019)</w:t>
      </w:r>
      <w:r w:rsidR="00D84D6B" w:rsidRPr="00D53BEB">
        <w:rPr>
          <w:rFonts w:eastAsia="Malgun Gothic"/>
          <w:kern w:val="22"/>
          <w:szCs w:val="22"/>
        </w:rPr>
        <w:t>;</w:t>
      </w:r>
      <w:r w:rsidR="000D7381" w:rsidRPr="00890C7C">
        <w:rPr>
          <w:rStyle w:val="FootnoteReference"/>
          <w:rFonts w:eastAsia="Malgun Gothic"/>
          <w:kern w:val="22"/>
          <w:sz w:val="22"/>
          <w:szCs w:val="22"/>
          <w:u w:val="none"/>
          <w:vertAlign w:val="superscript"/>
        </w:rPr>
        <w:footnoteReference w:id="16"/>
      </w:r>
    </w:p>
    <w:p w14:paraId="2D703EE4" w14:textId="4BE8A1D2" w:rsidR="00101D6A" w:rsidRPr="00D53BEB" w:rsidRDefault="00EC4F03" w:rsidP="00890C7C">
      <w:pPr>
        <w:pStyle w:val="Para1"/>
        <w:numPr>
          <w:ilvl w:val="1"/>
          <w:numId w:val="8"/>
        </w:numPr>
        <w:tabs>
          <w:tab w:val="clear" w:pos="1440"/>
        </w:tabs>
        <w:rPr>
          <w:rFonts w:eastAsia="Malgun Gothic"/>
          <w:kern w:val="22"/>
          <w:szCs w:val="22"/>
        </w:rPr>
      </w:pPr>
      <w:r w:rsidRPr="00D53BEB">
        <w:rPr>
          <w:rFonts w:eastAsia="Malgun Gothic"/>
          <w:kern w:val="22"/>
          <w:szCs w:val="22"/>
        </w:rPr>
        <w:t>A</w:t>
      </w:r>
      <w:r w:rsidR="00101D6A" w:rsidRPr="00D53BEB">
        <w:rPr>
          <w:rFonts w:eastAsia="Malgun Gothic"/>
          <w:kern w:val="22"/>
          <w:szCs w:val="22"/>
        </w:rPr>
        <w:t xml:space="preserve"> workshop on post-2020 indicators </w:t>
      </w:r>
      <w:r w:rsidR="000D7381" w:rsidRPr="00D53BEB">
        <w:rPr>
          <w:rFonts w:eastAsia="Malgun Gothic"/>
          <w:kern w:val="22"/>
          <w:szCs w:val="22"/>
        </w:rPr>
        <w:t>i</w:t>
      </w:r>
      <w:r w:rsidR="00101D6A" w:rsidRPr="00D53BEB">
        <w:rPr>
          <w:rFonts w:eastAsia="Malgun Gothic"/>
          <w:kern w:val="22"/>
          <w:szCs w:val="22"/>
        </w:rPr>
        <w:t xml:space="preserve">n </w:t>
      </w:r>
      <w:r w:rsidR="00706BBB" w:rsidRPr="00D53BEB">
        <w:rPr>
          <w:rFonts w:eastAsia="Malgun Gothic"/>
          <w:kern w:val="22"/>
          <w:szCs w:val="22"/>
        </w:rPr>
        <w:t xml:space="preserve">organized by the </w:t>
      </w:r>
      <w:r w:rsidR="00D84D6B" w:rsidRPr="00D53BEB">
        <w:rPr>
          <w:rFonts w:eastAsia="Malgun Gothic"/>
          <w:kern w:val="22"/>
          <w:szCs w:val="22"/>
        </w:rPr>
        <w:t>Organisation for Economic Co-operation and Development (</w:t>
      </w:r>
      <w:r w:rsidR="00706BBB" w:rsidRPr="00D53BEB">
        <w:rPr>
          <w:rFonts w:eastAsia="Malgun Gothic"/>
          <w:kern w:val="22"/>
          <w:szCs w:val="22"/>
        </w:rPr>
        <w:t>OECD</w:t>
      </w:r>
      <w:r w:rsidR="00D84D6B" w:rsidRPr="00D53BEB">
        <w:rPr>
          <w:rFonts w:eastAsia="Malgun Gothic"/>
          <w:kern w:val="22"/>
          <w:szCs w:val="22"/>
        </w:rPr>
        <w:t>)</w:t>
      </w:r>
      <w:r w:rsidR="00706BBB" w:rsidRPr="00D53BEB">
        <w:rPr>
          <w:rFonts w:eastAsia="Malgun Gothic"/>
          <w:kern w:val="22"/>
          <w:szCs w:val="22"/>
        </w:rPr>
        <w:t xml:space="preserve"> </w:t>
      </w:r>
      <w:r w:rsidR="00D84D6B" w:rsidRPr="00D53BEB">
        <w:rPr>
          <w:rFonts w:eastAsia="Malgun Gothic"/>
          <w:kern w:val="22"/>
          <w:szCs w:val="22"/>
        </w:rPr>
        <w:t xml:space="preserve">in </w:t>
      </w:r>
      <w:r w:rsidR="00101D6A" w:rsidRPr="00D53BEB">
        <w:rPr>
          <w:rFonts w:eastAsia="Malgun Gothic"/>
          <w:kern w:val="22"/>
          <w:szCs w:val="22"/>
        </w:rPr>
        <w:t xml:space="preserve">Paris </w:t>
      </w:r>
      <w:r w:rsidR="000D7381" w:rsidRPr="00D53BEB">
        <w:rPr>
          <w:rFonts w:eastAsia="Malgun Gothic"/>
          <w:kern w:val="22"/>
          <w:szCs w:val="22"/>
        </w:rPr>
        <w:t>(26 February 2019)</w:t>
      </w:r>
      <w:r w:rsidR="00D84D6B" w:rsidRPr="00D53BEB">
        <w:rPr>
          <w:rFonts w:eastAsia="Malgun Gothic"/>
          <w:kern w:val="22"/>
          <w:szCs w:val="22"/>
        </w:rPr>
        <w:t>;</w:t>
      </w:r>
      <w:r w:rsidRPr="00890C7C">
        <w:rPr>
          <w:rStyle w:val="FootnoteReference"/>
          <w:rFonts w:eastAsia="Malgun Gothic"/>
          <w:kern w:val="22"/>
          <w:sz w:val="22"/>
          <w:szCs w:val="22"/>
          <w:u w:val="none"/>
          <w:vertAlign w:val="superscript"/>
        </w:rPr>
        <w:footnoteReference w:id="17"/>
      </w:r>
    </w:p>
    <w:p w14:paraId="7994B4B1" w14:textId="6B0680E9" w:rsidR="006778E1" w:rsidRPr="00D53BEB" w:rsidRDefault="006778E1" w:rsidP="00890C7C">
      <w:pPr>
        <w:pStyle w:val="Para1"/>
        <w:numPr>
          <w:ilvl w:val="1"/>
          <w:numId w:val="8"/>
        </w:numPr>
        <w:tabs>
          <w:tab w:val="clear" w:pos="1440"/>
        </w:tabs>
        <w:rPr>
          <w:rFonts w:eastAsia="Malgun Gothic"/>
          <w:kern w:val="22"/>
          <w:szCs w:val="22"/>
        </w:rPr>
      </w:pPr>
      <w:r w:rsidRPr="00D53BEB">
        <w:rPr>
          <w:rFonts w:eastAsia="Malgun Gothic"/>
          <w:kern w:val="22"/>
          <w:szCs w:val="22"/>
        </w:rPr>
        <w:t>A workshop on the contributions of non-governmental organizations of Latin America and the Caribbean to the post-2020 global biodiversity framework organi</w:t>
      </w:r>
      <w:r w:rsidR="00864722" w:rsidRPr="00D53BEB">
        <w:rPr>
          <w:rFonts w:eastAsia="Malgun Gothic"/>
          <w:kern w:val="22"/>
          <w:szCs w:val="22"/>
        </w:rPr>
        <w:t>z</w:t>
      </w:r>
      <w:r w:rsidRPr="00D53BEB">
        <w:rPr>
          <w:rFonts w:eastAsia="Malgun Gothic"/>
          <w:kern w:val="22"/>
          <w:szCs w:val="22"/>
        </w:rPr>
        <w:t xml:space="preserve">ed </w:t>
      </w:r>
      <w:r w:rsidR="00706BBB" w:rsidRPr="00D53BEB">
        <w:rPr>
          <w:rFonts w:eastAsia="Malgun Gothic"/>
          <w:kern w:val="22"/>
          <w:szCs w:val="22"/>
        </w:rPr>
        <w:t xml:space="preserve">by the </w:t>
      </w:r>
      <w:r w:rsidRPr="00890C7C">
        <w:rPr>
          <w:rFonts w:eastAsia="Malgun Gothic"/>
          <w:kern w:val="22"/>
          <w:szCs w:val="22"/>
          <w:lang w:val="es-ES"/>
        </w:rPr>
        <w:t>Fundación Ambiente y Recursos Naturales</w:t>
      </w:r>
      <w:r w:rsidRPr="00D53BEB">
        <w:rPr>
          <w:rFonts w:eastAsia="Malgun Gothic"/>
          <w:kern w:val="22"/>
          <w:szCs w:val="22"/>
        </w:rPr>
        <w:t xml:space="preserve"> and the CBD Alliance in Buenos Aires </w:t>
      </w:r>
      <w:r w:rsidR="00706BBB" w:rsidRPr="00D53BEB">
        <w:rPr>
          <w:rFonts w:eastAsia="Malgun Gothic"/>
          <w:kern w:val="22"/>
          <w:szCs w:val="22"/>
        </w:rPr>
        <w:t>(23-24 April 2019)</w:t>
      </w:r>
      <w:r w:rsidR="00D84D6B" w:rsidRPr="00D53BEB">
        <w:rPr>
          <w:rFonts w:eastAsia="Malgun Gothic"/>
          <w:kern w:val="22"/>
          <w:szCs w:val="22"/>
        </w:rPr>
        <w:t>;</w:t>
      </w:r>
      <w:r w:rsidRPr="00890C7C">
        <w:rPr>
          <w:rStyle w:val="FootnoteReference"/>
          <w:rFonts w:eastAsia="Malgun Gothic"/>
          <w:kern w:val="22"/>
          <w:sz w:val="22"/>
          <w:szCs w:val="22"/>
          <w:u w:val="none"/>
          <w:vertAlign w:val="superscript"/>
        </w:rPr>
        <w:footnoteReference w:id="18"/>
      </w:r>
    </w:p>
    <w:p w14:paraId="5938A3F4" w14:textId="2B795F95" w:rsidR="006778E1" w:rsidRPr="00D53BEB" w:rsidRDefault="006778E1" w:rsidP="00890C7C">
      <w:pPr>
        <w:pStyle w:val="Para1"/>
        <w:numPr>
          <w:ilvl w:val="1"/>
          <w:numId w:val="8"/>
        </w:numPr>
        <w:tabs>
          <w:tab w:val="clear" w:pos="1440"/>
        </w:tabs>
        <w:rPr>
          <w:rFonts w:eastAsia="Malgun Gothic"/>
          <w:kern w:val="22"/>
          <w:szCs w:val="22"/>
        </w:rPr>
      </w:pPr>
      <w:r w:rsidRPr="00890C7C">
        <w:rPr>
          <w:color w:val="212121"/>
          <w:kern w:val="22"/>
          <w:szCs w:val="22"/>
        </w:rPr>
        <w:t>An expert consultative workshop on sustainable wildlife management (26-27 June 2019) organi</w:t>
      </w:r>
      <w:r w:rsidR="00D84D6B" w:rsidRPr="006C6ABF">
        <w:rPr>
          <w:color w:val="212121"/>
          <w:kern w:val="22"/>
          <w:szCs w:val="22"/>
        </w:rPr>
        <w:t>z</w:t>
      </w:r>
      <w:r w:rsidRPr="00890C7C">
        <w:rPr>
          <w:color w:val="212121"/>
          <w:kern w:val="22"/>
          <w:szCs w:val="22"/>
        </w:rPr>
        <w:t>ed by TRAFFIC</w:t>
      </w:r>
      <w:r w:rsidR="006D3295" w:rsidRPr="00D53BEB">
        <w:rPr>
          <w:color w:val="212121"/>
          <w:kern w:val="22"/>
          <w:szCs w:val="22"/>
        </w:rPr>
        <w:t>, the wildlife</w:t>
      </w:r>
      <w:r w:rsidR="00751D85" w:rsidRPr="00D53BEB">
        <w:rPr>
          <w:color w:val="212121"/>
          <w:kern w:val="22"/>
          <w:szCs w:val="22"/>
        </w:rPr>
        <w:t xml:space="preserve"> trade monitoring network,</w:t>
      </w:r>
      <w:r w:rsidRPr="00890C7C">
        <w:rPr>
          <w:color w:val="212121"/>
          <w:kern w:val="22"/>
          <w:szCs w:val="22"/>
        </w:rPr>
        <w:t xml:space="preserve"> on behalf of the Collaborative Partnership on Sustainable Wildlife Management, in Cambridge, United Kingdom</w:t>
      </w:r>
      <w:r w:rsidR="00D84D6B" w:rsidRPr="006C6ABF">
        <w:rPr>
          <w:color w:val="212121"/>
          <w:kern w:val="22"/>
          <w:szCs w:val="22"/>
        </w:rPr>
        <w:t>;</w:t>
      </w:r>
    </w:p>
    <w:p w14:paraId="050DBD5F" w14:textId="5991ECD1" w:rsidR="004646D1" w:rsidRPr="00D53BEB" w:rsidRDefault="00EC4F03" w:rsidP="00890C7C">
      <w:pPr>
        <w:pStyle w:val="Para1"/>
        <w:numPr>
          <w:ilvl w:val="1"/>
          <w:numId w:val="8"/>
        </w:numPr>
        <w:tabs>
          <w:tab w:val="clear" w:pos="1440"/>
        </w:tabs>
        <w:rPr>
          <w:rFonts w:eastAsia="Malgun Gothic"/>
          <w:kern w:val="22"/>
          <w:szCs w:val="22"/>
        </w:rPr>
      </w:pPr>
      <w:r w:rsidRPr="00D53BEB">
        <w:rPr>
          <w:rFonts w:eastAsia="Malgun Gothic"/>
          <w:kern w:val="22"/>
          <w:szCs w:val="22"/>
        </w:rPr>
        <w:t>A</w:t>
      </w:r>
      <w:r w:rsidR="000C37AF" w:rsidRPr="00D53BEB">
        <w:rPr>
          <w:rFonts w:eastAsia="Malgun Gothic"/>
          <w:kern w:val="22"/>
          <w:szCs w:val="22"/>
        </w:rPr>
        <w:t xml:space="preserve"> series of </w:t>
      </w:r>
      <w:r w:rsidR="00751D85" w:rsidRPr="00D53BEB">
        <w:rPr>
          <w:rFonts w:eastAsia="Malgun Gothic"/>
          <w:bCs/>
          <w:kern w:val="22"/>
          <w:szCs w:val="22"/>
        </w:rPr>
        <w:t>r</w:t>
      </w:r>
      <w:r w:rsidR="000C37AF" w:rsidRPr="00D53BEB">
        <w:rPr>
          <w:rFonts w:eastAsia="Malgun Gothic"/>
          <w:bCs/>
          <w:kern w:val="22"/>
          <w:szCs w:val="22"/>
        </w:rPr>
        <w:t>egional</w:t>
      </w:r>
      <w:r w:rsidR="00527193" w:rsidRPr="00D53BEB">
        <w:rPr>
          <w:rFonts w:eastAsia="Malgun Gothic"/>
          <w:bCs/>
          <w:kern w:val="22"/>
          <w:szCs w:val="22"/>
        </w:rPr>
        <w:t xml:space="preserve"> </w:t>
      </w:r>
      <w:r w:rsidR="00751D85" w:rsidRPr="00D53BEB">
        <w:rPr>
          <w:rFonts w:eastAsia="Malgun Gothic"/>
          <w:kern w:val="22"/>
          <w:szCs w:val="22"/>
        </w:rPr>
        <w:t>m</w:t>
      </w:r>
      <w:r w:rsidR="000C37AF" w:rsidRPr="00D53BEB">
        <w:rPr>
          <w:rFonts w:eastAsia="Malgun Gothic"/>
          <w:kern w:val="22"/>
          <w:szCs w:val="22"/>
        </w:rPr>
        <w:t>ulti-</w:t>
      </w:r>
      <w:r w:rsidR="00751D85" w:rsidRPr="00D53BEB">
        <w:rPr>
          <w:rFonts w:eastAsia="Malgun Gothic"/>
          <w:kern w:val="22"/>
          <w:szCs w:val="22"/>
        </w:rPr>
        <w:t>s</w:t>
      </w:r>
      <w:r w:rsidR="000C37AF" w:rsidRPr="00D53BEB">
        <w:rPr>
          <w:rFonts w:eastAsia="Malgun Gothic"/>
          <w:kern w:val="22"/>
          <w:szCs w:val="22"/>
        </w:rPr>
        <w:t xml:space="preserve">takeholder </w:t>
      </w:r>
      <w:r w:rsidR="00751D85" w:rsidRPr="00D53BEB">
        <w:rPr>
          <w:rFonts w:eastAsia="Malgun Gothic"/>
          <w:kern w:val="22"/>
          <w:szCs w:val="22"/>
        </w:rPr>
        <w:t>d</w:t>
      </w:r>
      <w:r w:rsidR="000C37AF" w:rsidRPr="00D53BEB">
        <w:rPr>
          <w:rFonts w:eastAsia="Malgun Gothic"/>
          <w:kern w:val="22"/>
          <w:szCs w:val="22"/>
        </w:rPr>
        <w:t xml:space="preserve">ialogues on </w:t>
      </w:r>
      <w:r w:rsidR="00751D85" w:rsidRPr="00D53BEB">
        <w:rPr>
          <w:rFonts w:eastAsia="Malgun Gothic"/>
          <w:kern w:val="22"/>
          <w:szCs w:val="22"/>
        </w:rPr>
        <w:t>m</w:t>
      </w:r>
      <w:r w:rsidR="000C37AF" w:rsidRPr="00D53BEB">
        <w:rPr>
          <w:rFonts w:eastAsia="Malgun Gothic"/>
          <w:kern w:val="22"/>
          <w:szCs w:val="22"/>
        </w:rPr>
        <w:t xml:space="preserve">ainstreaming </w:t>
      </w:r>
      <w:r w:rsidR="00751D85" w:rsidRPr="00D53BEB">
        <w:rPr>
          <w:rFonts w:eastAsia="Malgun Gothic"/>
          <w:kern w:val="22"/>
          <w:szCs w:val="22"/>
        </w:rPr>
        <w:t>b</w:t>
      </w:r>
      <w:r w:rsidR="000C37AF" w:rsidRPr="00D53BEB">
        <w:rPr>
          <w:rFonts w:eastAsia="Malgun Gothic"/>
          <w:kern w:val="22"/>
          <w:szCs w:val="22"/>
        </w:rPr>
        <w:t xml:space="preserve">iodiversity across the </w:t>
      </w:r>
      <w:r w:rsidR="00751D85" w:rsidRPr="00D53BEB">
        <w:rPr>
          <w:rFonts w:eastAsia="Malgun Gothic"/>
          <w:kern w:val="22"/>
          <w:szCs w:val="22"/>
        </w:rPr>
        <w:t>a</w:t>
      </w:r>
      <w:r w:rsidR="000C37AF" w:rsidRPr="00D53BEB">
        <w:rPr>
          <w:rFonts w:eastAsia="Malgun Gothic"/>
          <w:kern w:val="22"/>
          <w:szCs w:val="22"/>
        </w:rPr>
        <w:t xml:space="preserve">gricultural </w:t>
      </w:r>
      <w:r w:rsidR="00751D85" w:rsidRPr="00D53BEB">
        <w:rPr>
          <w:rFonts w:eastAsia="Malgun Gothic"/>
          <w:kern w:val="22"/>
          <w:szCs w:val="22"/>
        </w:rPr>
        <w:t>s</w:t>
      </w:r>
      <w:r w:rsidR="000C37AF" w:rsidRPr="00D53BEB">
        <w:rPr>
          <w:rFonts w:eastAsia="Malgun Gothic"/>
          <w:kern w:val="22"/>
          <w:szCs w:val="22"/>
        </w:rPr>
        <w:t>ectors</w:t>
      </w:r>
      <w:r w:rsidRPr="00D53BEB">
        <w:rPr>
          <w:rFonts w:eastAsia="Malgun Gothic"/>
          <w:kern w:val="22"/>
          <w:szCs w:val="22"/>
        </w:rPr>
        <w:t xml:space="preserve"> organized by </w:t>
      </w:r>
      <w:r w:rsidR="00D84D6B" w:rsidRPr="00D53BEB">
        <w:rPr>
          <w:rFonts w:eastAsia="Malgun Gothic"/>
          <w:kern w:val="22"/>
          <w:szCs w:val="22"/>
        </w:rPr>
        <w:t>the Food and Agriculture Organization of the United Nations (</w:t>
      </w:r>
      <w:r w:rsidRPr="00D53BEB">
        <w:rPr>
          <w:rFonts w:eastAsia="Malgun Gothic"/>
          <w:kern w:val="22"/>
          <w:szCs w:val="22"/>
        </w:rPr>
        <w:t>FAO</w:t>
      </w:r>
      <w:r w:rsidR="00D84D6B" w:rsidRPr="00D53BEB">
        <w:rPr>
          <w:rFonts w:eastAsia="Malgun Gothic"/>
          <w:kern w:val="22"/>
          <w:szCs w:val="22"/>
        </w:rPr>
        <w:t>)</w:t>
      </w:r>
      <w:r w:rsidR="0046046E" w:rsidRPr="00D53BEB">
        <w:rPr>
          <w:rFonts w:eastAsia="Malgun Gothic"/>
          <w:kern w:val="22"/>
          <w:szCs w:val="22"/>
        </w:rPr>
        <w:t xml:space="preserve">. Dialogues are </w:t>
      </w:r>
      <w:r w:rsidR="0045239D" w:rsidRPr="00D53BEB">
        <w:rPr>
          <w:rFonts w:eastAsia="Malgun Gothic"/>
          <w:kern w:val="22"/>
          <w:szCs w:val="22"/>
        </w:rPr>
        <w:t>planned</w:t>
      </w:r>
      <w:r w:rsidR="0046046E" w:rsidRPr="00D53BEB">
        <w:rPr>
          <w:rFonts w:eastAsia="Malgun Gothic"/>
          <w:kern w:val="22"/>
          <w:szCs w:val="22"/>
        </w:rPr>
        <w:t xml:space="preserve"> for </w:t>
      </w:r>
      <w:r w:rsidR="000C37AF" w:rsidRPr="00D53BEB">
        <w:rPr>
          <w:rFonts w:eastAsia="Malgun Gothic"/>
          <w:kern w:val="22"/>
          <w:szCs w:val="22"/>
        </w:rPr>
        <w:t>the Asia</w:t>
      </w:r>
      <w:r w:rsidR="00751D85" w:rsidRPr="00D53BEB">
        <w:rPr>
          <w:rFonts w:eastAsia="Malgun Gothic"/>
          <w:kern w:val="22"/>
          <w:szCs w:val="22"/>
        </w:rPr>
        <w:t>-</w:t>
      </w:r>
      <w:r w:rsidR="000C37AF" w:rsidRPr="00D53BEB">
        <w:rPr>
          <w:rFonts w:eastAsia="Malgun Gothic"/>
          <w:kern w:val="22"/>
          <w:szCs w:val="22"/>
        </w:rPr>
        <w:t>Pacific region (</w:t>
      </w:r>
      <w:r w:rsidR="00D84D6B" w:rsidRPr="00D53BEB">
        <w:rPr>
          <w:rFonts w:eastAsia="Malgun Gothic"/>
          <w:kern w:val="22"/>
          <w:szCs w:val="22"/>
        </w:rPr>
        <w:t xml:space="preserve">Bangkok, </w:t>
      </w:r>
      <w:r w:rsidR="000C37AF" w:rsidRPr="00D53BEB">
        <w:rPr>
          <w:rFonts w:eastAsia="Malgun Gothic"/>
          <w:kern w:val="22"/>
          <w:szCs w:val="22"/>
        </w:rPr>
        <w:t xml:space="preserve">June 2019), Europe </w:t>
      </w:r>
      <w:r w:rsidR="0046046E" w:rsidRPr="00D53BEB">
        <w:rPr>
          <w:rFonts w:eastAsia="Malgun Gothic"/>
          <w:kern w:val="22"/>
          <w:szCs w:val="22"/>
        </w:rPr>
        <w:t xml:space="preserve">and </w:t>
      </w:r>
      <w:r w:rsidR="000C37AF" w:rsidRPr="00D53BEB">
        <w:rPr>
          <w:rFonts w:eastAsia="Malgun Gothic"/>
          <w:kern w:val="22"/>
          <w:szCs w:val="22"/>
        </w:rPr>
        <w:t xml:space="preserve">Central Asia (tentatively </w:t>
      </w:r>
      <w:r w:rsidR="0046046E" w:rsidRPr="00D53BEB">
        <w:rPr>
          <w:rFonts w:eastAsia="Malgun Gothic"/>
          <w:kern w:val="22"/>
          <w:szCs w:val="22"/>
        </w:rPr>
        <w:t xml:space="preserve">in </w:t>
      </w:r>
      <w:r w:rsidR="00D84D6B" w:rsidRPr="00D53BEB">
        <w:rPr>
          <w:rFonts w:eastAsia="Malgun Gothic"/>
          <w:kern w:val="22"/>
          <w:szCs w:val="22"/>
        </w:rPr>
        <w:t xml:space="preserve">Hungary, </w:t>
      </w:r>
      <w:r w:rsidR="000C37AF" w:rsidRPr="00D53BEB">
        <w:rPr>
          <w:rFonts w:eastAsia="Malgun Gothic"/>
          <w:kern w:val="22"/>
          <w:szCs w:val="22"/>
        </w:rPr>
        <w:t xml:space="preserve">September 2019) and Africa (tentatively </w:t>
      </w:r>
      <w:r w:rsidR="00D84D6B" w:rsidRPr="00D53BEB">
        <w:rPr>
          <w:rFonts w:eastAsia="Malgun Gothic"/>
          <w:kern w:val="22"/>
          <w:szCs w:val="22"/>
        </w:rPr>
        <w:t xml:space="preserve">in Rwanda, </w:t>
      </w:r>
      <w:r w:rsidR="000C37AF" w:rsidRPr="00D53BEB">
        <w:rPr>
          <w:rFonts w:eastAsia="Malgun Gothic"/>
          <w:kern w:val="22"/>
          <w:szCs w:val="22"/>
        </w:rPr>
        <w:t>October 2019).</w:t>
      </w:r>
      <w:r w:rsidR="0046046E" w:rsidRPr="00D53BEB">
        <w:rPr>
          <w:rFonts w:eastAsia="Malgun Gothic"/>
          <w:kern w:val="22"/>
          <w:szCs w:val="22"/>
        </w:rPr>
        <w:t xml:space="preserve"> </w:t>
      </w:r>
      <w:r w:rsidR="0045239D" w:rsidRPr="00D53BEB">
        <w:rPr>
          <w:rFonts w:eastAsia="Malgun Gothic"/>
          <w:kern w:val="22"/>
          <w:szCs w:val="22"/>
        </w:rPr>
        <w:t xml:space="preserve">A dialogue was already held for the </w:t>
      </w:r>
      <w:r w:rsidR="0046046E" w:rsidRPr="00D53BEB">
        <w:rPr>
          <w:rFonts w:eastAsia="Malgun Gothic"/>
          <w:kern w:val="22"/>
          <w:szCs w:val="22"/>
        </w:rPr>
        <w:t>Latin America</w:t>
      </w:r>
      <w:r w:rsidR="00751D85" w:rsidRPr="00D53BEB">
        <w:rPr>
          <w:rFonts w:eastAsia="Malgun Gothic"/>
          <w:kern w:val="22"/>
          <w:szCs w:val="22"/>
        </w:rPr>
        <w:t>n</w:t>
      </w:r>
      <w:r w:rsidR="0046046E" w:rsidRPr="00D53BEB">
        <w:rPr>
          <w:rFonts w:eastAsia="Malgun Gothic"/>
          <w:kern w:val="22"/>
          <w:szCs w:val="22"/>
        </w:rPr>
        <w:t xml:space="preserve"> and Caribbean </w:t>
      </w:r>
      <w:r w:rsidR="0045239D" w:rsidRPr="00D53BEB">
        <w:rPr>
          <w:rFonts w:eastAsia="Malgun Gothic"/>
          <w:kern w:val="22"/>
          <w:szCs w:val="22"/>
        </w:rPr>
        <w:t xml:space="preserve">region </w:t>
      </w:r>
      <w:r w:rsidR="0046046E" w:rsidRPr="00D53BEB">
        <w:rPr>
          <w:rFonts w:eastAsia="Malgun Gothic"/>
          <w:kern w:val="22"/>
          <w:szCs w:val="22"/>
        </w:rPr>
        <w:t>(October 2018)</w:t>
      </w:r>
      <w:r w:rsidR="00D82332" w:rsidRPr="00D53BEB">
        <w:rPr>
          <w:rFonts w:eastAsia="Malgun Gothic"/>
          <w:kern w:val="22"/>
          <w:szCs w:val="22"/>
        </w:rPr>
        <w:t>.</w:t>
      </w:r>
    </w:p>
    <w:p w14:paraId="7BC579BF" w14:textId="67C3DF78" w:rsidR="00BB051D" w:rsidRPr="006C6ABF" w:rsidRDefault="00BB051D" w:rsidP="00890C7C">
      <w:pPr>
        <w:pStyle w:val="ListParagraph"/>
        <w:keepNext/>
        <w:numPr>
          <w:ilvl w:val="0"/>
          <w:numId w:val="5"/>
        </w:numPr>
        <w:tabs>
          <w:tab w:val="left" w:pos="426"/>
        </w:tabs>
        <w:spacing w:before="120" w:after="120"/>
        <w:ind w:left="0" w:firstLine="0"/>
        <w:contextualSpacing w:val="0"/>
        <w:jc w:val="center"/>
        <w:outlineLvl w:val="0"/>
        <w:rPr>
          <w:b/>
          <w:iCs/>
          <w:snapToGrid w:val="0"/>
          <w:kern w:val="22"/>
          <w:szCs w:val="22"/>
        </w:rPr>
      </w:pPr>
      <w:r w:rsidRPr="006C6ABF">
        <w:rPr>
          <w:b/>
          <w:iCs/>
          <w:snapToGrid w:val="0"/>
          <w:kern w:val="22"/>
          <w:szCs w:val="22"/>
        </w:rPr>
        <w:t>PARTICIPATION IN THE PREPARATORY PROCESS</w:t>
      </w:r>
    </w:p>
    <w:p w14:paraId="61DC98C9" w14:textId="2B36AE0C" w:rsidR="00F6280C" w:rsidRPr="00890C7C" w:rsidRDefault="00F6280C" w:rsidP="00AA4A91">
      <w:pPr>
        <w:pStyle w:val="Para1"/>
        <w:tabs>
          <w:tab w:val="clear" w:pos="630"/>
        </w:tabs>
        <w:ind w:left="0"/>
        <w:rPr>
          <w:kern w:val="22"/>
          <w:szCs w:val="22"/>
        </w:rPr>
      </w:pPr>
      <w:r w:rsidRPr="00890C7C">
        <w:rPr>
          <w:kern w:val="22"/>
          <w:szCs w:val="22"/>
        </w:rPr>
        <w:t xml:space="preserve">The </w:t>
      </w:r>
      <w:r w:rsidR="00D84D6B" w:rsidRPr="00D53BEB">
        <w:rPr>
          <w:kern w:val="22"/>
          <w:szCs w:val="22"/>
        </w:rPr>
        <w:t>Conference of the Parties</w:t>
      </w:r>
      <w:r w:rsidR="00D84D6B" w:rsidRPr="00890C7C">
        <w:rPr>
          <w:kern w:val="22"/>
          <w:szCs w:val="22"/>
        </w:rPr>
        <w:t xml:space="preserve"> </w:t>
      </w:r>
      <w:r w:rsidRPr="00890C7C">
        <w:rPr>
          <w:kern w:val="22"/>
          <w:szCs w:val="22"/>
        </w:rPr>
        <w:t>has recognized that the effectiveness of the process for developing the post-2020 global biodiversity framework depends on the active participation of all Parties to the Convention and the Protocols, including by promoting meaningful national consultations. Among other things, Parties are encouraged to promote the active engagement of observers and stakeholders.</w:t>
      </w:r>
    </w:p>
    <w:p w14:paraId="624D386D" w14:textId="53781A76" w:rsidR="00463051" w:rsidRPr="00890C7C" w:rsidRDefault="004276DD" w:rsidP="00AA4A91">
      <w:pPr>
        <w:pStyle w:val="Para1"/>
        <w:tabs>
          <w:tab w:val="clear" w:pos="630"/>
        </w:tabs>
        <w:ind w:left="0"/>
        <w:rPr>
          <w:kern w:val="22"/>
          <w:szCs w:val="22"/>
        </w:rPr>
      </w:pPr>
      <w:r w:rsidRPr="00D53BEB">
        <w:rPr>
          <w:kern w:val="22"/>
          <w:szCs w:val="22"/>
        </w:rPr>
        <w:lastRenderedPageBreak/>
        <w:t>A total of 146</w:t>
      </w:r>
      <w:r w:rsidR="00DE3FCC" w:rsidRPr="00890C7C">
        <w:rPr>
          <w:kern w:val="22"/>
          <w:szCs w:val="22"/>
        </w:rPr>
        <w:t xml:space="preserve"> </w:t>
      </w:r>
      <w:r w:rsidR="00F6280C" w:rsidRPr="00890C7C">
        <w:rPr>
          <w:kern w:val="22"/>
          <w:szCs w:val="22"/>
        </w:rPr>
        <w:t xml:space="preserve">Parties have participated in </w:t>
      </w:r>
      <w:r w:rsidR="006778E1" w:rsidRPr="00890C7C">
        <w:rPr>
          <w:kern w:val="22"/>
          <w:szCs w:val="22"/>
        </w:rPr>
        <w:t xml:space="preserve">at least one </w:t>
      </w:r>
      <w:r w:rsidR="00F6280C" w:rsidRPr="00890C7C">
        <w:rPr>
          <w:kern w:val="22"/>
          <w:szCs w:val="22"/>
        </w:rPr>
        <w:t>regional consultation workshop</w:t>
      </w:r>
      <w:r w:rsidR="00C17D9F" w:rsidRPr="00890C7C">
        <w:rPr>
          <w:kern w:val="22"/>
          <w:szCs w:val="22"/>
        </w:rPr>
        <w:t>.</w:t>
      </w:r>
      <w:r w:rsidR="00F6280C" w:rsidRPr="00890C7C">
        <w:rPr>
          <w:kern w:val="22"/>
          <w:szCs w:val="22"/>
        </w:rPr>
        <w:t xml:space="preserve"> </w:t>
      </w:r>
      <w:r w:rsidR="00A72329" w:rsidRPr="00890C7C">
        <w:rPr>
          <w:kern w:val="22"/>
          <w:szCs w:val="22"/>
        </w:rPr>
        <w:t>Of these Parties</w:t>
      </w:r>
      <w:r w:rsidR="00CD1A6A" w:rsidRPr="00890C7C">
        <w:rPr>
          <w:kern w:val="22"/>
          <w:szCs w:val="22"/>
        </w:rPr>
        <w:t>, 136 were also Parties to the Cartagena Protocol and 95 were Parties to the Nagoya Protocol.</w:t>
      </w:r>
      <w:r w:rsidR="00062C7B" w:rsidRPr="00890C7C">
        <w:rPr>
          <w:kern w:val="22"/>
          <w:szCs w:val="22"/>
        </w:rPr>
        <w:t xml:space="preserve"> </w:t>
      </w:r>
      <w:r w:rsidR="00D84D6B" w:rsidRPr="00D53BEB">
        <w:rPr>
          <w:kern w:val="22"/>
          <w:szCs w:val="22"/>
        </w:rPr>
        <w:t>A total of 115</w:t>
      </w:r>
      <w:r w:rsidR="006778E1" w:rsidRPr="00890C7C">
        <w:rPr>
          <w:kern w:val="22"/>
          <w:szCs w:val="22"/>
        </w:rPr>
        <w:t xml:space="preserve"> </w:t>
      </w:r>
      <w:r w:rsidR="00997E1C" w:rsidRPr="00890C7C">
        <w:rPr>
          <w:kern w:val="22"/>
          <w:szCs w:val="22"/>
        </w:rPr>
        <w:t>organi</w:t>
      </w:r>
      <w:r w:rsidR="00D84D6B" w:rsidRPr="00D53BEB">
        <w:rPr>
          <w:kern w:val="22"/>
          <w:szCs w:val="22"/>
        </w:rPr>
        <w:t>z</w:t>
      </w:r>
      <w:r w:rsidR="00997E1C" w:rsidRPr="00890C7C">
        <w:rPr>
          <w:kern w:val="22"/>
          <w:szCs w:val="22"/>
        </w:rPr>
        <w:t>ations</w:t>
      </w:r>
      <w:r w:rsidR="00E55058" w:rsidRPr="00890C7C">
        <w:rPr>
          <w:kern w:val="22"/>
          <w:szCs w:val="22"/>
        </w:rPr>
        <w:t xml:space="preserve"> have participated in </w:t>
      </w:r>
      <w:r w:rsidR="006778E1" w:rsidRPr="00890C7C">
        <w:rPr>
          <w:kern w:val="22"/>
          <w:szCs w:val="22"/>
        </w:rPr>
        <w:t xml:space="preserve">at least one </w:t>
      </w:r>
      <w:r w:rsidR="00E55058" w:rsidRPr="00890C7C">
        <w:rPr>
          <w:kern w:val="22"/>
          <w:szCs w:val="22"/>
        </w:rPr>
        <w:t>regional consultation. This includes 12 indigenous peoples and local community organi</w:t>
      </w:r>
      <w:r w:rsidR="00D84D6B" w:rsidRPr="00D53BEB">
        <w:rPr>
          <w:kern w:val="22"/>
          <w:szCs w:val="22"/>
        </w:rPr>
        <w:t>z</w:t>
      </w:r>
      <w:r w:rsidR="00E55058" w:rsidRPr="00890C7C">
        <w:rPr>
          <w:kern w:val="22"/>
          <w:szCs w:val="22"/>
        </w:rPr>
        <w:t xml:space="preserve">ations, </w:t>
      </w:r>
      <w:r w:rsidR="009E4DED" w:rsidRPr="00890C7C">
        <w:rPr>
          <w:kern w:val="22"/>
          <w:szCs w:val="22"/>
        </w:rPr>
        <w:t>1</w:t>
      </w:r>
      <w:r w:rsidR="00E55058" w:rsidRPr="00890C7C">
        <w:rPr>
          <w:kern w:val="22"/>
          <w:szCs w:val="22"/>
        </w:rPr>
        <w:t xml:space="preserve"> youth </w:t>
      </w:r>
      <w:r w:rsidR="009E4DED" w:rsidRPr="00890C7C">
        <w:rPr>
          <w:kern w:val="22"/>
          <w:szCs w:val="22"/>
        </w:rPr>
        <w:t>organi</w:t>
      </w:r>
      <w:r w:rsidR="00D84D6B" w:rsidRPr="00D53BEB">
        <w:rPr>
          <w:kern w:val="22"/>
          <w:szCs w:val="22"/>
        </w:rPr>
        <w:t>z</w:t>
      </w:r>
      <w:r w:rsidR="009E4DED" w:rsidRPr="00890C7C">
        <w:rPr>
          <w:kern w:val="22"/>
          <w:szCs w:val="22"/>
        </w:rPr>
        <w:t>ation</w:t>
      </w:r>
      <w:r w:rsidR="00E55058" w:rsidRPr="00890C7C">
        <w:rPr>
          <w:kern w:val="22"/>
          <w:szCs w:val="22"/>
        </w:rPr>
        <w:t xml:space="preserve">, </w:t>
      </w:r>
      <w:r w:rsidR="009E4DED" w:rsidRPr="00890C7C">
        <w:rPr>
          <w:kern w:val="22"/>
          <w:szCs w:val="22"/>
        </w:rPr>
        <w:t>6</w:t>
      </w:r>
      <w:r w:rsidR="00E55058" w:rsidRPr="00890C7C">
        <w:rPr>
          <w:kern w:val="22"/>
          <w:szCs w:val="22"/>
        </w:rPr>
        <w:t xml:space="preserve"> gender </w:t>
      </w:r>
      <w:r w:rsidR="00B8280C" w:rsidRPr="00890C7C">
        <w:rPr>
          <w:kern w:val="22"/>
          <w:szCs w:val="22"/>
        </w:rPr>
        <w:t>organi</w:t>
      </w:r>
      <w:r w:rsidR="00D84D6B" w:rsidRPr="00D53BEB">
        <w:rPr>
          <w:kern w:val="22"/>
          <w:szCs w:val="22"/>
        </w:rPr>
        <w:t>z</w:t>
      </w:r>
      <w:r w:rsidR="00B8280C" w:rsidRPr="00890C7C">
        <w:rPr>
          <w:kern w:val="22"/>
          <w:szCs w:val="22"/>
        </w:rPr>
        <w:t>ations</w:t>
      </w:r>
      <w:r w:rsidR="00E55058" w:rsidRPr="00890C7C">
        <w:rPr>
          <w:kern w:val="22"/>
          <w:szCs w:val="22"/>
        </w:rPr>
        <w:t>, 5</w:t>
      </w:r>
      <w:r w:rsidR="004C45FF" w:rsidRPr="00D53BEB">
        <w:rPr>
          <w:kern w:val="22"/>
          <w:szCs w:val="22"/>
        </w:rPr>
        <w:t> </w:t>
      </w:r>
      <w:r w:rsidR="00E55058" w:rsidRPr="00890C7C">
        <w:rPr>
          <w:kern w:val="22"/>
          <w:szCs w:val="22"/>
        </w:rPr>
        <w:t xml:space="preserve">business </w:t>
      </w:r>
      <w:r w:rsidR="00B8280C" w:rsidRPr="00890C7C">
        <w:rPr>
          <w:kern w:val="22"/>
          <w:szCs w:val="22"/>
        </w:rPr>
        <w:t>organi</w:t>
      </w:r>
      <w:r w:rsidR="00BE0C74" w:rsidRPr="00D53BEB">
        <w:rPr>
          <w:kern w:val="22"/>
          <w:szCs w:val="22"/>
        </w:rPr>
        <w:t>z</w:t>
      </w:r>
      <w:r w:rsidR="00B8280C" w:rsidRPr="00890C7C">
        <w:rPr>
          <w:kern w:val="22"/>
          <w:szCs w:val="22"/>
        </w:rPr>
        <w:t>ations</w:t>
      </w:r>
      <w:r w:rsidR="00E55058" w:rsidRPr="00890C7C">
        <w:rPr>
          <w:kern w:val="22"/>
          <w:szCs w:val="22"/>
        </w:rPr>
        <w:t xml:space="preserve">, and </w:t>
      </w:r>
      <w:r w:rsidR="00B8280C" w:rsidRPr="00890C7C">
        <w:rPr>
          <w:kern w:val="22"/>
          <w:szCs w:val="22"/>
        </w:rPr>
        <w:t>20</w:t>
      </w:r>
      <w:r w:rsidR="00E55058" w:rsidRPr="00890C7C">
        <w:rPr>
          <w:kern w:val="22"/>
          <w:szCs w:val="22"/>
        </w:rPr>
        <w:t xml:space="preserve"> United Nations organi</w:t>
      </w:r>
      <w:r w:rsidR="00BE0C74" w:rsidRPr="00D53BEB">
        <w:rPr>
          <w:kern w:val="22"/>
          <w:szCs w:val="22"/>
        </w:rPr>
        <w:t>z</w:t>
      </w:r>
      <w:r w:rsidR="00E55058" w:rsidRPr="00890C7C">
        <w:rPr>
          <w:kern w:val="22"/>
          <w:szCs w:val="22"/>
        </w:rPr>
        <w:t>ations or specialized agencies.</w:t>
      </w:r>
    </w:p>
    <w:p w14:paraId="12BD69F5" w14:textId="7F696EAB" w:rsidR="00463051" w:rsidRPr="007F370D" w:rsidRDefault="006778E1" w:rsidP="00AA4A91">
      <w:pPr>
        <w:pStyle w:val="Para1"/>
        <w:tabs>
          <w:tab w:val="clear" w:pos="630"/>
        </w:tabs>
        <w:ind w:left="0"/>
        <w:rPr>
          <w:rFonts w:eastAsia="Malgun Gothic"/>
          <w:kern w:val="22"/>
          <w:szCs w:val="22"/>
        </w:rPr>
      </w:pPr>
      <w:proofErr w:type="gramStart"/>
      <w:r w:rsidRPr="007F370D">
        <w:rPr>
          <w:rFonts w:eastAsia="Malgun Gothic"/>
          <w:kern w:val="22"/>
          <w:szCs w:val="22"/>
        </w:rPr>
        <w:t>With regard to</w:t>
      </w:r>
      <w:proofErr w:type="gramEnd"/>
      <w:r w:rsidRPr="007F370D">
        <w:rPr>
          <w:rFonts w:eastAsia="Malgun Gothic"/>
          <w:kern w:val="22"/>
          <w:szCs w:val="22"/>
        </w:rPr>
        <w:t xml:space="preserve"> the thematic consultations, </w:t>
      </w:r>
      <w:r w:rsidR="0045239D" w:rsidRPr="007F370D">
        <w:rPr>
          <w:rFonts w:eastAsia="Malgun Gothic"/>
          <w:kern w:val="22"/>
          <w:szCs w:val="22"/>
        </w:rPr>
        <w:t>59</w:t>
      </w:r>
      <w:r w:rsidR="009B6508" w:rsidRPr="007F370D">
        <w:rPr>
          <w:rFonts w:eastAsia="Malgun Gothic"/>
          <w:kern w:val="22"/>
          <w:szCs w:val="22"/>
        </w:rPr>
        <w:t xml:space="preserve"> representatives of</w:t>
      </w:r>
      <w:r w:rsidR="0045239D" w:rsidRPr="007F370D">
        <w:rPr>
          <w:rFonts w:eastAsia="Malgun Gothic"/>
          <w:kern w:val="22"/>
          <w:szCs w:val="22"/>
        </w:rPr>
        <w:t xml:space="preserve"> Parties</w:t>
      </w:r>
      <w:r w:rsidR="003058A9" w:rsidRPr="007F370D">
        <w:rPr>
          <w:rFonts w:eastAsia="Malgun Gothic"/>
          <w:kern w:val="22"/>
          <w:szCs w:val="22"/>
        </w:rPr>
        <w:t xml:space="preserve">, </w:t>
      </w:r>
      <w:r w:rsidR="0027288C" w:rsidRPr="007F370D">
        <w:rPr>
          <w:rFonts w:eastAsia="Malgun Gothic"/>
          <w:kern w:val="22"/>
          <w:szCs w:val="22"/>
        </w:rPr>
        <w:t xml:space="preserve">27 </w:t>
      </w:r>
      <w:r w:rsidR="009B6508" w:rsidRPr="007F370D">
        <w:rPr>
          <w:rFonts w:eastAsia="Malgun Gothic"/>
          <w:kern w:val="22"/>
          <w:szCs w:val="22"/>
        </w:rPr>
        <w:t>representatives of</w:t>
      </w:r>
      <w:r w:rsidR="0027288C" w:rsidRPr="007F370D">
        <w:rPr>
          <w:rFonts w:eastAsia="Malgun Gothic"/>
          <w:kern w:val="22"/>
          <w:szCs w:val="22"/>
        </w:rPr>
        <w:t xml:space="preserve"> Secretariats</w:t>
      </w:r>
      <w:r w:rsidR="00062C7B" w:rsidRPr="007F370D">
        <w:rPr>
          <w:rStyle w:val="FootnoteReference"/>
          <w:rFonts w:eastAsia="Malgun Gothic"/>
          <w:kern w:val="22"/>
          <w:sz w:val="22"/>
          <w:szCs w:val="22"/>
          <w:u w:val="none"/>
          <w:vertAlign w:val="superscript"/>
        </w:rPr>
        <w:footnoteReference w:id="19"/>
      </w:r>
      <w:r w:rsidR="0045239D" w:rsidRPr="007F370D">
        <w:rPr>
          <w:rFonts w:eastAsia="Malgun Gothic"/>
          <w:kern w:val="22"/>
          <w:szCs w:val="22"/>
        </w:rPr>
        <w:t xml:space="preserve"> and </w:t>
      </w:r>
      <w:r w:rsidR="0027288C" w:rsidRPr="007F370D">
        <w:rPr>
          <w:rFonts w:eastAsia="Malgun Gothic"/>
          <w:kern w:val="22"/>
          <w:szCs w:val="22"/>
        </w:rPr>
        <w:t>38</w:t>
      </w:r>
      <w:r w:rsidR="0045239D" w:rsidRPr="007F370D">
        <w:rPr>
          <w:rFonts w:eastAsia="Malgun Gothic"/>
          <w:kern w:val="22"/>
          <w:szCs w:val="22"/>
        </w:rPr>
        <w:t xml:space="preserve"> </w:t>
      </w:r>
      <w:r w:rsidR="009B6508" w:rsidRPr="007F370D">
        <w:rPr>
          <w:rFonts w:eastAsia="Malgun Gothic"/>
          <w:kern w:val="22"/>
          <w:szCs w:val="22"/>
        </w:rPr>
        <w:t xml:space="preserve">representatives of other </w:t>
      </w:r>
      <w:r w:rsidR="00D82332" w:rsidRPr="007F370D">
        <w:rPr>
          <w:rFonts w:eastAsia="Malgun Gothic"/>
          <w:kern w:val="22"/>
          <w:szCs w:val="22"/>
        </w:rPr>
        <w:t>organi</w:t>
      </w:r>
      <w:r w:rsidR="00BB7CDF" w:rsidRPr="007F370D">
        <w:rPr>
          <w:rFonts w:eastAsia="Malgun Gothic"/>
          <w:kern w:val="22"/>
          <w:szCs w:val="22"/>
        </w:rPr>
        <w:t>z</w:t>
      </w:r>
      <w:r w:rsidR="00D82332" w:rsidRPr="007F370D">
        <w:rPr>
          <w:rFonts w:eastAsia="Malgun Gothic"/>
          <w:kern w:val="22"/>
          <w:szCs w:val="22"/>
        </w:rPr>
        <w:t>ations</w:t>
      </w:r>
      <w:r w:rsidR="009B6508" w:rsidRPr="007F370D">
        <w:rPr>
          <w:rFonts w:eastAsia="Malgun Gothic"/>
          <w:kern w:val="22"/>
          <w:szCs w:val="22"/>
        </w:rPr>
        <w:t>, including representatives of indigenous peoples and local communities, youth, women, and non-governmental organi</w:t>
      </w:r>
      <w:r w:rsidR="00BB7CDF" w:rsidRPr="007F370D">
        <w:rPr>
          <w:rFonts w:eastAsia="Malgun Gothic"/>
          <w:kern w:val="22"/>
          <w:szCs w:val="22"/>
        </w:rPr>
        <w:t>z</w:t>
      </w:r>
      <w:r w:rsidR="009B6508" w:rsidRPr="007F370D">
        <w:rPr>
          <w:rFonts w:eastAsia="Malgun Gothic"/>
          <w:kern w:val="22"/>
          <w:szCs w:val="22"/>
        </w:rPr>
        <w:t xml:space="preserve">ations, </w:t>
      </w:r>
      <w:r w:rsidR="00463051" w:rsidRPr="007F370D">
        <w:rPr>
          <w:rFonts w:eastAsia="Malgun Gothic"/>
          <w:kern w:val="22"/>
          <w:szCs w:val="22"/>
        </w:rPr>
        <w:t>participated in the Consultation Workshop of Biodiversity-related Conventions on the Post-2020 Global Biodiversity Framework</w:t>
      </w:r>
      <w:r w:rsidR="0045239D" w:rsidRPr="007F370D">
        <w:rPr>
          <w:rFonts w:eastAsia="Malgun Gothic"/>
          <w:kern w:val="22"/>
          <w:szCs w:val="22"/>
        </w:rPr>
        <w:t xml:space="preserve">. </w:t>
      </w:r>
      <w:r w:rsidR="00AA42CB" w:rsidRPr="007F370D">
        <w:rPr>
          <w:rFonts w:eastAsia="Malgun Gothic"/>
          <w:kern w:val="22"/>
          <w:szCs w:val="22"/>
        </w:rPr>
        <w:t xml:space="preserve">Many of the Parties </w:t>
      </w:r>
      <w:r w:rsidR="00463051" w:rsidRPr="007F370D">
        <w:rPr>
          <w:rFonts w:eastAsia="Malgun Gothic"/>
          <w:kern w:val="22"/>
          <w:szCs w:val="22"/>
        </w:rPr>
        <w:t>present</w:t>
      </w:r>
      <w:r w:rsidR="00827B90" w:rsidRPr="007F370D">
        <w:rPr>
          <w:rFonts w:eastAsia="Malgun Gothic"/>
          <w:kern w:val="22"/>
          <w:szCs w:val="22"/>
        </w:rPr>
        <w:t xml:space="preserve"> </w:t>
      </w:r>
      <w:r w:rsidR="00463051" w:rsidRPr="007F370D">
        <w:rPr>
          <w:rFonts w:eastAsia="Malgun Gothic"/>
          <w:kern w:val="22"/>
          <w:szCs w:val="22"/>
        </w:rPr>
        <w:t>were</w:t>
      </w:r>
      <w:r w:rsidR="00827B90" w:rsidRPr="007F370D">
        <w:rPr>
          <w:rFonts w:eastAsia="Malgun Gothic"/>
          <w:kern w:val="22"/>
          <w:szCs w:val="22"/>
        </w:rPr>
        <w:t xml:space="preserve"> </w:t>
      </w:r>
      <w:r w:rsidR="009B6508" w:rsidRPr="007F370D">
        <w:rPr>
          <w:rFonts w:eastAsia="Malgun Gothic"/>
          <w:kern w:val="22"/>
          <w:szCs w:val="22"/>
        </w:rPr>
        <w:t>P</w:t>
      </w:r>
      <w:r w:rsidR="00AA42CB" w:rsidRPr="007F370D">
        <w:rPr>
          <w:rFonts w:eastAsia="Malgun Gothic"/>
          <w:kern w:val="22"/>
          <w:szCs w:val="22"/>
        </w:rPr>
        <w:t xml:space="preserve">arties to multiple </w:t>
      </w:r>
      <w:r w:rsidR="000A1EB0" w:rsidRPr="007F370D">
        <w:rPr>
          <w:rFonts w:eastAsia="Malgun Gothic"/>
          <w:kern w:val="22"/>
          <w:szCs w:val="22"/>
        </w:rPr>
        <w:t>c</w:t>
      </w:r>
      <w:r w:rsidR="00AA42CB" w:rsidRPr="007F370D">
        <w:rPr>
          <w:rFonts w:eastAsia="Malgun Gothic"/>
          <w:kern w:val="22"/>
          <w:szCs w:val="22"/>
        </w:rPr>
        <w:t>onventions or multilateral environmental agreements</w:t>
      </w:r>
      <w:r w:rsidR="00395484" w:rsidRPr="007F370D">
        <w:rPr>
          <w:rFonts w:eastAsia="Malgun Gothic"/>
          <w:kern w:val="22"/>
          <w:szCs w:val="22"/>
        </w:rPr>
        <w:t xml:space="preserve"> and specific government representatives were participating in the consultation owing to their role on various bureaus and committees associated with th</w:t>
      </w:r>
      <w:r w:rsidR="00C9081D" w:rsidRPr="007F370D">
        <w:rPr>
          <w:rFonts w:eastAsia="Malgun Gothic"/>
          <w:kern w:val="22"/>
          <w:szCs w:val="22"/>
        </w:rPr>
        <w:t>o</w:t>
      </w:r>
      <w:r w:rsidR="00395484" w:rsidRPr="007F370D">
        <w:rPr>
          <w:rFonts w:eastAsia="Malgun Gothic"/>
          <w:kern w:val="22"/>
          <w:szCs w:val="22"/>
        </w:rPr>
        <w:t>se</w:t>
      </w:r>
      <w:r w:rsidR="007252A4" w:rsidRPr="007F370D">
        <w:rPr>
          <w:rFonts w:eastAsia="Malgun Gothic"/>
          <w:kern w:val="22"/>
          <w:szCs w:val="22"/>
        </w:rPr>
        <w:t xml:space="preserve"> conventions or agreements</w:t>
      </w:r>
      <w:r w:rsidR="00395484" w:rsidRPr="007F370D">
        <w:rPr>
          <w:rFonts w:eastAsia="Malgun Gothic"/>
          <w:kern w:val="22"/>
          <w:szCs w:val="22"/>
        </w:rPr>
        <w:t>.</w:t>
      </w:r>
      <w:r w:rsidRPr="007F370D">
        <w:rPr>
          <w:rFonts w:eastAsia="Malgun Gothic"/>
          <w:kern w:val="22"/>
          <w:szCs w:val="22"/>
        </w:rPr>
        <w:t xml:space="preserve"> </w:t>
      </w:r>
      <w:r w:rsidR="00BB7CDF" w:rsidRPr="007F370D">
        <w:rPr>
          <w:rFonts w:eastAsia="Malgun Gothic"/>
          <w:kern w:val="22"/>
          <w:szCs w:val="22"/>
        </w:rPr>
        <w:t>A total of 11 Parties and 26 organizations, including representatives of indigenous peoples and local communities and youth, participated i</w:t>
      </w:r>
      <w:r w:rsidRPr="007F370D">
        <w:rPr>
          <w:rFonts w:eastAsia="Malgun Gothic"/>
          <w:kern w:val="22"/>
          <w:szCs w:val="22"/>
        </w:rPr>
        <w:t xml:space="preserve">n the </w:t>
      </w:r>
      <w:r w:rsidR="009B6508" w:rsidRPr="007F370D">
        <w:rPr>
          <w:rFonts w:eastAsia="Malgun Gothic"/>
          <w:kern w:val="22"/>
          <w:szCs w:val="22"/>
        </w:rPr>
        <w:t>E</w:t>
      </w:r>
      <w:r w:rsidRPr="007F370D">
        <w:rPr>
          <w:rFonts w:eastAsia="Malgun Gothic"/>
          <w:kern w:val="22"/>
          <w:szCs w:val="22"/>
        </w:rPr>
        <w:t xml:space="preserve">xpert </w:t>
      </w:r>
      <w:r w:rsidR="009B6508" w:rsidRPr="007F370D">
        <w:rPr>
          <w:rFonts w:eastAsia="Malgun Gothic"/>
          <w:kern w:val="22"/>
          <w:szCs w:val="22"/>
        </w:rPr>
        <w:t>W</w:t>
      </w:r>
      <w:r w:rsidRPr="007F370D">
        <w:rPr>
          <w:rFonts w:eastAsia="Malgun Gothic"/>
          <w:kern w:val="22"/>
          <w:szCs w:val="22"/>
        </w:rPr>
        <w:t xml:space="preserve">orkshop to </w:t>
      </w:r>
      <w:r w:rsidR="00360492" w:rsidRPr="007F370D">
        <w:rPr>
          <w:rFonts w:eastAsia="Malgun Gothic"/>
          <w:kern w:val="22"/>
          <w:szCs w:val="22"/>
        </w:rPr>
        <w:t>D</w:t>
      </w:r>
      <w:r w:rsidRPr="007F370D">
        <w:rPr>
          <w:rFonts w:eastAsia="Malgun Gothic"/>
          <w:kern w:val="22"/>
          <w:szCs w:val="22"/>
        </w:rPr>
        <w:t xml:space="preserve">evelop </w:t>
      </w:r>
      <w:r w:rsidR="00360492" w:rsidRPr="007F370D">
        <w:rPr>
          <w:rFonts w:eastAsia="Malgun Gothic"/>
          <w:kern w:val="22"/>
          <w:szCs w:val="22"/>
        </w:rPr>
        <w:t>R</w:t>
      </w:r>
      <w:r w:rsidRPr="007F370D">
        <w:rPr>
          <w:rFonts w:eastAsia="Malgun Gothic"/>
          <w:kern w:val="22"/>
          <w:szCs w:val="22"/>
        </w:rPr>
        <w:t xml:space="preserve">ecommendations for </w:t>
      </w:r>
      <w:r w:rsidR="00360492" w:rsidRPr="007F370D">
        <w:rPr>
          <w:rFonts w:eastAsia="Malgun Gothic"/>
          <w:kern w:val="22"/>
          <w:szCs w:val="22"/>
        </w:rPr>
        <w:t>P</w:t>
      </w:r>
      <w:r w:rsidRPr="007F370D">
        <w:rPr>
          <w:rFonts w:eastAsia="Malgun Gothic"/>
          <w:kern w:val="22"/>
          <w:szCs w:val="22"/>
        </w:rPr>
        <w:t xml:space="preserve">ossible </w:t>
      </w:r>
      <w:r w:rsidR="00360492" w:rsidRPr="007F370D">
        <w:rPr>
          <w:rFonts w:eastAsia="Malgun Gothic"/>
          <w:kern w:val="22"/>
          <w:szCs w:val="22"/>
        </w:rPr>
        <w:t>G</w:t>
      </w:r>
      <w:r w:rsidRPr="007F370D">
        <w:rPr>
          <w:rFonts w:eastAsia="Malgun Gothic"/>
          <w:kern w:val="22"/>
          <w:szCs w:val="22"/>
        </w:rPr>
        <w:t xml:space="preserve">ender </w:t>
      </w:r>
      <w:r w:rsidR="00360492" w:rsidRPr="007F370D">
        <w:rPr>
          <w:rFonts w:eastAsia="Malgun Gothic"/>
          <w:kern w:val="22"/>
          <w:szCs w:val="22"/>
        </w:rPr>
        <w:t>E</w:t>
      </w:r>
      <w:r w:rsidRPr="007F370D">
        <w:rPr>
          <w:rFonts w:eastAsia="Malgun Gothic"/>
          <w:kern w:val="22"/>
          <w:szCs w:val="22"/>
        </w:rPr>
        <w:t xml:space="preserve">lements in the </w:t>
      </w:r>
      <w:r w:rsidR="00360492" w:rsidRPr="007F370D">
        <w:rPr>
          <w:rFonts w:eastAsia="Malgun Gothic"/>
          <w:kern w:val="22"/>
          <w:szCs w:val="22"/>
        </w:rPr>
        <w:t>P</w:t>
      </w:r>
      <w:r w:rsidRPr="007F370D">
        <w:rPr>
          <w:rFonts w:eastAsia="Malgun Gothic"/>
          <w:kern w:val="22"/>
          <w:szCs w:val="22"/>
        </w:rPr>
        <w:t xml:space="preserve">ost-2020 </w:t>
      </w:r>
      <w:r w:rsidR="00360492" w:rsidRPr="007F370D">
        <w:rPr>
          <w:rFonts w:eastAsia="Malgun Gothic"/>
          <w:kern w:val="22"/>
          <w:szCs w:val="22"/>
        </w:rPr>
        <w:t>G</w:t>
      </w:r>
      <w:r w:rsidRPr="007F370D">
        <w:rPr>
          <w:rFonts w:eastAsia="Malgun Gothic"/>
          <w:kern w:val="22"/>
          <w:szCs w:val="22"/>
        </w:rPr>
        <w:t xml:space="preserve">lobal </w:t>
      </w:r>
      <w:r w:rsidR="00360492" w:rsidRPr="007F370D">
        <w:rPr>
          <w:rFonts w:eastAsia="Malgun Gothic"/>
          <w:kern w:val="22"/>
          <w:szCs w:val="22"/>
        </w:rPr>
        <w:t>B</w:t>
      </w:r>
      <w:r w:rsidRPr="007F370D">
        <w:rPr>
          <w:rFonts w:eastAsia="Malgun Gothic"/>
          <w:kern w:val="22"/>
          <w:szCs w:val="22"/>
        </w:rPr>
        <w:t xml:space="preserve">iodiversity </w:t>
      </w:r>
      <w:r w:rsidR="00293752" w:rsidRPr="007F370D">
        <w:rPr>
          <w:rFonts w:eastAsia="Malgun Gothic"/>
          <w:kern w:val="22"/>
          <w:szCs w:val="22"/>
        </w:rPr>
        <w:t>Framework</w:t>
      </w:r>
      <w:r w:rsidR="00813DC0" w:rsidRPr="007F370D">
        <w:rPr>
          <w:rFonts w:eastAsia="Malgun Gothic"/>
          <w:kern w:val="22"/>
          <w:szCs w:val="22"/>
        </w:rPr>
        <w:t>.</w:t>
      </w:r>
    </w:p>
    <w:p w14:paraId="718FD859" w14:textId="47B4A87C" w:rsidR="001E6E1A" w:rsidRPr="00D53BEB" w:rsidRDefault="00827B90" w:rsidP="00AA4A91">
      <w:pPr>
        <w:pStyle w:val="Para1"/>
        <w:tabs>
          <w:tab w:val="clear" w:pos="630"/>
        </w:tabs>
        <w:ind w:left="0"/>
        <w:rPr>
          <w:rFonts w:eastAsia="Malgun Gothic"/>
          <w:kern w:val="22"/>
          <w:szCs w:val="22"/>
        </w:rPr>
      </w:pPr>
      <w:proofErr w:type="gramStart"/>
      <w:r w:rsidRPr="00D53BEB">
        <w:rPr>
          <w:rFonts w:eastAsia="Malgun Gothic"/>
          <w:kern w:val="22"/>
          <w:szCs w:val="22"/>
        </w:rPr>
        <w:t>With regard to</w:t>
      </w:r>
      <w:proofErr w:type="gramEnd"/>
      <w:r w:rsidRPr="00D53BEB">
        <w:rPr>
          <w:rFonts w:eastAsia="Malgun Gothic"/>
          <w:kern w:val="22"/>
          <w:szCs w:val="22"/>
        </w:rPr>
        <w:t xml:space="preserve"> </w:t>
      </w:r>
      <w:r w:rsidR="00D82332" w:rsidRPr="00D53BEB">
        <w:rPr>
          <w:rFonts w:eastAsia="Malgun Gothic"/>
          <w:kern w:val="22"/>
          <w:szCs w:val="22"/>
        </w:rPr>
        <w:t xml:space="preserve">the </w:t>
      </w:r>
      <w:r w:rsidRPr="00D53BEB">
        <w:rPr>
          <w:rFonts w:eastAsia="Malgun Gothic"/>
          <w:kern w:val="22"/>
          <w:szCs w:val="22"/>
        </w:rPr>
        <w:t xml:space="preserve">written submissions, </w:t>
      </w:r>
      <w:r w:rsidR="00701321" w:rsidRPr="00D53BEB">
        <w:rPr>
          <w:rFonts w:eastAsia="Malgun Gothic"/>
          <w:kern w:val="22"/>
          <w:szCs w:val="22"/>
        </w:rPr>
        <w:t xml:space="preserve">25 </w:t>
      </w:r>
      <w:r w:rsidR="00062C7B" w:rsidRPr="00D53BEB">
        <w:rPr>
          <w:rFonts w:eastAsia="Malgun Gothic"/>
          <w:kern w:val="22"/>
          <w:szCs w:val="22"/>
        </w:rPr>
        <w:t>Parties</w:t>
      </w:r>
      <w:r w:rsidR="00977D72" w:rsidRPr="00890C7C">
        <w:rPr>
          <w:rStyle w:val="FootnoteReference"/>
          <w:rFonts w:eastAsia="Malgun Gothic"/>
          <w:kern w:val="22"/>
          <w:sz w:val="22"/>
          <w:szCs w:val="22"/>
          <w:u w:val="none"/>
          <w:vertAlign w:val="superscript"/>
        </w:rPr>
        <w:footnoteReference w:id="20"/>
      </w:r>
      <w:r w:rsidR="00062C7B" w:rsidRPr="00D53BEB">
        <w:rPr>
          <w:rFonts w:eastAsia="Malgun Gothic"/>
          <w:kern w:val="22"/>
          <w:szCs w:val="22"/>
        </w:rPr>
        <w:t xml:space="preserve"> provided </w:t>
      </w:r>
      <w:r w:rsidR="006778E1" w:rsidRPr="00D53BEB">
        <w:rPr>
          <w:rFonts w:eastAsia="Malgun Gothic"/>
          <w:kern w:val="22"/>
          <w:szCs w:val="22"/>
        </w:rPr>
        <w:t>at least one submission</w:t>
      </w:r>
      <w:r w:rsidR="00DD1164" w:rsidRPr="00D53BEB">
        <w:rPr>
          <w:rFonts w:eastAsia="Malgun Gothic"/>
          <w:kern w:val="22"/>
          <w:szCs w:val="22"/>
        </w:rPr>
        <w:t xml:space="preserve"> and </w:t>
      </w:r>
      <w:r w:rsidR="006778E1" w:rsidRPr="00D53BEB">
        <w:rPr>
          <w:rFonts w:eastAsia="Malgun Gothic"/>
          <w:kern w:val="22"/>
          <w:szCs w:val="22"/>
        </w:rPr>
        <w:t>120</w:t>
      </w:r>
      <w:r w:rsidR="00062C7B" w:rsidRPr="00D53BEB">
        <w:rPr>
          <w:rFonts w:eastAsia="Malgun Gothic"/>
          <w:kern w:val="22"/>
          <w:szCs w:val="22"/>
        </w:rPr>
        <w:t xml:space="preserve"> organi</w:t>
      </w:r>
      <w:r w:rsidR="00BB7CDF" w:rsidRPr="00D53BEB">
        <w:rPr>
          <w:rFonts w:eastAsia="Malgun Gothic"/>
          <w:kern w:val="22"/>
          <w:szCs w:val="22"/>
        </w:rPr>
        <w:t>z</w:t>
      </w:r>
      <w:r w:rsidR="00062C7B" w:rsidRPr="00D53BEB">
        <w:rPr>
          <w:rFonts w:eastAsia="Malgun Gothic"/>
          <w:kern w:val="22"/>
          <w:szCs w:val="22"/>
        </w:rPr>
        <w:t xml:space="preserve">ations provided </w:t>
      </w:r>
      <w:r w:rsidR="006778E1" w:rsidRPr="00D53BEB">
        <w:rPr>
          <w:rFonts w:eastAsia="Malgun Gothic"/>
          <w:kern w:val="22"/>
          <w:szCs w:val="22"/>
        </w:rPr>
        <w:t xml:space="preserve">at least one </w:t>
      </w:r>
      <w:r w:rsidR="00567F6C" w:rsidRPr="00D53BEB">
        <w:rPr>
          <w:rFonts w:eastAsia="Malgun Gothic"/>
          <w:kern w:val="22"/>
          <w:szCs w:val="22"/>
        </w:rPr>
        <w:t>submission</w:t>
      </w:r>
      <w:r w:rsidR="00463051" w:rsidRPr="00D53BEB">
        <w:rPr>
          <w:rFonts w:eastAsia="Malgun Gothic"/>
          <w:kern w:val="22"/>
          <w:szCs w:val="22"/>
        </w:rPr>
        <w:t>.</w:t>
      </w:r>
      <w:r w:rsidR="00062C7B" w:rsidRPr="00D53BEB">
        <w:rPr>
          <w:rFonts w:eastAsia="Malgun Gothic"/>
          <w:kern w:val="22"/>
          <w:szCs w:val="22"/>
        </w:rPr>
        <w:t xml:space="preserve"> </w:t>
      </w:r>
      <w:r w:rsidR="00567F6C" w:rsidRPr="00D53BEB">
        <w:rPr>
          <w:rFonts w:eastAsia="Malgun Gothic"/>
          <w:kern w:val="22"/>
          <w:szCs w:val="22"/>
        </w:rPr>
        <w:t xml:space="preserve">Some </w:t>
      </w:r>
      <w:r w:rsidR="006778E1" w:rsidRPr="00D53BEB">
        <w:rPr>
          <w:rFonts w:eastAsia="Malgun Gothic"/>
          <w:kern w:val="22"/>
          <w:szCs w:val="22"/>
        </w:rPr>
        <w:t xml:space="preserve">Parties and </w:t>
      </w:r>
      <w:r w:rsidR="00293752" w:rsidRPr="00D53BEB">
        <w:rPr>
          <w:rFonts w:eastAsia="Malgun Gothic"/>
          <w:kern w:val="22"/>
          <w:szCs w:val="22"/>
        </w:rPr>
        <w:t>organi</w:t>
      </w:r>
      <w:r w:rsidR="00BB7CDF" w:rsidRPr="00D53BEB">
        <w:rPr>
          <w:rFonts w:eastAsia="Malgun Gothic"/>
          <w:kern w:val="22"/>
          <w:szCs w:val="22"/>
        </w:rPr>
        <w:t>z</w:t>
      </w:r>
      <w:r w:rsidR="00293752" w:rsidRPr="00D53BEB">
        <w:rPr>
          <w:rFonts w:eastAsia="Malgun Gothic"/>
          <w:kern w:val="22"/>
          <w:szCs w:val="22"/>
        </w:rPr>
        <w:t xml:space="preserve">ations </w:t>
      </w:r>
      <w:r w:rsidR="00567F6C" w:rsidRPr="00D53BEB">
        <w:rPr>
          <w:rFonts w:eastAsia="Malgun Gothic"/>
          <w:kern w:val="22"/>
          <w:szCs w:val="22"/>
        </w:rPr>
        <w:t>provided more than one submission</w:t>
      </w:r>
      <w:r w:rsidR="00630186" w:rsidRPr="00D53BEB">
        <w:rPr>
          <w:rFonts w:eastAsia="Malgun Gothic"/>
          <w:kern w:val="22"/>
          <w:szCs w:val="22"/>
        </w:rPr>
        <w:t>,</w:t>
      </w:r>
      <w:r w:rsidR="00567F6C" w:rsidRPr="00D53BEB">
        <w:rPr>
          <w:rFonts w:eastAsia="Malgun Gothic"/>
          <w:kern w:val="22"/>
          <w:szCs w:val="22"/>
        </w:rPr>
        <w:t xml:space="preserve"> and some submissions were provided collectively.</w:t>
      </w:r>
    </w:p>
    <w:p w14:paraId="0A314AE2" w14:textId="23244747" w:rsidR="002D264E" w:rsidRPr="00890C7C" w:rsidRDefault="002D264E" w:rsidP="00890C7C">
      <w:pPr>
        <w:pStyle w:val="Para1"/>
        <w:tabs>
          <w:tab w:val="clear" w:pos="630"/>
        </w:tabs>
        <w:spacing w:after="240"/>
        <w:ind w:left="0"/>
        <w:rPr>
          <w:rFonts w:eastAsia="Malgun Gothic"/>
          <w:kern w:val="22"/>
          <w:szCs w:val="22"/>
        </w:rPr>
      </w:pPr>
      <w:r w:rsidRPr="00D53BEB">
        <w:rPr>
          <w:rFonts w:eastAsia="Malgun Gothic"/>
          <w:kern w:val="22"/>
          <w:szCs w:val="22"/>
        </w:rPr>
        <w:t>T</w:t>
      </w:r>
      <w:r w:rsidR="00045396" w:rsidRPr="00D53BEB">
        <w:rPr>
          <w:rFonts w:eastAsia="Malgun Gothic"/>
          <w:kern w:val="22"/>
          <w:szCs w:val="22"/>
        </w:rPr>
        <w:t>he t</w:t>
      </w:r>
      <w:r w:rsidRPr="00D53BEB">
        <w:rPr>
          <w:rFonts w:eastAsia="Malgun Gothic"/>
          <w:kern w:val="22"/>
          <w:szCs w:val="22"/>
        </w:rPr>
        <w:t xml:space="preserve">able </w:t>
      </w:r>
      <w:r w:rsidR="00045396" w:rsidRPr="00D53BEB">
        <w:rPr>
          <w:rFonts w:eastAsia="Malgun Gothic"/>
          <w:kern w:val="22"/>
          <w:szCs w:val="22"/>
        </w:rPr>
        <w:t>below</w:t>
      </w:r>
      <w:r w:rsidRPr="00D53BEB">
        <w:rPr>
          <w:rFonts w:eastAsia="Malgun Gothic"/>
          <w:kern w:val="22"/>
          <w:szCs w:val="22"/>
        </w:rPr>
        <w:t xml:space="preserve"> provides an overview of the level of participation in the consultation process to date. </w:t>
      </w:r>
      <w:r w:rsidR="001E6E1A" w:rsidRPr="00D53BEB">
        <w:rPr>
          <w:rFonts w:eastAsia="Malgun Gothic"/>
          <w:kern w:val="22"/>
          <w:szCs w:val="22"/>
        </w:rPr>
        <w:t xml:space="preserve">While participation has been high, </w:t>
      </w:r>
      <w:r w:rsidR="00D82332" w:rsidRPr="00D53BEB">
        <w:rPr>
          <w:rFonts w:eastAsia="Malgun Gothic"/>
          <w:kern w:val="22"/>
          <w:szCs w:val="22"/>
        </w:rPr>
        <w:t>several</w:t>
      </w:r>
      <w:r w:rsidR="001E6E1A" w:rsidRPr="00D53BEB">
        <w:rPr>
          <w:rFonts w:eastAsia="Malgun Gothic"/>
          <w:kern w:val="22"/>
          <w:szCs w:val="22"/>
        </w:rPr>
        <w:t xml:space="preserve"> Parties have yet to participate in the consultation process and/or provide submissions on their </w:t>
      </w:r>
      <w:r w:rsidR="006778E1" w:rsidRPr="00D53BEB">
        <w:rPr>
          <w:rFonts w:eastAsia="Malgun Gothic"/>
          <w:kern w:val="22"/>
          <w:szCs w:val="22"/>
        </w:rPr>
        <w:t>perspectives</w:t>
      </w:r>
      <w:r w:rsidR="001E6E1A" w:rsidRPr="00D53BEB">
        <w:rPr>
          <w:rFonts w:eastAsia="Malgun Gothic"/>
          <w:kern w:val="22"/>
          <w:szCs w:val="22"/>
        </w:rPr>
        <w:t xml:space="preserve"> for the scope and content of the post-2020 global </w:t>
      </w:r>
      <w:r w:rsidR="001E6E1A" w:rsidRPr="00890C7C">
        <w:rPr>
          <w:rFonts w:eastAsia="Malgun Gothic"/>
          <w:kern w:val="22"/>
          <w:szCs w:val="22"/>
        </w:rPr>
        <w:t>biodiversity framework.</w:t>
      </w:r>
    </w:p>
    <w:tbl>
      <w:tblPr>
        <w:tblStyle w:val="TableGrid"/>
        <w:tblpPr w:leftFromText="180" w:rightFromText="180" w:vertAnchor="text" w:tblpXSpec="center" w:tblpY="1"/>
        <w:tblOverlap w:val="never"/>
        <w:tblW w:w="9735" w:type="dxa"/>
        <w:tblLayout w:type="fixed"/>
        <w:tblLook w:val="04A0" w:firstRow="1" w:lastRow="0" w:firstColumn="1" w:lastColumn="0" w:noHBand="0" w:noVBand="1"/>
      </w:tblPr>
      <w:tblGrid>
        <w:gridCol w:w="1560"/>
        <w:gridCol w:w="1701"/>
        <w:gridCol w:w="2157"/>
        <w:gridCol w:w="2158"/>
        <w:gridCol w:w="2159"/>
      </w:tblGrid>
      <w:tr w:rsidR="00116245" w:rsidRPr="001E764C" w14:paraId="4CD73EC2" w14:textId="77777777" w:rsidTr="00890C7C">
        <w:trPr>
          <w:cantSplit/>
        </w:trPr>
        <w:tc>
          <w:tcPr>
            <w:tcW w:w="9735" w:type="dxa"/>
            <w:gridSpan w:val="5"/>
          </w:tcPr>
          <w:p w14:paraId="4CF0CC37" w14:textId="45AB0431" w:rsidR="00116245" w:rsidRPr="001E764C" w:rsidRDefault="00116245">
            <w:pPr>
              <w:pStyle w:val="Para1"/>
              <w:numPr>
                <w:ilvl w:val="0"/>
                <w:numId w:val="0"/>
              </w:numPr>
              <w:spacing w:before="0" w:after="0"/>
              <w:rPr>
                <w:rFonts w:ascii="Times New Roman" w:eastAsia="Malgun Gothic" w:hAnsi="Times New Roman" w:cs="Times New Roman"/>
                <w:spacing w:val="-6"/>
                <w:kern w:val="18"/>
                <w:szCs w:val="22"/>
              </w:rPr>
            </w:pPr>
            <w:r w:rsidRPr="001E764C">
              <w:rPr>
                <w:rFonts w:ascii="Times New Roman" w:eastAsia="Malgun Gothic" w:hAnsi="Times New Roman" w:cs="Times New Roman"/>
                <w:b/>
                <w:spacing w:val="-6"/>
                <w:kern w:val="18"/>
                <w:szCs w:val="22"/>
              </w:rPr>
              <w:t>Table</w:t>
            </w:r>
            <w:r w:rsidR="005352B7" w:rsidRPr="001E764C">
              <w:rPr>
                <w:rFonts w:ascii="Times New Roman" w:eastAsia="Malgun Gothic" w:hAnsi="Times New Roman" w:cs="Times New Roman"/>
                <w:spacing w:val="-6"/>
                <w:kern w:val="18"/>
                <w:szCs w:val="22"/>
              </w:rPr>
              <w:t>.</w:t>
            </w:r>
            <w:r w:rsidRPr="001E764C">
              <w:rPr>
                <w:rFonts w:ascii="Times New Roman" w:eastAsia="Malgun Gothic" w:hAnsi="Times New Roman" w:cs="Times New Roman"/>
                <w:spacing w:val="-6"/>
                <w:kern w:val="18"/>
                <w:szCs w:val="22"/>
              </w:rPr>
              <w:t xml:space="preserve"> Overview of participation in the consultation process for the post-2020 global biodiversity framework to date</w:t>
            </w:r>
          </w:p>
        </w:tc>
      </w:tr>
      <w:tr w:rsidR="00866817" w:rsidRPr="001E764C" w14:paraId="17F9AA39" w14:textId="77777777" w:rsidTr="00890C7C">
        <w:trPr>
          <w:cantSplit/>
        </w:trPr>
        <w:tc>
          <w:tcPr>
            <w:tcW w:w="1560" w:type="dxa"/>
          </w:tcPr>
          <w:p w14:paraId="757A14DC" w14:textId="3B219C22" w:rsidR="00866817" w:rsidRPr="001E764C" w:rsidRDefault="00F16E4D" w:rsidP="00890C7C">
            <w:pPr>
              <w:pStyle w:val="Para1"/>
              <w:numPr>
                <w:ilvl w:val="0"/>
                <w:numId w:val="0"/>
              </w:numPr>
              <w:spacing w:before="0" w:after="0"/>
              <w:jc w:val="center"/>
              <w:rPr>
                <w:rFonts w:ascii="Times New Roman" w:eastAsia="Malgun Gothic" w:hAnsi="Times New Roman" w:cs="Times New Roman"/>
                <w:b/>
                <w:spacing w:val="-10"/>
                <w:kern w:val="18"/>
                <w:szCs w:val="22"/>
              </w:rPr>
            </w:pPr>
            <w:r w:rsidRPr="001E764C">
              <w:rPr>
                <w:rFonts w:ascii="Times New Roman" w:eastAsia="Malgun Gothic" w:hAnsi="Times New Roman" w:cs="Times New Roman"/>
                <w:b/>
                <w:spacing w:val="-10"/>
                <w:kern w:val="18"/>
                <w:szCs w:val="22"/>
              </w:rPr>
              <w:t>Participants</w:t>
            </w:r>
          </w:p>
        </w:tc>
        <w:tc>
          <w:tcPr>
            <w:tcW w:w="1701" w:type="dxa"/>
          </w:tcPr>
          <w:p w14:paraId="677F31B5" w14:textId="1D51C612" w:rsidR="00866817" w:rsidRPr="001E764C" w:rsidRDefault="00866817" w:rsidP="00890C7C">
            <w:pPr>
              <w:pStyle w:val="Para1"/>
              <w:numPr>
                <w:ilvl w:val="0"/>
                <w:numId w:val="0"/>
              </w:numPr>
              <w:spacing w:before="0" w:after="0"/>
              <w:jc w:val="center"/>
              <w:rPr>
                <w:rFonts w:ascii="Times New Roman" w:eastAsia="Malgun Gothic" w:hAnsi="Times New Roman" w:cs="Times New Roman"/>
                <w:b/>
                <w:spacing w:val="-10"/>
                <w:kern w:val="18"/>
                <w:szCs w:val="22"/>
              </w:rPr>
            </w:pPr>
            <w:r w:rsidRPr="001E764C">
              <w:rPr>
                <w:rFonts w:ascii="Times New Roman" w:eastAsia="Malgun Gothic" w:hAnsi="Times New Roman" w:cs="Times New Roman"/>
                <w:b/>
                <w:spacing w:val="-10"/>
                <w:kern w:val="18"/>
                <w:szCs w:val="22"/>
              </w:rPr>
              <w:t>Region</w:t>
            </w:r>
          </w:p>
        </w:tc>
        <w:tc>
          <w:tcPr>
            <w:tcW w:w="2157" w:type="dxa"/>
          </w:tcPr>
          <w:p w14:paraId="15A2DB47" w14:textId="6BB4B76A" w:rsidR="00866817" w:rsidRPr="001E764C" w:rsidRDefault="00CD5DB6" w:rsidP="00890C7C">
            <w:pPr>
              <w:pStyle w:val="Para1"/>
              <w:numPr>
                <w:ilvl w:val="0"/>
                <w:numId w:val="0"/>
              </w:numPr>
              <w:spacing w:before="0" w:after="0"/>
              <w:jc w:val="center"/>
              <w:rPr>
                <w:rFonts w:ascii="Times New Roman" w:eastAsia="Malgun Gothic" w:hAnsi="Times New Roman" w:cs="Times New Roman"/>
                <w:b/>
                <w:spacing w:val="-10"/>
                <w:kern w:val="18"/>
                <w:szCs w:val="22"/>
              </w:rPr>
            </w:pPr>
            <w:r w:rsidRPr="001E764C">
              <w:rPr>
                <w:rFonts w:ascii="Times New Roman" w:eastAsia="Malgun Gothic" w:hAnsi="Times New Roman" w:cs="Times New Roman"/>
                <w:b/>
                <w:spacing w:val="-10"/>
                <w:kern w:val="18"/>
                <w:szCs w:val="22"/>
              </w:rPr>
              <w:t>Number of Parties and organi</w:t>
            </w:r>
            <w:r w:rsidR="00BB7CDF" w:rsidRPr="001E764C">
              <w:rPr>
                <w:rFonts w:ascii="Times New Roman" w:eastAsia="Malgun Gothic" w:hAnsi="Times New Roman" w:cs="Times New Roman"/>
                <w:b/>
                <w:spacing w:val="-10"/>
                <w:kern w:val="18"/>
                <w:szCs w:val="22"/>
              </w:rPr>
              <w:t>z</w:t>
            </w:r>
            <w:r w:rsidRPr="001E764C">
              <w:rPr>
                <w:rFonts w:ascii="Times New Roman" w:eastAsia="Malgun Gothic" w:hAnsi="Times New Roman" w:cs="Times New Roman"/>
                <w:b/>
                <w:spacing w:val="-10"/>
                <w:kern w:val="18"/>
                <w:szCs w:val="22"/>
              </w:rPr>
              <w:t xml:space="preserve">ations participating in at least one </w:t>
            </w:r>
            <w:r w:rsidR="00BB7CDF" w:rsidRPr="001E764C">
              <w:rPr>
                <w:rFonts w:ascii="Times New Roman" w:eastAsia="Malgun Gothic" w:hAnsi="Times New Roman" w:cs="Times New Roman"/>
                <w:b/>
                <w:spacing w:val="-10"/>
                <w:kern w:val="18"/>
                <w:szCs w:val="22"/>
              </w:rPr>
              <w:t>r</w:t>
            </w:r>
            <w:r w:rsidR="00866817" w:rsidRPr="001E764C">
              <w:rPr>
                <w:rFonts w:ascii="Times New Roman" w:eastAsia="Malgun Gothic" w:hAnsi="Times New Roman" w:cs="Times New Roman"/>
                <w:b/>
                <w:spacing w:val="-10"/>
                <w:kern w:val="18"/>
                <w:szCs w:val="22"/>
              </w:rPr>
              <w:t xml:space="preserve">egional </w:t>
            </w:r>
            <w:r w:rsidR="00BB7CDF" w:rsidRPr="001E764C">
              <w:rPr>
                <w:rFonts w:ascii="Times New Roman" w:eastAsia="Malgun Gothic" w:hAnsi="Times New Roman" w:cs="Times New Roman"/>
                <w:b/>
                <w:spacing w:val="-10"/>
                <w:kern w:val="18"/>
                <w:szCs w:val="22"/>
              </w:rPr>
              <w:t>c</w:t>
            </w:r>
            <w:r w:rsidR="00866817" w:rsidRPr="001E764C">
              <w:rPr>
                <w:rFonts w:ascii="Times New Roman" w:eastAsia="Malgun Gothic" w:hAnsi="Times New Roman" w:cs="Times New Roman"/>
                <w:b/>
                <w:spacing w:val="-10"/>
                <w:kern w:val="18"/>
                <w:szCs w:val="22"/>
              </w:rPr>
              <w:t>onsultation</w:t>
            </w:r>
          </w:p>
        </w:tc>
        <w:tc>
          <w:tcPr>
            <w:tcW w:w="2158" w:type="dxa"/>
          </w:tcPr>
          <w:p w14:paraId="23C2E333" w14:textId="778E62EF" w:rsidR="00866817" w:rsidRPr="001E764C" w:rsidRDefault="00CD5DB6" w:rsidP="00890C7C">
            <w:pPr>
              <w:pStyle w:val="Para1"/>
              <w:numPr>
                <w:ilvl w:val="0"/>
                <w:numId w:val="0"/>
              </w:numPr>
              <w:spacing w:before="0" w:after="0"/>
              <w:jc w:val="center"/>
              <w:rPr>
                <w:rFonts w:ascii="Times New Roman" w:eastAsia="Malgun Gothic" w:hAnsi="Times New Roman" w:cs="Times New Roman"/>
                <w:b/>
                <w:spacing w:val="-10"/>
                <w:kern w:val="18"/>
                <w:szCs w:val="22"/>
              </w:rPr>
            </w:pPr>
            <w:r w:rsidRPr="001E764C">
              <w:rPr>
                <w:rFonts w:ascii="Times New Roman" w:eastAsia="Malgun Gothic" w:hAnsi="Times New Roman" w:cs="Times New Roman"/>
                <w:b/>
                <w:spacing w:val="-10"/>
                <w:kern w:val="18"/>
                <w:szCs w:val="22"/>
              </w:rPr>
              <w:t>Number of Parties and organi</w:t>
            </w:r>
            <w:r w:rsidR="00BB7CDF" w:rsidRPr="001E764C">
              <w:rPr>
                <w:rFonts w:ascii="Times New Roman" w:eastAsia="Malgun Gothic" w:hAnsi="Times New Roman" w:cs="Times New Roman"/>
                <w:b/>
                <w:spacing w:val="-10"/>
                <w:kern w:val="18"/>
                <w:szCs w:val="22"/>
              </w:rPr>
              <w:t>z</w:t>
            </w:r>
            <w:r w:rsidRPr="001E764C">
              <w:rPr>
                <w:rFonts w:ascii="Times New Roman" w:eastAsia="Malgun Gothic" w:hAnsi="Times New Roman" w:cs="Times New Roman"/>
                <w:b/>
                <w:spacing w:val="-10"/>
                <w:kern w:val="18"/>
                <w:szCs w:val="22"/>
              </w:rPr>
              <w:t xml:space="preserve">ations participating in at least one </w:t>
            </w:r>
            <w:r w:rsidR="00BB7CDF" w:rsidRPr="001E764C">
              <w:rPr>
                <w:rFonts w:ascii="Times New Roman" w:eastAsia="Malgun Gothic" w:hAnsi="Times New Roman" w:cs="Times New Roman"/>
                <w:b/>
                <w:spacing w:val="-10"/>
                <w:kern w:val="18"/>
                <w:szCs w:val="22"/>
              </w:rPr>
              <w:t>t</w:t>
            </w:r>
            <w:r w:rsidR="00866817" w:rsidRPr="001E764C">
              <w:rPr>
                <w:rFonts w:ascii="Times New Roman" w:eastAsia="Malgun Gothic" w:hAnsi="Times New Roman" w:cs="Times New Roman"/>
                <w:b/>
                <w:spacing w:val="-10"/>
                <w:kern w:val="18"/>
                <w:szCs w:val="22"/>
              </w:rPr>
              <w:t xml:space="preserve">hematic </w:t>
            </w:r>
            <w:r w:rsidR="00BB7CDF" w:rsidRPr="001E764C">
              <w:rPr>
                <w:rFonts w:ascii="Times New Roman" w:eastAsia="Malgun Gothic" w:hAnsi="Times New Roman" w:cs="Times New Roman"/>
                <w:b/>
                <w:spacing w:val="-10"/>
                <w:kern w:val="18"/>
                <w:szCs w:val="22"/>
              </w:rPr>
              <w:t>c</w:t>
            </w:r>
            <w:r w:rsidR="00866817" w:rsidRPr="001E764C">
              <w:rPr>
                <w:rFonts w:ascii="Times New Roman" w:eastAsia="Malgun Gothic" w:hAnsi="Times New Roman" w:cs="Times New Roman"/>
                <w:b/>
                <w:spacing w:val="-10"/>
                <w:kern w:val="18"/>
                <w:szCs w:val="22"/>
              </w:rPr>
              <w:t>onsultation</w:t>
            </w:r>
          </w:p>
        </w:tc>
        <w:tc>
          <w:tcPr>
            <w:tcW w:w="2159" w:type="dxa"/>
          </w:tcPr>
          <w:p w14:paraId="0692DC0B" w14:textId="568D165C" w:rsidR="00866817" w:rsidRPr="001E764C" w:rsidRDefault="00CD5DB6" w:rsidP="00890C7C">
            <w:pPr>
              <w:pStyle w:val="Para1"/>
              <w:numPr>
                <w:ilvl w:val="0"/>
                <w:numId w:val="0"/>
              </w:numPr>
              <w:spacing w:before="0" w:after="0"/>
              <w:jc w:val="center"/>
              <w:rPr>
                <w:rFonts w:ascii="Times New Roman" w:eastAsia="Malgun Gothic" w:hAnsi="Times New Roman" w:cs="Times New Roman"/>
                <w:b/>
                <w:spacing w:val="-10"/>
                <w:kern w:val="18"/>
                <w:szCs w:val="22"/>
              </w:rPr>
            </w:pPr>
            <w:r w:rsidRPr="001E764C">
              <w:rPr>
                <w:rFonts w:ascii="Times New Roman" w:eastAsia="Malgun Gothic" w:hAnsi="Times New Roman" w:cs="Times New Roman"/>
                <w:b/>
                <w:spacing w:val="-10"/>
                <w:kern w:val="18"/>
                <w:szCs w:val="22"/>
              </w:rPr>
              <w:t>Number of Parties and organi</w:t>
            </w:r>
            <w:r w:rsidR="00BB7CDF" w:rsidRPr="001E764C">
              <w:rPr>
                <w:rFonts w:ascii="Times New Roman" w:eastAsia="Malgun Gothic" w:hAnsi="Times New Roman" w:cs="Times New Roman"/>
                <w:b/>
                <w:spacing w:val="-10"/>
                <w:kern w:val="18"/>
                <w:szCs w:val="22"/>
              </w:rPr>
              <w:t>z</w:t>
            </w:r>
            <w:r w:rsidRPr="001E764C">
              <w:rPr>
                <w:rFonts w:ascii="Times New Roman" w:eastAsia="Malgun Gothic" w:hAnsi="Times New Roman" w:cs="Times New Roman"/>
                <w:b/>
                <w:spacing w:val="-10"/>
                <w:kern w:val="18"/>
                <w:szCs w:val="22"/>
              </w:rPr>
              <w:t xml:space="preserve">ations making at least one written </w:t>
            </w:r>
            <w:r w:rsidR="00BB7CDF" w:rsidRPr="001E764C">
              <w:rPr>
                <w:rFonts w:ascii="Times New Roman" w:eastAsia="Malgun Gothic" w:hAnsi="Times New Roman" w:cs="Times New Roman"/>
                <w:b/>
                <w:spacing w:val="-10"/>
                <w:kern w:val="18"/>
                <w:szCs w:val="22"/>
              </w:rPr>
              <w:t>s</w:t>
            </w:r>
            <w:r w:rsidR="00866817" w:rsidRPr="001E764C">
              <w:rPr>
                <w:rFonts w:ascii="Times New Roman" w:eastAsia="Malgun Gothic" w:hAnsi="Times New Roman" w:cs="Times New Roman"/>
                <w:b/>
                <w:spacing w:val="-10"/>
                <w:kern w:val="18"/>
                <w:szCs w:val="22"/>
              </w:rPr>
              <w:t>ubmission</w:t>
            </w:r>
          </w:p>
        </w:tc>
      </w:tr>
      <w:tr w:rsidR="00F16E4D" w:rsidRPr="001E764C" w14:paraId="3F5BFB44" w14:textId="77777777" w:rsidTr="00890C7C">
        <w:trPr>
          <w:cantSplit/>
        </w:trPr>
        <w:tc>
          <w:tcPr>
            <w:tcW w:w="1560" w:type="dxa"/>
            <w:vMerge w:val="restart"/>
          </w:tcPr>
          <w:p w14:paraId="6004002E" w14:textId="6F7CB4A7" w:rsidR="00F16E4D" w:rsidRPr="001E764C" w:rsidRDefault="00F16E4D">
            <w:pPr>
              <w:pStyle w:val="Para1"/>
              <w:numPr>
                <w:ilvl w:val="0"/>
                <w:numId w:val="0"/>
              </w:numPr>
              <w:spacing w:before="0" w:after="0"/>
              <w:rPr>
                <w:rFonts w:ascii="Times New Roman" w:eastAsia="Malgun Gothic" w:hAnsi="Times New Roman" w:cs="Times New Roman"/>
                <w:b/>
                <w:spacing w:val="-10"/>
                <w:kern w:val="18"/>
                <w:szCs w:val="22"/>
              </w:rPr>
            </w:pPr>
            <w:r w:rsidRPr="001E764C">
              <w:rPr>
                <w:rFonts w:ascii="Times New Roman" w:eastAsia="Malgun Gothic" w:hAnsi="Times New Roman" w:cs="Times New Roman"/>
                <w:b/>
                <w:spacing w:val="-10"/>
                <w:kern w:val="18"/>
                <w:szCs w:val="22"/>
              </w:rPr>
              <w:t>Parties</w:t>
            </w:r>
          </w:p>
        </w:tc>
        <w:tc>
          <w:tcPr>
            <w:tcW w:w="1701" w:type="dxa"/>
          </w:tcPr>
          <w:p w14:paraId="1487DCC0" w14:textId="20B748EB" w:rsidR="00F16E4D" w:rsidRPr="001E764C" w:rsidRDefault="00F16E4D">
            <w:pPr>
              <w:pStyle w:val="Para1"/>
              <w:numPr>
                <w:ilvl w:val="0"/>
                <w:numId w:val="0"/>
              </w:numPr>
              <w:spacing w:before="0" w:after="0"/>
              <w:jc w:val="left"/>
              <w:rPr>
                <w:rFonts w:ascii="Times New Roman" w:eastAsia="Malgun Gothic" w:hAnsi="Times New Roman" w:cs="Times New Roman"/>
                <w:i/>
                <w:spacing w:val="-10"/>
                <w:kern w:val="18"/>
                <w:szCs w:val="22"/>
              </w:rPr>
            </w:pPr>
            <w:r w:rsidRPr="001E764C">
              <w:rPr>
                <w:rFonts w:ascii="Times New Roman" w:eastAsia="Malgun Gothic" w:hAnsi="Times New Roman" w:cs="Times New Roman"/>
                <w:i/>
                <w:spacing w:val="-10"/>
                <w:kern w:val="18"/>
                <w:szCs w:val="22"/>
              </w:rPr>
              <w:t>Africa</w:t>
            </w:r>
          </w:p>
        </w:tc>
        <w:tc>
          <w:tcPr>
            <w:tcW w:w="2157" w:type="dxa"/>
            <w:vAlign w:val="center"/>
          </w:tcPr>
          <w:p w14:paraId="3B2C64C7" w14:textId="1F7AAF52"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45</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(83%)</w:t>
            </w:r>
          </w:p>
        </w:tc>
        <w:tc>
          <w:tcPr>
            <w:tcW w:w="2158" w:type="dxa"/>
            <w:vAlign w:val="center"/>
          </w:tcPr>
          <w:p w14:paraId="3122F485" w14:textId="0C427387"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14</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(26%)</w:t>
            </w:r>
          </w:p>
        </w:tc>
        <w:tc>
          <w:tcPr>
            <w:tcW w:w="2159" w:type="dxa"/>
            <w:vAlign w:val="center"/>
          </w:tcPr>
          <w:p w14:paraId="250B5E12" w14:textId="238CCA5D"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3 (0.6%)</w:t>
            </w:r>
          </w:p>
        </w:tc>
      </w:tr>
      <w:tr w:rsidR="00F16E4D" w:rsidRPr="001E764C" w14:paraId="3058A081" w14:textId="77777777" w:rsidTr="00890C7C">
        <w:trPr>
          <w:cantSplit/>
        </w:trPr>
        <w:tc>
          <w:tcPr>
            <w:tcW w:w="1560" w:type="dxa"/>
            <w:vMerge/>
          </w:tcPr>
          <w:p w14:paraId="46C326E3" w14:textId="77777777" w:rsidR="00F16E4D" w:rsidRPr="001E764C" w:rsidRDefault="00F16E4D">
            <w:pPr>
              <w:pStyle w:val="Para1"/>
              <w:numPr>
                <w:ilvl w:val="0"/>
                <w:numId w:val="0"/>
              </w:numPr>
              <w:spacing w:before="0" w:after="0"/>
              <w:rPr>
                <w:rFonts w:ascii="Times New Roman" w:eastAsia="Malgun Gothic" w:hAnsi="Times New Roman" w:cs="Times New Roman"/>
                <w:spacing w:val="-10"/>
                <w:kern w:val="18"/>
                <w:szCs w:val="22"/>
              </w:rPr>
            </w:pPr>
          </w:p>
        </w:tc>
        <w:tc>
          <w:tcPr>
            <w:tcW w:w="1701" w:type="dxa"/>
          </w:tcPr>
          <w:p w14:paraId="47B79B5F" w14:textId="102CB159" w:rsidR="00F16E4D" w:rsidRPr="001E764C" w:rsidRDefault="00F16E4D">
            <w:pPr>
              <w:pStyle w:val="Para1"/>
              <w:numPr>
                <w:ilvl w:val="0"/>
                <w:numId w:val="0"/>
              </w:numPr>
              <w:spacing w:before="0" w:after="0"/>
              <w:jc w:val="left"/>
              <w:rPr>
                <w:rFonts w:ascii="Times New Roman" w:eastAsia="Malgun Gothic" w:hAnsi="Times New Roman" w:cs="Times New Roman"/>
                <w:i/>
                <w:spacing w:val="-10"/>
                <w:kern w:val="18"/>
                <w:szCs w:val="22"/>
              </w:rPr>
            </w:pPr>
            <w:r w:rsidRPr="001E764C">
              <w:rPr>
                <w:rFonts w:ascii="Times New Roman" w:eastAsia="Malgun Gothic" w:hAnsi="Times New Roman" w:cs="Times New Roman"/>
                <w:i/>
                <w:spacing w:val="-10"/>
                <w:kern w:val="18"/>
                <w:szCs w:val="22"/>
              </w:rPr>
              <w:t>Asia and Pacific</w:t>
            </w:r>
          </w:p>
        </w:tc>
        <w:tc>
          <w:tcPr>
            <w:tcW w:w="2157" w:type="dxa"/>
            <w:vAlign w:val="center"/>
          </w:tcPr>
          <w:p w14:paraId="69D05B3C" w14:textId="40A49536"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37</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(66%)</w:t>
            </w:r>
          </w:p>
        </w:tc>
        <w:tc>
          <w:tcPr>
            <w:tcW w:w="2158" w:type="dxa"/>
            <w:vAlign w:val="center"/>
          </w:tcPr>
          <w:p w14:paraId="7948F0D3" w14:textId="6C56BCDC"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12</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(21%)</w:t>
            </w:r>
          </w:p>
        </w:tc>
        <w:tc>
          <w:tcPr>
            <w:tcW w:w="2159" w:type="dxa"/>
            <w:vAlign w:val="center"/>
          </w:tcPr>
          <w:p w14:paraId="7E4BBB4B" w14:textId="1BD16160"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6</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(11%)</w:t>
            </w:r>
          </w:p>
        </w:tc>
      </w:tr>
      <w:tr w:rsidR="00F16E4D" w:rsidRPr="001E764C" w14:paraId="7529A897" w14:textId="77777777" w:rsidTr="00890C7C">
        <w:trPr>
          <w:cantSplit/>
        </w:trPr>
        <w:tc>
          <w:tcPr>
            <w:tcW w:w="1560" w:type="dxa"/>
            <w:vMerge/>
          </w:tcPr>
          <w:p w14:paraId="531230A8" w14:textId="77777777" w:rsidR="00F16E4D" w:rsidRPr="001E764C" w:rsidRDefault="00F16E4D">
            <w:pPr>
              <w:pStyle w:val="Para1"/>
              <w:numPr>
                <w:ilvl w:val="0"/>
                <w:numId w:val="0"/>
              </w:numPr>
              <w:spacing w:before="0" w:after="0"/>
              <w:rPr>
                <w:rFonts w:ascii="Times New Roman" w:eastAsia="Malgun Gothic" w:hAnsi="Times New Roman" w:cs="Times New Roman"/>
                <w:spacing w:val="-10"/>
                <w:kern w:val="18"/>
                <w:szCs w:val="22"/>
              </w:rPr>
            </w:pPr>
          </w:p>
        </w:tc>
        <w:tc>
          <w:tcPr>
            <w:tcW w:w="1701" w:type="dxa"/>
          </w:tcPr>
          <w:p w14:paraId="7BE174EB" w14:textId="0188C7E8" w:rsidR="00F16E4D" w:rsidRPr="001E764C" w:rsidRDefault="00F16E4D">
            <w:pPr>
              <w:pStyle w:val="Para1"/>
              <w:numPr>
                <w:ilvl w:val="0"/>
                <w:numId w:val="0"/>
              </w:numPr>
              <w:spacing w:before="0" w:after="0"/>
              <w:jc w:val="left"/>
              <w:rPr>
                <w:rFonts w:ascii="Times New Roman" w:eastAsia="Malgun Gothic" w:hAnsi="Times New Roman" w:cs="Times New Roman"/>
                <w:i/>
                <w:spacing w:val="-10"/>
                <w:kern w:val="18"/>
                <w:szCs w:val="22"/>
              </w:rPr>
            </w:pPr>
            <w:r w:rsidRPr="001E764C">
              <w:rPr>
                <w:rFonts w:ascii="Times New Roman" w:eastAsia="Malgun Gothic" w:hAnsi="Times New Roman" w:cs="Times New Roman"/>
                <w:i/>
                <w:spacing w:val="-10"/>
                <w:kern w:val="18"/>
                <w:szCs w:val="22"/>
              </w:rPr>
              <w:t>Central and Eastern Europe</w:t>
            </w:r>
          </w:p>
        </w:tc>
        <w:tc>
          <w:tcPr>
            <w:tcW w:w="2157" w:type="dxa"/>
            <w:vAlign w:val="center"/>
          </w:tcPr>
          <w:p w14:paraId="134F5E0D" w14:textId="04FD09D8"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15</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(63%)</w:t>
            </w:r>
          </w:p>
        </w:tc>
        <w:tc>
          <w:tcPr>
            <w:tcW w:w="2158" w:type="dxa"/>
            <w:vAlign w:val="center"/>
          </w:tcPr>
          <w:p w14:paraId="66D7C3CE" w14:textId="56983450"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8</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(33%)</w:t>
            </w:r>
          </w:p>
        </w:tc>
        <w:tc>
          <w:tcPr>
            <w:tcW w:w="2159" w:type="dxa"/>
            <w:vAlign w:val="center"/>
          </w:tcPr>
          <w:p w14:paraId="7E7FA0AE" w14:textId="4A914EC8"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0</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(0%)</w:t>
            </w:r>
          </w:p>
        </w:tc>
      </w:tr>
      <w:tr w:rsidR="00F16E4D" w:rsidRPr="001E764C" w14:paraId="337A7F64" w14:textId="77777777" w:rsidTr="00890C7C">
        <w:trPr>
          <w:cantSplit/>
        </w:trPr>
        <w:tc>
          <w:tcPr>
            <w:tcW w:w="1560" w:type="dxa"/>
            <w:vMerge/>
          </w:tcPr>
          <w:p w14:paraId="5A35A828" w14:textId="77777777" w:rsidR="00F16E4D" w:rsidRPr="001E764C" w:rsidRDefault="00F16E4D">
            <w:pPr>
              <w:pStyle w:val="Para1"/>
              <w:numPr>
                <w:ilvl w:val="0"/>
                <w:numId w:val="0"/>
              </w:numPr>
              <w:spacing w:before="0" w:after="0"/>
              <w:rPr>
                <w:rFonts w:ascii="Times New Roman" w:eastAsia="Malgun Gothic" w:hAnsi="Times New Roman" w:cs="Times New Roman"/>
                <w:spacing w:val="-10"/>
                <w:kern w:val="18"/>
                <w:szCs w:val="22"/>
              </w:rPr>
            </w:pPr>
          </w:p>
        </w:tc>
        <w:tc>
          <w:tcPr>
            <w:tcW w:w="1701" w:type="dxa"/>
          </w:tcPr>
          <w:p w14:paraId="5780F7BF" w14:textId="3000C36C" w:rsidR="00F16E4D" w:rsidRPr="001E764C" w:rsidRDefault="00F16E4D">
            <w:pPr>
              <w:pStyle w:val="Para1"/>
              <w:numPr>
                <w:ilvl w:val="0"/>
                <w:numId w:val="0"/>
              </w:numPr>
              <w:spacing w:before="0" w:after="0"/>
              <w:jc w:val="left"/>
              <w:rPr>
                <w:rFonts w:ascii="Times New Roman" w:eastAsia="Malgun Gothic" w:hAnsi="Times New Roman" w:cs="Times New Roman"/>
                <w:i/>
                <w:spacing w:val="-10"/>
                <w:kern w:val="18"/>
                <w:szCs w:val="22"/>
              </w:rPr>
            </w:pPr>
            <w:r w:rsidRPr="001E764C">
              <w:rPr>
                <w:rFonts w:ascii="Times New Roman" w:eastAsia="Malgun Gothic" w:hAnsi="Times New Roman" w:cs="Times New Roman"/>
                <w:i/>
                <w:spacing w:val="-10"/>
                <w:kern w:val="18"/>
                <w:szCs w:val="22"/>
              </w:rPr>
              <w:t>Latin America and the Caribbean</w:t>
            </w:r>
          </w:p>
        </w:tc>
        <w:tc>
          <w:tcPr>
            <w:tcW w:w="2157" w:type="dxa"/>
            <w:vAlign w:val="center"/>
          </w:tcPr>
          <w:p w14:paraId="09AD45D6" w14:textId="7A6F530C"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26</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(78%)</w:t>
            </w:r>
          </w:p>
        </w:tc>
        <w:tc>
          <w:tcPr>
            <w:tcW w:w="2158" w:type="dxa"/>
            <w:vAlign w:val="center"/>
          </w:tcPr>
          <w:p w14:paraId="575CE859" w14:textId="281BCC96"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w:t>
            </w:r>
            <w:r w:rsidR="00471728" w:rsidRPr="001E764C">
              <w:rPr>
                <w:rFonts w:ascii="Times New Roman" w:eastAsia="Malgun Gothic" w:hAnsi="Times New Roman" w:cs="Times New Roman"/>
                <w:spacing w:val="-10"/>
                <w:kern w:val="18"/>
                <w:szCs w:val="22"/>
              </w:rPr>
              <w:t>0</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(3</w:t>
            </w:r>
            <w:r w:rsidR="00471728" w:rsidRPr="001E764C">
              <w:rPr>
                <w:rFonts w:ascii="Times New Roman" w:eastAsia="Malgun Gothic" w:hAnsi="Times New Roman" w:cs="Times New Roman"/>
                <w:spacing w:val="-10"/>
                <w:kern w:val="18"/>
                <w:szCs w:val="22"/>
              </w:rPr>
              <w:t>0</w:t>
            </w:r>
            <w:r w:rsidRPr="001E764C">
              <w:rPr>
                <w:rFonts w:ascii="Times New Roman" w:eastAsia="Malgun Gothic" w:hAnsi="Times New Roman" w:cs="Times New Roman"/>
                <w:spacing w:val="-10"/>
                <w:kern w:val="18"/>
                <w:szCs w:val="22"/>
              </w:rPr>
              <w:t>%)</w:t>
            </w:r>
          </w:p>
        </w:tc>
        <w:tc>
          <w:tcPr>
            <w:tcW w:w="2159" w:type="dxa"/>
            <w:vAlign w:val="center"/>
          </w:tcPr>
          <w:p w14:paraId="224A94B9" w14:textId="43881D42"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w:t>
            </w:r>
            <w:r w:rsidR="00701321" w:rsidRPr="001E764C">
              <w:rPr>
                <w:rFonts w:ascii="Times New Roman" w:eastAsia="Malgun Gothic" w:hAnsi="Times New Roman" w:cs="Times New Roman"/>
                <w:spacing w:val="-10"/>
                <w:kern w:val="18"/>
                <w:szCs w:val="22"/>
              </w:rPr>
              <w:t>1</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(3</w:t>
            </w:r>
            <w:r w:rsidR="00701321" w:rsidRPr="001E764C">
              <w:rPr>
                <w:rFonts w:ascii="Times New Roman" w:eastAsia="Malgun Gothic" w:hAnsi="Times New Roman" w:cs="Times New Roman"/>
                <w:spacing w:val="-10"/>
                <w:kern w:val="18"/>
                <w:szCs w:val="22"/>
              </w:rPr>
              <w:t>3</w:t>
            </w:r>
            <w:r w:rsidRPr="001E764C">
              <w:rPr>
                <w:rFonts w:ascii="Times New Roman" w:eastAsia="Malgun Gothic" w:hAnsi="Times New Roman" w:cs="Times New Roman"/>
                <w:spacing w:val="-10"/>
                <w:kern w:val="18"/>
                <w:szCs w:val="22"/>
              </w:rPr>
              <w:t>%)</w:t>
            </w:r>
          </w:p>
        </w:tc>
      </w:tr>
      <w:tr w:rsidR="00F16E4D" w:rsidRPr="001E764C" w14:paraId="10DE3871" w14:textId="77777777" w:rsidTr="00890C7C">
        <w:trPr>
          <w:cantSplit/>
        </w:trPr>
        <w:tc>
          <w:tcPr>
            <w:tcW w:w="1560" w:type="dxa"/>
            <w:vMerge/>
          </w:tcPr>
          <w:p w14:paraId="7D75F8B7" w14:textId="77777777" w:rsidR="00F16E4D" w:rsidRPr="001E764C" w:rsidRDefault="00F16E4D">
            <w:pPr>
              <w:pStyle w:val="Para1"/>
              <w:numPr>
                <w:ilvl w:val="0"/>
                <w:numId w:val="0"/>
              </w:numPr>
              <w:spacing w:before="0" w:after="0"/>
              <w:rPr>
                <w:rFonts w:ascii="Times New Roman" w:eastAsia="Malgun Gothic" w:hAnsi="Times New Roman" w:cs="Times New Roman"/>
                <w:spacing w:val="-10"/>
                <w:kern w:val="18"/>
                <w:szCs w:val="22"/>
              </w:rPr>
            </w:pPr>
          </w:p>
        </w:tc>
        <w:tc>
          <w:tcPr>
            <w:tcW w:w="1701" w:type="dxa"/>
          </w:tcPr>
          <w:p w14:paraId="31D37912" w14:textId="19BC0A0F" w:rsidR="00F16E4D" w:rsidRPr="001E764C" w:rsidRDefault="00F16E4D">
            <w:pPr>
              <w:pStyle w:val="Para1"/>
              <w:numPr>
                <w:ilvl w:val="0"/>
                <w:numId w:val="0"/>
              </w:numPr>
              <w:spacing w:before="0" w:after="0"/>
              <w:jc w:val="left"/>
              <w:rPr>
                <w:rFonts w:ascii="Times New Roman" w:eastAsia="Malgun Gothic" w:hAnsi="Times New Roman" w:cs="Times New Roman"/>
                <w:i/>
                <w:spacing w:val="-10"/>
                <w:kern w:val="18"/>
                <w:szCs w:val="22"/>
              </w:rPr>
            </w:pPr>
            <w:r w:rsidRPr="001E764C">
              <w:rPr>
                <w:rFonts w:ascii="Times New Roman" w:eastAsia="Malgun Gothic" w:hAnsi="Times New Roman" w:cs="Times New Roman"/>
                <w:i/>
                <w:spacing w:val="-10"/>
                <w:kern w:val="18"/>
                <w:szCs w:val="22"/>
              </w:rPr>
              <w:t>Western Europe and Others</w:t>
            </w:r>
          </w:p>
        </w:tc>
        <w:tc>
          <w:tcPr>
            <w:tcW w:w="2157" w:type="dxa"/>
            <w:vAlign w:val="center"/>
          </w:tcPr>
          <w:p w14:paraId="18D8734B" w14:textId="1BD1DA50"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23</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(79%)</w:t>
            </w:r>
          </w:p>
        </w:tc>
        <w:tc>
          <w:tcPr>
            <w:tcW w:w="2158" w:type="dxa"/>
            <w:vAlign w:val="center"/>
          </w:tcPr>
          <w:p w14:paraId="42CBD039" w14:textId="4D846312"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11</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(38%)</w:t>
            </w:r>
          </w:p>
        </w:tc>
        <w:tc>
          <w:tcPr>
            <w:tcW w:w="2159" w:type="dxa"/>
            <w:vAlign w:val="center"/>
          </w:tcPr>
          <w:p w14:paraId="1FFFFB97" w14:textId="6AD97570"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8</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(28%)</w:t>
            </w:r>
          </w:p>
        </w:tc>
      </w:tr>
      <w:tr w:rsidR="00F16E4D" w:rsidRPr="001E764C" w14:paraId="6B8B50D4" w14:textId="77777777" w:rsidTr="00890C7C">
        <w:trPr>
          <w:cantSplit/>
        </w:trPr>
        <w:tc>
          <w:tcPr>
            <w:tcW w:w="1560" w:type="dxa"/>
            <w:vMerge/>
          </w:tcPr>
          <w:p w14:paraId="334A1E2E" w14:textId="77777777" w:rsidR="00F16E4D" w:rsidRPr="001E764C" w:rsidRDefault="00F16E4D">
            <w:pPr>
              <w:pStyle w:val="Para1"/>
              <w:numPr>
                <w:ilvl w:val="0"/>
                <w:numId w:val="0"/>
              </w:numPr>
              <w:spacing w:before="0" w:after="0"/>
              <w:rPr>
                <w:rFonts w:ascii="Times New Roman" w:eastAsia="Malgun Gothic" w:hAnsi="Times New Roman" w:cs="Times New Roman"/>
                <w:spacing w:val="-10"/>
                <w:kern w:val="18"/>
                <w:szCs w:val="22"/>
              </w:rPr>
            </w:pPr>
          </w:p>
        </w:tc>
        <w:tc>
          <w:tcPr>
            <w:tcW w:w="1701" w:type="dxa"/>
          </w:tcPr>
          <w:p w14:paraId="3D74A1EE" w14:textId="5AA8BE4A" w:rsidR="00F16E4D" w:rsidRPr="001E764C" w:rsidRDefault="00F16E4D">
            <w:pPr>
              <w:pStyle w:val="Para1"/>
              <w:numPr>
                <w:ilvl w:val="0"/>
                <w:numId w:val="0"/>
              </w:numPr>
              <w:spacing w:before="0" w:after="0"/>
              <w:jc w:val="left"/>
              <w:rPr>
                <w:rFonts w:ascii="Times New Roman" w:eastAsia="Malgun Gothic" w:hAnsi="Times New Roman" w:cs="Times New Roman"/>
                <w:b/>
                <w:i/>
                <w:spacing w:val="-10"/>
                <w:kern w:val="18"/>
                <w:szCs w:val="22"/>
              </w:rPr>
            </w:pPr>
            <w:r w:rsidRPr="001E764C">
              <w:rPr>
                <w:rFonts w:ascii="Times New Roman" w:eastAsia="Malgun Gothic" w:hAnsi="Times New Roman" w:cs="Times New Roman"/>
                <w:b/>
                <w:i/>
                <w:spacing w:val="-10"/>
                <w:kern w:val="18"/>
                <w:szCs w:val="22"/>
              </w:rPr>
              <w:t>Total</w:t>
            </w:r>
          </w:p>
        </w:tc>
        <w:tc>
          <w:tcPr>
            <w:tcW w:w="2157" w:type="dxa"/>
            <w:vAlign w:val="center"/>
          </w:tcPr>
          <w:p w14:paraId="3E74EB6C" w14:textId="5CB0F8B7"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146</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(72%)</w:t>
            </w:r>
          </w:p>
        </w:tc>
        <w:tc>
          <w:tcPr>
            <w:tcW w:w="2158" w:type="dxa"/>
            <w:vAlign w:val="center"/>
          </w:tcPr>
          <w:p w14:paraId="26785E69" w14:textId="21AA7CEE"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56 (29</w:t>
            </w:r>
            <w:r w:rsidR="001E6E1A" w:rsidRPr="001E764C">
              <w:rPr>
                <w:rFonts w:ascii="Times New Roman" w:eastAsia="Malgun Gothic" w:hAnsi="Times New Roman" w:cs="Times New Roman"/>
                <w:spacing w:val="-10"/>
                <w:kern w:val="18"/>
                <w:szCs w:val="22"/>
              </w:rPr>
              <w:t>%</w:t>
            </w:r>
            <w:r w:rsidRPr="001E764C">
              <w:rPr>
                <w:rFonts w:ascii="Times New Roman" w:eastAsia="Malgun Gothic" w:hAnsi="Times New Roman" w:cs="Times New Roman"/>
                <w:spacing w:val="-10"/>
                <w:kern w:val="18"/>
                <w:szCs w:val="22"/>
              </w:rPr>
              <w:t>)</w:t>
            </w:r>
          </w:p>
        </w:tc>
        <w:tc>
          <w:tcPr>
            <w:tcW w:w="2159" w:type="dxa"/>
            <w:vAlign w:val="center"/>
          </w:tcPr>
          <w:p w14:paraId="72CAA341" w14:textId="337B49F7" w:rsidR="00F16E4D"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highlight w:val="yellow"/>
              </w:rPr>
            </w:pPr>
            <w:r w:rsidRPr="001E764C">
              <w:rPr>
                <w:rFonts w:ascii="Times New Roman" w:eastAsia="Malgun Gothic" w:hAnsi="Times New Roman" w:cs="Times New Roman"/>
                <w:spacing w:val="-10"/>
                <w:kern w:val="18"/>
                <w:szCs w:val="22"/>
              </w:rPr>
              <w:t>2</w:t>
            </w:r>
            <w:r w:rsidR="004B01F8" w:rsidRPr="001E764C">
              <w:rPr>
                <w:rFonts w:ascii="Times New Roman" w:eastAsia="Malgun Gothic" w:hAnsi="Times New Roman" w:cs="Times New Roman"/>
                <w:spacing w:val="-10"/>
                <w:kern w:val="18"/>
                <w:szCs w:val="22"/>
              </w:rPr>
              <w:t>4</w:t>
            </w:r>
            <w:r w:rsidR="00B0464C" w:rsidRPr="001E764C">
              <w:rPr>
                <w:rFonts w:ascii="Times New Roman" w:eastAsia="Malgun Gothic" w:hAnsi="Times New Roman" w:cs="Times New Roman"/>
                <w:spacing w:val="-10"/>
                <w:kern w:val="18"/>
                <w:szCs w:val="22"/>
              </w:rPr>
              <w:t xml:space="preserve"> </w:t>
            </w:r>
            <w:r w:rsidRPr="001E764C">
              <w:rPr>
                <w:rFonts w:ascii="Times New Roman" w:eastAsia="Malgun Gothic" w:hAnsi="Times New Roman" w:cs="Times New Roman"/>
                <w:spacing w:val="-10"/>
                <w:kern w:val="18"/>
                <w:szCs w:val="22"/>
              </w:rPr>
              <w:t>(1</w:t>
            </w:r>
            <w:r w:rsidR="001E6E1A" w:rsidRPr="001E764C">
              <w:rPr>
                <w:rFonts w:ascii="Times New Roman" w:eastAsia="Malgun Gothic" w:hAnsi="Times New Roman" w:cs="Times New Roman"/>
                <w:spacing w:val="-10"/>
                <w:kern w:val="18"/>
                <w:szCs w:val="22"/>
              </w:rPr>
              <w:t>2</w:t>
            </w:r>
            <w:r w:rsidRPr="001E764C">
              <w:rPr>
                <w:rFonts w:ascii="Times New Roman" w:eastAsia="Malgun Gothic" w:hAnsi="Times New Roman" w:cs="Times New Roman"/>
                <w:spacing w:val="-10"/>
                <w:kern w:val="18"/>
                <w:szCs w:val="22"/>
              </w:rPr>
              <w:t>%)</w:t>
            </w:r>
          </w:p>
        </w:tc>
      </w:tr>
      <w:tr w:rsidR="00866817" w:rsidRPr="001E764C" w14:paraId="64E9C751" w14:textId="77777777" w:rsidTr="00890C7C">
        <w:trPr>
          <w:cantSplit/>
        </w:trPr>
        <w:tc>
          <w:tcPr>
            <w:tcW w:w="1560" w:type="dxa"/>
          </w:tcPr>
          <w:p w14:paraId="3827EFAA" w14:textId="117983B5" w:rsidR="00866817" w:rsidRPr="001E764C" w:rsidRDefault="00866817">
            <w:pPr>
              <w:pStyle w:val="Para1"/>
              <w:numPr>
                <w:ilvl w:val="0"/>
                <w:numId w:val="0"/>
              </w:numPr>
              <w:spacing w:before="0" w:after="0"/>
              <w:rPr>
                <w:rFonts w:ascii="Times New Roman" w:eastAsia="Malgun Gothic" w:hAnsi="Times New Roman" w:cs="Times New Roman"/>
                <w:b/>
                <w:spacing w:val="-10"/>
                <w:kern w:val="18"/>
                <w:szCs w:val="22"/>
              </w:rPr>
            </w:pPr>
            <w:r w:rsidRPr="001E764C">
              <w:rPr>
                <w:rFonts w:ascii="Times New Roman" w:eastAsia="Malgun Gothic" w:hAnsi="Times New Roman" w:cs="Times New Roman"/>
                <w:b/>
                <w:spacing w:val="-10"/>
                <w:kern w:val="18"/>
                <w:szCs w:val="22"/>
              </w:rPr>
              <w:t>Observers</w:t>
            </w:r>
          </w:p>
        </w:tc>
        <w:tc>
          <w:tcPr>
            <w:tcW w:w="1701" w:type="dxa"/>
          </w:tcPr>
          <w:p w14:paraId="6F221177" w14:textId="12090A1A" w:rsidR="00866817" w:rsidRPr="001E764C" w:rsidRDefault="00866817">
            <w:pPr>
              <w:pStyle w:val="Para1"/>
              <w:numPr>
                <w:ilvl w:val="0"/>
                <w:numId w:val="0"/>
              </w:numPr>
              <w:spacing w:before="0" w:after="0"/>
              <w:rPr>
                <w:rFonts w:ascii="Times New Roman" w:eastAsia="Malgun Gothic" w:hAnsi="Times New Roman" w:cs="Times New Roman"/>
                <w:spacing w:val="-10"/>
                <w:kern w:val="18"/>
                <w:szCs w:val="22"/>
              </w:rPr>
            </w:pPr>
          </w:p>
        </w:tc>
        <w:tc>
          <w:tcPr>
            <w:tcW w:w="2157" w:type="dxa"/>
            <w:vAlign w:val="center"/>
          </w:tcPr>
          <w:p w14:paraId="0904F1BA" w14:textId="0363E250" w:rsidR="00866817" w:rsidRPr="001E764C" w:rsidRDefault="00F16E4D">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115</w:t>
            </w:r>
          </w:p>
        </w:tc>
        <w:tc>
          <w:tcPr>
            <w:tcW w:w="2158" w:type="dxa"/>
            <w:vAlign w:val="center"/>
          </w:tcPr>
          <w:p w14:paraId="1DBA2AD7" w14:textId="585AA0BF" w:rsidR="00866817" w:rsidRPr="001E764C" w:rsidRDefault="00FA5DCF">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56</w:t>
            </w:r>
          </w:p>
        </w:tc>
        <w:tc>
          <w:tcPr>
            <w:tcW w:w="2159" w:type="dxa"/>
            <w:vAlign w:val="center"/>
          </w:tcPr>
          <w:p w14:paraId="0A0A2B69" w14:textId="6A10B871" w:rsidR="00866817" w:rsidRPr="001E764C" w:rsidRDefault="004B01F8">
            <w:pPr>
              <w:pStyle w:val="Para1"/>
              <w:numPr>
                <w:ilvl w:val="0"/>
                <w:numId w:val="0"/>
              </w:numPr>
              <w:spacing w:before="0" w:after="0"/>
              <w:jc w:val="center"/>
              <w:rPr>
                <w:rFonts w:ascii="Times New Roman" w:eastAsia="Malgun Gothic" w:hAnsi="Times New Roman" w:cs="Times New Roman"/>
                <w:spacing w:val="-10"/>
                <w:kern w:val="18"/>
                <w:szCs w:val="22"/>
              </w:rPr>
            </w:pPr>
            <w:r w:rsidRPr="001E764C">
              <w:rPr>
                <w:rFonts w:ascii="Times New Roman" w:eastAsia="Malgun Gothic" w:hAnsi="Times New Roman" w:cs="Times New Roman"/>
                <w:spacing w:val="-10"/>
                <w:kern w:val="18"/>
                <w:szCs w:val="22"/>
              </w:rPr>
              <w:t>120</w:t>
            </w:r>
          </w:p>
        </w:tc>
      </w:tr>
      <w:tr w:rsidR="002460D5" w:rsidRPr="001E764C" w14:paraId="5BBC08CC" w14:textId="77777777" w:rsidTr="00D377C0">
        <w:trPr>
          <w:cantSplit/>
        </w:trPr>
        <w:tc>
          <w:tcPr>
            <w:tcW w:w="9735" w:type="dxa"/>
            <w:gridSpan w:val="5"/>
          </w:tcPr>
          <w:p w14:paraId="5B3A0419" w14:textId="7BFCE40D" w:rsidR="002460D5" w:rsidRPr="002126BC" w:rsidRDefault="002460D5" w:rsidP="00890C7C">
            <w:pPr>
              <w:pStyle w:val="Para1"/>
              <w:numPr>
                <w:ilvl w:val="0"/>
                <w:numId w:val="0"/>
              </w:numPr>
              <w:spacing w:before="0" w:after="0"/>
              <w:jc w:val="left"/>
              <w:rPr>
                <w:rFonts w:ascii="Times New Roman" w:eastAsia="Malgun Gothic" w:hAnsi="Times New Roman" w:cs="Times New Roman"/>
                <w:spacing w:val="-2"/>
                <w:kern w:val="18"/>
                <w:sz w:val="18"/>
              </w:rPr>
            </w:pPr>
            <w:r w:rsidRPr="002126BC">
              <w:rPr>
                <w:rFonts w:ascii="Times New Roman" w:eastAsia="Malgun Gothic" w:hAnsi="Times New Roman" w:cs="Times New Roman"/>
                <w:i/>
                <w:spacing w:val="-2"/>
                <w:kern w:val="18"/>
                <w:sz w:val="18"/>
              </w:rPr>
              <w:t>Note</w:t>
            </w:r>
            <w:r w:rsidRPr="002126BC">
              <w:rPr>
                <w:rFonts w:ascii="Times New Roman" w:eastAsia="Malgun Gothic" w:hAnsi="Times New Roman" w:cs="Times New Roman"/>
                <w:spacing w:val="-2"/>
                <w:kern w:val="18"/>
                <w:sz w:val="18"/>
              </w:rPr>
              <w:t xml:space="preserve">: </w:t>
            </w:r>
            <w:r w:rsidRPr="002126BC">
              <w:rPr>
                <w:rFonts w:ascii="Times New Roman" w:hAnsi="Times New Roman" w:cs="Times New Roman"/>
                <w:spacing w:val="-2"/>
                <w:kern w:val="18"/>
                <w:sz w:val="18"/>
              </w:rPr>
              <w:t xml:space="preserve"> </w:t>
            </w:r>
            <w:r w:rsidRPr="002126BC">
              <w:rPr>
                <w:rFonts w:ascii="Times New Roman" w:eastAsia="Malgun Gothic" w:hAnsi="Times New Roman" w:cs="Times New Roman"/>
                <w:spacing w:val="-2"/>
                <w:kern w:val="18"/>
                <w:sz w:val="18"/>
              </w:rPr>
              <w:t xml:space="preserve">These figures show the number of Parties and organizations participating in at least one regional or thematic consultation workshop and providing at least one written submission. The percentage value illustrates the percentage of Parties from the region participating and was calculated </w:t>
            </w:r>
            <w:proofErr w:type="gramStart"/>
            <w:r w:rsidRPr="002126BC">
              <w:rPr>
                <w:rFonts w:ascii="Times New Roman" w:eastAsia="Malgun Gothic" w:hAnsi="Times New Roman" w:cs="Times New Roman"/>
                <w:spacing w:val="-2"/>
                <w:kern w:val="18"/>
                <w:sz w:val="18"/>
              </w:rPr>
              <w:t xml:space="preserve">on </w:t>
            </w:r>
            <w:r w:rsidR="0087238A">
              <w:rPr>
                <w:rFonts w:ascii="Times New Roman" w:eastAsia="Malgun Gothic" w:hAnsi="Times New Roman" w:cs="Times New Roman"/>
                <w:spacing w:val="-2"/>
                <w:kern w:val="18"/>
                <w:sz w:val="18"/>
              </w:rPr>
              <w:t>the basis of</w:t>
            </w:r>
            <w:proofErr w:type="gramEnd"/>
            <w:r w:rsidR="0087238A">
              <w:rPr>
                <w:rFonts w:ascii="Times New Roman" w:eastAsia="Malgun Gothic" w:hAnsi="Times New Roman" w:cs="Times New Roman"/>
                <w:spacing w:val="-2"/>
                <w:kern w:val="18"/>
                <w:sz w:val="18"/>
              </w:rPr>
              <w:t xml:space="preserve"> </w:t>
            </w:r>
            <w:r w:rsidRPr="002126BC">
              <w:rPr>
                <w:rFonts w:ascii="Times New Roman" w:eastAsia="Malgun Gothic" w:hAnsi="Times New Roman" w:cs="Times New Roman"/>
                <w:spacing w:val="-2"/>
                <w:kern w:val="18"/>
                <w:sz w:val="18"/>
              </w:rPr>
              <w:t xml:space="preserve">the list of United Nations </w:t>
            </w:r>
            <w:r w:rsidR="00791B7A">
              <w:rPr>
                <w:rFonts w:ascii="Times New Roman" w:eastAsia="Malgun Gothic" w:hAnsi="Times New Roman" w:cs="Times New Roman"/>
                <w:spacing w:val="-2"/>
                <w:kern w:val="18"/>
                <w:sz w:val="18"/>
              </w:rPr>
              <w:t>r</w:t>
            </w:r>
            <w:r w:rsidRPr="002126BC">
              <w:rPr>
                <w:rFonts w:ascii="Times New Roman" w:eastAsia="Malgun Gothic" w:hAnsi="Times New Roman" w:cs="Times New Roman"/>
                <w:spacing w:val="-2"/>
                <w:kern w:val="18"/>
                <w:sz w:val="18"/>
              </w:rPr>
              <w:t xml:space="preserve">egional </w:t>
            </w:r>
            <w:r w:rsidR="00791B7A">
              <w:rPr>
                <w:rFonts w:ascii="Times New Roman" w:eastAsia="Malgun Gothic" w:hAnsi="Times New Roman" w:cs="Times New Roman"/>
                <w:spacing w:val="-2"/>
                <w:kern w:val="18"/>
                <w:sz w:val="18"/>
              </w:rPr>
              <w:t>g</w:t>
            </w:r>
            <w:r w:rsidRPr="002126BC">
              <w:rPr>
                <w:rFonts w:ascii="Times New Roman" w:eastAsia="Malgun Gothic" w:hAnsi="Times New Roman" w:cs="Times New Roman"/>
                <w:spacing w:val="-2"/>
                <w:kern w:val="18"/>
                <w:sz w:val="18"/>
              </w:rPr>
              <w:t>roups of Member States. Regional breakdowns and percentage figures are not provided for organizations.</w:t>
            </w:r>
          </w:p>
        </w:tc>
      </w:tr>
    </w:tbl>
    <w:p w14:paraId="612E5D25" w14:textId="01D0E833" w:rsidR="00846CCC" w:rsidRPr="00890C7C" w:rsidRDefault="005002D5" w:rsidP="00890C7C">
      <w:pPr>
        <w:pStyle w:val="ListParagraph"/>
        <w:keepNext/>
        <w:numPr>
          <w:ilvl w:val="0"/>
          <w:numId w:val="5"/>
        </w:numPr>
        <w:tabs>
          <w:tab w:val="left" w:pos="426"/>
        </w:tabs>
        <w:spacing w:before="240" w:after="120"/>
        <w:ind w:left="0" w:firstLine="0"/>
        <w:contextualSpacing w:val="0"/>
        <w:jc w:val="center"/>
        <w:outlineLvl w:val="0"/>
        <w:rPr>
          <w:b/>
          <w:iCs/>
          <w:snapToGrid w:val="0"/>
          <w:kern w:val="22"/>
          <w:szCs w:val="22"/>
        </w:rPr>
      </w:pPr>
      <w:r w:rsidRPr="00890C7C">
        <w:rPr>
          <w:b/>
          <w:iCs/>
          <w:snapToGrid w:val="0"/>
          <w:kern w:val="22"/>
          <w:szCs w:val="22"/>
        </w:rPr>
        <w:lastRenderedPageBreak/>
        <w:t xml:space="preserve">UPCOMING </w:t>
      </w:r>
      <w:r w:rsidR="00846CCC" w:rsidRPr="00890C7C">
        <w:rPr>
          <w:b/>
          <w:iCs/>
          <w:snapToGrid w:val="0"/>
          <w:kern w:val="22"/>
          <w:szCs w:val="22"/>
        </w:rPr>
        <w:t>CONSULTATIONS</w:t>
      </w:r>
    </w:p>
    <w:p w14:paraId="4AB8310D" w14:textId="71AC657B" w:rsidR="00846CCC" w:rsidRPr="00890C7C" w:rsidRDefault="00F13FBA" w:rsidP="00AA4A91">
      <w:pPr>
        <w:pStyle w:val="Para1"/>
        <w:tabs>
          <w:tab w:val="clear" w:pos="630"/>
        </w:tabs>
        <w:ind w:left="0"/>
        <w:rPr>
          <w:rFonts w:eastAsia="Malgun Gothic"/>
          <w:kern w:val="22"/>
          <w:szCs w:val="22"/>
        </w:rPr>
      </w:pPr>
      <w:r w:rsidRPr="00890C7C">
        <w:rPr>
          <w:rFonts w:eastAsia="Malgun Gothic"/>
          <w:kern w:val="22"/>
          <w:szCs w:val="22"/>
        </w:rPr>
        <w:t xml:space="preserve">Two </w:t>
      </w:r>
      <w:r w:rsidR="00846CCC" w:rsidRPr="00890C7C">
        <w:rPr>
          <w:rFonts w:eastAsia="Malgun Gothic"/>
          <w:kern w:val="22"/>
          <w:szCs w:val="22"/>
        </w:rPr>
        <w:t>consultation</w:t>
      </w:r>
      <w:r w:rsidR="006C6ABF" w:rsidRPr="00890C7C">
        <w:rPr>
          <w:rFonts w:eastAsia="Malgun Gothic"/>
          <w:kern w:val="22"/>
          <w:szCs w:val="22"/>
        </w:rPr>
        <w:t xml:space="preserve"> workshops</w:t>
      </w:r>
      <w:r w:rsidR="00846CCC" w:rsidRPr="00890C7C">
        <w:rPr>
          <w:rFonts w:eastAsia="Malgun Gothic"/>
          <w:kern w:val="22"/>
          <w:szCs w:val="22"/>
        </w:rPr>
        <w:t xml:space="preserve"> are planned</w:t>
      </w:r>
      <w:r w:rsidRPr="00890C7C">
        <w:rPr>
          <w:rFonts w:eastAsia="Malgun Gothic"/>
          <w:kern w:val="22"/>
          <w:szCs w:val="22"/>
        </w:rPr>
        <w:t xml:space="preserve"> on the margins of the first meeting of the Working Group</w:t>
      </w:r>
      <w:r w:rsidR="00846CCC" w:rsidRPr="00890C7C">
        <w:rPr>
          <w:rFonts w:eastAsia="Malgun Gothic"/>
          <w:kern w:val="22"/>
          <w:szCs w:val="22"/>
        </w:rPr>
        <w:t>:</w:t>
      </w:r>
    </w:p>
    <w:p w14:paraId="173EAD0C" w14:textId="52913DF3" w:rsidR="00846CCC" w:rsidRPr="00890C7C" w:rsidRDefault="00827B90" w:rsidP="00890C7C">
      <w:pPr>
        <w:pStyle w:val="Para1"/>
        <w:numPr>
          <w:ilvl w:val="1"/>
          <w:numId w:val="8"/>
        </w:numPr>
        <w:tabs>
          <w:tab w:val="clear" w:pos="1440"/>
        </w:tabs>
        <w:rPr>
          <w:rFonts w:eastAsia="Malgun Gothic"/>
          <w:kern w:val="22"/>
          <w:szCs w:val="22"/>
        </w:rPr>
      </w:pPr>
      <w:r w:rsidRPr="00890C7C">
        <w:rPr>
          <w:rFonts w:eastAsia="Malgun Gothic"/>
          <w:kern w:val="22"/>
          <w:szCs w:val="22"/>
        </w:rPr>
        <w:t xml:space="preserve">Biosafety and the Cartagena Protocol </w:t>
      </w:r>
      <w:r w:rsidR="001E6E1A" w:rsidRPr="00890C7C">
        <w:rPr>
          <w:rFonts w:eastAsia="Malgun Gothic"/>
          <w:kern w:val="22"/>
          <w:szCs w:val="22"/>
        </w:rPr>
        <w:t>(</w:t>
      </w:r>
      <w:r w:rsidR="00846CCC" w:rsidRPr="00890C7C">
        <w:rPr>
          <w:rFonts w:eastAsia="Malgun Gothic"/>
          <w:kern w:val="22"/>
          <w:szCs w:val="22"/>
        </w:rPr>
        <w:t>25 August 2019</w:t>
      </w:r>
      <w:r w:rsidR="001E6E1A" w:rsidRPr="00890C7C">
        <w:rPr>
          <w:rFonts w:eastAsia="Malgun Gothic"/>
          <w:i/>
          <w:kern w:val="22"/>
          <w:szCs w:val="22"/>
        </w:rPr>
        <w:t>)</w:t>
      </w:r>
      <w:r w:rsidR="008F13FA" w:rsidRPr="00890C7C">
        <w:rPr>
          <w:rStyle w:val="FootnoteReference"/>
          <w:rFonts w:eastAsia="Malgun Gothic"/>
          <w:kern w:val="22"/>
          <w:sz w:val="22"/>
          <w:szCs w:val="22"/>
          <w:u w:val="none"/>
          <w:vertAlign w:val="superscript"/>
        </w:rPr>
        <w:footnoteReference w:id="21"/>
      </w:r>
      <w:r w:rsidR="00F13FBA" w:rsidRPr="00890C7C">
        <w:rPr>
          <w:rFonts w:eastAsia="Malgun Gothic"/>
          <w:kern w:val="22"/>
          <w:szCs w:val="22"/>
        </w:rPr>
        <w:t xml:space="preserve"> </w:t>
      </w:r>
      <w:r w:rsidR="002B0803" w:rsidRPr="00890C7C">
        <w:rPr>
          <w:rFonts w:eastAsia="Malgun Gothic"/>
          <w:kern w:val="22"/>
          <w:szCs w:val="22"/>
        </w:rPr>
        <w:t>—</w:t>
      </w:r>
      <w:r w:rsidR="00846CCC" w:rsidRPr="00890C7C">
        <w:rPr>
          <w:rFonts w:eastAsia="Malgun Gothic"/>
          <w:kern w:val="22"/>
          <w:szCs w:val="22"/>
          <w:vertAlign w:val="superscript"/>
        </w:rPr>
        <w:t xml:space="preserve"> </w:t>
      </w:r>
      <w:r w:rsidR="00740B50" w:rsidRPr="00890C7C">
        <w:rPr>
          <w:rFonts w:eastAsia="Malgun Gothic"/>
          <w:kern w:val="22"/>
          <w:szCs w:val="22"/>
        </w:rPr>
        <w:t xml:space="preserve">In decision </w:t>
      </w:r>
      <w:hyperlink r:id="rId12" w:history="1">
        <w:r w:rsidR="00740B50" w:rsidRPr="00890C7C">
          <w:rPr>
            <w:rStyle w:val="Hyperlink"/>
            <w:rFonts w:eastAsia="Malgun Gothic"/>
            <w:szCs w:val="22"/>
          </w:rPr>
          <w:t>CP-9/7</w:t>
        </w:r>
      </w:hyperlink>
      <w:r w:rsidR="00740B50" w:rsidRPr="00890C7C">
        <w:rPr>
          <w:rFonts w:eastAsia="Malgun Gothic"/>
          <w:kern w:val="22"/>
          <w:szCs w:val="22"/>
        </w:rPr>
        <w:t xml:space="preserve">, </w:t>
      </w:r>
      <w:r w:rsidR="00F45326" w:rsidRPr="00890C7C">
        <w:rPr>
          <w:rFonts w:eastAsia="Malgun Gothic"/>
          <w:kern w:val="22"/>
          <w:szCs w:val="22"/>
        </w:rPr>
        <w:t xml:space="preserve">the Conference of the Parties serving as </w:t>
      </w:r>
      <w:r w:rsidR="00740B50" w:rsidRPr="00890C7C">
        <w:rPr>
          <w:rFonts w:eastAsia="Malgun Gothic"/>
          <w:kern w:val="22"/>
          <w:szCs w:val="22"/>
        </w:rPr>
        <w:t xml:space="preserve">the meeting of the Parties to the Cartagena Protocol requested the Liaison Group for the Cartagena Protocol to contribute to the development of the relevant elements of the biosafety component in the post-2020 global biodiversity framework, in consultation with the </w:t>
      </w:r>
      <w:r w:rsidR="00BB7CDF" w:rsidRPr="00890C7C">
        <w:rPr>
          <w:rFonts w:eastAsia="Malgun Gothic"/>
          <w:kern w:val="22"/>
          <w:szCs w:val="22"/>
        </w:rPr>
        <w:t>C</w:t>
      </w:r>
      <w:r w:rsidR="00740B50" w:rsidRPr="00890C7C">
        <w:rPr>
          <w:rFonts w:eastAsia="Malgun Gothic"/>
          <w:kern w:val="22"/>
          <w:szCs w:val="22"/>
        </w:rPr>
        <w:t>o-</w:t>
      </w:r>
      <w:r w:rsidR="00BB7CDF" w:rsidRPr="00890C7C">
        <w:rPr>
          <w:rFonts w:eastAsia="Malgun Gothic"/>
          <w:kern w:val="22"/>
          <w:szCs w:val="22"/>
        </w:rPr>
        <w:t>C</w:t>
      </w:r>
      <w:r w:rsidR="00740B50" w:rsidRPr="00890C7C">
        <w:rPr>
          <w:rFonts w:eastAsia="Malgun Gothic"/>
          <w:kern w:val="22"/>
          <w:szCs w:val="22"/>
        </w:rPr>
        <w:t xml:space="preserve">hairs of the </w:t>
      </w:r>
      <w:r w:rsidR="00293752" w:rsidRPr="00890C7C">
        <w:rPr>
          <w:rFonts w:eastAsia="Malgun Gothic"/>
          <w:kern w:val="22"/>
          <w:szCs w:val="22"/>
        </w:rPr>
        <w:t>Working Group</w:t>
      </w:r>
      <w:r w:rsidR="00740B50" w:rsidRPr="00890C7C">
        <w:rPr>
          <w:rFonts w:eastAsia="Malgun Gothic"/>
          <w:kern w:val="22"/>
          <w:szCs w:val="22"/>
        </w:rPr>
        <w:t xml:space="preserve">. The Liaison Group is expected to address this issue at its thirteenth meeting, scheduled to be held in the fourth quarter of 2019. </w:t>
      </w:r>
      <w:r w:rsidR="00846CCC" w:rsidRPr="00890C7C">
        <w:rPr>
          <w:rFonts w:eastAsia="Malgun Gothic"/>
          <w:kern w:val="22"/>
          <w:szCs w:val="22"/>
        </w:rPr>
        <w:t>In addition, there is an ongoing process to develop a specific post-2020 Implementation Plan for the Cartagena Protocol on Biosafety</w:t>
      </w:r>
      <w:r w:rsidR="00BB7CDF" w:rsidRPr="00890C7C">
        <w:rPr>
          <w:rFonts w:eastAsia="Malgun Gothic"/>
          <w:kern w:val="22"/>
          <w:szCs w:val="22"/>
        </w:rPr>
        <w:t>;</w:t>
      </w:r>
      <w:r w:rsidR="00846CCC" w:rsidRPr="00890C7C">
        <w:rPr>
          <w:rStyle w:val="FootnoteReference"/>
          <w:rFonts w:eastAsia="Malgun Gothic"/>
          <w:kern w:val="22"/>
          <w:sz w:val="22"/>
          <w:szCs w:val="22"/>
          <w:u w:val="none"/>
          <w:vertAlign w:val="superscript"/>
        </w:rPr>
        <w:footnoteReference w:id="22"/>
      </w:r>
    </w:p>
    <w:p w14:paraId="5A81595C" w14:textId="13EC3658" w:rsidR="00846CCC" w:rsidRPr="00890C7C" w:rsidRDefault="005002D5" w:rsidP="00890C7C">
      <w:pPr>
        <w:pStyle w:val="Para1"/>
        <w:numPr>
          <w:ilvl w:val="1"/>
          <w:numId w:val="8"/>
        </w:numPr>
        <w:tabs>
          <w:tab w:val="clear" w:pos="1440"/>
        </w:tabs>
        <w:rPr>
          <w:rFonts w:eastAsia="Malgun Gothic"/>
          <w:kern w:val="22"/>
          <w:szCs w:val="22"/>
        </w:rPr>
      </w:pPr>
      <w:r w:rsidRPr="00890C7C">
        <w:rPr>
          <w:rFonts w:eastAsia="Malgun Gothic"/>
          <w:kern w:val="22"/>
          <w:szCs w:val="22"/>
        </w:rPr>
        <w:t xml:space="preserve">Access and </w:t>
      </w:r>
      <w:r w:rsidR="001E6E1A" w:rsidRPr="00890C7C">
        <w:rPr>
          <w:rFonts w:eastAsia="Malgun Gothic"/>
          <w:kern w:val="22"/>
          <w:szCs w:val="22"/>
        </w:rPr>
        <w:t>b</w:t>
      </w:r>
      <w:r w:rsidRPr="00890C7C">
        <w:rPr>
          <w:rFonts w:eastAsia="Malgun Gothic"/>
          <w:kern w:val="22"/>
          <w:szCs w:val="22"/>
        </w:rPr>
        <w:t>enefit</w:t>
      </w:r>
      <w:r w:rsidR="00BB7CDF" w:rsidRPr="00890C7C">
        <w:rPr>
          <w:rFonts w:eastAsia="Malgun Gothic"/>
          <w:kern w:val="22"/>
          <w:szCs w:val="22"/>
        </w:rPr>
        <w:noBreakHyphen/>
      </w:r>
      <w:r w:rsidR="001E6E1A" w:rsidRPr="00890C7C">
        <w:rPr>
          <w:rFonts w:eastAsia="Malgun Gothic"/>
          <w:kern w:val="22"/>
          <w:szCs w:val="22"/>
        </w:rPr>
        <w:t>s</w:t>
      </w:r>
      <w:r w:rsidRPr="00890C7C">
        <w:rPr>
          <w:rFonts w:eastAsia="Malgun Gothic"/>
          <w:kern w:val="22"/>
          <w:szCs w:val="22"/>
        </w:rPr>
        <w:t xml:space="preserve">haring and the Nagoya Protocol </w:t>
      </w:r>
      <w:r w:rsidR="001E6E1A" w:rsidRPr="00890C7C">
        <w:rPr>
          <w:rFonts w:eastAsia="Malgun Gothic"/>
          <w:kern w:val="22"/>
          <w:szCs w:val="22"/>
        </w:rPr>
        <w:t>(</w:t>
      </w:r>
      <w:r w:rsidR="00846CCC" w:rsidRPr="00890C7C">
        <w:rPr>
          <w:rFonts w:eastAsia="Malgun Gothic"/>
          <w:kern w:val="22"/>
          <w:szCs w:val="22"/>
        </w:rPr>
        <w:t>25 August 2019</w:t>
      </w:r>
      <w:r w:rsidR="001E6E1A" w:rsidRPr="00890C7C">
        <w:rPr>
          <w:rFonts w:eastAsia="Malgun Gothic"/>
          <w:kern w:val="22"/>
          <w:szCs w:val="22"/>
        </w:rPr>
        <w:t>)</w:t>
      </w:r>
      <w:r w:rsidR="00BB7CDF" w:rsidRPr="00890C7C">
        <w:rPr>
          <w:rFonts w:eastAsia="Malgun Gothic"/>
          <w:kern w:val="22"/>
          <w:szCs w:val="22"/>
        </w:rPr>
        <w:t>.</w:t>
      </w:r>
    </w:p>
    <w:p w14:paraId="5D903021" w14:textId="6C1DFDD2" w:rsidR="00846CCC" w:rsidRPr="00890C7C" w:rsidRDefault="00846CCC" w:rsidP="00AA4A91">
      <w:pPr>
        <w:pStyle w:val="Para1"/>
        <w:tabs>
          <w:tab w:val="clear" w:pos="630"/>
        </w:tabs>
        <w:ind w:left="0"/>
        <w:rPr>
          <w:rFonts w:eastAsia="Malgun Gothic"/>
          <w:kern w:val="22"/>
          <w:szCs w:val="22"/>
        </w:rPr>
      </w:pPr>
      <w:r w:rsidRPr="00890C7C">
        <w:rPr>
          <w:rFonts w:eastAsia="Malgun Gothic"/>
          <w:kern w:val="22"/>
          <w:szCs w:val="22"/>
        </w:rPr>
        <w:t xml:space="preserve">Further details on the work planned to be undertaken after the first meeting of the </w:t>
      </w:r>
      <w:r w:rsidR="00BB7CDF" w:rsidRPr="00890C7C">
        <w:rPr>
          <w:rFonts w:eastAsia="Malgun Gothic"/>
          <w:kern w:val="22"/>
          <w:szCs w:val="22"/>
        </w:rPr>
        <w:t>O</w:t>
      </w:r>
      <w:r w:rsidRPr="00890C7C">
        <w:rPr>
          <w:rFonts w:eastAsia="Malgun Gothic"/>
          <w:kern w:val="22"/>
          <w:szCs w:val="22"/>
        </w:rPr>
        <w:t xml:space="preserve">pen-ended </w:t>
      </w:r>
      <w:r w:rsidR="00BB7CDF" w:rsidRPr="00890C7C">
        <w:rPr>
          <w:rFonts w:eastAsia="Malgun Gothic"/>
          <w:kern w:val="22"/>
          <w:szCs w:val="22"/>
        </w:rPr>
        <w:t>W</w:t>
      </w:r>
      <w:r w:rsidRPr="00890C7C">
        <w:rPr>
          <w:rFonts w:eastAsia="Malgun Gothic"/>
          <w:kern w:val="22"/>
          <w:szCs w:val="22"/>
        </w:rPr>
        <w:t xml:space="preserve">orking </w:t>
      </w:r>
      <w:r w:rsidR="00BB7CDF" w:rsidRPr="00890C7C">
        <w:rPr>
          <w:rFonts w:eastAsia="Malgun Gothic"/>
          <w:kern w:val="22"/>
          <w:szCs w:val="22"/>
        </w:rPr>
        <w:t>G</w:t>
      </w:r>
      <w:r w:rsidRPr="00890C7C">
        <w:rPr>
          <w:rFonts w:eastAsia="Malgun Gothic"/>
          <w:kern w:val="22"/>
          <w:szCs w:val="22"/>
        </w:rPr>
        <w:t xml:space="preserve">roup to contribute to the development of the post-2020 global biodiversity framework </w:t>
      </w:r>
      <w:proofErr w:type="gramStart"/>
      <w:r w:rsidR="006778E1" w:rsidRPr="00890C7C">
        <w:rPr>
          <w:rFonts w:eastAsia="Malgun Gothic"/>
          <w:kern w:val="22"/>
          <w:szCs w:val="22"/>
        </w:rPr>
        <w:t>are</w:t>
      </w:r>
      <w:proofErr w:type="gramEnd"/>
      <w:r w:rsidR="006778E1" w:rsidRPr="00890C7C">
        <w:rPr>
          <w:rFonts w:eastAsia="Malgun Gothic"/>
          <w:kern w:val="22"/>
          <w:szCs w:val="22"/>
        </w:rPr>
        <w:t xml:space="preserve"> </w:t>
      </w:r>
      <w:r w:rsidRPr="00890C7C">
        <w:rPr>
          <w:rFonts w:eastAsia="Malgun Gothic"/>
          <w:kern w:val="22"/>
          <w:szCs w:val="22"/>
        </w:rPr>
        <w:t xml:space="preserve">contained in </w:t>
      </w:r>
      <w:r w:rsidR="00D523F7" w:rsidRPr="00890C7C">
        <w:rPr>
          <w:rFonts w:eastAsia="Malgun Gothic"/>
          <w:kern w:val="22"/>
          <w:szCs w:val="22"/>
        </w:rPr>
        <w:t xml:space="preserve">note by the Executive Secretary on </w:t>
      </w:r>
      <w:r w:rsidR="00293752" w:rsidRPr="00890C7C">
        <w:rPr>
          <w:rFonts w:eastAsia="Malgun Gothic"/>
          <w:kern w:val="22"/>
          <w:szCs w:val="22"/>
        </w:rPr>
        <w:t>the future work programme of the Open</w:t>
      </w:r>
      <w:r w:rsidR="00BB7CDF" w:rsidRPr="00890C7C">
        <w:rPr>
          <w:rFonts w:eastAsia="Malgun Gothic"/>
          <w:kern w:val="22"/>
          <w:szCs w:val="22"/>
        </w:rPr>
        <w:t>-</w:t>
      </w:r>
      <w:r w:rsidR="00293752" w:rsidRPr="00890C7C">
        <w:rPr>
          <w:rFonts w:eastAsia="Malgun Gothic"/>
          <w:kern w:val="22"/>
          <w:szCs w:val="22"/>
        </w:rPr>
        <w:t>ended Working Group and allocation of tasks to other intersessional bodies and processes</w:t>
      </w:r>
      <w:r w:rsidR="00D523F7" w:rsidRPr="00890C7C">
        <w:rPr>
          <w:rFonts w:eastAsia="Malgun Gothic"/>
          <w:kern w:val="22"/>
          <w:szCs w:val="22"/>
        </w:rPr>
        <w:t xml:space="preserve"> (CBD/WG2020/1/4)</w:t>
      </w:r>
      <w:r w:rsidR="00293752" w:rsidRPr="00890C7C">
        <w:rPr>
          <w:rFonts w:eastAsia="Malgun Gothic"/>
          <w:kern w:val="22"/>
          <w:szCs w:val="22"/>
        </w:rPr>
        <w:t>.</w:t>
      </w:r>
    </w:p>
    <w:p w14:paraId="3F19FCEE" w14:textId="7EF39CCD" w:rsidR="005A2987" w:rsidRPr="00890C7C" w:rsidRDefault="00BB7CDF" w:rsidP="00890C7C">
      <w:pPr>
        <w:pStyle w:val="Para1"/>
        <w:numPr>
          <w:ilvl w:val="0"/>
          <w:numId w:val="0"/>
        </w:numPr>
        <w:jc w:val="center"/>
        <w:rPr>
          <w:rFonts w:eastAsia="Malgun Gothic"/>
          <w:kern w:val="22"/>
          <w:szCs w:val="22"/>
        </w:rPr>
      </w:pPr>
      <w:r w:rsidRPr="00890C7C">
        <w:rPr>
          <w:rFonts w:eastAsia="Malgun Gothic"/>
          <w:kern w:val="22"/>
          <w:szCs w:val="22"/>
        </w:rPr>
        <w:t>__________</w:t>
      </w:r>
    </w:p>
    <w:sectPr w:rsidR="005A2987" w:rsidRPr="00890C7C" w:rsidSect="00CA1572">
      <w:headerReference w:type="even" r:id="rId13"/>
      <w:headerReference w:type="default" r:id="rId14"/>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626EF" w14:textId="77777777" w:rsidR="002F2E22" w:rsidRDefault="002F2E22">
      <w:r>
        <w:separator/>
      </w:r>
    </w:p>
  </w:endnote>
  <w:endnote w:type="continuationSeparator" w:id="0">
    <w:p w14:paraId="74C4873C" w14:textId="77777777" w:rsidR="002F2E22" w:rsidRDefault="002F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
    <w:altName w:val="Microsoft YaHe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EE6E" w14:textId="77777777" w:rsidR="002F2E22" w:rsidRDefault="002F2E22">
      <w:r>
        <w:separator/>
      </w:r>
    </w:p>
  </w:footnote>
  <w:footnote w:type="continuationSeparator" w:id="0">
    <w:p w14:paraId="096AC25E" w14:textId="77777777" w:rsidR="002F2E22" w:rsidRDefault="002F2E22">
      <w:r>
        <w:continuationSeparator/>
      </w:r>
    </w:p>
  </w:footnote>
  <w:footnote w:id="1">
    <w:p w14:paraId="27279AB9" w14:textId="7BFBF26B" w:rsidR="0067228A" w:rsidRPr="00890C7C" w:rsidRDefault="0067228A" w:rsidP="00890C7C">
      <w:pPr>
        <w:pStyle w:val="FootnoteText"/>
        <w:ind w:firstLine="0"/>
        <w:jc w:val="left"/>
        <w:rPr>
          <w:kern w:val="18"/>
          <w:szCs w:val="18"/>
        </w:rPr>
      </w:pPr>
      <w:r w:rsidRPr="00890C7C">
        <w:rPr>
          <w:rStyle w:val="FootnoteReference"/>
          <w:kern w:val="18"/>
          <w:szCs w:val="18"/>
          <w:u w:val="none"/>
          <w:vertAlign w:val="superscript"/>
        </w:rPr>
        <w:t>*</w:t>
      </w:r>
      <w:r w:rsidRPr="00890C7C">
        <w:rPr>
          <w:kern w:val="18"/>
          <w:szCs w:val="18"/>
        </w:rPr>
        <w:t xml:space="preserve"> </w:t>
      </w:r>
      <w:hyperlink r:id="rId1" w:history="1">
        <w:r w:rsidRPr="00890C7C">
          <w:rPr>
            <w:rStyle w:val="Hyperlink"/>
            <w:kern w:val="18"/>
            <w:szCs w:val="18"/>
          </w:rPr>
          <w:t>CBD/WG2020/1/1</w:t>
        </w:r>
      </w:hyperlink>
      <w:r w:rsidRPr="00890C7C">
        <w:rPr>
          <w:kern w:val="18"/>
          <w:szCs w:val="18"/>
        </w:rPr>
        <w:t>.</w:t>
      </w:r>
    </w:p>
  </w:footnote>
  <w:footnote w:id="2">
    <w:p w14:paraId="0B835D92" w14:textId="210F19FC"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hyperlink r:id="rId2" w:history="1">
        <w:r w:rsidRPr="00890C7C">
          <w:rPr>
            <w:rStyle w:val="Hyperlink"/>
            <w:kern w:val="18"/>
            <w:szCs w:val="18"/>
          </w:rPr>
          <w:t>https://www.cbd.int/conferences/post2020</w:t>
        </w:r>
      </w:hyperlink>
    </w:p>
  </w:footnote>
  <w:footnote w:id="3">
    <w:p w14:paraId="724605BA" w14:textId="559F5B20"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hyperlink r:id="rId3" w:history="1">
        <w:r w:rsidRPr="00890C7C">
          <w:rPr>
            <w:rStyle w:val="Hyperlink"/>
            <w:kern w:val="18"/>
            <w:szCs w:val="18"/>
          </w:rPr>
          <w:t>https://www.cbd.int/action-agenda/contributions/</w:t>
        </w:r>
      </w:hyperlink>
    </w:p>
  </w:footnote>
  <w:footnote w:id="4">
    <w:p w14:paraId="5A3AB6B0" w14:textId="12DC42B1"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vertAlign w:val="superscript"/>
        </w:rPr>
        <w:t xml:space="preserve"> </w:t>
      </w:r>
      <w:r w:rsidRPr="00890C7C">
        <w:rPr>
          <w:kern w:val="18"/>
          <w:szCs w:val="18"/>
        </w:rPr>
        <w:t xml:space="preserve">The submissions received in response to these notifications are accessible from </w:t>
      </w:r>
      <w:hyperlink r:id="rId4" w:history="1">
        <w:r w:rsidRPr="00890C7C">
          <w:rPr>
            <w:rStyle w:val="Hyperlink"/>
            <w:kern w:val="18"/>
            <w:szCs w:val="18"/>
          </w:rPr>
          <w:t>https://www.cbd.int/conferences/post2020/submissions</w:t>
        </w:r>
      </w:hyperlink>
      <w:r w:rsidR="000D2ACB">
        <w:rPr>
          <w:rStyle w:val="Hyperlink"/>
          <w:kern w:val="18"/>
          <w:szCs w:val="18"/>
        </w:rPr>
        <w:t>.</w:t>
      </w:r>
    </w:p>
  </w:footnote>
  <w:footnote w:id="5">
    <w:p w14:paraId="197F5BD3" w14:textId="1313ECB7"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r w:rsidR="00C65F24">
        <w:rPr>
          <w:kern w:val="18"/>
          <w:szCs w:val="18"/>
        </w:rPr>
        <w:t>See n</w:t>
      </w:r>
      <w:r w:rsidRPr="00890C7C">
        <w:rPr>
          <w:kern w:val="18"/>
          <w:szCs w:val="18"/>
        </w:rPr>
        <w:t xml:space="preserve">otification </w:t>
      </w:r>
      <w:hyperlink r:id="rId5" w:history="1">
        <w:r w:rsidRPr="00890C7C">
          <w:rPr>
            <w:rStyle w:val="Hyperlink"/>
            <w:color w:val="0079C0"/>
            <w:kern w:val="18"/>
            <w:szCs w:val="18"/>
            <w:shd w:val="clear" w:color="auto" w:fill="FFFFFF"/>
          </w:rPr>
          <w:t>2018-063</w:t>
        </w:r>
      </w:hyperlink>
      <w:r w:rsidR="000D2ACB">
        <w:rPr>
          <w:rStyle w:val="Hyperlink"/>
          <w:color w:val="0079C0"/>
          <w:kern w:val="18"/>
          <w:szCs w:val="18"/>
          <w:shd w:val="clear" w:color="auto" w:fill="FFFFFF"/>
        </w:rPr>
        <w:t>.</w:t>
      </w:r>
    </w:p>
  </w:footnote>
  <w:footnote w:id="6">
    <w:p w14:paraId="621C75B2" w14:textId="5D77B284" w:rsidR="005E3A9C" w:rsidRPr="00890C7C" w:rsidRDefault="005E3A9C"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hyperlink r:id="rId6" w:history="1">
        <w:r w:rsidRPr="00890C7C">
          <w:rPr>
            <w:rStyle w:val="Hyperlink"/>
            <w:kern w:val="18"/>
            <w:szCs w:val="18"/>
          </w:rPr>
          <w:t>CBD/POST2020/PREP/1/INF/1</w:t>
        </w:r>
      </w:hyperlink>
      <w:r w:rsidR="000D2ACB">
        <w:rPr>
          <w:kern w:val="18"/>
          <w:szCs w:val="18"/>
        </w:rPr>
        <w:t>.</w:t>
      </w:r>
    </w:p>
  </w:footnote>
  <w:footnote w:id="7">
    <w:p w14:paraId="054B84E2" w14:textId="50BFC8A0" w:rsidR="005E3A9C" w:rsidRPr="00890C7C" w:rsidRDefault="005E3A9C"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hyperlink r:id="rId7" w:history="1">
        <w:r w:rsidRPr="00890C7C">
          <w:rPr>
            <w:rStyle w:val="Hyperlink"/>
            <w:kern w:val="18"/>
            <w:szCs w:val="18"/>
          </w:rPr>
          <w:t>CBD/POST2020/PREP/1/1</w:t>
        </w:r>
      </w:hyperlink>
      <w:r w:rsidR="000D2ACB">
        <w:rPr>
          <w:kern w:val="18"/>
          <w:szCs w:val="18"/>
        </w:rPr>
        <w:t>.</w:t>
      </w:r>
    </w:p>
  </w:footnote>
  <w:footnote w:id="8">
    <w:p w14:paraId="315B5570" w14:textId="5EE83EBC"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r w:rsidR="00C65F24">
        <w:rPr>
          <w:kern w:val="18"/>
          <w:szCs w:val="18"/>
        </w:rPr>
        <w:t>See n</w:t>
      </w:r>
      <w:r w:rsidRPr="00890C7C">
        <w:rPr>
          <w:kern w:val="18"/>
          <w:szCs w:val="18"/>
        </w:rPr>
        <w:t xml:space="preserve">otification </w:t>
      </w:r>
      <w:hyperlink r:id="rId8" w:history="1">
        <w:r w:rsidRPr="00890C7C">
          <w:rPr>
            <w:rStyle w:val="Hyperlink"/>
            <w:color w:val="0079C0"/>
            <w:kern w:val="18"/>
            <w:szCs w:val="18"/>
            <w:shd w:val="clear" w:color="auto" w:fill="FFFFFF"/>
          </w:rPr>
          <w:t>2019-008</w:t>
        </w:r>
      </w:hyperlink>
      <w:r w:rsidR="000D2ACB">
        <w:rPr>
          <w:rStyle w:val="Hyperlink"/>
          <w:color w:val="0079C0"/>
          <w:kern w:val="18"/>
          <w:szCs w:val="18"/>
          <w:shd w:val="clear" w:color="auto" w:fill="FFFFFF"/>
        </w:rPr>
        <w:t>.</w:t>
      </w:r>
    </w:p>
  </w:footnote>
  <w:footnote w:id="9">
    <w:p w14:paraId="6FBC3E98" w14:textId="2F4DD76D" w:rsidR="008755E5" w:rsidRPr="00890C7C" w:rsidRDefault="008755E5"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hyperlink r:id="rId9" w:history="1">
        <w:r w:rsidR="00360492" w:rsidRPr="00890C7C">
          <w:rPr>
            <w:rStyle w:val="Hyperlink"/>
            <w:kern w:val="18"/>
            <w:szCs w:val="18"/>
          </w:rPr>
          <w:t>CBD/POST2020/PREP/1/INF/2</w:t>
        </w:r>
      </w:hyperlink>
      <w:r w:rsidR="000D2ACB">
        <w:rPr>
          <w:kern w:val="18"/>
          <w:szCs w:val="18"/>
        </w:rPr>
        <w:t>.</w:t>
      </w:r>
    </w:p>
  </w:footnote>
  <w:footnote w:id="10">
    <w:p w14:paraId="22E37E60" w14:textId="38E6D309" w:rsidR="00360492" w:rsidRPr="00890C7C" w:rsidRDefault="00360492"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r w:rsidR="00C65F24">
        <w:rPr>
          <w:kern w:val="18"/>
          <w:szCs w:val="18"/>
        </w:rPr>
        <w:t>See n</w:t>
      </w:r>
      <w:r w:rsidRPr="00890C7C">
        <w:rPr>
          <w:kern w:val="18"/>
          <w:szCs w:val="18"/>
        </w:rPr>
        <w:t xml:space="preserve">otifications </w:t>
      </w:r>
      <w:hyperlink r:id="rId10" w:history="1">
        <w:r w:rsidRPr="00890C7C">
          <w:rPr>
            <w:rStyle w:val="Hyperlink"/>
            <w:color w:val="0079C0"/>
            <w:kern w:val="18"/>
            <w:szCs w:val="18"/>
            <w:shd w:val="clear" w:color="auto" w:fill="FFFFFF"/>
          </w:rPr>
          <w:t>2017-124</w:t>
        </w:r>
      </w:hyperlink>
      <w:r w:rsidRPr="00890C7C">
        <w:rPr>
          <w:kern w:val="18"/>
          <w:szCs w:val="18"/>
        </w:rPr>
        <w:t xml:space="preserve"> and </w:t>
      </w:r>
      <w:hyperlink r:id="rId11" w:history="1">
        <w:r w:rsidRPr="00890C7C">
          <w:rPr>
            <w:rStyle w:val="Hyperlink"/>
            <w:color w:val="0079C0"/>
            <w:kern w:val="18"/>
            <w:szCs w:val="18"/>
            <w:shd w:val="clear" w:color="auto" w:fill="FFFFFF"/>
          </w:rPr>
          <w:t>2017-052</w:t>
        </w:r>
      </w:hyperlink>
      <w:r w:rsidR="000D2ACB">
        <w:rPr>
          <w:rStyle w:val="Hyperlink"/>
          <w:color w:val="0079C0"/>
          <w:kern w:val="18"/>
          <w:szCs w:val="18"/>
          <w:shd w:val="clear" w:color="auto" w:fill="FFFFFF"/>
        </w:rPr>
        <w:t>.</w:t>
      </w:r>
    </w:p>
  </w:footnote>
  <w:footnote w:id="11">
    <w:p w14:paraId="1E341502" w14:textId="5DAF5826" w:rsidR="008755E5" w:rsidRPr="00890C7C" w:rsidRDefault="008755E5"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r w:rsidR="00CF0DD2">
        <w:rPr>
          <w:kern w:val="18"/>
          <w:szCs w:val="18"/>
        </w:rPr>
        <w:t>See</w:t>
      </w:r>
      <w:r w:rsidRPr="00890C7C">
        <w:rPr>
          <w:kern w:val="18"/>
          <w:szCs w:val="18"/>
        </w:rPr>
        <w:t xml:space="preserve"> </w:t>
      </w:r>
      <w:hyperlink r:id="rId12" w:history="1">
        <w:r w:rsidRPr="00890C7C">
          <w:rPr>
            <w:rStyle w:val="Hyperlink"/>
            <w:kern w:val="18"/>
            <w:szCs w:val="18"/>
          </w:rPr>
          <w:t>https://www.cbd.int/conferences/post2020</w:t>
        </w:r>
      </w:hyperlink>
      <w:r w:rsidR="000D2ACB">
        <w:rPr>
          <w:rStyle w:val="Hyperlink"/>
          <w:kern w:val="18"/>
          <w:szCs w:val="18"/>
        </w:rPr>
        <w:t>.</w:t>
      </w:r>
    </w:p>
  </w:footnote>
  <w:footnote w:id="12">
    <w:p w14:paraId="48CA4B51" w14:textId="43D9BAB3"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The reports of the thematic consultations are accessible </w:t>
      </w:r>
      <w:r w:rsidR="002970BD" w:rsidRPr="00890C7C">
        <w:rPr>
          <w:kern w:val="18"/>
          <w:szCs w:val="18"/>
        </w:rPr>
        <w:t xml:space="preserve">from </w:t>
      </w:r>
      <w:r w:rsidRPr="00890C7C">
        <w:rPr>
          <w:kern w:val="18"/>
          <w:szCs w:val="18"/>
        </w:rPr>
        <w:t xml:space="preserve"> </w:t>
      </w:r>
      <w:hyperlink r:id="rId13" w:history="1">
        <w:r w:rsidRPr="00890C7C">
          <w:rPr>
            <w:rStyle w:val="Hyperlink"/>
            <w:kern w:val="18"/>
            <w:szCs w:val="18"/>
          </w:rPr>
          <w:t>https://www.cbd.int/conferences/post2020</w:t>
        </w:r>
      </w:hyperlink>
      <w:r w:rsidR="000D2ACB">
        <w:rPr>
          <w:rStyle w:val="Hyperlink"/>
          <w:kern w:val="18"/>
          <w:szCs w:val="18"/>
        </w:rPr>
        <w:t>.</w:t>
      </w:r>
    </w:p>
  </w:footnote>
  <w:footnote w:id="13">
    <w:p w14:paraId="4E1360D7" w14:textId="6F08415C"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hyperlink r:id="rId14" w:history="1">
        <w:r w:rsidRPr="00890C7C">
          <w:rPr>
            <w:rStyle w:val="Hyperlink"/>
            <w:kern w:val="18"/>
            <w:szCs w:val="18"/>
          </w:rPr>
          <w:t>https://www.cbd.int/doc/notifications/2019/ntf-2019-032-high-level-event-unea4-en.pdf</w:t>
        </w:r>
      </w:hyperlink>
    </w:p>
  </w:footnote>
  <w:footnote w:id="14">
    <w:p w14:paraId="578E8C08" w14:textId="2AC04668"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hyperlink r:id="rId15" w:history="1">
        <w:r w:rsidRPr="00890C7C">
          <w:rPr>
            <w:rStyle w:val="Hyperlink"/>
            <w:kern w:val="18"/>
            <w:szCs w:val="18"/>
          </w:rPr>
          <w:t>https://www.canada.ca/en/environment-climate-change/campaigns/nature-champions-summit.html</w:t>
        </w:r>
      </w:hyperlink>
    </w:p>
  </w:footnote>
  <w:footnote w:id="15">
    <w:p w14:paraId="10581C29" w14:textId="0874ECE2"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hyperlink r:id="rId16" w:history="1">
        <w:r w:rsidRPr="00890C7C">
          <w:rPr>
            <w:rStyle w:val="Hyperlink"/>
            <w:kern w:val="18"/>
            <w:szCs w:val="18"/>
          </w:rPr>
          <w:t>https://www.elysee.fr/en/g7/2019/01/01/combating-inequality-and-promoting-biodiversity-and-climate-action</w:t>
        </w:r>
      </w:hyperlink>
      <w:r w:rsidRPr="00890C7C">
        <w:rPr>
          <w:rStyle w:val="Hyperlink"/>
          <w:kern w:val="18"/>
          <w:szCs w:val="18"/>
        </w:rPr>
        <w:t xml:space="preserve"> </w:t>
      </w:r>
      <w:r w:rsidR="008F13FA" w:rsidRPr="00890C7C">
        <w:rPr>
          <w:kern w:val="18"/>
          <w:szCs w:val="18"/>
        </w:rPr>
        <w:t xml:space="preserve">and </w:t>
      </w:r>
      <w:r w:rsidRPr="00890C7C">
        <w:rPr>
          <w:kern w:val="18"/>
          <w:szCs w:val="18"/>
        </w:rPr>
        <w:t xml:space="preserve"> </w:t>
      </w:r>
      <w:hyperlink r:id="rId17" w:history="1">
        <w:r w:rsidR="008F13FA" w:rsidRPr="00890C7C">
          <w:rPr>
            <w:rStyle w:val="Hyperlink"/>
            <w:kern w:val="18"/>
            <w:szCs w:val="18"/>
          </w:rPr>
          <w:t>https://www.elysee.fr/admin/upload/default/0001/04/7d84becef82b656c246fa1b26519567ce3755600.pdf</w:t>
        </w:r>
      </w:hyperlink>
      <w:r w:rsidR="008F13FA" w:rsidRPr="00890C7C">
        <w:rPr>
          <w:kern w:val="18"/>
          <w:szCs w:val="18"/>
        </w:rPr>
        <w:t xml:space="preserve"> </w:t>
      </w:r>
    </w:p>
  </w:footnote>
  <w:footnote w:id="16">
    <w:p w14:paraId="03F23B04" w14:textId="6EB3F766" w:rsidR="004B01F8" w:rsidRPr="00890C7C" w:rsidRDefault="004B01F8" w:rsidP="00890C7C">
      <w:pPr>
        <w:keepLines/>
        <w:spacing w:after="60"/>
        <w:jc w:val="left"/>
        <w:rPr>
          <w:kern w:val="18"/>
          <w:sz w:val="18"/>
          <w:szCs w:val="18"/>
        </w:rPr>
      </w:pPr>
      <w:r w:rsidRPr="00890C7C">
        <w:rPr>
          <w:rStyle w:val="FootnoteReference"/>
          <w:kern w:val="18"/>
          <w:szCs w:val="18"/>
          <w:u w:val="none"/>
          <w:vertAlign w:val="superscript"/>
        </w:rPr>
        <w:footnoteRef/>
      </w:r>
      <w:r w:rsidRPr="00890C7C">
        <w:rPr>
          <w:kern w:val="18"/>
          <w:sz w:val="18"/>
          <w:szCs w:val="18"/>
        </w:rPr>
        <w:t xml:space="preserve"> </w:t>
      </w:r>
      <w:hyperlink r:id="rId18" w:history="1">
        <w:r w:rsidRPr="00890C7C">
          <w:rPr>
            <w:rStyle w:val="Hyperlink"/>
            <w:kern w:val="18"/>
            <w:sz w:val="18"/>
            <w:szCs w:val="18"/>
          </w:rPr>
          <w:t>https://seea.un.org/sites/seea.un.org/files/expert_meeting_report_seea_for_sdgs_and_post_2020_1.pdf</w:t>
        </w:r>
      </w:hyperlink>
    </w:p>
  </w:footnote>
  <w:footnote w:id="17">
    <w:p w14:paraId="1DA331E9" w14:textId="3998E130" w:rsidR="004B01F8" w:rsidRPr="00890C7C" w:rsidRDefault="004B01F8" w:rsidP="00890C7C">
      <w:pPr>
        <w:keepLines/>
        <w:spacing w:after="60"/>
        <w:jc w:val="left"/>
        <w:rPr>
          <w:kern w:val="18"/>
          <w:sz w:val="18"/>
          <w:szCs w:val="18"/>
        </w:rPr>
      </w:pPr>
      <w:r w:rsidRPr="00890C7C">
        <w:rPr>
          <w:rStyle w:val="FootnoteReference"/>
          <w:kern w:val="18"/>
          <w:szCs w:val="18"/>
          <w:u w:val="none"/>
          <w:vertAlign w:val="superscript"/>
        </w:rPr>
        <w:footnoteRef/>
      </w:r>
      <w:r w:rsidRPr="00890C7C">
        <w:rPr>
          <w:kern w:val="18"/>
          <w:sz w:val="18"/>
          <w:szCs w:val="18"/>
        </w:rPr>
        <w:t xml:space="preserve"> </w:t>
      </w:r>
      <w:hyperlink r:id="rId19" w:history="1">
        <w:r w:rsidRPr="00890C7C">
          <w:rPr>
            <w:rStyle w:val="Hyperlink"/>
            <w:kern w:val="18"/>
            <w:sz w:val="18"/>
            <w:szCs w:val="18"/>
          </w:rPr>
          <w:t>http://www.oecd.org/environment/resources/biodiversity/Summary-Record-OECD-workshop-The-Post-2020-Biodiversity-Framework-targets-indicators-and-measurability-implications.pdf</w:t>
        </w:r>
      </w:hyperlink>
    </w:p>
  </w:footnote>
  <w:footnote w:id="18">
    <w:p w14:paraId="58E4E3E9" w14:textId="3903CB59" w:rsidR="006778E1" w:rsidRPr="00890C7C" w:rsidRDefault="006778E1" w:rsidP="00890C7C">
      <w:pPr>
        <w:pStyle w:val="FootnoteText"/>
        <w:ind w:firstLine="0"/>
        <w:jc w:val="left"/>
        <w:rPr>
          <w:spacing w:val="-10"/>
          <w:kern w:val="18"/>
          <w:szCs w:val="18"/>
        </w:rPr>
      </w:pPr>
      <w:r w:rsidRPr="00890C7C">
        <w:rPr>
          <w:rStyle w:val="FootnoteReference"/>
          <w:spacing w:val="-10"/>
          <w:kern w:val="18"/>
          <w:szCs w:val="18"/>
          <w:u w:val="none"/>
          <w:vertAlign w:val="superscript"/>
        </w:rPr>
        <w:footnoteRef/>
      </w:r>
      <w:r w:rsidRPr="00890C7C">
        <w:rPr>
          <w:spacing w:val="-10"/>
          <w:kern w:val="18"/>
          <w:szCs w:val="18"/>
        </w:rPr>
        <w:t xml:space="preserve"> </w:t>
      </w:r>
      <w:hyperlink r:id="rId20" w:history="1">
        <w:r w:rsidRPr="00890C7C">
          <w:rPr>
            <w:rStyle w:val="Hyperlink"/>
            <w:spacing w:val="-10"/>
            <w:kern w:val="18"/>
            <w:szCs w:val="18"/>
          </w:rPr>
          <w:t>https://www.cbd.int/api/v2013/documents/D8F8A08C-916B-1B76-9059-C885ADEFCE98/attachments/ CBD%20Alliance-2-en.pdf</w:t>
        </w:r>
      </w:hyperlink>
    </w:p>
  </w:footnote>
  <w:footnote w:id="19">
    <w:p w14:paraId="02E408B3" w14:textId="1BC49EF8" w:rsidR="004B01F8" w:rsidRPr="00890C7C" w:rsidRDefault="004B01F8" w:rsidP="00890C7C">
      <w:pPr>
        <w:keepLines/>
        <w:spacing w:after="60"/>
        <w:jc w:val="left"/>
        <w:rPr>
          <w:color w:val="000000"/>
          <w:kern w:val="18"/>
          <w:sz w:val="18"/>
          <w:szCs w:val="18"/>
        </w:rPr>
      </w:pPr>
      <w:r w:rsidRPr="00890C7C">
        <w:rPr>
          <w:rStyle w:val="FootnoteReference"/>
          <w:kern w:val="18"/>
          <w:szCs w:val="18"/>
          <w:u w:val="none"/>
          <w:vertAlign w:val="superscript"/>
        </w:rPr>
        <w:footnoteRef/>
      </w:r>
      <w:r w:rsidRPr="00890C7C">
        <w:rPr>
          <w:kern w:val="18"/>
          <w:sz w:val="18"/>
          <w:szCs w:val="18"/>
        </w:rPr>
        <w:t xml:space="preserve"> Staff members from the secretariats of the </w:t>
      </w:r>
      <w:r w:rsidRPr="00890C7C">
        <w:rPr>
          <w:rFonts w:eastAsia="Malgun Gothic"/>
          <w:kern w:val="18"/>
          <w:sz w:val="18"/>
          <w:szCs w:val="18"/>
        </w:rPr>
        <w:t xml:space="preserve">Convention on Biological Diversity, </w:t>
      </w:r>
      <w:r w:rsidR="00977D72" w:rsidRPr="00890C7C">
        <w:rPr>
          <w:rFonts w:eastAsia="Malgun Gothic"/>
          <w:kern w:val="18"/>
          <w:sz w:val="18"/>
          <w:szCs w:val="18"/>
        </w:rPr>
        <w:t xml:space="preserve">the </w:t>
      </w:r>
      <w:r w:rsidRPr="00890C7C">
        <w:rPr>
          <w:rFonts w:eastAsia="Malgun Gothic"/>
          <w:kern w:val="18"/>
          <w:sz w:val="18"/>
          <w:szCs w:val="18"/>
        </w:rPr>
        <w:t xml:space="preserve">Convention concerning the Protection of the World Cultural and Natural Heritage, </w:t>
      </w:r>
      <w:r w:rsidR="00977D72" w:rsidRPr="00890C7C">
        <w:rPr>
          <w:rFonts w:eastAsia="Malgun Gothic"/>
          <w:kern w:val="18"/>
          <w:sz w:val="18"/>
          <w:szCs w:val="18"/>
        </w:rPr>
        <w:t xml:space="preserve">the </w:t>
      </w:r>
      <w:r w:rsidRPr="00890C7C">
        <w:rPr>
          <w:rFonts w:eastAsia="Malgun Gothic"/>
          <w:kern w:val="18"/>
          <w:sz w:val="18"/>
          <w:szCs w:val="18"/>
        </w:rPr>
        <w:t xml:space="preserve">Convention on International Trade in Endangered Species of Wild Fauna and Flora, </w:t>
      </w:r>
      <w:r w:rsidR="00977D72" w:rsidRPr="00890C7C">
        <w:rPr>
          <w:rFonts w:eastAsia="Malgun Gothic"/>
          <w:kern w:val="18"/>
          <w:sz w:val="18"/>
          <w:szCs w:val="18"/>
        </w:rPr>
        <w:t xml:space="preserve">the </w:t>
      </w:r>
      <w:r w:rsidRPr="00890C7C">
        <w:rPr>
          <w:rFonts w:eastAsia="Malgun Gothic"/>
          <w:kern w:val="18"/>
          <w:sz w:val="18"/>
          <w:szCs w:val="18"/>
        </w:rPr>
        <w:t xml:space="preserve">Convention on the Conservation of Migratory Species of Wild Animals, </w:t>
      </w:r>
      <w:r w:rsidR="00977D72" w:rsidRPr="00890C7C">
        <w:rPr>
          <w:rFonts w:eastAsia="Malgun Gothic"/>
          <w:kern w:val="18"/>
          <w:sz w:val="18"/>
          <w:szCs w:val="18"/>
        </w:rPr>
        <w:t xml:space="preserve">the </w:t>
      </w:r>
      <w:r w:rsidRPr="00890C7C">
        <w:rPr>
          <w:rFonts w:eastAsia="Malgun Gothic"/>
          <w:kern w:val="18"/>
          <w:sz w:val="18"/>
          <w:szCs w:val="18"/>
        </w:rPr>
        <w:t xml:space="preserve">Convention on Wetlands of International Importance especially as Waterfowl Habitat, </w:t>
      </w:r>
      <w:r w:rsidR="00977D72" w:rsidRPr="00890C7C">
        <w:rPr>
          <w:rFonts w:eastAsia="Malgun Gothic"/>
          <w:kern w:val="18"/>
          <w:sz w:val="18"/>
          <w:szCs w:val="18"/>
        </w:rPr>
        <w:t xml:space="preserve">the </w:t>
      </w:r>
      <w:r w:rsidRPr="00890C7C">
        <w:rPr>
          <w:color w:val="000000"/>
          <w:kern w:val="18"/>
          <w:sz w:val="18"/>
          <w:szCs w:val="18"/>
        </w:rPr>
        <w:t xml:space="preserve">International Plant Protection Convention, </w:t>
      </w:r>
      <w:r w:rsidR="00977D72" w:rsidRPr="00890C7C">
        <w:rPr>
          <w:color w:val="000000"/>
          <w:kern w:val="18"/>
          <w:sz w:val="18"/>
          <w:szCs w:val="18"/>
        </w:rPr>
        <w:t xml:space="preserve">the </w:t>
      </w:r>
      <w:r w:rsidRPr="00890C7C">
        <w:rPr>
          <w:color w:val="000000"/>
          <w:kern w:val="18"/>
          <w:sz w:val="18"/>
          <w:szCs w:val="18"/>
        </w:rPr>
        <w:t xml:space="preserve">International Treaty on Plant Genetic Resources for Food and Agriculture, </w:t>
      </w:r>
      <w:r w:rsidR="00977D72" w:rsidRPr="00890C7C">
        <w:rPr>
          <w:color w:val="000000"/>
          <w:kern w:val="18"/>
          <w:sz w:val="18"/>
          <w:szCs w:val="18"/>
        </w:rPr>
        <w:t xml:space="preserve">the </w:t>
      </w:r>
      <w:r w:rsidRPr="00890C7C">
        <w:rPr>
          <w:color w:val="000000"/>
          <w:kern w:val="18"/>
          <w:sz w:val="18"/>
          <w:szCs w:val="18"/>
        </w:rPr>
        <w:t xml:space="preserve">International Whaling Commission, </w:t>
      </w:r>
      <w:r w:rsidR="00977D72" w:rsidRPr="00890C7C">
        <w:rPr>
          <w:color w:val="000000"/>
          <w:kern w:val="18"/>
          <w:sz w:val="18"/>
          <w:szCs w:val="18"/>
        </w:rPr>
        <w:t xml:space="preserve">the </w:t>
      </w:r>
      <w:r w:rsidRPr="00890C7C">
        <w:rPr>
          <w:color w:val="000000"/>
          <w:kern w:val="18"/>
          <w:sz w:val="18"/>
          <w:szCs w:val="18"/>
        </w:rPr>
        <w:t xml:space="preserve">United Nations Convention to Combat Desertification, </w:t>
      </w:r>
      <w:r w:rsidR="00977D72" w:rsidRPr="00890C7C">
        <w:rPr>
          <w:color w:val="000000"/>
          <w:kern w:val="18"/>
          <w:sz w:val="18"/>
          <w:szCs w:val="18"/>
        </w:rPr>
        <w:t xml:space="preserve">the </w:t>
      </w:r>
      <w:r w:rsidRPr="00890C7C">
        <w:rPr>
          <w:color w:val="000000"/>
          <w:kern w:val="18"/>
          <w:sz w:val="18"/>
          <w:szCs w:val="18"/>
        </w:rPr>
        <w:t xml:space="preserve">United Nations Framework Convention on Climate Change, </w:t>
      </w:r>
      <w:r w:rsidR="00977D72" w:rsidRPr="00890C7C">
        <w:rPr>
          <w:color w:val="000000"/>
          <w:kern w:val="18"/>
          <w:sz w:val="18"/>
          <w:szCs w:val="18"/>
        </w:rPr>
        <w:t xml:space="preserve">the </w:t>
      </w:r>
      <w:r w:rsidRPr="00890C7C">
        <w:rPr>
          <w:color w:val="000000"/>
          <w:kern w:val="18"/>
          <w:sz w:val="18"/>
          <w:szCs w:val="18"/>
        </w:rPr>
        <w:t xml:space="preserve">Minamata Convention on Mercury, </w:t>
      </w:r>
      <w:r w:rsidR="00977D72" w:rsidRPr="00890C7C">
        <w:rPr>
          <w:color w:val="000000"/>
          <w:kern w:val="18"/>
          <w:sz w:val="18"/>
          <w:szCs w:val="18"/>
        </w:rPr>
        <w:t xml:space="preserve">the </w:t>
      </w:r>
      <w:r w:rsidRPr="00890C7C">
        <w:rPr>
          <w:color w:val="000000"/>
          <w:kern w:val="18"/>
          <w:sz w:val="18"/>
          <w:szCs w:val="18"/>
        </w:rPr>
        <w:t>Secretariat of the Basel, Rotterdam and Stockholm Conventions, and the World Heritage Centre</w:t>
      </w:r>
      <w:r w:rsidR="002460D5">
        <w:rPr>
          <w:color w:val="000000"/>
          <w:kern w:val="18"/>
          <w:sz w:val="18"/>
          <w:szCs w:val="18"/>
        </w:rPr>
        <w:t>.</w:t>
      </w:r>
    </w:p>
  </w:footnote>
  <w:footnote w:id="20">
    <w:p w14:paraId="1C8A3164" w14:textId="5EB4A541" w:rsidR="00977D72" w:rsidRPr="00890C7C" w:rsidRDefault="00977D72"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One of these Parties was the European Union and its </w:t>
      </w:r>
      <w:proofErr w:type="gramStart"/>
      <w:r w:rsidRPr="00890C7C">
        <w:rPr>
          <w:kern w:val="18"/>
          <w:szCs w:val="18"/>
        </w:rPr>
        <w:t>28 member</w:t>
      </w:r>
      <w:proofErr w:type="gramEnd"/>
      <w:r w:rsidRPr="00890C7C">
        <w:rPr>
          <w:kern w:val="18"/>
          <w:szCs w:val="18"/>
        </w:rPr>
        <w:t xml:space="preserve"> </w:t>
      </w:r>
      <w:r w:rsidR="002460D5">
        <w:rPr>
          <w:kern w:val="18"/>
          <w:szCs w:val="18"/>
        </w:rPr>
        <w:t>S</w:t>
      </w:r>
      <w:r w:rsidRPr="00890C7C">
        <w:rPr>
          <w:kern w:val="18"/>
          <w:szCs w:val="18"/>
        </w:rPr>
        <w:t>tates</w:t>
      </w:r>
      <w:r w:rsidR="002460D5">
        <w:rPr>
          <w:kern w:val="18"/>
          <w:szCs w:val="18"/>
        </w:rPr>
        <w:t>.</w:t>
      </w:r>
    </w:p>
  </w:footnote>
  <w:footnote w:id="21">
    <w:p w14:paraId="6EF46B4A" w14:textId="4A1EF998" w:rsidR="008F13FA" w:rsidRPr="00890C7C" w:rsidRDefault="008F13FA"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kern w:val="18"/>
          <w:szCs w:val="18"/>
        </w:rPr>
        <w:t xml:space="preserve"> </w:t>
      </w:r>
      <w:r w:rsidR="00F45326">
        <w:rPr>
          <w:kern w:val="18"/>
          <w:szCs w:val="18"/>
        </w:rPr>
        <w:t xml:space="preserve">See </w:t>
      </w:r>
      <w:hyperlink r:id="rId21" w:history="1">
        <w:r w:rsidR="003B2616">
          <w:rPr>
            <w:rStyle w:val="Hyperlink"/>
            <w:kern w:val="18"/>
            <w:szCs w:val="18"/>
          </w:rPr>
          <w:t>n</w:t>
        </w:r>
        <w:r w:rsidRPr="00890C7C">
          <w:rPr>
            <w:rStyle w:val="Hyperlink"/>
            <w:kern w:val="18"/>
            <w:szCs w:val="18"/>
          </w:rPr>
          <w:t>otification 2019-043</w:t>
        </w:r>
      </w:hyperlink>
      <w:r w:rsidR="00F45326">
        <w:rPr>
          <w:rStyle w:val="Hyperlink"/>
          <w:kern w:val="18"/>
          <w:szCs w:val="18"/>
        </w:rPr>
        <w:t>.</w:t>
      </w:r>
    </w:p>
  </w:footnote>
  <w:footnote w:id="22">
    <w:p w14:paraId="56982F9E" w14:textId="164F832B" w:rsidR="004B01F8" w:rsidRPr="00890C7C" w:rsidRDefault="004B01F8" w:rsidP="00890C7C">
      <w:pPr>
        <w:pStyle w:val="FootnoteText"/>
        <w:ind w:firstLine="0"/>
        <w:jc w:val="left"/>
        <w:rPr>
          <w:kern w:val="18"/>
          <w:szCs w:val="18"/>
        </w:rPr>
      </w:pPr>
      <w:r w:rsidRPr="00890C7C">
        <w:rPr>
          <w:rStyle w:val="FootnoteReference"/>
          <w:kern w:val="18"/>
          <w:szCs w:val="18"/>
          <w:u w:val="none"/>
          <w:vertAlign w:val="superscript"/>
        </w:rPr>
        <w:footnoteRef/>
      </w:r>
      <w:r w:rsidRPr="00890C7C">
        <w:rPr>
          <w:rStyle w:val="FootnoteReference"/>
          <w:kern w:val="18"/>
          <w:szCs w:val="18"/>
          <w:u w:val="none"/>
          <w:vertAlign w:val="superscript"/>
        </w:rPr>
        <w:t xml:space="preserve"> </w:t>
      </w:r>
      <w:r w:rsidR="00F45326" w:rsidRPr="00890C7C">
        <w:rPr>
          <w:rStyle w:val="FootnoteReference"/>
          <w:kern w:val="18"/>
          <w:szCs w:val="18"/>
          <w:u w:val="none"/>
        </w:rPr>
        <w:t>S</w:t>
      </w:r>
      <w:r w:rsidR="00F45326" w:rsidRPr="00890C7C">
        <w:rPr>
          <w:kern w:val="18"/>
          <w:szCs w:val="18"/>
        </w:rPr>
        <w:t>ee</w:t>
      </w:r>
      <w:r w:rsidR="00F45326">
        <w:rPr>
          <w:kern w:val="18"/>
          <w:szCs w:val="18"/>
          <w:vertAlign w:val="superscript"/>
        </w:rPr>
        <w:t xml:space="preserve"> </w:t>
      </w:r>
      <w:r w:rsidR="003B2616">
        <w:rPr>
          <w:kern w:val="18"/>
          <w:szCs w:val="18"/>
        </w:rPr>
        <w:t>n</w:t>
      </w:r>
      <w:r w:rsidRPr="00890C7C">
        <w:rPr>
          <w:kern w:val="18"/>
          <w:szCs w:val="18"/>
        </w:rPr>
        <w:t xml:space="preserve">otifications </w:t>
      </w:r>
      <w:hyperlink r:id="rId22" w:history="1">
        <w:r w:rsidRPr="00890C7C">
          <w:rPr>
            <w:rStyle w:val="Hyperlink"/>
            <w:kern w:val="18"/>
            <w:szCs w:val="18"/>
          </w:rPr>
          <w:t>2019-027</w:t>
        </w:r>
      </w:hyperlink>
      <w:r w:rsidRPr="00890C7C">
        <w:rPr>
          <w:kern w:val="18"/>
          <w:szCs w:val="18"/>
        </w:rPr>
        <w:t xml:space="preserve">, </w:t>
      </w:r>
      <w:hyperlink r:id="rId23" w:history="1">
        <w:r w:rsidRPr="00890C7C">
          <w:rPr>
            <w:rStyle w:val="Hyperlink"/>
            <w:kern w:val="18"/>
            <w:szCs w:val="18"/>
          </w:rPr>
          <w:t>2019-044</w:t>
        </w:r>
      </w:hyperlink>
      <w:r w:rsidR="00F45326">
        <w:rPr>
          <w:rStyle w:val="Hyperlink"/>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3980524C" w14:textId="77777777" w:rsidR="004B01F8" w:rsidRDefault="004B01F8" w:rsidP="005440A6">
        <w:pPr>
          <w:pStyle w:val="Header"/>
          <w:tabs>
            <w:tab w:val="clear" w:pos="4320"/>
            <w:tab w:val="clear" w:pos="8640"/>
          </w:tabs>
          <w:jc w:val="left"/>
          <w:rPr>
            <w:noProof/>
            <w:kern w:val="22"/>
          </w:rPr>
        </w:pPr>
        <w:r>
          <w:rPr>
            <w:noProof/>
            <w:kern w:val="22"/>
          </w:rPr>
          <w:t>CBD/WG2020/1/2</w:t>
        </w:r>
      </w:p>
    </w:sdtContent>
  </w:sdt>
  <w:p w14:paraId="0AE20E6C" w14:textId="77777777" w:rsidR="004B01F8" w:rsidRPr="005440A6" w:rsidRDefault="004B01F8" w:rsidP="005440A6">
    <w:pPr>
      <w:pStyle w:val="Header"/>
      <w:tabs>
        <w:tab w:val="clear" w:pos="4320"/>
        <w:tab w:val="clear" w:pos="8640"/>
      </w:tabs>
      <w:jc w:val="lef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2</w:t>
    </w:r>
    <w:r w:rsidRPr="005440A6">
      <w:rPr>
        <w:noProof/>
        <w:kern w:val="22"/>
      </w:rPr>
      <w:fldChar w:fldCharType="end"/>
    </w:r>
  </w:p>
  <w:p w14:paraId="1D4FEC6D" w14:textId="77777777" w:rsidR="004B01F8" w:rsidRPr="005440A6" w:rsidRDefault="004B01F8" w:rsidP="005440A6">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599458323"/>
      <w:placeholder>
        <w:docPart w:val="6A8193A12B42491F9EFE82214EBC85A8"/>
      </w:placeholder>
      <w:dataBinding w:prefixMappings="xmlns:ns0='http://purl.org/dc/elements/1.1/' xmlns:ns1='http://schemas.openxmlformats.org/package/2006/metadata/core-properties' " w:xpath="/ns1:coreProperties[1]/ns0:subject[1]" w:storeItemID="{6C3C8BC8-F283-45AE-878A-BAB7291924A1}"/>
      <w:text/>
    </w:sdtPr>
    <w:sdtEndPr/>
    <w:sdtContent>
      <w:p w14:paraId="5CEB5BB4" w14:textId="77777777" w:rsidR="004B01F8" w:rsidRPr="005440A6" w:rsidRDefault="004B01F8" w:rsidP="00BE45DE">
        <w:pPr>
          <w:pStyle w:val="Header"/>
          <w:tabs>
            <w:tab w:val="clear" w:pos="4320"/>
            <w:tab w:val="clear" w:pos="8640"/>
          </w:tabs>
          <w:jc w:val="right"/>
          <w:rPr>
            <w:noProof/>
            <w:kern w:val="22"/>
          </w:rPr>
        </w:pPr>
        <w:r>
          <w:rPr>
            <w:noProof/>
            <w:kern w:val="22"/>
          </w:rPr>
          <w:t>CBD/WG2020/1/2</w:t>
        </w:r>
      </w:p>
    </w:sdtContent>
  </w:sdt>
  <w:p w14:paraId="4C29E5E7" w14:textId="77777777" w:rsidR="004B01F8" w:rsidRPr="005440A6" w:rsidRDefault="004B01F8" w:rsidP="005440A6">
    <w:pPr>
      <w:pStyle w:val="Header"/>
      <w:tabs>
        <w:tab w:val="clear" w:pos="4320"/>
        <w:tab w:val="clear" w:pos="8640"/>
      </w:tabs>
      <w:jc w:val="righ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5</w:t>
    </w:r>
    <w:r w:rsidRPr="005440A6">
      <w:rPr>
        <w:noProof/>
        <w:kern w:val="22"/>
      </w:rPr>
      <w:fldChar w:fldCharType="end"/>
    </w:r>
  </w:p>
  <w:p w14:paraId="7E659CC4" w14:textId="77777777" w:rsidR="004B01F8" w:rsidRPr="005440A6" w:rsidRDefault="004B01F8" w:rsidP="005440A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C58"/>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23407A22"/>
    <w:multiLevelType w:val="hybridMultilevel"/>
    <w:tmpl w:val="9DD6C342"/>
    <w:lvl w:ilvl="0" w:tplc="1AB88D40">
      <w:start w:val="1"/>
      <w:numFmt w:val="decimal"/>
      <w:lvlText w:val="%1."/>
      <w:lvlJc w:val="left"/>
      <w:pPr>
        <w:ind w:left="1800" w:hanging="360"/>
      </w:pPr>
      <w:rPr>
        <w:b w:val="0"/>
      </w:rPr>
    </w:lvl>
    <w:lvl w:ilvl="1" w:tplc="9404DD7E">
      <w:start w:val="1"/>
      <w:numFmt w:val="lowerLetter"/>
      <w:lvlText w:val="(%2)"/>
      <w:lvlJc w:val="left"/>
      <w:pPr>
        <w:ind w:left="1170"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78C4007"/>
    <w:multiLevelType w:val="hybridMultilevel"/>
    <w:tmpl w:val="A4E215C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5785287"/>
    <w:multiLevelType w:val="hybridMultilevel"/>
    <w:tmpl w:val="4434D4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2D321B9"/>
    <w:multiLevelType w:val="hybridMultilevel"/>
    <w:tmpl w:val="C1D243CE"/>
    <w:lvl w:ilvl="0" w:tplc="5B16B29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ind w:left="1440" w:hanging="360"/>
      </w:pPr>
    </w:lvl>
    <w:lvl w:ilvl="2" w:tplc="10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9334C"/>
    <w:multiLevelType w:val="hybridMultilevel"/>
    <w:tmpl w:val="912E1B70"/>
    <w:lvl w:ilvl="0" w:tplc="86701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E1466"/>
    <w:multiLevelType w:val="hybridMultilevel"/>
    <w:tmpl w:val="912E1B70"/>
    <w:lvl w:ilvl="0" w:tplc="86701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9B7B4E"/>
    <w:multiLevelType w:val="hybridMultilevel"/>
    <w:tmpl w:val="912E1B70"/>
    <w:lvl w:ilvl="0" w:tplc="86701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B5BEF"/>
    <w:multiLevelType w:val="hybridMultilevel"/>
    <w:tmpl w:val="80384F6C"/>
    <w:lvl w:ilvl="0" w:tplc="3A16DD76">
      <w:start w:val="2"/>
      <w:numFmt w:val="upp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C4118C9"/>
    <w:multiLevelType w:val="hybridMultilevel"/>
    <w:tmpl w:val="8CA668A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9"/>
  </w:num>
  <w:num w:numId="6">
    <w:abstractNumId w:val="1"/>
  </w:num>
  <w:num w:numId="7">
    <w:abstractNumId w:val="3"/>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num>
  <w:num w:numId="13">
    <w:abstractNumId w:val="7"/>
  </w:num>
  <w:num w:numId="14">
    <w:abstractNumId w:val="0"/>
  </w:num>
  <w:num w:numId="15">
    <w:abstractNumId w:val="8"/>
  </w:num>
  <w:num w:numId="16">
    <w:abstractNumId w:val="7"/>
  </w:num>
  <w:num w:numId="17">
    <w:abstractNumId w:val="5"/>
  </w:num>
  <w:num w:numId="18">
    <w:abstractNumId w:val="10"/>
  </w:num>
  <w:num w:numId="19">
    <w:abstractNumId w:val="11"/>
  </w:num>
  <w:num w:numId="20">
    <w:abstractNumId w:val="12"/>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310A"/>
    <w:rsid w:val="0001208E"/>
    <w:rsid w:val="0001318B"/>
    <w:rsid w:val="0002075A"/>
    <w:rsid w:val="000219AC"/>
    <w:rsid w:val="00024739"/>
    <w:rsid w:val="00025C80"/>
    <w:rsid w:val="00031D24"/>
    <w:rsid w:val="00037873"/>
    <w:rsid w:val="00040CD4"/>
    <w:rsid w:val="000417D6"/>
    <w:rsid w:val="00045396"/>
    <w:rsid w:val="0004782B"/>
    <w:rsid w:val="0005339D"/>
    <w:rsid w:val="0005393A"/>
    <w:rsid w:val="00054381"/>
    <w:rsid w:val="00054818"/>
    <w:rsid w:val="00060B3E"/>
    <w:rsid w:val="00061EFB"/>
    <w:rsid w:val="00062C7B"/>
    <w:rsid w:val="00064908"/>
    <w:rsid w:val="000711E1"/>
    <w:rsid w:val="00072A57"/>
    <w:rsid w:val="00073708"/>
    <w:rsid w:val="0008593B"/>
    <w:rsid w:val="00091BA3"/>
    <w:rsid w:val="0009426C"/>
    <w:rsid w:val="000A11E3"/>
    <w:rsid w:val="000A1EB0"/>
    <w:rsid w:val="000B25ED"/>
    <w:rsid w:val="000B5AB9"/>
    <w:rsid w:val="000C37AF"/>
    <w:rsid w:val="000C5D2B"/>
    <w:rsid w:val="000D2ACB"/>
    <w:rsid w:val="000D36EF"/>
    <w:rsid w:val="000D7381"/>
    <w:rsid w:val="000E3119"/>
    <w:rsid w:val="000E637D"/>
    <w:rsid w:val="000E7E6A"/>
    <w:rsid w:val="000F13EF"/>
    <w:rsid w:val="000F1BBC"/>
    <w:rsid w:val="000F63AB"/>
    <w:rsid w:val="000F74B8"/>
    <w:rsid w:val="00101D6A"/>
    <w:rsid w:val="00116245"/>
    <w:rsid w:val="0012214B"/>
    <w:rsid w:val="00126159"/>
    <w:rsid w:val="00135F6D"/>
    <w:rsid w:val="00137545"/>
    <w:rsid w:val="00166367"/>
    <w:rsid w:val="001770A6"/>
    <w:rsid w:val="00183241"/>
    <w:rsid w:val="00186C84"/>
    <w:rsid w:val="00190360"/>
    <w:rsid w:val="00192E06"/>
    <w:rsid w:val="00193760"/>
    <w:rsid w:val="00195019"/>
    <w:rsid w:val="00195754"/>
    <w:rsid w:val="001A4C1C"/>
    <w:rsid w:val="001A5072"/>
    <w:rsid w:val="001A6231"/>
    <w:rsid w:val="001D325E"/>
    <w:rsid w:val="001E3B29"/>
    <w:rsid w:val="001E6E1A"/>
    <w:rsid w:val="001E764C"/>
    <w:rsid w:val="001F2400"/>
    <w:rsid w:val="001F6379"/>
    <w:rsid w:val="001F69FA"/>
    <w:rsid w:val="00204415"/>
    <w:rsid w:val="00207A6E"/>
    <w:rsid w:val="002126BC"/>
    <w:rsid w:val="00214049"/>
    <w:rsid w:val="002212FB"/>
    <w:rsid w:val="002218DD"/>
    <w:rsid w:val="00224B92"/>
    <w:rsid w:val="002317BF"/>
    <w:rsid w:val="002328EA"/>
    <w:rsid w:val="00233B69"/>
    <w:rsid w:val="002357E1"/>
    <w:rsid w:val="002460D5"/>
    <w:rsid w:val="00252897"/>
    <w:rsid w:val="00261457"/>
    <w:rsid w:val="0027288C"/>
    <w:rsid w:val="00274581"/>
    <w:rsid w:val="00274EC2"/>
    <w:rsid w:val="002841B3"/>
    <w:rsid w:val="002854B0"/>
    <w:rsid w:val="002903AD"/>
    <w:rsid w:val="00293752"/>
    <w:rsid w:val="002970BD"/>
    <w:rsid w:val="002A21B8"/>
    <w:rsid w:val="002B0803"/>
    <w:rsid w:val="002B0942"/>
    <w:rsid w:val="002B7AF0"/>
    <w:rsid w:val="002C0A0C"/>
    <w:rsid w:val="002C4BDB"/>
    <w:rsid w:val="002D264E"/>
    <w:rsid w:val="002E0627"/>
    <w:rsid w:val="002E30A0"/>
    <w:rsid w:val="002E391B"/>
    <w:rsid w:val="002E43DF"/>
    <w:rsid w:val="002E7F40"/>
    <w:rsid w:val="002F2852"/>
    <w:rsid w:val="002F2E22"/>
    <w:rsid w:val="003058A9"/>
    <w:rsid w:val="003151BD"/>
    <w:rsid w:val="00315DDD"/>
    <w:rsid w:val="003210FF"/>
    <w:rsid w:val="00324BE1"/>
    <w:rsid w:val="00325DE3"/>
    <w:rsid w:val="00327F61"/>
    <w:rsid w:val="00330149"/>
    <w:rsid w:val="00336766"/>
    <w:rsid w:val="003432B2"/>
    <w:rsid w:val="00344BD6"/>
    <w:rsid w:val="00347CC4"/>
    <w:rsid w:val="00360492"/>
    <w:rsid w:val="003715AE"/>
    <w:rsid w:val="00380049"/>
    <w:rsid w:val="00395484"/>
    <w:rsid w:val="003B10B9"/>
    <w:rsid w:val="003B2616"/>
    <w:rsid w:val="003C113F"/>
    <w:rsid w:val="003C1E5E"/>
    <w:rsid w:val="003C4C38"/>
    <w:rsid w:val="003D2A4C"/>
    <w:rsid w:val="003D34BD"/>
    <w:rsid w:val="003D4F39"/>
    <w:rsid w:val="003D5B5F"/>
    <w:rsid w:val="003D638E"/>
    <w:rsid w:val="003D700D"/>
    <w:rsid w:val="003E2DAE"/>
    <w:rsid w:val="003F6E44"/>
    <w:rsid w:val="003F77AF"/>
    <w:rsid w:val="003F7818"/>
    <w:rsid w:val="00403D7B"/>
    <w:rsid w:val="00406BC6"/>
    <w:rsid w:val="00411A4B"/>
    <w:rsid w:val="004276DD"/>
    <w:rsid w:val="004369E6"/>
    <w:rsid w:val="0044424E"/>
    <w:rsid w:val="004452CA"/>
    <w:rsid w:val="0045239D"/>
    <w:rsid w:val="0046046E"/>
    <w:rsid w:val="00463051"/>
    <w:rsid w:val="004646D1"/>
    <w:rsid w:val="00465BD7"/>
    <w:rsid w:val="00471728"/>
    <w:rsid w:val="00495C39"/>
    <w:rsid w:val="00496917"/>
    <w:rsid w:val="00497A3E"/>
    <w:rsid w:val="004A65CE"/>
    <w:rsid w:val="004B01F8"/>
    <w:rsid w:val="004B54DA"/>
    <w:rsid w:val="004B597A"/>
    <w:rsid w:val="004B64EB"/>
    <w:rsid w:val="004B6559"/>
    <w:rsid w:val="004C0946"/>
    <w:rsid w:val="004C45FF"/>
    <w:rsid w:val="004C724B"/>
    <w:rsid w:val="004C74CD"/>
    <w:rsid w:val="004D1FED"/>
    <w:rsid w:val="004D35A0"/>
    <w:rsid w:val="004E31E0"/>
    <w:rsid w:val="004F0575"/>
    <w:rsid w:val="005002D5"/>
    <w:rsid w:val="00500530"/>
    <w:rsid w:val="005032C9"/>
    <w:rsid w:val="00507A9F"/>
    <w:rsid w:val="00516C26"/>
    <w:rsid w:val="00527193"/>
    <w:rsid w:val="00532EC7"/>
    <w:rsid w:val="005352B7"/>
    <w:rsid w:val="00535BD1"/>
    <w:rsid w:val="005440A6"/>
    <w:rsid w:val="00544213"/>
    <w:rsid w:val="005565DA"/>
    <w:rsid w:val="0055754D"/>
    <w:rsid w:val="00562FDA"/>
    <w:rsid w:val="005647CE"/>
    <w:rsid w:val="00567F6C"/>
    <w:rsid w:val="00570AA8"/>
    <w:rsid w:val="00571A77"/>
    <w:rsid w:val="0057311C"/>
    <w:rsid w:val="00576737"/>
    <w:rsid w:val="005955D2"/>
    <w:rsid w:val="005A2987"/>
    <w:rsid w:val="005A3389"/>
    <w:rsid w:val="005A4284"/>
    <w:rsid w:val="005B6A66"/>
    <w:rsid w:val="005C1D09"/>
    <w:rsid w:val="005D139C"/>
    <w:rsid w:val="005D797E"/>
    <w:rsid w:val="005E025C"/>
    <w:rsid w:val="005E3A9C"/>
    <w:rsid w:val="005F4C74"/>
    <w:rsid w:val="005F67B3"/>
    <w:rsid w:val="00604828"/>
    <w:rsid w:val="00604879"/>
    <w:rsid w:val="00616047"/>
    <w:rsid w:val="00617E68"/>
    <w:rsid w:val="00624B78"/>
    <w:rsid w:val="006260D5"/>
    <w:rsid w:val="00630186"/>
    <w:rsid w:val="00635ED9"/>
    <w:rsid w:val="0064287B"/>
    <w:rsid w:val="006507F2"/>
    <w:rsid w:val="006660FD"/>
    <w:rsid w:val="00667146"/>
    <w:rsid w:val="0067228A"/>
    <w:rsid w:val="00673102"/>
    <w:rsid w:val="006743ED"/>
    <w:rsid w:val="00676908"/>
    <w:rsid w:val="00676CF1"/>
    <w:rsid w:val="00677843"/>
    <w:rsid w:val="006778E1"/>
    <w:rsid w:val="00681497"/>
    <w:rsid w:val="0068560C"/>
    <w:rsid w:val="00685B53"/>
    <w:rsid w:val="0069002F"/>
    <w:rsid w:val="00690847"/>
    <w:rsid w:val="006B074E"/>
    <w:rsid w:val="006B2BD5"/>
    <w:rsid w:val="006B2E32"/>
    <w:rsid w:val="006C2C9A"/>
    <w:rsid w:val="006C2E22"/>
    <w:rsid w:val="006C3349"/>
    <w:rsid w:val="006C6ABF"/>
    <w:rsid w:val="006D0E3D"/>
    <w:rsid w:val="006D3295"/>
    <w:rsid w:val="006D45F8"/>
    <w:rsid w:val="006E2A78"/>
    <w:rsid w:val="006F284C"/>
    <w:rsid w:val="006F7227"/>
    <w:rsid w:val="00701321"/>
    <w:rsid w:val="00702366"/>
    <w:rsid w:val="0070554C"/>
    <w:rsid w:val="00706BBB"/>
    <w:rsid w:val="007146A4"/>
    <w:rsid w:val="007163BC"/>
    <w:rsid w:val="007252A4"/>
    <w:rsid w:val="00730AE3"/>
    <w:rsid w:val="00731F0B"/>
    <w:rsid w:val="007326EE"/>
    <w:rsid w:val="007334DA"/>
    <w:rsid w:val="00736BC2"/>
    <w:rsid w:val="007402C3"/>
    <w:rsid w:val="00740B50"/>
    <w:rsid w:val="00751D85"/>
    <w:rsid w:val="00752A9A"/>
    <w:rsid w:val="00757360"/>
    <w:rsid w:val="007616B7"/>
    <w:rsid w:val="00761AC4"/>
    <w:rsid w:val="00765F25"/>
    <w:rsid w:val="0077504B"/>
    <w:rsid w:val="00786655"/>
    <w:rsid w:val="00791B7A"/>
    <w:rsid w:val="0079325E"/>
    <w:rsid w:val="007970C4"/>
    <w:rsid w:val="007A3F5E"/>
    <w:rsid w:val="007B1587"/>
    <w:rsid w:val="007B4F93"/>
    <w:rsid w:val="007B62CF"/>
    <w:rsid w:val="007C126E"/>
    <w:rsid w:val="007C5285"/>
    <w:rsid w:val="007C633B"/>
    <w:rsid w:val="007D3182"/>
    <w:rsid w:val="007E4604"/>
    <w:rsid w:val="007E4BF4"/>
    <w:rsid w:val="007F370D"/>
    <w:rsid w:val="007F7039"/>
    <w:rsid w:val="00804846"/>
    <w:rsid w:val="00807608"/>
    <w:rsid w:val="00812A2B"/>
    <w:rsid w:val="00813DC0"/>
    <w:rsid w:val="00820013"/>
    <w:rsid w:val="0082101F"/>
    <w:rsid w:val="00825524"/>
    <w:rsid w:val="0082572D"/>
    <w:rsid w:val="00825C62"/>
    <w:rsid w:val="00827B90"/>
    <w:rsid w:val="00830543"/>
    <w:rsid w:val="0083211E"/>
    <w:rsid w:val="00832876"/>
    <w:rsid w:val="00835D2A"/>
    <w:rsid w:val="008370B7"/>
    <w:rsid w:val="008436D3"/>
    <w:rsid w:val="00843FF1"/>
    <w:rsid w:val="00846CCC"/>
    <w:rsid w:val="00857213"/>
    <w:rsid w:val="00857244"/>
    <w:rsid w:val="00857D3B"/>
    <w:rsid w:val="00864722"/>
    <w:rsid w:val="00866817"/>
    <w:rsid w:val="00870D40"/>
    <w:rsid w:val="00871A80"/>
    <w:rsid w:val="0087238A"/>
    <w:rsid w:val="008755E5"/>
    <w:rsid w:val="00883459"/>
    <w:rsid w:val="00890C7C"/>
    <w:rsid w:val="008975AB"/>
    <w:rsid w:val="008B0C12"/>
    <w:rsid w:val="008B4F2D"/>
    <w:rsid w:val="008C013C"/>
    <w:rsid w:val="008C1E35"/>
    <w:rsid w:val="008D3BC3"/>
    <w:rsid w:val="008D5AA2"/>
    <w:rsid w:val="008E5F84"/>
    <w:rsid w:val="008E6F9A"/>
    <w:rsid w:val="008E7500"/>
    <w:rsid w:val="008F13FA"/>
    <w:rsid w:val="008F5809"/>
    <w:rsid w:val="008F59A1"/>
    <w:rsid w:val="00900F93"/>
    <w:rsid w:val="009010BA"/>
    <w:rsid w:val="00901DDD"/>
    <w:rsid w:val="0090419C"/>
    <w:rsid w:val="0090453C"/>
    <w:rsid w:val="009067F8"/>
    <w:rsid w:val="009151DA"/>
    <w:rsid w:val="00922EAD"/>
    <w:rsid w:val="00926167"/>
    <w:rsid w:val="0092794B"/>
    <w:rsid w:val="00933841"/>
    <w:rsid w:val="0093498B"/>
    <w:rsid w:val="009372DB"/>
    <w:rsid w:val="00953856"/>
    <w:rsid w:val="009554D5"/>
    <w:rsid w:val="00962CE5"/>
    <w:rsid w:val="0096605A"/>
    <w:rsid w:val="00977D72"/>
    <w:rsid w:val="0098587E"/>
    <w:rsid w:val="00994164"/>
    <w:rsid w:val="00997E1C"/>
    <w:rsid w:val="009A4234"/>
    <w:rsid w:val="009B4302"/>
    <w:rsid w:val="009B5E1D"/>
    <w:rsid w:val="009B6508"/>
    <w:rsid w:val="009C32EB"/>
    <w:rsid w:val="009D2F92"/>
    <w:rsid w:val="009E1E16"/>
    <w:rsid w:val="009E2B79"/>
    <w:rsid w:val="009E4DED"/>
    <w:rsid w:val="009E5B1D"/>
    <w:rsid w:val="009F5917"/>
    <w:rsid w:val="00A0211E"/>
    <w:rsid w:val="00A10051"/>
    <w:rsid w:val="00A1095C"/>
    <w:rsid w:val="00A11929"/>
    <w:rsid w:val="00A16A83"/>
    <w:rsid w:val="00A20F36"/>
    <w:rsid w:val="00A24673"/>
    <w:rsid w:val="00A269D3"/>
    <w:rsid w:val="00A30DAD"/>
    <w:rsid w:val="00A427A8"/>
    <w:rsid w:val="00A72329"/>
    <w:rsid w:val="00A732F4"/>
    <w:rsid w:val="00A753E6"/>
    <w:rsid w:val="00A86060"/>
    <w:rsid w:val="00A872F3"/>
    <w:rsid w:val="00A92C53"/>
    <w:rsid w:val="00AA014E"/>
    <w:rsid w:val="00AA18E6"/>
    <w:rsid w:val="00AA23B6"/>
    <w:rsid w:val="00AA42CB"/>
    <w:rsid w:val="00AA4A91"/>
    <w:rsid w:val="00AA64A9"/>
    <w:rsid w:val="00AB1651"/>
    <w:rsid w:val="00AB357E"/>
    <w:rsid w:val="00AB75BF"/>
    <w:rsid w:val="00AC1E69"/>
    <w:rsid w:val="00AC40B6"/>
    <w:rsid w:val="00AF36AD"/>
    <w:rsid w:val="00B00948"/>
    <w:rsid w:val="00B01ECD"/>
    <w:rsid w:val="00B0464C"/>
    <w:rsid w:val="00B07C12"/>
    <w:rsid w:val="00B12620"/>
    <w:rsid w:val="00B13266"/>
    <w:rsid w:val="00B14D4B"/>
    <w:rsid w:val="00B23889"/>
    <w:rsid w:val="00B241DC"/>
    <w:rsid w:val="00B271A0"/>
    <w:rsid w:val="00B3299A"/>
    <w:rsid w:val="00B37A6C"/>
    <w:rsid w:val="00B37B27"/>
    <w:rsid w:val="00B51304"/>
    <w:rsid w:val="00B56B11"/>
    <w:rsid w:val="00B63B91"/>
    <w:rsid w:val="00B6487F"/>
    <w:rsid w:val="00B64E86"/>
    <w:rsid w:val="00B81FC6"/>
    <w:rsid w:val="00B8280C"/>
    <w:rsid w:val="00B85F9B"/>
    <w:rsid w:val="00B87047"/>
    <w:rsid w:val="00B9682F"/>
    <w:rsid w:val="00BA1498"/>
    <w:rsid w:val="00BA3233"/>
    <w:rsid w:val="00BB051D"/>
    <w:rsid w:val="00BB7CDF"/>
    <w:rsid w:val="00BE0C74"/>
    <w:rsid w:val="00BE37A4"/>
    <w:rsid w:val="00BE45DE"/>
    <w:rsid w:val="00BE65C4"/>
    <w:rsid w:val="00BE7DE7"/>
    <w:rsid w:val="00BF4745"/>
    <w:rsid w:val="00BF780A"/>
    <w:rsid w:val="00C05456"/>
    <w:rsid w:val="00C062DA"/>
    <w:rsid w:val="00C076A9"/>
    <w:rsid w:val="00C15BBB"/>
    <w:rsid w:val="00C17D9F"/>
    <w:rsid w:val="00C31FC0"/>
    <w:rsid w:val="00C37FF1"/>
    <w:rsid w:val="00C429B3"/>
    <w:rsid w:val="00C507CD"/>
    <w:rsid w:val="00C557B9"/>
    <w:rsid w:val="00C62A1B"/>
    <w:rsid w:val="00C62A74"/>
    <w:rsid w:val="00C65823"/>
    <w:rsid w:val="00C65F24"/>
    <w:rsid w:val="00C700A8"/>
    <w:rsid w:val="00C85EA4"/>
    <w:rsid w:val="00C9081D"/>
    <w:rsid w:val="00C912FE"/>
    <w:rsid w:val="00C96424"/>
    <w:rsid w:val="00C96E12"/>
    <w:rsid w:val="00CA0B94"/>
    <w:rsid w:val="00CA1572"/>
    <w:rsid w:val="00CA6B87"/>
    <w:rsid w:val="00CA7887"/>
    <w:rsid w:val="00CB353B"/>
    <w:rsid w:val="00CB6406"/>
    <w:rsid w:val="00CC2031"/>
    <w:rsid w:val="00CC2A35"/>
    <w:rsid w:val="00CC5643"/>
    <w:rsid w:val="00CD1A6A"/>
    <w:rsid w:val="00CD289D"/>
    <w:rsid w:val="00CD5DB6"/>
    <w:rsid w:val="00CD71A8"/>
    <w:rsid w:val="00CD7BAF"/>
    <w:rsid w:val="00CE0372"/>
    <w:rsid w:val="00CE1FC9"/>
    <w:rsid w:val="00CE51C3"/>
    <w:rsid w:val="00CF0DD2"/>
    <w:rsid w:val="00CF45B7"/>
    <w:rsid w:val="00CF4F69"/>
    <w:rsid w:val="00CF75A0"/>
    <w:rsid w:val="00D07FDF"/>
    <w:rsid w:val="00D14293"/>
    <w:rsid w:val="00D15589"/>
    <w:rsid w:val="00D20D45"/>
    <w:rsid w:val="00D22AE8"/>
    <w:rsid w:val="00D27168"/>
    <w:rsid w:val="00D30C33"/>
    <w:rsid w:val="00D34134"/>
    <w:rsid w:val="00D4290D"/>
    <w:rsid w:val="00D432AD"/>
    <w:rsid w:val="00D466D8"/>
    <w:rsid w:val="00D51069"/>
    <w:rsid w:val="00D516CB"/>
    <w:rsid w:val="00D523F7"/>
    <w:rsid w:val="00D53BEB"/>
    <w:rsid w:val="00D5513F"/>
    <w:rsid w:val="00D72037"/>
    <w:rsid w:val="00D82332"/>
    <w:rsid w:val="00D84D6B"/>
    <w:rsid w:val="00D94A37"/>
    <w:rsid w:val="00D9537D"/>
    <w:rsid w:val="00D97B91"/>
    <w:rsid w:val="00D97C40"/>
    <w:rsid w:val="00DA273E"/>
    <w:rsid w:val="00DA4164"/>
    <w:rsid w:val="00DA5B30"/>
    <w:rsid w:val="00DB23DB"/>
    <w:rsid w:val="00DB7552"/>
    <w:rsid w:val="00DC72ED"/>
    <w:rsid w:val="00DD1164"/>
    <w:rsid w:val="00DD2BF8"/>
    <w:rsid w:val="00DD2F0C"/>
    <w:rsid w:val="00DD52CC"/>
    <w:rsid w:val="00DD6CC4"/>
    <w:rsid w:val="00DD6F28"/>
    <w:rsid w:val="00DE308B"/>
    <w:rsid w:val="00DE3FCC"/>
    <w:rsid w:val="00DF2CAE"/>
    <w:rsid w:val="00DF2F95"/>
    <w:rsid w:val="00DF41C0"/>
    <w:rsid w:val="00E021BC"/>
    <w:rsid w:val="00E03C20"/>
    <w:rsid w:val="00E20EA6"/>
    <w:rsid w:val="00E21A5F"/>
    <w:rsid w:val="00E36DF8"/>
    <w:rsid w:val="00E370FD"/>
    <w:rsid w:val="00E37A7A"/>
    <w:rsid w:val="00E41BA3"/>
    <w:rsid w:val="00E47630"/>
    <w:rsid w:val="00E55058"/>
    <w:rsid w:val="00E55806"/>
    <w:rsid w:val="00E55B3B"/>
    <w:rsid w:val="00E55E91"/>
    <w:rsid w:val="00E56717"/>
    <w:rsid w:val="00E603B3"/>
    <w:rsid w:val="00E60B0B"/>
    <w:rsid w:val="00E60CD4"/>
    <w:rsid w:val="00E640E5"/>
    <w:rsid w:val="00E66114"/>
    <w:rsid w:val="00E732B5"/>
    <w:rsid w:val="00E73836"/>
    <w:rsid w:val="00EA3399"/>
    <w:rsid w:val="00EA7525"/>
    <w:rsid w:val="00EA7EE0"/>
    <w:rsid w:val="00EC0891"/>
    <w:rsid w:val="00EC17FE"/>
    <w:rsid w:val="00EC2A40"/>
    <w:rsid w:val="00EC4AD7"/>
    <w:rsid w:val="00EC4F03"/>
    <w:rsid w:val="00ED6574"/>
    <w:rsid w:val="00EE0F5F"/>
    <w:rsid w:val="00EE51DB"/>
    <w:rsid w:val="00F04BE5"/>
    <w:rsid w:val="00F060CD"/>
    <w:rsid w:val="00F079DF"/>
    <w:rsid w:val="00F137CF"/>
    <w:rsid w:val="00F13DC0"/>
    <w:rsid w:val="00F13FBA"/>
    <w:rsid w:val="00F14485"/>
    <w:rsid w:val="00F16E4D"/>
    <w:rsid w:val="00F16F02"/>
    <w:rsid w:val="00F17B0E"/>
    <w:rsid w:val="00F26A60"/>
    <w:rsid w:val="00F26BE8"/>
    <w:rsid w:val="00F37B32"/>
    <w:rsid w:val="00F45326"/>
    <w:rsid w:val="00F465B6"/>
    <w:rsid w:val="00F52483"/>
    <w:rsid w:val="00F5674C"/>
    <w:rsid w:val="00F60318"/>
    <w:rsid w:val="00F6280C"/>
    <w:rsid w:val="00F64CB9"/>
    <w:rsid w:val="00F67181"/>
    <w:rsid w:val="00F75D60"/>
    <w:rsid w:val="00F77628"/>
    <w:rsid w:val="00F838DD"/>
    <w:rsid w:val="00F87ADE"/>
    <w:rsid w:val="00F90E90"/>
    <w:rsid w:val="00F93833"/>
    <w:rsid w:val="00FA5DCF"/>
    <w:rsid w:val="00FB0297"/>
    <w:rsid w:val="00FB2587"/>
    <w:rsid w:val="00FB2714"/>
    <w:rsid w:val="00FB3B70"/>
    <w:rsid w:val="00FB4B18"/>
    <w:rsid w:val="00FC3D2F"/>
    <w:rsid w:val="00FC4E57"/>
    <w:rsid w:val="00FC6159"/>
    <w:rsid w:val="00FD061C"/>
    <w:rsid w:val="00FD3F21"/>
    <w:rsid w:val="00FE0697"/>
    <w:rsid w:val="00FF527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5CA19C"/>
  <w15:docId w15:val="{49FC54B1-B490-A34A-BB7E-EC89636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ind w:firstLine="720"/>
      <w:jc w:val="right"/>
    </w:pPr>
  </w:style>
  <w:style w:type="paragraph" w:customStyle="1" w:styleId="Para1">
    <w:name w:val="Para1"/>
    <w:basedOn w:val="Normal"/>
    <w:link w:val="Para1Char"/>
    <w:rsid w:val="00F13DC0"/>
    <w:pPr>
      <w:numPr>
        <w:numId w:val="8"/>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4"/>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8"/>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ListParagraphChar">
    <w:name w:val="List Paragraph Char"/>
    <w:basedOn w:val="DefaultParagraphFont"/>
    <w:link w:val="ListParagraph"/>
    <w:uiPriority w:val="34"/>
    <w:qFormat/>
    <w:locked/>
    <w:rsid w:val="00EC2A40"/>
    <w:rPr>
      <w:sz w:val="22"/>
      <w:szCs w:val="24"/>
      <w:lang w:val="en-GB"/>
    </w:rPr>
  </w:style>
  <w:style w:type="character" w:styleId="Strong">
    <w:name w:val="Strong"/>
    <w:basedOn w:val="DefaultParagraphFont"/>
    <w:uiPriority w:val="22"/>
    <w:qFormat/>
    <w:rsid w:val="003D34BD"/>
    <w:rPr>
      <w:b/>
      <w:bCs/>
    </w:rPr>
  </w:style>
  <w:style w:type="character" w:styleId="UnresolvedMention">
    <w:name w:val="Unresolved Mention"/>
    <w:basedOn w:val="DefaultParagraphFont"/>
    <w:uiPriority w:val="99"/>
    <w:semiHidden/>
    <w:unhideWhenUsed/>
    <w:rsid w:val="001A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82341080">
      <w:bodyDiv w:val="1"/>
      <w:marLeft w:val="0"/>
      <w:marRight w:val="0"/>
      <w:marTop w:val="0"/>
      <w:marBottom w:val="0"/>
      <w:divBdr>
        <w:top w:val="none" w:sz="0" w:space="0" w:color="auto"/>
        <w:left w:val="none" w:sz="0" w:space="0" w:color="auto"/>
        <w:bottom w:val="none" w:sz="0" w:space="0" w:color="auto"/>
        <w:right w:val="none" w:sz="0" w:space="0" w:color="auto"/>
      </w:divBdr>
    </w:div>
    <w:div w:id="121074277">
      <w:bodyDiv w:val="1"/>
      <w:marLeft w:val="0"/>
      <w:marRight w:val="0"/>
      <w:marTop w:val="0"/>
      <w:marBottom w:val="0"/>
      <w:divBdr>
        <w:top w:val="none" w:sz="0" w:space="0" w:color="auto"/>
        <w:left w:val="none" w:sz="0" w:space="0" w:color="auto"/>
        <w:bottom w:val="none" w:sz="0" w:space="0" w:color="auto"/>
        <w:right w:val="none" w:sz="0" w:space="0" w:color="auto"/>
      </w:divBdr>
    </w:div>
    <w:div w:id="156531249">
      <w:bodyDiv w:val="1"/>
      <w:marLeft w:val="0"/>
      <w:marRight w:val="0"/>
      <w:marTop w:val="0"/>
      <w:marBottom w:val="0"/>
      <w:divBdr>
        <w:top w:val="none" w:sz="0" w:space="0" w:color="auto"/>
        <w:left w:val="none" w:sz="0" w:space="0" w:color="auto"/>
        <w:bottom w:val="none" w:sz="0" w:space="0" w:color="auto"/>
        <w:right w:val="none" w:sz="0" w:space="0" w:color="auto"/>
      </w:divBdr>
    </w:div>
    <w:div w:id="218783328">
      <w:bodyDiv w:val="1"/>
      <w:marLeft w:val="0"/>
      <w:marRight w:val="0"/>
      <w:marTop w:val="0"/>
      <w:marBottom w:val="0"/>
      <w:divBdr>
        <w:top w:val="none" w:sz="0" w:space="0" w:color="auto"/>
        <w:left w:val="none" w:sz="0" w:space="0" w:color="auto"/>
        <w:bottom w:val="none" w:sz="0" w:space="0" w:color="auto"/>
        <w:right w:val="none" w:sz="0" w:space="0" w:color="auto"/>
      </w:divBdr>
    </w:div>
    <w:div w:id="275262428">
      <w:bodyDiv w:val="1"/>
      <w:marLeft w:val="0"/>
      <w:marRight w:val="0"/>
      <w:marTop w:val="0"/>
      <w:marBottom w:val="0"/>
      <w:divBdr>
        <w:top w:val="none" w:sz="0" w:space="0" w:color="auto"/>
        <w:left w:val="none" w:sz="0" w:space="0" w:color="auto"/>
        <w:bottom w:val="none" w:sz="0" w:space="0" w:color="auto"/>
        <w:right w:val="none" w:sz="0" w:space="0" w:color="auto"/>
      </w:divBdr>
    </w:div>
    <w:div w:id="464204279">
      <w:bodyDiv w:val="1"/>
      <w:marLeft w:val="0"/>
      <w:marRight w:val="0"/>
      <w:marTop w:val="0"/>
      <w:marBottom w:val="0"/>
      <w:divBdr>
        <w:top w:val="none" w:sz="0" w:space="0" w:color="auto"/>
        <w:left w:val="none" w:sz="0" w:space="0" w:color="auto"/>
        <w:bottom w:val="none" w:sz="0" w:space="0" w:color="auto"/>
        <w:right w:val="none" w:sz="0" w:space="0" w:color="auto"/>
      </w:divBdr>
    </w:div>
    <w:div w:id="559558777">
      <w:bodyDiv w:val="1"/>
      <w:marLeft w:val="0"/>
      <w:marRight w:val="0"/>
      <w:marTop w:val="0"/>
      <w:marBottom w:val="0"/>
      <w:divBdr>
        <w:top w:val="none" w:sz="0" w:space="0" w:color="auto"/>
        <w:left w:val="none" w:sz="0" w:space="0" w:color="auto"/>
        <w:bottom w:val="none" w:sz="0" w:space="0" w:color="auto"/>
        <w:right w:val="none" w:sz="0" w:space="0" w:color="auto"/>
      </w:divBdr>
    </w:div>
    <w:div w:id="728041732">
      <w:bodyDiv w:val="1"/>
      <w:marLeft w:val="0"/>
      <w:marRight w:val="0"/>
      <w:marTop w:val="0"/>
      <w:marBottom w:val="0"/>
      <w:divBdr>
        <w:top w:val="none" w:sz="0" w:space="0" w:color="auto"/>
        <w:left w:val="none" w:sz="0" w:space="0" w:color="auto"/>
        <w:bottom w:val="none" w:sz="0" w:space="0" w:color="auto"/>
        <w:right w:val="none" w:sz="0" w:space="0" w:color="auto"/>
      </w:divBdr>
    </w:div>
    <w:div w:id="793330684">
      <w:bodyDiv w:val="1"/>
      <w:marLeft w:val="0"/>
      <w:marRight w:val="0"/>
      <w:marTop w:val="0"/>
      <w:marBottom w:val="0"/>
      <w:divBdr>
        <w:top w:val="none" w:sz="0" w:space="0" w:color="auto"/>
        <w:left w:val="none" w:sz="0" w:space="0" w:color="auto"/>
        <w:bottom w:val="none" w:sz="0" w:space="0" w:color="auto"/>
        <w:right w:val="none" w:sz="0" w:space="0" w:color="auto"/>
      </w:divBdr>
    </w:div>
    <w:div w:id="1009914247">
      <w:bodyDiv w:val="1"/>
      <w:marLeft w:val="0"/>
      <w:marRight w:val="0"/>
      <w:marTop w:val="0"/>
      <w:marBottom w:val="0"/>
      <w:divBdr>
        <w:top w:val="none" w:sz="0" w:space="0" w:color="auto"/>
        <w:left w:val="none" w:sz="0" w:space="0" w:color="auto"/>
        <w:bottom w:val="none" w:sz="0" w:space="0" w:color="auto"/>
        <w:right w:val="none" w:sz="0" w:space="0" w:color="auto"/>
      </w:divBdr>
    </w:div>
    <w:div w:id="1051685367">
      <w:bodyDiv w:val="1"/>
      <w:marLeft w:val="0"/>
      <w:marRight w:val="0"/>
      <w:marTop w:val="0"/>
      <w:marBottom w:val="0"/>
      <w:divBdr>
        <w:top w:val="none" w:sz="0" w:space="0" w:color="auto"/>
        <w:left w:val="none" w:sz="0" w:space="0" w:color="auto"/>
        <w:bottom w:val="none" w:sz="0" w:space="0" w:color="auto"/>
        <w:right w:val="none" w:sz="0" w:space="0" w:color="auto"/>
      </w:divBdr>
    </w:div>
    <w:div w:id="1083259119">
      <w:bodyDiv w:val="1"/>
      <w:marLeft w:val="0"/>
      <w:marRight w:val="0"/>
      <w:marTop w:val="0"/>
      <w:marBottom w:val="0"/>
      <w:divBdr>
        <w:top w:val="none" w:sz="0" w:space="0" w:color="auto"/>
        <w:left w:val="none" w:sz="0" w:space="0" w:color="auto"/>
        <w:bottom w:val="none" w:sz="0" w:space="0" w:color="auto"/>
        <w:right w:val="none" w:sz="0" w:space="0" w:color="auto"/>
      </w:divBdr>
    </w:div>
    <w:div w:id="1177579246">
      <w:bodyDiv w:val="1"/>
      <w:marLeft w:val="0"/>
      <w:marRight w:val="0"/>
      <w:marTop w:val="0"/>
      <w:marBottom w:val="0"/>
      <w:divBdr>
        <w:top w:val="none" w:sz="0" w:space="0" w:color="auto"/>
        <w:left w:val="none" w:sz="0" w:space="0" w:color="auto"/>
        <w:bottom w:val="none" w:sz="0" w:space="0" w:color="auto"/>
        <w:right w:val="none" w:sz="0" w:space="0" w:color="auto"/>
      </w:divBdr>
    </w:div>
    <w:div w:id="1329554653">
      <w:bodyDiv w:val="1"/>
      <w:marLeft w:val="0"/>
      <w:marRight w:val="0"/>
      <w:marTop w:val="0"/>
      <w:marBottom w:val="0"/>
      <w:divBdr>
        <w:top w:val="none" w:sz="0" w:space="0" w:color="auto"/>
        <w:left w:val="none" w:sz="0" w:space="0" w:color="auto"/>
        <w:bottom w:val="none" w:sz="0" w:space="0" w:color="auto"/>
        <w:right w:val="none" w:sz="0" w:space="0" w:color="auto"/>
      </w:divBdr>
    </w:div>
    <w:div w:id="145713849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49148881">
      <w:bodyDiv w:val="1"/>
      <w:marLeft w:val="0"/>
      <w:marRight w:val="0"/>
      <w:marTop w:val="0"/>
      <w:marBottom w:val="0"/>
      <w:divBdr>
        <w:top w:val="none" w:sz="0" w:space="0" w:color="auto"/>
        <w:left w:val="none" w:sz="0" w:space="0" w:color="auto"/>
        <w:bottom w:val="none" w:sz="0" w:space="0" w:color="auto"/>
        <w:right w:val="none" w:sz="0" w:space="0" w:color="auto"/>
      </w:divBdr>
    </w:div>
    <w:div w:id="1640529620">
      <w:bodyDiv w:val="1"/>
      <w:marLeft w:val="0"/>
      <w:marRight w:val="0"/>
      <w:marTop w:val="0"/>
      <w:marBottom w:val="0"/>
      <w:divBdr>
        <w:top w:val="none" w:sz="0" w:space="0" w:color="auto"/>
        <w:left w:val="none" w:sz="0" w:space="0" w:color="auto"/>
        <w:bottom w:val="none" w:sz="0" w:space="0" w:color="auto"/>
        <w:right w:val="none" w:sz="0" w:space="0" w:color="auto"/>
      </w:divBdr>
    </w:div>
    <w:div w:id="1675836199">
      <w:bodyDiv w:val="1"/>
      <w:marLeft w:val="0"/>
      <w:marRight w:val="0"/>
      <w:marTop w:val="0"/>
      <w:marBottom w:val="0"/>
      <w:divBdr>
        <w:top w:val="none" w:sz="0" w:space="0" w:color="auto"/>
        <w:left w:val="none" w:sz="0" w:space="0" w:color="auto"/>
        <w:bottom w:val="none" w:sz="0" w:space="0" w:color="auto"/>
        <w:right w:val="none" w:sz="0" w:space="0" w:color="auto"/>
      </w:divBdr>
      <w:divsChild>
        <w:div w:id="1654944714">
          <w:marLeft w:val="0"/>
          <w:marRight w:val="0"/>
          <w:marTop w:val="0"/>
          <w:marBottom w:val="0"/>
          <w:divBdr>
            <w:top w:val="none" w:sz="0" w:space="0" w:color="auto"/>
            <w:left w:val="none" w:sz="0" w:space="0" w:color="auto"/>
            <w:bottom w:val="none" w:sz="0" w:space="0" w:color="auto"/>
            <w:right w:val="none" w:sz="0" w:space="0" w:color="auto"/>
          </w:divBdr>
          <w:divsChild>
            <w:div w:id="1485052659">
              <w:marLeft w:val="0"/>
              <w:marRight w:val="0"/>
              <w:marTop w:val="0"/>
              <w:marBottom w:val="0"/>
              <w:divBdr>
                <w:top w:val="none" w:sz="0" w:space="0" w:color="auto"/>
                <w:left w:val="none" w:sz="0" w:space="0" w:color="auto"/>
                <w:bottom w:val="none" w:sz="0" w:space="0" w:color="auto"/>
                <w:right w:val="none" w:sz="0" w:space="0" w:color="auto"/>
              </w:divBdr>
            </w:div>
          </w:divsChild>
        </w:div>
        <w:div w:id="1171405644">
          <w:marLeft w:val="0"/>
          <w:marRight w:val="0"/>
          <w:marTop w:val="0"/>
          <w:marBottom w:val="0"/>
          <w:divBdr>
            <w:top w:val="none" w:sz="0" w:space="0" w:color="auto"/>
            <w:left w:val="none" w:sz="0" w:space="0" w:color="auto"/>
            <w:bottom w:val="none" w:sz="0" w:space="0" w:color="auto"/>
            <w:right w:val="none" w:sz="0" w:space="0" w:color="auto"/>
          </w:divBdr>
        </w:div>
      </w:divsChild>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822697576">
      <w:bodyDiv w:val="1"/>
      <w:marLeft w:val="0"/>
      <w:marRight w:val="0"/>
      <w:marTop w:val="0"/>
      <w:marBottom w:val="0"/>
      <w:divBdr>
        <w:top w:val="none" w:sz="0" w:space="0" w:color="auto"/>
        <w:left w:val="none" w:sz="0" w:space="0" w:color="auto"/>
        <w:bottom w:val="none" w:sz="0" w:space="0" w:color="auto"/>
        <w:right w:val="none" w:sz="0" w:space="0" w:color="auto"/>
      </w:divBdr>
    </w:div>
    <w:div w:id="2101951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p-mop-09/cp-mop-09-dec-07-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notifications/2019/ntf-2019-008-post2020-en.pdf" TargetMode="External"/><Relationship Id="rId13" Type="http://schemas.openxmlformats.org/officeDocument/2006/relationships/hyperlink" Target="https://www.cbd.int/conferences/post2020" TargetMode="External"/><Relationship Id="rId18" Type="http://schemas.openxmlformats.org/officeDocument/2006/relationships/hyperlink" Target="https://seea.un.org/sites/seea.un.org/files/expert_meeting_report_seea_for_sdgs_and_post_2020_1.pdf" TargetMode="External"/><Relationship Id="rId3" Type="http://schemas.openxmlformats.org/officeDocument/2006/relationships/hyperlink" Target="https://www.cbd.int/action-agenda/contributions/" TargetMode="External"/><Relationship Id="rId21" Type="http://schemas.openxmlformats.org/officeDocument/2006/relationships/hyperlink" Target="https://www.cbd.int/doc/notifications/2019/ntf-2019-043-post2020-en.pdf" TargetMode="External"/><Relationship Id="rId7" Type="http://schemas.openxmlformats.org/officeDocument/2006/relationships/hyperlink" Target="https://www.cbd.int/doc/c/d0f3/aca0/d42fa469029f5a4d69f4da8e/post2020-prep-01-01-en.pdf" TargetMode="External"/><Relationship Id="rId12" Type="http://schemas.openxmlformats.org/officeDocument/2006/relationships/hyperlink" Target="https://www.cbd.int/conferences/post2020" TargetMode="External"/><Relationship Id="rId17" Type="http://schemas.openxmlformats.org/officeDocument/2006/relationships/hyperlink" Target="https://www.elysee.fr/admin/upload/default/0001/04/7d84becef82b656c246fa1b26519567ce3755600.pdf" TargetMode="External"/><Relationship Id="rId2" Type="http://schemas.openxmlformats.org/officeDocument/2006/relationships/hyperlink" Target="https://www.cbd.int/conferences/post2020" TargetMode="External"/><Relationship Id="rId16" Type="http://schemas.openxmlformats.org/officeDocument/2006/relationships/hyperlink" Target="https://www.elysee.fr/en/g7/2019/01/01/combating-inequality-and-promoting-biodiversity-and-climate-action" TargetMode="External"/><Relationship Id="rId20" Type="http://schemas.openxmlformats.org/officeDocument/2006/relationships/hyperlink" Target="https://www.cbd.int/api/v2013/documents/D8F8A08C-916B-1B76-9059-C885ADEFCE98/attachments/%20CBD%20Alliance-2-en.pdf" TargetMode="External"/><Relationship Id="rId1" Type="http://schemas.openxmlformats.org/officeDocument/2006/relationships/hyperlink" Target="https://www.cbd.int/doc/c/9c6a/abaa/2370733c8b2b723d0c3437ca/wg2020-01-01-en.pdf" TargetMode="External"/><Relationship Id="rId6" Type="http://schemas.openxmlformats.org/officeDocument/2006/relationships/hyperlink" Target="https://www.cbd.int/doc/c/de9c/8c12/7c0cb88a47f9084e5d0b82eb/post2020-prep-01-inf-01-en.pdf" TargetMode="External"/><Relationship Id="rId11" Type="http://schemas.openxmlformats.org/officeDocument/2006/relationships/hyperlink" Target="https://www.cbd.int/post2020/doc/ntf-2017-052-post2020-en.pdf" TargetMode="External"/><Relationship Id="rId5" Type="http://schemas.openxmlformats.org/officeDocument/2006/relationships/hyperlink" Target="https://www.cbd.int/doc/notifications/2018/ntf-2018-063-post2020-en.pdf" TargetMode="External"/><Relationship Id="rId15" Type="http://schemas.openxmlformats.org/officeDocument/2006/relationships/hyperlink" Target="https://www.canada.ca/en/environment-climate-change/campaigns/nature-champions-summit.html" TargetMode="External"/><Relationship Id="rId23" Type="http://schemas.openxmlformats.org/officeDocument/2006/relationships/hyperlink" Target="https://www.cbd.int/doc/notifications/2019/ntf-2019-044-bs-en.pdf" TargetMode="External"/><Relationship Id="rId10" Type="http://schemas.openxmlformats.org/officeDocument/2006/relationships/hyperlink" Target="https://www.cbd.int/doc/notifications/2017/ntf-2017-124-post2020-en.pdf" TargetMode="External"/><Relationship Id="rId19" Type="http://schemas.openxmlformats.org/officeDocument/2006/relationships/hyperlink" Target="http://www.oecd.org/environment/resources/biodiversity/Summary-Record-OECD-workshop-The-Post-2020-Biodiversity-Framework-targets-indicators-and-measurability-implications.pdf" TargetMode="External"/><Relationship Id="rId4" Type="http://schemas.openxmlformats.org/officeDocument/2006/relationships/hyperlink" Target="https://www.cbd.int/conferences/post2020/submissions" TargetMode="External"/><Relationship Id="rId9" Type="http://schemas.openxmlformats.org/officeDocument/2006/relationships/hyperlink" Target="https://www.cbd.int/doc/c/0478/bf4f/e21353f64a439eb6acb8d89d/post2020-prep-01-inf-02-en.pdf" TargetMode="External"/><Relationship Id="rId14" Type="http://schemas.openxmlformats.org/officeDocument/2006/relationships/hyperlink" Target="https://www.cbd.int/doc/notifications/2019/ntf-2019-032-high-level-event-unea4-en.pdf" TargetMode="External"/><Relationship Id="rId22" Type="http://schemas.openxmlformats.org/officeDocument/2006/relationships/hyperlink" Target="https://www.cbd.int/doc/notifications/2019/ntf-2019-027-bs-post202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6A8193A12B42491F9EFE82214EBC85A8"/>
        <w:category>
          <w:name w:val="General"/>
          <w:gallery w:val="placeholder"/>
        </w:category>
        <w:types>
          <w:type w:val="bbPlcHdr"/>
        </w:types>
        <w:behaviors>
          <w:behavior w:val="content"/>
        </w:behaviors>
        <w:guid w:val="{D3911701-6623-448F-813C-00DCE7EA9334}"/>
      </w:docPartPr>
      <w:docPartBody>
        <w:p w:rsidR="0037757D" w:rsidRDefault="001B29AF">
          <w:r w:rsidRPr="00B903A7">
            <w:rPr>
              <w:rStyle w:val="PlaceholderText"/>
            </w:rPr>
            <w:t>[Subject]</w:t>
          </w:r>
        </w:p>
      </w:docPartBody>
    </w:docPart>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PlaceholderText"/>
            </w:rPr>
            <w:t>[Subject]</w:t>
          </w:r>
        </w:p>
      </w:docPartBody>
    </w:docPart>
    <w:docPart>
      <w:docPartPr>
        <w:name w:val="719BEB6F4B05438B95E20987EC1D04FC"/>
        <w:category>
          <w:name w:val="General"/>
          <w:gallery w:val="placeholder"/>
        </w:category>
        <w:types>
          <w:type w:val="bbPlcHdr"/>
        </w:types>
        <w:behaviors>
          <w:behavior w:val="content"/>
        </w:behaviors>
        <w:guid w:val="{8616A8EE-9910-4C5F-BF6F-EEC61445777C}"/>
      </w:docPartPr>
      <w:docPartBody>
        <w:p w:rsidR="003D4D71" w:rsidRDefault="00DF1135" w:rsidP="00DF1135">
          <w:pPr>
            <w:pStyle w:val="719BEB6F4B05438B95E20987EC1D04FC"/>
          </w:pPr>
          <w:r>
            <w:rPr>
              <w:rStyle w:val="PlaceholderText"/>
            </w:rPr>
            <w:t>Click here to enter text.</w:t>
          </w:r>
        </w:p>
      </w:docPartBody>
    </w:docPart>
    <w:docPart>
      <w:docPartPr>
        <w:name w:val="B5D93EE96593482F81D6B232F2EE5327"/>
        <w:category>
          <w:name w:val="General"/>
          <w:gallery w:val="placeholder"/>
        </w:category>
        <w:types>
          <w:type w:val="bbPlcHdr"/>
        </w:types>
        <w:behaviors>
          <w:behavior w:val="content"/>
        </w:behaviors>
        <w:guid w:val="{85D8C0A5-8E43-4B9A-AC2C-61359C185196}"/>
      </w:docPartPr>
      <w:docPartBody>
        <w:p w:rsidR="00B32D3A" w:rsidRDefault="00FD7EB2">
          <w:r w:rsidRPr="00545D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
    <w:altName w:val="Microsoft YaHe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25084"/>
    <w:rsid w:val="00156EAA"/>
    <w:rsid w:val="001B29AF"/>
    <w:rsid w:val="001E12E4"/>
    <w:rsid w:val="001F496B"/>
    <w:rsid w:val="00225E77"/>
    <w:rsid w:val="002E2480"/>
    <w:rsid w:val="0033079A"/>
    <w:rsid w:val="0033246E"/>
    <w:rsid w:val="00367C4F"/>
    <w:rsid w:val="0037757D"/>
    <w:rsid w:val="003D4D71"/>
    <w:rsid w:val="0040648F"/>
    <w:rsid w:val="00473CA4"/>
    <w:rsid w:val="004975F0"/>
    <w:rsid w:val="004A69EC"/>
    <w:rsid w:val="004C5B3D"/>
    <w:rsid w:val="004C5F72"/>
    <w:rsid w:val="0054335D"/>
    <w:rsid w:val="005A660E"/>
    <w:rsid w:val="00655A58"/>
    <w:rsid w:val="00697C4F"/>
    <w:rsid w:val="006D457F"/>
    <w:rsid w:val="006E2695"/>
    <w:rsid w:val="0070062A"/>
    <w:rsid w:val="007C472E"/>
    <w:rsid w:val="007E501A"/>
    <w:rsid w:val="0083264A"/>
    <w:rsid w:val="00873A90"/>
    <w:rsid w:val="00883352"/>
    <w:rsid w:val="009B07AB"/>
    <w:rsid w:val="009D3440"/>
    <w:rsid w:val="00A27574"/>
    <w:rsid w:val="00A2763D"/>
    <w:rsid w:val="00B32D3A"/>
    <w:rsid w:val="00B36C7B"/>
    <w:rsid w:val="00B775B2"/>
    <w:rsid w:val="00BB2CFE"/>
    <w:rsid w:val="00C63E2E"/>
    <w:rsid w:val="00CB61E8"/>
    <w:rsid w:val="00D1182F"/>
    <w:rsid w:val="00D1413F"/>
    <w:rsid w:val="00D5481D"/>
    <w:rsid w:val="00D65465"/>
    <w:rsid w:val="00D75DE4"/>
    <w:rsid w:val="00DC19A7"/>
    <w:rsid w:val="00DF1135"/>
    <w:rsid w:val="00EC17B5"/>
    <w:rsid w:val="00FD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FD7EB2"/>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719BEB6F4B05438B95E20987EC1D04FC">
    <w:name w:val="719BEB6F4B05438B95E20987EC1D04FC"/>
    <w:rsid w:val="00DF1135"/>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E42B-0A5E-47A4-B40D-C590F997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Overview of the consultations conducted, and other contributions received, regarding the preparation of the post-2020 global biodiversity framework</vt:lpstr>
    </vt:vector>
  </TitlesOfParts>
  <Company>Biodiversity</Company>
  <LinksUpToDate>false</LinksUpToDate>
  <CharactersWithSpaces>12484</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the consultations conducted, and other contributions received, regarding the preparation of the post-2020 global biodiversity framework</dc:title>
  <dc:subject>CBD/WG2020/1/2</dc:subject>
  <dc:creator>SCBD</dc:creator>
  <cp:keywords>Open-ended Working Group on the Post-2020 Global Biodiversity Framework, first meeting, Nairobi, Kenya, 27-30 August 2019, Convention on Biological Diversity</cp:keywords>
  <cp:lastModifiedBy>Veronique Lefebvre</cp:lastModifiedBy>
  <cp:revision>4</cp:revision>
  <cp:lastPrinted>2019-05-21T16:47:00Z</cp:lastPrinted>
  <dcterms:created xsi:type="dcterms:W3CDTF">2019-07-11T15:50:00Z</dcterms:created>
  <dcterms:modified xsi:type="dcterms:W3CDTF">2019-07-11T16:02:00Z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OPEN-ENDED WORKING GROUP on the post-2020 global biodiversity framework</vt:lpwstr>
  </property>
</Properties>
</file>