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0E4865" w14:paraId="07E9CBAA" w14:textId="77777777" w:rsidTr="00CF1848">
        <w:trPr>
          <w:trHeight w:val="709"/>
        </w:trPr>
        <w:tc>
          <w:tcPr>
            <w:tcW w:w="976" w:type="dxa"/>
            <w:tcBorders>
              <w:bottom w:val="single" w:sz="12" w:space="0" w:color="auto"/>
            </w:tcBorders>
          </w:tcPr>
          <w:p w14:paraId="4C3741D1" w14:textId="77777777" w:rsidR="00C9161D" w:rsidRPr="000E4865" w:rsidRDefault="00C9161D" w:rsidP="00D74331">
            <w:pPr>
              <w:suppressLineNumbers/>
              <w:suppressAutoHyphens/>
              <w:kinsoku w:val="0"/>
              <w:overflowPunct w:val="0"/>
              <w:autoSpaceDE w:val="0"/>
              <w:autoSpaceDN w:val="0"/>
              <w:adjustRightInd w:val="0"/>
              <w:snapToGrid w:val="0"/>
              <w:rPr>
                <w:snapToGrid w:val="0"/>
                <w:kern w:val="22"/>
                <w:lang w:val="es-ES_tradnl"/>
              </w:rPr>
            </w:pPr>
            <w:bookmarkStart w:id="0" w:name="_Hlk517132911"/>
            <w:r w:rsidRPr="000E4865">
              <w:rPr>
                <w:noProof/>
                <w:snapToGrid w:val="0"/>
                <w:kern w:val="22"/>
                <w:lang w:val="es-ES_tradnl" w:eastAsia="zh-CN"/>
              </w:rPr>
              <w:drawing>
                <wp:inline distT="0" distB="0" distL="0" distR="0" wp14:anchorId="7028B8D9" wp14:editId="654853B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7EE4C2C4" w14:textId="77777777" w:rsidR="00C9161D" w:rsidRPr="000E4865" w:rsidRDefault="00C9161D" w:rsidP="00D74331">
            <w:pPr>
              <w:suppressLineNumbers/>
              <w:suppressAutoHyphens/>
              <w:kinsoku w:val="0"/>
              <w:overflowPunct w:val="0"/>
              <w:autoSpaceDE w:val="0"/>
              <w:autoSpaceDN w:val="0"/>
              <w:adjustRightInd w:val="0"/>
              <w:snapToGrid w:val="0"/>
              <w:rPr>
                <w:snapToGrid w:val="0"/>
                <w:kern w:val="22"/>
                <w:lang w:val="es-ES_tradnl"/>
              </w:rPr>
            </w:pPr>
            <w:r w:rsidRPr="000E4865">
              <w:rPr>
                <w:noProof/>
                <w:snapToGrid w:val="0"/>
                <w:kern w:val="22"/>
                <w:lang w:val="es-ES_tradnl" w:eastAsia="zh-CN"/>
              </w:rPr>
              <w:drawing>
                <wp:inline distT="0" distB="0" distL="0" distR="0" wp14:anchorId="22C1840E" wp14:editId="74F3D35E">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910E339" w14:textId="77777777" w:rsidR="00C9161D" w:rsidRPr="000E4865" w:rsidRDefault="00C9161D" w:rsidP="00D74331">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lang w:val="es-ES_tradnl"/>
              </w:rPr>
            </w:pPr>
            <w:r w:rsidRPr="000E4865">
              <w:rPr>
                <w:rFonts w:ascii="Arial" w:hAnsi="Arial" w:cs="Arial"/>
                <w:b/>
                <w:snapToGrid w:val="0"/>
                <w:kern w:val="22"/>
                <w:sz w:val="32"/>
                <w:szCs w:val="32"/>
                <w:lang w:val="es-ES_tradnl"/>
              </w:rPr>
              <w:t>CBD</w:t>
            </w:r>
          </w:p>
        </w:tc>
      </w:tr>
      <w:tr w:rsidR="00C9161D" w:rsidRPr="000E4865" w14:paraId="57F4C8DD" w14:textId="77777777" w:rsidTr="00CF1848">
        <w:tc>
          <w:tcPr>
            <w:tcW w:w="6117" w:type="dxa"/>
            <w:gridSpan w:val="2"/>
            <w:tcBorders>
              <w:top w:val="single" w:sz="12" w:space="0" w:color="auto"/>
              <w:bottom w:val="single" w:sz="36" w:space="0" w:color="auto"/>
            </w:tcBorders>
            <w:vAlign w:val="center"/>
          </w:tcPr>
          <w:p w14:paraId="2F36F6F3" w14:textId="35BDECD6" w:rsidR="00C9161D" w:rsidRPr="000E4865" w:rsidRDefault="00B96BEB" w:rsidP="00D74331">
            <w:pPr>
              <w:suppressLineNumbers/>
              <w:suppressAutoHyphens/>
              <w:kinsoku w:val="0"/>
              <w:overflowPunct w:val="0"/>
              <w:autoSpaceDE w:val="0"/>
              <w:autoSpaceDN w:val="0"/>
              <w:adjustRightInd w:val="0"/>
              <w:snapToGrid w:val="0"/>
              <w:rPr>
                <w:snapToGrid w:val="0"/>
                <w:kern w:val="22"/>
                <w:lang w:val="es-ES_tradnl"/>
              </w:rPr>
            </w:pPr>
            <w:r w:rsidRPr="000E4865">
              <w:rPr>
                <w:noProof/>
                <w:lang w:val="es-ES_tradnl" w:eastAsia="es-UY"/>
              </w:rPr>
              <w:drawing>
                <wp:inline distT="0" distB="0" distL="0" distR="0" wp14:anchorId="5233A2C9" wp14:editId="21F8D914">
                  <wp:extent cx="2924175" cy="1076325"/>
                  <wp:effectExtent l="19050" t="0" r="9525" b="0"/>
                  <wp:docPr id="4" name="Picture 3" descr="CBD_logo_es-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s-CMYK-black [Converted]"/>
                          <pic:cNvPicPr>
                            <a:picLocks noChangeAspect="1" noChangeArrowheads="1"/>
                          </pic:cNvPicPr>
                        </pic:nvPicPr>
                        <pic:blipFill>
                          <a:blip r:embed="rId11" cstate="print"/>
                          <a:srcRect/>
                          <a:stretch>
                            <a:fillRect/>
                          </a:stretch>
                        </pic:blipFill>
                        <pic:spPr bwMode="auto">
                          <a:xfrm>
                            <a:off x="0" y="0"/>
                            <a:ext cx="2924175" cy="107632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6AAC98F9" w14:textId="77777777" w:rsidR="00C9161D" w:rsidRPr="000E4865" w:rsidRDefault="00C9161D" w:rsidP="00D74331">
            <w:pPr>
              <w:suppressLineNumbers/>
              <w:suppressAutoHyphens/>
              <w:kinsoku w:val="0"/>
              <w:overflowPunct w:val="0"/>
              <w:autoSpaceDE w:val="0"/>
              <w:autoSpaceDN w:val="0"/>
              <w:adjustRightInd w:val="0"/>
              <w:snapToGrid w:val="0"/>
              <w:ind w:left="1215"/>
              <w:rPr>
                <w:snapToGrid w:val="0"/>
                <w:kern w:val="22"/>
                <w:szCs w:val="22"/>
                <w:lang w:val="es-ES_tradnl"/>
              </w:rPr>
            </w:pPr>
            <w:r w:rsidRPr="000E4865">
              <w:rPr>
                <w:snapToGrid w:val="0"/>
                <w:kern w:val="22"/>
                <w:szCs w:val="22"/>
                <w:lang w:val="es-ES_tradnl"/>
              </w:rPr>
              <w:t>Distr.</w:t>
            </w:r>
          </w:p>
          <w:p w14:paraId="7A757A58" w14:textId="77777777" w:rsidR="00C9161D" w:rsidRPr="000E4865" w:rsidRDefault="00A53B5D" w:rsidP="00D74331">
            <w:pPr>
              <w:suppressLineNumbers/>
              <w:suppressAutoHyphens/>
              <w:kinsoku w:val="0"/>
              <w:overflowPunct w:val="0"/>
              <w:autoSpaceDE w:val="0"/>
              <w:autoSpaceDN w:val="0"/>
              <w:adjustRightInd w:val="0"/>
              <w:snapToGrid w:val="0"/>
              <w:ind w:left="1215"/>
              <w:rPr>
                <w:snapToGrid w:val="0"/>
                <w:kern w:val="22"/>
                <w:szCs w:val="22"/>
                <w:lang w:val="es-ES_tradnl"/>
              </w:rPr>
            </w:pPr>
            <w:sdt>
              <w:sdtPr>
                <w:rPr>
                  <w:caps/>
                  <w:snapToGrid w:val="0"/>
                  <w:kern w:val="22"/>
                  <w:szCs w:val="22"/>
                  <w:lang w:val="es-ES_tradnl"/>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sidRPr="000E4865">
                  <w:rPr>
                    <w:caps/>
                    <w:snapToGrid w:val="0"/>
                    <w:kern w:val="22"/>
                    <w:szCs w:val="22"/>
                    <w:lang w:val="es-ES_tradnl"/>
                  </w:rPr>
                  <w:t>GENERAL</w:t>
                </w:r>
              </w:sdtContent>
            </w:sdt>
          </w:p>
          <w:p w14:paraId="07E385C5" w14:textId="77777777" w:rsidR="00C9161D" w:rsidRPr="000E4865" w:rsidRDefault="00C9161D" w:rsidP="00D74331">
            <w:pPr>
              <w:suppressLineNumbers/>
              <w:suppressAutoHyphens/>
              <w:kinsoku w:val="0"/>
              <w:overflowPunct w:val="0"/>
              <w:autoSpaceDE w:val="0"/>
              <w:autoSpaceDN w:val="0"/>
              <w:adjustRightInd w:val="0"/>
              <w:snapToGrid w:val="0"/>
              <w:ind w:left="1215"/>
              <w:rPr>
                <w:snapToGrid w:val="0"/>
                <w:kern w:val="22"/>
                <w:szCs w:val="22"/>
                <w:lang w:val="es-ES_tradnl"/>
              </w:rPr>
            </w:pPr>
          </w:p>
          <w:p w14:paraId="3E8F9D86" w14:textId="4F9ACEDF" w:rsidR="00C9161D" w:rsidRPr="000E4865" w:rsidRDefault="00A53B5D" w:rsidP="00D74331">
            <w:pPr>
              <w:suppressLineNumbers/>
              <w:suppressAutoHyphens/>
              <w:kinsoku w:val="0"/>
              <w:overflowPunct w:val="0"/>
              <w:autoSpaceDE w:val="0"/>
              <w:autoSpaceDN w:val="0"/>
              <w:adjustRightInd w:val="0"/>
              <w:snapToGrid w:val="0"/>
              <w:ind w:left="1215"/>
              <w:rPr>
                <w:snapToGrid w:val="0"/>
                <w:kern w:val="22"/>
                <w:szCs w:val="22"/>
                <w:lang w:val="es-ES_tradnl"/>
              </w:rPr>
            </w:pPr>
            <w:sdt>
              <w:sdtPr>
                <w:rPr>
                  <w:snapToGrid w:val="0"/>
                  <w:kern w:val="22"/>
                  <w:lang w:val="es-ES_tradnl"/>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F74F5" w:rsidRPr="000E4865">
                  <w:rPr>
                    <w:snapToGrid w:val="0"/>
                    <w:kern w:val="22"/>
                    <w:lang w:val="es-ES_tradnl"/>
                  </w:rPr>
                  <w:t>CBD/</w:t>
                </w:r>
                <w:r w:rsidR="004F429A" w:rsidRPr="000E4865">
                  <w:rPr>
                    <w:snapToGrid w:val="0"/>
                    <w:kern w:val="22"/>
                    <w:lang w:val="es-ES_tradnl"/>
                  </w:rPr>
                  <w:t>SBI/2/4/Add.4</w:t>
                </w:r>
              </w:sdtContent>
            </w:sdt>
          </w:p>
          <w:p w14:paraId="269AF80C" w14:textId="09225B6F" w:rsidR="00C9161D" w:rsidRPr="000E4865" w:rsidRDefault="00A53B5D" w:rsidP="00D74331">
            <w:pPr>
              <w:suppressLineNumbers/>
              <w:suppressAutoHyphens/>
              <w:kinsoku w:val="0"/>
              <w:overflowPunct w:val="0"/>
              <w:autoSpaceDE w:val="0"/>
              <w:autoSpaceDN w:val="0"/>
              <w:adjustRightInd w:val="0"/>
              <w:snapToGrid w:val="0"/>
              <w:ind w:left="1215"/>
              <w:rPr>
                <w:snapToGrid w:val="0"/>
                <w:kern w:val="22"/>
                <w:szCs w:val="22"/>
                <w:lang w:val="es-ES_tradnl"/>
              </w:rPr>
            </w:pPr>
            <w:sdt>
              <w:sdtPr>
                <w:rPr>
                  <w:snapToGrid w:val="0"/>
                  <w:kern w:val="22"/>
                  <w:szCs w:val="22"/>
                  <w:lang w:val="es-ES_tradnl"/>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 MMMM yyyy"/>
                  <w:lid w:val="en-US"/>
                  <w:storeMappedDataAs w:val="dateTime"/>
                  <w:calendar w:val="gregorian"/>
                </w:date>
              </w:sdtPr>
              <w:sdtEndPr/>
              <w:sdtContent>
                <w:r w:rsidR="004F429A" w:rsidRPr="000E4865">
                  <w:rPr>
                    <w:snapToGrid w:val="0"/>
                    <w:kern w:val="22"/>
                    <w:szCs w:val="22"/>
                    <w:lang w:val="es-ES_tradnl"/>
                  </w:rPr>
                  <w:t xml:space="preserve">27 </w:t>
                </w:r>
                <w:r w:rsidR="00B96BEB" w:rsidRPr="000E4865">
                  <w:rPr>
                    <w:snapToGrid w:val="0"/>
                    <w:kern w:val="22"/>
                    <w:szCs w:val="22"/>
                    <w:lang w:val="es-ES_tradnl"/>
                  </w:rPr>
                  <w:t xml:space="preserve">de mayo de </w:t>
                </w:r>
                <w:r w:rsidR="004F429A" w:rsidRPr="000E4865">
                  <w:rPr>
                    <w:snapToGrid w:val="0"/>
                    <w:kern w:val="22"/>
                    <w:szCs w:val="22"/>
                    <w:lang w:val="es-ES_tradnl"/>
                  </w:rPr>
                  <w:t>2018</w:t>
                </w:r>
              </w:sdtContent>
            </w:sdt>
          </w:p>
          <w:p w14:paraId="222A9A16" w14:textId="77777777" w:rsidR="00C9161D" w:rsidRPr="000E4865" w:rsidRDefault="00C9161D" w:rsidP="00D74331">
            <w:pPr>
              <w:suppressLineNumbers/>
              <w:suppressAutoHyphens/>
              <w:kinsoku w:val="0"/>
              <w:overflowPunct w:val="0"/>
              <w:autoSpaceDE w:val="0"/>
              <w:autoSpaceDN w:val="0"/>
              <w:adjustRightInd w:val="0"/>
              <w:snapToGrid w:val="0"/>
              <w:ind w:left="1215"/>
              <w:rPr>
                <w:snapToGrid w:val="0"/>
                <w:kern w:val="22"/>
                <w:szCs w:val="22"/>
                <w:lang w:val="es-ES_tradnl"/>
              </w:rPr>
            </w:pPr>
          </w:p>
          <w:p w14:paraId="55EB78C7" w14:textId="77777777" w:rsidR="00B96BEB" w:rsidRPr="000E4865" w:rsidRDefault="00B96BEB" w:rsidP="00D74331">
            <w:pPr>
              <w:suppressLineNumbers/>
              <w:suppressAutoHyphens/>
              <w:kinsoku w:val="0"/>
              <w:overflowPunct w:val="0"/>
              <w:autoSpaceDE w:val="0"/>
              <w:autoSpaceDN w:val="0"/>
              <w:adjustRightInd w:val="0"/>
              <w:snapToGrid w:val="0"/>
              <w:ind w:left="1215"/>
              <w:rPr>
                <w:snapToGrid w:val="0"/>
                <w:kern w:val="22"/>
                <w:szCs w:val="22"/>
                <w:lang w:val="es-ES_tradnl"/>
              </w:rPr>
            </w:pPr>
            <w:r w:rsidRPr="000E4865">
              <w:rPr>
                <w:snapToGrid w:val="0"/>
                <w:kern w:val="22"/>
                <w:szCs w:val="22"/>
                <w:lang w:val="es-ES_tradnl"/>
              </w:rPr>
              <w:t>ESPAÑOL</w:t>
            </w:r>
          </w:p>
          <w:p w14:paraId="5765FA88" w14:textId="447BC73A" w:rsidR="00C9161D" w:rsidRPr="000E4865" w:rsidRDefault="006B2290" w:rsidP="00D74331">
            <w:pPr>
              <w:suppressLineNumbers/>
              <w:suppressAutoHyphens/>
              <w:kinsoku w:val="0"/>
              <w:overflowPunct w:val="0"/>
              <w:autoSpaceDE w:val="0"/>
              <w:autoSpaceDN w:val="0"/>
              <w:adjustRightInd w:val="0"/>
              <w:snapToGrid w:val="0"/>
              <w:ind w:left="1215"/>
              <w:rPr>
                <w:snapToGrid w:val="0"/>
                <w:kern w:val="22"/>
                <w:szCs w:val="22"/>
                <w:lang w:val="es-ES_tradnl"/>
              </w:rPr>
            </w:pPr>
            <w:r w:rsidRPr="000E4865">
              <w:rPr>
                <w:snapToGrid w:val="0"/>
                <w:kern w:val="22"/>
                <w:szCs w:val="22"/>
                <w:lang w:val="es-ES_tradnl"/>
              </w:rPr>
              <w:t xml:space="preserve">ORIGINAL: </w:t>
            </w:r>
            <w:r w:rsidR="00B96BEB" w:rsidRPr="000E4865">
              <w:rPr>
                <w:snapToGrid w:val="0"/>
                <w:kern w:val="22"/>
                <w:szCs w:val="22"/>
                <w:lang w:val="es-ES_tradnl"/>
              </w:rPr>
              <w:t>INGLÉS</w:t>
            </w:r>
          </w:p>
          <w:p w14:paraId="7E492A9D" w14:textId="77777777" w:rsidR="00C9161D" w:rsidRPr="000E4865" w:rsidRDefault="00C9161D" w:rsidP="00D74331">
            <w:pPr>
              <w:suppressLineNumbers/>
              <w:suppressAutoHyphens/>
              <w:kinsoku w:val="0"/>
              <w:overflowPunct w:val="0"/>
              <w:autoSpaceDE w:val="0"/>
              <w:autoSpaceDN w:val="0"/>
              <w:adjustRightInd w:val="0"/>
              <w:snapToGrid w:val="0"/>
              <w:rPr>
                <w:snapToGrid w:val="0"/>
                <w:kern w:val="22"/>
                <w:lang w:val="es-ES_tradnl"/>
              </w:rPr>
            </w:pPr>
          </w:p>
        </w:tc>
      </w:tr>
    </w:tbl>
    <w:p w14:paraId="6C806E11" w14:textId="77777777" w:rsidR="00B96BEB" w:rsidRPr="000E4865" w:rsidRDefault="00B96BEB" w:rsidP="00B96BEB">
      <w:pPr>
        <w:pStyle w:val="meetingname"/>
        <w:ind w:left="220" w:right="4398" w:hanging="220"/>
        <w:rPr>
          <w:kern w:val="22"/>
          <w:lang w:val="es-ES_tradnl"/>
        </w:rPr>
      </w:pPr>
      <w:bookmarkStart w:id="1" w:name="Meeting"/>
      <w:r w:rsidRPr="000E4865">
        <w:rPr>
          <w:noProof/>
          <w:kern w:val="22"/>
          <w:lang w:val="es-ES_tradnl"/>
        </w:rPr>
        <w:t>ÓRGANO SUBSIDIARIO SOBRE LA APLICACIÓN</w:t>
      </w:r>
      <w:bookmarkEnd w:id="1"/>
    </w:p>
    <w:p w14:paraId="160B8215" w14:textId="77777777" w:rsidR="00B96BEB" w:rsidRPr="000E4865" w:rsidRDefault="00B96BEB" w:rsidP="00B96BEB">
      <w:pPr>
        <w:rPr>
          <w:kern w:val="22"/>
          <w:lang w:val="es-ES_tradnl"/>
        </w:rPr>
      </w:pPr>
      <w:r w:rsidRPr="000E4865">
        <w:rPr>
          <w:noProof/>
          <w:kern w:val="22"/>
          <w:lang w:val="es-ES_tradnl"/>
        </w:rPr>
        <w:t>Segunda reunión</w:t>
      </w:r>
    </w:p>
    <w:p w14:paraId="528A1580" w14:textId="77777777" w:rsidR="00B96BEB" w:rsidRPr="000E4865" w:rsidRDefault="00B96BEB" w:rsidP="00B96BEB">
      <w:pPr>
        <w:rPr>
          <w:kern w:val="22"/>
          <w:lang w:val="es-ES_tradnl"/>
        </w:rPr>
      </w:pPr>
      <w:r w:rsidRPr="000E4865">
        <w:rPr>
          <w:noProof/>
          <w:kern w:val="22"/>
          <w:lang w:val="es-ES_tradnl"/>
        </w:rPr>
        <w:t>Montreal, Canadá, 9 a 13 de julio de 2018</w:t>
      </w:r>
    </w:p>
    <w:p w14:paraId="4FB8900F" w14:textId="175B3259" w:rsidR="00C9161D" w:rsidRPr="000E4865" w:rsidRDefault="00B96BEB" w:rsidP="00B96BEB">
      <w:pPr>
        <w:suppressLineNumbers/>
        <w:suppressAutoHyphens/>
        <w:kinsoku w:val="0"/>
        <w:overflowPunct w:val="0"/>
        <w:autoSpaceDE w:val="0"/>
        <w:autoSpaceDN w:val="0"/>
        <w:adjustRightInd w:val="0"/>
        <w:snapToGrid w:val="0"/>
        <w:rPr>
          <w:snapToGrid w:val="0"/>
          <w:kern w:val="22"/>
          <w:szCs w:val="22"/>
          <w:lang w:val="es-ES_tradnl"/>
        </w:rPr>
      </w:pPr>
      <w:r w:rsidRPr="000E4865">
        <w:rPr>
          <w:noProof/>
          <w:kern w:val="22"/>
          <w:lang w:val="es-ES_tradnl"/>
        </w:rPr>
        <w:t>Tema 5 del programa provisional</w:t>
      </w:r>
      <w:r w:rsidRPr="000E4865">
        <w:rPr>
          <w:rStyle w:val="FootnoteReference"/>
          <w:snapToGrid w:val="0"/>
          <w:kern w:val="22"/>
          <w:szCs w:val="22"/>
          <w:lang w:val="es-ES_tradnl"/>
        </w:rPr>
        <w:t xml:space="preserve"> </w:t>
      </w:r>
      <w:r w:rsidR="00241557" w:rsidRPr="000E4865">
        <w:rPr>
          <w:rStyle w:val="FootnoteReference"/>
          <w:snapToGrid w:val="0"/>
          <w:kern w:val="22"/>
          <w:szCs w:val="22"/>
          <w:lang w:val="es-ES_tradnl"/>
        </w:rPr>
        <w:footnoteReference w:customMarkFollows="1" w:id="1"/>
        <w:t>*</w:t>
      </w:r>
    </w:p>
    <w:p w14:paraId="4F50D9BE" w14:textId="369886AC" w:rsidR="00CF7B69" w:rsidRPr="000E4865" w:rsidRDefault="00A53B5D" w:rsidP="00D74331">
      <w:pPr>
        <w:suppressLineNumbers/>
        <w:suppressAutoHyphens/>
        <w:kinsoku w:val="0"/>
        <w:overflowPunct w:val="0"/>
        <w:autoSpaceDE w:val="0"/>
        <w:autoSpaceDN w:val="0"/>
        <w:adjustRightInd w:val="0"/>
        <w:snapToGrid w:val="0"/>
        <w:spacing w:before="240" w:after="120"/>
        <w:jc w:val="center"/>
        <w:rPr>
          <w:b/>
          <w:bCs/>
          <w:caps/>
          <w:snapToGrid w:val="0"/>
          <w:spacing w:val="-2"/>
          <w:kern w:val="22"/>
          <w:szCs w:val="22"/>
          <w:lang w:val="es-ES_tradnl"/>
        </w:rPr>
      </w:pPr>
      <w:sdt>
        <w:sdtPr>
          <w:rPr>
            <w:b/>
            <w:bCs/>
            <w:caps/>
            <w:snapToGrid w:val="0"/>
            <w:spacing w:val="-2"/>
            <w:kern w:val="22"/>
            <w:szCs w:val="22"/>
            <w:lang w:val="es-ES_tradnl"/>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F242A4" w:rsidRPr="000E4865">
            <w:rPr>
              <w:b/>
              <w:bCs/>
              <w:caps/>
              <w:snapToGrid w:val="0"/>
              <w:spacing w:val="-2"/>
              <w:kern w:val="22"/>
              <w:szCs w:val="22"/>
              <w:lang w:val="es-ES_tradnl"/>
            </w:rPr>
            <w:t>IN</w:t>
          </w:r>
          <w:r w:rsidR="00BE4E68" w:rsidRPr="000E4865">
            <w:rPr>
              <w:b/>
              <w:bCs/>
              <w:caps/>
              <w:snapToGrid w:val="0"/>
              <w:spacing w:val="-2"/>
              <w:kern w:val="22"/>
              <w:szCs w:val="22"/>
              <w:lang w:val="es-ES_tradnl"/>
            </w:rPr>
            <w:t>tegración</w:t>
          </w:r>
          <w:r w:rsidR="00F242A4" w:rsidRPr="000E4865">
            <w:rPr>
              <w:b/>
              <w:bCs/>
              <w:caps/>
              <w:snapToGrid w:val="0"/>
              <w:spacing w:val="-2"/>
              <w:kern w:val="22"/>
              <w:szCs w:val="22"/>
              <w:lang w:val="es-ES_tradnl"/>
            </w:rPr>
            <w:t xml:space="preserve"> DE LA DIVERSIDAD BIOLÓGICA EN LOS SECTORES</w:t>
          </w:r>
          <w:r w:rsidR="002337E6">
            <w:rPr>
              <w:b/>
              <w:bCs/>
              <w:caps/>
              <w:snapToGrid w:val="0"/>
              <w:spacing w:val="-2"/>
              <w:kern w:val="22"/>
              <w:szCs w:val="22"/>
              <w:lang w:val="es-ES_tradnl"/>
            </w:rPr>
            <w:t xml:space="preserve"> manufacturero y de </w:t>
          </w:r>
          <w:r w:rsidR="00BE4E68" w:rsidRPr="000E4865">
            <w:rPr>
              <w:b/>
              <w:bCs/>
              <w:caps/>
              <w:snapToGrid w:val="0"/>
              <w:spacing w:val="-2"/>
              <w:kern w:val="22"/>
              <w:szCs w:val="22"/>
              <w:lang w:val="es-ES_tradnl"/>
            </w:rPr>
            <w:t>ELABORACIÓN</w:t>
          </w:r>
        </w:sdtContent>
      </w:sdt>
    </w:p>
    <w:p w14:paraId="767B6EAE" w14:textId="095759D7" w:rsidR="00C9161D" w:rsidRPr="000E4865" w:rsidRDefault="00CF7B69" w:rsidP="00D74331">
      <w:pPr>
        <w:suppressLineNumbers/>
        <w:suppressAutoHyphens/>
        <w:kinsoku w:val="0"/>
        <w:overflowPunct w:val="0"/>
        <w:autoSpaceDE w:val="0"/>
        <w:autoSpaceDN w:val="0"/>
        <w:adjustRightInd w:val="0"/>
        <w:snapToGrid w:val="0"/>
        <w:spacing w:before="120" w:after="120"/>
        <w:jc w:val="center"/>
        <w:rPr>
          <w:i/>
          <w:caps/>
          <w:snapToGrid w:val="0"/>
          <w:kern w:val="22"/>
          <w:szCs w:val="22"/>
          <w:lang w:val="es-ES_tradnl"/>
        </w:rPr>
      </w:pPr>
      <w:r w:rsidRPr="000E4865">
        <w:rPr>
          <w:i/>
          <w:snapToGrid w:val="0"/>
          <w:spacing w:val="-2"/>
          <w:kern w:val="22"/>
          <w:szCs w:val="22"/>
          <w:lang w:val="es-ES_tradnl"/>
        </w:rPr>
        <w:t>No</w:t>
      </w:r>
      <w:r w:rsidR="00B96BEB" w:rsidRPr="000E4865">
        <w:rPr>
          <w:i/>
          <w:snapToGrid w:val="0"/>
          <w:spacing w:val="-2"/>
          <w:kern w:val="22"/>
          <w:szCs w:val="22"/>
          <w:lang w:val="es-ES_tradnl"/>
        </w:rPr>
        <w:t>ta de la Secretaria Ejecutiva</w:t>
      </w:r>
    </w:p>
    <w:p w14:paraId="7852043D" w14:textId="506C780E" w:rsidR="00276B6C" w:rsidRPr="000E4865" w:rsidRDefault="00276B6C" w:rsidP="00D74331">
      <w:pPr>
        <w:pStyle w:val="Heading1"/>
        <w:suppressLineNumbers/>
        <w:tabs>
          <w:tab w:val="clear" w:pos="720"/>
        </w:tabs>
        <w:suppressAutoHyphens/>
        <w:kinsoku w:val="0"/>
        <w:overflowPunct w:val="0"/>
        <w:autoSpaceDE w:val="0"/>
        <w:autoSpaceDN w:val="0"/>
        <w:adjustRightInd w:val="0"/>
        <w:snapToGrid w:val="0"/>
        <w:spacing w:before="120"/>
        <w:ind w:left="1080"/>
        <w:rPr>
          <w:snapToGrid w:val="0"/>
          <w:kern w:val="22"/>
          <w:szCs w:val="22"/>
          <w:lang w:val="es-ES_tradnl"/>
        </w:rPr>
      </w:pPr>
      <w:bookmarkStart w:id="2" w:name="_Toc503896327"/>
      <w:r w:rsidRPr="000E4865">
        <w:rPr>
          <w:snapToGrid w:val="0"/>
          <w:kern w:val="22"/>
          <w:szCs w:val="22"/>
          <w:lang w:val="es-ES_tradnl"/>
        </w:rPr>
        <w:t>Introdu</w:t>
      </w:r>
      <w:r w:rsidR="00B96BEB" w:rsidRPr="000E4865">
        <w:rPr>
          <w:snapToGrid w:val="0"/>
          <w:kern w:val="22"/>
          <w:szCs w:val="22"/>
          <w:lang w:val="es-ES_tradnl"/>
        </w:rPr>
        <w:t>CCIÓN</w:t>
      </w:r>
      <w:bookmarkEnd w:id="2"/>
    </w:p>
    <w:p w14:paraId="7D79A240" w14:textId="694CB848" w:rsidR="00276B6C" w:rsidRPr="000E4865" w:rsidRDefault="006D107E"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En la decisión</w:t>
      </w:r>
      <w:r w:rsidR="00276B6C" w:rsidRPr="000E4865">
        <w:rPr>
          <w:snapToGrid w:val="0"/>
          <w:kern w:val="22"/>
          <w:szCs w:val="22"/>
          <w:lang w:val="es-ES_tradnl"/>
        </w:rPr>
        <w:t xml:space="preserve"> </w:t>
      </w:r>
      <w:hyperlink r:id="rId12" w:history="1">
        <w:r w:rsidR="00276B6C" w:rsidRPr="000E4865">
          <w:rPr>
            <w:rStyle w:val="Hyperlink"/>
            <w:snapToGrid w:val="0"/>
            <w:kern w:val="22"/>
            <w:sz w:val="22"/>
            <w:szCs w:val="22"/>
            <w:lang w:val="es-ES_tradnl"/>
          </w:rPr>
          <w:t>XIII/3</w:t>
        </w:r>
      </w:hyperlink>
      <w:r w:rsidR="00276B6C" w:rsidRPr="000E4865">
        <w:rPr>
          <w:snapToGrid w:val="0"/>
          <w:kern w:val="22"/>
          <w:szCs w:val="22"/>
          <w:lang w:val="es-ES_tradnl"/>
        </w:rPr>
        <w:t xml:space="preserve">, </w:t>
      </w:r>
      <w:r w:rsidRPr="000E4865">
        <w:rPr>
          <w:snapToGrid w:val="0"/>
          <w:kern w:val="22"/>
          <w:szCs w:val="22"/>
          <w:lang w:val="es-ES_tradnl"/>
        </w:rPr>
        <w:t xml:space="preserve">párrafo </w:t>
      </w:r>
      <w:r w:rsidR="00276B6C" w:rsidRPr="000B3ED9">
        <w:rPr>
          <w:snapToGrid w:val="0"/>
          <w:kern w:val="22"/>
          <w:szCs w:val="22"/>
          <w:lang w:val="es-ES_tradnl"/>
        </w:rPr>
        <w:t>10</w:t>
      </w:r>
      <w:r w:rsidR="00E378CE">
        <w:rPr>
          <w:snapToGrid w:val="0"/>
          <w:kern w:val="22"/>
          <w:szCs w:val="22"/>
          <w:lang w:val="es-ES_tradnl"/>
        </w:rPr>
        <w:t>3</w:t>
      </w:r>
      <w:r w:rsidR="00276B6C" w:rsidRPr="000E4865">
        <w:rPr>
          <w:snapToGrid w:val="0"/>
          <w:kern w:val="22"/>
          <w:szCs w:val="22"/>
          <w:lang w:val="es-ES_tradnl"/>
        </w:rPr>
        <w:t xml:space="preserve">, </w:t>
      </w:r>
      <w:r w:rsidR="000E4E7F" w:rsidRPr="000E4865">
        <w:rPr>
          <w:snapToGrid w:val="0"/>
          <w:kern w:val="22"/>
          <w:szCs w:val="22"/>
          <w:lang w:val="es-ES_tradnl"/>
        </w:rPr>
        <w:t>la Conferencia de las Partes</w:t>
      </w:r>
      <w:r w:rsidR="00276B6C" w:rsidRPr="000E4865">
        <w:rPr>
          <w:snapToGrid w:val="0"/>
          <w:kern w:val="22"/>
          <w:szCs w:val="22"/>
          <w:lang w:val="es-ES_tradnl"/>
        </w:rPr>
        <w:t xml:space="preserve"> </w:t>
      </w:r>
      <w:r w:rsidR="000E4E7F" w:rsidRPr="000E4865">
        <w:rPr>
          <w:snapToGrid w:val="0"/>
          <w:kern w:val="22"/>
          <w:szCs w:val="22"/>
          <w:lang w:val="es-ES_tradnl"/>
        </w:rPr>
        <w:t>decidió examinar, en su decimocuarta reunión, la integración de la biodiversidad en los sectores de energía y minería, infraestructura, industria manufacturera y de elaboración, y salud</w:t>
      </w:r>
      <w:r w:rsidR="00276B6C" w:rsidRPr="000E4865">
        <w:rPr>
          <w:snapToGrid w:val="0"/>
          <w:kern w:val="22"/>
          <w:szCs w:val="22"/>
          <w:lang w:val="es-ES_tradnl"/>
        </w:rPr>
        <w:t xml:space="preserve">. </w:t>
      </w:r>
      <w:r w:rsidR="000E4E7F" w:rsidRPr="000E4865">
        <w:rPr>
          <w:snapToGrid w:val="0"/>
          <w:kern w:val="22"/>
          <w:szCs w:val="22"/>
          <w:lang w:val="es-ES_tradnl"/>
        </w:rPr>
        <w:t>El presente document</w:t>
      </w:r>
      <w:r w:rsidR="00BE4E68" w:rsidRPr="000E4865">
        <w:rPr>
          <w:snapToGrid w:val="0"/>
          <w:kern w:val="22"/>
          <w:szCs w:val="22"/>
          <w:lang w:val="es-ES_tradnl"/>
        </w:rPr>
        <w:t>o</w:t>
      </w:r>
      <w:r w:rsidR="000E4E7F" w:rsidRPr="000E4865">
        <w:rPr>
          <w:snapToGrid w:val="0"/>
          <w:kern w:val="22"/>
          <w:szCs w:val="22"/>
          <w:lang w:val="es-ES_tradnl"/>
        </w:rPr>
        <w:t xml:space="preserve"> se centra en las dimensiones clave de l</w:t>
      </w:r>
      <w:r w:rsidR="00BE4E68" w:rsidRPr="000E4865">
        <w:rPr>
          <w:snapToGrid w:val="0"/>
          <w:kern w:val="22"/>
          <w:szCs w:val="22"/>
          <w:lang w:val="es-ES_tradnl"/>
        </w:rPr>
        <w:t>a integración de la biodiversidad en la industria manufacturera y de elaboración</w:t>
      </w:r>
      <w:r w:rsidR="00276B6C" w:rsidRPr="000E4865">
        <w:rPr>
          <w:rStyle w:val="FootnoteReference"/>
          <w:snapToGrid w:val="0"/>
          <w:kern w:val="22"/>
          <w:szCs w:val="22"/>
          <w:lang w:val="es-ES_tradnl"/>
        </w:rPr>
        <w:footnoteReference w:id="2"/>
      </w:r>
      <w:r w:rsidR="00BE4E68" w:rsidRPr="000E4865">
        <w:rPr>
          <w:snapToGrid w:val="0"/>
          <w:kern w:val="22"/>
          <w:szCs w:val="22"/>
          <w:lang w:val="es-ES_tradnl"/>
        </w:rPr>
        <w:t>, presentando brevemente dicho sector y sus tendencias, por qué es importante para la conservación de la diversidad biológica y la utilización sostenible, qué enfoques a la integración se han utilizado hasta la fecha y qué deficiencias deben abordarse</w:t>
      </w:r>
      <w:r w:rsidR="00276B6C" w:rsidRPr="000E4865">
        <w:rPr>
          <w:snapToGrid w:val="0"/>
          <w:kern w:val="22"/>
          <w:szCs w:val="22"/>
          <w:lang w:val="es-ES_tradnl"/>
        </w:rPr>
        <w:t>.</w:t>
      </w:r>
    </w:p>
    <w:p w14:paraId="3E526876" w14:textId="6AA0625E" w:rsidR="00276B6C" w:rsidRPr="000E4865" w:rsidRDefault="00BE4E68"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 xml:space="preserve">El presente documento se complementa con un documento de información </w:t>
      </w:r>
      <w:r w:rsidR="00276B6C" w:rsidRPr="000E4865">
        <w:rPr>
          <w:snapToGrid w:val="0"/>
          <w:kern w:val="22"/>
          <w:szCs w:val="22"/>
          <w:lang w:val="es-ES_tradnl"/>
        </w:rPr>
        <w:t>(CBD/SB</w:t>
      </w:r>
      <w:r w:rsidR="00CC5939" w:rsidRPr="000E4865">
        <w:rPr>
          <w:snapToGrid w:val="0"/>
          <w:kern w:val="22"/>
          <w:szCs w:val="22"/>
          <w:lang w:val="es-ES_tradnl"/>
        </w:rPr>
        <w:t>I/</w:t>
      </w:r>
      <w:r w:rsidR="00276B6C" w:rsidRPr="000E4865">
        <w:rPr>
          <w:snapToGrid w:val="0"/>
          <w:kern w:val="22"/>
          <w:szCs w:val="22"/>
          <w:lang w:val="es-ES_tradnl"/>
        </w:rPr>
        <w:t>2/</w:t>
      </w:r>
      <w:r w:rsidR="00CC5939" w:rsidRPr="000E4865">
        <w:rPr>
          <w:snapToGrid w:val="0"/>
          <w:kern w:val="22"/>
          <w:szCs w:val="22"/>
          <w:lang w:val="es-ES_tradnl"/>
        </w:rPr>
        <w:t>INF/31</w:t>
      </w:r>
      <w:r w:rsidR="00276B6C" w:rsidRPr="000E4865">
        <w:rPr>
          <w:snapToGrid w:val="0"/>
          <w:kern w:val="22"/>
          <w:szCs w:val="22"/>
          <w:lang w:val="es-ES_tradnl"/>
        </w:rPr>
        <w:t xml:space="preserve">) </w:t>
      </w:r>
      <w:r w:rsidRPr="000E4865">
        <w:rPr>
          <w:snapToGrid w:val="0"/>
          <w:kern w:val="22"/>
          <w:szCs w:val="22"/>
          <w:lang w:val="es-ES_tradnl"/>
        </w:rPr>
        <w:t>que facilita información más detallada sobre</w:t>
      </w:r>
      <w:r w:rsidR="00276B6C" w:rsidRPr="000E4865">
        <w:rPr>
          <w:snapToGrid w:val="0"/>
          <w:kern w:val="22"/>
          <w:szCs w:val="22"/>
          <w:lang w:val="es-ES_tradnl"/>
        </w:rPr>
        <w:t xml:space="preserve">: a) </w:t>
      </w:r>
      <w:r w:rsidRPr="000E4865">
        <w:rPr>
          <w:snapToGrid w:val="0"/>
          <w:kern w:val="22"/>
          <w:szCs w:val="22"/>
          <w:lang w:val="es-ES_tradnl"/>
        </w:rPr>
        <w:t>la definición de las industrias manufactureras</w:t>
      </w:r>
      <w:r w:rsidR="00276B6C" w:rsidRPr="000E4865">
        <w:rPr>
          <w:snapToGrid w:val="0"/>
          <w:kern w:val="22"/>
          <w:szCs w:val="22"/>
          <w:lang w:val="es-ES_tradnl"/>
        </w:rPr>
        <w:t xml:space="preserve">, </w:t>
      </w:r>
      <w:r w:rsidRPr="000E4865">
        <w:rPr>
          <w:snapToGrid w:val="0"/>
          <w:kern w:val="22"/>
          <w:szCs w:val="22"/>
          <w:lang w:val="es-ES_tradnl"/>
        </w:rPr>
        <w:t>su situación y tendencias mundiales</w:t>
      </w:r>
      <w:r w:rsidR="00276B6C" w:rsidRPr="000E4865">
        <w:rPr>
          <w:snapToGrid w:val="0"/>
          <w:kern w:val="22"/>
          <w:szCs w:val="22"/>
          <w:lang w:val="es-ES_tradnl"/>
        </w:rPr>
        <w:t xml:space="preserve">; b) </w:t>
      </w:r>
      <w:r w:rsidRPr="000E4865">
        <w:rPr>
          <w:snapToGrid w:val="0"/>
          <w:kern w:val="22"/>
          <w:szCs w:val="22"/>
          <w:lang w:val="es-ES_tradnl"/>
        </w:rPr>
        <w:t>las interacciones entre la manufactura y la diversidad biológica</w:t>
      </w:r>
      <w:r w:rsidR="00276B6C" w:rsidRPr="000E4865">
        <w:rPr>
          <w:rStyle w:val="FootnoteReference"/>
          <w:snapToGrid w:val="0"/>
          <w:kern w:val="22"/>
          <w:szCs w:val="22"/>
          <w:lang w:val="es-ES_tradnl"/>
        </w:rPr>
        <w:footnoteReference w:id="3"/>
      </w:r>
      <w:r w:rsidRPr="000E4865">
        <w:rPr>
          <w:snapToGrid w:val="0"/>
          <w:kern w:val="22"/>
          <w:szCs w:val="22"/>
          <w:lang w:val="es-ES_tradnl"/>
        </w:rPr>
        <w:t>, explicando los principales impactos y dependencias de diversas industrias manufactureras e identificando l</w:t>
      </w:r>
      <w:r w:rsidR="0057511A" w:rsidRPr="000E4865">
        <w:rPr>
          <w:snapToGrid w:val="0"/>
          <w:kern w:val="22"/>
          <w:szCs w:val="22"/>
          <w:lang w:val="es-ES_tradnl"/>
        </w:rPr>
        <w:t xml:space="preserve">os ámbitos </w:t>
      </w:r>
      <w:r w:rsidRPr="000E4865">
        <w:rPr>
          <w:snapToGrid w:val="0"/>
          <w:kern w:val="22"/>
          <w:szCs w:val="22"/>
          <w:lang w:val="es-ES_tradnl"/>
        </w:rPr>
        <w:t>de riesgo para la diversidad biológica</w:t>
      </w:r>
      <w:r w:rsidR="00276B6C" w:rsidRPr="000E4865">
        <w:rPr>
          <w:snapToGrid w:val="0"/>
          <w:kern w:val="22"/>
          <w:szCs w:val="22"/>
          <w:lang w:val="es-ES_tradnl"/>
        </w:rPr>
        <w:t xml:space="preserve">; </w:t>
      </w:r>
      <w:r w:rsidR="0057511A" w:rsidRPr="000E4865">
        <w:rPr>
          <w:snapToGrid w:val="0"/>
          <w:kern w:val="22"/>
          <w:szCs w:val="22"/>
          <w:lang w:val="es-ES_tradnl"/>
        </w:rPr>
        <w:t xml:space="preserve">y </w:t>
      </w:r>
      <w:r w:rsidR="00276B6C" w:rsidRPr="000E4865">
        <w:rPr>
          <w:snapToGrid w:val="0"/>
          <w:kern w:val="22"/>
          <w:szCs w:val="22"/>
          <w:lang w:val="es-ES_tradnl"/>
        </w:rPr>
        <w:t xml:space="preserve">c) </w:t>
      </w:r>
      <w:r w:rsidR="0057511A" w:rsidRPr="000E4865">
        <w:rPr>
          <w:snapToGrid w:val="0"/>
          <w:kern w:val="22"/>
          <w:szCs w:val="22"/>
          <w:lang w:val="es-ES_tradnl"/>
        </w:rPr>
        <w:t>los enfoques para la integración de la biodiversidad en el sector manufacturero y de elaboración</w:t>
      </w:r>
      <w:r w:rsidR="00276B6C" w:rsidRPr="000E4865">
        <w:rPr>
          <w:snapToGrid w:val="0"/>
          <w:kern w:val="22"/>
          <w:szCs w:val="22"/>
          <w:lang w:val="es-ES_tradnl"/>
        </w:rPr>
        <w:t xml:space="preserve">, </w:t>
      </w:r>
      <w:r w:rsidR="0057511A" w:rsidRPr="000E4865">
        <w:rPr>
          <w:snapToGrid w:val="0"/>
          <w:kern w:val="22"/>
          <w:szCs w:val="22"/>
          <w:lang w:val="es-ES_tradnl"/>
        </w:rPr>
        <w:t xml:space="preserve">destacando las mejores prácticas, </w:t>
      </w:r>
      <w:r w:rsidR="00884C72">
        <w:rPr>
          <w:snapToGrid w:val="0"/>
          <w:kern w:val="22"/>
          <w:szCs w:val="22"/>
          <w:lang w:val="es-ES_tradnl"/>
        </w:rPr>
        <w:t xml:space="preserve">dificultades </w:t>
      </w:r>
      <w:r w:rsidR="0057511A" w:rsidRPr="000E4865">
        <w:rPr>
          <w:snapToGrid w:val="0"/>
          <w:kern w:val="22"/>
          <w:szCs w:val="22"/>
          <w:lang w:val="es-ES_tradnl"/>
        </w:rPr>
        <w:t>y oportunidades</w:t>
      </w:r>
      <w:r w:rsidR="00276B6C" w:rsidRPr="000E4865">
        <w:rPr>
          <w:snapToGrid w:val="0"/>
          <w:kern w:val="22"/>
          <w:szCs w:val="22"/>
          <w:lang w:val="es-ES_tradnl"/>
        </w:rPr>
        <w:t>.</w:t>
      </w:r>
    </w:p>
    <w:p w14:paraId="7A7E5067" w14:textId="44E20D1C" w:rsidR="00276B6C" w:rsidRPr="000E4865" w:rsidRDefault="0057511A"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 xml:space="preserve">Cabe observar que la integración en el sector manufacturero no se debe considerar en </w:t>
      </w:r>
      <w:r w:rsidR="00884C72">
        <w:rPr>
          <w:snapToGrid w:val="0"/>
          <w:kern w:val="22"/>
          <w:szCs w:val="22"/>
          <w:lang w:val="es-ES_tradnl"/>
        </w:rPr>
        <w:t>forma aislada</w:t>
      </w:r>
      <w:r w:rsidR="00493C9F" w:rsidRPr="000E4865">
        <w:rPr>
          <w:snapToGrid w:val="0"/>
          <w:kern w:val="22"/>
          <w:szCs w:val="22"/>
          <w:lang w:val="es-ES_tradnl"/>
        </w:rPr>
        <w:t>;</w:t>
      </w:r>
      <w:r w:rsidR="00276B6C" w:rsidRPr="000E4865">
        <w:rPr>
          <w:snapToGrid w:val="0"/>
          <w:kern w:val="22"/>
          <w:szCs w:val="22"/>
          <w:lang w:val="es-ES_tradnl"/>
        </w:rPr>
        <w:t xml:space="preserve"> </w:t>
      </w:r>
      <w:r w:rsidRPr="000E4865">
        <w:rPr>
          <w:snapToGrid w:val="0"/>
          <w:kern w:val="22"/>
          <w:szCs w:val="22"/>
          <w:lang w:val="es-ES_tradnl"/>
        </w:rPr>
        <w:t>diversas causas de tendencias mundiales previstas</w:t>
      </w:r>
      <w:r w:rsidR="00276B6C" w:rsidRPr="000E4865">
        <w:rPr>
          <w:snapToGrid w:val="0"/>
          <w:kern w:val="22"/>
          <w:szCs w:val="22"/>
          <w:lang w:val="es-ES_tradnl"/>
        </w:rPr>
        <w:t xml:space="preserve">, </w:t>
      </w:r>
      <w:r w:rsidRPr="000E4865">
        <w:rPr>
          <w:snapToGrid w:val="0"/>
          <w:kern w:val="22"/>
          <w:szCs w:val="22"/>
          <w:lang w:val="es-ES_tradnl"/>
        </w:rPr>
        <w:t>así como vínculos con otros sectores, serán de capital importancia</w:t>
      </w:r>
      <w:r w:rsidR="00276B6C" w:rsidRPr="000E4865">
        <w:rPr>
          <w:snapToGrid w:val="0"/>
          <w:kern w:val="22"/>
          <w:szCs w:val="22"/>
          <w:lang w:val="es-ES_tradnl"/>
        </w:rPr>
        <w:t>.</w:t>
      </w:r>
    </w:p>
    <w:p w14:paraId="5ADF81F1" w14:textId="2B7EA0F0" w:rsidR="00276B6C" w:rsidRPr="000E4865" w:rsidRDefault="00B6437C" w:rsidP="00D74331">
      <w:pPr>
        <w:pStyle w:val="Heading1"/>
        <w:numPr>
          <w:ilvl w:val="0"/>
          <w:numId w:val="21"/>
        </w:numPr>
        <w:suppressLineNumbers/>
        <w:suppressAutoHyphens/>
        <w:kinsoku w:val="0"/>
        <w:overflowPunct w:val="0"/>
        <w:autoSpaceDE w:val="0"/>
        <w:autoSpaceDN w:val="0"/>
        <w:adjustRightInd w:val="0"/>
        <w:snapToGrid w:val="0"/>
        <w:spacing w:before="120" w:line="238" w:lineRule="auto"/>
        <w:rPr>
          <w:snapToGrid w:val="0"/>
          <w:kern w:val="22"/>
          <w:szCs w:val="22"/>
          <w:lang w:val="es-ES_tradnl"/>
        </w:rPr>
      </w:pPr>
      <w:r w:rsidRPr="000E4865">
        <w:rPr>
          <w:snapToGrid w:val="0"/>
          <w:kern w:val="22"/>
          <w:szCs w:val="22"/>
          <w:lang w:val="es-ES_tradnl"/>
        </w:rPr>
        <w:t>el sector manufactur</w:t>
      </w:r>
      <w:r w:rsidR="00884C72">
        <w:rPr>
          <w:snapToGrid w:val="0"/>
          <w:kern w:val="22"/>
          <w:szCs w:val="22"/>
          <w:lang w:val="es-ES_tradnl"/>
        </w:rPr>
        <w:t>ero</w:t>
      </w:r>
      <w:r w:rsidR="00276B6C" w:rsidRPr="000E4865">
        <w:rPr>
          <w:snapToGrid w:val="0"/>
          <w:kern w:val="22"/>
          <w:szCs w:val="22"/>
          <w:lang w:val="es-ES_tradnl"/>
        </w:rPr>
        <w:t xml:space="preserve">: </w:t>
      </w:r>
      <w:r w:rsidRPr="000E4865">
        <w:rPr>
          <w:snapToGrid w:val="0"/>
          <w:kern w:val="22"/>
          <w:szCs w:val="22"/>
          <w:lang w:val="es-ES_tradnl"/>
        </w:rPr>
        <w:t>est</w:t>
      </w:r>
      <w:r w:rsidR="00F242A4" w:rsidRPr="000E4865">
        <w:rPr>
          <w:snapToGrid w:val="0"/>
          <w:kern w:val="22"/>
          <w:szCs w:val="22"/>
          <w:lang w:val="es-ES_tradnl"/>
        </w:rPr>
        <w:t>ADO Y TENDENCIAS</w:t>
      </w:r>
    </w:p>
    <w:p w14:paraId="77D88CC3" w14:textId="3A08917F" w:rsidR="000B644B" w:rsidRPr="000E4865" w:rsidRDefault="0057511A" w:rsidP="000B644B">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i/>
          <w:snapToGrid w:val="0"/>
          <w:kern w:val="22"/>
          <w:szCs w:val="22"/>
          <w:lang w:val="es-ES_tradnl"/>
        </w:rPr>
      </w:pPr>
      <w:r w:rsidRPr="000E4865">
        <w:rPr>
          <w:snapToGrid w:val="0"/>
          <w:kern w:val="22"/>
          <w:szCs w:val="22"/>
          <w:lang w:val="es-ES_tradnl"/>
        </w:rPr>
        <w:t>De acuerdo con la División de Estadística de las Naciones Unidas</w:t>
      </w:r>
      <w:r w:rsidR="00E54300" w:rsidRPr="000E4865">
        <w:rPr>
          <w:snapToGrid w:val="0"/>
          <w:kern w:val="22"/>
          <w:szCs w:val="22"/>
          <w:lang w:val="es-ES_tradnl"/>
        </w:rPr>
        <w:t>,</w:t>
      </w:r>
      <w:r w:rsidR="00276B6C" w:rsidRPr="000E4865">
        <w:rPr>
          <w:snapToGrid w:val="0"/>
          <w:kern w:val="22"/>
          <w:szCs w:val="22"/>
          <w:lang w:val="es-ES_tradnl"/>
        </w:rPr>
        <w:t xml:space="preserve"> </w:t>
      </w:r>
      <w:r w:rsidRPr="000E4865">
        <w:rPr>
          <w:snapToGrid w:val="0"/>
          <w:kern w:val="22"/>
          <w:szCs w:val="22"/>
          <w:lang w:val="es-ES_tradnl"/>
        </w:rPr>
        <w:t xml:space="preserve">la manufactura </w:t>
      </w:r>
      <w:r w:rsidR="00276B6C" w:rsidRPr="000E4865">
        <w:rPr>
          <w:snapToGrid w:val="0"/>
          <w:kern w:val="22"/>
          <w:szCs w:val="22"/>
          <w:lang w:val="es-ES_tradnl"/>
        </w:rPr>
        <w:t>“</w:t>
      </w:r>
      <w:r w:rsidRPr="000E4865">
        <w:rPr>
          <w:lang w:val="es-ES_tradnl"/>
        </w:rPr>
        <w:t>abarca la transformación física o química de materiales, sustancias o componentes en nuevos productos</w:t>
      </w:r>
      <w:r w:rsidR="00276B6C" w:rsidRPr="000E4865">
        <w:rPr>
          <w:snapToGrid w:val="0"/>
          <w:kern w:val="22"/>
          <w:szCs w:val="22"/>
          <w:lang w:val="es-ES_tradnl"/>
        </w:rPr>
        <w:t>”</w:t>
      </w:r>
      <w:r w:rsidR="009C60BC" w:rsidRPr="000E4865">
        <w:rPr>
          <w:rStyle w:val="FootnoteReference"/>
          <w:snapToGrid w:val="0"/>
          <w:kern w:val="22"/>
          <w:szCs w:val="22"/>
          <w:lang w:val="es-ES_tradnl"/>
        </w:rPr>
        <w:footnoteReference w:id="4"/>
      </w:r>
      <w:r w:rsidRPr="000E4865">
        <w:rPr>
          <w:snapToGrid w:val="0"/>
          <w:kern w:val="22"/>
          <w:szCs w:val="22"/>
          <w:lang w:val="es-ES_tradnl"/>
        </w:rPr>
        <w:t>.</w:t>
      </w:r>
      <w:r w:rsidR="00276B6C" w:rsidRPr="000E4865">
        <w:rPr>
          <w:snapToGrid w:val="0"/>
          <w:kern w:val="22"/>
          <w:szCs w:val="22"/>
          <w:lang w:val="es-ES_tradnl"/>
        </w:rPr>
        <w:t xml:space="preserve"> </w:t>
      </w:r>
      <w:r w:rsidR="007F5BF1" w:rsidRPr="000E4865">
        <w:rPr>
          <w:snapToGrid w:val="0"/>
          <w:kern w:val="22"/>
          <w:szCs w:val="22"/>
          <w:lang w:val="es-ES_tradnl"/>
        </w:rPr>
        <w:t xml:space="preserve">Esto comprende instalaciones </w:t>
      </w:r>
      <w:r w:rsidR="00276B6C" w:rsidRPr="000E4865">
        <w:rPr>
          <w:snapToGrid w:val="0"/>
          <w:kern w:val="22"/>
          <w:szCs w:val="22"/>
          <w:lang w:val="es-ES_tradnl"/>
        </w:rPr>
        <w:t>(plant</w:t>
      </w:r>
      <w:r w:rsidR="007F5BF1" w:rsidRPr="000E4865">
        <w:rPr>
          <w:snapToGrid w:val="0"/>
          <w:kern w:val="22"/>
          <w:szCs w:val="22"/>
          <w:lang w:val="es-ES_tradnl"/>
        </w:rPr>
        <w:t>a</w:t>
      </w:r>
      <w:r w:rsidR="00276B6C" w:rsidRPr="000E4865">
        <w:rPr>
          <w:snapToGrid w:val="0"/>
          <w:kern w:val="22"/>
          <w:szCs w:val="22"/>
          <w:lang w:val="es-ES_tradnl"/>
        </w:rPr>
        <w:t>s, factor</w:t>
      </w:r>
      <w:r w:rsidR="007F5BF1" w:rsidRPr="000E4865">
        <w:rPr>
          <w:snapToGrid w:val="0"/>
          <w:kern w:val="22"/>
          <w:szCs w:val="22"/>
          <w:lang w:val="es-ES_tradnl"/>
        </w:rPr>
        <w:t>ías o fábricas</w:t>
      </w:r>
      <w:r w:rsidR="00276B6C" w:rsidRPr="000E4865">
        <w:rPr>
          <w:snapToGrid w:val="0"/>
          <w:kern w:val="22"/>
          <w:szCs w:val="22"/>
          <w:lang w:val="es-ES_tradnl"/>
        </w:rPr>
        <w:t xml:space="preserve">) </w:t>
      </w:r>
      <w:r w:rsidR="007F5BF1" w:rsidRPr="000E4865">
        <w:rPr>
          <w:snapToGrid w:val="0"/>
          <w:kern w:val="22"/>
          <w:szCs w:val="22"/>
          <w:lang w:val="es-ES_tradnl"/>
        </w:rPr>
        <w:t xml:space="preserve">que </w:t>
      </w:r>
      <w:r w:rsidR="00B84A75" w:rsidRPr="000E4865">
        <w:rPr>
          <w:snapToGrid w:val="0"/>
          <w:kern w:val="22"/>
          <w:szCs w:val="22"/>
          <w:lang w:val="es-ES_tradnl"/>
        </w:rPr>
        <w:t xml:space="preserve">se caracterizan por la utilización de maquinaria y equipo de manipulación de materiales que funcionan </w:t>
      </w:r>
      <w:r w:rsidR="007F5BF1" w:rsidRPr="000E4865">
        <w:rPr>
          <w:snapToGrid w:val="0"/>
          <w:kern w:val="22"/>
          <w:szCs w:val="22"/>
          <w:lang w:val="es-ES_tradnl"/>
        </w:rPr>
        <w:t>con electricidad</w:t>
      </w:r>
      <w:r w:rsidR="00276B6C" w:rsidRPr="000E4865">
        <w:rPr>
          <w:snapToGrid w:val="0"/>
          <w:kern w:val="22"/>
          <w:szCs w:val="22"/>
          <w:lang w:val="es-ES_tradnl"/>
        </w:rPr>
        <w:t xml:space="preserve">, </w:t>
      </w:r>
      <w:r w:rsidR="00B84A75" w:rsidRPr="000E4865">
        <w:rPr>
          <w:snapToGrid w:val="0"/>
          <w:kern w:val="22"/>
          <w:szCs w:val="22"/>
          <w:lang w:val="es-ES_tradnl"/>
        </w:rPr>
        <w:t xml:space="preserve">la transformación a pequeña escala o artesanal de materiales o sustancias en nuevos productos, y empresas que venden </w:t>
      </w:r>
      <w:r w:rsidR="00E72F5A" w:rsidRPr="000E4865">
        <w:rPr>
          <w:snapToGrid w:val="0"/>
          <w:kern w:val="22"/>
          <w:szCs w:val="22"/>
          <w:lang w:val="es-ES_tradnl"/>
        </w:rPr>
        <w:t xml:space="preserve">directamente al público </w:t>
      </w:r>
      <w:r w:rsidR="00E72F5A" w:rsidRPr="000E4865">
        <w:rPr>
          <w:snapToGrid w:val="0"/>
          <w:kern w:val="22"/>
          <w:szCs w:val="22"/>
          <w:lang w:val="es-ES_tradnl"/>
        </w:rPr>
        <w:lastRenderedPageBreak/>
        <w:t xml:space="preserve">productos confeccionados en el mismo lugar en el que se venden </w:t>
      </w:r>
      <w:r w:rsidR="00276B6C" w:rsidRPr="000E4865">
        <w:rPr>
          <w:snapToGrid w:val="0"/>
          <w:kern w:val="22"/>
          <w:szCs w:val="22"/>
          <w:lang w:val="es-ES_tradnl"/>
        </w:rPr>
        <w:t>(</w:t>
      </w:r>
      <w:r w:rsidR="000B644B" w:rsidRPr="000E4865">
        <w:rPr>
          <w:snapToGrid w:val="0"/>
          <w:kern w:val="22"/>
          <w:szCs w:val="22"/>
          <w:lang w:val="es-ES_tradnl"/>
        </w:rPr>
        <w:t>p. ej., panaderías y sastrerías</w:t>
      </w:r>
      <w:r w:rsidR="00276B6C" w:rsidRPr="000E4865">
        <w:rPr>
          <w:snapToGrid w:val="0"/>
          <w:kern w:val="22"/>
          <w:szCs w:val="22"/>
          <w:lang w:val="es-ES_tradnl"/>
        </w:rPr>
        <w:t xml:space="preserve">). </w:t>
      </w:r>
      <w:r w:rsidR="000B644B" w:rsidRPr="000E4865">
        <w:rPr>
          <w:lang w:val="es-ES_tradnl"/>
        </w:rPr>
        <w:t xml:space="preserve">El producto de un proceso manufacturero puede ser un producto acabado en el sentido de que está listo para su utilización o consumo, o semiacabado, en el sentido de que constituye un insumo para otra industria manufacturera. </w:t>
      </w:r>
    </w:p>
    <w:p w14:paraId="5DB5B610" w14:textId="42B7ACB8" w:rsidR="00276B6C" w:rsidRPr="000E4865" w:rsidRDefault="000B644B"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La manufactura es parte esencial de las economías modernas</w:t>
      </w:r>
      <w:r w:rsidR="00276B6C" w:rsidRPr="000E4865">
        <w:rPr>
          <w:snapToGrid w:val="0"/>
          <w:kern w:val="22"/>
          <w:szCs w:val="22"/>
          <w:lang w:val="es-ES_tradnl"/>
        </w:rPr>
        <w:t xml:space="preserve">. </w:t>
      </w:r>
      <w:r w:rsidRPr="000E4865">
        <w:rPr>
          <w:snapToGrid w:val="0"/>
          <w:kern w:val="22"/>
          <w:szCs w:val="22"/>
          <w:lang w:val="es-ES_tradnl"/>
        </w:rPr>
        <w:t>Es de suma importancia satisfacer la creciente demanda de los consumidores en todo el mundo</w:t>
      </w:r>
      <w:r w:rsidR="00276B6C" w:rsidRPr="000E4865">
        <w:rPr>
          <w:snapToGrid w:val="0"/>
          <w:kern w:val="22"/>
          <w:szCs w:val="22"/>
          <w:lang w:val="es-ES_tradnl"/>
        </w:rPr>
        <w:t xml:space="preserve">. </w:t>
      </w:r>
      <w:r w:rsidRPr="000E4865">
        <w:rPr>
          <w:snapToGrid w:val="0"/>
          <w:kern w:val="22"/>
          <w:szCs w:val="22"/>
          <w:lang w:val="es-ES_tradnl"/>
        </w:rPr>
        <w:t xml:space="preserve">Las innovaciones tecnológicas y </w:t>
      </w:r>
      <w:r w:rsidR="00B24304" w:rsidRPr="000E4865">
        <w:rPr>
          <w:snapToGrid w:val="0"/>
          <w:kern w:val="22"/>
          <w:szCs w:val="22"/>
          <w:lang w:val="es-ES_tradnl"/>
        </w:rPr>
        <w:t>organizativas han permitido al sector diversificar</w:t>
      </w:r>
      <w:r w:rsidR="00884C72">
        <w:rPr>
          <w:snapToGrid w:val="0"/>
          <w:kern w:val="22"/>
          <w:szCs w:val="22"/>
          <w:lang w:val="es-ES_tradnl"/>
        </w:rPr>
        <w:t>se</w:t>
      </w:r>
      <w:r w:rsidR="00B24304" w:rsidRPr="000E4865">
        <w:rPr>
          <w:snapToGrid w:val="0"/>
          <w:kern w:val="22"/>
          <w:szCs w:val="22"/>
          <w:lang w:val="es-ES_tradnl"/>
        </w:rPr>
        <w:t>, y ahora incluye las industrias siguientes</w:t>
      </w:r>
      <w:r w:rsidR="00E54300" w:rsidRPr="000E4865">
        <w:rPr>
          <w:snapToGrid w:val="0"/>
          <w:kern w:val="22"/>
          <w:szCs w:val="22"/>
          <w:lang w:val="es-ES_tradnl"/>
        </w:rPr>
        <w:t>:</w:t>
      </w:r>
      <w:r w:rsidR="00276B6C" w:rsidRPr="000E4865">
        <w:rPr>
          <w:snapToGrid w:val="0"/>
          <w:kern w:val="22"/>
          <w:szCs w:val="22"/>
          <w:lang w:val="es-ES_tradnl"/>
        </w:rPr>
        <w:t xml:space="preserve"> </w:t>
      </w:r>
      <w:r w:rsidR="00B24304" w:rsidRPr="000E4865">
        <w:rPr>
          <w:snapToGrid w:val="0"/>
          <w:kern w:val="22"/>
          <w:szCs w:val="22"/>
          <w:lang w:val="es-ES_tradnl"/>
        </w:rPr>
        <w:t>elaboración de productos alimenticios</w:t>
      </w:r>
      <w:r w:rsidR="00276B6C" w:rsidRPr="000E4865">
        <w:rPr>
          <w:snapToGrid w:val="0"/>
          <w:kern w:val="22"/>
          <w:szCs w:val="22"/>
          <w:lang w:val="es-ES_tradnl"/>
        </w:rPr>
        <w:t xml:space="preserve">; </w:t>
      </w:r>
      <w:r w:rsidR="00B24304" w:rsidRPr="000E4865">
        <w:rPr>
          <w:snapToGrid w:val="0"/>
          <w:kern w:val="22"/>
          <w:szCs w:val="22"/>
          <w:lang w:val="es-ES_tradnl"/>
        </w:rPr>
        <w:t>bebidas</w:t>
      </w:r>
      <w:r w:rsidR="00276B6C" w:rsidRPr="000E4865">
        <w:rPr>
          <w:snapToGrid w:val="0"/>
          <w:kern w:val="22"/>
          <w:szCs w:val="22"/>
          <w:lang w:val="es-ES_tradnl"/>
        </w:rPr>
        <w:t xml:space="preserve">; </w:t>
      </w:r>
      <w:r w:rsidR="00B24304" w:rsidRPr="000E4865">
        <w:rPr>
          <w:snapToGrid w:val="0"/>
          <w:kern w:val="22"/>
          <w:szCs w:val="22"/>
          <w:lang w:val="es-ES_tradnl"/>
        </w:rPr>
        <w:t>productos de tabaco</w:t>
      </w:r>
      <w:r w:rsidR="00276B6C" w:rsidRPr="000E4865">
        <w:rPr>
          <w:snapToGrid w:val="0"/>
          <w:kern w:val="22"/>
          <w:szCs w:val="22"/>
          <w:lang w:val="es-ES_tradnl"/>
        </w:rPr>
        <w:t xml:space="preserve">; textiles; </w:t>
      </w:r>
      <w:r w:rsidR="00B24304" w:rsidRPr="000E4865">
        <w:rPr>
          <w:snapToGrid w:val="0"/>
          <w:kern w:val="22"/>
          <w:szCs w:val="22"/>
          <w:lang w:val="es-ES_tradnl"/>
        </w:rPr>
        <w:t>prendas de vestir</w:t>
      </w:r>
      <w:r w:rsidR="00276B6C" w:rsidRPr="000E4865">
        <w:rPr>
          <w:snapToGrid w:val="0"/>
          <w:kern w:val="22"/>
          <w:szCs w:val="22"/>
          <w:lang w:val="es-ES_tradnl"/>
        </w:rPr>
        <w:t>;</w:t>
      </w:r>
      <w:r w:rsidR="00B24304" w:rsidRPr="000E4865">
        <w:rPr>
          <w:snapToGrid w:val="0"/>
          <w:kern w:val="22"/>
          <w:szCs w:val="22"/>
          <w:lang w:val="es-ES_tradnl"/>
        </w:rPr>
        <w:t xml:space="preserve"> cueros y productos relacionados</w:t>
      </w:r>
      <w:r w:rsidR="00276B6C" w:rsidRPr="000E4865">
        <w:rPr>
          <w:snapToGrid w:val="0"/>
          <w:kern w:val="22"/>
          <w:szCs w:val="22"/>
          <w:lang w:val="es-ES_tradnl"/>
        </w:rPr>
        <w:t xml:space="preserve">; </w:t>
      </w:r>
      <w:r w:rsidR="00B24304" w:rsidRPr="000E4865">
        <w:rPr>
          <w:snapToGrid w:val="0"/>
          <w:kern w:val="22"/>
          <w:szCs w:val="22"/>
          <w:lang w:val="es-ES_tradnl"/>
        </w:rPr>
        <w:t>productos de madera y corcho</w:t>
      </w:r>
      <w:r w:rsidR="00276B6C" w:rsidRPr="000E4865">
        <w:rPr>
          <w:snapToGrid w:val="0"/>
          <w:kern w:val="22"/>
          <w:szCs w:val="22"/>
          <w:lang w:val="es-ES_tradnl"/>
        </w:rPr>
        <w:t xml:space="preserve">; </w:t>
      </w:r>
      <w:r w:rsidR="00B24304" w:rsidRPr="000E4865">
        <w:rPr>
          <w:snapToGrid w:val="0"/>
          <w:kern w:val="22"/>
          <w:szCs w:val="22"/>
          <w:lang w:val="es-ES_tradnl"/>
        </w:rPr>
        <w:t>artículos de cestería y espartería</w:t>
      </w:r>
      <w:r w:rsidR="00276B6C" w:rsidRPr="000E4865">
        <w:rPr>
          <w:snapToGrid w:val="0"/>
          <w:kern w:val="22"/>
          <w:szCs w:val="22"/>
          <w:lang w:val="es-ES_tradnl"/>
        </w:rPr>
        <w:t xml:space="preserve">; </w:t>
      </w:r>
      <w:r w:rsidR="00B24304" w:rsidRPr="000E4865">
        <w:rPr>
          <w:snapToGrid w:val="0"/>
          <w:kern w:val="22"/>
          <w:szCs w:val="22"/>
          <w:lang w:val="es-ES_tradnl"/>
        </w:rPr>
        <w:t>papel y sus productos</w:t>
      </w:r>
      <w:r w:rsidR="00276B6C" w:rsidRPr="000E4865">
        <w:rPr>
          <w:snapToGrid w:val="0"/>
          <w:kern w:val="22"/>
          <w:szCs w:val="22"/>
          <w:lang w:val="es-ES_tradnl"/>
        </w:rPr>
        <w:t>;</w:t>
      </w:r>
      <w:r w:rsidR="009E09B7">
        <w:rPr>
          <w:snapToGrid w:val="0"/>
          <w:kern w:val="22"/>
          <w:szCs w:val="22"/>
          <w:lang w:val="es-ES_tradnl"/>
        </w:rPr>
        <w:t xml:space="preserve"> </w:t>
      </w:r>
      <w:r w:rsidR="00B24304" w:rsidRPr="000E4865">
        <w:rPr>
          <w:snapToGrid w:val="0"/>
          <w:kern w:val="22"/>
          <w:szCs w:val="22"/>
          <w:lang w:val="es-ES_tradnl"/>
        </w:rPr>
        <w:t>imprenta y reproducción de soportes de grabación</w:t>
      </w:r>
      <w:r w:rsidR="00276B6C" w:rsidRPr="000E4865">
        <w:rPr>
          <w:snapToGrid w:val="0"/>
          <w:kern w:val="22"/>
          <w:szCs w:val="22"/>
          <w:lang w:val="es-ES_tradnl"/>
        </w:rPr>
        <w:t xml:space="preserve">; </w:t>
      </w:r>
      <w:r w:rsidR="00B24304" w:rsidRPr="000E4865">
        <w:rPr>
          <w:snapToGrid w:val="0"/>
          <w:kern w:val="22"/>
          <w:szCs w:val="22"/>
          <w:lang w:val="es-ES_tradnl"/>
        </w:rPr>
        <w:t>coque y productos de petróleo refinado</w:t>
      </w:r>
      <w:r w:rsidR="00276B6C" w:rsidRPr="000E4865">
        <w:rPr>
          <w:snapToGrid w:val="0"/>
          <w:kern w:val="22"/>
          <w:szCs w:val="22"/>
          <w:lang w:val="es-ES_tradnl"/>
        </w:rPr>
        <w:t xml:space="preserve">; </w:t>
      </w:r>
      <w:r w:rsidR="00B24304" w:rsidRPr="000E4865">
        <w:rPr>
          <w:snapToGrid w:val="0"/>
          <w:kern w:val="22"/>
          <w:szCs w:val="22"/>
          <w:lang w:val="es-ES_tradnl"/>
        </w:rPr>
        <w:t>sustancias y productos químicos</w:t>
      </w:r>
      <w:r w:rsidR="00276B6C" w:rsidRPr="000E4865">
        <w:rPr>
          <w:snapToGrid w:val="0"/>
          <w:kern w:val="22"/>
          <w:szCs w:val="22"/>
          <w:lang w:val="es-ES_tradnl"/>
        </w:rPr>
        <w:t xml:space="preserve">; </w:t>
      </w:r>
      <w:r w:rsidR="00B24304" w:rsidRPr="000E4865">
        <w:rPr>
          <w:snapToGrid w:val="0"/>
          <w:kern w:val="22"/>
          <w:szCs w:val="22"/>
          <w:lang w:val="es-ES_tradnl"/>
        </w:rPr>
        <w:t>fabricación de productos farmacéuticos de base</w:t>
      </w:r>
      <w:r w:rsidR="00276B6C" w:rsidRPr="000E4865">
        <w:rPr>
          <w:snapToGrid w:val="0"/>
          <w:kern w:val="22"/>
          <w:szCs w:val="22"/>
          <w:lang w:val="es-ES_tradnl"/>
        </w:rPr>
        <w:t xml:space="preserve">; </w:t>
      </w:r>
      <w:r w:rsidR="00B24304" w:rsidRPr="000E4865">
        <w:rPr>
          <w:snapToGrid w:val="0"/>
          <w:kern w:val="22"/>
          <w:szCs w:val="22"/>
          <w:lang w:val="es-ES_tradnl"/>
        </w:rPr>
        <w:t>productos de caucho y plástico</w:t>
      </w:r>
      <w:r w:rsidR="00276B6C" w:rsidRPr="000E4865">
        <w:rPr>
          <w:snapToGrid w:val="0"/>
          <w:kern w:val="22"/>
          <w:szCs w:val="22"/>
          <w:lang w:val="es-ES_tradnl"/>
        </w:rPr>
        <w:t xml:space="preserve">; </w:t>
      </w:r>
      <w:r w:rsidR="00B24304" w:rsidRPr="000E4865">
        <w:rPr>
          <w:snapToGrid w:val="0"/>
          <w:kern w:val="22"/>
          <w:szCs w:val="22"/>
          <w:lang w:val="es-ES_tradnl"/>
        </w:rPr>
        <w:t>metales básicos</w:t>
      </w:r>
      <w:r w:rsidR="00276B6C" w:rsidRPr="000E4865">
        <w:rPr>
          <w:snapToGrid w:val="0"/>
          <w:kern w:val="22"/>
          <w:szCs w:val="22"/>
          <w:lang w:val="es-ES_tradnl"/>
        </w:rPr>
        <w:t xml:space="preserve">; </w:t>
      </w:r>
      <w:r w:rsidR="00B24304" w:rsidRPr="000E4865">
        <w:rPr>
          <w:snapToGrid w:val="0"/>
          <w:kern w:val="22"/>
          <w:szCs w:val="22"/>
          <w:lang w:val="es-ES_tradnl"/>
        </w:rPr>
        <w:t>productos minerales no metálicos</w:t>
      </w:r>
      <w:r w:rsidR="00276B6C" w:rsidRPr="000E4865">
        <w:rPr>
          <w:snapToGrid w:val="0"/>
          <w:kern w:val="22"/>
          <w:szCs w:val="22"/>
          <w:lang w:val="es-ES_tradnl"/>
        </w:rPr>
        <w:t xml:space="preserve">; </w:t>
      </w:r>
      <w:r w:rsidR="00B24304" w:rsidRPr="000E4865">
        <w:rPr>
          <w:snapToGrid w:val="0"/>
          <w:kern w:val="22"/>
          <w:szCs w:val="22"/>
          <w:lang w:val="es-ES_tradnl"/>
        </w:rPr>
        <w:t>productos metálicos</w:t>
      </w:r>
      <w:r w:rsidR="00276B6C" w:rsidRPr="000E4865">
        <w:rPr>
          <w:snapToGrid w:val="0"/>
          <w:kern w:val="22"/>
          <w:szCs w:val="22"/>
          <w:lang w:val="es-ES_tradnl"/>
        </w:rPr>
        <w:t>;</w:t>
      </w:r>
      <w:r w:rsidR="009E09B7">
        <w:rPr>
          <w:snapToGrid w:val="0"/>
          <w:kern w:val="22"/>
          <w:szCs w:val="22"/>
          <w:lang w:val="es-ES_tradnl"/>
        </w:rPr>
        <w:t xml:space="preserve"> </w:t>
      </w:r>
      <w:r w:rsidR="00B24304" w:rsidRPr="000E4865">
        <w:rPr>
          <w:snapToGrid w:val="0"/>
          <w:kern w:val="22"/>
          <w:szCs w:val="22"/>
          <w:lang w:val="es-ES_tradnl"/>
        </w:rPr>
        <w:t>productos informáticos, electrónicos y ópticos</w:t>
      </w:r>
      <w:r w:rsidR="00276B6C" w:rsidRPr="000E4865">
        <w:rPr>
          <w:snapToGrid w:val="0"/>
          <w:kern w:val="22"/>
          <w:szCs w:val="22"/>
          <w:lang w:val="es-ES_tradnl"/>
        </w:rPr>
        <w:t xml:space="preserve">; </w:t>
      </w:r>
      <w:r w:rsidR="00B24304" w:rsidRPr="000E4865">
        <w:rPr>
          <w:snapToGrid w:val="0"/>
          <w:kern w:val="22"/>
          <w:szCs w:val="22"/>
          <w:lang w:val="es-ES_tradnl"/>
        </w:rPr>
        <w:t>equipos eléctricos</w:t>
      </w:r>
      <w:r w:rsidR="00276B6C" w:rsidRPr="000E4865">
        <w:rPr>
          <w:snapToGrid w:val="0"/>
          <w:kern w:val="22"/>
          <w:szCs w:val="22"/>
          <w:lang w:val="es-ES_tradnl"/>
        </w:rPr>
        <w:t xml:space="preserve">; </w:t>
      </w:r>
      <w:r w:rsidR="00B24304" w:rsidRPr="000E4865">
        <w:rPr>
          <w:snapToGrid w:val="0"/>
          <w:kern w:val="22"/>
          <w:szCs w:val="22"/>
          <w:lang w:val="es-ES_tradnl"/>
        </w:rPr>
        <w:t>maquinaria y equipo</w:t>
      </w:r>
      <w:r w:rsidR="00276B6C" w:rsidRPr="000E4865">
        <w:rPr>
          <w:snapToGrid w:val="0"/>
          <w:kern w:val="22"/>
          <w:szCs w:val="22"/>
          <w:lang w:val="es-ES_tradnl"/>
        </w:rPr>
        <w:t>;</w:t>
      </w:r>
      <w:r w:rsidR="009E09B7">
        <w:rPr>
          <w:snapToGrid w:val="0"/>
          <w:kern w:val="22"/>
          <w:szCs w:val="22"/>
          <w:lang w:val="es-ES_tradnl"/>
        </w:rPr>
        <w:t xml:space="preserve"> </w:t>
      </w:r>
      <w:r w:rsidR="00B24304" w:rsidRPr="000E4865">
        <w:rPr>
          <w:snapToGrid w:val="0"/>
          <w:kern w:val="22"/>
          <w:szCs w:val="22"/>
          <w:lang w:val="es-ES_tradnl"/>
        </w:rPr>
        <w:t>vehículos de motor, remolques y semirremolques</w:t>
      </w:r>
      <w:r w:rsidR="00276B6C" w:rsidRPr="000E4865">
        <w:rPr>
          <w:snapToGrid w:val="0"/>
          <w:kern w:val="22"/>
          <w:szCs w:val="22"/>
          <w:lang w:val="es-ES_tradnl"/>
        </w:rPr>
        <w:t xml:space="preserve">; </w:t>
      </w:r>
      <w:r w:rsidR="00B24304" w:rsidRPr="000E4865">
        <w:rPr>
          <w:snapToGrid w:val="0"/>
          <w:kern w:val="22"/>
          <w:szCs w:val="22"/>
          <w:lang w:val="es-ES_tradnl"/>
        </w:rPr>
        <w:t>muebles</w:t>
      </w:r>
      <w:r w:rsidR="00276B6C" w:rsidRPr="000E4865">
        <w:rPr>
          <w:snapToGrid w:val="0"/>
          <w:kern w:val="22"/>
          <w:szCs w:val="22"/>
          <w:lang w:val="es-ES_tradnl"/>
        </w:rPr>
        <w:t>.</w:t>
      </w:r>
    </w:p>
    <w:p w14:paraId="1F167BC6" w14:textId="2BDBBC4D" w:rsidR="00276B6C" w:rsidRPr="000E4865" w:rsidRDefault="00AF5582"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De acuerdo con el Banco Mundial</w:t>
      </w:r>
      <w:r w:rsidR="00276B6C" w:rsidRPr="000E4865">
        <w:rPr>
          <w:rStyle w:val="FootnoteReference"/>
          <w:snapToGrid w:val="0"/>
          <w:kern w:val="22"/>
          <w:szCs w:val="22"/>
          <w:lang w:val="es-ES_tradnl"/>
        </w:rPr>
        <w:footnoteReference w:id="5"/>
      </w:r>
      <w:r w:rsidRPr="000E4865">
        <w:rPr>
          <w:snapToGrid w:val="0"/>
          <w:kern w:val="22"/>
          <w:szCs w:val="22"/>
          <w:lang w:val="es-ES_tradnl"/>
        </w:rPr>
        <w:t>,</w:t>
      </w:r>
      <w:r w:rsidR="00276B6C" w:rsidRPr="000E4865">
        <w:rPr>
          <w:snapToGrid w:val="0"/>
          <w:kern w:val="22"/>
          <w:szCs w:val="22"/>
          <w:lang w:val="es-ES_tradnl"/>
        </w:rPr>
        <w:t xml:space="preserve"> </w:t>
      </w:r>
      <w:r w:rsidRPr="000E4865">
        <w:rPr>
          <w:snapToGrid w:val="0"/>
          <w:kern w:val="22"/>
          <w:szCs w:val="22"/>
          <w:lang w:val="es-ES_tradnl"/>
        </w:rPr>
        <w:t>la manufactura representó aproximadam</w:t>
      </w:r>
      <w:r w:rsidR="00686001" w:rsidRPr="000E4865">
        <w:rPr>
          <w:snapToGrid w:val="0"/>
          <w:kern w:val="22"/>
          <w:szCs w:val="22"/>
          <w:lang w:val="es-ES_tradnl"/>
        </w:rPr>
        <w:t xml:space="preserve">ente </w:t>
      </w:r>
      <w:r w:rsidRPr="000E4865">
        <w:rPr>
          <w:snapToGrid w:val="0"/>
          <w:kern w:val="22"/>
          <w:szCs w:val="22"/>
          <w:lang w:val="es-ES_tradnl"/>
        </w:rPr>
        <w:t>el 15% de</w:t>
      </w:r>
      <w:r w:rsidR="00686001" w:rsidRPr="000E4865">
        <w:rPr>
          <w:snapToGrid w:val="0"/>
          <w:kern w:val="22"/>
          <w:szCs w:val="22"/>
          <w:lang w:val="es-ES_tradnl"/>
        </w:rPr>
        <w:t>l producto interno bruto mundial </w:t>
      </w:r>
      <w:r w:rsidR="00276B6C" w:rsidRPr="000E4865">
        <w:rPr>
          <w:snapToGrid w:val="0"/>
          <w:kern w:val="22"/>
          <w:szCs w:val="22"/>
          <w:lang w:val="es-ES_tradnl"/>
        </w:rPr>
        <w:t>(</w:t>
      </w:r>
      <w:r w:rsidR="00686001" w:rsidRPr="000E4865">
        <w:rPr>
          <w:snapToGrid w:val="0"/>
          <w:kern w:val="22"/>
          <w:szCs w:val="22"/>
          <w:lang w:val="es-ES_tradnl"/>
        </w:rPr>
        <w:t>PIB</w:t>
      </w:r>
      <w:r w:rsidR="00276B6C" w:rsidRPr="000E4865">
        <w:rPr>
          <w:snapToGrid w:val="0"/>
          <w:kern w:val="22"/>
          <w:szCs w:val="22"/>
          <w:lang w:val="es-ES_tradnl"/>
        </w:rPr>
        <w:t xml:space="preserve">) </w:t>
      </w:r>
      <w:r w:rsidR="00686001" w:rsidRPr="000E4865">
        <w:rPr>
          <w:snapToGrid w:val="0"/>
          <w:kern w:val="22"/>
          <w:szCs w:val="22"/>
          <w:lang w:val="es-ES_tradnl"/>
        </w:rPr>
        <w:t>e</w:t>
      </w:r>
      <w:r w:rsidR="00276B6C" w:rsidRPr="000E4865">
        <w:rPr>
          <w:snapToGrid w:val="0"/>
          <w:kern w:val="22"/>
          <w:szCs w:val="22"/>
          <w:lang w:val="es-ES_tradnl"/>
        </w:rPr>
        <w:t xml:space="preserve">n 2016. </w:t>
      </w:r>
      <w:r w:rsidR="00686001" w:rsidRPr="000E4865">
        <w:rPr>
          <w:snapToGrid w:val="0"/>
          <w:kern w:val="22"/>
          <w:szCs w:val="22"/>
          <w:lang w:val="es-ES_tradnl"/>
        </w:rPr>
        <w:t xml:space="preserve">Las principales naciones manufactureras son, en orden decreciente de la cuota </w:t>
      </w:r>
      <w:r w:rsidR="00884C72">
        <w:rPr>
          <w:snapToGrid w:val="0"/>
          <w:kern w:val="22"/>
          <w:szCs w:val="22"/>
          <w:lang w:val="es-ES_tradnl"/>
        </w:rPr>
        <w:t xml:space="preserve">mundial </w:t>
      </w:r>
      <w:r w:rsidR="00686001" w:rsidRPr="000E4865">
        <w:rPr>
          <w:snapToGrid w:val="0"/>
          <w:kern w:val="22"/>
          <w:szCs w:val="22"/>
          <w:lang w:val="es-ES_tradnl"/>
        </w:rPr>
        <w:t>de la industria manufacturera en el PIB</w:t>
      </w:r>
      <w:r w:rsidR="00276B6C" w:rsidRPr="000E4865">
        <w:rPr>
          <w:snapToGrid w:val="0"/>
          <w:kern w:val="22"/>
          <w:szCs w:val="22"/>
          <w:lang w:val="es-ES_tradnl"/>
        </w:rPr>
        <w:t xml:space="preserve">: China; </w:t>
      </w:r>
      <w:r w:rsidR="00686001" w:rsidRPr="000E4865">
        <w:rPr>
          <w:snapToGrid w:val="0"/>
          <w:kern w:val="22"/>
          <w:szCs w:val="22"/>
          <w:lang w:val="es-ES_tradnl"/>
        </w:rPr>
        <w:t>Estados Unidos de América</w:t>
      </w:r>
      <w:r w:rsidR="00276B6C" w:rsidRPr="000E4865">
        <w:rPr>
          <w:snapToGrid w:val="0"/>
          <w:kern w:val="22"/>
          <w:szCs w:val="22"/>
          <w:lang w:val="es-ES_tradnl"/>
        </w:rPr>
        <w:t>; Jap</w:t>
      </w:r>
      <w:r w:rsidR="00686001" w:rsidRPr="000E4865">
        <w:rPr>
          <w:snapToGrid w:val="0"/>
          <w:kern w:val="22"/>
          <w:szCs w:val="22"/>
          <w:lang w:val="es-ES_tradnl"/>
        </w:rPr>
        <w:t>ó</w:t>
      </w:r>
      <w:r w:rsidR="00276B6C" w:rsidRPr="000E4865">
        <w:rPr>
          <w:snapToGrid w:val="0"/>
          <w:kern w:val="22"/>
          <w:szCs w:val="22"/>
          <w:lang w:val="es-ES_tradnl"/>
        </w:rPr>
        <w:t xml:space="preserve">n; </w:t>
      </w:r>
      <w:r w:rsidR="00686001" w:rsidRPr="000E4865">
        <w:rPr>
          <w:snapToGrid w:val="0"/>
          <w:kern w:val="22"/>
          <w:szCs w:val="22"/>
          <w:lang w:val="es-ES_tradnl"/>
        </w:rPr>
        <w:t>Alemania</w:t>
      </w:r>
      <w:r w:rsidR="00F969A5" w:rsidRPr="000E4865">
        <w:rPr>
          <w:snapToGrid w:val="0"/>
          <w:kern w:val="22"/>
          <w:szCs w:val="22"/>
          <w:lang w:val="es-ES_tradnl"/>
        </w:rPr>
        <w:t>;</w:t>
      </w:r>
      <w:r w:rsidR="00276B6C" w:rsidRPr="000E4865">
        <w:rPr>
          <w:snapToGrid w:val="0"/>
          <w:kern w:val="22"/>
          <w:szCs w:val="22"/>
          <w:lang w:val="es-ES_tradnl"/>
        </w:rPr>
        <w:t xml:space="preserve"> </w:t>
      </w:r>
      <w:r w:rsidR="00686001" w:rsidRPr="000E4865">
        <w:rPr>
          <w:snapToGrid w:val="0"/>
          <w:kern w:val="22"/>
          <w:szCs w:val="22"/>
          <w:lang w:val="es-ES_tradnl"/>
        </w:rPr>
        <w:t>y República de Corea</w:t>
      </w:r>
      <w:r w:rsidR="00276B6C" w:rsidRPr="000E4865">
        <w:rPr>
          <w:snapToGrid w:val="0"/>
          <w:kern w:val="22"/>
          <w:szCs w:val="22"/>
          <w:lang w:val="es-ES_tradnl"/>
        </w:rPr>
        <w:t xml:space="preserve"> (</w:t>
      </w:r>
      <w:r w:rsidR="00686001" w:rsidRPr="000E4865">
        <w:rPr>
          <w:snapToGrid w:val="0"/>
          <w:kern w:val="22"/>
          <w:szCs w:val="22"/>
          <w:lang w:val="es-ES_tradnl"/>
        </w:rPr>
        <w:t xml:space="preserve">más del </w:t>
      </w:r>
      <w:r w:rsidR="00276B6C" w:rsidRPr="000E4865">
        <w:rPr>
          <w:snapToGrid w:val="0"/>
          <w:kern w:val="22"/>
          <w:szCs w:val="22"/>
          <w:lang w:val="es-ES_tradnl"/>
        </w:rPr>
        <w:t>50</w:t>
      </w:r>
      <w:r w:rsidR="00686001" w:rsidRPr="000E4865">
        <w:rPr>
          <w:snapToGrid w:val="0"/>
          <w:kern w:val="22"/>
          <w:szCs w:val="22"/>
          <w:lang w:val="es-ES_tradnl"/>
        </w:rPr>
        <w:t>% del PIB mundial del sector de la manufactura combinados</w:t>
      </w:r>
      <w:r w:rsidR="00276B6C" w:rsidRPr="000E4865">
        <w:rPr>
          <w:snapToGrid w:val="0"/>
          <w:kern w:val="22"/>
          <w:szCs w:val="22"/>
          <w:lang w:val="es-ES_tradnl"/>
        </w:rPr>
        <w:t>)</w:t>
      </w:r>
      <w:r w:rsidR="00276B6C" w:rsidRPr="000E4865">
        <w:rPr>
          <w:rStyle w:val="FootnoteReference"/>
          <w:snapToGrid w:val="0"/>
          <w:kern w:val="22"/>
          <w:szCs w:val="22"/>
          <w:lang w:val="es-ES_tradnl"/>
        </w:rPr>
        <w:footnoteReference w:id="6"/>
      </w:r>
      <w:r w:rsidR="00884C72">
        <w:rPr>
          <w:snapToGrid w:val="0"/>
          <w:kern w:val="22"/>
          <w:szCs w:val="22"/>
          <w:lang w:val="es-ES_tradnl"/>
        </w:rPr>
        <w:t>.</w:t>
      </w:r>
      <w:r w:rsidR="00276B6C" w:rsidRPr="000E4865">
        <w:rPr>
          <w:snapToGrid w:val="0"/>
          <w:kern w:val="22"/>
          <w:szCs w:val="22"/>
          <w:lang w:val="es-ES_tradnl"/>
        </w:rPr>
        <w:t xml:space="preserve"> </w:t>
      </w:r>
      <w:r w:rsidR="00686001" w:rsidRPr="000E4865">
        <w:rPr>
          <w:snapToGrid w:val="0"/>
          <w:kern w:val="22"/>
          <w:szCs w:val="22"/>
          <w:lang w:val="es-ES_tradnl"/>
        </w:rPr>
        <w:t>El PIB del sector de manufactura de China aumentó</w:t>
      </w:r>
      <w:r w:rsidR="00790CAE" w:rsidRPr="000E4865">
        <w:rPr>
          <w:snapToGrid w:val="0"/>
          <w:kern w:val="22"/>
          <w:szCs w:val="22"/>
          <w:lang w:val="es-ES_tradnl"/>
        </w:rPr>
        <w:t xml:space="preserve"> de alrededor de </w:t>
      </w:r>
      <w:r w:rsidR="00276B6C" w:rsidRPr="000E4865">
        <w:rPr>
          <w:snapToGrid w:val="0"/>
          <w:kern w:val="22"/>
          <w:szCs w:val="22"/>
          <w:lang w:val="es-ES_tradnl"/>
        </w:rPr>
        <w:t xml:space="preserve">385 </w:t>
      </w:r>
      <w:r w:rsidR="00790CAE" w:rsidRPr="000E4865">
        <w:rPr>
          <w:snapToGrid w:val="0"/>
          <w:kern w:val="22"/>
          <w:szCs w:val="22"/>
          <w:lang w:val="es-ES_tradnl"/>
        </w:rPr>
        <w:t xml:space="preserve">000 millones de dólares EE.UU. en </w:t>
      </w:r>
      <w:r w:rsidR="00276B6C" w:rsidRPr="000E4865">
        <w:rPr>
          <w:snapToGrid w:val="0"/>
          <w:kern w:val="22"/>
          <w:szCs w:val="22"/>
          <w:lang w:val="es-ES_tradnl"/>
        </w:rPr>
        <w:t xml:space="preserve">2000 </w:t>
      </w:r>
      <w:r w:rsidR="00790CAE" w:rsidRPr="000E4865">
        <w:rPr>
          <w:snapToGrid w:val="0"/>
          <w:kern w:val="22"/>
          <w:szCs w:val="22"/>
          <w:lang w:val="es-ES_tradnl"/>
        </w:rPr>
        <w:t xml:space="preserve">a </w:t>
      </w:r>
      <w:r w:rsidR="00A63A59" w:rsidRPr="000E4865">
        <w:rPr>
          <w:snapToGrid w:val="0"/>
          <w:kern w:val="22"/>
          <w:szCs w:val="22"/>
          <w:lang w:val="es-ES_tradnl"/>
        </w:rPr>
        <w:t>3</w:t>
      </w:r>
      <w:r w:rsidR="00790CAE" w:rsidRPr="000E4865">
        <w:rPr>
          <w:snapToGrid w:val="0"/>
          <w:kern w:val="22"/>
          <w:szCs w:val="22"/>
          <w:lang w:val="es-ES_tradnl"/>
        </w:rPr>
        <w:t> </w:t>
      </w:r>
      <w:r w:rsidR="00A63A59" w:rsidRPr="000E4865">
        <w:rPr>
          <w:snapToGrid w:val="0"/>
          <w:kern w:val="22"/>
          <w:szCs w:val="22"/>
          <w:lang w:val="es-ES_tradnl"/>
        </w:rPr>
        <w:t>250</w:t>
      </w:r>
      <w:r w:rsidR="00276B6C" w:rsidRPr="000E4865">
        <w:rPr>
          <w:snapToGrid w:val="0"/>
          <w:kern w:val="22"/>
          <w:szCs w:val="22"/>
          <w:lang w:val="es-ES_tradnl"/>
        </w:rPr>
        <w:t xml:space="preserve"> </w:t>
      </w:r>
      <w:r w:rsidR="00790CAE" w:rsidRPr="000E4865">
        <w:rPr>
          <w:snapToGrid w:val="0"/>
          <w:kern w:val="22"/>
          <w:szCs w:val="22"/>
          <w:lang w:val="es-ES_tradnl"/>
        </w:rPr>
        <w:t xml:space="preserve">000 millones en </w:t>
      </w:r>
      <w:r w:rsidR="00276B6C" w:rsidRPr="000E4865">
        <w:rPr>
          <w:snapToGrid w:val="0"/>
          <w:kern w:val="22"/>
          <w:szCs w:val="22"/>
          <w:lang w:val="es-ES_tradnl"/>
        </w:rPr>
        <w:t>2015</w:t>
      </w:r>
      <w:r w:rsidR="00276B6C" w:rsidRPr="000E4865">
        <w:rPr>
          <w:rStyle w:val="FootnoteReference"/>
          <w:snapToGrid w:val="0"/>
          <w:kern w:val="22"/>
          <w:szCs w:val="22"/>
          <w:lang w:val="es-ES_tradnl"/>
        </w:rPr>
        <w:footnoteReference w:id="7"/>
      </w:r>
      <w:r w:rsidR="00790CAE" w:rsidRPr="000E4865">
        <w:rPr>
          <w:snapToGrid w:val="0"/>
          <w:kern w:val="22"/>
          <w:szCs w:val="22"/>
          <w:lang w:val="es-ES_tradnl"/>
        </w:rPr>
        <w:t>.</w:t>
      </w:r>
      <w:r w:rsidR="00276B6C" w:rsidRPr="000E4865">
        <w:rPr>
          <w:snapToGrid w:val="0"/>
          <w:kern w:val="22"/>
          <w:szCs w:val="22"/>
          <w:lang w:val="es-ES_tradnl"/>
        </w:rPr>
        <w:t xml:space="preserve"> </w:t>
      </w:r>
      <w:r w:rsidR="00790CAE" w:rsidRPr="000E4865">
        <w:rPr>
          <w:snapToGrid w:val="0"/>
          <w:kern w:val="22"/>
          <w:szCs w:val="22"/>
          <w:lang w:val="es-ES_tradnl"/>
        </w:rPr>
        <w:t xml:space="preserve">El crecimiento de las industrias manufactureras </w:t>
      </w:r>
      <w:r w:rsidR="00884C72">
        <w:rPr>
          <w:snapToGrid w:val="0"/>
          <w:kern w:val="22"/>
          <w:szCs w:val="22"/>
          <w:lang w:val="es-ES_tradnl"/>
        </w:rPr>
        <w:t>de</w:t>
      </w:r>
      <w:r w:rsidR="00790CAE" w:rsidRPr="000E4865">
        <w:rPr>
          <w:snapToGrid w:val="0"/>
          <w:kern w:val="22"/>
          <w:szCs w:val="22"/>
          <w:lang w:val="es-ES_tradnl"/>
        </w:rPr>
        <w:t xml:space="preserve"> los miembros de la Organización de Cooperación y Desarrollo Económicos (OCDE) radica en las tecnologías de vanguardia</w:t>
      </w:r>
      <w:r w:rsidR="00276B6C" w:rsidRPr="000E4865">
        <w:rPr>
          <w:snapToGrid w:val="0"/>
          <w:kern w:val="22"/>
          <w:szCs w:val="22"/>
          <w:lang w:val="es-ES_tradnl"/>
        </w:rPr>
        <w:t xml:space="preserve">, </w:t>
      </w:r>
      <w:r w:rsidR="00790CAE" w:rsidRPr="000E4865">
        <w:rPr>
          <w:snapToGrid w:val="0"/>
          <w:kern w:val="22"/>
          <w:szCs w:val="22"/>
          <w:lang w:val="es-ES_tradnl"/>
        </w:rPr>
        <w:t xml:space="preserve">que suelen depender directamente de insumos de materia prima de países con importantes economías emergentes y </w:t>
      </w:r>
      <w:r w:rsidR="00884C72">
        <w:rPr>
          <w:snapToGrid w:val="0"/>
          <w:kern w:val="22"/>
          <w:szCs w:val="22"/>
          <w:lang w:val="es-ES_tradnl"/>
        </w:rPr>
        <w:t xml:space="preserve">de las </w:t>
      </w:r>
      <w:r w:rsidR="00790CAE" w:rsidRPr="000E4865">
        <w:rPr>
          <w:snapToGrid w:val="0"/>
          <w:kern w:val="22"/>
          <w:szCs w:val="22"/>
          <w:lang w:val="es-ES_tradnl"/>
        </w:rPr>
        <w:t>economías en desarrollo</w:t>
      </w:r>
      <w:r w:rsidR="00276B6C" w:rsidRPr="000E4865">
        <w:rPr>
          <w:snapToGrid w:val="0"/>
          <w:kern w:val="22"/>
          <w:szCs w:val="22"/>
          <w:lang w:val="es-ES_tradnl"/>
        </w:rPr>
        <w:t xml:space="preserve">. </w:t>
      </w:r>
      <w:r w:rsidR="00790CAE" w:rsidRPr="000E4865">
        <w:rPr>
          <w:snapToGrid w:val="0"/>
          <w:kern w:val="22"/>
          <w:szCs w:val="22"/>
          <w:lang w:val="es-ES_tradnl"/>
        </w:rPr>
        <w:t xml:space="preserve">La industria manufacturera representó el </w:t>
      </w:r>
      <w:r w:rsidR="00276B6C" w:rsidRPr="000E4865">
        <w:rPr>
          <w:snapToGrid w:val="0"/>
          <w:kern w:val="22"/>
          <w:szCs w:val="22"/>
          <w:lang w:val="es-ES_tradnl"/>
        </w:rPr>
        <w:t>23</w:t>
      </w:r>
      <w:r w:rsidR="00790CAE" w:rsidRPr="000E4865">
        <w:rPr>
          <w:snapToGrid w:val="0"/>
          <w:kern w:val="22"/>
          <w:szCs w:val="22"/>
          <w:lang w:val="es-ES_tradnl"/>
        </w:rPr>
        <w:t>%</w:t>
      </w:r>
      <w:r w:rsidR="00E54300" w:rsidRPr="000E4865">
        <w:rPr>
          <w:snapToGrid w:val="0"/>
          <w:kern w:val="22"/>
          <w:szCs w:val="22"/>
          <w:lang w:val="es-ES_tradnl"/>
        </w:rPr>
        <w:t xml:space="preserve"> </w:t>
      </w:r>
      <w:r w:rsidR="00790CAE" w:rsidRPr="000E4865">
        <w:rPr>
          <w:snapToGrid w:val="0"/>
          <w:kern w:val="22"/>
          <w:szCs w:val="22"/>
          <w:lang w:val="es-ES_tradnl"/>
        </w:rPr>
        <w:t>del empleo tota</w:t>
      </w:r>
      <w:r w:rsidR="00884C72">
        <w:rPr>
          <w:snapToGrid w:val="0"/>
          <w:kern w:val="22"/>
          <w:szCs w:val="22"/>
          <w:lang w:val="es-ES_tradnl"/>
        </w:rPr>
        <w:t>l</w:t>
      </w:r>
      <w:r w:rsidR="00790CAE" w:rsidRPr="000E4865">
        <w:rPr>
          <w:snapToGrid w:val="0"/>
          <w:kern w:val="22"/>
          <w:szCs w:val="22"/>
          <w:lang w:val="es-ES_tradnl"/>
        </w:rPr>
        <w:t xml:space="preserve"> en el mundo entero en </w:t>
      </w:r>
      <w:r w:rsidR="00276B6C" w:rsidRPr="000E4865">
        <w:rPr>
          <w:snapToGrid w:val="0"/>
          <w:kern w:val="22"/>
          <w:szCs w:val="22"/>
          <w:lang w:val="es-ES_tradnl"/>
        </w:rPr>
        <w:t>2012</w:t>
      </w:r>
      <w:r w:rsidR="003350C2">
        <w:rPr>
          <w:snapToGrid w:val="0"/>
          <w:kern w:val="22"/>
          <w:szCs w:val="22"/>
          <w:lang w:val="es-ES_tradnl"/>
        </w:rPr>
        <w:t>;</w:t>
      </w:r>
      <w:r w:rsidR="00790CAE" w:rsidRPr="000E4865">
        <w:rPr>
          <w:snapToGrid w:val="0"/>
          <w:kern w:val="22"/>
          <w:szCs w:val="22"/>
          <w:lang w:val="es-ES_tradnl"/>
        </w:rPr>
        <w:t xml:space="preserve"> la Organización Internacional del Trabajo </w:t>
      </w:r>
      <w:r w:rsidR="00276B6C" w:rsidRPr="000E4865">
        <w:rPr>
          <w:snapToGrid w:val="0"/>
          <w:kern w:val="22"/>
          <w:szCs w:val="22"/>
          <w:lang w:val="es-ES_tradnl"/>
        </w:rPr>
        <w:t>(</w:t>
      </w:r>
      <w:r w:rsidR="00790CAE" w:rsidRPr="000E4865">
        <w:rPr>
          <w:snapToGrid w:val="0"/>
          <w:kern w:val="22"/>
          <w:szCs w:val="22"/>
          <w:lang w:val="es-ES_tradnl"/>
        </w:rPr>
        <w:t>OIT</w:t>
      </w:r>
      <w:r w:rsidR="00276B6C" w:rsidRPr="000E4865">
        <w:rPr>
          <w:snapToGrid w:val="0"/>
          <w:kern w:val="22"/>
          <w:szCs w:val="22"/>
          <w:lang w:val="es-ES_tradnl"/>
        </w:rPr>
        <w:t>)</w:t>
      </w:r>
      <w:r w:rsidR="00276B6C" w:rsidRPr="000E4865">
        <w:rPr>
          <w:snapToGrid w:val="0"/>
          <w:kern w:val="22"/>
          <w:szCs w:val="22"/>
          <w:vertAlign w:val="superscript"/>
          <w:lang w:val="es-ES_tradnl"/>
        </w:rPr>
        <w:footnoteReference w:id="8"/>
      </w:r>
      <w:r w:rsidR="00276B6C" w:rsidRPr="000E4865">
        <w:rPr>
          <w:snapToGrid w:val="0"/>
          <w:kern w:val="22"/>
          <w:szCs w:val="22"/>
          <w:lang w:val="es-ES_tradnl"/>
        </w:rPr>
        <w:t xml:space="preserve"> </w:t>
      </w:r>
      <w:r w:rsidR="00790CAE" w:rsidRPr="000E4865">
        <w:rPr>
          <w:snapToGrid w:val="0"/>
          <w:kern w:val="22"/>
          <w:szCs w:val="22"/>
          <w:lang w:val="es-ES_tradnl"/>
        </w:rPr>
        <w:t xml:space="preserve">prevé que los empleos del sector manufacturero en </w:t>
      </w:r>
      <w:r w:rsidR="00241557" w:rsidRPr="000E4865">
        <w:rPr>
          <w:snapToGrid w:val="0"/>
          <w:kern w:val="22"/>
          <w:szCs w:val="22"/>
          <w:lang w:val="es-ES_tradnl"/>
        </w:rPr>
        <w:t xml:space="preserve">2018 </w:t>
      </w:r>
      <w:r w:rsidR="000402B5">
        <w:rPr>
          <w:snapToGrid w:val="0"/>
          <w:kern w:val="22"/>
          <w:szCs w:val="22"/>
          <w:lang w:val="es-ES_tradnl"/>
        </w:rPr>
        <w:t>serán e</w:t>
      </w:r>
      <w:r w:rsidR="00790CAE" w:rsidRPr="000E4865">
        <w:rPr>
          <w:snapToGrid w:val="0"/>
          <w:kern w:val="22"/>
          <w:szCs w:val="22"/>
          <w:lang w:val="es-ES_tradnl"/>
        </w:rPr>
        <w:t xml:space="preserve">l </w:t>
      </w:r>
      <w:r w:rsidR="00276B6C" w:rsidRPr="000E4865">
        <w:rPr>
          <w:snapToGrid w:val="0"/>
          <w:kern w:val="22"/>
          <w:szCs w:val="22"/>
          <w:lang w:val="es-ES_tradnl"/>
        </w:rPr>
        <w:t>24</w:t>
      </w:r>
      <w:r w:rsidR="00790CAE" w:rsidRPr="000E4865">
        <w:rPr>
          <w:snapToGrid w:val="0"/>
          <w:kern w:val="22"/>
          <w:szCs w:val="22"/>
          <w:lang w:val="es-ES_tradnl"/>
        </w:rPr>
        <w:t>% de la mano de obra mundial</w:t>
      </w:r>
      <w:r w:rsidR="00276B6C" w:rsidRPr="000E4865">
        <w:rPr>
          <w:snapToGrid w:val="0"/>
          <w:kern w:val="22"/>
          <w:szCs w:val="22"/>
          <w:lang w:val="es-ES_tradnl"/>
        </w:rPr>
        <w:t>.</w:t>
      </w:r>
    </w:p>
    <w:p w14:paraId="3C972D5A" w14:textId="3085330A" w:rsidR="00276B6C" w:rsidRPr="000E4865" w:rsidRDefault="00873F59"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Durante la última década, varias importantes economías en desarrollo se han sumado a</w:t>
      </w:r>
      <w:r w:rsidR="00884C72">
        <w:rPr>
          <w:snapToGrid w:val="0"/>
          <w:kern w:val="22"/>
          <w:szCs w:val="22"/>
          <w:lang w:val="es-ES_tradnl"/>
        </w:rPr>
        <w:t xml:space="preserve">l </w:t>
      </w:r>
      <w:r w:rsidRPr="000E4865">
        <w:rPr>
          <w:snapToGrid w:val="0"/>
          <w:kern w:val="22"/>
          <w:szCs w:val="22"/>
          <w:lang w:val="es-ES_tradnl"/>
        </w:rPr>
        <w:t xml:space="preserve">grupo de </w:t>
      </w:r>
      <w:r w:rsidR="00884C72">
        <w:rPr>
          <w:snapToGrid w:val="0"/>
          <w:kern w:val="22"/>
          <w:szCs w:val="22"/>
          <w:lang w:val="es-ES_tradnl"/>
        </w:rPr>
        <w:t xml:space="preserve">importantes </w:t>
      </w:r>
      <w:r w:rsidRPr="000E4865">
        <w:rPr>
          <w:snapToGrid w:val="0"/>
          <w:kern w:val="22"/>
          <w:szCs w:val="22"/>
          <w:lang w:val="es-ES_tradnl"/>
        </w:rPr>
        <w:t xml:space="preserve">naciones manufactureras </w:t>
      </w:r>
      <w:r w:rsidR="00276B6C" w:rsidRPr="000E4865">
        <w:rPr>
          <w:snapToGrid w:val="0"/>
          <w:kern w:val="22"/>
          <w:szCs w:val="22"/>
          <w:lang w:val="es-ES_tradnl"/>
        </w:rPr>
        <w:t>(</w:t>
      </w:r>
      <w:r w:rsidRPr="000E4865">
        <w:rPr>
          <w:snapToGrid w:val="0"/>
          <w:kern w:val="22"/>
          <w:szCs w:val="22"/>
          <w:lang w:val="es-ES_tradnl"/>
        </w:rPr>
        <w:t xml:space="preserve">por ejemplo, Brasil, </w:t>
      </w:r>
      <w:r w:rsidR="00276B6C" w:rsidRPr="000E4865">
        <w:rPr>
          <w:snapToGrid w:val="0"/>
          <w:kern w:val="22"/>
          <w:szCs w:val="22"/>
          <w:lang w:val="es-ES_tradnl"/>
        </w:rPr>
        <w:t>China</w:t>
      </w:r>
      <w:r w:rsidR="004A52D4" w:rsidRPr="000E4865">
        <w:rPr>
          <w:snapToGrid w:val="0"/>
          <w:kern w:val="22"/>
          <w:szCs w:val="22"/>
          <w:lang w:val="es-ES_tradnl"/>
        </w:rPr>
        <w:t xml:space="preserve"> </w:t>
      </w:r>
      <w:r w:rsidRPr="000E4865">
        <w:rPr>
          <w:snapToGrid w:val="0"/>
          <w:kern w:val="22"/>
          <w:szCs w:val="22"/>
          <w:lang w:val="es-ES_tradnl"/>
        </w:rPr>
        <w:t xml:space="preserve">y la </w:t>
      </w:r>
      <w:r w:rsidR="00276B6C" w:rsidRPr="000E4865">
        <w:rPr>
          <w:snapToGrid w:val="0"/>
          <w:kern w:val="22"/>
          <w:szCs w:val="22"/>
          <w:lang w:val="es-ES_tradnl"/>
        </w:rPr>
        <w:t xml:space="preserve">India), </w:t>
      </w:r>
      <w:r w:rsidR="003803BA" w:rsidRPr="000E4865">
        <w:rPr>
          <w:snapToGrid w:val="0"/>
          <w:kern w:val="22"/>
          <w:szCs w:val="22"/>
          <w:lang w:val="es-ES_tradnl"/>
        </w:rPr>
        <w:t xml:space="preserve">una fuerte recesión perjudicó </w:t>
      </w:r>
      <w:r w:rsidR="00884C72">
        <w:rPr>
          <w:snapToGrid w:val="0"/>
          <w:kern w:val="22"/>
          <w:szCs w:val="22"/>
          <w:lang w:val="es-ES_tradnl"/>
        </w:rPr>
        <w:t>fuerte</w:t>
      </w:r>
      <w:r w:rsidR="003803BA" w:rsidRPr="000E4865">
        <w:rPr>
          <w:snapToGrid w:val="0"/>
          <w:kern w:val="22"/>
          <w:szCs w:val="22"/>
          <w:lang w:val="es-ES_tradnl"/>
        </w:rPr>
        <w:t>mente a la demanda</w:t>
      </w:r>
      <w:r w:rsidR="00276B6C" w:rsidRPr="000E4865">
        <w:rPr>
          <w:snapToGrid w:val="0"/>
          <w:kern w:val="22"/>
          <w:szCs w:val="22"/>
          <w:vertAlign w:val="superscript"/>
          <w:lang w:val="es-ES_tradnl"/>
        </w:rPr>
        <w:footnoteReference w:id="9"/>
      </w:r>
      <w:r w:rsidR="003803BA" w:rsidRPr="000E4865">
        <w:rPr>
          <w:snapToGrid w:val="0"/>
          <w:kern w:val="22"/>
          <w:szCs w:val="22"/>
          <w:lang w:val="es-ES_tradnl"/>
        </w:rPr>
        <w:t>,</w:t>
      </w:r>
      <w:r w:rsidR="00276B6C" w:rsidRPr="000E4865">
        <w:rPr>
          <w:snapToGrid w:val="0"/>
          <w:kern w:val="22"/>
          <w:szCs w:val="22"/>
          <w:lang w:val="es-ES_tradnl"/>
        </w:rPr>
        <w:t xml:space="preserve"> </w:t>
      </w:r>
      <w:r w:rsidR="003803BA" w:rsidRPr="000E4865">
        <w:rPr>
          <w:snapToGrid w:val="0"/>
          <w:kern w:val="22"/>
          <w:szCs w:val="22"/>
          <w:lang w:val="es-ES_tradnl"/>
        </w:rPr>
        <w:t>y el empleo en el sector manufacturero disminuyó a un ritmo acelerado en las economías desarrolladas</w:t>
      </w:r>
      <w:r w:rsidR="00276B6C" w:rsidRPr="000E4865">
        <w:rPr>
          <w:snapToGrid w:val="0"/>
          <w:kern w:val="22"/>
          <w:szCs w:val="22"/>
          <w:vertAlign w:val="superscript"/>
          <w:lang w:val="es-ES_tradnl"/>
        </w:rPr>
        <w:footnoteReference w:id="10"/>
      </w:r>
      <w:r w:rsidR="003803BA" w:rsidRPr="000E4865">
        <w:rPr>
          <w:snapToGrid w:val="0"/>
          <w:kern w:val="22"/>
          <w:szCs w:val="22"/>
          <w:lang w:val="es-ES_tradnl"/>
        </w:rPr>
        <w:t>.</w:t>
      </w:r>
      <w:r w:rsidR="00276B6C" w:rsidRPr="000E4865">
        <w:rPr>
          <w:snapToGrid w:val="0"/>
          <w:kern w:val="22"/>
          <w:szCs w:val="22"/>
          <w:lang w:val="es-ES_tradnl"/>
        </w:rPr>
        <w:t xml:space="preserve"> </w:t>
      </w:r>
      <w:r w:rsidR="00FC073F" w:rsidRPr="000E4865">
        <w:rPr>
          <w:snapToGrid w:val="0"/>
          <w:kern w:val="22"/>
          <w:szCs w:val="22"/>
          <w:lang w:val="es-ES_tradnl"/>
        </w:rPr>
        <w:t>E</w:t>
      </w:r>
      <w:r w:rsidR="00EB30EA" w:rsidRPr="000E4865">
        <w:rPr>
          <w:snapToGrid w:val="0"/>
          <w:kern w:val="22"/>
          <w:szCs w:val="22"/>
          <w:lang w:val="es-ES_tradnl"/>
        </w:rPr>
        <w:t>n la actualidad e</w:t>
      </w:r>
      <w:r w:rsidR="00FC073F" w:rsidRPr="000E4865">
        <w:rPr>
          <w:snapToGrid w:val="0"/>
          <w:kern w:val="22"/>
          <w:szCs w:val="22"/>
          <w:lang w:val="es-ES_tradnl"/>
        </w:rPr>
        <w:t>l sector manufacturer</w:t>
      </w:r>
      <w:r w:rsidR="00EB30EA" w:rsidRPr="000E4865">
        <w:rPr>
          <w:snapToGrid w:val="0"/>
          <w:kern w:val="22"/>
          <w:szCs w:val="22"/>
          <w:lang w:val="es-ES_tradnl"/>
        </w:rPr>
        <w:t>o</w:t>
      </w:r>
      <w:r w:rsidR="00FC073F" w:rsidRPr="000E4865">
        <w:rPr>
          <w:snapToGrid w:val="0"/>
          <w:kern w:val="22"/>
          <w:szCs w:val="22"/>
          <w:lang w:val="es-ES_tradnl"/>
        </w:rPr>
        <w:t xml:space="preserve"> </w:t>
      </w:r>
      <w:r w:rsidR="00EB30EA" w:rsidRPr="000E4865">
        <w:rPr>
          <w:snapToGrid w:val="0"/>
          <w:kern w:val="22"/>
          <w:szCs w:val="22"/>
          <w:lang w:val="es-ES_tradnl"/>
        </w:rPr>
        <w:t>busca oportunidades de crecimiento</w:t>
      </w:r>
      <w:r w:rsidR="00276B6C" w:rsidRPr="000E4865">
        <w:rPr>
          <w:snapToGrid w:val="0"/>
          <w:kern w:val="22"/>
          <w:szCs w:val="22"/>
          <w:lang w:val="es-ES_tradnl"/>
        </w:rPr>
        <w:t xml:space="preserve">, </w:t>
      </w:r>
      <w:r w:rsidR="00EB30EA" w:rsidRPr="000E4865">
        <w:rPr>
          <w:snapToGrid w:val="0"/>
          <w:kern w:val="22"/>
          <w:szCs w:val="22"/>
          <w:lang w:val="es-ES_tradnl"/>
        </w:rPr>
        <w:t xml:space="preserve">en especial </w:t>
      </w:r>
      <w:r w:rsidR="00884C72">
        <w:rPr>
          <w:snapToGrid w:val="0"/>
          <w:kern w:val="22"/>
          <w:szCs w:val="22"/>
          <w:lang w:val="es-ES_tradnl"/>
        </w:rPr>
        <w:t xml:space="preserve">realizando </w:t>
      </w:r>
      <w:r w:rsidR="00EB30EA" w:rsidRPr="000E4865">
        <w:rPr>
          <w:snapToGrid w:val="0"/>
          <w:kern w:val="22"/>
          <w:szCs w:val="22"/>
          <w:lang w:val="es-ES_tradnl"/>
        </w:rPr>
        <w:t xml:space="preserve">importantes inversiones en la investigación y </w:t>
      </w:r>
      <w:r w:rsidR="00884C72">
        <w:rPr>
          <w:snapToGrid w:val="0"/>
          <w:kern w:val="22"/>
          <w:szCs w:val="22"/>
          <w:lang w:val="es-ES_tradnl"/>
        </w:rPr>
        <w:t xml:space="preserve">el </w:t>
      </w:r>
      <w:r w:rsidR="00EB30EA" w:rsidRPr="000E4865">
        <w:rPr>
          <w:snapToGrid w:val="0"/>
          <w:kern w:val="22"/>
          <w:szCs w:val="22"/>
          <w:lang w:val="es-ES_tradnl"/>
        </w:rPr>
        <w:t>desarrollo de nuevos mercados</w:t>
      </w:r>
      <w:r w:rsidR="00276B6C" w:rsidRPr="000E4865">
        <w:rPr>
          <w:rStyle w:val="FootnoteReference"/>
          <w:snapToGrid w:val="0"/>
          <w:kern w:val="22"/>
          <w:szCs w:val="22"/>
          <w:lang w:val="es-ES_tradnl"/>
        </w:rPr>
        <w:footnoteReference w:id="11"/>
      </w:r>
      <w:r w:rsidR="00EB30EA" w:rsidRPr="000E4865">
        <w:rPr>
          <w:snapToGrid w:val="0"/>
          <w:kern w:val="22"/>
          <w:szCs w:val="22"/>
          <w:lang w:val="es-ES_tradnl"/>
        </w:rPr>
        <w:t>.</w:t>
      </w:r>
      <w:r w:rsidR="00276B6C" w:rsidRPr="000E4865">
        <w:rPr>
          <w:snapToGrid w:val="0"/>
          <w:kern w:val="22"/>
          <w:szCs w:val="22"/>
          <w:lang w:val="es-ES_tradnl"/>
        </w:rPr>
        <w:t xml:space="preserve"> </w:t>
      </w:r>
      <w:r w:rsidR="00EB30EA" w:rsidRPr="000E4865">
        <w:rPr>
          <w:snapToGrid w:val="0"/>
          <w:kern w:val="22"/>
          <w:szCs w:val="22"/>
          <w:lang w:val="es-ES_tradnl"/>
        </w:rPr>
        <w:t>Si bien las cadenas de valor mundiales siguen estando concentradas en un número relativamente pequeño de países</w:t>
      </w:r>
      <w:r w:rsidR="00276B6C" w:rsidRPr="000E4865">
        <w:rPr>
          <w:snapToGrid w:val="0"/>
          <w:kern w:val="22"/>
          <w:szCs w:val="22"/>
          <w:lang w:val="es-ES_tradnl"/>
        </w:rPr>
        <w:t xml:space="preserve">, </w:t>
      </w:r>
      <w:r w:rsidR="00884C72">
        <w:rPr>
          <w:snapToGrid w:val="0"/>
          <w:kern w:val="22"/>
          <w:szCs w:val="22"/>
          <w:lang w:val="es-ES_tradnl"/>
        </w:rPr>
        <w:t xml:space="preserve">existe </w:t>
      </w:r>
      <w:r w:rsidR="00EB30EA" w:rsidRPr="000E4865">
        <w:rPr>
          <w:snapToGrid w:val="0"/>
          <w:kern w:val="22"/>
          <w:szCs w:val="22"/>
          <w:lang w:val="es-ES_tradnl"/>
        </w:rPr>
        <w:t xml:space="preserve">margen para que diversos países en desarrollo atraigan </w:t>
      </w:r>
      <w:r w:rsidR="00884C72">
        <w:rPr>
          <w:snapToGrid w:val="0"/>
          <w:kern w:val="22"/>
          <w:szCs w:val="22"/>
          <w:lang w:val="es-ES_tradnl"/>
        </w:rPr>
        <w:t xml:space="preserve">a </w:t>
      </w:r>
      <w:r w:rsidR="00EB30EA" w:rsidRPr="000E4865">
        <w:rPr>
          <w:snapToGrid w:val="0"/>
          <w:kern w:val="22"/>
          <w:szCs w:val="22"/>
          <w:lang w:val="es-ES_tradnl"/>
        </w:rPr>
        <w:t xml:space="preserve">más empresas manufactureras a medida que </w:t>
      </w:r>
      <w:r w:rsidR="000402B5">
        <w:rPr>
          <w:snapToGrid w:val="0"/>
          <w:kern w:val="22"/>
          <w:szCs w:val="22"/>
          <w:lang w:val="es-ES_tradnl"/>
        </w:rPr>
        <w:t xml:space="preserve">se integran a </w:t>
      </w:r>
      <w:r w:rsidR="00EB30EA" w:rsidRPr="000E4865">
        <w:rPr>
          <w:snapToGrid w:val="0"/>
          <w:kern w:val="22"/>
          <w:szCs w:val="22"/>
          <w:lang w:val="es-ES_tradnl"/>
        </w:rPr>
        <w:t>la economía globalizada</w:t>
      </w:r>
      <w:r w:rsidR="00276B6C" w:rsidRPr="000E4865">
        <w:rPr>
          <w:snapToGrid w:val="0"/>
          <w:kern w:val="22"/>
          <w:szCs w:val="22"/>
          <w:lang w:val="es-ES_tradnl"/>
        </w:rPr>
        <w:t>.</w:t>
      </w:r>
    </w:p>
    <w:p w14:paraId="1D427960" w14:textId="7017B138" w:rsidR="00276B6C" w:rsidRPr="000E4865" w:rsidRDefault="00C66E6B"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spacing w:val="-2"/>
          <w:kern w:val="22"/>
          <w:szCs w:val="22"/>
          <w:lang w:val="es-ES_tradnl"/>
        </w:rPr>
      </w:pPr>
      <w:r w:rsidRPr="000E4865">
        <w:rPr>
          <w:snapToGrid w:val="0"/>
          <w:spacing w:val="-2"/>
          <w:kern w:val="22"/>
          <w:szCs w:val="22"/>
          <w:lang w:val="es-ES_tradnl"/>
        </w:rPr>
        <w:t>Varias tendencias a muy largo plazo están afecta</w:t>
      </w:r>
      <w:r w:rsidR="00E726FB">
        <w:rPr>
          <w:snapToGrid w:val="0"/>
          <w:spacing w:val="-2"/>
          <w:kern w:val="22"/>
          <w:szCs w:val="22"/>
          <w:lang w:val="es-ES_tradnl"/>
        </w:rPr>
        <w:t>n</w:t>
      </w:r>
      <w:r w:rsidRPr="000E4865">
        <w:rPr>
          <w:snapToGrid w:val="0"/>
          <w:spacing w:val="-2"/>
          <w:kern w:val="22"/>
          <w:szCs w:val="22"/>
          <w:lang w:val="es-ES_tradnl"/>
        </w:rPr>
        <w:t xml:space="preserve">do a las industrias de </w:t>
      </w:r>
      <w:r w:rsidR="00276B6C" w:rsidRPr="000E4865">
        <w:rPr>
          <w:snapToGrid w:val="0"/>
          <w:spacing w:val="-2"/>
          <w:kern w:val="22"/>
          <w:szCs w:val="22"/>
          <w:lang w:val="es-ES_tradnl"/>
        </w:rPr>
        <w:t>“</w:t>
      </w:r>
      <w:r w:rsidRPr="000E4865">
        <w:rPr>
          <w:snapToGrid w:val="0"/>
          <w:spacing w:val="-2"/>
          <w:kern w:val="22"/>
          <w:szCs w:val="22"/>
          <w:lang w:val="es-ES_tradnl"/>
        </w:rPr>
        <w:t>fabricación avanzada</w:t>
      </w:r>
      <w:r w:rsidR="00276B6C" w:rsidRPr="000E4865">
        <w:rPr>
          <w:snapToGrid w:val="0"/>
          <w:spacing w:val="-2"/>
          <w:kern w:val="22"/>
          <w:szCs w:val="22"/>
          <w:lang w:val="es-ES_tradnl"/>
        </w:rPr>
        <w:t>”</w:t>
      </w:r>
      <w:r w:rsidR="00276B6C" w:rsidRPr="000E4865">
        <w:rPr>
          <w:snapToGrid w:val="0"/>
          <w:spacing w:val="-2"/>
          <w:kern w:val="22"/>
          <w:szCs w:val="22"/>
          <w:vertAlign w:val="superscript"/>
          <w:lang w:val="es-ES_tradnl"/>
        </w:rPr>
        <w:footnoteReference w:id="12"/>
      </w:r>
      <w:r w:rsidR="00276B6C" w:rsidRPr="000E4865">
        <w:rPr>
          <w:snapToGrid w:val="0"/>
          <w:spacing w:val="-2"/>
          <w:kern w:val="22"/>
          <w:szCs w:val="22"/>
          <w:lang w:val="es-ES_tradnl"/>
        </w:rPr>
        <w:t xml:space="preserve">, </w:t>
      </w:r>
      <w:r w:rsidRPr="000E4865">
        <w:rPr>
          <w:snapToGrid w:val="0"/>
          <w:spacing w:val="-2"/>
          <w:kern w:val="22"/>
          <w:szCs w:val="22"/>
          <w:lang w:val="es-ES_tradnl"/>
        </w:rPr>
        <w:t>inclu</w:t>
      </w:r>
      <w:r w:rsidR="00884C72">
        <w:rPr>
          <w:snapToGrid w:val="0"/>
          <w:spacing w:val="-2"/>
          <w:kern w:val="22"/>
          <w:szCs w:val="22"/>
          <w:lang w:val="es-ES_tradnl"/>
        </w:rPr>
        <w:t>idas</w:t>
      </w:r>
      <w:r w:rsidRPr="000E4865">
        <w:rPr>
          <w:snapToGrid w:val="0"/>
          <w:spacing w:val="-2"/>
          <w:kern w:val="22"/>
          <w:szCs w:val="22"/>
          <w:lang w:val="es-ES_tradnl"/>
        </w:rPr>
        <w:t>, entre otr</w:t>
      </w:r>
      <w:r w:rsidR="00E726FB">
        <w:rPr>
          <w:snapToGrid w:val="0"/>
          <w:spacing w:val="-2"/>
          <w:kern w:val="22"/>
          <w:szCs w:val="22"/>
          <w:lang w:val="es-ES_tradnl"/>
        </w:rPr>
        <w:t>a</w:t>
      </w:r>
      <w:r w:rsidRPr="000E4865">
        <w:rPr>
          <w:snapToGrid w:val="0"/>
          <w:spacing w:val="-2"/>
          <w:kern w:val="22"/>
          <w:szCs w:val="22"/>
          <w:lang w:val="es-ES_tradnl"/>
        </w:rPr>
        <w:t>s</w:t>
      </w:r>
      <w:r w:rsidR="00276B6C" w:rsidRPr="000E4865">
        <w:rPr>
          <w:snapToGrid w:val="0"/>
          <w:spacing w:val="-2"/>
          <w:kern w:val="22"/>
          <w:szCs w:val="22"/>
          <w:lang w:val="es-ES_tradnl"/>
        </w:rPr>
        <w:t xml:space="preserve">: </w:t>
      </w:r>
      <w:r w:rsidRPr="000E4865">
        <w:rPr>
          <w:snapToGrid w:val="0"/>
          <w:spacing w:val="-2"/>
          <w:kern w:val="22"/>
          <w:szCs w:val="22"/>
          <w:lang w:val="es-ES_tradnl"/>
        </w:rPr>
        <w:t>el continuo envejecimiento de la mano de obra en algunos países desarrollados</w:t>
      </w:r>
      <w:r w:rsidR="00276B6C" w:rsidRPr="000E4865">
        <w:rPr>
          <w:snapToGrid w:val="0"/>
          <w:spacing w:val="-2"/>
          <w:kern w:val="22"/>
          <w:szCs w:val="22"/>
          <w:lang w:val="es-ES_tradnl"/>
        </w:rPr>
        <w:t xml:space="preserve">; </w:t>
      </w:r>
      <w:r w:rsidRPr="000E4865">
        <w:rPr>
          <w:snapToGrid w:val="0"/>
          <w:spacing w:val="-2"/>
          <w:kern w:val="22"/>
          <w:szCs w:val="22"/>
          <w:lang w:val="es-ES_tradnl"/>
        </w:rPr>
        <w:t>la necesidad de un cambio en las competencias de fabricación</w:t>
      </w:r>
      <w:r w:rsidR="00276B6C" w:rsidRPr="000E4865">
        <w:rPr>
          <w:snapToGrid w:val="0"/>
          <w:spacing w:val="-2"/>
          <w:kern w:val="22"/>
          <w:szCs w:val="22"/>
          <w:lang w:val="es-ES_tradnl"/>
        </w:rPr>
        <w:t xml:space="preserve">; </w:t>
      </w:r>
      <w:r w:rsidRPr="000E4865">
        <w:rPr>
          <w:snapToGrid w:val="0"/>
          <w:spacing w:val="-2"/>
          <w:kern w:val="22"/>
          <w:szCs w:val="22"/>
          <w:lang w:val="es-ES_tradnl"/>
        </w:rPr>
        <w:t xml:space="preserve">una creciente demanda de productos y servicios </w:t>
      </w:r>
      <w:r w:rsidRPr="000E4865">
        <w:rPr>
          <w:snapToGrid w:val="0"/>
          <w:spacing w:val="-2"/>
          <w:kern w:val="22"/>
          <w:szCs w:val="22"/>
          <w:lang w:val="es-ES_tradnl"/>
        </w:rPr>
        <w:lastRenderedPageBreak/>
        <w:t>personalizados conforme a las especificaciones de los consumidores</w:t>
      </w:r>
      <w:r w:rsidR="00276B6C" w:rsidRPr="000E4865">
        <w:rPr>
          <w:snapToGrid w:val="0"/>
          <w:spacing w:val="-2"/>
          <w:kern w:val="22"/>
          <w:szCs w:val="22"/>
          <w:lang w:val="es-ES_tradnl"/>
        </w:rPr>
        <w:t xml:space="preserve">; </w:t>
      </w:r>
      <w:r w:rsidRPr="000E4865">
        <w:rPr>
          <w:snapToGrid w:val="0"/>
          <w:spacing w:val="-2"/>
          <w:kern w:val="22"/>
          <w:szCs w:val="22"/>
          <w:lang w:val="es-ES_tradnl"/>
        </w:rPr>
        <w:t xml:space="preserve">una mayor demanda de productos manufacturados en ciudades y mayores esfuerzos para apoyar </w:t>
      </w:r>
      <w:r w:rsidR="003E64B0" w:rsidRPr="000E4865">
        <w:rPr>
          <w:snapToGrid w:val="0"/>
          <w:spacing w:val="-2"/>
          <w:kern w:val="22"/>
          <w:szCs w:val="22"/>
          <w:lang w:val="es-ES_tradnl"/>
        </w:rPr>
        <w:t>la relocalización</w:t>
      </w:r>
      <w:r w:rsidR="00276B6C" w:rsidRPr="000E4865">
        <w:rPr>
          <w:rStyle w:val="FootnoteReference"/>
          <w:snapToGrid w:val="0"/>
          <w:spacing w:val="-2"/>
          <w:kern w:val="22"/>
          <w:szCs w:val="22"/>
          <w:lang w:val="es-ES_tradnl"/>
        </w:rPr>
        <w:footnoteReference w:id="13"/>
      </w:r>
      <w:r w:rsidR="00276B6C" w:rsidRPr="000E4865">
        <w:rPr>
          <w:snapToGrid w:val="0"/>
          <w:spacing w:val="-2"/>
          <w:kern w:val="22"/>
          <w:szCs w:val="22"/>
          <w:lang w:val="es-ES_tradnl"/>
        </w:rPr>
        <w:t xml:space="preserve"> </w:t>
      </w:r>
      <w:r w:rsidR="003E64B0" w:rsidRPr="000E4865">
        <w:rPr>
          <w:snapToGrid w:val="0"/>
          <w:spacing w:val="-2"/>
          <w:kern w:val="22"/>
          <w:szCs w:val="22"/>
          <w:lang w:val="es-ES_tradnl"/>
        </w:rPr>
        <w:t>a países desarrollados</w:t>
      </w:r>
      <w:r w:rsidR="00276B6C" w:rsidRPr="000E4865">
        <w:rPr>
          <w:snapToGrid w:val="0"/>
          <w:spacing w:val="-2"/>
          <w:kern w:val="22"/>
          <w:szCs w:val="22"/>
          <w:lang w:val="es-ES_tradnl"/>
        </w:rPr>
        <w:t xml:space="preserve">. </w:t>
      </w:r>
      <w:r w:rsidR="003E64B0" w:rsidRPr="000E4865">
        <w:rPr>
          <w:snapToGrid w:val="0"/>
          <w:spacing w:val="-2"/>
          <w:kern w:val="22"/>
          <w:szCs w:val="22"/>
          <w:lang w:val="es-ES_tradnl"/>
        </w:rPr>
        <w:t>Además, las nuevas tendencias mundiales en el sector manufacturero, tales como el Internet de las cosas</w:t>
      </w:r>
      <w:r w:rsidR="00276B6C" w:rsidRPr="000E4865">
        <w:rPr>
          <w:snapToGrid w:val="0"/>
          <w:spacing w:val="-2"/>
          <w:kern w:val="22"/>
          <w:szCs w:val="22"/>
          <w:lang w:val="es-ES_tradnl"/>
        </w:rPr>
        <w:t xml:space="preserve">, </w:t>
      </w:r>
      <w:r w:rsidR="003E64B0" w:rsidRPr="000E4865">
        <w:rPr>
          <w:snapToGrid w:val="0"/>
          <w:spacing w:val="-2"/>
          <w:kern w:val="22"/>
          <w:szCs w:val="22"/>
          <w:lang w:val="es-ES_tradnl"/>
        </w:rPr>
        <w:t>la robótica avanzada y la impresión tridimensional</w:t>
      </w:r>
      <w:r w:rsidR="002504B6" w:rsidRPr="000E4865">
        <w:rPr>
          <w:snapToGrid w:val="0"/>
          <w:spacing w:val="-2"/>
          <w:kern w:val="22"/>
          <w:szCs w:val="22"/>
          <w:lang w:val="es-ES_tradnl"/>
        </w:rPr>
        <w:t>,</w:t>
      </w:r>
      <w:r w:rsidR="00276B6C" w:rsidRPr="000E4865">
        <w:rPr>
          <w:snapToGrid w:val="0"/>
          <w:spacing w:val="-2"/>
          <w:kern w:val="22"/>
          <w:szCs w:val="22"/>
          <w:lang w:val="es-ES_tradnl"/>
        </w:rPr>
        <w:t xml:space="preserve"> </w:t>
      </w:r>
      <w:r w:rsidR="003E64B0" w:rsidRPr="000E4865">
        <w:rPr>
          <w:snapToGrid w:val="0"/>
          <w:spacing w:val="-2"/>
          <w:kern w:val="22"/>
          <w:szCs w:val="22"/>
          <w:lang w:val="es-ES_tradnl"/>
        </w:rPr>
        <w:t>están modific</w:t>
      </w:r>
      <w:r w:rsidR="006A6C09" w:rsidRPr="000E4865">
        <w:rPr>
          <w:snapToGrid w:val="0"/>
          <w:spacing w:val="-2"/>
          <w:kern w:val="22"/>
          <w:szCs w:val="22"/>
          <w:lang w:val="es-ES_tradnl"/>
        </w:rPr>
        <w:t>a</w:t>
      </w:r>
      <w:r w:rsidR="003E64B0" w:rsidRPr="000E4865">
        <w:rPr>
          <w:snapToGrid w:val="0"/>
          <w:spacing w:val="-2"/>
          <w:kern w:val="22"/>
          <w:szCs w:val="22"/>
          <w:lang w:val="es-ES_tradnl"/>
        </w:rPr>
        <w:t xml:space="preserve">ndo los criterios que </w:t>
      </w:r>
      <w:r w:rsidR="002F72EE">
        <w:rPr>
          <w:snapToGrid w:val="0"/>
          <w:spacing w:val="-2"/>
          <w:kern w:val="22"/>
          <w:szCs w:val="22"/>
          <w:lang w:val="es-ES_tradnl"/>
        </w:rPr>
        <w:t xml:space="preserve">vuelven </w:t>
      </w:r>
      <w:r w:rsidR="003E64B0" w:rsidRPr="000E4865">
        <w:rPr>
          <w:snapToGrid w:val="0"/>
          <w:spacing w:val="-2"/>
          <w:kern w:val="22"/>
          <w:szCs w:val="22"/>
          <w:lang w:val="es-ES_tradnl"/>
        </w:rPr>
        <w:t>atractiva a las localizaciones para la producción y amenazan con importantes alteraciones en el empleo, en particular de la mano de obra poco calificada</w:t>
      </w:r>
      <w:r w:rsidR="00276B6C" w:rsidRPr="000E4865">
        <w:rPr>
          <w:snapToGrid w:val="0"/>
          <w:spacing w:val="-2"/>
          <w:kern w:val="22"/>
          <w:szCs w:val="22"/>
          <w:vertAlign w:val="superscript"/>
          <w:lang w:val="es-ES_tradnl"/>
        </w:rPr>
        <w:footnoteReference w:id="14"/>
      </w:r>
      <w:r w:rsidR="003E64B0" w:rsidRPr="000E4865">
        <w:rPr>
          <w:snapToGrid w:val="0"/>
          <w:spacing w:val="-2"/>
          <w:kern w:val="22"/>
          <w:szCs w:val="22"/>
          <w:lang w:val="es-ES_tradnl"/>
        </w:rPr>
        <w:t>.</w:t>
      </w:r>
      <w:r w:rsidR="00276B6C" w:rsidRPr="000E4865">
        <w:rPr>
          <w:snapToGrid w:val="0"/>
          <w:spacing w:val="-2"/>
          <w:kern w:val="22"/>
          <w:szCs w:val="22"/>
          <w:lang w:val="es-ES_tradnl"/>
        </w:rPr>
        <w:t xml:space="preserve"> </w:t>
      </w:r>
      <w:r w:rsidR="003E64B0" w:rsidRPr="000E4865">
        <w:rPr>
          <w:snapToGrid w:val="0"/>
          <w:spacing w:val="-2"/>
          <w:kern w:val="22"/>
          <w:szCs w:val="22"/>
          <w:lang w:val="es-ES_tradnl"/>
        </w:rPr>
        <w:t>Por ejemplo, cada vez más empresas procesan materiales y fabrican productos acabados en el lugar de uso final</w:t>
      </w:r>
      <w:r w:rsidR="00276B6C" w:rsidRPr="000E4865">
        <w:rPr>
          <w:snapToGrid w:val="0"/>
          <w:spacing w:val="-2"/>
          <w:kern w:val="22"/>
          <w:szCs w:val="22"/>
          <w:lang w:val="es-ES_tradnl"/>
        </w:rPr>
        <w:t xml:space="preserve">, </w:t>
      </w:r>
      <w:r w:rsidR="003E64B0" w:rsidRPr="000E4865">
        <w:rPr>
          <w:snapToGrid w:val="0"/>
          <w:spacing w:val="-2"/>
          <w:kern w:val="22"/>
          <w:szCs w:val="22"/>
          <w:lang w:val="es-ES_tradnl"/>
        </w:rPr>
        <w:t>lo cual tiene importantes repercusiones para las redes logísticas</w:t>
      </w:r>
      <w:r w:rsidR="00276B6C" w:rsidRPr="000E4865">
        <w:rPr>
          <w:snapToGrid w:val="0"/>
          <w:spacing w:val="-2"/>
          <w:kern w:val="22"/>
          <w:szCs w:val="22"/>
          <w:lang w:val="es-ES_tradnl"/>
        </w:rPr>
        <w:t>.</w:t>
      </w:r>
    </w:p>
    <w:p w14:paraId="1A372760" w14:textId="4DF28D3B" w:rsidR="00276B6C" w:rsidRPr="000E4865" w:rsidRDefault="00F242A4" w:rsidP="00D74331">
      <w:pPr>
        <w:pStyle w:val="Heading1"/>
        <w:numPr>
          <w:ilvl w:val="0"/>
          <w:numId w:val="21"/>
        </w:numPr>
        <w:suppressLineNumbers/>
        <w:suppressAutoHyphens/>
        <w:kinsoku w:val="0"/>
        <w:overflowPunct w:val="0"/>
        <w:autoSpaceDE w:val="0"/>
        <w:autoSpaceDN w:val="0"/>
        <w:adjustRightInd w:val="0"/>
        <w:snapToGrid w:val="0"/>
        <w:spacing w:before="120" w:line="238" w:lineRule="auto"/>
        <w:rPr>
          <w:snapToGrid w:val="0"/>
          <w:kern w:val="22"/>
          <w:szCs w:val="22"/>
          <w:lang w:val="es-ES_tradnl"/>
        </w:rPr>
      </w:pPr>
      <w:r w:rsidRPr="000E4865">
        <w:rPr>
          <w:smallCaps/>
          <w:snapToGrid w:val="0"/>
          <w:kern w:val="22"/>
          <w:szCs w:val="22"/>
          <w:lang w:val="es-ES_tradnl"/>
        </w:rPr>
        <w:t>DEPENDENCIAS DE LA DIVERSIDAD BIOLÓGICA DE LAS INDUSTRIAS</w:t>
      </w:r>
      <w:r w:rsidR="008B0EA5" w:rsidRPr="000E4865">
        <w:rPr>
          <w:smallCaps/>
          <w:snapToGrid w:val="0"/>
          <w:kern w:val="22"/>
          <w:szCs w:val="22"/>
          <w:lang w:val="es-ES_tradnl"/>
        </w:rPr>
        <w:t xml:space="preserve"> </w:t>
      </w:r>
      <w:r w:rsidR="00005AD5" w:rsidRPr="000E4865">
        <w:rPr>
          <w:smallCaps/>
          <w:snapToGrid w:val="0"/>
          <w:kern w:val="22"/>
          <w:szCs w:val="22"/>
          <w:lang w:val="es-ES_tradnl"/>
        </w:rPr>
        <w:t>manufactureras</w:t>
      </w:r>
    </w:p>
    <w:p w14:paraId="50EE5D00" w14:textId="077CACB0" w:rsidR="00276B6C" w:rsidRPr="000E4865" w:rsidRDefault="006226E9"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color w:val="000000" w:themeColor="text1"/>
          <w:kern w:val="22"/>
          <w:szCs w:val="22"/>
          <w:lang w:val="es-ES_tradnl"/>
        </w:rPr>
      </w:pPr>
      <w:r w:rsidRPr="000E4865">
        <w:rPr>
          <w:snapToGrid w:val="0"/>
          <w:color w:val="000000" w:themeColor="text1"/>
          <w:kern w:val="22"/>
          <w:szCs w:val="22"/>
          <w:shd w:val="clear" w:color="auto" w:fill="FFFFFF"/>
          <w:lang w:val="es-ES_tradnl"/>
        </w:rPr>
        <w:t xml:space="preserve">El sector manufacturero </w:t>
      </w:r>
      <w:r w:rsidR="00E35874" w:rsidRPr="000E4865">
        <w:rPr>
          <w:snapToGrid w:val="0"/>
          <w:color w:val="000000" w:themeColor="text1"/>
          <w:kern w:val="22"/>
          <w:szCs w:val="22"/>
          <w:shd w:val="clear" w:color="auto" w:fill="FFFFFF"/>
          <w:lang w:val="es-ES_tradnl"/>
        </w:rPr>
        <w:t xml:space="preserve">depende directa e indirectamente de </w:t>
      </w:r>
      <w:r w:rsidR="002F72EE">
        <w:rPr>
          <w:snapToGrid w:val="0"/>
          <w:color w:val="000000" w:themeColor="text1"/>
          <w:kern w:val="22"/>
          <w:szCs w:val="22"/>
          <w:shd w:val="clear" w:color="auto" w:fill="FFFFFF"/>
          <w:lang w:val="es-ES_tradnl"/>
        </w:rPr>
        <w:t>diversos</w:t>
      </w:r>
      <w:r w:rsidR="00E35874" w:rsidRPr="000E4865">
        <w:rPr>
          <w:snapToGrid w:val="0"/>
          <w:color w:val="000000" w:themeColor="text1"/>
          <w:kern w:val="22"/>
          <w:szCs w:val="22"/>
          <w:shd w:val="clear" w:color="auto" w:fill="FFFFFF"/>
          <w:lang w:val="es-ES_tradnl"/>
        </w:rPr>
        <w:t xml:space="preserve"> servicios </w:t>
      </w:r>
      <w:r w:rsidR="00113F59">
        <w:rPr>
          <w:snapToGrid w:val="0"/>
          <w:color w:val="000000" w:themeColor="text1"/>
          <w:kern w:val="22"/>
          <w:szCs w:val="22"/>
          <w:shd w:val="clear" w:color="auto" w:fill="FFFFFF"/>
          <w:lang w:val="es-ES_tradnl"/>
        </w:rPr>
        <w:t>ecosistémicos</w:t>
      </w:r>
      <w:r w:rsidR="00276B6C" w:rsidRPr="000E4865">
        <w:rPr>
          <w:rStyle w:val="FootnoteReference"/>
          <w:snapToGrid w:val="0"/>
          <w:color w:val="000000" w:themeColor="text1"/>
          <w:kern w:val="22"/>
          <w:szCs w:val="22"/>
          <w:shd w:val="clear" w:color="auto" w:fill="FFFFFF"/>
          <w:lang w:val="es-ES_tradnl"/>
        </w:rPr>
        <w:footnoteReference w:id="15"/>
      </w:r>
      <w:r w:rsidR="00E35874" w:rsidRPr="000E4865">
        <w:rPr>
          <w:snapToGrid w:val="0"/>
          <w:color w:val="000000" w:themeColor="text1"/>
          <w:kern w:val="22"/>
          <w:szCs w:val="22"/>
          <w:shd w:val="clear" w:color="auto" w:fill="FFFFFF"/>
          <w:lang w:val="es-ES_tradnl"/>
        </w:rPr>
        <w:t>.</w:t>
      </w:r>
      <w:r w:rsidR="00276B6C" w:rsidRPr="000E4865">
        <w:rPr>
          <w:snapToGrid w:val="0"/>
          <w:color w:val="000000" w:themeColor="text1"/>
          <w:kern w:val="22"/>
          <w:szCs w:val="22"/>
          <w:shd w:val="clear" w:color="auto" w:fill="FFFFFF"/>
          <w:lang w:val="es-ES_tradnl"/>
        </w:rPr>
        <w:t xml:space="preserve"> </w:t>
      </w:r>
      <w:r w:rsidR="00E35874" w:rsidRPr="000E4865">
        <w:rPr>
          <w:snapToGrid w:val="0"/>
          <w:color w:val="000000" w:themeColor="text1"/>
          <w:kern w:val="22"/>
          <w:szCs w:val="22"/>
          <w:shd w:val="clear" w:color="auto" w:fill="FFFFFF"/>
          <w:lang w:val="es-ES_tradnl"/>
        </w:rPr>
        <w:t xml:space="preserve">Algunas industrias dependen </w:t>
      </w:r>
      <w:r w:rsidR="002F72EE">
        <w:rPr>
          <w:snapToGrid w:val="0"/>
          <w:color w:val="000000" w:themeColor="text1"/>
          <w:kern w:val="22"/>
          <w:szCs w:val="22"/>
          <w:shd w:val="clear" w:color="auto" w:fill="FFFFFF"/>
          <w:lang w:val="es-ES_tradnl"/>
        </w:rPr>
        <w:t xml:space="preserve">sobre todo </w:t>
      </w:r>
      <w:r w:rsidR="00E35874" w:rsidRPr="000E4865">
        <w:rPr>
          <w:snapToGrid w:val="0"/>
          <w:color w:val="000000" w:themeColor="text1"/>
          <w:kern w:val="22"/>
          <w:szCs w:val="22"/>
          <w:shd w:val="clear" w:color="auto" w:fill="FFFFFF"/>
          <w:lang w:val="es-ES_tradnl"/>
        </w:rPr>
        <w:t>de recursos renovables y no renovables</w:t>
      </w:r>
      <w:r w:rsidR="006D4C4B">
        <w:rPr>
          <w:snapToGrid w:val="0"/>
          <w:color w:val="000000" w:themeColor="text1"/>
          <w:kern w:val="22"/>
          <w:szCs w:val="22"/>
          <w:shd w:val="clear" w:color="auto" w:fill="FFFFFF"/>
          <w:lang w:val="es-ES_tradnl"/>
        </w:rPr>
        <w:t xml:space="preserve"> </w:t>
      </w:r>
      <w:r w:rsidR="006D4C4B">
        <w:rPr>
          <w:snapToGrid w:val="0"/>
          <w:color w:val="000000" w:themeColor="text1"/>
          <w:kern w:val="22"/>
          <w:szCs w:val="22"/>
          <w:shd w:val="clear" w:color="auto" w:fill="FFFFFF"/>
          <w:lang w:val="es-ES"/>
        </w:rPr>
        <w:t>(</w:t>
      </w:r>
      <w:r w:rsidR="006D4C4B" w:rsidRPr="006D4C4B">
        <w:rPr>
          <w:snapToGrid w:val="0"/>
          <w:color w:val="000000" w:themeColor="text1"/>
          <w:kern w:val="22"/>
          <w:szCs w:val="22"/>
          <w:shd w:val="clear" w:color="auto" w:fill="FFFFFF"/>
          <w:lang w:val="es-ES"/>
        </w:rPr>
        <w:t>servicios ecosistémicos de abastecimiento</w:t>
      </w:r>
      <w:r w:rsidR="00276B6C" w:rsidRPr="000E4865">
        <w:rPr>
          <w:snapToGrid w:val="0"/>
          <w:color w:val="000000" w:themeColor="text1"/>
          <w:kern w:val="22"/>
          <w:szCs w:val="22"/>
          <w:shd w:val="clear" w:color="auto" w:fill="FFFFFF"/>
          <w:lang w:val="es-ES_tradnl"/>
        </w:rPr>
        <w:t xml:space="preserve">), </w:t>
      </w:r>
      <w:r w:rsidR="00E35874" w:rsidRPr="000E4865">
        <w:rPr>
          <w:snapToGrid w:val="0"/>
          <w:color w:val="000000" w:themeColor="text1"/>
          <w:kern w:val="22"/>
          <w:szCs w:val="22"/>
          <w:shd w:val="clear" w:color="auto" w:fill="FFFFFF"/>
          <w:lang w:val="es-ES_tradnl"/>
        </w:rPr>
        <w:t>por lo general de insumos de materias primas en diversos procesos de fabricación</w:t>
      </w:r>
      <w:r w:rsidR="00276B6C" w:rsidRPr="000E4865">
        <w:rPr>
          <w:snapToGrid w:val="0"/>
          <w:color w:val="000000" w:themeColor="text1"/>
          <w:kern w:val="22"/>
          <w:szCs w:val="22"/>
          <w:shd w:val="clear" w:color="auto" w:fill="FFFFFF"/>
          <w:lang w:val="es-ES_tradnl"/>
        </w:rPr>
        <w:t xml:space="preserve">, </w:t>
      </w:r>
      <w:r w:rsidR="00E35874" w:rsidRPr="000E4865">
        <w:rPr>
          <w:snapToGrid w:val="0"/>
          <w:color w:val="000000" w:themeColor="text1"/>
          <w:kern w:val="22"/>
          <w:szCs w:val="22"/>
          <w:shd w:val="clear" w:color="auto" w:fill="FFFFFF"/>
          <w:lang w:val="es-ES_tradnl"/>
        </w:rPr>
        <w:t xml:space="preserve">y de algunos servicios </w:t>
      </w:r>
      <w:r w:rsidR="00DF6987">
        <w:rPr>
          <w:snapToGrid w:val="0"/>
          <w:color w:val="000000" w:themeColor="text1"/>
          <w:kern w:val="22"/>
          <w:szCs w:val="22"/>
          <w:shd w:val="clear" w:color="auto" w:fill="FFFFFF"/>
          <w:lang w:val="es-ES_tradnl"/>
        </w:rPr>
        <w:t>ecosistémicos reguladores</w:t>
      </w:r>
      <w:r w:rsidR="00276B6C" w:rsidRPr="000E4865">
        <w:rPr>
          <w:snapToGrid w:val="0"/>
          <w:color w:val="000000" w:themeColor="text1"/>
          <w:kern w:val="22"/>
          <w:szCs w:val="22"/>
          <w:shd w:val="clear" w:color="auto" w:fill="FFFFFF"/>
          <w:lang w:val="es-ES_tradnl"/>
        </w:rPr>
        <w:t xml:space="preserve">, </w:t>
      </w:r>
      <w:r w:rsidR="00E35874" w:rsidRPr="000E4865">
        <w:rPr>
          <w:snapToGrid w:val="0"/>
          <w:color w:val="000000" w:themeColor="text1"/>
          <w:kern w:val="22"/>
          <w:szCs w:val="22"/>
          <w:shd w:val="clear" w:color="auto" w:fill="FFFFFF"/>
          <w:lang w:val="es-ES_tradnl"/>
        </w:rPr>
        <w:t xml:space="preserve">tales como </w:t>
      </w:r>
      <w:r w:rsidR="00DF6987">
        <w:rPr>
          <w:snapToGrid w:val="0"/>
          <w:color w:val="000000" w:themeColor="text1"/>
          <w:kern w:val="22"/>
          <w:szCs w:val="22"/>
          <w:shd w:val="clear" w:color="auto" w:fill="FFFFFF"/>
          <w:lang w:val="es-ES_tradnl"/>
        </w:rPr>
        <w:t xml:space="preserve">los servicios de </w:t>
      </w:r>
      <w:r w:rsidR="00E35874" w:rsidRPr="000E4865">
        <w:rPr>
          <w:snapToGrid w:val="0"/>
          <w:color w:val="000000" w:themeColor="text1"/>
          <w:kern w:val="22"/>
          <w:szCs w:val="22"/>
          <w:shd w:val="clear" w:color="auto" w:fill="FFFFFF"/>
          <w:lang w:val="es-ES_tradnl"/>
        </w:rPr>
        <w:t xml:space="preserve">regulación del flujo </w:t>
      </w:r>
      <w:r w:rsidR="00DF6987">
        <w:rPr>
          <w:snapToGrid w:val="0"/>
          <w:color w:val="000000" w:themeColor="text1"/>
          <w:kern w:val="22"/>
          <w:szCs w:val="22"/>
          <w:shd w:val="clear" w:color="auto" w:fill="FFFFFF"/>
          <w:lang w:val="es-ES_tradnl"/>
        </w:rPr>
        <w:t xml:space="preserve">y la purificación </w:t>
      </w:r>
      <w:r w:rsidR="00E35874" w:rsidRPr="000E4865">
        <w:rPr>
          <w:snapToGrid w:val="0"/>
          <w:color w:val="000000" w:themeColor="text1"/>
          <w:kern w:val="22"/>
          <w:szCs w:val="22"/>
          <w:shd w:val="clear" w:color="auto" w:fill="FFFFFF"/>
          <w:lang w:val="es-ES_tradnl"/>
        </w:rPr>
        <w:t>de</w:t>
      </w:r>
      <w:r w:rsidR="00DF6987">
        <w:rPr>
          <w:snapToGrid w:val="0"/>
          <w:color w:val="000000" w:themeColor="text1"/>
          <w:kern w:val="22"/>
          <w:szCs w:val="22"/>
          <w:shd w:val="clear" w:color="auto" w:fill="FFFFFF"/>
          <w:lang w:val="es-ES_tradnl"/>
        </w:rPr>
        <w:t>l</w:t>
      </w:r>
      <w:r w:rsidR="00E35874" w:rsidRPr="000E4865">
        <w:rPr>
          <w:snapToGrid w:val="0"/>
          <w:color w:val="000000" w:themeColor="text1"/>
          <w:kern w:val="22"/>
          <w:szCs w:val="22"/>
          <w:shd w:val="clear" w:color="auto" w:fill="FFFFFF"/>
          <w:lang w:val="es-ES_tradnl"/>
        </w:rPr>
        <w:t xml:space="preserve"> agua</w:t>
      </w:r>
      <w:r w:rsidR="00276B6C" w:rsidRPr="000E4865">
        <w:rPr>
          <w:snapToGrid w:val="0"/>
          <w:color w:val="000000" w:themeColor="text1"/>
          <w:kern w:val="22"/>
          <w:szCs w:val="22"/>
          <w:shd w:val="clear" w:color="auto" w:fill="FFFFFF"/>
          <w:lang w:val="es-ES_tradnl"/>
        </w:rPr>
        <w:t xml:space="preserve">. </w:t>
      </w:r>
      <w:r w:rsidR="00E35874" w:rsidRPr="000E4865">
        <w:rPr>
          <w:snapToGrid w:val="0"/>
          <w:color w:val="000000" w:themeColor="text1"/>
          <w:kern w:val="22"/>
          <w:szCs w:val="22"/>
          <w:shd w:val="clear" w:color="auto" w:fill="FFFFFF"/>
          <w:lang w:val="es-ES_tradnl"/>
        </w:rPr>
        <w:t xml:space="preserve">Además, los ecosistemas prestan servicios absorbiendo y mitigando las emisiones </w:t>
      </w:r>
      <w:r w:rsidR="00DF6987">
        <w:rPr>
          <w:snapToGrid w:val="0"/>
          <w:color w:val="000000" w:themeColor="text1"/>
          <w:kern w:val="22"/>
          <w:szCs w:val="22"/>
          <w:shd w:val="clear" w:color="auto" w:fill="FFFFFF"/>
          <w:lang w:val="es-ES_tradnl"/>
        </w:rPr>
        <w:t>a la atmósfera y al agua</w:t>
      </w:r>
      <w:r w:rsidR="00276B6C" w:rsidRPr="000E4865">
        <w:rPr>
          <w:snapToGrid w:val="0"/>
          <w:color w:val="000000" w:themeColor="text1"/>
          <w:kern w:val="22"/>
          <w:szCs w:val="22"/>
          <w:shd w:val="clear" w:color="auto" w:fill="FFFFFF"/>
          <w:lang w:val="es-ES_tradnl"/>
        </w:rPr>
        <w:t xml:space="preserve">, </w:t>
      </w:r>
      <w:r w:rsidR="00E35874" w:rsidRPr="000E4865">
        <w:rPr>
          <w:snapToGrid w:val="0"/>
          <w:color w:val="000000" w:themeColor="text1"/>
          <w:kern w:val="22"/>
          <w:szCs w:val="22"/>
          <w:shd w:val="clear" w:color="auto" w:fill="FFFFFF"/>
          <w:lang w:val="es-ES_tradnl"/>
        </w:rPr>
        <w:t xml:space="preserve">que </w:t>
      </w:r>
      <w:r w:rsidR="00DF30F1" w:rsidRPr="000E4865">
        <w:rPr>
          <w:snapToGrid w:val="0"/>
          <w:color w:val="000000" w:themeColor="text1"/>
          <w:kern w:val="22"/>
          <w:szCs w:val="22"/>
          <w:shd w:val="clear" w:color="auto" w:fill="FFFFFF"/>
          <w:lang w:val="es-ES_tradnl"/>
        </w:rPr>
        <w:t xml:space="preserve">tienen </w:t>
      </w:r>
      <w:r w:rsidR="00E35874" w:rsidRPr="000E4865">
        <w:rPr>
          <w:snapToGrid w:val="0"/>
          <w:color w:val="000000" w:themeColor="text1"/>
          <w:kern w:val="22"/>
          <w:szCs w:val="22"/>
          <w:shd w:val="clear" w:color="auto" w:fill="FFFFFF"/>
          <w:lang w:val="es-ES_tradnl"/>
        </w:rPr>
        <w:t xml:space="preserve">especial importancia para varias industrias manufactureras en las cuales se producen </w:t>
      </w:r>
      <w:r w:rsidR="00DF30F1" w:rsidRPr="000E4865">
        <w:rPr>
          <w:snapToGrid w:val="0"/>
          <w:color w:val="000000" w:themeColor="text1"/>
          <w:kern w:val="22"/>
          <w:szCs w:val="22"/>
          <w:shd w:val="clear" w:color="auto" w:fill="FFFFFF"/>
          <w:lang w:val="es-ES_tradnl"/>
        </w:rPr>
        <w:t xml:space="preserve">considerables </w:t>
      </w:r>
      <w:r w:rsidR="00E35874" w:rsidRPr="000E4865">
        <w:rPr>
          <w:snapToGrid w:val="0"/>
          <w:color w:val="000000" w:themeColor="text1"/>
          <w:kern w:val="22"/>
          <w:szCs w:val="22"/>
          <w:shd w:val="clear" w:color="auto" w:fill="FFFFFF"/>
          <w:lang w:val="es-ES_tradnl"/>
        </w:rPr>
        <w:t xml:space="preserve">emisiones en las fábricas </w:t>
      </w:r>
      <w:r w:rsidR="00276B6C" w:rsidRPr="000E4865">
        <w:rPr>
          <w:snapToGrid w:val="0"/>
          <w:color w:val="000000" w:themeColor="text1"/>
          <w:kern w:val="22"/>
          <w:szCs w:val="22"/>
          <w:shd w:val="clear" w:color="auto" w:fill="FFFFFF"/>
          <w:lang w:val="es-ES_tradnl"/>
        </w:rPr>
        <w:t>(</w:t>
      </w:r>
      <w:r w:rsidR="00E35874" w:rsidRPr="000E4865">
        <w:rPr>
          <w:snapToGrid w:val="0"/>
          <w:color w:val="000000" w:themeColor="text1"/>
          <w:kern w:val="22"/>
          <w:szCs w:val="22"/>
          <w:shd w:val="clear" w:color="auto" w:fill="FFFFFF"/>
          <w:lang w:val="es-ES_tradnl"/>
        </w:rPr>
        <w:t>p. ej., emisiones de chimeneas</w:t>
      </w:r>
      <w:r w:rsidR="00276B6C" w:rsidRPr="000E4865">
        <w:rPr>
          <w:snapToGrid w:val="0"/>
          <w:color w:val="000000" w:themeColor="text1"/>
          <w:kern w:val="22"/>
          <w:szCs w:val="22"/>
          <w:shd w:val="clear" w:color="auto" w:fill="FFFFFF"/>
          <w:lang w:val="es-ES_tradnl"/>
        </w:rPr>
        <w:t>).</w:t>
      </w:r>
    </w:p>
    <w:p w14:paraId="63729BA5" w14:textId="626708AC" w:rsidR="00276B6C" w:rsidRPr="000E4865" w:rsidRDefault="002F72EE"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color w:val="000000" w:themeColor="text1"/>
          <w:kern w:val="22"/>
          <w:szCs w:val="22"/>
          <w:lang w:val="es-ES_tradnl"/>
        </w:rPr>
      </w:pPr>
      <w:r>
        <w:rPr>
          <w:snapToGrid w:val="0"/>
          <w:kern w:val="22"/>
          <w:szCs w:val="22"/>
          <w:lang w:val="es-ES_tradnl"/>
        </w:rPr>
        <w:t xml:space="preserve">Las dependencias de las </w:t>
      </w:r>
      <w:r w:rsidR="00005AD5" w:rsidRPr="000E4865">
        <w:rPr>
          <w:snapToGrid w:val="0"/>
          <w:kern w:val="22"/>
          <w:szCs w:val="22"/>
          <w:lang w:val="es-ES_tradnl"/>
        </w:rPr>
        <w:t xml:space="preserve">industrias manufactureras </w:t>
      </w:r>
      <w:r>
        <w:rPr>
          <w:snapToGrid w:val="0"/>
          <w:kern w:val="22"/>
          <w:szCs w:val="22"/>
          <w:lang w:val="es-ES_tradnl"/>
        </w:rPr>
        <w:t>con los ecosistemas son diversas</w:t>
      </w:r>
      <w:r w:rsidR="00276B6C" w:rsidRPr="000E4865">
        <w:rPr>
          <w:snapToGrid w:val="0"/>
          <w:kern w:val="22"/>
          <w:szCs w:val="22"/>
          <w:lang w:val="es-ES_tradnl"/>
        </w:rPr>
        <w:t xml:space="preserve">; </w:t>
      </w:r>
      <w:r w:rsidR="00005AD5" w:rsidRPr="000E4865">
        <w:rPr>
          <w:snapToGrid w:val="0"/>
          <w:kern w:val="22"/>
          <w:szCs w:val="22"/>
          <w:lang w:val="es-ES_tradnl"/>
        </w:rPr>
        <w:t>p. ej.,</w:t>
      </w:r>
      <w:r w:rsidR="00276B6C" w:rsidRPr="000E4865">
        <w:rPr>
          <w:snapToGrid w:val="0"/>
          <w:kern w:val="22"/>
          <w:szCs w:val="22"/>
          <w:lang w:val="es-ES_tradnl"/>
        </w:rPr>
        <w:t xml:space="preserve"> </w:t>
      </w:r>
      <w:r>
        <w:rPr>
          <w:snapToGrid w:val="0"/>
          <w:kern w:val="22"/>
          <w:szCs w:val="22"/>
          <w:lang w:val="es-ES_tradnl"/>
        </w:rPr>
        <w:t xml:space="preserve">la </w:t>
      </w:r>
      <w:r w:rsidR="00005AD5" w:rsidRPr="000E4865">
        <w:rPr>
          <w:snapToGrid w:val="0"/>
          <w:kern w:val="22"/>
          <w:szCs w:val="22"/>
          <w:lang w:val="es-ES_tradnl"/>
        </w:rPr>
        <w:t xml:space="preserve">extracción de agua de un acuífero o río en una fábrica, los ecosistemas que </w:t>
      </w:r>
      <w:r w:rsidR="00E247F1">
        <w:rPr>
          <w:snapToGrid w:val="0"/>
          <w:kern w:val="22"/>
          <w:szCs w:val="22"/>
          <w:lang w:val="es-ES_tradnl"/>
        </w:rPr>
        <w:t xml:space="preserve">obran de receptores de la </w:t>
      </w:r>
      <w:r w:rsidR="00005AD5" w:rsidRPr="000E4865">
        <w:rPr>
          <w:snapToGrid w:val="0"/>
          <w:kern w:val="22"/>
          <w:szCs w:val="22"/>
          <w:lang w:val="es-ES_tradnl"/>
        </w:rPr>
        <w:t>contaminación del aire, el agua y el suelo, como se mencionó anteriormente</w:t>
      </w:r>
      <w:r w:rsidR="00276B6C" w:rsidRPr="000E4865">
        <w:rPr>
          <w:snapToGrid w:val="0"/>
          <w:kern w:val="22"/>
          <w:szCs w:val="22"/>
          <w:lang w:val="es-ES_tradnl"/>
        </w:rPr>
        <w:t>.</w:t>
      </w:r>
      <w:r w:rsidR="009E09B7">
        <w:rPr>
          <w:snapToGrid w:val="0"/>
          <w:kern w:val="22"/>
          <w:szCs w:val="22"/>
          <w:lang w:val="es-ES_tradnl"/>
        </w:rPr>
        <w:t xml:space="preserve"> </w:t>
      </w:r>
      <w:r w:rsidR="00005AD5" w:rsidRPr="000E4865">
        <w:rPr>
          <w:snapToGrid w:val="0"/>
          <w:color w:val="000000" w:themeColor="text1"/>
          <w:kern w:val="22"/>
          <w:szCs w:val="22"/>
          <w:shd w:val="clear" w:color="auto" w:fill="FFFFFF"/>
          <w:lang w:val="es-ES_tradnl"/>
        </w:rPr>
        <w:t xml:space="preserve">Algunos fabricantes dependen del suministro de materias </w:t>
      </w:r>
      <w:r w:rsidR="00F96ED0">
        <w:rPr>
          <w:snapToGrid w:val="0"/>
          <w:color w:val="000000" w:themeColor="text1"/>
          <w:kern w:val="22"/>
          <w:szCs w:val="22"/>
          <w:shd w:val="clear" w:color="auto" w:fill="FFFFFF"/>
          <w:lang w:val="es-ES_tradnl"/>
        </w:rPr>
        <w:t xml:space="preserve">primas </w:t>
      </w:r>
      <w:r w:rsidR="00005AD5" w:rsidRPr="000E4865">
        <w:rPr>
          <w:snapToGrid w:val="0"/>
          <w:color w:val="000000" w:themeColor="text1"/>
          <w:kern w:val="22"/>
          <w:szCs w:val="22"/>
          <w:shd w:val="clear" w:color="auto" w:fill="FFFFFF"/>
          <w:lang w:val="es-ES_tradnl"/>
        </w:rPr>
        <w:t xml:space="preserve">renovables biológicas </w:t>
      </w:r>
      <w:r w:rsidR="00CD5127">
        <w:rPr>
          <w:snapToGrid w:val="0"/>
          <w:color w:val="000000" w:themeColor="text1"/>
          <w:kern w:val="22"/>
          <w:szCs w:val="22"/>
          <w:shd w:val="clear" w:color="auto" w:fill="FFFFFF"/>
          <w:lang w:val="es-ES_tradnl"/>
        </w:rPr>
        <w:t xml:space="preserve">ya sea </w:t>
      </w:r>
      <w:r w:rsidR="00005AD5" w:rsidRPr="000E4865">
        <w:rPr>
          <w:snapToGrid w:val="0"/>
          <w:color w:val="000000" w:themeColor="text1"/>
          <w:kern w:val="22"/>
          <w:szCs w:val="22"/>
          <w:shd w:val="clear" w:color="auto" w:fill="FFFFFF"/>
          <w:lang w:val="es-ES_tradnl"/>
        </w:rPr>
        <w:t xml:space="preserve">primas o transformadas </w:t>
      </w:r>
      <w:r w:rsidR="00276B6C" w:rsidRPr="000E4865">
        <w:rPr>
          <w:snapToGrid w:val="0"/>
          <w:color w:val="000000" w:themeColor="text1"/>
          <w:kern w:val="22"/>
          <w:szCs w:val="22"/>
          <w:shd w:val="clear" w:color="auto" w:fill="FFFFFF"/>
          <w:lang w:val="es-ES_tradnl"/>
        </w:rPr>
        <w:t>(</w:t>
      </w:r>
      <w:r w:rsidR="00005AD5" w:rsidRPr="000E4865">
        <w:rPr>
          <w:snapToGrid w:val="0"/>
          <w:color w:val="000000" w:themeColor="text1"/>
          <w:kern w:val="22"/>
          <w:szCs w:val="22"/>
          <w:shd w:val="clear" w:color="auto" w:fill="FFFFFF"/>
          <w:lang w:val="es-ES_tradnl"/>
        </w:rPr>
        <w:t>p. ej.</w:t>
      </w:r>
      <w:r w:rsidR="00276B6C" w:rsidRPr="000E4865">
        <w:rPr>
          <w:snapToGrid w:val="0"/>
          <w:color w:val="000000" w:themeColor="text1"/>
          <w:kern w:val="22"/>
          <w:szCs w:val="22"/>
          <w:shd w:val="clear" w:color="auto" w:fill="FFFFFF"/>
          <w:lang w:val="es-ES_tradnl"/>
        </w:rPr>
        <w:t>, fibr</w:t>
      </w:r>
      <w:r w:rsidR="00005AD5" w:rsidRPr="000E4865">
        <w:rPr>
          <w:snapToGrid w:val="0"/>
          <w:color w:val="000000" w:themeColor="text1"/>
          <w:kern w:val="22"/>
          <w:szCs w:val="22"/>
          <w:shd w:val="clear" w:color="auto" w:fill="FFFFFF"/>
          <w:lang w:val="es-ES_tradnl"/>
        </w:rPr>
        <w:t>as, alimentos</w:t>
      </w:r>
      <w:r w:rsidR="00276B6C" w:rsidRPr="000E4865">
        <w:rPr>
          <w:snapToGrid w:val="0"/>
          <w:color w:val="000000" w:themeColor="text1"/>
          <w:kern w:val="22"/>
          <w:szCs w:val="22"/>
          <w:shd w:val="clear" w:color="auto" w:fill="FFFFFF"/>
          <w:lang w:val="es-ES_tradnl"/>
        </w:rPr>
        <w:t>)</w:t>
      </w:r>
      <w:r w:rsidR="00005AD5" w:rsidRPr="000E4865">
        <w:rPr>
          <w:snapToGrid w:val="0"/>
          <w:color w:val="000000" w:themeColor="text1"/>
          <w:kern w:val="22"/>
          <w:szCs w:val="22"/>
          <w:shd w:val="clear" w:color="auto" w:fill="FFFFFF"/>
          <w:lang w:val="es-ES_tradnl"/>
        </w:rPr>
        <w:t xml:space="preserve">, en tanto que otros usan recursos genéticos y conocimientos tradicionales conexos, incluidos </w:t>
      </w:r>
      <w:r w:rsidR="00B5394A">
        <w:rPr>
          <w:snapToGrid w:val="0"/>
          <w:color w:val="000000" w:themeColor="text1"/>
          <w:kern w:val="22"/>
          <w:szCs w:val="22"/>
          <w:shd w:val="clear" w:color="auto" w:fill="FFFFFF"/>
          <w:lang w:val="es-ES_tradnl"/>
        </w:rPr>
        <w:t xml:space="preserve">el </w:t>
      </w:r>
      <w:r w:rsidR="00005AD5" w:rsidRPr="000E4865">
        <w:rPr>
          <w:snapToGrid w:val="0"/>
          <w:color w:val="000000" w:themeColor="text1"/>
          <w:kern w:val="22"/>
          <w:szCs w:val="22"/>
          <w:shd w:val="clear" w:color="auto" w:fill="FFFFFF"/>
          <w:lang w:val="es-ES_tradnl"/>
        </w:rPr>
        <w:t xml:space="preserve">sector farmacéutico, agrícola, </w:t>
      </w:r>
      <w:r w:rsidR="00B5394A">
        <w:rPr>
          <w:snapToGrid w:val="0"/>
          <w:color w:val="000000" w:themeColor="text1"/>
          <w:kern w:val="22"/>
          <w:szCs w:val="22"/>
          <w:shd w:val="clear" w:color="auto" w:fill="FFFFFF"/>
          <w:lang w:val="es-ES_tradnl"/>
        </w:rPr>
        <w:t xml:space="preserve">biotecnológico </w:t>
      </w:r>
      <w:r w:rsidR="00005AD5" w:rsidRPr="000E4865">
        <w:rPr>
          <w:snapToGrid w:val="0"/>
          <w:color w:val="000000" w:themeColor="text1"/>
          <w:kern w:val="22"/>
          <w:szCs w:val="22"/>
          <w:shd w:val="clear" w:color="auto" w:fill="FFFFFF"/>
          <w:lang w:val="es-ES_tradnl"/>
        </w:rPr>
        <w:t>industrial, cosméticos, botánicos, alimentario y de las bebidas</w:t>
      </w:r>
      <w:r w:rsidR="00276B6C" w:rsidRPr="000E4865">
        <w:rPr>
          <w:snapToGrid w:val="0"/>
          <w:color w:val="000000" w:themeColor="text1"/>
          <w:kern w:val="22"/>
          <w:szCs w:val="22"/>
          <w:shd w:val="clear" w:color="auto" w:fill="FFFFFF"/>
          <w:vertAlign w:val="superscript"/>
          <w:lang w:val="es-ES_tradnl"/>
        </w:rPr>
        <w:footnoteReference w:id="16"/>
      </w:r>
      <w:r w:rsidR="00005AD5" w:rsidRPr="000E4865">
        <w:rPr>
          <w:snapToGrid w:val="0"/>
          <w:color w:val="000000" w:themeColor="text1"/>
          <w:kern w:val="22"/>
          <w:szCs w:val="22"/>
          <w:shd w:val="clear" w:color="auto" w:fill="FFFFFF"/>
          <w:lang w:val="es-ES_tradnl"/>
        </w:rPr>
        <w:t>.</w:t>
      </w:r>
      <w:r w:rsidR="00276B6C" w:rsidRPr="000E4865">
        <w:rPr>
          <w:snapToGrid w:val="0"/>
          <w:kern w:val="22"/>
          <w:szCs w:val="22"/>
          <w:lang w:val="es-ES_tradnl"/>
        </w:rPr>
        <w:t xml:space="preserve"> </w:t>
      </w:r>
      <w:r w:rsidR="00005AD5" w:rsidRPr="000E4865">
        <w:rPr>
          <w:snapToGrid w:val="0"/>
          <w:kern w:val="22"/>
          <w:szCs w:val="22"/>
          <w:lang w:val="es-ES_tradnl"/>
        </w:rPr>
        <w:t>Dichas dependencias de los ecosistemas pueden ser diversas y complejas, supeditadas al tipo de materia prima extraíd</w:t>
      </w:r>
      <w:r>
        <w:rPr>
          <w:snapToGrid w:val="0"/>
          <w:kern w:val="22"/>
          <w:szCs w:val="22"/>
          <w:lang w:val="es-ES_tradnl"/>
        </w:rPr>
        <w:t>a</w:t>
      </w:r>
      <w:r w:rsidR="00005AD5" w:rsidRPr="000E4865">
        <w:rPr>
          <w:snapToGrid w:val="0"/>
          <w:kern w:val="22"/>
          <w:szCs w:val="22"/>
          <w:lang w:val="es-ES_tradnl"/>
        </w:rPr>
        <w:t xml:space="preserve"> o produci</w:t>
      </w:r>
      <w:r w:rsidR="007A3269" w:rsidRPr="000E4865">
        <w:rPr>
          <w:snapToGrid w:val="0"/>
          <w:kern w:val="22"/>
          <w:szCs w:val="22"/>
          <w:lang w:val="es-ES_tradnl"/>
        </w:rPr>
        <w:t>d</w:t>
      </w:r>
      <w:r>
        <w:rPr>
          <w:snapToGrid w:val="0"/>
          <w:kern w:val="22"/>
          <w:szCs w:val="22"/>
          <w:lang w:val="es-ES_tradnl"/>
        </w:rPr>
        <w:t>a</w:t>
      </w:r>
      <w:r w:rsidR="00005AD5" w:rsidRPr="000E4865">
        <w:rPr>
          <w:snapToGrid w:val="0"/>
          <w:kern w:val="22"/>
          <w:szCs w:val="22"/>
          <w:lang w:val="es-ES_tradnl"/>
        </w:rPr>
        <w:t xml:space="preserve"> para </w:t>
      </w:r>
      <w:r w:rsidR="00005AD5" w:rsidRPr="00B5394A">
        <w:rPr>
          <w:snapToGrid w:val="0"/>
          <w:kern w:val="22"/>
          <w:szCs w:val="22"/>
          <w:lang w:val="es-ES_tradnl"/>
        </w:rPr>
        <w:t xml:space="preserve">la transformación </w:t>
      </w:r>
      <w:r w:rsidR="00562C1F">
        <w:rPr>
          <w:snapToGrid w:val="0"/>
          <w:kern w:val="22"/>
          <w:szCs w:val="22"/>
          <w:lang w:val="es-ES_tradnl"/>
        </w:rPr>
        <w:t xml:space="preserve">industrial </w:t>
      </w:r>
      <w:r w:rsidR="007A3269" w:rsidRPr="00B5394A">
        <w:rPr>
          <w:snapToGrid w:val="0"/>
          <w:kern w:val="22"/>
          <w:szCs w:val="22"/>
          <w:lang w:val="es-ES_tradnl"/>
        </w:rPr>
        <w:t>por</w:t>
      </w:r>
      <w:r w:rsidR="007A3269" w:rsidRPr="000E4865">
        <w:rPr>
          <w:snapToGrid w:val="0"/>
          <w:kern w:val="22"/>
          <w:szCs w:val="22"/>
          <w:lang w:val="es-ES_tradnl"/>
        </w:rPr>
        <w:t xml:space="preserve"> </w:t>
      </w:r>
      <w:r w:rsidR="00562C1F">
        <w:rPr>
          <w:snapToGrid w:val="0"/>
          <w:kern w:val="22"/>
          <w:szCs w:val="22"/>
          <w:lang w:val="es-ES_tradnl"/>
        </w:rPr>
        <w:t xml:space="preserve">parte de </w:t>
      </w:r>
      <w:r w:rsidR="007A3269" w:rsidRPr="000E4865">
        <w:rPr>
          <w:snapToGrid w:val="0"/>
          <w:kern w:val="22"/>
          <w:szCs w:val="22"/>
          <w:lang w:val="es-ES_tradnl"/>
        </w:rPr>
        <w:t>los extractores y productores de materias primas</w:t>
      </w:r>
      <w:r w:rsidR="00276B6C" w:rsidRPr="000E4865">
        <w:rPr>
          <w:snapToGrid w:val="0"/>
          <w:kern w:val="22"/>
          <w:szCs w:val="22"/>
          <w:lang w:val="es-ES_tradnl"/>
        </w:rPr>
        <w:t xml:space="preserve">. </w:t>
      </w:r>
      <w:r w:rsidR="007A3269" w:rsidRPr="000E4865">
        <w:rPr>
          <w:snapToGrid w:val="0"/>
          <w:kern w:val="22"/>
          <w:szCs w:val="22"/>
          <w:lang w:val="es-ES_tradnl"/>
        </w:rPr>
        <w:t>Para comprender enteramente dichas dependencias</w:t>
      </w:r>
      <w:r w:rsidR="00B5394A">
        <w:rPr>
          <w:snapToGrid w:val="0"/>
          <w:kern w:val="22"/>
          <w:szCs w:val="22"/>
          <w:lang w:val="es-ES_tradnl"/>
        </w:rPr>
        <w:t xml:space="preserve"> sería necesario </w:t>
      </w:r>
      <w:r w:rsidR="007A3269" w:rsidRPr="000E4865">
        <w:rPr>
          <w:snapToGrid w:val="0"/>
          <w:kern w:val="22"/>
          <w:szCs w:val="22"/>
          <w:lang w:val="es-ES_tradnl"/>
        </w:rPr>
        <w:t xml:space="preserve">estudiar las interacciones entre los extractores y </w:t>
      </w:r>
      <w:r w:rsidR="00B5394A">
        <w:rPr>
          <w:snapToGrid w:val="0"/>
          <w:kern w:val="22"/>
          <w:szCs w:val="22"/>
          <w:lang w:val="es-ES_tradnl"/>
        </w:rPr>
        <w:t xml:space="preserve">los </w:t>
      </w:r>
      <w:r w:rsidR="007A3269" w:rsidRPr="000E4865">
        <w:rPr>
          <w:snapToGrid w:val="0"/>
          <w:kern w:val="22"/>
          <w:szCs w:val="22"/>
          <w:lang w:val="es-ES_tradnl"/>
        </w:rPr>
        <w:t xml:space="preserve">productores de materias primas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7A3269" w:rsidRPr="000E4865">
        <w:rPr>
          <w:snapToGrid w:val="0"/>
          <w:kern w:val="22"/>
          <w:szCs w:val="22"/>
          <w:lang w:val="es-ES_tradnl"/>
        </w:rPr>
        <w:t>productores de cultivos, minería</w:t>
      </w:r>
      <w:r w:rsidR="00276B6C" w:rsidRPr="000E4865">
        <w:rPr>
          <w:snapToGrid w:val="0"/>
          <w:kern w:val="22"/>
          <w:szCs w:val="22"/>
          <w:lang w:val="es-ES_tradnl"/>
        </w:rPr>
        <w:t xml:space="preserve">) </w:t>
      </w:r>
      <w:r w:rsidR="007A3269" w:rsidRPr="000E4865">
        <w:rPr>
          <w:snapToGrid w:val="0"/>
          <w:kern w:val="22"/>
          <w:szCs w:val="22"/>
          <w:lang w:val="es-ES_tradnl"/>
        </w:rPr>
        <w:t>y los ecosistemas</w:t>
      </w:r>
      <w:r w:rsidR="00276B6C" w:rsidRPr="000E4865">
        <w:rPr>
          <w:snapToGrid w:val="0"/>
          <w:kern w:val="22"/>
          <w:szCs w:val="22"/>
          <w:lang w:val="es-ES_tradnl"/>
        </w:rPr>
        <w:t>.</w:t>
      </w:r>
    </w:p>
    <w:p w14:paraId="64106D2D" w14:textId="3115DB8A" w:rsidR="00276B6C" w:rsidRPr="000E4865" w:rsidRDefault="007A3269"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color w:val="000000" w:themeColor="text1"/>
          <w:kern w:val="22"/>
          <w:szCs w:val="22"/>
          <w:lang w:val="es-ES_tradnl"/>
        </w:rPr>
      </w:pPr>
      <w:r w:rsidRPr="000E4865">
        <w:rPr>
          <w:snapToGrid w:val="0"/>
          <w:kern w:val="22"/>
          <w:szCs w:val="22"/>
          <w:lang w:val="es-ES_tradnl"/>
        </w:rPr>
        <w:t xml:space="preserve">El carácter globalizado de las cadenas de suministro </w:t>
      </w:r>
      <w:r w:rsidR="00B5394A">
        <w:rPr>
          <w:snapToGrid w:val="0"/>
          <w:kern w:val="22"/>
          <w:szCs w:val="22"/>
          <w:lang w:val="es-ES_tradnl"/>
        </w:rPr>
        <w:t xml:space="preserve">relacionadas con </w:t>
      </w:r>
      <w:r w:rsidRPr="000E4865">
        <w:rPr>
          <w:snapToGrid w:val="0"/>
          <w:kern w:val="22"/>
          <w:szCs w:val="22"/>
          <w:lang w:val="es-ES_tradnl"/>
        </w:rPr>
        <w:t xml:space="preserve">la fabricación de </w:t>
      </w:r>
      <w:r w:rsidR="005D2034" w:rsidRPr="000E4865">
        <w:rPr>
          <w:snapToGrid w:val="0"/>
          <w:kern w:val="22"/>
          <w:szCs w:val="22"/>
          <w:lang w:val="es-ES_tradnl"/>
        </w:rPr>
        <w:t>productos</w:t>
      </w:r>
      <w:r w:rsidRPr="000E4865">
        <w:rPr>
          <w:snapToGrid w:val="0"/>
          <w:kern w:val="22"/>
          <w:szCs w:val="22"/>
          <w:lang w:val="es-ES_tradnl"/>
        </w:rPr>
        <w:t xml:space="preserve"> puede crear dificultades </w:t>
      </w:r>
      <w:r w:rsidR="00B5394A">
        <w:rPr>
          <w:snapToGrid w:val="0"/>
          <w:kern w:val="22"/>
          <w:szCs w:val="22"/>
          <w:lang w:val="es-ES_tradnl"/>
        </w:rPr>
        <w:t xml:space="preserve">a la hora de </w:t>
      </w:r>
      <w:r w:rsidRPr="000E4865">
        <w:rPr>
          <w:snapToGrid w:val="0"/>
          <w:kern w:val="22"/>
          <w:szCs w:val="22"/>
          <w:lang w:val="es-ES_tradnl"/>
        </w:rPr>
        <w:t>determinar qué servicios</w:t>
      </w:r>
      <w:r w:rsidR="00113F59">
        <w:rPr>
          <w:snapToGrid w:val="0"/>
          <w:kern w:val="22"/>
          <w:szCs w:val="22"/>
          <w:lang w:val="es-ES_tradnl"/>
        </w:rPr>
        <w:t xml:space="preserve"> ecosistémicos </w:t>
      </w:r>
      <w:r w:rsidRPr="000E4865">
        <w:rPr>
          <w:snapToGrid w:val="0"/>
          <w:kern w:val="22"/>
          <w:szCs w:val="22"/>
          <w:lang w:val="es-ES_tradnl"/>
        </w:rPr>
        <w:t>son más importantes para fabricantes</w:t>
      </w:r>
      <w:r w:rsidR="00403C69">
        <w:rPr>
          <w:snapToGrid w:val="0"/>
          <w:kern w:val="22"/>
          <w:szCs w:val="22"/>
          <w:lang w:val="es-ES_tradnl"/>
        </w:rPr>
        <w:t xml:space="preserve"> específicos,</w:t>
      </w:r>
      <w:r w:rsidRPr="000E4865">
        <w:rPr>
          <w:snapToGrid w:val="0"/>
          <w:kern w:val="22"/>
          <w:szCs w:val="22"/>
          <w:lang w:val="es-ES_tradnl"/>
        </w:rPr>
        <w:t xml:space="preserve"> especialmente cuando una empresa conoce muy poco </w:t>
      </w:r>
      <w:r w:rsidR="00975577">
        <w:rPr>
          <w:snapToGrid w:val="0"/>
          <w:kern w:val="22"/>
          <w:szCs w:val="22"/>
          <w:lang w:val="es-ES_tradnl"/>
        </w:rPr>
        <w:t xml:space="preserve">de </w:t>
      </w:r>
      <w:r w:rsidRPr="000E4865">
        <w:rPr>
          <w:snapToGrid w:val="0"/>
          <w:kern w:val="22"/>
          <w:szCs w:val="22"/>
          <w:lang w:val="es-ES_tradnl"/>
        </w:rPr>
        <w:t xml:space="preserve">las actividades de sus proveedores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Pr="000E4865">
        <w:rPr>
          <w:snapToGrid w:val="0"/>
          <w:kern w:val="22"/>
          <w:szCs w:val="22"/>
          <w:lang w:val="es-ES_tradnl"/>
        </w:rPr>
        <w:t>insumos materiales comparados de mayoristas en mercados mundiales</w:t>
      </w:r>
      <w:r w:rsidR="00276B6C" w:rsidRPr="000E4865">
        <w:rPr>
          <w:snapToGrid w:val="0"/>
          <w:kern w:val="22"/>
          <w:szCs w:val="22"/>
          <w:lang w:val="es-ES_tradnl"/>
        </w:rPr>
        <w:t xml:space="preserve">), </w:t>
      </w:r>
      <w:r w:rsidRPr="000E4865">
        <w:rPr>
          <w:snapToGrid w:val="0"/>
          <w:kern w:val="22"/>
          <w:szCs w:val="22"/>
          <w:lang w:val="es-ES_tradnl"/>
        </w:rPr>
        <w:t>y cu</w:t>
      </w:r>
      <w:r w:rsidR="00403C69">
        <w:rPr>
          <w:snapToGrid w:val="0"/>
          <w:kern w:val="22"/>
          <w:szCs w:val="22"/>
          <w:lang w:val="es-ES_tradnl"/>
        </w:rPr>
        <w:t>a</w:t>
      </w:r>
      <w:r w:rsidRPr="000E4865">
        <w:rPr>
          <w:snapToGrid w:val="0"/>
          <w:kern w:val="22"/>
          <w:szCs w:val="22"/>
          <w:lang w:val="es-ES_tradnl"/>
        </w:rPr>
        <w:t>ndo dichas dependencias de dichos servicios son indirectas</w:t>
      </w:r>
      <w:r w:rsidR="00276B6C" w:rsidRPr="000E4865">
        <w:rPr>
          <w:snapToGrid w:val="0"/>
          <w:kern w:val="22"/>
          <w:szCs w:val="22"/>
          <w:lang w:val="es-ES_tradnl"/>
        </w:rPr>
        <w:t xml:space="preserve">. </w:t>
      </w:r>
      <w:r w:rsidRPr="000E4865">
        <w:rPr>
          <w:snapToGrid w:val="0"/>
          <w:kern w:val="22"/>
          <w:szCs w:val="22"/>
          <w:lang w:val="es-ES_tradnl"/>
        </w:rPr>
        <w:t xml:space="preserve">Aun así, las dependencias de la diversidad biológica y de los servicios </w:t>
      </w:r>
      <w:r w:rsidR="00403C69">
        <w:rPr>
          <w:snapToGrid w:val="0"/>
          <w:kern w:val="22"/>
          <w:szCs w:val="22"/>
          <w:lang w:val="es-ES_tradnl"/>
        </w:rPr>
        <w:t xml:space="preserve">ecosistémicos </w:t>
      </w:r>
      <w:r w:rsidRPr="000E4865">
        <w:rPr>
          <w:snapToGrid w:val="0"/>
          <w:kern w:val="22"/>
          <w:szCs w:val="22"/>
          <w:lang w:val="es-ES_tradnl"/>
        </w:rPr>
        <w:t xml:space="preserve">pueden convertirse en </w:t>
      </w:r>
      <w:r w:rsidR="00403C69">
        <w:rPr>
          <w:snapToGrid w:val="0"/>
          <w:kern w:val="22"/>
          <w:szCs w:val="22"/>
          <w:lang w:val="es-ES_tradnl"/>
        </w:rPr>
        <w:t xml:space="preserve">cuestiones </w:t>
      </w:r>
      <w:r w:rsidRPr="000E4865">
        <w:rPr>
          <w:snapToGrid w:val="0"/>
          <w:kern w:val="22"/>
          <w:szCs w:val="22"/>
          <w:lang w:val="es-ES_tradnl"/>
        </w:rPr>
        <w:t>empresariales estratégic</w:t>
      </w:r>
      <w:r w:rsidR="00403C69">
        <w:rPr>
          <w:snapToGrid w:val="0"/>
          <w:kern w:val="22"/>
          <w:szCs w:val="22"/>
          <w:lang w:val="es-ES_tradnl"/>
        </w:rPr>
        <w:t>a</w:t>
      </w:r>
      <w:r w:rsidRPr="000E4865">
        <w:rPr>
          <w:snapToGrid w:val="0"/>
          <w:kern w:val="22"/>
          <w:szCs w:val="22"/>
          <w:lang w:val="es-ES_tradnl"/>
        </w:rPr>
        <w:t>s para muchas industrias manufactureras</w:t>
      </w:r>
      <w:r w:rsidR="00276B6C" w:rsidRPr="000E4865">
        <w:rPr>
          <w:snapToGrid w:val="0"/>
          <w:kern w:val="22"/>
          <w:szCs w:val="22"/>
          <w:lang w:val="es-ES_tradnl"/>
        </w:rPr>
        <w:t xml:space="preserve">. </w:t>
      </w:r>
      <w:r w:rsidRPr="000E4865">
        <w:rPr>
          <w:snapToGrid w:val="0"/>
          <w:kern w:val="22"/>
          <w:szCs w:val="22"/>
          <w:lang w:val="es-ES_tradnl"/>
        </w:rPr>
        <w:t>Las industrias manufactureras que dependen en gran medida</w:t>
      </w:r>
      <w:r w:rsidR="005D2034" w:rsidRPr="000E4865">
        <w:rPr>
          <w:snapToGrid w:val="0"/>
          <w:kern w:val="22"/>
          <w:szCs w:val="22"/>
          <w:lang w:val="es-ES_tradnl"/>
        </w:rPr>
        <w:t xml:space="preserve"> </w:t>
      </w:r>
      <w:r w:rsidR="00403C69">
        <w:rPr>
          <w:snapToGrid w:val="0"/>
          <w:kern w:val="22"/>
          <w:szCs w:val="22"/>
          <w:lang w:val="es-ES_tradnl"/>
        </w:rPr>
        <w:t xml:space="preserve">de los </w:t>
      </w:r>
      <w:r w:rsidR="00403C69" w:rsidRPr="006D4C4B">
        <w:rPr>
          <w:snapToGrid w:val="0"/>
          <w:color w:val="000000" w:themeColor="text1"/>
          <w:kern w:val="22"/>
          <w:szCs w:val="22"/>
          <w:shd w:val="clear" w:color="auto" w:fill="FFFFFF"/>
          <w:lang w:val="es-ES"/>
        </w:rPr>
        <w:t>servicios ecosistémicos de abastecimiento</w:t>
      </w:r>
      <w:r w:rsidR="00403C69" w:rsidRPr="000E4865">
        <w:rPr>
          <w:snapToGrid w:val="0"/>
          <w:kern w:val="22"/>
          <w:szCs w:val="22"/>
          <w:lang w:val="es-ES_tradnl"/>
        </w:rPr>
        <w:t xml:space="preserve">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5D2034" w:rsidRPr="000E4865">
        <w:rPr>
          <w:snapToGrid w:val="0"/>
          <w:kern w:val="22"/>
          <w:szCs w:val="22"/>
          <w:lang w:val="es-ES_tradnl"/>
        </w:rPr>
        <w:t xml:space="preserve">alimentos y bebidas, </w:t>
      </w:r>
      <w:r w:rsidR="00276B6C" w:rsidRPr="000E4865">
        <w:rPr>
          <w:snapToGrid w:val="0"/>
          <w:kern w:val="22"/>
          <w:szCs w:val="22"/>
          <w:lang w:val="es-ES_tradnl"/>
        </w:rPr>
        <w:t xml:space="preserve">textiles) </w:t>
      </w:r>
      <w:r w:rsidR="00403C69">
        <w:rPr>
          <w:snapToGrid w:val="0"/>
          <w:kern w:val="22"/>
          <w:szCs w:val="22"/>
          <w:lang w:val="es-ES_tradnl"/>
        </w:rPr>
        <w:t xml:space="preserve">tienen más probabilidad de sufrir </w:t>
      </w:r>
      <w:r w:rsidR="005D2034" w:rsidRPr="000E4865">
        <w:rPr>
          <w:snapToGrid w:val="0"/>
          <w:kern w:val="22"/>
          <w:szCs w:val="22"/>
          <w:lang w:val="es-ES_tradnl"/>
        </w:rPr>
        <w:t xml:space="preserve">en primer lugar de </w:t>
      </w:r>
      <w:r w:rsidR="00403C69">
        <w:rPr>
          <w:snapToGrid w:val="0"/>
          <w:kern w:val="22"/>
          <w:szCs w:val="22"/>
          <w:lang w:val="es-ES_tradnl"/>
        </w:rPr>
        <w:t xml:space="preserve">una </w:t>
      </w:r>
      <w:r w:rsidR="005D2034" w:rsidRPr="000E4865">
        <w:rPr>
          <w:snapToGrid w:val="0"/>
          <w:kern w:val="22"/>
          <w:szCs w:val="22"/>
          <w:lang w:val="es-ES_tradnl"/>
        </w:rPr>
        <w:t>creciente escasez de recursos</w:t>
      </w:r>
      <w:r w:rsidR="00403C69">
        <w:rPr>
          <w:snapToGrid w:val="0"/>
          <w:kern w:val="22"/>
          <w:szCs w:val="22"/>
          <w:lang w:val="es-ES_tradnl"/>
        </w:rPr>
        <w:t xml:space="preserve"> cualquiera</w:t>
      </w:r>
      <w:r w:rsidR="00276B6C" w:rsidRPr="000E4865">
        <w:rPr>
          <w:snapToGrid w:val="0"/>
          <w:kern w:val="22"/>
          <w:szCs w:val="22"/>
          <w:lang w:val="es-ES_tradnl"/>
        </w:rPr>
        <w:t xml:space="preserve">, </w:t>
      </w:r>
      <w:r w:rsidR="00EA6B6C">
        <w:rPr>
          <w:snapToGrid w:val="0"/>
          <w:kern w:val="22"/>
          <w:szCs w:val="22"/>
          <w:lang w:val="es-ES_tradnl"/>
        </w:rPr>
        <w:t xml:space="preserve">mientras </w:t>
      </w:r>
      <w:r w:rsidR="005D2034" w:rsidRPr="000E4865">
        <w:rPr>
          <w:snapToGrid w:val="0"/>
          <w:kern w:val="22"/>
          <w:szCs w:val="22"/>
          <w:lang w:val="es-ES_tradnl"/>
        </w:rPr>
        <w:t xml:space="preserve">que las industrias de alta tecnología dependen más de productos intermedios </w:t>
      </w:r>
      <w:r w:rsidR="00EA6B6C">
        <w:rPr>
          <w:snapToGrid w:val="0"/>
          <w:kern w:val="22"/>
          <w:szCs w:val="22"/>
          <w:lang w:val="es-ES_tradnl"/>
        </w:rPr>
        <w:t xml:space="preserve">con </w:t>
      </w:r>
      <w:r w:rsidR="005D2034" w:rsidRPr="000E4865">
        <w:rPr>
          <w:snapToGrid w:val="0"/>
          <w:kern w:val="22"/>
          <w:szCs w:val="22"/>
          <w:lang w:val="es-ES_tradnl"/>
        </w:rPr>
        <w:t>cadenas de suministro más complejas</w:t>
      </w:r>
      <w:r w:rsidR="00276B6C" w:rsidRPr="000E4865">
        <w:rPr>
          <w:snapToGrid w:val="0"/>
          <w:kern w:val="22"/>
          <w:szCs w:val="22"/>
          <w:lang w:val="es-ES_tradnl"/>
        </w:rPr>
        <w:t xml:space="preserve">. </w:t>
      </w:r>
      <w:r w:rsidR="005D2034" w:rsidRPr="000E4865">
        <w:rPr>
          <w:snapToGrid w:val="0"/>
          <w:kern w:val="22"/>
          <w:szCs w:val="22"/>
          <w:lang w:val="es-ES_tradnl"/>
        </w:rPr>
        <w:t xml:space="preserve">Por ejemplo, asegurar </w:t>
      </w:r>
      <w:r w:rsidR="00403C69">
        <w:rPr>
          <w:snapToGrid w:val="0"/>
          <w:kern w:val="22"/>
          <w:szCs w:val="22"/>
          <w:lang w:val="es-ES_tradnl"/>
        </w:rPr>
        <w:t xml:space="preserve">que las </w:t>
      </w:r>
      <w:r w:rsidR="005D2034" w:rsidRPr="000E4865">
        <w:rPr>
          <w:snapToGrid w:val="0"/>
          <w:kern w:val="22"/>
          <w:szCs w:val="22"/>
          <w:lang w:val="es-ES_tradnl"/>
        </w:rPr>
        <w:t xml:space="preserve">cadenas de suministros </w:t>
      </w:r>
      <w:r w:rsidR="00403C69">
        <w:rPr>
          <w:snapToGrid w:val="0"/>
          <w:kern w:val="22"/>
          <w:szCs w:val="22"/>
          <w:lang w:val="es-ES_tradnl"/>
        </w:rPr>
        <w:t xml:space="preserve">sean </w:t>
      </w:r>
      <w:r w:rsidR="005D2034" w:rsidRPr="000E4865">
        <w:rPr>
          <w:snapToGrid w:val="0"/>
          <w:kern w:val="22"/>
          <w:szCs w:val="22"/>
          <w:lang w:val="es-ES_tradnl"/>
        </w:rPr>
        <w:t xml:space="preserve">sostenibles </w:t>
      </w:r>
      <w:r w:rsidR="0078276E" w:rsidRPr="000E4865">
        <w:rPr>
          <w:snapToGrid w:val="0"/>
          <w:kern w:val="22"/>
          <w:szCs w:val="22"/>
          <w:lang w:val="es-ES_tradnl"/>
        </w:rPr>
        <w:t>—</w:t>
      </w:r>
      <w:r w:rsidR="005D2034" w:rsidRPr="000E4865">
        <w:rPr>
          <w:snapToGrid w:val="0"/>
          <w:kern w:val="22"/>
          <w:szCs w:val="22"/>
          <w:lang w:val="es-ES_tradnl"/>
        </w:rPr>
        <w:t>debido a las preocupaciones o necesidades de minoristas y consumidores</w:t>
      </w:r>
      <w:r w:rsidR="0078276E" w:rsidRPr="000E4865">
        <w:rPr>
          <w:snapToGrid w:val="0"/>
          <w:kern w:val="22"/>
          <w:szCs w:val="22"/>
          <w:lang w:val="es-ES_tradnl"/>
        </w:rPr>
        <w:t>—</w:t>
      </w:r>
      <w:r w:rsidR="005D2034" w:rsidRPr="000E4865">
        <w:rPr>
          <w:snapToGrid w:val="0"/>
          <w:kern w:val="22"/>
          <w:szCs w:val="22"/>
          <w:lang w:val="es-ES_tradnl"/>
        </w:rPr>
        <w:t xml:space="preserve"> se</w:t>
      </w:r>
      <w:r w:rsidR="00276B6C" w:rsidRPr="000E4865">
        <w:rPr>
          <w:snapToGrid w:val="0"/>
          <w:kern w:val="22"/>
          <w:szCs w:val="22"/>
          <w:lang w:val="es-ES_tradnl"/>
        </w:rPr>
        <w:t xml:space="preserve"> </w:t>
      </w:r>
      <w:r w:rsidR="005D2034" w:rsidRPr="000E4865">
        <w:rPr>
          <w:snapToGrid w:val="0"/>
          <w:kern w:val="22"/>
          <w:szCs w:val="22"/>
          <w:lang w:val="es-ES_tradnl"/>
        </w:rPr>
        <w:t xml:space="preserve">ha convertido en una cuestión esencial para muchos fabricantes de textiles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5D2034" w:rsidRPr="000E4865">
        <w:rPr>
          <w:snapToGrid w:val="0"/>
          <w:kern w:val="22"/>
          <w:szCs w:val="22"/>
          <w:lang w:val="es-ES_tradnl"/>
        </w:rPr>
        <w:t xml:space="preserve">asegurar el suministro de </w:t>
      </w:r>
      <w:r w:rsidR="00D22479">
        <w:rPr>
          <w:snapToGrid w:val="0"/>
          <w:kern w:val="22"/>
          <w:szCs w:val="22"/>
          <w:lang w:val="es-ES_tradnl"/>
        </w:rPr>
        <w:t xml:space="preserve">determinadas </w:t>
      </w:r>
      <w:r w:rsidR="005D2034" w:rsidRPr="000E4865">
        <w:rPr>
          <w:snapToGrid w:val="0"/>
          <w:kern w:val="22"/>
          <w:szCs w:val="22"/>
          <w:lang w:val="es-ES_tradnl"/>
        </w:rPr>
        <w:t>pieles para la fabricación de artículos de cuero de lujo</w:t>
      </w:r>
      <w:r w:rsidR="00276B6C" w:rsidRPr="000E4865">
        <w:rPr>
          <w:snapToGrid w:val="0"/>
          <w:kern w:val="22"/>
          <w:szCs w:val="22"/>
          <w:lang w:val="es-ES_tradnl"/>
        </w:rPr>
        <w:t>), cosm</w:t>
      </w:r>
      <w:r w:rsidR="005D2034" w:rsidRPr="000E4865">
        <w:rPr>
          <w:snapToGrid w:val="0"/>
          <w:kern w:val="22"/>
          <w:szCs w:val="22"/>
          <w:lang w:val="es-ES_tradnl"/>
        </w:rPr>
        <w:t>éticos</w:t>
      </w:r>
      <w:r w:rsidR="00276B6C" w:rsidRPr="000E4865">
        <w:rPr>
          <w:snapToGrid w:val="0"/>
          <w:kern w:val="22"/>
          <w:szCs w:val="22"/>
          <w:lang w:val="es-ES_tradnl"/>
        </w:rPr>
        <w:t xml:space="preserve"> (</w:t>
      </w:r>
      <w:r w:rsidR="00005AD5" w:rsidRPr="000E4865">
        <w:rPr>
          <w:snapToGrid w:val="0"/>
          <w:kern w:val="22"/>
          <w:szCs w:val="22"/>
          <w:lang w:val="es-ES_tradnl"/>
        </w:rPr>
        <w:t>p. ej.</w:t>
      </w:r>
      <w:r w:rsidR="00276B6C" w:rsidRPr="000E4865">
        <w:rPr>
          <w:snapToGrid w:val="0"/>
          <w:kern w:val="22"/>
          <w:szCs w:val="22"/>
          <w:lang w:val="es-ES_tradnl"/>
        </w:rPr>
        <w:t xml:space="preserve">, </w:t>
      </w:r>
      <w:r w:rsidR="005D2034" w:rsidRPr="000E4865">
        <w:rPr>
          <w:snapToGrid w:val="0"/>
          <w:kern w:val="22"/>
          <w:szCs w:val="22"/>
          <w:lang w:val="es-ES_tradnl"/>
        </w:rPr>
        <w:t xml:space="preserve">asegurar el suministro de </w:t>
      </w:r>
      <w:r w:rsidR="00D22479">
        <w:rPr>
          <w:snapToGrid w:val="0"/>
          <w:kern w:val="22"/>
          <w:szCs w:val="22"/>
          <w:lang w:val="es-ES_tradnl"/>
        </w:rPr>
        <w:t xml:space="preserve">determinadas </w:t>
      </w:r>
      <w:r w:rsidR="005D2034" w:rsidRPr="000E4865">
        <w:rPr>
          <w:snapToGrid w:val="0"/>
          <w:kern w:val="22"/>
          <w:szCs w:val="22"/>
          <w:lang w:val="es-ES_tradnl"/>
        </w:rPr>
        <w:t>materi</w:t>
      </w:r>
      <w:r w:rsidR="00D22479">
        <w:rPr>
          <w:snapToGrid w:val="0"/>
          <w:kern w:val="22"/>
          <w:szCs w:val="22"/>
          <w:lang w:val="es-ES_tradnl"/>
        </w:rPr>
        <w:t xml:space="preserve">as </w:t>
      </w:r>
      <w:r w:rsidR="005D2034" w:rsidRPr="000E4865">
        <w:rPr>
          <w:snapToGrid w:val="0"/>
          <w:kern w:val="22"/>
          <w:szCs w:val="22"/>
          <w:lang w:val="es-ES_tradnl"/>
        </w:rPr>
        <w:t>vegetales</w:t>
      </w:r>
      <w:r w:rsidR="00276B6C" w:rsidRPr="000E4865">
        <w:rPr>
          <w:snapToGrid w:val="0"/>
          <w:kern w:val="22"/>
          <w:szCs w:val="22"/>
          <w:lang w:val="es-ES_tradnl"/>
        </w:rPr>
        <w:t xml:space="preserve">), </w:t>
      </w:r>
      <w:r w:rsidR="005D2034" w:rsidRPr="000E4865">
        <w:rPr>
          <w:snapToGrid w:val="0"/>
          <w:kern w:val="22"/>
          <w:szCs w:val="22"/>
          <w:lang w:val="es-ES_tradnl"/>
        </w:rPr>
        <w:t xml:space="preserve">alimentos </w:t>
      </w:r>
      <w:r w:rsidR="00276B6C" w:rsidRPr="000E4865">
        <w:rPr>
          <w:snapToGrid w:val="0"/>
          <w:kern w:val="22"/>
          <w:szCs w:val="22"/>
          <w:lang w:val="es-ES_tradnl"/>
        </w:rPr>
        <w:t>(</w:t>
      </w:r>
      <w:r w:rsidR="00005AD5" w:rsidRPr="000E4865">
        <w:rPr>
          <w:snapToGrid w:val="0"/>
          <w:kern w:val="22"/>
          <w:szCs w:val="22"/>
          <w:lang w:val="es-ES_tradnl"/>
        </w:rPr>
        <w:t>p.</w:t>
      </w:r>
      <w:r w:rsidR="00C144E3" w:rsidRPr="000E4865">
        <w:rPr>
          <w:snapToGrid w:val="0"/>
          <w:kern w:val="22"/>
          <w:szCs w:val="22"/>
          <w:lang w:val="es-ES_tradnl"/>
        </w:rPr>
        <w:t xml:space="preserve"> </w:t>
      </w:r>
      <w:r w:rsidR="00005AD5" w:rsidRPr="000E4865">
        <w:rPr>
          <w:snapToGrid w:val="0"/>
          <w:kern w:val="22"/>
          <w:szCs w:val="22"/>
          <w:lang w:val="es-ES_tradnl"/>
        </w:rPr>
        <w:t>ej.</w:t>
      </w:r>
      <w:r w:rsidR="00276B6C" w:rsidRPr="000E4865">
        <w:rPr>
          <w:snapToGrid w:val="0"/>
          <w:kern w:val="22"/>
          <w:szCs w:val="22"/>
          <w:lang w:val="es-ES_tradnl"/>
        </w:rPr>
        <w:t xml:space="preserve">, </w:t>
      </w:r>
      <w:r w:rsidR="005D2034" w:rsidRPr="000E4865">
        <w:rPr>
          <w:snapToGrid w:val="0"/>
          <w:kern w:val="22"/>
          <w:szCs w:val="22"/>
          <w:lang w:val="es-ES_tradnl"/>
        </w:rPr>
        <w:t xml:space="preserve">asegurar </w:t>
      </w:r>
      <w:r w:rsidR="00756FF3" w:rsidRPr="000E4865">
        <w:rPr>
          <w:snapToGrid w:val="0"/>
          <w:kern w:val="22"/>
          <w:szCs w:val="22"/>
          <w:lang w:val="es-ES_tradnl"/>
        </w:rPr>
        <w:t xml:space="preserve">la producción </w:t>
      </w:r>
      <w:r w:rsidR="00756FF3" w:rsidRPr="000E4865">
        <w:rPr>
          <w:snapToGrid w:val="0"/>
          <w:kern w:val="22"/>
          <w:szCs w:val="22"/>
          <w:lang w:val="es-ES_tradnl"/>
        </w:rPr>
        <w:lastRenderedPageBreak/>
        <w:t xml:space="preserve">de </w:t>
      </w:r>
      <w:r w:rsidR="005D2034" w:rsidRPr="000E4865">
        <w:rPr>
          <w:snapToGrid w:val="0"/>
          <w:kern w:val="22"/>
          <w:szCs w:val="22"/>
          <w:lang w:val="es-ES_tradnl"/>
        </w:rPr>
        <w:t xml:space="preserve">aceites </w:t>
      </w:r>
      <w:r w:rsidR="00D22479">
        <w:rPr>
          <w:snapToGrid w:val="0"/>
          <w:kern w:val="22"/>
          <w:szCs w:val="22"/>
          <w:lang w:val="es-ES_tradnl"/>
        </w:rPr>
        <w:t xml:space="preserve">libre de </w:t>
      </w:r>
      <w:r w:rsidR="005D2034" w:rsidRPr="000E4865">
        <w:rPr>
          <w:snapToGrid w:val="0"/>
          <w:kern w:val="22"/>
          <w:szCs w:val="22"/>
          <w:lang w:val="es-ES_tradnl"/>
        </w:rPr>
        <w:t xml:space="preserve">deforestación y </w:t>
      </w:r>
      <w:r w:rsidR="00D22479">
        <w:rPr>
          <w:snapToGrid w:val="0"/>
          <w:kern w:val="22"/>
          <w:szCs w:val="22"/>
          <w:lang w:val="es-ES_tradnl"/>
        </w:rPr>
        <w:t xml:space="preserve">el </w:t>
      </w:r>
      <w:r w:rsidR="005D2034" w:rsidRPr="000E4865">
        <w:rPr>
          <w:snapToGrid w:val="0"/>
          <w:kern w:val="22"/>
          <w:szCs w:val="22"/>
          <w:lang w:val="es-ES_tradnl"/>
        </w:rPr>
        <w:t xml:space="preserve">pescado de </w:t>
      </w:r>
      <w:r w:rsidR="00C144E3" w:rsidRPr="000E4865">
        <w:rPr>
          <w:snapToGrid w:val="0"/>
          <w:kern w:val="22"/>
          <w:szCs w:val="22"/>
          <w:lang w:val="es-ES_tradnl"/>
        </w:rPr>
        <w:t>poblaciones de peces gestionad</w:t>
      </w:r>
      <w:r w:rsidR="00D22479">
        <w:rPr>
          <w:snapToGrid w:val="0"/>
          <w:kern w:val="22"/>
          <w:szCs w:val="22"/>
          <w:lang w:val="es-ES_tradnl"/>
        </w:rPr>
        <w:t>a</w:t>
      </w:r>
      <w:r w:rsidR="00C144E3" w:rsidRPr="000E4865">
        <w:rPr>
          <w:snapToGrid w:val="0"/>
          <w:kern w:val="22"/>
          <w:szCs w:val="22"/>
          <w:lang w:val="es-ES_tradnl"/>
        </w:rPr>
        <w:t>s de manera sostenible</w:t>
      </w:r>
      <w:r w:rsidR="00276B6C" w:rsidRPr="000E4865">
        <w:rPr>
          <w:snapToGrid w:val="0"/>
          <w:kern w:val="22"/>
          <w:szCs w:val="22"/>
          <w:lang w:val="es-ES_tradnl"/>
        </w:rPr>
        <w:t xml:space="preserve">) </w:t>
      </w:r>
      <w:r w:rsidR="00C144E3" w:rsidRPr="000E4865">
        <w:rPr>
          <w:snapToGrid w:val="0"/>
          <w:kern w:val="22"/>
          <w:szCs w:val="22"/>
          <w:lang w:val="es-ES_tradnl"/>
        </w:rPr>
        <w:t xml:space="preserve">y muebles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C144E3" w:rsidRPr="000E4865">
        <w:rPr>
          <w:snapToGrid w:val="0"/>
          <w:kern w:val="22"/>
          <w:szCs w:val="22"/>
          <w:lang w:val="es-ES_tradnl"/>
        </w:rPr>
        <w:t>cadenas de suministro libre de deforestación</w:t>
      </w:r>
      <w:r w:rsidR="00276B6C" w:rsidRPr="000E4865">
        <w:rPr>
          <w:snapToGrid w:val="0"/>
          <w:kern w:val="22"/>
          <w:szCs w:val="22"/>
          <w:lang w:val="es-ES_tradnl"/>
        </w:rPr>
        <w:t>).</w:t>
      </w:r>
    </w:p>
    <w:p w14:paraId="65394E55" w14:textId="3122337A" w:rsidR="00276B6C" w:rsidRPr="000E4865" w:rsidRDefault="00F242A4" w:rsidP="00D74331">
      <w:pPr>
        <w:pStyle w:val="Heading1"/>
        <w:numPr>
          <w:ilvl w:val="0"/>
          <w:numId w:val="21"/>
        </w:numPr>
        <w:suppressLineNumbers/>
        <w:tabs>
          <w:tab w:val="clear" w:pos="720"/>
          <w:tab w:val="left" w:pos="810"/>
        </w:tabs>
        <w:suppressAutoHyphens/>
        <w:kinsoku w:val="0"/>
        <w:overflowPunct w:val="0"/>
        <w:autoSpaceDE w:val="0"/>
        <w:autoSpaceDN w:val="0"/>
        <w:adjustRightInd w:val="0"/>
        <w:snapToGrid w:val="0"/>
        <w:spacing w:before="120" w:line="238" w:lineRule="auto"/>
        <w:rPr>
          <w:snapToGrid w:val="0"/>
          <w:kern w:val="22"/>
          <w:szCs w:val="22"/>
          <w:lang w:val="es-ES_tradnl"/>
        </w:rPr>
      </w:pPr>
      <w:r w:rsidRPr="000E4865">
        <w:rPr>
          <w:smallCaps/>
          <w:snapToGrid w:val="0"/>
          <w:kern w:val="22"/>
          <w:szCs w:val="22"/>
          <w:lang w:val="es-ES_tradnl"/>
        </w:rPr>
        <w:t xml:space="preserve">impactos </w:t>
      </w:r>
      <w:r w:rsidR="00094AC9" w:rsidRPr="000E4865">
        <w:rPr>
          <w:smallCaps/>
          <w:snapToGrid w:val="0"/>
          <w:kern w:val="22"/>
          <w:szCs w:val="22"/>
          <w:lang w:val="es-ES_tradnl"/>
        </w:rPr>
        <w:t>EN</w:t>
      </w:r>
      <w:r w:rsidRPr="000E4865">
        <w:rPr>
          <w:smallCaps/>
          <w:snapToGrid w:val="0"/>
          <w:kern w:val="22"/>
          <w:szCs w:val="22"/>
          <w:lang w:val="es-ES_tradnl"/>
        </w:rPr>
        <w:t xml:space="preserve"> la diversidad biológica de las industrias </w:t>
      </w:r>
      <w:r w:rsidR="003E64B0" w:rsidRPr="000E4865">
        <w:rPr>
          <w:smallCaps/>
          <w:snapToGrid w:val="0"/>
          <w:kern w:val="22"/>
          <w:szCs w:val="22"/>
          <w:lang w:val="es-ES_tradnl"/>
        </w:rPr>
        <w:t>MANUFACTURERAS</w:t>
      </w:r>
    </w:p>
    <w:p w14:paraId="627EFDCD" w14:textId="5375C597" w:rsidR="00276B6C" w:rsidRPr="000E4865" w:rsidRDefault="00094AC9"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 xml:space="preserve">Los impactos en la diversidad biológica varían de una industria a otra, y se deben a las situaciones específicas de sus insumos de producción </w:t>
      </w:r>
      <w:r w:rsidR="00276B6C" w:rsidRPr="000E4865">
        <w:rPr>
          <w:snapToGrid w:val="0"/>
          <w:kern w:val="22"/>
          <w:szCs w:val="22"/>
          <w:lang w:val="es-ES_tradnl"/>
        </w:rPr>
        <w:t>(</w:t>
      </w:r>
      <w:r w:rsidRPr="000E4865">
        <w:rPr>
          <w:snapToGrid w:val="0"/>
          <w:kern w:val="22"/>
          <w:szCs w:val="22"/>
          <w:lang w:val="es-ES_tradnl"/>
        </w:rPr>
        <w:t>p. ej., el uso de recursos renovables y no renovables</w:t>
      </w:r>
      <w:r w:rsidR="00276B6C" w:rsidRPr="000E4865">
        <w:rPr>
          <w:snapToGrid w:val="0"/>
          <w:kern w:val="22"/>
          <w:szCs w:val="22"/>
          <w:lang w:val="es-ES_tradnl"/>
        </w:rPr>
        <w:t xml:space="preserve">) </w:t>
      </w:r>
      <w:r w:rsidRPr="000E4865">
        <w:rPr>
          <w:snapToGrid w:val="0"/>
          <w:kern w:val="22"/>
          <w:szCs w:val="22"/>
          <w:lang w:val="es-ES_tradnl"/>
        </w:rPr>
        <w:t xml:space="preserve">y recursos secundarios </w:t>
      </w:r>
      <w:r w:rsidR="00276B6C" w:rsidRPr="000E4865">
        <w:rPr>
          <w:snapToGrid w:val="0"/>
          <w:kern w:val="22"/>
          <w:szCs w:val="22"/>
          <w:lang w:val="es-ES_tradnl"/>
        </w:rPr>
        <w:t>(</w:t>
      </w:r>
      <w:r w:rsidR="005107A5" w:rsidRPr="000E4865">
        <w:rPr>
          <w:snapToGrid w:val="0"/>
          <w:kern w:val="22"/>
          <w:szCs w:val="22"/>
          <w:lang w:val="es-ES_tradnl"/>
        </w:rPr>
        <w:t xml:space="preserve">p. ej., </w:t>
      </w:r>
      <w:r w:rsidR="00DF6987" w:rsidRPr="000E4865">
        <w:rPr>
          <w:snapToGrid w:val="0"/>
          <w:color w:val="000000" w:themeColor="text1"/>
          <w:kern w:val="22"/>
          <w:szCs w:val="22"/>
          <w:shd w:val="clear" w:color="auto" w:fill="FFFFFF"/>
          <w:lang w:val="es-ES_tradnl"/>
        </w:rPr>
        <w:t xml:space="preserve">emisiones </w:t>
      </w:r>
      <w:r w:rsidR="00DF6987">
        <w:rPr>
          <w:snapToGrid w:val="0"/>
          <w:color w:val="000000" w:themeColor="text1"/>
          <w:kern w:val="22"/>
          <w:szCs w:val="22"/>
          <w:shd w:val="clear" w:color="auto" w:fill="FFFFFF"/>
          <w:lang w:val="es-ES_tradnl"/>
        </w:rPr>
        <w:t>a la atmósfera y al agua</w:t>
      </w:r>
      <w:r w:rsidR="00276B6C" w:rsidRPr="000E4865">
        <w:rPr>
          <w:snapToGrid w:val="0"/>
          <w:kern w:val="22"/>
          <w:szCs w:val="22"/>
          <w:lang w:val="es-ES_tradnl"/>
        </w:rPr>
        <w:t xml:space="preserve">, </w:t>
      </w:r>
      <w:r w:rsidR="005107A5" w:rsidRPr="000E4865">
        <w:rPr>
          <w:snapToGrid w:val="0"/>
          <w:kern w:val="22"/>
          <w:szCs w:val="22"/>
          <w:lang w:val="es-ES_tradnl"/>
        </w:rPr>
        <w:t>desechos sólidos</w:t>
      </w:r>
      <w:r w:rsidR="00276B6C" w:rsidRPr="000E4865">
        <w:rPr>
          <w:snapToGrid w:val="0"/>
          <w:kern w:val="22"/>
          <w:szCs w:val="22"/>
          <w:lang w:val="es-ES_tradnl"/>
        </w:rPr>
        <w:t>)</w:t>
      </w:r>
      <w:r w:rsidR="00276B6C" w:rsidRPr="000E4865">
        <w:rPr>
          <w:rStyle w:val="FootnoteReference"/>
          <w:snapToGrid w:val="0"/>
          <w:color w:val="000000" w:themeColor="text1"/>
          <w:kern w:val="22"/>
          <w:szCs w:val="22"/>
          <w:shd w:val="clear" w:color="auto" w:fill="FFFFFF"/>
          <w:lang w:val="es-ES_tradnl"/>
        </w:rPr>
        <w:footnoteReference w:id="17"/>
      </w:r>
      <w:r w:rsidR="00AC7B78">
        <w:rPr>
          <w:snapToGrid w:val="0"/>
          <w:kern w:val="22"/>
          <w:szCs w:val="22"/>
          <w:lang w:val="es-ES_tradnl"/>
        </w:rPr>
        <w:t>.</w:t>
      </w:r>
      <w:r w:rsidR="00276B6C" w:rsidRPr="000E4865">
        <w:rPr>
          <w:snapToGrid w:val="0"/>
          <w:kern w:val="22"/>
          <w:szCs w:val="22"/>
          <w:lang w:val="es-ES_tradnl"/>
        </w:rPr>
        <w:t xml:space="preserve"> </w:t>
      </w:r>
      <w:r w:rsidR="005107A5" w:rsidRPr="000E4865">
        <w:rPr>
          <w:snapToGrid w:val="0"/>
          <w:kern w:val="22"/>
          <w:szCs w:val="22"/>
          <w:lang w:val="es-ES_tradnl"/>
        </w:rPr>
        <w:t xml:space="preserve">Las empresas manufactureras generan impacto y dependencias tanto directas </w:t>
      </w:r>
      <w:r w:rsidR="00276B6C" w:rsidRPr="000E4865">
        <w:rPr>
          <w:snapToGrid w:val="0"/>
          <w:kern w:val="22"/>
          <w:szCs w:val="22"/>
          <w:lang w:val="es-ES_tradnl"/>
        </w:rPr>
        <w:t>(</w:t>
      </w:r>
      <w:r w:rsidR="005107A5" w:rsidRPr="000E4865">
        <w:rPr>
          <w:snapToGrid w:val="0"/>
          <w:kern w:val="22"/>
          <w:szCs w:val="22"/>
          <w:lang w:val="es-ES_tradnl"/>
        </w:rPr>
        <w:t>p. ej., ubicación de la fábrica y su contaminación directa</w:t>
      </w:r>
      <w:r w:rsidR="00276B6C" w:rsidRPr="000E4865">
        <w:rPr>
          <w:snapToGrid w:val="0"/>
          <w:kern w:val="22"/>
          <w:szCs w:val="22"/>
          <w:lang w:val="es-ES_tradnl"/>
        </w:rPr>
        <w:t xml:space="preserve">) </w:t>
      </w:r>
      <w:r w:rsidR="005107A5" w:rsidRPr="000E4865">
        <w:rPr>
          <w:snapToGrid w:val="0"/>
          <w:kern w:val="22"/>
          <w:szCs w:val="22"/>
          <w:lang w:val="es-ES_tradnl"/>
        </w:rPr>
        <w:t xml:space="preserve">como indirectas </w:t>
      </w:r>
      <w:r w:rsidR="00276B6C" w:rsidRPr="000E4865">
        <w:rPr>
          <w:snapToGrid w:val="0"/>
          <w:kern w:val="22"/>
          <w:szCs w:val="22"/>
          <w:lang w:val="es-ES_tradnl"/>
        </w:rPr>
        <w:t>(</w:t>
      </w:r>
      <w:r w:rsidR="005107A5" w:rsidRPr="000E4865">
        <w:rPr>
          <w:snapToGrid w:val="0"/>
          <w:kern w:val="22"/>
          <w:szCs w:val="22"/>
          <w:lang w:val="es-ES_tradnl"/>
        </w:rPr>
        <w:t>p. ej., a través de la cadena de suministro</w:t>
      </w:r>
      <w:r w:rsidR="00276B6C" w:rsidRPr="000E4865">
        <w:rPr>
          <w:snapToGrid w:val="0"/>
          <w:kern w:val="22"/>
          <w:szCs w:val="22"/>
          <w:lang w:val="es-ES_tradnl"/>
        </w:rPr>
        <w:t xml:space="preserve">) </w:t>
      </w:r>
      <w:r w:rsidR="005107A5" w:rsidRPr="000E4865">
        <w:rPr>
          <w:snapToGrid w:val="0"/>
          <w:kern w:val="22"/>
          <w:szCs w:val="22"/>
          <w:lang w:val="es-ES_tradnl"/>
        </w:rPr>
        <w:t>en la diversidad biológica</w:t>
      </w:r>
      <w:r w:rsidR="00276B6C" w:rsidRPr="000E4865">
        <w:rPr>
          <w:snapToGrid w:val="0"/>
          <w:kern w:val="22"/>
          <w:szCs w:val="22"/>
          <w:lang w:val="es-ES_tradnl"/>
        </w:rPr>
        <w:t xml:space="preserve">, </w:t>
      </w:r>
      <w:r w:rsidR="005107A5" w:rsidRPr="000E4865">
        <w:rPr>
          <w:snapToGrid w:val="0"/>
          <w:kern w:val="22"/>
          <w:szCs w:val="22"/>
          <w:lang w:val="es-ES_tradnl"/>
        </w:rPr>
        <w:t>en todas las cadenas de valor globalizadas</w:t>
      </w:r>
      <w:r w:rsidR="002F72EE">
        <w:rPr>
          <w:snapToGrid w:val="0"/>
          <w:kern w:val="22"/>
          <w:szCs w:val="22"/>
          <w:lang w:val="es-ES_tradnl"/>
        </w:rPr>
        <w:t>,</w:t>
      </w:r>
      <w:r w:rsidR="005107A5" w:rsidRPr="000E4865">
        <w:rPr>
          <w:snapToGrid w:val="0"/>
          <w:kern w:val="22"/>
          <w:szCs w:val="22"/>
          <w:lang w:val="es-ES_tradnl"/>
        </w:rPr>
        <w:t xml:space="preserve"> de</w:t>
      </w:r>
      <w:r w:rsidR="002F72EE">
        <w:rPr>
          <w:snapToGrid w:val="0"/>
          <w:kern w:val="22"/>
          <w:szCs w:val="22"/>
          <w:lang w:val="es-ES_tradnl"/>
        </w:rPr>
        <w:t>sde</w:t>
      </w:r>
      <w:r w:rsidR="005107A5" w:rsidRPr="000E4865">
        <w:rPr>
          <w:snapToGrid w:val="0"/>
          <w:kern w:val="22"/>
          <w:szCs w:val="22"/>
          <w:lang w:val="es-ES_tradnl"/>
        </w:rPr>
        <w:t xml:space="preserve"> la extracción/producción de materias primas </w:t>
      </w:r>
      <w:r w:rsidR="002F72EE">
        <w:rPr>
          <w:snapToGrid w:val="0"/>
          <w:kern w:val="22"/>
          <w:szCs w:val="22"/>
          <w:lang w:val="es-ES_tradnl"/>
        </w:rPr>
        <w:t>hasta e</w:t>
      </w:r>
      <w:r w:rsidR="005107A5" w:rsidRPr="000E4865">
        <w:rPr>
          <w:snapToGrid w:val="0"/>
          <w:kern w:val="22"/>
          <w:szCs w:val="22"/>
          <w:lang w:val="es-ES_tradnl"/>
        </w:rPr>
        <w:t>l consumo de bienes manufacturados</w:t>
      </w:r>
      <w:r w:rsidR="00276B6C" w:rsidRPr="000E4865">
        <w:rPr>
          <w:snapToGrid w:val="0"/>
          <w:kern w:val="22"/>
          <w:szCs w:val="22"/>
          <w:lang w:val="es-ES_tradnl"/>
        </w:rPr>
        <w:t>.</w:t>
      </w:r>
    </w:p>
    <w:p w14:paraId="3CDB8308" w14:textId="5A00EF34" w:rsidR="00276B6C" w:rsidRPr="000E4865" w:rsidRDefault="005107A5"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La mayoría de los procesos de manufactura causan, en distinto grado</w:t>
      </w:r>
      <w:r w:rsidR="00276B6C" w:rsidRPr="000E4865">
        <w:rPr>
          <w:snapToGrid w:val="0"/>
          <w:kern w:val="22"/>
          <w:szCs w:val="22"/>
          <w:lang w:val="es-ES_tradnl"/>
        </w:rPr>
        <w:t xml:space="preserve">, </w:t>
      </w:r>
      <w:r w:rsidRPr="000E4865">
        <w:rPr>
          <w:snapToGrid w:val="0"/>
          <w:kern w:val="22"/>
          <w:szCs w:val="22"/>
          <w:lang w:val="es-ES_tradnl"/>
        </w:rPr>
        <w:t>contaminación del aire, el agua y el suelo</w:t>
      </w:r>
      <w:r w:rsidR="00276B6C" w:rsidRPr="000E4865">
        <w:rPr>
          <w:snapToGrid w:val="0"/>
          <w:kern w:val="22"/>
          <w:szCs w:val="22"/>
          <w:lang w:val="es-ES_tradnl"/>
        </w:rPr>
        <w:t xml:space="preserve">, </w:t>
      </w:r>
      <w:r w:rsidR="006226E9" w:rsidRPr="000E4865">
        <w:rPr>
          <w:snapToGrid w:val="0"/>
          <w:kern w:val="22"/>
          <w:szCs w:val="22"/>
          <w:lang w:val="es-ES_tradnl"/>
        </w:rPr>
        <w:t>lo que pueden tener un impacto considerable en los ecosistemas y en la salud humana</w:t>
      </w:r>
      <w:r w:rsidR="00276B6C" w:rsidRPr="000E4865">
        <w:rPr>
          <w:snapToGrid w:val="0"/>
          <w:kern w:val="22"/>
          <w:szCs w:val="22"/>
          <w:lang w:val="es-ES_tradnl"/>
        </w:rPr>
        <w:t xml:space="preserve">. </w:t>
      </w:r>
      <w:r w:rsidR="006226E9" w:rsidRPr="000E4865">
        <w:rPr>
          <w:snapToGrid w:val="0"/>
          <w:kern w:val="22"/>
          <w:szCs w:val="22"/>
          <w:lang w:val="es-ES_tradnl"/>
        </w:rPr>
        <w:t>Por ejemplo, el costo de la contaminación atmosférica de</w:t>
      </w:r>
      <w:r w:rsidR="00276B6C" w:rsidRPr="000E4865">
        <w:rPr>
          <w:snapToGrid w:val="0"/>
          <w:kern w:val="22"/>
          <w:szCs w:val="22"/>
          <w:lang w:val="es-ES_tradnl"/>
        </w:rPr>
        <w:t xml:space="preserve"> 14 000 </w:t>
      </w:r>
      <w:r w:rsidR="006226E9" w:rsidRPr="000E4865">
        <w:rPr>
          <w:snapToGrid w:val="0"/>
          <w:kern w:val="22"/>
          <w:szCs w:val="22"/>
          <w:lang w:val="es-ES_tradnl"/>
        </w:rPr>
        <w:t xml:space="preserve">instalaciones industriales de Europa ascendió al menos a </w:t>
      </w:r>
      <w:r w:rsidR="00276B6C" w:rsidRPr="000E4865">
        <w:rPr>
          <w:snapToGrid w:val="0"/>
          <w:kern w:val="22"/>
          <w:szCs w:val="22"/>
          <w:lang w:val="es-ES_tradnl"/>
        </w:rPr>
        <w:t xml:space="preserve">59 </w:t>
      </w:r>
      <w:r w:rsidR="006226E9" w:rsidRPr="000E4865">
        <w:rPr>
          <w:snapToGrid w:val="0"/>
          <w:kern w:val="22"/>
          <w:szCs w:val="22"/>
          <w:lang w:val="es-ES_tradnl"/>
        </w:rPr>
        <w:t xml:space="preserve">000 millones de euros y a </w:t>
      </w:r>
      <w:r w:rsidR="00276B6C" w:rsidRPr="000E4865">
        <w:rPr>
          <w:snapToGrid w:val="0"/>
          <w:kern w:val="22"/>
          <w:szCs w:val="22"/>
          <w:lang w:val="es-ES_tradnl"/>
        </w:rPr>
        <w:t xml:space="preserve">189 </w:t>
      </w:r>
      <w:r w:rsidR="006226E9" w:rsidRPr="000E4865">
        <w:rPr>
          <w:snapToGrid w:val="0"/>
          <w:kern w:val="22"/>
          <w:szCs w:val="22"/>
          <w:lang w:val="es-ES_tradnl"/>
        </w:rPr>
        <w:t xml:space="preserve">000 millones de euros en </w:t>
      </w:r>
      <w:r w:rsidR="00276B6C" w:rsidRPr="000E4865">
        <w:rPr>
          <w:snapToGrid w:val="0"/>
          <w:kern w:val="22"/>
          <w:szCs w:val="22"/>
          <w:lang w:val="es-ES_tradnl"/>
        </w:rPr>
        <w:t>2012</w:t>
      </w:r>
      <w:r w:rsidR="002F72EE">
        <w:rPr>
          <w:snapToGrid w:val="0"/>
          <w:kern w:val="22"/>
          <w:szCs w:val="22"/>
          <w:lang w:val="es-ES_tradnl"/>
        </w:rPr>
        <w:t xml:space="preserve">; </w:t>
      </w:r>
      <w:r w:rsidR="006226E9" w:rsidRPr="000E4865">
        <w:rPr>
          <w:snapToGrid w:val="0"/>
          <w:kern w:val="22"/>
          <w:szCs w:val="22"/>
          <w:lang w:val="es-ES_tradnl"/>
        </w:rPr>
        <w:t xml:space="preserve">las industrias fuera del sector de producción de electricidad </w:t>
      </w:r>
      <w:r w:rsidR="002F72EE">
        <w:rPr>
          <w:snapToGrid w:val="0"/>
          <w:kern w:val="22"/>
          <w:szCs w:val="22"/>
          <w:lang w:val="es-ES_tradnl"/>
        </w:rPr>
        <w:t xml:space="preserve">están vinculadas con el </w:t>
      </w:r>
      <w:r w:rsidR="00276B6C" w:rsidRPr="000E4865">
        <w:rPr>
          <w:snapToGrid w:val="0"/>
          <w:kern w:val="22"/>
          <w:szCs w:val="22"/>
          <w:lang w:val="es-ES_tradnl"/>
        </w:rPr>
        <w:t>30</w:t>
      </w:r>
      <w:r w:rsidR="006226E9" w:rsidRPr="000E4865">
        <w:rPr>
          <w:snapToGrid w:val="0"/>
          <w:kern w:val="22"/>
          <w:szCs w:val="22"/>
          <w:lang w:val="es-ES_tradnl"/>
        </w:rPr>
        <w:t>% de dichos costos totales</w:t>
      </w:r>
      <w:r w:rsidR="00276B6C" w:rsidRPr="000E4865">
        <w:rPr>
          <w:rStyle w:val="FootnoteReference"/>
          <w:snapToGrid w:val="0"/>
          <w:kern w:val="22"/>
          <w:szCs w:val="22"/>
          <w:lang w:val="es-ES_tradnl"/>
        </w:rPr>
        <w:footnoteReference w:id="18"/>
      </w:r>
      <w:r w:rsidR="006226E9" w:rsidRPr="000E4865">
        <w:rPr>
          <w:snapToGrid w:val="0"/>
          <w:kern w:val="22"/>
          <w:szCs w:val="22"/>
          <w:lang w:val="es-ES_tradnl"/>
        </w:rPr>
        <w:t>.</w:t>
      </w:r>
      <w:r w:rsidR="00276B6C" w:rsidRPr="000E4865">
        <w:rPr>
          <w:snapToGrid w:val="0"/>
          <w:kern w:val="22"/>
          <w:szCs w:val="22"/>
          <w:lang w:val="es-ES_tradnl"/>
        </w:rPr>
        <w:t xml:space="preserve"> </w:t>
      </w:r>
      <w:r w:rsidR="006226E9" w:rsidRPr="000E4865">
        <w:rPr>
          <w:snapToGrid w:val="0"/>
          <w:kern w:val="22"/>
          <w:szCs w:val="22"/>
          <w:lang w:val="es-ES_tradnl"/>
        </w:rPr>
        <w:t xml:space="preserve">La experiencia del sector de </w:t>
      </w:r>
      <w:r w:rsidR="009A33FA" w:rsidRPr="000E4865">
        <w:rPr>
          <w:snapToGrid w:val="0"/>
          <w:kern w:val="22"/>
          <w:szCs w:val="22"/>
          <w:lang w:val="es-ES_tradnl"/>
        </w:rPr>
        <w:t xml:space="preserve">productos </w:t>
      </w:r>
      <w:r w:rsidR="006226E9" w:rsidRPr="000E4865">
        <w:rPr>
          <w:snapToGrid w:val="0"/>
          <w:kern w:val="22"/>
          <w:szCs w:val="22"/>
          <w:lang w:val="es-ES_tradnl"/>
        </w:rPr>
        <w:t>electró</w:t>
      </w:r>
      <w:r w:rsidR="00B252C7" w:rsidRPr="000E4865">
        <w:rPr>
          <w:snapToGrid w:val="0"/>
          <w:kern w:val="22"/>
          <w:szCs w:val="22"/>
          <w:lang w:val="es-ES_tradnl"/>
        </w:rPr>
        <w:t>n</w:t>
      </w:r>
      <w:r w:rsidR="006226E9" w:rsidRPr="000E4865">
        <w:rPr>
          <w:snapToGrid w:val="0"/>
          <w:kern w:val="22"/>
          <w:szCs w:val="22"/>
          <w:lang w:val="es-ES_tradnl"/>
        </w:rPr>
        <w:t>ic</w:t>
      </w:r>
      <w:r w:rsidR="009A33FA" w:rsidRPr="000E4865">
        <w:rPr>
          <w:snapToGrid w:val="0"/>
          <w:kern w:val="22"/>
          <w:szCs w:val="22"/>
          <w:lang w:val="es-ES_tradnl"/>
        </w:rPr>
        <w:t xml:space="preserve">os </w:t>
      </w:r>
      <w:r w:rsidR="006226E9" w:rsidRPr="000E4865">
        <w:rPr>
          <w:snapToGrid w:val="0"/>
          <w:kern w:val="22"/>
          <w:szCs w:val="22"/>
          <w:lang w:val="es-ES_tradnl"/>
        </w:rPr>
        <w:t>de consumo</w:t>
      </w:r>
      <w:r w:rsidR="00276B6C" w:rsidRPr="000E4865">
        <w:rPr>
          <w:snapToGrid w:val="0"/>
          <w:kern w:val="22"/>
          <w:szCs w:val="22"/>
          <w:lang w:val="es-ES_tradnl"/>
        </w:rPr>
        <w:t xml:space="preserve">, </w:t>
      </w:r>
      <w:r w:rsidR="009A33FA" w:rsidRPr="000E4865">
        <w:rPr>
          <w:snapToGrid w:val="0"/>
          <w:kern w:val="22"/>
          <w:szCs w:val="22"/>
          <w:lang w:val="es-ES_tradnl"/>
        </w:rPr>
        <w:t xml:space="preserve">en el cual </w:t>
      </w:r>
      <w:r w:rsidR="006226E9" w:rsidRPr="000E4865">
        <w:rPr>
          <w:snapToGrid w:val="0"/>
          <w:kern w:val="22"/>
          <w:szCs w:val="22"/>
          <w:lang w:val="es-ES_tradnl"/>
        </w:rPr>
        <w:t>los productos tienen ciclos de vida cada vez más cortos</w:t>
      </w:r>
      <w:r w:rsidR="00276B6C" w:rsidRPr="000E4865">
        <w:rPr>
          <w:snapToGrid w:val="0"/>
          <w:kern w:val="22"/>
          <w:szCs w:val="22"/>
          <w:lang w:val="es-ES_tradnl"/>
        </w:rPr>
        <w:t xml:space="preserve">, </w:t>
      </w:r>
      <w:r w:rsidR="006226E9" w:rsidRPr="000E4865">
        <w:rPr>
          <w:snapToGrid w:val="0"/>
          <w:kern w:val="22"/>
          <w:szCs w:val="22"/>
          <w:lang w:val="es-ES_tradnl"/>
        </w:rPr>
        <w:t>demuestra el creciente problema de los desechos electrónico</w:t>
      </w:r>
      <w:bookmarkStart w:id="3" w:name="_Ref517081720"/>
      <w:r w:rsidR="009A33FA" w:rsidRPr="000E4865">
        <w:rPr>
          <w:snapToGrid w:val="0"/>
          <w:kern w:val="22"/>
          <w:szCs w:val="22"/>
          <w:lang w:val="es-ES_tradnl"/>
        </w:rPr>
        <w:t>s</w:t>
      </w:r>
      <w:r w:rsidR="00276B6C" w:rsidRPr="000E4865">
        <w:rPr>
          <w:rStyle w:val="FootnoteReference"/>
          <w:snapToGrid w:val="0"/>
          <w:kern w:val="22"/>
          <w:szCs w:val="22"/>
          <w:lang w:val="es-ES_tradnl"/>
        </w:rPr>
        <w:footnoteReference w:id="19"/>
      </w:r>
      <w:bookmarkEnd w:id="3"/>
      <w:r w:rsidR="00756FF3" w:rsidRPr="000E4865">
        <w:rPr>
          <w:snapToGrid w:val="0"/>
          <w:kern w:val="22"/>
          <w:szCs w:val="22"/>
          <w:lang w:val="es-ES_tradnl"/>
        </w:rPr>
        <w:t>,</w:t>
      </w:r>
      <w:r w:rsidR="00276B6C" w:rsidRPr="000E4865">
        <w:rPr>
          <w:snapToGrid w:val="0"/>
          <w:kern w:val="22"/>
          <w:szCs w:val="22"/>
          <w:lang w:val="es-ES_tradnl"/>
        </w:rPr>
        <w:t xml:space="preserve"> </w:t>
      </w:r>
      <w:r w:rsidR="006226E9" w:rsidRPr="000E4865">
        <w:rPr>
          <w:snapToGrid w:val="0"/>
          <w:kern w:val="22"/>
          <w:szCs w:val="22"/>
          <w:lang w:val="es-ES_tradnl"/>
        </w:rPr>
        <w:t>dado que los metales pesados y contaminantes orgánicos acaban en las regiones costeras y de aguas dulces, y a menudo en la cadena alimentaria</w:t>
      </w:r>
      <w:r w:rsidR="00276B6C" w:rsidRPr="000E4865">
        <w:rPr>
          <w:snapToGrid w:val="0"/>
          <w:kern w:val="22"/>
          <w:szCs w:val="22"/>
          <w:lang w:val="es-ES_tradnl"/>
        </w:rPr>
        <w:t>.</w:t>
      </w:r>
    </w:p>
    <w:p w14:paraId="4EB1A184" w14:textId="5F2219F3" w:rsidR="00DA6295" w:rsidRPr="000E4865" w:rsidRDefault="00DA6295" w:rsidP="00DA6295">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color w:val="000000" w:themeColor="text1"/>
          <w:kern w:val="22"/>
          <w:szCs w:val="22"/>
          <w:shd w:val="clear" w:color="auto" w:fill="FFFFFF"/>
          <w:lang w:val="es-ES_tradnl"/>
        </w:rPr>
        <w:t xml:space="preserve">El sector manufacturero </w:t>
      </w:r>
      <w:r w:rsidR="002F72EE">
        <w:rPr>
          <w:snapToGrid w:val="0"/>
          <w:color w:val="000000" w:themeColor="text1"/>
          <w:kern w:val="22"/>
          <w:szCs w:val="22"/>
          <w:shd w:val="clear" w:color="auto" w:fill="FFFFFF"/>
          <w:lang w:val="es-ES_tradnl"/>
        </w:rPr>
        <w:t xml:space="preserve">se vincula con el </w:t>
      </w:r>
      <w:r w:rsidRPr="000E4865">
        <w:rPr>
          <w:snapToGrid w:val="0"/>
          <w:color w:val="000000" w:themeColor="text1"/>
          <w:kern w:val="22"/>
          <w:szCs w:val="22"/>
          <w:shd w:val="clear" w:color="auto" w:fill="FFFFFF"/>
          <w:lang w:val="es-ES_tradnl"/>
        </w:rPr>
        <w:t>35%</w:t>
      </w:r>
      <w:r w:rsidR="00276B6C" w:rsidRPr="000E4865">
        <w:rPr>
          <w:snapToGrid w:val="0"/>
          <w:color w:val="000000" w:themeColor="text1"/>
          <w:kern w:val="22"/>
          <w:szCs w:val="22"/>
          <w:shd w:val="clear" w:color="auto" w:fill="FFFFFF"/>
          <w:lang w:val="es-ES_tradnl"/>
        </w:rPr>
        <w:t xml:space="preserve"> </w:t>
      </w:r>
      <w:r w:rsidRPr="000E4865">
        <w:rPr>
          <w:snapToGrid w:val="0"/>
          <w:color w:val="000000" w:themeColor="text1"/>
          <w:kern w:val="22"/>
          <w:szCs w:val="22"/>
          <w:shd w:val="clear" w:color="auto" w:fill="FFFFFF"/>
          <w:lang w:val="es-ES_tradnl"/>
        </w:rPr>
        <w:t>del uso mundial de electricidad, más del</w:t>
      </w:r>
      <w:r w:rsidR="00276B6C" w:rsidRPr="000E4865">
        <w:rPr>
          <w:snapToGrid w:val="0"/>
          <w:color w:val="000000" w:themeColor="text1"/>
          <w:kern w:val="22"/>
          <w:szCs w:val="22"/>
          <w:shd w:val="clear" w:color="auto" w:fill="FFFFFF"/>
          <w:lang w:val="es-ES_tradnl"/>
        </w:rPr>
        <w:t xml:space="preserve"> 20</w:t>
      </w:r>
      <w:r w:rsidRPr="000E4865">
        <w:rPr>
          <w:snapToGrid w:val="0"/>
          <w:color w:val="000000" w:themeColor="text1"/>
          <w:kern w:val="22"/>
          <w:szCs w:val="22"/>
          <w:shd w:val="clear" w:color="auto" w:fill="FFFFFF"/>
          <w:lang w:val="es-ES_tradnl"/>
        </w:rPr>
        <w:t>%</w:t>
      </w:r>
      <w:r w:rsidR="00276B6C" w:rsidRPr="000E4865">
        <w:rPr>
          <w:snapToGrid w:val="0"/>
          <w:color w:val="000000" w:themeColor="text1"/>
          <w:kern w:val="22"/>
          <w:szCs w:val="22"/>
          <w:shd w:val="clear" w:color="auto" w:fill="FFFFFF"/>
          <w:lang w:val="es-ES_tradnl"/>
        </w:rPr>
        <w:t xml:space="preserve"> </w:t>
      </w:r>
      <w:r w:rsidRPr="000E4865">
        <w:rPr>
          <w:snapToGrid w:val="0"/>
          <w:color w:val="000000" w:themeColor="text1"/>
          <w:kern w:val="22"/>
          <w:szCs w:val="22"/>
          <w:shd w:val="clear" w:color="auto" w:fill="FFFFFF"/>
          <w:lang w:val="es-ES_tradnl"/>
        </w:rPr>
        <w:t>de la</w:t>
      </w:r>
      <w:r w:rsidR="009A33FA" w:rsidRPr="000E4865">
        <w:rPr>
          <w:snapToGrid w:val="0"/>
          <w:color w:val="000000" w:themeColor="text1"/>
          <w:kern w:val="22"/>
          <w:szCs w:val="22"/>
          <w:shd w:val="clear" w:color="auto" w:fill="FFFFFF"/>
          <w:lang w:val="es-ES_tradnl"/>
        </w:rPr>
        <w:t>s</w:t>
      </w:r>
      <w:r w:rsidRPr="000E4865">
        <w:rPr>
          <w:snapToGrid w:val="0"/>
          <w:color w:val="000000" w:themeColor="text1"/>
          <w:kern w:val="22"/>
          <w:szCs w:val="22"/>
          <w:shd w:val="clear" w:color="auto" w:fill="FFFFFF"/>
          <w:lang w:val="es-ES_tradnl"/>
        </w:rPr>
        <w:t xml:space="preserve"> emisiones de </w:t>
      </w:r>
      <w:r w:rsidR="00276B6C" w:rsidRPr="000E4865">
        <w:rPr>
          <w:snapToGrid w:val="0"/>
          <w:color w:val="000000" w:themeColor="text1"/>
          <w:kern w:val="22"/>
          <w:szCs w:val="22"/>
          <w:shd w:val="clear" w:color="auto" w:fill="FFFFFF"/>
          <w:lang w:val="es-ES_tradnl"/>
        </w:rPr>
        <w:t>CO</w:t>
      </w:r>
      <w:r w:rsidR="00276B6C" w:rsidRPr="000E4865">
        <w:rPr>
          <w:snapToGrid w:val="0"/>
          <w:color w:val="000000" w:themeColor="text1"/>
          <w:kern w:val="22"/>
          <w:szCs w:val="22"/>
          <w:shd w:val="clear" w:color="auto" w:fill="FFFFFF"/>
          <w:vertAlign w:val="subscript"/>
          <w:lang w:val="es-ES_tradnl"/>
        </w:rPr>
        <w:t>2</w:t>
      </w:r>
      <w:r w:rsidR="00276B6C" w:rsidRPr="000E4865">
        <w:rPr>
          <w:snapToGrid w:val="0"/>
          <w:color w:val="000000" w:themeColor="text1"/>
          <w:kern w:val="22"/>
          <w:szCs w:val="22"/>
          <w:shd w:val="clear" w:color="auto" w:fill="FFFFFF"/>
          <w:lang w:val="es-ES_tradnl"/>
        </w:rPr>
        <w:t xml:space="preserve"> </w:t>
      </w:r>
      <w:r w:rsidRPr="000E4865">
        <w:rPr>
          <w:snapToGrid w:val="0"/>
          <w:color w:val="000000" w:themeColor="text1"/>
          <w:kern w:val="22"/>
          <w:szCs w:val="22"/>
          <w:shd w:val="clear" w:color="auto" w:fill="FFFFFF"/>
          <w:lang w:val="es-ES_tradnl"/>
        </w:rPr>
        <w:t xml:space="preserve">y hasta un </w:t>
      </w:r>
      <w:r w:rsidR="00276B6C" w:rsidRPr="000E4865">
        <w:rPr>
          <w:snapToGrid w:val="0"/>
          <w:color w:val="000000" w:themeColor="text1"/>
          <w:kern w:val="22"/>
          <w:szCs w:val="22"/>
          <w:shd w:val="clear" w:color="auto" w:fill="FFFFFF"/>
          <w:lang w:val="es-ES_tradnl"/>
        </w:rPr>
        <w:t>17</w:t>
      </w:r>
      <w:r w:rsidRPr="000E4865">
        <w:rPr>
          <w:snapToGrid w:val="0"/>
          <w:color w:val="000000" w:themeColor="text1"/>
          <w:kern w:val="22"/>
          <w:szCs w:val="22"/>
          <w:shd w:val="clear" w:color="auto" w:fill="FFFFFF"/>
          <w:lang w:val="es-ES_tradnl"/>
        </w:rPr>
        <w:t>%</w:t>
      </w:r>
      <w:r w:rsidR="00276B6C" w:rsidRPr="000E4865">
        <w:rPr>
          <w:snapToGrid w:val="0"/>
          <w:color w:val="000000" w:themeColor="text1"/>
          <w:kern w:val="22"/>
          <w:szCs w:val="22"/>
          <w:shd w:val="clear" w:color="auto" w:fill="FFFFFF"/>
          <w:lang w:val="es-ES_tradnl"/>
        </w:rPr>
        <w:t xml:space="preserve"> </w:t>
      </w:r>
      <w:r w:rsidRPr="000E4865">
        <w:rPr>
          <w:snapToGrid w:val="0"/>
          <w:color w:val="000000" w:themeColor="text1"/>
          <w:kern w:val="22"/>
          <w:szCs w:val="22"/>
          <w:shd w:val="clear" w:color="auto" w:fill="FFFFFF"/>
          <w:lang w:val="es-ES_tradnl"/>
        </w:rPr>
        <w:t>de los daños a la salud relacionados con la contaminación del aire</w:t>
      </w:r>
      <w:r w:rsidR="002F72EE">
        <w:rPr>
          <w:snapToGrid w:val="0"/>
          <w:color w:val="000000" w:themeColor="text1"/>
          <w:kern w:val="22"/>
          <w:szCs w:val="22"/>
          <w:shd w:val="clear" w:color="auto" w:fill="FFFFFF"/>
          <w:lang w:val="es-ES_tradnl"/>
        </w:rPr>
        <w:t xml:space="preserve">; se estima que </w:t>
      </w:r>
      <w:r w:rsidRPr="000E4865">
        <w:rPr>
          <w:snapToGrid w:val="0"/>
          <w:color w:val="000000" w:themeColor="text1"/>
          <w:kern w:val="22"/>
          <w:szCs w:val="22"/>
          <w:shd w:val="clear" w:color="auto" w:fill="FFFFFF"/>
          <w:lang w:val="es-ES_tradnl"/>
        </w:rPr>
        <w:t xml:space="preserve">los daños debidos a la contaminación atmosférica varían </w:t>
      </w:r>
      <w:r w:rsidR="002F72EE">
        <w:rPr>
          <w:snapToGrid w:val="0"/>
          <w:color w:val="000000" w:themeColor="text1"/>
          <w:kern w:val="22"/>
          <w:szCs w:val="22"/>
          <w:shd w:val="clear" w:color="auto" w:fill="FFFFFF"/>
          <w:lang w:val="es-ES_tradnl"/>
        </w:rPr>
        <w:t xml:space="preserve">aproximadamente entre el </w:t>
      </w:r>
      <w:r w:rsidR="00276B6C" w:rsidRPr="000E4865">
        <w:rPr>
          <w:snapToGrid w:val="0"/>
          <w:color w:val="000000" w:themeColor="text1"/>
          <w:kern w:val="22"/>
          <w:szCs w:val="22"/>
          <w:shd w:val="clear" w:color="auto" w:fill="FFFFFF"/>
          <w:lang w:val="es-ES_tradnl"/>
        </w:rPr>
        <w:t xml:space="preserve">1 </w:t>
      </w:r>
      <w:r w:rsidR="002F72EE">
        <w:rPr>
          <w:snapToGrid w:val="0"/>
          <w:color w:val="000000" w:themeColor="text1"/>
          <w:kern w:val="22"/>
          <w:szCs w:val="22"/>
          <w:shd w:val="clear" w:color="auto" w:fill="FFFFFF"/>
          <w:lang w:val="es-ES_tradnl"/>
        </w:rPr>
        <w:t xml:space="preserve">y el </w:t>
      </w:r>
      <w:r w:rsidR="00276B6C" w:rsidRPr="000E4865">
        <w:rPr>
          <w:snapToGrid w:val="0"/>
          <w:color w:val="000000" w:themeColor="text1"/>
          <w:kern w:val="22"/>
          <w:szCs w:val="22"/>
          <w:shd w:val="clear" w:color="auto" w:fill="FFFFFF"/>
          <w:lang w:val="es-ES_tradnl"/>
        </w:rPr>
        <w:t>5</w:t>
      </w:r>
      <w:r w:rsidRPr="000E4865">
        <w:rPr>
          <w:snapToGrid w:val="0"/>
          <w:color w:val="000000" w:themeColor="text1"/>
          <w:kern w:val="22"/>
          <w:szCs w:val="22"/>
          <w:shd w:val="clear" w:color="auto" w:fill="FFFFFF"/>
          <w:lang w:val="es-ES_tradnl"/>
        </w:rPr>
        <w:t>%</w:t>
      </w:r>
      <w:r w:rsidR="00276B6C" w:rsidRPr="000E4865">
        <w:rPr>
          <w:snapToGrid w:val="0"/>
          <w:color w:val="000000" w:themeColor="text1"/>
          <w:kern w:val="22"/>
          <w:szCs w:val="22"/>
          <w:shd w:val="clear" w:color="auto" w:fill="FFFFFF"/>
          <w:lang w:val="es-ES_tradnl"/>
        </w:rPr>
        <w:t xml:space="preserve"> </w:t>
      </w:r>
      <w:r w:rsidRPr="000E4865">
        <w:rPr>
          <w:snapToGrid w:val="0"/>
          <w:color w:val="000000" w:themeColor="text1"/>
          <w:kern w:val="22"/>
          <w:szCs w:val="22"/>
          <w:shd w:val="clear" w:color="auto" w:fill="FFFFFF"/>
          <w:lang w:val="es-ES_tradnl"/>
        </w:rPr>
        <w:t>del PIB mundial</w:t>
      </w:r>
      <w:r w:rsidR="00276B6C" w:rsidRPr="000E4865">
        <w:rPr>
          <w:rStyle w:val="FootnoteReference"/>
          <w:snapToGrid w:val="0"/>
          <w:color w:val="000000" w:themeColor="text1"/>
          <w:kern w:val="22"/>
          <w:szCs w:val="22"/>
          <w:shd w:val="clear" w:color="auto" w:fill="FFFFFF"/>
          <w:lang w:val="es-ES_tradnl"/>
        </w:rPr>
        <w:footnoteReference w:id="20"/>
      </w:r>
      <w:r w:rsidRPr="000E4865">
        <w:rPr>
          <w:snapToGrid w:val="0"/>
          <w:color w:val="000000" w:themeColor="text1"/>
          <w:kern w:val="22"/>
          <w:szCs w:val="22"/>
          <w:shd w:val="clear" w:color="auto" w:fill="FFFFFF"/>
          <w:lang w:val="es-ES_tradnl"/>
        </w:rPr>
        <w:t>.</w:t>
      </w:r>
      <w:r w:rsidR="00276B6C" w:rsidRPr="000E4865">
        <w:rPr>
          <w:snapToGrid w:val="0"/>
          <w:color w:val="000000" w:themeColor="text1"/>
          <w:kern w:val="22"/>
          <w:szCs w:val="22"/>
          <w:shd w:val="clear" w:color="auto" w:fill="FFFFFF"/>
          <w:lang w:val="es-ES_tradnl"/>
        </w:rPr>
        <w:t xml:space="preserve"> </w:t>
      </w:r>
      <w:r w:rsidRPr="000E4865">
        <w:rPr>
          <w:snapToGrid w:val="0"/>
          <w:color w:val="000000" w:themeColor="text1"/>
          <w:kern w:val="22"/>
          <w:szCs w:val="22"/>
          <w:shd w:val="clear" w:color="auto" w:fill="FFFFFF"/>
          <w:lang w:val="es-ES_tradnl"/>
        </w:rPr>
        <w:t xml:space="preserve">Más concretamente, las industrias manufactureras representan un tercio del consumo mundial de electricidad </w:t>
      </w:r>
      <w:r w:rsidRPr="000E4865">
        <w:rPr>
          <w:snapToGrid w:val="0"/>
          <w:kern w:val="22"/>
          <w:szCs w:val="22"/>
          <w:lang w:val="es-ES_tradnl"/>
        </w:rPr>
        <w:t xml:space="preserve">y el </w:t>
      </w:r>
      <w:r w:rsidR="00276B6C" w:rsidRPr="000E4865">
        <w:rPr>
          <w:snapToGrid w:val="0"/>
          <w:kern w:val="22"/>
          <w:szCs w:val="22"/>
          <w:lang w:val="es-ES_tradnl"/>
        </w:rPr>
        <w:t>25</w:t>
      </w:r>
      <w:r w:rsidRPr="000E4865">
        <w:rPr>
          <w:snapToGrid w:val="0"/>
          <w:kern w:val="22"/>
          <w:szCs w:val="22"/>
          <w:lang w:val="es-ES_tradnl"/>
        </w:rPr>
        <w:t>%</w:t>
      </w:r>
      <w:r w:rsidR="00276B6C" w:rsidRPr="000E4865">
        <w:rPr>
          <w:snapToGrid w:val="0"/>
          <w:kern w:val="22"/>
          <w:szCs w:val="22"/>
          <w:lang w:val="es-ES_tradnl"/>
        </w:rPr>
        <w:t xml:space="preserve"> (6</w:t>
      </w:r>
      <w:r w:rsidRPr="000E4865">
        <w:rPr>
          <w:snapToGrid w:val="0"/>
          <w:kern w:val="22"/>
          <w:szCs w:val="22"/>
          <w:lang w:val="es-ES_tradnl"/>
        </w:rPr>
        <w:t>,</w:t>
      </w:r>
      <w:r w:rsidR="00276B6C" w:rsidRPr="000E4865">
        <w:rPr>
          <w:snapToGrid w:val="0"/>
          <w:kern w:val="22"/>
          <w:szCs w:val="22"/>
          <w:lang w:val="es-ES_tradnl"/>
        </w:rPr>
        <w:t xml:space="preserve">7 Gt) </w:t>
      </w:r>
      <w:r w:rsidRPr="000E4865">
        <w:rPr>
          <w:snapToGrid w:val="0"/>
          <w:kern w:val="22"/>
          <w:szCs w:val="22"/>
          <w:lang w:val="es-ES_tradnl"/>
        </w:rPr>
        <w:t>de la emisión total mundial</w:t>
      </w:r>
      <w:r w:rsidR="00276B6C" w:rsidRPr="000E4865">
        <w:rPr>
          <w:snapToGrid w:val="0"/>
          <w:kern w:val="22"/>
          <w:szCs w:val="22"/>
          <w:lang w:val="es-ES_tradnl"/>
        </w:rPr>
        <w:t xml:space="preserve">, </w:t>
      </w:r>
      <w:r w:rsidRPr="000E4865">
        <w:rPr>
          <w:snapToGrid w:val="0"/>
          <w:kern w:val="22"/>
          <w:szCs w:val="22"/>
          <w:lang w:val="es-ES_tradnl"/>
        </w:rPr>
        <w:t xml:space="preserve">el </w:t>
      </w:r>
      <w:r w:rsidR="00276B6C" w:rsidRPr="000E4865">
        <w:rPr>
          <w:snapToGrid w:val="0"/>
          <w:kern w:val="22"/>
          <w:szCs w:val="22"/>
          <w:lang w:val="es-ES_tradnl"/>
        </w:rPr>
        <w:t>30</w:t>
      </w:r>
      <w:r w:rsidRPr="000E4865">
        <w:rPr>
          <w:snapToGrid w:val="0"/>
          <w:kern w:val="22"/>
          <w:szCs w:val="22"/>
          <w:lang w:val="es-ES_tradnl"/>
        </w:rPr>
        <w:t>%</w:t>
      </w:r>
      <w:r w:rsidR="00276B6C" w:rsidRPr="000E4865">
        <w:rPr>
          <w:snapToGrid w:val="0"/>
          <w:kern w:val="22"/>
          <w:szCs w:val="22"/>
          <w:lang w:val="es-ES_tradnl"/>
        </w:rPr>
        <w:t xml:space="preserve"> </w:t>
      </w:r>
      <w:r w:rsidRPr="000E4865">
        <w:rPr>
          <w:snapToGrid w:val="0"/>
          <w:kern w:val="22"/>
          <w:szCs w:val="22"/>
          <w:lang w:val="es-ES_tradnl"/>
        </w:rPr>
        <w:t xml:space="preserve">de la cuales procede </w:t>
      </w:r>
      <w:r w:rsidR="002F72EE">
        <w:rPr>
          <w:snapToGrid w:val="0"/>
          <w:kern w:val="22"/>
          <w:szCs w:val="22"/>
          <w:lang w:val="es-ES_tradnl"/>
        </w:rPr>
        <w:t xml:space="preserve">de </w:t>
      </w:r>
      <w:r w:rsidRPr="000E4865">
        <w:rPr>
          <w:snapToGrid w:val="0"/>
          <w:kern w:val="22"/>
          <w:szCs w:val="22"/>
          <w:lang w:val="es-ES_tradnl"/>
        </w:rPr>
        <w:t>la industria siderúrgica</w:t>
      </w:r>
      <w:r w:rsidR="00276B6C" w:rsidRPr="000E4865">
        <w:rPr>
          <w:snapToGrid w:val="0"/>
          <w:kern w:val="22"/>
          <w:szCs w:val="22"/>
          <w:lang w:val="es-ES_tradnl"/>
        </w:rPr>
        <w:t xml:space="preserve">, </w:t>
      </w:r>
      <w:r w:rsidR="002F72EE">
        <w:rPr>
          <w:snapToGrid w:val="0"/>
          <w:kern w:val="22"/>
          <w:szCs w:val="22"/>
          <w:lang w:val="es-ES_tradnl"/>
        </w:rPr>
        <w:t xml:space="preserve">el </w:t>
      </w:r>
      <w:r w:rsidR="00276B6C" w:rsidRPr="000E4865">
        <w:rPr>
          <w:snapToGrid w:val="0"/>
          <w:kern w:val="22"/>
          <w:szCs w:val="22"/>
          <w:lang w:val="es-ES_tradnl"/>
        </w:rPr>
        <w:t>27</w:t>
      </w:r>
      <w:r w:rsidRPr="000E4865">
        <w:rPr>
          <w:snapToGrid w:val="0"/>
          <w:kern w:val="22"/>
          <w:szCs w:val="22"/>
          <w:lang w:val="es-ES_tradnl"/>
        </w:rPr>
        <w:t>%</w:t>
      </w:r>
      <w:r w:rsidR="00276B6C" w:rsidRPr="000E4865">
        <w:rPr>
          <w:snapToGrid w:val="0"/>
          <w:kern w:val="22"/>
          <w:szCs w:val="22"/>
          <w:lang w:val="es-ES_tradnl"/>
        </w:rPr>
        <w:t xml:space="preserve"> </w:t>
      </w:r>
      <w:r w:rsidRPr="000E4865">
        <w:rPr>
          <w:snapToGrid w:val="0"/>
          <w:kern w:val="22"/>
          <w:szCs w:val="22"/>
          <w:lang w:val="es-ES_tradnl"/>
        </w:rPr>
        <w:t xml:space="preserve">de los minerales no metálicos </w:t>
      </w:r>
      <w:r w:rsidR="00276B6C" w:rsidRPr="000E4865">
        <w:rPr>
          <w:snapToGrid w:val="0"/>
          <w:kern w:val="22"/>
          <w:szCs w:val="22"/>
          <w:lang w:val="es-ES_tradnl"/>
        </w:rPr>
        <w:t>(</w:t>
      </w:r>
      <w:r w:rsidRPr="000E4865">
        <w:rPr>
          <w:snapToGrid w:val="0"/>
          <w:kern w:val="22"/>
          <w:szCs w:val="22"/>
          <w:lang w:val="es-ES_tradnl"/>
        </w:rPr>
        <w:t>principalmente el cemento</w:t>
      </w:r>
      <w:r w:rsidR="00276B6C" w:rsidRPr="000E4865">
        <w:rPr>
          <w:snapToGrid w:val="0"/>
          <w:kern w:val="22"/>
          <w:szCs w:val="22"/>
          <w:lang w:val="es-ES_tradnl"/>
        </w:rPr>
        <w:t xml:space="preserve">) </w:t>
      </w:r>
      <w:r w:rsidRPr="000E4865">
        <w:rPr>
          <w:snapToGrid w:val="0"/>
          <w:kern w:val="22"/>
          <w:szCs w:val="22"/>
          <w:lang w:val="es-ES_tradnl"/>
        </w:rPr>
        <w:t>y</w:t>
      </w:r>
      <w:r w:rsidR="00276B6C" w:rsidRPr="000E4865">
        <w:rPr>
          <w:snapToGrid w:val="0"/>
          <w:kern w:val="22"/>
          <w:szCs w:val="22"/>
          <w:lang w:val="es-ES_tradnl"/>
        </w:rPr>
        <w:t xml:space="preserve"> </w:t>
      </w:r>
      <w:r w:rsidR="002F72EE">
        <w:rPr>
          <w:snapToGrid w:val="0"/>
          <w:kern w:val="22"/>
          <w:szCs w:val="22"/>
          <w:lang w:val="es-ES_tradnl"/>
        </w:rPr>
        <w:t xml:space="preserve">el </w:t>
      </w:r>
      <w:r w:rsidR="00276B6C" w:rsidRPr="000E4865">
        <w:rPr>
          <w:snapToGrid w:val="0"/>
          <w:kern w:val="22"/>
          <w:szCs w:val="22"/>
          <w:lang w:val="es-ES_tradnl"/>
        </w:rPr>
        <w:t>16</w:t>
      </w:r>
      <w:r w:rsidRPr="000E4865">
        <w:rPr>
          <w:snapToGrid w:val="0"/>
          <w:kern w:val="22"/>
          <w:szCs w:val="22"/>
          <w:lang w:val="es-ES_tradnl"/>
        </w:rPr>
        <w:t>%</w:t>
      </w:r>
      <w:r w:rsidR="00276B6C" w:rsidRPr="000E4865">
        <w:rPr>
          <w:snapToGrid w:val="0"/>
          <w:kern w:val="22"/>
          <w:szCs w:val="22"/>
          <w:lang w:val="es-ES_tradnl"/>
        </w:rPr>
        <w:t xml:space="preserve"> </w:t>
      </w:r>
      <w:r w:rsidRPr="000E4865">
        <w:rPr>
          <w:snapToGrid w:val="0"/>
          <w:kern w:val="22"/>
          <w:szCs w:val="22"/>
          <w:lang w:val="es-ES_tradnl"/>
        </w:rPr>
        <w:t>de la producción de sustancias químicas y petroquímicas</w:t>
      </w:r>
      <w:r w:rsidR="00276B6C" w:rsidRPr="000E4865">
        <w:rPr>
          <w:snapToGrid w:val="0"/>
          <w:kern w:val="22"/>
          <w:szCs w:val="22"/>
          <w:lang w:val="es-ES_tradnl"/>
        </w:rPr>
        <w:t xml:space="preserve">. </w:t>
      </w:r>
      <w:r w:rsidRPr="000E4865">
        <w:rPr>
          <w:snapToGrid w:val="0"/>
          <w:kern w:val="22"/>
          <w:szCs w:val="22"/>
          <w:lang w:val="es-ES_tradnl"/>
        </w:rPr>
        <w:t xml:space="preserve">Las emisiones de </w:t>
      </w:r>
      <w:r w:rsidR="00276B6C" w:rsidRPr="000E4865">
        <w:rPr>
          <w:snapToGrid w:val="0"/>
          <w:kern w:val="22"/>
          <w:szCs w:val="22"/>
          <w:lang w:val="es-ES_tradnl"/>
        </w:rPr>
        <w:t>CO</w:t>
      </w:r>
      <w:r w:rsidR="00276B6C" w:rsidRPr="000E4865">
        <w:rPr>
          <w:snapToGrid w:val="0"/>
          <w:kern w:val="22"/>
          <w:szCs w:val="22"/>
          <w:vertAlign w:val="subscript"/>
          <w:lang w:val="es-ES_tradnl"/>
        </w:rPr>
        <w:t>2</w:t>
      </w:r>
      <w:r w:rsidR="00276B6C" w:rsidRPr="000E4865">
        <w:rPr>
          <w:snapToGrid w:val="0"/>
          <w:kern w:val="22"/>
          <w:szCs w:val="22"/>
          <w:lang w:val="es-ES_tradnl"/>
        </w:rPr>
        <w:t xml:space="preserve"> </w:t>
      </w:r>
      <w:r w:rsidRPr="000E4865">
        <w:rPr>
          <w:snapToGrid w:val="0"/>
          <w:kern w:val="22"/>
          <w:szCs w:val="22"/>
          <w:lang w:val="es-ES_tradnl"/>
        </w:rPr>
        <w:t xml:space="preserve">de la combustión de combustibles fósiles </w:t>
      </w:r>
      <w:r w:rsidR="00A45835">
        <w:rPr>
          <w:snapToGrid w:val="0"/>
          <w:kern w:val="22"/>
          <w:szCs w:val="22"/>
          <w:lang w:val="es-ES_tradnl"/>
        </w:rPr>
        <w:t xml:space="preserve">del </w:t>
      </w:r>
      <w:r w:rsidRPr="000E4865">
        <w:rPr>
          <w:snapToGrid w:val="0"/>
          <w:kern w:val="22"/>
          <w:szCs w:val="22"/>
          <w:lang w:val="es-ES_tradnl"/>
        </w:rPr>
        <w:t xml:space="preserve">sector industrial alcanzó un total de </w:t>
      </w:r>
      <w:r w:rsidR="00276B6C" w:rsidRPr="000E4865">
        <w:rPr>
          <w:snapToGrid w:val="0"/>
          <w:kern w:val="22"/>
          <w:szCs w:val="22"/>
          <w:lang w:val="es-ES_tradnl"/>
        </w:rPr>
        <w:t>3</w:t>
      </w:r>
      <w:r w:rsidRPr="000E4865">
        <w:rPr>
          <w:snapToGrid w:val="0"/>
          <w:kern w:val="22"/>
          <w:szCs w:val="22"/>
          <w:lang w:val="es-ES_tradnl"/>
        </w:rPr>
        <w:t>,</w:t>
      </w:r>
      <w:r w:rsidR="00276B6C" w:rsidRPr="000E4865">
        <w:rPr>
          <w:snapToGrid w:val="0"/>
          <w:kern w:val="22"/>
          <w:szCs w:val="22"/>
          <w:lang w:val="es-ES_tradnl"/>
        </w:rPr>
        <w:t xml:space="preserve">8 Gt </w:t>
      </w:r>
      <w:r w:rsidRPr="000E4865">
        <w:rPr>
          <w:snapToGrid w:val="0"/>
          <w:kern w:val="22"/>
          <w:szCs w:val="22"/>
          <w:lang w:val="es-ES_tradnl"/>
        </w:rPr>
        <w:t>e</w:t>
      </w:r>
      <w:r w:rsidR="00276B6C" w:rsidRPr="000E4865">
        <w:rPr>
          <w:snapToGrid w:val="0"/>
          <w:kern w:val="22"/>
          <w:szCs w:val="22"/>
          <w:lang w:val="es-ES_tradnl"/>
        </w:rPr>
        <w:t xml:space="preserve">n 2007, </w:t>
      </w:r>
      <w:r w:rsidR="00A45835">
        <w:rPr>
          <w:snapToGrid w:val="0"/>
          <w:kern w:val="22"/>
          <w:szCs w:val="22"/>
          <w:lang w:val="es-ES_tradnl"/>
        </w:rPr>
        <w:t xml:space="preserve">es decir </w:t>
      </w:r>
      <w:r w:rsidRPr="000E4865">
        <w:rPr>
          <w:snapToGrid w:val="0"/>
          <w:kern w:val="22"/>
          <w:szCs w:val="22"/>
          <w:lang w:val="es-ES_tradnl"/>
        </w:rPr>
        <w:t xml:space="preserve">un aumento del </w:t>
      </w:r>
      <w:r w:rsidR="00276B6C" w:rsidRPr="000E4865">
        <w:rPr>
          <w:snapToGrid w:val="0"/>
          <w:kern w:val="22"/>
          <w:szCs w:val="22"/>
          <w:lang w:val="es-ES_tradnl"/>
        </w:rPr>
        <w:t>30</w:t>
      </w:r>
      <w:r w:rsidRPr="000E4865">
        <w:rPr>
          <w:snapToGrid w:val="0"/>
          <w:kern w:val="22"/>
          <w:szCs w:val="22"/>
          <w:lang w:val="es-ES_tradnl"/>
        </w:rPr>
        <w:t>%</w:t>
      </w:r>
      <w:r w:rsidR="00276B6C" w:rsidRPr="000E4865">
        <w:rPr>
          <w:snapToGrid w:val="0"/>
          <w:kern w:val="22"/>
          <w:szCs w:val="22"/>
          <w:lang w:val="es-ES_tradnl"/>
        </w:rPr>
        <w:t xml:space="preserve"> </w:t>
      </w:r>
      <w:r w:rsidRPr="000E4865">
        <w:rPr>
          <w:snapToGrid w:val="0"/>
          <w:kern w:val="22"/>
          <w:szCs w:val="22"/>
          <w:lang w:val="es-ES_tradnl"/>
        </w:rPr>
        <w:t xml:space="preserve">desde </w:t>
      </w:r>
      <w:r w:rsidR="00276B6C" w:rsidRPr="000E4865">
        <w:rPr>
          <w:snapToGrid w:val="0"/>
          <w:kern w:val="22"/>
          <w:szCs w:val="22"/>
          <w:lang w:val="es-ES_tradnl"/>
        </w:rPr>
        <w:t>1970</w:t>
      </w:r>
      <w:r w:rsidR="00276B6C" w:rsidRPr="000E4865">
        <w:rPr>
          <w:rStyle w:val="FootnoteReference"/>
          <w:snapToGrid w:val="0"/>
          <w:color w:val="000000" w:themeColor="text1"/>
          <w:kern w:val="22"/>
          <w:szCs w:val="22"/>
          <w:shd w:val="clear" w:color="auto" w:fill="FFFFFF"/>
          <w:lang w:val="es-ES_tradnl"/>
        </w:rPr>
        <w:footnoteReference w:id="21"/>
      </w:r>
      <w:r w:rsidRPr="000E4865">
        <w:rPr>
          <w:snapToGrid w:val="0"/>
          <w:kern w:val="22"/>
          <w:szCs w:val="22"/>
          <w:lang w:val="es-ES_tradnl"/>
        </w:rPr>
        <w:t xml:space="preserve">. Además, el mundo generó aproximadamente </w:t>
      </w:r>
      <w:r w:rsidR="00276B6C" w:rsidRPr="000E4865">
        <w:rPr>
          <w:snapToGrid w:val="0"/>
          <w:kern w:val="22"/>
          <w:szCs w:val="22"/>
          <w:lang w:val="es-ES_tradnl"/>
        </w:rPr>
        <w:t>41</w:t>
      </w:r>
      <w:r w:rsidRPr="000E4865">
        <w:rPr>
          <w:snapToGrid w:val="0"/>
          <w:kern w:val="22"/>
          <w:szCs w:val="22"/>
          <w:lang w:val="es-ES_tradnl"/>
        </w:rPr>
        <w:t>,</w:t>
      </w:r>
      <w:r w:rsidR="00276B6C" w:rsidRPr="000E4865">
        <w:rPr>
          <w:snapToGrid w:val="0"/>
          <w:kern w:val="22"/>
          <w:szCs w:val="22"/>
          <w:lang w:val="es-ES_tradnl"/>
        </w:rPr>
        <w:t xml:space="preserve">8 </w:t>
      </w:r>
      <w:r w:rsidRPr="000E4865">
        <w:rPr>
          <w:snapToGrid w:val="0"/>
          <w:kern w:val="22"/>
          <w:szCs w:val="22"/>
          <w:lang w:val="es-ES_tradnl"/>
        </w:rPr>
        <w:t xml:space="preserve">millones de toneladas métricas en desechos electrónicos en </w:t>
      </w:r>
      <w:r w:rsidR="00276B6C" w:rsidRPr="000E4865">
        <w:rPr>
          <w:snapToGrid w:val="0"/>
          <w:kern w:val="22"/>
          <w:szCs w:val="22"/>
          <w:lang w:val="es-ES_tradnl"/>
        </w:rPr>
        <w:t>2014</w:t>
      </w:r>
      <w:r w:rsidR="004C0458" w:rsidRPr="000E4865">
        <w:rPr>
          <w:snapToGrid w:val="0"/>
          <w:kern w:val="22"/>
          <w:szCs w:val="22"/>
          <w:vertAlign w:val="superscript"/>
          <w:lang w:val="es-ES_tradnl"/>
        </w:rPr>
        <w:fldChar w:fldCharType="begin"/>
      </w:r>
      <w:r w:rsidR="004C0458" w:rsidRPr="000E4865">
        <w:rPr>
          <w:snapToGrid w:val="0"/>
          <w:kern w:val="22"/>
          <w:szCs w:val="22"/>
          <w:vertAlign w:val="superscript"/>
          <w:lang w:val="es-ES_tradnl"/>
        </w:rPr>
        <w:instrText xml:space="preserve"> NOTEREF _Ref517081720 \h  \* MERGEFORMAT </w:instrText>
      </w:r>
      <w:r w:rsidR="004C0458" w:rsidRPr="000E4865">
        <w:rPr>
          <w:snapToGrid w:val="0"/>
          <w:kern w:val="22"/>
          <w:szCs w:val="22"/>
          <w:vertAlign w:val="superscript"/>
          <w:lang w:val="es-ES_tradnl"/>
        </w:rPr>
      </w:r>
      <w:r w:rsidR="004C0458" w:rsidRPr="000E4865">
        <w:rPr>
          <w:snapToGrid w:val="0"/>
          <w:kern w:val="22"/>
          <w:szCs w:val="22"/>
          <w:vertAlign w:val="superscript"/>
          <w:lang w:val="es-ES_tradnl"/>
        </w:rPr>
        <w:fldChar w:fldCharType="separate"/>
      </w:r>
      <w:r w:rsidR="004C0458" w:rsidRPr="000E4865">
        <w:rPr>
          <w:snapToGrid w:val="0"/>
          <w:kern w:val="22"/>
          <w:szCs w:val="22"/>
          <w:vertAlign w:val="superscript"/>
          <w:lang w:val="es-ES_tradnl"/>
        </w:rPr>
        <w:t>19</w:t>
      </w:r>
      <w:r w:rsidR="004C0458" w:rsidRPr="000E4865">
        <w:rPr>
          <w:snapToGrid w:val="0"/>
          <w:kern w:val="22"/>
          <w:szCs w:val="22"/>
          <w:vertAlign w:val="superscript"/>
          <w:lang w:val="es-ES_tradnl"/>
        </w:rPr>
        <w:fldChar w:fldCharType="end"/>
      </w:r>
      <w:r w:rsidRPr="000E4865">
        <w:rPr>
          <w:snapToGrid w:val="0"/>
          <w:kern w:val="22"/>
          <w:szCs w:val="22"/>
          <w:lang w:val="es-ES_tradnl"/>
        </w:rPr>
        <w:t>.</w:t>
      </w:r>
    </w:p>
    <w:p w14:paraId="1737096D" w14:textId="750D83C2" w:rsidR="00276B6C" w:rsidRPr="000E4865" w:rsidRDefault="009A33FA"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color w:val="000000" w:themeColor="text1"/>
          <w:kern w:val="22"/>
          <w:szCs w:val="22"/>
          <w:shd w:val="clear" w:color="auto" w:fill="FFFFFF"/>
          <w:lang w:val="es-ES_tradnl"/>
        </w:rPr>
      </w:pPr>
      <w:r w:rsidRPr="000E4865">
        <w:rPr>
          <w:snapToGrid w:val="0"/>
          <w:kern w:val="22"/>
          <w:szCs w:val="22"/>
          <w:lang w:val="es-ES_tradnl"/>
        </w:rPr>
        <w:t>Los factores indirectos de impacto en la diversidad biológica de las industrias manufactureras pueden vincularse a los insumos de fabricación y, por tanto, a los proveedores de materias primas</w:t>
      </w:r>
      <w:r w:rsidR="00276B6C" w:rsidRPr="000E4865">
        <w:rPr>
          <w:snapToGrid w:val="0"/>
          <w:kern w:val="22"/>
          <w:szCs w:val="22"/>
          <w:lang w:val="es-ES_tradnl"/>
        </w:rPr>
        <w:t xml:space="preserve"> (</w:t>
      </w:r>
      <w:r w:rsidR="00005AD5" w:rsidRPr="000E4865">
        <w:rPr>
          <w:snapToGrid w:val="0"/>
          <w:kern w:val="22"/>
          <w:szCs w:val="22"/>
          <w:lang w:val="es-ES_tradnl"/>
        </w:rPr>
        <w:t>p. ej.</w:t>
      </w:r>
      <w:r w:rsidR="00276B6C" w:rsidRPr="000E4865">
        <w:rPr>
          <w:snapToGrid w:val="0"/>
          <w:kern w:val="22"/>
          <w:szCs w:val="22"/>
          <w:lang w:val="es-ES_tradnl"/>
        </w:rPr>
        <w:t xml:space="preserve">, </w:t>
      </w:r>
      <w:r w:rsidRPr="000E4865">
        <w:rPr>
          <w:snapToGrid w:val="0"/>
          <w:kern w:val="22"/>
          <w:szCs w:val="22"/>
          <w:lang w:val="es-ES_tradnl"/>
        </w:rPr>
        <w:t>extracción de minerales raros y metales básicos</w:t>
      </w:r>
      <w:r w:rsidR="00276B6C" w:rsidRPr="000E4865">
        <w:rPr>
          <w:snapToGrid w:val="0"/>
          <w:kern w:val="22"/>
          <w:szCs w:val="22"/>
          <w:lang w:val="es-ES_tradnl"/>
        </w:rPr>
        <w:t xml:space="preserve">). </w:t>
      </w:r>
      <w:r w:rsidRPr="000E4865">
        <w:rPr>
          <w:snapToGrid w:val="0"/>
          <w:kern w:val="22"/>
          <w:szCs w:val="22"/>
          <w:lang w:val="es-ES_tradnl"/>
        </w:rPr>
        <w:t xml:space="preserve">Efectivamente, los productores o los extractores de materias </w:t>
      </w:r>
      <w:r w:rsidRPr="000E4865">
        <w:rPr>
          <w:snapToGrid w:val="0"/>
          <w:kern w:val="22"/>
          <w:szCs w:val="22"/>
          <w:lang w:val="es-ES_tradnl"/>
        </w:rPr>
        <w:lastRenderedPageBreak/>
        <w:t>primas</w:t>
      </w:r>
      <w:r w:rsidR="00A45835">
        <w:rPr>
          <w:snapToGrid w:val="0"/>
          <w:kern w:val="22"/>
          <w:szCs w:val="22"/>
          <w:lang w:val="es-ES_tradnl"/>
        </w:rPr>
        <w:t xml:space="preserve"> se vinculan con </w:t>
      </w:r>
      <w:r w:rsidRPr="000E4865">
        <w:rPr>
          <w:snapToGrid w:val="0"/>
          <w:kern w:val="22"/>
          <w:szCs w:val="22"/>
          <w:lang w:val="es-ES_tradnl"/>
        </w:rPr>
        <w:t>importantes impactos en la diversidad biológica</w:t>
      </w:r>
      <w:r w:rsidR="00276B6C" w:rsidRPr="000E4865">
        <w:rPr>
          <w:rStyle w:val="FootnoteReference"/>
          <w:snapToGrid w:val="0"/>
          <w:kern w:val="22"/>
          <w:szCs w:val="22"/>
          <w:lang w:val="es-ES_tradnl"/>
        </w:rPr>
        <w:footnoteReference w:id="22"/>
      </w:r>
      <w:r w:rsidRPr="000E4865">
        <w:rPr>
          <w:snapToGrid w:val="0"/>
          <w:kern w:val="22"/>
          <w:szCs w:val="22"/>
          <w:lang w:val="es-ES_tradnl"/>
        </w:rPr>
        <w:t xml:space="preserve">, en particular los relacionados con la pérdida o </w:t>
      </w:r>
      <w:r w:rsidR="009978B6" w:rsidRPr="000E4865">
        <w:rPr>
          <w:snapToGrid w:val="0"/>
          <w:kern w:val="22"/>
          <w:szCs w:val="22"/>
          <w:lang w:val="es-ES_tradnl"/>
        </w:rPr>
        <w:t xml:space="preserve">la </w:t>
      </w:r>
      <w:r w:rsidRPr="000E4865">
        <w:rPr>
          <w:snapToGrid w:val="0"/>
          <w:kern w:val="22"/>
          <w:szCs w:val="22"/>
          <w:lang w:val="es-ES_tradnl"/>
        </w:rPr>
        <w:t>degradación de</w:t>
      </w:r>
      <w:r w:rsidR="009978B6" w:rsidRPr="000E4865">
        <w:rPr>
          <w:snapToGrid w:val="0"/>
          <w:kern w:val="22"/>
          <w:szCs w:val="22"/>
          <w:lang w:val="es-ES_tradnl"/>
        </w:rPr>
        <w:t>l</w:t>
      </w:r>
      <w:r w:rsidRPr="000E4865">
        <w:rPr>
          <w:snapToGrid w:val="0"/>
          <w:kern w:val="22"/>
          <w:szCs w:val="22"/>
          <w:lang w:val="es-ES_tradnl"/>
        </w:rPr>
        <w:t xml:space="preserve"> h</w:t>
      </w:r>
      <w:r w:rsidR="009978B6" w:rsidRPr="000E4865">
        <w:rPr>
          <w:snapToGrid w:val="0"/>
          <w:kern w:val="22"/>
          <w:szCs w:val="22"/>
          <w:lang w:val="es-ES_tradnl"/>
        </w:rPr>
        <w:t>á</w:t>
      </w:r>
      <w:r w:rsidRPr="000E4865">
        <w:rPr>
          <w:snapToGrid w:val="0"/>
          <w:kern w:val="22"/>
          <w:szCs w:val="22"/>
          <w:lang w:val="es-ES_tradnl"/>
        </w:rPr>
        <w:t>bitat</w:t>
      </w:r>
      <w:r w:rsidR="00276B6C" w:rsidRPr="000E4865">
        <w:rPr>
          <w:snapToGrid w:val="0"/>
          <w:kern w:val="22"/>
          <w:szCs w:val="22"/>
          <w:lang w:val="es-ES_tradnl"/>
        </w:rPr>
        <w:t xml:space="preserve"> (</w:t>
      </w:r>
      <w:r w:rsidR="00005AD5" w:rsidRPr="000E4865">
        <w:rPr>
          <w:snapToGrid w:val="0"/>
          <w:kern w:val="22"/>
          <w:szCs w:val="22"/>
          <w:lang w:val="es-ES_tradnl"/>
        </w:rPr>
        <w:t>p. ej.</w:t>
      </w:r>
      <w:r w:rsidR="00276B6C" w:rsidRPr="000E4865">
        <w:rPr>
          <w:snapToGrid w:val="0"/>
          <w:kern w:val="22"/>
          <w:szCs w:val="22"/>
          <w:lang w:val="es-ES_tradnl"/>
        </w:rPr>
        <w:t xml:space="preserve">, </w:t>
      </w:r>
      <w:r w:rsidR="009978B6" w:rsidRPr="000E4865">
        <w:rPr>
          <w:snapToGrid w:val="0"/>
          <w:kern w:val="22"/>
          <w:szCs w:val="22"/>
          <w:lang w:val="es-ES_tradnl"/>
        </w:rPr>
        <w:t>la deforestación debida a las cadenas de suministro agrícolas, que es la mayor fuente de presión sobre la diversidad biológica en todo el mundo</w:t>
      </w:r>
      <w:r w:rsidR="00276B6C" w:rsidRPr="000E4865">
        <w:rPr>
          <w:snapToGrid w:val="0"/>
          <w:kern w:val="22"/>
          <w:szCs w:val="22"/>
          <w:lang w:val="es-ES_tradnl"/>
        </w:rPr>
        <w:t>)</w:t>
      </w:r>
      <w:r w:rsidR="00276B6C" w:rsidRPr="000E4865">
        <w:rPr>
          <w:snapToGrid w:val="0"/>
          <w:kern w:val="22"/>
          <w:szCs w:val="22"/>
          <w:vertAlign w:val="superscript"/>
          <w:lang w:val="es-ES_tradnl"/>
        </w:rPr>
        <w:footnoteReference w:id="23"/>
      </w:r>
      <w:r w:rsidR="00D96734" w:rsidRPr="000E4865">
        <w:rPr>
          <w:snapToGrid w:val="0"/>
          <w:kern w:val="22"/>
          <w:szCs w:val="22"/>
          <w:vertAlign w:val="superscript"/>
          <w:lang w:val="es-ES_tradnl"/>
        </w:rPr>
        <w:t>,</w:t>
      </w:r>
      <w:r w:rsidR="00276B6C" w:rsidRPr="000E4865">
        <w:rPr>
          <w:snapToGrid w:val="0"/>
          <w:kern w:val="22"/>
          <w:szCs w:val="22"/>
          <w:vertAlign w:val="superscript"/>
          <w:lang w:val="es-ES_tradnl"/>
        </w:rPr>
        <w:footnoteReference w:id="24"/>
      </w:r>
      <w:r w:rsidR="009978B6" w:rsidRPr="000E4865">
        <w:rPr>
          <w:snapToGrid w:val="0"/>
          <w:kern w:val="22"/>
          <w:szCs w:val="22"/>
          <w:lang w:val="es-ES_tradnl"/>
        </w:rPr>
        <w:t>. Para los ecosistemas terrestres, la pérdida de hábitat se debe, en gran medida, a la conversión de hábitats naturales para la agricultura</w:t>
      </w:r>
      <w:r w:rsidR="00276B6C" w:rsidRPr="000E4865">
        <w:rPr>
          <w:snapToGrid w:val="0"/>
          <w:kern w:val="22"/>
          <w:szCs w:val="22"/>
          <w:lang w:val="es-ES_tradnl"/>
        </w:rPr>
        <w:t xml:space="preserve">, </w:t>
      </w:r>
      <w:r w:rsidR="009978B6" w:rsidRPr="000E4865">
        <w:rPr>
          <w:snapToGrid w:val="0"/>
          <w:kern w:val="22"/>
          <w:szCs w:val="22"/>
          <w:lang w:val="es-ES_tradnl"/>
        </w:rPr>
        <w:t xml:space="preserve">que representa un </w:t>
      </w:r>
      <w:r w:rsidR="00276B6C" w:rsidRPr="000E4865">
        <w:rPr>
          <w:snapToGrid w:val="0"/>
          <w:kern w:val="22"/>
          <w:szCs w:val="22"/>
          <w:lang w:val="es-ES_tradnl"/>
        </w:rPr>
        <w:t>30</w:t>
      </w:r>
      <w:r w:rsidR="00DA6295" w:rsidRPr="000E4865">
        <w:rPr>
          <w:snapToGrid w:val="0"/>
          <w:kern w:val="22"/>
          <w:szCs w:val="22"/>
          <w:lang w:val="es-ES_tradnl"/>
        </w:rPr>
        <w:t>%</w:t>
      </w:r>
      <w:r w:rsidR="00276B6C" w:rsidRPr="000E4865">
        <w:rPr>
          <w:snapToGrid w:val="0"/>
          <w:kern w:val="22"/>
          <w:szCs w:val="22"/>
          <w:lang w:val="es-ES_tradnl"/>
        </w:rPr>
        <w:t xml:space="preserve"> </w:t>
      </w:r>
      <w:r w:rsidR="009978B6" w:rsidRPr="000E4865">
        <w:rPr>
          <w:snapToGrid w:val="0"/>
          <w:kern w:val="22"/>
          <w:szCs w:val="22"/>
          <w:lang w:val="es-ES_tradnl"/>
        </w:rPr>
        <w:t>de la tierra a escala mundial</w:t>
      </w:r>
      <w:r w:rsidR="00276B6C" w:rsidRPr="000E4865">
        <w:rPr>
          <w:snapToGrid w:val="0"/>
          <w:kern w:val="22"/>
          <w:szCs w:val="22"/>
          <w:lang w:val="es-ES_tradnl"/>
        </w:rPr>
        <w:t xml:space="preserve">. </w:t>
      </w:r>
      <w:r w:rsidR="009978B6" w:rsidRPr="000E4865">
        <w:rPr>
          <w:snapToGrid w:val="0"/>
          <w:kern w:val="22"/>
          <w:szCs w:val="22"/>
          <w:lang w:val="es-ES_tradnl"/>
        </w:rPr>
        <w:t xml:space="preserve">Esto </w:t>
      </w:r>
      <w:r w:rsidR="00A45835">
        <w:rPr>
          <w:snapToGrid w:val="0"/>
          <w:kern w:val="22"/>
          <w:szCs w:val="22"/>
          <w:lang w:val="es-ES_tradnl"/>
        </w:rPr>
        <w:t xml:space="preserve">también </w:t>
      </w:r>
      <w:r w:rsidR="009978B6" w:rsidRPr="000E4865">
        <w:rPr>
          <w:snapToGrid w:val="0"/>
          <w:kern w:val="22"/>
          <w:szCs w:val="22"/>
          <w:lang w:val="es-ES_tradnl"/>
        </w:rPr>
        <w:t xml:space="preserve">puede </w:t>
      </w:r>
      <w:r w:rsidR="00A45835">
        <w:rPr>
          <w:snapToGrid w:val="0"/>
          <w:kern w:val="22"/>
          <w:szCs w:val="22"/>
          <w:lang w:val="es-ES_tradnl"/>
        </w:rPr>
        <w:t xml:space="preserve">llegar a </w:t>
      </w:r>
      <w:r w:rsidR="009978B6" w:rsidRPr="000E4865">
        <w:rPr>
          <w:snapToGrid w:val="0"/>
          <w:kern w:val="22"/>
          <w:szCs w:val="22"/>
          <w:lang w:val="es-ES_tradnl"/>
        </w:rPr>
        <w:t xml:space="preserve">combinarse con la sobreexplotación de los recursos biológicos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9978B6" w:rsidRPr="000E4865">
        <w:rPr>
          <w:snapToGrid w:val="0"/>
          <w:kern w:val="22"/>
          <w:szCs w:val="22"/>
          <w:lang w:val="es-ES_tradnl"/>
        </w:rPr>
        <w:t>la pesca excesiva</w:t>
      </w:r>
      <w:r w:rsidR="00276B6C" w:rsidRPr="000E4865">
        <w:rPr>
          <w:rStyle w:val="FootnoteReference"/>
          <w:snapToGrid w:val="0"/>
          <w:kern w:val="22"/>
          <w:szCs w:val="22"/>
          <w:lang w:val="es-ES_tradnl"/>
        </w:rPr>
        <w:footnoteReference w:id="25"/>
      </w:r>
      <w:r w:rsidR="009978B6" w:rsidRPr="000E4865">
        <w:rPr>
          <w:snapToGrid w:val="0"/>
          <w:kern w:val="22"/>
          <w:szCs w:val="22"/>
          <w:lang w:val="es-ES_tradnl"/>
        </w:rPr>
        <w:t>,</w:t>
      </w:r>
      <w:r w:rsidR="00276B6C" w:rsidRPr="000E4865">
        <w:rPr>
          <w:snapToGrid w:val="0"/>
          <w:kern w:val="22"/>
          <w:szCs w:val="22"/>
          <w:lang w:val="es-ES_tradnl"/>
        </w:rPr>
        <w:t xml:space="preserve"> </w:t>
      </w:r>
      <w:r w:rsidR="009978B6" w:rsidRPr="000E4865">
        <w:rPr>
          <w:snapToGrid w:val="0"/>
          <w:kern w:val="22"/>
          <w:szCs w:val="22"/>
          <w:lang w:val="es-ES_tradnl"/>
        </w:rPr>
        <w:t>la deforestación</w:t>
      </w:r>
      <w:r w:rsidR="00276B6C" w:rsidRPr="000E4865">
        <w:rPr>
          <w:rStyle w:val="FootnoteReference"/>
          <w:snapToGrid w:val="0"/>
          <w:kern w:val="22"/>
          <w:szCs w:val="22"/>
          <w:lang w:val="es-ES_tradnl"/>
        </w:rPr>
        <w:footnoteReference w:id="26"/>
      </w:r>
      <w:r w:rsidR="00276B6C" w:rsidRPr="000E4865">
        <w:rPr>
          <w:snapToGrid w:val="0"/>
          <w:kern w:val="22"/>
          <w:szCs w:val="22"/>
          <w:lang w:val="es-ES_tradnl"/>
        </w:rPr>
        <w:t xml:space="preserve">) </w:t>
      </w:r>
      <w:r w:rsidR="009978B6" w:rsidRPr="000E4865">
        <w:rPr>
          <w:snapToGrid w:val="0"/>
          <w:kern w:val="22"/>
          <w:szCs w:val="22"/>
          <w:lang w:val="es-ES_tradnl"/>
        </w:rPr>
        <w:t>que sigue siendo un problema importante en muchos países</w:t>
      </w:r>
      <w:r w:rsidR="00276B6C" w:rsidRPr="000E4865">
        <w:rPr>
          <w:snapToGrid w:val="0"/>
          <w:kern w:val="22"/>
          <w:szCs w:val="22"/>
          <w:lang w:val="es-ES_tradnl"/>
        </w:rPr>
        <w:t xml:space="preserve">. </w:t>
      </w:r>
      <w:r w:rsidR="009978B6" w:rsidRPr="000E4865">
        <w:rPr>
          <w:snapToGrid w:val="0"/>
          <w:kern w:val="22"/>
          <w:szCs w:val="22"/>
          <w:lang w:val="es-ES_tradnl"/>
        </w:rPr>
        <w:t xml:space="preserve">Esto significa que las industrias que manufacturan productos alimenticios, bebidas, </w:t>
      </w:r>
      <w:r w:rsidR="00276B6C" w:rsidRPr="000E4865">
        <w:rPr>
          <w:snapToGrid w:val="0"/>
          <w:kern w:val="22"/>
          <w:szCs w:val="22"/>
          <w:lang w:val="es-ES_tradnl"/>
        </w:rPr>
        <w:t>textiles/</w:t>
      </w:r>
      <w:r w:rsidR="009978B6" w:rsidRPr="000E4865">
        <w:rPr>
          <w:snapToGrid w:val="0"/>
          <w:kern w:val="22"/>
          <w:szCs w:val="22"/>
          <w:lang w:val="es-ES_tradnl"/>
        </w:rPr>
        <w:t>cuero</w:t>
      </w:r>
      <w:r w:rsidR="00276B6C" w:rsidRPr="000E4865">
        <w:rPr>
          <w:rStyle w:val="FootnoteReference"/>
          <w:snapToGrid w:val="0"/>
          <w:kern w:val="22"/>
          <w:szCs w:val="22"/>
          <w:lang w:val="es-ES_tradnl"/>
        </w:rPr>
        <w:footnoteReference w:id="27"/>
      </w:r>
      <w:r w:rsidR="009978B6" w:rsidRPr="000E4865">
        <w:rPr>
          <w:snapToGrid w:val="0"/>
          <w:kern w:val="22"/>
          <w:szCs w:val="22"/>
          <w:lang w:val="es-ES_tradnl"/>
        </w:rPr>
        <w:t>, papel, caucho, productos de madera y de tabaco, son indirectamente responsables de una proporción importante de la pérdida de hábitat actual y futura en el mundo entero debido a las necesidades de uso extensivo del suelo de sus sistemas de producción de recursos básicos</w:t>
      </w:r>
      <w:r w:rsidR="00276B6C" w:rsidRPr="000E4865">
        <w:rPr>
          <w:snapToGrid w:val="0"/>
          <w:kern w:val="22"/>
          <w:szCs w:val="22"/>
          <w:lang w:val="es-ES_tradnl"/>
        </w:rPr>
        <w:t xml:space="preserve">. </w:t>
      </w:r>
      <w:r w:rsidR="00A45835">
        <w:rPr>
          <w:snapToGrid w:val="0"/>
          <w:kern w:val="22"/>
          <w:szCs w:val="22"/>
          <w:lang w:val="es-ES_tradnl"/>
        </w:rPr>
        <w:t>Recientemente, e</w:t>
      </w:r>
      <w:r w:rsidR="009978B6" w:rsidRPr="000E4865">
        <w:rPr>
          <w:snapToGrid w:val="0"/>
          <w:kern w:val="22"/>
          <w:szCs w:val="22"/>
          <w:lang w:val="es-ES_tradnl"/>
        </w:rPr>
        <w:t xml:space="preserve">n algunas regiones, la pérdida de hábitat </w:t>
      </w:r>
      <w:r w:rsidR="00455411" w:rsidRPr="000E4865">
        <w:rPr>
          <w:snapToGrid w:val="0"/>
          <w:kern w:val="22"/>
          <w:szCs w:val="22"/>
          <w:lang w:val="es-ES_tradnl"/>
        </w:rPr>
        <w:t>se ha debido también en parte a la demanda de agrocombustibles</w:t>
      </w:r>
      <w:r w:rsidR="00276B6C" w:rsidRPr="000E4865">
        <w:rPr>
          <w:rStyle w:val="FootnoteReference"/>
          <w:snapToGrid w:val="0"/>
          <w:kern w:val="22"/>
          <w:szCs w:val="22"/>
          <w:lang w:val="es-ES_tradnl"/>
        </w:rPr>
        <w:footnoteReference w:id="28"/>
      </w:r>
      <w:r w:rsidR="00455411" w:rsidRPr="000E4865">
        <w:rPr>
          <w:snapToGrid w:val="0"/>
          <w:kern w:val="22"/>
          <w:szCs w:val="22"/>
          <w:lang w:val="es-ES_tradnl"/>
        </w:rPr>
        <w:t xml:space="preserve"> implicando así indirectamente por a la industria química</w:t>
      </w:r>
      <w:r w:rsidR="00276B6C" w:rsidRPr="000E4865">
        <w:rPr>
          <w:snapToGrid w:val="0"/>
          <w:kern w:val="22"/>
          <w:szCs w:val="22"/>
          <w:lang w:val="es-ES_tradnl"/>
        </w:rPr>
        <w:t>.</w:t>
      </w:r>
    </w:p>
    <w:p w14:paraId="3571690C" w14:textId="50DD14DD" w:rsidR="00276B6C" w:rsidRPr="000E4865" w:rsidRDefault="00455411"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rStyle w:val="CommentReference"/>
          <w:snapToGrid w:val="0"/>
          <w:color w:val="000000" w:themeColor="text1"/>
          <w:kern w:val="22"/>
          <w:sz w:val="22"/>
          <w:szCs w:val="22"/>
          <w:shd w:val="clear" w:color="auto" w:fill="FFFFFF"/>
          <w:lang w:val="es-ES_tradnl"/>
        </w:rPr>
      </w:pPr>
      <w:r w:rsidRPr="000E4865">
        <w:rPr>
          <w:snapToGrid w:val="0"/>
          <w:kern w:val="22"/>
          <w:szCs w:val="22"/>
          <w:lang w:val="es-ES_tradnl"/>
        </w:rPr>
        <w:t>Las fuentes de contaminación difusa/no puntual</w:t>
      </w:r>
      <w:r w:rsidR="00276B6C" w:rsidRPr="000E4865">
        <w:rPr>
          <w:snapToGrid w:val="0"/>
          <w:kern w:val="22"/>
          <w:szCs w:val="22"/>
          <w:lang w:val="es-ES_tradnl"/>
        </w:rPr>
        <w:t xml:space="preserve">, </w:t>
      </w:r>
      <w:r w:rsidRPr="000E4865">
        <w:rPr>
          <w:snapToGrid w:val="0"/>
          <w:kern w:val="22"/>
          <w:szCs w:val="22"/>
          <w:lang w:val="es-ES_tradnl"/>
        </w:rPr>
        <w:t xml:space="preserve">por lo general vinculadas a la agricultura comercial </w:t>
      </w:r>
      <w:r w:rsidR="00276B6C" w:rsidRPr="000E4865">
        <w:rPr>
          <w:snapToGrid w:val="0"/>
          <w:kern w:val="22"/>
          <w:szCs w:val="22"/>
          <w:lang w:val="es-ES_tradnl"/>
        </w:rPr>
        <w:t>(</w:t>
      </w:r>
      <w:r w:rsidRPr="000E4865">
        <w:rPr>
          <w:snapToGrid w:val="0"/>
          <w:kern w:val="22"/>
          <w:szCs w:val="22"/>
          <w:lang w:val="es-ES_tradnl"/>
        </w:rPr>
        <w:t>incluida la cría de peces</w:t>
      </w:r>
      <w:r w:rsidR="00276B6C" w:rsidRPr="000E4865">
        <w:rPr>
          <w:rStyle w:val="FootnoteReference"/>
          <w:snapToGrid w:val="0"/>
          <w:kern w:val="22"/>
          <w:szCs w:val="22"/>
          <w:lang w:val="es-ES_tradnl"/>
        </w:rPr>
        <w:footnoteReference w:id="29"/>
      </w:r>
      <w:r w:rsidR="00276B6C" w:rsidRPr="000E4865">
        <w:rPr>
          <w:snapToGrid w:val="0"/>
          <w:kern w:val="22"/>
          <w:szCs w:val="22"/>
          <w:lang w:val="es-ES_tradnl"/>
        </w:rPr>
        <w:t xml:space="preserve">) </w:t>
      </w:r>
      <w:r w:rsidRPr="000E4865">
        <w:rPr>
          <w:snapToGrid w:val="0"/>
          <w:kern w:val="22"/>
          <w:szCs w:val="22"/>
          <w:lang w:val="es-ES_tradnl"/>
        </w:rPr>
        <w:t>también plantean problemas</w:t>
      </w:r>
      <w:r w:rsidR="00276B6C" w:rsidRPr="000E4865">
        <w:rPr>
          <w:snapToGrid w:val="0"/>
          <w:kern w:val="22"/>
          <w:szCs w:val="22"/>
          <w:lang w:val="es-ES_tradnl"/>
        </w:rPr>
        <w:t xml:space="preserve">. </w:t>
      </w:r>
      <w:r w:rsidRPr="000E4865">
        <w:rPr>
          <w:snapToGrid w:val="0"/>
          <w:kern w:val="22"/>
          <w:szCs w:val="22"/>
          <w:lang w:val="es-ES_tradnl"/>
        </w:rPr>
        <w:t>Presentan también importantes riesgos para los ecosistemas marinos y de agua dulce</w:t>
      </w:r>
      <w:r w:rsidR="00276B6C" w:rsidRPr="000E4865">
        <w:rPr>
          <w:snapToGrid w:val="0"/>
          <w:kern w:val="22"/>
          <w:szCs w:val="22"/>
          <w:lang w:val="es-ES_tradnl"/>
        </w:rPr>
        <w:t xml:space="preserve">, </w:t>
      </w:r>
      <w:r w:rsidRPr="000E4865">
        <w:rPr>
          <w:snapToGrid w:val="0"/>
          <w:kern w:val="22"/>
          <w:szCs w:val="22"/>
          <w:lang w:val="es-ES_tradnl"/>
        </w:rPr>
        <w:t xml:space="preserve">y pueden estar correlacionados con la cadena mundial de suministro de diversas industrias manufactureras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Pr="000E4865">
        <w:rPr>
          <w:snapToGrid w:val="0"/>
          <w:kern w:val="22"/>
          <w:szCs w:val="22"/>
          <w:lang w:val="es-ES_tradnl"/>
        </w:rPr>
        <w:t xml:space="preserve">alimentos, bebidas, muebles, </w:t>
      </w:r>
      <w:r w:rsidR="00276B6C" w:rsidRPr="000E4865">
        <w:rPr>
          <w:snapToGrid w:val="0"/>
          <w:kern w:val="22"/>
          <w:szCs w:val="22"/>
          <w:lang w:val="es-ES_tradnl"/>
        </w:rPr>
        <w:t>textiles).</w:t>
      </w:r>
    </w:p>
    <w:p w14:paraId="5AD7D204" w14:textId="18B22FAA" w:rsidR="00276B6C" w:rsidRPr="000E4865" w:rsidRDefault="00455411"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color w:val="000000" w:themeColor="text1"/>
          <w:kern w:val="22"/>
          <w:szCs w:val="22"/>
          <w:shd w:val="clear" w:color="auto" w:fill="FFFFFF"/>
          <w:lang w:val="es-ES_tradnl"/>
        </w:rPr>
      </w:pPr>
      <w:r w:rsidRPr="000E4865">
        <w:rPr>
          <w:snapToGrid w:val="0"/>
          <w:kern w:val="22"/>
          <w:szCs w:val="22"/>
          <w:lang w:val="es-ES_tradnl"/>
        </w:rPr>
        <w:t>En un futuro inmediato, entre los riesgos importante</w:t>
      </w:r>
      <w:r w:rsidR="00A45835">
        <w:rPr>
          <w:snapToGrid w:val="0"/>
          <w:kern w:val="22"/>
          <w:szCs w:val="22"/>
          <w:lang w:val="es-ES_tradnl"/>
        </w:rPr>
        <w:t>s</w:t>
      </w:r>
      <w:r w:rsidRPr="000E4865">
        <w:rPr>
          <w:snapToGrid w:val="0"/>
          <w:kern w:val="22"/>
          <w:szCs w:val="22"/>
          <w:lang w:val="es-ES_tradnl"/>
        </w:rPr>
        <w:t xml:space="preserve"> para la diversidad biológica vinculados con las actividades y </w:t>
      </w:r>
      <w:r w:rsidR="00A45835">
        <w:rPr>
          <w:snapToGrid w:val="0"/>
          <w:kern w:val="22"/>
          <w:szCs w:val="22"/>
          <w:lang w:val="es-ES_tradnl"/>
        </w:rPr>
        <w:t xml:space="preserve">el </w:t>
      </w:r>
      <w:r w:rsidRPr="000E4865">
        <w:rPr>
          <w:snapToGrid w:val="0"/>
          <w:kern w:val="22"/>
          <w:szCs w:val="22"/>
          <w:lang w:val="es-ES_tradnl"/>
        </w:rPr>
        <w:t>crecimiento de las industrias manufactureras se encuentran</w:t>
      </w:r>
      <w:r w:rsidR="00276B6C" w:rsidRPr="000E4865">
        <w:rPr>
          <w:snapToGrid w:val="0"/>
          <w:kern w:val="22"/>
          <w:szCs w:val="22"/>
          <w:lang w:val="es-ES_tradnl"/>
        </w:rPr>
        <w:t xml:space="preserve">: a) </w:t>
      </w:r>
      <w:r w:rsidRPr="000E4865">
        <w:rPr>
          <w:snapToGrid w:val="0"/>
          <w:kern w:val="22"/>
          <w:szCs w:val="22"/>
          <w:lang w:val="es-ES_tradnl"/>
        </w:rPr>
        <w:t xml:space="preserve">el emplazamiento </w:t>
      </w:r>
      <w:r w:rsidR="00A45835">
        <w:rPr>
          <w:snapToGrid w:val="0"/>
          <w:kern w:val="22"/>
          <w:szCs w:val="22"/>
          <w:lang w:val="es-ES_tradnl"/>
        </w:rPr>
        <w:t>o</w:t>
      </w:r>
      <w:r w:rsidRPr="000E4865">
        <w:rPr>
          <w:snapToGrid w:val="0"/>
          <w:kern w:val="22"/>
          <w:szCs w:val="22"/>
          <w:lang w:val="es-ES_tradnl"/>
        </w:rPr>
        <w:t xml:space="preserve"> proyecto de las fábricas, así como la contaminación de una fuente puntual</w:t>
      </w:r>
      <w:r w:rsidR="00276B6C" w:rsidRPr="000E4865">
        <w:rPr>
          <w:snapToGrid w:val="0"/>
          <w:kern w:val="22"/>
          <w:szCs w:val="22"/>
          <w:lang w:val="es-ES_tradnl"/>
        </w:rPr>
        <w:t xml:space="preserve"> </w:t>
      </w:r>
      <w:r w:rsidRPr="000E4865">
        <w:rPr>
          <w:snapToGrid w:val="0"/>
          <w:kern w:val="22"/>
          <w:szCs w:val="22"/>
          <w:lang w:val="es-ES_tradnl"/>
        </w:rPr>
        <w:t>derivada de los procesos de manufactura</w:t>
      </w:r>
      <w:r w:rsidR="00276B6C" w:rsidRPr="000E4865">
        <w:rPr>
          <w:snapToGrid w:val="0"/>
          <w:kern w:val="22"/>
          <w:szCs w:val="22"/>
          <w:lang w:val="es-ES_tradnl"/>
        </w:rPr>
        <w:t xml:space="preserve">; b) </w:t>
      </w:r>
      <w:r w:rsidRPr="000E4865">
        <w:rPr>
          <w:snapToGrid w:val="0"/>
          <w:kern w:val="22"/>
          <w:szCs w:val="22"/>
          <w:lang w:val="es-ES_tradnl"/>
        </w:rPr>
        <w:t xml:space="preserve">cambios de uso de la tierra vinculados al suministro </w:t>
      </w:r>
      <w:r w:rsidR="00FE310B" w:rsidRPr="000E4865">
        <w:rPr>
          <w:snapToGrid w:val="0"/>
          <w:kern w:val="22"/>
          <w:szCs w:val="22"/>
          <w:lang w:val="es-ES_tradnl"/>
        </w:rPr>
        <w:t xml:space="preserve">de diversos insumos de la fabricación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FE310B" w:rsidRPr="000E4865">
        <w:rPr>
          <w:snapToGrid w:val="0"/>
          <w:kern w:val="22"/>
          <w:szCs w:val="22"/>
          <w:lang w:val="es-ES_tradnl"/>
        </w:rPr>
        <w:t>alimentos, bebidas, textiles, caucho</w:t>
      </w:r>
      <w:r w:rsidR="00276B6C" w:rsidRPr="000E4865">
        <w:rPr>
          <w:snapToGrid w:val="0"/>
          <w:kern w:val="22"/>
          <w:szCs w:val="22"/>
          <w:lang w:val="es-ES_tradnl"/>
        </w:rPr>
        <w:t xml:space="preserve">); </w:t>
      </w:r>
      <w:r w:rsidR="00FE310B" w:rsidRPr="000E4865">
        <w:rPr>
          <w:snapToGrid w:val="0"/>
          <w:kern w:val="22"/>
          <w:szCs w:val="22"/>
          <w:lang w:val="es-ES_tradnl"/>
        </w:rPr>
        <w:t xml:space="preserve">y </w:t>
      </w:r>
      <w:r w:rsidR="00276B6C" w:rsidRPr="000E4865">
        <w:rPr>
          <w:snapToGrid w:val="0"/>
          <w:kern w:val="22"/>
          <w:szCs w:val="22"/>
          <w:lang w:val="es-ES_tradnl"/>
        </w:rPr>
        <w:t xml:space="preserve">c) </w:t>
      </w:r>
      <w:r w:rsidR="00FE310B" w:rsidRPr="000E4865">
        <w:rPr>
          <w:snapToGrid w:val="0"/>
          <w:kern w:val="22"/>
          <w:szCs w:val="22"/>
          <w:lang w:val="es-ES_tradnl"/>
        </w:rPr>
        <w:t xml:space="preserve">la explotación excesiva de los recursos biológicos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FE310B" w:rsidRPr="000E4865">
        <w:rPr>
          <w:snapToGrid w:val="0"/>
          <w:kern w:val="22"/>
          <w:szCs w:val="22"/>
          <w:lang w:val="es-ES_tradnl"/>
        </w:rPr>
        <w:t>pescado, madera, materias naturales y genéticas</w:t>
      </w:r>
      <w:r w:rsidR="00276B6C" w:rsidRPr="000E4865">
        <w:rPr>
          <w:snapToGrid w:val="0"/>
          <w:kern w:val="22"/>
          <w:szCs w:val="22"/>
          <w:lang w:val="es-ES_tradnl"/>
        </w:rPr>
        <w:t xml:space="preserve">). </w:t>
      </w:r>
      <w:r w:rsidR="00FE310B" w:rsidRPr="000E4865">
        <w:rPr>
          <w:snapToGrid w:val="0"/>
          <w:kern w:val="22"/>
          <w:szCs w:val="22"/>
          <w:lang w:val="es-ES_tradnl"/>
        </w:rPr>
        <w:t>La pérdida de la diversidad biológica puede ocurrir en toda la cadena de valor de los productos manufacturados</w:t>
      </w:r>
      <w:r w:rsidR="00276B6C" w:rsidRPr="000E4865">
        <w:rPr>
          <w:snapToGrid w:val="0"/>
          <w:kern w:val="22"/>
          <w:szCs w:val="22"/>
          <w:lang w:val="es-ES_tradnl"/>
        </w:rPr>
        <w:t xml:space="preserve">, </w:t>
      </w:r>
      <w:r w:rsidR="00FE310B" w:rsidRPr="000E4865">
        <w:rPr>
          <w:snapToGrid w:val="0"/>
          <w:kern w:val="22"/>
          <w:szCs w:val="22"/>
          <w:lang w:val="es-ES_tradnl"/>
        </w:rPr>
        <w:t>debido a las actividades de los minoristas, fabricantes y/o productores de materias primas</w:t>
      </w:r>
      <w:r w:rsidR="00276B6C" w:rsidRPr="000E4865">
        <w:rPr>
          <w:snapToGrid w:val="0"/>
          <w:kern w:val="22"/>
          <w:szCs w:val="22"/>
          <w:lang w:val="es-ES_tradnl"/>
        </w:rPr>
        <w:t xml:space="preserve">. </w:t>
      </w:r>
      <w:r w:rsidR="00FE310B" w:rsidRPr="000E4865">
        <w:rPr>
          <w:snapToGrid w:val="0"/>
          <w:kern w:val="22"/>
          <w:szCs w:val="22"/>
          <w:lang w:val="es-ES_tradnl"/>
        </w:rPr>
        <w:t>Sin embargo, los cambios más significativos de uso de la tierra pueden ocurrir en un paso específico de la cadena de valor, por ejemplo, en el ámbito de los productores de materias primas</w:t>
      </w:r>
      <w:r w:rsidR="00276B6C" w:rsidRPr="000E4865">
        <w:rPr>
          <w:snapToGrid w:val="0"/>
          <w:kern w:val="22"/>
          <w:szCs w:val="22"/>
          <w:lang w:val="es-ES_tradnl"/>
        </w:rPr>
        <w:t xml:space="preserve">. </w:t>
      </w:r>
      <w:r w:rsidR="00FE310B" w:rsidRPr="000E4865">
        <w:rPr>
          <w:snapToGrid w:val="0"/>
          <w:kern w:val="22"/>
          <w:szCs w:val="22"/>
          <w:lang w:val="es-ES_tradnl"/>
        </w:rPr>
        <w:t xml:space="preserve">La demanda de tierra </w:t>
      </w:r>
      <w:r w:rsidR="00276B6C" w:rsidRPr="000E4865">
        <w:rPr>
          <w:snapToGrid w:val="0"/>
          <w:kern w:val="22"/>
          <w:szCs w:val="22"/>
          <w:lang w:val="es-ES_tradnl"/>
        </w:rPr>
        <w:t>(</w:t>
      </w:r>
      <w:r w:rsidR="00FE310B" w:rsidRPr="000E4865">
        <w:rPr>
          <w:snapToGrid w:val="0"/>
          <w:kern w:val="22"/>
          <w:szCs w:val="22"/>
          <w:lang w:val="es-ES_tradnl"/>
        </w:rPr>
        <w:t>que conduce a la destrucción del hábitat</w:t>
      </w:r>
      <w:r w:rsidR="00276B6C" w:rsidRPr="000E4865">
        <w:rPr>
          <w:snapToGrid w:val="0"/>
          <w:kern w:val="22"/>
          <w:szCs w:val="22"/>
          <w:lang w:val="es-ES_tradnl"/>
        </w:rPr>
        <w:t xml:space="preserve">) </w:t>
      </w:r>
      <w:r w:rsidR="00FE310B" w:rsidRPr="000E4865">
        <w:rPr>
          <w:snapToGrid w:val="0"/>
          <w:kern w:val="22"/>
          <w:szCs w:val="22"/>
          <w:lang w:val="es-ES_tradnl"/>
        </w:rPr>
        <w:t>puede estar correlacionada con la necesidad de materias primas específicas</w:t>
      </w:r>
      <w:r w:rsidR="00276B6C" w:rsidRPr="000E4865">
        <w:rPr>
          <w:snapToGrid w:val="0"/>
          <w:kern w:val="22"/>
          <w:szCs w:val="22"/>
          <w:lang w:val="es-ES_tradnl"/>
        </w:rPr>
        <w:t xml:space="preserve"> </w:t>
      </w:r>
      <w:r w:rsidR="00FE310B" w:rsidRPr="000E4865">
        <w:rPr>
          <w:snapToGrid w:val="0"/>
          <w:kern w:val="22"/>
          <w:szCs w:val="22"/>
          <w:lang w:val="es-ES_tradnl"/>
        </w:rPr>
        <w:t>que requieren los fabricantes para elaborar productos en respuesta a l</w:t>
      </w:r>
      <w:r w:rsidR="00276B6C" w:rsidRPr="000E4865">
        <w:rPr>
          <w:snapToGrid w:val="0"/>
          <w:kern w:val="22"/>
          <w:szCs w:val="22"/>
          <w:lang w:val="es-ES_tradnl"/>
        </w:rPr>
        <w:t xml:space="preserve">as </w:t>
      </w:r>
      <w:r w:rsidR="00FE310B" w:rsidRPr="000E4865">
        <w:rPr>
          <w:snapToGrid w:val="0"/>
          <w:kern w:val="22"/>
          <w:szCs w:val="22"/>
          <w:lang w:val="es-ES_tradnl"/>
        </w:rPr>
        <w:t xml:space="preserve">necesidades de los minoristas, que están en contacto directo con los consumidores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FE310B" w:rsidRPr="000E4865">
        <w:rPr>
          <w:snapToGrid w:val="0"/>
          <w:kern w:val="22"/>
          <w:szCs w:val="22"/>
          <w:lang w:val="es-ES_tradnl"/>
        </w:rPr>
        <w:t>la expansión de las plantaciones de palma aceitera o la</w:t>
      </w:r>
      <w:r w:rsidR="000643D1" w:rsidRPr="000E4865">
        <w:rPr>
          <w:snapToGrid w:val="0"/>
          <w:kern w:val="22"/>
          <w:szCs w:val="22"/>
          <w:lang w:val="es-ES_tradnl"/>
        </w:rPr>
        <w:t>s</w:t>
      </w:r>
      <w:r w:rsidR="002A1418" w:rsidRPr="000E4865">
        <w:rPr>
          <w:snapToGrid w:val="0"/>
          <w:kern w:val="22"/>
          <w:szCs w:val="22"/>
          <w:lang w:val="es-ES_tradnl"/>
        </w:rPr>
        <w:t xml:space="preserve"> granjas de agrocombustibles en respuesta a la creciente demanda mundial</w:t>
      </w:r>
      <w:r w:rsidR="00276B6C" w:rsidRPr="000E4865">
        <w:rPr>
          <w:snapToGrid w:val="0"/>
          <w:kern w:val="22"/>
          <w:szCs w:val="22"/>
          <w:lang w:val="es-ES_tradnl"/>
        </w:rPr>
        <w:t xml:space="preserve">). </w:t>
      </w:r>
      <w:r w:rsidR="000643D1" w:rsidRPr="000E4865">
        <w:rPr>
          <w:snapToGrid w:val="0"/>
          <w:kern w:val="22"/>
          <w:szCs w:val="22"/>
          <w:lang w:val="es-ES_tradnl"/>
        </w:rPr>
        <w:t>Con todo, si bien lo</w:t>
      </w:r>
      <w:r w:rsidR="00086D7E" w:rsidRPr="000E4865">
        <w:rPr>
          <w:snapToGrid w:val="0"/>
          <w:kern w:val="22"/>
          <w:szCs w:val="22"/>
          <w:lang w:val="es-ES_tradnl"/>
        </w:rPr>
        <w:t>s</w:t>
      </w:r>
      <w:r w:rsidR="000643D1" w:rsidRPr="000E4865">
        <w:rPr>
          <w:snapToGrid w:val="0"/>
          <w:kern w:val="22"/>
          <w:szCs w:val="22"/>
          <w:lang w:val="es-ES_tradnl"/>
        </w:rPr>
        <w:t xml:space="preserve"> fabricantes ejercen presión sobre los productores de materia primas para suministrar volúmenes</w:t>
      </w:r>
      <w:r w:rsidR="00086D7E" w:rsidRPr="000E4865">
        <w:rPr>
          <w:snapToGrid w:val="0"/>
          <w:kern w:val="22"/>
          <w:szCs w:val="22"/>
          <w:lang w:val="es-ES_tradnl"/>
        </w:rPr>
        <w:t xml:space="preserve"> de insumo</w:t>
      </w:r>
      <w:r w:rsidR="00A45835">
        <w:rPr>
          <w:snapToGrid w:val="0"/>
          <w:kern w:val="22"/>
          <w:szCs w:val="22"/>
          <w:lang w:val="es-ES_tradnl"/>
        </w:rPr>
        <w:t>s</w:t>
      </w:r>
      <w:r w:rsidR="00086D7E" w:rsidRPr="000E4865">
        <w:rPr>
          <w:snapToGrid w:val="0"/>
          <w:kern w:val="22"/>
          <w:szCs w:val="22"/>
          <w:lang w:val="es-ES_tradnl"/>
        </w:rPr>
        <w:t xml:space="preserve"> acorde a sus necesidades, los minoristas influyen en las demandas de determinados productos conforme a las necesidades de los consumidores</w:t>
      </w:r>
      <w:r w:rsidR="00276B6C" w:rsidRPr="000E4865">
        <w:rPr>
          <w:snapToGrid w:val="0"/>
          <w:kern w:val="22"/>
          <w:szCs w:val="22"/>
          <w:lang w:val="es-ES_tradnl"/>
        </w:rPr>
        <w:t xml:space="preserve">. </w:t>
      </w:r>
      <w:r w:rsidR="003021CA" w:rsidRPr="000E4865">
        <w:rPr>
          <w:snapToGrid w:val="0"/>
          <w:kern w:val="22"/>
          <w:szCs w:val="22"/>
          <w:lang w:val="es-ES_tradnl"/>
        </w:rPr>
        <w:t>Lo</w:t>
      </w:r>
      <w:r w:rsidR="00086D7E" w:rsidRPr="000E4865">
        <w:rPr>
          <w:snapToGrid w:val="0"/>
          <w:kern w:val="22"/>
          <w:szCs w:val="22"/>
          <w:lang w:val="es-ES_tradnl"/>
        </w:rPr>
        <w:t>s minoristas pueden</w:t>
      </w:r>
      <w:r w:rsidR="003021CA" w:rsidRPr="000E4865">
        <w:rPr>
          <w:snapToGrid w:val="0"/>
          <w:kern w:val="22"/>
          <w:szCs w:val="22"/>
          <w:lang w:val="es-ES_tradnl"/>
        </w:rPr>
        <w:t>, por tanto,</w:t>
      </w:r>
      <w:r w:rsidR="00086D7E" w:rsidRPr="000E4865">
        <w:rPr>
          <w:snapToGrid w:val="0"/>
          <w:kern w:val="22"/>
          <w:szCs w:val="22"/>
          <w:lang w:val="es-ES_tradnl"/>
        </w:rPr>
        <w:t xml:space="preserve"> </w:t>
      </w:r>
      <w:r w:rsidR="00A45835">
        <w:rPr>
          <w:snapToGrid w:val="0"/>
          <w:kern w:val="22"/>
          <w:szCs w:val="22"/>
          <w:lang w:val="es-ES_tradnl"/>
        </w:rPr>
        <w:lastRenderedPageBreak/>
        <w:t xml:space="preserve">influir </w:t>
      </w:r>
      <w:r w:rsidR="003021CA" w:rsidRPr="000E4865">
        <w:rPr>
          <w:snapToGrid w:val="0"/>
          <w:kern w:val="22"/>
          <w:szCs w:val="22"/>
          <w:lang w:val="es-ES_tradnl"/>
        </w:rPr>
        <w:t xml:space="preserve">aliviando las presiones sobre la diversidad biológica educando a sus clientes </w:t>
      </w:r>
      <w:r w:rsidR="00276B6C" w:rsidRPr="000E4865">
        <w:rPr>
          <w:snapToGrid w:val="0"/>
          <w:kern w:val="22"/>
          <w:szCs w:val="22"/>
          <w:lang w:val="es-ES_tradnl"/>
        </w:rPr>
        <w:t>(</w:t>
      </w:r>
      <w:r w:rsidR="003021CA" w:rsidRPr="000E4865">
        <w:rPr>
          <w:snapToGrid w:val="0"/>
          <w:kern w:val="22"/>
          <w:szCs w:val="22"/>
          <w:lang w:val="es-ES_tradnl"/>
        </w:rPr>
        <w:t>es decir, ayudándolos a cambiar sus pautas de consumo</w:t>
      </w:r>
      <w:r w:rsidR="00276B6C" w:rsidRPr="000E4865">
        <w:rPr>
          <w:snapToGrid w:val="0"/>
          <w:kern w:val="22"/>
          <w:szCs w:val="22"/>
          <w:lang w:val="es-ES_tradnl"/>
        </w:rPr>
        <w:t>)</w:t>
      </w:r>
      <w:r w:rsidR="003021CA" w:rsidRPr="000E4865">
        <w:rPr>
          <w:snapToGrid w:val="0"/>
          <w:kern w:val="22"/>
          <w:szCs w:val="22"/>
          <w:lang w:val="es-ES_tradnl"/>
        </w:rPr>
        <w:t xml:space="preserve">, en tanto que los fabricantes pueden hacer lo mismo colaborando con sus proveedores </w:t>
      </w:r>
      <w:r w:rsidR="00276B6C" w:rsidRPr="000E4865">
        <w:rPr>
          <w:snapToGrid w:val="0"/>
          <w:kern w:val="22"/>
          <w:szCs w:val="22"/>
          <w:lang w:val="es-ES_tradnl"/>
        </w:rPr>
        <w:t>(</w:t>
      </w:r>
      <w:r w:rsidR="003021CA" w:rsidRPr="000E4865">
        <w:rPr>
          <w:snapToGrid w:val="0"/>
          <w:kern w:val="22"/>
          <w:szCs w:val="22"/>
          <w:lang w:val="es-ES_tradnl"/>
        </w:rPr>
        <w:t>es decir, mejorar o cambiar sus prácticas</w:t>
      </w:r>
      <w:r w:rsidR="00276B6C" w:rsidRPr="000E4865">
        <w:rPr>
          <w:snapToGrid w:val="0"/>
          <w:kern w:val="22"/>
          <w:szCs w:val="22"/>
          <w:lang w:val="es-ES_tradnl"/>
        </w:rPr>
        <w:t xml:space="preserve">) </w:t>
      </w:r>
      <w:r w:rsidR="003021CA" w:rsidRPr="000E4865">
        <w:rPr>
          <w:snapToGrid w:val="0"/>
          <w:kern w:val="22"/>
          <w:szCs w:val="22"/>
          <w:lang w:val="es-ES_tradnl"/>
        </w:rPr>
        <w:t>o buscando a otros que sean más responsables</w:t>
      </w:r>
      <w:r w:rsidR="00276B6C" w:rsidRPr="000E4865">
        <w:rPr>
          <w:snapToGrid w:val="0"/>
          <w:kern w:val="22"/>
          <w:szCs w:val="22"/>
          <w:lang w:val="es-ES_tradnl"/>
        </w:rPr>
        <w:t>.</w:t>
      </w:r>
    </w:p>
    <w:p w14:paraId="24A0C96F" w14:textId="4D225BB6" w:rsidR="00276B6C" w:rsidRPr="000E4865" w:rsidRDefault="003021CA"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 xml:space="preserve">Conforme a la </w:t>
      </w:r>
      <w:r w:rsidRPr="000E4865">
        <w:rPr>
          <w:lang w:val="es-ES_tradnl"/>
        </w:rPr>
        <w:t>referencia de las Perspectivas ambientales de la OCDE</w:t>
      </w:r>
      <w:bookmarkStart w:id="4" w:name="_Ref517081874"/>
      <w:r w:rsidR="00276B6C" w:rsidRPr="000E4865">
        <w:rPr>
          <w:snapToGrid w:val="0"/>
          <w:kern w:val="22"/>
          <w:szCs w:val="22"/>
          <w:vertAlign w:val="superscript"/>
          <w:lang w:val="es-ES_tradnl"/>
        </w:rPr>
        <w:footnoteReference w:id="30"/>
      </w:r>
      <w:bookmarkEnd w:id="4"/>
      <w:r w:rsidRPr="000E4865">
        <w:rPr>
          <w:lang w:val="es-ES_tradnl"/>
        </w:rPr>
        <w:t>, pese a l</w:t>
      </w:r>
      <w:r w:rsidR="00356364" w:rsidRPr="000E4865">
        <w:rPr>
          <w:lang w:val="es-ES_tradnl"/>
        </w:rPr>
        <w:t xml:space="preserve">os considerables beneficios en materia de eficiencia energética, se prevé que las emisiones relacionadas con la energía e industrias se duplicarán con creces hasta </w:t>
      </w:r>
      <w:r w:rsidR="00276B6C" w:rsidRPr="000E4865">
        <w:rPr>
          <w:snapToGrid w:val="0"/>
          <w:kern w:val="22"/>
          <w:szCs w:val="22"/>
          <w:lang w:val="es-ES_tradnl"/>
        </w:rPr>
        <w:t xml:space="preserve">2050 </w:t>
      </w:r>
      <w:r w:rsidR="00356364" w:rsidRPr="000E4865">
        <w:rPr>
          <w:snapToGrid w:val="0"/>
          <w:kern w:val="22"/>
          <w:szCs w:val="22"/>
          <w:lang w:val="es-ES_tradnl"/>
        </w:rPr>
        <w:t xml:space="preserve">en comparación con los niveles de </w:t>
      </w:r>
      <w:r w:rsidR="00276B6C" w:rsidRPr="000E4865">
        <w:rPr>
          <w:snapToGrid w:val="0"/>
          <w:kern w:val="22"/>
          <w:szCs w:val="22"/>
          <w:lang w:val="es-ES_tradnl"/>
        </w:rPr>
        <w:t xml:space="preserve">1990. </w:t>
      </w:r>
      <w:r w:rsidR="00356364" w:rsidRPr="000E4865">
        <w:rPr>
          <w:snapToGrid w:val="0"/>
          <w:kern w:val="22"/>
          <w:szCs w:val="22"/>
          <w:lang w:val="es-ES_tradnl"/>
        </w:rPr>
        <w:t>Además, se prevé que los desechos electrónicos aumenten</w:t>
      </w:r>
      <w:r w:rsidR="00276B6C" w:rsidRPr="000E4865">
        <w:rPr>
          <w:snapToGrid w:val="0"/>
          <w:kern w:val="22"/>
          <w:szCs w:val="22"/>
          <w:lang w:val="es-ES_tradnl"/>
        </w:rPr>
        <w:t xml:space="preserve"> </w:t>
      </w:r>
      <w:r w:rsidR="00356364" w:rsidRPr="000E4865">
        <w:rPr>
          <w:snapToGrid w:val="0"/>
          <w:kern w:val="22"/>
          <w:szCs w:val="22"/>
          <w:lang w:val="es-ES_tradnl"/>
        </w:rPr>
        <w:t xml:space="preserve">a </w:t>
      </w:r>
      <w:r w:rsidR="00276B6C" w:rsidRPr="000E4865">
        <w:rPr>
          <w:snapToGrid w:val="0"/>
          <w:kern w:val="22"/>
          <w:szCs w:val="22"/>
          <w:lang w:val="es-ES_tradnl"/>
        </w:rPr>
        <w:t xml:space="preserve">50 </w:t>
      </w:r>
      <w:r w:rsidR="00356364" w:rsidRPr="000E4865">
        <w:rPr>
          <w:snapToGrid w:val="0"/>
          <w:kern w:val="22"/>
          <w:szCs w:val="22"/>
          <w:lang w:val="es-ES_tradnl"/>
        </w:rPr>
        <w:t xml:space="preserve">millones de toneladas métricas por año para </w:t>
      </w:r>
      <w:r w:rsidR="00276B6C" w:rsidRPr="000E4865">
        <w:rPr>
          <w:snapToGrid w:val="0"/>
          <w:kern w:val="22"/>
          <w:szCs w:val="22"/>
          <w:lang w:val="es-ES_tradnl"/>
        </w:rPr>
        <w:t>2018</w:t>
      </w:r>
      <w:r w:rsidR="00DB126E" w:rsidRPr="000E4865">
        <w:rPr>
          <w:snapToGrid w:val="0"/>
          <w:kern w:val="22"/>
          <w:szCs w:val="22"/>
          <w:vertAlign w:val="superscript"/>
          <w:lang w:val="es-ES_tradnl"/>
        </w:rPr>
        <w:fldChar w:fldCharType="begin"/>
      </w:r>
      <w:r w:rsidR="00DB126E" w:rsidRPr="000E4865">
        <w:rPr>
          <w:snapToGrid w:val="0"/>
          <w:kern w:val="22"/>
          <w:szCs w:val="22"/>
          <w:vertAlign w:val="superscript"/>
          <w:lang w:val="es-ES_tradnl"/>
        </w:rPr>
        <w:instrText xml:space="preserve"> NOTEREF _Ref517081720 \h  \* MERGEFORMAT </w:instrText>
      </w:r>
      <w:r w:rsidR="00DB126E" w:rsidRPr="000E4865">
        <w:rPr>
          <w:snapToGrid w:val="0"/>
          <w:kern w:val="22"/>
          <w:szCs w:val="22"/>
          <w:vertAlign w:val="superscript"/>
          <w:lang w:val="es-ES_tradnl"/>
        </w:rPr>
      </w:r>
      <w:r w:rsidR="00DB126E" w:rsidRPr="000E4865">
        <w:rPr>
          <w:snapToGrid w:val="0"/>
          <w:kern w:val="22"/>
          <w:szCs w:val="22"/>
          <w:vertAlign w:val="superscript"/>
          <w:lang w:val="es-ES_tradnl"/>
        </w:rPr>
        <w:fldChar w:fldCharType="separate"/>
      </w:r>
      <w:r w:rsidR="00DB126E" w:rsidRPr="000E4865">
        <w:rPr>
          <w:snapToGrid w:val="0"/>
          <w:kern w:val="22"/>
          <w:szCs w:val="22"/>
          <w:vertAlign w:val="superscript"/>
          <w:lang w:val="es-ES_tradnl"/>
        </w:rPr>
        <w:t>19</w:t>
      </w:r>
      <w:r w:rsidR="00DB126E" w:rsidRPr="000E4865">
        <w:rPr>
          <w:snapToGrid w:val="0"/>
          <w:kern w:val="22"/>
          <w:szCs w:val="22"/>
          <w:vertAlign w:val="superscript"/>
          <w:lang w:val="es-ES_tradnl"/>
        </w:rPr>
        <w:fldChar w:fldCharType="end"/>
      </w:r>
      <w:r w:rsidR="00356364" w:rsidRPr="000E4865">
        <w:rPr>
          <w:snapToGrid w:val="0"/>
          <w:kern w:val="22"/>
          <w:szCs w:val="22"/>
          <w:lang w:val="es-ES_tradnl"/>
        </w:rPr>
        <w:t>. Desde el punto de vista de los impactos de los proveedores de materias primas, si bien se prevé que las emisiones netas del cambio de uso de la tierra disminuyan rápidamente</w:t>
      </w:r>
      <w:r w:rsidR="00DB126E" w:rsidRPr="000E4865">
        <w:rPr>
          <w:snapToGrid w:val="0"/>
          <w:kern w:val="22"/>
          <w:szCs w:val="22"/>
          <w:vertAlign w:val="superscript"/>
          <w:lang w:val="es-ES_tradnl"/>
        </w:rPr>
        <w:fldChar w:fldCharType="begin"/>
      </w:r>
      <w:r w:rsidR="00DB126E" w:rsidRPr="000E4865">
        <w:rPr>
          <w:snapToGrid w:val="0"/>
          <w:kern w:val="22"/>
          <w:szCs w:val="22"/>
          <w:vertAlign w:val="superscript"/>
          <w:lang w:val="es-ES_tradnl"/>
        </w:rPr>
        <w:instrText xml:space="preserve"> NOTEREF _Ref517081874 \h  \* MERGEFORMAT </w:instrText>
      </w:r>
      <w:r w:rsidR="00DB126E" w:rsidRPr="000E4865">
        <w:rPr>
          <w:snapToGrid w:val="0"/>
          <w:kern w:val="22"/>
          <w:szCs w:val="22"/>
          <w:vertAlign w:val="superscript"/>
          <w:lang w:val="es-ES_tradnl"/>
        </w:rPr>
      </w:r>
      <w:r w:rsidR="00DB126E" w:rsidRPr="000E4865">
        <w:rPr>
          <w:snapToGrid w:val="0"/>
          <w:kern w:val="22"/>
          <w:szCs w:val="22"/>
          <w:vertAlign w:val="superscript"/>
          <w:lang w:val="es-ES_tradnl"/>
        </w:rPr>
        <w:fldChar w:fldCharType="separate"/>
      </w:r>
      <w:r w:rsidR="00DB126E" w:rsidRPr="000E4865">
        <w:rPr>
          <w:snapToGrid w:val="0"/>
          <w:kern w:val="22"/>
          <w:szCs w:val="22"/>
          <w:vertAlign w:val="superscript"/>
          <w:lang w:val="es-ES_tradnl"/>
        </w:rPr>
        <w:t>31</w:t>
      </w:r>
      <w:r w:rsidR="00DB126E" w:rsidRPr="000E4865">
        <w:rPr>
          <w:snapToGrid w:val="0"/>
          <w:kern w:val="22"/>
          <w:szCs w:val="22"/>
          <w:vertAlign w:val="superscript"/>
          <w:lang w:val="es-ES_tradnl"/>
        </w:rPr>
        <w:fldChar w:fldCharType="end"/>
      </w:r>
      <w:r w:rsidR="00356364" w:rsidRPr="000E4865">
        <w:rPr>
          <w:snapToGrid w:val="0"/>
          <w:kern w:val="22"/>
          <w:szCs w:val="22"/>
          <w:lang w:val="es-ES_tradnl"/>
        </w:rPr>
        <w:t>, algunas pr</w:t>
      </w:r>
      <w:r w:rsidR="00A45835">
        <w:rPr>
          <w:snapToGrid w:val="0"/>
          <w:kern w:val="22"/>
          <w:szCs w:val="22"/>
          <w:lang w:val="es-ES_tradnl"/>
        </w:rPr>
        <w:t>evisiones</w:t>
      </w:r>
      <w:r w:rsidR="00356364" w:rsidRPr="000E4865">
        <w:rPr>
          <w:snapToGrid w:val="0"/>
          <w:kern w:val="22"/>
          <w:szCs w:val="22"/>
          <w:lang w:val="es-ES_tradnl"/>
        </w:rPr>
        <w:t xml:space="preserve"> de cambio de uso de la tierra</w:t>
      </w:r>
      <w:r w:rsidR="00276B6C" w:rsidRPr="000E4865">
        <w:rPr>
          <w:rStyle w:val="FootnoteReference"/>
          <w:snapToGrid w:val="0"/>
          <w:kern w:val="22"/>
          <w:szCs w:val="22"/>
          <w:lang w:val="es-ES_tradnl"/>
        </w:rPr>
        <w:footnoteReference w:id="31"/>
      </w:r>
      <w:r w:rsidR="00276B6C" w:rsidRPr="000E4865">
        <w:rPr>
          <w:snapToGrid w:val="0"/>
          <w:kern w:val="22"/>
          <w:szCs w:val="22"/>
          <w:lang w:val="es-ES_tradnl"/>
        </w:rPr>
        <w:t xml:space="preserve"> </w:t>
      </w:r>
      <w:r w:rsidR="00356364" w:rsidRPr="000E4865">
        <w:rPr>
          <w:snapToGrid w:val="0"/>
          <w:kern w:val="22"/>
          <w:szCs w:val="22"/>
          <w:lang w:val="es-ES_tradnl"/>
        </w:rPr>
        <w:t>muestran</w:t>
      </w:r>
      <w:r w:rsidR="009E09B7">
        <w:rPr>
          <w:snapToGrid w:val="0"/>
          <w:kern w:val="22"/>
          <w:szCs w:val="22"/>
          <w:lang w:val="es-ES_tradnl"/>
        </w:rPr>
        <w:t xml:space="preserve"> </w:t>
      </w:r>
      <w:r w:rsidR="00356364" w:rsidRPr="000E4865">
        <w:rPr>
          <w:snapToGrid w:val="0"/>
          <w:kern w:val="22"/>
          <w:szCs w:val="22"/>
          <w:lang w:val="es-ES_tradnl"/>
        </w:rPr>
        <w:t xml:space="preserve">tasas de expansión de las tierras de cultivo en el África subsahariana </w:t>
      </w:r>
      <w:r w:rsidR="00276B6C" w:rsidRPr="000E4865">
        <w:rPr>
          <w:snapToGrid w:val="0"/>
          <w:kern w:val="22"/>
          <w:szCs w:val="22"/>
          <w:lang w:val="es-ES_tradnl"/>
        </w:rPr>
        <w:t>(</w:t>
      </w:r>
      <w:r w:rsidR="00356364" w:rsidRPr="000E4865">
        <w:rPr>
          <w:snapToGrid w:val="0"/>
          <w:kern w:val="22"/>
          <w:szCs w:val="22"/>
          <w:lang w:val="es-ES_tradnl"/>
        </w:rPr>
        <w:t xml:space="preserve">hasta el </w:t>
      </w:r>
      <w:r w:rsidR="00276B6C" w:rsidRPr="000E4865">
        <w:rPr>
          <w:snapToGrid w:val="0"/>
          <w:kern w:val="22"/>
          <w:szCs w:val="22"/>
          <w:lang w:val="es-ES_tradnl"/>
        </w:rPr>
        <w:t>72%), Canad</w:t>
      </w:r>
      <w:r w:rsidR="00356364" w:rsidRPr="000E4865">
        <w:rPr>
          <w:snapToGrid w:val="0"/>
          <w:kern w:val="22"/>
          <w:szCs w:val="22"/>
          <w:lang w:val="es-ES_tradnl"/>
        </w:rPr>
        <w:t>á</w:t>
      </w:r>
      <w:r w:rsidR="00276B6C" w:rsidRPr="000E4865">
        <w:rPr>
          <w:snapToGrid w:val="0"/>
          <w:kern w:val="22"/>
          <w:szCs w:val="22"/>
          <w:lang w:val="es-ES_tradnl"/>
        </w:rPr>
        <w:t xml:space="preserve"> (</w:t>
      </w:r>
      <w:r w:rsidR="00356364" w:rsidRPr="000E4865">
        <w:rPr>
          <w:snapToGrid w:val="0"/>
          <w:kern w:val="22"/>
          <w:szCs w:val="22"/>
          <w:lang w:val="es-ES_tradnl"/>
        </w:rPr>
        <w:t xml:space="preserve">hasta el </w:t>
      </w:r>
      <w:r w:rsidR="00276B6C" w:rsidRPr="000E4865">
        <w:rPr>
          <w:snapToGrid w:val="0"/>
          <w:kern w:val="22"/>
          <w:szCs w:val="22"/>
          <w:lang w:val="es-ES_tradnl"/>
        </w:rPr>
        <w:t xml:space="preserve">26%) </w:t>
      </w:r>
      <w:r w:rsidR="00356364" w:rsidRPr="000E4865">
        <w:rPr>
          <w:snapToGrid w:val="0"/>
          <w:kern w:val="22"/>
          <w:szCs w:val="22"/>
          <w:lang w:val="es-ES_tradnl"/>
        </w:rPr>
        <w:t>y Oriente Medio</w:t>
      </w:r>
      <w:r w:rsidR="00276B6C" w:rsidRPr="000E4865">
        <w:rPr>
          <w:snapToGrid w:val="0"/>
          <w:kern w:val="22"/>
          <w:szCs w:val="22"/>
          <w:lang w:val="es-ES_tradnl"/>
        </w:rPr>
        <w:t>/Nort</w:t>
      </w:r>
      <w:r w:rsidR="00356364" w:rsidRPr="000E4865">
        <w:rPr>
          <w:snapToGrid w:val="0"/>
          <w:kern w:val="22"/>
          <w:szCs w:val="22"/>
          <w:lang w:val="es-ES_tradnl"/>
        </w:rPr>
        <w:t xml:space="preserve">e de África </w:t>
      </w:r>
      <w:r w:rsidR="00276B6C" w:rsidRPr="000E4865">
        <w:rPr>
          <w:snapToGrid w:val="0"/>
          <w:kern w:val="22"/>
          <w:szCs w:val="22"/>
          <w:lang w:val="es-ES_tradnl"/>
        </w:rPr>
        <w:t xml:space="preserve">(&gt;20%) </w:t>
      </w:r>
      <w:r w:rsidR="00356364" w:rsidRPr="000E4865">
        <w:rPr>
          <w:snapToGrid w:val="0"/>
          <w:kern w:val="22"/>
          <w:szCs w:val="22"/>
          <w:lang w:val="es-ES_tradnl"/>
        </w:rPr>
        <w:t>a finales del siglo XXII</w:t>
      </w:r>
      <w:r w:rsidR="00276B6C" w:rsidRPr="000E4865">
        <w:rPr>
          <w:snapToGrid w:val="0"/>
          <w:kern w:val="22"/>
          <w:szCs w:val="22"/>
          <w:shd w:val="clear" w:color="auto" w:fill="FFFFFF"/>
          <w:lang w:val="es-ES_tradnl"/>
        </w:rPr>
        <w:t>.</w:t>
      </w:r>
    </w:p>
    <w:p w14:paraId="475C62F8" w14:textId="0895F293" w:rsidR="00276B6C" w:rsidRPr="000E4865" w:rsidRDefault="008B0B1A" w:rsidP="00D74331">
      <w:pPr>
        <w:pStyle w:val="Heading1"/>
        <w:numPr>
          <w:ilvl w:val="0"/>
          <w:numId w:val="21"/>
        </w:numPr>
        <w:suppressLineNumbers/>
        <w:tabs>
          <w:tab w:val="clear" w:pos="720"/>
        </w:tabs>
        <w:suppressAutoHyphens/>
        <w:kinsoku w:val="0"/>
        <w:overflowPunct w:val="0"/>
        <w:autoSpaceDE w:val="0"/>
        <w:autoSpaceDN w:val="0"/>
        <w:adjustRightInd w:val="0"/>
        <w:snapToGrid w:val="0"/>
        <w:spacing w:before="120" w:line="238" w:lineRule="auto"/>
        <w:ind w:left="432" w:hanging="432"/>
        <w:rPr>
          <w:rFonts w:ascii="Times New Roman Bold" w:hAnsi="Times New Roman Bold" w:cs="Times New Roman Bold"/>
          <w:bCs/>
          <w:snapToGrid w:val="0"/>
          <w:kern w:val="22"/>
          <w:szCs w:val="22"/>
          <w:lang w:val="es-ES_tradnl"/>
        </w:rPr>
      </w:pPr>
      <w:r w:rsidRPr="000E4865">
        <w:rPr>
          <w:rFonts w:ascii="Times New Roman Bold" w:hAnsi="Times New Roman Bold" w:cs="Times New Roman Bold"/>
          <w:bCs/>
          <w:snapToGrid w:val="0"/>
          <w:kern w:val="22"/>
          <w:szCs w:val="22"/>
          <w:lang w:val="es-ES_tradnl"/>
        </w:rPr>
        <w:t>enfoques actuales a la integración en el sector manufactur</w:t>
      </w:r>
      <w:r w:rsidR="00356364" w:rsidRPr="000E4865">
        <w:rPr>
          <w:rFonts w:ascii="Times New Roman Bold" w:hAnsi="Times New Roman Bold" w:cs="Times New Roman Bold"/>
          <w:bCs/>
          <w:snapToGrid w:val="0"/>
          <w:kern w:val="22"/>
          <w:szCs w:val="22"/>
          <w:lang w:val="es-ES_tradnl"/>
        </w:rPr>
        <w:t>ero</w:t>
      </w:r>
    </w:p>
    <w:p w14:paraId="3E4D8E0C" w14:textId="46445D4C" w:rsidR="00276B6C" w:rsidRPr="000E4865" w:rsidRDefault="004F429A" w:rsidP="00D74331">
      <w:pPr>
        <w:pStyle w:val="Heading2"/>
        <w:suppressLineNumbers/>
        <w:tabs>
          <w:tab w:val="clear" w:pos="720"/>
          <w:tab w:val="left" w:pos="360"/>
        </w:tabs>
        <w:suppressAutoHyphens/>
        <w:kinsoku w:val="0"/>
        <w:overflowPunct w:val="0"/>
        <w:autoSpaceDE w:val="0"/>
        <w:autoSpaceDN w:val="0"/>
        <w:adjustRightInd w:val="0"/>
        <w:snapToGrid w:val="0"/>
        <w:spacing w:line="238" w:lineRule="auto"/>
        <w:rPr>
          <w:snapToGrid w:val="0"/>
          <w:kern w:val="22"/>
          <w:szCs w:val="22"/>
          <w:lang w:val="es-ES_tradnl"/>
        </w:rPr>
      </w:pPr>
      <w:r w:rsidRPr="000E4865">
        <w:rPr>
          <w:snapToGrid w:val="0"/>
          <w:kern w:val="22"/>
          <w:szCs w:val="22"/>
          <w:lang w:val="es-ES_tradnl"/>
        </w:rPr>
        <w:t>A.</w:t>
      </w:r>
      <w:r w:rsidRPr="000E4865">
        <w:rPr>
          <w:snapToGrid w:val="0"/>
          <w:kern w:val="22"/>
          <w:szCs w:val="22"/>
          <w:lang w:val="es-ES_tradnl"/>
        </w:rPr>
        <w:tab/>
      </w:r>
      <w:r w:rsidR="00276B6C" w:rsidRPr="000E4865">
        <w:rPr>
          <w:snapToGrid w:val="0"/>
          <w:kern w:val="22"/>
          <w:szCs w:val="22"/>
          <w:lang w:val="es-ES_tradnl"/>
        </w:rPr>
        <w:t>Ini</w:t>
      </w:r>
      <w:r w:rsidR="008B0EA5" w:rsidRPr="000E4865">
        <w:rPr>
          <w:snapToGrid w:val="0"/>
          <w:kern w:val="22"/>
          <w:szCs w:val="22"/>
          <w:lang w:val="es-ES_tradnl"/>
        </w:rPr>
        <w:t>ciativas a nivel internacional</w:t>
      </w:r>
    </w:p>
    <w:p w14:paraId="404F46EA" w14:textId="30A4C8FD" w:rsidR="00276B6C" w:rsidRPr="000E4865" w:rsidRDefault="00356364" w:rsidP="00ED0750">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eastAsia="en-GB"/>
        </w:rPr>
      </w:pPr>
      <w:r w:rsidRPr="000E4865">
        <w:rPr>
          <w:snapToGrid w:val="0"/>
          <w:kern w:val="22"/>
          <w:szCs w:val="22"/>
          <w:lang w:val="es-ES_tradnl"/>
        </w:rPr>
        <w:t>Existen varias iniciativas internacionales relacionadas con la integración en el sector manufacturero</w:t>
      </w:r>
      <w:r w:rsidR="00276B6C" w:rsidRPr="000E4865">
        <w:rPr>
          <w:snapToGrid w:val="0"/>
          <w:kern w:val="22"/>
          <w:szCs w:val="22"/>
          <w:lang w:val="es-ES_tradnl"/>
        </w:rPr>
        <w:t xml:space="preserve">. </w:t>
      </w:r>
      <w:r w:rsidRPr="000E4865">
        <w:rPr>
          <w:snapToGrid w:val="0"/>
          <w:kern w:val="22"/>
          <w:szCs w:val="22"/>
          <w:lang w:val="es-ES_tradnl"/>
        </w:rPr>
        <w:t>En primer lugar, la Agenda de</w:t>
      </w:r>
      <w:r w:rsidR="00276B6C" w:rsidRPr="000E4865">
        <w:rPr>
          <w:snapToGrid w:val="0"/>
          <w:kern w:val="22"/>
          <w:szCs w:val="22"/>
          <w:lang w:val="es-ES_tradnl"/>
        </w:rPr>
        <w:t xml:space="preserve"> 2030 </w:t>
      </w:r>
      <w:r w:rsidRPr="000E4865">
        <w:rPr>
          <w:snapToGrid w:val="0"/>
          <w:kern w:val="22"/>
          <w:szCs w:val="22"/>
          <w:lang w:val="es-ES_tradnl"/>
        </w:rPr>
        <w:t>para el Desarrollo Sostenible</w:t>
      </w:r>
      <w:r w:rsidR="00294104" w:rsidRPr="000E4865">
        <w:rPr>
          <w:rStyle w:val="FootnoteReference"/>
          <w:snapToGrid w:val="0"/>
          <w:kern w:val="22"/>
          <w:szCs w:val="22"/>
          <w:lang w:val="es-ES_tradnl"/>
        </w:rPr>
        <w:footnoteReference w:id="32"/>
      </w:r>
      <w:r w:rsidR="00276B6C" w:rsidRPr="000E4865">
        <w:rPr>
          <w:snapToGrid w:val="0"/>
          <w:kern w:val="22"/>
          <w:szCs w:val="22"/>
          <w:lang w:val="es-ES_tradnl"/>
        </w:rPr>
        <w:t xml:space="preserve"> </w:t>
      </w:r>
      <w:r w:rsidR="0083773A" w:rsidRPr="000E4865">
        <w:rPr>
          <w:snapToGrid w:val="0"/>
          <w:kern w:val="22"/>
          <w:szCs w:val="22"/>
          <w:lang w:val="es-ES_tradnl"/>
        </w:rPr>
        <w:t>comprende varios Objetivos de Desarrollo Sostenible relacionados con la manufa</w:t>
      </w:r>
      <w:r w:rsidR="00706082" w:rsidRPr="000E4865">
        <w:rPr>
          <w:snapToGrid w:val="0"/>
          <w:kern w:val="22"/>
          <w:szCs w:val="22"/>
          <w:lang w:val="es-ES_tradnl"/>
        </w:rPr>
        <w:t>c</w:t>
      </w:r>
      <w:r w:rsidR="0083773A" w:rsidRPr="000E4865">
        <w:rPr>
          <w:snapToGrid w:val="0"/>
          <w:kern w:val="22"/>
          <w:szCs w:val="22"/>
          <w:lang w:val="es-ES_tradnl"/>
        </w:rPr>
        <w:t>tura</w:t>
      </w:r>
      <w:r w:rsidR="00276B6C" w:rsidRPr="000E4865">
        <w:rPr>
          <w:snapToGrid w:val="0"/>
          <w:kern w:val="22"/>
          <w:szCs w:val="22"/>
          <w:lang w:val="es-ES_tradnl"/>
        </w:rPr>
        <w:t xml:space="preserve">. </w:t>
      </w:r>
      <w:r w:rsidR="00706082" w:rsidRPr="000E4865">
        <w:rPr>
          <w:snapToGrid w:val="0"/>
          <w:kern w:val="22"/>
          <w:szCs w:val="22"/>
          <w:lang w:val="es-ES_tradnl"/>
        </w:rPr>
        <w:t>Entre ellos</w:t>
      </w:r>
      <w:r w:rsidR="00C55A73" w:rsidRPr="000E4865">
        <w:rPr>
          <w:snapToGrid w:val="0"/>
          <w:kern w:val="22"/>
          <w:szCs w:val="22"/>
          <w:lang w:val="es-ES_tradnl"/>
        </w:rPr>
        <w:t>,</w:t>
      </w:r>
      <w:r w:rsidR="00706082" w:rsidRPr="000E4865">
        <w:rPr>
          <w:snapToGrid w:val="0"/>
          <w:kern w:val="22"/>
          <w:szCs w:val="22"/>
          <w:lang w:val="es-ES_tradnl"/>
        </w:rPr>
        <w:t xml:space="preserve"> el Objetivo </w:t>
      </w:r>
      <w:r w:rsidR="00276B6C" w:rsidRPr="000E4865">
        <w:rPr>
          <w:snapToGrid w:val="0"/>
          <w:kern w:val="22"/>
          <w:szCs w:val="22"/>
          <w:lang w:val="es-ES_tradnl"/>
        </w:rPr>
        <w:t>9 (</w:t>
      </w:r>
      <w:r w:rsidR="00C55A73" w:rsidRPr="000E4865">
        <w:rPr>
          <w:snapToGrid w:val="0"/>
          <w:kern w:val="22"/>
          <w:szCs w:val="22"/>
          <w:lang w:val="es-ES_tradnl"/>
        </w:rPr>
        <w:t>que pide la industrialización sostenible, y la retroadaptación de las industrias para hacerlas sostenibles</w:t>
      </w:r>
      <w:r w:rsidR="00276B6C" w:rsidRPr="000E4865">
        <w:rPr>
          <w:snapToGrid w:val="0"/>
          <w:kern w:val="22"/>
          <w:szCs w:val="22"/>
          <w:lang w:val="es-ES_tradnl"/>
        </w:rPr>
        <w:t xml:space="preserve">, </w:t>
      </w:r>
      <w:r w:rsidR="00C55A73" w:rsidRPr="000E4865">
        <w:rPr>
          <w:snapToGrid w:val="0"/>
          <w:kern w:val="22"/>
          <w:szCs w:val="22"/>
          <w:lang w:val="es-ES_tradnl"/>
        </w:rPr>
        <w:t xml:space="preserve">con una mayor eficiencia energética y una mayor adopción de tecnologías </w:t>
      </w:r>
      <w:r w:rsidR="00A45835" w:rsidRPr="000E4865">
        <w:rPr>
          <w:snapToGrid w:val="0"/>
          <w:kern w:val="22"/>
          <w:szCs w:val="22"/>
          <w:lang w:val="es-ES_tradnl"/>
        </w:rPr>
        <w:t xml:space="preserve">y procesos industriales </w:t>
      </w:r>
      <w:r w:rsidR="00A45835">
        <w:rPr>
          <w:snapToGrid w:val="0"/>
          <w:kern w:val="22"/>
          <w:szCs w:val="22"/>
          <w:lang w:val="es-ES_tradnl"/>
        </w:rPr>
        <w:t xml:space="preserve">menos contaminantes </w:t>
      </w:r>
      <w:r w:rsidR="00C55A73" w:rsidRPr="000E4865">
        <w:rPr>
          <w:snapToGrid w:val="0"/>
          <w:kern w:val="22"/>
          <w:szCs w:val="22"/>
          <w:lang w:val="es-ES_tradnl"/>
        </w:rPr>
        <w:t>y ambientalmente racionale</w:t>
      </w:r>
      <w:r w:rsidR="00D13DC5" w:rsidRPr="000E4865">
        <w:rPr>
          <w:snapToGrid w:val="0"/>
          <w:kern w:val="22"/>
          <w:szCs w:val="22"/>
          <w:lang w:val="es-ES_tradnl"/>
        </w:rPr>
        <w:t>s</w:t>
      </w:r>
      <w:r w:rsidR="00276B6C" w:rsidRPr="000E4865">
        <w:rPr>
          <w:snapToGrid w:val="0"/>
          <w:kern w:val="22"/>
          <w:szCs w:val="22"/>
          <w:lang w:val="es-ES_tradnl"/>
        </w:rPr>
        <w:t xml:space="preserve">), </w:t>
      </w:r>
      <w:r w:rsidR="00D13DC5" w:rsidRPr="000E4865">
        <w:rPr>
          <w:snapToGrid w:val="0"/>
          <w:kern w:val="22"/>
          <w:szCs w:val="22"/>
          <w:lang w:val="es-ES_tradnl"/>
        </w:rPr>
        <w:t xml:space="preserve">y el Objetivo </w:t>
      </w:r>
      <w:r w:rsidR="00276B6C" w:rsidRPr="000E4865">
        <w:rPr>
          <w:snapToGrid w:val="0"/>
          <w:kern w:val="22"/>
          <w:szCs w:val="22"/>
          <w:lang w:val="es-ES_tradnl"/>
        </w:rPr>
        <w:t>12 (</w:t>
      </w:r>
      <w:r w:rsidR="00D13DC5" w:rsidRPr="000E4865">
        <w:rPr>
          <w:snapToGrid w:val="0"/>
          <w:kern w:val="22"/>
          <w:szCs w:val="22"/>
          <w:lang w:val="es-ES_tradnl"/>
        </w:rPr>
        <w:t>consumo y producción sostenible</w:t>
      </w:r>
      <w:r w:rsidR="00276B6C" w:rsidRPr="000E4865">
        <w:rPr>
          <w:snapToGrid w:val="0"/>
          <w:kern w:val="22"/>
          <w:szCs w:val="22"/>
          <w:lang w:val="es-ES_tradnl"/>
        </w:rPr>
        <w:t>).</w:t>
      </w:r>
      <w:r w:rsidR="00EE0639">
        <w:rPr>
          <w:snapToGrid w:val="0"/>
          <w:kern w:val="22"/>
          <w:szCs w:val="22"/>
          <w:lang w:val="es-ES_tradnl"/>
        </w:rPr>
        <w:t xml:space="preserve"> </w:t>
      </w:r>
      <w:r w:rsidR="00D13DC5" w:rsidRPr="000E4865">
        <w:rPr>
          <w:snapToGrid w:val="0"/>
          <w:kern w:val="22"/>
          <w:szCs w:val="22"/>
          <w:lang w:val="es-ES_tradnl"/>
        </w:rPr>
        <w:t>El</w:t>
      </w:r>
      <w:r w:rsidR="00EE0639">
        <w:rPr>
          <w:snapToGrid w:val="0"/>
          <w:kern w:val="22"/>
          <w:szCs w:val="22"/>
          <w:lang w:val="es-ES_tradnl"/>
        </w:rPr>
        <w:t xml:space="preserve"> </w:t>
      </w:r>
      <w:hyperlink r:id="rId13" w:history="1">
        <w:r w:rsidR="00D13DC5" w:rsidRPr="000E4865">
          <w:rPr>
            <w:rStyle w:val="Hyperlink"/>
            <w:snapToGrid w:val="0"/>
            <w:kern w:val="22"/>
            <w:sz w:val="22"/>
            <w:lang w:val="es-ES_tradnl"/>
          </w:rPr>
          <w:t xml:space="preserve">marco de programas de diez años sobre consumo y producción sostenibles </w:t>
        </w:r>
      </w:hyperlink>
      <w:r w:rsidR="00276B6C" w:rsidRPr="000E4865">
        <w:rPr>
          <w:snapToGrid w:val="0"/>
          <w:kern w:val="22"/>
          <w:szCs w:val="22"/>
          <w:lang w:val="es-ES_tradnl"/>
        </w:rPr>
        <w:t xml:space="preserve"> </w:t>
      </w:r>
      <w:r w:rsidR="00D13DC5" w:rsidRPr="000E4865">
        <w:rPr>
          <w:snapToGrid w:val="0"/>
          <w:kern w:val="22"/>
          <w:szCs w:val="22"/>
          <w:lang w:val="es-ES_tradnl"/>
        </w:rPr>
        <w:t>es otra iniciativa mundial importante</w:t>
      </w:r>
      <w:r w:rsidR="00276B6C" w:rsidRPr="000E4865">
        <w:rPr>
          <w:snapToGrid w:val="0"/>
          <w:kern w:val="22"/>
          <w:szCs w:val="22"/>
          <w:lang w:val="es-ES_tradnl"/>
        </w:rPr>
        <w:t xml:space="preserve">, </w:t>
      </w:r>
      <w:r w:rsidR="00D13DC5" w:rsidRPr="000E4865">
        <w:rPr>
          <w:snapToGrid w:val="0"/>
          <w:kern w:val="22"/>
          <w:szCs w:val="22"/>
          <w:lang w:val="es-ES_tradnl"/>
        </w:rPr>
        <w:t xml:space="preserve">adoptada en la Conferencia de las Naciones Unidas sobre el Desarrollo Sostenible en </w:t>
      </w:r>
      <w:r w:rsidR="00276B6C" w:rsidRPr="000E4865">
        <w:rPr>
          <w:snapToGrid w:val="0"/>
          <w:kern w:val="22"/>
          <w:szCs w:val="22"/>
          <w:lang w:val="es-ES_tradnl"/>
        </w:rPr>
        <w:t xml:space="preserve">2012. </w:t>
      </w:r>
      <w:r w:rsidR="00D13DC5" w:rsidRPr="000E4865">
        <w:rPr>
          <w:snapToGrid w:val="0"/>
          <w:kern w:val="22"/>
          <w:szCs w:val="22"/>
          <w:lang w:val="es-ES_tradnl"/>
        </w:rPr>
        <w:t>Muchas otras entidades de las Naciones Unidas colaboran con esfuerzos pertinentes</w:t>
      </w:r>
      <w:r w:rsidR="00276B6C" w:rsidRPr="000E4865">
        <w:rPr>
          <w:snapToGrid w:val="0"/>
          <w:kern w:val="22"/>
          <w:szCs w:val="22"/>
          <w:lang w:val="es-ES_tradnl"/>
        </w:rPr>
        <w:t xml:space="preserve">, </w:t>
      </w:r>
      <w:r w:rsidR="00D13DC5" w:rsidRPr="000E4865">
        <w:rPr>
          <w:snapToGrid w:val="0"/>
          <w:kern w:val="22"/>
          <w:szCs w:val="22"/>
          <w:lang w:val="es-ES_tradnl"/>
        </w:rPr>
        <w:t>incluida la Organización de las Naciones Unidas para el Desarrollo Industrial y el Programa de las Naciones Unidas para el Medio Ambiente</w:t>
      </w:r>
      <w:r w:rsidR="00276B6C" w:rsidRPr="000E4865">
        <w:rPr>
          <w:snapToGrid w:val="0"/>
          <w:kern w:val="22"/>
          <w:szCs w:val="22"/>
          <w:lang w:val="es-ES_tradnl"/>
        </w:rPr>
        <w:t xml:space="preserve">. </w:t>
      </w:r>
      <w:r w:rsidR="00D13DC5" w:rsidRPr="000E4865">
        <w:rPr>
          <w:snapToGrid w:val="0"/>
          <w:kern w:val="22"/>
          <w:szCs w:val="22"/>
          <w:lang w:val="es-ES_tradnl"/>
        </w:rPr>
        <w:t>En un documento de información se ofrece información adicional sobre dichas iniciativas</w:t>
      </w:r>
      <w:r w:rsidR="00276B6C" w:rsidRPr="000E4865">
        <w:rPr>
          <w:snapToGrid w:val="0"/>
          <w:kern w:val="22"/>
          <w:szCs w:val="22"/>
          <w:lang w:val="es-ES_tradnl"/>
        </w:rPr>
        <w:t>.</w:t>
      </w:r>
    </w:p>
    <w:p w14:paraId="3C604FB5" w14:textId="558C8759" w:rsidR="00276B6C" w:rsidRPr="000E4865" w:rsidRDefault="004F429A" w:rsidP="00D74331">
      <w:pPr>
        <w:pStyle w:val="Heading2"/>
        <w:suppressLineNumbers/>
        <w:tabs>
          <w:tab w:val="clear" w:pos="720"/>
          <w:tab w:val="left" w:pos="360"/>
        </w:tabs>
        <w:suppressAutoHyphens/>
        <w:kinsoku w:val="0"/>
        <w:overflowPunct w:val="0"/>
        <w:autoSpaceDE w:val="0"/>
        <w:autoSpaceDN w:val="0"/>
        <w:adjustRightInd w:val="0"/>
        <w:snapToGrid w:val="0"/>
        <w:spacing w:line="238" w:lineRule="auto"/>
        <w:rPr>
          <w:snapToGrid w:val="0"/>
          <w:kern w:val="22"/>
          <w:szCs w:val="22"/>
          <w:lang w:val="es-ES_tradnl" w:eastAsia="en-GB"/>
        </w:rPr>
      </w:pPr>
      <w:r w:rsidRPr="000E4865">
        <w:rPr>
          <w:snapToGrid w:val="0"/>
          <w:kern w:val="22"/>
          <w:szCs w:val="22"/>
          <w:lang w:val="es-ES_tradnl"/>
        </w:rPr>
        <w:t>B.</w:t>
      </w:r>
      <w:r w:rsidRPr="000E4865">
        <w:rPr>
          <w:snapToGrid w:val="0"/>
          <w:kern w:val="22"/>
          <w:szCs w:val="22"/>
          <w:lang w:val="es-ES_tradnl"/>
        </w:rPr>
        <w:tab/>
      </w:r>
      <w:r w:rsidR="008B0EA5" w:rsidRPr="000E4865">
        <w:rPr>
          <w:snapToGrid w:val="0"/>
          <w:kern w:val="22"/>
          <w:szCs w:val="22"/>
          <w:lang w:val="es-ES_tradnl"/>
        </w:rPr>
        <w:t>Políticas nacionales e iniciativas y herramientas del sector empresarias</w:t>
      </w:r>
    </w:p>
    <w:p w14:paraId="55DE9E48" w14:textId="39BC0F81" w:rsidR="00276B6C" w:rsidRPr="000E4865" w:rsidRDefault="00D13DC5"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color w:val="1F497D"/>
          <w:kern w:val="22"/>
          <w:szCs w:val="22"/>
          <w:lang w:val="es-ES_tradnl" w:eastAsia="en-GB"/>
        </w:rPr>
      </w:pPr>
      <w:r w:rsidRPr="000E4865">
        <w:rPr>
          <w:snapToGrid w:val="0"/>
          <w:kern w:val="22"/>
          <w:szCs w:val="22"/>
          <w:lang w:val="es-ES_tradnl"/>
        </w:rPr>
        <w:t>La integración relacionada con la diversidad biológica y otros intereses ambientales que atañen al sector manufacturero ha adoptado diversas formas</w:t>
      </w:r>
      <w:r w:rsidR="00276B6C" w:rsidRPr="000E4865">
        <w:rPr>
          <w:snapToGrid w:val="0"/>
          <w:kern w:val="22"/>
          <w:szCs w:val="22"/>
          <w:lang w:val="es-ES_tradnl"/>
        </w:rPr>
        <w:t xml:space="preserve">. </w:t>
      </w:r>
      <w:r w:rsidRPr="000E4865">
        <w:rPr>
          <w:snapToGrid w:val="0"/>
          <w:kern w:val="22"/>
          <w:szCs w:val="22"/>
          <w:lang w:val="es-ES_tradnl"/>
        </w:rPr>
        <w:t xml:space="preserve">Las intervenciones de política típicas han incluido la regulación directa </w:t>
      </w:r>
      <w:r w:rsidR="00276B6C" w:rsidRPr="000E4865">
        <w:rPr>
          <w:snapToGrid w:val="0"/>
          <w:kern w:val="22"/>
          <w:szCs w:val="22"/>
          <w:lang w:val="es-ES_tradnl"/>
        </w:rPr>
        <w:t>(</w:t>
      </w:r>
      <w:r w:rsidR="00FA5B19" w:rsidRPr="000E4865">
        <w:rPr>
          <w:snapToGrid w:val="0"/>
          <w:kern w:val="22"/>
          <w:szCs w:val="22"/>
          <w:lang w:val="es-ES_tradnl"/>
        </w:rPr>
        <w:t>ordenación y control</w:t>
      </w:r>
      <w:r w:rsidR="00276B6C" w:rsidRPr="000E4865">
        <w:rPr>
          <w:snapToGrid w:val="0"/>
          <w:kern w:val="22"/>
          <w:szCs w:val="22"/>
          <w:lang w:val="es-ES_tradnl"/>
        </w:rPr>
        <w:t>)</w:t>
      </w:r>
      <w:r w:rsidR="00FA5B19" w:rsidRPr="000E4865">
        <w:rPr>
          <w:snapToGrid w:val="0"/>
          <w:kern w:val="22"/>
          <w:szCs w:val="22"/>
          <w:lang w:val="es-ES_tradnl"/>
        </w:rPr>
        <w:t>, en la que se especifica una proceso o procedimiento normalizado</w:t>
      </w:r>
      <w:r w:rsidR="00276B6C" w:rsidRPr="000E4865">
        <w:rPr>
          <w:snapToGrid w:val="0"/>
          <w:kern w:val="22"/>
          <w:szCs w:val="22"/>
          <w:lang w:val="es-ES_tradnl"/>
        </w:rPr>
        <w:t xml:space="preserve">, </w:t>
      </w:r>
      <w:r w:rsidR="00FA5B19" w:rsidRPr="000E4865">
        <w:rPr>
          <w:snapToGrid w:val="0"/>
          <w:kern w:val="22"/>
          <w:szCs w:val="22"/>
          <w:lang w:val="es-ES_tradnl"/>
        </w:rPr>
        <w:t>tal como las normas sobre desechos peligrosos o sobre las emisiones a la atmósfera</w:t>
      </w:r>
      <w:r w:rsidR="00276B6C" w:rsidRPr="000E4865">
        <w:rPr>
          <w:snapToGrid w:val="0"/>
          <w:kern w:val="22"/>
          <w:szCs w:val="22"/>
          <w:lang w:val="es-ES_tradnl"/>
        </w:rPr>
        <w:t xml:space="preserve">. </w:t>
      </w:r>
      <w:r w:rsidR="00FA5B19" w:rsidRPr="000E4865">
        <w:rPr>
          <w:snapToGrid w:val="0"/>
          <w:kern w:val="22"/>
          <w:szCs w:val="22"/>
          <w:lang w:val="es-ES_tradnl"/>
        </w:rPr>
        <w:t xml:space="preserve">Entre otras medidas se incluye </w:t>
      </w:r>
      <w:r w:rsidR="00276B6C" w:rsidRPr="000E4865">
        <w:rPr>
          <w:snapToGrid w:val="0"/>
          <w:kern w:val="22"/>
          <w:szCs w:val="22"/>
          <w:lang w:val="es-ES_tradnl"/>
        </w:rPr>
        <w:t xml:space="preserve">a) </w:t>
      </w:r>
      <w:r w:rsidR="00FA5B19" w:rsidRPr="000E4865">
        <w:rPr>
          <w:snapToGrid w:val="0"/>
          <w:kern w:val="22"/>
          <w:szCs w:val="22"/>
          <w:lang w:val="es-ES_tradnl"/>
        </w:rPr>
        <w:t xml:space="preserve">instrumentos de mercado, tales como impuestos o subsidios y regímenes de comercio que ayudan a internalizar las externalidades medioambientales negativas </w:t>
      </w:r>
      <w:r w:rsidR="00276B6C" w:rsidRPr="000E4865">
        <w:rPr>
          <w:snapToGrid w:val="0"/>
          <w:kern w:val="22"/>
          <w:szCs w:val="22"/>
          <w:lang w:val="es-ES_tradnl"/>
        </w:rPr>
        <w:t>(</w:t>
      </w:r>
      <w:r w:rsidR="00005AD5" w:rsidRPr="000E4865">
        <w:rPr>
          <w:snapToGrid w:val="0"/>
          <w:kern w:val="22"/>
          <w:szCs w:val="22"/>
          <w:lang w:val="es-ES_tradnl"/>
        </w:rPr>
        <w:t>p. ej.</w:t>
      </w:r>
      <w:r w:rsidR="00FA5B19" w:rsidRPr="000E4865">
        <w:rPr>
          <w:snapToGrid w:val="0"/>
          <w:kern w:val="22"/>
          <w:szCs w:val="22"/>
          <w:lang w:val="es-ES_tradnl"/>
        </w:rPr>
        <w:t>, impuestos sobre vertidos</w:t>
      </w:r>
      <w:r w:rsidR="00276B6C" w:rsidRPr="000E4865">
        <w:rPr>
          <w:snapToGrid w:val="0"/>
          <w:kern w:val="22"/>
          <w:szCs w:val="22"/>
          <w:lang w:val="es-ES_tradnl"/>
        </w:rPr>
        <w:t xml:space="preserve">, </w:t>
      </w:r>
      <w:r w:rsidR="00FA5B19" w:rsidRPr="000E4865">
        <w:rPr>
          <w:snapToGrid w:val="0"/>
          <w:kern w:val="22"/>
          <w:szCs w:val="22"/>
          <w:lang w:val="es-ES_tradnl"/>
        </w:rPr>
        <w:t>sistemas de intercambio de cuotas de emisión de gases de efecto invernadero</w:t>
      </w:r>
      <w:r w:rsidR="00276B6C" w:rsidRPr="000E4865">
        <w:rPr>
          <w:snapToGrid w:val="0"/>
          <w:kern w:val="22"/>
          <w:szCs w:val="22"/>
          <w:lang w:val="es-ES_tradnl"/>
        </w:rPr>
        <w:t xml:space="preserve">), b) </w:t>
      </w:r>
      <w:r w:rsidR="00FA5B19" w:rsidRPr="000E4865">
        <w:rPr>
          <w:snapToGrid w:val="0"/>
          <w:kern w:val="22"/>
          <w:szCs w:val="22"/>
          <w:lang w:val="es-ES_tradnl"/>
        </w:rPr>
        <w:t>eliminación, supresión paulatina de incentivos</w:t>
      </w:r>
      <w:r w:rsidR="00276B6C" w:rsidRPr="000E4865">
        <w:rPr>
          <w:snapToGrid w:val="0"/>
          <w:kern w:val="22"/>
          <w:szCs w:val="22"/>
          <w:lang w:val="es-ES_tradnl"/>
        </w:rPr>
        <w:t xml:space="preserve">, </w:t>
      </w:r>
      <w:r w:rsidR="00FA5B19" w:rsidRPr="000E4865">
        <w:rPr>
          <w:snapToGrid w:val="0"/>
          <w:kern w:val="22"/>
          <w:szCs w:val="22"/>
          <w:lang w:val="es-ES_tradnl"/>
        </w:rPr>
        <w:t>incluidos subsidios, perjudiciales para el medio ambiente</w:t>
      </w:r>
      <w:r w:rsidR="00276B6C" w:rsidRPr="000E4865">
        <w:rPr>
          <w:snapToGrid w:val="0"/>
          <w:kern w:val="22"/>
          <w:szCs w:val="22"/>
          <w:lang w:val="es-ES_tradnl"/>
        </w:rPr>
        <w:t xml:space="preserve">, c) </w:t>
      </w:r>
      <w:r w:rsidR="00FA5B19" w:rsidRPr="000E4865">
        <w:rPr>
          <w:snapToGrid w:val="0"/>
          <w:kern w:val="22"/>
          <w:szCs w:val="22"/>
          <w:lang w:val="es-ES_tradnl"/>
        </w:rPr>
        <w:t>diversos incentivos positivos que estimula</w:t>
      </w:r>
      <w:r w:rsidR="00655C59">
        <w:rPr>
          <w:snapToGrid w:val="0"/>
          <w:kern w:val="22"/>
          <w:szCs w:val="22"/>
          <w:lang w:val="es-ES_tradnl"/>
        </w:rPr>
        <w:t>n</w:t>
      </w:r>
      <w:r w:rsidR="00FA5B19" w:rsidRPr="000E4865">
        <w:rPr>
          <w:snapToGrid w:val="0"/>
          <w:kern w:val="22"/>
          <w:szCs w:val="22"/>
          <w:lang w:val="es-ES_tradnl"/>
        </w:rPr>
        <w:t xml:space="preserve"> prácticas más favorables con el medio ambiente</w:t>
      </w:r>
      <w:r w:rsidR="00276B6C" w:rsidRPr="000E4865">
        <w:rPr>
          <w:snapToGrid w:val="0"/>
          <w:kern w:val="22"/>
          <w:szCs w:val="22"/>
          <w:lang w:val="es-ES_tradnl"/>
        </w:rPr>
        <w:t xml:space="preserve">, </w:t>
      </w:r>
      <w:r w:rsidR="00FA5B19" w:rsidRPr="000E4865">
        <w:rPr>
          <w:snapToGrid w:val="0"/>
          <w:kern w:val="22"/>
          <w:szCs w:val="22"/>
          <w:lang w:val="es-ES_tradnl"/>
        </w:rPr>
        <w:t xml:space="preserve">tales como subvenciones de inversión y subsidios para alentar la innovación e inversión en tecnología menos contaminantes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FA5B19" w:rsidRPr="000E4865">
        <w:rPr>
          <w:snapToGrid w:val="0"/>
          <w:kern w:val="22"/>
          <w:szCs w:val="22"/>
          <w:lang w:val="es-ES_tradnl"/>
        </w:rPr>
        <w:t>apoyo a la eficiencia energética</w:t>
      </w:r>
      <w:r w:rsidR="00276B6C" w:rsidRPr="000E4865">
        <w:rPr>
          <w:snapToGrid w:val="0"/>
          <w:kern w:val="22"/>
          <w:szCs w:val="22"/>
          <w:lang w:val="es-ES_tradnl"/>
        </w:rPr>
        <w:t xml:space="preserve">, </w:t>
      </w:r>
      <w:r w:rsidR="00FA5B19" w:rsidRPr="000E4865">
        <w:rPr>
          <w:snapToGrid w:val="0"/>
          <w:kern w:val="22"/>
          <w:szCs w:val="22"/>
          <w:lang w:val="es-ES_tradnl"/>
        </w:rPr>
        <w:t>la eficiencia de recursos</w:t>
      </w:r>
      <w:r w:rsidR="00276B6C" w:rsidRPr="000E4865">
        <w:rPr>
          <w:snapToGrid w:val="0"/>
          <w:kern w:val="22"/>
          <w:szCs w:val="22"/>
          <w:lang w:val="es-ES_tradnl"/>
        </w:rPr>
        <w:t xml:space="preserve">); d) </w:t>
      </w:r>
      <w:r w:rsidR="00F64CDB" w:rsidRPr="000E4865">
        <w:rPr>
          <w:snapToGrid w:val="0"/>
          <w:kern w:val="22"/>
          <w:szCs w:val="22"/>
          <w:lang w:val="es-ES_tradnl"/>
        </w:rPr>
        <w:t xml:space="preserve">suministro de información </w:t>
      </w:r>
      <w:r w:rsidR="00276B6C" w:rsidRPr="000E4865">
        <w:rPr>
          <w:snapToGrid w:val="0"/>
          <w:kern w:val="22"/>
          <w:szCs w:val="22"/>
          <w:lang w:val="es-ES_tradnl"/>
        </w:rPr>
        <w:t>(</w:t>
      </w:r>
      <w:r w:rsidR="00F64CDB" w:rsidRPr="000E4865">
        <w:rPr>
          <w:snapToGrid w:val="0"/>
          <w:kern w:val="22"/>
          <w:szCs w:val="22"/>
          <w:lang w:val="es-ES_tradnl"/>
        </w:rPr>
        <w:t>para aumentar la sensibilización hacia el medio ambiente</w:t>
      </w:r>
      <w:r w:rsidR="00276B6C" w:rsidRPr="000E4865">
        <w:rPr>
          <w:snapToGrid w:val="0"/>
          <w:kern w:val="22"/>
          <w:szCs w:val="22"/>
          <w:lang w:val="es-ES_tradnl"/>
        </w:rPr>
        <w:t xml:space="preserve">) </w:t>
      </w:r>
      <w:r w:rsidR="00F64CDB" w:rsidRPr="000E4865">
        <w:rPr>
          <w:snapToGrid w:val="0"/>
          <w:kern w:val="22"/>
          <w:szCs w:val="22"/>
          <w:lang w:val="es-ES_tradnl"/>
        </w:rPr>
        <w:t xml:space="preserve">y programas de participación del público </w:t>
      </w:r>
      <w:r w:rsidR="00276B6C" w:rsidRPr="000E4865">
        <w:rPr>
          <w:snapToGrid w:val="0"/>
          <w:kern w:val="22"/>
          <w:szCs w:val="22"/>
          <w:lang w:val="es-ES_tradnl"/>
        </w:rPr>
        <w:t>(</w:t>
      </w:r>
      <w:r w:rsidR="00F64CDB" w:rsidRPr="000E4865">
        <w:rPr>
          <w:snapToGrid w:val="0"/>
          <w:kern w:val="22"/>
          <w:szCs w:val="22"/>
          <w:lang w:val="es-ES_tradnl"/>
        </w:rPr>
        <w:t>para fomentar más actitudes en pro del medio ambiente en los consumidores</w:t>
      </w:r>
      <w:r w:rsidR="00276B6C" w:rsidRPr="000E4865">
        <w:rPr>
          <w:snapToGrid w:val="0"/>
          <w:kern w:val="22"/>
          <w:szCs w:val="22"/>
          <w:lang w:val="es-ES_tradnl"/>
        </w:rPr>
        <w:t>); e)</w:t>
      </w:r>
      <w:r w:rsidR="002C2402" w:rsidRPr="000E4865">
        <w:rPr>
          <w:snapToGrid w:val="0"/>
          <w:kern w:val="22"/>
          <w:szCs w:val="22"/>
          <w:lang w:val="es-ES_tradnl"/>
        </w:rPr>
        <w:t> </w:t>
      </w:r>
      <w:r w:rsidR="00F64CDB" w:rsidRPr="000E4865">
        <w:rPr>
          <w:snapToGrid w:val="0"/>
          <w:kern w:val="22"/>
          <w:szCs w:val="22"/>
          <w:lang w:val="es-ES_tradnl"/>
        </w:rPr>
        <w:t>adquisiciones públicas que apoye</w:t>
      </w:r>
      <w:r w:rsidR="00655C59">
        <w:rPr>
          <w:snapToGrid w:val="0"/>
          <w:kern w:val="22"/>
          <w:szCs w:val="22"/>
          <w:lang w:val="es-ES_tradnl"/>
        </w:rPr>
        <w:t>n</w:t>
      </w:r>
      <w:r w:rsidR="00F64CDB" w:rsidRPr="000E4865">
        <w:rPr>
          <w:snapToGrid w:val="0"/>
          <w:kern w:val="22"/>
          <w:szCs w:val="22"/>
          <w:lang w:val="es-ES_tradnl"/>
        </w:rPr>
        <w:t xml:space="preserve"> o desaliente</w:t>
      </w:r>
      <w:r w:rsidR="00655C59">
        <w:rPr>
          <w:snapToGrid w:val="0"/>
          <w:kern w:val="22"/>
          <w:szCs w:val="22"/>
          <w:lang w:val="es-ES_tradnl"/>
        </w:rPr>
        <w:t>n</w:t>
      </w:r>
      <w:r w:rsidR="00F64CDB" w:rsidRPr="000E4865">
        <w:rPr>
          <w:snapToGrid w:val="0"/>
          <w:kern w:val="22"/>
          <w:szCs w:val="22"/>
          <w:lang w:val="es-ES_tradnl"/>
        </w:rPr>
        <w:t xml:space="preserve"> determinados comportamientos o productos que tengan considerables impactos ambientales</w:t>
      </w:r>
      <w:r w:rsidR="00276B6C" w:rsidRPr="000E4865">
        <w:rPr>
          <w:snapToGrid w:val="0"/>
          <w:kern w:val="22"/>
          <w:szCs w:val="22"/>
          <w:lang w:val="es-ES_tradnl"/>
        </w:rPr>
        <w:t xml:space="preserve">; f) </w:t>
      </w:r>
      <w:r w:rsidR="00F64CDB" w:rsidRPr="000E4865">
        <w:rPr>
          <w:snapToGrid w:val="0"/>
          <w:kern w:val="22"/>
          <w:szCs w:val="22"/>
          <w:lang w:val="es-ES_tradnl"/>
        </w:rPr>
        <w:t>requisitos de divulgación que exigen a las empresas por encima de determinados umbrales a presentar informes anuales sobre sus riesgos, impactos y comportamiento ambiental</w:t>
      </w:r>
      <w:r w:rsidR="00276B6C" w:rsidRPr="000E4865">
        <w:rPr>
          <w:snapToGrid w:val="0"/>
          <w:kern w:val="22"/>
          <w:szCs w:val="22"/>
          <w:lang w:val="es-ES_tradnl"/>
        </w:rPr>
        <w:t xml:space="preserve">; g) </w:t>
      </w:r>
      <w:r w:rsidR="00F64CDB" w:rsidRPr="000E4865">
        <w:rPr>
          <w:snapToGrid w:val="0"/>
          <w:kern w:val="22"/>
          <w:szCs w:val="22"/>
          <w:lang w:val="es-ES_tradnl"/>
        </w:rPr>
        <w:t xml:space="preserve">instrumentos </w:t>
      </w:r>
      <w:r w:rsidR="00276B6C" w:rsidRPr="000E4865">
        <w:rPr>
          <w:snapToGrid w:val="0"/>
          <w:kern w:val="22"/>
          <w:szCs w:val="22"/>
          <w:lang w:val="es-ES_tradnl"/>
        </w:rPr>
        <w:t>interna</w:t>
      </w:r>
      <w:r w:rsidR="00F64CDB" w:rsidRPr="000E4865">
        <w:rPr>
          <w:snapToGrid w:val="0"/>
          <w:kern w:val="22"/>
          <w:szCs w:val="22"/>
          <w:lang w:val="es-ES_tradnl"/>
        </w:rPr>
        <w:t xml:space="preserve">cionales de financiación </w:t>
      </w:r>
      <w:r w:rsidR="00276B6C" w:rsidRPr="000E4865">
        <w:rPr>
          <w:snapToGrid w:val="0"/>
          <w:kern w:val="22"/>
          <w:szCs w:val="22"/>
          <w:lang w:val="es-ES_tradnl"/>
        </w:rPr>
        <w:t>(</w:t>
      </w:r>
      <w:r w:rsidR="00F64CDB" w:rsidRPr="000E4865">
        <w:rPr>
          <w:snapToGrid w:val="0"/>
          <w:kern w:val="22"/>
          <w:szCs w:val="22"/>
          <w:lang w:val="es-ES_tradnl"/>
        </w:rPr>
        <w:t xml:space="preserve">orientados </w:t>
      </w:r>
      <w:r w:rsidR="00F64CDB" w:rsidRPr="000E4865">
        <w:rPr>
          <w:snapToGrid w:val="0"/>
          <w:kern w:val="22"/>
          <w:szCs w:val="22"/>
          <w:lang w:val="es-ES_tradnl"/>
        </w:rPr>
        <w:lastRenderedPageBreak/>
        <w:t>al sector manufacturero o a determinadas empresas</w:t>
      </w:r>
      <w:r w:rsidR="00276B6C" w:rsidRPr="000E4865">
        <w:rPr>
          <w:snapToGrid w:val="0"/>
          <w:kern w:val="22"/>
          <w:szCs w:val="22"/>
          <w:lang w:val="es-ES_tradnl"/>
        </w:rPr>
        <w:t xml:space="preserve">) </w:t>
      </w:r>
      <w:r w:rsidR="00F64CDB" w:rsidRPr="000E4865">
        <w:rPr>
          <w:snapToGrid w:val="0"/>
          <w:kern w:val="22"/>
          <w:szCs w:val="22"/>
          <w:lang w:val="es-ES_tradnl"/>
        </w:rPr>
        <w:t>y acuerdos comerciales con salvaguardias medioambientales</w:t>
      </w:r>
      <w:r w:rsidR="00276B6C" w:rsidRPr="000E4865">
        <w:rPr>
          <w:snapToGrid w:val="0"/>
          <w:kern w:val="22"/>
          <w:szCs w:val="22"/>
          <w:lang w:val="es-ES_tradnl"/>
        </w:rPr>
        <w:t>.</w:t>
      </w:r>
    </w:p>
    <w:p w14:paraId="586B0D97" w14:textId="3BF24672" w:rsidR="00276B6C" w:rsidRPr="000E4865" w:rsidRDefault="00F64CDB"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 xml:space="preserve">Un elemento importante para la integración es </w:t>
      </w:r>
      <w:r w:rsidR="00655C59">
        <w:rPr>
          <w:snapToGrid w:val="0"/>
          <w:kern w:val="22"/>
          <w:szCs w:val="22"/>
          <w:lang w:val="es-ES_tradnl"/>
        </w:rPr>
        <w:t xml:space="preserve">contar con </w:t>
      </w:r>
      <w:r w:rsidRPr="000E4865">
        <w:rPr>
          <w:snapToGrid w:val="0"/>
          <w:kern w:val="22"/>
          <w:szCs w:val="22"/>
          <w:lang w:val="es-ES_tradnl"/>
        </w:rPr>
        <w:t>datos confiables</w:t>
      </w:r>
      <w:r w:rsidR="00276B6C" w:rsidRPr="000E4865">
        <w:rPr>
          <w:snapToGrid w:val="0"/>
          <w:kern w:val="22"/>
          <w:szCs w:val="22"/>
          <w:lang w:val="es-ES_tradnl"/>
        </w:rPr>
        <w:t xml:space="preserve">. </w:t>
      </w:r>
      <w:r w:rsidRPr="000E4865">
        <w:rPr>
          <w:snapToGrid w:val="0"/>
          <w:kern w:val="22"/>
          <w:szCs w:val="22"/>
          <w:lang w:val="es-ES_tradnl"/>
        </w:rPr>
        <w:t xml:space="preserve">Se han realizado considerables esfuerzos en la supervisión y el seguimiento de las </w:t>
      </w:r>
      <w:r w:rsidR="00DF6987" w:rsidRPr="000E4865">
        <w:rPr>
          <w:snapToGrid w:val="0"/>
          <w:color w:val="000000" w:themeColor="text1"/>
          <w:kern w:val="22"/>
          <w:szCs w:val="22"/>
          <w:shd w:val="clear" w:color="auto" w:fill="FFFFFF"/>
          <w:lang w:val="es-ES_tradnl"/>
        </w:rPr>
        <w:t xml:space="preserve">emisiones </w:t>
      </w:r>
      <w:r w:rsidR="00DF6987">
        <w:rPr>
          <w:snapToGrid w:val="0"/>
          <w:color w:val="000000" w:themeColor="text1"/>
          <w:kern w:val="22"/>
          <w:szCs w:val="22"/>
          <w:shd w:val="clear" w:color="auto" w:fill="FFFFFF"/>
          <w:lang w:val="es-ES_tradnl"/>
        </w:rPr>
        <w:t>a la atmósfera y al agua</w:t>
      </w:r>
      <w:r w:rsidR="00276B6C" w:rsidRPr="000E4865">
        <w:rPr>
          <w:snapToGrid w:val="0"/>
          <w:kern w:val="22"/>
          <w:szCs w:val="22"/>
          <w:lang w:val="es-ES_tradnl"/>
        </w:rPr>
        <w:t xml:space="preserve">, </w:t>
      </w:r>
      <w:r w:rsidR="00CE74B8" w:rsidRPr="000E4865">
        <w:rPr>
          <w:snapToGrid w:val="0"/>
          <w:kern w:val="22"/>
          <w:szCs w:val="22"/>
          <w:lang w:val="es-ES_tradnl"/>
        </w:rPr>
        <w:t xml:space="preserve">así como </w:t>
      </w:r>
      <w:r w:rsidR="00655C59">
        <w:rPr>
          <w:snapToGrid w:val="0"/>
          <w:kern w:val="22"/>
          <w:szCs w:val="22"/>
          <w:lang w:val="es-ES_tradnl"/>
        </w:rPr>
        <w:t xml:space="preserve">de </w:t>
      </w:r>
      <w:r w:rsidR="00CE74B8" w:rsidRPr="000E4865">
        <w:rPr>
          <w:snapToGrid w:val="0"/>
          <w:kern w:val="22"/>
          <w:szCs w:val="22"/>
          <w:lang w:val="es-ES_tradnl"/>
        </w:rPr>
        <w:t xml:space="preserve">los desechos sólidos, de las distintas plantas de fabricación y el ciclo de vida de los productos manufacturados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CE74B8" w:rsidRPr="000E4865">
        <w:rPr>
          <w:snapToGrid w:val="0"/>
          <w:kern w:val="22"/>
          <w:szCs w:val="22"/>
          <w:lang w:val="es-ES_tradnl"/>
        </w:rPr>
        <w:t>emisiones de los automóviles</w:t>
      </w:r>
      <w:r w:rsidR="00276B6C" w:rsidRPr="000E4865">
        <w:rPr>
          <w:snapToGrid w:val="0"/>
          <w:kern w:val="22"/>
          <w:szCs w:val="22"/>
          <w:lang w:val="es-ES_tradnl"/>
        </w:rPr>
        <w:t>).</w:t>
      </w:r>
      <w:r w:rsidR="00E77F48" w:rsidRPr="000E4865">
        <w:rPr>
          <w:snapToGrid w:val="0"/>
          <w:kern w:val="22"/>
          <w:szCs w:val="22"/>
          <w:lang w:val="es-ES_tradnl"/>
        </w:rPr>
        <w:t xml:space="preserve"> Se dispone de estadísticas precisas para algunas regiones</w:t>
      </w:r>
      <w:r w:rsidR="00276B6C" w:rsidRPr="000E4865">
        <w:rPr>
          <w:snapToGrid w:val="0"/>
          <w:kern w:val="22"/>
          <w:szCs w:val="22"/>
          <w:lang w:val="es-ES_tradnl"/>
        </w:rPr>
        <w:t xml:space="preserve">. </w:t>
      </w:r>
      <w:r w:rsidR="00E77F48" w:rsidRPr="000E4865">
        <w:rPr>
          <w:snapToGrid w:val="0"/>
          <w:kern w:val="22"/>
          <w:szCs w:val="22"/>
          <w:lang w:val="es-ES_tradnl"/>
        </w:rPr>
        <w:t>Por ejemplo</w:t>
      </w:r>
      <w:r w:rsidR="00276B6C" w:rsidRPr="000E4865">
        <w:rPr>
          <w:snapToGrid w:val="0"/>
          <w:kern w:val="22"/>
          <w:szCs w:val="22"/>
          <w:lang w:val="es-ES_tradnl"/>
        </w:rPr>
        <w:t xml:space="preserve">, </w:t>
      </w:r>
      <w:r w:rsidR="00E77F48" w:rsidRPr="000E4865">
        <w:rPr>
          <w:snapToGrid w:val="0"/>
          <w:kern w:val="22"/>
          <w:szCs w:val="22"/>
          <w:lang w:val="es-ES_tradnl"/>
        </w:rPr>
        <w:t xml:space="preserve">el </w:t>
      </w:r>
      <w:r w:rsidR="00276B6C" w:rsidRPr="000E4865">
        <w:rPr>
          <w:snapToGrid w:val="0"/>
          <w:kern w:val="22"/>
          <w:szCs w:val="22"/>
          <w:lang w:val="es-ES_tradnl"/>
        </w:rPr>
        <w:t>50</w:t>
      </w:r>
      <w:r w:rsidR="00DA6295" w:rsidRPr="000E4865">
        <w:rPr>
          <w:snapToGrid w:val="0"/>
          <w:kern w:val="22"/>
          <w:szCs w:val="22"/>
          <w:lang w:val="es-ES_tradnl"/>
        </w:rPr>
        <w:t>%</w:t>
      </w:r>
      <w:r w:rsidR="00276B6C" w:rsidRPr="000E4865">
        <w:rPr>
          <w:snapToGrid w:val="0"/>
          <w:kern w:val="22"/>
          <w:szCs w:val="22"/>
          <w:lang w:val="es-ES_tradnl"/>
        </w:rPr>
        <w:t xml:space="preserve"> </w:t>
      </w:r>
      <w:r w:rsidR="00E77F48" w:rsidRPr="000E4865">
        <w:rPr>
          <w:snapToGrid w:val="0"/>
          <w:kern w:val="22"/>
          <w:szCs w:val="22"/>
          <w:lang w:val="es-ES_tradnl"/>
        </w:rPr>
        <w:t>del costo total de</w:t>
      </w:r>
      <w:r w:rsidR="00655C59">
        <w:rPr>
          <w:snapToGrid w:val="0"/>
          <w:kern w:val="22"/>
          <w:szCs w:val="22"/>
          <w:lang w:val="es-ES_tradnl"/>
        </w:rPr>
        <w:t xml:space="preserve"> los</w:t>
      </w:r>
      <w:r w:rsidR="00E77F48" w:rsidRPr="000E4865">
        <w:rPr>
          <w:snapToGrid w:val="0"/>
          <w:kern w:val="22"/>
          <w:szCs w:val="22"/>
          <w:lang w:val="es-ES_tradnl"/>
        </w:rPr>
        <w:t xml:space="preserve"> daños producidos por las emisiones </w:t>
      </w:r>
      <w:r w:rsidR="00DF6987">
        <w:rPr>
          <w:snapToGrid w:val="0"/>
          <w:kern w:val="22"/>
          <w:szCs w:val="22"/>
          <w:lang w:val="es-ES_tradnl"/>
        </w:rPr>
        <w:t>al</w:t>
      </w:r>
      <w:r w:rsidR="00E77F48" w:rsidRPr="000E4865">
        <w:rPr>
          <w:snapToGrid w:val="0"/>
          <w:kern w:val="22"/>
          <w:szCs w:val="22"/>
          <w:lang w:val="es-ES_tradnl"/>
        </w:rPr>
        <w:t xml:space="preserve"> aire en Europa pu</w:t>
      </w:r>
      <w:r w:rsidR="001E0751" w:rsidRPr="000E4865">
        <w:rPr>
          <w:snapToGrid w:val="0"/>
          <w:kern w:val="22"/>
          <w:szCs w:val="22"/>
          <w:lang w:val="es-ES_tradnl"/>
        </w:rPr>
        <w:t>e</w:t>
      </w:r>
      <w:r w:rsidR="00E77F48" w:rsidRPr="000E4865">
        <w:rPr>
          <w:snapToGrid w:val="0"/>
          <w:kern w:val="22"/>
          <w:szCs w:val="22"/>
          <w:lang w:val="es-ES_tradnl"/>
        </w:rPr>
        <w:t xml:space="preserve">den atribuirse a solo 147 instalaciones y el </w:t>
      </w:r>
      <w:r w:rsidR="00276B6C" w:rsidRPr="000E4865">
        <w:rPr>
          <w:snapToGrid w:val="0"/>
          <w:kern w:val="22"/>
          <w:szCs w:val="22"/>
          <w:lang w:val="es-ES_tradnl"/>
        </w:rPr>
        <w:t>90</w:t>
      </w:r>
      <w:r w:rsidR="00DA6295" w:rsidRPr="000E4865">
        <w:rPr>
          <w:snapToGrid w:val="0"/>
          <w:kern w:val="22"/>
          <w:szCs w:val="22"/>
          <w:lang w:val="es-ES_tradnl"/>
        </w:rPr>
        <w:t>%</w:t>
      </w:r>
      <w:r w:rsidR="00276B6C" w:rsidRPr="000E4865">
        <w:rPr>
          <w:snapToGrid w:val="0"/>
          <w:kern w:val="22"/>
          <w:szCs w:val="22"/>
          <w:lang w:val="es-ES_tradnl"/>
        </w:rPr>
        <w:t xml:space="preserve"> </w:t>
      </w:r>
      <w:r w:rsidR="00E77F48" w:rsidRPr="000E4865">
        <w:rPr>
          <w:snapToGrid w:val="0"/>
          <w:kern w:val="22"/>
          <w:szCs w:val="22"/>
          <w:lang w:val="es-ES_tradnl"/>
        </w:rPr>
        <w:t xml:space="preserve">de dichos costos a solo </w:t>
      </w:r>
      <w:r w:rsidR="00276B6C" w:rsidRPr="000E4865">
        <w:rPr>
          <w:snapToGrid w:val="0"/>
          <w:kern w:val="22"/>
          <w:szCs w:val="22"/>
          <w:lang w:val="es-ES_tradnl"/>
        </w:rPr>
        <w:t>1</w:t>
      </w:r>
      <w:r w:rsidR="00E77F48" w:rsidRPr="000E4865">
        <w:rPr>
          <w:snapToGrid w:val="0"/>
          <w:kern w:val="22"/>
          <w:szCs w:val="22"/>
          <w:lang w:val="es-ES_tradnl"/>
        </w:rPr>
        <w:t> </w:t>
      </w:r>
      <w:r w:rsidR="00276B6C" w:rsidRPr="000E4865">
        <w:rPr>
          <w:snapToGrid w:val="0"/>
          <w:kern w:val="22"/>
          <w:szCs w:val="22"/>
          <w:lang w:val="es-ES_tradnl"/>
        </w:rPr>
        <w:t xml:space="preserve">529 </w:t>
      </w:r>
      <w:r w:rsidR="00E77F48" w:rsidRPr="000E4865">
        <w:rPr>
          <w:snapToGrid w:val="0"/>
          <w:kern w:val="22"/>
          <w:szCs w:val="22"/>
          <w:lang w:val="es-ES_tradnl"/>
        </w:rPr>
        <w:t>instalaciones</w:t>
      </w:r>
      <w:r w:rsidR="00276B6C" w:rsidRPr="000E4865">
        <w:rPr>
          <w:snapToGrid w:val="0"/>
          <w:kern w:val="22"/>
          <w:szCs w:val="22"/>
          <w:vertAlign w:val="superscript"/>
          <w:lang w:val="es-ES_tradnl"/>
        </w:rPr>
        <w:footnoteReference w:id="33"/>
      </w:r>
      <w:r w:rsidR="00E77F48" w:rsidRPr="000E4865">
        <w:rPr>
          <w:snapToGrid w:val="0"/>
          <w:kern w:val="22"/>
          <w:szCs w:val="22"/>
          <w:lang w:val="es-ES_tradnl"/>
        </w:rPr>
        <w:t xml:space="preserve">, aunque no todas corresponden al sector manufacturero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E77F48" w:rsidRPr="000E4865">
        <w:rPr>
          <w:snapToGrid w:val="0"/>
          <w:kern w:val="22"/>
          <w:szCs w:val="22"/>
          <w:lang w:val="es-ES_tradnl"/>
        </w:rPr>
        <w:t>centrales eléctricas</w:t>
      </w:r>
      <w:r w:rsidR="00276B6C" w:rsidRPr="000E4865">
        <w:rPr>
          <w:snapToGrid w:val="0"/>
          <w:kern w:val="22"/>
          <w:szCs w:val="22"/>
          <w:lang w:val="es-ES_tradnl"/>
        </w:rPr>
        <w:t>).</w:t>
      </w:r>
    </w:p>
    <w:p w14:paraId="1DF5471A" w14:textId="1BE8327B" w:rsidR="00276B6C" w:rsidRPr="000E4865" w:rsidRDefault="00BD5F36"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También se han realizado importantes esfuerzos p</w:t>
      </w:r>
      <w:r w:rsidR="00655C59">
        <w:rPr>
          <w:snapToGrid w:val="0"/>
          <w:kern w:val="22"/>
          <w:szCs w:val="22"/>
          <w:lang w:val="es-ES_tradnl"/>
        </w:rPr>
        <w:t xml:space="preserve">or </w:t>
      </w:r>
      <w:r w:rsidRPr="000E4865">
        <w:rPr>
          <w:snapToGrid w:val="0"/>
          <w:kern w:val="22"/>
          <w:szCs w:val="22"/>
          <w:lang w:val="es-ES_tradnl"/>
        </w:rPr>
        <w:t>reducir las emisiones y los desechos</w:t>
      </w:r>
      <w:r w:rsidR="00276B6C" w:rsidRPr="000E4865">
        <w:rPr>
          <w:snapToGrid w:val="0"/>
          <w:kern w:val="22"/>
          <w:szCs w:val="22"/>
          <w:lang w:val="es-ES_tradnl"/>
        </w:rPr>
        <w:t xml:space="preserve">. </w:t>
      </w:r>
      <w:r w:rsidRPr="000E4865">
        <w:rPr>
          <w:snapToGrid w:val="0"/>
          <w:kern w:val="22"/>
          <w:szCs w:val="22"/>
          <w:lang w:val="es-ES_tradnl"/>
        </w:rPr>
        <w:t>Asimismo, se han hecho esfuerzos p</w:t>
      </w:r>
      <w:r w:rsidR="00655C59">
        <w:rPr>
          <w:snapToGrid w:val="0"/>
          <w:kern w:val="22"/>
          <w:szCs w:val="22"/>
          <w:lang w:val="es-ES_tradnl"/>
        </w:rPr>
        <w:t>or</w:t>
      </w:r>
      <w:r w:rsidRPr="000E4865">
        <w:rPr>
          <w:snapToGrid w:val="0"/>
          <w:kern w:val="22"/>
          <w:szCs w:val="22"/>
          <w:lang w:val="es-ES_tradnl"/>
        </w:rPr>
        <w:t xml:space="preserve"> reducir las necesidades de materias primas y de recursos, a través de diversos enfoques complementarios</w:t>
      </w:r>
      <w:r w:rsidR="00276B6C" w:rsidRPr="000E4865">
        <w:rPr>
          <w:snapToGrid w:val="0"/>
          <w:kern w:val="22"/>
          <w:szCs w:val="22"/>
          <w:lang w:val="es-ES_tradnl"/>
        </w:rPr>
        <w:t xml:space="preserve">, </w:t>
      </w:r>
      <w:r w:rsidRPr="000E4865">
        <w:rPr>
          <w:snapToGrid w:val="0"/>
          <w:kern w:val="22"/>
          <w:szCs w:val="22"/>
          <w:lang w:val="es-ES_tradnl"/>
        </w:rPr>
        <w:t xml:space="preserve">tales como el reciclado </w:t>
      </w:r>
      <w:r w:rsidR="00276B6C" w:rsidRPr="000E4865">
        <w:rPr>
          <w:snapToGrid w:val="0"/>
          <w:kern w:val="22"/>
          <w:szCs w:val="22"/>
          <w:lang w:val="es-ES_tradnl"/>
        </w:rPr>
        <w:t>(</w:t>
      </w:r>
      <w:r w:rsidRPr="000E4865">
        <w:rPr>
          <w:snapToGrid w:val="0"/>
          <w:kern w:val="22"/>
          <w:szCs w:val="22"/>
          <w:lang w:val="es-ES_tradnl"/>
        </w:rPr>
        <w:t>en particular mejorando las posib</w:t>
      </w:r>
      <w:r w:rsidR="00101750" w:rsidRPr="000E4865">
        <w:rPr>
          <w:snapToGrid w:val="0"/>
          <w:kern w:val="22"/>
          <w:szCs w:val="22"/>
          <w:lang w:val="es-ES_tradnl"/>
        </w:rPr>
        <w:t>i</w:t>
      </w:r>
      <w:r w:rsidRPr="000E4865">
        <w:rPr>
          <w:snapToGrid w:val="0"/>
          <w:kern w:val="22"/>
          <w:szCs w:val="22"/>
          <w:lang w:val="es-ES_tradnl"/>
        </w:rPr>
        <w:t>lidades de reciclaje de los productos</w:t>
      </w:r>
      <w:r w:rsidR="00276B6C" w:rsidRPr="000E4865">
        <w:rPr>
          <w:snapToGrid w:val="0"/>
          <w:kern w:val="22"/>
          <w:szCs w:val="22"/>
          <w:lang w:val="es-ES_tradnl"/>
        </w:rPr>
        <w:t xml:space="preserve">), </w:t>
      </w:r>
      <w:r w:rsidR="00101750" w:rsidRPr="000E4865">
        <w:rPr>
          <w:snapToGrid w:val="0"/>
          <w:kern w:val="22"/>
          <w:szCs w:val="22"/>
          <w:lang w:val="es-ES_tradnl"/>
        </w:rPr>
        <w:t xml:space="preserve">el diseño ecológico de productos </w:t>
      </w:r>
      <w:r w:rsidR="00276B6C" w:rsidRPr="000E4865">
        <w:rPr>
          <w:snapToGrid w:val="0"/>
          <w:kern w:val="22"/>
          <w:szCs w:val="22"/>
          <w:lang w:val="es-ES_tradnl"/>
        </w:rPr>
        <w:t>(</w:t>
      </w:r>
      <w:r w:rsidR="00005AD5" w:rsidRPr="000E4865">
        <w:rPr>
          <w:snapToGrid w:val="0"/>
          <w:kern w:val="22"/>
          <w:szCs w:val="22"/>
          <w:lang w:val="es-ES_tradnl"/>
        </w:rPr>
        <w:t>p.</w:t>
      </w:r>
      <w:r w:rsidR="00655C59">
        <w:rPr>
          <w:snapToGrid w:val="0"/>
          <w:kern w:val="22"/>
          <w:szCs w:val="22"/>
          <w:lang w:val="es-ES_tradnl"/>
        </w:rPr>
        <w:t> </w:t>
      </w:r>
      <w:r w:rsidR="00005AD5" w:rsidRPr="000E4865">
        <w:rPr>
          <w:snapToGrid w:val="0"/>
          <w:kern w:val="22"/>
          <w:szCs w:val="22"/>
          <w:lang w:val="es-ES_tradnl"/>
        </w:rPr>
        <w:t>ej.</w:t>
      </w:r>
      <w:r w:rsidR="00276B6C" w:rsidRPr="000E4865">
        <w:rPr>
          <w:snapToGrid w:val="0"/>
          <w:kern w:val="22"/>
          <w:szCs w:val="22"/>
          <w:lang w:val="es-ES_tradnl"/>
        </w:rPr>
        <w:t xml:space="preserve">, </w:t>
      </w:r>
      <w:r w:rsidR="00101750" w:rsidRPr="000E4865">
        <w:rPr>
          <w:snapToGrid w:val="0"/>
          <w:kern w:val="22"/>
          <w:szCs w:val="22"/>
          <w:lang w:val="es-ES_tradnl"/>
        </w:rPr>
        <w:t>utilizando componentes menos contaminantes o perjudiciales</w:t>
      </w:r>
      <w:r w:rsidR="00276B6C" w:rsidRPr="000E4865">
        <w:rPr>
          <w:snapToGrid w:val="0"/>
          <w:kern w:val="22"/>
          <w:szCs w:val="22"/>
          <w:lang w:val="es-ES_tradnl"/>
        </w:rPr>
        <w:t>), a</w:t>
      </w:r>
      <w:r w:rsidR="00101750" w:rsidRPr="000E4865">
        <w:rPr>
          <w:snapToGrid w:val="0"/>
          <w:kern w:val="22"/>
          <w:szCs w:val="22"/>
          <w:lang w:val="es-ES_tradnl"/>
        </w:rPr>
        <w:t>sí como las iniciativas de ecología industrial</w:t>
      </w:r>
      <w:r w:rsidR="00276B6C" w:rsidRPr="000E4865">
        <w:rPr>
          <w:rStyle w:val="FootnoteReference"/>
          <w:snapToGrid w:val="0"/>
          <w:kern w:val="22"/>
          <w:szCs w:val="22"/>
          <w:lang w:val="es-ES_tradnl"/>
        </w:rPr>
        <w:footnoteReference w:id="34"/>
      </w:r>
      <w:r w:rsidR="00276B6C" w:rsidRPr="000E4865">
        <w:rPr>
          <w:snapToGrid w:val="0"/>
          <w:kern w:val="22"/>
          <w:szCs w:val="22"/>
          <w:lang w:val="es-ES_tradnl"/>
        </w:rPr>
        <w:t xml:space="preserve"> </w:t>
      </w:r>
      <w:r w:rsidR="00101750" w:rsidRPr="000E4865">
        <w:rPr>
          <w:snapToGrid w:val="0"/>
          <w:kern w:val="22"/>
          <w:szCs w:val="22"/>
          <w:lang w:val="es-ES_tradnl"/>
        </w:rPr>
        <w:t xml:space="preserve">y economía </w:t>
      </w:r>
      <w:r w:rsidR="00276B6C" w:rsidRPr="000E4865">
        <w:rPr>
          <w:snapToGrid w:val="0"/>
          <w:kern w:val="22"/>
          <w:szCs w:val="22"/>
          <w:lang w:val="es-ES_tradnl"/>
        </w:rPr>
        <w:t>circular</w:t>
      </w:r>
      <w:r w:rsidR="00276B6C" w:rsidRPr="000E4865">
        <w:rPr>
          <w:rStyle w:val="FootnoteReference"/>
          <w:snapToGrid w:val="0"/>
          <w:kern w:val="22"/>
          <w:szCs w:val="22"/>
          <w:lang w:val="es-ES_tradnl"/>
        </w:rPr>
        <w:footnoteReference w:id="35"/>
      </w:r>
      <w:r w:rsidR="00101750" w:rsidRPr="000E4865">
        <w:rPr>
          <w:snapToGrid w:val="0"/>
          <w:kern w:val="22"/>
          <w:szCs w:val="22"/>
          <w:lang w:val="es-ES_tradnl"/>
        </w:rPr>
        <w:t>. Aun así, en la mayoría de los países todavía queda mucho por hacer</w:t>
      </w:r>
      <w:r w:rsidR="00276B6C" w:rsidRPr="000E4865">
        <w:rPr>
          <w:snapToGrid w:val="0"/>
          <w:kern w:val="22"/>
          <w:szCs w:val="22"/>
          <w:lang w:val="es-ES_tradnl"/>
        </w:rPr>
        <w:t>.</w:t>
      </w:r>
    </w:p>
    <w:p w14:paraId="65B583D7" w14:textId="4381BE0C" w:rsidR="00276B6C" w:rsidRPr="000E4865" w:rsidRDefault="00101750"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Además, varios enfoques o herramientas clave medioambientales están integrando progresivamente consideraciones relativas a la diversidad biológica</w:t>
      </w:r>
      <w:r w:rsidR="00276B6C" w:rsidRPr="000E4865">
        <w:rPr>
          <w:snapToGrid w:val="0"/>
          <w:kern w:val="22"/>
          <w:szCs w:val="22"/>
          <w:lang w:val="es-ES_tradnl"/>
        </w:rPr>
        <w:t xml:space="preserve">, </w:t>
      </w:r>
      <w:r w:rsidRPr="000E4865">
        <w:rPr>
          <w:snapToGrid w:val="0"/>
          <w:kern w:val="22"/>
          <w:szCs w:val="22"/>
          <w:lang w:val="es-ES_tradnl"/>
        </w:rPr>
        <w:t>tales como sistemas de gestión ambiental</w:t>
      </w:r>
      <w:r w:rsidR="00276B6C" w:rsidRPr="000E4865">
        <w:rPr>
          <w:snapToGrid w:val="0"/>
          <w:kern w:val="22"/>
          <w:szCs w:val="22"/>
          <w:lang w:val="es-ES_tradnl"/>
        </w:rPr>
        <w:t>,</w:t>
      </w:r>
      <w:r w:rsidRPr="000E4865">
        <w:rPr>
          <w:snapToGrid w:val="0"/>
          <w:kern w:val="22"/>
          <w:szCs w:val="22"/>
          <w:lang w:val="es-ES_tradnl"/>
        </w:rPr>
        <w:t xml:space="preserve"> evaluaciones de impacto ambiental y social</w:t>
      </w:r>
      <w:r w:rsidR="00276B6C" w:rsidRPr="000E4865">
        <w:rPr>
          <w:snapToGrid w:val="0"/>
          <w:kern w:val="22"/>
          <w:szCs w:val="22"/>
          <w:lang w:val="es-ES_tradnl"/>
        </w:rPr>
        <w:t xml:space="preserve">, </w:t>
      </w:r>
      <w:r w:rsidRPr="000E4865">
        <w:rPr>
          <w:snapToGrid w:val="0"/>
          <w:kern w:val="22"/>
          <w:szCs w:val="22"/>
          <w:lang w:val="es-ES_tradnl"/>
        </w:rPr>
        <w:t>evaluaciones de impacto del ciclo de vida</w:t>
      </w:r>
      <w:r w:rsidR="00276B6C" w:rsidRPr="000E4865">
        <w:rPr>
          <w:snapToGrid w:val="0"/>
          <w:kern w:val="22"/>
          <w:szCs w:val="22"/>
          <w:lang w:val="es-ES_tradnl"/>
        </w:rPr>
        <w:t xml:space="preserve">, </w:t>
      </w:r>
      <w:r w:rsidR="00BD6E3D" w:rsidRPr="000E4865">
        <w:rPr>
          <w:snapToGrid w:val="0"/>
          <w:kern w:val="22"/>
          <w:szCs w:val="22"/>
          <w:lang w:val="es-ES_tradnl"/>
        </w:rPr>
        <w:t xml:space="preserve">la </w:t>
      </w:r>
      <w:r w:rsidRPr="000E4865">
        <w:rPr>
          <w:snapToGrid w:val="0"/>
          <w:kern w:val="22"/>
          <w:szCs w:val="22"/>
          <w:lang w:val="es-ES_tradnl"/>
        </w:rPr>
        <w:t xml:space="preserve">contabilidad de la </w:t>
      </w:r>
      <w:r w:rsidR="0016331C" w:rsidRPr="000E4865">
        <w:rPr>
          <w:snapToGrid w:val="0"/>
          <w:kern w:val="22"/>
          <w:szCs w:val="22"/>
          <w:lang w:val="es-ES_tradnl"/>
        </w:rPr>
        <w:t>gestión</w:t>
      </w:r>
      <w:r w:rsidRPr="000E4865">
        <w:rPr>
          <w:snapToGrid w:val="0"/>
          <w:kern w:val="22"/>
          <w:szCs w:val="22"/>
          <w:lang w:val="es-ES_tradnl"/>
        </w:rPr>
        <w:t xml:space="preserve"> ambiental y presentación de informes y divulgación, o </w:t>
      </w:r>
      <w:r w:rsidR="00BD6E3D" w:rsidRPr="000E4865">
        <w:rPr>
          <w:snapToGrid w:val="0"/>
          <w:kern w:val="22"/>
          <w:szCs w:val="22"/>
          <w:lang w:val="es-ES_tradnl"/>
        </w:rPr>
        <w:t xml:space="preserve">la </w:t>
      </w:r>
      <w:r w:rsidRPr="000E4865">
        <w:rPr>
          <w:snapToGrid w:val="0"/>
          <w:kern w:val="22"/>
          <w:szCs w:val="22"/>
          <w:lang w:val="es-ES_tradnl"/>
        </w:rPr>
        <w:t>valoración y divulgación de externalidades</w:t>
      </w:r>
      <w:r w:rsidR="00276B6C" w:rsidRPr="000E4865">
        <w:rPr>
          <w:snapToGrid w:val="0"/>
          <w:kern w:val="22"/>
          <w:szCs w:val="22"/>
          <w:lang w:val="es-ES_tradnl"/>
        </w:rPr>
        <w:t xml:space="preserve">. </w:t>
      </w:r>
      <w:r w:rsidRPr="000E4865">
        <w:rPr>
          <w:snapToGrid w:val="0"/>
          <w:kern w:val="22"/>
          <w:szCs w:val="22"/>
          <w:lang w:val="es-ES_tradnl"/>
        </w:rPr>
        <w:t>Estas se detallan a continuación</w:t>
      </w:r>
      <w:r w:rsidR="00276B6C" w:rsidRPr="000E4865">
        <w:rPr>
          <w:snapToGrid w:val="0"/>
          <w:kern w:val="22"/>
          <w:szCs w:val="22"/>
          <w:lang w:val="es-ES_tradnl"/>
        </w:rPr>
        <w:t>.</w:t>
      </w:r>
    </w:p>
    <w:p w14:paraId="7F8FAF4F" w14:textId="31280710" w:rsidR="00276B6C" w:rsidRPr="000E4865" w:rsidRDefault="001E0751"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i/>
          <w:snapToGrid w:val="0"/>
          <w:kern w:val="22"/>
          <w:szCs w:val="22"/>
          <w:lang w:val="es-ES_tradnl"/>
        </w:rPr>
        <w:t>Sistemas de gestión ambiental</w:t>
      </w:r>
      <w:r w:rsidR="00276B6C" w:rsidRPr="000E4865">
        <w:rPr>
          <w:snapToGrid w:val="0"/>
          <w:kern w:val="22"/>
          <w:szCs w:val="22"/>
          <w:lang w:val="es-ES_tradnl"/>
        </w:rPr>
        <w:t xml:space="preserve">: </w:t>
      </w:r>
      <w:r w:rsidRPr="000E4865">
        <w:rPr>
          <w:snapToGrid w:val="0"/>
          <w:kern w:val="22"/>
          <w:szCs w:val="22"/>
          <w:lang w:val="es-ES_tradnl"/>
        </w:rPr>
        <w:t xml:space="preserve">Se han producido importantes avances para integrar las consideraciones relativas a la diversidad biológica en los sistemas de gestión ambiental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ISO 14001, </w:t>
      </w:r>
      <w:r w:rsidR="008A0F0A" w:rsidRPr="000E4865">
        <w:rPr>
          <w:snapToGrid w:val="0"/>
          <w:kern w:val="22"/>
          <w:szCs w:val="22"/>
          <w:lang w:val="es-ES_tradnl"/>
        </w:rPr>
        <w:t>el Sistema de Ecogestión y Ecoauditoría </w:t>
      </w:r>
      <w:r w:rsidR="009715CA" w:rsidRPr="000E4865">
        <w:rPr>
          <w:snapToGrid w:val="0"/>
          <w:kern w:val="22"/>
          <w:szCs w:val="22"/>
          <w:lang w:val="es-ES_tradnl"/>
        </w:rPr>
        <w:t>(</w:t>
      </w:r>
      <w:r w:rsidR="00276B6C" w:rsidRPr="000E4865">
        <w:rPr>
          <w:snapToGrid w:val="0"/>
          <w:kern w:val="22"/>
          <w:szCs w:val="22"/>
          <w:lang w:val="es-ES_tradnl"/>
        </w:rPr>
        <w:t>EMAS</w:t>
      </w:r>
      <w:r w:rsidR="009715CA" w:rsidRPr="000E4865">
        <w:rPr>
          <w:snapToGrid w:val="0"/>
          <w:kern w:val="22"/>
          <w:szCs w:val="22"/>
          <w:lang w:val="es-ES_tradnl"/>
        </w:rPr>
        <w:t>)</w:t>
      </w:r>
      <w:r w:rsidR="00276B6C" w:rsidRPr="000E4865">
        <w:rPr>
          <w:snapToGrid w:val="0"/>
          <w:kern w:val="22"/>
          <w:szCs w:val="22"/>
          <w:lang w:val="es-ES_tradnl"/>
        </w:rPr>
        <w:t>)</w:t>
      </w:r>
      <w:r w:rsidR="00276B6C" w:rsidRPr="000E4865">
        <w:rPr>
          <w:rStyle w:val="FootnoteReference"/>
          <w:snapToGrid w:val="0"/>
          <w:kern w:val="22"/>
          <w:szCs w:val="22"/>
          <w:lang w:val="es-ES_tradnl"/>
        </w:rPr>
        <w:footnoteReference w:id="36"/>
      </w:r>
      <w:r w:rsidR="008A0F0A" w:rsidRPr="000E4865">
        <w:rPr>
          <w:snapToGrid w:val="0"/>
          <w:kern w:val="22"/>
          <w:szCs w:val="22"/>
          <w:lang w:val="es-ES_tradnl"/>
        </w:rPr>
        <w:t>; por lo general con metas e indicadores clave de desempeño para supervisar determinadas características sobre diversidad biológica en emplazamientos que sean propiedad de empresas multinacionales o arrendados por ellas</w:t>
      </w:r>
      <w:r w:rsidR="00276B6C" w:rsidRPr="000E4865">
        <w:rPr>
          <w:snapToGrid w:val="0"/>
          <w:kern w:val="22"/>
          <w:szCs w:val="22"/>
          <w:lang w:val="es-ES_tradnl"/>
        </w:rPr>
        <w:t xml:space="preserve">. </w:t>
      </w:r>
      <w:r w:rsidR="008A0F0A" w:rsidRPr="000E4865">
        <w:rPr>
          <w:snapToGrid w:val="0"/>
          <w:kern w:val="22"/>
          <w:szCs w:val="22"/>
          <w:lang w:val="es-ES_tradnl"/>
        </w:rPr>
        <w:t xml:space="preserve">Esto puede correlacionarse en gran medida con los esfuerzos que se realizan para mejorar la superficie y condición de los hábitats </w:t>
      </w:r>
      <w:r w:rsidR="00276B6C" w:rsidRPr="000E4865">
        <w:rPr>
          <w:snapToGrid w:val="0"/>
          <w:kern w:val="22"/>
          <w:szCs w:val="22"/>
          <w:lang w:val="es-ES_tradnl"/>
        </w:rPr>
        <w:t>(</w:t>
      </w:r>
      <w:r w:rsidR="008A0F0A" w:rsidRPr="000E4865">
        <w:rPr>
          <w:snapToGrid w:val="0"/>
          <w:kern w:val="22"/>
          <w:szCs w:val="22"/>
          <w:lang w:val="es-ES_tradnl"/>
        </w:rPr>
        <w:t>así como las poblaciones de las especies amenazadas</w:t>
      </w:r>
      <w:r w:rsidR="00276B6C" w:rsidRPr="000E4865">
        <w:rPr>
          <w:snapToGrid w:val="0"/>
          <w:kern w:val="22"/>
          <w:szCs w:val="22"/>
          <w:lang w:val="es-ES_tradnl"/>
        </w:rPr>
        <w:t xml:space="preserve">) </w:t>
      </w:r>
      <w:r w:rsidR="008A0F0A" w:rsidRPr="000E4865">
        <w:rPr>
          <w:snapToGrid w:val="0"/>
          <w:kern w:val="22"/>
          <w:szCs w:val="22"/>
          <w:lang w:val="es-ES_tradnl"/>
        </w:rPr>
        <w:t>en el ámbito de las plantas de fabricación</w:t>
      </w:r>
      <w:r w:rsidR="00276B6C" w:rsidRPr="000E4865">
        <w:rPr>
          <w:snapToGrid w:val="0"/>
          <w:kern w:val="22"/>
          <w:szCs w:val="22"/>
          <w:lang w:val="es-ES_tradnl"/>
        </w:rPr>
        <w:t>.</w:t>
      </w:r>
    </w:p>
    <w:p w14:paraId="46457298" w14:textId="2313AFA5" w:rsidR="00276B6C" w:rsidRPr="000E4865" w:rsidRDefault="008927A4"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 xml:space="preserve">Por otra parte, diversas iniciativas sectoriales han elaborado directrices útiles a nivel de emplazamientos y mejores prácticas que podrían adaptarse a varios sectores manufactureros para mejorar la gestión de la diversidad biológica de las instalaciones fabriles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Pr="000E4865">
        <w:rPr>
          <w:snapToGrid w:val="0"/>
          <w:kern w:val="22"/>
          <w:szCs w:val="22"/>
          <w:lang w:val="es-ES_tradnl"/>
        </w:rPr>
        <w:t>la Iniciativa intersectorial sobre la diversidad biológica</w:t>
      </w:r>
      <w:r w:rsidR="00276B6C" w:rsidRPr="000E4865">
        <w:rPr>
          <w:snapToGrid w:val="0"/>
          <w:kern w:val="22"/>
          <w:szCs w:val="22"/>
          <w:vertAlign w:val="superscript"/>
          <w:lang w:val="es-ES_tradnl"/>
        </w:rPr>
        <w:footnoteReference w:id="37"/>
      </w:r>
      <w:r w:rsidRPr="000E4865">
        <w:rPr>
          <w:snapToGrid w:val="0"/>
          <w:kern w:val="22"/>
          <w:szCs w:val="22"/>
          <w:lang w:val="es-ES_tradnl"/>
        </w:rPr>
        <w:t>, la Iniciativa sobre energía y biodiversidad</w:t>
      </w:r>
      <w:r w:rsidR="00276B6C" w:rsidRPr="000E4865">
        <w:rPr>
          <w:rStyle w:val="FootnoteReference"/>
          <w:snapToGrid w:val="0"/>
          <w:kern w:val="22"/>
          <w:szCs w:val="22"/>
          <w:lang w:val="es-ES_tradnl"/>
        </w:rPr>
        <w:footnoteReference w:id="38"/>
      </w:r>
      <w:r w:rsidRPr="000E4865">
        <w:rPr>
          <w:snapToGrid w:val="0"/>
          <w:kern w:val="22"/>
          <w:szCs w:val="22"/>
          <w:lang w:val="es-ES_tradnl"/>
        </w:rPr>
        <w:t>.</w:t>
      </w:r>
    </w:p>
    <w:p w14:paraId="714A05A9" w14:textId="387A693D" w:rsidR="00276B6C" w:rsidRPr="000E4865" w:rsidRDefault="00FD04DE"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i/>
          <w:snapToGrid w:val="0"/>
          <w:kern w:val="22"/>
          <w:szCs w:val="22"/>
          <w:lang w:val="es-ES_tradnl"/>
        </w:rPr>
        <w:t>Evaluacio</w:t>
      </w:r>
      <w:r w:rsidR="00ED0750" w:rsidRPr="000E4865">
        <w:rPr>
          <w:i/>
          <w:snapToGrid w:val="0"/>
          <w:kern w:val="22"/>
          <w:szCs w:val="22"/>
          <w:lang w:val="es-ES_tradnl"/>
        </w:rPr>
        <w:t>nes de impacto ambiental y social y la jerarquía de la mitigación del impacto</w:t>
      </w:r>
      <w:r w:rsidR="00276B6C" w:rsidRPr="000E4865">
        <w:rPr>
          <w:snapToGrid w:val="0"/>
          <w:kern w:val="22"/>
          <w:szCs w:val="22"/>
          <w:lang w:val="es-ES_tradnl"/>
        </w:rPr>
        <w:t xml:space="preserve">: </w:t>
      </w:r>
      <w:r w:rsidR="00ED0750" w:rsidRPr="000E4865">
        <w:rPr>
          <w:snapToGrid w:val="0"/>
          <w:kern w:val="22"/>
          <w:szCs w:val="22"/>
          <w:lang w:val="es-ES_tradnl"/>
        </w:rPr>
        <w:t xml:space="preserve">Cada vez es mayor el número de empresas que adoptan o aplican enfoques del tipo “sin pérdida neta” o “impacto </w:t>
      </w:r>
      <w:r w:rsidR="00ED0750" w:rsidRPr="000E4865">
        <w:rPr>
          <w:snapToGrid w:val="0"/>
          <w:kern w:val="22"/>
          <w:szCs w:val="22"/>
          <w:lang w:val="es-ES_tradnl"/>
        </w:rPr>
        <w:lastRenderedPageBreak/>
        <w:t>negativo neto”</w:t>
      </w:r>
      <w:r w:rsidR="00276B6C" w:rsidRPr="000E4865">
        <w:rPr>
          <w:rStyle w:val="FootnoteReference"/>
          <w:snapToGrid w:val="0"/>
          <w:kern w:val="22"/>
          <w:szCs w:val="22"/>
          <w:lang w:val="es-ES_tradnl"/>
        </w:rPr>
        <w:footnoteReference w:id="39"/>
      </w:r>
      <w:r w:rsidR="00655C59">
        <w:rPr>
          <w:snapToGrid w:val="0"/>
          <w:kern w:val="22"/>
          <w:szCs w:val="22"/>
          <w:lang w:val="es-ES_tradnl"/>
        </w:rPr>
        <w:t>,</w:t>
      </w:r>
      <w:r w:rsidR="00276B6C" w:rsidRPr="000E4865">
        <w:rPr>
          <w:snapToGrid w:val="0"/>
          <w:kern w:val="22"/>
          <w:szCs w:val="22"/>
          <w:lang w:val="es-ES_tradnl"/>
        </w:rPr>
        <w:t xml:space="preserve"> </w:t>
      </w:r>
      <w:r w:rsidR="00ED0750" w:rsidRPr="000E4865">
        <w:rPr>
          <w:snapToGrid w:val="0"/>
          <w:kern w:val="22"/>
          <w:szCs w:val="22"/>
          <w:lang w:val="es-ES_tradnl"/>
        </w:rPr>
        <w:t xml:space="preserve">o políticas basadas en la plena aplicación de la jerarquía de mitigación del impacto </w:t>
      </w:r>
      <w:r w:rsidR="00276B6C" w:rsidRPr="000E4865">
        <w:rPr>
          <w:snapToGrid w:val="0"/>
          <w:kern w:val="22"/>
          <w:szCs w:val="22"/>
          <w:lang w:val="es-ES_tradnl"/>
        </w:rPr>
        <w:t>(</w:t>
      </w:r>
      <w:r w:rsidR="00ED0750" w:rsidRPr="000E4865">
        <w:rPr>
          <w:snapToGrid w:val="0"/>
          <w:kern w:val="22"/>
          <w:szCs w:val="22"/>
          <w:lang w:val="es-ES_tradnl"/>
        </w:rPr>
        <w:t xml:space="preserve">de </w:t>
      </w:r>
      <w:r w:rsidR="00655C59">
        <w:rPr>
          <w:snapToGrid w:val="0"/>
          <w:kern w:val="22"/>
          <w:szCs w:val="22"/>
          <w:lang w:val="es-ES_tradnl"/>
        </w:rPr>
        <w:t xml:space="preserve">la </w:t>
      </w:r>
      <w:r w:rsidR="00ED0750" w:rsidRPr="000E4865">
        <w:rPr>
          <w:snapToGrid w:val="0"/>
          <w:kern w:val="22"/>
          <w:szCs w:val="22"/>
          <w:lang w:val="es-ES_tradnl"/>
        </w:rPr>
        <w:t>evasión a adoptar medidas de compensación</w:t>
      </w:r>
      <w:r w:rsidR="00276B6C" w:rsidRPr="000E4865">
        <w:rPr>
          <w:snapToGrid w:val="0"/>
          <w:kern w:val="22"/>
          <w:szCs w:val="22"/>
          <w:lang w:val="es-ES_tradnl"/>
        </w:rPr>
        <w:t xml:space="preserve">), </w:t>
      </w:r>
      <w:r w:rsidR="00ED0750" w:rsidRPr="000E4865">
        <w:rPr>
          <w:snapToGrid w:val="0"/>
          <w:kern w:val="22"/>
          <w:szCs w:val="22"/>
          <w:lang w:val="es-ES_tradnl"/>
        </w:rPr>
        <w:t xml:space="preserve">aunque </w:t>
      </w:r>
      <w:r w:rsidR="00956AD3" w:rsidRPr="000E4865">
        <w:rPr>
          <w:snapToGrid w:val="0"/>
          <w:kern w:val="22"/>
          <w:szCs w:val="22"/>
          <w:lang w:val="es-ES_tradnl"/>
        </w:rPr>
        <w:t>hasta la fecha no se ha determinado un ejemplo destacado del sector manufacturero</w:t>
      </w:r>
      <w:r w:rsidR="00276B6C" w:rsidRPr="000E4865">
        <w:rPr>
          <w:snapToGrid w:val="0"/>
          <w:kern w:val="22"/>
          <w:szCs w:val="22"/>
          <w:lang w:val="es-ES_tradnl"/>
        </w:rPr>
        <w:t xml:space="preserve">. </w:t>
      </w:r>
      <w:r w:rsidR="00956AD3" w:rsidRPr="000E4865">
        <w:rPr>
          <w:snapToGrid w:val="0"/>
          <w:kern w:val="22"/>
          <w:szCs w:val="22"/>
          <w:lang w:val="es-ES_tradnl"/>
        </w:rPr>
        <w:t>Esto puede hacerse voluntariamente o en respuesta a contextos legislativos específicos</w:t>
      </w:r>
      <w:r w:rsidR="00276B6C" w:rsidRPr="000E4865">
        <w:rPr>
          <w:snapToGrid w:val="0"/>
          <w:kern w:val="22"/>
          <w:szCs w:val="22"/>
          <w:lang w:val="es-ES_tradnl"/>
        </w:rPr>
        <w:t xml:space="preserve">. </w:t>
      </w:r>
      <w:r w:rsidR="00956AD3" w:rsidRPr="000E4865">
        <w:rPr>
          <w:snapToGrid w:val="0"/>
          <w:kern w:val="22"/>
          <w:szCs w:val="22"/>
          <w:lang w:val="es-ES_tradnl"/>
        </w:rPr>
        <w:t xml:space="preserve">Si bien </w:t>
      </w:r>
      <w:r w:rsidR="00655C59">
        <w:rPr>
          <w:snapToGrid w:val="0"/>
          <w:kern w:val="22"/>
          <w:szCs w:val="22"/>
          <w:lang w:val="es-ES_tradnl"/>
        </w:rPr>
        <w:t xml:space="preserve">es más probable que </w:t>
      </w:r>
      <w:r w:rsidR="00956AD3" w:rsidRPr="000E4865">
        <w:rPr>
          <w:snapToGrid w:val="0"/>
          <w:kern w:val="22"/>
          <w:szCs w:val="22"/>
          <w:lang w:val="es-ES_tradnl"/>
        </w:rPr>
        <w:t xml:space="preserve">los reglamentos vigentes que han afectado a proyectos de empresas manufactureras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956AD3" w:rsidRPr="000E4865">
        <w:rPr>
          <w:snapToGrid w:val="0"/>
          <w:kern w:val="22"/>
          <w:szCs w:val="22"/>
          <w:lang w:val="es-ES_tradnl"/>
        </w:rPr>
        <w:t>la construcción de una nueva fábrica</w:t>
      </w:r>
      <w:r w:rsidR="00276B6C" w:rsidRPr="000E4865">
        <w:rPr>
          <w:snapToGrid w:val="0"/>
          <w:kern w:val="22"/>
          <w:szCs w:val="22"/>
          <w:lang w:val="es-ES_tradnl"/>
        </w:rPr>
        <w:t xml:space="preserve">), </w:t>
      </w:r>
      <w:r w:rsidR="00956AD3" w:rsidRPr="000E4865">
        <w:rPr>
          <w:snapToGrid w:val="0"/>
          <w:kern w:val="22"/>
          <w:szCs w:val="22"/>
          <w:lang w:val="es-ES_tradnl"/>
        </w:rPr>
        <w:t xml:space="preserve">por ejemplo en el contexto de los diversos programas de compensación de humedales y especies de los Estados </w:t>
      </w:r>
      <w:r w:rsidR="001717A5" w:rsidRPr="000E4865">
        <w:rPr>
          <w:snapToGrid w:val="0"/>
          <w:kern w:val="22"/>
          <w:szCs w:val="22"/>
          <w:lang w:val="es-ES_tradnl"/>
        </w:rPr>
        <w:t xml:space="preserve">Unidos </w:t>
      </w:r>
      <w:r w:rsidR="00956AD3" w:rsidRPr="000E4865">
        <w:rPr>
          <w:snapToGrid w:val="0"/>
          <w:kern w:val="22"/>
          <w:szCs w:val="22"/>
          <w:lang w:val="es-ES_tradnl"/>
        </w:rPr>
        <w:t>o la Unión Europea</w:t>
      </w:r>
      <w:r w:rsidR="00276B6C" w:rsidRPr="000E4865">
        <w:rPr>
          <w:snapToGrid w:val="0"/>
          <w:kern w:val="22"/>
          <w:szCs w:val="22"/>
          <w:lang w:val="es-ES_tradnl"/>
        </w:rPr>
        <w:t xml:space="preserve">, </w:t>
      </w:r>
      <w:r w:rsidR="00956AD3" w:rsidRPr="000E4865">
        <w:rPr>
          <w:snapToGrid w:val="0"/>
          <w:kern w:val="22"/>
          <w:szCs w:val="22"/>
          <w:lang w:val="es-ES_tradnl"/>
        </w:rPr>
        <w:t xml:space="preserve">muchos ejemplos </w:t>
      </w:r>
      <w:r w:rsidR="001717A5">
        <w:rPr>
          <w:snapToGrid w:val="0"/>
          <w:kern w:val="22"/>
          <w:szCs w:val="22"/>
          <w:lang w:val="es-ES_tradnl"/>
        </w:rPr>
        <w:t xml:space="preserve">ampliamente </w:t>
      </w:r>
      <w:r w:rsidR="00956AD3" w:rsidRPr="000E4865">
        <w:rPr>
          <w:snapToGrid w:val="0"/>
          <w:kern w:val="22"/>
          <w:szCs w:val="22"/>
          <w:lang w:val="es-ES_tradnl"/>
        </w:rPr>
        <w:t xml:space="preserve">difundidos relacionados con proyectos de minería, explotación de gas y petróleo e infraestructuras en países que no pertenecen a la OCDE </w:t>
      </w:r>
      <w:r w:rsidR="00276B6C" w:rsidRPr="000E4865">
        <w:rPr>
          <w:snapToGrid w:val="0"/>
          <w:kern w:val="22"/>
          <w:szCs w:val="22"/>
          <w:lang w:val="es-ES_tradnl"/>
        </w:rPr>
        <w:t>(</w:t>
      </w:r>
      <w:r w:rsidR="00005AD5" w:rsidRPr="000E4865">
        <w:rPr>
          <w:snapToGrid w:val="0"/>
          <w:kern w:val="22"/>
          <w:szCs w:val="22"/>
          <w:lang w:val="es-ES_tradnl"/>
        </w:rPr>
        <w:t>p. ej.</w:t>
      </w:r>
      <w:r w:rsidR="00956AD3" w:rsidRPr="000E4865">
        <w:rPr>
          <w:snapToGrid w:val="0"/>
          <w:kern w:val="22"/>
          <w:szCs w:val="22"/>
          <w:lang w:val="es-ES_tradnl"/>
        </w:rPr>
        <w:t>,</w:t>
      </w:r>
      <w:r w:rsidR="009E09B7">
        <w:rPr>
          <w:snapToGrid w:val="0"/>
          <w:kern w:val="22"/>
          <w:szCs w:val="22"/>
          <w:lang w:val="es-ES_tradnl"/>
        </w:rPr>
        <w:t xml:space="preserve"> </w:t>
      </w:r>
      <w:r w:rsidR="00956AD3" w:rsidRPr="000E4865">
        <w:rPr>
          <w:snapToGrid w:val="0"/>
          <w:kern w:val="22"/>
          <w:szCs w:val="22"/>
          <w:lang w:val="es-ES_tradnl"/>
        </w:rPr>
        <w:t>estudios de casos</w:t>
      </w:r>
      <w:r w:rsidR="009E09B7">
        <w:rPr>
          <w:snapToGrid w:val="0"/>
          <w:kern w:val="22"/>
          <w:szCs w:val="22"/>
          <w:lang w:val="es-ES_tradnl"/>
        </w:rPr>
        <w:t xml:space="preserve"> </w:t>
      </w:r>
      <w:r w:rsidR="00956AD3" w:rsidRPr="000E4865">
        <w:rPr>
          <w:snapToGrid w:val="0"/>
          <w:kern w:val="22"/>
          <w:szCs w:val="22"/>
          <w:lang w:val="es-ES_tradnl"/>
        </w:rPr>
        <w:t>del Programa de Negocios y Compensaciones para la Biodiversidad</w:t>
      </w:r>
      <w:r w:rsidR="00276B6C" w:rsidRPr="000E4865">
        <w:rPr>
          <w:rStyle w:val="FootnoteReference"/>
          <w:snapToGrid w:val="0"/>
          <w:kern w:val="22"/>
          <w:szCs w:val="22"/>
          <w:lang w:val="es-ES_tradnl"/>
        </w:rPr>
        <w:footnoteReference w:id="40"/>
      </w:r>
      <w:r w:rsidR="00276B6C" w:rsidRPr="000E4865">
        <w:rPr>
          <w:snapToGrid w:val="0"/>
          <w:kern w:val="22"/>
          <w:szCs w:val="22"/>
          <w:lang w:val="es-ES_tradnl"/>
        </w:rPr>
        <w:t>)</w:t>
      </w:r>
      <w:r w:rsidR="009E09B7">
        <w:rPr>
          <w:snapToGrid w:val="0"/>
          <w:kern w:val="22"/>
          <w:szCs w:val="22"/>
          <w:lang w:val="es-ES_tradnl"/>
        </w:rPr>
        <w:t xml:space="preserve"> </w:t>
      </w:r>
      <w:r w:rsidR="00956AD3" w:rsidRPr="000E4865">
        <w:rPr>
          <w:snapToGrid w:val="0"/>
          <w:kern w:val="22"/>
          <w:szCs w:val="22"/>
          <w:lang w:val="es-ES_tradnl"/>
        </w:rPr>
        <w:t xml:space="preserve">en respuesta a las salvaguardias ambientales de las instituciones financieras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956AD3" w:rsidRPr="000E4865">
        <w:rPr>
          <w:snapToGrid w:val="0"/>
          <w:kern w:val="22"/>
          <w:szCs w:val="22"/>
          <w:lang w:val="es-ES_tradnl"/>
        </w:rPr>
        <w:t xml:space="preserve">la </w:t>
      </w:r>
      <w:r w:rsidR="00CE6707" w:rsidRPr="000E4865">
        <w:rPr>
          <w:snapToGrid w:val="0"/>
          <w:kern w:val="22"/>
          <w:szCs w:val="22"/>
          <w:lang w:val="es-ES_tradnl"/>
        </w:rPr>
        <w:t>Norma 6 de Desempeño de la CFI </w:t>
      </w:r>
      <w:r w:rsidR="00276B6C" w:rsidRPr="000E4865">
        <w:rPr>
          <w:snapToGrid w:val="0"/>
          <w:kern w:val="22"/>
          <w:szCs w:val="22"/>
          <w:lang w:val="es-ES_tradnl"/>
        </w:rPr>
        <w:t>)</w:t>
      </w:r>
      <w:r w:rsidR="00276B6C" w:rsidRPr="000E4865">
        <w:rPr>
          <w:rStyle w:val="FootnoteReference"/>
          <w:snapToGrid w:val="0"/>
          <w:kern w:val="22"/>
          <w:szCs w:val="22"/>
          <w:lang w:val="es-ES_tradnl"/>
        </w:rPr>
        <w:footnoteReference w:id="41"/>
      </w:r>
      <w:r w:rsidR="00CE6707" w:rsidRPr="000E4865">
        <w:rPr>
          <w:snapToGrid w:val="0"/>
          <w:kern w:val="22"/>
          <w:szCs w:val="22"/>
          <w:lang w:val="es-ES_tradnl"/>
        </w:rPr>
        <w:t xml:space="preserve">. Sin embargo, existen posibilidades de que las industrias manufactureras sigan explorando los enfoques del tipo “sin pérdida neta” o “impacto negativo neto” a lo largo de sus cadenas de valor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CE6707" w:rsidRPr="000E4865">
        <w:rPr>
          <w:snapToGrid w:val="0"/>
          <w:kern w:val="22"/>
          <w:szCs w:val="22"/>
          <w:lang w:val="es-ES_tradnl"/>
        </w:rPr>
        <w:t>para los sectores de la agricultura comercial y forestal</w:t>
      </w:r>
      <w:r w:rsidR="00276B6C" w:rsidRPr="000E4865">
        <w:rPr>
          <w:snapToGrid w:val="0"/>
          <w:kern w:val="22"/>
          <w:szCs w:val="22"/>
          <w:lang w:val="es-ES_tradnl"/>
        </w:rPr>
        <w:t xml:space="preserve">; </w:t>
      </w:r>
      <w:r w:rsidR="00005AD5" w:rsidRPr="000E4865">
        <w:rPr>
          <w:snapToGrid w:val="0"/>
          <w:kern w:val="22"/>
          <w:szCs w:val="22"/>
          <w:lang w:val="es-ES_tradnl"/>
        </w:rPr>
        <w:t>p. ej.</w:t>
      </w:r>
      <w:r w:rsidR="00276B6C" w:rsidRPr="000E4865">
        <w:rPr>
          <w:snapToGrid w:val="0"/>
          <w:kern w:val="22"/>
          <w:szCs w:val="22"/>
          <w:lang w:val="es-ES_tradnl"/>
        </w:rPr>
        <w:t xml:space="preserve"> Aiama </w:t>
      </w:r>
      <w:r w:rsidR="00276B6C" w:rsidRPr="000E4865">
        <w:rPr>
          <w:i/>
          <w:snapToGrid w:val="0"/>
          <w:kern w:val="22"/>
          <w:szCs w:val="22"/>
          <w:lang w:val="es-ES_tradnl"/>
        </w:rPr>
        <w:t>et al</w:t>
      </w:r>
      <w:r w:rsidR="00276B6C" w:rsidRPr="000E4865">
        <w:rPr>
          <w:snapToGrid w:val="0"/>
          <w:kern w:val="22"/>
          <w:szCs w:val="22"/>
          <w:lang w:val="es-ES_tradnl"/>
        </w:rPr>
        <w:t>., 2015</w:t>
      </w:r>
      <w:r w:rsidR="00276B6C" w:rsidRPr="000E4865">
        <w:rPr>
          <w:rStyle w:val="FootnoteReference"/>
          <w:snapToGrid w:val="0"/>
          <w:kern w:val="22"/>
          <w:szCs w:val="22"/>
          <w:lang w:val="es-ES_tradnl"/>
        </w:rPr>
        <w:footnoteReference w:id="42"/>
      </w:r>
      <w:r w:rsidR="00276B6C" w:rsidRPr="000E4865">
        <w:rPr>
          <w:snapToGrid w:val="0"/>
          <w:kern w:val="22"/>
          <w:szCs w:val="22"/>
          <w:lang w:val="es-ES_tradnl"/>
        </w:rPr>
        <w:t xml:space="preserve">), </w:t>
      </w:r>
      <w:r w:rsidR="00CE6707" w:rsidRPr="000E4865">
        <w:rPr>
          <w:snapToGrid w:val="0"/>
          <w:kern w:val="22"/>
          <w:szCs w:val="22"/>
          <w:lang w:val="es-ES_tradnl"/>
        </w:rPr>
        <w:t>no solo en la esfera de sus fábricas</w:t>
      </w:r>
      <w:r w:rsidR="00276B6C" w:rsidRPr="000E4865">
        <w:rPr>
          <w:snapToGrid w:val="0"/>
          <w:kern w:val="22"/>
          <w:szCs w:val="22"/>
          <w:lang w:val="es-ES_tradnl"/>
        </w:rPr>
        <w:t xml:space="preserve">. </w:t>
      </w:r>
      <w:r w:rsidR="00CE6707" w:rsidRPr="000E4865">
        <w:rPr>
          <w:snapToGrid w:val="0"/>
          <w:kern w:val="22"/>
          <w:szCs w:val="22"/>
          <w:lang w:val="es-ES_tradnl"/>
        </w:rPr>
        <w:t>Esto puede formar parte de los debates para la selección de proveedores o productos básicos, así como</w:t>
      </w:r>
      <w:r w:rsidR="001717A5">
        <w:rPr>
          <w:snapToGrid w:val="0"/>
          <w:kern w:val="22"/>
          <w:szCs w:val="22"/>
          <w:lang w:val="es-ES_tradnl"/>
        </w:rPr>
        <w:t xml:space="preserve"> de</w:t>
      </w:r>
      <w:r w:rsidR="00CE6707" w:rsidRPr="000E4865">
        <w:rPr>
          <w:snapToGrid w:val="0"/>
          <w:kern w:val="22"/>
          <w:szCs w:val="22"/>
          <w:lang w:val="es-ES_tradnl"/>
        </w:rPr>
        <w:t xml:space="preserve"> las definiciones de las condiciones en los acuerdos contractuales</w:t>
      </w:r>
      <w:r w:rsidR="00276B6C" w:rsidRPr="000E4865">
        <w:rPr>
          <w:snapToGrid w:val="0"/>
          <w:kern w:val="22"/>
          <w:szCs w:val="22"/>
          <w:lang w:val="es-ES_tradnl"/>
        </w:rPr>
        <w:t xml:space="preserve">. </w:t>
      </w:r>
      <w:r w:rsidR="00CE6707" w:rsidRPr="000E4865">
        <w:rPr>
          <w:snapToGrid w:val="0"/>
          <w:kern w:val="22"/>
          <w:szCs w:val="22"/>
          <w:lang w:val="es-ES_tradnl"/>
        </w:rPr>
        <w:t xml:space="preserve">Los enfoques del tipo “sin pérdida neta” o “impacto negativo neto” son compatibles con el logro de la no deforestación (neta), tal como lo entienden las Partes en la Declaración sobre los Bosques </w:t>
      </w:r>
      <w:r w:rsidR="00276B6C" w:rsidRPr="000E4865">
        <w:rPr>
          <w:snapToGrid w:val="0"/>
          <w:kern w:val="22"/>
          <w:szCs w:val="22"/>
          <w:lang w:val="es-ES_tradnl"/>
        </w:rPr>
        <w:t xml:space="preserve">(2014) </w:t>
      </w:r>
      <w:r w:rsidR="00CE6707" w:rsidRPr="000E4865">
        <w:rPr>
          <w:snapToGrid w:val="0"/>
          <w:kern w:val="22"/>
          <w:szCs w:val="22"/>
          <w:lang w:val="es-ES_tradnl"/>
        </w:rPr>
        <w:t xml:space="preserve">o las declaraciones de Ámsterdam sobre </w:t>
      </w:r>
      <w:r w:rsidR="00276B6C" w:rsidRPr="000E4865">
        <w:rPr>
          <w:snapToGrid w:val="0"/>
          <w:kern w:val="22"/>
          <w:szCs w:val="22"/>
          <w:lang w:val="es-ES_tradnl"/>
        </w:rPr>
        <w:t>“</w:t>
      </w:r>
      <w:r w:rsidR="00CE6707" w:rsidRPr="000E4865">
        <w:rPr>
          <w:snapToGrid w:val="0"/>
          <w:kern w:val="22"/>
          <w:szCs w:val="22"/>
          <w:lang w:val="es-ES_tradnl"/>
        </w:rPr>
        <w:t>deforestación importada</w:t>
      </w:r>
      <w:r w:rsidR="00276B6C" w:rsidRPr="000E4865">
        <w:rPr>
          <w:snapToGrid w:val="0"/>
          <w:kern w:val="22"/>
          <w:szCs w:val="22"/>
          <w:lang w:val="es-ES_tradnl"/>
        </w:rPr>
        <w:t>” (2015).</w:t>
      </w:r>
    </w:p>
    <w:p w14:paraId="3FC8196F" w14:textId="2BF7CACD" w:rsidR="00276B6C" w:rsidRPr="000E4865" w:rsidRDefault="00891D80"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i/>
          <w:snapToGrid w:val="0"/>
          <w:kern w:val="22"/>
          <w:szCs w:val="22"/>
          <w:lang w:val="es-ES_tradnl"/>
        </w:rPr>
        <w:t xml:space="preserve">Evaluaciones </w:t>
      </w:r>
      <w:r w:rsidR="003A139B" w:rsidRPr="000E4865">
        <w:rPr>
          <w:i/>
          <w:snapToGrid w:val="0"/>
          <w:kern w:val="22"/>
          <w:szCs w:val="22"/>
          <w:lang w:val="es-ES_tradnl"/>
        </w:rPr>
        <w:t>de la gesti</w:t>
      </w:r>
      <w:r w:rsidRPr="000E4865">
        <w:rPr>
          <w:i/>
          <w:snapToGrid w:val="0"/>
          <w:kern w:val="22"/>
          <w:szCs w:val="22"/>
          <w:lang w:val="es-ES_tradnl"/>
        </w:rPr>
        <w:t>ó</w:t>
      </w:r>
      <w:r w:rsidR="003A139B" w:rsidRPr="000E4865">
        <w:rPr>
          <w:i/>
          <w:snapToGrid w:val="0"/>
          <w:kern w:val="22"/>
          <w:szCs w:val="22"/>
          <w:lang w:val="es-ES_tradnl"/>
        </w:rPr>
        <w:t>n de la cadena de suministro y del ciclo de vida</w:t>
      </w:r>
      <w:r w:rsidR="00276B6C" w:rsidRPr="000E4865">
        <w:rPr>
          <w:snapToGrid w:val="0"/>
          <w:kern w:val="22"/>
          <w:szCs w:val="22"/>
          <w:lang w:val="es-ES_tradnl"/>
        </w:rPr>
        <w:t>:</w:t>
      </w:r>
      <w:r w:rsidRPr="000E4865">
        <w:rPr>
          <w:snapToGrid w:val="0"/>
          <w:kern w:val="22"/>
          <w:szCs w:val="22"/>
          <w:lang w:val="es-ES_tradnl"/>
        </w:rPr>
        <w:t xml:space="preserve"> Fuera de los enfoques en el ámbito de los emplazamientos</w:t>
      </w:r>
      <w:r w:rsidR="00276B6C" w:rsidRPr="000E4865">
        <w:rPr>
          <w:snapToGrid w:val="0"/>
          <w:kern w:val="22"/>
          <w:szCs w:val="22"/>
          <w:lang w:val="es-ES_tradnl"/>
        </w:rPr>
        <w:t xml:space="preserve">, </w:t>
      </w:r>
      <w:r w:rsidRPr="000E4865">
        <w:rPr>
          <w:snapToGrid w:val="0"/>
          <w:kern w:val="22"/>
          <w:szCs w:val="22"/>
          <w:lang w:val="es-ES_tradnl"/>
        </w:rPr>
        <w:t>algunas empresas han comenzado a adoptar consideraciones medioambientales en la gestión de la</w:t>
      </w:r>
      <w:r w:rsidR="001717A5">
        <w:rPr>
          <w:snapToGrid w:val="0"/>
          <w:kern w:val="22"/>
          <w:szCs w:val="22"/>
          <w:lang w:val="es-ES_tradnl"/>
        </w:rPr>
        <w:t>s</w:t>
      </w:r>
      <w:r w:rsidRPr="000E4865">
        <w:rPr>
          <w:snapToGrid w:val="0"/>
          <w:kern w:val="22"/>
          <w:szCs w:val="22"/>
          <w:lang w:val="es-ES_tradnl"/>
        </w:rPr>
        <w:t xml:space="preserve"> cadena</w:t>
      </w:r>
      <w:r w:rsidR="001717A5">
        <w:rPr>
          <w:snapToGrid w:val="0"/>
          <w:kern w:val="22"/>
          <w:szCs w:val="22"/>
          <w:lang w:val="es-ES_tradnl"/>
        </w:rPr>
        <w:t>s</w:t>
      </w:r>
      <w:r w:rsidRPr="000E4865">
        <w:rPr>
          <w:snapToGrid w:val="0"/>
          <w:kern w:val="22"/>
          <w:szCs w:val="22"/>
          <w:lang w:val="es-ES_tradnl"/>
        </w:rPr>
        <w:t xml:space="preserve"> de suministro</w:t>
      </w:r>
      <w:r w:rsidR="00276B6C" w:rsidRPr="000E4865">
        <w:rPr>
          <w:snapToGrid w:val="0"/>
          <w:kern w:val="22"/>
          <w:szCs w:val="22"/>
          <w:lang w:val="es-ES_tradnl"/>
        </w:rPr>
        <w:t xml:space="preserve">. </w:t>
      </w:r>
      <w:r w:rsidRPr="000E4865">
        <w:rPr>
          <w:snapToGrid w:val="0"/>
          <w:kern w:val="22"/>
          <w:szCs w:val="22"/>
          <w:lang w:val="es-ES_tradnl"/>
        </w:rPr>
        <w:t xml:space="preserve">A menudo esto supone enfoques integrales de la cadena de valor para tratar la eficiencia de recursos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Pr="000E4865">
        <w:rPr>
          <w:snapToGrid w:val="0"/>
          <w:kern w:val="22"/>
          <w:szCs w:val="22"/>
          <w:lang w:val="es-ES_tradnl"/>
        </w:rPr>
        <w:t>reduciendo el consumo de agua y energía</w:t>
      </w:r>
      <w:r w:rsidR="00276B6C" w:rsidRPr="000E4865">
        <w:rPr>
          <w:snapToGrid w:val="0"/>
          <w:kern w:val="22"/>
          <w:szCs w:val="22"/>
          <w:lang w:val="es-ES_tradnl"/>
        </w:rPr>
        <w:t xml:space="preserve">) </w:t>
      </w:r>
      <w:r w:rsidRPr="000E4865">
        <w:rPr>
          <w:snapToGrid w:val="0"/>
          <w:kern w:val="22"/>
          <w:szCs w:val="22"/>
          <w:lang w:val="es-ES_tradnl"/>
        </w:rPr>
        <w:t xml:space="preserve">y la reducción de las emisiones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Pr="000E4865">
        <w:rPr>
          <w:snapToGrid w:val="0"/>
          <w:kern w:val="22"/>
          <w:szCs w:val="22"/>
          <w:lang w:val="es-ES_tradnl"/>
        </w:rPr>
        <w:t>minimizando los desechos</w:t>
      </w:r>
      <w:r w:rsidR="00276B6C" w:rsidRPr="000E4865">
        <w:rPr>
          <w:snapToGrid w:val="0"/>
          <w:kern w:val="22"/>
          <w:szCs w:val="22"/>
          <w:lang w:val="es-ES_tradnl"/>
        </w:rPr>
        <w:t xml:space="preserve">), </w:t>
      </w:r>
      <w:r w:rsidRPr="000E4865">
        <w:rPr>
          <w:snapToGrid w:val="0"/>
          <w:kern w:val="22"/>
          <w:szCs w:val="22"/>
          <w:lang w:val="es-ES_tradnl"/>
        </w:rPr>
        <w:t>del minorista al productor de materias primas</w:t>
      </w:r>
      <w:r w:rsidR="00276B6C" w:rsidRPr="000E4865">
        <w:rPr>
          <w:snapToGrid w:val="0"/>
          <w:kern w:val="22"/>
          <w:szCs w:val="22"/>
          <w:lang w:val="es-ES_tradnl"/>
        </w:rPr>
        <w:t xml:space="preserve">. </w:t>
      </w:r>
      <w:r w:rsidRPr="000E4865">
        <w:rPr>
          <w:snapToGrid w:val="0"/>
          <w:kern w:val="22"/>
          <w:szCs w:val="22"/>
          <w:lang w:val="es-ES_tradnl"/>
        </w:rPr>
        <w:t>Esto con frecuencia requiere llevar a cabo evaluaciones del ciclo de vida de los productos</w:t>
      </w:r>
      <w:r w:rsidR="00276B6C" w:rsidRPr="000E4865">
        <w:rPr>
          <w:snapToGrid w:val="0"/>
          <w:kern w:val="22"/>
          <w:szCs w:val="22"/>
          <w:lang w:val="es-ES_tradnl"/>
        </w:rPr>
        <w:t xml:space="preserve">, </w:t>
      </w:r>
      <w:r w:rsidRPr="000E4865">
        <w:rPr>
          <w:snapToGrid w:val="0"/>
          <w:kern w:val="22"/>
          <w:szCs w:val="22"/>
          <w:lang w:val="es-ES_tradnl"/>
        </w:rPr>
        <w:t>que a veces incluyen a los impactos en la diversidad biológica</w:t>
      </w:r>
      <w:r w:rsidR="00276B6C" w:rsidRPr="000E4865">
        <w:rPr>
          <w:rStyle w:val="FootnoteReference"/>
          <w:snapToGrid w:val="0"/>
          <w:kern w:val="22"/>
          <w:szCs w:val="22"/>
          <w:lang w:val="es-ES_tradnl"/>
        </w:rPr>
        <w:footnoteReference w:id="43"/>
      </w:r>
      <w:r w:rsidRPr="000E4865">
        <w:rPr>
          <w:snapToGrid w:val="0"/>
          <w:kern w:val="22"/>
          <w:szCs w:val="22"/>
          <w:lang w:val="es-ES_tradnl"/>
        </w:rPr>
        <w:t>.</w:t>
      </w:r>
      <w:r w:rsidR="00276B6C" w:rsidRPr="000E4865">
        <w:rPr>
          <w:snapToGrid w:val="0"/>
          <w:kern w:val="22"/>
          <w:szCs w:val="22"/>
          <w:lang w:val="es-ES_tradnl"/>
        </w:rPr>
        <w:t xml:space="preserve"> </w:t>
      </w:r>
      <w:r w:rsidRPr="000E4865">
        <w:rPr>
          <w:snapToGrid w:val="0"/>
          <w:kern w:val="22"/>
          <w:szCs w:val="22"/>
          <w:lang w:val="es-ES_tradnl"/>
        </w:rPr>
        <w:t xml:space="preserve">A veces esto se ha complementado con el apoyo de </w:t>
      </w:r>
      <w:r w:rsidR="001717A5">
        <w:rPr>
          <w:snapToGrid w:val="0"/>
          <w:kern w:val="22"/>
          <w:szCs w:val="22"/>
          <w:lang w:val="es-ES_tradnl"/>
        </w:rPr>
        <w:t xml:space="preserve">los </w:t>
      </w:r>
      <w:r w:rsidRPr="000E4865">
        <w:rPr>
          <w:snapToGrid w:val="0"/>
          <w:kern w:val="22"/>
          <w:szCs w:val="22"/>
          <w:lang w:val="es-ES_tradnl"/>
        </w:rPr>
        <w:t>sistemas de etiquetado y certificación utilizados para los diversos productos básicos que se emplean en los procesos de producción industriales</w:t>
      </w:r>
      <w:r w:rsidR="00276B6C" w:rsidRPr="000E4865">
        <w:rPr>
          <w:rStyle w:val="FootnoteReference"/>
          <w:snapToGrid w:val="0"/>
          <w:kern w:val="22"/>
          <w:szCs w:val="22"/>
          <w:lang w:val="es-ES_tradnl"/>
        </w:rPr>
        <w:footnoteReference w:id="44"/>
      </w:r>
      <w:r w:rsidR="00051A52" w:rsidRPr="000E4865">
        <w:rPr>
          <w:snapToGrid w:val="0"/>
          <w:kern w:val="22"/>
          <w:szCs w:val="22"/>
          <w:vertAlign w:val="superscript"/>
          <w:lang w:val="es-ES_tradnl"/>
        </w:rPr>
        <w:t>,</w:t>
      </w:r>
      <w:r w:rsidR="00276B6C" w:rsidRPr="000E4865">
        <w:rPr>
          <w:rStyle w:val="FootnoteReference"/>
          <w:snapToGrid w:val="0"/>
          <w:kern w:val="22"/>
          <w:szCs w:val="22"/>
          <w:lang w:val="es-ES_tradnl"/>
        </w:rPr>
        <w:footnoteReference w:id="45"/>
      </w:r>
      <w:r w:rsidR="00051A52" w:rsidRPr="000E4865">
        <w:rPr>
          <w:snapToGrid w:val="0"/>
          <w:kern w:val="22"/>
          <w:szCs w:val="22"/>
          <w:vertAlign w:val="superscript"/>
          <w:lang w:val="es-ES_tradnl"/>
        </w:rPr>
        <w:t>,</w:t>
      </w:r>
      <w:r w:rsidR="00276B6C" w:rsidRPr="000E4865">
        <w:rPr>
          <w:rStyle w:val="FootnoteReference"/>
          <w:snapToGrid w:val="0"/>
          <w:kern w:val="22"/>
          <w:szCs w:val="22"/>
          <w:lang w:val="es-ES_tradnl"/>
        </w:rPr>
        <w:footnoteReference w:id="46"/>
      </w:r>
      <w:r w:rsidRPr="000E4865">
        <w:rPr>
          <w:snapToGrid w:val="0"/>
          <w:kern w:val="22"/>
          <w:szCs w:val="22"/>
          <w:lang w:val="es-ES_tradnl"/>
        </w:rPr>
        <w:t>. Por ejemplo, la</w:t>
      </w:r>
      <w:r w:rsidR="00276B6C" w:rsidRPr="000E4865">
        <w:rPr>
          <w:snapToGrid w:val="0"/>
          <w:kern w:val="22"/>
          <w:szCs w:val="22"/>
          <w:lang w:val="es-ES_tradnl"/>
        </w:rPr>
        <w:t xml:space="preserve"> </w:t>
      </w:r>
      <w:r w:rsidRPr="000E4865">
        <w:rPr>
          <w:snapToGrid w:val="0"/>
          <w:kern w:val="22"/>
          <w:szCs w:val="22"/>
          <w:lang w:val="es-ES_tradnl"/>
        </w:rPr>
        <w:t>Mesa Redonda sobre el aceite de palma sostenible</w:t>
      </w:r>
      <w:r w:rsidR="00276B6C" w:rsidRPr="000E4865">
        <w:rPr>
          <w:snapToGrid w:val="0"/>
          <w:kern w:val="22"/>
          <w:szCs w:val="22"/>
          <w:lang w:val="es-ES_tradnl"/>
        </w:rPr>
        <w:t xml:space="preserve">, </w:t>
      </w:r>
      <w:r w:rsidRPr="000E4865">
        <w:rPr>
          <w:snapToGrid w:val="0"/>
          <w:kern w:val="22"/>
          <w:szCs w:val="22"/>
          <w:lang w:val="es-ES_tradnl"/>
        </w:rPr>
        <w:t>que gestiona un Sistema de certificación</w:t>
      </w:r>
      <w:r w:rsidR="00276B6C" w:rsidRPr="000E4865">
        <w:rPr>
          <w:rStyle w:val="FootnoteReference"/>
          <w:snapToGrid w:val="0"/>
          <w:kern w:val="22"/>
          <w:szCs w:val="22"/>
          <w:lang w:val="es-ES_tradnl"/>
        </w:rPr>
        <w:footnoteReference w:id="47"/>
      </w:r>
      <w:r w:rsidR="00276B6C" w:rsidRPr="000E4865">
        <w:rPr>
          <w:snapToGrid w:val="0"/>
          <w:kern w:val="22"/>
          <w:szCs w:val="22"/>
          <w:lang w:val="es-ES_tradnl"/>
        </w:rPr>
        <w:t xml:space="preserve"> </w:t>
      </w:r>
      <w:r w:rsidRPr="000E4865">
        <w:rPr>
          <w:snapToGrid w:val="0"/>
          <w:kern w:val="22"/>
          <w:szCs w:val="22"/>
          <w:lang w:val="es-ES_tradnl"/>
        </w:rPr>
        <w:t>para asegurar la credibilidad de la</w:t>
      </w:r>
      <w:r w:rsidR="00DF0FC6" w:rsidRPr="000E4865">
        <w:rPr>
          <w:snapToGrid w:val="0"/>
          <w:kern w:val="22"/>
          <w:szCs w:val="22"/>
          <w:lang w:val="es-ES_tradnl"/>
        </w:rPr>
        <w:t xml:space="preserve">s denominaciones relacionadas </w:t>
      </w:r>
      <w:r w:rsidR="00DF0FC6" w:rsidRPr="000E4865">
        <w:rPr>
          <w:snapToGrid w:val="0"/>
          <w:kern w:val="22"/>
          <w:szCs w:val="22"/>
          <w:lang w:val="es-ES_tradnl"/>
        </w:rPr>
        <w:lastRenderedPageBreak/>
        <w:t>con el desarrollo sostenible del aceite de palma</w:t>
      </w:r>
      <w:r w:rsidR="00276B6C" w:rsidRPr="000E4865">
        <w:rPr>
          <w:snapToGrid w:val="0"/>
          <w:kern w:val="22"/>
          <w:szCs w:val="22"/>
          <w:lang w:val="es-ES_tradnl"/>
        </w:rPr>
        <w:t xml:space="preserve">, </w:t>
      </w:r>
      <w:r w:rsidR="00DF0FC6" w:rsidRPr="000E4865">
        <w:rPr>
          <w:snapToGrid w:val="0"/>
          <w:kern w:val="22"/>
          <w:szCs w:val="22"/>
          <w:lang w:val="es-ES_tradnl"/>
        </w:rPr>
        <w:t>tiene varios cientos de miembros</w:t>
      </w:r>
      <w:r w:rsidR="00276B6C" w:rsidRPr="000E4865">
        <w:rPr>
          <w:snapToGrid w:val="0"/>
          <w:kern w:val="22"/>
          <w:szCs w:val="22"/>
          <w:lang w:val="es-ES_tradnl"/>
        </w:rPr>
        <w:t xml:space="preserve">, </w:t>
      </w:r>
      <w:r w:rsidR="00DF0FC6" w:rsidRPr="000E4865">
        <w:rPr>
          <w:snapToGrid w:val="0"/>
          <w:kern w:val="22"/>
          <w:szCs w:val="22"/>
          <w:lang w:val="es-ES_tradnl"/>
        </w:rPr>
        <w:t>entre ellos fabricantes, elaboradores y/o comerciante, minoristas y productores de productos de consumo.</w:t>
      </w:r>
    </w:p>
    <w:p w14:paraId="7A8486AC" w14:textId="6DE0EB86" w:rsidR="00276B6C" w:rsidRPr="000E4865" w:rsidRDefault="00BD6E3D"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i/>
          <w:snapToGrid w:val="0"/>
          <w:kern w:val="22"/>
          <w:szCs w:val="22"/>
          <w:lang w:val="es-ES_tradnl"/>
        </w:rPr>
        <w:t xml:space="preserve">Contabilidad de la </w:t>
      </w:r>
      <w:r w:rsidR="0016331C" w:rsidRPr="000E4865">
        <w:rPr>
          <w:i/>
          <w:snapToGrid w:val="0"/>
          <w:kern w:val="22"/>
          <w:szCs w:val="22"/>
          <w:lang w:val="es-ES_tradnl"/>
        </w:rPr>
        <w:t>gestión</w:t>
      </w:r>
      <w:r w:rsidRPr="000E4865">
        <w:rPr>
          <w:i/>
          <w:snapToGrid w:val="0"/>
          <w:kern w:val="22"/>
          <w:szCs w:val="22"/>
          <w:lang w:val="es-ES_tradnl"/>
        </w:rPr>
        <w:t xml:space="preserve"> ambiental y presentación de informes y divulgación</w:t>
      </w:r>
      <w:r w:rsidR="00276B6C" w:rsidRPr="000E4865">
        <w:rPr>
          <w:snapToGrid w:val="0"/>
          <w:kern w:val="22"/>
          <w:szCs w:val="22"/>
          <w:lang w:val="es-ES_tradnl"/>
        </w:rPr>
        <w:t xml:space="preserve">: </w:t>
      </w:r>
      <w:r w:rsidR="0016331C" w:rsidRPr="000E4865">
        <w:rPr>
          <w:snapToGrid w:val="0"/>
          <w:kern w:val="22"/>
          <w:szCs w:val="22"/>
          <w:lang w:val="es-ES_tradnl"/>
        </w:rPr>
        <w:t>La contabilidad de la gestión ambiental</w:t>
      </w:r>
      <w:r w:rsidR="00276B6C" w:rsidRPr="000E4865">
        <w:rPr>
          <w:rStyle w:val="FootnoteReference"/>
          <w:snapToGrid w:val="0"/>
          <w:kern w:val="22"/>
          <w:szCs w:val="22"/>
          <w:lang w:val="es-ES_tradnl"/>
        </w:rPr>
        <w:footnoteReference w:id="48"/>
      </w:r>
      <w:r w:rsidR="0016331C" w:rsidRPr="000E4865">
        <w:rPr>
          <w:snapToGrid w:val="0"/>
          <w:kern w:val="22"/>
          <w:szCs w:val="22"/>
          <w:lang w:val="es-ES_tradnl"/>
        </w:rPr>
        <w:t>,</w:t>
      </w:r>
      <w:r w:rsidR="00276B6C" w:rsidRPr="000E4865">
        <w:rPr>
          <w:snapToGrid w:val="0"/>
          <w:kern w:val="22"/>
          <w:szCs w:val="22"/>
          <w:lang w:val="es-ES_tradnl"/>
        </w:rPr>
        <w:t xml:space="preserve"> </w:t>
      </w:r>
      <w:r w:rsidR="0016331C" w:rsidRPr="000E4865">
        <w:rPr>
          <w:snapToGrid w:val="0"/>
          <w:kern w:val="22"/>
          <w:szCs w:val="22"/>
          <w:lang w:val="es-ES_tradnl"/>
        </w:rPr>
        <w:t>en particular la contabilidad y la presentación de informes sobre los gases de efecto inver</w:t>
      </w:r>
      <w:r w:rsidR="00DE4D45" w:rsidRPr="000E4865">
        <w:rPr>
          <w:snapToGrid w:val="0"/>
          <w:kern w:val="22"/>
          <w:szCs w:val="22"/>
          <w:lang w:val="es-ES_tradnl"/>
        </w:rPr>
        <w:t>n</w:t>
      </w:r>
      <w:r w:rsidR="0016331C" w:rsidRPr="000E4865">
        <w:rPr>
          <w:snapToGrid w:val="0"/>
          <w:kern w:val="22"/>
          <w:szCs w:val="22"/>
          <w:lang w:val="es-ES_tradnl"/>
        </w:rPr>
        <w:t>adero</w:t>
      </w:r>
      <w:r w:rsidR="00276B6C" w:rsidRPr="000E4865">
        <w:rPr>
          <w:snapToGrid w:val="0"/>
          <w:kern w:val="22"/>
          <w:szCs w:val="22"/>
          <w:lang w:val="es-ES_tradnl"/>
        </w:rPr>
        <w:t xml:space="preserve">, </w:t>
      </w:r>
      <w:r w:rsidR="0016331C" w:rsidRPr="000E4865">
        <w:rPr>
          <w:snapToGrid w:val="0"/>
          <w:kern w:val="22"/>
          <w:szCs w:val="22"/>
          <w:lang w:val="es-ES_tradnl"/>
        </w:rPr>
        <w:t>se ha integrado en gran medida en muchos países</w:t>
      </w:r>
      <w:r w:rsidR="00276B6C" w:rsidRPr="000E4865">
        <w:rPr>
          <w:snapToGrid w:val="0"/>
          <w:kern w:val="22"/>
          <w:szCs w:val="22"/>
          <w:lang w:val="es-ES_tradnl"/>
        </w:rPr>
        <w:t xml:space="preserve">. </w:t>
      </w:r>
      <w:r w:rsidR="00DE4D45" w:rsidRPr="000E4865">
        <w:rPr>
          <w:snapToGrid w:val="0"/>
          <w:kern w:val="22"/>
          <w:szCs w:val="22"/>
          <w:lang w:val="es-ES_tradnl"/>
        </w:rPr>
        <w:t>Por ejemplo, miles de empresas, entre ellas muchas empresas manufactureras</w:t>
      </w:r>
      <w:r w:rsidR="00276B6C" w:rsidRPr="000E4865">
        <w:rPr>
          <w:snapToGrid w:val="0"/>
          <w:kern w:val="22"/>
          <w:szCs w:val="22"/>
          <w:lang w:val="es-ES_tradnl"/>
        </w:rPr>
        <w:t xml:space="preserve">, </w:t>
      </w:r>
      <w:r w:rsidR="00DE4D45" w:rsidRPr="000E4865">
        <w:rPr>
          <w:snapToGrid w:val="0"/>
          <w:kern w:val="22"/>
          <w:szCs w:val="22"/>
          <w:lang w:val="es-ES_tradnl"/>
        </w:rPr>
        <w:t xml:space="preserve">participan voluntariamente en el </w:t>
      </w:r>
      <w:r w:rsidR="00276B6C" w:rsidRPr="000E4865">
        <w:rPr>
          <w:snapToGrid w:val="0"/>
          <w:kern w:val="22"/>
          <w:szCs w:val="22"/>
          <w:lang w:val="es-ES_tradnl"/>
        </w:rPr>
        <w:t>Climate Disclosure Project</w:t>
      </w:r>
      <w:r w:rsidR="00276B6C" w:rsidRPr="000E4865">
        <w:rPr>
          <w:rStyle w:val="FootnoteReference"/>
          <w:snapToGrid w:val="0"/>
          <w:kern w:val="22"/>
          <w:szCs w:val="22"/>
          <w:lang w:val="es-ES_tradnl"/>
        </w:rPr>
        <w:footnoteReference w:id="49"/>
      </w:r>
      <w:r w:rsidR="00DE4D45" w:rsidRPr="000E4865">
        <w:rPr>
          <w:snapToGrid w:val="0"/>
          <w:kern w:val="22"/>
          <w:szCs w:val="22"/>
          <w:lang w:val="es-ES_tradnl"/>
        </w:rPr>
        <w:t xml:space="preserve">, que ha producido cambios importantes en sus políticas sobre el cambio climático para demostrar un </w:t>
      </w:r>
      <w:r w:rsidR="00574A36" w:rsidRPr="000E4865">
        <w:rPr>
          <w:snapToGrid w:val="0"/>
          <w:kern w:val="22"/>
          <w:szCs w:val="22"/>
          <w:lang w:val="es-ES_tradnl"/>
        </w:rPr>
        <w:t>rendimiento mejorado relativo al clima a lo largo del tiempo</w:t>
      </w:r>
      <w:r w:rsidR="00276B6C" w:rsidRPr="000E4865">
        <w:rPr>
          <w:snapToGrid w:val="0"/>
          <w:kern w:val="22"/>
          <w:szCs w:val="22"/>
          <w:lang w:val="es-ES_tradnl"/>
        </w:rPr>
        <w:t xml:space="preserve">. </w:t>
      </w:r>
      <w:r w:rsidR="00BF4459" w:rsidRPr="000E4865">
        <w:rPr>
          <w:snapToGrid w:val="0"/>
          <w:kern w:val="22"/>
          <w:szCs w:val="22"/>
          <w:lang w:val="es-ES_tradnl"/>
        </w:rPr>
        <w:t xml:space="preserve">Sin embargo, el riesgo, </w:t>
      </w:r>
      <w:r w:rsidR="001048E7" w:rsidRPr="000E4865">
        <w:rPr>
          <w:snapToGrid w:val="0"/>
          <w:kern w:val="22"/>
          <w:szCs w:val="22"/>
          <w:lang w:val="es-ES_tradnl"/>
        </w:rPr>
        <w:t xml:space="preserve">la </w:t>
      </w:r>
      <w:r w:rsidR="00BF4459" w:rsidRPr="000E4865">
        <w:rPr>
          <w:snapToGrid w:val="0"/>
          <w:kern w:val="22"/>
          <w:szCs w:val="22"/>
          <w:lang w:val="es-ES_tradnl"/>
        </w:rPr>
        <w:t xml:space="preserve">medición y </w:t>
      </w:r>
      <w:r w:rsidR="001048E7" w:rsidRPr="000E4865">
        <w:rPr>
          <w:snapToGrid w:val="0"/>
          <w:kern w:val="22"/>
          <w:szCs w:val="22"/>
          <w:lang w:val="es-ES_tradnl"/>
        </w:rPr>
        <w:t xml:space="preserve">el </w:t>
      </w:r>
      <w:r w:rsidR="00BF4459" w:rsidRPr="000E4865">
        <w:rPr>
          <w:snapToGrid w:val="0"/>
          <w:kern w:val="22"/>
          <w:szCs w:val="22"/>
          <w:lang w:val="es-ES_tradnl"/>
        </w:rPr>
        <w:t>desempeño empresarial de la diversidad biológica actualmente es muy limitado</w:t>
      </w:r>
      <w:r w:rsidR="00276B6C" w:rsidRPr="000E4865">
        <w:rPr>
          <w:rStyle w:val="FootnoteReference"/>
          <w:snapToGrid w:val="0"/>
          <w:kern w:val="22"/>
          <w:szCs w:val="22"/>
          <w:lang w:val="es-ES_tradnl"/>
        </w:rPr>
        <w:footnoteReference w:id="50"/>
      </w:r>
      <w:r w:rsidR="00BF4459" w:rsidRPr="000E4865">
        <w:rPr>
          <w:snapToGrid w:val="0"/>
          <w:kern w:val="22"/>
          <w:szCs w:val="22"/>
          <w:lang w:val="es-ES_tradnl"/>
        </w:rPr>
        <w:t xml:space="preserve">, es decir, </w:t>
      </w:r>
      <w:r w:rsidR="001717A5">
        <w:rPr>
          <w:snapToGrid w:val="0"/>
          <w:kern w:val="22"/>
          <w:szCs w:val="22"/>
          <w:lang w:val="es-ES_tradnl"/>
        </w:rPr>
        <w:t xml:space="preserve">se centran </w:t>
      </w:r>
      <w:r w:rsidR="00BF4459" w:rsidRPr="000E4865">
        <w:rPr>
          <w:snapToGrid w:val="0"/>
          <w:kern w:val="22"/>
          <w:szCs w:val="22"/>
          <w:lang w:val="es-ES_tradnl"/>
        </w:rPr>
        <w:t>en principios de alto nivel</w:t>
      </w:r>
      <w:r w:rsidR="00906A66">
        <w:rPr>
          <w:snapToGrid w:val="0"/>
          <w:kern w:val="22"/>
          <w:szCs w:val="22"/>
          <w:lang w:val="es-ES_tradnl"/>
        </w:rPr>
        <w:t xml:space="preserve"> y en </w:t>
      </w:r>
      <w:r w:rsidR="001717A5">
        <w:rPr>
          <w:snapToGrid w:val="0"/>
          <w:kern w:val="22"/>
          <w:szCs w:val="22"/>
          <w:lang w:val="es-ES_tradnl"/>
        </w:rPr>
        <w:t xml:space="preserve">la divulgación de </w:t>
      </w:r>
      <w:r w:rsidR="00BF0AAA" w:rsidRPr="00906A66">
        <w:rPr>
          <w:snapToGrid w:val="0"/>
          <w:kern w:val="22"/>
          <w:szCs w:val="22"/>
          <w:lang w:val="es-ES_tradnl"/>
        </w:rPr>
        <w:t>información </w:t>
      </w:r>
      <w:r w:rsidR="00906A66" w:rsidRPr="00906A66">
        <w:rPr>
          <w:snapToGrid w:val="0"/>
          <w:kern w:val="22"/>
          <w:szCs w:val="22"/>
          <w:lang w:val="es-ES_tradnl"/>
        </w:rPr>
        <w:t xml:space="preserve">sobre </w:t>
      </w:r>
      <w:r w:rsidR="00BF0AAA" w:rsidRPr="00906A66">
        <w:rPr>
          <w:snapToGrid w:val="0"/>
          <w:kern w:val="22"/>
          <w:szCs w:val="22"/>
          <w:lang w:val="es-ES_tradnl"/>
        </w:rPr>
        <w:t xml:space="preserve">el enfoque de </w:t>
      </w:r>
      <w:r w:rsidR="005F43CA" w:rsidRPr="00906A66">
        <w:rPr>
          <w:snapToGrid w:val="0"/>
          <w:kern w:val="22"/>
          <w:szCs w:val="22"/>
          <w:lang w:val="es-ES_tradnl"/>
        </w:rPr>
        <w:t>gestión</w:t>
      </w:r>
      <w:r w:rsidR="00276B6C" w:rsidRPr="000E4865">
        <w:rPr>
          <w:snapToGrid w:val="0"/>
          <w:kern w:val="22"/>
          <w:szCs w:val="22"/>
          <w:lang w:val="es-ES_tradnl"/>
        </w:rPr>
        <w:t xml:space="preserve">. </w:t>
      </w:r>
      <w:r w:rsidR="005F43CA" w:rsidRPr="000E4865">
        <w:rPr>
          <w:snapToGrid w:val="0"/>
          <w:kern w:val="22"/>
          <w:szCs w:val="22"/>
          <w:lang w:val="es-ES_tradnl"/>
        </w:rPr>
        <w:t>Generar un protocolo normalizado de medición de la diversidad biológica, que incluya los impactos de las cadenas de suministro, y apoyar la divulgación del desempeño de la diversidad biológica, contribuirían en gran medida a integrar la diversidad biológica en las estrategias empresariales</w:t>
      </w:r>
      <w:r w:rsidR="00276B6C" w:rsidRPr="000E4865">
        <w:rPr>
          <w:snapToGrid w:val="0"/>
          <w:kern w:val="22"/>
          <w:szCs w:val="22"/>
          <w:lang w:val="es-ES_tradnl"/>
        </w:rPr>
        <w:t xml:space="preserve">, </w:t>
      </w:r>
      <w:r w:rsidR="001717A5">
        <w:rPr>
          <w:snapToGrid w:val="0"/>
          <w:kern w:val="22"/>
          <w:szCs w:val="22"/>
          <w:lang w:val="es-ES_tradnl"/>
        </w:rPr>
        <w:t xml:space="preserve">como se </w:t>
      </w:r>
      <w:r w:rsidR="005F43CA" w:rsidRPr="000E4865">
        <w:rPr>
          <w:snapToGrid w:val="0"/>
          <w:kern w:val="22"/>
          <w:szCs w:val="22"/>
          <w:lang w:val="es-ES_tradnl"/>
        </w:rPr>
        <w:t xml:space="preserve">planteó recientemente en la </w:t>
      </w:r>
      <w:r w:rsidR="00276B6C" w:rsidRPr="000E4865">
        <w:rPr>
          <w:snapToGrid w:val="0"/>
          <w:kern w:val="22"/>
          <w:szCs w:val="22"/>
          <w:lang w:val="es-ES_tradnl"/>
        </w:rPr>
        <w:t xml:space="preserve">Biodiversity and Business Indaba </w:t>
      </w:r>
      <w:r w:rsidR="001048E7" w:rsidRPr="000E4865">
        <w:rPr>
          <w:snapToGrid w:val="0"/>
          <w:kern w:val="22"/>
          <w:szCs w:val="22"/>
          <w:lang w:val="es-ES_tradnl"/>
        </w:rPr>
        <w:t xml:space="preserve">de </w:t>
      </w:r>
      <w:r w:rsidR="005F43CA" w:rsidRPr="000E4865">
        <w:rPr>
          <w:snapToGrid w:val="0"/>
          <w:kern w:val="22"/>
          <w:szCs w:val="22"/>
          <w:lang w:val="es-ES_tradnl"/>
        </w:rPr>
        <w:t xml:space="preserve">2017 de la </w:t>
      </w:r>
      <w:r w:rsidR="001048E7" w:rsidRPr="000E4865">
        <w:rPr>
          <w:snapToGrid w:val="0"/>
          <w:kern w:val="22"/>
          <w:szCs w:val="22"/>
          <w:lang w:val="es-ES_tradnl"/>
        </w:rPr>
        <w:t>red nacional sudafricana de biodiversidad y empresas (</w:t>
      </w:r>
      <w:r w:rsidR="00276B6C" w:rsidRPr="000E4865">
        <w:rPr>
          <w:snapToGrid w:val="0"/>
          <w:kern w:val="22"/>
          <w:szCs w:val="22"/>
          <w:lang w:val="es-ES_tradnl"/>
        </w:rPr>
        <w:t>South African National Biodiversity and Business Network</w:t>
      </w:r>
      <w:bookmarkStart w:id="6" w:name="_Ref517082016"/>
      <w:r w:rsidR="00276B6C" w:rsidRPr="000E4865">
        <w:rPr>
          <w:rStyle w:val="FootnoteReference"/>
          <w:snapToGrid w:val="0"/>
          <w:kern w:val="22"/>
          <w:szCs w:val="22"/>
          <w:lang w:val="es-ES_tradnl"/>
        </w:rPr>
        <w:footnoteReference w:id="51"/>
      </w:r>
      <w:bookmarkEnd w:id="6"/>
      <w:r w:rsidR="001048E7" w:rsidRPr="000E4865">
        <w:rPr>
          <w:snapToGrid w:val="0"/>
          <w:kern w:val="22"/>
          <w:szCs w:val="22"/>
          <w:lang w:val="es-ES_tradnl"/>
        </w:rPr>
        <w:t>).</w:t>
      </w:r>
      <w:r w:rsidR="00276B6C" w:rsidRPr="000E4865">
        <w:rPr>
          <w:snapToGrid w:val="0"/>
          <w:kern w:val="22"/>
          <w:szCs w:val="22"/>
          <w:lang w:val="es-ES_tradnl"/>
        </w:rPr>
        <w:t xml:space="preserve"> </w:t>
      </w:r>
      <w:r w:rsidR="005F43CA" w:rsidRPr="000E4865">
        <w:rPr>
          <w:snapToGrid w:val="0"/>
          <w:kern w:val="22"/>
          <w:szCs w:val="22"/>
          <w:lang w:val="es-ES_tradnl"/>
        </w:rPr>
        <w:t xml:space="preserve">En este contexto, sería importante definir metas con base científica </w:t>
      </w:r>
      <w:r w:rsidR="001048E7" w:rsidRPr="000E4865">
        <w:rPr>
          <w:snapToGrid w:val="0"/>
          <w:kern w:val="22"/>
          <w:szCs w:val="22"/>
          <w:lang w:val="es-ES_tradnl"/>
        </w:rPr>
        <w:t>para impulsar una diversidad biológica, medición, contabilidad y divulgación significativa</w:t>
      </w:r>
      <w:r w:rsidR="00276B6C" w:rsidRPr="000E4865">
        <w:rPr>
          <w:rStyle w:val="FootnoteReference"/>
          <w:snapToGrid w:val="0"/>
          <w:kern w:val="22"/>
          <w:szCs w:val="22"/>
          <w:lang w:val="es-ES_tradnl"/>
        </w:rPr>
        <w:footnoteReference w:id="52"/>
      </w:r>
      <w:r w:rsidR="001048E7" w:rsidRPr="000E4865">
        <w:rPr>
          <w:snapToGrid w:val="0"/>
          <w:kern w:val="22"/>
          <w:szCs w:val="22"/>
          <w:lang w:val="es-ES_tradnl"/>
        </w:rPr>
        <w:t>.</w:t>
      </w:r>
    </w:p>
    <w:p w14:paraId="38EAA04F" w14:textId="203EFA87" w:rsidR="00276B6C" w:rsidRPr="000E4865" w:rsidRDefault="00BD6E3D"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i/>
          <w:snapToGrid w:val="0"/>
          <w:kern w:val="22"/>
          <w:szCs w:val="22"/>
          <w:lang w:val="es-ES_tradnl"/>
        </w:rPr>
        <w:t>Valoración de externalidades</w:t>
      </w:r>
      <w:r w:rsidRPr="000E4865">
        <w:rPr>
          <w:rStyle w:val="FootnoteReference"/>
          <w:snapToGrid w:val="0"/>
          <w:kern w:val="22"/>
          <w:szCs w:val="22"/>
          <w:lang w:val="es-ES_tradnl"/>
        </w:rPr>
        <w:footnoteReference w:id="53"/>
      </w:r>
      <w:r w:rsidRPr="000E4865">
        <w:rPr>
          <w:i/>
          <w:snapToGrid w:val="0"/>
          <w:kern w:val="22"/>
          <w:szCs w:val="22"/>
          <w:lang w:val="es-ES_tradnl"/>
        </w:rPr>
        <w:t xml:space="preserve"> y capital natural</w:t>
      </w:r>
      <w:r w:rsidR="00276B6C" w:rsidRPr="000E4865">
        <w:rPr>
          <w:snapToGrid w:val="0"/>
          <w:kern w:val="22"/>
          <w:szCs w:val="22"/>
          <w:lang w:val="es-ES_tradnl"/>
        </w:rPr>
        <w:t xml:space="preserve">: </w:t>
      </w:r>
      <w:r w:rsidR="001048E7" w:rsidRPr="000E4865">
        <w:rPr>
          <w:snapToGrid w:val="0"/>
          <w:kern w:val="22"/>
          <w:szCs w:val="22"/>
          <w:lang w:val="es-ES_tradnl"/>
        </w:rPr>
        <w:t>Cada vez es mayor el número de empresas que miden y valoran su capital natural</w:t>
      </w:r>
      <w:r w:rsidR="00276B6C" w:rsidRPr="000E4865">
        <w:rPr>
          <w:rStyle w:val="FootnoteReference"/>
          <w:snapToGrid w:val="0"/>
          <w:kern w:val="22"/>
          <w:szCs w:val="22"/>
          <w:lang w:val="es-ES_tradnl"/>
        </w:rPr>
        <w:footnoteReference w:id="54"/>
      </w:r>
      <w:r w:rsidR="001717A5">
        <w:rPr>
          <w:snapToGrid w:val="0"/>
          <w:kern w:val="22"/>
          <w:szCs w:val="22"/>
          <w:lang w:val="es-ES_tradnl"/>
        </w:rPr>
        <w:t>,</w:t>
      </w:r>
      <w:r w:rsidR="00276B6C" w:rsidRPr="000E4865">
        <w:rPr>
          <w:snapToGrid w:val="0"/>
          <w:kern w:val="22"/>
          <w:szCs w:val="22"/>
          <w:lang w:val="es-ES_tradnl"/>
        </w:rPr>
        <w:t xml:space="preserve"> </w:t>
      </w:r>
      <w:r w:rsidR="001048E7" w:rsidRPr="000E4865">
        <w:rPr>
          <w:snapToGrid w:val="0"/>
          <w:kern w:val="22"/>
          <w:szCs w:val="22"/>
          <w:lang w:val="es-ES_tradnl"/>
        </w:rPr>
        <w:t>sus impactos y dependencias</w:t>
      </w:r>
      <w:r w:rsidR="00276B6C" w:rsidRPr="000E4865">
        <w:rPr>
          <w:rStyle w:val="FootnoteReference"/>
          <w:snapToGrid w:val="0"/>
          <w:kern w:val="22"/>
          <w:szCs w:val="22"/>
          <w:lang w:val="es-ES_tradnl"/>
        </w:rPr>
        <w:footnoteReference w:id="55"/>
      </w:r>
      <w:r w:rsidR="001048E7" w:rsidRPr="000E4865">
        <w:rPr>
          <w:snapToGrid w:val="0"/>
          <w:kern w:val="22"/>
          <w:szCs w:val="22"/>
          <w:lang w:val="es-ES_tradnl"/>
        </w:rPr>
        <w:t xml:space="preserve">, tales como valorar y divulgar las externalidades ambientales negativas </w:t>
      </w:r>
      <w:r w:rsidR="00276B6C" w:rsidRPr="000E4865">
        <w:rPr>
          <w:snapToGrid w:val="0"/>
          <w:kern w:val="22"/>
          <w:szCs w:val="22"/>
          <w:lang w:val="es-ES_tradnl"/>
        </w:rPr>
        <w:t>(</w:t>
      </w:r>
      <w:r w:rsidR="001048E7" w:rsidRPr="000E4865">
        <w:rPr>
          <w:snapToGrid w:val="0"/>
          <w:kern w:val="22"/>
          <w:szCs w:val="22"/>
          <w:lang w:val="es-ES_tradnl"/>
        </w:rPr>
        <w:t>incluido el cambio de uso de la tierra como factor de impacto</w:t>
      </w:r>
      <w:r w:rsidR="00276B6C" w:rsidRPr="000E4865">
        <w:rPr>
          <w:snapToGrid w:val="0"/>
          <w:kern w:val="22"/>
          <w:szCs w:val="22"/>
          <w:lang w:val="es-ES_tradnl"/>
        </w:rPr>
        <w:t xml:space="preserve">) </w:t>
      </w:r>
      <w:r w:rsidR="001048E7" w:rsidRPr="000E4865">
        <w:rPr>
          <w:snapToGrid w:val="0"/>
          <w:kern w:val="22"/>
          <w:szCs w:val="22"/>
          <w:lang w:val="es-ES_tradnl"/>
        </w:rPr>
        <w:t xml:space="preserve">a lo largo de las cadenas </w:t>
      </w:r>
      <w:r w:rsidR="00BC2F30" w:rsidRPr="000E4865">
        <w:rPr>
          <w:snapToGrid w:val="0"/>
          <w:kern w:val="22"/>
          <w:szCs w:val="22"/>
          <w:lang w:val="es-ES_tradnl"/>
        </w:rPr>
        <w:t xml:space="preserve">mundiales </w:t>
      </w:r>
      <w:r w:rsidR="001048E7" w:rsidRPr="000E4865">
        <w:rPr>
          <w:snapToGrid w:val="0"/>
          <w:kern w:val="22"/>
          <w:szCs w:val="22"/>
          <w:lang w:val="es-ES_tradnl"/>
        </w:rPr>
        <w:t>de suministro</w:t>
      </w:r>
      <w:r w:rsidR="00276B6C" w:rsidRPr="000E4865">
        <w:rPr>
          <w:snapToGrid w:val="0"/>
          <w:kern w:val="22"/>
          <w:szCs w:val="22"/>
          <w:lang w:val="es-ES_tradnl"/>
        </w:rPr>
        <w:t xml:space="preserve">. </w:t>
      </w:r>
      <w:r w:rsidR="00BC2F30" w:rsidRPr="000E4865">
        <w:rPr>
          <w:snapToGrid w:val="0"/>
          <w:kern w:val="22"/>
          <w:szCs w:val="22"/>
          <w:lang w:val="es-ES_tradnl"/>
        </w:rPr>
        <w:t>Dichos esfuerzos demuestran que</w:t>
      </w:r>
      <w:r w:rsidR="001717A5">
        <w:rPr>
          <w:snapToGrid w:val="0"/>
          <w:kern w:val="22"/>
          <w:szCs w:val="22"/>
          <w:lang w:val="es-ES_tradnl"/>
        </w:rPr>
        <w:t xml:space="preserve"> al</w:t>
      </w:r>
      <w:r w:rsidR="00BC2F30" w:rsidRPr="000E4865">
        <w:rPr>
          <w:snapToGrid w:val="0"/>
          <w:kern w:val="22"/>
          <w:szCs w:val="22"/>
          <w:lang w:val="es-ES_tradnl"/>
        </w:rPr>
        <w:t xml:space="preserve"> hacerlo pueden </w:t>
      </w:r>
      <w:r w:rsidR="00276B6C" w:rsidRPr="000E4865">
        <w:rPr>
          <w:snapToGrid w:val="0"/>
          <w:kern w:val="22"/>
          <w:szCs w:val="22"/>
          <w:lang w:val="es-ES_tradnl"/>
        </w:rPr>
        <w:t xml:space="preserve">a) </w:t>
      </w:r>
      <w:r w:rsidR="00BC2F30" w:rsidRPr="000E4865">
        <w:rPr>
          <w:snapToGrid w:val="0"/>
          <w:kern w:val="22"/>
          <w:szCs w:val="22"/>
          <w:lang w:val="es-ES_tradnl"/>
        </w:rPr>
        <w:t>divulgarse regularmente</w:t>
      </w:r>
      <w:r w:rsidR="00276B6C" w:rsidRPr="000E4865">
        <w:rPr>
          <w:snapToGrid w:val="0"/>
          <w:kern w:val="22"/>
          <w:szCs w:val="22"/>
          <w:lang w:val="es-ES_tradnl"/>
        </w:rPr>
        <w:t xml:space="preserve">, b) </w:t>
      </w:r>
      <w:r w:rsidR="00BC2F30" w:rsidRPr="000E4865">
        <w:rPr>
          <w:snapToGrid w:val="0"/>
          <w:kern w:val="22"/>
          <w:szCs w:val="22"/>
          <w:lang w:val="es-ES_tradnl"/>
        </w:rPr>
        <w:t>contribuir a la mejora de los valores de las marcas</w:t>
      </w:r>
      <w:r w:rsidR="00276B6C" w:rsidRPr="000E4865">
        <w:rPr>
          <w:snapToGrid w:val="0"/>
          <w:kern w:val="22"/>
          <w:szCs w:val="22"/>
          <w:lang w:val="es-ES_tradnl"/>
        </w:rPr>
        <w:t xml:space="preserve">, c) </w:t>
      </w:r>
      <w:r w:rsidR="00BC2F30" w:rsidRPr="000E4865">
        <w:rPr>
          <w:snapToGrid w:val="0"/>
          <w:kern w:val="22"/>
          <w:szCs w:val="22"/>
          <w:lang w:val="es-ES_tradnl"/>
        </w:rPr>
        <w:t>impulsar la innovación sostenible en el diseño del producto</w:t>
      </w:r>
      <w:r w:rsidR="00276B6C" w:rsidRPr="000E4865">
        <w:rPr>
          <w:snapToGrid w:val="0"/>
          <w:kern w:val="22"/>
          <w:szCs w:val="22"/>
          <w:lang w:val="es-ES_tradnl"/>
        </w:rPr>
        <w:t xml:space="preserve">, </w:t>
      </w:r>
      <w:r w:rsidR="00BC2F30" w:rsidRPr="000E4865">
        <w:rPr>
          <w:snapToGrid w:val="0"/>
          <w:kern w:val="22"/>
          <w:szCs w:val="22"/>
          <w:lang w:val="es-ES_tradnl"/>
        </w:rPr>
        <w:t>y</w:t>
      </w:r>
      <w:r w:rsidR="00276B6C" w:rsidRPr="000E4865">
        <w:rPr>
          <w:snapToGrid w:val="0"/>
          <w:kern w:val="22"/>
          <w:szCs w:val="22"/>
          <w:lang w:val="es-ES_tradnl"/>
        </w:rPr>
        <w:t xml:space="preserve"> c) </w:t>
      </w:r>
      <w:r w:rsidR="00BC2F30" w:rsidRPr="000E4865">
        <w:rPr>
          <w:snapToGrid w:val="0"/>
          <w:kern w:val="22"/>
          <w:szCs w:val="22"/>
          <w:lang w:val="es-ES_tradnl"/>
        </w:rPr>
        <w:t>ayudar a asegurar el sum</w:t>
      </w:r>
      <w:r w:rsidR="007879C2" w:rsidRPr="000E4865">
        <w:rPr>
          <w:snapToGrid w:val="0"/>
          <w:kern w:val="22"/>
          <w:szCs w:val="22"/>
          <w:lang w:val="es-ES_tradnl"/>
        </w:rPr>
        <w:t>i</w:t>
      </w:r>
      <w:r w:rsidR="00BC2F30" w:rsidRPr="000E4865">
        <w:rPr>
          <w:snapToGrid w:val="0"/>
          <w:kern w:val="22"/>
          <w:szCs w:val="22"/>
          <w:lang w:val="es-ES_tradnl"/>
        </w:rPr>
        <w:t xml:space="preserve">nistro de la materia prima </w:t>
      </w:r>
      <w:r w:rsidR="007879C2" w:rsidRPr="000E4865">
        <w:rPr>
          <w:snapToGrid w:val="0"/>
          <w:kern w:val="22"/>
          <w:szCs w:val="22"/>
          <w:lang w:val="es-ES_tradnl"/>
        </w:rPr>
        <w:t>mediante la participación directa con proveedores clave de materias primas</w:t>
      </w:r>
      <w:r w:rsidR="00276B6C" w:rsidRPr="000E4865">
        <w:rPr>
          <w:snapToGrid w:val="0"/>
          <w:kern w:val="22"/>
          <w:szCs w:val="22"/>
          <w:lang w:val="es-ES_tradnl"/>
        </w:rPr>
        <w:t xml:space="preserve"> (</w:t>
      </w:r>
      <w:r w:rsidR="00005AD5" w:rsidRPr="000E4865">
        <w:rPr>
          <w:snapToGrid w:val="0"/>
          <w:kern w:val="22"/>
          <w:szCs w:val="22"/>
          <w:lang w:val="es-ES_tradnl"/>
        </w:rPr>
        <w:t>p. ej.</w:t>
      </w:r>
      <w:r w:rsidR="00276B6C" w:rsidRPr="000E4865">
        <w:rPr>
          <w:snapToGrid w:val="0"/>
          <w:kern w:val="22"/>
          <w:szCs w:val="22"/>
          <w:lang w:val="es-ES_tradnl"/>
        </w:rPr>
        <w:t xml:space="preserve">, </w:t>
      </w:r>
      <w:r w:rsidR="007879C2" w:rsidRPr="000E4865">
        <w:rPr>
          <w:snapToGrid w:val="0"/>
          <w:kern w:val="22"/>
          <w:szCs w:val="22"/>
          <w:lang w:val="es-ES_tradnl"/>
        </w:rPr>
        <w:t>para mejorar la sostenibilidad de los procesos de producción y evitar costos imprevistos debido a la escasez de recursos o a cambios en la legislación en los países de origen</w:t>
      </w:r>
      <w:r w:rsidR="00276B6C" w:rsidRPr="000E4865">
        <w:rPr>
          <w:snapToGrid w:val="0"/>
          <w:kern w:val="22"/>
          <w:szCs w:val="22"/>
          <w:lang w:val="es-ES_tradnl"/>
        </w:rPr>
        <w:t xml:space="preserve">). </w:t>
      </w:r>
      <w:r w:rsidR="007879C2" w:rsidRPr="000E4865">
        <w:rPr>
          <w:snapToGrid w:val="0"/>
          <w:kern w:val="22"/>
          <w:szCs w:val="22"/>
          <w:lang w:val="es-ES_tradnl"/>
        </w:rPr>
        <w:t>En dicho contexto, la</w:t>
      </w:r>
      <w:r w:rsidR="00276B6C" w:rsidRPr="000E4865">
        <w:rPr>
          <w:snapToGrid w:val="0"/>
          <w:kern w:val="22"/>
          <w:szCs w:val="22"/>
          <w:lang w:val="es-ES_tradnl"/>
        </w:rPr>
        <w:t xml:space="preserve"> Natural Capital Coalition </w:t>
      </w:r>
      <w:r w:rsidR="007879C2" w:rsidRPr="000E4865">
        <w:rPr>
          <w:snapToGrid w:val="0"/>
          <w:kern w:val="22"/>
          <w:szCs w:val="22"/>
          <w:lang w:val="es-ES_tradnl"/>
        </w:rPr>
        <w:t xml:space="preserve">ha presentado recientemente el </w:t>
      </w:r>
      <w:r w:rsidR="00276B6C" w:rsidRPr="000E4865">
        <w:rPr>
          <w:snapToGrid w:val="0"/>
          <w:kern w:val="22"/>
          <w:szCs w:val="22"/>
          <w:lang w:val="es-ES_tradnl"/>
        </w:rPr>
        <w:t xml:space="preserve">Natural Capital Protocol (2016), </w:t>
      </w:r>
      <w:r w:rsidR="007879C2" w:rsidRPr="000E4865">
        <w:rPr>
          <w:snapToGrid w:val="0"/>
          <w:kern w:val="22"/>
          <w:szCs w:val="22"/>
          <w:lang w:val="es-ES_tradnl"/>
        </w:rPr>
        <w:t>un marco normalizado para medir y valorar el capital natural, que fue concebido para ayudar a generar información fidedigna, fiable y efectiva que necesitan los gerentes comerciales para la adopción de decisiones internas</w:t>
      </w:r>
      <w:r w:rsidR="00276B6C" w:rsidRPr="000E4865">
        <w:rPr>
          <w:snapToGrid w:val="0"/>
          <w:kern w:val="22"/>
          <w:szCs w:val="22"/>
          <w:lang w:val="es-ES_tradnl"/>
        </w:rPr>
        <w:t xml:space="preserve">. </w:t>
      </w:r>
      <w:r w:rsidR="007879C2" w:rsidRPr="000E4865">
        <w:rPr>
          <w:snapToGrid w:val="0"/>
          <w:kern w:val="22"/>
          <w:szCs w:val="22"/>
          <w:lang w:val="es-ES_tradnl"/>
        </w:rPr>
        <w:t xml:space="preserve">La </w:t>
      </w:r>
      <w:r w:rsidR="00276B6C" w:rsidRPr="000E4865">
        <w:rPr>
          <w:snapToGrid w:val="0"/>
          <w:kern w:val="22"/>
          <w:szCs w:val="22"/>
          <w:lang w:val="es-ES_tradnl"/>
        </w:rPr>
        <w:t xml:space="preserve">Natural Capital Coalition </w:t>
      </w:r>
      <w:r w:rsidR="007879C2" w:rsidRPr="000E4865">
        <w:rPr>
          <w:snapToGrid w:val="0"/>
          <w:kern w:val="22"/>
          <w:szCs w:val="22"/>
          <w:lang w:val="es-ES_tradnl"/>
        </w:rPr>
        <w:t>también ha elaborado directrices sectoriales</w:t>
      </w:r>
      <w:r w:rsidR="00276B6C" w:rsidRPr="000E4865">
        <w:rPr>
          <w:snapToGrid w:val="0"/>
          <w:kern w:val="22"/>
          <w:szCs w:val="22"/>
          <w:lang w:val="es-ES_tradnl"/>
        </w:rPr>
        <w:t xml:space="preserve">, </w:t>
      </w:r>
      <w:r w:rsidR="007879C2" w:rsidRPr="000E4865">
        <w:rPr>
          <w:snapToGrid w:val="0"/>
          <w:kern w:val="22"/>
          <w:szCs w:val="22"/>
          <w:lang w:val="es-ES_tradnl"/>
        </w:rPr>
        <w:t>en particular para el sector de alimentos y bebidas</w:t>
      </w:r>
      <w:r w:rsidR="00276B6C" w:rsidRPr="000E4865">
        <w:rPr>
          <w:rStyle w:val="FootnoteReference"/>
          <w:snapToGrid w:val="0"/>
          <w:kern w:val="22"/>
          <w:szCs w:val="22"/>
          <w:lang w:val="es-ES_tradnl"/>
        </w:rPr>
        <w:footnoteReference w:id="56"/>
      </w:r>
      <w:r w:rsidR="007879C2" w:rsidRPr="000E4865">
        <w:rPr>
          <w:snapToGrid w:val="0"/>
          <w:kern w:val="22"/>
          <w:szCs w:val="22"/>
          <w:lang w:val="es-ES_tradnl"/>
        </w:rPr>
        <w:t>,</w:t>
      </w:r>
      <w:r w:rsidR="00276B6C" w:rsidRPr="000E4865">
        <w:rPr>
          <w:snapToGrid w:val="0"/>
          <w:kern w:val="22"/>
          <w:szCs w:val="22"/>
          <w:lang w:val="es-ES_tradnl"/>
        </w:rPr>
        <w:t xml:space="preserve"> </w:t>
      </w:r>
      <w:r w:rsidR="007879C2" w:rsidRPr="000E4865">
        <w:rPr>
          <w:snapToGrid w:val="0"/>
          <w:kern w:val="22"/>
          <w:szCs w:val="22"/>
          <w:lang w:val="es-ES_tradnl"/>
        </w:rPr>
        <w:t>y ahora trabaja en un suplemento sobre la diversidad biológica</w:t>
      </w:r>
      <w:r w:rsidR="00276B6C" w:rsidRPr="000E4865">
        <w:rPr>
          <w:rStyle w:val="FootnoteReference"/>
          <w:snapToGrid w:val="0"/>
          <w:kern w:val="22"/>
          <w:szCs w:val="22"/>
          <w:lang w:val="es-ES_tradnl"/>
        </w:rPr>
        <w:footnoteReference w:id="57"/>
      </w:r>
      <w:r w:rsidR="007879C2" w:rsidRPr="000E4865">
        <w:rPr>
          <w:snapToGrid w:val="0"/>
          <w:kern w:val="22"/>
          <w:szCs w:val="22"/>
          <w:lang w:val="es-ES_tradnl"/>
        </w:rPr>
        <w:t>.</w:t>
      </w:r>
    </w:p>
    <w:p w14:paraId="63CDC41B" w14:textId="215B30DD" w:rsidR="00276B6C" w:rsidRPr="000E4865" w:rsidRDefault="008B0EA5" w:rsidP="00D74331">
      <w:pPr>
        <w:pStyle w:val="Heading1"/>
        <w:numPr>
          <w:ilvl w:val="0"/>
          <w:numId w:val="21"/>
        </w:numPr>
        <w:suppressLineNumbers/>
        <w:tabs>
          <w:tab w:val="clear" w:pos="720"/>
        </w:tabs>
        <w:suppressAutoHyphens/>
        <w:kinsoku w:val="0"/>
        <w:overflowPunct w:val="0"/>
        <w:autoSpaceDE w:val="0"/>
        <w:autoSpaceDN w:val="0"/>
        <w:adjustRightInd w:val="0"/>
        <w:snapToGrid w:val="0"/>
        <w:spacing w:before="120" w:line="238" w:lineRule="auto"/>
        <w:ind w:left="1440"/>
        <w:jc w:val="left"/>
        <w:rPr>
          <w:smallCaps/>
          <w:snapToGrid w:val="0"/>
          <w:kern w:val="22"/>
          <w:szCs w:val="22"/>
          <w:lang w:val="es-ES_tradnl"/>
        </w:rPr>
      </w:pPr>
      <w:r w:rsidRPr="000E4865">
        <w:rPr>
          <w:smallCaps/>
          <w:snapToGrid w:val="0"/>
          <w:kern w:val="22"/>
          <w:szCs w:val="22"/>
          <w:lang w:val="es-ES_tradnl"/>
        </w:rPr>
        <w:t>DEFICIENCIAS Y DIFICULTADES ACTUALES EN LA INTEGRACIÓN EN EL SECTOR MANUFACTUR</w:t>
      </w:r>
      <w:r w:rsidR="001717A5">
        <w:rPr>
          <w:smallCaps/>
          <w:snapToGrid w:val="0"/>
          <w:kern w:val="22"/>
          <w:szCs w:val="22"/>
          <w:lang w:val="es-ES_tradnl"/>
        </w:rPr>
        <w:t>ero</w:t>
      </w:r>
    </w:p>
    <w:p w14:paraId="67E93A64" w14:textId="5C9DE5F4" w:rsidR="00276B6C" w:rsidRPr="000E4865" w:rsidRDefault="00543EAD"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 xml:space="preserve">Con frecuencia, la </w:t>
      </w:r>
      <w:r w:rsidR="0051049C" w:rsidRPr="000E4865">
        <w:rPr>
          <w:snapToGrid w:val="0"/>
          <w:kern w:val="22"/>
          <w:szCs w:val="22"/>
          <w:lang w:val="es-ES_tradnl"/>
        </w:rPr>
        <w:t>creación de un</w:t>
      </w:r>
      <w:r w:rsidRPr="000E4865">
        <w:rPr>
          <w:snapToGrid w:val="0"/>
          <w:kern w:val="22"/>
          <w:szCs w:val="22"/>
          <w:lang w:val="es-ES_tradnl"/>
        </w:rPr>
        <w:t xml:space="preserve"> caso comercial se destaca como requisito previo para que los negocios reconozcan la diversidad biológica como una cuestión material </w:t>
      </w:r>
      <w:r w:rsidR="00276B6C" w:rsidRPr="000E4865">
        <w:rPr>
          <w:snapToGrid w:val="0"/>
          <w:kern w:val="22"/>
          <w:szCs w:val="22"/>
          <w:lang w:val="es-ES_tradnl"/>
        </w:rPr>
        <w:t>(important</w:t>
      </w:r>
      <w:r w:rsidRPr="000E4865">
        <w:rPr>
          <w:snapToGrid w:val="0"/>
          <w:kern w:val="22"/>
          <w:szCs w:val="22"/>
          <w:lang w:val="es-ES_tradnl"/>
        </w:rPr>
        <w:t>e</w:t>
      </w:r>
      <w:r w:rsidR="00276B6C" w:rsidRPr="000E4865">
        <w:rPr>
          <w:snapToGrid w:val="0"/>
          <w:kern w:val="22"/>
          <w:szCs w:val="22"/>
          <w:lang w:val="es-ES_tradnl"/>
        </w:rPr>
        <w:t xml:space="preserve">). </w:t>
      </w:r>
      <w:r w:rsidR="00C003DE" w:rsidRPr="000E4865">
        <w:rPr>
          <w:snapToGrid w:val="0"/>
          <w:kern w:val="22"/>
          <w:szCs w:val="22"/>
          <w:lang w:val="es-ES_tradnl"/>
        </w:rPr>
        <w:t>Esto supone la formulación de propuestas de valor</w:t>
      </w:r>
      <w:r w:rsidR="00276B6C" w:rsidRPr="000E4865">
        <w:rPr>
          <w:snapToGrid w:val="0"/>
          <w:kern w:val="22"/>
          <w:szCs w:val="22"/>
          <w:lang w:val="es-ES_tradnl"/>
        </w:rPr>
        <w:t xml:space="preserve">, </w:t>
      </w:r>
      <w:r w:rsidR="00C003DE" w:rsidRPr="000E4865">
        <w:rPr>
          <w:snapToGrid w:val="0"/>
          <w:kern w:val="22"/>
          <w:szCs w:val="22"/>
          <w:lang w:val="es-ES_tradnl"/>
        </w:rPr>
        <w:t>tales como riesgos para la reputación y la marca</w:t>
      </w:r>
      <w:r w:rsidR="00276B6C" w:rsidRPr="000E4865">
        <w:rPr>
          <w:snapToGrid w:val="0"/>
          <w:kern w:val="22"/>
          <w:szCs w:val="22"/>
          <w:lang w:val="es-ES_tradnl"/>
        </w:rPr>
        <w:t xml:space="preserve">, </w:t>
      </w:r>
      <w:r w:rsidR="00C003DE" w:rsidRPr="000E4865">
        <w:rPr>
          <w:snapToGrid w:val="0"/>
          <w:kern w:val="22"/>
          <w:szCs w:val="22"/>
          <w:lang w:val="es-ES_tradnl"/>
        </w:rPr>
        <w:t xml:space="preserve">los riesgos de </w:t>
      </w:r>
      <w:r w:rsidR="00C003DE" w:rsidRPr="000E4865">
        <w:rPr>
          <w:snapToGrid w:val="0"/>
          <w:kern w:val="22"/>
          <w:szCs w:val="22"/>
          <w:lang w:val="es-ES_tradnl"/>
        </w:rPr>
        <w:lastRenderedPageBreak/>
        <w:t>cumplimiento y responsabilidad</w:t>
      </w:r>
      <w:r w:rsidR="00276B6C" w:rsidRPr="000E4865">
        <w:rPr>
          <w:snapToGrid w:val="0"/>
          <w:kern w:val="22"/>
          <w:szCs w:val="22"/>
          <w:lang w:val="es-ES_tradnl"/>
        </w:rPr>
        <w:t xml:space="preserve">, </w:t>
      </w:r>
      <w:r w:rsidR="00C003DE" w:rsidRPr="000E4865">
        <w:rPr>
          <w:snapToGrid w:val="0"/>
          <w:kern w:val="22"/>
          <w:szCs w:val="22"/>
          <w:lang w:val="es-ES_tradnl"/>
        </w:rPr>
        <w:t>ahorros de costos y nuevas oportunidades comerciales y</w:t>
      </w:r>
      <w:r w:rsidR="00276B6C" w:rsidRPr="000E4865">
        <w:rPr>
          <w:snapToGrid w:val="0"/>
          <w:kern w:val="22"/>
          <w:szCs w:val="22"/>
          <w:lang w:val="es-ES_tradnl"/>
        </w:rPr>
        <w:t>,</w:t>
      </w:r>
      <w:r w:rsidR="00C003DE" w:rsidRPr="000E4865">
        <w:rPr>
          <w:snapToGrid w:val="0"/>
          <w:kern w:val="22"/>
          <w:szCs w:val="22"/>
          <w:lang w:val="es-ES_tradnl"/>
        </w:rPr>
        <w:t xml:space="preserve"> conforme a los valores y necesidades previstas del público comercial objetivo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C003DE" w:rsidRPr="000E4865">
        <w:rPr>
          <w:snapToGrid w:val="0"/>
          <w:kern w:val="22"/>
          <w:szCs w:val="22"/>
          <w:lang w:val="es-ES_tradnl"/>
        </w:rPr>
        <w:t>un ejecutivo de una empresa frente a un gestor ambiental</w:t>
      </w:r>
      <w:r w:rsidR="00276B6C" w:rsidRPr="000E4865">
        <w:rPr>
          <w:snapToGrid w:val="0"/>
          <w:kern w:val="22"/>
          <w:szCs w:val="22"/>
          <w:lang w:val="es-ES_tradnl"/>
        </w:rPr>
        <w:t xml:space="preserve">). </w:t>
      </w:r>
      <w:r w:rsidR="00C003DE" w:rsidRPr="000E4865">
        <w:rPr>
          <w:snapToGrid w:val="0"/>
          <w:kern w:val="22"/>
          <w:szCs w:val="22"/>
          <w:lang w:val="es-ES_tradnl"/>
        </w:rPr>
        <w:t>Aun así, para justificar el caso comercial se necesita la información adecuada</w:t>
      </w:r>
      <w:r w:rsidR="00276B6C" w:rsidRPr="000E4865">
        <w:rPr>
          <w:snapToGrid w:val="0"/>
          <w:kern w:val="22"/>
          <w:szCs w:val="22"/>
          <w:lang w:val="es-ES_tradnl"/>
        </w:rPr>
        <w:t>.</w:t>
      </w:r>
      <w:bookmarkStart w:id="7" w:name="START"/>
      <w:bookmarkEnd w:id="7"/>
    </w:p>
    <w:p w14:paraId="655162E1" w14:textId="64F46592" w:rsidR="009077B0" w:rsidRPr="000E4865" w:rsidRDefault="00A2395A" w:rsidP="009077B0">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color w:val="000000" w:themeColor="text1"/>
          <w:kern w:val="22"/>
          <w:szCs w:val="22"/>
          <w:lang w:val="es-ES_tradnl"/>
        </w:rPr>
      </w:pPr>
      <w:r w:rsidRPr="000E4865">
        <w:rPr>
          <w:snapToGrid w:val="0"/>
          <w:kern w:val="22"/>
          <w:szCs w:val="22"/>
          <w:lang w:val="es-ES_tradnl"/>
        </w:rPr>
        <w:t xml:space="preserve">Por ello se ha observado un creciente interés en todo el mundo </w:t>
      </w:r>
      <w:r w:rsidR="001717A5">
        <w:rPr>
          <w:snapToGrid w:val="0"/>
          <w:kern w:val="22"/>
          <w:szCs w:val="22"/>
          <w:lang w:val="es-ES_tradnl"/>
        </w:rPr>
        <w:t xml:space="preserve">por </w:t>
      </w:r>
      <w:r w:rsidRPr="000E4865">
        <w:rPr>
          <w:snapToGrid w:val="0"/>
          <w:kern w:val="22"/>
          <w:szCs w:val="22"/>
          <w:lang w:val="es-ES_tradnl"/>
        </w:rPr>
        <w:t>la medición y valoración de los ecosistemas</w:t>
      </w:r>
      <w:r w:rsidR="00276B6C" w:rsidRPr="000E4865">
        <w:rPr>
          <w:snapToGrid w:val="0"/>
          <w:kern w:val="22"/>
          <w:szCs w:val="22"/>
          <w:lang w:val="es-ES_tradnl"/>
        </w:rPr>
        <w:t xml:space="preserve">, </w:t>
      </w:r>
      <w:r w:rsidRPr="000E4865">
        <w:rPr>
          <w:snapToGrid w:val="0"/>
          <w:kern w:val="22"/>
          <w:szCs w:val="22"/>
          <w:lang w:val="es-ES_tradnl"/>
        </w:rPr>
        <w:t>y los impactos ambientales en forma más amplia, que incluye, entre ellos, en el contexto de los conceptos de capital natural</w:t>
      </w:r>
      <w:r w:rsidR="00276B6C" w:rsidRPr="000E4865">
        <w:rPr>
          <w:rStyle w:val="FootnoteReference"/>
          <w:snapToGrid w:val="0"/>
          <w:kern w:val="22"/>
          <w:szCs w:val="22"/>
          <w:lang w:val="es-ES_tradnl"/>
        </w:rPr>
        <w:footnoteReference w:id="58"/>
      </w:r>
      <w:r w:rsidR="00AB7DFE" w:rsidRPr="000E4865">
        <w:rPr>
          <w:snapToGrid w:val="0"/>
          <w:kern w:val="22"/>
          <w:szCs w:val="22"/>
          <w:vertAlign w:val="superscript"/>
          <w:lang w:val="es-ES_tradnl"/>
        </w:rPr>
        <w:t>,</w:t>
      </w:r>
      <w:r w:rsidR="00276B6C" w:rsidRPr="000E4865">
        <w:rPr>
          <w:rStyle w:val="FootnoteReference"/>
          <w:snapToGrid w:val="0"/>
          <w:kern w:val="22"/>
          <w:szCs w:val="22"/>
          <w:lang w:val="es-ES_tradnl"/>
        </w:rPr>
        <w:footnoteReference w:id="59"/>
      </w:r>
      <w:r w:rsidR="00276B6C" w:rsidRPr="000E4865">
        <w:rPr>
          <w:snapToGrid w:val="0"/>
          <w:kern w:val="22"/>
          <w:szCs w:val="22"/>
          <w:lang w:val="es-ES_tradnl"/>
        </w:rPr>
        <w:t xml:space="preserve"> </w:t>
      </w:r>
      <w:r w:rsidRPr="000E4865">
        <w:rPr>
          <w:snapToGrid w:val="0"/>
          <w:kern w:val="22"/>
          <w:szCs w:val="22"/>
          <w:lang w:val="es-ES_tradnl"/>
        </w:rPr>
        <w:t xml:space="preserve">y </w:t>
      </w:r>
      <w:r w:rsidR="001717A5">
        <w:rPr>
          <w:snapToGrid w:val="0"/>
          <w:kern w:val="22"/>
          <w:szCs w:val="22"/>
          <w:lang w:val="es-ES_tradnl"/>
        </w:rPr>
        <w:t xml:space="preserve">los </w:t>
      </w:r>
      <w:r w:rsidRPr="000E4865">
        <w:rPr>
          <w:snapToGrid w:val="0"/>
          <w:kern w:val="22"/>
          <w:szCs w:val="22"/>
          <w:lang w:val="es-ES_tradnl"/>
        </w:rPr>
        <w:t>enfoques no basados en el mercado</w:t>
      </w:r>
      <w:r w:rsidR="00276B6C" w:rsidRPr="000E4865">
        <w:rPr>
          <w:rStyle w:val="FootnoteReference"/>
          <w:snapToGrid w:val="0"/>
          <w:kern w:val="22"/>
          <w:szCs w:val="22"/>
          <w:lang w:val="es-ES_tradnl"/>
        </w:rPr>
        <w:footnoteReference w:id="60"/>
      </w:r>
      <w:r w:rsidRPr="000E4865">
        <w:rPr>
          <w:snapToGrid w:val="0"/>
          <w:kern w:val="22"/>
          <w:szCs w:val="22"/>
          <w:lang w:val="es-ES_tradnl"/>
        </w:rPr>
        <w:t>.</w:t>
      </w:r>
      <w:r w:rsidR="00276B6C" w:rsidRPr="000E4865">
        <w:rPr>
          <w:snapToGrid w:val="0"/>
          <w:kern w:val="22"/>
          <w:szCs w:val="22"/>
          <w:lang w:val="es-ES_tradnl"/>
        </w:rPr>
        <w:t xml:space="preserve"> </w:t>
      </w:r>
      <w:r w:rsidR="000C1C12" w:rsidRPr="000E4865">
        <w:rPr>
          <w:snapToGrid w:val="0"/>
          <w:kern w:val="22"/>
          <w:szCs w:val="22"/>
          <w:lang w:val="es-ES_tradnl"/>
        </w:rPr>
        <w:t xml:space="preserve">Estos se han </w:t>
      </w:r>
      <w:r w:rsidR="001717A5">
        <w:rPr>
          <w:snapToGrid w:val="0"/>
          <w:kern w:val="22"/>
          <w:szCs w:val="22"/>
          <w:lang w:val="es-ES_tradnl"/>
        </w:rPr>
        <w:t xml:space="preserve">promovido </w:t>
      </w:r>
      <w:r w:rsidR="000C1C12" w:rsidRPr="000E4865">
        <w:rPr>
          <w:snapToGrid w:val="0"/>
          <w:kern w:val="22"/>
          <w:szCs w:val="22"/>
          <w:lang w:val="es-ES_tradnl"/>
        </w:rPr>
        <w:t>como un vehículo clave para integrar el entendimiento sobre ecología y las consideraciones eco</w:t>
      </w:r>
      <w:r w:rsidR="00E67070" w:rsidRPr="000E4865">
        <w:rPr>
          <w:snapToGrid w:val="0"/>
          <w:kern w:val="22"/>
          <w:szCs w:val="22"/>
          <w:lang w:val="es-ES_tradnl"/>
        </w:rPr>
        <w:t>n</w:t>
      </w:r>
      <w:r w:rsidR="000C1C12" w:rsidRPr="000E4865">
        <w:rPr>
          <w:snapToGrid w:val="0"/>
          <w:kern w:val="22"/>
          <w:szCs w:val="22"/>
          <w:lang w:val="es-ES_tradnl"/>
        </w:rPr>
        <w:t>ómicas para subsanar la tradicional falta de atención a las dependencias comerciales y los impacto</w:t>
      </w:r>
      <w:r w:rsidR="001717A5">
        <w:rPr>
          <w:snapToGrid w:val="0"/>
          <w:kern w:val="22"/>
          <w:szCs w:val="22"/>
          <w:lang w:val="es-ES_tradnl"/>
        </w:rPr>
        <w:t>s</w:t>
      </w:r>
      <w:r w:rsidR="000C1C12" w:rsidRPr="000E4865">
        <w:rPr>
          <w:snapToGrid w:val="0"/>
          <w:kern w:val="22"/>
          <w:szCs w:val="22"/>
          <w:lang w:val="es-ES_tradnl"/>
        </w:rPr>
        <w:t xml:space="preserve"> en los servicios de los ecosistemas </w:t>
      </w:r>
      <w:r w:rsidR="00E67070" w:rsidRPr="000E4865">
        <w:rPr>
          <w:snapToGrid w:val="0"/>
          <w:kern w:val="22"/>
          <w:szCs w:val="22"/>
          <w:lang w:val="es-ES_tradnl"/>
        </w:rPr>
        <w:t xml:space="preserve">tanto en la política privada como la pública, </w:t>
      </w:r>
      <w:r w:rsidR="001717A5">
        <w:rPr>
          <w:snapToGrid w:val="0"/>
          <w:kern w:val="22"/>
          <w:szCs w:val="22"/>
          <w:lang w:val="es-ES_tradnl"/>
        </w:rPr>
        <w:t xml:space="preserve">en </w:t>
      </w:r>
      <w:r w:rsidR="00E67070" w:rsidRPr="000E4865">
        <w:rPr>
          <w:snapToGrid w:val="0"/>
          <w:kern w:val="22"/>
          <w:szCs w:val="22"/>
          <w:lang w:val="es-ES_tradnl"/>
        </w:rPr>
        <w:t>la adopción de decisiones y operaciones</w:t>
      </w:r>
      <w:r w:rsidR="00276B6C" w:rsidRPr="000E4865">
        <w:rPr>
          <w:rStyle w:val="FootnoteReference"/>
          <w:snapToGrid w:val="0"/>
          <w:kern w:val="22"/>
          <w:szCs w:val="22"/>
          <w:lang w:val="es-ES_tradnl"/>
        </w:rPr>
        <w:footnoteReference w:id="61"/>
      </w:r>
      <w:r w:rsidR="00E67070" w:rsidRPr="000E4865">
        <w:rPr>
          <w:snapToGrid w:val="0"/>
          <w:kern w:val="22"/>
          <w:szCs w:val="22"/>
          <w:lang w:val="es-ES_tradnl"/>
        </w:rPr>
        <w:t>.</w:t>
      </w:r>
      <w:r w:rsidR="00276B6C" w:rsidRPr="000E4865">
        <w:rPr>
          <w:snapToGrid w:val="0"/>
          <w:kern w:val="22"/>
          <w:szCs w:val="22"/>
          <w:lang w:val="es-ES_tradnl"/>
        </w:rPr>
        <w:t xml:space="preserve"> </w:t>
      </w:r>
      <w:r w:rsidR="00E67070" w:rsidRPr="000E4865">
        <w:rPr>
          <w:snapToGrid w:val="0"/>
          <w:kern w:val="22"/>
          <w:szCs w:val="22"/>
          <w:lang w:val="es-ES_tradnl"/>
        </w:rPr>
        <w:t>De hecho, un buen entendimiento de la diversidad biológica y los servicios de los ecosistemas</w:t>
      </w:r>
      <w:r w:rsidR="00276B6C" w:rsidRPr="000E4865">
        <w:rPr>
          <w:snapToGrid w:val="0"/>
          <w:kern w:val="22"/>
          <w:szCs w:val="22"/>
          <w:lang w:val="es-ES_tradnl"/>
        </w:rPr>
        <w:t xml:space="preserve">, </w:t>
      </w:r>
      <w:r w:rsidR="00E67070" w:rsidRPr="000E4865">
        <w:rPr>
          <w:snapToGrid w:val="0"/>
          <w:kern w:val="22"/>
          <w:szCs w:val="22"/>
          <w:lang w:val="es-ES_tradnl"/>
        </w:rPr>
        <w:t>sus beneficios y compensaciones en vías de desarrollo se ha considerado un prerrequisito para situaciones en las que todos sal</w:t>
      </w:r>
      <w:r w:rsidR="001717A5">
        <w:rPr>
          <w:snapToGrid w:val="0"/>
          <w:kern w:val="22"/>
          <w:szCs w:val="22"/>
          <w:lang w:val="es-ES_tradnl"/>
        </w:rPr>
        <w:t xml:space="preserve">en </w:t>
      </w:r>
      <w:r w:rsidR="00E67070" w:rsidRPr="000E4865">
        <w:rPr>
          <w:snapToGrid w:val="0"/>
          <w:kern w:val="22"/>
          <w:szCs w:val="22"/>
          <w:lang w:val="es-ES_tradnl"/>
        </w:rPr>
        <w:t>ganando</w:t>
      </w:r>
      <w:r w:rsidR="001717A5">
        <w:rPr>
          <w:snapToGrid w:val="0"/>
          <w:kern w:val="22"/>
          <w:szCs w:val="22"/>
          <w:lang w:val="es-ES_tradnl"/>
        </w:rPr>
        <w:t xml:space="preserve">, es decir </w:t>
      </w:r>
      <w:r w:rsidR="00E67070" w:rsidRPr="000E4865">
        <w:rPr>
          <w:snapToGrid w:val="0"/>
          <w:kern w:val="22"/>
          <w:szCs w:val="22"/>
          <w:lang w:val="es-ES_tradnl"/>
        </w:rPr>
        <w:t>las personas, las empresas y la naturaleza</w:t>
      </w:r>
      <w:r w:rsidR="00276B6C" w:rsidRPr="000E4865">
        <w:rPr>
          <w:snapToGrid w:val="0"/>
          <w:kern w:val="22"/>
          <w:szCs w:val="22"/>
          <w:vertAlign w:val="superscript"/>
          <w:lang w:val="es-ES_tradnl"/>
        </w:rPr>
        <w:footnoteReference w:id="62"/>
      </w:r>
      <w:r w:rsidR="00E67070" w:rsidRPr="000E4865">
        <w:rPr>
          <w:snapToGrid w:val="0"/>
          <w:kern w:val="22"/>
          <w:szCs w:val="22"/>
          <w:lang w:val="es-ES_tradnl"/>
        </w:rPr>
        <w:t>.</w:t>
      </w:r>
      <w:r w:rsidR="00276B6C" w:rsidRPr="000E4865">
        <w:rPr>
          <w:snapToGrid w:val="0"/>
          <w:kern w:val="22"/>
          <w:szCs w:val="22"/>
          <w:lang w:val="es-ES_tradnl"/>
        </w:rPr>
        <w:t xml:space="preserve"> </w:t>
      </w:r>
      <w:r w:rsidR="00E67070" w:rsidRPr="000E4865">
        <w:rPr>
          <w:snapToGrid w:val="0"/>
          <w:kern w:val="22"/>
          <w:szCs w:val="22"/>
          <w:lang w:val="es-ES_tradnl"/>
        </w:rPr>
        <w:t>Se afirma que esto e</w:t>
      </w:r>
      <w:r w:rsidR="00883223" w:rsidRPr="000E4865">
        <w:rPr>
          <w:snapToGrid w:val="0"/>
          <w:kern w:val="22"/>
          <w:szCs w:val="22"/>
          <w:lang w:val="es-ES_tradnl"/>
        </w:rPr>
        <w:t>s el caso</w:t>
      </w:r>
      <w:r w:rsidR="00E67070" w:rsidRPr="000E4865">
        <w:rPr>
          <w:snapToGrid w:val="0"/>
          <w:kern w:val="22"/>
          <w:szCs w:val="22"/>
          <w:lang w:val="es-ES_tradnl"/>
        </w:rPr>
        <w:t xml:space="preserve">, porque la falta de conocimiento </w:t>
      </w:r>
      <w:r w:rsidR="00883223" w:rsidRPr="000E4865">
        <w:rPr>
          <w:snapToGrid w:val="0"/>
          <w:kern w:val="22"/>
          <w:szCs w:val="22"/>
          <w:lang w:val="es-ES_tradnl"/>
        </w:rPr>
        <w:t>puede conducir a decisiones equivocadas e incluso</w:t>
      </w:r>
      <w:r w:rsidR="001717A5">
        <w:rPr>
          <w:snapToGrid w:val="0"/>
          <w:kern w:val="22"/>
          <w:szCs w:val="22"/>
          <w:lang w:val="es-ES_tradnl"/>
        </w:rPr>
        <w:t xml:space="preserve"> a</w:t>
      </w:r>
      <w:r w:rsidR="00883223" w:rsidRPr="000E4865">
        <w:rPr>
          <w:snapToGrid w:val="0"/>
          <w:kern w:val="22"/>
          <w:szCs w:val="22"/>
          <w:lang w:val="es-ES_tradnl"/>
        </w:rPr>
        <w:t xml:space="preserve"> conflictos o catástrofes</w:t>
      </w:r>
      <w:r w:rsidR="00276B6C" w:rsidRPr="000E4865">
        <w:rPr>
          <w:snapToGrid w:val="0"/>
          <w:kern w:val="22"/>
          <w:szCs w:val="22"/>
          <w:lang w:val="es-ES_tradnl"/>
        </w:rPr>
        <w:t xml:space="preserve">. </w:t>
      </w:r>
      <w:r w:rsidR="00883223" w:rsidRPr="000E4865">
        <w:rPr>
          <w:snapToGrid w:val="0"/>
          <w:kern w:val="22"/>
          <w:szCs w:val="22"/>
          <w:lang w:val="es-ES_tradnl"/>
        </w:rPr>
        <w:t>Con frecuencia las empresas no son consciente</w:t>
      </w:r>
      <w:r w:rsidR="001717A5">
        <w:rPr>
          <w:snapToGrid w:val="0"/>
          <w:kern w:val="22"/>
          <w:szCs w:val="22"/>
          <w:lang w:val="es-ES_tradnl"/>
        </w:rPr>
        <w:t>s</w:t>
      </w:r>
      <w:r w:rsidR="00883223" w:rsidRPr="000E4865">
        <w:rPr>
          <w:snapToGrid w:val="0"/>
          <w:kern w:val="22"/>
          <w:szCs w:val="22"/>
          <w:lang w:val="es-ES_tradnl"/>
        </w:rPr>
        <w:t xml:space="preserve"> de los beneficios que reciben de la diversidad biológica y los servicios </w:t>
      </w:r>
      <w:r w:rsidR="001717A5">
        <w:rPr>
          <w:snapToGrid w:val="0"/>
          <w:kern w:val="22"/>
          <w:szCs w:val="22"/>
          <w:lang w:val="es-ES_tradnl"/>
        </w:rPr>
        <w:t>ecosistémicos</w:t>
      </w:r>
      <w:r w:rsidR="00883223" w:rsidRPr="000E4865">
        <w:rPr>
          <w:snapToGrid w:val="0"/>
          <w:kern w:val="22"/>
          <w:szCs w:val="22"/>
          <w:lang w:val="es-ES_tradnl"/>
        </w:rPr>
        <w:t>, y ahora cuantifican el pleno alcance de sus impactos ambientales</w:t>
      </w:r>
      <w:r w:rsidR="00276B6C" w:rsidRPr="000E4865">
        <w:rPr>
          <w:snapToGrid w:val="0"/>
          <w:kern w:val="22"/>
          <w:szCs w:val="22"/>
          <w:lang w:val="es-ES_tradnl"/>
        </w:rPr>
        <w:t xml:space="preserve">. </w:t>
      </w:r>
      <w:r w:rsidR="00883223" w:rsidRPr="000E4865">
        <w:rPr>
          <w:snapToGrid w:val="0"/>
          <w:kern w:val="22"/>
          <w:szCs w:val="22"/>
          <w:lang w:val="es-ES_tradnl"/>
        </w:rPr>
        <w:t xml:space="preserve">Se ha afirmado </w:t>
      </w:r>
      <w:r w:rsidR="001717A5">
        <w:rPr>
          <w:snapToGrid w:val="0"/>
          <w:kern w:val="22"/>
          <w:szCs w:val="22"/>
          <w:lang w:val="es-ES_tradnl"/>
        </w:rPr>
        <w:t xml:space="preserve">esto </w:t>
      </w:r>
      <w:r w:rsidR="00883223" w:rsidRPr="000E4865">
        <w:rPr>
          <w:snapToGrid w:val="0"/>
          <w:kern w:val="22"/>
          <w:szCs w:val="22"/>
          <w:lang w:val="es-ES_tradnl"/>
        </w:rPr>
        <w:t>para impedir que integren los valores de la naturaleza en la adopción de normas y decisiones, así como la planificación estratégica y rutinas operativas</w:t>
      </w:r>
      <w:r w:rsidR="00276B6C" w:rsidRPr="000E4865">
        <w:rPr>
          <w:rStyle w:val="FootnoteReference"/>
          <w:snapToGrid w:val="0"/>
          <w:kern w:val="22"/>
          <w:szCs w:val="22"/>
          <w:lang w:val="es-ES_tradnl"/>
        </w:rPr>
        <w:footnoteReference w:id="63"/>
      </w:r>
      <w:r w:rsidR="00883223" w:rsidRPr="000E4865">
        <w:rPr>
          <w:snapToGrid w:val="0"/>
          <w:kern w:val="22"/>
          <w:szCs w:val="22"/>
          <w:lang w:val="es-ES_tradnl"/>
        </w:rPr>
        <w:t>.</w:t>
      </w:r>
      <w:r w:rsidR="00276B6C" w:rsidRPr="000E4865">
        <w:rPr>
          <w:snapToGrid w:val="0"/>
          <w:kern w:val="22"/>
          <w:szCs w:val="22"/>
          <w:lang w:val="es-ES_tradnl"/>
        </w:rPr>
        <w:t xml:space="preserve"> </w:t>
      </w:r>
      <w:r w:rsidR="00883223" w:rsidRPr="000E4865">
        <w:rPr>
          <w:snapToGrid w:val="0"/>
          <w:kern w:val="22"/>
          <w:szCs w:val="22"/>
          <w:lang w:val="es-ES_tradnl"/>
        </w:rPr>
        <w:t>Los humanos no protegen o gestionan de manera sostenible lo que no valoran</w:t>
      </w:r>
      <w:r w:rsidR="00276B6C" w:rsidRPr="000E4865">
        <w:rPr>
          <w:iCs/>
          <w:snapToGrid w:val="0"/>
          <w:kern w:val="22"/>
          <w:szCs w:val="22"/>
          <w:lang w:val="es-ES_tradnl"/>
        </w:rPr>
        <w:t xml:space="preserve">. </w:t>
      </w:r>
      <w:r w:rsidR="00883223" w:rsidRPr="000E4865">
        <w:rPr>
          <w:iCs/>
          <w:snapToGrid w:val="0"/>
          <w:kern w:val="22"/>
          <w:szCs w:val="22"/>
          <w:lang w:val="es-ES_tradnl"/>
        </w:rPr>
        <w:t>Los humanos no pueden valorar lo que no miden</w:t>
      </w:r>
      <w:r w:rsidR="00276B6C" w:rsidRPr="000E4865">
        <w:rPr>
          <w:iCs/>
          <w:snapToGrid w:val="0"/>
          <w:kern w:val="22"/>
          <w:szCs w:val="22"/>
          <w:lang w:val="es-ES_tradnl"/>
        </w:rPr>
        <w:t xml:space="preserve">. </w:t>
      </w:r>
      <w:r w:rsidR="00883223" w:rsidRPr="000E4865">
        <w:rPr>
          <w:iCs/>
          <w:snapToGrid w:val="0"/>
          <w:kern w:val="22"/>
          <w:szCs w:val="22"/>
          <w:lang w:val="es-ES_tradnl"/>
        </w:rPr>
        <w:t xml:space="preserve">Y los humanos no miden lo que no pueden ver o tocar </w:t>
      </w:r>
      <w:r w:rsidR="00B35071" w:rsidRPr="000E4865">
        <w:rPr>
          <w:iCs/>
          <w:snapToGrid w:val="0"/>
          <w:kern w:val="22"/>
          <w:szCs w:val="22"/>
          <w:lang w:val="es-ES_tradnl"/>
        </w:rPr>
        <w:t>o lo que no ven o tocan</w:t>
      </w:r>
      <w:r w:rsidR="00E80D2C" w:rsidRPr="000E4865">
        <w:rPr>
          <w:snapToGrid w:val="0"/>
          <w:color w:val="000000" w:themeColor="text1"/>
          <w:kern w:val="22"/>
          <w:szCs w:val="22"/>
          <w:lang w:val="es-ES_tradnl"/>
        </w:rPr>
        <w:t>.</w:t>
      </w:r>
    </w:p>
    <w:p w14:paraId="22D6006F" w14:textId="09A55E82" w:rsidR="00276B6C" w:rsidRPr="000E4865" w:rsidRDefault="00B35071" w:rsidP="009077B0">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color w:val="000000" w:themeColor="text1"/>
          <w:kern w:val="22"/>
          <w:szCs w:val="22"/>
          <w:lang w:val="es-ES_tradnl"/>
        </w:rPr>
      </w:pPr>
      <w:r w:rsidRPr="000E4865">
        <w:rPr>
          <w:snapToGrid w:val="0"/>
          <w:color w:val="000000" w:themeColor="text1"/>
          <w:kern w:val="22"/>
          <w:szCs w:val="22"/>
          <w:lang w:val="es-ES_tradnl"/>
        </w:rPr>
        <w:t>Existe un conocimiento limitado de los impacto</w:t>
      </w:r>
      <w:r w:rsidR="001717A5">
        <w:rPr>
          <w:snapToGrid w:val="0"/>
          <w:color w:val="000000" w:themeColor="text1"/>
          <w:kern w:val="22"/>
          <w:szCs w:val="22"/>
          <w:lang w:val="es-ES_tradnl"/>
        </w:rPr>
        <w:t>s</w:t>
      </w:r>
      <w:r w:rsidRPr="000E4865">
        <w:rPr>
          <w:snapToGrid w:val="0"/>
          <w:color w:val="000000" w:themeColor="text1"/>
          <w:kern w:val="22"/>
          <w:szCs w:val="22"/>
          <w:lang w:val="es-ES_tradnl"/>
        </w:rPr>
        <w:t xml:space="preserve"> y dependencias de la diversidad biológica a lo largo de las cadenas de valores de los productos manufacturados</w:t>
      </w:r>
      <w:r w:rsidR="00276B6C" w:rsidRPr="000E4865">
        <w:rPr>
          <w:snapToGrid w:val="0"/>
          <w:color w:val="000000" w:themeColor="text1"/>
          <w:kern w:val="22"/>
          <w:szCs w:val="22"/>
          <w:lang w:val="es-ES_tradnl"/>
        </w:rPr>
        <w:t xml:space="preserve">. </w:t>
      </w:r>
      <w:r w:rsidRPr="000E4865">
        <w:rPr>
          <w:snapToGrid w:val="0"/>
          <w:color w:val="000000" w:themeColor="text1"/>
          <w:kern w:val="22"/>
          <w:szCs w:val="22"/>
          <w:lang w:val="es-ES_tradnl"/>
        </w:rPr>
        <w:t xml:space="preserve">Si bien </w:t>
      </w:r>
      <w:r w:rsidR="00E35784" w:rsidRPr="000E4865">
        <w:rPr>
          <w:snapToGrid w:val="0"/>
          <w:color w:val="000000" w:themeColor="text1"/>
          <w:kern w:val="22"/>
          <w:szCs w:val="22"/>
          <w:lang w:val="es-ES_tradnl"/>
        </w:rPr>
        <w:t>en muchos países se sigue</w:t>
      </w:r>
      <w:r w:rsidR="001717A5">
        <w:rPr>
          <w:snapToGrid w:val="0"/>
          <w:color w:val="000000" w:themeColor="text1"/>
          <w:kern w:val="22"/>
          <w:szCs w:val="22"/>
          <w:lang w:val="es-ES_tradnl"/>
        </w:rPr>
        <w:t>n</w:t>
      </w:r>
      <w:r w:rsidR="00E35784" w:rsidRPr="000E4865">
        <w:rPr>
          <w:snapToGrid w:val="0"/>
          <w:color w:val="000000" w:themeColor="text1"/>
          <w:kern w:val="22"/>
          <w:szCs w:val="22"/>
          <w:lang w:val="es-ES_tradnl"/>
        </w:rPr>
        <w:t xml:space="preserve"> de cerca </w:t>
      </w:r>
      <w:r w:rsidRPr="000E4865">
        <w:rPr>
          <w:snapToGrid w:val="0"/>
          <w:color w:val="000000" w:themeColor="text1"/>
          <w:kern w:val="22"/>
          <w:szCs w:val="22"/>
          <w:lang w:val="es-ES_tradnl"/>
        </w:rPr>
        <w:t>los impactos ambientales</w:t>
      </w:r>
      <w:r w:rsidR="00276B6C" w:rsidRPr="000E4865">
        <w:rPr>
          <w:snapToGrid w:val="0"/>
          <w:color w:val="000000" w:themeColor="text1"/>
          <w:kern w:val="22"/>
          <w:szCs w:val="22"/>
          <w:lang w:val="es-ES_tradnl"/>
        </w:rPr>
        <w:t xml:space="preserve">, </w:t>
      </w:r>
      <w:r w:rsidR="00E35784" w:rsidRPr="000E4865">
        <w:rPr>
          <w:snapToGrid w:val="0"/>
          <w:color w:val="000000" w:themeColor="text1"/>
          <w:kern w:val="22"/>
          <w:szCs w:val="22"/>
          <w:lang w:val="es-ES_tradnl"/>
        </w:rPr>
        <w:t>muy poco se sabe sobre la</w:t>
      </w:r>
      <w:r w:rsidR="001717A5">
        <w:rPr>
          <w:snapToGrid w:val="0"/>
          <w:color w:val="000000" w:themeColor="text1"/>
          <w:kern w:val="22"/>
          <w:szCs w:val="22"/>
          <w:lang w:val="es-ES_tradnl"/>
        </w:rPr>
        <w:t>s</w:t>
      </w:r>
      <w:r w:rsidR="00E35784" w:rsidRPr="000E4865">
        <w:rPr>
          <w:snapToGrid w:val="0"/>
          <w:color w:val="000000" w:themeColor="text1"/>
          <w:kern w:val="22"/>
          <w:szCs w:val="22"/>
          <w:lang w:val="es-ES_tradnl"/>
        </w:rPr>
        <w:t xml:space="preserve"> cadena</w:t>
      </w:r>
      <w:r w:rsidR="001717A5">
        <w:rPr>
          <w:snapToGrid w:val="0"/>
          <w:color w:val="000000" w:themeColor="text1"/>
          <w:kern w:val="22"/>
          <w:szCs w:val="22"/>
          <w:lang w:val="es-ES_tradnl"/>
        </w:rPr>
        <w:t>s</w:t>
      </w:r>
      <w:r w:rsidR="00E35784" w:rsidRPr="000E4865">
        <w:rPr>
          <w:snapToGrid w:val="0"/>
          <w:color w:val="000000" w:themeColor="text1"/>
          <w:kern w:val="22"/>
          <w:szCs w:val="22"/>
          <w:lang w:val="es-ES_tradnl"/>
        </w:rPr>
        <w:t xml:space="preserve"> de suministro y los impactos del fin del ciclo de vida de los productos elaborados por las distintas empresas manufactureras</w:t>
      </w:r>
      <w:r w:rsidR="00276B6C" w:rsidRPr="000E4865">
        <w:rPr>
          <w:snapToGrid w:val="0"/>
          <w:color w:val="000000" w:themeColor="text1"/>
          <w:kern w:val="22"/>
          <w:szCs w:val="22"/>
          <w:lang w:val="es-ES_tradnl"/>
        </w:rPr>
        <w:t xml:space="preserve">. </w:t>
      </w:r>
      <w:r w:rsidR="00E35784" w:rsidRPr="000E4865">
        <w:rPr>
          <w:snapToGrid w:val="0"/>
          <w:color w:val="000000" w:themeColor="text1"/>
          <w:kern w:val="22"/>
          <w:szCs w:val="22"/>
          <w:lang w:val="es-ES_tradnl"/>
        </w:rPr>
        <w:t>Vincular los impactos del fin del ciclo de vida de la cadena de suministro de los productos con su proceso o ubicación de fabricación podría explicar qué empresas e instalaciones manufactureras están contribuyendo a los principales factores de</w:t>
      </w:r>
      <w:r w:rsidR="001717A5">
        <w:rPr>
          <w:snapToGrid w:val="0"/>
          <w:color w:val="000000" w:themeColor="text1"/>
          <w:kern w:val="22"/>
          <w:szCs w:val="22"/>
          <w:lang w:val="es-ES_tradnl"/>
        </w:rPr>
        <w:t xml:space="preserve"> </w:t>
      </w:r>
      <w:r w:rsidR="00E35784" w:rsidRPr="000E4865">
        <w:rPr>
          <w:snapToGrid w:val="0"/>
          <w:color w:val="000000" w:themeColor="text1"/>
          <w:kern w:val="22"/>
          <w:szCs w:val="22"/>
          <w:lang w:val="es-ES_tradnl"/>
        </w:rPr>
        <w:t xml:space="preserve">pérdida de </w:t>
      </w:r>
      <w:r w:rsidR="001717A5">
        <w:rPr>
          <w:snapToGrid w:val="0"/>
          <w:color w:val="000000" w:themeColor="text1"/>
          <w:kern w:val="22"/>
          <w:szCs w:val="22"/>
          <w:lang w:val="es-ES_tradnl"/>
        </w:rPr>
        <w:t xml:space="preserve">la </w:t>
      </w:r>
      <w:r w:rsidR="00E35784" w:rsidRPr="000E4865">
        <w:rPr>
          <w:snapToGrid w:val="0"/>
          <w:color w:val="000000" w:themeColor="text1"/>
          <w:kern w:val="22"/>
          <w:szCs w:val="22"/>
          <w:lang w:val="es-ES_tradnl"/>
        </w:rPr>
        <w:t>diversidad biológica en todo el mundo</w:t>
      </w:r>
      <w:r w:rsidR="00276B6C" w:rsidRPr="000E4865">
        <w:rPr>
          <w:snapToGrid w:val="0"/>
          <w:color w:val="000000" w:themeColor="text1"/>
          <w:kern w:val="22"/>
          <w:szCs w:val="22"/>
          <w:lang w:val="es-ES_tradnl"/>
        </w:rPr>
        <w:t xml:space="preserve">. </w:t>
      </w:r>
      <w:r w:rsidR="00E35784" w:rsidRPr="000E4865">
        <w:rPr>
          <w:snapToGrid w:val="0"/>
          <w:color w:val="000000" w:themeColor="text1"/>
          <w:kern w:val="22"/>
          <w:szCs w:val="22"/>
          <w:lang w:val="es-ES_tradnl"/>
        </w:rPr>
        <w:t>Además, se deben realizar mayores esfuerzos p</w:t>
      </w:r>
      <w:r w:rsidR="001717A5">
        <w:rPr>
          <w:snapToGrid w:val="0"/>
          <w:color w:val="000000" w:themeColor="text1"/>
          <w:kern w:val="22"/>
          <w:szCs w:val="22"/>
          <w:lang w:val="es-ES_tradnl"/>
        </w:rPr>
        <w:t xml:space="preserve">or </w:t>
      </w:r>
      <w:r w:rsidR="00E35784" w:rsidRPr="000E4865">
        <w:rPr>
          <w:snapToGrid w:val="0"/>
          <w:color w:val="000000" w:themeColor="text1"/>
          <w:kern w:val="22"/>
          <w:szCs w:val="22"/>
          <w:lang w:val="es-ES_tradnl"/>
        </w:rPr>
        <w:t xml:space="preserve">evaluar y seguir los impactos en la diversidad biológica </w:t>
      </w:r>
      <w:r w:rsidR="00276B6C" w:rsidRPr="000E4865">
        <w:rPr>
          <w:i/>
          <w:snapToGrid w:val="0"/>
          <w:color w:val="000000" w:themeColor="text1"/>
          <w:kern w:val="22"/>
          <w:szCs w:val="22"/>
          <w:lang w:val="es-ES_tradnl"/>
        </w:rPr>
        <w:t>per se</w:t>
      </w:r>
      <w:r w:rsidR="00276B6C" w:rsidRPr="000E4865">
        <w:rPr>
          <w:snapToGrid w:val="0"/>
          <w:color w:val="000000" w:themeColor="text1"/>
          <w:kern w:val="22"/>
          <w:szCs w:val="22"/>
          <w:lang w:val="es-ES_tradnl"/>
        </w:rPr>
        <w:t xml:space="preserve"> (</w:t>
      </w:r>
      <w:r w:rsidR="00005AD5" w:rsidRPr="000E4865">
        <w:rPr>
          <w:snapToGrid w:val="0"/>
          <w:color w:val="000000" w:themeColor="text1"/>
          <w:kern w:val="22"/>
          <w:szCs w:val="22"/>
          <w:lang w:val="es-ES_tradnl"/>
        </w:rPr>
        <w:t>p. ej.</w:t>
      </w:r>
      <w:r w:rsidR="00276B6C" w:rsidRPr="000E4865">
        <w:rPr>
          <w:snapToGrid w:val="0"/>
          <w:color w:val="000000" w:themeColor="text1"/>
          <w:kern w:val="22"/>
          <w:szCs w:val="22"/>
          <w:lang w:val="es-ES_tradnl"/>
        </w:rPr>
        <w:t xml:space="preserve">, </w:t>
      </w:r>
      <w:r w:rsidR="00E35784" w:rsidRPr="000E4865">
        <w:rPr>
          <w:snapToGrid w:val="0"/>
          <w:color w:val="000000" w:themeColor="text1"/>
          <w:kern w:val="22"/>
          <w:szCs w:val="22"/>
          <w:lang w:val="es-ES_tradnl"/>
        </w:rPr>
        <w:t>la disminución de la población de una especie, la pérdida porcentual de un tipo de hábitat específico</w:t>
      </w:r>
      <w:r w:rsidR="00276B6C" w:rsidRPr="000E4865">
        <w:rPr>
          <w:snapToGrid w:val="0"/>
          <w:color w:val="000000" w:themeColor="text1"/>
          <w:kern w:val="22"/>
          <w:szCs w:val="22"/>
          <w:lang w:val="es-ES_tradnl"/>
        </w:rPr>
        <w:t>), n</w:t>
      </w:r>
      <w:r w:rsidR="00E35784" w:rsidRPr="000E4865">
        <w:rPr>
          <w:snapToGrid w:val="0"/>
          <w:color w:val="000000" w:themeColor="text1"/>
          <w:kern w:val="22"/>
          <w:szCs w:val="22"/>
          <w:lang w:val="es-ES_tradnl"/>
        </w:rPr>
        <w:t xml:space="preserve">o solo </w:t>
      </w:r>
      <w:r w:rsidR="001717A5">
        <w:rPr>
          <w:snapToGrid w:val="0"/>
          <w:color w:val="000000" w:themeColor="text1"/>
          <w:kern w:val="22"/>
          <w:szCs w:val="22"/>
          <w:lang w:val="es-ES_tradnl"/>
        </w:rPr>
        <w:t xml:space="preserve">los </w:t>
      </w:r>
      <w:r w:rsidR="00E35784" w:rsidRPr="000E4865">
        <w:rPr>
          <w:snapToGrid w:val="0"/>
          <w:color w:val="000000" w:themeColor="text1"/>
          <w:kern w:val="22"/>
          <w:szCs w:val="22"/>
          <w:lang w:val="es-ES_tradnl"/>
        </w:rPr>
        <w:t xml:space="preserve">factores de impacto </w:t>
      </w:r>
      <w:r w:rsidR="00276B6C" w:rsidRPr="000E4865">
        <w:rPr>
          <w:snapToGrid w:val="0"/>
          <w:color w:val="000000" w:themeColor="text1"/>
          <w:kern w:val="22"/>
          <w:szCs w:val="22"/>
          <w:lang w:val="es-ES_tradnl"/>
        </w:rPr>
        <w:t>(</w:t>
      </w:r>
      <w:r w:rsidR="00005AD5" w:rsidRPr="000E4865">
        <w:rPr>
          <w:snapToGrid w:val="0"/>
          <w:color w:val="000000" w:themeColor="text1"/>
          <w:kern w:val="22"/>
          <w:szCs w:val="22"/>
          <w:lang w:val="es-ES_tradnl"/>
        </w:rPr>
        <w:t>p. ej.</w:t>
      </w:r>
      <w:r w:rsidR="00276B6C" w:rsidRPr="000E4865">
        <w:rPr>
          <w:snapToGrid w:val="0"/>
          <w:color w:val="000000" w:themeColor="text1"/>
          <w:kern w:val="22"/>
          <w:szCs w:val="22"/>
          <w:lang w:val="es-ES_tradnl"/>
        </w:rPr>
        <w:t xml:space="preserve">, </w:t>
      </w:r>
      <w:r w:rsidR="00E35784" w:rsidRPr="000E4865">
        <w:rPr>
          <w:snapToGrid w:val="0"/>
          <w:color w:val="000000" w:themeColor="text1"/>
          <w:kern w:val="22"/>
          <w:szCs w:val="22"/>
          <w:lang w:val="es-ES_tradnl"/>
        </w:rPr>
        <w:t>emisiones atmosféricas, consumo de agua</w:t>
      </w:r>
      <w:r w:rsidR="00276B6C" w:rsidRPr="000E4865">
        <w:rPr>
          <w:snapToGrid w:val="0"/>
          <w:color w:val="000000" w:themeColor="text1"/>
          <w:kern w:val="22"/>
          <w:szCs w:val="22"/>
          <w:lang w:val="es-ES_tradnl"/>
        </w:rPr>
        <w:t xml:space="preserve">). </w:t>
      </w:r>
      <w:r w:rsidR="00E35784" w:rsidRPr="000E4865">
        <w:rPr>
          <w:snapToGrid w:val="0"/>
          <w:color w:val="000000" w:themeColor="text1"/>
          <w:kern w:val="22"/>
          <w:szCs w:val="22"/>
          <w:lang w:val="es-ES_tradnl"/>
        </w:rPr>
        <w:t>Por ello, recientemente se ha instado a elaborar un protocol</w:t>
      </w:r>
      <w:r w:rsidR="00A82E5D" w:rsidRPr="000E4865">
        <w:rPr>
          <w:snapToGrid w:val="0"/>
          <w:color w:val="000000" w:themeColor="text1"/>
          <w:kern w:val="22"/>
          <w:szCs w:val="22"/>
          <w:lang w:val="es-ES_tradnl"/>
        </w:rPr>
        <w:t>o</w:t>
      </w:r>
      <w:r w:rsidR="00E35784" w:rsidRPr="000E4865">
        <w:rPr>
          <w:snapToGrid w:val="0"/>
          <w:color w:val="000000" w:themeColor="text1"/>
          <w:kern w:val="22"/>
          <w:szCs w:val="22"/>
          <w:lang w:val="es-ES_tradnl"/>
        </w:rPr>
        <w:t xml:space="preserve"> normalizado </w:t>
      </w:r>
      <w:r w:rsidR="00A82E5D" w:rsidRPr="000E4865">
        <w:rPr>
          <w:snapToGrid w:val="0"/>
          <w:color w:val="000000" w:themeColor="text1"/>
          <w:kern w:val="22"/>
          <w:szCs w:val="22"/>
          <w:lang w:val="es-ES_tradnl"/>
        </w:rPr>
        <w:t xml:space="preserve">para medir </w:t>
      </w:r>
      <w:r w:rsidR="00E35784" w:rsidRPr="000E4865">
        <w:rPr>
          <w:snapToGrid w:val="0"/>
          <w:color w:val="000000" w:themeColor="text1"/>
          <w:kern w:val="22"/>
          <w:szCs w:val="22"/>
          <w:lang w:val="es-ES_tradnl"/>
        </w:rPr>
        <w:t xml:space="preserve">la diversidad biológica </w:t>
      </w:r>
      <w:r w:rsidR="00A82E5D" w:rsidRPr="000E4865">
        <w:rPr>
          <w:snapToGrid w:val="0"/>
          <w:color w:val="000000" w:themeColor="text1"/>
          <w:kern w:val="22"/>
          <w:szCs w:val="22"/>
          <w:lang w:val="es-ES_tradnl"/>
        </w:rPr>
        <w:t xml:space="preserve">para las </w:t>
      </w:r>
      <w:r w:rsidR="00E35784" w:rsidRPr="000E4865">
        <w:rPr>
          <w:snapToGrid w:val="0"/>
          <w:color w:val="000000" w:themeColor="text1"/>
          <w:kern w:val="22"/>
          <w:szCs w:val="22"/>
          <w:lang w:val="es-ES_tradnl"/>
        </w:rPr>
        <w:t>empresas, que incluiría las dimensiones de la cadena de valor mundial</w:t>
      </w:r>
      <w:r w:rsidR="00E80D2C" w:rsidRPr="000E4865">
        <w:rPr>
          <w:snapToGrid w:val="0"/>
          <w:kern w:val="22"/>
          <w:szCs w:val="22"/>
          <w:vertAlign w:val="superscript"/>
          <w:lang w:val="es-ES_tradnl"/>
        </w:rPr>
        <w:fldChar w:fldCharType="begin"/>
      </w:r>
      <w:r w:rsidR="00E80D2C" w:rsidRPr="000E4865">
        <w:rPr>
          <w:snapToGrid w:val="0"/>
          <w:kern w:val="22"/>
          <w:szCs w:val="22"/>
          <w:vertAlign w:val="superscript"/>
          <w:lang w:val="es-ES_tradnl"/>
        </w:rPr>
        <w:instrText xml:space="preserve"> NOTEREF _Ref517082016 \h  \* MERGEFORMAT </w:instrText>
      </w:r>
      <w:r w:rsidR="00E80D2C" w:rsidRPr="000E4865">
        <w:rPr>
          <w:snapToGrid w:val="0"/>
          <w:kern w:val="22"/>
          <w:szCs w:val="22"/>
          <w:vertAlign w:val="superscript"/>
          <w:lang w:val="es-ES_tradnl"/>
        </w:rPr>
      </w:r>
      <w:r w:rsidR="00E80D2C" w:rsidRPr="000E4865">
        <w:rPr>
          <w:snapToGrid w:val="0"/>
          <w:kern w:val="22"/>
          <w:szCs w:val="22"/>
          <w:vertAlign w:val="superscript"/>
          <w:lang w:val="es-ES_tradnl"/>
        </w:rPr>
        <w:fldChar w:fldCharType="separate"/>
      </w:r>
      <w:r w:rsidR="00E80D2C" w:rsidRPr="000E4865">
        <w:rPr>
          <w:snapToGrid w:val="0"/>
          <w:kern w:val="22"/>
          <w:szCs w:val="22"/>
          <w:vertAlign w:val="superscript"/>
          <w:lang w:val="es-ES_tradnl"/>
        </w:rPr>
        <w:t>54</w:t>
      </w:r>
      <w:r w:rsidR="00E80D2C" w:rsidRPr="000E4865">
        <w:rPr>
          <w:snapToGrid w:val="0"/>
          <w:kern w:val="22"/>
          <w:szCs w:val="22"/>
          <w:vertAlign w:val="superscript"/>
          <w:lang w:val="es-ES_tradnl"/>
        </w:rPr>
        <w:fldChar w:fldCharType="end"/>
      </w:r>
      <w:r w:rsidR="00E35784" w:rsidRPr="000E4865">
        <w:rPr>
          <w:snapToGrid w:val="0"/>
          <w:kern w:val="22"/>
          <w:szCs w:val="22"/>
          <w:vertAlign w:val="superscript"/>
          <w:lang w:val="es-ES_tradnl"/>
        </w:rPr>
        <w:t xml:space="preserve"> </w:t>
      </w:r>
      <w:r w:rsidR="004B0E7B" w:rsidRPr="000E4865">
        <w:rPr>
          <w:snapToGrid w:val="0"/>
          <w:color w:val="000000" w:themeColor="text1"/>
          <w:kern w:val="22"/>
          <w:szCs w:val="22"/>
          <w:lang w:val="es-ES_tradnl"/>
        </w:rPr>
        <w:t>.</w:t>
      </w:r>
    </w:p>
    <w:p w14:paraId="7949ED90" w14:textId="709C483B" w:rsidR="00E27CEF" w:rsidRDefault="00191707" w:rsidP="00E27CEF">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 xml:space="preserve">Un </w:t>
      </w:r>
      <w:r w:rsidR="001B1837" w:rsidRPr="000E4865">
        <w:rPr>
          <w:snapToGrid w:val="0"/>
          <w:kern w:val="22"/>
          <w:szCs w:val="22"/>
          <w:lang w:val="es-ES_tradnl"/>
        </w:rPr>
        <w:t>problema clave en la valoración de la diversidad biológica para el sector privado se vincula con los equívocos existentes sobre valores, procedimientos de valoración, sus usos y aplicaciones en contextos reales</w:t>
      </w:r>
      <w:r w:rsidR="00276B6C" w:rsidRPr="000E4865">
        <w:rPr>
          <w:snapToGrid w:val="0"/>
          <w:kern w:val="22"/>
          <w:szCs w:val="22"/>
          <w:lang w:val="es-ES_tradnl"/>
        </w:rPr>
        <w:t xml:space="preserve">. </w:t>
      </w:r>
      <w:r w:rsidR="001B1837" w:rsidRPr="000E4865">
        <w:rPr>
          <w:snapToGrid w:val="0"/>
          <w:kern w:val="22"/>
          <w:szCs w:val="22"/>
          <w:lang w:val="es-ES_tradnl"/>
        </w:rPr>
        <w:t xml:space="preserve">Los enfoques de valoración monísticos </w:t>
      </w:r>
      <w:r w:rsidR="00276B6C" w:rsidRPr="000E4865">
        <w:rPr>
          <w:snapToGrid w:val="0"/>
          <w:kern w:val="22"/>
          <w:szCs w:val="22"/>
          <w:lang w:val="es-ES_tradnl"/>
        </w:rPr>
        <w:t>(</w:t>
      </w:r>
      <w:r w:rsidR="001B1837" w:rsidRPr="000E4865">
        <w:rPr>
          <w:snapToGrid w:val="0"/>
          <w:kern w:val="22"/>
          <w:szCs w:val="22"/>
          <w:lang w:val="es-ES_tradnl"/>
        </w:rPr>
        <w:t>es decir, se utiliza una única moneda</w:t>
      </w:r>
      <w:r w:rsidR="00276B6C" w:rsidRPr="000E4865">
        <w:rPr>
          <w:snapToGrid w:val="0"/>
          <w:kern w:val="22"/>
          <w:szCs w:val="22"/>
          <w:lang w:val="es-ES_tradnl"/>
        </w:rPr>
        <w:t>/indica</w:t>
      </w:r>
      <w:r w:rsidR="001B1837" w:rsidRPr="000E4865">
        <w:rPr>
          <w:snapToGrid w:val="0"/>
          <w:kern w:val="22"/>
          <w:szCs w:val="22"/>
          <w:lang w:val="es-ES_tradnl"/>
        </w:rPr>
        <w:t>dor</w:t>
      </w:r>
      <w:r w:rsidR="00276B6C" w:rsidRPr="000E4865">
        <w:rPr>
          <w:snapToGrid w:val="0"/>
          <w:kern w:val="22"/>
          <w:szCs w:val="22"/>
          <w:lang w:val="es-ES_tradnl"/>
        </w:rPr>
        <w:t>/</w:t>
      </w:r>
      <w:r w:rsidR="001B1837" w:rsidRPr="000E4865">
        <w:rPr>
          <w:snapToGrid w:val="0"/>
          <w:kern w:val="22"/>
          <w:szCs w:val="22"/>
          <w:lang w:val="es-ES_tradnl"/>
        </w:rPr>
        <w:t>tipo de valor para convencer a las personas</w:t>
      </w:r>
      <w:r w:rsidR="00276B6C" w:rsidRPr="000E4865">
        <w:rPr>
          <w:snapToGrid w:val="0"/>
          <w:kern w:val="22"/>
          <w:szCs w:val="22"/>
          <w:lang w:val="es-ES_tradnl"/>
        </w:rPr>
        <w:t xml:space="preserve">), </w:t>
      </w:r>
      <w:r w:rsidR="001B1837" w:rsidRPr="000E4865">
        <w:rPr>
          <w:snapToGrid w:val="0"/>
          <w:kern w:val="22"/>
          <w:szCs w:val="22"/>
          <w:lang w:val="es-ES_tradnl"/>
        </w:rPr>
        <w:t>por definición</w:t>
      </w:r>
      <w:r w:rsidR="00276B6C" w:rsidRPr="000E4865">
        <w:rPr>
          <w:snapToGrid w:val="0"/>
          <w:kern w:val="22"/>
          <w:szCs w:val="22"/>
          <w:lang w:val="es-ES_tradnl"/>
        </w:rPr>
        <w:t xml:space="preserve">, </w:t>
      </w:r>
      <w:r w:rsidR="001B1837" w:rsidRPr="000E4865">
        <w:rPr>
          <w:snapToGrid w:val="0"/>
          <w:kern w:val="22"/>
          <w:szCs w:val="22"/>
          <w:lang w:val="es-ES_tradnl"/>
        </w:rPr>
        <w:t xml:space="preserve">no reflejan la diversidad de valores </w:t>
      </w:r>
      <w:r w:rsidR="00A30F85" w:rsidRPr="000E4865">
        <w:rPr>
          <w:snapToGrid w:val="0"/>
          <w:kern w:val="22"/>
          <w:szCs w:val="22"/>
          <w:lang w:val="es-ES_tradnl"/>
        </w:rPr>
        <w:t xml:space="preserve">a los que adhieren las </w:t>
      </w:r>
      <w:r w:rsidR="00A30F85" w:rsidRPr="000E4865">
        <w:rPr>
          <w:snapToGrid w:val="0"/>
          <w:kern w:val="22"/>
          <w:szCs w:val="22"/>
          <w:lang w:val="es-ES_tradnl"/>
        </w:rPr>
        <w:lastRenderedPageBreak/>
        <w:t>personas y los enfoques y métodos de valoración conexos</w:t>
      </w:r>
      <w:r w:rsidR="00276B6C" w:rsidRPr="000E4865">
        <w:rPr>
          <w:rStyle w:val="FootnoteReference"/>
          <w:snapToGrid w:val="0"/>
          <w:kern w:val="22"/>
          <w:szCs w:val="22"/>
          <w:lang w:val="es-ES_tradnl"/>
        </w:rPr>
        <w:footnoteReference w:id="64"/>
      </w:r>
      <w:r w:rsidR="00A30F85" w:rsidRPr="000E4865">
        <w:rPr>
          <w:snapToGrid w:val="0"/>
          <w:kern w:val="22"/>
          <w:szCs w:val="22"/>
          <w:lang w:val="es-ES_tradnl"/>
        </w:rPr>
        <w:t>.</w:t>
      </w:r>
      <w:r w:rsidR="00276B6C" w:rsidRPr="000E4865">
        <w:rPr>
          <w:snapToGrid w:val="0"/>
          <w:kern w:val="22"/>
          <w:szCs w:val="22"/>
          <w:lang w:val="es-ES_tradnl"/>
        </w:rPr>
        <w:t xml:space="preserve"> </w:t>
      </w:r>
      <w:r w:rsidR="00A30F85" w:rsidRPr="000E4865">
        <w:rPr>
          <w:snapToGrid w:val="0"/>
          <w:kern w:val="22"/>
          <w:szCs w:val="22"/>
          <w:lang w:val="es-ES_tradnl"/>
        </w:rPr>
        <w:t xml:space="preserve">En </w:t>
      </w:r>
      <w:r w:rsidR="00276B6C" w:rsidRPr="000E4865">
        <w:rPr>
          <w:snapToGrid w:val="0"/>
          <w:kern w:val="22"/>
          <w:szCs w:val="22"/>
          <w:lang w:val="es-ES_tradnl"/>
        </w:rPr>
        <w:t xml:space="preserve">particular, </w:t>
      </w:r>
      <w:r w:rsidR="00A30F85" w:rsidRPr="000E4865">
        <w:rPr>
          <w:snapToGrid w:val="0"/>
          <w:kern w:val="22"/>
          <w:szCs w:val="22"/>
          <w:lang w:val="es-ES_tradnl"/>
        </w:rPr>
        <w:t xml:space="preserve">la dependencia excesiva de la valoración monetaria </w:t>
      </w:r>
      <w:r w:rsidR="00276B6C" w:rsidRPr="000E4865">
        <w:rPr>
          <w:snapToGrid w:val="0"/>
          <w:kern w:val="22"/>
          <w:szCs w:val="22"/>
          <w:lang w:val="es-ES_tradnl"/>
        </w:rPr>
        <w:t>(</w:t>
      </w:r>
      <w:r w:rsidR="00A30F85" w:rsidRPr="000E4865">
        <w:rPr>
          <w:snapToGrid w:val="0"/>
          <w:kern w:val="22"/>
          <w:szCs w:val="22"/>
          <w:lang w:val="es-ES_tradnl"/>
        </w:rPr>
        <w:t>como ejemplo concreto y destacado de una única perspectiva de formulación de valores monísticos</w:t>
      </w:r>
      <w:r w:rsidR="00276B6C" w:rsidRPr="000E4865">
        <w:rPr>
          <w:snapToGrid w:val="0"/>
          <w:kern w:val="22"/>
          <w:szCs w:val="22"/>
          <w:lang w:val="es-ES_tradnl"/>
        </w:rPr>
        <w:t xml:space="preserve">) </w:t>
      </w:r>
      <w:r w:rsidR="00A30F85" w:rsidRPr="000E4865">
        <w:rPr>
          <w:snapToGrid w:val="0"/>
          <w:kern w:val="22"/>
          <w:szCs w:val="22"/>
          <w:lang w:val="es-ES_tradnl"/>
        </w:rPr>
        <w:t>puede plantear la preocupación de los interesados con visiones del mundo incompatibles sobre valores y enfoques a la</w:t>
      </w:r>
      <w:r w:rsidR="009E09B7">
        <w:rPr>
          <w:snapToGrid w:val="0"/>
          <w:kern w:val="22"/>
          <w:szCs w:val="22"/>
          <w:lang w:val="es-ES_tradnl"/>
        </w:rPr>
        <w:t xml:space="preserve"> </w:t>
      </w:r>
      <w:r w:rsidR="00A30F85" w:rsidRPr="000E4865">
        <w:rPr>
          <w:snapToGrid w:val="0"/>
          <w:kern w:val="22"/>
          <w:szCs w:val="22"/>
          <w:lang w:val="es-ES_tradnl"/>
        </w:rPr>
        <w:t>valoración adecuados y, como resultado, pu</w:t>
      </w:r>
      <w:r w:rsidR="008A573A" w:rsidRPr="000E4865">
        <w:rPr>
          <w:snapToGrid w:val="0"/>
          <w:kern w:val="22"/>
          <w:szCs w:val="22"/>
          <w:lang w:val="es-ES_tradnl"/>
        </w:rPr>
        <w:t>ede que no sea una de las formas particularmente persuasivas para convencer a los actores del sector privado</w:t>
      </w:r>
      <w:r w:rsidR="00276B6C" w:rsidRPr="000E4865">
        <w:rPr>
          <w:snapToGrid w:val="0"/>
          <w:kern w:val="22"/>
          <w:szCs w:val="22"/>
          <w:lang w:val="es-ES_tradnl"/>
        </w:rPr>
        <w:t xml:space="preserve">, </w:t>
      </w:r>
      <w:r w:rsidR="001717A5">
        <w:rPr>
          <w:snapToGrid w:val="0"/>
          <w:kern w:val="22"/>
          <w:szCs w:val="22"/>
          <w:lang w:val="es-ES_tradnl"/>
        </w:rPr>
        <w:t xml:space="preserve">entre ellos </w:t>
      </w:r>
      <w:r w:rsidR="008A573A" w:rsidRPr="000E4865">
        <w:rPr>
          <w:snapToGrid w:val="0"/>
          <w:kern w:val="22"/>
          <w:szCs w:val="22"/>
          <w:lang w:val="es-ES_tradnl"/>
        </w:rPr>
        <w:t>los directivos y empleados de empresas</w:t>
      </w:r>
      <w:r w:rsidR="00276B6C" w:rsidRPr="000E4865">
        <w:rPr>
          <w:snapToGrid w:val="0"/>
          <w:kern w:val="22"/>
          <w:szCs w:val="22"/>
          <w:lang w:val="es-ES_tradnl"/>
        </w:rPr>
        <w:t xml:space="preserve">, </w:t>
      </w:r>
      <w:r w:rsidR="008A573A" w:rsidRPr="000E4865">
        <w:rPr>
          <w:snapToGrid w:val="0"/>
          <w:kern w:val="22"/>
          <w:szCs w:val="22"/>
          <w:lang w:val="es-ES_tradnl"/>
        </w:rPr>
        <w:t>de la importancia de la diversidad</w:t>
      </w:r>
      <w:r w:rsidR="009E09B7">
        <w:rPr>
          <w:snapToGrid w:val="0"/>
          <w:kern w:val="22"/>
          <w:szCs w:val="22"/>
          <w:lang w:val="es-ES_tradnl"/>
        </w:rPr>
        <w:t xml:space="preserve"> </w:t>
      </w:r>
      <w:r w:rsidR="008A573A" w:rsidRPr="000E4865">
        <w:rPr>
          <w:snapToGrid w:val="0"/>
          <w:kern w:val="22"/>
          <w:szCs w:val="22"/>
          <w:lang w:val="es-ES_tradnl"/>
        </w:rPr>
        <w:t>biológica y su conservación y uso sostenible</w:t>
      </w:r>
      <w:r w:rsidR="00276B6C" w:rsidRPr="000E4865">
        <w:rPr>
          <w:snapToGrid w:val="0"/>
          <w:kern w:val="22"/>
          <w:szCs w:val="22"/>
          <w:lang w:val="es-ES_tradnl"/>
        </w:rPr>
        <w:t xml:space="preserve">. </w:t>
      </w:r>
      <w:r w:rsidR="008A573A" w:rsidRPr="000E4865">
        <w:rPr>
          <w:snapToGrid w:val="0"/>
          <w:kern w:val="22"/>
          <w:szCs w:val="22"/>
          <w:lang w:val="es-ES_tradnl"/>
        </w:rPr>
        <w:t>En este contexto cabe destacar cuatro puntos importantes</w:t>
      </w:r>
      <w:r w:rsidR="00276B6C" w:rsidRPr="000E4865">
        <w:rPr>
          <w:snapToGrid w:val="0"/>
          <w:kern w:val="22"/>
          <w:szCs w:val="22"/>
          <w:lang w:val="es-ES_tradnl"/>
        </w:rPr>
        <w:t>.</w:t>
      </w:r>
    </w:p>
    <w:p w14:paraId="09B36365" w14:textId="6E9D1D5C" w:rsidR="00E27CEF" w:rsidRDefault="008A573A" w:rsidP="00E27CEF">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E27CEF">
        <w:rPr>
          <w:snapToGrid w:val="0"/>
          <w:kern w:val="22"/>
          <w:szCs w:val="22"/>
          <w:lang w:val="es-ES_tradnl"/>
        </w:rPr>
        <w:t>En primer lugar, las limitaciones bien documentadas de los métodos de valoración económica</w:t>
      </w:r>
      <w:r w:rsidR="00276B6C" w:rsidRPr="000E4865">
        <w:rPr>
          <w:rStyle w:val="FootnoteReference"/>
          <w:snapToGrid w:val="0"/>
          <w:kern w:val="22"/>
          <w:szCs w:val="22"/>
          <w:lang w:val="es-ES_tradnl"/>
        </w:rPr>
        <w:footnoteReference w:id="65"/>
      </w:r>
      <w:r w:rsidR="00276B6C" w:rsidRPr="00E27CEF">
        <w:rPr>
          <w:snapToGrid w:val="0"/>
          <w:kern w:val="22"/>
          <w:szCs w:val="22"/>
          <w:lang w:val="es-ES_tradnl"/>
        </w:rPr>
        <w:t xml:space="preserve"> </w:t>
      </w:r>
      <w:r w:rsidR="001717A5">
        <w:rPr>
          <w:snapToGrid w:val="0"/>
          <w:kern w:val="22"/>
          <w:szCs w:val="22"/>
          <w:lang w:val="es-ES_tradnl"/>
        </w:rPr>
        <w:t xml:space="preserve">los </w:t>
      </w:r>
      <w:r w:rsidR="006C05F3" w:rsidRPr="00E27CEF">
        <w:rPr>
          <w:snapToGrid w:val="0"/>
          <w:kern w:val="22"/>
          <w:szCs w:val="22"/>
          <w:lang w:val="es-ES_tradnl"/>
        </w:rPr>
        <w:t>hacen más adecuad</w:t>
      </w:r>
      <w:r w:rsidR="00112B88" w:rsidRPr="00E27CEF">
        <w:rPr>
          <w:snapToGrid w:val="0"/>
          <w:kern w:val="22"/>
          <w:szCs w:val="22"/>
          <w:lang w:val="es-ES_tradnl"/>
        </w:rPr>
        <w:t>o</w:t>
      </w:r>
      <w:r w:rsidR="001717A5">
        <w:rPr>
          <w:snapToGrid w:val="0"/>
          <w:kern w:val="22"/>
          <w:szCs w:val="22"/>
          <w:lang w:val="es-ES_tradnl"/>
        </w:rPr>
        <w:t>s</w:t>
      </w:r>
      <w:r w:rsidR="006C05F3" w:rsidRPr="00E27CEF">
        <w:rPr>
          <w:snapToGrid w:val="0"/>
          <w:kern w:val="22"/>
          <w:szCs w:val="22"/>
          <w:lang w:val="es-ES_tradnl"/>
        </w:rPr>
        <w:t xml:space="preserve"> para evaluar los cambios en la prestación tangible y algunos servicios de regulación</w:t>
      </w:r>
      <w:r w:rsidR="00276B6C" w:rsidRPr="00E27CEF">
        <w:rPr>
          <w:snapToGrid w:val="0"/>
          <w:kern w:val="22"/>
          <w:szCs w:val="22"/>
          <w:lang w:val="es-ES_tradnl"/>
        </w:rPr>
        <w:t xml:space="preserve">. </w:t>
      </w:r>
      <w:r w:rsidR="006C05F3" w:rsidRPr="00E27CEF">
        <w:rPr>
          <w:snapToGrid w:val="0"/>
          <w:kern w:val="22"/>
          <w:szCs w:val="22"/>
          <w:lang w:val="es-ES_tradnl"/>
        </w:rPr>
        <w:t>En segundo lugar</w:t>
      </w:r>
      <w:r w:rsidR="00112B88" w:rsidRPr="00E27CEF">
        <w:rPr>
          <w:snapToGrid w:val="0"/>
          <w:kern w:val="22"/>
          <w:szCs w:val="22"/>
          <w:lang w:val="es-ES_tradnl"/>
        </w:rPr>
        <w:t xml:space="preserve">, siempre que el valor monetario de los servicios de los ecosistemas </w:t>
      </w:r>
      <w:r w:rsidR="00443D7B" w:rsidRPr="00E27CEF">
        <w:rPr>
          <w:snapToGrid w:val="0"/>
          <w:kern w:val="22"/>
          <w:szCs w:val="22"/>
          <w:lang w:val="es-ES_tradnl"/>
        </w:rPr>
        <w:t xml:space="preserve">sea </w:t>
      </w:r>
      <w:r w:rsidR="00112B88" w:rsidRPr="00E27CEF">
        <w:rPr>
          <w:snapToGrid w:val="0"/>
          <w:kern w:val="22"/>
          <w:szCs w:val="22"/>
          <w:lang w:val="es-ES_tradnl"/>
        </w:rPr>
        <w:t xml:space="preserve">inferior a los beneficios de los proyectos industriales propuestos en los análisis de ventajas comparativas y </w:t>
      </w:r>
      <w:r w:rsidR="00443D7B" w:rsidRPr="00E27CEF">
        <w:rPr>
          <w:snapToGrid w:val="0"/>
          <w:kern w:val="22"/>
          <w:szCs w:val="22"/>
          <w:lang w:val="es-ES_tradnl"/>
        </w:rPr>
        <w:t xml:space="preserve">estén presentes </w:t>
      </w:r>
      <w:r w:rsidR="00112B88" w:rsidRPr="00E27CEF">
        <w:rPr>
          <w:snapToGrid w:val="0"/>
          <w:kern w:val="22"/>
          <w:szCs w:val="22"/>
          <w:lang w:val="es-ES_tradnl"/>
        </w:rPr>
        <w:t>otros</w:t>
      </w:r>
      <w:r w:rsidR="00276B6C" w:rsidRPr="00E27CEF">
        <w:rPr>
          <w:snapToGrid w:val="0"/>
          <w:kern w:val="22"/>
          <w:szCs w:val="22"/>
          <w:lang w:val="es-ES_tradnl"/>
        </w:rPr>
        <w:t xml:space="preserve"> </w:t>
      </w:r>
      <w:r w:rsidR="00112B88" w:rsidRPr="00E27CEF">
        <w:rPr>
          <w:snapToGrid w:val="0"/>
          <w:kern w:val="22"/>
          <w:szCs w:val="22"/>
          <w:lang w:val="es-ES_tradnl"/>
        </w:rPr>
        <w:t xml:space="preserve">tipos menos tangibles de servicios </w:t>
      </w:r>
      <w:r w:rsidR="00F42442">
        <w:rPr>
          <w:snapToGrid w:val="0"/>
          <w:kern w:val="22"/>
          <w:szCs w:val="22"/>
          <w:lang w:val="es-ES_tradnl"/>
        </w:rPr>
        <w:t xml:space="preserve">ecosistémicos </w:t>
      </w:r>
      <w:r w:rsidR="00112B88" w:rsidRPr="00E27CEF">
        <w:rPr>
          <w:snapToGrid w:val="0"/>
          <w:kern w:val="22"/>
          <w:szCs w:val="22"/>
          <w:lang w:val="es-ES_tradnl"/>
        </w:rPr>
        <w:t xml:space="preserve">y </w:t>
      </w:r>
      <w:r w:rsidR="00F42442">
        <w:rPr>
          <w:snapToGrid w:val="0"/>
          <w:kern w:val="22"/>
          <w:szCs w:val="22"/>
          <w:lang w:val="es-ES_tradnl"/>
        </w:rPr>
        <w:t xml:space="preserve">sus </w:t>
      </w:r>
      <w:r w:rsidR="00112B88" w:rsidRPr="00E27CEF">
        <w:rPr>
          <w:snapToGrid w:val="0"/>
          <w:kern w:val="22"/>
          <w:szCs w:val="22"/>
          <w:lang w:val="es-ES_tradnl"/>
        </w:rPr>
        <w:t>beneficios</w:t>
      </w:r>
      <w:r w:rsidR="00276B6C" w:rsidRPr="00053FA8">
        <w:rPr>
          <w:rStyle w:val="FootnoteReference"/>
          <w:snapToGrid w:val="0"/>
          <w:kern w:val="22"/>
          <w:szCs w:val="22"/>
          <w:lang w:val="es-ES_tradnl"/>
        </w:rPr>
        <w:footnoteReference w:id="66"/>
      </w:r>
      <w:r w:rsidR="00F42442">
        <w:rPr>
          <w:snapToGrid w:val="0"/>
          <w:kern w:val="22"/>
          <w:szCs w:val="22"/>
          <w:lang w:val="es-ES_tradnl"/>
        </w:rPr>
        <w:t>,</w:t>
      </w:r>
      <w:r w:rsidR="00112B88" w:rsidRPr="00E27CEF">
        <w:rPr>
          <w:snapToGrid w:val="0"/>
          <w:kern w:val="22"/>
          <w:szCs w:val="22"/>
          <w:lang w:val="es-ES_tradnl"/>
        </w:rPr>
        <w:t xml:space="preserve"> dicho enfoque deber</w:t>
      </w:r>
      <w:r w:rsidR="00053FA8" w:rsidRPr="00E27CEF">
        <w:rPr>
          <w:snapToGrid w:val="0"/>
          <w:kern w:val="22"/>
          <w:szCs w:val="22"/>
          <w:lang w:val="es-ES_tradnl"/>
        </w:rPr>
        <w:t>á</w:t>
      </w:r>
      <w:r w:rsidR="00112B88" w:rsidRPr="00E27CEF">
        <w:rPr>
          <w:snapToGrid w:val="0"/>
          <w:kern w:val="22"/>
          <w:szCs w:val="22"/>
          <w:lang w:val="es-ES_tradnl"/>
        </w:rPr>
        <w:t xml:space="preserve"> complementarse con otras herramientas para captar la gama completa de valores pertinentes</w:t>
      </w:r>
      <w:r w:rsidR="00276B6C" w:rsidRPr="00E27CEF">
        <w:rPr>
          <w:snapToGrid w:val="0"/>
          <w:kern w:val="22"/>
          <w:szCs w:val="22"/>
          <w:lang w:val="es-ES_tradnl"/>
        </w:rPr>
        <w:t xml:space="preserve">. </w:t>
      </w:r>
      <w:r w:rsidR="00DE49EF" w:rsidRPr="00E27CEF">
        <w:rPr>
          <w:snapToGrid w:val="0"/>
          <w:kern w:val="22"/>
          <w:szCs w:val="22"/>
          <w:lang w:val="es-ES_tradnl"/>
        </w:rPr>
        <w:t xml:space="preserve">En tercer lugar, los valores monetarios no se equiparan </w:t>
      </w:r>
      <w:r w:rsidR="00F42442">
        <w:rPr>
          <w:snapToGrid w:val="0"/>
          <w:kern w:val="22"/>
          <w:szCs w:val="22"/>
          <w:lang w:val="es-ES_tradnl"/>
        </w:rPr>
        <w:t xml:space="preserve">a </w:t>
      </w:r>
      <w:r w:rsidR="00DE49EF" w:rsidRPr="00E27CEF">
        <w:rPr>
          <w:snapToGrid w:val="0"/>
          <w:kern w:val="22"/>
          <w:szCs w:val="22"/>
          <w:lang w:val="es-ES_tradnl"/>
        </w:rPr>
        <w:t xml:space="preserve">los valores financieros </w:t>
      </w:r>
      <w:r w:rsidR="00276B6C" w:rsidRPr="00E27CEF">
        <w:rPr>
          <w:snapToGrid w:val="0"/>
          <w:kern w:val="22"/>
          <w:szCs w:val="22"/>
          <w:lang w:val="es-ES_tradnl"/>
        </w:rPr>
        <w:t>(</w:t>
      </w:r>
      <w:r w:rsidR="00DE49EF" w:rsidRPr="00E27CEF">
        <w:rPr>
          <w:snapToGrid w:val="0"/>
          <w:kern w:val="22"/>
          <w:szCs w:val="22"/>
          <w:lang w:val="es-ES_tradnl"/>
        </w:rPr>
        <w:t>es decir,</w:t>
      </w:r>
      <w:r w:rsidR="00276B6C" w:rsidRPr="00E27CEF">
        <w:rPr>
          <w:snapToGrid w:val="0"/>
          <w:kern w:val="22"/>
          <w:szCs w:val="22"/>
          <w:lang w:val="es-ES_tradnl"/>
        </w:rPr>
        <w:t xml:space="preserve"> </w:t>
      </w:r>
      <w:r w:rsidR="00DE49EF" w:rsidRPr="00E27CEF">
        <w:rPr>
          <w:snapToGrid w:val="0"/>
          <w:kern w:val="22"/>
          <w:szCs w:val="22"/>
          <w:lang w:val="es-ES_tradnl"/>
        </w:rPr>
        <w:t>ingresos, gastos, activos y pasivos comerciales reales</w:t>
      </w:r>
      <w:r w:rsidR="00276B6C" w:rsidRPr="00E27CEF">
        <w:rPr>
          <w:snapToGrid w:val="0"/>
          <w:kern w:val="22"/>
          <w:szCs w:val="22"/>
          <w:lang w:val="es-ES_tradnl"/>
        </w:rPr>
        <w:t xml:space="preserve">). </w:t>
      </w:r>
      <w:r w:rsidR="00DE49EF" w:rsidRPr="00E27CEF">
        <w:rPr>
          <w:snapToGrid w:val="0"/>
          <w:kern w:val="22"/>
          <w:szCs w:val="22"/>
          <w:lang w:val="es-ES_tradnl"/>
        </w:rPr>
        <w:t xml:space="preserve">Los servicios de los ecosistemas muy valiosos, incluso cuando se expresan en términos económicos, </w:t>
      </w:r>
      <w:r w:rsidR="00E27CEF">
        <w:rPr>
          <w:snapToGrid w:val="0"/>
          <w:kern w:val="22"/>
          <w:szCs w:val="22"/>
          <w:lang w:val="es-ES_tradnl"/>
        </w:rPr>
        <w:t xml:space="preserve">no tienen necesariamente que ser </w:t>
      </w:r>
      <w:r w:rsidR="00DE49EF" w:rsidRPr="00E27CEF">
        <w:rPr>
          <w:snapToGrid w:val="0"/>
          <w:kern w:val="22"/>
          <w:szCs w:val="22"/>
          <w:lang w:val="es-ES_tradnl"/>
        </w:rPr>
        <w:t>captados por las actividades comerciales debido a la falta de mercados existentes y/o entornos normativos propicios</w:t>
      </w:r>
      <w:r w:rsidR="00276B6C" w:rsidRPr="000E4865">
        <w:rPr>
          <w:rStyle w:val="FootnoteReference"/>
          <w:snapToGrid w:val="0"/>
          <w:kern w:val="22"/>
          <w:szCs w:val="22"/>
          <w:lang w:val="es-ES_tradnl"/>
        </w:rPr>
        <w:footnoteReference w:id="67"/>
      </w:r>
      <w:r w:rsidR="00DE49EF" w:rsidRPr="00E27CEF">
        <w:rPr>
          <w:snapToGrid w:val="0"/>
          <w:kern w:val="22"/>
          <w:szCs w:val="22"/>
          <w:lang w:val="es-ES_tradnl"/>
        </w:rPr>
        <w:t>. Esto supone que las actividades comerciales no cambian fácilmente sus puntos de vista o sus prácticas solamente basándose en los resultados de estudios de valoración monetaria</w:t>
      </w:r>
      <w:r w:rsidR="00276B6C" w:rsidRPr="00E27CEF">
        <w:rPr>
          <w:snapToGrid w:val="0"/>
          <w:kern w:val="22"/>
          <w:szCs w:val="22"/>
          <w:lang w:val="es-ES_tradnl"/>
        </w:rPr>
        <w:t xml:space="preserve">. </w:t>
      </w:r>
      <w:r w:rsidR="00DE49EF" w:rsidRPr="00E27CEF">
        <w:rPr>
          <w:snapToGrid w:val="0"/>
          <w:kern w:val="22"/>
          <w:szCs w:val="22"/>
          <w:lang w:val="es-ES_tradnl"/>
        </w:rPr>
        <w:t>Las empresas requieren de pruebas tangibles y demostrables de que se puede generar y captar ingresos para sus propios fines</w:t>
      </w:r>
      <w:r w:rsidR="00276B6C" w:rsidRPr="00E27CEF">
        <w:rPr>
          <w:snapToGrid w:val="0"/>
          <w:kern w:val="22"/>
          <w:szCs w:val="22"/>
          <w:lang w:val="es-ES_tradnl"/>
        </w:rPr>
        <w:t xml:space="preserve">. </w:t>
      </w:r>
      <w:r w:rsidR="00DE49EF" w:rsidRPr="00E27CEF">
        <w:rPr>
          <w:snapToGrid w:val="0"/>
          <w:kern w:val="22"/>
          <w:szCs w:val="22"/>
          <w:lang w:val="es-ES_tradnl"/>
        </w:rPr>
        <w:t>Por último</w:t>
      </w:r>
      <w:r w:rsidR="00276B6C" w:rsidRPr="00E27CEF">
        <w:rPr>
          <w:snapToGrid w:val="0"/>
          <w:kern w:val="22"/>
          <w:szCs w:val="22"/>
          <w:lang w:val="es-ES_tradnl"/>
        </w:rPr>
        <w:t xml:space="preserve">, </w:t>
      </w:r>
      <w:r w:rsidR="00DE49EF" w:rsidRPr="00E27CEF">
        <w:rPr>
          <w:snapToGrid w:val="0"/>
          <w:kern w:val="22"/>
          <w:szCs w:val="22"/>
          <w:lang w:val="es-ES_tradnl"/>
        </w:rPr>
        <w:t>se puede crear el caso comercial a través de m</w:t>
      </w:r>
      <w:r w:rsidR="00221E1C" w:rsidRPr="00E27CEF">
        <w:rPr>
          <w:snapToGrid w:val="0"/>
          <w:kern w:val="22"/>
          <w:szCs w:val="22"/>
          <w:lang w:val="es-ES_tradnl"/>
        </w:rPr>
        <w:t>ú</w:t>
      </w:r>
      <w:r w:rsidR="00DE49EF" w:rsidRPr="00E27CEF">
        <w:rPr>
          <w:snapToGrid w:val="0"/>
          <w:kern w:val="22"/>
          <w:szCs w:val="22"/>
          <w:lang w:val="es-ES_tradnl"/>
        </w:rPr>
        <w:t>ltiples perspectivas de formulación de valores</w:t>
      </w:r>
      <w:r w:rsidR="00276B6C" w:rsidRPr="000E4865">
        <w:rPr>
          <w:rStyle w:val="FootnoteReference"/>
          <w:snapToGrid w:val="0"/>
          <w:kern w:val="22"/>
          <w:szCs w:val="22"/>
          <w:lang w:val="es-ES_tradnl"/>
        </w:rPr>
        <w:footnoteReference w:id="68"/>
      </w:r>
      <w:r w:rsidR="00DE49EF" w:rsidRPr="00E27CEF">
        <w:rPr>
          <w:snapToGrid w:val="0"/>
          <w:kern w:val="22"/>
          <w:szCs w:val="22"/>
          <w:lang w:val="es-ES_tradnl"/>
        </w:rPr>
        <w:t>,</w:t>
      </w:r>
      <w:r w:rsidR="00276B6C" w:rsidRPr="00E27CEF">
        <w:rPr>
          <w:snapToGrid w:val="0"/>
          <w:kern w:val="22"/>
          <w:szCs w:val="22"/>
          <w:lang w:val="es-ES_tradnl"/>
        </w:rPr>
        <w:t xml:space="preserve"> </w:t>
      </w:r>
      <w:r w:rsidR="00221E1C" w:rsidRPr="00E27CEF">
        <w:rPr>
          <w:snapToGrid w:val="0"/>
          <w:kern w:val="22"/>
          <w:szCs w:val="22"/>
          <w:lang w:val="es-ES_tradnl"/>
        </w:rPr>
        <w:t xml:space="preserve">que todos pueden contribuir a las cambiantes normas sociales que en definitiva conducirá a cambios en </w:t>
      </w:r>
      <w:r w:rsidR="00276B6C" w:rsidRPr="00E27CEF">
        <w:rPr>
          <w:snapToGrid w:val="0"/>
          <w:kern w:val="22"/>
          <w:szCs w:val="22"/>
          <w:lang w:val="es-ES_tradnl"/>
        </w:rPr>
        <w:t>(</w:t>
      </w:r>
      <w:r w:rsidR="00221E1C" w:rsidRPr="00E27CEF">
        <w:rPr>
          <w:snapToGrid w:val="0"/>
          <w:kern w:val="22"/>
          <w:szCs w:val="22"/>
          <w:lang w:val="es-ES_tradnl"/>
        </w:rPr>
        <w:t>lo que se considera aceptable</w:t>
      </w:r>
      <w:r w:rsidR="00276B6C" w:rsidRPr="00E27CEF">
        <w:rPr>
          <w:snapToGrid w:val="0"/>
          <w:kern w:val="22"/>
          <w:szCs w:val="22"/>
          <w:lang w:val="es-ES_tradnl"/>
        </w:rPr>
        <w:t xml:space="preserve">) </w:t>
      </w:r>
      <w:r w:rsidR="00221E1C" w:rsidRPr="00E27CEF">
        <w:rPr>
          <w:snapToGrid w:val="0"/>
          <w:kern w:val="22"/>
          <w:szCs w:val="22"/>
          <w:lang w:val="es-ES_tradnl"/>
        </w:rPr>
        <w:t>las prácticas comerciales</w:t>
      </w:r>
      <w:r w:rsidR="00276B6C" w:rsidRPr="00E27CEF">
        <w:rPr>
          <w:snapToGrid w:val="0"/>
          <w:kern w:val="22"/>
          <w:szCs w:val="22"/>
          <w:lang w:val="es-ES_tradnl"/>
        </w:rPr>
        <w:t xml:space="preserve">. </w:t>
      </w:r>
      <w:r w:rsidR="00221E1C" w:rsidRPr="00E27CEF">
        <w:rPr>
          <w:snapToGrid w:val="0"/>
          <w:kern w:val="22"/>
          <w:szCs w:val="22"/>
          <w:lang w:val="es-ES_tradnl"/>
        </w:rPr>
        <w:t xml:space="preserve">Esta opinión es respaldada por el llamamiento relativamente reciente de la comunidad científica de la Plataforma intergubernamental científico-normativa sobre diversidad biológica y servicios de los ecosistemas </w:t>
      </w:r>
      <w:r w:rsidR="00276B6C" w:rsidRPr="00E27CEF">
        <w:rPr>
          <w:snapToGrid w:val="0"/>
          <w:kern w:val="22"/>
          <w:szCs w:val="22"/>
          <w:lang w:val="es-ES_tradnl"/>
        </w:rPr>
        <w:t xml:space="preserve">(IPBES) </w:t>
      </w:r>
      <w:r w:rsidR="00221E1C" w:rsidRPr="00E27CEF">
        <w:rPr>
          <w:snapToGrid w:val="0"/>
          <w:kern w:val="22"/>
          <w:szCs w:val="22"/>
          <w:lang w:val="es-ES_tradnl"/>
        </w:rPr>
        <w:t>a integrar los múltiples valores de la diversidad biológica y los servicios de los ecosistemas como la base para una deliberación, un acuerdo y decisiones fundamentadas</w:t>
      </w:r>
      <w:r w:rsidR="00276B6C" w:rsidRPr="000E4865">
        <w:rPr>
          <w:rStyle w:val="FootnoteReference"/>
          <w:snapToGrid w:val="0"/>
          <w:kern w:val="22"/>
          <w:szCs w:val="22"/>
          <w:lang w:val="es-ES_tradnl"/>
        </w:rPr>
        <w:footnoteReference w:id="69"/>
      </w:r>
      <w:r w:rsidR="00221E1C" w:rsidRPr="00E27CEF">
        <w:rPr>
          <w:snapToGrid w:val="0"/>
          <w:kern w:val="22"/>
          <w:szCs w:val="22"/>
          <w:lang w:val="es-ES_tradnl"/>
        </w:rPr>
        <w:t>.</w:t>
      </w:r>
    </w:p>
    <w:p w14:paraId="46EFA595" w14:textId="659AB6FA" w:rsidR="00276B6C" w:rsidRPr="00E27CEF" w:rsidRDefault="009A050C" w:rsidP="00E27CEF">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E27CEF">
        <w:rPr>
          <w:kern w:val="22"/>
          <w:szCs w:val="22"/>
          <w:lang w:val="es-ES_tradnl"/>
        </w:rPr>
        <w:t>La integración efectiva de la diversidad biológica en el sector manufacturero también requi</w:t>
      </w:r>
      <w:r w:rsidR="00A270BC" w:rsidRPr="00E27CEF">
        <w:rPr>
          <w:kern w:val="22"/>
          <w:szCs w:val="22"/>
          <w:lang w:val="es-ES_tradnl"/>
        </w:rPr>
        <w:t>e</w:t>
      </w:r>
      <w:r w:rsidRPr="00E27CEF">
        <w:rPr>
          <w:kern w:val="22"/>
          <w:szCs w:val="22"/>
          <w:lang w:val="es-ES_tradnl"/>
        </w:rPr>
        <w:t xml:space="preserve">re </w:t>
      </w:r>
      <w:r w:rsidR="00A270BC" w:rsidRPr="00E27CEF">
        <w:rPr>
          <w:kern w:val="22"/>
          <w:szCs w:val="22"/>
          <w:lang w:val="es-ES_tradnl"/>
        </w:rPr>
        <w:t>de entornos normativos favorables o propicios que recompensan los comportamientos en pro de la diversidad biológica y desalient</w:t>
      </w:r>
      <w:r w:rsidR="006978EE">
        <w:rPr>
          <w:kern w:val="22"/>
          <w:szCs w:val="22"/>
          <w:lang w:val="es-ES_tradnl"/>
        </w:rPr>
        <w:t>e</w:t>
      </w:r>
      <w:r w:rsidR="00A270BC" w:rsidRPr="00E27CEF">
        <w:rPr>
          <w:kern w:val="22"/>
          <w:szCs w:val="22"/>
          <w:lang w:val="es-ES_tradnl"/>
        </w:rPr>
        <w:t xml:space="preserve"> prácticas que conducen a la pérdida de biodiversidad</w:t>
      </w:r>
      <w:r w:rsidR="00276B6C" w:rsidRPr="00E27CEF">
        <w:rPr>
          <w:kern w:val="22"/>
          <w:szCs w:val="22"/>
          <w:lang w:val="es-ES_tradnl"/>
        </w:rPr>
        <w:t xml:space="preserve">. </w:t>
      </w:r>
      <w:r w:rsidR="00A270BC" w:rsidRPr="00E27CEF">
        <w:rPr>
          <w:kern w:val="22"/>
          <w:szCs w:val="22"/>
          <w:lang w:val="es-ES_tradnl"/>
        </w:rPr>
        <w:t>Reconocer la importancia de las cadenas de valor globalizadas exige enfoques multisectoriales y jurisdiccionales a la integración</w:t>
      </w:r>
      <w:r w:rsidR="00276B6C" w:rsidRPr="00E27CEF">
        <w:rPr>
          <w:kern w:val="22"/>
          <w:szCs w:val="22"/>
          <w:lang w:val="es-ES_tradnl"/>
        </w:rPr>
        <w:t xml:space="preserve">. </w:t>
      </w:r>
      <w:r w:rsidR="00A270BC" w:rsidRPr="00E27CEF">
        <w:rPr>
          <w:kern w:val="22"/>
          <w:szCs w:val="22"/>
          <w:lang w:val="es-ES_tradnl"/>
        </w:rPr>
        <w:t>Como se indicó anteriormente en la nota del Secretario Ejecutivo sobre la integración, expedida para la primera reunión del órgano subsidiario</w:t>
      </w:r>
      <w:r w:rsidR="00276B6C" w:rsidRPr="00E27CEF">
        <w:rPr>
          <w:kern w:val="22"/>
          <w:szCs w:val="22"/>
          <w:lang w:val="es-ES_tradnl"/>
        </w:rPr>
        <w:t>, “</w:t>
      </w:r>
      <w:r w:rsidR="006553C9" w:rsidRPr="00E27CEF">
        <w:rPr>
          <w:kern w:val="22"/>
          <w:szCs w:val="22"/>
          <w:lang w:val="es-ES_tradnl"/>
        </w:rPr>
        <w:t>l</w:t>
      </w:r>
      <w:r w:rsidR="006553C9" w:rsidRPr="00E27CEF">
        <w:rPr>
          <w:kern w:val="22"/>
          <w:lang w:val="es-ES_tradnl"/>
        </w:rPr>
        <w:t xml:space="preserve">os efectos de la globalización, el comercio y el desplazamiento aún no se contemplan adecuadamente en las estrategias nacionales. El progreso en la sostenibilidad a nivel nacional </w:t>
      </w:r>
      <w:r w:rsidR="006553C9" w:rsidRPr="00E27CEF">
        <w:rPr>
          <w:kern w:val="22"/>
          <w:lang w:val="es-ES_tradnl"/>
        </w:rPr>
        <w:lastRenderedPageBreak/>
        <w:t>puede verse contrarrestado (a nivel mundial) por el aumento en las huellas externas debido al mayor consumo de productos importados. Por ejemplo, en algunos países la producción ganadera nacional depende cada vez más del uso de pienso importado. Para hacer frente a este problema, se deberán aplicar medidas de sostenibilidad en las cadenas de suministro de los principales productos básicos.</w:t>
      </w:r>
      <w:r w:rsidR="00276B6C" w:rsidRPr="00E27CEF">
        <w:rPr>
          <w:iCs/>
          <w:kern w:val="22"/>
          <w:szCs w:val="22"/>
          <w:lang w:val="es-ES_tradnl"/>
        </w:rPr>
        <w:t>”</w:t>
      </w:r>
      <w:r w:rsidR="00634F87" w:rsidRPr="00E27CEF">
        <w:rPr>
          <w:kern w:val="22"/>
          <w:szCs w:val="22"/>
          <w:lang w:val="es-ES_tradnl"/>
        </w:rPr>
        <w:t xml:space="preserve"> (</w:t>
      </w:r>
      <w:hyperlink r:id="rId14" w:history="1">
        <w:r w:rsidR="00634F87" w:rsidRPr="00E27CEF">
          <w:rPr>
            <w:rStyle w:val="Hyperlink"/>
            <w:kern w:val="22"/>
            <w:sz w:val="22"/>
            <w:szCs w:val="22"/>
            <w:lang w:val="es-ES_tradnl"/>
          </w:rPr>
          <w:t>UNEP/CBD/SBI/1/5/Add.1</w:t>
        </w:r>
      </w:hyperlink>
      <w:r w:rsidR="00634F87" w:rsidRPr="00E27CEF">
        <w:rPr>
          <w:kern w:val="22"/>
          <w:szCs w:val="22"/>
          <w:lang w:val="es-ES_tradnl"/>
        </w:rPr>
        <w:t>, p</w:t>
      </w:r>
      <w:r w:rsidR="006553C9" w:rsidRPr="00E27CEF">
        <w:rPr>
          <w:kern w:val="22"/>
          <w:szCs w:val="22"/>
          <w:lang w:val="es-ES_tradnl"/>
        </w:rPr>
        <w:t>árr.</w:t>
      </w:r>
      <w:r w:rsidR="00634F87" w:rsidRPr="00E27CEF">
        <w:rPr>
          <w:kern w:val="22"/>
          <w:szCs w:val="22"/>
          <w:lang w:val="es-ES_tradnl"/>
        </w:rPr>
        <w:t> 29).</w:t>
      </w:r>
    </w:p>
    <w:p w14:paraId="72B00D5B" w14:textId="635F83CC" w:rsidR="00276B6C" w:rsidRPr="000E4865" w:rsidRDefault="000016CD"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 xml:space="preserve">La integración efectiva de la diversidad con respecto a los productos manufacturados supondrá, por tanto, la gestión de las dependencias e impactos </w:t>
      </w:r>
      <w:r w:rsidR="004A56FA" w:rsidRPr="000E4865">
        <w:rPr>
          <w:snapToGrid w:val="0"/>
          <w:kern w:val="22"/>
          <w:szCs w:val="22"/>
          <w:lang w:val="es-ES_tradnl"/>
        </w:rPr>
        <w:t xml:space="preserve">en </w:t>
      </w:r>
      <w:r w:rsidRPr="000E4865">
        <w:rPr>
          <w:snapToGrid w:val="0"/>
          <w:kern w:val="22"/>
          <w:szCs w:val="22"/>
          <w:lang w:val="es-ES_tradnl"/>
        </w:rPr>
        <w:t>la diversidad biológica en cada paso de sus ciclos de vida</w:t>
      </w:r>
      <w:r w:rsidR="00276B6C" w:rsidRPr="000E4865">
        <w:rPr>
          <w:snapToGrid w:val="0"/>
          <w:kern w:val="22"/>
          <w:szCs w:val="22"/>
          <w:lang w:val="es-ES_tradnl"/>
        </w:rPr>
        <w:t xml:space="preserve">, </w:t>
      </w:r>
      <w:r w:rsidRPr="000E4865">
        <w:rPr>
          <w:snapToGrid w:val="0"/>
          <w:kern w:val="22"/>
          <w:szCs w:val="22"/>
          <w:lang w:val="es-ES_tradnl"/>
        </w:rPr>
        <w:t xml:space="preserve">desde la producción o extracción ascendente de materias primas hasta el final de su vida útil </w:t>
      </w:r>
      <w:r w:rsidR="00276B6C" w:rsidRPr="000E4865">
        <w:rPr>
          <w:snapToGrid w:val="0"/>
          <w:kern w:val="22"/>
          <w:szCs w:val="22"/>
          <w:lang w:val="es-ES_tradnl"/>
        </w:rPr>
        <w:t>(</w:t>
      </w:r>
      <w:r w:rsidR="00005AD5" w:rsidRPr="000E4865">
        <w:rPr>
          <w:snapToGrid w:val="0"/>
          <w:kern w:val="22"/>
          <w:szCs w:val="22"/>
          <w:lang w:val="es-ES_tradnl"/>
        </w:rPr>
        <w:t>p.ej.</w:t>
      </w:r>
      <w:r w:rsidR="00276B6C" w:rsidRPr="000E4865">
        <w:rPr>
          <w:snapToGrid w:val="0"/>
          <w:kern w:val="22"/>
          <w:szCs w:val="22"/>
          <w:lang w:val="es-ES_tradnl"/>
        </w:rPr>
        <w:t xml:space="preserve">, </w:t>
      </w:r>
      <w:r w:rsidRPr="000E4865">
        <w:rPr>
          <w:snapToGrid w:val="0"/>
          <w:kern w:val="22"/>
          <w:szCs w:val="22"/>
          <w:lang w:val="es-ES_tradnl"/>
        </w:rPr>
        <w:t>prácticas de eliminación y reciclado</w:t>
      </w:r>
      <w:r w:rsidR="00276B6C" w:rsidRPr="000E4865">
        <w:rPr>
          <w:snapToGrid w:val="0"/>
          <w:kern w:val="22"/>
          <w:szCs w:val="22"/>
          <w:lang w:val="es-ES_tradnl"/>
        </w:rPr>
        <w:t xml:space="preserve">). </w:t>
      </w:r>
      <w:r w:rsidRPr="000E4865">
        <w:rPr>
          <w:snapToGrid w:val="0"/>
          <w:kern w:val="22"/>
          <w:szCs w:val="22"/>
          <w:lang w:val="es-ES_tradnl"/>
        </w:rPr>
        <w:t xml:space="preserve">Varios países e industrias </w:t>
      </w:r>
      <w:r w:rsidR="00276B6C" w:rsidRPr="000E4865">
        <w:rPr>
          <w:snapToGrid w:val="0"/>
          <w:kern w:val="22"/>
          <w:szCs w:val="22"/>
          <w:lang w:val="es-ES_tradnl"/>
        </w:rPr>
        <w:t>(</w:t>
      </w:r>
      <w:r w:rsidR="00005AD5" w:rsidRPr="000E4865">
        <w:rPr>
          <w:snapToGrid w:val="0"/>
          <w:kern w:val="22"/>
          <w:szCs w:val="22"/>
          <w:lang w:val="es-ES_tradnl"/>
        </w:rPr>
        <w:t>p.ej.</w:t>
      </w:r>
      <w:r w:rsidR="00276B6C" w:rsidRPr="000E4865">
        <w:rPr>
          <w:snapToGrid w:val="0"/>
          <w:kern w:val="22"/>
          <w:szCs w:val="22"/>
          <w:lang w:val="es-ES_tradnl"/>
        </w:rPr>
        <w:t xml:space="preserve">, </w:t>
      </w:r>
      <w:r w:rsidRPr="000E4865">
        <w:rPr>
          <w:snapToGrid w:val="0"/>
          <w:kern w:val="22"/>
          <w:szCs w:val="22"/>
          <w:lang w:val="es-ES_tradnl"/>
        </w:rPr>
        <w:t>fabricantes, minoristas, productores de materias primas, empresas de logística, mayoristas, industrias de gestión de desechos</w:t>
      </w:r>
      <w:r w:rsidR="00276B6C" w:rsidRPr="000E4865">
        <w:rPr>
          <w:snapToGrid w:val="0"/>
          <w:kern w:val="22"/>
          <w:szCs w:val="22"/>
          <w:lang w:val="es-ES_tradnl"/>
        </w:rPr>
        <w:t xml:space="preserve">, etc.) </w:t>
      </w:r>
      <w:r w:rsidRPr="000E4865">
        <w:rPr>
          <w:snapToGrid w:val="0"/>
          <w:kern w:val="22"/>
          <w:szCs w:val="22"/>
          <w:lang w:val="es-ES_tradnl"/>
        </w:rPr>
        <w:t xml:space="preserve">en las cadenas de valor de los productos manufacturados tienen, por ende, una responsabilidad compartida por los impactos y dependencias </w:t>
      </w:r>
      <w:r w:rsidR="004A56FA" w:rsidRPr="000E4865">
        <w:rPr>
          <w:snapToGrid w:val="0"/>
          <w:kern w:val="22"/>
          <w:szCs w:val="22"/>
          <w:lang w:val="es-ES_tradnl"/>
        </w:rPr>
        <w:t>en</w:t>
      </w:r>
      <w:r w:rsidRPr="000E4865">
        <w:rPr>
          <w:snapToGrid w:val="0"/>
          <w:kern w:val="22"/>
          <w:szCs w:val="22"/>
          <w:lang w:val="es-ES_tradnl"/>
        </w:rPr>
        <w:t xml:space="preserve"> la diversidad biológica</w:t>
      </w:r>
      <w:r w:rsidR="00276B6C" w:rsidRPr="000E4865">
        <w:rPr>
          <w:snapToGrid w:val="0"/>
          <w:kern w:val="22"/>
          <w:szCs w:val="22"/>
          <w:lang w:val="es-ES_tradnl"/>
        </w:rPr>
        <w:t xml:space="preserve">. </w:t>
      </w:r>
      <w:r w:rsidR="004A56FA" w:rsidRPr="000E4865">
        <w:rPr>
          <w:snapToGrid w:val="0"/>
          <w:kern w:val="22"/>
          <w:szCs w:val="22"/>
          <w:lang w:val="es-ES_tradnl"/>
        </w:rPr>
        <w:t>Sin embargo, cada país o empresa, individualmente, tendría niveles variables de influencia sobre el comportamiento de otras empresas o países que participan en las cadenas de valor globalizadas de los productos manufacturados</w:t>
      </w:r>
      <w:r w:rsidR="00276B6C" w:rsidRPr="000E4865">
        <w:rPr>
          <w:snapToGrid w:val="0"/>
          <w:kern w:val="22"/>
          <w:szCs w:val="22"/>
          <w:lang w:val="es-ES_tradnl"/>
        </w:rPr>
        <w:t xml:space="preserve">. </w:t>
      </w:r>
      <w:r w:rsidR="004A56FA" w:rsidRPr="000E4865">
        <w:rPr>
          <w:snapToGrid w:val="0"/>
          <w:kern w:val="22"/>
          <w:szCs w:val="22"/>
          <w:lang w:val="es-ES_tradnl"/>
        </w:rPr>
        <w:t xml:space="preserve">Según las relaciones de poder </w:t>
      </w:r>
      <w:r w:rsidR="00276B6C" w:rsidRPr="000E4865">
        <w:rPr>
          <w:snapToGrid w:val="0"/>
          <w:kern w:val="22"/>
          <w:szCs w:val="22"/>
          <w:lang w:val="es-ES_tradnl"/>
        </w:rPr>
        <w:t>(</w:t>
      </w:r>
      <w:r w:rsidR="004A56FA" w:rsidRPr="000E4865">
        <w:rPr>
          <w:snapToGrid w:val="0"/>
          <w:kern w:val="22"/>
          <w:szCs w:val="22"/>
          <w:lang w:val="es-ES_tradnl"/>
        </w:rPr>
        <w:t>entre otros factores</w:t>
      </w:r>
      <w:r w:rsidR="00276B6C" w:rsidRPr="000E4865">
        <w:rPr>
          <w:snapToGrid w:val="0"/>
          <w:kern w:val="22"/>
          <w:szCs w:val="22"/>
          <w:lang w:val="es-ES_tradnl"/>
        </w:rPr>
        <w:t xml:space="preserve">), </w:t>
      </w:r>
      <w:r w:rsidR="004A56FA" w:rsidRPr="000E4865">
        <w:rPr>
          <w:snapToGrid w:val="0"/>
          <w:kern w:val="22"/>
          <w:szCs w:val="22"/>
          <w:lang w:val="es-ES_tradnl"/>
        </w:rPr>
        <w:t>uno o más actores a lo largo de dichas cadenas de valor podrían ser la clave para una integración más efectiva a la diversidad biológica en cado paso del valor añadido</w:t>
      </w:r>
      <w:r w:rsidR="00276B6C" w:rsidRPr="000E4865">
        <w:rPr>
          <w:snapToGrid w:val="0"/>
          <w:kern w:val="22"/>
          <w:szCs w:val="22"/>
          <w:lang w:val="es-ES_tradnl"/>
        </w:rPr>
        <w:t xml:space="preserve">. </w:t>
      </w:r>
      <w:r w:rsidR="004A56FA" w:rsidRPr="000E4865">
        <w:rPr>
          <w:snapToGrid w:val="0"/>
          <w:kern w:val="22"/>
          <w:szCs w:val="22"/>
          <w:lang w:val="es-ES_tradnl"/>
        </w:rPr>
        <w:t xml:space="preserve">En consecuencia, las soluciones de integración deben tener en cuenta los costos y beneficios de los cambios propuestos a la integración en cada paso de las cadenas de valor globalizadas </w:t>
      </w:r>
      <w:r w:rsidR="00276B6C" w:rsidRPr="000E4865">
        <w:rPr>
          <w:snapToGrid w:val="0"/>
          <w:kern w:val="22"/>
          <w:szCs w:val="22"/>
          <w:lang w:val="es-ES_tradnl"/>
        </w:rPr>
        <w:t>(</w:t>
      </w:r>
      <w:r w:rsidR="004A56FA" w:rsidRPr="000E4865">
        <w:rPr>
          <w:snapToGrid w:val="0"/>
          <w:kern w:val="22"/>
          <w:szCs w:val="22"/>
          <w:lang w:val="es-ES_tradnl"/>
        </w:rPr>
        <w:t>es decir, para evitar fugas de impactos</w:t>
      </w:r>
      <w:r w:rsidR="00276B6C" w:rsidRPr="000E4865">
        <w:rPr>
          <w:snapToGrid w:val="0"/>
          <w:kern w:val="22"/>
          <w:szCs w:val="22"/>
          <w:lang w:val="es-ES_tradnl"/>
        </w:rPr>
        <w:t xml:space="preserve">). </w:t>
      </w:r>
      <w:r w:rsidR="004A56FA" w:rsidRPr="000E4865">
        <w:rPr>
          <w:snapToGrid w:val="0"/>
          <w:kern w:val="22"/>
          <w:szCs w:val="22"/>
          <w:lang w:val="es-ES_tradnl"/>
        </w:rPr>
        <w:t>Esto exige enfoques de integración basados en consultas y acuerdos con múltiples interesados, de modo que las políticas, estrategias, reglas incentivos y desincentivos se apliquen a toda la cadena de valor de los productos manufacturados, no solo dentro de los límites de cada nación</w:t>
      </w:r>
      <w:r w:rsidR="00276B6C" w:rsidRPr="000E4865">
        <w:rPr>
          <w:snapToGrid w:val="0"/>
          <w:kern w:val="22"/>
          <w:szCs w:val="22"/>
          <w:lang w:val="es-ES_tradnl"/>
        </w:rPr>
        <w:t>.</w:t>
      </w:r>
    </w:p>
    <w:p w14:paraId="4B2CD6AA" w14:textId="524A6F9E" w:rsidR="00276B6C" w:rsidRPr="000E4865" w:rsidRDefault="004D63CC"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rPr>
        <w:t>Desde este punto de vista, reconfigurar o especificar cómo el sector privado, inclu</w:t>
      </w:r>
      <w:r w:rsidR="00D17EA0" w:rsidRPr="000E4865">
        <w:rPr>
          <w:snapToGrid w:val="0"/>
          <w:kern w:val="22"/>
          <w:szCs w:val="22"/>
          <w:lang w:val="es-ES_tradnl"/>
        </w:rPr>
        <w:t>i</w:t>
      </w:r>
      <w:r w:rsidRPr="000E4865">
        <w:rPr>
          <w:snapToGrid w:val="0"/>
          <w:kern w:val="22"/>
          <w:szCs w:val="22"/>
          <w:lang w:val="es-ES_tradnl"/>
        </w:rPr>
        <w:t>d</w:t>
      </w:r>
      <w:r w:rsidR="00D17EA0" w:rsidRPr="000E4865">
        <w:rPr>
          <w:snapToGrid w:val="0"/>
          <w:kern w:val="22"/>
          <w:szCs w:val="22"/>
          <w:lang w:val="es-ES_tradnl"/>
        </w:rPr>
        <w:t>a</w:t>
      </w:r>
      <w:r w:rsidRPr="000E4865">
        <w:rPr>
          <w:snapToGrid w:val="0"/>
          <w:kern w:val="22"/>
          <w:szCs w:val="22"/>
          <w:lang w:val="es-ES_tradnl"/>
        </w:rPr>
        <w:t xml:space="preserve"> cada </w:t>
      </w:r>
      <w:r w:rsidR="00D17EA0" w:rsidRPr="000E4865">
        <w:rPr>
          <w:snapToGrid w:val="0"/>
          <w:kern w:val="22"/>
          <w:szCs w:val="22"/>
          <w:lang w:val="es-ES_tradnl"/>
        </w:rPr>
        <w:t>industria manufacturera, pueden contribuir, en la práctica, a cada Meta de Aichi para la Diversidad Biológica apoyaría activamente el caso comercial para la integración de la diversidad biológica</w:t>
      </w:r>
      <w:r w:rsidR="00276B6C" w:rsidRPr="000E4865">
        <w:rPr>
          <w:snapToGrid w:val="0"/>
          <w:kern w:val="22"/>
          <w:szCs w:val="22"/>
          <w:lang w:val="es-ES_tradnl"/>
        </w:rPr>
        <w:t xml:space="preserve">. </w:t>
      </w:r>
      <w:r w:rsidR="00D17EA0" w:rsidRPr="000E4865">
        <w:rPr>
          <w:snapToGrid w:val="0"/>
          <w:kern w:val="22"/>
          <w:szCs w:val="22"/>
          <w:lang w:val="es-ES_tradnl"/>
        </w:rPr>
        <w:t xml:space="preserve">La mayoría de las Metas de </w:t>
      </w:r>
      <w:r w:rsidR="00276B6C" w:rsidRPr="000E4865">
        <w:rPr>
          <w:snapToGrid w:val="0"/>
          <w:kern w:val="22"/>
          <w:szCs w:val="22"/>
          <w:lang w:val="es-ES_tradnl"/>
        </w:rPr>
        <w:t xml:space="preserve">Aichi </w:t>
      </w:r>
      <w:r w:rsidR="00D17EA0" w:rsidRPr="000E4865">
        <w:rPr>
          <w:snapToGrid w:val="0"/>
          <w:kern w:val="22"/>
          <w:szCs w:val="22"/>
          <w:lang w:val="es-ES_tradnl"/>
        </w:rPr>
        <w:t xml:space="preserve">son pertinentes al sector privado en general, y algunas particularmente a las industrias manufactureras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D17EA0" w:rsidRPr="000E4865">
        <w:rPr>
          <w:snapToGrid w:val="0"/>
          <w:kern w:val="22"/>
          <w:szCs w:val="22"/>
          <w:lang w:val="es-ES_tradnl"/>
        </w:rPr>
        <w:t xml:space="preserve">Metas 4, 5 y 8 de </w:t>
      </w:r>
      <w:r w:rsidR="00276B6C" w:rsidRPr="000E4865">
        <w:rPr>
          <w:snapToGrid w:val="0"/>
          <w:kern w:val="22"/>
          <w:szCs w:val="22"/>
          <w:lang w:val="es-ES_tradnl"/>
        </w:rPr>
        <w:t xml:space="preserve">Aichi). </w:t>
      </w:r>
      <w:r w:rsidR="00D17EA0" w:rsidRPr="000E4865">
        <w:rPr>
          <w:snapToGrid w:val="0"/>
          <w:kern w:val="22"/>
          <w:szCs w:val="22"/>
          <w:lang w:val="es-ES_tradnl"/>
        </w:rPr>
        <w:t xml:space="preserve">La formulación de objetivos específicos a la industria </w:t>
      </w:r>
      <w:r w:rsidR="006978EE">
        <w:rPr>
          <w:snapToGrid w:val="0"/>
          <w:kern w:val="22"/>
          <w:szCs w:val="22"/>
          <w:lang w:val="es-ES_tradnl"/>
        </w:rPr>
        <w:t>e</w:t>
      </w:r>
      <w:r w:rsidR="00D17EA0" w:rsidRPr="000E4865">
        <w:rPr>
          <w:snapToGrid w:val="0"/>
          <w:kern w:val="22"/>
          <w:szCs w:val="22"/>
          <w:lang w:val="es-ES_tradnl"/>
        </w:rPr>
        <w:t xml:space="preserve"> indicadores </w:t>
      </w:r>
      <w:r w:rsidR="006978EE">
        <w:rPr>
          <w:snapToGrid w:val="0"/>
          <w:kern w:val="22"/>
          <w:szCs w:val="22"/>
          <w:lang w:val="es-ES_tradnl"/>
        </w:rPr>
        <w:t xml:space="preserve">clave </w:t>
      </w:r>
      <w:r w:rsidR="00D17EA0" w:rsidRPr="000E4865">
        <w:rPr>
          <w:snapToGrid w:val="0"/>
          <w:kern w:val="22"/>
          <w:szCs w:val="22"/>
          <w:lang w:val="es-ES_tradnl"/>
        </w:rPr>
        <w:t xml:space="preserve">de desempeño para </w:t>
      </w:r>
      <w:r w:rsidR="00306F6E" w:rsidRPr="000E4865">
        <w:rPr>
          <w:snapToGrid w:val="0"/>
          <w:kern w:val="22"/>
          <w:szCs w:val="22"/>
          <w:lang w:val="es-ES_tradnl"/>
        </w:rPr>
        <w:t xml:space="preserve">su inclusión </w:t>
      </w:r>
      <w:r w:rsidR="00D17EA0" w:rsidRPr="000E4865">
        <w:rPr>
          <w:snapToGrid w:val="0"/>
          <w:kern w:val="22"/>
          <w:szCs w:val="22"/>
          <w:lang w:val="es-ES_tradnl"/>
        </w:rPr>
        <w:t>en futuras estrategias y planes de acción nacionales sobre diversidad biológica, así como las iniciativas de presentación de informes conexas de conformidad con el Convenio deberían</w:t>
      </w:r>
      <w:r w:rsidR="00306F6E" w:rsidRPr="000E4865">
        <w:rPr>
          <w:snapToGrid w:val="0"/>
          <w:kern w:val="22"/>
          <w:szCs w:val="22"/>
          <w:lang w:val="es-ES_tradnl"/>
        </w:rPr>
        <w:t xml:space="preserve"> fomentar una participación más efectiva de las Partes y la Secretaría con los actores clave</w:t>
      </w:r>
      <w:r w:rsidR="00F901E7" w:rsidRPr="000E4865">
        <w:rPr>
          <w:snapToGrid w:val="0"/>
          <w:kern w:val="22"/>
          <w:szCs w:val="22"/>
          <w:lang w:val="es-ES_tradnl"/>
        </w:rPr>
        <w:t xml:space="preserve"> </w:t>
      </w:r>
      <w:r w:rsidR="00306F6E" w:rsidRPr="000E4865">
        <w:rPr>
          <w:snapToGrid w:val="0"/>
          <w:kern w:val="22"/>
          <w:szCs w:val="22"/>
          <w:lang w:val="es-ES_tradnl"/>
        </w:rPr>
        <w:t>del sector manufacturero</w:t>
      </w:r>
      <w:r w:rsidR="00276B6C" w:rsidRPr="000E4865">
        <w:rPr>
          <w:snapToGrid w:val="0"/>
          <w:kern w:val="22"/>
          <w:szCs w:val="22"/>
          <w:lang w:val="es-ES_tradnl"/>
        </w:rPr>
        <w:t>.</w:t>
      </w:r>
    </w:p>
    <w:p w14:paraId="12341559" w14:textId="5F4E0E9F" w:rsidR="00276B6C" w:rsidRPr="000E4865" w:rsidRDefault="00276B6C" w:rsidP="00D74331">
      <w:pPr>
        <w:pStyle w:val="Heading1"/>
        <w:numPr>
          <w:ilvl w:val="0"/>
          <w:numId w:val="21"/>
        </w:numPr>
        <w:suppressLineNumbers/>
        <w:tabs>
          <w:tab w:val="clear" w:pos="720"/>
          <w:tab w:val="left" w:pos="810"/>
        </w:tabs>
        <w:suppressAutoHyphens/>
        <w:kinsoku w:val="0"/>
        <w:overflowPunct w:val="0"/>
        <w:autoSpaceDE w:val="0"/>
        <w:autoSpaceDN w:val="0"/>
        <w:adjustRightInd w:val="0"/>
        <w:snapToGrid w:val="0"/>
        <w:spacing w:before="120" w:line="238" w:lineRule="auto"/>
        <w:rPr>
          <w:caps w:val="0"/>
          <w:snapToGrid w:val="0"/>
          <w:kern w:val="22"/>
          <w:szCs w:val="22"/>
          <w:lang w:val="es-ES_tradnl"/>
        </w:rPr>
      </w:pPr>
      <w:r w:rsidRPr="000E4865">
        <w:rPr>
          <w:snapToGrid w:val="0"/>
          <w:kern w:val="22"/>
          <w:szCs w:val="22"/>
          <w:lang w:val="es-ES_tradnl"/>
        </w:rPr>
        <w:t>Conclusion</w:t>
      </w:r>
      <w:r w:rsidR="00DE53A5" w:rsidRPr="000E4865">
        <w:rPr>
          <w:snapToGrid w:val="0"/>
          <w:kern w:val="22"/>
          <w:szCs w:val="22"/>
          <w:lang w:val="es-ES_tradnl"/>
        </w:rPr>
        <w:t>E</w:t>
      </w:r>
      <w:r w:rsidRPr="000E4865">
        <w:rPr>
          <w:snapToGrid w:val="0"/>
          <w:kern w:val="22"/>
          <w:szCs w:val="22"/>
          <w:lang w:val="es-ES_tradnl"/>
        </w:rPr>
        <w:t>s</w:t>
      </w:r>
    </w:p>
    <w:p w14:paraId="7323A5C9" w14:textId="011EE7BF" w:rsidR="00276B6C" w:rsidRPr="000E4865" w:rsidRDefault="00F901E7"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eastAsia="ja-JP" w:bidi="th-TH"/>
        </w:rPr>
        <w:t>Nunca se insistirá lo suficiente en la importancia de la diversidad biológica para el sector manufacturero</w:t>
      </w:r>
      <w:r w:rsidR="00276B6C" w:rsidRPr="000E4865">
        <w:rPr>
          <w:snapToGrid w:val="0"/>
          <w:kern w:val="22"/>
          <w:szCs w:val="22"/>
          <w:lang w:val="es-ES_tradnl" w:eastAsia="ja-JP" w:bidi="th-TH"/>
        </w:rPr>
        <w:t xml:space="preserve">. </w:t>
      </w:r>
      <w:r w:rsidRPr="000E4865">
        <w:rPr>
          <w:snapToGrid w:val="0"/>
          <w:kern w:val="22"/>
          <w:szCs w:val="22"/>
          <w:lang w:val="es-ES_tradnl" w:eastAsia="ja-JP" w:bidi="th-TH"/>
        </w:rPr>
        <w:t xml:space="preserve">Todas las industrias manufactureras dependen directamente de algunos servicios </w:t>
      </w:r>
      <w:r w:rsidR="006978EE">
        <w:rPr>
          <w:snapToGrid w:val="0"/>
          <w:kern w:val="22"/>
          <w:szCs w:val="22"/>
          <w:lang w:val="es-ES_tradnl" w:eastAsia="ja-JP" w:bidi="th-TH"/>
        </w:rPr>
        <w:t>ecosistémicos</w:t>
      </w:r>
      <w:r w:rsidR="00276B6C" w:rsidRPr="000E4865">
        <w:rPr>
          <w:snapToGrid w:val="0"/>
          <w:kern w:val="22"/>
          <w:szCs w:val="22"/>
          <w:lang w:val="es-ES_tradnl" w:eastAsia="ja-JP" w:bidi="th-TH"/>
        </w:rPr>
        <w:t xml:space="preserve">, </w:t>
      </w:r>
      <w:r w:rsidRPr="000E4865">
        <w:rPr>
          <w:snapToGrid w:val="0"/>
          <w:kern w:val="22"/>
          <w:szCs w:val="22"/>
          <w:lang w:val="es-ES_tradnl" w:eastAsia="ja-JP" w:bidi="th-TH"/>
        </w:rPr>
        <w:t>en las fábricas</w:t>
      </w:r>
      <w:r w:rsidR="00276B6C" w:rsidRPr="000E4865">
        <w:rPr>
          <w:snapToGrid w:val="0"/>
          <w:kern w:val="22"/>
          <w:szCs w:val="22"/>
          <w:lang w:val="es-ES_tradnl" w:eastAsia="ja-JP" w:bidi="th-TH"/>
        </w:rPr>
        <w:t xml:space="preserve">, </w:t>
      </w:r>
      <w:r w:rsidRPr="000E4865">
        <w:rPr>
          <w:snapToGrid w:val="0"/>
          <w:kern w:val="22"/>
          <w:szCs w:val="22"/>
          <w:lang w:val="es-ES_tradnl" w:eastAsia="ja-JP" w:bidi="th-TH"/>
        </w:rPr>
        <w:t>e indirectamente a través de sus cadenas de suministro</w:t>
      </w:r>
      <w:r w:rsidR="00276B6C" w:rsidRPr="000E4865">
        <w:rPr>
          <w:snapToGrid w:val="0"/>
          <w:kern w:val="22"/>
          <w:szCs w:val="22"/>
          <w:lang w:val="es-ES_tradnl" w:eastAsia="ja-JP" w:bidi="th-TH"/>
        </w:rPr>
        <w:t xml:space="preserve">. </w:t>
      </w:r>
      <w:r w:rsidRPr="000E4865">
        <w:rPr>
          <w:snapToGrid w:val="0"/>
          <w:kern w:val="22"/>
          <w:szCs w:val="22"/>
          <w:lang w:val="es-ES_tradnl" w:eastAsia="ja-JP" w:bidi="th-TH"/>
        </w:rPr>
        <w:t>Al mismo tiempo, las industrias manufactureras generan considerables impactos en la diversidad biológica</w:t>
      </w:r>
      <w:r w:rsidR="00276B6C" w:rsidRPr="000E4865">
        <w:rPr>
          <w:snapToGrid w:val="0"/>
          <w:kern w:val="22"/>
          <w:szCs w:val="22"/>
          <w:lang w:val="es-ES_tradnl" w:eastAsia="ja-JP" w:bidi="th-TH"/>
        </w:rPr>
        <w:t xml:space="preserve">, </w:t>
      </w:r>
      <w:r w:rsidRPr="000E4865">
        <w:rPr>
          <w:snapToGrid w:val="0"/>
          <w:kern w:val="22"/>
          <w:szCs w:val="22"/>
          <w:lang w:val="es-ES_tradnl" w:eastAsia="ja-JP" w:bidi="th-TH"/>
        </w:rPr>
        <w:t>que ocurren a lo largo de todo el ciclo de vida útil de los productos manufacturados</w:t>
      </w:r>
      <w:r w:rsidR="00276B6C" w:rsidRPr="000E4865">
        <w:rPr>
          <w:snapToGrid w:val="0"/>
          <w:kern w:val="22"/>
          <w:szCs w:val="22"/>
          <w:lang w:val="es-ES_tradnl" w:eastAsia="ja-JP" w:bidi="th-TH"/>
        </w:rPr>
        <w:t xml:space="preserve">. </w:t>
      </w:r>
      <w:r w:rsidRPr="000E4865">
        <w:rPr>
          <w:snapToGrid w:val="0"/>
          <w:kern w:val="22"/>
          <w:szCs w:val="22"/>
          <w:lang w:val="es-ES_tradnl" w:eastAsia="ja-JP" w:bidi="th-TH"/>
        </w:rPr>
        <w:t>Se prevé que dichos impactos a</w:t>
      </w:r>
      <w:r w:rsidR="00982C93" w:rsidRPr="000E4865">
        <w:rPr>
          <w:snapToGrid w:val="0"/>
          <w:kern w:val="22"/>
          <w:szCs w:val="22"/>
          <w:lang w:val="es-ES_tradnl" w:eastAsia="ja-JP" w:bidi="th-TH"/>
        </w:rPr>
        <w:t>umenten en las próximas décadas</w:t>
      </w:r>
      <w:r w:rsidR="00276B6C" w:rsidRPr="000E4865">
        <w:rPr>
          <w:snapToGrid w:val="0"/>
          <w:kern w:val="22"/>
          <w:szCs w:val="22"/>
          <w:lang w:val="es-ES_tradnl" w:eastAsia="ja-JP" w:bidi="th-TH"/>
        </w:rPr>
        <w:t>.</w:t>
      </w:r>
    </w:p>
    <w:p w14:paraId="399C0189" w14:textId="30BA6921" w:rsidR="00276B6C" w:rsidRPr="000E4865" w:rsidRDefault="00982C93"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eastAsia="ja-JP" w:bidi="th-TH"/>
        </w:rPr>
        <w:t xml:space="preserve">Las Partes han realizado esfuerzos considerables por reducir los impactos ambientales de los productos manufacturados que son pertinentes para la diversidad biológica </w:t>
      </w:r>
      <w:r w:rsidR="00276B6C" w:rsidRPr="000E4865">
        <w:rPr>
          <w:snapToGrid w:val="0"/>
          <w:kern w:val="22"/>
          <w:szCs w:val="22"/>
          <w:lang w:val="es-ES_tradnl" w:eastAsia="ja-JP" w:bidi="th-TH"/>
        </w:rPr>
        <w:t>(</w:t>
      </w:r>
      <w:r w:rsidR="00005AD5" w:rsidRPr="000E4865">
        <w:rPr>
          <w:snapToGrid w:val="0"/>
          <w:kern w:val="22"/>
          <w:szCs w:val="22"/>
          <w:lang w:val="es-ES_tradnl" w:eastAsia="ja-JP" w:bidi="th-TH"/>
        </w:rPr>
        <w:t>p. ej.</w:t>
      </w:r>
      <w:r w:rsidR="00276B6C" w:rsidRPr="000E4865">
        <w:rPr>
          <w:snapToGrid w:val="0"/>
          <w:kern w:val="22"/>
          <w:szCs w:val="22"/>
          <w:lang w:val="es-ES_tradnl" w:eastAsia="ja-JP" w:bidi="th-TH"/>
        </w:rPr>
        <w:t xml:space="preserve">, </w:t>
      </w:r>
      <w:r w:rsidRPr="000E4865">
        <w:rPr>
          <w:snapToGrid w:val="0"/>
          <w:kern w:val="22"/>
          <w:szCs w:val="22"/>
          <w:lang w:val="es-ES_tradnl" w:eastAsia="ja-JP" w:bidi="th-TH"/>
        </w:rPr>
        <w:t>emisiones atmosféricas, desechos sólidos</w:t>
      </w:r>
      <w:r w:rsidR="00276B6C" w:rsidRPr="000E4865">
        <w:rPr>
          <w:snapToGrid w:val="0"/>
          <w:kern w:val="22"/>
          <w:szCs w:val="22"/>
          <w:lang w:val="es-ES_tradnl" w:eastAsia="ja-JP" w:bidi="th-TH"/>
        </w:rPr>
        <w:t>)</w:t>
      </w:r>
      <w:r w:rsidR="00276B6C" w:rsidRPr="000E4865">
        <w:rPr>
          <w:snapToGrid w:val="0"/>
          <w:kern w:val="22"/>
          <w:szCs w:val="22"/>
          <w:lang w:val="es-ES_tradnl"/>
        </w:rPr>
        <w:t xml:space="preserve">. </w:t>
      </w:r>
      <w:r w:rsidRPr="000E4865">
        <w:rPr>
          <w:snapToGrid w:val="0"/>
          <w:kern w:val="22"/>
          <w:szCs w:val="22"/>
          <w:lang w:val="es-ES_tradnl"/>
        </w:rPr>
        <w:t>Con esa finalidad, se han movilizado diversas intervenciones en materia de normativa</w:t>
      </w:r>
      <w:r w:rsidR="00276B6C" w:rsidRPr="000E4865">
        <w:rPr>
          <w:snapToGrid w:val="0"/>
          <w:kern w:val="22"/>
          <w:szCs w:val="22"/>
          <w:lang w:val="es-ES_tradnl" w:eastAsia="ja-JP" w:bidi="th-TH"/>
        </w:rPr>
        <w:t xml:space="preserve">, </w:t>
      </w:r>
      <w:r w:rsidRPr="000E4865">
        <w:rPr>
          <w:snapToGrid w:val="0"/>
          <w:kern w:val="22"/>
          <w:szCs w:val="22"/>
          <w:lang w:val="es-ES_tradnl" w:eastAsia="ja-JP" w:bidi="th-TH"/>
        </w:rPr>
        <w:t>desde reglamentaciones directas e instrumentos de mercado hasta adquisiciones públicas ecológicas, con un mayor apoyo necesario para algunas naciones en desarrollo para mejorar el seguimiento, el cumplimiento y la aplicación</w:t>
      </w:r>
      <w:r w:rsidR="00276B6C" w:rsidRPr="000E4865">
        <w:rPr>
          <w:snapToGrid w:val="0"/>
          <w:kern w:val="22"/>
          <w:szCs w:val="22"/>
          <w:lang w:val="es-ES_tradnl" w:eastAsia="ja-JP" w:bidi="th-TH"/>
        </w:rPr>
        <w:t>.</w:t>
      </w:r>
    </w:p>
    <w:p w14:paraId="36736913" w14:textId="19AD3553" w:rsidR="00982C93" w:rsidRPr="000E4865" w:rsidRDefault="00982C93" w:rsidP="001717A5">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snapToGrid w:val="0"/>
          <w:kern w:val="22"/>
          <w:szCs w:val="22"/>
          <w:lang w:val="es-ES_tradnl" w:eastAsia="ja-JP" w:bidi="th-TH"/>
        </w:rPr>
        <w:t xml:space="preserve">Las empresas manufactureras también han realizado esfuerzos considerables por integrar las consideraciones de la diversidad biológica utilizando diversas herramientas ambientales, tales como sistemas de gestión ambiental, </w:t>
      </w:r>
      <w:r w:rsidRPr="000E4865">
        <w:rPr>
          <w:snapToGrid w:val="0"/>
          <w:kern w:val="22"/>
          <w:szCs w:val="22"/>
          <w:lang w:val="es-ES_tradnl"/>
        </w:rPr>
        <w:t>evaluaciones de impacto ambiental y social</w:t>
      </w:r>
      <w:r w:rsidR="00276B6C" w:rsidRPr="000E4865">
        <w:rPr>
          <w:snapToGrid w:val="0"/>
          <w:kern w:val="22"/>
          <w:szCs w:val="22"/>
          <w:lang w:val="es-ES_tradnl"/>
        </w:rPr>
        <w:t xml:space="preserve">, </w:t>
      </w:r>
      <w:r w:rsidRPr="000E4865">
        <w:rPr>
          <w:snapToGrid w:val="0"/>
          <w:kern w:val="22"/>
          <w:szCs w:val="22"/>
          <w:lang w:val="es-ES_tradnl"/>
        </w:rPr>
        <w:t>evaluaciones de impacto del ciclo de vida</w:t>
      </w:r>
      <w:r w:rsidR="00276B6C" w:rsidRPr="000E4865">
        <w:rPr>
          <w:snapToGrid w:val="0"/>
          <w:kern w:val="22"/>
          <w:szCs w:val="22"/>
          <w:lang w:val="es-ES_tradnl"/>
        </w:rPr>
        <w:t xml:space="preserve">, </w:t>
      </w:r>
      <w:r w:rsidRPr="000E4865">
        <w:rPr>
          <w:snapToGrid w:val="0"/>
          <w:kern w:val="22"/>
          <w:szCs w:val="22"/>
          <w:lang w:val="es-ES_tradnl"/>
        </w:rPr>
        <w:t>la contabilidad de la gestión ambiental</w:t>
      </w:r>
      <w:r w:rsidR="00327332" w:rsidRPr="000E4865">
        <w:rPr>
          <w:snapToGrid w:val="0"/>
          <w:kern w:val="22"/>
          <w:szCs w:val="22"/>
          <w:lang w:val="es-ES_tradnl"/>
        </w:rPr>
        <w:t>, la</w:t>
      </w:r>
      <w:r w:rsidRPr="000E4865">
        <w:rPr>
          <w:snapToGrid w:val="0"/>
          <w:kern w:val="22"/>
          <w:szCs w:val="22"/>
          <w:lang w:val="es-ES_tradnl"/>
        </w:rPr>
        <w:t xml:space="preserve"> presentación de informes y divulgación, o la valoración de externalidades o de</w:t>
      </w:r>
      <w:r w:rsidR="00327332" w:rsidRPr="000E4865">
        <w:rPr>
          <w:snapToGrid w:val="0"/>
          <w:kern w:val="22"/>
          <w:szCs w:val="22"/>
          <w:lang w:val="es-ES_tradnl"/>
        </w:rPr>
        <w:t>l</w:t>
      </w:r>
      <w:r w:rsidRPr="000E4865">
        <w:rPr>
          <w:snapToGrid w:val="0"/>
          <w:kern w:val="22"/>
          <w:szCs w:val="22"/>
          <w:lang w:val="es-ES_tradnl"/>
        </w:rPr>
        <w:t xml:space="preserve"> capital natural</w:t>
      </w:r>
      <w:r w:rsidR="00276B6C" w:rsidRPr="000E4865">
        <w:rPr>
          <w:snapToGrid w:val="0"/>
          <w:kern w:val="22"/>
          <w:szCs w:val="22"/>
          <w:lang w:val="es-ES_tradnl"/>
        </w:rPr>
        <w:t xml:space="preserve">. </w:t>
      </w:r>
      <w:r w:rsidR="00327332" w:rsidRPr="000E4865">
        <w:rPr>
          <w:snapToGrid w:val="0"/>
          <w:kern w:val="22"/>
          <w:szCs w:val="22"/>
          <w:lang w:val="es-ES_tradnl"/>
        </w:rPr>
        <w:t>Se debe reconocer, apoyar y premiar a las empresas que van más allá del mero cumplimiento</w:t>
      </w:r>
      <w:r w:rsidR="00276B6C" w:rsidRPr="000E4865">
        <w:rPr>
          <w:snapToGrid w:val="0"/>
          <w:kern w:val="22"/>
          <w:szCs w:val="22"/>
          <w:lang w:val="es-ES_tradnl"/>
        </w:rPr>
        <w:t>.</w:t>
      </w:r>
      <w:r w:rsidRPr="000E4865">
        <w:rPr>
          <w:snapToGrid w:val="0"/>
          <w:kern w:val="22"/>
          <w:szCs w:val="22"/>
          <w:lang w:val="es-ES_tradnl"/>
        </w:rPr>
        <w:t xml:space="preserve"> </w:t>
      </w:r>
    </w:p>
    <w:p w14:paraId="12F82BEE" w14:textId="73378342" w:rsidR="00276B6C" w:rsidRPr="000E4865" w:rsidRDefault="00922BAC"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eastAsia="ja-JP" w:bidi="th-TH"/>
        </w:rPr>
      </w:pPr>
      <w:r w:rsidRPr="000E4865">
        <w:rPr>
          <w:snapToGrid w:val="0"/>
          <w:kern w:val="22"/>
          <w:szCs w:val="22"/>
          <w:lang w:val="es-ES_tradnl" w:eastAsia="ja-JP" w:bidi="th-TH"/>
        </w:rPr>
        <w:lastRenderedPageBreak/>
        <w:t xml:space="preserve">Para seguir apoyando a las empresas manufactureras en la integración </w:t>
      </w:r>
      <w:r w:rsidR="00D52625" w:rsidRPr="000E4865">
        <w:rPr>
          <w:snapToGrid w:val="0"/>
          <w:kern w:val="22"/>
          <w:szCs w:val="22"/>
          <w:lang w:val="es-ES_tradnl" w:eastAsia="ja-JP" w:bidi="th-TH"/>
        </w:rPr>
        <w:t>de la diversidad biológica</w:t>
      </w:r>
      <w:r w:rsidR="00276B6C" w:rsidRPr="000E4865">
        <w:rPr>
          <w:rFonts w:eastAsiaTheme="minorHAnsi"/>
          <w:snapToGrid w:val="0"/>
          <w:kern w:val="22"/>
          <w:szCs w:val="22"/>
          <w:lang w:val="es-ES_tradnl"/>
        </w:rPr>
        <w:t xml:space="preserve">, </w:t>
      </w:r>
      <w:r w:rsidR="00D52625" w:rsidRPr="000E4865">
        <w:rPr>
          <w:rFonts w:eastAsiaTheme="minorHAnsi"/>
          <w:snapToGrid w:val="0"/>
          <w:kern w:val="22"/>
          <w:szCs w:val="22"/>
          <w:lang w:val="es-ES_tradnl"/>
        </w:rPr>
        <w:t>sería necesario fortalecer las alianzas mundiales y sectoriales y el intercambio de información</w:t>
      </w:r>
      <w:r w:rsidR="006978EE">
        <w:rPr>
          <w:rFonts w:eastAsiaTheme="minorHAnsi"/>
          <w:snapToGrid w:val="0"/>
          <w:kern w:val="22"/>
          <w:szCs w:val="22"/>
          <w:lang w:val="es-ES_tradnl"/>
        </w:rPr>
        <w:t>, así como</w:t>
      </w:r>
      <w:r w:rsidR="00D52625" w:rsidRPr="000E4865">
        <w:rPr>
          <w:rFonts w:eastAsiaTheme="minorHAnsi"/>
          <w:snapToGrid w:val="0"/>
          <w:kern w:val="22"/>
          <w:szCs w:val="22"/>
          <w:lang w:val="es-ES_tradnl"/>
        </w:rPr>
        <w:t xml:space="preserve"> colaboración entre Partes, organizaciones e iniciativas pertinentes</w:t>
      </w:r>
      <w:r w:rsidR="00276B6C" w:rsidRPr="000E4865">
        <w:rPr>
          <w:snapToGrid w:val="0"/>
          <w:kern w:val="22"/>
          <w:szCs w:val="22"/>
          <w:lang w:val="es-ES_tradnl" w:eastAsia="ja-JP" w:bidi="th-TH"/>
        </w:rPr>
        <w:t xml:space="preserve">. </w:t>
      </w:r>
      <w:r w:rsidR="00D52625" w:rsidRPr="000E4865">
        <w:rPr>
          <w:snapToGrid w:val="0"/>
          <w:kern w:val="22"/>
          <w:szCs w:val="22"/>
          <w:lang w:val="es-ES_tradnl" w:eastAsia="ja-JP" w:bidi="th-TH"/>
        </w:rPr>
        <w:t xml:space="preserve">En particular, sería necesarios brindar más apoyo para ayudar a las empresas manufactureras a reconocer, medir, valorar, gestionar con responsabilidad y </w:t>
      </w:r>
      <w:r w:rsidR="006978EE">
        <w:rPr>
          <w:snapToGrid w:val="0"/>
          <w:kern w:val="22"/>
          <w:szCs w:val="22"/>
          <w:lang w:val="es-ES_tradnl" w:eastAsia="ja-JP" w:bidi="th-TH"/>
        </w:rPr>
        <w:t xml:space="preserve">divulgar </w:t>
      </w:r>
      <w:r w:rsidR="00D52625" w:rsidRPr="000E4865">
        <w:rPr>
          <w:snapToGrid w:val="0"/>
          <w:kern w:val="22"/>
          <w:szCs w:val="22"/>
          <w:lang w:val="es-ES_tradnl" w:eastAsia="ja-JP" w:bidi="th-TH"/>
        </w:rPr>
        <w:t xml:space="preserve">información que atañe a su desempeño, relacionada con sus dependencias e impactos directos e indirectos en los ecosistemas y en la </w:t>
      </w:r>
      <w:r w:rsidR="00D52625" w:rsidRPr="000E4865">
        <w:rPr>
          <w:snapToGrid w:val="0"/>
          <w:kern w:val="22"/>
          <w:szCs w:val="22"/>
          <w:lang w:val="es-ES_tradnl"/>
        </w:rPr>
        <w:t>diversidad biológica</w:t>
      </w:r>
      <w:r w:rsidR="00276B6C" w:rsidRPr="000E4865">
        <w:rPr>
          <w:snapToGrid w:val="0"/>
          <w:kern w:val="22"/>
          <w:szCs w:val="22"/>
          <w:lang w:val="es-ES_tradnl"/>
        </w:rPr>
        <w:t xml:space="preserve">. </w:t>
      </w:r>
      <w:r w:rsidR="00D52625" w:rsidRPr="000E4865">
        <w:rPr>
          <w:snapToGrid w:val="0"/>
          <w:kern w:val="22"/>
          <w:szCs w:val="22"/>
          <w:lang w:val="es-ES_tradnl"/>
        </w:rPr>
        <w:t xml:space="preserve">Además, para abordar los problemas de </w:t>
      </w:r>
      <w:r w:rsidR="00E444CE" w:rsidRPr="000E4865">
        <w:rPr>
          <w:snapToGrid w:val="0"/>
          <w:kern w:val="22"/>
          <w:szCs w:val="22"/>
          <w:lang w:val="es-ES_tradnl"/>
        </w:rPr>
        <w:t xml:space="preserve">la </w:t>
      </w:r>
      <w:r w:rsidR="00E444CE" w:rsidRPr="000E4865">
        <w:rPr>
          <w:rFonts w:eastAsiaTheme="minorHAnsi"/>
          <w:snapToGrid w:val="0"/>
          <w:kern w:val="22"/>
          <w:szCs w:val="22"/>
          <w:lang w:val="es-ES_tradnl"/>
        </w:rPr>
        <w:t>diversidad biológica a lo largo de las cadenas de valor de los productos manufacturados sería necesario contar con modelos innovadores de gobernanza y de gestión</w:t>
      </w:r>
      <w:r w:rsidR="00276B6C" w:rsidRPr="000E4865">
        <w:rPr>
          <w:rFonts w:eastAsiaTheme="minorHAnsi"/>
          <w:snapToGrid w:val="0"/>
          <w:kern w:val="22"/>
          <w:szCs w:val="22"/>
          <w:lang w:val="es-ES_tradnl"/>
        </w:rPr>
        <w:t>.</w:t>
      </w:r>
      <w:r w:rsidR="00E444CE" w:rsidRPr="000E4865">
        <w:rPr>
          <w:rFonts w:eastAsiaTheme="minorHAnsi"/>
          <w:snapToGrid w:val="0"/>
          <w:kern w:val="22"/>
          <w:szCs w:val="22"/>
          <w:lang w:val="es-ES_tradnl"/>
        </w:rPr>
        <w:t xml:space="preserve"> </w:t>
      </w:r>
    </w:p>
    <w:p w14:paraId="55BA16DC" w14:textId="5E984EC3" w:rsidR="00276B6C" w:rsidRPr="000E4865" w:rsidRDefault="00165050"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snapToGrid w:val="0"/>
          <w:kern w:val="22"/>
          <w:szCs w:val="22"/>
          <w:lang w:val="es-ES_tradnl"/>
        </w:rPr>
      </w:pPr>
      <w:r w:rsidRPr="000E4865">
        <w:rPr>
          <w:rFonts w:eastAsiaTheme="minorHAnsi"/>
          <w:snapToGrid w:val="0"/>
          <w:kern w:val="22"/>
          <w:szCs w:val="22"/>
          <w:lang w:val="es-ES_tradnl"/>
        </w:rPr>
        <w:t>Las Partes tal vez deseen considerar la posibilidad de elaborar, adopt</w:t>
      </w:r>
      <w:r w:rsidR="00047881" w:rsidRPr="000E4865">
        <w:rPr>
          <w:rFonts w:eastAsiaTheme="minorHAnsi"/>
          <w:snapToGrid w:val="0"/>
          <w:kern w:val="22"/>
          <w:szCs w:val="22"/>
          <w:lang w:val="es-ES_tradnl"/>
        </w:rPr>
        <w:t>a</w:t>
      </w:r>
      <w:r w:rsidRPr="000E4865">
        <w:rPr>
          <w:rFonts w:eastAsiaTheme="minorHAnsi"/>
          <w:snapToGrid w:val="0"/>
          <w:kern w:val="22"/>
          <w:szCs w:val="22"/>
          <w:lang w:val="es-ES_tradnl"/>
        </w:rPr>
        <w:t xml:space="preserve">r e implementar </w:t>
      </w:r>
      <w:r w:rsidR="00047881" w:rsidRPr="000E4865">
        <w:rPr>
          <w:rFonts w:eastAsiaTheme="minorHAnsi"/>
          <w:snapToGrid w:val="0"/>
          <w:kern w:val="22"/>
          <w:szCs w:val="22"/>
          <w:lang w:val="es-ES_tradnl"/>
        </w:rPr>
        <w:t>entornos normativos y legislativos e incentivos propicios</w:t>
      </w:r>
      <w:r w:rsidR="00276B6C" w:rsidRPr="000E4865">
        <w:rPr>
          <w:snapToGrid w:val="0"/>
          <w:kern w:val="22"/>
          <w:szCs w:val="22"/>
          <w:lang w:val="es-ES_tradnl"/>
        </w:rPr>
        <w:t>,</w:t>
      </w:r>
      <w:r w:rsidR="00047881" w:rsidRPr="000E4865">
        <w:rPr>
          <w:snapToGrid w:val="0"/>
          <w:kern w:val="22"/>
          <w:szCs w:val="22"/>
          <w:lang w:val="es-ES_tradnl"/>
        </w:rPr>
        <w:t xml:space="preserve"> o proporcionar orientación con miras a apoyar a las empresas manufactureras para reconocer, medir, valorar, gestionar sosteniblemente</w:t>
      </w:r>
      <w:r w:rsidR="00276B6C" w:rsidRPr="000E4865">
        <w:rPr>
          <w:snapToGrid w:val="0"/>
          <w:kern w:val="22"/>
          <w:szCs w:val="22"/>
          <w:lang w:val="es-ES_tradnl"/>
        </w:rPr>
        <w:t xml:space="preserve">, </w:t>
      </w:r>
      <w:r w:rsidR="00047881" w:rsidRPr="000E4865">
        <w:rPr>
          <w:snapToGrid w:val="0"/>
          <w:kern w:val="22"/>
          <w:szCs w:val="22"/>
          <w:lang w:val="es-ES_tradnl"/>
        </w:rPr>
        <w:t xml:space="preserve">y </w:t>
      </w:r>
      <w:r w:rsidR="006978EE">
        <w:rPr>
          <w:snapToGrid w:val="0"/>
          <w:kern w:val="22"/>
          <w:szCs w:val="22"/>
          <w:lang w:val="es-ES_tradnl"/>
        </w:rPr>
        <w:t xml:space="preserve">divulgar </w:t>
      </w:r>
      <w:r w:rsidR="00047881" w:rsidRPr="000E4865">
        <w:rPr>
          <w:snapToGrid w:val="0"/>
          <w:kern w:val="22"/>
          <w:szCs w:val="22"/>
          <w:lang w:val="es-ES_tradnl"/>
        </w:rPr>
        <w:t xml:space="preserve">información que atañe a su desempeño </w:t>
      </w:r>
      <w:r w:rsidR="00047881" w:rsidRPr="000E4865">
        <w:rPr>
          <w:snapToGrid w:val="0"/>
          <w:kern w:val="22"/>
          <w:szCs w:val="22"/>
          <w:lang w:val="es-ES_tradnl" w:eastAsia="ja-JP" w:bidi="th-TH"/>
        </w:rPr>
        <w:t xml:space="preserve">relacionada con sus dependencias e impactos directos e indirectos en los ecosistemas y en la </w:t>
      </w:r>
      <w:r w:rsidR="00047881" w:rsidRPr="000E4865">
        <w:rPr>
          <w:snapToGrid w:val="0"/>
          <w:kern w:val="22"/>
          <w:szCs w:val="22"/>
          <w:lang w:val="es-ES_tradnl"/>
        </w:rPr>
        <w:t>diversidad biológica</w:t>
      </w:r>
      <w:r w:rsidR="00144865" w:rsidRPr="000E4865">
        <w:rPr>
          <w:snapToGrid w:val="0"/>
          <w:kern w:val="22"/>
          <w:szCs w:val="22"/>
          <w:lang w:val="es-ES_tradnl"/>
        </w:rPr>
        <w:t>,</w:t>
      </w:r>
      <w:r w:rsidR="00276B6C" w:rsidRPr="000E4865">
        <w:rPr>
          <w:snapToGrid w:val="0"/>
          <w:kern w:val="22"/>
          <w:szCs w:val="22"/>
          <w:lang w:val="es-ES_tradnl"/>
        </w:rPr>
        <w:t xml:space="preserve"> </w:t>
      </w:r>
      <w:r w:rsidR="00047881" w:rsidRPr="000E4865">
        <w:rPr>
          <w:snapToGrid w:val="0"/>
          <w:kern w:val="22"/>
          <w:szCs w:val="22"/>
          <w:lang w:val="es-ES_tradnl"/>
        </w:rPr>
        <w:t>incluida a lo largo de sus cadenas de valor y, en particular</w:t>
      </w:r>
      <w:r w:rsidR="00276B6C" w:rsidRPr="000E4865">
        <w:rPr>
          <w:snapToGrid w:val="0"/>
          <w:kern w:val="22"/>
          <w:szCs w:val="22"/>
          <w:lang w:val="es-ES_tradnl"/>
        </w:rPr>
        <w:t>:</w:t>
      </w:r>
    </w:p>
    <w:p w14:paraId="5F0BE81C" w14:textId="14127259" w:rsidR="00276B6C" w:rsidRPr="000E4865" w:rsidRDefault="00047881" w:rsidP="00D74331">
      <w:pPr>
        <w:pStyle w:val="ListParagraph"/>
        <w:numPr>
          <w:ilvl w:val="0"/>
          <w:numId w:val="23"/>
        </w:numPr>
        <w:suppressLineNumbers/>
        <w:suppressAutoHyphens/>
        <w:kinsoku w:val="0"/>
        <w:overflowPunct w:val="0"/>
        <w:autoSpaceDE w:val="0"/>
        <w:autoSpaceDN w:val="0"/>
        <w:adjustRightInd w:val="0"/>
        <w:snapToGrid w:val="0"/>
        <w:spacing w:after="120" w:line="238" w:lineRule="auto"/>
        <w:ind w:left="0" w:firstLine="720"/>
        <w:contextualSpacing w:val="0"/>
        <w:rPr>
          <w:snapToGrid w:val="0"/>
          <w:kern w:val="22"/>
          <w:szCs w:val="22"/>
          <w:lang w:val="es-ES_tradnl"/>
        </w:rPr>
      </w:pPr>
      <w:r w:rsidRPr="000E4865">
        <w:rPr>
          <w:snapToGrid w:val="0"/>
          <w:kern w:val="22"/>
          <w:szCs w:val="22"/>
          <w:lang w:val="es-ES_tradnl"/>
        </w:rPr>
        <w:t xml:space="preserve">Apoyar la elaboración, o </w:t>
      </w:r>
      <w:r w:rsidR="007464AA" w:rsidRPr="000E4865">
        <w:rPr>
          <w:snapToGrid w:val="0"/>
          <w:kern w:val="22"/>
          <w:szCs w:val="22"/>
          <w:lang w:val="es-ES_tradnl"/>
        </w:rPr>
        <w:t xml:space="preserve">elaboración conjunta, de indicadores clave de desempeño para la </w:t>
      </w:r>
      <w:r w:rsidR="00D52625" w:rsidRPr="000E4865">
        <w:rPr>
          <w:snapToGrid w:val="0"/>
          <w:kern w:val="22"/>
          <w:szCs w:val="22"/>
          <w:lang w:val="es-ES_tradnl"/>
        </w:rPr>
        <w:t>diversidad biológica</w:t>
      </w:r>
      <w:r w:rsidR="00276B6C" w:rsidRPr="000E4865">
        <w:rPr>
          <w:snapToGrid w:val="0"/>
          <w:kern w:val="22"/>
          <w:szCs w:val="22"/>
          <w:lang w:val="es-ES_tradnl"/>
        </w:rPr>
        <w:t xml:space="preserve"> </w:t>
      </w:r>
      <w:r w:rsidR="007464AA" w:rsidRPr="000E4865">
        <w:rPr>
          <w:snapToGrid w:val="0"/>
          <w:kern w:val="22"/>
          <w:szCs w:val="22"/>
          <w:lang w:val="es-ES_tradnl"/>
        </w:rPr>
        <w:t>con los interesados</w:t>
      </w:r>
      <w:r w:rsidR="00276B6C" w:rsidRPr="000E4865">
        <w:rPr>
          <w:snapToGrid w:val="0"/>
          <w:kern w:val="22"/>
          <w:szCs w:val="22"/>
          <w:lang w:val="es-ES_tradnl"/>
        </w:rPr>
        <w:t xml:space="preserve">, </w:t>
      </w:r>
      <w:r w:rsidR="007464AA" w:rsidRPr="000E4865">
        <w:rPr>
          <w:snapToGrid w:val="0"/>
          <w:kern w:val="22"/>
          <w:szCs w:val="22"/>
          <w:lang w:val="es-ES_tradnl"/>
        </w:rPr>
        <w:t xml:space="preserve">sobre las </w:t>
      </w:r>
      <w:r w:rsidR="007464AA" w:rsidRPr="000E4865">
        <w:rPr>
          <w:snapToGrid w:val="0"/>
          <w:kern w:val="22"/>
          <w:szCs w:val="22"/>
          <w:lang w:val="es-ES_tradnl" w:eastAsia="ja-JP" w:bidi="th-TH"/>
        </w:rPr>
        <w:t xml:space="preserve">dependencias e impactos directos e indirectos en la </w:t>
      </w:r>
      <w:r w:rsidR="007464AA" w:rsidRPr="000E4865">
        <w:rPr>
          <w:snapToGrid w:val="0"/>
          <w:kern w:val="22"/>
          <w:szCs w:val="22"/>
          <w:lang w:val="es-ES_tradnl"/>
        </w:rPr>
        <w:t>diversidad biológica</w:t>
      </w:r>
      <w:r w:rsidR="00276B6C" w:rsidRPr="000E4865">
        <w:rPr>
          <w:snapToGrid w:val="0"/>
          <w:kern w:val="22"/>
          <w:szCs w:val="22"/>
          <w:lang w:val="es-ES_tradnl"/>
        </w:rPr>
        <w:t xml:space="preserve">, </w:t>
      </w:r>
      <w:r w:rsidR="007464AA" w:rsidRPr="000E4865">
        <w:rPr>
          <w:snapToGrid w:val="0"/>
          <w:kern w:val="22"/>
          <w:szCs w:val="22"/>
          <w:lang w:val="es-ES_tradnl"/>
        </w:rPr>
        <w:t xml:space="preserve">incluidas sus consecuencias socioeconómicas para los interesados afectados, así como orientación conexa sobre divulgación y los requisitos por encima de determinados umbrales </w:t>
      </w:r>
      <w:r w:rsidR="00276B6C" w:rsidRPr="000E4865">
        <w:rPr>
          <w:snapToGrid w:val="0"/>
          <w:kern w:val="22"/>
          <w:szCs w:val="22"/>
          <w:lang w:val="es-ES_tradnl"/>
        </w:rPr>
        <w:t>(</w:t>
      </w:r>
      <w:r w:rsidR="00005AD5" w:rsidRPr="000E4865">
        <w:rPr>
          <w:snapToGrid w:val="0"/>
          <w:kern w:val="22"/>
          <w:szCs w:val="22"/>
          <w:lang w:val="es-ES_tradnl"/>
        </w:rPr>
        <w:t>p. ej.</w:t>
      </w:r>
      <w:r w:rsidR="00276B6C" w:rsidRPr="000E4865">
        <w:rPr>
          <w:snapToGrid w:val="0"/>
          <w:kern w:val="22"/>
          <w:szCs w:val="22"/>
          <w:lang w:val="es-ES_tradnl"/>
        </w:rPr>
        <w:t xml:space="preserve">, </w:t>
      </w:r>
      <w:r w:rsidR="007464AA" w:rsidRPr="000E4865">
        <w:rPr>
          <w:snapToGrid w:val="0"/>
          <w:kern w:val="22"/>
          <w:szCs w:val="22"/>
          <w:lang w:val="es-ES_tradnl"/>
        </w:rPr>
        <w:t>como parte de los requisitos para la inclusión en listas sobre las bolsas de valores o en el contexto de adquisiciones públicas</w:t>
      </w:r>
      <w:r w:rsidR="00276B6C" w:rsidRPr="000E4865">
        <w:rPr>
          <w:snapToGrid w:val="0"/>
          <w:kern w:val="22"/>
          <w:szCs w:val="22"/>
          <w:lang w:val="es-ES_tradnl"/>
        </w:rPr>
        <w:t>);</w:t>
      </w:r>
    </w:p>
    <w:p w14:paraId="66D4737B" w14:textId="7B3D98F4" w:rsidR="00276B6C" w:rsidRPr="000E4865" w:rsidRDefault="007464AA" w:rsidP="00D74331">
      <w:pPr>
        <w:pStyle w:val="ListParagraph"/>
        <w:numPr>
          <w:ilvl w:val="0"/>
          <w:numId w:val="23"/>
        </w:numPr>
        <w:suppressLineNumbers/>
        <w:suppressAutoHyphens/>
        <w:kinsoku w:val="0"/>
        <w:overflowPunct w:val="0"/>
        <w:autoSpaceDE w:val="0"/>
        <w:autoSpaceDN w:val="0"/>
        <w:adjustRightInd w:val="0"/>
        <w:snapToGrid w:val="0"/>
        <w:spacing w:after="120" w:line="238" w:lineRule="auto"/>
        <w:ind w:left="0" w:firstLine="720"/>
        <w:contextualSpacing w:val="0"/>
        <w:rPr>
          <w:snapToGrid w:val="0"/>
          <w:kern w:val="22"/>
          <w:szCs w:val="22"/>
          <w:lang w:val="es-ES_tradnl"/>
        </w:rPr>
      </w:pPr>
      <w:r w:rsidRPr="000E4865">
        <w:rPr>
          <w:snapToGrid w:val="0"/>
          <w:kern w:val="22"/>
          <w:szCs w:val="22"/>
          <w:lang w:val="es-ES_tradnl"/>
        </w:rPr>
        <w:t>Apoyar o reforzar, según proceda, la inclusión de la</w:t>
      </w:r>
      <w:r w:rsidR="00D52625" w:rsidRPr="000E4865">
        <w:rPr>
          <w:snapToGrid w:val="0"/>
          <w:kern w:val="22"/>
          <w:szCs w:val="22"/>
          <w:lang w:val="es-ES_tradnl"/>
        </w:rPr>
        <w:t xml:space="preserve"> diversidad biológica</w:t>
      </w:r>
      <w:r w:rsidR="00276B6C" w:rsidRPr="000E4865">
        <w:rPr>
          <w:snapToGrid w:val="0"/>
          <w:kern w:val="22"/>
          <w:szCs w:val="22"/>
          <w:lang w:val="es-ES_tradnl"/>
        </w:rPr>
        <w:t xml:space="preserve"> </w:t>
      </w:r>
      <w:r w:rsidRPr="000E4865">
        <w:rPr>
          <w:snapToGrid w:val="0"/>
          <w:kern w:val="22"/>
          <w:szCs w:val="22"/>
          <w:lang w:val="es-ES_tradnl"/>
        </w:rPr>
        <w:t>en la contabilidad nacional, teniendo en cuenta el Sistema de Contabilidad Ambiental y Económica Integrada (SCAEI) de las Naciones Unidas, y sus orientaciones sobre la contabilidad experimental de los ecosistemas</w:t>
      </w:r>
      <w:r w:rsidR="00276B6C" w:rsidRPr="000E4865">
        <w:rPr>
          <w:snapToGrid w:val="0"/>
          <w:kern w:val="22"/>
          <w:szCs w:val="22"/>
          <w:lang w:val="es-ES_tradnl"/>
        </w:rPr>
        <w:t>;</w:t>
      </w:r>
    </w:p>
    <w:p w14:paraId="7F5F1271" w14:textId="66B84300" w:rsidR="00276B6C" w:rsidRPr="000E4865" w:rsidRDefault="00633008" w:rsidP="00D74331">
      <w:pPr>
        <w:pStyle w:val="ListParagraph"/>
        <w:numPr>
          <w:ilvl w:val="0"/>
          <w:numId w:val="23"/>
        </w:numPr>
        <w:suppressLineNumbers/>
        <w:suppressAutoHyphens/>
        <w:kinsoku w:val="0"/>
        <w:overflowPunct w:val="0"/>
        <w:autoSpaceDE w:val="0"/>
        <w:autoSpaceDN w:val="0"/>
        <w:adjustRightInd w:val="0"/>
        <w:snapToGrid w:val="0"/>
        <w:spacing w:after="120" w:line="238" w:lineRule="auto"/>
        <w:ind w:left="0" w:firstLine="720"/>
        <w:contextualSpacing w:val="0"/>
        <w:rPr>
          <w:snapToGrid w:val="0"/>
          <w:kern w:val="22"/>
          <w:szCs w:val="22"/>
          <w:lang w:val="es-ES_tradnl"/>
        </w:rPr>
      </w:pPr>
      <w:r w:rsidRPr="000E4865">
        <w:rPr>
          <w:snapToGrid w:val="0"/>
          <w:kern w:val="22"/>
          <w:szCs w:val="22"/>
          <w:lang w:val="es-ES_tradnl"/>
        </w:rPr>
        <w:t xml:space="preserve">Incluir las dimensiones de las cadenas de suministros de las </w:t>
      </w:r>
      <w:r w:rsidRPr="000E4865">
        <w:rPr>
          <w:snapToGrid w:val="0"/>
          <w:kern w:val="22"/>
          <w:szCs w:val="22"/>
          <w:lang w:val="es-ES_tradnl" w:eastAsia="ja-JP" w:bidi="th-TH"/>
        </w:rPr>
        <w:t xml:space="preserve">dependencias e impactos relacionadas con la </w:t>
      </w:r>
      <w:r w:rsidRPr="000E4865">
        <w:rPr>
          <w:snapToGrid w:val="0"/>
          <w:kern w:val="22"/>
          <w:szCs w:val="22"/>
          <w:lang w:val="es-ES_tradnl"/>
        </w:rPr>
        <w:t>diversidad biológica en las orientaciones nacionales sobre las evaluaciones de los impactos ambientales y sociales</w:t>
      </w:r>
      <w:r w:rsidR="00276B6C" w:rsidRPr="000E4865">
        <w:rPr>
          <w:snapToGrid w:val="0"/>
          <w:kern w:val="22"/>
          <w:szCs w:val="22"/>
          <w:lang w:val="es-ES_tradnl"/>
        </w:rPr>
        <w:t xml:space="preserve">, </w:t>
      </w:r>
      <w:r w:rsidRPr="000E4865">
        <w:rPr>
          <w:snapToGrid w:val="0"/>
          <w:kern w:val="22"/>
          <w:szCs w:val="22"/>
          <w:lang w:val="es-ES_tradnl"/>
        </w:rPr>
        <w:t>incluidas las evaluaciones de impacto estratégicas</w:t>
      </w:r>
      <w:r w:rsidR="00276B6C" w:rsidRPr="000E4865">
        <w:rPr>
          <w:snapToGrid w:val="0"/>
          <w:kern w:val="22"/>
          <w:szCs w:val="22"/>
          <w:lang w:val="es-ES_tradnl"/>
        </w:rPr>
        <w:t>;</w:t>
      </w:r>
    </w:p>
    <w:p w14:paraId="7D53744E" w14:textId="794C04D9" w:rsidR="00276B6C" w:rsidRPr="000E4865" w:rsidRDefault="005F0B8D" w:rsidP="00D74331">
      <w:pPr>
        <w:pStyle w:val="ListParagraph"/>
        <w:numPr>
          <w:ilvl w:val="0"/>
          <w:numId w:val="23"/>
        </w:numPr>
        <w:suppressLineNumbers/>
        <w:suppressAutoHyphens/>
        <w:kinsoku w:val="0"/>
        <w:overflowPunct w:val="0"/>
        <w:autoSpaceDE w:val="0"/>
        <w:autoSpaceDN w:val="0"/>
        <w:adjustRightInd w:val="0"/>
        <w:snapToGrid w:val="0"/>
        <w:spacing w:after="120" w:line="238" w:lineRule="auto"/>
        <w:ind w:left="0" w:firstLine="720"/>
        <w:contextualSpacing w:val="0"/>
        <w:rPr>
          <w:snapToGrid w:val="0"/>
          <w:kern w:val="22"/>
          <w:szCs w:val="22"/>
          <w:lang w:val="es-ES_tradnl"/>
        </w:rPr>
      </w:pPr>
      <w:r w:rsidRPr="000E4865">
        <w:rPr>
          <w:snapToGrid w:val="0"/>
          <w:kern w:val="22"/>
          <w:szCs w:val="22"/>
          <w:lang w:val="es-ES_tradnl"/>
        </w:rPr>
        <w:t xml:space="preserve">Elaborar o reforzar los requisitos de salvaguardia de la </w:t>
      </w:r>
      <w:r w:rsidR="00D52625" w:rsidRPr="000E4865">
        <w:rPr>
          <w:snapToGrid w:val="0"/>
          <w:kern w:val="22"/>
          <w:szCs w:val="22"/>
          <w:lang w:val="es-ES_tradnl"/>
        </w:rPr>
        <w:t>diversidad biológica</w:t>
      </w:r>
      <w:r w:rsidR="00276B6C" w:rsidRPr="000E4865">
        <w:rPr>
          <w:snapToGrid w:val="0"/>
          <w:kern w:val="22"/>
          <w:szCs w:val="22"/>
          <w:lang w:val="es-ES_tradnl"/>
        </w:rPr>
        <w:t xml:space="preserve">, </w:t>
      </w:r>
      <w:r w:rsidRPr="000E4865">
        <w:rPr>
          <w:snapToGrid w:val="0"/>
          <w:kern w:val="22"/>
          <w:szCs w:val="22"/>
          <w:lang w:val="es-ES_tradnl"/>
        </w:rPr>
        <w:t>teniendo en cuenta las orientaciones internacionales y buenas prácticas pertinentes</w:t>
      </w:r>
      <w:r w:rsidR="00276B6C" w:rsidRPr="000E4865">
        <w:rPr>
          <w:snapToGrid w:val="0"/>
          <w:kern w:val="22"/>
          <w:szCs w:val="22"/>
          <w:lang w:val="es-ES_tradnl"/>
        </w:rPr>
        <w:t xml:space="preserve">, </w:t>
      </w:r>
      <w:r w:rsidRPr="000E4865">
        <w:rPr>
          <w:snapToGrid w:val="0"/>
          <w:kern w:val="22"/>
          <w:szCs w:val="22"/>
          <w:lang w:val="es-ES_tradnl"/>
        </w:rPr>
        <w:t>y su inclusión en las políticas de adquisición públicas que están en consonancia con los objetivos del Convenio</w:t>
      </w:r>
      <w:r w:rsidR="00276B6C" w:rsidRPr="000E4865">
        <w:rPr>
          <w:snapToGrid w:val="0"/>
          <w:kern w:val="22"/>
          <w:szCs w:val="22"/>
          <w:lang w:val="es-ES_tradnl"/>
        </w:rPr>
        <w:t xml:space="preserve">, </w:t>
      </w:r>
      <w:r w:rsidRPr="000E4865">
        <w:rPr>
          <w:snapToGrid w:val="0"/>
          <w:kern w:val="22"/>
          <w:szCs w:val="22"/>
          <w:lang w:val="es-ES_tradnl"/>
        </w:rPr>
        <w:t xml:space="preserve">y en los enfoques que fomentan la información con base científica sobre la </w:t>
      </w:r>
      <w:r w:rsidR="006978EE">
        <w:rPr>
          <w:snapToGrid w:val="0"/>
          <w:kern w:val="22"/>
          <w:szCs w:val="22"/>
          <w:lang w:val="es-ES_tradnl"/>
        </w:rPr>
        <w:t xml:space="preserve">diversidad </w:t>
      </w:r>
      <w:r w:rsidR="00D52625" w:rsidRPr="000E4865">
        <w:rPr>
          <w:snapToGrid w:val="0"/>
          <w:kern w:val="22"/>
          <w:szCs w:val="22"/>
          <w:lang w:val="es-ES_tradnl"/>
        </w:rPr>
        <w:t>biológica</w:t>
      </w:r>
      <w:r w:rsidR="00276B6C" w:rsidRPr="000E4865">
        <w:rPr>
          <w:snapToGrid w:val="0"/>
          <w:kern w:val="22"/>
          <w:szCs w:val="22"/>
          <w:lang w:val="es-ES_tradnl"/>
        </w:rPr>
        <w:t xml:space="preserve"> </w:t>
      </w:r>
      <w:r w:rsidRPr="000E4865">
        <w:rPr>
          <w:snapToGrid w:val="0"/>
          <w:kern w:val="22"/>
          <w:szCs w:val="22"/>
          <w:lang w:val="es-ES_tradnl"/>
        </w:rPr>
        <w:t xml:space="preserve">en las decisiones de los consumidores y productores </w:t>
      </w:r>
      <w:r w:rsidR="00276B6C" w:rsidRPr="000E4865">
        <w:rPr>
          <w:snapToGrid w:val="0"/>
          <w:kern w:val="22"/>
          <w:szCs w:val="22"/>
          <w:lang w:val="es-ES_tradnl"/>
        </w:rPr>
        <w:t>(</w:t>
      </w:r>
      <w:r w:rsidR="00A02D2D" w:rsidRPr="000E4865">
        <w:rPr>
          <w:snapToGrid w:val="0"/>
          <w:kern w:val="22"/>
          <w:szCs w:val="22"/>
          <w:lang w:val="es-ES_tradnl"/>
        </w:rPr>
        <w:t>“</w:t>
      </w:r>
      <w:r w:rsidRPr="000E4865">
        <w:rPr>
          <w:snapToGrid w:val="0"/>
          <w:kern w:val="22"/>
          <w:szCs w:val="22"/>
          <w:lang w:val="es-ES_tradnl"/>
        </w:rPr>
        <w:t>etiquetado ecológico</w:t>
      </w:r>
      <w:r w:rsidR="00A02D2D" w:rsidRPr="000E4865">
        <w:rPr>
          <w:snapToGrid w:val="0"/>
          <w:kern w:val="22"/>
          <w:szCs w:val="22"/>
          <w:lang w:val="es-ES_tradnl"/>
        </w:rPr>
        <w:t>”</w:t>
      </w:r>
      <w:r w:rsidR="00276B6C" w:rsidRPr="000E4865">
        <w:rPr>
          <w:snapToGrid w:val="0"/>
          <w:kern w:val="22"/>
          <w:szCs w:val="22"/>
          <w:lang w:val="es-ES_tradnl"/>
        </w:rPr>
        <w:t xml:space="preserve">, </w:t>
      </w:r>
      <w:r w:rsidRPr="000E4865">
        <w:rPr>
          <w:snapToGrid w:val="0"/>
          <w:kern w:val="22"/>
          <w:szCs w:val="22"/>
          <w:lang w:val="es-ES_tradnl"/>
        </w:rPr>
        <w:t>en congruencia y en armonía con el Convenio y otras obligaciones internacionales pertinentes</w:t>
      </w:r>
      <w:r w:rsidR="00276B6C" w:rsidRPr="000E4865">
        <w:rPr>
          <w:snapToGrid w:val="0"/>
          <w:kern w:val="22"/>
          <w:szCs w:val="22"/>
          <w:lang w:val="es-ES_tradnl"/>
        </w:rPr>
        <w:t>;</w:t>
      </w:r>
    </w:p>
    <w:p w14:paraId="05A1CCE6" w14:textId="2E1A3186" w:rsidR="00276B6C" w:rsidRPr="000E4865" w:rsidRDefault="005F0B8D" w:rsidP="00D74331">
      <w:pPr>
        <w:pStyle w:val="ListParagraph"/>
        <w:numPr>
          <w:ilvl w:val="0"/>
          <w:numId w:val="23"/>
        </w:numPr>
        <w:suppressLineNumbers/>
        <w:suppressAutoHyphens/>
        <w:kinsoku w:val="0"/>
        <w:overflowPunct w:val="0"/>
        <w:autoSpaceDE w:val="0"/>
        <w:autoSpaceDN w:val="0"/>
        <w:adjustRightInd w:val="0"/>
        <w:snapToGrid w:val="0"/>
        <w:spacing w:after="120" w:line="238" w:lineRule="auto"/>
        <w:ind w:left="0" w:firstLine="720"/>
        <w:contextualSpacing w:val="0"/>
        <w:rPr>
          <w:snapToGrid w:val="0"/>
          <w:kern w:val="22"/>
          <w:szCs w:val="22"/>
          <w:lang w:val="es-ES_tradnl"/>
        </w:rPr>
      </w:pPr>
      <w:r w:rsidRPr="000E4865">
        <w:rPr>
          <w:snapToGrid w:val="0"/>
          <w:kern w:val="22"/>
          <w:szCs w:val="22"/>
          <w:lang w:val="es-ES_tradnl"/>
        </w:rPr>
        <w:t xml:space="preserve">Intensificar sus esfuerzos por aplicar </w:t>
      </w:r>
      <w:r w:rsidR="00FA2997" w:rsidRPr="000E4865">
        <w:rPr>
          <w:snapToGrid w:val="0"/>
          <w:kern w:val="22"/>
          <w:szCs w:val="22"/>
          <w:lang w:val="es-ES_tradnl"/>
        </w:rPr>
        <w:t xml:space="preserve">la Meta 3 de </w:t>
      </w:r>
      <w:r w:rsidR="00276B6C" w:rsidRPr="000E4865">
        <w:rPr>
          <w:snapToGrid w:val="0"/>
          <w:kern w:val="22"/>
          <w:szCs w:val="22"/>
          <w:lang w:val="es-ES_tradnl"/>
        </w:rPr>
        <w:t xml:space="preserve">Aichi </w:t>
      </w:r>
      <w:r w:rsidR="00FA2997" w:rsidRPr="000E4865">
        <w:rPr>
          <w:snapToGrid w:val="0"/>
          <w:kern w:val="22"/>
          <w:szCs w:val="22"/>
          <w:lang w:val="es-ES_tradnl"/>
        </w:rPr>
        <w:t>para la Diversidad Biológica</w:t>
      </w:r>
      <w:r w:rsidR="00276B6C" w:rsidRPr="000E4865">
        <w:rPr>
          <w:snapToGrid w:val="0"/>
          <w:kern w:val="22"/>
          <w:szCs w:val="22"/>
          <w:lang w:val="es-ES_tradnl"/>
        </w:rPr>
        <w:t>.</w:t>
      </w:r>
    </w:p>
    <w:p w14:paraId="2B3E5113" w14:textId="7202A81C" w:rsidR="00276B6C" w:rsidRPr="000E4865" w:rsidRDefault="00FA2997" w:rsidP="00D74331">
      <w:pPr>
        <w:pStyle w:val="ListParagraph"/>
        <w:numPr>
          <w:ilvl w:val="0"/>
          <w:numId w:val="19"/>
        </w:numPr>
        <w:suppressLineNumbers/>
        <w:suppressAutoHyphens/>
        <w:kinsoku w:val="0"/>
        <w:overflowPunct w:val="0"/>
        <w:autoSpaceDE w:val="0"/>
        <w:autoSpaceDN w:val="0"/>
        <w:adjustRightInd w:val="0"/>
        <w:snapToGrid w:val="0"/>
        <w:spacing w:before="120" w:after="120" w:line="238" w:lineRule="auto"/>
        <w:ind w:left="0" w:firstLine="0"/>
        <w:contextualSpacing w:val="0"/>
        <w:rPr>
          <w:rFonts w:eastAsiaTheme="minorHAnsi"/>
          <w:snapToGrid w:val="0"/>
          <w:kern w:val="22"/>
          <w:szCs w:val="22"/>
          <w:lang w:val="es-ES_tradnl"/>
        </w:rPr>
      </w:pPr>
      <w:r w:rsidRPr="000E4865">
        <w:rPr>
          <w:rFonts w:eastAsiaTheme="minorHAnsi"/>
          <w:snapToGrid w:val="0"/>
          <w:kern w:val="22"/>
          <w:szCs w:val="22"/>
          <w:lang w:val="es-ES_tradnl"/>
        </w:rPr>
        <w:t>Las industrias y empresas manufactureras deberían</w:t>
      </w:r>
      <w:r w:rsidR="00276B6C" w:rsidRPr="000E4865">
        <w:rPr>
          <w:rFonts w:eastAsiaTheme="minorHAnsi"/>
          <w:snapToGrid w:val="0"/>
          <w:kern w:val="22"/>
          <w:szCs w:val="22"/>
          <w:lang w:val="es-ES_tradnl"/>
        </w:rPr>
        <w:t>:</w:t>
      </w:r>
    </w:p>
    <w:p w14:paraId="10B8FE40" w14:textId="1E80DD59" w:rsidR="00276B6C" w:rsidRPr="000E4865" w:rsidRDefault="00276B6C" w:rsidP="00D74331">
      <w:pPr>
        <w:suppressLineNumbers/>
        <w:suppressAutoHyphens/>
        <w:kinsoku w:val="0"/>
        <w:overflowPunct w:val="0"/>
        <w:autoSpaceDE w:val="0"/>
        <w:autoSpaceDN w:val="0"/>
        <w:adjustRightInd w:val="0"/>
        <w:snapToGrid w:val="0"/>
        <w:spacing w:after="120" w:line="238" w:lineRule="auto"/>
        <w:ind w:firstLine="720"/>
        <w:rPr>
          <w:snapToGrid w:val="0"/>
          <w:kern w:val="22"/>
          <w:szCs w:val="22"/>
          <w:lang w:val="es-ES_tradnl"/>
        </w:rPr>
      </w:pPr>
      <w:r w:rsidRPr="000E4865">
        <w:rPr>
          <w:snapToGrid w:val="0"/>
          <w:kern w:val="22"/>
          <w:szCs w:val="22"/>
          <w:lang w:val="es-ES_tradnl"/>
        </w:rPr>
        <w:t>a)</w:t>
      </w:r>
      <w:r w:rsidR="00041CA9" w:rsidRPr="000E4865">
        <w:rPr>
          <w:snapToGrid w:val="0"/>
          <w:kern w:val="22"/>
          <w:szCs w:val="22"/>
          <w:lang w:val="es-ES_tradnl"/>
        </w:rPr>
        <w:tab/>
      </w:r>
      <w:r w:rsidR="00FA2997" w:rsidRPr="000E4865">
        <w:rPr>
          <w:snapToGrid w:val="0"/>
          <w:kern w:val="22"/>
          <w:szCs w:val="22"/>
          <w:lang w:val="es-ES_tradnl"/>
        </w:rPr>
        <w:t>Seguir mejorando sus actividades de integración del medio ambiente, desde los esfuerzos de los diseños ecológicos hasta las iniciativas relativas a la eficiencia de los recursos, el reciclado y/o la reducción de las emisiones</w:t>
      </w:r>
      <w:r w:rsidRPr="000E4865">
        <w:rPr>
          <w:snapToGrid w:val="0"/>
          <w:kern w:val="22"/>
          <w:szCs w:val="22"/>
          <w:lang w:val="es-ES_tradnl"/>
        </w:rPr>
        <w:t>;</w:t>
      </w:r>
    </w:p>
    <w:p w14:paraId="23FEA782" w14:textId="1B1CED00" w:rsidR="00276B6C" w:rsidRPr="000E4865" w:rsidRDefault="00276B6C" w:rsidP="00D74331">
      <w:pPr>
        <w:suppressLineNumbers/>
        <w:suppressAutoHyphens/>
        <w:kinsoku w:val="0"/>
        <w:overflowPunct w:val="0"/>
        <w:autoSpaceDE w:val="0"/>
        <w:autoSpaceDN w:val="0"/>
        <w:adjustRightInd w:val="0"/>
        <w:snapToGrid w:val="0"/>
        <w:spacing w:after="120" w:line="238" w:lineRule="auto"/>
        <w:ind w:firstLine="720"/>
        <w:rPr>
          <w:snapToGrid w:val="0"/>
          <w:kern w:val="22"/>
          <w:szCs w:val="22"/>
          <w:lang w:val="es-ES_tradnl"/>
        </w:rPr>
      </w:pPr>
      <w:r w:rsidRPr="000E4865">
        <w:rPr>
          <w:snapToGrid w:val="0"/>
          <w:kern w:val="22"/>
          <w:szCs w:val="22"/>
          <w:lang w:val="es-ES_tradnl"/>
        </w:rPr>
        <w:t>b)</w:t>
      </w:r>
      <w:r w:rsidR="00041CA9" w:rsidRPr="000E4865">
        <w:rPr>
          <w:snapToGrid w:val="0"/>
          <w:kern w:val="22"/>
          <w:szCs w:val="22"/>
          <w:lang w:val="es-ES_tradnl"/>
        </w:rPr>
        <w:tab/>
      </w:r>
      <w:r w:rsidR="00FA2997" w:rsidRPr="000E4865">
        <w:rPr>
          <w:snapToGrid w:val="0"/>
          <w:kern w:val="22"/>
          <w:szCs w:val="22"/>
          <w:lang w:val="es-ES_tradnl"/>
        </w:rPr>
        <w:t xml:space="preserve">Seguir mejorando la medición de sus impactos en la </w:t>
      </w:r>
      <w:r w:rsidR="00D52625" w:rsidRPr="000E4865">
        <w:rPr>
          <w:snapToGrid w:val="0"/>
          <w:kern w:val="22"/>
          <w:szCs w:val="22"/>
          <w:lang w:val="es-ES_tradnl"/>
        </w:rPr>
        <w:t>diversidad biológica</w:t>
      </w:r>
      <w:r w:rsidRPr="000E4865">
        <w:rPr>
          <w:snapToGrid w:val="0"/>
          <w:kern w:val="22"/>
          <w:szCs w:val="22"/>
          <w:lang w:val="es-ES_tradnl"/>
        </w:rPr>
        <w:t xml:space="preserve">, </w:t>
      </w:r>
      <w:r w:rsidR="00FA2997" w:rsidRPr="000E4865">
        <w:rPr>
          <w:snapToGrid w:val="0"/>
          <w:kern w:val="22"/>
          <w:szCs w:val="22"/>
          <w:lang w:val="es-ES_tradnl"/>
        </w:rPr>
        <w:t xml:space="preserve">más allá de la medición de los factores de impacto con respecto a las pérdidas (o ganancias) reales en </w:t>
      </w:r>
      <w:r w:rsidR="00D52625" w:rsidRPr="000E4865">
        <w:rPr>
          <w:snapToGrid w:val="0"/>
          <w:kern w:val="22"/>
          <w:szCs w:val="22"/>
          <w:lang w:val="es-ES_tradnl"/>
        </w:rPr>
        <w:t>diversidad biológica</w:t>
      </w:r>
      <w:r w:rsidRPr="000E4865">
        <w:rPr>
          <w:snapToGrid w:val="0"/>
          <w:kern w:val="22"/>
          <w:szCs w:val="22"/>
          <w:lang w:val="es-ES_tradnl"/>
        </w:rPr>
        <w:t xml:space="preserve">, </w:t>
      </w:r>
      <w:r w:rsidR="00FA2997" w:rsidRPr="000E4865">
        <w:rPr>
          <w:snapToGrid w:val="0"/>
          <w:kern w:val="22"/>
          <w:szCs w:val="22"/>
          <w:lang w:val="es-ES_tradnl"/>
        </w:rPr>
        <w:t xml:space="preserve">y las dependencias de </w:t>
      </w:r>
      <w:r w:rsidR="00D52625" w:rsidRPr="000E4865">
        <w:rPr>
          <w:snapToGrid w:val="0"/>
          <w:kern w:val="22"/>
          <w:szCs w:val="22"/>
          <w:lang w:val="es-ES_tradnl"/>
        </w:rPr>
        <w:t>la diversidad biológica</w:t>
      </w:r>
      <w:r w:rsidRPr="000E4865">
        <w:rPr>
          <w:snapToGrid w:val="0"/>
          <w:kern w:val="22"/>
          <w:szCs w:val="22"/>
          <w:lang w:val="es-ES_tradnl"/>
        </w:rPr>
        <w:t xml:space="preserve">, </w:t>
      </w:r>
      <w:r w:rsidR="00FA2997" w:rsidRPr="000E4865">
        <w:rPr>
          <w:snapToGrid w:val="0"/>
          <w:kern w:val="22"/>
          <w:szCs w:val="22"/>
          <w:lang w:val="es-ES_tradnl"/>
        </w:rPr>
        <w:t>haciendo hincapié en las dependencias e impactos indirectos a lo largo de sus cadenas de suministro</w:t>
      </w:r>
      <w:r w:rsidRPr="000E4865">
        <w:rPr>
          <w:snapToGrid w:val="0"/>
          <w:kern w:val="22"/>
          <w:szCs w:val="22"/>
          <w:lang w:val="es-ES_tradnl"/>
        </w:rPr>
        <w:t>;</w:t>
      </w:r>
    </w:p>
    <w:p w14:paraId="7B6CD9EC" w14:textId="01CC7DB6" w:rsidR="00276B6C" w:rsidRPr="000E4865" w:rsidRDefault="00276B6C" w:rsidP="00D74331">
      <w:pPr>
        <w:suppressLineNumbers/>
        <w:suppressAutoHyphens/>
        <w:kinsoku w:val="0"/>
        <w:overflowPunct w:val="0"/>
        <w:autoSpaceDE w:val="0"/>
        <w:autoSpaceDN w:val="0"/>
        <w:adjustRightInd w:val="0"/>
        <w:snapToGrid w:val="0"/>
        <w:spacing w:after="120" w:line="238" w:lineRule="auto"/>
        <w:ind w:firstLine="720"/>
        <w:rPr>
          <w:snapToGrid w:val="0"/>
          <w:kern w:val="22"/>
          <w:szCs w:val="22"/>
          <w:lang w:val="es-ES_tradnl"/>
        </w:rPr>
      </w:pPr>
      <w:r w:rsidRPr="000E4865">
        <w:rPr>
          <w:snapToGrid w:val="0"/>
          <w:kern w:val="22"/>
          <w:szCs w:val="22"/>
          <w:lang w:val="es-ES_tradnl"/>
        </w:rPr>
        <w:t>c)</w:t>
      </w:r>
      <w:r w:rsidR="00041CA9" w:rsidRPr="000E4865">
        <w:rPr>
          <w:snapToGrid w:val="0"/>
          <w:kern w:val="22"/>
          <w:szCs w:val="22"/>
          <w:lang w:val="es-ES_tradnl"/>
        </w:rPr>
        <w:tab/>
      </w:r>
      <w:r w:rsidR="00FA2997" w:rsidRPr="000E4865">
        <w:rPr>
          <w:snapToGrid w:val="0"/>
          <w:kern w:val="22"/>
          <w:szCs w:val="22"/>
          <w:lang w:val="es-ES_tradnl"/>
        </w:rPr>
        <w:t xml:space="preserve">Iniciar o continuar y profundizar la relación con sus cadenas de valor, con miras a crear series de datos sobre la diversidad biológica </w:t>
      </w:r>
      <w:r w:rsidR="00657B89" w:rsidRPr="000E4865">
        <w:rPr>
          <w:snapToGrid w:val="0"/>
          <w:kern w:val="22"/>
          <w:szCs w:val="22"/>
          <w:lang w:val="es-ES_tradnl"/>
        </w:rPr>
        <w:t xml:space="preserve">de código abierto y soluciones tecnológicas favorables a </w:t>
      </w:r>
      <w:r w:rsidR="00D52625" w:rsidRPr="000E4865">
        <w:rPr>
          <w:snapToGrid w:val="0"/>
          <w:kern w:val="22"/>
          <w:szCs w:val="22"/>
          <w:lang w:val="es-ES_tradnl"/>
        </w:rPr>
        <w:t>la diversidad biológica</w:t>
      </w:r>
      <w:r w:rsidR="00657B89" w:rsidRPr="000E4865">
        <w:rPr>
          <w:snapToGrid w:val="0"/>
          <w:kern w:val="22"/>
          <w:szCs w:val="22"/>
          <w:lang w:val="es-ES_tradnl"/>
        </w:rPr>
        <w:t xml:space="preserve"> para la rápida difusión y adopción</w:t>
      </w:r>
      <w:r w:rsidRPr="000E4865">
        <w:rPr>
          <w:snapToGrid w:val="0"/>
          <w:kern w:val="22"/>
          <w:szCs w:val="22"/>
          <w:lang w:val="es-ES_tradnl"/>
        </w:rPr>
        <w:t xml:space="preserve">, </w:t>
      </w:r>
      <w:r w:rsidR="00657B89" w:rsidRPr="000E4865">
        <w:rPr>
          <w:snapToGrid w:val="0"/>
          <w:kern w:val="22"/>
          <w:szCs w:val="22"/>
          <w:lang w:val="es-ES_tradnl"/>
        </w:rPr>
        <w:t>y fomentar la plena aplicación de la jerarquía de mitigación de los impactos a lo largo de sus cadenas de suministro</w:t>
      </w:r>
      <w:r w:rsidRPr="000E4865">
        <w:rPr>
          <w:snapToGrid w:val="0"/>
          <w:kern w:val="22"/>
          <w:szCs w:val="22"/>
          <w:lang w:val="es-ES_tradnl"/>
        </w:rPr>
        <w:t>;</w:t>
      </w:r>
    </w:p>
    <w:p w14:paraId="19F13FAD" w14:textId="7462EC98" w:rsidR="00276B6C" w:rsidRPr="000E4865" w:rsidRDefault="00276B6C" w:rsidP="00D74331">
      <w:pPr>
        <w:suppressLineNumbers/>
        <w:suppressAutoHyphens/>
        <w:kinsoku w:val="0"/>
        <w:overflowPunct w:val="0"/>
        <w:autoSpaceDE w:val="0"/>
        <w:autoSpaceDN w:val="0"/>
        <w:adjustRightInd w:val="0"/>
        <w:snapToGrid w:val="0"/>
        <w:spacing w:after="120" w:line="238" w:lineRule="auto"/>
        <w:ind w:firstLine="720"/>
        <w:rPr>
          <w:snapToGrid w:val="0"/>
          <w:kern w:val="22"/>
          <w:szCs w:val="22"/>
          <w:lang w:val="es-ES_tradnl"/>
        </w:rPr>
      </w:pPr>
      <w:r w:rsidRPr="000E4865">
        <w:rPr>
          <w:snapToGrid w:val="0"/>
          <w:kern w:val="22"/>
          <w:szCs w:val="22"/>
          <w:lang w:val="es-ES_tradnl"/>
        </w:rPr>
        <w:t>d)</w:t>
      </w:r>
      <w:r w:rsidR="00041CA9" w:rsidRPr="000E4865">
        <w:rPr>
          <w:snapToGrid w:val="0"/>
          <w:kern w:val="22"/>
          <w:szCs w:val="22"/>
          <w:lang w:val="es-ES_tradnl"/>
        </w:rPr>
        <w:tab/>
      </w:r>
      <w:r w:rsidR="00657B89" w:rsidRPr="000E4865">
        <w:rPr>
          <w:snapToGrid w:val="0"/>
          <w:kern w:val="22"/>
          <w:szCs w:val="22"/>
          <w:lang w:val="es-ES_tradnl"/>
        </w:rPr>
        <w:t>Iniciar o seguir mejorando su divulgación regular de las dependencias e impactos directo</w:t>
      </w:r>
      <w:r w:rsidR="006978EE">
        <w:rPr>
          <w:snapToGrid w:val="0"/>
          <w:kern w:val="22"/>
          <w:szCs w:val="22"/>
          <w:lang w:val="es-ES_tradnl"/>
        </w:rPr>
        <w:t>s</w:t>
      </w:r>
      <w:r w:rsidR="00657B89" w:rsidRPr="000E4865">
        <w:rPr>
          <w:snapToGrid w:val="0"/>
          <w:kern w:val="22"/>
          <w:szCs w:val="22"/>
          <w:lang w:val="es-ES_tradnl"/>
        </w:rPr>
        <w:t xml:space="preserve"> e indirectos en la </w:t>
      </w:r>
      <w:r w:rsidR="00D52625" w:rsidRPr="000E4865">
        <w:rPr>
          <w:snapToGrid w:val="0"/>
          <w:kern w:val="22"/>
          <w:szCs w:val="22"/>
          <w:lang w:val="es-ES_tradnl"/>
        </w:rPr>
        <w:t>diversidad biológica</w:t>
      </w:r>
      <w:r w:rsidRPr="000E4865">
        <w:rPr>
          <w:snapToGrid w:val="0"/>
          <w:kern w:val="22"/>
          <w:szCs w:val="22"/>
          <w:lang w:val="es-ES_tradnl"/>
        </w:rPr>
        <w:t xml:space="preserve">, </w:t>
      </w:r>
      <w:r w:rsidR="00657B89" w:rsidRPr="000E4865">
        <w:rPr>
          <w:snapToGrid w:val="0"/>
          <w:kern w:val="22"/>
          <w:szCs w:val="22"/>
          <w:lang w:val="es-ES_tradnl"/>
        </w:rPr>
        <w:t>incluidas sus consecuencias socioeconómicas para los interesados afectados, en particular haciendo referencias cruzadas a las Metas de Aichi pertinentes, según proceda</w:t>
      </w:r>
      <w:r w:rsidR="00703312" w:rsidRPr="000E4865">
        <w:rPr>
          <w:snapToGrid w:val="0"/>
          <w:kern w:val="22"/>
          <w:szCs w:val="22"/>
          <w:lang w:val="es-ES_tradnl"/>
        </w:rPr>
        <w:t>.</w:t>
      </w:r>
    </w:p>
    <w:p w14:paraId="57249CF3" w14:textId="7FEA539B" w:rsidR="00276B6C" w:rsidRPr="000E4865" w:rsidRDefault="00276B6C" w:rsidP="00D74331">
      <w:pPr>
        <w:suppressLineNumbers/>
        <w:suppressAutoHyphens/>
        <w:kinsoku w:val="0"/>
        <w:overflowPunct w:val="0"/>
        <w:autoSpaceDE w:val="0"/>
        <w:autoSpaceDN w:val="0"/>
        <w:adjustRightInd w:val="0"/>
        <w:snapToGrid w:val="0"/>
        <w:spacing w:before="120" w:after="120" w:line="238" w:lineRule="auto"/>
        <w:rPr>
          <w:snapToGrid w:val="0"/>
          <w:kern w:val="22"/>
          <w:szCs w:val="22"/>
          <w:lang w:val="es-ES_tradnl"/>
        </w:rPr>
      </w:pPr>
      <w:r w:rsidRPr="000E4865">
        <w:rPr>
          <w:snapToGrid w:val="0"/>
          <w:kern w:val="22"/>
          <w:szCs w:val="22"/>
          <w:lang w:val="es-ES_tradnl"/>
        </w:rPr>
        <w:lastRenderedPageBreak/>
        <w:t>40.</w:t>
      </w:r>
      <w:r w:rsidRPr="000E4865">
        <w:rPr>
          <w:snapToGrid w:val="0"/>
          <w:kern w:val="22"/>
          <w:szCs w:val="22"/>
          <w:lang w:val="es-ES_tradnl"/>
        </w:rPr>
        <w:tab/>
      </w:r>
      <w:r w:rsidR="00DB2BCA" w:rsidRPr="000E4865">
        <w:rPr>
          <w:snapToGrid w:val="0"/>
          <w:kern w:val="22"/>
          <w:szCs w:val="22"/>
          <w:lang w:val="es-ES_tradnl"/>
        </w:rPr>
        <w:t xml:space="preserve">Por último, la Secretaria Ejecutiva, </w:t>
      </w:r>
      <w:r w:rsidR="006978EE">
        <w:rPr>
          <w:snapToGrid w:val="0"/>
          <w:kern w:val="22"/>
          <w:szCs w:val="22"/>
          <w:lang w:val="es-ES_tradnl"/>
        </w:rPr>
        <w:t xml:space="preserve">al tiempo que </w:t>
      </w:r>
      <w:r w:rsidR="00DB2BCA" w:rsidRPr="000E4865">
        <w:rPr>
          <w:snapToGrid w:val="0"/>
          <w:kern w:val="22"/>
          <w:szCs w:val="22"/>
          <w:lang w:val="es-ES_tradnl"/>
        </w:rPr>
        <w:t xml:space="preserve">facilita la labor </w:t>
      </w:r>
      <w:r w:rsidR="00330384" w:rsidRPr="000E4865">
        <w:rPr>
          <w:snapToGrid w:val="0"/>
          <w:kern w:val="22"/>
          <w:szCs w:val="22"/>
          <w:lang w:val="es-ES_tradnl"/>
        </w:rPr>
        <w:t>con miras al</w:t>
      </w:r>
      <w:r w:rsidR="00DB2BCA" w:rsidRPr="000E4865">
        <w:rPr>
          <w:snapToGrid w:val="0"/>
          <w:kern w:val="22"/>
          <w:szCs w:val="22"/>
          <w:lang w:val="es-ES_tradnl"/>
        </w:rPr>
        <w:t xml:space="preserve"> marco para la diversidad biológica posterior a 2020</w:t>
      </w:r>
      <w:r w:rsidRPr="000E4865">
        <w:rPr>
          <w:snapToGrid w:val="0"/>
          <w:kern w:val="22"/>
          <w:szCs w:val="22"/>
          <w:lang w:val="es-ES_tradnl"/>
        </w:rPr>
        <w:t xml:space="preserve">, </w:t>
      </w:r>
      <w:r w:rsidR="00DB2BCA" w:rsidRPr="000E4865">
        <w:rPr>
          <w:snapToGrid w:val="0"/>
          <w:kern w:val="22"/>
          <w:szCs w:val="22"/>
          <w:lang w:val="es-ES_tradnl"/>
        </w:rPr>
        <w:t>debería tener en cuenta la posible contribución de las empresas en la ejecución de dicho marco</w:t>
      </w:r>
      <w:r w:rsidRPr="000E4865">
        <w:rPr>
          <w:snapToGrid w:val="0"/>
          <w:kern w:val="22"/>
          <w:szCs w:val="22"/>
          <w:lang w:val="es-ES_tradnl"/>
        </w:rPr>
        <w:t xml:space="preserve">, </w:t>
      </w:r>
      <w:r w:rsidR="00DB2BCA" w:rsidRPr="000E4865">
        <w:rPr>
          <w:snapToGrid w:val="0"/>
          <w:kern w:val="22"/>
          <w:szCs w:val="22"/>
          <w:lang w:val="es-ES_tradnl"/>
        </w:rPr>
        <w:t>especialmente</w:t>
      </w:r>
      <w:r w:rsidRPr="000E4865">
        <w:rPr>
          <w:snapToGrid w:val="0"/>
          <w:kern w:val="22"/>
          <w:szCs w:val="22"/>
          <w:lang w:val="es-ES_tradnl"/>
        </w:rPr>
        <w:t>:</w:t>
      </w:r>
    </w:p>
    <w:p w14:paraId="32A5EC99" w14:textId="25FAADDB" w:rsidR="00276B6C" w:rsidRPr="000E4865" w:rsidRDefault="00041CA9" w:rsidP="00D74331">
      <w:pPr>
        <w:suppressLineNumbers/>
        <w:suppressAutoHyphens/>
        <w:kinsoku w:val="0"/>
        <w:overflowPunct w:val="0"/>
        <w:autoSpaceDE w:val="0"/>
        <w:autoSpaceDN w:val="0"/>
        <w:adjustRightInd w:val="0"/>
        <w:snapToGrid w:val="0"/>
        <w:spacing w:before="120" w:after="120" w:line="238" w:lineRule="auto"/>
        <w:ind w:firstLine="720"/>
        <w:rPr>
          <w:snapToGrid w:val="0"/>
          <w:kern w:val="22"/>
          <w:szCs w:val="22"/>
          <w:lang w:val="es-ES_tradnl"/>
        </w:rPr>
      </w:pPr>
      <w:r w:rsidRPr="000E4865">
        <w:rPr>
          <w:snapToGrid w:val="0"/>
          <w:kern w:val="22"/>
          <w:szCs w:val="22"/>
          <w:lang w:val="es-ES_tradnl"/>
        </w:rPr>
        <w:t>a</w:t>
      </w:r>
      <w:r w:rsidR="00276B6C" w:rsidRPr="000E4865">
        <w:rPr>
          <w:snapToGrid w:val="0"/>
          <w:kern w:val="22"/>
          <w:szCs w:val="22"/>
          <w:lang w:val="es-ES_tradnl"/>
        </w:rPr>
        <w:t>)</w:t>
      </w:r>
      <w:r w:rsidRPr="000E4865">
        <w:rPr>
          <w:snapToGrid w:val="0"/>
          <w:kern w:val="22"/>
          <w:szCs w:val="22"/>
          <w:lang w:val="es-ES_tradnl"/>
        </w:rPr>
        <w:tab/>
      </w:r>
      <w:r w:rsidR="00330384" w:rsidRPr="000E4865">
        <w:rPr>
          <w:snapToGrid w:val="0"/>
          <w:kern w:val="22"/>
          <w:szCs w:val="22"/>
          <w:lang w:val="es-ES_tradnl"/>
        </w:rPr>
        <w:t xml:space="preserve">Apoyando a las organizaciones e iniciativas pertinentes en su labor con miras a medidas e indicadores comunes para la </w:t>
      </w:r>
      <w:r w:rsidR="00D52625" w:rsidRPr="000E4865">
        <w:rPr>
          <w:snapToGrid w:val="0"/>
          <w:kern w:val="22"/>
          <w:szCs w:val="22"/>
          <w:lang w:val="es-ES_tradnl"/>
        </w:rPr>
        <w:t>diversidad biológica</w:t>
      </w:r>
      <w:r w:rsidR="00276B6C" w:rsidRPr="000E4865">
        <w:rPr>
          <w:snapToGrid w:val="0"/>
          <w:kern w:val="22"/>
          <w:szCs w:val="22"/>
          <w:lang w:val="es-ES_tradnl"/>
        </w:rPr>
        <w:t xml:space="preserve"> </w:t>
      </w:r>
      <w:r w:rsidR="00330384" w:rsidRPr="000E4865">
        <w:rPr>
          <w:snapToGrid w:val="0"/>
          <w:kern w:val="22"/>
          <w:szCs w:val="22"/>
          <w:lang w:val="es-ES_tradnl"/>
        </w:rPr>
        <w:t>que sean aplicables a las empresas, incluidas las dimensiones de las cadenas de valor</w:t>
      </w:r>
      <w:r w:rsidR="00276B6C" w:rsidRPr="000E4865">
        <w:rPr>
          <w:snapToGrid w:val="0"/>
          <w:kern w:val="22"/>
          <w:szCs w:val="22"/>
          <w:lang w:val="es-ES_tradnl"/>
        </w:rPr>
        <w:t>;</w:t>
      </w:r>
    </w:p>
    <w:p w14:paraId="227266A7" w14:textId="46A8E4C5" w:rsidR="00276B6C" w:rsidRPr="000E4865" w:rsidRDefault="00041CA9" w:rsidP="00D74331">
      <w:pPr>
        <w:suppressLineNumbers/>
        <w:suppressAutoHyphens/>
        <w:kinsoku w:val="0"/>
        <w:overflowPunct w:val="0"/>
        <w:autoSpaceDE w:val="0"/>
        <w:autoSpaceDN w:val="0"/>
        <w:adjustRightInd w:val="0"/>
        <w:snapToGrid w:val="0"/>
        <w:spacing w:before="120" w:after="120" w:line="238" w:lineRule="auto"/>
        <w:ind w:firstLine="720"/>
        <w:rPr>
          <w:snapToGrid w:val="0"/>
          <w:kern w:val="22"/>
          <w:szCs w:val="22"/>
          <w:lang w:val="es-ES_tradnl"/>
        </w:rPr>
      </w:pPr>
      <w:r w:rsidRPr="000E4865">
        <w:rPr>
          <w:snapToGrid w:val="0"/>
          <w:kern w:val="22"/>
          <w:szCs w:val="22"/>
          <w:lang w:val="es-ES_tradnl"/>
        </w:rPr>
        <w:t>b</w:t>
      </w:r>
      <w:r w:rsidR="00276B6C" w:rsidRPr="000E4865">
        <w:rPr>
          <w:snapToGrid w:val="0"/>
          <w:kern w:val="22"/>
          <w:szCs w:val="22"/>
          <w:lang w:val="es-ES_tradnl"/>
        </w:rPr>
        <w:t>)</w:t>
      </w:r>
      <w:r w:rsidRPr="000E4865">
        <w:rPr>
          <w:snapToGrid w:val="0"/>
          <w:kern w:val="22"/>
          <w:szCs w:val="22"/>
          <w:lang w:val="es-ES_tradnl"/>
        </w:rPr>
        <w:tab/>
      </w:r>
      <w:r w:rsidR="00330384" w:rsidRPr="000E4865">
        <w:rPr>
          <w:snapToGrid w:val="0"/>
          <w:kern w:val="22"/>
          <w:szCs w:val="22"/>
          <w:lang w:val="es-ES_tradnl"/>
        </w:rPr>
        <w:t xml:space="preserve">Apoyando, o seguir apoyando, a las organizaciones e iniciativas pertinentes para desarrollar perspectivas e iniciativas más diversas e integradas de formulación de valores relacionadas con la importancia de </w:t>
      </w:r>
      <w:r w:rsidR="00D52625" w:rsidRPr="000E4865">
        <w:rPr>
          <w:snapToGrid w:val="0"/>
          <w:kern w:val="22"/>
          <w:szCs w:val="22"/>
          <w:lang w:val="es-ES_tradnl"/>
        </w:rPr>
        <w:t>la diversidad biológica</w:t>
      </w:r>
      <w:r w:rsidR="00276B6C" w:rsidRPr="000E4865">
        <w:rPr>
          <w:snapToGrid w:val="0"/>
          <w:kern w:val="22"/>
          <w:szCs w:val="22"/>
          <w:lang w:val="es-ES_tradnl"/>
        </w:rPr>
        <w:t xml:space="preserve"> </w:t>
      </w:r>
      <w:r w:rsidR="00330384" w:rsidRPr="000E4865">
        <w:rPr>
          <w:snapToGrid w:val="0"/>
          <w:kern w:val="22"/>
          <w:szCs w:val="22"/>
          <w:lang w:val="es-ES_tradnl"/>
        </w:rPr>
        <w:t>y la necesidad para su conservación efectiva y uso sostenible</w:t>
      </w:r>
      <w:r w:rsidR="00276B6C" w:rsidRPr="000E4865">
        <w:rPr>
          <w:snapToGrid w:val="0"/>
          <w:kern w:val="22"/>
          <w:szCs w:val="22"/>
          <w:lang w:val="es-ES_tradnl"/>
        </w:rPr>
        <w:t>;</w:t>
      </w:r>
    </w:p>
    <w:p w14:paraId="6E5FE6DE" w14:textId="4C00CCEC" w:rsidR="00B3369F" w:rsidRPr="000E4865" w:rsidRDefault="00041CA9" w:rsidP="00D74331">
      <w:pPr>
        <w:suppressLineNumbers/>
        <w:suppressAutoHyphens/>
        <w:kinsoku w:val="0"/>
        <w:overflowPunct w:val="0"/>
        <w:autoSpaceDE w:val="0"/>
        <w:autoSpaceDN w:val="0"/>
        <w:adjustRightInd w:val="0"/>
        <w:snapToGrid w:val="0"/>
        <w:spacing w:before="120" w:after="120" w:line="238" w:lineRule="auto"/>
        <w:ind w:firstLine="720"/>
        <w:rPr>
          <w:snapToGrid w:val="0"/>
          <w:kern w:val="22"/>
          <w:szCs w:val="22"/>
          <w:lang w:val="es-ES_tradnl"/>
        </w:rPr>
      </w:pPr>
      <w:r w:rsidRPr="000E4865">
        <w:rPr>
          <w:snapToGrid w:val="0"/>
          <w:kern w:val="22"/>
          <w:szCs w:val="22"/>
          <w:lang w:val="es-ES_tradnl"/>
        </w:rPr>
        <w:t>c</w:t>
      </w:r>
      <w:r w:rsidR="00276B6C" w:rsidRPr="000E4865">
        <w:rPr>
          <w:snapToGrid w:val="0"/>
          <w:kern w:val="22"/>
          <w:szCs w:val="22"/>
          <w:lang w:val="es-ES_tradnl"/>
        </w:rPr>
        <w:t>)</w:t>
      </w:r>
      <w:r w:rsidRPr="000E4865">
        <w:rPr>
          <w:snapToGrid w:val="0"/>
          <w:kern w:val="22"/>
          <w:szCs w:val="22"/>
          <w:lang w:val="es-ES_tradnl"/>
        </w:rPr>
        <w:tab/>
      </w:r>
      <w:r w:rsidR="007A758F" w:rsidRPr="000E4865">
        <w:rPr>
          <w:snapToGrid w:val="0"/>
          <w:kern w:val="22"/>
          <w:szCs w:val="22"/>
          <w:lang w:val="es-ES_tradnl"/>
        </w:rPr>
        <w:t>Colaborando con organizaciones e iniciativas pertinentes, y apoyando su labor</w:t>
      </w:r>
      <w:r w:rsidR="00276B6C" w:rsidRPr="000E4865">
        <w:rPr>
          <w:snapToGrid w:val="0"/>
          <w:kern w:val="22"/>
          <w:szCs w:val="22"/>
          <w:lang w:val="es-ES_tradnl"/>
        </w:rPr>
        <w:t xml:space="preserve">, </w:t>
      </w:r>
      <w:r w:rsidR="007A758F" w:rsidRPr="000E4865">
        <w:rPr>
          <w:snapToGrid w:val="0"/>
          <w:kern w:val="22"/>
          <w:szCs w:val="22"/>
          <w:lang w:val="es-ES_tradnl"/>
        </w:rPr>
        <w:t>en particular las iniciativas de múltiples interesados</w:t>
      </w:r>
      <w:r w:rsidR="00276B6C" w:rsidRPr="000E4865">
        <w:rPr>
          <w:snapToGrid w:val="0"/>
          <w:kern w:val="22"/>
          <w:szCs w:val="22"/>
          <w:lang w:val="es-ES_tradnl"/>
        </w:rPr>
        <w:t xml:space="preserve">, </w:t>
      </w:r>
      <w:r w:rsidR="007A758F" w:rsidRPr="000E4865">
        <w:rPr>
          <w:snapToGrid w:val="0"/>
          <w:kern w:val="22"/>
          <w:szCs w:val="22"/>
          <w:lang w:val="es-ES_tradnl"/>
        </w:rPr>
        <w:t>líderes industriales, y organismos y asociaciones profesionales nacionales e internacionales</w:t>
      </w:r>
      <w:r w:rsidR="00276B6C" w:rsidRPr="000E4865">
        <w:rPr>
          <w:snapToGrid w:val="0"/>
          <w:kern w:val="22"/>
          <w:szCs w:val="22"/>
          <w:lang w:val="es-ES_tradnl"/>
        </w:rPr>
        <w:t xml:space="preserve">, </w:t>
      </w:r>
      <w:r w:rsidR="007A758F" w:rsidRPr="000E4865">
        <w:rPr>
          <w:snapToGrid w:val="0"/>
          <w:kern w:val="22"/>
          <w:szCs w:val="22"/>
          <w:lang w:val="es-ES_tradnl"/>
        </w:rPr>
        <w:t xml:space="preserve">para mejorar el perfil de </w:t>
      </w:r>
      <w:r w:rsidR="00D52625" w:rsidRPr="000E4865">
        <w:rPr>
          <w:snapToGrid w:val="0"/>
          <w:kern w:val="22"/>
          <w:szCs w:val="22"/>
          <w:lang w:val="es-ES_tradnl"/>
        </w:rPr>
        <w:t>la diversidad biológica</w:t>
      </w:r>
      <w:r w:rsidR="00276B6C" w:rsidRPr="000E4865">
        <w:rPr>
          <w:snapToGrid w:val="0"/>
          <w:kern w:val="22"/>
          <w:szCs w:val="22"/>
          <w:lang w:val="es-ES_tradnl"/>
        </w:rPr>
        <w:t xml:space="preserve"> </w:t>
      </w:r>
      <w:r w:rsidR="007A758F" w:rsidRPr="000E4865">
        <w:rPr>
          <w:snapToGrid w:val="0"/>
          <w:kern w:val="22"/>
          <w:szCs w:val="22"/>
          <w:lang w:val="es-ES_tradnl"/>
        </w:rPr>
        <w:t>en el sector manufacturero</w:t>
      </w:r>
      <w:r w:rsidR="00276B6C" w:rsidRPr="000E4865">
        <w:rPr>
          <w:snapToGrid w:val="0"/>
          <w:kern w:val="22"/>
          <w:szCs w:val="22"/>
          <w:lang w:val="es-ES_tradnl"/>
        </w:rPr>
        <w:t xml:space="preserve">, </w:t>
      </w:r>
      <w:r w:rsidR="007A758F" w:rsidRPr="000E4865">
        <w:rPr>
          <w:snapToGrid w:val="0"/>
          <w:kern w:val="22"/>
          <w:szCs w:val="22"/>
          <w:lang w:val="es-ES_tradnl"/>
        </w:rPr>
        <w:t>para ayudar a crear el caso comercial para cada industria manufacturera y fomentar las mejores prácticas de la industria</w:t>
      </w:r>
      <w:r w:rsidR="00276B6C" w:rsidRPr="000E4865">
        <w:rPr>
          <w:snapToGrid w:val="0"/>
          <w:kern w:val="22"/>
          <w:szCs w:val="22"/>
          <w:lang w:val="es-ES_tradnl"/>
        </w:rPr>
        <w:t xml:space="preserve">, </w:t>
      </w:r>
      <w:r w:rsidR="007A758F" w:rsidRPr="000E4865">
        <w:rPr>
          <w:snapToGrid w:val="0"/>
          <w:kern w:val="22"/>
          <w:szCs w:val="22"/>
          <w:lang w:val="es-ES_tradnl"/>
        </w:rPr>
        <w:t xml:space="preserve">e incluir las salvaguardias de </w:t>
      </w:r>
      <w:r w:rsidR="00D52625" w:rsidRPr="000E4865">
        <w:rPr>
          <w:snapToGrid w:val="0"/>
          <w:kern w:val="22"/>
          <w:szCs w:val="22"/>
          <w:lang w:val="es-ES_tradnl"/>
        </w:rPr>
        <w:t>la diversidad biológica</w:t>
      </w:r>
      <w:r w:rsidR="00276B6C" w:rsidRPr="000E4865">
        <w:rPr>
          <w:snapToGrid w:val="0"/>
          <w:kern w:val="22"/>
          <w:szCs w:val="22"/>
          <w:lang w:val="es-ES_tradnl"/>
        </w:rPr>
        <w:t xml:space="preserve"> </w:t>
      </w:r>
      <w:r w:rsidR="007A758F" w:rsidRPr="000E4865">
        <w:rPr>
          <w:snapToGrid w:val="0"/>
          <w:kern w:val="22"/>
          <w:szCs w:val="22"/>
          <w:lang w:val="es-ES_tradnl"/>
        </w:rPr>
        <w:t>en las actividades pertinentes del sector financiero, en particular en lo que respecta a la financiación de proyectos, la financiación empresarial y los productos de seguros</w:t>
      </w:r>
      <w:r w:rsidR="00276B6C" w:rsidRPr="000E4865">
        <w:rPr>
          <w:snapToGrid w:val="0"/>
          <w:kern w:val="22"/>
          <w:szCs w:val="22"/>
          <w:lang w:val="es-ES_tradnl"/>
        </w:rPr>
        <w:t>.</w:t>
      </w:r>
    </w:p>
    <w:p w14:paraId="358C0631" w14:textId="05D53722" w:rsidR="00041CA9" w:rsidRPr="000E4865" w:rsidRDefault="00041CA9" w:rsidP="00D74331">
      <w:pPr>
        <w:suppressLineNumbers/>
        <w:suppressAutoHyphens/>
        <w:kinsoku w:val="0"/>
        <w:overflowPunct w:val="0"/>
        <w:autoSpaceDE w:val="0"/>
        <w:autoSpaceDN w:val="0"/>
        <w:adjustRightInd w:val="0"/>
        <w:snapToGrid w:val="0"/>
        <w:spacing w:before="120" w:after="120"/>
        <w:jc w:val="center"/>
        <w:rPr>
          <w:snapToGrid w:val="0"/>
          <w:kern w:val="22"/>
          <w:szCs w:val="22"/>
          <w:lang w:val="es-ES_tradnl"/>
        </w:rPr>
      </w:pPr>
      <w:r w:rsidRPr="000E4865">
        <w:rPr>
          <w:snapToGrid w:val="0"/>
          <w:kern w:val="22"/>
          <w:szCs w:val="22"/>
          <w:lang w:val="es-ES_tradnl"/>
        </w:rPr>
        <w:t>__________</w:t>
      </w:r>
      <w:bookmarkEnd w:id="0"/>
    </w:p>
    <w:sectPr w:rsidR="00041CA9" w:rsidRPr="000E4865" w:rsidSect="00D74331">
      <w:headerReference w:type="even" r:id="rId15"/>
      <w:headerReference w:type="default" r:id="rId16"/>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C70C" w14:textId="77777777" w:rsidR="00A53B5D" w:rsidRDefault="00A53B5D" w:rsidP="00CF1848">
      <w:r>
        <w:separator/>
      </w:r>
    </w:p>
  </w:endnote>
  <w:endnote w:type="continuationSeparator" w:id="0">
    <w:p w14:paraId="74066DE0" w14:textId="77777777" w:rsidR="00A53B5D" w:rsidRDefault="00A53B5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4077" w14:textId="77777777" w:rsidR="00A53B5D" w:rsidRDefault="00A53B5D" w:rsidP="00CF1848">
      <w:r>
        <w:separator/>
      </w:r>
    </w:p>
  </w:footnote>
  <w:footnote w:type="continuationSeparator" w:id="0">
    <w:p w14:paraId="0084B463" w14:textId="77777777" w:rsidR="00A53B5D" w:rsidRDefault="00A53B5D" w:rsidP="00CF1848">
      <w:r>
        <w:continuationSeparator/>
      </w:r>
    </w:p>
  </w:footnote>
  <w:footnote w:id="1">
    <w:p w14:paraId="47704376" w14:textId="71FAE0C2" w:rsidR="001717A5" w:rsidRPr="00640F1E" w:rsidRDefault="001717A5" w:rsidP="00D74331">
      <w:pPr>
        <w:pStyle w:val="FootnoteText"/>
        <w:ind w:firstLine="0"/>
        <w:rPr>
          <w:lang w:val="es-ES_tradnl"/>
        </w:rPr>
      </w:pPr>
      <w:r w:rsidRPr="00640F1E">
        <w:rPr>
          <w:rStyle w:val="FootnoteReference"/>
          <w:lang w:val="es-ES_tradnl"/>
        </w:rPr>
        <w:t>*</w:t>
      </w:r>
      <w:r w:rsidRPr="00640F1E">
        <w:rPr>
          <w:lang w:val="es-ES_tradnl"/>
        </w:rPr>
        <w:t xml:space="preserve"> CBD/SBI/2/1</w:t>
      </w:r>
    </w:p>
  </w:footnote>
  <w:footnote w:id="2">
    <w:p w14:paraId="367F6166" w14:textId="24508EA2" w:rsidR="001717A5" w:rsidRPr="00640F1E"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640F1E">
        <w:rPr>
          <w:rStyle w:val="FootnoteReference"/>
          <w:snapToGrid w:val="0"/>
          <w:kern w:val="18"/>
          <w:sz w:val="18"/>
          <w:szCs w:val="18"/>
          <w:lang w:val="es-ES_tradnl"/>
        </w:rPr>
        <w:footnoteRef/>
      </w:r>
      <w:r w:rsidRPr="00640F1E">
        <w:rPr>
          <w:snapToGrid w:val="0"/>
          <w:kern w:val="18"/>
          <w:sz w:val="18"/>
          <w:szCs w:val="18"/>
          <w:lang w:val="es-ES_tradnl"/>
        </w:rPr>
        <w:t xml:space="preserve"> En lo sucesivo denominadas </w:t>
      </w:r>
      <w:r w:rsidRPr="00640F1E">
        <w:rPr>
          <w:rFonts w:eastAsia="Times"/>
          <w:snapToGrid w:val="0"/>
          <w:kern w:val="18"/>
          <w:sz w:val="18"/>
          <w:szCs w:val="18"/>
          <w:lang w:val="es-ES_tradnl"/>
        </w:rPr>
        <w:t>“industrias manufactureras”.</w:t>
      </w:r>
      <w:r>
        <w:rPr>
          <w:rFonts w:eastAsia="Times"/>
          <w:snapToGrid w:val="0"/>
          <w:kern w:val="18"/>
          <w:sz w:val="18"/>
          <w:szCs w:val="18"/>
          <w:lang w:val="es-ES_tradnl"/>
        </w:rPr>
        <w:t xml:space="preserve"> </w:t>
      </w:r>
      <w:r w:rsidRPr="00640F1E">
        <w:rPr>
          <w:rFonts w:eastAsia="Times"/>
          <w:snapToGrid w:val="0"/>
          <w:kern w:val="18"/>
          <w:sz w:val="18"/>
          <w:szCs w:val="18"/>
          <w:lang w:val="es-ES_tradnl"/>
        </w:rPr>
        <w:t>La manufactura incluye la elaboración de los productos de diversos productores de materias primas en productos diversificados, incluidos los productos de la agricultura, la silvicultura y la pesca.</w:t>
      </w:r>
    </w:p>
  </w:footnote>
  <w:footnote w:id="3">
    <w:p w14:paraId="4FC85AA6" w14:textId="55973D1D"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El Convenio sobre la Diversidad Biológica define diversidad biológica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footnote>
  <w:footnote w:id="4">
    <w:p w14:paraId="37A8843B" w14:textId="242CB582" w:rsidR="001717A5" w:rsidRPr="00640F1E" w:rsidRDefault="001717A5" w:rsidP="009C60BC">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640F1E">
        <w:rPr>
          <w:rStyle w:val="FootnoteReference"/>
          <w:snapToGrid w:val="0"/>
          <w:kern w:val="18"/>
          <w:sz w:val="18"/>
          <w:szCs w:val="18"/>
          <w:lang w:val="es-ES_tradnl"/>
        </w:rPr>
        <w:footnoteRef/>
      </w:r>
      <w:r w:rsidRPr="00640F1E">
        <w:rPr>
          <w:snapToGrid w:val="0"/>
          <w:kern w:val="18"/>
          <w:sz w:val="18"/>
          <w:szCs w:val="18"/>
          <w:lang w:val="es-ES_tradnl"/>
        </w:rPr>
        <w:t xml:space="preserve"> División de Estadística de las Naciones Unidas (2017). </w:t>
      </w:r>
      <w:r w:rsidRPr="000B3ED9">
        <w:rPr>
          <w:i/>
          <w:iCs/>
          <w:snapToGrid w:val="0"/>
          <w:kern w:val="18"/>
          <w:sz w:val="18"/>
          <w:szCs w:val="18"/>
        </w:rPr>
        <w:t>International Standard Industrial Classification of All Economic Activities</w:t>
      </w:r>
      <w:r w:rsidRPr="000B3ED9">
        <w:rPr>
          <w:snapToGrid w:val="0"/>
          <w:kern w:val="18"/>
          <w:sz w:val="18"/>
          <w:szCs w:val="18"/>
        </w:rPr>
        <w:t xml:space="preserve">, Rev.4. </w:t>
      </w:r>
      <w:hyperlink r:id="rId1" w:history="1">
        <w:r w:rsidRPr="00640F1E">
          <w:rPr>
            <w:snapToGrid w:val="0"/>
            <w:kern w:val="18"/>
            <w:sz w:val="18"/>
            <w:szCs w:val="18"/>
            <w:lang w:val="es-ES_tradnl"/>
          </w:rPr>
          <w:t>https://unstats.un.org/unsd/cr/registry/regcst.asp?Cl=27</w:t>
        </w:r>
      </w:hyperlink>
      <w:r w:rsidRPr="00640F1E">
        <w:rPr>
          <w:snapToGrid w:val="0"/>
          <w:kern w:val="18"/>
          <w:sz w:val="18"/>
          <w:szCs w:val="18"/>
          <w:lang w:val="es-ES_tradnl"/>
        </w:rPr>
        <w:t>, consultado el 5 de enero de 2018.</w:t>
      </w:r>
    </w:p>
  </w:footnote>
  <w:footnote w:id="5">
    <w:p w14:paraId="4845C08B" w14:textId="139396CB"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URL: </w:t>
      </w:r>
      <w:hyperlink r:id="rId2" w:history="1">
        <w:r w:rsidRPr="00640F1E">
          <w:rPr>
            <w:snapToGrid w:val="0"/>
            <w:kern w:val="18"/>
            <w:szCs w:val="18"/>
            <w:lang w:val="es-ES_tradnl"/>
          </w:rPr>
          <w:t>http://wdi.worldbank.org/table/4.2#</w:t>
        </w:r>
      </w:hyperlink>
      <w:r w:rsidRPr="00640F1E">
        <w:rPr>
          <w:snapToGrid w:val="0"/>
          <w:kern w:val="18"/>
          <w:szCs w:val="18"/>
          <w:lang w:val="es-ES_tradnl"/>
        </w:rPr>
        <w:t>, consultado el 9 de noviembre de 2017.</w:t>
      </w:r>
    </w:p>
  </w:footnote>
  <w:footnote w:id="6">
    <w:p w14:paraId="36F85E27" w14:textId="0F0EB724"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0B3ED9">
        <w:rPr>
          <w:snapToGrid w:val="0"/>
          <w:kern w:val="18"/>
          <w:szCs w:val="18"/>
        </w:rPr>
        <w:t xml:space="preserve"> Levinson, M. (2017). </w:t>
      </w:r>
      <w:r w:rsidRPr="009E09B7">
        <w:rPr>
          <w:snapToGrid w:val="0"/>
          <w:kern w:val="18"/>
          <w:szCs w:val="18"/>
        </w:rPr>
        <w:t xml:space="preserve">U.S. manufacturing in international perspective. </w:t>
      </w:r>
      <w:r w:rsidRPr="00640F1E">
        <w:rPr>
          <w:snapToGrid w:val="0"/>
          <w:kern w:val="18"/>
          <w:szCs w:val="18"/>
          <w:lang w:val="es-ES_tradnl"/>
        </w:rPr>
        <w:t>Congressional Research Service, R42135, 19 pp.</w:t>
      </w:r>
    </w:p>
  </w:footnote>
  <w:footnote w:id="7">
    <w:p w14:paraId="7140C6D9" w14:textId="1C4EAFED"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w:t>
      </w:r>
      <w:r w:rsidRPr="00640F1E">
        <w:rPr>
          <w:bCs/>
          <w:snapToGrid w:val="0"/>
          <w:kern w:val="18"/>
          <w:szCs w:val="18"/>
          <w:lang w:val="es-ES_tradnl"/>
        </w:rPr>
        <w:t>URL: http://wdi.worldbank.org/table/4.3#, consultado el 6 de enero de 2018.</w:t>
      </w:r>
    </w:p>
  </w:footnote>
  <w:footnote w:id="8">
    <w:p w14:paraId="5D195403" w14:textId="1DB673DE"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snapToGrid w:val="0"/>
          <w:kern w:val="18"/>
          <w:szCs w:val="18"/>
          <w:vertAlign w:val="superscript"/>
          <w:lang w:val="es-ES_tradnl"/>
        </w:rPr>
        <w:footnoteRef/>
      </w:r>
      <w:r w:rsidRPr="00640F1E">
        <w:rPr>
          <w:snapToGrid w:val="0"/>
          <w:kern w:val="18"/>
          <w:szCs w:val="18"/>
          <w:lang w:val="es-ES_tradnl"/>
        </w:rPr>
        <w:t xml:space="preserve"> URL: </w:t>
      </w:r>
      <w:hyperlink r:id="rId3" w:history="1">
        <w:r w:rsidRPr="00640F1E">
          <w:rPr>
            <w:snapToGrid w:val="0"/>
            <w:kern w:val="18"/>
            <w:szCs w:val="18"/>
            <w:lang w:val="es-ES_tradnl"/>
          </w:rPr>
          <w:t>http://www.ilo.org/global/research/global-reports/global-employment-trends/2014/WCMS_234879/lang--en/index.htm</w:t>
        </w:r>
      </w:hyperlink>
      <w:r w:rsidRPr="00640F1E">
        <w:rPr>
          <w:snapToGrid w:val="0"/>
          <w:kern w:val="18"/>
          <w:szCs w:val="18"/>
          <w:lang w:val="es-ES_tradnl"/>
        </w:rPr>
        <w:t>, consultado el 9 de noviembre de 2017.</w:t>
      </w:r>
    </w:p>
  </w:footnote>
  <w:footnote w:id="9">
    <w:p w14:paraId="2FB8E78F" w14:textId="253B6480"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El crecimiento económico del mundo aumentó a una tasa inferior al 2,5%. El comercio mundial se redujo drásticamente a cerca de 1,5% en 2015 y 2016, en comparación con el 7% antes de la crisis; UNCTAD (2016). The Trade and Development Report (TDR) 2016. URL: </w:t>
      </w:r>
      <w:hyperlink r:id="rId4" w:history="1">
        <w:r w:rsidRPr="00640F1E">
          <w:rPr>
            <w:snapToGrid w:val="0"/>
            <w:kern w:val="18"/>
            <w:szCs w:val="18"/>
            <w:lang w:val="es-ES_tradnl"/>
          </w:rPr>
          <w:t>http://unctad.org/en/pages/PublicationWebflyer.aspx?publicationid=1610</w:t>
        </w:r>
      </w:hyperlink>
      <w:r w:rsidRPr="00640F1E">
        <w:rPr>
          <w:snapToGrid w:val="0"/>
          <w:kern w:val="18"/>
          <w:szCs w:val="18"/>
          <w:lang w:val="es-ES_tradnl"/>
        </w:rPr>
        <w:t>, consultado el 9 de noviembre de 2017.</w:t>
      </w:r>
    </w:p>
  </w:footnote>
  <w:footnote w:id="10">
    <w:p w14:paraId="63982513" w14:textId="75801940"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0B3ED9">
        <w:rPr>
          <w:snapToGrid w:val="0"/>
          <w:kern w:val="18"/>
          <w:szCs w:val="18"/>
        </w:rPr>
        <w:t xml:space="preserve"> McKinsey (2012). Manufacturing the future: The next era of global growth and innovation. </w:t>
      </w:r>
      <w:r w:rsidRPr="00640F1E">
        <w:rPr>
          <w:snapToGrid w:val="0"/>
          <w:kern w:val="18"/>
          <w:szCs w:val="18"/>
          <w:lang w:val="es-ES_tradnl"/>
        </w:rPr>
        <w:t xml:space="preserve">URL: </w:t>
      </w:r>
      <w:hyperlink r:id="rId5" w:history="1">
        <w:r w:rsidRPr="00640F1E">
          <w:rPr>
            <w:snapToGrid w:val="0"/>
            <w:kern w:val="18"/>
            <w:szCs w:val="18"/>
            <w:lang w:val="es-ES_tradnl"/>
          </w:rPr>
          <w:t>https://www.mckinsey.com/business-functions/operations/our-insights/the-future-of-manufacturing</w:t>
        </w:r>
      </w:hyperlink>
      <w:r w:rsidRPr="00640F1E">
        <w:rPr>
          <w:snapToGrid w:val="0"/>
          <w:kern w:val="18"/>
          <w:szCs w:val="18"/>
          <w:lang w:val="es-ES_tradnl"/>
        </w:rPr>
        <w:t>, consultado el 7 de noviembre de 2017.</w:t>
      </w:r>
    </w:p>
  </w:footnote>
  <w:footnote w:id="11">
    <w:p w14:paraId="5ED338B8" w14:textId="588E3FC5" w:rsidR="001717A5" w:rsidRPr="00640F1E"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640F1E">
        <w:rPr>
          <w:rStyle w:val="FootnoteReference"/>
          <w:snapToGrid w:val="0"/>
          <w:kern w:val="18"/>
          <w:sz w:val="18"/>
          <w:szCs w:val="18"/>
          <w:lang w:val="es-ES_tradnl"/>
        </w:rPr>
        <w:footnoteRef/>
      </w:r>
      <w:r w:rsidRPr="00640F1E">
        <w:rPr>
          <w:snapToGrid w:val="0"/>
          <w:kern w:val="18"/>
          <w:sz w:val="18"/>
          <w:szCs w:val="18"/>
          <w:lang w:val="es-ES_tradnl"/>
        </w:rPr>
        <w:t xml:space="preserve"> 2016 Global Manufacturing Outlook</w:t>
      </w:r>
      <w:r>
        <w:rPr>
          <w:snapToGrid w:val="0"/>
          <w:kern w:val="18"/>
          <w:sz w:val="18"/>
          <w:szCs w:val="18"/>
          <w:lang w:val="es-ES_tradnl"/>
        </w:rPr>
        <w:t xml:space="preserve">, </w:t>
      </w:r>
      <w:r w:rsidRPr="00640F1E">
        <w:rPr>
          <w:snapToGrid w:val="0"/>
          <w:kern w:val="18"/>
          <w:sz w:val="18"/>
          <w:szCs w:val="18"/>
          <w:lang w:val="es-ES_tradnl"/>
        </w:rPr>
        <w:t xml:space="preserve">KPMG International; URL: </w:t>
      </w:r>
      <w:hyperlink r:id="rId6" w:history="1">
        <w:r w:rsidRPr="00640F1E">
          <w:rPr>
            <w:rStyle w:val="Hyperlink"/>
            <w:snapToGrid w:val="0"/>
            <w:kern w:val="18"/>
            <w:szCs w:val="18"/>
            <w:lang w:val="es-ES_tradnl"/>
          </w:rPr>
          <w:t>https://home.kpmg.com/xx/en/home/campaigns/2016/05/kpmg-internationals-2016-global-manufacturing-outlook-competing-for-growth.html</w:t>
        </w:r>
      </w:hyperlink>
      <w:r w:rsidRPr="00640F1E">
        <w:rPr>
          <w:snapToGrid w:val="0"/>
          <w:kern w:val="18"/>
          <w:sz w:val="18"/>
          <w:szCs w:val="18"/>
          <w:lang w:val="es-ES_tradnl"/>
        </w:rPr>
        <w:t>, consultado el 7 de noviembre de 2017.</w:t>
      </w:r>
    </w:p>
  </w:footnote>
  <w:footnote w:id="12">
    <w:p w14:paraId="6833DD7B" w14:textId="0EB9EB38" w:rsidR="001717A5" w:rsidRPr="00640F1E"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640F1E">
        <w:rPr>
          <w:rStyle w:val="FootnoteReference"/>
          <w:snapToGrid w:val="0"/>
          <w:kern w:val="18"/>
          <w:sz w:val="18"/>
          <w:szCs w:val="18"/>
          <w:lang w:val="es-ES_tradnl"/>
        </w:rPr>
        <w:footnoteRef/>
      </w:r>
      <w:r w:rsidRPr="00640F1E">
        <w:rPr>
          <w:snapToGrid w:val="0"/>
          <w:kern w:val="18"/>
          <w:sz w:val="18"/>
          <w:szCs w:val="18"/>
          <w:lang w:val="es-ES_tradnl"/>
        </w:rPr>
        <w:t xml:space="preserve"> Se define tecnología de fabricación avanzada como el equipamiento controlado por ordenadores o basado en la microelectrónica para diseñar, fabricar o manipular un producto. </w:t>
      </w:r>
      <w:r w:rsidRPr="00640F1E">
        <w:rPr>
          <w:i/>
          <w:snapToGrid w:val="0"/>
          <w:kern w:val="18"/>
          <w:sz w:val="18"/>
          <w:szCs w:val="18"/>
          <w:lang w:val="es-ES_tradnl"/>
        </w:rPr>
        <w:t>Manual de Frascati de la OCDE</w:t>
      </w:r>
      <w:r w:rsidRPr="00640F1E">
        <w:rPr>
          <w:snapToGrid w:val="0"/>
          <w:kern w:val="18"/>
          <w:sz w:val="18"/>
          <w:szCs w:val="18"/>
          <w:lang w:val="es-ES_tradnl"/>
        </w:rPr>
        <w:t xml:space="preserve">, sexta edición, 2012; URL: </w:t>
      </w:r>
      <w:hyperlink r:id="rId7" w:history="1">
        <w:r w:rsidRPr="00640F1E">
          <w:rPr>
            <w:snapToGrid w:val="0"/>
            <w:kern w:val="18"/>
            <w:sz w:val="18"/>
            <w:szCs w:val="18"/>
            <w:lang w:val="es-ES_tradnl"/>
          </w:rPr>
          <w:t>https://stats.oecd.org/glossary/detail.asp?ID=52</w:t>
        </w:r>
      </w:hyperlink>
      <w:r w:rsidRPr="00640F1E">
        <w:rPr>
          <w:snapToGrid w:val="0"/>
          <w:kern w:val="18"/>
          <w:sz w:val="18"/>
          <w:szCs w:val="18"/>
          <w:lang w:val="es-ES_tradnl"/>
        </w:rPr>
        <w:t>, consultado el 9 de noviembre de 2017.</w:t>
      </w:r>
    </w:p>
  </w:footnote>
  <w:footnote w:id="13">
    <w:p w14:paraId="28C4B471" w14:textId="4F4439EE"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w:t>
      </w:r>
      <w:r w:rsidRPr="00640F1E">
        <w:rPr>
          <w:snapToGrid w:val="0"/>
          <w:spacing w:val="-2"/>
          <w:kern w:val="18"/>
          <w:szCs w:val="18"/>
          <w:lang w:val="es-ES_tradnl"/>
        </w:rPr>
        <w:t>Relocalización es el acto de devolver el personal y los servicios externos al lugar donde se contrataron originalmente.</w:t>
      </w:r>
    </w:p>
  </w:footnote>
  <w:footnote w:id="14">
    <w:p w14:paraId="1D4B1717" w14:textId="76ED05F7" w:rsidR="001717A5" w:rsidRPr="00DC3765"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640F1E">
        <w:rPr>
          <w:rStyle w:val="FootnoteReference"/>
          <w:snapToGrid w:val="0"/>
          <w:kern w:val="18"/>
          <w:sz w:val="18"/>
          <w:szCs w:val="18"/>
          <w:lang w:val="es-ES_tradnl"/>
        </w:rPr>
        <w:footnoteRef/>
      </w:r>
      <w:r w:rsidRPr="000B3ED9">
        <w:rPr>
          <w:snapToGrid w:val="0"/>
          <w:kern w:val="18"/>
          <w:sz w:val="18"/>
          <w:szCs w:val="18"/>
        </w:rPr>
        <w:t xml:space="preserve"> Hallward-Driemeier, M., Nayyar, G. (2018). </w:t>
      </w:r>
      <w:r w:rsidRPr="000B3ED9">
        <w:rPr>
          <w:i/>
          <w:snapToGrid w:val="0"/>
          <w:kern w:val="18"/>
          <w:sz w:val="18"/>
          <w:szCs w:val="18"/>
        </w:rPr>
        <w:t>Trouble in the making? The future of manufacturing-led development</w:t>
      </w:r>
      <w:r w:rsidRPr="000B3ED9">
        <w:rPr>
          <w:snapToGrid w:val="0"/>
          <w:kern w:val="18"/>
          <w:sz w:val="18"/>
          <w:szCs w:val="18"/>
        </w:rPr>
        <w:t xml:space="preserve">. </w:t>
      </w:r>
      <w:r w:rsidRPr="00640F1E">
        <w:rPr>
          <w:snapToGrid w:val="0"/>
          <w:kern w:val="18"/>
          <w:sz w:val="18"/>
          <w:szCs w:val="18"/>
          <w:lang w:val="es-ES_tradnl"/>
        </w:rPr>
        <w:t xml:space="preserve">Washington, </w:t>
      </w:r>
      <w:r w:rsidRPr="00DC3765">
        <w:rPr>
          <w:snapToGrid w:val="0"/>
          <w:kern w:val="18"/>
          <w:sz w:val="18"/>
          <w:szCs w:val="18"/>
          <w:lang w:val="es-ES_tradnl"/>
        </w:rPr>
        <w:t>DC: World Bank. doi:10.1596/978-1-4648-1174-6.</w:t>
      </w:r>
    </w:p>
  </w:footnote>
  <w:footnote w:id="15">
    <w:p w14:paraId="64C17E22" w14:textId="54CD13E5" w:rsidR="001717A5" w:rsidRPr="00DC3765"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DC3765">
        <w:rPr>
          <w:rStyle w:val="FootnoteReference"/>
          <w:snapToGrid w:val="0"/>
          <w:kern w:val="18"/>
          <w:sz w:val="18"/>
          <w:szCs w:val="18"/>
          <w:lang w:val="es-ES_tradnl"/>
        </w:rPr>
        <w:footnoteRef/>
      </w:r>
      <w:r w:rsidRPr="00DC3765">
        <w:rPr>
          <w:snapToGrid w:val="0"/>
          <w:kern w:val="18"/>
          <w:szCs w:val="18"/>
          <w:lang w:val="es-ES_tradnl"/>
        </w:rPr>
        <w:t xml:space="preserve"> Si bien el conocimiento de las</w:t>
      </w:r>
      <w:r>
        <w:rPr>
          <w:snapToGrid w:val="0"/>
          <w:kern w:val="18"/>
          <w:szCs w:val="18"/>
          <w:lang w:val="es-ES_tradnl"/>
        </w:rPr>
        <w:t xml:space="preserve"> </w:t>
      </w:r>
      <w:r w:rsidRPr="00DC3765">
        <w:rPr>
          <w:snapToGrid w:val="0"/>
          <w:kern w:val="18"/>
          <w:szCs w:val="18"/>
          <w:lang w:val="es-ES_tradnl"/>
        </w:rPr>
        <w:t>relaciones entre la diversidad biológica y los servicios de los ecosistemas dista mucho de ser completo</w:t>
      </w:r>
      <w:r w:rsidRPr="00DC3765">
        <w:rPr>
          <w:snapToGrid w:val="0"/>
          <w:color w:val="000000" w:themeColor="text1"/>
          <w:kern w:val="18"/>
          <w:szCs w:val="18"/>
          <w:shd w:val="clear" w:color="auto" w:fill="FFFFFF"/>
          <w:lang w:val="es-ES_tradnl"/>
        </w:rPr>
        <w:t>, diversas especies, sus interacciones</w:t>
      </w:r>
      <w:r>
        <w:rPr>
          <w:snapToGrid w:val="0"/>
          <w:color w:val="000000" w:themeColor="text1"/>
          <w:kern w:val="18"/>
          <w:szCs w:val="18"/>
          <w:shd w:val="clear" w:color="auto" w:fill="FFFFFF"/>
          <w:lang w:val="es-ES_tradnl"/>
        </w:rPr>
        <w:t xml:space="preserve">, y las </w:t>
      </w:r>
      <w:r w:rsidRPr="00DC3765">
        <w:rPr>
          <w:snapToGrid w:val="0"/>
          <w:color w:val="000000" w:themeColor="text1"/>
          <w:kern w:val="18"/>
          <w:szCs w:val="18"/>
          <w:shd w:val="clear" w:color="auto" w:fill="FFFFFF"/>
          <w:lang w:val="es-ES_tradnl"/>
        </w:rPr>
        <w:t xml:space="preserve">funciones y procesos conexos de los ecosistemas contribuyen al suministro de la mayoría de los servicios de los ecosistemas (p.ej., véanse los resultados del proyecto de investigación OpenNESS de la Unión Europea, URL: </w:t>
      </w:r>
      <w:hyperlink r:id="rId8" w:history="1">
        <w:r w:rsidRPr="00DC3765">
          <w:rPr>
            <w:rStyle w:val="Hyperlink"/>
            <w:snapToGrid w:val="0"/>
            <w:kern w:val="18"/>
            <w:szCs w:val="18"/>
            <w:shd w:val="clear" w:color="auto" w:fill="FFFFFF"/>
            <w:lang w:val="es-ES_tradnl"/>
          </w:rPr>
          <w:t>http://www.openness-project.eu/library/reference-book/sp-link-between-biodiversity-and-ecosystem-services</w:t>
        </w:r>
      </w:hyperlink>
      <w:r w:rsidRPr="00DC3765">
        <w:rPr>
          <w:snapToGrid w:val="0"/>
          <w:color w:val="000000" w:themeColor="text1"/>
          <w:kern w:val="18"/>
          <w:szCs w:val="18"/>
          <w:shd w:val="clear" w:color="auto" w:fill="FFFFFF"/>
          <w:lang w:val="es-ES_tradnl"/>
        </w:rPr>
        <w:t>).</w:t>
      </w:r>
    </w:p>
  </w:footnote>
  <w:footnote w:id="16">
    <w:p w14:paraId="6E10C1B4" w14:textId="15838E39" w:rsidR="001717A5" w:rsidRPr="00DC3765"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DC3765">
        <w:rPr>
          <w:rStyle w:val="FootnoteReference"/>
          <w:snapToGrid w:val="0"/>
          <w:kern w:val="18"/>
          <w:sz w:val="18"/>
          <w:szCs w:val="18"/>
          <w:lang w:val="es-ES_tradnl"/>
        </w:rPr>
        <w:footnoteRef/>
      </w:r>
      <w:r w:rsidRPr="00DC3765">
        <w:rPr>
          <w:snapToGrid w:val="0"/>
          <w:kern w:val="18"/>
          <w:szCs w:val="18"/>
          <w:lang w:val="es-ES_tradnl"/>
        </w:rPr>
        <w:t xml:space="preserve"> La Secretaría ha elaborado una serie de notas y hojas informativas sobre dichos sectores en la serie “Bioscience at a Crossroads”; URL: </w:t>
      </w:r>
      <w:hyperlink r:id="rId9" w:history="1">
        <w:r w:rsidRPr="00DC3765">
          <w:rPr>
            <w:snapToGrid w:val="0"/>
            <w:kern w:val="18"/>
            <w:szCs w:val="18"/>
            <w:lang w:val="es-ES_tradnl"/>
          </w:rPr>
          <w:t>https://www.cbd.int/abs/resources/factsheets.shtml</w:t>
        </w:r>
      </w:hyperlink>
      <w:r w:rsidRPr="00DC3765">
        <w:rPr>
          <w:snapToGrid w:val="0"/>
          <w:kern w:val="18"/>
          <w:szCs w:val="18"/>
          <w:lang w:val="es-ES_tradnl"/>
        </w:rPr>
        <w:t>; consultado el 9 de noviembre de 2017.</w:t>
      </w:r>
    </w:p>
  </w:footnote>
  <w:footnote w:id="17">
    <w:p w14:paraId="13E4110D" w14:textId="5BD6B054" w:rsidR="001717A5" w:rsidRPr="00DC3765" w:rsidRDefault="001717A5" w:rsidP="00D74331">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DC3765">
        <w:rPr>
          <w:snapToGrid w:val="0"/>
          <w:kern w:val="18"/>
          <w:szCs w:val="18"/>
          <w:vertAlign w:val="superscript"/>
          <w:lang w:val="es-ES_tradnl"/>
        </w:rPr>
        <w:footnoteRef/>
      </w:r>
      <w:r w:rsidRPr="00DC3765">
        <w:rPr>
          <w:snapToGrid w:val="0"/>
          <w:kern w:val="18"/>
          <w:szCs w:val="18"/>
          <w:lang w:val="es-ES_tradnl"/>
        </w:rPr>
        <w:t xml:space="preserve"> Distinguir entre un factor de impacto y un impacto real es esencial para entender los impactos </w:t>
      </w:r>
      <w:r>
        <w:rPr>
          <w:snapToGrid w:val="0"/>
          <w:kern w:val="18"/>
          <w:szCs w:val="18"/>
          <w:lang w:val="es-ES_tradnl"/>
        </w:rPr>
        <w:t xml:space="preserve">ambientales </w:t>
      </w:r>
      <w:r w:rsidRPr="00DC3765">
        <w:rPr>
          <w:snapToGrid w:val="0"/>
          <w:kern w:val="18"/>
          <w:szCs w:val="18"/>
          <w:lang w:val="es-ES_tradnl"/>
        </w:rPr>
        <w:t>de las industrias manufactureras. Un factor de impacto puede ser: una cantidad mensurable de un componente de un ecosistema utilizado como insumo para la producción (p. ej., el volumen de agua utilizado para enfriar una fábrica) o un recurso secundario mensurable de una actividad comercial (p. ej., toneladas de emisiones de gases de invernadero). Un impacto es un cambio en la cantidad o calidad de un componente o atributo que ocurre como consecuencia de un factor de impacto y puede traer cambios en el bienestar humano o en la viabilidad o rentabilidad organizativa. Todos los factores de impacto interactúan con ecosistemas (p. ej., las emisiones de gases</w:t>
      </w:r>
      <w:r>
        <w:rPr>
          <w:snapToGrid w:val="0"/>
          <w:kern w:val="18"/>
          <w:szCs w:val="18"/>
          <w:lang w:val="es-ES_tradnl"/>
        </w:rPr>
        <w:t xml:space="preserve"> de</w:t>
      </w:r>
      <w:r w:rsidRPr="00DC3765">
        <w:rPr>
          <w:snapToGrid w:val="0"/>
          <w:kern w:val="18"/>
          <w:szCs w:val="18"/>
          <w:lang w:val="es-ES_tradnl"/>
        </w:rPr>
        <w:t xml:space="preserve"> invernadero</w:t>
      </w:r>
      <w:r>
        <w:rPr>
          <w:snapToGrid w:val="0"/>
          <w:kern w:val="18"/>
          <w:szCs w:val="18"/>
          <w:lang w:val="es-ES_tradnl"/>
        </w:rPr>
        <w:t xml:space="preserve"> </w:t>
      </w:r>
      <w:r w:rsidRPr="00DC3765">
        <w:rPr>
          <w:snapToGrid w:val="0"/>
          <w:kern w:val="18"/>
          <w:szCs w:val="18"/>
          <w:lang w:val="es-ES_tradnl"/>
        </w:rPr>
        <w:t xml:space="preserve">que provocan el cambio climático y, por ende, cambios en los procesos y la dinámica de los ecosistemas), y pueden dar lugar a cambios indirectos en las pautas de </w:t>
      </w:r>
      <w:r>
        <w:rPr>
          <w:snapToGrid w:val="0"/>
          <w:kern w:val="18"/>
          <w:szCs w:val="18"/>
          <w:lang w:val="es-ES_tradnl"/>
        </w:rPr>
        <w:t xml:space="preserve">la </w:t>
      </w:r>
      <w:r w:rsidRPr="00DC3765">
        <w:rPr>
          <w:snapToGrid w:val="0"/>
          <w:kern w:val="18"/>
          <w:szCs w:val="18"/>
          <w:lang w:val="es-ES_tradnl"/>
        </w:rPr>
        <w:t>diversidad biológica (p. ej., el cambio climático provoca cambios en la distribución espacial de las especies). Algunos factores de impacto (p. ej., la extracción de recursos, cambios en el uso de la tierra) conducen a cambios directos e inmediatos en la diversidad biológica (es decir, pérdida de hábitats y especies).</w:t>
      </w:r>
    </w:p>
  </w:footnote>
  <w:footnote w:id="18">
    <w:p w14:paraId="2F6EE089" w14:textId="4DCA939B"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rStyle w:val="FootnoteReference"/>
          <w:snapToGrid w:val="0"/>
          <w:kern w:val="18"/>
          <w:sz w:val="18"/>
          <w:szCs w:val="18"/>
          <w:lang w:val="es-ES_tradnl"/>
        </w:rPr>
        <w:footnoteRef/>
      </w:r>
      <w:r w:rsidRPr="000B3ED9">
        <w:rPr>
          <w:snapToGrid w:val="0"/>
          <w:kern w:val="18"/>
          <w:szCs w:val="18"/>
        </w:rPr>
        <w:t xml:space="preserve"> </w:t>
      </w:r>
      <w:r w:rsidRPr="000B3ED9">
        <w:rPr>
          <w:snapToGrid w:val="0"/>
          <w:color w:val="000000"/>
          <w:kern w:val="18"/>
          <w:szCs w:val="18"/>
        </w:rPr>
        <w:t>E</w:t>
      </w:r>
      <w:r w:rsidRPr="000B3ED9">
        <w:rPr>
          <w:snapToGrid w:val="0"/>
          <w:kern w:val="18"/>
          <w:szCs w:val="18"/>
        </w:rPr>
        <w:t>uropean Environment Agency (2014). Costs of air pollution from European industrial facilities 2008–2012 — an updated assessment. EEA Technical Report, No 20/2014, 76 pp.</w:t>
      </w:r>
    </w:p>
  </w:footnote>
  <w:footnote w:id="19">
    <w:p w14:paraId="4BA8C62E" w14:textId="77777777" w:rsidR="001717A5" w:rsidRPr="00DC3765"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DC3765">
        <w:rPr>
          <w:rStyle w:val="FootnoteReference"/>
          <w:snapToGrid w:val="0"/>
          <w:kern w:val="18"/>
          <w:sz w:val="18"/>
          <w:szCs w:val="18"/>
          <w:lang w:val="es-ES_tradnl"/>
        </w:rPr>
        <w:footnoteRef/>
      </w:r>
      <w:r w:rsidRPr="000B3ED9">
        <w:rPr>
          <w:snapToGrid w:val="0"/>
          <w:kern w:val="18"/>
          <w:szCs w:val="18"/>
        </w:rPr>
        <w:t xml:space="preserve"> Smith, C. (2015). The Economics of E-Waste and the cost to the environment. </w:t>
      </w:r>
      <w:r w:rsidRPr="00DC3765">
        <w:rPr>
          <w:i/>
          <w:iCs/>
          <w:snapToGrid w:val="0"/>
          <w:kern w:val="18"/>
          <w:szCs w:val="18"/>
          <w:lang w:val="es-ES_tradnl"/>
        </w:rPr>
        <w:t>Natural Resources &amp; Environment</w:t>
      </w:r>
      <w:r w:rsidRPr="00DC3765">
        <w:rPr>
          <w:snapToGrid w:val="0"/>
          <w:kern w:val="18"/>
          <w:szCs w:val="18"/>
          <w:lang w:val="es-ES_tradnl"/>
        </w:rPr>
        <w:t xml:space="preserve"> 30 (2), 1-4.</w:t>
      </w:r>
    </w:p>
  </w:footnote>
  <w:footnote w:id="20">
    <w:p w14:paraId="24C7A775" w14:textId="604E4E00" w:rsidR="001717A5" w:rsidRPr="00DC3765"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DC3765">
        <w:rPr>
          <w:rStyle w:val="FootnoteReference"/>
          <w:snapToGrid w:val="0"/>
          <w:kern w:val="18"/>
          <w:sz w:val="18"/>
          <w:szCs w:val="18"/>
          <w:lang w:val="es-ES_tradnl"/>
        </w:rPr>
        <w:footnoteRef/>
      </w:r>
      <w:r w:rsidRPr="00DC3765">
        <w:rPr>
          <w:snapToGrid w:val="0"/>
          <w:kern w:val="18"/>
          <w:sz w:val="18"/>
          <w:szCs w:val="18"/>
          <w:lang w:val="es-ES_tradnl"/>
        </w:rPr>
        <w:t xml:space="preserve"> Programa de las Naciones Unidas para el Medio Ambiente (2011). Manufacturing: Investing in energy and resource efficiency. Pp. 242-285. URL: </w:t>
      </w:r>
      <w:hyperlink r:id="rId10" w:history="1">
        <w:r w:rsidRPr="00DC3765">
          <w:rPr>
            <w:rStyle w:val="Hyperlink"/>
            <w:snapToGrid w:val="0"/>
            <w:kern w:val="18"/>
            <w:szCs w:val="18"/>
            <w:lang w:val="es-ES_tradnl"/>
          </w:rPr>
          <w:t>https://www.unenvironment.org/resources/report/towards-green-economy-pathways-sustainable-development-and-poverty-eradication-0</w:t>
        </w:r>
      </w:hyperlink>
      <w:r w:rsidRPr="00DC3765">
        <w:rPr>
          <w:snapToGrid w:val="0"/>
          <w:kern w:val="18"/>
          <w:sz w:val="18"/>
          <w:szCs w:val="18"/>
          <w:lang w:val="es-ES_tradnl"/>
        </w:rPr>
        <w:t>, consultado el 25 de febrero de 2018.</w:t>
      </w:r>
    </w:p>
  </w:footnote>
  <w:footnote w:id="21">
    <w:p w14:paraId="1A6FF7B1" w14:textId="63D3BDE6" w:rsidR="001717A5" w:rsidRPr="00DC3765"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DC3765">
        <w:rPr>
          <w:rStyle w:val="FootnoteReference"/>
          <w:snapToGrid w:val="0"/>
          <w:kern w:val="18"/>
          <w:sz w:val="18"/>
          <w:szCs w:val="18"/>
          <w:lang w:val="es-ES_tradnl"/>
        </w:rPr>
        <w:footnoteRef/>
      </w:r>
      <w:r w:rsidRPr="00DC3765">
        <w:rPr>
          <w:snapToGrid w:val="0"/>
          <w:kern w:val="18"/>
          <w:sz w:val="18"/>
          <w:szCs w:val="18"/>
          <w:lang w:val="es-ES_tradnl"/>
        </w:rPr>
        <w:t xml:space="preserve"> Ibíd.</w:t>
      </w:r>
    </w:p>
  </w:footnote>
  <w:footnote w:id="22">
    <w:p w14:paraId="00D37492" w14:textId="3E8467EE"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spacing w:val="-2"/>
          <w:kern w:val="18"/>
          <w:szCs w:val="18"/>
        </w:rPr>
      </w:pPr>
      <w:r w:rsidRPr="00DC3765">
        <w:rPr>
          <w:rStyle w:val="FootnoteReference"/>
          <w:snapToGrid w:val="0"/>
          <w:spacing w:val="-2"/>
          <w:kern w:val="18"/>
          <w:sz w:val="18"/>
          <w:szCs w:val="18"/>
          <w:lang w:val="es-ES_tradnl"/>
        </w:rPr>
        <w:footnoteRef/>
      </w:r>
      <w:r w:rsidRPr="00DC3765">
        <w:rPr>
          <w:snapToGrid w:val="0"/>
          <w:spacing w:val="-2"/>
          <w:kern w:val="18"/>
          <w:szCs w:val="18"/>
          <w:lang w:val="es-ES_tradnl"/>
        </w:rPr>
        <w:t xml:space="preserve"> Para Puma, una marca de deportes y estilo de vida, la mayoría de los impactos sobre el medio ambiente (57%) ocurren en el ámbito de los proveedores de nivel 4 (es decir, productores de materias primas, como los productores de algodón). Los fabricantes (nivel 1 – fabricantes, nivel 2 – transformadores externos</w:t>
      </w:r>
      <w:r>
        <w:rPr>
          <w:snapToGrid w:val="0"/>
          <w:spacing w:val="-2"/>
          <w:kern w:val="18"/>
          <w:szCs w:val="18"/>
          <w:lang w:val="es-ES_tradnl"/>
        </w:rPr>
        <w:t>,</w:t>
      </w:r>
      <w:r w:rsidRPr="00DC3765">
        <w:rPr>
          <w:snapToGrid w:val="0"/>
          <w:spacing w:val="-2"/>
          <w:kern w:val="18"/>
          <w:szCs w:val="18"/>
          <w:lang w:val="es-ES_tradnl"/>
        </w:rPr>
        <w:t xml:space="preserve"> y el nivel 3 – transformadores de materias primas) que participan en las cadenas de suministro de Puma representan una cuota menor pero importante de los impactos ambientales (alrededor del 37%); en tanto que las operaciones directas de Puma (oficinas, comercios) solo representan un 6% de los impactos. </w:t>
      </w:r>
      <w:r w:rsidRPr="000B3ED9">
        <w:rPr>
          <w:snapToGrid w:val="0"/>
          <w:spacing w:val="-2"/>
          <w:kern w:val="18"/>
          <w:szCs w:val="18"/>
        </w:rPr>
        <w:t>Fuente: Chartered Global Management Accountant (2014). Rethinking the value chain. Accounting for natural capital in the value chain. CGMA briefing, 16 pp.</w:t>
      </w:r>
    </w:p>
  </w:footnote>
  <w:footnote w:id="23">
    <w:p w14:paraId="4B2BB3B8" w14:textId="77777777" w:rsidR="001717A5" w:rsidRPr="00DC3765"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DC3765">
        <w:rPr>
          <w:rStyle w:val="FootnoteReference"/>
          <w:snapToGrid w:val="0"/>
          <w:kern w:val="18"/>
          <w:sz w:val="18"/>
          <w:szCs w:val="18"/>
          <w:lang w:val="es-ES_tradnl"/>
        </w:rPr>
        <w:footnoteRef/>
      </w:r>
      <w:r w:rsidRPr="000B3ED9">
        <w:rPr>
          <w:snapToGrid w:val="0"/>
          <w:kern w:val="18"/>
          <w:szCs w:val="18"/>
        </w:rPr>
        <w:t xml:space="preserve"> Chaudhary, A., Verones, F., de Baan, L., Hellweg, S. (2015). Quantifying land use impacts on biodiversity: Combining species–area models and vulnerability indicators. </w:t>
      </w:r>
      <w:r w:rsidRPr="00DC3765">
        <w:rPr>
          <w:i/>
          <w:snapToGrid w:val="0"/>
          <w:kern w:val="18"/>
          <w:szCs w:val="18"/>
          <w:lang w:val="es-ES_tradnl"/>
        </w:rPr>
        <w:t>Environ. Sci. Technol</w:t>
      </w:r>
      <w:r w:rsidRPr="00DC3765">
        <w:rPr>
          <w:iCs/>
          <w:snapToGrid w:val="0"/>
          <w:kern w:val="18"/>
          <w:szCs w:val="18"/>
          <w:lang w:val="es-ES_tradnl"/>
        </w:rPr>
        <w:t xml:space="preserve">. </w:t>
      </w:r>
      <w:r w:rsidRPr="00DC3765">
        <w:rPr>
          <w:snapToGrid w:val="0"/>
          <w:kern w:val="18"/>
          <w:szCs w:val="18"/>
          <w:lang w:val="es-ES_tradnl"/>
        </w:rPr>
        <w:t>49(16), 9987–9995.</w:t>
      </w:r>
    </w:p>
  </w:footnote>
  <w:footnote w:id="24">
    <w:p w14:paraId="669A79E7" w14:textId="5C3C2FF5"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rStyle w:val="FootnoteReference"/>
          <w:snapToGrid w:val="0"/>
          <w:kern w:val="18"/>
          <w:sz w:val="18"/>
          <w:szCs w:val="18"/>
          <w:lang w:val="es-ES_tradnl"/>
        </w:rPr>
        <w:footnoteRef/>
      </w:r>
      <w:r w:rsidRPr="00DC3765">
        <w:rPr>
          <w:snapToGrid w:val="0"/>
          <w:kern w:val="18"/>
          <w:szCs w:val="18"/>
          <w:lang w:val="es-ES_tradnl"/>
        </w:rPr>
        <w:t xml:space="preserve"> Secretaría del Convenio sobre la Diversidad Biológica (2010). </w:t>
      </w:r>
      <w:r w:rsidRPr="000B3ED9">
        <w:rPr>
          <w:i/>
          <w:snapToGrid w:val="0"/>
          <w:kern w:val="18"/>
          <w:szCs w:val="18"/>
        </w:rPr>
        <w:t>Global Biodiversity Outlook</w:t>
      </w:r>
      <w:r w:rsidRPr="000B3ED9">
        <w:rPr>
          <w:snapToGrid w:val="0"/>
          <w:kern w:val="18"/>
          <w:szCs w:val="18"/>
        </w:rPr>
        <w:t xml:space="preserve"> 3. Montreal, Canada, 94 pp.</w:t>
      </w:r>
    </w:p>
  </w:footnote>
  <w:footnote w:id="25">
    <w:p w14:paraId="4F4372FA" w14:textId="380A2257"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snapToGrid w:val="0"/>
          <w:kern w:val="18"/>
          <w:szCs w:val="18"/>
          <w:vertAlign w:val="superscript"/>
          <w:lang w:val="es-ES_tradnl"/>
        </w:rPr>
        <w:footnoteRef/>
      </w:r>
      <w:r w:rsidRPr="000B3ED9">
        <w:rPr>
          <w:snapToGrid w:val="0"/>
          <w:kern w:val="18"/>
          <w:szCs w:val="18"/>
          <w:vertAlign w:val="superscript"/>
        </w:rPr>
        <w:t xml:space="preserve"> </w:t>
      </w:r>
      <w:r w:rsidRPr="000B3ED9">
        <w:rPr>
          <w:snapToGrid w:val="0"/>
          <w:kern w:val="18"/>
          <w:szCs w:val="18"/>
        </w:rPr>
        <w:t xml:space="preserve">E.g. Pauly. D., Watson, R., Alder, J. (2005). Global trends in world fisheries: Impacts on marine ecosystems and food security. Phil. Trans. R. Soc. B 360, 5-12; Srinivasan, U.T., Cheung, W.W.L., Watson, R., Sumaila, U.R. (2010). Food security implications of global marine catch losses due to overfishing. </w:t>
      </w:r>
      <w:hyperlink r:id="rId11" w:tooltip="Journal of Bioeconomics" w:history="1">
        <w:r w:rsidRPr="000B3ED9">
          <w:rPr>
            <w:i/>
            <w:iCs/>
            <w:snapToGrid w:val="0"/>
            <w:kern w:val="18"/>
            <w:szCs w:val="18"/>
          </w:rPr>
          <w:t>Journal of Bioeconomics</w:t>
        </w:r>
      </w:hyperlink>
      <w:r w:rsidRPr="000B3ED9">
        <w:rPr>
          <w:snapToGrid w:val="0"/>
          <w:kern w:val="18"/>
          <w:szCs w:val="18"/>
        </w:rPr>
        <w:t xml:space="preserve"> 12(3), 183-200.</w:t>
      </w:r>
    </w:p>
  </w:footnote>
  <w:footnote w:id="26">
    <w:p w14:paraId="699EB56A" w14:textId="77777777" w:rsidR="001717A5" w:rsidRPr="000B3ED9" w:rsidRDefault="001717A5" w:rsidP="00D74331">
      <w:pPr>
        <w:keepLines/>
        <w:suppressLineNumbers/>
        <w:shd w:val="clear" w:color="auto" w:fill="FFFFFF"/>
        <w:suppressAutoHyphens/>
        <w:kinsoku w:val="0"/>
        <w:overflowPunct w:val="0"/>
        <w:autoSpaceDE w:val="0"/>
        <w:autoSpaceDN w:val="0"/>
        <w:adjustRightInd w:val="0"/>
        <w:snapToGrid w:val="0"/>
        <w:spacing w:after="60"/>
        <w:jc w:val="left"/>
        <w:rPr>
          <w:snapToGrid w:val="0"/>
          <w:kern w:val="18"/>
          <w:sz w:val="18"/>
          <w:szCs w:val="18"/>
        </w:rPr>
      </w:pPr>
      <w:r w:rsidRPr="00DC3765">
        <w:rPr>
          <w:rStyle w:val="FootnoteReference"/>
          <w:snapToGrid w:val="0"/>
          <w:kern w:val="18"/>
          <w:sz w:val="18"/>
          <w:szCs w:val="18"/>
          <w:lang w:val="es-ES_tradnl"/>
        </w:rPr>
        <w:footnoteRef/>
      </w:r>
      <w:r w:rsidRPr="000B3ED9">
        <w:rPr>
          <w:snapToGrid w:val="0"/>
          <w:kern w:val="18"/>
          <w:sz w:val="18"/>
          <w:szCs w:val="18"/>
        </w:rPr>
        <w:t xml:space="preserve"> </w:t>
      </w:r>
      <w:r w:rsidRPr="000B3ED9">
        <w:rPr>
          <w:rFonts w:eastAsia="Times"/>
          <w:snapToGrid w:val="0"/>
          <w:kern w:val="18"/>
          <w:sz w:val="18"/>
          <w:szCs w:val="18"/>
        </w:rPr>
        <w:t xml:space="preserve">Bianchi, C.A., Haig, S.M., (2013). </w:t>
      </w:r>
      <w:r w:rsidRPr="000B3ED9">
        <w:rPr>
          <w:rFonts w:eastAsia="Times"/>
          <w:i/>
          <w:snapToGrid w:val="0"/>
          <w:kern w:val="18"/>
          <w:sz w:val="18"/>
          <w:szCs w:val="18"/>
        </w:rPr>
        <w:t>Deforestation trends of tropical dry forests in central Brazil</w:t>
      </w:r>
      <w:r w:rsidRPr="000B3ED9">
        <w:rPr>
          <w:rFonts w:eastAsia="Times"/>
          <w:snapToGrid w:val="0"/>
          <w:kern w:val="18"/>
          <w:sz w:val="18"/>
          <w:szCs w:val="18"/>
        </w:rPr>
        <w:t xml:space="preserve">. Biotropica 45: 395–400; Meyfroidt, P., Rudel, T.K., Lambin, E.F. (2010). Forest transitions, trade, and the global displacement of land use. </w:t>
      </w:r>
      <w:r w:rsidRPr="000B3ED9">
        <w:rPr>
          <w:rFonts w:eastAsia="Times"/>
          <w:i/>
          <w:iCs/>
          <w:snapToGrid w:val="0"/>
          <w:kern w:val="18"/>
          <w:sz w:val="18"/>
          <w:szCs w:val="18"/>
        </w:rPr>
        <w:t>Proceedings of the National Academy of Sciences</w:t>
      </w:r>
      <w:r w:rsidRPr="000B3ED9">
        <w:rPr>
          <w:rFonts w:eastAsia="Times"/>
          <w:snapToGrid w:val="0"/>
          <w:kern w:val="18"/>
          <w:sz w:val="18"/>
          <w:szCs w:val="18"/>
        </w:rPr>
        <w:t> 107(49), 20917-20922.</w:t>
      </w:r>
    </w:p>
  </w:footnote>
  <w:footnote w:id="27">
    <w:p w14:paraId="08A2801F" w14:textId="47D0BB01"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rStyle w:val="FootnoteReference"/>
          <w:snapToGrid w:val="0"/>
          <w:kern w:val="18"/>
          <w:sz w:val="18"/>
          <w:szCs w:val="18"/>
          <w:lang w:val="es-ES_tradnl"/>
        </w:rPr>
        <w:footnoteRef/>
      </w:r>
      <w:r w:rsidRPr="000B3ED9">
        <w:rPr>
          <w:snapToGrid w:val="0"/>
          <w:kern w:val="18"/>
          <w:szCs w:val="18"/>
        </w:rPr>
        <w:t xml:space="preserve"> Véase, por ejemplo, Aiama, D., Carbone, G., Cator, D., Challender, D. (2016). </w:t>
      </w:r>
      <w:r w:rsidRPr="000B3ED9">
        <w:rPr>
          <w:i/>
          <w:snapToGrid w:val="0"/>
          <w:kern w:val="18"/>
          <w:szCs w:val="18"/>
        </w:rPr>
        <w:t>Biodiversity risks and opportunities in the apparel sector</w:t>
      </w:r>
      <w:r w:rsidRPr="000B3ED9">
        <w:rPr>
          <w:snapToGrid w:val="0"/>
          <w:kern w:val="18"/>
          <w:szCs w:val="18"/>
        </w:rPr>
        <w:t>. UICN, Gland, 41 pp.</w:t>
      </w:r>
    </w:p>
  </w:footnote>
  <w:footnote w:id="28">
    <w:p w14:paraId="5D19EC38" w14:textId="5F8D47B3"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rStyle w:val="FootnoteReference"/>
          <w:snapToGrid w:val="0"/>
          <w:kern w:val="18"/>
          <w:sz w:val="18"/>
          <w:szCs w:val="18"/>
          <w:lang w:val="es-ES_tradnl"/>
        </w:rPr>
        <w:footnoteRef/>
      </w:r>
      <w:r w:rsidRPr="000B3ED9">
        <w:rPr>
          <w:snapToGrid w:val="0"/>
          <w:kern w:val="18"/>
          <w:szCs w:val="18"/>
        </w:rPr>
        <w:t xml:space="preserve"> Véase, por ejemplo, Gao, Y., Skutsch, M., Masera, O y Pacheco, P. (2011) </w:t>
      </w:r>
      <w:r w:rsidRPr="000B3ED9">
        <w:rPr>
          <w:i/>
          <w:snapToGrid w:val="0"/>
          <w:kern w:val="18"/>
          <w:szCs w:val="18"/>
        </w:rPr>
        <w:t>A global analysis of deforestation due to biofuel development</w:t>
      </w:r>
      <w:r w:rsidRPr="000B3ED9">
        <w:rPr>
          <w:snapToGrid w:val="0"/>
          <w:kern w:val="18"/>
          <w:szCs w:val="18"/>
        </w:rPr>
        <w:t>. Working Paper 68. CIFOR, Bogor, Indonesia, 100 pp.</w:t>
      </w:r>
    </w:p>
  </w:footnote>
  <w:footnote w:id="29">
    <w:p w14:paraId="4687FAB5" w14:textId="2D89ACF9"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rStyle w:val="articlecitationpages"/>
          <w:snapToGrid w:val="0"/>
          <w:kern w:val="18"/>
          <w:szCs w:val="18"/>
          <w:vertAlign w:val="superscript"/>
          <w:lang w:val="es-ES_tradnl"/>
        </w:rPr>
        <w:footnoteRef/>
      </w:r>
      <w:r w:rsidRPr="000B3ED9">
        <w:rPr>
          <w:snapToGrid w:val="0"/>
          <w:kern w:val="18"/>
          <w:szCs w:val="18"/>
          <w:vertAlign w:val="superscript"/>
        </w:rPr>
        <w:t xml:space="preserve"> </w:t>
      </w:r>
      <w:r w:rsidRPr="000B3ED9">
        <w:rPr>
          <w:snapToGrid w:val="0"/>
          <w:kern w:val="18"/>
          <w:szCs w:val="18"/>
        </w:rPr>
        <w:t xml:space="preserve">p. ej., Handy, R.D., Poxton, M.G., 1993. </w:t>
      </w:r>
      <w:r w:rsidRPr="000B3ED9">
        <w:rPr>
          <w:i/>
          <w:snapToGrid w:val="0"/>
          <w:kern w:val="18"/>
          <w:szCs w:val="18"/>
        </w:rPr>
        <w:t>Nitrogen pollution in mariculture: Toxicity and excretion of nitrogenous compounds by marine fish</w:t>
      </w:r>
      <w:r w:rsidRPr="000B3ED9">
        <w:rPr>
          <w:snapToGrid w:val="0"/>
          <w:kern w:val="18"/>
          <w:szCs w:val="18"/>
        </w:rPr>
        <w:t xml:space="preserve">. </w:t>
      </w:r>
      <w:hyperlink r:id="rId12" w:tooltip="Reviews in Fish Biology and Fisheries" w:history="1">
        <w:r w:rsidRPr="000B3ED9">
          <w:rPr>
            <w:snapToGrid w:val="0"/>
            <w:kern w:val="18"/>
            <w:szCs w:val="18"/>
          </w:rPr>
          <w:t>Reviews in Fish Biology and Fisheries</w:t>
        </w:r>
      </w:hyperlink>
      <w:r w:rsidRPr="000B3ED9">
        <w:rPr>
          <w:snapToGrid w:val="0"/>
          <w:kern w:val="18"/>
          <w:szCs w:val="18"/>
        </w:rPr>
        <w:t xml:space="preserve"> 3(3), 205-241.</w:t>
      </w:r>
    </w:p>
  </w:footnote>
  <w:footnote w:id="30">
    <w:p w14:paraId="69A9CDD7" w14:textId="15223CDE" w:rsidR="001717A5" w:rsidRPr="00DC3765"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DC3765">
        <w:rPr>
          <w:rStyle w:val="FootnoteReference"/>
          <w:snapToGrid w:val="0"/>
          <w:kern w:val="18"/>
          <w:sz w:val="18"/>
          <w:szCs w:val="18"/>
          <w:lang w:val="es-ES_tradnl"/>
        </w:rPr>
        <w:footnoteRef/>
      </w:r>
      <w:r w:rsidRPr="000B3ED9">
        <w:rPr>
          <w:snapToGrid w:val="0"/>
          <w:kern w:val="18"/>
          <w:szCs w:val="18"/>
        </w:rPr>
        <w:t xml:space="preserve"> OCDE 2011. </w:t>
      </w:r>
      <w:r w:rsidRPr="000B3ED9">
        <w:rPr>
          <w:i/>
          <w:iCs/>
          <w:snapToGrid w:val="0"/>
          <w:kern w:val="18"/>
          <w:szCs w:val="18"/>
        </w:rPr>
        <w:t>Environmental Outlook to 2050</w:t>
      </w:r>
      <w:r w:rsidRPr="000B3ED9">
        <w:rPr>
          <w:snapToGrid w:val="0"/>
          <w:kern w:val="18"/>
          <w:szCs w:val="18"/>
        </w:rPr>
        <w:t xml:space="preserve">. </w:t>
      </w:r>
      <w:r w:rsidRPr="00DC3765">
        <w:rPr>
          <w:snapToGrid w:val="0"/>
          <w:kern w:val="18"/>
          <w:szCs w:val="18"/>
          <w:lang w:val="es-ES_tradnl"/>
        </w:rPr>
        <w:t xml:space="preserve">Climate Change Chapter. 39p., URL: </w:t>
      </w:r>
      <w:hyperlink r:id="rId13" w:history="1">
        <w:r w:rsidRPr="00DC3765">
          <w:rPr>
            <w:rStyle w:val="Hyperlink"/>
            <w:snapToGrid w:val="0"/>
            <w:kern w:val="18"/>
            <w:szCs w:val="18"/>
            <w:lang w:val="es-ES_tradnl"/>
          </w:rPr>
          <w:t>http://www.oecd.org/env/cc/49082173.pdf</w:t>
        </w:r>
      </w:hyperlink>
      <w:r w:rsidRPr="00DC3765">
        <w:rPr>
          <w:snapToGrid w:val="0"/>
          <w:kern w:val="18"/>
          <w:szCs w:val="18"/>
          <w:lang w:val="es-ES_tradnl"/>
        </w:rPr>
        <w:t>, consultado el 9 de mayo de 2018.</w:t>
      </w:r>
    </w:p>
  </w:footnote>
  <w:footnote w:id="31">
    <w:p w14:paraId="5EC65BA6" w14:textId="28E1AC89" w:rsidR="001717A5" w:rsidRPr="00DC3765"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DC3765">
        <w:rPr>
          <w:rStyle w:val="FootnoteReference"/>
          <w:snapToGrid w:val="0"/>
          <w:kern w:val="18"/>
          <w:sz w:val="18"/>
          <w:szCs w:val="18"/>
          <w:lang w:val="es-ES_tradnl"/>
        </w:rPr>
        <w:footnoteRef/>
      </w:r>
      <w:r w:rsidRPr="00DC3765">
        <w:rPr>
          <w:snapToGrid w:val="0"/>
          <w:kern w:val="18"/>
          <w:szCs w:val="18"/>
          <w:lang w:val="es-ES_tradnl"/>
        </w:rPr>
        <w:t xml:space="preserve"> Prestele, R., Alexander, P., Rounsevell, M.D.A., Arneth, A., Calvin, K., Doelman, J., Eitelberg, D.A., Engström, K., Fujimori, S., Hasegawa, T., Havlik, P., Humpenöder, F., Jain, A.K., Krisztin, T., Kyle, P., Meiyappan, P., Popp, A., Sands, R.D., Schaldach, R., Schüngel, J., Stehfest, E., Tabeau, A., Van Meijl, H., Van Vliet, J. y Verburg, P.H. (2016). </w:t>
      </w:r>
      <w:r w:rsidRPr="000B3ED9">
        <w:rPr>
          <w:snapToGrid w:val="0"/>
          <w:kern w:val="18"/>
          <w:szCs w:val="18"/>
        </w:rPr>
        <w:t xml:space="preserve">Hotspots of uncertainty in land-use and land-cover change projections: A global-scale model comparison. </w:t>
      </w:r>
      <w:r w:rsidRPr="00DC3765">
        <w:rPr>
          <w:snapToGrid w:val="0"/>
          <w:kern w:val="18"/>
          <w:szCs w:val="18"/>
          <w:lang w:val="es-ES_tradnl"/>
        </w:rPr>
        <w:t>Glob. Change Biol. 22: 3967–3983. doi:10.1111/gcb.13337</w:t>
      </w:r>
    </w:p>
  </w:footnote>
  <w:footnote w:id="32">
    <w:p w14:paraId="65203074" w14:textId="3FBD96B7" w:rsidR="001717A5" w:rsidRPr="00DC3765" w:rsidRDefault="001717A5" w:rsidP="00D74331">
      <w:pPr>
        <w:pStyle w:val="FootnoteText"/>
        <w:ind w:firstLine="0"/>
        <w:jc w:val="left"/>
        <w:rPr>
          <w:szCs w:val="18"/>
          <w:lang w:val="es-ES_tradnl"/>
        </w:rPr>
      </w:pPr>
      <w:r w:rsidRPr="00DC3765">
        <w:rPr>
          <w:rStyle w:val="FootnoteReference"/>
          <w:sz w:val="18"/>
          <w:szCs w:val="18"/>
          <w:lang w:val="es-ES_tradnl"/>
        </w:rPr>
        <w:footnoteRef/>
      </w:r>
      <w:r w:rsidRPr="00DC3765">
        <w:rPr>
          <w:szCs w:val="18"/>
          <w:lang w:val="es-ES_tradnl"/>
        </w:rPr>
        <w:t xml:space="preserve"> Véase la resolución </w:t>
      </w:r>
      <w:hyperlink r:id="rId14" w:history="1">
        <w:r w:rsidRPr="00DC3765">
          <w:rPr>
            <w:rStyle w:val="Hyperlink"/>
            <w:szCs w:val="18"/>
            <w:lang w:val="es-ES_tradnl"/>
          </w:rPr>
          <w:t>70/1</w:t>
        </w:r>
      </w:hyperlink>
      <w:r w:rsidRPr="00DC3765">
        <w:rPr>
          <w:szCs w:val="18"/>
          <w:lang w:val="es-ES_tradnl"/>
        </w:rPr>
        <w:t xml:space="preserve"> de la Asamblea General del 25 de septiembre de 2015.</w:t>
      </w:r>
    </w:p>
  </w:footnote>
  <w:footnote w:id="33">
    <w:p w14:paraId="7AB6EB02" w14:textId="0DCADE52"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rStyle w:val="FootnoteReference"/>
          <w:snapToGrid w:val="0"/>
          <w:kern w:val="18"/>
          <w:sz w:val="18"/>
          <w:szCs w:val="18"/>
          <w:lang w:val="es-ES_tradnl"/>
        </w:rPr>
        <w:footnoteRef/>
      </w:r>
      <w:r w:rsidRPr="000B3ED9">
        <w:rPr>
          <w:snapToGrid w:val="0"/>
          <w:kern w:val="18"/>
          <w:szCs w:val="18"/>
        </w:rPr>
        <w:t xml:space="preserve"> </w:t>
      </w:r>
      <w:r w:rsidRPr="000B3ED9">
        <w:rPr>
          <w:snapToGrid w:val="0"/>
          <w:color w:val="000000"/>
          <w:kern w:val="18"/>
          <w:szCs w:val="18"/>
        </w:rPr>
        <w:t>E</w:t>
      </w:r>
      <w:r w:rsidRPr="000B3ED9">
        <w:rPr>
          <w:snapToGrid w:val="0"/>
          <w:kern w:val="18"/>
          <w:szCs w:val="18"/>
        </w:rPr>
        <w:t>uropean Environment Agency (2014). Costs of air pollution from European industrial facilities 2008–2012 — an updated assessment. EEA Technical Report, No. 20/2014, 76 pp.</w:t>
      </w:r>
    </w:p>
  </w:footnote>
  <w:footnote w:id="34">
    <w:p w14:paraId="5662A7A8" w14:textId="416CBACF"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rStyle w:val="FootnoteReference"/>
          <w:snapToGrid w:val="0"/>
          <w:kern w:val="18"/>
          <w:sz w:val="18"/>
          <w:szCs w:val="18"/>
          <w:lang w:val="es-ES_tradnl"/>
        </w:rPr>
        <w:footnoteRef/>
      </w:r>
      <w:r w:rsidRPr="000B3ED9">
        <w:rPr>
          <w:snapToGrid w:val="0"/>
          <w:kern w:val="18"/>
          <w:szCs w:val="18"/>
        </w:rPr>
        <w:t xml:space="preserve"> Gibbs, G., Deutz, P. (2007). Reflections on implementing industrial ecology through eco-industrial park development. </w:t>
      </w:r>
      <w:r w:rsidRPr="000B3ED9">
        <w:rPr>
          <w:i/>
          <w:iCs/>
          <w:snapToGrid w:val="0"/>
          <w:kern w:val="18"/>
          <w:szCs w:val="18"/>
        </w:rPr>
        <w:t>Journal of Cleaner Production</w:t>
      </w:r>
      <w:r w:rsidRPr="000B3ED9">
        <w:rPr>
          <w:snapToGrid w:val="0"/>
          <w:kern w:val="18"/>
          <w:szCs w:val="18"/>
        </w:rPr>
        <w:t xml:space="preserve"> 15(17), 1683-1695; Homas, V.M. (1997) Industrial ecology: Towards closing the materials cycle. </w:t>
      </w:r>
      <w:r w:rsidRPr="000B3ED9">
        <w:rPr>
          <w:i/>
          <w:iCs/>
          <w:snapToGrid w:val="0"/>
          <w:kern w:val="18"/>
          <w:szCs w:val="18"/>
        </w:rPr>
        <w:t>Journal of Industrial Ecology</w:t>
      </w:r>
      <w:r w:rsidRPr="000B3ED9">
        <w:rPr>
          <w:snapToGrid w:val="0"/>
          <w:kern w:val="18"/>
          <w:szCs w:val="18"/>
        </w:rPr>
        <w:t xml:space="preserve"> 1: 149-151.</w:t>
      </w:r>
    </w:p>
  </w:footnote>
  <w:footnote w:id="35">
    <w:p w14:paraId="21C6C2A8" w14:textId="6694A0A1"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rStyle w:val="FootnoteReference"/>
          <w:snapToGrid w:val="0"/>
          <w:kern w:val="18"/>
          <w:sz w:val="18"/>
          <w:szCs w:val="18"/>
          <w:lang w:val="es-ES_tradnl"/>
        </w:rPr>
        <w:footnoteRef/>
      </w:r>
      <w:r w:rsidRPr="000B3ED9">
        <w:rPr>
          <w:snapToGrid w:val="0"/>
          <w:kern w:val="18"/>
          <w:szCs w:val="18"/>
        </w:rPr>
        <w:t xml:space="preserve"> Tukker, A. (2015). Product services for a resource-efficient and circular economy – a review. </w:t>
      </w:r>
      <w:r w:rsidRPr="000B3ED9">
        <w:rPr>
          <w:i/>
          <w:iCs/>
          <w:snapToGrid w:val="0"/>
          <w:kern w:val="18"/>
          <w:szCs w:val="18"/>
        </w:rPr>
        <w:t>Journal of Cleaner Production</w:t>
      </w:r>
      <w:r w:rsidRPr="000B3ED9">
        <w:rPr>
          <w:snapToGrid w:val="0"/>
          <w:kern w:val="18"/>
          <w:szCs w:val="18"/>
        </w:rPr>
        <w:t xml:space="preserve"> 97, 76-91; Yuan, Z., Bi, j., Moriguichi, Y. (2006). The circular economy: A new development strategy in China. </w:t>
      </w:r>
      <w:r w:rsidRPr="000B3ED9">
        <w:rPr>
          <w:i/>
          <w:iCs/>
          <w:snapToGrid w:val="0"/>
          <w:kern w:val="18"/>
          <w:szCs w:val="18"/>
        </w:rPr>
        <w:t>Journal of Industrial Ecology</w:t>
      </w:r>
      <w:r w:rsidRPr="000B3ED9">
        <w:rPr>
          <w:snapToGrid w:val="0"/>
          <w:kern w:val="18"/>
          <w:szCs w:val="18"/>
        </w:rPr>
        <w:t>, 10: 4-8.</w:t>
      </w:r>
    </w:p>
  </w:footnote>
  <w:footnote w:id="36">
    <w:p w14:paraId="61266CB6" w14:textId="6900F436"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C3765">
        <w:rPr>
          <w:rStyle w:val="FootnoteReference"/>
          <w:snapToGrid w:val="0"/>
          <w:kern w:val="18"/>
          <w:sz w:val="18"/>
          <w:szCs w:val="18"/>
          <w:lang w:val="es-ES_tradnl"/>
        </w:rPr>
        <w:footnoteRef/>
      </w:r>
      <w:r w:rsidRPr="000B3ED9">
        <w:rPr>
          <w:snapToGrid w:val="0"/>
          <w:kern w:val="18"/>
          <w:szCs w:val="18"/>
        </w:rPr>
        <w:t xml:space="preserve"> E.g., Hammerl, M., Hormann, S. (2016). The ISO management system and the protection of biological diversity. Lake Constance Foundation (LCF) and Global Nature Fund (GNF), Alemania, 72 pp.</w:t>
      </w:r>
    </w:p>
  </w:footnote>
  <w:footnote w:id="37">
    <w:p w14:paraId="1A257F7A" w14:textId="0A53C843" w:rsidR="001717A5" w:rsidRPr="00DC3765" w:rsidRDefault="001717A5" w:rsidP="00D74331">
      <w:pPr>
        <w:pStyle w:val="FootnoteText"/>
        <w:suppressLineNumbers/>
        <w:suppressAutoHyphens/>
        <w:kinsoku w:val="0"/>
        <w:overflowPunct w:val="0"/>
        <w:autoSpaceDE w:val="0"/>
        <w:autoSpaceDN w:val="0"/>
        <w:adjustRightInd w:val="0"/>
        <w:snapToGrid w:val="0"/>
        <w:ind w:firstLine="0"/>
        <w:jc w:val="left"/>
        <w:rPr>
          <w:snapToGrid w:val="0"/>
          <w:spacing w:val="-2"/>
          <w:kern w:val="18"/>
          <w:szCs w:val="18"/>
          <w:lang w:val="es-ES_tradnl"/>
        </w:rPr>
      </w:pPr>
      <w:r w:rsidRPr="00DC3765">
        <w:rPr>
          <w:rStyle w:val="FootnoteReference"/>
          <w:snapToGrid w:val="0"/>
          <w:spacing w:val="-2"/>
          <w:kern w:val="18"/>
          <w:sz w:val="18"/>
          <w:szCs w:val="18"/>
          <w:lang w:val="es-ES_tradnl"/>
        </w:rPr>
        <w:footnoteRef/>
      </w:r>
      <w:r w:rsidRPr="00DC3765">
        <w:rPr>
          <w:snapToGrid w:val="0"/>
          <w:spacing w:val="-2"/>
          <w:kern w:val="18"/>
          <w:szCs w:val="18"/>
          <w:lang w:val="es-ES_tradnl"/>
        </w:rPr>
        <w:t xml:space="preserve"> La Iniciativa Intersectorial sobre la Biodiversidad es una alianza entre la </w:t>
      </w:r>
      <w:hyperlink r:id="rId15" w:history="1">
        <w:r w:rsidRPr="00DC3765">
          <w:rPr>
            <w:snapToGrid w:val="0"/>
            <w:spacing w:val="-2"/>
            <w:kern w:val="18"/>
            <w:szCs w:val="18"/>
            <w:lang w:val="es-ES_tradnl"/>
          </w:rPr>
          <w:t>IPIECA</w:t>
        </w:r>
      </w:hyperlink>
      <w:r w:rsidRPr="00DC3765">
        <w:rPr>
          <w:snapToGrid w:val="0"/>
          <w:spacing w:val="-2"/>
          <w:kern w:val="18"/>
          <w:szCs w:val="18"/>
          <w:lang w:val="es-ES_tradnl"/>
        </w:rPr>
        <w:t xml:space="preserve">, el Consejo Internacional de Explotación Minera y Metalúrgica (ICMM) y la Asociación Principios de Ecuador, el Banco Europeo para la Reconstrucción y el Desarrollo (EBRD), la Corporación Financiera Internacional (CFI) y el Banco Interamericano de Desarrollo (BID) para elaborar y compartir buenas prácticas relacionadas con la diversidad biológica y los servicios de los ecosistemas en las industrias extractivas. URL: </w:t>
      </w:r>
      <w:hyperlink r:id="rId16" w:history="1">
        <w:r w:rsidRPr="00DC3765">
          <w:rPr>
            <w:rStyle w:val="Hyperlink"/>
            <w:snapToGrid w:val="0"/>
            <w:spacing w:val="-2"/>
            <w:kern w:val="18"/>
            <w:szCs w:val="18"/>
            <w:lang w:val="es-ES_tradnl"/>
          </w:rPr>
          <w:t>http://www.csbi.org.uk/</w:t>
        </w:r>
      </w:hyperlink>
      <w:r w:rsidRPr="00DC3765">
        <w:rPr>
          <w:snapToGrid w:val="0"/>
          <w:spacing w:val="-2"/>
          <w:kern w:val="18"/>
          <w:szCs w:val="18"/>
          <w:lang w:val="es-ES_tradnl"/>
        </w:rPr>
        <w:t>, consultado el 5 de enero de 2018.</w:t>
      </w:r>
    </w:p>
  </w:footnote>
  <w:footnote w:id="38">
    <w:p w14:paraId="2B981A60" w14:textId="6765A81F"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DC3765">
        <w:rPr>
          <w:rStyle w:val="FootnoteReference"/>
          <w:snapToGrid w:val="0"/>
          <w:kern w:val="18"/>
          <w:sz w:val="18"/>
          <w:szCs w:val="18"/>
          <w:lang w:val="es-ES_tradnl"/>
        </w:rPr>
        <w:footnoteRef/>
      </w:r>
      <w:r w:rsidRPr="00DC3765">
        <w:rPr>
          <w:snapToGrid w:val="0"/>
          <w:kern w:val="18"/>
          <w:szCs w:val="18"/>
          <w:lang w:val="es-ES_tradnl"/>
        </w:rPr>
        <w:t xml:space="preserve"> http://www.theebi.org/, consultado el 5 de enero de 2018.</w:t>
      </w:r>
    </w:p>
  </w:footnote>
  <w:footnote w:id="39">
    <w:p w14:paraId="0538B16A" w14:textId="2A7BE8D9"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snapToGrid w:val="0"/>
          <w:kern w:val="18"/>
          <w:szCs w:val="18"/>
          <w:vertAlign w:val="superscript"/>
          <w:lang w:val="es-ES_tradnl"/>
        </w:rPr>
        <w:footnoteRef/>
      </w:r>
      <w:r w:rsidRPr="00640F1E">
        <w:rPr>
          <w:snapToGrid w:val="0"/>
          <w:kern w:val="18"/>
          <w:szCs w:val="18"/>
          <w:lang w:val="es-ES_tradnl"/>
        </w:rPr>
        <w:t xml:space="preserve"> </w:t>
      </w:r>
      <w:r w:rsidRPr="00640F1E">
        <w:rPr>
          <w:snapToGrid w:val="0"/>
          <w:kern w:val="22"/>
          <w:szCs w:val="22"/>
          <w:lang w:val="es-ES_tradnl"/>
        </w:rPr>
        <w:t xml:space="preserve">Sin pérdida neta” se refiere al punto en que los beneficios para la diversidad biológica </w:t>
      </w:r>
      <w:r w:rsidRPr="00640F1E">
        <w:rPr>
          <w:snapToGrid w:val="0"/>
          <w:kern w:val="18"/>
          <w:szCs w:val="18"/>
          <w:lang w:val="es-ES_tradnl"/>
        </w:rPr>
        <w:t>de las actividades de conservación específicas (mitigación de impacto, restauración y medidas de compensación) igualan a las pérdidas de la diversidad biológica debidas a los impactos de una actividad o proyecto empresarial. Se debe tener en cuenta el tipo, la cantidad y condición (o calidad) de la diversidad biológica. En este caso, un beneficio neto significa que los beneficios para la diversidad biológica superan una serie de pérdidas específica.</w:t>
      </w:r>
    </w:p>
  </w:footnote>
  <w:footnote w:id="40">
    <w:p w14:paraId="6AFAEF7F" w14:textId="7B472571"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URL: </w:t>
      </w:r>
      <w:hyperlink r:id="rId17" w:history="1">
        <w:r w:rsidRPr="00640F1E">
          <w:rPr>
            <w:snapToGrid w:val="0"/>
            <w:kern w:val="18"/>
            <w:szCs w:val="18"/>
            <w:lang w:val="es-ES_tradnl"/>
          </w:rPr>
          <w:t>http://bbop.forest-trends.org/pages/pilot_projects</w:t>
        </w:r>
      </w:hyperlink>
      <w:r w:rsidRPr="00640F1E">
        <w:rPr>
          <w:snapToGrid w:val="0"/>
          <w:kern w:val="18"/>
          <w:szCs w:val="18"/>
          <w:lang w:val="es-ES_tradnl"/>
        </w:rPr>
        <w:t xml:space="preserve">, consultado el 9 de enero de 2018; Business and Biodiversity Offsets Programme (BBOP) (2013). </w:t>
      </w:r>
      <w:r w:rsidRPr="000B3ED9">
        <w:rPr>
          <w:snapToGrid w:val="0"/>
          <w:kern w:val="18"/>
          <w:szCs w:val="18"/>
        </w:rPr>
        <w:t>To no net loss and beyond: An overview of the Business and Biodiversity Offsets Programme (BBOP). BBOP: Washington, D.C., Estados Unidos de América.</w:t>
      </w:r>
    </w:p>
  </w:footnote>
  <w:footnote w:id="41">
    <w:p w14:paraId="37C2B99F" w14:textId="14A181A8" w:rsidR="001717A5" w:rsidRPr="000B3ED9"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rPr>
      </w:pPr>
      <w:r w:rsidRPr="00640F1E">
        <w:rPr>
          <w:rStyle w:val="FootnoteReference"/>
          <w:snapToGrid w:val="0"/>
          <w:kern w:val="18"/>
          <w:sz w:val="18"/>
          <w:szCs w:val="18"/>
          <w:lang w:val="es-ES_tradnl"/>
        </w:rPr>
        <w:footnoteRef/>
      </w:r>
      <w:r w:rsidRPr="000B3ED9">
        <w:rPr>
          <w:snapToGrid w:val="0"/>
          <w:kern w:val="18"/>
          <w:sz w:val="18"/>
          <w:szCs w:val="18"/>
        </w:rPr>
        <w:t xml:space="preserve"> Rainey, H. J., Pollard, E. H., Dutson, G., Ekstrom, J. M., Livingstone, S. R., Temple, H. J., Pilgrim, J. D. (2015). A review of corporate goals of No Net Loss and Net Positive Impact on biodiversity. </w:t>
      </w:r>
      <w:r w:rsidRPr="00640F1E">
        <w:rPr>
          <w:snapToGrid w:val="0"/>
          <w:kern w:val="18"/>
          <w:sz w:val="18"/>
          <w:szCs w:val="18"/>
          <w:lang w:val="es-ES_tradnl"/>
        </w:rPr>
        <w:t xml:space="preserve">Oryx, 49(2), 232-238; </w:t>
      </w:r>
      <w:r w:rsidRPr="00640F1E">
        <w:rPr>
          <w:rFonts w:eastAsiaTheme="minorHAnsi"/>
          <w:snapToGrid w:val="0"/>
          <w:kern w:val="18"/>
          <w:sz w:val="18"/>
          <w:szCs w:val="18"/>
          <w:lang w:val="es-ES_tradnl"/>
        </w:rPr>
        <w:t xml:space="preserve">Sahley, C.T., Vildoso, B., Casaretto, C., Taborga, P., Ledesma, K., Linares-Palomino, R., Mamani, G., Dallmeier, F., Alonso, A., 2017. </w:t>
      </w:r>
      <w:r w:rsidRPr="000B3ED9">
        <w:rPr>
          <w:rFonts w:eastAsiaTheme="minorHAnsi"/>
          <w:snapToGrid w:val="0"/>
          <w:kern w:val="18"/>
          <w:sz w:val="18"/>
          <w:szCs w:val="18"/>
        </w:rPr>
        <w:t>Quantifying impact reduction due to avoidance, minimization and restoration for a natural gas pipeline in the Peruvian Andes. Environmental Impact Assessment Review 66, 53-65.</w:t>
      </w:r>
    </w:p>
  </w:footnote>
  <w:footnote w:id="42">
    <w:p w14:paraId="4457E48D" w14:textId="77777777" w:rsidR="001717A5" w:rsidRPr="000B3ED9"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rPr>
      </w:pPr>
      <w:r w:rsidRPr="00640F1E">
        <w:rPr>
          <w:rStyle w:val="FootnoteReference"/>
          <w:snapToGrid w:val="0"/>
          <w:kern w:val="18"/>
          <w:sz w:val="18"/>
          <w:szCs w:val="18"/>
          <w:lang w:val="es-ES_tradnl"/>
        </w:rPr>
        <w:footnoteRef/>
      </w:r>
      <w:r w:rsidRPr="000B3ED9">
        <w:rPr>
          <w:snapToGrid w:val="0"/>
          <w:kern w:val="18"/>
          <w:sz w:val="18"/>
          <w:szCs w:val="18"/>
        </w:rPr>
        <w:t xml:space="preserve"> Aiama, D., Edwards, S., Bos, G., Ekstrom, J., Krueger, L., Quétier, F., Savy, C., Semroc, B., Sneary, M., Bennun, L. (2015). </w:t>
      </w:r>
      <w:r w:rsidRPr="000B3ED9">
        <w:rPr>
          <w:i/>
          <w:snapToGrid w:val="0"/>
          <w:kern w:val="18"/>
          <w:sz w:val="18"/>
          <w:szCs w:val="18"/>
        </w:rPr>
        <w:t>No net loss and net positive impact approaches for biodiversity: exploring the potential application of these approaches in the commercial agriculture and forestry sectors</w:t>
      </w:r>
      <w:r w:rsidRPr="000B3ED9">
        <w:rPr>
          <w:snapToGrid w:val="0"/>
          <w:kern w:val="18"/>
          <w:sz w:val="18"/>
          <w:szCs w:val="18"/>
        </w:rPr>
        <w:t>. IUCN: Gland, Sw</w:t>
      </w:r>
      <w:bookmarkStart w:id="5" w:name="_GoBack"/>
      <w:bookmarkEnd w:id="5"/>
      <w:r w:rsidRPr="000B3ED9">
        <w:rPr>
          <w:snapToGrid w:val="0"/>
          <w:kern w:val="18"/>
          <w:sz w:val="18"/>
          <w:szCs w:val="18"/>
        </w:rPr>
        <w:t>itzerland.</w:t>
      </w:r>
    </w:p>
  </w:footnote>
  <w:footnote w:id="43">
    <w:p w14:paraId="7AE7BC40" w14:textId="34EA3E01" w:rsidR="001717A5" w:rsidRPr="00640F1E"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640F1E">
        <w:rPr>
          <w:rStyle w:val="FootnoteReference"/>
          <w:snapToGrid w:val="0"/>
          <w:kern w:val="18"/>
          <w:sz w:val="18"/>
          <w:szCs w:val="18"/>
          <w:lang w:val="es-ES_tradnl"/>
        </w:rPr>
        <w:footnoteRef/>
      </w:r>
      <w:r w:rsidRPr="000B3ED9">
        <w:rPr>
          <w:snapToGrid w:val="0"/>
          <w:kern w:val="18"/>
          <w:sz w:val="18"/>
          <w:szCs w:val="18"/>
        </w:rPr>
        <w:t xml:space="preserve"> Véase, por ejemplo, Souza, D.M., Teixeira, R.F., Ostermann, O.P. (2015). </w:t>
      </w:r>
      <w:r w:rsidRPr="000B3ED9">
        <w:rPr>
          <w:i/>
          <w:snapToGrid w:val="0"/>
          <w:kern w:val="18"/>
          <w:sz w:val="18"/>
          <w:szCs w:val="18"/>
        </w:rPr>
        <w:t>Assessing biodiversity loss due to land use with Life Cycle Assessment: are we there yet?</w:t>
      </w:r>
      <w:r w:rsidRPr="000B3ED9">
        <w:rPr>
          <w:snapToGrid w:val="0"/>
          <w:kern w:val="18"/>
          <w:sz w:val="18"/>
          <w:szCs w:val="18"/>
        </w:rPr>
        <w:t xml:space="preserve"> </w:t>
      </w:r>
      <w:hyperlink r:id="rId18" w:tooltip="Global change biology." w:history="1">
        <w:r w:rsidRPr="00640F1E">
          <w:rPr>
            <w:i/>
            <w:iCs/>
            <w:snapToGrid w:val="0"/>
            <w:kern w:val="18"/>
            <w:sz w:val="18"/>
            <w:szCs w:val="18"/>
            <w:lang w:val="es-ES_tradnl"/>
          </w:rPr>
          <w:t>Glob Chang Biol</w:t>
        </w:r>
        <w:r w:rsidRPr="00640F1E">
          <w:rPr>
            <w:snapToGrid w:val="0"/>
            <w:kern w:val="18"/>
            <w:sz w:val="18"/>
            <w:szCs w:val="18"/>
            <w:lang w:val="es-ES_tradnl"/>
          </w:rPr>
          <w:t>.</w:t>
        </w:r>
      </w:hyperlink>
      <w:r w:rsidRPr="00640F1E">
        <w:rPr>
          <w:snapToGrid w:val="0"/>
          <w:kern w:val="18"/>
          <w:sz w:val="18"/>
          <w:szCs w:val="18"/>
          <w:lang w:val="es-ES_tradnl"/>
        </w:rPr>
        <w:t xml:space="preserve"> 21(1):32-47.</w:t>
      </w:r>
    </w:p>
  </w:footnote>
  <w:footnote w:id="44">
    <w:p w14:paraId="272DEAF2" w14:textId="0F52C3EF"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Véase, por ejemplo, </w:t>
      </w:r>
      <w:r>
        <w:rPr>
          <w:snapToGrid w:val="0"/>
          <w:kern w:val="18"/>
          <w:szCs w:val="18"/>
          <w:lang w:val="es-ES_tradnl"/>
        </w:rPr>
        <w:t>l</w:t>
      </w:r>
      <w:r w:rsidRPr="00640F1E">
        <w:rPr>
          <w:snapToGrid w:val="0"/>
          <w:kern w:val="18"/>
          <w:szCs w:val="18"/>
          <w:lang w:val="es-ES_tradnl"/>
        </w:rPr>
        <w:t>a Aluminium Stewardship Initiative (ASI) es una organización mundial, de múltiples interesados, sin fines de lucro, que establece normas y certificaciones.</w:t>
      </w:r>
      <w:r>
        <w:rPr>
          <w:snapToGrid w:val="0"/>
          <w:kern w:val="18"/>
          <w:szCs w:val="18"/>
          <w:lang w:val="es-ES_tradnl"/>
        </w:rPr>
        <w:t xml:space="preserve"> </w:t>
      </w:r>
      <w:r w:rsidRPr="00640F1E">
        <w:rPr>
          <w:snapToGrid w:val="0"/>
          <w:kern w:val="18"/>
          <w:szCs w:val="18"/>
          <w:lang w:val="es-ES_tradnl"/>
        </w:rPr>
        <w:t>Es el resultado de la asociación de productores, usuarios e interesados en la cadena de valor de</w:t>
      </w:r>
      <w:r>
        <w:rPr>
          <w:snapToGrid w:val="0"/>
          <w:kern w:val="18"/>
          <w:szCs w:val="18"/>
          <w:lang w:val="es-ES_tradnl"/>
        </w:rPr>
        <w:t>l</w:t>
      </w:r>
      <w:r w:rsidRPr="00640F1E">
        <w:rPr>
          <w:snapToGrid w:val="0"/>
          <w:kern w:val="18"/>
          <w:szCs w:val="18"/>
          <w:lang w:val="es-ES_tradnl"/>
        </w:rPr>
        <w:t xml:space="preserve"> aluminio, con el compromiso de potenciar la contribución del aluminio a una sociedad sostenible. URL: </w:t>
      </w:r>
      <w:hyperlink r:id="rId19" w:history="1">
        <w:r w:rsidRPr="00640F1E">
          <w:rPr>
            <w:rStyle w:val="Hyperlink"/>
            <w:snapToGrid w:val="0"/>
            <w:kern w:val="18"/>
            <w:szCs w:val="18"/>
            <w:lang w:val="es-ES_tradnl"/>
          </w:rPr>
          <w:t>https://aluminium-stewardship.org/about-asi/</w:t>
        </w:r>
      </w:hyperlink>
      <w:r w:rsidRPr="00640F1E">
        <w:rPr>
          <w:snapToGrid w:val="0"/>
          <w:kern w:val="18"/>
          <w:szCs w:val="18"/>
          <w:lang w:val="es-ES_tradnl"/>
        </w:rPr>
        <w:t>, consultado el 15 de enero de 2018.</w:t>
      </w:r>
    </w:p>
  </w:footnote>
  <w:footnote w:id="45">
    <w:p w14:paraId="279B1DF5" w14:textId="46014960" w:rsidR="001717A5" w:rsidRPr="00640F1E"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640F1E">
        <w:rPr>
          <w:rStyle w:val="FootnoteReference"/>
          <w:snapToGrid w:val="0"/>
          <w:kern w:val="18"/>
          <w:sz w:val="18"/>
          <w:szCs w:val="18"/>
          <w:lang w:val="es-ES_tradnl"/>
        </w:rPr>
        <w:footnoteRef/>
      </w:r>
      <w:r w:rsidRPr="000B3ED9">
        <w:rPr>
          <w:snapToGrid w:val="0"/>
          <w:kern w:val="18"/>
          <w:sz w:val="18"/>
          <w:szCs w:val="18"/>
        </w:rPr>
        <w:t xml:space="preserve"> Véase, por ejemplo, KPMG (2012). </w:t>
      </w:r>
      <w:r w:rsidRPr="000B3ED9">
        <w:rPr>
          <w:i/>
          <w:snapToGrid w:val="0"/>
          <w:kern w:val="18"/>
          <w:sz w:val="18"/>
          <w:szCs w:val="18"/>
        </w:rPr>
        <w:t>Certification and biodiversity. Exploring improvements in the effectiveness of certification schemes on biodiversity.</w:t>
      </w:r>
      <w:r w:rsidRPr="000B3ED9">
        <w:rPr>
          <w:snapToGrid w:val="0"/>
          <w:kern w:val="18"/>
          <w:sz w:val="18"/>
          <w:szCs w:val="18"/>
        </w:rPr>
        <w:t xml:space="preserve"> </w:t>
      </w:r>
      <w:r w:rsidRPr="00640F1E">
        <w:rPr>
          <w:snapToGrid w:val="0"/>
          <w:kern w:val="18"/>
          <w:sz w:val="18"/>
          <w:szCs w:val="18"/>
          <w:lang w:val="es-ES_tradnl"/>
        </w:rPr>
        <w:t>59 pp.</w:t>
      </w:r>
    </w:p>
  </w:footnote>
  <w:footnote w:id="46">
    <w:p w14:paraId="04D903E5" w14:textId="6A1AC5A0" w:rsidR="001717A5" w:rsidRPr="00640F1E"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lang w:val="es-ES_tradnl"/>
        </w:rPr>
      </w:pPr>
      <w:r w:rsidRPr="00640F1E">
        <w:rPr>
          <w:rStyle w:val="FootnoteReference"/>
          <w:snapToGrid w:val="0"/>
          <w:kern w:val="18"/>
          <w:sz w:val="18"/>
          <w:szCs w:val="18"/>
          <w:lang w:val="es-ES_tradnl"/>
        </w:rPr>
        <w:footnoteRef/>
      </w:r>
      <w:r w:rsidRPr="00640F1E">
        <w:rPr>
          <w:snapToGrid w:val="0"/>
          <w:kern w:val="18"/>
          <w:sz w:val="18"/>
          <w:szCs w:val="18"/>
          <w:lang w:val="es-ES_tradnl"/>
        </w:rPr>
        <w:t xml:space="preserve"> Véase, por ejemplo, Programa de las Naciones Unidas para el Medio Ambiente – </w:t>
      </w:r>
      <w:r w:rsidRPr="00640F1E">
        <w:rPr>
          <w:bCs/>
          <w:snapToGrid w:val="0"/>
          <w:kern w:val="18"/>
          <w:sz w:val="18"/>
          <w:szCs w:val="18"/>
          <w:lang w:val="es-ES_tradnl"/>
        </w:rPr>
        <w:t>Centro Mundial de Vigilancia de la Conservación</w:t>
      </w:r>
      <w:r w:rsidRPr="00640F1E">
        <w:rPr>
          <w:snapToGrid w:val="0"/>
          <w:kern w:val="18"/>
          <w:sz w:val="18"/>
          <w:szCs w:val="18"/>
          <w:lang w:val="es-ES_tradnl"/>
        </w:rPr>
        <w:t xml:space="preserve"> (2011). </w:t>
      </w:r>
      <w:r w:rsidRPr="000B3ED9">
        <w:rPr>
          <w:snapToGrid w:val="0"/>
          <w:kern w:val="18"/>
          <w:sz w:val="18"/>
          <w:szCs w:val="18"/>
        </w:rPr>
        <w:t xml:space="preserve">Review of the biodiversity requirements of standards and certification schemes: A snapshot of current practices. </w:t>
      </w:r>
      <w:r w:rsidRPr="00640F1E">
        <w:rPr>
          <w:snapToGrid w:val="0"/>
          <w:kern w:val="18"/>
          <w:sz w:val="18"/>
          <w:szCs w:val="18"/>
          <w:lang w:val="es-ES_tradnl"/>
        </w:rPr>
        <w:t>Secretaría del Convenio sobre la Diversidad Biológica, Montreal, Canadá. Serie técnica Nº. 63, 30 pp.</w:t>
      </w:r>
    </w:p>
  </w:footnote>
  <w:footnote w:id="47">
    <w:p w14:paraId="14770B09" w14:textId="01613A2E"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URL: </w:t>
      </w:r>
      <w:hyperlink r:id="rId20" w:history="1">
        <w:r w:rsidRPr="00640F1E">
          <w:rPr>
            <w:rStyle w:val="Hyperlink"/>
            <w:snapToGrid w:val="0"/>
            <w:kern w:val="18"/>
            <w:szCs w:val="18"/>
            <w:lang w:val="es-ES_tradnl"/>
          </w:rPr>
          <w:t>https://www.rspo.org/certification,</w:t>
        </w:r>
      </w:hyperlink>
      <w:r w:rsidRPr="00640F1E">
        <w:rPr>
          <w:snapToGrid w:val="0"/>
          <w:kern w:val="18"/>
          <w:szCs w:val="18"/>
          <w:lang w:val="es-ES_tradnl"/>
        </w:rPr>
        <w:t xml:space="preserve"> consultado el 5 de marzo de 2018.</w:t>
      </w:r>
    </w:p>
  </w:footnote>
  <w:footnote w:id="48">
    <w:p w14:paraId="35EF1D81" w14:textId="6B8C23C6"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0B3ED9">
        <w:rPr>
          <w:snapToGrid w:val="0"/>
          <w:kern w:val="18"/>
          <w:szCs w:val="18"/>
        </w:rPr>
        <w:t xml:space="preserve"> International Federation of Accountants (IFAC) (2005). Environmental Management Accounting International Guidance Document. </w:t>
      </w:r>
      <w:r w:rsidRPr="00640F1E">
        <w:rPr>
          <w:snapToGrid w:val="0"/>
          <w:kern w:val="18"/>
          <w:szCs w:val="18"/>
          <w:lang w:val="es-ES_tradnl"/>
        </w:rPr>
        <w:t>Nueva York, 92 pp.</w:t>
      </w:r>
    </w:p>
  </w:footnote>
  <w:footnote w:id="49">
    <w:p w14:paraId="314BB169" w14:textId="46978E79"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URL: </w:t>
      </w:r>
      <w:hyperlink r:id="rId21" w:history="1">
        <w:r w:rsidRPr="00640F1E">
          <w:rPr>
            <w:snapToGrid w:val="0"/>
            <w:kern w:val="18"/>
            <w:szCs w:val="18"/>
            <w:lang w:val="es-ES_tradnl"/>
          </w:rPr>
          <w:t>https://www.cdp.net/en</w:t>
        </w:r>
      </w:hyperlink>
      <w:r w:rsidRPr="00640F1E">
        <w:rPr>
          <w:snapToGrid w:val="0"/>
          <w:kern w:val="18"/>
          <w:szCs w:val="18"/>
          <w:lang w:val="es-ES_tradnl"/>
        </w:rPr>
        <w:t>, consultado el 5 de enero de 2018.</w:t>
      </w:r>
    </w:p>
  </w:footnote>
  <w:footnote w:id="50">
    <w:p w14:paraId="3FE1D0ED" w14:textId="6DE2ADD7"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CBD/SBI/2/4/Add.2.</w:t>
      </w:r>
    </w:p>
  </w:footnote>
  <w:footnote w:id="51">
    <w:p w14:paraId="5518EE63" w14:textId="256BC537"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URL: </w:t>
      </w:r>
      <w:hyperlink r:id="rId22" w:history="1">
        <w:r w:rsidRPr="00640F1E">
          <w:rPr>
            <w:rStyle w:val="Hyperlink"/>
            <w:snapToGrid w:val="0"/>
            <w:kern w:val="18"/>
            <w:szCs w:val="18"/>
            <w:lang w:val="es-ES_tradnl"/>
          </w:rPr>
          <w:t>https://www.ewt.org.za/BUSINESSDEVELOPMENT/business.html</w:t>
        </w:r>
      </w:hyperlink>
      <w:r w:rsidRPr="00640F1E">
        <w:rPr>
          <w:snapToGrid w:val="0"/>
          <w:kern w:val="18"/>
          <w:szCs w:val="18"/>
          <w:lang w:val="es-ES_tradnl"/>
        </w:rPr>
        <w:t>, consultado el 12 de enero de 2018.</w:t>
      </w:r>
    </w:p>
  </w:footnote>
  <w:footnote w:id="52">
    <w:p w14:paraId="387E2116" w14:textId="7B2D5026"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0B3ED9">
        <w:rPr>
          <w:snapToGrid w:val="0"/>
          <w:kern w:val="18"/>
          <w:szCs w:val="18"/>
        </w:rPr>
        <w:t xml:space="preserve"> Putt del Pino, S., Cummis, C., Lake, S., Rabinovitch, K., Reig, P. (2016). From doing better to doing enough: Anchoring corporate sustainability targets in science. Working Paper. Washington, DC: World Resources Institute and Mars Incorporated. </w:t>
      </w:r>
      <w:r w:rsidRPr="00640F1E">
        <w:rPr>
          <w:snapToGrid w:val="0"/>
          <w:kern w:val="18"/>
          <w:szCs w:val="18"/>
          <w:lang w:val="es-ES_tradnl"/>
        </w:rPr>
        <w:t>URL: http://www.wri.org/ publications/doing-enough-corporate-targets, consultado el 9 de abril de 2018.</w:t>
      </w:r>
    </w:p>
  </w:footnote>
  <w:footnote w:id="53">
    <w:p w14:paraId="1700D7C9" w14:textId="79CC15C3" w:rsidR="001717A5" w:rsidRPr="00640F1E" w:rsidRDefault="001717A5" w:rsidP="00BD6E3D">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En economía, una externalidad es el costo o beneficio que afecta a una parte que no eligió contraer dicho costo o beneficio.</w:t>
      </w:r>
    </w:p>
  </w:footnote>
  <w:footnote w:id="54">
    <w:p w14:paraId="4FB20DA1" w14:textId="04631359"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Se define capital natural como “la reserva de recursos renovables y no renovables (p.ej., plantas, animales, aire, agua, suelos, minerales) que se combinan para producir un flujo de beneficios para las personas”, por la Natural Capital Coalition; URL: </w:t>
      </w:r>
      <w:hyperlink r:id="rId23" w:history="1">
        <w:r w:rsidRPr="00640F1E">
          <w:rPr>
            <w:rStyle w:val="Hyperlink"/>
            <w:snapToGrid w:val="0"/>
            <w:kern w:val="18"/>
            <w:szCs w:val="18"/>
            <w:lang w:val="es-ES_tradnl"/>
          </w:rPr>
          <w:t>https://naturalcapitalcoalition.org/natural-capital/</w:t>
        </w:r>
      </w:hyperlink>
      <w:r w:rsidRPr="00640F1E">
        <w:rPr>
          <w:snapToGrid w:val="0"/>
          <w:kern w:val="18"/>
          <w:szCs w:val="18"/>
          <w:lang w:val="es-ES_tradnl"/>
        </w:rPr>
        <w:t xml:space="preserve">, consultado el 9 de abril de 2018. </w:t>
      </w:r>
    </w:p>
  </w:footnote>
  <w:footnote w:id="55">
    <w:p w14:paraId="7CC1C59B" w14:textId="17E00E13"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Véanse los estudios de casos en el Natural Capital Hub en URL: </w:t>
      </w:r>
      <w:hyperlink r:id="rId24" w:history="1">
        <w:r w:rsidRPr="00640F1E">
          <w:rPr>
            <w:snapToGrid w:val="0"/>
            <w:kern w:val="18"/>
            <w:szCs w:val="18"/>
            <w:lang w:val="es-ES_tradnl"/>
          </w:rPr>
          <w:t>https://naturalcapitalcoalition.org/hub/</w:t>
        </w:r>
      </w:hyperlink>
      <w:r w:rsidRPr="00640F1E">
        <w:rPr>
          <w:snapToGrid w:val="0"/>
          <w:kern w:val="18"/>
          <w:szCs w:val="18"/>
          <w:lang w:val="es-ES_tradnl"/>
        </w:rPr>
        <w:t>, consultado el 9 de abril de 2018.</w:t>
      </w:r>
    </w:p>
  </w:footnote>
  <w:footnote w:id="56">
    <w:p w14:paraId="30C6CFA2" w14:textId="2AC9B6ED"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URL: </w:t>
      </w:r>
      <w:hyperlink r:id="rId25" w:history="1">
        <w:r w:rsidRPr="00640F1E">
          <w:rPr>
            <w:snapToGrid w:val="0"/>
            <w:kern w:val="18"/>
            <w:szCs w:val="18"/>
            <w:lang w:val="es-ES_tradnl"/>
          </w:rPr>
          <w:t>https://naturalcapitalcoalition.org/protocol/sector-guides/food-and-beverage/</w:t>
        </w:r>
      </w:hyperlink>
      <w:r w:rsidRPr="00640F1E">
        <w:rPr>
          <w:snapToGrid w:val="0"/>
          <w:kern w:val="18"/>
          <w:szCs w:val="18"/>
          <w:lang w:val="es-ES_tradnl"/>
        </w:rPr>
        <w:t>, consultado el 9 de abril de 2018.</w:t>
      </w:r>
    </w:p>
  </w:footnote>
  <w:footnote w:id="57">
    <w:p w14:paraId="56184B4C" w14:textId="767F812B"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URL: </w:t>
      </w:r>
      <w:hyperlink r:id="rId26" w:history="1">
        <w:r w:rsidRPr="00640F1E">
          <w:rPr>
            <w:snapToGrid w:val="0"/>
            <w:kern w:val="18"/>
            <w:szCs w:val="18"/>
            <w:lang w:val="es-ES_tradnl"/>
          </w:rPr>
          <w:t>https://naturalcapitalcoalition.org/projects/biodiversity/</w:t>
        </w:r>
      </w:hyperlink>
      <w:r w:rsidRPr="00640F1E">
        <w:rPr>
          <w:snapToGrid w:val="0"/>
          <w:kern w:val="18"/>
          <w:szCs w:val="18"/>
          <w:lang w:val="es-ES_tradnl"/>
        </w:rPr>
        <w:t>, consultado el 9 de abril de 2018.</w:t>
      </w:r>
    </w:p>
  </w:footnote>
  <w:footnote w:id="58">
    <w:p w14:paraId="7D0D8D74" w14:textId="77777777"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0B3ED9">
        <w:rPr>
          <w:snapToGrid w:val="0"/>
          <w:kern w:val="18"/>
          <w:szCs w:val="18"/>
        </w:rPr>
        <w:t xml:space="preserve"> Waage, S. (2014). Making sense of new approaches to business risk and opportunity assessment. </w:t>
      </w:r>
      <w:r w:rsidRPr="00640F1E">
        <w:rPr>
          <w:snapToGrid w:val="0"/>
          <w:kern w:val="18"/>
          <w:szCs w:val="18"/>
          <w:lang w:val="es-ES_tradnl"/>
        </w:rPr>
        <w:t>BSR.</w:t>
      </w:r>
    </w:p>
  </w:footnote>
  <w:footnote w:id="59">
    <w:p w14:paraId="0BF89C19" w14:textId="4AEFFBB6"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Natural Capital Coalition (2016). Natural Capital Protocol. (en línea) Disponible en: </w:t>
      </w:r>
      <w:hyperlink r:id="rId27" w:history="1">
        <w:r w:rsidRPr="00640F1E">
          <w:rPr>
            <w:rStyle w:val="Hyperlink"/>
            <w:snapToGrid w:val="0"/>
            <w:kern w:val="18"/>
            <w:szCs w:val="18"/>
            <w:lang w:val="es-ES_tradnl"/>
          </w:rPr>
          <w:t>www.naturalcapitalcoalition.org/protocol</w:t>
        </w:r>
      </w:hyperlink>
      <w:r w:rsidRPr="00640F1E">
        <w:rPr>
          <w:snapToGrid w:val="0"/>
          <w:kern w:val="18"/>
          <w:szCs w:val="18"/>
          <w:lang w:val="es-ES_tradnl"/>
        </w:rPr>
        <w:t>, consultado el 9 de noviembre de 2017.</w:t>
      </w:r>
    </w:p>
  </w:footnote>
  <w:footnote w:id="60">
    <w:p w14:paraId="5B890F6C" w14:textId="167A48A8"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640F1E">
        <w:rPr>
          <w:snapToGrid w:val="0"/>
          <w:kern w:val="18"/>
          <w:szCs w:val="18"/>
          <w:vertAlign w:val="superscript"/>
          <w:lang w:val="es-ES_tradnl"/>
        </w:rPr>
        <w:footnoteRef/>
      </w:r>
      <w:r w:rsidRPr="000B3ED9">
        <w:rPr>
          <w:snapToGrid w:val="0"/>
          <w:kern w:val="18"/>
          <w:szCs w:val="18"/>
        </w:rPr>
        <w:t xml:space="preserve"> Amy R. Poteete, A.R., Janssen, M.A., Ostrom, E. (2010). Working together: collective action, the commons, and multiple methods in practice. Princeton University Press.</w:t>
      </w:r>
    </w:p>
  </w:footnote>
  <w:footnote w:id="61">
    <w:p w14:paraId="34217FBF" w14:textId="7E313EB7"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0B3ED9">
        <w:rPr>
          <w:snapToGrid w:val="0"/>
          <w:kern w:val="18"/>
          <w:szCs w:val="18"/>
        </w:rPr>
        <w:t xml:space="preserve"> TEEB (2012). The Economics of Ecosystems and Biodiversity in Business and Enterprise. </w:t>
      </w:r>
      <w:r w:rsidRPr="00640F1E">
        <w:rPr>
          <w:snapToGrid w:val="0"/>
          <w:kern w:val="18"/>
          <w:szCs w:val="18"/>
          <w:lang w:val="es-ES_tradnl"/>
        </w:rPr>
        <w:t>Publicado por Joshua Bishop. Earthscan, Londres y Nueva York.</w:t>
      </w:r>
    </w:p>
  </w:footnote>
  <w:footnote w:id="62">
    <w:p w14:paraId="042E903E" w14:textId="127BC153" w:rsidR="001717A5" w:rsidRPr="000B3ED9"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rPr>
      </w:pPr>
      <w:r w:rsidRPr="00640F1E">
        <w:rPr>
          <w:rStyle w:val="FootnoteReference"/>
          <w:snapToGrid w:val="0"/>
          <w:kern w:val="18"/>
          <w:sz w:val="18"/>
          <w:szCs w:val="18"/>
          <w:lang w:val="es-ES_tradnl"/>
        </w:rPr>
        <w:footnoteRef/>
      </w:r>
      <w:r w:rsidRPr="00640F1E">
        <w:rPr>
          <w:snapToGrid w:val="0"/>
          <w:kern w:val="18"/>
          <w:sz w:val="18"/>
          <w:szCs w:val="18"/>
          <w:lang w:val="es-ES_tradnl"/>
        </w:rPr>
        <w:t xml:space="preserve"> </w:t>
      </w:r>
      <w:r w:rsidRPr="00640F1E">
        <w:rPr>
          <w:snapToGrid w:val="0"/>
          <w:color w:val="000000" w:themeColor="text1"/>
          <w:kern w:val="18"/>
          <w:sz w:val="18"/>
          <w:szCs w:val="18"/>
          <w:shd w:val="clear" w:color="auto" w:fill="FFFFFF"/>
          <w:lang w:val="es-ES_tradnl"/>
        </w:rPr>
        <w:t xml:space="preserve">Véase, por ejemplo, Cadman, M., Petersen, C., Driver, A., Sekhran, N., Maze, K., Munzhedzi, S. (2010). </w:t>
      </w:r>
      <w:r w:rsidRPr="000B3ED9">
        <w:rPr>
          <w:snapToGrid w:val="0"/>
          <w:color w:val="000000" w:themeColor="text1"/>
          <w:kern w:val="18"/>
          <w:sz w:val="18"/>
          <w:szCs w:val="18"/>
          <w:shd w:val="clear" w:color="auto" w:fill="FFFFFF"/>
        </w:rPr>
        <w:t xml:space="preserve">Biodiversity for Development: South Africa’s landscape approach to conserving biodiversity and promoting ecosystem resilience. South African National Biodiversity Institute, Pretoria; </w:t>
      </w:r>
      <w:r w:rsidRPr="000B3ED9">
        <w:rPr>
          <w:snapToGrid w:val="0"/>
          <w:kern w:val="18"/>
          <w:sz w:val="18"/>
          <w:szCs w:val="18"/>
        </w:rPr>
        <w:t>TEEB, 2010. The Economics of Ecosystems and Biodiversity: Ecological and Economic Foundations. UNEP/Earthprint: Londres.</w:t>
      </w:r>
    </w:p>
  </w:footnote>
  <w:footnote w:id="63">
    <w:p w14:paraId="09604370" w14:textId="0A6406BC" w:rsidR="001717A5" w:rsidRPr="00640F1E"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lang w:val="es-ES_tradnl"/>
        </w:rPr>
      </w:pPr>
      <w:r w:rsidRPr="00640F1E">
        <w:rPr>
          <w:rStyle w:val="FootnoteReference"/>
          <w:snapToGrid w:val="0"/>
          <w:kern w:val="18"/>
          <w:sz w:val="18"/>
          <w:szCs w:val="18"/>
          <w:lang w:val="es-ES_tradnl"/>
        </w:rPr>
        <w:footnoteRef/>
      </w:r>
      <w:r w:rsidRPr="000B3ED9">
        <w:rPr>
          <w:snapToGrid w:val="0"/>
          <w:kern w:val="18"/>
          <w:szCs w:val="18"/>
        </w:rPr>
        <w:t xml:space="preserve"> </w:t>
      </w:r>
      <w:r w:rsidRPr="000B3ED9">
        <w:rPr>
          <w:snapToGrid w:val="0"/>
          <w:color w:val="000000" w:themeColor="text1"/>
          <w:kern w:val="18"/>
          <w:szCs w:val="18"/>
          <w:shd w:val="clear" w:color="auto" w:fill="FFFFFF"/>
        </w:rPr>
        <w:t xml:space="preserve">Véase, por ejemplo, Houdet, J., Trommetter, M., Weber, J. (2012). Understanding changes in business strategies regarding biodiversity and ecosystem services. </w:t>
      </w:r>
      <w:r w:rsidRPr="00640F1E">
        <w:rPr>
          <w:i/>
          <w:iCs/>
          <w:snapToGrid w:val="0"/>
          <w:color w:val="000000" w:themeColor="text1"/>
          <w:kern w:val="18"/>
          <w:szCs w:val="18"/>
          <w:shd w:val="clear" w:color="auto" w:fill="FFFFFF"/>
          <w:lang w:val="es-ES_tradnl"/>
        </w:rPr>
        <w:t>Ecological Economics</w:t>
      </w:r>
      <w:r w:rsidRPr="00640F1E">
        <w:rPr>
          <w:snapToGrid w:val="0"/>
          <w:color w:val="000000" w:themeColor="text1"/>
          <w:kern w:val="18"/>
          <w:szCs w:val="18"/>
          <w:shd w:val="clear" w:color="auto" w:fill="FFFFFF"/>
          <w:lang w:val="es-ES_tradnl"/>
        </w:rPr>
        <w:t xml:space="preserve"> 73: 37-46.</w:t>
      </w:r>
    </w:p>
  </w:footnote>
  <w:footnote w:id="64">
    <w:p w14:paraId="413F784A" w14:textId="4B36660A"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640F1E">
        <w:rPr>
          <w:rStyle w:val="FootnoteReference"/>
          <w:snapToGrid w:val="0"/>
          <w:kern w:val="18"/>
          <w:sz w:val="18"/>
          <w:szCs w:val="18"/>
          <w:lang w:val="es-ES_tradnl"/>
        </w:rPr>
        <w:footnoteRef/>
      </w:r>
      <w:r w:rsidRPr="00640F1E">
        <w:rPr>
          <w:snapToGrid w:val="0"/>
          <w:kern w:val="18"/>
          <w:szCs w:val="18"/>
          <w:lang w:val="es-ES_tradnl"/>
        </w:rPr>
        <w:t xml:space="preserve"> Durante más de una década, las publicaciones sobre la valoración de los servicios de los ecosistemas han destacado la importancia de integrar los aspectos sociales, ecológicos y monetarios de los valores de los servicios de los ecosistemas y la diversidad biológica en la adopción de decisiones</w:t>
      </w:r>
      <w:r w:rsidRPr="00640F1E">
        <w:rPr>
          <w:snapToGrid w:val="0"/>
          <w:color w:val="000000" w:themeColor="text1"/>
          <w:kern w:val="18"/>
          <w:szCs w:val="18"/>
          <w:shd w:val="clear" w:color="auto" w:fill="FFFFFF"/>
          <w:lang w:val="es-ES_tradnl"/>
        </w:rPr>
        <w:t xml:space="preserve">, en lugar de depender de enfoques monísticos dominados por un pensamiento único. Por ejemplo: Gómez-Baggethun, E., Martín Lopez, B., Barton, D., Braat, L., Saarikoski, H., Kelemen, M., García-Llorente, E., van den Bergh, J., Arias, P., Berry, P., Potschin, L.M., Keene, H., Dunford, R., Schröter-Schlaack, C., Harrison, P. (2014). </w:t>
      </w:r>
      <w:r w:rsidRPr="000B3ED9">
        <w:rPr>
          <w:snapToGrid w:val="0"/>
          <w:color w:val="000000" w:themeColor="text1"/>
          <w:kern w:val="18"/>
          <w:szCs w:val="18"/>
          <w:shd w:val="clear" w:color="auto" w:fill="FFFFFF"/>
        </w:rPr>
        <w:t>State-of-the-art report on integrated valuation of ecosystem services. Comisión Europea FP7 OpenNESS Project Deliverable 4.1., 33 pp.</w:t>
      </w:r>
    </w:p>
  </w:footnote>
  <w:footnote w:id="65">
    <w:p w14:paraId="3AF69503" w14:textId="07F4157F" w:rsidR="001717A5" w:rsidRPr="000B3ED9" w:rsidRDefault="001717A5" w:rsidP="00D74331">
      <w:pPr>
        <w:keepLines/>
        <w:suppressLineNumbers/>
        <w:suppressAutoHyphens/>
        <w:kinsoku w:val="0"/>
        <w:overflowPunct w:val="0"/>
        <w:autoSpaceDE w:val="0"/>
        <w:autoSpaceDN w:val="0"/>
        <w:adjustRightInd w:val="0"/>
        <w:snapToGrid w:val="0"/>
        <w:spacing w:after="60"/>
        <w:jc w:val="left"/>
        <w:rPr>
          <w:snapToGrid w:val="0"/>
          <w:kern w:val="18"/>
          <w:sz w:val="18"/>
          <w:szCs w:val="18"/>
        </w:rPr>
      </w:pPr>
      <w:r w:rsidRPr="00640F1E">
        <w:rPr>
          <w:rStyle w:val="FootnoteReference"/>
          <w:snapToGrid w:val="0"/>
          <w:kern w:val="18"/>
          <w:sz w:val="18"/>
          <w:szCs w:val="18"/>
          <w:lang w:val="es-ES_tradnl"/>
        </w:rPr>
        <w:footnoteRef/>
      </w:r>
      <w:r w:rsidRPr="000B3ED9">
        <w:rPr>
          <w:snapToGrid w:val="0"/>
          <w:kern w:val="18"/>
          <w:sz w:val="18"/>
          <w:szCs w:val="18"/>
        </w:rPr>
        <w:t xml:space="preserve"> Véase, por ejemplo, </w:t>
      </w:r>
      <w:r w:rsidRPr="000B3ED9">
        <w:rPr>
          <w:snapToGrid w:val="0"/>
          <w:spacing w:val="-2"/>
          <w:kern w:val="18"/>
          <w:sz w:val="18"/>
          <w:szCs w:val="18"/>
        </w:rPr>
        <w:t>TEEB, 2010. The Economics of Ecosystems and Biodiversity: Ecological and Economic Foundations. UNEP/Earthprint: London</w:t>
      </w:r>
      <w:r w:rsidRPr="000B3ED9">
        <w:rPr>
          <w:snapToGrid w:val="0"/>
          <w:kern w:val="18"/>
          <w:sz w:val="18"/>
          <w:szCs w:val="18"/>
        </w:rPr>
        <w:t>.</w:t>
      </w:r>
    </w:p>
  </w:footnote>
  <w:footnote w:id="66">
    <w:p w14:paraId="20BF5DAC" w14:textId="4B616460"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640F1E">
        <w:rPr>
          <w:rStyle w:val="FootnoteReference"/>
          <w:snapToGrid w:val="0"/>
          <w:kern w:val="18"/>
          <w:sz w:val="18"/>
          <w:szCs w:val="18"/>
          <w:lang w:val="es-ES_tradnl"/>
        </w:rPr>
        <w:footnoteRef/>
      </w:r>
      <w:r w:rsidRPr="000B3ED9">
        <w:rPr>
          <w:snapToGrid w:val="0"/>
          <w:kern w:val="18"/>
          <w:szCs w:val="18"/>
        </w:rPr>
        <w:t xml:space="preserve"> </w:t>
      </w:r>
      <w:r w:rsidRPr="000B3ED9">
        <w:rPr>
          <w:snapToGrid w:val="0"/>
          <w:spacing w:val="-4"/>
          <w:kern w:val="18"/>
          <w:szCs w:val="18"/>
        </w:rPr>
        <w:t xml:space="preserve">Véase, por ejemplo, Houdet, J., Chikozho, C. (2015). </w:t>
      </w:r>
      <w:r w:rsidRPr="000B3ED9">
        <w:rPr>
          <w:i/>
          <w:snapToGrid w:val="0"/>
          <w:spacing w:val="-4"/>
          <w:kern w:val="18"/>
          <w:szCs w:val="18"/>
        </w:rPr>
        <w:t>The Valuation of ecosystem services in South African Environmental Impact Assessments. Review of selected mining case studies and implications for policy</w:t>
      </w:r>
      <w:r w:rsidRPr="000B3ED9">
        <w:rPr>
          <w:snapToGrid w:val="0"/>
          <w:spacing w:val="-4"/>
          <w:kern w:val="18"/>
          <w:szCs w:val="18"/>
        </w:rPr>
        <w:t xml:space="preserve">. </w:t>
      </w:r>
      <w:r w:rsidRPr="000B3ED9">
        <w:rPr>
          <w:i/>
          <w:iCs/>
          <w:snapToGrid w:val="0"/>
          <w:spacing w:val="-4"/>
          <w:kern w:val="18"/>
          <w:szCs w:val="18"/>
        </w:rPr>
        <w:t>The Journal of Corporate Citizenship</w:t>
      </w:r>
      <w:r w:rsidRPr="000B3ED9">
        <w:rPr>
          <w:snapToGrid w:val="0"/>
          <w:spacing w:val="-4"/>
          <w:kern w:val="18"/>
          <w:szCs w:val="18"/>
        </w:rPr>
        <w:t xml:space="preserve"> Issue 60, 58-79.</w:t>
      </w:r>
    </w:p>
  </w:footnote>
  <w:footnote w:id="67">
    <w:p w14:paraId="68795132" w14:textId="083FF45B"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640F1E">
        <w:rPr>
          <w:rStyle w:val="FootnoteReference"/>
          <w:snapToGrid w:val="0"/>
          <w:kern w:val="18"/>
          <w:sz w:val="18"/>
          <w:szCs w:val="18"/>
          <w:lang w:val="es-ES_tradnl"/>
        </w:rPr>
        <w:footnoteRef/>
      </w:r>
      <w:r w:rsidRPr="000B3ED9">
        <w:rPr>
          <w:snapToGrid w:val="0"/>
          <w:kern w:val="18"/>
          <w:szCs w:val="18"/>
        </w:rPr>
        <w:t xml:space="preserve"> Ruhl, J.B., Kant, S.E., Lant, C.L. (2007). The law and policy of ecosystem services. Island Press, 360 pp. </w:t>
      </w:r>
    </w:p>
  </w:footnote>
  <w:footnote w:id="68">
    <w:p w14:paraId="112CD078" w14:textId="3204055C" w:rsidR="001717A5" w:rsidRPr="000B3ED9" w:rsidRDefault="001717A5" w:rsidP="00D743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640F1E">
        <w:rPr>
          <w:rStyle w:val="FootnoteReference"/>
          <w:snapToGrid w:val="0"/>
          <w:kern w:val="18"/>
          <w:sz w:val="18"/>
          <w:szCs w:val="18"/>
          <w:lang w:val="es-ES_tradnl"/>
        </w:rPr>
        <w:footnoteRef/>
      </w:r>
      <w:r w:rsidRPr="000B3ED9">
        <w:rPr>
          <w:snapToGrid w:val="0"/>
          <w:kern w:val="18"/>
          <w:szCs w:val="18"/>
        </w:rPr>
        <w:t xml:space="preserve"> </w:t>
      </w:r>
      <w:r w:rsidRPr="000B3ED9">
        <w:rPr>
          <w:snapToGrid w:val="0"/>
          <w:spacing w:val="-4"/>
          <w:kern w:val="18"/>
          <w:szCs w:val="18"/>
        </w:rPr>
        <w:t xml:space="preserve">Véase, por ejemplo, </w:t>
      </w:r>
      <w:r w:rsidRPr="000B3ED9">
        <w:rPr>
          <w:snapToGrid w:val="0"/>
          <w:kern w:val="18"/>
          <w:szCs w:val="18"/>
        </w:rPr>
        <w:t>Maze, K., Barnett, M., Botts, E.A., Stephens, A., Freedman, M., Guenther, L. (2016). Making the case for biodiversity in South Africa: Re-framing biodiversity communications. Bothalia 46(1), a2039. http://dx.doi. org/10.4102/abc.v46i1.2039</w:t>
      </w:r>
    </w:p>
  </w:footnote>
  <w:footnote w:id="69">
    <w:p w14:paraId="7F46553F" w14:textId="441F28B0" w:rsidR="001717A5" w:rsidRPr="00640F1E" w:rsidRDefault="001717A5" w:rsidP="00D74331">
      <w:pPr>
        <w:keepLines/>
        <w:suppressLineNumbers/>
        <w:suppressAutoHyphens/>
        <w:kinsoku w:val="0"/>
        <w:overflowPunct w:val="0"/>
        <w:autoSpaceDE w:val="0"/>
        <w:autoSpaceDN w:val="0"/>
        <w:adjustRightInd w:val="0"/>
        <w:snapToGrid w:val="0"/>
        <w:spacing w:after="60"/>
        <w:jc w:val="left"/>
        <w:rPr>
          <w:snapToGrid w:val="0"/>
          <w:spacing w:val="-2"/>
          <w:kern w:val="18"/>
          <w:sz w:val="18"/>
          <w:szCs w:val="18"/>
          <w:lang w:val="es-ES_tradnl"/>
        </w:rPr>
      </w:pPr>
      <w:r w:rsidRPr="00640F1E">
        <w:rPr>
          <w:rStyle w:val="FootnoteReference"/>
          <w:snapToGrid w:val="0"/>
          <w:spacing w:val="-2"/>
          <w:kern w:val="18"/>
          <w:sz w:val="18"/>
          <w:szCs w:val="18"/>
          <w:lang w:val="es-ES_tradnl"/>
        </w:rPr>
        <w:footnoteRef/>
      </w:r>
      <w:r w:rsidRPr="000B3ED9">
        <w:rPr>
          <w:snapToGrid w:val="0"/>
          <w:spacing w:val="-2"/>
          <w:kern w:val="18"/>
          <w:sz w:val="18"/>
          <w:szCs w:val="18"/>
        </w:rPr>
        <w:t xml:space="preserve"> </w:t>
      </w:r>
      <w:r w:rsidRPr="000B3ED9">
        <w:rPr>
          <w:rFonts w:eastAsia="Times"/>
          <w:snapToGrid w:val="0"/>
          <w:spacing w:val="-2"/>
          <w:kern w:val="18"/>
          <w:sz w:val="18"/>
          <w:szCs w:val="18"/>
        </w:rPr>
        <w:t xml:space="preserve">Pascual, U., Balvanera, P., Diaz, D., Pataki, P., Roth, E., Stenseke, M., Watson, R.T., Dessane, E.B., Islar, M., Kelemen, E., Maris, V., Quaas, M., Subramanian, S.M., Wittmer, H., Adlan, A., Ahn, S., Al-Hafedh, Y.S., Amankwah, E., Asah, S.T., Berry, P., Bilgin, A., Breslow, S.J., Bullock, C., Caceres, D., Daly-Hassen, H., Figueroa, E., Golden, C.D., Gomez-Baggethun, E., Gonzalez-Jimenez, D., Houdet, J., Keune, H., Kumar, R., Ma, K., de mayo de, P.H., Mead, A., O’Farrell, P., Pandit, R., Pengue, W., Pichis-Madruga, R., Popa, F., Preston, S., Pacheco-Balanza, D., Saarikoski, H., Strassburg, B.B., van den Belt, M., Verma, M., Wickson, F., Yag, N., (2017). The value of nature’s contributions to people: the IPBES approach. </w:t>
      </w:r>
      <w:r w:rsidRPr="00640F1E">
        <w:rPr>
          <w:rFonts w:eastAsia="Times"/>
          <w:snapToGrid w:val="0"/>
          <w:spacing w:val="-2"/>
          <w:kern w:val="18"/>
          <w:sz w:val="18"/>
          <w:szCs w:val="18"/>
          <w:lang w:val="es-ES_tradnl"/>
        </w:rPr>
        <w:t>Current Opinion in Environmental Sustainability 26: 7–16.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C22AF4F" w14:textId="728C15E7" w:rsidR="001717A5" w:rsidRDefault="001717A5" w:rsidP="00534681">
        <w:pPr>
          <w:pStyle w:val="Header"/>
        </w:pPr>
        <w:r>
          <w:t>CBD/SBI/2/4/Add.4</w:t>
        </w:r>
      </w:p>
    </w:sdtContent>
  </w:sdt>
  <w:p w14:paraId="49AC3D2B" w14:textId="1F25D298" w:rsidR="001717A5" w:rsidRDefault="001717A5" w:rsidP="00534681">
    <w:pPr>
      <w:pStyle w:val="Header"/>
    </w:pPr>
    <w:r>
      <w:t xml:space="preserve">Página </w:t>
    </w:r>
    <w:r>
      <w:fldChar w:fldCharType="begin"/>
    </w:r>
    <w:r>
      <w:instrText xml:space="preserve"> PAGE   \* MERGEFORMAT </w:instrText>
    </w:r>
    <w:r>
      <w:fldChar w:fldCharType="separate"/>
    </w:r>
    <w:r>
      <w:rPr>
        <w:noProof/>
      </w:rPr>
      <w:t>12</w:t>
    </w:r>
    <w:r>
      <w:rPr>
        <w:noProof/>
      </w:rPr>
      <w:fldChar w:fldCharType="end"/>
    </w:r>
  </w:p>
  <w:p w14:paraId="6FB381CB" w14:textId="77777777" w:rsidR="001717A5" w:rsidRDefault="00171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65B5BC0F" w14:textId="769A60E1" w:rsidR="001717A5" w:rsidRDefault="001717A5" w:rsidP="00D74331">
        <w:pPr>
          <w:pStyle w:val="Header"/>
          <w:tabs>
            <w:tab w:val="clear" w:pos="4320"/>
            <w:tab w:val="clear" w:pos="8640"/>
          </w:tabs>
          <w:jc w:val="right"/>
          <w:rPr>
            <w:noProof/>
          </w:rPr>
        </w:pPr>
        <w:r>
          <w:rPr>
            <w:noProof/>
          </w:rPr>
          <w:t>CBD/SBI/2/4/Add.4</w:t>
        </w:r>
      </w:p>
    </w:sdtContent>
  </w:sdt>
  <w:p w14:paraId="07FC7600" w14:textId="53A15F8B" w:rsidR="001717A5" w:rsidRDefault="001717A5" w:rsidP="00D74331">
    <w:pPr>
      <w:pStyle w:val="Header"/>
      <w:tabs>
        <w:tab w:val="clear" w:pos="4320"/>
        <w:tab w:val="clear" w:pos="8640"/>
      </w:tabs>
      <w:jc w:val="right"/>
      <w:rPr>
        <w:noProof/>
      </w:rPr>
    </w:pPr>
    <w:r>
      <w:rPr>
        <w:noProof/>
      </w:rPr>
      <w:t xml:space="preserve">Página </w:t>
    </w:r>
    <w:r>
      <w:rPr>
        <w:noProof/>
      </w:rPr>
      <w:fldChar w:fldCharType="begin"/>
    </w:r>
    <w:r>
      <w:rPr>
        <w:noProof/>
      </w:rPr>
      <w:instrText xml:space="preserve"> PAGE   \* MERGEFORMAT </w:instrText>
    </w:r>
    <w:r>
      <w:rPr>
        <w:noProof/>
      </w:rPr>
      <w:fldChar w:fldCharType="separate"/>
    </w:r>
    <w:r>
      <w:rPr>
        <w:noProof/>
      </w:rPr>
      <w:t>11</w:t>
    </w:r>
    <w:r>
      <w:rPr>
        <w:noProof/>
      </w:rPr>
      <w:fldChar w:fldCharType="end"/>
    </w:r>
  </w:p>
  <w:p w14:paraId="7B479CB6" w14:textId="77777777" w:rsidR="001717A5" w:rsidRDefault="001717A5" w:rsidP="00D74331">
    <w:pPr>
      <w:pStyle w:val="Header"/>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5D07"/>
    <w:multiLevelType w:val="hybridMultilevel"/>
    <w:tmpl w:val="5A1C7F10"/>
    <w:lvl w:ilvl="0" w:tplc="165E9382">
      <w:start w:val="1"/>
      <w:numFmt w:val="decimal"/>
      <w:lvlText w:val="%1."/>
      <w:lvlJc w:val="left"/>
      <w:pPr>
        <w:ind w:left="680" w:hanging="720"/>
      </w:pPr>
      <w:rPr>
        <w:rFonts w:hint="default"/>
        <w:w w:val="99"/>
        <w:lang w:val="en-CA" w:eastAsia="en-CA" w:bidi="en-CA"/>
      </w:rPr>
    </w:lvl>
    <w:lvl w:ilvl="1" w:tplc="4BFA3256">
      <w:numFmt w:val="bullet"/>
      <w:lvlText w:val="•"/>
      <w:lvlJc w:val="left"/>
      <w:pPr>
        <w:ind w:left="1698" w:hanging="720"/>
      </w:pPr>
      <w:rPr>
        <w:rFonts w:hint="default"/>
        <w:lang w:val="en-CA" w:eastAsia="en-CA" w:bidi="en-CA"/>
      </w:rPr>
    </w:lvl>
    <w:lvl w:ilvl="2" w:tplc="7ADE0D6C">
      <w:numFmt w:val="bullet"/>
      <w:lvlText w:val="•"/>
      <w:lvlJc w:val="left"/>
      <w:pPr>
        <w:ind w:left="2716" w:hanging="720"/>
      </w:pPr>
      <w:rPr>
        <w:rFonts w:hint="default"/>
        <w:lang w:val="en-CA" w:eastAsia="en-CA" w:bidi="en-CA"/>
      </w:rPr>
    </w:lvl>
    <w:lvl w:ilvl="3" w:tplc="45680896">
      <w:numFmt w:val="bullet"/>
      <w:lvlText w:val="•"/>
      <w:lvlJc w:val="left"/>
      <w:pPr>
        <w:ind w:left="3734" w:hanging="720"/>
      </w:pPr>
      <w:rPr>
        <w:rFonts w:hint="default"/>
        <w:lang w:val="en-CA" w:eastAsia="en-CA" w:bidi="en-CA"/>
      </w:rPr>
    </w:lvl>
    <w:lvl w:ilvl="4" w:tplc="CC882E60">
      <w:numFmt w:val="bullet"/>
      <w:lvlText w:val="•"/>
      <w:lvlJc w:val="left"/>
      <w:pPr>
        <w:ind w:left="4752" w:hanging="720"/>
      </w:pPr>
      <w:rPr>
        <w:rFonts w:hint="default"/>
        <w:lang w:val="en-CA" w:eastAsia="en-CA" w:bidi="en-CA"/>
      </w:rPr>
    </w:lvl>
    <w:lvl w:ilvl="5" w:tplc="96781B30">
      <w:numFmt w:val="bullet"/>
      <w:lvlText w:val="•"/>
      <w:lvlJc w:val="left"/>
      <w:pPr>
        <w:ind w:left="5770" w:hanging="720"/>
      </w:pPr>
      <w:rPr>
        <w:rFonts w:hint="default"/>
        <w:lang w:val="en-CA" w:eastAsia="en-CA" w:bidi="en-CA"/>
      </w:rPr>
    </w:lvl>
    <w:lvl w:ilvl="6" w:tplc="78A26414">
      <w:numFmt w:val="bullet"/>
      <w:lvlText w:val="•"/>
      <w:lvlJc w:val="left"/>
      <w:pPr>
        <w:ind w:left="6788" w:hanging="720"/>
      </w:pPr>
      <w:rPr>
        <w:rFonts w:hint="default"/>
        <w:lang w:val="en-CA" w:eastAsia="en-CA" w:bidi="en-CA"/>
      </w:rPr>
    </w:lvl>
    <w:lvl w:ilvl="7" w:tplc="CF5CBB48">
      <w:numFmt w:val="bullet"/>
      <w:lvlText w:val="•"/>
      <w:lvlJc w:val="left"/>
      <w:pPr>
        <w:ind w:left="7806" w:hanging="720"/>
      </w:pPr>
      <w:rPr>
        <w:rFonts w:hint="default"/>
        <w:lang w:val="en-CA" w:eastAsia="en-CA" w:bidi="en-CA"/>
      </w:rPr>
    </w:lvl>
    <w:lvl w:ilvl="8" w:tplc="4336CF00">
      <w:numFmt w:val="bullet"/>
      <w:lvlText w:val="•"/>
      <w:lvlJc w:val="left"/>
      <w:pPr>
        <w:ind w:left="8824" w:hanging="720"/>
      </w:pPr>
      <w:rPr>
        <w:rFonts w:hint="default"/>
        <w:lang w:val="en-CA" w:eastAsia="en-CA" w:bidi="en-CA"/>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7269E5"/>
    <w:multiLevelType w:val="hybridMultilevel"/>
    <w:tmpl w:val="3D08C7D6"/>
    <w:lvl w:ilvl="0" w:tplc="08090017">
      <w:start w:val="1"/>
      <w:numFmt w:val="lowerLetter"/>
      <w:lvlText w:val="%1)"/>
      <w:lvlJc w:val="left"/>
      <w:pPr>
        <w:ind w:left="1440" w:hanging="360"/>
      </w:pPr>
      <w:rPr>
        <w:rFonts w:hint="default"/>
        <w:b w:val="0"/>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556D83"/>
    <w:multiLevelType w:val="hybridMultilevel"/>
    <w:tmpl w:val="E1C6F18E"/>
    <w:lvl w:ilvl="0" w:tplc="00EE0658">
      <w:start w:val="10"/>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22816C1"/>
    <w:multiLevelType w:val="hybridMultilevel"/>
    <w:tmpl w:val="2E8E758E"/>
    <w:lvl w:ilvl="0" w:tplc="EB6C1B50">
      <w:start w:val="1"/>
      <w:numFmt w:val="upperRoman"/>
      <w:lvlText w:val="%1."/>
      <w:lvlJc w:val="left"/>
      <w:pPr>
        <w:ind w:left="1080" w:hanging="720"/>
      </w:pPr>
      <w:rPr>
        <w:rFonts w:hint="default"/>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2730A"/>
    <w:multiLevelType w:val="hybridMultilevel"/>
    <w:tmpl w:val="3C6A0210"/>
    <w:lvl w:ilvl="0" w:tplc="A2F65720">
      <w:start w:val="105"/>
      <w:numFmt w:val="decimal"/>
      <w:lvlText w:val="%1."/>
      <w:lvlJc w:val="left"/>
      <w:pPr>
        <w:ind w:left="680" w:hanging="720"/>
      </w:pPr>
      <w:rPr>
        <w:rFonts w:ascii="Times New Roman" w:eastAsia="Times New Roman" w:hAnsi="Times New Roman" w:cs="Times New Roman" w:hint="default"/>
        <w:w w:val="99"/>
        <w:sz w:val="22"/>
        <w:szCs w:val="22"/>
        <w:lang w:val="en-CA" w:eastAsia="en-CA" w:bidi="en-CA"/>
      </w:rPr>
    </w:lvl>
    <w:lvl w:ilvl="1" w:tplc="CA62BC4C">
      <w:numFmt w:val="bullet"/>
      <w:lvlText w:val="•"/>
      <w:lvlJc w:val="left"/>
      <w:pPr>
        <w:ind w:left="1698" w:hanging="720"/>
      </w:pPr>
      <w:rPr>
        <w:rFonts w:hint="default"/>
        <w:lang w:val="en-CA" w:eastAsia="en-CA" w:bidi="en-CA"/>
      </w:rPr>
    </w:lvl>
    <w:lvl w:ilvl="2" w:tplc="3438A252">
      <w:numFmt w:val="bullet"/>
      <w:lvlText w:val="•"/>
      <w:lvlJc w:val="left"/>
      <w:pPr>
        <w:ind w:left="2716" w:hanging="720"/>
      </w:pPr>
      <w:rPr>
        <w:rFonts w:hint="default"/>
        <w:lang w:val="en-CA" w:eastAsia="en-CA" w:bidi="en-CA"/>
      </w:rPr>
    </w:lvl>
    <w:lvl w:ilvl="3" w:tplc="95A41A7E">
      <w:numFmt w:val="bullet"/>
      <w:lvlText w:val="•"/>
      <w:lvlJc w:val="left"/>
      <w:pPr>
        <w:ind w:left="3734" w:hanging="720"/>
      </w:pPr>
      <w:rPr>
        <w:rFonts w:hint="default"/>
        <w:lang w:val="en-CA" w:eastAsia="en-CA" w:bidi="en-CA"/>
      </w:rPr>
    </w:lvl>
    <w:lvl w:ilvl="4" w:tplc="A6A69DE0">
      <w:numFmt w:val="bullet"/>
      <w:lvlText w:val="•"/>
      <w:lvlJc w:val="left"/>
      <w:pPr>
        <w:ind w:left="4752" w:hanging="720"/>
      </w:pPr>
      <w:rPr>
        <w:rFonts w:hint="default"/>
        <w:lang w:val="en-CA" w:eastAsia="en-CA" w:bidi="en-CA"/>
      </w:rPr>
    </w:lvl>
    <w:lvl w:ilvl="5" w:tplc="41F6C4AC">
      <w:numFmt w:val="bullet"/>
      <w:lvlText w:val="•"/>
      <w:lvlJc w:val="left"/>
      <w:pPr>
        <w:ind w:left="5770" w:hanging="720"/>
      </w:pPr>
      <w:rPr>
        <w:rFonts w:hint="default"/>
        <w:lang w:val="en-CA" w:eastAsia="en-CA" w:bidi="en-CA"/>
      </w:rPr>
    </w:lvl>
    <w:lvl w:ilvl="6" w:tplc="8500BA1C">
      <w:numFmt w:val="bullet"/>
      <w:lvlText w:val="•"/>
      <w:lvlJc w:val="left"/>
      <w:pPr>
        <w:ind w:left="6788" w:hanging="720"/>
      </w:pPr>
      <w:rPr>
        <w:rFonts w:hint="default"/>
        <w:lang w:val="en-CA" w:eastAsia="en-CA" w:bidi="en-CA"/>
      </w:rPr>
    </w:lvl>
    <w:lvl w:ilvl="7" w:tplc="73F03F48">
      <w:numFmt w:val="bullet"/>
      <w:lvlText w:val="•"/>
      <w:lvlJc w:val="left"/>
      <w:pPr>
        <w:ind w:left="7806" w:hanging="720"/>
      </w:pPr>
      <w:rPr>
        <w:rFonts w:hint="default"/>
        <w:lang w:val="en-CA" w:eastAsia="en-CA" w:bidi="en-CA"/>
      </w:rPr>
    </w:lvl>
    <w:lvl w:ilvl="8" w:tplc="F67ED3EE">
      <w:numFmt w:val="bullet"/>
      <w:lvlText w:val="•"/>
      <w:lvlJc w:val="left"/>
      <w:pPr>
        <w:ind w:left="8824" w:hanging="720"/>
      </w:pPr>
      <w:rPr>
        <w:rFonts w:hint="default"/>
        <w:lang w:val="en-CA" w:eastAsia="en-CA" w:bidi="en-CA"/>
      </w:r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03490E"/>
    <w:multiLevelType w:val="hybridMultilevel"/>
    <w:tmpl w:val="2E8E758E"/>
    <w:lvl w:ilvl="0" w:tplc="EB6C1B50">
      <w:start w:val="1"/>
      <w:numFmt w:val="upperRoman"/>
      <w:lvlText w:val="%1."/>
      <w:lvlJc w:val="left"/>
      <w:pPr>
        <w:ind w:left="1080" w:hanging="720"/>
      </w:pPr>
      <w:rPr>
        <w:rFonts w:hint="default"/>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643EB"/>
    <w:multiLevelType w:val="hybridMultilevel"/>
    <w:tmpl w:val="7D5CB2DC"/>
    <w:lvl w:ilvl="0" w:tplc="3402AF90">
      <w:start w:val="1"/>
      <w:numFmt w:val="lowerLetter"/>
      <w:lvlText w:val="%1)"/>
      <w:lvlJc w:val="left"/>
      <w:pPr>
        <w:ind w:left="680" w:hanging="732"/>
      </w:pPr>
      <w:rPr>
        <w:rFonts w:ascii="Times New Roman" w:eastAsia="Times New Roman" w:hAnsi="Times New Roman" w:cs="Times New Roman" w:hint="default"/>
        <w:spacing w:val="-1"/>
        <w:w w:val="99"/>
        <w:sz w:val="22"/>
        <w:szCs w:val="22"/>
        <w:lang w:val="en-CA" w:eastAsia="en-CA" w:bidi="en-CA"/>
      </w:rPr>
    </w:lvl>
    <w:lvl w:ilvl="1" w:tplc="A8CE6204">
      <w:numFmt w:val="bullet"/>
      <w:lvlText w:val="•"/>
      <w:lvlJc w:val="left"/>
      <w:pPr>
        <w:ind w:left="1698" w:hanging="732"/>
      </w:pPr>
      <w:rPr>
        <w:rFonts w:hint="default"/>
        <w:lang w:val="en-CA" w:eastAsia="en-CA" w:bidi="en-CA"/>
      </w:rPr>
    </w:lvl>
    <w:lvl w:ilvl="2" w:tplc="A928CDE8">
      <w:numFmt w:val="bullet"/>
      <w:lvlText w:val="•"/>
      <w:lvlJc w:val="left"/>
      <w:pPr>
        <w:ind w:left="2716" w:hanging="732"/>
      </w:pPr>
      <w:rPr>
        <w:rFonts w:hint="default"/>
        <w:lang w:val="en-CA" w:eastAsia="en-CA" w:bidi="en-CA"/>
      </w:rPr>
    </w:lvl>
    <w:lvl w:ilvl="3" w:tplc="E53A5E88">
      <w:numFmt w:val="bullet"/>
      <w:lvlText w:val="•"/>
      <w:lvlJc w:val="left"/>
      <w:pPr>
        <w:ind w:left="3734" w:hanging="732"/>
      </w:pPr>
      <w:rPr>
        <w:rFonts w:hint="default"/>
        <w:lang w:val="en-CA" w:eastAsia="en-CA" w:bidi="en-CA"/>
      </w:rPr>
    </w:lvl>
    <w:lvl w:ilvl="4" w:tplc="067C3EC8">
      <w:numFmt w:val="bullet"/>
      <w:lvlText w:val="•"/>
      <w:lvlJc w:val="left"/>
      <w:pPr>
        <w:ind w:left="4752" w:hanging="732"/>
      </w:pPr>
      <w:rPr>
        <w:rFonts w:hint="default"/>
        <w:lang w:val="en-CA" w:eastAsia="en-CA" w:bidi="en-CA"/>
      </w:rPr>
    </w:lvl>
    <w:lvl w:ilvl="5" w:tplc="C9C8B798">
      <w:numFmt w:val="bullet"/>
      <w:lvlText w:val="•"/>
      <w:lvlJc w:val="left"/>
      <w:pPr>
        <w:ind w:left="5770" w:hanging="732"/>
      </w:pPr>
      <w:rPr>
        <w:rFonts w:hint="default"/>
        <w:lang w:val="en-CA" w:eastAsia="en-CA" w:bidi="en-CA"/>
      </w:rPr>
    </w:lvl>
    <w:lvl w:ilvl="6" w:tplc="F1CCC526">
      <w:numFmt w:val="bullet"/>
      <w:lvlText w:val="•"/>
      <w:lvlJc w:val="left"/>
      <w:pPr>
        <w:ind w:left="6788" w:hanging="732"/>
      </w:pPr>
      <w:rPr>
        <w:rFonts w:hint="default"/>
        <w:lang w:val="en-CA" w:eastAsia="en-CA" w:bidi="en-CA"/>
      </w:rPr>
    </w:lvl>
    <w:lvl w:ilvl="7" w:tplc="C33441EC">
      <w:numFmt w:val="bullet"/>
      <w:lvlText w:val="•"/>
      <w:lvlJc w:val="left"/>
      <w:pPr>
        <w:ind w:left="7806" w:hanging="732"/>
      </w:pPr>
      <w:rPr>
        <w:rFonts w:hint="default"/>
        <w:lang w:val="en-CA" w:eastAsia="en-CA" w:bidi="en-CA"/>
      </w:rPr>
    </w:lvl>
    <w:lvl w:ilvl="8" w:tplc="7EA8601E">
      <w:numFmt w:val="bullet"/>
      <w:lvlText w:val="•"/>
      <w:lvlJc w:val="left"/>
      <w:pPr>
        <w:ind w:left="8824" w:hanging="732"/>
      </w:pPr>
      <w:rPr>
        <w:rFonts w:hint="default"/>
        <w:lang w:val="en-CA" w:eastAsia="en-CA" w:bidi="en-CA"/>
      </w:r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86730D"/>
    <w:multiLevelType w:val="hybridMultilevel"/>
    <w:tmpl w:val="FB9295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5787F"/>
    <w:multiLevelType w:val="hybridMultilevel"/>
    <w:tmpl w:val="520AA23C"/>
    <w:lvl w:ilvl="0" w:tplc="7B9A646C">
      <w:start w:val="1"/>
      <w:numFmt w:val="decimal"/>
      <w:lvlText w:val="%1."/>
      <w:lvlJc w:val="left"/>
      <w:pPr>
        <w:ind w:left="2883" w:hanging="360"/>
      </w:pPr>
      <w:rPr>
        <w:rFonts w:ascii="Times New Roman" w:hAnsi="Times New Roman" w:cs="Times New Roman" w:hint="default"/>
        <w:i w:val="0"/>
      </w:r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num w:numId="1">
    <w:abstractNumId w:val="8"/>
  </w:num>
  <w:num w:numId="2">
    <w:abstractNumId w:val="14"/>
  </w:num>
  <w:num w:numId="3">
    <w:abstractNumId w:val="11"/>
  </w:num>
  <w:num w:numId="4">
    <w:abstractNumId w:val="14"/>
  </w:num>
  <w:num w:numId="5">
    <w:abstractNumId w:val="13"/>
  </w:num>
  <w:num w:numId="6">
    <w:abstractNumId w:val="1"/>
  </w:num>
  <w:num w:numId="7">
    <w:abstractNumId w:val="3"/>
  </w:num>
  <w:num w:numId="8">
    <w:abstractNumId w:val="11"/>
    <w:lvlOverride w:ilvl="0">
      <w:startOverride w:val="1"/>
    </w:lvlOverride>
  </w:num>
  <w:num w:numId="9">
    <w:abstractNumId w:val="17"/>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6"/>
  </w:num>
  <w:num w:numId="15">
    <w:abstractNumId w:val="15"/>
  </w:num>
  <w:num w:numId="16">
    <w:abstractNumId w:val="2"/>
  </w:num>
  <w:num w:numId="17">
    <w:abstractNumId w:val="18"/>
  </w:num>
  <w:num w:numId="18">
    <w:abstractNumId w:val="19"/>
  </w:num>
  <w:num w:numId="19">
    <w:abstractNumId w:val="20"/>
  </w:num>
  <w:num w:numId="20">
    <w:abstractNumId w:val="6"/>
  </w:num>
  <w:num w:numId="21">
    <w:abstractNumId w:val="9"/>
  </w:num>
  <w:num w:numId="22">
    <w:abstractNumId w:val="12"/>
  </w:num>
  <w:num w:numId="23">
    <w:abstractNumId w:val="4"/>
  </w:num>
  <w:num w:numId="24">
    <w:abstractNumId w:val="10"/>
  </w:num>
  <w:num w:numId="25">
    <w:abstractNumId w:val="7"/>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16CD"/>
    <w:rsid w:val="00002522"/>
    <w:rsid w:val="00005AD5"/>
    <w:rsid w:val="00036300"/>
    <w:rsid w:val="000402B5"/>
    <w:rsid w:val="00041CA9"/>
    <w:rsid w:val="0004723A"/>
    <w:rsid w:val="00047881"/>
    <w:rsid w:val="000508E5"/>
    <w:rsid w:val="00051A52"/>
    <w:rsid w:val="00052567"/>
    <w:rsid w:val="00053FA8"/>
    <w:rsid w:val="00060E88"/>
    <w:rsid w:val="00061BC4"/>
    <w:rsid w:val="000643D1"/>
    <w:rsid w:val="000803A4"/>
    <w:rsid w:val="00082463"/>
    <w:rsid w:val="00086D7E"/>
    <w:rsid w:val="00094AC9"/>
    <w:rsid w:val="000B3C4D"/>
    <w:rsid w:val="000B3ED9"/>
    <w:rsid w:val="000B644B"/>
    <w:rsid w:val="000B6FE9"/>
    <w:rsid w:val="000C1C12"/>
    <w:rsid w:val="000C76F0"/>
    <w:rsid w:val="000D4046"/>
    <w:rsid w:val="000E4865"/>
    <w:rsid w:val="000E4E7F"/>
    <w:rsid w:val="000E673A"/>
    <w:rsid w:val="000F74F5"/>
    <w:rsid w:val="00101750"/>
    <w:rsid w:val="001048E7"/>
    <w:rsid w:val="00105372"/>
    <w:rsid w:val="0011103B"/>
    <w:rsid w:val="00112B88"/>
    <w:rsid w:val="00113F59"/>
    <w:rsid w:val="001151D9"/>
    <w:rsid w:val="00121477"/>
    <w:rsid w:val="00131BEE"/>
    <w:rsid w:val="00131E7A"/>
    <w:rsid w:val="001329C5"/>
    <w:rsid w:val="00135414"/>
    <w:rsid w:val="00144865"/>
    <w:rsid w:val="00162334"/>
    <w:rsid w:val="00162D7A"/>
    <w:rsid w:val="0016331C"/>
    <w:rsid w:val="00165050"/>
    <w:rsid w:val="001717A5"/>
    <w:rsid w:val="00171B0B"/>
    <w:rsid w:val="00172040"/>
    <w:rsid w:val="00172AF6"/>
    <w:rsid w:val="00174B4E"/>
    <w:rsid w:val="00176CEE"/>
    <w:rsid w:val="00181772"/>
    <w:rsid w:val="00187FEE"/>
    <w:rsid w:val="00191707"/>
    <w:rsid w:val="0019718E"/>
    <w:rsid w:val="001A11FF"/>
    <w:rsid w:val="001B1837"/>
    <w:rsid w:val="001B66EA"/>
    <w:rsid w:val="001D4FA9"/>
    <w:rsid w:val="001E0751"/>
    <w:rsid w:val="001E576F"/>
    <w:rsid w:val="001E5E34"/>
    <w:rsid w:val="0021584C"/>
    <w:rsid w:val="00221E1C"/>
    <w:rsid w:val="002337E6"/>
    <w:rsid w:val="00241557"/>
    <w:rsid w:val="002504B6"/>
    <w:rsid w:val="00251CD7"/>
    <w:rsid w:val="0027019B"/>
    <w:rsid w:val="00276B6C"/>
    <w:rsid w:val="00283939"/>
    <w:rsid w:val="00294104"/>
    <w:rsid w:val="002A1418"/>
    <w:rsid w:val="002A664F"/>
    <w:rsid w:val="002B44D9"/>
    <w:rsid w:val="002C2402"/>
    <w:rsid w:val="002C70DF"/>
    <w:rsid w:val="002C7E7B"/>
    <w:rsid w:val="002D6617"/>
    <w:rsid w:val="002D7582"/>
    <w:rsid w:val="002D7CD7"/>
    <w:rsid w:val="002E0A45"/>
    <w:rsid w:val="002E1F1A"/>
    <w:rsid w:val="002E25C5"/>
    <w:rsid w:val="002F72EE"/>
    <w:rsid w:val="003021CA"/>
    <w:rsid w:val="00306F6E"/>
    <w:rsid w:val="00312383"/>
    <w:rsid w:val="0032000B"/>
    <w:rsid w:val="00327332"/>
    <w:rsid w:val="00330384"/>
    <w:rsid w:val="00333649"/>
    <w:rsid w:val="003350C2"/>
    <w:rsid w:val="00347084"/>
    <w:rsid w:val="0035423C"/>
    <w:rsid w:val="00356364"/>
    <w:rsid w:val="00367FAF"/>
    <w:rsid w:val="00371B31"/>
    <w:rsid w:val="00372AE8"/>
    <w:rsid w:val="00372F74"/>
    <w:rsid w:val="003803BA"/>
    <w:rsid w:val="0039102A"/>
    <w:rsid w:val="00395A0E"/>
    <w:rsid w:val="0039631B"/>
    <w:rsid w:val="003A139B"/>
    <w:rsid w:val="003A3448"/>
    <w:rsid w:val="003A373A"/>
    <w:rsid w:val="003A710C"/>
    <w:rsid w:val="003A7F6A"/>
    <w:rsid w:val="003B0881"/>
    <w:rsid w:val="003B6F0C"/>
    <w:rsid w:val="003D4647"/>
    <w:rsid w:val="003D5074"/>
    <w:rsid w:val="003E64B0"/>
    <w:rsid w:val="003F7224"/>
    <w:rsid w:val="00400807"/>
    <w:rsid w:val="00403C69"/>
    <w:rsid w:val="00427D21"/>
    <w:rsid w:val="00443D7B"/>
    <w:rsid w:val="00455411"/>
    <w:rsid w:val="004644C2"/>
    <w:rsid w:val="00467F9C"/>
    <w:rsid w:val="00476FF7"/>
    <w:rsid w:val="004809DC"/>
    <w:rsid w:val="00486C3E"/>
    <w:rsid w:val="00493C9F"/>
    <w:rsid w:val="004A0822"/>
    <w:rsid w:val="004A52D4"/>
    <w:rsid w:val="004A56FA"/>
    <w:rsid w:val="004B0E7B"/>
    <w:rsid w:val="004B5F59"/>
    <w:rsid w:val="004B7D79"/>
    <w:rsid w:val="004C0458"/>
    <w:rsid w:val="004C5A2C"/>
    <w:rsid w:val="004D0BB3"/>
    <w:rsid w:val="004D63CC"/>
    <w:rsid w:val="004E5161"/>
    <w:rsid w:val="004E6262"/>
    <w:rsid w:val="004F06B2"/>
    <w:rsid w:val="004F429A"/>
    <w:rsid w:val="004F5620"/>
    <w:rsid w:val="004F6946"/>
    <w:rsid w:val="00505031"/>
    <w:rsid w:val="0051049C"/>
    <w:rsid w:val="005107A5"/>
    <w:rsid w:val="005114F7"/>
    <w:rsid w:val="00522B80"/>
    <w:rsid w:val="00527376"/>
    <w:rsid w:val="005279CB"/>
    <w:rsid w:val="00534681"/>
    <w:rsid w:val="00543EAD"/>
    <w:rsid w:val="00562C1F"/>
    <w:rsid w:val="00563950"/>
    <w:rsid w:val="00574A36"/>
    <w:rsid w:val="0057511A"/>
    <w:rsid w:val="005767A9"/>
    <w:rsid w:val="0058091C"/>
    <w:rsid w:val="005854CC"/>
    <w:rsid w:val="00586B9B"/>
    <w:rsid w:val="00595BA6"/>
    <w:rsid w:val="005A522A"/>
    <w:rsid w:val="005B4E46"/>
    <w:rsid w:val="005C5A45"/>
    <w:rsid w:val="005C5D97"/>
    <w:rsid w:val="005D2034"/>
    <w:rsid w:val="005F0B8D"/>
    <w:rsid w:val="005F3DBD"/>
    <w:rsid w:val="005F43CA"/>
    <w:rsid w:val="006122BA"/>
    <w:rsid w:val="006226E9"/>
    <w:rsid w:val="00633008"/>
    <w:rsid w:val="00634F87"/>
    <w:rsid w:val="00640F1E"/>
    <w:rsid w:val="00645009"/>
    <w:rsid w:val="006553C9"/>
    <w:rsid w:val="00655C59"/>
    <w:rsid w:val="00657B89"/>
    <w:rsid w:val="006623D4"/>
    <w:rsid w:val="0067067A"/>
    <w:rsid w:val="00685E8A"/>
    <w:rsid w:val="00686001"/>
    <w:rsid w:val="006978EE"/>
    <w:rsid w:val="006A6C09"/>
    <w:rsid w:val="006B2290"/>
    <w:rsid w:val="006B2410"/>
    <w:rsid w:val="006C05F3"/>
    <w:rsid w:val="006C21E8"/>
    <w:rsid w:val="006D107E"/>
    <w:rsid w:val="006D30F0"/>
    <w:rsid w:val="006D4C4B"/>
    <w:rsid w:val="006E4156"/>
    <w:rsid w:val="006E5713"/>
    <w:rsid w:val="006F5412"/>
    <w:rsid w:val="00700DAE"/>
    <w:rsid w:val="00703312"/>
    <w:rsid w:val="00706082"/>
    <w:rsid w:val="00717D88"/>
    <w:rsid w:val="00720975"/>
    <w:rsid w:val="007314E7"/>
    <w:rsid w:val="00732DBD"/>
    <w:rsid w:val="007334BE"/>
    <w:rsid w:val="007464AA"/>
    <w:rsid w:val="00756A95"/>
    <w:rsid w:val="00756FF3"/>
    <w:rsid w:val="00774543"/>
    <w:rsid w:val="00775C21"/>
    <w:rsid w:val="007764E9"/>
    <w:rsid w:val="0078276E"/>
    <w:rsid w:val="00783152"/>
    <w:rsid w:val="007879C2"/>
    <w:rsid w:val="00790CAE"/>
    <w:rsid w:val="00793C45"/>
    <w:rsid w:val="007942D3"/>
    <w:rsid w:val="007A3269"/>
    <w:rsid w:val="007A758F"/>
    <w:rsid w:val="007B6C09"/>
    <w:rsid w:val="007E09DA"/>
    <w:rsid w:val="007E570E"/>
    <w:rsid w:val="007F2B04"/>
    <w:rsid w:val="007F4010"/>
    <w:rsid w:val="007F5009"/>
    <w:rsid w:val="007F5BF1"/>
    <w:rsid w:val="00806E7A"/>
    <w:rsid w:val="008176B5"/>
    <w:rsid w:val="008178B6"/>
    <w:rsid w:val="0083174B"/>
    <w:rsid w:val="00835346"/>
    <w:rsid w:val="0083773A"/>
    <w:rsid w:val="0085208E"/>
    <w:rsid w:val="00865B74"/>
    <w:rsid w:val="00866711"/>
    <w:rsid w:val="00873F59"/>
    <w:rsid w:val="00883223"/>
    <w:rsid w:val="00884C72"/>
    <w:rsid w:val="00885E4C"/>
    <w:rsid w:val="00887CE7"/>
    <w:rsid w:val="00891D80"/>
    <w:rsid w:val="008927A4"/>
    <w:rsid w:val="008A0F0A"/>
    <w:rsid w:val="008A573A"/>
    <w:rsid w:val="008B0B1A"/>
    <w:rsid w:val="008B0EA5"/>
    <w:rsid w:val="008E07E4"/>
    <w:rsid w:val="008E6EFF"/>
    <w:rsid w:val="008F6EEF"/>
    <w:rsid w:val="00903EEE"/>
    <w:rsid w:val="00906A66"/>
    <w:rsid w:val="009077B0"/>
    <w:rsid w:val="009137D7"/>
    <w:rsid w:val="00922BAC"/>
    <w:rsid w:val="00930BA1"/>
    <w:rsid w:val="00930F55"/>
    <w:rsid w:val="0093169E"/>
    <w:rsid w:val="00933E6F"/>
    <w:rsid w:val="00935A8B"/>
    <w:rsid w:val="00950515"/>
    <w:rsid w:val="009505C9"/>
    <w:rsid w:val="0095183F"/>
    <w:rsid w:val="00956AD3"/>
    <w:rsid w:val="0096147C"/>
    <w:rsid w:val="00970A64"/>
    <w:rsid w:val="009715CA"/>
    <w:rsid w:val="00975577"/>
    <w:rsid w:val="00977144"/>
    <w:rsid w:val="00977166"/>
    <w:rsid w:val="00982C93"/>
    <w:rsid w:val="009871A8"/>
    <w:rsid w:val="009921A8"/>
    <w:rsid w:val="009978B6"/>
    <w:rsid w:val="009A050C"/>
    <w:rsid w:val="009A25F2"/>
    <w:rsid w:val="009A33FA"/>
    <w:rsid w:val="009C0882"/>
    <w:rsid w:val="009C60BC"/>
    <w:rsid w:val="009E09B7"/>
    <w:rsid w:val="009F21EA"/>
    <w:rsid w:val="00A02787"/>
    <w:rsid w:val="00A02D2D"/>
    <w:rsid w:val="00A05171"/>
    <w:rsid w:val="00A2395A"/>
    <w:rsid w:val="00A270BC"/>
    <w:rsid w:val="00A30F85"/>
    <w:rsid w:val="00A45835"/>
    <w:rsid w:val="00A53B5D"/>
    <w:rsid w:val="00A5766E"/>
    <w:rsid w:val="00A63A59"/>
    <w:rsid w:val="00A7128A"/>
    <w:rsid w:val="00A76845"/>
    <w:rsid w:val="00A82E5D"/>
    <w:rsid w:val="00A928E0"/>
    <w:rsid w:val="00AA5869"/>
    <w:rsid w:val="00AB0568"/>
    <w:rsid w:val="00AB7DFE"/>
    <w:rsid w:val="00AC7B78"/>
    <w:rsid w:val="00AD5B70"/>
    <w:rsid w:val="00AD78BA"/>
    <w:rsid w:val="00AE3B24"/>
    <w:rsid w:val="00AF2D44"/>
    <w:rsid w:val="00AF5582"/>
    <w:rsid w:val="00B021B7"/>
    <w:rsid w:val="00B069CF"/>
    <w:rsid w:val="00B148E7"/>
    <w:rsid w:val="00B24304"/>
    <w:rsid w:val="00B251B8"/>
    <w:rsid w:val="00B252C7"/>
    <w:rsid w:val="00B31FF7"/>
    <w:rsid w:val="00B3369F"/>
    <w:rsid w:val="00B35071"/>
    <w:rsid w:val="00B44950"/>
    <w:rsid w:val="00B44A85"/>
    <w:rsid w:val="00B4674E"/>
    <w:rsid w:val="00B46E91"/>
    <w:rsid w:val="00B5394A"/>
    <w:rsid w:val="00B55A5A"/>
    <w:rsid w:val="00B6437C"/>
    <w:rsid w:val="00B77AF5"/>
    <w:rsid w:val="00B831C6"/>
    <w:rsid w:val="00B83CC5"/>
    <w:rsid w:val="00B84A75"/>
    <w:rsid w:val="00B85E3E"/>
    <w:rsid w:val="00B86148"/>
    <w:rsid w:val="00B96088"/>
    <w:rsid w:val="00B96BEB"/>
    <w:rsid w:val="00BA6CBB"/>
    <w:rsid w:val="00BB40A4"/>
    <w:rsid w:val="00BB72A4"/>
    <w:rsid w:val="00BC2058"/>
    <w:rsid w:val="00BC2F30"/>
    <w:rsid w:val="00BC4CAC"/>
    <w:rsid w:val="00BD54B1"/>
    <w:rsid w:val="00BD5F36"/>
    <w:rsid w:val="00BD6E3D"/>
    <w:rsid w:val="00BE2375"/>
    <w:rsid w:val="00BE4E68"/>
    <w:rsid w:val="00BF0AAA"/>
    <w:rsid w:val="00BF4459"/>
    <w:rsid w:val="00BF4642"/>
    <w:rsid w:val="00C003DE"/>
    <w:rsid w:val="00C1213F"/>
    <w:rsid w:val="00C144E3"/>
    <w:rsid w:val="00C23E56"/>
    <w:rsid w:val="00C32A84"/>
    <w:rsid w:val="00C3415B"/>
    <w:rsid w:val="00C40C39"/>
    <w:rsid w:val="00C527F1"/>
    <w:rsid w:val="00C544FE"/>
    <w:rsid w:val="00C55A73"/>
    <w:rsid w:val="00C57B96"/>
    <w:rsid w:val="00C61B56"/>
    <w:rsid w:val="00C64905"/>
    <w:rsid w:val="00C66E6B"/>
    <w:rsid w:val="00C773BB"/>
    <w:rsid w:val="00C828EA"/>
    <w:rsid w:val="00C842C2"/>
    <w:rsid w:val="00C911B6"/>
    <w:rsid w:val="00C9161D"/>
    <w:rsid w:val="00CA4D35"/>
    <w:rsid w:val="00CA6ECE"/>
    <w:rsid w:val="00CB125B"/>
    <w:rsid w:val="00CB392F"/>
    <w:rsid w:val="00CC4A5C"/>
    <w:rsid w:val="00CC5939"/>
    <w:rsid w:val="00CC5A39"/>
    <w:rsid w:val="00CD1836"/>
    <w:rsid w:val="00CD5127"/>
    <w:rsid w:val="00CE30A8"/>
    <w:rsid w:val="00CE6707"/>
    <w:rsid w:val="00CE744C"/>
    <w:rsid w:val="00CE74B8"/>
    <w:rsid w:val="00CF1260"/>
    <w:rsid w:val="00CF1848"/>
    <w:rsid w:val="00CF7B69"/>
    <w:rsid w:val="00D0473A"/>
    <w:rsid w:val="00D06058"/>
    <w:rsid w:val="00D10D94"/>
    <w:rsid w:val="00D12044"/>
    <w:rsid w:val="00D13DC5"/>
    <w:rsid w:val="00D17EA0"/>
    <w:rsid w:val="00D22479"/>
    <w:rsid w:val="00D2342B"/>
    <w:rsid w:val="00D2576D"/>
    <w:rsid w:val="00D25A6A"/>
    <w:rsid w:val="00D42FC0"/>
    <w:rsid w:val="00D47493"/>
    <w:rsid w:val="00D50C01"/>
    <w:rsid w:val="00D52625"/>
    <w:rsid w:val="00D54EE9"/>
    <w:rsid w:val="00D6777B"/>
    <w:rsid w:val="00D74331"/>
    <w:rsid w:val="00D76A18"/>
    <w:rsid w:val="00D95D00"/>
    <w:rsid w:val="00D96734"/>
    <w:rsid w:val="00DA6295"/>
    <w:rsid w:val="00DA7AC9"/>
    <w:rsid w:val="00DA7D94"/>
    <w:rsid w:val="00DB126E"/>
    <w:rsid w:val="00DB2BCA"/>
    <w:rsid w:val="00DC3765"/>
    <w:rsid w:val="00DD118C"/>
    <w:rsid w:val="00DE49EF"/>
    <w:rsid w:val="00DE4D45"/>
    <w:rsid w:val="00DE53A5"/>
    <w:rsid w:val="00DF0FC6"/>
    <w:rsid w:val="00DF30F1"/>
    <w:rsid w:val="00DF6987"/>
    <w:rsid w:val="00E1572C"/>
    <w:rsid w:val="00E21119"/>
    <w:rsid w:val="00E224EB"/>
    <w:rsid w:val="00E24503"/>
    <w:rsid w:val="00E247F1"/>
    <w:rsid w:val="00E2536C"/>
    <w:rsid w:val="00E27CEF"/>
    <w:rsid w:val="00E35784"/>
    <w:rsid w:val="00E35874"/>
    <w:rsid w:val="00E378CE"/>
    <w:rsid w:val="00E41C31"/>
    <w:rsid w:val="00E444CE"/>
    <w:rsid w:val="00E52A2C"/>
    <w:rsid w:val="00E54300"/>
    <w:rsid w:val="00E57ED3"/>
    <w:rsid w:val="00E66235"/>
    <w:rsid w:val="00E67070"/>
    <w:rsid w:val="00E726FB"/>
    <w:rsid w:val="00E72F5A"/>
    <w:rsid w:val="00E77F48"/>
    <w:rsid w:val="00E80D2C"/>
    <w:rsid w:val="00E82322"/>
    <w:rsid w:val="00E83C24"/>
    <w:rsid w:val="00E9318D"/>
    <w:rsid w:val="00EA6B6C"/>
    <w:rsid w:val="00EB30EA"/>
    <w:rsid w:val="00EB6761"/>
    <w:rsid w:val="00EC2000"/>
    <w:rsid w:val="00EC768D"/>
    <w:rsid w:val="00ED0750"/>
    <w:rsid w:val="00ED1010"/>
    <w:rsid w:val="00EE0639"/>
    <w:rsid w:val="00EF11C4"/>
    <w:rsid w:val="00EF752F"/>
    <w:rsid w:val="00F0422C"/>
    <w:rsid w:val="00F10A7F"/>
    <w:rsid w:val="00F218DE"/>
    <w:rsid w:val="00F21A45"/>
    <w:rsid w:val="00F2351B"/>
    <w:rsid w:val="00F242A4"/>
    <w:rsid w:val="00F42442"/>
    <w:rsid w:val="00F46539"/>
    <w:rsid w:val="00F526CC"/>
    <w:rsid w:val="00F53EDB"/>
    <w:rsid w:val="00F57290"/>
    <w:rsid w:val="00F57814"/>
    <w:rsid w:val="00F64CDB"/>
    <w:rsid w:val="00F749AF"/>
    <w:rsid w:val="00F83649"/>
    <w:rsid w:val="00F871FF"/>
    <w:rsid w:val="00F901E7"/>
    <w:rsid w:val="00F94774"/>
    <w:rsid w:val="00F969A5"/>
    <w:rsid w:val="00F96ED0"/>
    <w:rsid w:val="00FA0999"/>
    <w:rsid w:val="00FA2997"/>
    <w:rsid w:val="00FA5B19"/>
    <w:rsid w:val="00FB7BF4"/>
    <w:rsid w:val="00FC073F"/>
    <w:rsid w:val="00FC53DB"/>
    <w:rsid w:val="00FD04DE"/>
    <w:rsid w:val="00FD23F9"/>
    <w:rsid w:val="00FD2F41"/>
    <w:rsid w:val="00FD3FB5"/>
    <w:rsid w:val="00FE18F0"/>
    <w:rsid w:val="00FE310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BBD998"/>
  <w15:docId w15:val="{BB928762-3D33-476F-8679-7FFEDE71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16 Point,Superscript 6 Point,Superscript 6 Point + 11 pt,ftref,Footnote Reference Number,note bp, Car Car Char Car Char Car Car Char Car Char Char, Car Car Car Car Car Car Car Car Char Car Car Char Car Car Car Char Car Char Char Char"/>
    <w:uiPriority w:val="99"/>
    <w:qFormat/>
    <w:rsid w:val="00427D21"/>
    <w:rPr>
      <w:sz w:val="22"/>
      <w:u w:val="none"/>
      <w:vertAlign w:val="superscript"/>
    </w:rPr>
  </w:style>
  <w:style w:type="paragraph" w:styleId="FootnoteText">
    <w:name w:val="footnote text"/>
    <w:aliases w:val="Geneva 9,Font: Geneva 9,Boston 10,f,otnote Text,Footnote,single space,footnote text,ft,Footnote Text Char2,Footnote Text Char1 Char,Footnote Text Char Char Char1,Footnote Text Char1 Char Char Char1,Footnote Text Char1 Char1 Char,Fußnote,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otnote Text Char,Footnote Char,single space Char,footnote text Char,ft Char,Footnote Text Char2 Char,Footnote Text Char1 Char Char,Footnote Text Char Char Char1 Char,Fußnote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1"/>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ListParagraphChar">
    <w:name w:val="List Paragraph Char"/>
    <w:basedOn w:val="DefaultParagraphFont"/>
    <w:link w:val="ListParagraph"/>
    <w:uiPriority w:val="34"/>
    <w:locked/>
    <w:rsid w:val="00276B6C"/>
    <w:rPr>
      <w:rFonts w:ascii="Times New Roman" w:eastAsia="Times New Roman" w:hAnsi="Times New Roman" w:cs="Times New Roman"/>
      <w:sz w:val="22"/>
      <w:lang w:val="en-GB"/>
    </w:rPr>
  </w:style>
  <w:style w:type="character" w:customStyle="1" w:styleId="articlecitationpages">
    <w:name w:val="articlecitation_pages"/>
    <w:basedOn w:val="DefaultParagraphFont"/>
    <w:rsid w:val="00276B6C"/>
  </w:style>
  <w:style w:type="character" w:customStyle="1" w:styleId="UnresolvedMention1">
    <w:name w:val="Unresolved Mention1"/>
    <w:basedOn w:val="DefaultParagraphFont"/>
    <w:uiPriority w:val="99"/>
    <w:semiHidden/>
    <w:unhideWhenUsed/>
    <w:rsid w:val="001B66EA"/>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E5430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54300"/>
    <w:rPr>
      <w:rFonts w:ascii="Times New Roman" w:eastAsia="Times New Roman" w:hAnsi="Times New Roman" w:cs="Times New Roman"/>
      <w:b/>
      <w:bCs/>
      <w:sz w:val="20"/>
      <w:szCs w:val="20"/>
      <w:lang w:val="en-GB"/>
    </w:rPr>
  </w:style>
  <w:style w:type="paragraph" w:styleId="Revision">
    <w:name w:val="Revision"/>
    <w:hidden/>
    <w:uiPriority w:val="99"/>
    <w:semiHidden/>
    <w:rsid w:val="00D0473A"/>
    <w:rPr>
      <w:rFonts w:ascii="Times New Roman" w:eastAsia="Times New Roman" w:hAnsi="Times New Roman" w:cs="Times New Roman"/>
      <w:sz w:val="22"/>
      <w:lang w:val="en-GB"/>
    </w:rPr>
  </w:style>
  <w:style w:type="character" w:styleId="Emphasis">
    <w:name w:val="Emphasis"/>
    <w:basedOn w:val="DefaultParagraphFont"/>
    <w:uiPriority w:val="20"/>
    <w:qFormat/>
    <w:rsid w:val="00135414"/>
    <w:rPr>
      <w:i/>
      <w:iCs/>
    </w:rPr>
  </w:style>
  <w:style w:type="character" w:styleId="UnresolvedMention">
    <w:name w:val="Unresolved Mention"/>
    <w:basedOn w:val="DefaultParagraphFont"/>
    <w:uiPriority w:val="99"/>
    <w:semiHidden/>
    <w:unhideWhenUsed/>
    <w:rsid w:val="008B0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4556">
      <w:bodyDiv w:val="1"/>
      <w:marLeft w:val="0"/>
      <w:marRight w:val="0"/>
      <w:marTop w:val="0"/>
      <w:marBottom w:val="0"/>
      <w:divBdr>
        <w:top w:val="none" w:sz="0" w:space="0" w:color="auto"/>
        <w:left w:val="none" w:sz="0" w:space="0" w:color="auto"/>
        <w:bottom w:val="none" w:sz="0" w:space="0" w:color="auto"/>
        <w:right w:val="none" w:sz="0" w:space="0" w:color="auto"/>
      </w:divBdr>
    </w:div>
    <w:div w:id="468597782">
      <w:bodyDiv w:val="1"/>
      <w:marLeft w:val="0"/>
      <w:marRight w:val="0"/>
      <w:marTop w:val="0"/>
      <w:marBottom w:val="0"/>
      <w:divBdr>
        <w:top w:val="none" w:sz="0" w:space="0" w:color="auto"/>
        <w:left w:val="none" w:sz="0" w:space="0" w:color="auto"/>
        <w:bottom w:val="none" w:sz="0" w:space="0" w:color="auto"/>
        <w:right w:val="none" w:sz="0" w:space="0" w:color="auto"/>
      </w:divBdr>
    </w:div>
    <w:div w:id="882867174">
      <w:bodyDiv w:val="1"/>
      <w:marLeft w:val="0"/>
      <w:marRight w:val="0"/>
      <w:marTop w:val="0"/>
      <w:marBottom w:val="0"/>
      <w:divBdr>
        <w:top w:val="none" w:sz="0" w:space="0" w:color="auto"/>
        <w:left w:val="none" w:sz="0" w:space="0" w:color="auto"/>
        <w:bottom w:val="none" w:sz="0" w:space="0" w:color="auto"/>
        <w:right w:val="none" w:sz="0" w:space="0" w:color="auto"/>
      </w:divBdr>
    </w:div>
    <w:div w:id="911816251">
      <w:bodyDiv w:val="1"/>
      <w:marLeft w:val="0"/>
      <w:marRight w:val="0"/>
      <w:marTop w:val="0"/>
      <w:marBottom w:val="0"/>
      <w:divBdr>
        <w:top w:val="none" w:sz="0" w:space="0" w:color="auto"/>
        <w:left w:val="none" w:sz="0" w:space="0" w:color="auto"/>
        <w:bottom w:val="none" w:sz="0" w:space="0" w:color="auto"/>
        <w:right w:val="none" w:sz="0" w:space="0" w:color="auto"/>
      </w:divBdr>
    </w:div>
    <w:div w:id="1214385581">
      <w:bodyDiv w:val="1"/>
      <w:marLeft w:val="0"/>
      <w:marRight w:val="0"/>
      <w:marTop w:val="0"/>
      <w:marBottom w:val="0"/>
      <w:divBdr>
        <w:top w:val="none" w:sz="0" w:space="0" w:color="auto"/>
        <w:left w:val="none" w:sz="0" w:space="0" w:color="auto"/>
        <w:bottom w:val="none" w:sz="0" w:space="0" w:color="auto"/>
        <w:right w:val="none" w:sz="0" w:space="0" w:color="auto"/>
      </w:divBdr>
    </w:div>
    <w:div w:id="1445807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unep.org/10yfp"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03-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meetings/sbi/sbi-01/official/sbi-01-05-add1-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penness-project.eu/library/reference-book/sp-link-between-biodiversity-and-ecosystem-services" TargetMode="External"/><Relationship Id="rId13" Type="http://schemas.openxmlformats.org/officeDocument/2006/relationships/hyperlink" Target="http://www.oecd.org/env/cc/49082173.pdf" TargetMode="External"/><Relationship Id="rId18" Type="http://schemas.openxmlformats.org/officeDocument/2006/relationships/hyperlink" Target="https://www.ncbi.nlm.nih.gov/pubmed/25143302" TargetMode="External"/><Relationship Id="rId26" Type="http://schemas.openxmlformats.org/officeDocument/2006/relationships/hyperlink" Target="https://naturalcapitalcoalition.org/projects/biodiversity/" TargetMode="External"/><Relationship Id="rId3" Type="http://schemas.openxmlformats.org/officeDocument/2006/relationships/hyperlink" Target="http://www.ilo.org/global/research/global-reports/global-employment-trends/2014/WCMS_234879/lang--en/index.htm" TargetMode="External"/><Relationship Id="rId21" Type="http://schemas.openxmlformats.org/officeDocument/2006/relationships/hyperlink" Target="https://www.cdp.net/en" TargetMode="External"/><Relationship Id="rId7" Type="http://schemas.openxmlformats.org/officeDocument/2006/relationships/hyperlink" Target="https://stats.oecd.org/glossary/detail.asp?ID=52" TargetMode="External"/><Relationship Id="rId12" Type="http://schemas.openxmlformats.org/officeDocument/2006/relationships/hyperlink" Target="https://link.springer.com/journal/11160" TargetMode="External"/><Relationship Id="rId17" Type="http://schemas.openxmlformats.org/officeDocument/2006/relationships/hyperlink" Target="http://bbop.forest-trends.org/pages/pilot_projects" TargetMode="External"/><Relationship Id="rId25" Type="http://schemas.openxmlformats.org/officeDocument/2006/relationships/hyperlink" Target="https://naturalcapitalcoalition.org/protocol/sector-guides/food-and-beverage/" TargetMode="External"/><Relationship Id="rId2" Type="http://schemas.openxmlformats.org/officeDocument/2006/relationships/hyperlink" Target="http://wdi.worldbank.org/table/4.2" TargetMode="External"/><Relationship Id="rId16" Type="http://schemas.openxmlformats.org/officeDocument/2006/relationships/hyperlink" Target="http://www.csbi.org.uk/" TargetMode="External"/><Relationship Id="rId20" Type="http://schemas.openxmlformats.org/officeDocument/2006/relationships/hyperlink" Target="https://www.rspo.org/certification" TargetMode="External"/><Relationship Id="rId1" Type="http://schemas.openxmlformats.org/officeDocument/2006/relationships/hyperlink" Target="https://unstats.un.org/unsd/cr/registry/regcst.asp?Cl=27" TargetMode="External"/><Relationship Id="rId6" Type="http://schemas.openxmlformats.org/officeDocument/2006/relationships/hyperlink" Target="https://home.kpmg.com/xx/en/home/campaigns/2016/05/kpmg-internationals-2016-global-manufacturing-outlook-competing-for-growth.html" TargetMode="External"/><Relationship Id="rId11" Type="http://schemas.openxmlformats.org/officeDocument/2006/relationships/hyperlink" Target="https://link.springer.com/journal/10818" TargetMode="External"/><Relationship Id="rId24" Type="http://schemas.openxmlformats.org/officeDocument/2006/relationships/hyperlink" Target="https://naturalcapitalcoalition.org/hub/" TargetMode="External"/><Relationship Id="rId5" Type="http://schemas.openxmlformats.org/officeDocument/2006/relationships/hyperlink" Target="https://www.mckinsey.com/business-functions/operations/our-insights/the-future-of-manufacturing" TargetMode="External"/><Relationship Id="rId15" Type="http://schemas.openxmlformats.org/officeDocument/2006/relationships/hyperlink" Target="http://www.ipieca.org/" TargetMode="External"/><Relationship Id="rId23" Type="http://schemas.openxmlformats.org/officeDocument/2006/relationships/hyperlink" Target="https://naturalcapitalcoalition.org/natural-capital/" TargetMode="External"/><Relationship Id="rId10" Type="http://schemas.openxmlformats.org/officeDocument/2006/relationships/hyperlink" Target="https://www.unenvironment.org/resources/report/towards-green-economy-pathways-sustainable-development-and-poverty-eradication-0" TargetMode="External"/><Relationship Id="rId19" Type="http://schemas.openxmlformats.org/officeDocument/2006/relationships/hyperlink" Target="https://aluminium-stewardship.org/about-asi/" TargetMode="External"/><Relationship Id="rId4" Type="http://schemas.openxmlformats.org/officeDocument/2006/relationships/hyperlink" Target="http://unctad.org/en/pages/PublicationWebflyer.aspx?publicationid=1610" TargetMode="External"/><Relationship Id="rId9" Type="http://schemas.openxmlformats.org/officeDocument/2006/relationships/hyperlink" Target="https://www.cbd.int/abs/resources/factsheets.shtml" TargetMode="External"/><Relationship Id="rId14" Type="http://schemas.openxmlformats.org/officeDocument/2006/relationships/hyperlink" Target="http://www.un.org/ga/search/view_doc.asp?symbol=A/RES/70/1&amp;Lang=E" TargetMode="External"/><Relationship Id="rId22" Type="http://schemas.openxmlformats.org/officeDocument/2006/relationships/hyperlink" Target="https://www.ewt.org.za/BUSINESSDEVELOPMENT/business.html" TargetMode="External"/><Relationship Id="rId27" Type="http://schemas.openxmlformats.org/officeDocument/2006/relationships/hyperlink" Target="http://www.naturalcapitalcoalition.org/protoc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C2CC4"/>
    <w:rsid w:val="001E78BB"/>
    <w:rsid w:val="004919C8"/>
    <w:rsid w:val="00500A2B"/>
    <w:rsid w:val="005422CB"/>
    <w:rsid w:val="0058288D"/>
    <w:rsid w:val="00656996"/>
    <w:rsid w:val="006801B3"/>
    <w:rsid w:val="007B7A03"/>
    <w:rsid w:val="00810A55"/>
    <w:rsid w:val="008C6619"/>
    <w:rsid w:val="008D420E"/>
    <w:rsid w:val="00932F3D"/>
    <w:rsid w:val="009570AF"/>
    <w:rsid w:val="0098642F"/>
    <w:rsid w:val="009E442D"/>
    <w:rsid w:val="00A33DF2"/>
    <w:rsid w:val="00B10E6A"/>
    <w:rsid w:val="00B77075"/>
    <w:rsid w:val="00DC215E"/>
    <w:rsid w:val="00E425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27 de mayo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51F558-DFE0-4747-B2AE-C2BD3E50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14</Pages>
  <Words>7052</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INtegración DE LA DIVERSIDAD BIOLÓGICA EN LOS SECTORES manufacturero y de ELABORACIÓN</vt:lpstr>
    </vt:vector>
  </TitlesOfParts>
  <Company>SCBD</Company>
  <LinksUpToDate>false</LinksUpToDate>
  <CharactersWithSpaces>47161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INtegración DE LA DIVERSIDAD BIOLÓGICA EN LOS SECTORES manufacturero y de ELABORACIÓN</dc:title>
  <dc:subject>CBD/SBI/2/4/Add.4</dc:subject>
  <dc:creator>SCBD</dc:creator>
  <cp:lastModifiedBy>Daniel</cp:lastModifiedBy>
  <cp:revision>92</cp:revision>
  <cp:lastPrinted>2018-06-18T14:34:00Z</cp:lastPrinted>
  <dcterms:created xsi:type="dcterms:W3CDTF">2018-06-18T15:56:00Z</dcterms:created>
  <dcterms:modified xsi:type="dcterms:W3CDTF">2018-06-29T13:43:00Z</dcterms:modified>
  <cp:contentStatus>GENERAL</cp:contentStatus>
</cp:coreProperties>
</file>