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104D6" w14:textId="77777777" w:rsidR="008A1499" w:rsidRPr="00C643F0" w:rsidRDefault="008A1499" w:rsidP="008A1499">
      <w:pPr>
        <w:pStyle w:val="AISpace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82C3F" w:rsidRPr="00617845" w14:paraId="6F7B4193" w14:textId="77777777" w:rsidTr="00F034B5">
        <w:trPr>
          <w:cantSplit/>
          <w:trHeight w:val="900"/>
        </w:trPr>
        <w:tc>
          <w:tcPr>
            <w:tcW w:w="6588" w:type="dxa"/>
            <w:gridSpan w:val="2"/>
            <w:tcBorders>
              <w:top w:val="nil"/>
              <w:left w:val="nil"/>
              <w:bottom w:val="single" w:sz="12" w:space="0" w:color="auto"/>
              <w:right w:val="nil"/>
            </w:tcBorders>
            <w:vAlign w:val="center"/>
          </w:tcPr>
          <w:p w14:paraId="0D8F933E" w14:textId="1CFD585B" w:rsidR="00A82C3F" w:rsidRPr="00617845" w:rsidRDefault="00A82C3F" w:rsidP="00C62F74">
            <w:pPr>
              <w:pStyle w:val="Heading2"/>
              <w:numPr>
                <w:ilvl w:val="0"/>
                <w:numId w:val="0"/>
              </w:numPr>
              <w:spacing w:after="0"/>
              <w:rPr>
                <w:rFonts w:ascii="Times New Roman" w:hAnsi="Times New Roman" w:cs="Simplified Arabic"/>
                <w:b w:val="0"/>
                <w:bCs/>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sz w:val="22"/>
                <w:szCs w:val="22"/>
              </w:rPr>
              <w:t>/</w:t>
            </w:r>
            <w:r w:rsidR="00C62F74" w:rsidRPr="00C62F74">
              <w:rPr>
                <w:rFonts w:ascii="Times New Roman" w:hAnsi="Times New Roman" w:cs="Simplified Arabic"/>
                <w:b w:val="0"/>
                <w:sz w:val="22"/>
                <w:szCs w:val="22"/>
              </w:rPr>
              <w:t>COP/17/6/Add.3</w:t>
            </w:r>
          </w:p>
        </w:tc>
        <w:tc>
          <w:tcPr>
            <w:tcW w:w="1440" w:type="dxa"/>
            <w:tcBorders>
              <w:top w:val="nil"/>
              <w:left w:val="nil"/>
              <w:bottom w:val="single" w:sz="12" w:space="0" w:color="auto"/>
              <w:right w:val="nil"/>
            </w:tcBorders>
          </w:tcPr>
          <w:p w14:paraId="581069CB" w14:textId="77777777" w:rsidR="00A82C3F" w:rsidRPr="00617845" w:rsidRDefault="00A82C3F" w:rsidP="00A82C3F">
            <w:pPr>
              <w:tabs>
                <w:tab w:val="left" w:pos="-720"/>
                <w:tab w:val="left" w:pos="0"/>
              </w:tabs>
              <w:suppressAutoHyphens/>
              <w:jc w:val="center"/>
              <w:rPr>
                <w:b/>
                <w:bCs/>
                <w:rtl/>
              </w:rPr>
            </w:pPr>
          </w:p>
        </w:tc>
        <w:tc>
          <w:tcPr>
            <w:tcW w:w="1620" w:type="dxa"/>
            <w:tcBorders>
              <w:top w:val="nil"/>
              <w:left w:val="nil"/>
              <w:bottom w:val="single" w:sz="12" w:space="0" w:color="auto"/>
              <w:right w:val="nil"/>
            </w:tcBorders>
          </w:tcPr>
          <w:p w14:paraId="08B77A66" w14:textId="77777777" w:rsidR="00A82C3F" w:rsidRPr="00617845" w:rsidRDefault="00A82C3F" w:rsidP="00A82C3F">
            <w:pPr>
              <w:tabs>
                <w:tab w:val="left" w:pos="-720"/>
              </w:tabs>
              <w:suppressAutoHyphens/>
              <w:spacing w:before="120"/>
              <w:jc w:val="center"/>
            </w:pPr>
            <w:r w:rsidRPr="00617845">
              <w:rPr>
                <w:noProof/>
                <w:lang w:val="en-US"/>
              </w:rPr>
              <w:drawing>
                <wp:anchor distT="0" distB="0" distL="114300" distR="114300" simplePos="0" relativeHeight="251660288" behindDoc="0" locked="0" layoutInCell="1" allowOverlap="1" wp14:anchorId="22B43482" wp14:editId="764F3012">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1DF52E1" w14:textId="77777777" w:rsidR="00A82C3F" w:rsidRPr="00617845" w:rsidRDefault="00A82C3F" w:rsidP="00A82C3F">
            <w:pPr>
              <w:tabs>
                <w:tab w:val="left" w:pos="-720"/>
              </w:tabs>
              <w:suppressAutoHyphens/>
              <w:spacing w:line="120" w:lineRule="auto"/>
            </w:pPr>
            <w:r w:rsidRPr="00617845">
              <w:rPr>
                <w:noProof/>
                <w:lang w:eastAsia="en-GB"/>
              </w:rPr>
              <w:drawing>
                <wp:anchor distT="0" distB="0" distL="114300" distR="114300" simplePos="0" relativeHeight="251661312" behindDoc="0" locked="0" layoutInCell="1" allowOverlap="1" wp14:anchorId="56F4225E" wp14:editId="6ED7457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A82C3F" w:rsidRPr="00617845" w14:paraId="6AED0A62" w14:textId="77777777" w:rsidTr="00F034B5">
        <w:trPr>
          <w:cantSplit/>
          <w:trHeight w:val="1770"/>
        </w:trPr>
        <w:tc>
          <w:tcPr>
            <w:tcW w:w="4428" w:type="dxa"/>
            <w:tcBorders>
              <w:top w:val="nil"/>
              <w:left w:val="nil"/>
              <w:bottom w:val="single" w:sz="24" w:space="0" w:color="auto"/>
              <w:right w:val="nil"/>
            </w:tcBorders>
          </w:tcPr>
          <w:p w14:paraId="668F9B50" w14:textId="77777777" w:rsidR="00A82C3F" w:rsidRPr="00617845" w:rsidRDefault="00A82C3F" w:rsidP="00A82C3F">
            <w:pPr>
              <w:spacing w:before="60"/>
              <w:ind w:left="883"/>
            </w:pPr>
            <w:r w:rsidRPr="00617845">
              <w:t>Distr.: General</w:t>
            </w:r>
          </w:p>
          <w:p w14:paraId="2E464705" w14:textId="1FD42975" w:rsidR="00A82C3F" w:rsidRPr="00617845" w:rsidRDefault="00C62F74" w:rsidP="00C62F74">
            <w:pPr>
              <w:ind w:left="883"/>
              <w:rPr>
                <w:rFonts w:eastAsia="MS Mincho"/>
                <w:lang w:eastAsia="ja-JP"/>
              </w:rPr>
            </w:pPr>
            <w:r w:rsidRPr="00C62F74">
              <w:t>14 September 2026</w:t>
            </w:r>
          </w:p>
          <w:p w14:paraId="591F676D" w14:textId="77777777" w:rsidR="00A82C3F" w:rsidRPr="00C62F74" w:rsidRDefault="00A82C3F" w:rsidP="00C62F74">
            <w:pPr>
              <w:pStyle w:val="Heading5"/>
              <w:numPr>
                <w:ilvl w:val="0"/>
                <w:numId w:val="0"/>
              </w:numPr>
              <w:tabs>
                <w:tab w:val="left" w:pos="-720"/>
              </w:tabs>
              <w:suppressAutoHyphens/>
              <w:spacing w:before="0" w:after="0"/>
              <w:ind w:left="883"/>
              <w:rPr>
                <w:b/>
                <w:bCs/>
                <w:i w:val="0"/>
                <w:iCs w:val="0"/>
              </w:rPr>
            </w:pPr>
            <w:r w:rsidRPr="00C62F74">
              <w:rPr>
                <w:i w:val="0"/>
                <w:iCs w:val="0"/>
              </w:rPr>
              <w:t>Arabic</w:t>
            </w:r>
          </w:p>
          <w:p w14:paraId="24CFADEC" w14:textId="77777777" w:rsidR="00A82C3F" w:rsidRPr="00617845" w:rsidRDefault="00A82C3F" w:rsidP="00A82C3F">
            <w:pPr>
              <w:tabs>
                <w:tab w:val="left" w:pos="-720"/>
              </w:tabs>
              <w:suppressAutoHyphens/>
              <w:spacing w:after="40"/>
              <w:ind w:left="883"/>
            </w:pPr>
            <w:r w:rsidRPr="00617845">
              <w:t xml:space="preserve">Original: English </w:t>
            </w:r>
          </w:p>
        </w:tc>
        <w:tc>
          <w:tcPr>
            <w:tcW w:w="5220" w:type="dxa"/>
            <w:gridSpan w:val="3"/>
            <w:tcBorders>
              <w:top w:val="nil"/>
              <w:left w:val="nil"/>
              <w:bottom w:val="single" w:sz="24" w:space="0" w:color="auto"/>
              <w:right w:val="nil"/>
            </w:tcBorders>
          </w:tcPr>
          <w:p w14:paraId="4E4FEABC" w14:textId="77777777" w:rsidR="00A82C3F" w:rsidRPr="00617845" w:rsidRDefault="00A82C3F" w:rsidP="00A82C3F">
            <w:pPr>
              <w:tabs>
                <w:tab w:val="left" w:pos="-720"/>
              </w:tabs>
              <w:suppressAutoHyphens/>
              <w:spacing w:before="120"/>
              <w:rPr>
                <w:rtl/>
              </w:rPr>
            </w:pPr>
            <w:r w:rsidRPr="00617845">
              <w:rPr>
                <w:b/>
                <w:bCs/>
                <w:noProof/>
                <w:sz w:val="36"/>
                <w:szCs w:val="36"/>
                <w:rtl/>
                <w:lang w:eastAsia="en-GB"/>
              </w:rPr>
              <w:drawing>
                <wp:anchor distT="0" distB="0" distL="114300" distR="114300" simplePos="0" relativeHeight="251659264" behindDoc="0" locked="0" layoutInCell="1" allowOverlap="1" wp14:anchorId="5391C857" wp14:editId="1ABF9C3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AB7B37A" w14:textId="77777777" w:rsidR="008A1499" w:rsidRPr="00C643F0" w:rsidRDefault="008A1499" w:rsidP="008A1499">
      <w:pPr>
        <w:pStyle w:val="AISpacer"/>
      </w:pPr>
    </w:p>
    <w:tbl>
      <w:tblPr>
        <w:tblW w:w="10482" w:type="dxa"/>
        <w:tblInd w:w="-839" w:type="dxa"/>
        <w:tblLayout w:type="fixed"/>
        <w:tblCellMar>
          <w:right w:w="283" w:type="dxa"/>
        </w:tblCellMar>
        <w:tblLook w:val="0000" w:firstRow="0" w:lastRow="0" w:firstColumn="0" w:lastColumn="0" w:noHBand="0" w:noVBand="0"/>
      </w:tblPr>
      <w:tblGrid>
        <w:gridCol w:w="4388"/>
        <w:gridCol w:w="6094"/>
      </w:tblGrid>
      <w:tr w:rsidR="008A1499" w:rsidRPr="00827DA6" w14:paraId="726446BD" w14:textId="77777777" w:rsidTr="008A1499">
        <w:trPr>
          <w:trHeight w:val="57"/>
        </w:trPr>
        <w:tc>
          <w:tcPr>
            <w:tcW w:w="4388" w:type="dxa"/>
          </w:tcPr>
          <w:p w14:paraId="385D67CF" w14:textId="77777777" w:rsidR="008A1499" w:rsidRPr="00C643F0" w:rsidRDefault="008A1499" w:rsidP="008A1499">
            <w:pPr>
              <w:pStyle w:val="CBDNormal"/>
              <w:jc w:val="left"/>
            </w:pPr>
          </w:p>
        </w:tc>
        <w:tc>
          <w:tcPr>
            <w:tcW w:w="6094" w:type="dxa"/>
          </w:tcPr>
          <w:p w14:paraId="78C6080C" w14:textId="77777777" w:rsidR="00BB515B" w:rsidRPr="00BB515B" w:rsidRDefault="00BB515B" w:rsidP="00BB515B">
            <w:pPr>
              <w:tabs>
                <w:tab w:val="clear" w:pos="567"/>
                <w:tab w:val="clear" w:pos="1134"/>
                <w:tab w:val="clear" w:pos="1701"/>
                <w:tab w:val="clear" w:pos="2268"/>
              </w:tabs>
              <w:bidi/>
              <w:spacing w:before="60" w:line="216" w:lineRule="auto"/>
              <w:jc w:val="left"/>
              <w:rPr>
                <w:rFonts w:ascii="Simplified Arabic" w:eastAsia="Times New Roman" w:hAnsi="Simplified Arabic"/>
                <w:b/>
                <w:bCs/>
                <w:sz w:val="28"/>
                <w:szCs w:val="28"/>
                <w:rtl/>
                <w:lang w:val="en-CA" w:eastAsia="en-CA"/>
              </w:rPr>
            </w:pPr>
            <w:r w:rsidRPr="00BB515B">
              <w:rPr>
                <w:rFonts w:ascii="Simplified Arabic" w:eastAsia="Times New Roman" w:hAnsi="Simplified Arabic"/>
                <w:b/>
                <w:bCs/>
                <w:sz w:val="28"/>
                <w:szCs w:val="28"/>
                <w:rtl/>
                <w:lang w:val="en-CA" w:eastAsia="en-CA"/>
              </w:rPr>
              <w:t xml:space="preserve">مؤتمر الأطراف في </w:t>
            </w:r>
          </w:p>
          <w:p w14:paraId="602FA9D9" w14:textId="77777777" w:rsidR="00BB515B" w:rsidRPr="00BB515B" w:rsidRDefault="00BB515B" w:rsidP="00BB515B">
            <w:pPr>
              <w:tabs>
                <w:tab w:val="clear" w:pos="567"/>
                <w:tab w:val="clear" w:pos="1134"/>
                <w:tab w:val="clear" w:pos="1701"/>
                <w:tab w:val="clear" w:pos="2268"/>
              </w:tabs>
              <w:bidi/>
              <w:spacing w:line="216" w:lineRule="auto"/>
              <w:jc w:val="left"/>
              <w:rPr>
                <w:rFonts w:ascii="Simplified Arabic" w:eastAsia="Times New Roman" w:hAnsi="Simplified Arabic"/>
                <w:b/>
                <w:bCs/>
                <w:sz w:val="28"/>
                <w:szCs w:val="28"/>
                <w:rtl/>
                <w:lang w:val="en-CA" w:eastAsia="en-CA" w:bidi="ar-EG"/>
              </w:rPr>
            </w:pPr>
            <w:r w:rsidRPr="00BB515B">
              <w:rPr>
                <w:rFonts w:ascii="Simplified Arabic" w:eastAsia="Times New Roman" w:hAnsi="Simplified Arabic"/>
                <w:b/>
                <w:bCs/>
                <w:sz w:val="28"/>
                <w:szCs w:val="28"/>
                <w:rtl/>
                <w:lang w:val="en-CA" w:eastAsia="en-CA"/>
              </w:rPr>
              <w:t>الاتفاقية المتعلقة بالتنوع البيولوجي</w:t>
            </w:r>
          </w:p>
          <w:p w14:paraId="1F93D38F" w14:textId="77777777" w:rsidR="00BB515B" w:rsidRPr="00BB515B" w:rsidRDefault="00BB515B" w:rsidP="00BB515B">
            <w:pPr>
              <w:tabs>
                <w:tab w:val="clear" w:pos="567"/>
                <w:tab w:val="clear" w:pos="1134"/>
                <w:tab w:val="clear" w:pos="1701"/>
                <w:tab w:val="clear" w:pos="2268"/>
              </w:tabs>
              <w:bidi/>
              <w:spacing w:line="216" w:lineRule="auto"/>
              <w:jc w:val="left"/>
              <w:rPr>
                <w:rFonts w:ascii="Simplified Arabic" w:eastAsia="Times New Roman" w:hAnsi="Simplified Arabic"/>
                <w:b/>
                <w:bCs/>
                <w:sz w:val="24"/>
                <w:szCs w:val="24"/>
                <w:rtl/>
                <w:lang w:val="en-CA" w:eastAsia="en-CA"/>
              </w:rPr>
            </w:pPr>
            <w:r w:rsidRPr="00BB515B">
              <w:rPr>
                <w:rFonts w:ascii="Simplified Arabic" w:eastAsia="Times New Roman" w:hAnsi="Simplified Arabic"/>
                <w:b/>
                <w:bCs/>
                <w:sz w:val="24"/>
                <w:szCs w:val="24"/>
                <w:rtl/>
                <w:lang w:val="en-CA" w:eastAsia="en-CA"/>
              </w:rPr>
              <w:t>الاجتماع السابع عشر</w:t>
            </w:r>
          </w:p>
          <w:p w14:paraId="0527D3BE" w14:textId="77777777" w:rsidR="00BB515B" w:rsidRPr="00BB515B" w:rsidRDefault="00BB515B" w:rsidP="00BB515B">
            <w:pPr>
              <w:tabs>
                <w:tab w:val="clear" w:pos="567"/>
                <w:tab w:val="clear" w:pos="1134"/>
                <w:tab w:val="clear" w:pos="1701"/>
                <w:tab w:val="clear" w:pos="2268"/>
              </w:tabs>
              <w:bidi/>
              <w:spacing w:line="216" w:lineRule="auto"/>
              <w:jc w:val="left"/>
              <w:rPr>
                <w:rFonts w:eastAsia="Times New Roman"/>
                <w:sz w:val="24"/>
                <w:szCs w:val="24"/>
                <w:lang w:val="en-CA" w:eastAsia="en-CA" w:bidi="ar-EG"/>
              </w:rPr>
            </w:pPr>
            <w:proofErr w:type="spellStart"/>
            <w:r w:rsidRPr="00BB515B">
              <w:rPr>
                <w:rFonts w:eastAsia="Times New Roman"/>
                <w:sz w:val="24"/>
                <w:szCs w:val="24"/>
                <w:rtl/>
                <w:lang w:val="en-CA" w:eastAsia="en-CA"/>
              </w:rPr>
              <w:t>ييريفان</w:t>
            </w:r>
            <w:proofErr w:type="spellEnd"/>
            <w:r w:rsidRPr="00BB515B">
              <w:rPr>
                <w:rFonts w:eastAsia="Times New Roman"/>
                <w:sz w:val="24"/>
                <w:szCs w:val="24"/>
                <w:rtl/>
                <w:lang w:val="en-CA" w:eastAsia="en-CA"/>
              </w:rPr>
              <w:t>،</w:t>
            </w:r>
            <w:r w:rsidRPr="00BB515B">
              <w:rPr>
                <w:rFonts w:eastAsia="Times New Roman"/>
                <w:sz w:val="24"/>
                <w:szCs w:val="24"/>
                <w:rtl/>
                <w:lang w:val="en-CA" w:eastAsia="en-CA" w:bidi="ar-EG"/>
              </w:rPr>
              <w:t xml:space="preserve"> 19-30 أكتوبر/تشرين الأول 2026</w:t>
            </w:r>
          </w:p>
          <w:p w14:paraId="63F2DBBD" w14:textId="0529B0CA" w:rsidR="00BB515B" w:rsidRPr="00BB515B" w:rsidRDefault="00BB515B" w:rsidP="00BB515B">
            <w:pPr>
              <w:tabs>
                <w:tab w:val="clear" w:pos="567"/>
                <w:tab w:val="clear" w:pos="1134"/>
                <w:tab w:val="clear" w:pos="1701"/>
                <w:tab w:val="clear" w:pos="2268"/>
              </w:tabs>
              <w:bidi/>
              <w:spacing w:line="216" w:lineRule="auto"/>
              <w:jc w:val="left"/>
              <w:rPr>
                <w:rFonts w:eastAsia="Times New Roman"/>
                <w:sz w:val="24"/>
                <w:szCs w:val="24"/>
                <w:rtl/>
                <w:lang w:val="en-US" w:eastAsia="en-CA" w:bidi="ar-EG"/>
              </w:rPr>
            </w:pPr>
            <w:r w:rsidRPr="00BB515B">
              <w:rPr>
                <w:rFonts w:eastAsia="Times New Roman"/>
                <w:sz w:val="24"/>
                <w:szCs w:val="24"/>
                <w:rtl/>
                <w:lang w:val="en-US" w:eastAsia="en-CA" w:bidi="ar-EG"/>
              </w:rPr>
              <w:t xml:space="preserve">البند </w:t>
            </w:r>
            <w:r w:rsidR="00262A2B">
              <w:rPr>
                <w:rFonts w:eastAsia="Times New Roman" w:hint="cs"/>
                <w:sz w:val="24"/>
                <w:szCs w:val="24"/>
                <w:rtl/>
                <w:lang w:val="en-US" w:eastAsia="en-CA" w:bidi="ar-EG"/>
              </w:rPr>
              <w:t>11</w:t>
            </w:r>
            <w:r w:rsidRPr="00BB515B">
              <w:rPr>
                <w:rFonts w:eastAsia="Times New Roman"/>
                <w:sz w:val="24"/>
                <w:szCs w:val="24"/>
                <w:rtl/>
                <w:lang w:val="en-US" w:eastAsia="en-CA" w:bidi="ar-EG"/>
              </w:rPr>
              <w:t xml:space="preserve"> من جدول الأعمال المؤقت</w:t>
            </w:r>
            <w:r w:rsidRPr="00BB515B">
              <w:rPr>
                <w:rFonts w:eastAsia="Times New Roman"/>
                <w:sz w:val="24"/>
                <w:szCs w:val="24"/>
                <w:vertAlign w:val="superscript"/>
                <w:lang w:val="en-US" w:eastAsia="en-CA" w:bidi="ar-EG"/>
              </w:rPr>
              <w:footnoteReference w:customMarkFollows="1" w:id="1"/>
              <w:t>*</w:t>
            </w:r>
          </w:p>
          <w:p w14:paraId="6EF14127" w14:textId="1C1DECB6" w:rsidR="008A1499" w:rsidRPr="00827DA6" w:rsidRDefault="00262A2B" w:rsidP="00262A2B">
            <w:pPr>
              <w:pStyle w:val="AFCorNBold"/>
              <w:bidi/>
              <w:rPr>
                <w:rtl/>
              </w:rPr>
            </w:pPr>
            <w:r w:rsidRPr="00262A2B">
              <w:rPr>
                <w:rFonts w:eastAsia="Times New Roman"/>
                <w:bCs/>
                <w:sz w:val="24"/>
                <w:szCs w:val="24"/>
                <w:rtl/>
                <w:lang w:val="en-US" w:eastAsia="en-CA"/>
              </w:rPr>
              <w:t>معلومات التسلسل الرقمي بشأن الموارد الجينية</w:t>
            </w:r>
          </w:p>
        </w:tc>
      </w:tr>
    </w:tbl>
    <w:p w14:paraId="0BFAB900" w14:textId="72200191" w:rsidR="00C9161D" w:rsidRPr="0039650C" w:rsidRDefault="002F5349" w:rsidP="00C62F74">
      <w:pPr>
        <w:keepNext/>
        <w:keepLines/>
        <w:tabs>
          <w:tab w:val="clear" w:pos="567"/>
          <w:tab w:val="clear" w:pos="1134"/>
          <w:tab w:val="clear" w:pos="1701"/>
          <w:tab w:val="clear" w:pos="2268"/>
        </w:tabs>
        <w:bidi/>
        <w:spacing w:before="240" w:after="120" w:line="216" w:lineRule="auto"/>
        <w:ind w:left="720"/>
        <w:jc w:val="left"/>
        <w:rPr>
          <w:rFonts w:eastAsia="Times New Roman"/>
          <w:b/>
          <w:bCs/>
          <w:sz w:val="24"/>
          <w:szCs w:val="28"/>
          <w:rtl/>
          <w:lang w:val="en-CA" w:eastAsia="en-CA"/>
        </w:rPr>
      </w:pPr>
      <w:r w:rsidRPr="0039650C">
        <w:rPr>
          <w:rFonts w:eastAsia="Times New Roman"/>
          <w:b/>
          <w:bCs/>
          <w:sz w:val="24"/>
          <w:szCs w:val="28"/>
          <w:rtl/>
          <w:lang w:val="en-CA" w:eastAsia="en-CA"/>
        </w:rPr>
        <w:t xml:space="preserve">موجز تنفيذي للدراسة المتعلقة بمعدلات المساهمة، بما في ذلك </w:t>
      </w:r>
      <w:r w:rsidR="0039650C" w:rsidRPr="0039650C">
        <w:rPr>
          <w:rFonts w:eastAsia="Times New Roman"/>
          <w:b/>
          <w:bCs/>
          <w:sz w:val="24"/>
          <w:szCs w:val="28"/>
          <w:rtl/>
          <w:lang w:val="en-CA" w:eastAsia="en-CA"/>
        </w:rPr>
        <w:t>آثارها على توليد الإيرادات والقدرة التنافسية الاقتصادية</w:t>
      </w:r>
      <w:r w:rsidRPr="0039650C">
        <w:rPr>
          <w:rFonts w:eastAsia="Times New Roman"/>
          <w:b/>
          <w:bCs/>
          <w:sz w:val="24"/>
          <w:szCs w:val="28"/>
          <w:rtl/>
          <w:lang w:val="en-CA" w:eastAsia="en-CA"/>
        </w:rPr>
        <w:t>، و</w:t>
      </w:r>
      <w:r w:rsidR="00C62F74">
        <w:rPr>
          <w:rFonts w:eastAsia="Times New Roman" w:hint="cs"/>
          <w:b/>
          <w:bCs/>
          <w:sz w:val="24"/>
          <w:szCs w:val="28"/>
          <w:rtl/>
          <w:lang w:val="en-CA" w:eastAsia="en-CA"/>
        </w:rPr>
        <w:t xml:space="preserve">الدراسة </w:t>
      </w:r>
      <w:r w:rsidRPr="0039650C">
        <w:rPr>
          <w:rFonts w:eastAsia="Times New Roman"/>
          <w:b/>
          <w:bCs/>
          <w:sz w:val="24"/>
          <w:szCs w:val="28"/>
          <w:rtl/>
          <w:lang w:val="en-CA" w:eastAsia="en-CA"/>
        </w:rPr>
        <w:t xml:space="preserve">المتعلقة بالمعايير الوطنية والدولية لتحديد الكيانات الصغيرة والمتوسطة والكبيرة </w:t>
      </w:r>
    </w:p>
    <w:p w14:paraId="2C97DDB0" w14:textId="77777777" w:rsidR="00F6586C" w:rsidRPr="00C62F74" w:rsidRDefault="0030169D" w:rsidP="00C62F74">
      <w:pPr>
        <w:keepNext/>
        <w:keepLines/>
        <w:tabs>
          <w:tab w:val="clear" w:pos="567"/>
          <w:tab w:val="clear" w:pos="1134"/>
          <w:tab w:val="clear" w:pos="1701"/>
          <w:tab w:val="clear" w:pos="2268"/>
        </w:tabs>
        <w:bidi/>
        <w:spacing w:before="240" w:after="120" w:line="216" w:lineRule="auto"/>
        <w:ind w:left="720"/>
        <w:jc w:val="left"/>
        <w:rPr>
          <w:b/>
          <w:bCs/>
          <w:sz w:val="24"/>
          <w:szCs w:val="24"/>
          <w:rtl/>
        </w:rPr>
      </w:pPr>
      <w:r w:rsidRPr="0039650C">
        <w:rPr>
          <w:rFonts w:eastAsia="Times New Roman"/>
          <w:b/>
          <w:bCs/>
          <w:szCs w:val="24"/>
          <w:rtl/>
          <w:lang w:val="en-US" w:eastAsia="en-CA" w:bidi="ar-EG"/>
        </w:rPr>
        <w:t>مذكرة</w:t>
      </w:r>
      <w:r>
        <w:rPr>
          <w:rtl/>
        </w:rPr>
        <w:t xml:space="preserve"> </w:t>
      </w:r>
      <w:r w:rsidRPr="00C62F74">
        <w:rPr>
          <w:b/>
          <w:bCs/>
          <w:sz w:val="24"/>
          <w:szCs w:val="24"/>
          <w:rtl/>
        </w:rPr>
        <w:t>من الأمانة</w:t>
      </w:r>
    </w:p>
    <w:p w14:paraId="5920749D" w14:textId="0EA17C75" w:rsidR="00C9161D" w:rsidRPr="0039650C" w:rsidRDefault="00065994" w:rsidP="00C62F74">
      <w:pPr>
        <w:pStyle w:val="ListParagraph"/>
        <w:keepNext/>
        <w:keepLines/>
        <w:suppressLineNumbers/>
        <w:tabs>
          <w:tab w:val="clear" w:pos="567"/>
          <w:tab w:val="clear" w:pos="1134"/>
          <w:tab w:val="clear" w:pos="1701"/>
          <w:tab w:val="clear" w:pos="2268"/>
        </w:tabs>
        <w:suppressAutoHyphens/>
        <w:bidi/>
        <w:spacing w:before="240" w:after="120" w:line="216" w:lineRule="auto"/>
        <w:ind w:left="0"/>
        <w:contextualSpacing w:val="0"/>
        <w:outlineLvl w:val="0"/>
        <w:rPr>
          <w:b/>
          <w:bCs/>
          <w:sz w:val="24"/>
          <w:szCs w:val="24"/>
          <w:rtl/>
        </w:rPr>
      </w:pPr>
      <w:r w:rsidRPr="0039650C">
        <w:rPr>
          <w:rFonts w:eastAsia="Times New Roman"/>
          <w:b/>
          <w:bCs/>
          <w:szCs w:val="24"/>
          <w:rtl/>
          <w:lang w:val="en-US" w:eastAsia="en-CA"/>
        </w:rPr>
        <w:t>أولا</w:t>
      </w:r>
      <w:r>
        <w:rPr>
          <w:rtl/>
        </w:rPr>
        <w:t>-</w:t>
      </w:r>
      <w:r w:rsidRPr="0039650C">
        <w:rPr>
          <w:b/>
          <w:bCs/>
          <w:sz w:val="24"/>
          <w:szCs w:val="24"/>
        </w:rPr>
        <w:tab/>
      </w:r>
      <w:r w:rsidRPr="0039650C">
        <w:rPr>
          <w:b/>
          <w:bCs/>
          <w:sz w:val="24"/>
          <w:szCs w:val="24"/>
          <w:rtl/>
        </w:rPr>
        <w:t>مقدمة</w:t>
      </w:r>
    </w:p>
    <w:p w14:paraId="4D269668" w14:textId="4F534FD6" w:rsidR="00BB682B" w:rsidRPr="00B30F06" w:rsidRDefault="00BB682B" w:rsidP="00C62F74">
      <w:pPr>
        <w:pStyle w:val="ListParagraph"/>
        <w:numPr>
          <w:ilvl w:val="0"/>
          <w:numId w:val="15"/>
        </w:numPr>
        <w:tabs>
          <w:tab w:val="clear" w:pos="567"/>
          <w:tab w:val="clear" w:pos="1134"/>
          <w:tab w:val="clear" w:pos="1701"/>
          <w:tab w:val="clear" w:pos="2268"/>
        </w:tabs>
        <w:bidi/>
        <w:spacing w:after="120" w:line="216" w:lineRule="auto"/>
        <w:ind w:left="720"/>
        <w:contextualSpacing w:val="0"/>
        <w:rPr>
          <w:sz w:val="20"/>
          <w:szCs w:val="24"/>
          <w:rtl/>
        </w:rPr>
      </w:pPr>
      <w:r w:rsidRPr="00B30F06">
        <w:rPr>
          <w:sz w:val="20"/>
          <w:szCs w:val="24"/>
          <w:rtl/>
        </w:rPr>
        <w:t xml:space="preserve">اعتمد مؤتمر الأطراف في اتفاقية التنوع البيولوجي، في الفقرة 1 من مقرره </w:t>
      </w:r>
      <w:hyperlink r:id="rId15" w:history="1">
        <w:r w:rsidR="00C62F74" w:rsidRPr="00B30F06">
          <w:rPr>
            <w:rStyle w:val="Hyperlink"/>
            <w:rFonts w:hint="cs"/>
            <w:sz w:val="20"/>
            <w:szCs w:val="24"/>
            <w:rtl/>
          </w:rPr>
          <w:t>16/2</w:t>
        </w:r>
      </w:hyperlink>
      <w:r w:rsidRPr="00B30F06">
        <w:rPr>
          <w:sz w:val="20"/>
          <w:szCs w:val="24"/>
          <w:rtl/>
        </w:rPr>
        <w:t xml:space="preserve">، طرائق تفعيل الآلية المتعددة الأطراف للتقاسم العادل والمنصف للمنافع الناشئة عن استخدام معلومات التسلسل الرقمي بشأن الموارد الجينية، بما في ذلك صندوق عالمي </w:t>
      </w:r>
      <w:r w:rsidR="00F87D34" w:rsidRPr="00B30F06">
        <w:rPr>
          <w:rFonts w:hint="cs"/>
          <w:sz w:val="20"/>
          <w:szCs w:val="24"/>
          <w:rtl/>
        </w:rPr>
        <w:t xml:space="preserve">أُطلق عليه اسم </w:t>
      </w:r>
      <w:r w:rsidR="00F87D34" w:rsidRPr="00B30F06">
        <w:rPr>
          <w:sz w:val="20"/>
          <w:szCs w:val="24"/>
          <w:rtl/>
        </w:rPr>
        <w:t>صندوق كالي للتقاسم العادل والمنصف للمنافع الناشئة عن استخدام معلومات التسلسل الرقمي بشأن الموارد الجينية</w:t>
      </w:r>
      <w:r w:rsidRPr="00B30F06">
        <w:rPr>
          <w:sz w:val="20"/>
          <w:szCs w:val="24"/>
          <w:rtl/>
        </w:rPr>
        <w:t>، وفقا للفقرة 2 من المقرر. وقد وردت هذه الطرائق في مرفق المقرر.</w:t>
      </w:r>
    </w:p>
    <w:p w14:paraId="5C64F8C8" w14:textId="3F439ABE" w:rsidR="00F84CCD" w:rsidRPr="00B30F06" w:rsidRDefault="00BB682B" w:rsidP="00FB13E9">
      <w:pPr>
        <w:pStyle w:val="CBDNormalNumber"/>
        <w:numPr>
          <w:ilvl w:val="0"/>
          <w:numId w:val="15"/>
        </w:numPr>
        <w:bidi/>
        <w:rPr>
          <w:sz w:val="20"/>
          <w:szCs w:val="24"/>
          <w:rtl/>
        </w:rPr>
      </w:pPr>
      <w:r w:rsidRPr="00B30F06">
        <w:rPr>
          <w:sz w:val="20"/>
          <w:szCs w:val="24"/>
          <w:rtl/>
        </w:rPr>
        <w:t xml:space="preserve">وفي الفقرة 6 من المقرر نفسه، طلب مؤتمر الأطراف إلى الأمينة التنفيذية أن تكلف، رهنا بتوافر الموارد، بإعداد دراسة عن المعايير الوطنية والدولية لتحديد الكيانات الصغيرة والمتوسطة والكبيرة المشار إليها في الفقرة 3 من الطرائق المرفقة بالمقرر (الفقرة 6 (د))، ودراسة عن معدلات المساهمة، بما في ذلك الآثار المترتبة على توليد الإيرادات والقدرة التنافسية الاقتصادية (الفقرة 6 (هـ)). </w:t>
      </w:r>
    </w:p>
    <w:p w14:paraId="28A90B2A" w14:textId="09C12FA2" w:rsidR="00BB682B" w:rsidRPr="00B30F06" w:rsidRDefault="00BB682B" w:rsidP="00FB13E9">
      <w:pPr>
        <w:pStyle w:val="CBDNormalNumber"/>
        <w:numPr>
          <w:ilvl w:val="0"/>
          <w:numId w:val="15"/>
        </w:numPr>
        <w:bidi/>
        <w:rPr>
          <w:sz w:val="20"/>
          <w:szCs w:val="24"/>
          <w:rtl/>
        </w:rPr>
      </w:pPr>
      <w:r w:rsidRPr="00B30F06">
        <w:rPr>
          <w:sz w:val="20"/>
          <w:szCs w:val="24"/>
          <w:rtl/>
        </w:rPr>
        <w:t>وتنص الفقرة 4 من الطرائق على أن يحدد مؤتمر الأطراف، في ضوء هاتين الدراستين، العتبات ومعدلات المساهمة في اجتماعه السابع عشر</w:t>
      </w:r>
      <w:r w:rsidR="00F87D34" w:rsidRPr="00B30F06">
        <w:rPr>
          <w:rFonts w:hint="cs"/>
          <w:sz w:val="20"/>
          <w:szCs w:val="24"/>
          <w:rtl/>
        </w:rPr>
        <w:t>،</w:t>
      </w:r>
      <w:r w:rsidRPr="00B30F06">
        <w:rPr>
          <w:sz w:val="20"/>
          <w:szCs w:val="24"/>
          <w:rtl/>
        </w:rPr>
        <w:t xml:space="preserve"> وأن يستعرضها </w:t>
      </w:r>
      <w:r w:rsidR="00F87D34" w:rsidRPr="00B30F06">
        <w:rPr>
          <w:rFonts w:hint="cs"/>
          <w:sz w:val="20"/>
          <w:szCs w:val="24"/>
          <w:rtl/>
        </w:rPr>
        <w:t xml:space="preserve">بعد ذبك بشكل </w:t>
      </w:r>
      <w:r w:rsidRPr="00B30F06">
        <w:rPr>
          <w:sz w:val="20"/>
          <w:szCs w:val="24"/>
          <w:rtl/>
        </w:rPr>
        <w:t>دوري.</w:t>
      </w:r>
    </w:p>
    <w:p w14:paraId="781E236B" w14:textId="5B1CE6AD" w:rsidR="00BB682B" w:rsidRPr="00B30F06" w:rsidRDefault="00BB682B" w:rsidP="00FB13E9">
      <w:pPr>
        <w:pStyle w:val="CBDNormalNumber"/>
        <w:numPr>
          <w:ilvl w:val="0"/>
          <w:numId w:val="15"/>
        </w:numPr>
        <w:bidi/>
        <w:rPr>
          <w:sz w:val="20"/>
          <w:szCs w:val="24"/>
          <w:rtl/>
        </w:rPr>
      </w:pPr>
      <w:r w:rsidRPr="00B30F06">
        <w:rPr>
          <w:sz w:val="20"/>
          <w:szCs w:val="24"/>
          <w:rtl/>
        </w:rPr>
        <w:lastRenderedPageBreak/>
        <w:t xml:space="preserve">ودعما لإعداد الدراسة المتعلقة بالمعايير الوطنية والدولية لتحديد الكيانات الصغيرة والمتوسطة والكبيرة، أصدرت الأمانة الإخطار رقم </w:t>
      </w:r>
      <w:hyperlink r:id="rId16" w:history="1">
        <w:r w:rsidR="00F87D34" w:rsidRPr="00B30F06">
          <w:rPr>
            <w:rStyle w:val="Hyperlink"/>
            <w:rFonts w:hint="cs"/>
            <w:sz w:val="20"/>
            <w:szCs w:val="24"/>
            <w:rtl/>
          </w:rPr>
          <w:t>2024-116</w:t>
        </w:r>
      </w:hyperlink>
      <w:r w:rsidRPr="00B30F06">
        <w:rPr>
          <w:sz w:val="20"/>
          <w:szCs w:val="24"/>
          <w:rtl/>
        </w:rPr>
        <w:t xml:space="preserve"> الذي دعت فيه الأطراف والحكومات الأخرى والشعوب الأصلية والمجتمعات المحلية والمنظمات المعنية إلى تقديم معلومات عن هذه المعايير. </w:t>
      </w:r>
    </w:p>
    <w:p w14:paraId="3741C5EB" w14:textId="0115D124" w:rsidR="00BB682B" w:rsidRPr="00B30F06" w:rsidRDefault="00BB682B" w:rsidP="00331FA4">
      <w:pPr>
        <w:pStyle w:val="CBDNormalNumber"/>
        <w:numPr>
          <w:ilvl w:val="0"/>
          <w:numId w:val="15"/>
        </w:numPr>
        <w:bidi/>
        <w:rPr>
          <w:sz w:val="20"/>
          <w:szCs w:val="24"/>
          <w:rtl/>
        </w:rPr>
      </w:pPr>
      <w:r w:rsidRPr="00B30F06">
        <w:rPr>
          <w:sz w:val="20"/>
          <w:szCs w:val="24"/>
          <w:rtl/>
        </w:rPr>
        <w:t>ونظرا إلى أوجه الترابط بين الموضوعين وإلى الموارد المتاحة، عولج</w:t>
      </w:r>
      <w:r w:rsidR="00F87D34" w:rsidRPr="00B30F06">
        <w:rPr>
          <w:rFonts w:hint="cs"/>
          <w:sz w:val="20"/>
          <w:szCs w:val="24"/>
          <w:rtl/>
        </w:rPr>
        <w:t xml:space="preserve"> كلا</w:t>
      </w:r>
      <w:r w:rsidRPr="00B30F06">
        <w:rPr>
          <w:sz w:val="20"/>
          <w:szCs w:val="24"/>
          <w:rtl/>
        </w:rPr>
        <w:t xml:space="preserve"> الطلب</w:t>
      </w:r>
      <w:r w:rsidR="00F87D34" w:rsidRPr="00B30F06">
        <w:rPr>
          <w:rFonts w:hint="cs"/>
          <w:sz w:val="20"/>
          <w:szCs w:val="24"/>
          <w:rtl/>
        </w:rPr>
        <w:t>ي</w:t>
      </w:r>
      <w:r w:rsidRPr="00B30F06">
        <w:rPr>
          <w:sz w:val="20"/>
          <w:szCs w:val="24"/>
          <w:rtl/>
        </w:rPr>
        <w:t>ن في دراسة واحدة</w:t>
      </w:r>
      <w:r w:rsidR="00F87D34" w:rsidRPr="00B30F06">
        <w:rPr>
          <w:rFonts w:hint="cs"/>
          <w:sz w:val="20"/>
          <w:szCs w:val="24"/>
          <w:rtl/>
        </w:rPr>
        <w:t xml:space="preserve"> مشتركة</w:t>
      </w:r>
      <w:r w:rsidRPr="00B30F06">
        <w:rPr>
          <w:sz w:val="20"/>
          <w:szCs w:val="24"/>
          <w:rtl/>
        </w:rPr>
        <w:t xml:space="preserve">. وتتضمن هذه الوثيقة الموجز التنفيذي للدراسة </w:t>
      </w:r>
      <w:r w:rsidR="00F87D34" w:rsidRPr="00B30F06">
        <w:rPr>
          <w:rFonts w:hint="cs"/>
          <w:sz w:val="20"/>
          <w:szCs w:val="24"/>
          <w:rtl/>
        </w:rPr>
        <w:t>المشتركة</w:t>
      </w:r>
      <w:r w:rsidRPr="00B30F06">
        <w:rPr>
          <w:sz w:val="20"/>
          <w:szCs w:val="24"/>
          <w:rtl/>
        </w:rPr>
        <w:t xml:space="preserve">. وتتاح الدراسة الكاملة </w:t>
      </w:r>
      <w:r w:rsidR="00F87D34" w:rsidRPr="00B30F06">
        <w:rPr>
          <w:rFonts w:hint="cs"/>
          <w:sz w:val="20"/>
          <w:szCs w:val="24"/>
          <w:rtl/>
        </w:rPr>
        <w:t>كو</w:t>
      </w:r>
      <w:r w:rsidRPr="00B30F06">
        <w:rPr>
          <w:sz w:val="20"/>
          <w:szCs w:val="24"/>
          <w:rtl/>
        </w:rPr>
        <w:t>ثيقة معلومات.</w:t>
      </w:r>
    </w:p>
    <w:p w14:paraId="7152A08F" w14:textId="604F73AD" w:rsidR="0093169E" w:rsidRPr="00B30F06" w:rsidRDefault="00065994" w:rsidP="00020F91">
      <w:pPr>
        <w:pStyle w:val="CBDH1"/>
        <w:bidi/>
        <w:rPr>
          <w:b w:val="0"/>
          <w:bCs/>
          <w:sz w:val="20"/>
          <w:szCs w:val="24"/>
          <w:rtl/>
        </w:rPr>
      </w:pPr>
      <w:r w:rsidRPr="00B30F06">
        <w:rPr>
          <w:b w:val="0"/>
          <w:bCs/>
          <w:sz w:val="20"/>
          <w:szCs w:val="24"/>
          <w:rtl/>
        </w:rPr>
        <w:t>ثانيا-</w:t>
      </w:r>
      <w:r w:rsidRPr="00B30F06">
        <w:rPr>
          <w:b w:val="0"/>
          <w:bCs/>
          <w:sz w:val="20"/>
          <w:szCs w:val="24"/>
        </w:rPr>
        <w:tab/>
      </w:r>
      <w:r w:rsidRPr="00B30F06">
        <w:rPr>
          <w:b w:val="0"/>
          <w:bCs/>
          <w:sz w:val="20"/>
          <w:szCs w:val="24"/>
          <w:rtl/>
        </w:rPr>
        <w:t>المنهجية وأوجه القصور</w:t>
      </w:r>
    </w:p>
    <w:p w14:paraId="09E68623" w14:textId="43A396AD" w:rsidR="00BB682B" w:rsidRPr="00B30F06" w:rsidRDefault="00065994" w:rsidP="00020F91">
      <w:pPr>
        <w:pStyle w:val="CBDH2"/>
        <w:bidi/>
        <w:rPr>
          <w:b w:val="0"/>
          <w:bCs/>
          <w:sz w:val="20"/>
          <w:szCs w:val="24"/>
          <w:rtl/>
        </w:rPr>
      </w:pPr>
      <w:r w:rsidRPr="00B30F06">
        <w:rPr>
          <w:b w:val="0"/>
          <w:bCs/>
          <w:sz w:val="20"/>
          <w:szCs w:val="24"/>
          <w:rtl/>
        </w:rPr>
        <w:t>ألف-</w:t>
      </w:r>
      <w:r w:rsidRPr="00B30F06">
        <w:rPr>
          <w:b w:val="0"/>
          <w:bCs/>
          <w:sz w:val="20"/>
          <w:szCs w:val="24"/>
        </w:rPr>
        <w:tab/>
      </w:r>
      <w:r w:rsidRPr="00B30F06">
        <w:rPr>
          <w:b w:val="0"/>
          <w:bCs/>
          <w:sz w:val="20"/>
          <w:szCs w:val="24"/>
          <w:rtl/>
        </w:rPr>
        <w:t>منهجية الدراسة</w:t>
      </w:r>
    </w:p>
    <w:p w14:paraId="6BB4ADAD" w14:textId="7B8C4246" w:rsidR="00BB682B" w:rsidRPr="00B30F06" w:rsidRDefault="00BB682B" w:rsidP="00331FA4">
      <w:pPr>
        <w:pStyle w:val="CBDNormalNumber"/>
        <w:numPr>
          <w:ilvl w:val="0"/>
          <w:numId w:val="15"/>
        </w:numPr>
        <w:bidi/>
        <w:rPr>
          <w:sz w:val="20"/>
          <w:szCs w:val="24"/>
          <w:rtl/>
        </w:rPr>
      </w:pPr>
      <w:r w:rsidRPr="00B30F06">
        <w:rPr>
          <w:sz w:val="20"/>
          <w:szCs w:val="24"/>
          <w:rtl/>
        </w:rPr>
        <w:t xml:space="preserve">لا تتناول الدراسة سوى جانب المساهمة من آلية صندوق كالي، ومن ثم فهي متوائمة مع المبادئ المبينة في الفقرتين 9 و10 من المقرر </w:t>
      </w:r>
      <w:hyperlink r:id="rId17" w:history="1">
        <w:r w:rsidR="004739DC" w:rsidRPr="00B30F06">
          <w:rPr>
            <w:rStyle w:val="Hyperlink"/>
            <w:rFonts w:hint="cs"/>
            <w:sz w:val="20"/>
            <w:szCs w:val="24"/>
            <w:rtl/>
          </w:rPr>
          <w:t>15/9</w:t>
        </w:r>
      </w:hyperlink>
      <w:r w:rsidRPr="00B30F06">
        <w:rPr>
          <w:sz w:val="20"/>
          <w:szCs w:val="24"/>
          <w:rtl/>
        </w:rPr>
        <w:t>، ومع أهداف صندوق كالي. ولا تأخذ الدراسة في الاعتبار صيغة التخصيص أو نتائج التوزيع لل</w:t>
      </w:r>
      <w:r w:rsidR="00F448AB" w:rsidRPr="00B30F06">
        <w:rPr>
          <w:rFonts w:hint="cs"/>
          <w:sz w:val="20"/>
          <w:szCs w:val="24"/>
          <w:rtl/>
        </w:rPr>
        <w:t>مستفيدين</w:t>
      </w:r>
      <w:r w:rsidRPr="00B30F06">
        <w:rPr>
          <w:sz w:val="20"/>
          <w:szCs w:val="24"/>
          <w:rtl/>
        </w:rPr>
        <w:t xml:space="preserve"> أو تقاسم</w:t>
      </w:r>
      <w:r w:rsidR="00F448AB" w:rsidRPr="00B30F06">
        <w:rPr>
          <w:rFonts w:hint="cs"/>
          <w:sz w:val="20"/>
          <w:szCs w:val="24"/>
          <w:rtl/>
        </w:rPr>
        <w:t xml:space="preserve"> المنافع</w:t>
      </w:r>
      <w:r w:rsidRPr="00B30F06">
        <w:rPr>
          <w:sz w:val="20"/>
          <w:szCs w:val="24"/>
          <w:rtl/>
        </w:rPr>
        <w:t xml:space="preserve"> غير النقدي</w:t>
      </w:r>
      <w:r w:rsidR="00F448AB" w:rsidRPr="00B30F06">
        <w:rPr>
          <w:rFonts w:hint="cs"/>
          <w:sz w:val="20"/>
          <w:szCs w:val="24"/>
          <w:rtl/>
        </w:rPr>
        <w:t>ة</w:t>
      </w:r>
      <w:r w:rsidRPr="00B30F06">
        <w:rPr>
          <w:sz w:val="20"/>
          <w:szCs w:val="24"/>
          <w:rtl/>
        </w:rPr>
        <w:t xml:space="preserve">، لأن هذه المسائل تُعالَج من خلال عمليات مستقلة بين الدورات؛ وقد أُشير صراحة إلى أي تفاعل بين التزامات المساهمة والتخصيص </w:t>
      </w:r>
      <w:r w:rsidR="00F448AB" w:rsidRPr="00B30F06">
        <w:rPr>
          <w:rFonts w:hint="cs"/>
          <w:sz w:val="20"/>
          <w:szCs w:val="24"/>
          <w:rtl/>
        </w:rPr>
        <w:t>عند الاقتضاء</w:t>
      </w:r>
      <w:r w:rsidRPr="00B30F06">
        <w:rPr>
          <w:sz w:val="20"/>
          <w:szCs w:val="24"/>
          <w:rtl/>
        </w:rPr>
        <w:t>.</w:t>
      </w:r>
    </w:p>
    <w:p w14:paraId="0D77B233" w14:textId="64AFDE90" w:rsidR="00BB682B" w:rsidRPr="00B30F06" w:rsidRDefault="00BB682B" w:rsidP="00331FA4">
      <w:pPr>
        <w:pStyle w:val="CBDNormalNumber"/>
        <w:numPr>
          <w:ilvl w:val="0"/>
          <w:numId w:val="15"/>
        </w:numPr>
        <w:bidi/>
        <w:rPr>
          <w:sz w:val="20"/>
          <w:szCs w:val="24"/>
          <w:rtl/>
        </w:rPr>
      </w:pPr>
      <w:r w:rsidRPr="00B30F06">
        <w:rPr>
          <w:sz w:val="20"/>
          <w:szCs w:val="24"/>
          <w:rtl/>
        </w:rPr>
        <w:t>وتنقسم الدراسة إلى ثلاثة أجزاء يتناول كل منها عنصرا مستقلا من الولايتين المشار إليهما في الفقرة 2 من هذا التقرير، ويسبقها استعراض للسياق المؤسسي والقانوني ولآليات تقاسم المنافع المتعددة الأطراف المماثلة.</w:t>
      </w:r>
    </w:p>
    <w:p w14:paraId="43FBF4D1" w14:textId="0656991A" w:rsidR="00BB682B" w:rsidRPr="00B30F06" w:rsidRDefault="00BB682B" w:rsidP="00331FA4">
      <w:pPr>
        <w:pStyle w:val="CBDNormalNumber"/>
        <w:numPr>
          <w:ilvl w:val="0"/>
          <w:numId w:val="15"/>
        </w:numPr>
        <w:bidi/>
        <w:rPr>
          <w:sz w:val="20"/>
          <w:szCs w:val="24"/>
          <w:rtl/>
        </w:rPr>
      </w:pPr>
      <w:r w:rsidRPr="00B30F06">
        <w:rPr>
          <w:sz w:val="20"/>
          <w:szCs w:val="24"/>
          <w:rtl/>
        </w:rPr>
        <w:t xml:space="preserve">ويستند الجزء الأول، الذي يتناول الفقرة 6 (د) من المقرر </w:t>
      </w:r>
      <w:hyperlink r:id="rId18" w:history="1">
        <w:r w:rsidR="00F448AB" w:rsidRPr="00B30F06">
          <w:rPr>
            <w:rStyle w:val="Hyperlink"/>
            <w:rFonts w:hint="cs"/>
            <w:sz w:val="20"/>
            <w:szCs w:val="24"/>
            <w:rtl/>
          </w:rPr>
          <w:t>16/2</w:t>
        </w:r>
      </w:hyperlink>
      <w:r w:rsidRPr="00B30F06">
        <w:rPr>
          <w:sz w:val="20"/>
          <w:szCs w:val="24"/>
          <w:rtl/>
        </w:rPr>
        <w:t xml:space="preserve">، إلى </w:t>
      </w:r>
      <w:r w:rsidR="00F448AB" w:rsidRPr="00B30F06">
        <w:rPr>
          <w:rFonts w:hint="cs"/>
          <w:sz w:val="20"/>
          <w:szCs w:val="24"/>
          <w:rtl/>
        </w:rPr>
        <w:t>المساهمات</w:t>
      </w:r>
      <w:r w:rsidRPr="00B30F06">
        <w:rPr>
          <w:sz w:val="20"/>
          <w:szCs w:val="24"/>
          <w:rtl/>
        </w:rPr>
        <w:t xml:space="preserve"> الواردة استجابة للإخطار رقم </w:t>
      </w:r>
      <w:hyperlink r:id="rId19" w:history="1">
        <w:r w:rsidR="00F448AB" w:rsidRPr="00B30F06">
          <w:rPr>
            <w:rStyle w:val="Hyperlink"/>
            <w:rFonts w:hint="cs"/>
            <w:sz w:val="20"/>
            <w:szCs w:val="24"/>
            <w:rtl/>
          </w:rPr>
          <w:t>2024-116</w:t>
        </w:r>
      </w:hyperlink>
      <w:r w:rsidRPr="00B30F06">
        <w:rPr>
          <w:sz w:val="20"/>
          <w:szCs w:val="24"/>
          <w:rtl/>
        </w:rPr>
        <w:t>، الذي دُعيت فيه الأطراف والحكومات الأخرى والشعوب الأصلية والمجتمعات المحلية والمنظمات المعنية إلى تبادل الآراء بشأن المعايير الوطنية والدولية لتصنيف حجم الشركات.</w:t>
      </w:r>
    </w:p>
    <w:p w14:paraId="33EBC8CC" w14:textId="6F69EC96" w:rsidR="00BB682B" w:rsidRPr="00B30F06" w:rsidRDefault="00BB682B" w:rsidP="00331FA4">
      <w:pPr>
        <w:pStyle w:val="CBDNormalNumber"/>
        <w:numPr>
          <w:ilvl w:val="0"/>
          <w:numId w:val="15"/>
        </w:numPr>
        <w:bidi/>
        <w:rPr>
          <w:sz w:val="20"/>
          <w:szCs w:val="24"/>
          <w:rtl/>
        </w:rPr>
      </w:pPr>
      <w:r w:rsidRPr="00B30F06">
        <w:rPr>
          <w:sz w:val="20"/>
          <w:szCs w:val="24"/>
          <w:rtl/>
        </w:rPr>
        <w:t xml:space="preserve">ويستند الجزء الثاني، الذي يتناول بُعد توليد الإيرادات </w:t>
      </w:r>
      <w:r w:rsidR="00E82706" w:rsidRPr="00B30F06">
        <w:rPr>
          <w:rFonts w:hint="cs"/>
          <w:sz w:val="20"/>
          <w:szCs w:val="24"/>
          <w:rtl/>
        </w:rPr>
        <w:t>في</w:t>
      </w:r>
      <w:r w:rsidRPr="00B30F06">
        <w:rPr>
          <w:sz w:val="20"/>
          <w:szCs w:val="24"/>
          <w:rtl/>
        </w:rPr>
        <w:t xml:space="preserve"> الفقرة 6 (هـ) من المقرر </w:t>
      </w:r>
      <w:hyperlink r:id="rId20" w:history="1">
        <w:r w:rsidR="00F448AB" w:rsidRPr="00B30F06">
          <w:rPr>
            <w:rStyle w:val="Hyperlink"/>
            <w:rFonts w:hint="cs"/>
            <w:sz w:val="20"/>
            <w:szCs w:val="24"/>
            <w:rtl/>
          </w:rPr>
          <w:t>16/2</w:t>
        </w:r>
      </w:hyperlink>
      <w:r w:rsidRPr="00B30F06">
        <w:rPr>
          <w:sz w:val="20"/>
          <w:szCs w:val="24"/>
          <w:rtl/>
        </w:rPr>
        <w:t>، إلى ورقة عمل صادرة عن معهد غرانثام لبحوث تغير المناخ والبيئة في كلية لندن للاقتصاد والعلوم السياسية،</w:t>
      </w:r>
      <w:r w:rsidRPr="00B30F06">
        <w:rPr>
          <w:sz w:val="20"/>
          <w:szCs w:val="24"/>
          <w:vertAlign w:val="superscript"/>
        </w:rPr>
        <w:footnoteReference w:id="2"/>
      </w:r>
      <w:r w:rsidRPr="00B30F06">
        <w:rPr>
          <w:sz w:val="20"/>
          <w:szCs w:val="24"/>
          <w:rtl/>
        </w:rPr>
        <w:t xml:space="preserve"> وهي ورقة تقدم تقديرات على مستوى الشركات لمساهمات صندوق كالي لـ</w:t>
      </w:r>
      <w:r w:rsidR="00F448AB" w:rsidRPr="00B30F06">
        <w:rPr>
          <w:rFonts w:hint="cs"/>
          <w:sz w:val="20"/>
          <w:szCs w:val="24"/>
          <w:rtl/>
        </w:rPr>
        <w:t>صالح</w:t>
      </w:r>
      <w:r w:rsidRPr="00B30F06">
        <w:rPr>
          <w:sz w:val="20"/>
          <w:szCs w:val="24"/>
          <w:rtl/>
        </w:rPr>
        <w:t xml:space="preserve"> </w:t>
      </w:r>
      <w:r w:rsidR="00F448AB" w:rsidRPr="00B30F06">
        <w:rPr>
          <w:rFonts w:hint="cs"/>
          <w:sz w:val="20"/>
          <w:szCs w:val="24"/>
          <w:rtl/>
        </w:rPr>
        <w:t>21,690</w:t>
      </w:r>
      <w:r w:rsidRPr="00B30F06">
        <w:rPr>
          <w:sz w:val="20"/>
          <w:szCs w:val="24"/>
          <w:rtl/>
        </w:rPr>
        <w:t xml:space="preserve"> كيانا مؤهلا في 100 ولاية قضائية طرف في اتفاقية التنوع البيولوجي، باستخدام قاعدة البيانات المالية Orbis.</w:t>
      </w:r>
      <w:r w:rsidRPr="00B30F06">
        <w:rPr>
          <w:sz w:val="20"/>
          <w:szCs w:val="24"/>
          <w:vertAlign w:val="superscript"/>
        </w:rPr>
        <w:footnoteReference w:id="3"/>
      </w:r>
    </w:p>
    <w:p w14:paraId="77830FE6" w14:textId="62EF11AF" w:rsidR="000F78FC" w:rsidRPr="00B30F06" w:rsidRDefault="00BB682B" w:rsidP="00E74420">
      <w:pPr>
        <w:pStyle w:val="CBDNormalNumber"/>
        <w:numPr>
          <w:ilvl w:val="0"/>
          <w:numId w:val="15"/>
        </w:numPr>
        <w:bidi/>
        <w:rPr>
          <w:sz w:val="20"/>
          <w:szCs w:val="24"/>
          <w:rtl/>
        </w:rPr>
      </w:pPr>
      <w:r w:rsidRPr="00B30F06">
        <w:rPr>
          <w:sz w:val="20"/>
          <w:szCs w:val="24"/>
          <w:rtl/>
        </w:rPr>
        <w:t xml:space="preserve">ويستند الجزء الثالث، الذي يتناول بُعد القدرة التنافسية </w:t>
      </w:r>
      <w:r w:rsidR="00E82706" w:rsidRPr="00B30F06">
        <w:rPr>
          <w:rFonts w:hint="cs"/>
          <w:sz w:val="20"/>
          <w:szCs w:val="24"/>
          <w:rtl/>
        </w:rPr>
        <w:t>في</w:t>
      </w:r>
      <w:r w:rsidRPr="00B30F06">
        <w:rPr>
          <w:sz w:val="20"/>
          <w:szCs w:val="24"/>
          <w:rtl/>
        </w:rPr>
        <w:t xml:space="preserve"> الفقرة 6 (هـ) من المقرر </w:t>
      </w:r>
      <w:hyperlink r:id="rId21" w:history="1">
        <w:r w:rsidR="00E82706" w:rsidRPr="00B30F06">
          <w:rPr>
            <w:rStyle w:val="Hyperlink"/>
            <w:rFonts w:hint="cs"/>
            <w:sz w:val="20"/>
            <w:szCs w:val="24"/>
            <w:rtl/>
          </w:rPr>
          <w:t>16/2</w:t>
        </w:r>
      </w:hyperlink>
      <w:r w:rsidRPr="00B30F06">
        <w:rPr>
          <w:sz w:val="20"/>
          <w:szCs w:val="24"/>
          <w:rtl/>
        </w:rPr>
        <w:t xml:space="preserve">، </w:t>
      </w:r>
      <w:r w:rsidR="00E82706" w:rsidRPr="00B30F06">
        <w:rPr>
          <w:rFonts w:hint="cs"/>
          <w:sz w:val="20"/>
          <w:szCs w:val="24"/>
          <w:rtl/>
        </w:rPr>
        <w:t>بشكل أساسي</w:t>
      </w:r>
      <w:r w:rsidRPr="00B30F06">
        <w:rPr>
          <w:sz w:val="20"/>
          <w:szCs w:val="24"/>
          <w:rtl/>
        </w:rPr>
        <w:t xml:space="preserve"> إلى الأدبيات المحكَّمة والأدبيات </w:t>
      </w:r>
      <w:r w:rsidR="006602A5" w:rsidRPr="00B30F06">
        <w:rPr>
          <w:rFonts w:hint="cs"/>
          <w:sz w:val="20"/>
          <w:szCs w:val="24"/>
          <w:rtl/>
        </w:rPr>
        <w:t>ال</w:t>
      </w:r>
      <w:r w:rsidR="006602A5" w:rsidRPr="00B30F06">
        <w:rPr>
          <w:sz w:val="20"/>
          <w:szCs w:val="24"/>
          <w:rtl/>
        </w:rPr>
        <w:t>غير رسمية</w:t>
      </w:r>
      <w:r w:rsidRPr="00B30F06">
        <w:rPr>
          <w:sz w:val="20"/>
          <w:szCs w:val="24"/>
          <w:rtl/>
        </w:rPr>
        <w:t xml:space="preserve"> وإلى </w:t>
      </w:r>
      <w:r w:rsidR="00E82706" w:rsidRPr="00B30F06">
        <w:rPr>
          <w:rFonts w:hint="cs"/>
          <w:sz w:val="20"/>
          <w:szCs w:val="24"/>
          <w:rtl/>
        </w:rPr>
        <w:t>مساهمات</w:t>
      </w:r>
      <w:r w:rsidRPr="00B30F06">
        <w:rPr>
          <w:sz w:val="20"/>
          <w:szCs w:val="24"/>
          <w:rtl/>
        </w:rPr>
        <w:t xml:space="preserve"> أخرى مقدمة إلى الاتفاقية، مدعوما </w:t>
      </w:r>
      <w:r w:rsidR="00D623EB" w:rsidRPr="00B30F06">
        <w:rPr>
          <w:rFonts w:hint="cs"/>
          <w:sz w:val="20"/>
          <w:szCs w:val="24"/>
          <w:rtl/>
        </w:rPr>
        <w:t>ب</w:t>
      </w:r>
      <w:r w:rsidR="00D623EB" w:rsidRPr="00B30F06">
        <w:rPr>
          <w:sz w:val="20"/>
          <w:szCs w:val="24"/>
          <w:rtl/>
        </w:rPr>
        <w:t>مشاورة مخصّصة مع القطاع الصناعي شملت شركات</w:t>
      </w:r>
      <w:r w:rsidRPr="00B30F06">
        <w:rPr>
          <w:sz w:val="20"/>
          <w:szCs w:val="24"/>
          <w:rtl/>
        </w:rPr>
        <w:t xml:space="preserve"> وممثلين عن رابطات صناعية تعمل في القطاعات السبعة المدرجة في الضميمة الأولى بمرفق المقرر </w:t>
      </w:r>
      <w:hyperlink r:id="rId22" w:history="1">
        <w:r w:rsidR="00E82706" w:rsidRPr="00B30F06">
          <w:rPr>
            <w:rStyle w:val="Hyperlink"/>
            <w:rFonts w:hint="cs"/>
            <w:sz w:val="20"/>
            <w:szCs w:val="24"/>
            <w:rtl/>
          </w:rPr>
          <w:t>16/2</w:t>
        </w:r>
      </w:hyperlink>
      <w:r w:rsidRPr="00B30F06">
        <w:rPr>
          <w:sz w:val="20"/>
          <w:szCs w:val="24"/>
          <w:rtl/>
        </w:rPr>
        <w:t xml:space="preserve"> والتي يُتوقع أن تساهم فيها الشركات الكبيرة في صندوق كالي، وهي: المستحضرات الصيدلانية؛ والمغذيات الدوائية (المكملات الغذائية والصحية)؛ ومستحضرات التجميل؛ وتربية الحيوانات والنباتات؛ والتكنولوجيا </w:t>
      </w:r>
      <w:r w:rsidR="00D623EB" w:rsidRPr="00B30F06">
        <w:rPr>
          <w:rFonts w:hint="cs"/>
          <w:sz w:val="20"/>
          <w:szCs w:val="24"/>
          <w:rtl/>
        </w:rPr>
        <w:t>الحيوية</w:t>
      </w:r>
      <w:r w:rsidRPr="00B30F06">
        <w:rPr>
          <w:sz w:val="20"/>
          <w:szCs w:val="24"/>
          <w:rtl/>
        </w:rPr>
        <w:t xml:space="preserve">؛ ومعدات المختبرات المرتبطة </w:t>
      </w:r>
      <w:r w:rsidR="00594C06" w:rsidRPr="00B30F06">
        <w:rPr>
          <w:sz w:val="20"/>
          <w:szCs w:val="24"/>
          <w:rtl/>
        </w:rPr>
        <w:t>بتسلسل المعلومات الرقمية عن الموارد الجينية واستخدامها</w:t>
      </w:r>
      <w:r w:rsidRPr="00B30F06">
        <w:rPr>
          <w:sz w:val="20"/>
          <w:szCs w:val="24"/>
          <w:rtl/>
        </w:rPr>
        <w:t>، بما في ذلك الكواشف وال</w:t>
      </w:r>
      <w:r w:rsidR="00594C06" w:rsidRPr="00B30F06">
        <w:rPr>
          <w:rFonts w:hint="cs"/>
          <w:sz w:val="20"/>
          <w:szCs w:val="24"/>
          <w:rtl/>
        </w:rPr>
        <w:t>مستلزمات</w:t>
      </w:r>
      <w:r w:rsidRPr="00B30F06">
        <w:rPr>
          <w:sz w:val="20"/>
          <w:szCs w:val="24"/>
          <w:rtl/>
        </w:rPr>
        <w:t xml:space="preserve">؛ والمعلومات والخدمات العلمية والتقنية المتصلة بمعلومات التسلسل الرقمي </w:t>
      </w:r>
      <w:r w:rsidR="00594C06" w:rsidRPr="00B30F06">
        <w:rPr>
          <w:rFonts w:hint="cs"/>
          <w:sz w:val="20"/>
          <w:szCs w:val="24"/>
          <w:rtl/>
        </w:rPr>
        <w:t>ل</w:t>
      </w:r>
      <w:r w:rsidRPr="00B30F06">
        <w:rPr>
          <w:sz w:val="20"/>
          <w:szCs w:val="24"/>
          <w:rtl/>
        </w:rPr>
        <w:t>لموارد الجينية، بما في ذلك الذكاء الاصطناعي.</w:t>
      </w:r>
    </w:p>
    <w:p w14:paraId="7A05E9EE" w14:textId="4C7C09B7" w:rsidR="00BB682B" w:rsidRPr="00B30F06" w:rsidRDefault="00065994" w:rsidP="00020F91">
      <w:pPr>
        <w:pStyle w:val="CBDH2"/>
        <w:bidi/>
        <w:rPr>
          <w:sz w:val="20"/>
          <w:szCs w:val="24"/>
          <w:rtl/>
        </w:rPr>
      </w:pPr>
      <w:r w:rsidRPr="00B30F06">
        <w:rPr>
          <w:sz w:val="20"/>
          <w:szCs w:val="24"/>
          <w:rtl/>
        </w:rPr>
        <w:t>باء-</w:t>
      </w:r>
      <w:r w:rsidRPr="00B30F06">
        <w:rPr>
          <w:sz w:val="20"/>
          <w:szCs w:val="24"/>
        </w:rPr>
        <w:tab/>
      </w:r>
      <w:r w:rsidRPr="00B30F06">
        <w:rPr>
          <w:sz w:val="20"/>
          <w:szCs w:val="24"/>
          <w:rtl/>
        </w:rPr>
        <w:t>أوجه القصور</w:t>
      </w:r>
    </w:p>
    <w:p w14:paraId="4FEC4792" w14:textId="5D818B72" w:rsidR="00BB682B" w:rsidRPr="00B30F06" w:rsidRDefault="00594C06" w:rsidP="00E74420">
      <w:pPr>
        <w:pStyle w:val="CBDNormalNumber"/>
        <w:numPr>
          <w:ilvl w:val="0"/>
          <w:numId w:val="15"/>
        </w:numPr>
        <w:bidi/>
        <w:rPr>
          <w:sz w:val="20"/>
          <w:szCs w:val="24"/>
          <w:rtl/>
        </w:rPr>
      </w:pPr>
      <w:r w:rsidRPr="00B30F06">
        <w:rPr>
          <w:rFonts w:hint="cs"/>
          <w:sz w:val="20"/>
          <w:szCs w:val="24"/>
          <w:rtl/>
        </w:rPr>
        <w:t xml:space="preserve">تُعد </w:t>
      </w:r>
      <w:r w:rsidR="00BB682B" w:rsidRPr="00B30F06">
        <w:rPr>
          <w:sz w:val="20"/>
          <w:szCs w:val="24"/>
          <w:rtl/>
        </w:rPr>
        <w:t>البيانات المالية على مستوى الشركات</w:t>
      </w:r>
      <w:r w:rsidRPr="00B30F06">
        <w:rPr>
          <w:rFonts w:hint="cs"/>
          <w:sz w:val="20"/>
          <w:szCs w:val="24"/>
          <w:rtl/>
        </w:rPr>
        <w:t>،</w:t>
      </w:r>
      <w:r w:rsidR="00BB682B" w:rsidRPr="00B30F06">
        <w:rPr>
          <w:sz w:val="20"/>
          <w:szCs w:val="24"/>
          <w:rtl/>
        </w:rPr>
        <w:t xml:space="preserve"> من النوع اللازم لتطبيق عتبات المقرر </w:t>
      </w:r>
      <w:hyperlink r:id="rId23" w:history="1">
        <w:r w:rsidRPr="00B30F06">
          <w:rPr>
            <w:rStyle w:val="Hyperlink"/>
            <w:rFonts w:hint="cs"/>
            <w:sz w:val="20"/>
            <w:szCs w:val="24"/>
            <w:rtl/>
          </w:rPr>
          <w:t>16/2</w:t>
        </w:r>
      </w:hyperlink>
      <w:r w:rsidRPr="00B30F06">
        <w:rPr>
          <w:rFonts w:hint="cs"/>
          <w:sz w:val="20"/>
          <w:szCs w:val="24"/>
          <w:rtl/>
        </w:rPr>
        <w:t xml:space="preserve">، </w:t>
      </w:r>
      <w:r w:rsidR="00BB682B" w:rsidRPr="00B30F06">
        <w:rPr>
          <w:sz w:val="20"/>
          <w:szCs w:val="24"/>
          <w:rtl/>
        </w:rPr>
        <w:t xml:space="preserve">بيانات حساسة تجاريا وغير متاحة للجمهور على الصعيد العالمي، ولا يوجد حاليا أي ترتيب لتبادل البيانات بين الأمانة والأطراف لهذا الغرض. ومن ثم تعتمد تقديرات الإيرادات الواردة في الجزء الثاني على مصدر بيانات </w:t>
      </w:r>
      <w:r w:rsidRPr="00B30F06">
        <w:rPr>
          <w:rFonts w:hint="cs"/>
          <w:sz w:val="20"/>
          <w:szCs w:val="24"/>
          <w:rtl/>
        </w:rPr>
        <w:t xml:space="preserve">واحد </w:t>
      </w:r>
      <w:r w:rsidR="00BB682B" w:rsidRPr="00B30F06">
        <w:rPr>
          <w:sz w:val="20"/>
          <w:szCs w:val="24"/>
          <w:rtl/>
        </w:rPr>
        <w:t xml:space="preserve">مستقل. </w:t>
      </w:r>
    </w:p>
    <w:p w14:paraId="36828C79" w14:textId="7D44A8EB" w:rsidR="00BB682B" w:rsidRPr="00B30F06" w:rsidRDefault="00BB682B" w:rsidP="00E74420">
      <w:pPr>
        <w:pStyle w:val="CBDNormalNumber"/>
        <w:numPr>
          <w:ilvl w:val="0"/>
          <w:numId w:val="15"/>
        </w:numPr>
        <w:bidi/>
        <w:rPr>
          <w:sz w:val="20"/>
          <w:szCs w:val="24"/>
          <w:rtl/>
        </w:rPr>
      </w:pPr>
      <w:r w:rsidRPr="00B30F06">
        <w:rPr>
          <w:sz w:val="20"/>
          <w:szCs w:val="24"/>
          <w:rtl/>
        </w:rPr>
        <w:t xml:space="preserve">وجميع التقديرات المعروضة في الدراسة هي سيناريوهات تحليلية توضيحية وُضعت للاسترشاد بها في المناقشات المتعلقة بالسياسات؛ وهي ليست تنبؤات ولا نتائج متوقعة. وستتوقف إيرادات صندوق كالي الفعلية على ما يتخذه مؤتمر الأطراف مستقبلا من مقررات بشأن العتبات والمعدلات، وعلى تدابير التنفيذ الوطنية اللاحقة، ومستويات المشاركة الفعلية، </w:t>
      </w:r>
      <w:r w:rsidR="00594C06" w:rsidRPr="00B30F06">
        <w:rPr>
          <w:rFonts w:hint="cs"/>
          <w:sz w:val="20"/>
          <w:szCs w:val="24"/>
          <w:rtl/>
        </w:rPr>
        <w:t>وكيفية تطور</w:t>
      </w:r>
      <w:r w:rsidRPr="00B30F06">
        <w:rPr>
          <w:sz w:val="20"/>
          <w:szCs w:val="24"/>
          <w:rtl/>
        </w:rPr>
        <w:t xml:space="preserve"> سلوك الشركات بمجرد تفعيل صندوق كالي ب</w:t>
      </w:r>
      <w:r w:rsidR="00594C06" w:rsidRPr="00B30F06">
        <w:rPr>
          <w:rFonts w:hint="cs"/>
          <w:sz w:val="20"/>
          <w:szCs w:val="24"/>
          <w:rtl/>
        </w:rPr>
        <w:t xml:space="preserve">شكل </w:t>
      </w:r>
      <w:r w:rsidRPr="00B30F06">
        <w:rPr>
          <w:sz w:val="20"/>
          <w:szCs w:val="24"/>
          <w:rtl/>
        </w:rPr>
        <w:t>كامل.</w:t>
      </w:r>
    </w:p>
    <w:p w14:paraId="4953CF07" w14:textId="25C27487" w:rsidR="00BB682B" w:rsidRPr="00B30F06" w:rsidRDefault="00BB682B" w:rsidP="007D1925">
      <w:pPr>
        <w:pStyle w:val="CBDNormalNumber"/>
        <w:numPr>
          <w:ilvl w:val="0"/>
          <w:numId w:val="15"/>
        </w:numPr>
        <w:bidi/>
        <w:rPr>
          <w:sz w:val="20"/>
          <w:szCs w:val="24"/>
          <w:rtl/>
        </w:rPr>
      </w:pPr>
      <w:r w:rsidRPr="00B30F06">
        <w:rPr>
          <w:sz w:val="20"/>
          <w:szCs w:val="24"/>
          <w:rtl/>
        </w:rPr>
        <w:t xml:space="preserve">وينبغي أن تُقرأ التوزيعات القطرية لهذه التقديرات باعتبارها مؤشرا على الولاية القضائية التي سُجلت فيها الشركة لا على موقع النشاط التجاري </w:t>
      </w:r>
      <w:r w:rsidR="004869A4" w:rsidRPr="00B30F06">
        <w:rPr>
          <w:rFonts w:hint="cs"/>
          <w:sz w:val="20"/>
          <w:szCs w:val="24"/>
          <w:rtl/>
        </w:rPr>
        <w:t>الفعلي</w:t>
      </w:r>
      <w:r w:rsidRPr="00B30F06">
        <w:rPr>
          <w:sz w:val="20"/>
          <w:szCs w:val="24"/>
          <w:rtl/>
        </w:rPr>
        <w:t xml:space="preserve">، وهي </w:t>
      </w:r>
      <w:r w:rsidR="004869A4" w:rsidRPr="00B30F06">
        <w:rPr>
          <w:rFonts w:hint="cs"/>
          <w:sz w:val="20"/>
          <w:szCs w:val="24"/>
          <w:rtl/>
        </w:rPr>
        <w:t>خاضعة لعدد</w:t>
      </w:r>
      <w:r w:rsidRPr="00B30F06">
        <w:rPr>
          <w:sz w:val="20"/>
          <w:szCs w:val="24"/>
          <w:rtl/>
        </w:rPr>
        <w:t xml:space="preserve"> من التحفظات المتعلقة ب</w:t>
      </w:r>
      <w:r w:rsidR="004869A4" w:rsidRPr="00B30F06">
        <w:rPr>
          <w:rFonts w:hint="cs"/>
          <w:sz w:val="20"/>
          <w:szCs w:val="24"/>
          <w:rtl/>
        </w:rPr>
        <w:t xml:space="preserve">شمولية </w:t>
      </w:r>
      <w:r w:rsidRPr="00B30F06">
        <w:rPr>
          <w:sz w:val="20"/>
          <w:szCs w:val="24"/>
          <w:rtl/>
        </w:rPr>
        <w:t xml:space="preserve">التغطية. ومن المرجح أن يكون عدد الكيانات المؤهلة في أفريقيا جنوب الصحراء الكبرى وفي أجزاء من منطقة آسيا والمحيط الهادئ وفي اقتصادات كبيرة مختارة من منظمة التعاون والتنمية في الميدان الاقتصادي أقل من الواقع نتيجة </w:t>
      </w:r>
      <w:r w:rsidR="00397EF3" w:rsidRPr="00B30F06">
        <w:rPr>
          <w:rFonts w:hint="cs"/>
          <w:sz w:val="20"/>
          <w:szCs w:val="24"/>
          <w:rtl/>
        </w:rPr>
        <w:t>لنقص</w:t>
      </w:r>
      <w:r w:rsidRPr="00B30F06">
        <w:rPr>
          <w:sz w:val="20"/>
          <w:szCs w:val="24"/>
          <w:rtl/>
        </w:rPr>
        <w:t xml:space="preserve"> تغطية ق</w:t>
      </w:r>
      <w:r w:rsidR="00397EF3" w:rsidRPr="00B30F06">
        <w:rPr>
          <w:rFonts w:hint="cs"/>
          <w:sz w:val="20"/>
          <w:szCs w:val="24"/>
          <w:rtl/>
        </w:rPr>
        <w:t>وا</w:t>
      </w:r>
      <w:r w:rsidRPr="00B30F06">
        <w:rPr>
          <w:sz w:val="20"/>
          <w:szCs w:val="24"/>
          <w:rtl/>
        </w:rPr>
        <w:t xml:space="preserve">عد البيانات في تلك المناطق، ومن ثم ينبغي التعامل مع تقديراتها </w:t>
      </w:r>
      <w:r w:rsidR="00397EF3" w:rsidRPr="00B30F06">
        <w:rPr>
          <w:rFonts w:hint="cs"/>
          <w:sz w:val="20"/>
          <w:szCs w:val="24"/>
          <w:rtl/>
        </w:rPr>
        <w:t>ك</w:t>
      </w:r>
      <w:r w:rsidRPr="00B30F06">
        <w:rPr>
          <w:sz w:val="20"/>
          <w:szCs w:val="24"/>
          <w:rtl/>
        </w:rPr>
        <w:t>حدود دنيا متحفظة. و</w:t>
      </w:r>
      <w:r w:rsidR="00397EF3" w:rsidRPr="00B30F06">
        <w:rPr>
          <w:rFonts w:hint="cs"/>
          <w:sz w:val="20"/>
          <w:szCs w:val="24"/>
          <w:rtl/>
        </w:rPr>
        <w:t xml:space="preserve">بالمثل، فإن </w:t>
      </w:r>
      <w:r w:rsidRPr="00B30F06">
        <w:rPr>
          <w:sz w:val="20"/>
          <w:szCs w:val="24"/>
          <w:rtl/>
        </w:rPr>
        <w:t>التقديرات المتعلقة بكندا وسويسرا أقل من الواقع، بسبب عدم اكتمال تغطية الحسابات غير ال</w:t>
      </w:r>
      <w:r w:rsidR="00397EF3" w:rsidRPr="00B30F06">
        <w:rPr>
          <w:rFonts w:hint="cs"/>
          <w:sz w:val="20"/>
          <w:szCs w:val="24"/>
          <w:rtl/>
        </w:rPr>
        <w:t>مجمعة</w:t>
      </w:r>
      <w:r w:rsidRPr="00B30F06">
        <w:rPr>
          <w:sz w:val="20"/>
          <w:szCs w:val="24"/>
          <w:rtl/>
        </w:rPr>
        <w:t xml:space="preserve"> للشركات </w:t>
      </w:r>
      <w:r w:rsidR="004869A4" w:rsidRPr="00B30F06">
        <w:rPr>
          <w:sz w:val="20"/>
          <w:szCs w:val="24"/>
          <w:rtl/>
        </w:rPr>
        <w:t xml:space="preserve">الكبيرة </w:t>
      </w:r>
      <w:r w:rsidRPr="00B30F06">
        <w:rPr>
          <w:sz w:val="20"/>
          <w:szCs w:val="24"/>
          <w:rtl/>
        </w:rPr>
        <w:t xml:space="preserve">المتعددة الجنسيات التي </w:t>
      </w:r>
      <w:r w:rsidR="00397EF3" w:rsidRPr="00B30F06">
        <w:rPr>
          <w:rFonts w:hint="cs"/>
          <w:sz w:val="20"/>
          <w:szCs w:val="24"/>
          <w:rtl/>
        </w:rPr>
        <w:t>يقع مقرها الرئيسي في</w:t>
      </w:r>
      <w:r w:rsidR="004869A4" w:rsidRPr="00B30F06">
        <w:rPr>
          <w:rFonts w:hint="cs"/>
          <w:sz w:val="20"/>
          <w:szCs w:val="24"/>
          <w:rtl/>
        </w:rPr>
        <w:t xml:space="preserve"> هذين البلدين.</w:t>
      </w:r>
      <w:r w:rsidRPr="00B30F06">
        <w:rPr>
          <w:sz w:val="20"/>
          <w:szCs w:val="24"/>
          <w:rtl/>
        </w:rPr>
        <w:t xml:space="preserve"> </w:t>
      </w:r>
      <w:r w:rsidR="004869A4" w:rsidRPr="00B30F06">
        <w:rPr>
          <w:rFonts w:hint="cs"/>
          <w:sz w:val="20"/>
          <w:szCs w:val="24"/>
          <w:rtl/>
        </w:rPr>
        <w:t>أما</w:t>
      </w:r>
      <w:r w:rsidRPr="00B30F06">
        <w:rPr>
          <w:sz w:val="20"/>
          <w:szCs w:val="24"/>
          <w:rtl/>
        </w:rPr>
        <w:t xml:space="preserve"> الرقم المتعلق بالمملكة المتحدة لبريطانيا العظمى وأيرلندا الشمالية، </w:t>
      </w:r>
      <w:r w:rsidR="004869A4" w:rsidRPr="00B30F06">
        <w:rPr>
          <w:rFonts w:hint="cs"/>
          <w:sz w:val="20"/>
          <w:szCs w:val="24"/>
          <w:rtl/>
        </w:rPr>
        <w:t>والذي يتأثر بشكل كبير ب</w:t>
      </w:r>
      <w:r w:rsidRPr="00B30F06">
        <w:rPr>
          <w:sz w:val="20"/>
          <w:szCs w:val="24"/>
          <w:rtl/>
        </w:rPr>
        <w:t>إدراج الحسابات الم</w:t>
      </w:r>
      <w:r w:rsidR="004869A4" w:rsidRPr="00B30F06">
        <w:rPr>
          <w:rFonts w:hint="cs"/>
          <w:sz w:val="20"/>
          <w:szCs w:val="24"/>
          <w:rtl/>
        </w:rPr>
        <w:t>جمع</w:t>
      </w:r>
      <w:r w:rsidRPr="00B30F06">
        <w:rPr>
          <w:sz w:val="20"/>
          <w:szCs w:val="24"/>
          <w:rtl/>
        </w:rPr>
        <w:t>ة،</w:t>
      </w:r>
      <w:r w:rsidR="004869A4" w:rsidRPr="00B30F06">
        <w:rPr>
          <w:rFonts w:hint="cs"/>
          <w:sz w:val="20"/>
          <w:szCs w:val="24"/>
          <w:rtl/>
        </w:rPr>
        <w:t xml:space="preserve"> فينبغي التعامل معه باعتباره</w:t>
      </w:r>
      <w:r w:rsidRPr="00B30F06">
        <w:rPr>
          <w:sz w:val="20"/>
          <w:szCs w:val="24"/>
          <w:rtl/>
        </w:rPr>
        <w:t xml:space="preserve"> </w:t>
      </w:r>
      <w:r w:rsidR="004869A4" w:rsidRPr="00B30F06">
        <w:rPr>
          <w:rFonts w:hint="cs"/>
          <w:sz w:val="20"/>
          <w:szCs w:val="24"/>
          <w:rtl/>
        </w:rPr>
        <w:t>ال</w:t>
      </w:r>
      <w:r w:rsidRPr="00B30F06">
        <w:rPr>
          <w:sz w:val="20"/>
          <w:szCs w:val="24"/>
          <w:rtl/>
        </w:rPr>
        <w:t xml:space="preserve">حد </w:t>
      </w:r>
      <w:r w:rsidR="004869A4" w:rsidRPr="00B30F06">
        <w:rPr>
          <w:rFonts w:hint="cs"/>
          <w:sz w:val="20"/>
          <w:szCs w:val="24"/>
          <w:rtl/>
        </w:rPr>
        <w:t>الأقصى</w:t>
      </w:r>
      <w:r w:rsidRPr="00B30F06">
        <w:rPr>
          <w:sz w:val="20"/>
          <w:szCs w:val="24"/>
          <w:rtl/>
        </w:rPr>
        <w:t xml:space="preserve">. ومن ثم ينبغي التعامل مع التقديرات القطرية بحذر أكبر </w:t>
      </w:r>
      <w:r w:rsidR="004869A4" w:rsidRPr="00B30F06">
        <w:rPr>
          <w:rFonts w:hint="cs"/>
          <w:sz w:val="20"/>
          <w:szCs w:val="24"/>
          <w:rtl/>
        </w:rPr>
        <w:t>مقارنة</w:t>
      </w:r>
      <w:r w:rsidRPr="00B30F06">
        <w:rPr>
          <w:sz w:val="20"/>
          <w:szCs w:val="24"/>
          <w:rtl/>
        </w:rPr>
        <w:t xml:space="preserve"> </w:t>
      </w:r>
      <w:r w:rsidR="004869A4" w:rsidRPr="00B30F06">
        <w:rPr>
          <w:rFonts w:hint="cs"/>
          <w:sz w:val="20"/>
          <w:szCs w:val="24"/>
          <w:rtl/>
        </w:rPr>
        <w:t>ب</w:t>
      </w:r>
      <w:r w:rsidRPr="00B30F06">
        <w:rPr>
          <w:sz w:val="20"/>
          <w:szCs w:val="24"/>
          <w:rtl/>
        </w:rPr>
        <w:t>الرقم الإجمالي.</w:t>
      </w:r>
    </w:p>
    <w:p w14:paraId="2F3A2DEA" w14:textId="65A7CFFB" w:rsidR="00BB682B" w:rsidRPr="00B30F06" w:rsidRDefault="00BB682B" w:rsidP="007D1925">
      <w:pPr>
        <w:pStyle w:val="CBDNormalNumber"/>
        <w:numPr>
          <w:ilvl w:val="0"/>
          <w:numId w:val="15"/>
        </w:numPr>
        <w:bidi/>
        <w:rPr>
          <w:sz w:val="20"/>
          <w:szCs w:val="24"/>
          <w:rtl/>
        </w:rPr>
      </w:pPr>
      <w:r w:rsidRPr="00B30F06">
        <w:rPr>
          <w:sz w:val="20"/>
          <w:szCs w:val="24"/>
          <w:rtl/>
        </w:rPr>
        <w:t xml:space="preserve">ويربط المقرر </w:t>
      </w:r>
      <w:hyperlink r:id="rId24" w:history="1">
        <w:r w:rsidR="005F7E4F" w:rsidRPr="00B30F06">
          <w:rPr>
            <w:rStyle w:val="Hyperlink"/>
            <w:rFonts w:hint="cs"/>
            <w:sz w:val="20"/>
            <w:szCs w:val="24"/>
            <w:rtl/>
          </w:rPr>
          <w:t>16/2</w:t>
        </w:r>
      </w:hyperlink>
      <w:r w:rsidRPr="00B30F06">
        <w:rPr>
          <w:sz w:val="20"/>
          <w:szCs w:val="24"/>
          <w:rtl/>
        </w:rPr>
        <w:t xml:space="preserve"> كلا من الأهلية ومبلغ المساهمة بمقاييس مالية، هي الأصول والمبيعات والأرباح، </w:t>
      </w:r>
      <w:r w:rsidR="00443AAD" w:rsidRPr="00B30F06">
        <w:rPr>
          <w:sz w:val="20"/>
          <w:szCs w:val="24"/>
          <w:rtl/>
        </w:rPr>
        <w:t>بدلاً من ربطهما، على سبيل المثال،</w:t>
      </w:r>
      <w:r w:rsidR="00443AAD" w:rsidRPr="00B30F06">
        <w:rPr>
          <w:rFonts w:hint="cs"/>
          <w:sz w:val="20"/>
          <w:szCs w:val="24"/>
          <w:rtl/>
        </w:rPr>
        <w:t xml:space="preserve"> </w:t>
      </w:r>
      <w:r w:rsidRPr="00B30F06">
        <w:rPr>
          <w:sz w:val="20"/>
          <w:szCs w:val="24"/>
          <w:rtl/>
        </w:rPr>
        <w:t xml:space="preserve">باستخدام معلومات التسلسل الرقمي في حد ذاته. ولا </w:t>
      </w:r>
      <w:r w:rsidR="00443AAD" w:rsidRPr="00B30F06">
        <w:rPr>
          <w:rFonts w:hint="cs"/>
          <w:sz w:val="20"/>
          <w:szCs w:val="24"/>
          <w:rtl/>
        </w:rPr>
        <w:t>ت</w:t>
      </w:r>
      <w:r w:rsidRPr="00B30F06">
        <w:rPr>
          <w:sz w:val="20"/>
          <w:szCs w:val="24"/>
          <w:rtl/>
        </w:rPr>
        <w:t xml:space="preserve">وجد حاليا </w:t>
      </w:r>
      <w:r w:rsidR="00443AAD" w:rsidRPr="00B30F06">
        <w:rPr>
          <w:rFonts w:hint="cs"/>
          <w:sz w:val="20"/>
          <w:szCs w:val="24"/>
          <w:rtl/>
        </w:rPr>
        <w:t xml:space="preserve">أي </w:t>
      </w:r>
      <w:r w:rsidRPr="00B30F06">
        <w:rPr>
          <w:sz w:val="20"/>
          <w:szCs w:val="24"/>
          <w:rtl/>
        </w:rPr>
        <w:t>مص</w:t>
      </w:r>
      <w:r w:rsidR="00443AAD" w:rsidRPr="00B30F06">
        <w:rPr>
          <w:rFonts w:hint="cs"/>
          <w:sz w:val="20"/>
          <w:szCs w:val="24"/>
          <w:rtl/>
        </w:rPr>
        <w:t>ا</w:t>
      </w:r>
      <w:r w:rsidRPr="00B30F06">
        <w:rPr>
          <w:sz w:val="20"/>
          <w:szCs w:val="24"/>
          <w:rtl/>
        </w:rPr>
        <w:t xml:space="preserve">در بيانات </w:t>
      </w:r>
      <w:r w:rsidR="00443AAD" w:rsidRPr="00B30F06">
        <w:rPr>
          <w:rFonts w:hint="cs"/>
          <w:sz w:val="20"/>
          <w:szCs w:val="24"/>
          <w:rtl/>
        </w:rPr>
        <w:t>لرصد</w:t>
      </w:r>
      <w:r w:rsidRPr="00B30F06">
        <w:rPr>
          <w:sz w:val="20"/>
          <w:szCs w:val="24"/>
          <w:rtl/>
        </w:rPr>
        <w:t xml:space="preserve"> حجم النشاط المالي للشركة الذي يُعزى إلى استخدام معلومات التسلسل الرقمي </w:t>
      </w:r>
      <w:r w:rsidR="00443AAD" w:rsidRPr="00B30F06">
        <w:rPr>
          <w:rFonts w:hint="cs"/>
          <w:sz w:val="20"/>
          <w:szCs w:val="24"/>
          <w:rtl/>
        </w:rPr>
        <w:t>عن</w:t>
      </w:r>
      <w:r w:rsidRPr="00B30F06">
        <w:rPr>
          <w:sz w:val="20"/>
          <w:szCs w:val="24"/>
          <w:rtl/>
        </w:rPr>
        <w:t xml:space="preserve"> الموارد الجينية. و</w:t>
      </w:r>
      <w:r w:rsidR="00443AAD" w:rsidRPr="00B30F06">
        <w:rPr>
          <w:rFonts w:hint="cs"/>
          <w:sz w:val="20"/>
          <w:szCs w:val="24"/>
          <w:rtl/>
        </w:rPr>
        <w:t>يعد ذلك</w:t>
      </w:r>
      <w:r w:rsidRPr="00B30F06">
        <w:rPr>
          <w:sz w:val="20"/>
          <w:szCs w:val="24"/>
          <w:rtl/>
        </w:rPr>
        <w:t xml:space="preserve"> قصور في مشهد البيانات الأساسي</w:t>
      </w:r>
      <w:r w:rsidR="00443AAD" w:rsidRPr="00B30F06">
        <w:rPr>
          <w:rFonts w:hint="cs"/>
          <w:sz w:val="20"/>
          <w:szCs w:val="24"/>
          <w:rtl/>
        </w:rPr>
        <w:t>ة</w:t>
      </w:r>
      <w:r w:rsidRPr="00B30F06">
        <w:rPr>
          <w:sz w:val="20"/>
          <w:szCs w:val="24"/>
          <w:rtl/>
        </w:rPr>
        <w:t xml:space="preserve"> لا في أي دراسة بعينها. وفي غياب </w:t>
      </w:r>
      <w:r w:rsidR="00443AAD" w:rsidRPr="00B30F06">
        <w:rPr>
          <w:rFonts w:hint="cs"/>
          <w:sz w:val="20"/>
          <w:szCs w:val="24"/>
          <w:rtl/>
        </w:rPr>
        <w:t>مثل هذا ال</w:t>
      </w:r>
      <w:r w:rsidRPr="00B30F06">
        <w:rPr>
          <w:sz w:val="20"/>
          <w:szCs w:val="24"/>
          <w:rtl/>
        </w:rPr>
        <w:t xml:space="preserve">مقياس، </w:t>
      </w:r>
      <w:r w:rsidR="00395E78" w:rsidRPr="00B30F06">
        <w:rPr>
          <w:sz w:val="20"/>
          <w:szCs w:val="24"/>
          <w:rtl/>
        </w:rPr>
        <w:t>يعتمد التحليل الوارد في الجزء الثاني على تقريب</w:t>
      </w:r>
      <w:r w:rsidR="00395E78" w:rsidRPr="00B30F06">
        <w:rPr>
          <w:rFonts w:hint="cs"/>
          <w:sz w:val="20"/>
          <w:szCs w:val="24"/>
          <w:rtl/>
        </w:rPr>
        <w:t xml:space="preserve"> </w:t>
      </w:r>
      <w:r w:rsidRPr="00B30F06">
        <w:rPr>
          <w:sz w:val="20"/>
          <w:szCs w:val="24"/>
          <w:rtl/>
        </w:rPr>
        <w:t xml:space="preserve">استخدام معلومات التسلسل الرقمي بشأن الموارد الجينية استنادا إلى الانتماء القطاعي على النحو المحدد في الضميمة الأولى بمرفق المقرر </w:t>
      </w:r>
      <w:hyperlink r:id="rId25" w:history="1">
        <w:r w:rsidR="00443AAD" w:rsidRPr="00B30F06">
          <w:rPr>
            <w:rStyle w:val="Hyperlink"/>
            <w:rFonts w:hint="cs"/>
            <w:sz w:val="20"/>
            <w:szCs w:val="24"/>
            <w:rtl/>
          </w:rPr>
          <w:t>16/2</w:t>
        </w:r>
      </w:hyperlink>
      <w:r w:rsidRPr="00B30F06">
        <w:rPr>
          <w:sz w:val="20"/>
          <w:szCs w:val="24"/>
          <w:rtl/>
        </w:rPr>
        <w:t xml:space="preserve">، مقترنا بمعدلات </w:t>
      </w:r>
      <w:r w:rsidR="00443AAD" w:rsidRPr="00B30F06">
        <w:rPr>
          <w:rFonts w:hint="cs"/>
          <w:sz w:val="20"/>
          <w:szCs w:val="24"/>
          <w:rtl/>
        </w:rPr>
        <w:t>ال</w:t>
      </w:r>
      <w:r w:rsidRPr="00B30F06">
        <w:rPr>
          <w:sz w:val="20"/>
          <w:szCs w:val="24"/>
          <w:rtl/>
        </w:rPr>
        <w:t xml:space="preserve">مشاركة </w:t>
      </w:r>
      <w:r w:rsidR="00443AAD" w:rsidRPr="00B30F06">
        <w:rPr>
          <w:rFonts w:hint="cs"/>
          <w:sz w:val="20"/>
          <w:szCs w:val="24"/>
          <w:rtl/>
        </w:rPr>
        <w:t>ال</w:t>
      </w:r>
      <w:r w:rsidRPr="00B30F06">
        <w:rPr>
          <w:sz w:val="20"/>
          <w:szCs w:val="24"/>
          <w:rtl/>
        </w:rPr>
        <w:t xml:space="preserve">مفترضة وبكثافة </w:t>
      </w:r>
      <w:r w:rsidR="00443AAD" w:rsidRPr="00B30F06">
        <w:rPr>
          <w:rFonts w:hint="cs"/>
          <w:sz w:val="20"/>
          <w:szCs w:val="24"/>
          <w:rtl/>
        </w:rPr>
        <w:t xml:space="preserve">استخدام </w:t>
      </w:r>
      <w:r w:rsidRPr="00B30F06">
        <w:rPr>
          <w:sz w:val="20"/>
          <w:szCs w:val="24"/>
          <w:rtl/>
        </w:rPr>
        <w:t xml:space="preserve">معلومات التسلسل الرقمي بشأن الموارد الجينية؛ وهذه مؤشرات بديلة لاستخدام معلومات التسلسل الرقمي بشأن الموارد الجينية </w:t>
      </w:r>
      <w:r w:rsidR="00443AAD" w:rsidRPr="00B30F06">
        <w:rPr>
          <w:rFonts w:hint="cs"/>
          <w:sz w:val="20"/>
          <w:szCs w:val="24"/>
          <w:rtl/>
        </w:rPr>
        <w:t>وليست</w:t>
      </w:r>
      <w:r w:rsidRPr="00B30F06">
        <w:rPr>
          <w:sz w:val="20"/>
          <w:szCs w:val="24"/>
          <w:rtl/>
        </w:rPr>
        <w:t xml:space="preserve"> قياسات له، وينبغي مراعاة هذا </w:t>
      </w:r>
      <w:r w:rsidR="00395E78" w:rsidRPr="00B30F06">
        <w:rPr>
          <w:rFonts w:hint="cs"/>
          <w:sz w:val="20"/>
          <w:szCs w:val="24"/>
          <w:rtl/>
        </w:rPr>
        <w:t>الفارق</w:t>
      </w:r>
      <w:r w:rsidRPr="00B30F06">
        <w:rPr>
          <w:sz w:val="20"/>
          <w:szCs w:val="24"/>
          <w:rtl/>
        </w:rPr>
        <w:t xml:space="preserve"> عند استخدام النتائج كأساس ل</w:t>
      </w:r>
      <w:r w:rsidR="00395E78" w:rsidRPr="00B30F06">
        <w:rPr>
          <w:rFonts w:hint="cs"/>
          <w:sz w:val="20"/>
          <w:szCs w:val="24"/>
          <w:rtl/>
        </w:rPr>
        <w:t>وضع ال</w:t>
      </w:r>
      <w:r w:rsidRPr="00B30F06">
        <w:rPr>
          <w:sz w:val="20"/>
          <w:szCs w:val="24"/>
          <w:rtl/>
        </w:rPr>
        <w:t xml:space="preserve">سياسات. ومع تطور متطلبات الإفصاح المؤسسي وتنفيذ المقرر </w:t>
      </w:r>
      <w:hyperlink r:id="rId26" w:history="1">
        <w:r w:rsidR="00443AAD" w:rsidRPr="00B30F06">
          <w:rPr>
            <w:rStyle w:val="Hyperlink"/>
            <w:rFonts w:hint="cs"/>
            <w:sz w:val="20"/>
            <w:szCs w:val="24"/>
            <w:rtl/>
          </w:rPr>
          <w:t>16/2</w:t>
        </w:r>
      </w:hyperlink>
      <w:r w:rsidRPr="00B30F06">
        <w:rPr>
          <w:sz w:val="20"/>
          <w:szCs w:val="24"/>
          <w:rtl/>
        </w:rPr>
        <w:t>، من المرجح أن يتحسن توافر البيانات عن استخدام الشركات لمعلومات التسلسل الرقمي بشأن الموارد الجينية، وهو ما من شأنه أن يقلل عدم اليقين في التقدير</w:t>
      </w:r>
      <w:r w:rsidR="00395E78" w:rsidRPr="00B30F06">
        <w:rPr>
          <w:rFonts w:hint="cs"/>
          <w:sz w:val="20"/>
          <w:szCs w:val="24"/>
          <w:rtl/>
        </w:rPr>
        <w:t>ات</w:t>
      </w:r>
      <w:r w:rsidRPr="00B30F06">
        <w:rPr>
          <w:sz w:val="20"/>
          <w:szCs w:val="24"/>
          <w:rtl/>
        </w:rPr>
        <w:t xml:space="preserve"> الذي ي</w:t>
      </w:r>
      <w:r w:rsidR="00395E78" w:rsidRPr="00B30F06">
        <w:rPr>
          <w:rFonts w:hint="cs"/>
          <w:sz w:val="20"/>
          <w:szCs w:val="24"/>
          <w:rtl/>
        </w:rPr>
        <w:t>ن</w:t>
      </w:r>
      <w:r w:rsidRPr="00B30F06">
        <w:rPr>
          <w:sz w:val="20"/>
          <w:szCs w:val="24"/>
          <w:rtl/>
        </w:rPr>
        <w:t>عكس</w:t>
      </w:r>
      <w:r w:rsidR="00395E78" w:rsidRPr="00B30F06">
        <w:rPr>
          <w:rFonts w:hint="cs"/>
          <w:sz w:val="20"/>
          <w:szCs w:val="24"/>
          <w:rtl/>
        </w:rPr>
        <w:t xml:space="preserve"> في النطاق الواسع ل</w:t>
      </w:r>
      <w:r w:rsidRPr="00B30F06">
        <w:rPr>
          <w:sz w:val="20"/>
          <w:szCs w:val="24"/>
          <w:rtl/>
        </w:rPr>
        <w:t>لسيناريوهات المدرجة في الدراسة.</w:t>
      </w:r>
    </w:p>
    <w:p w14:paraId="660032D6" w14:textId="3C4D101E" w:rsidR="00BB682B" w:rsidRPr="00B30F06" w:rsidRDefault="00BB682B" w:rsidP="007D1925">
      <w:pPr>
        <w:pStyle w:val="CBDNormalNumber"/>
        <w:numPr>
          <w:ilvl w:val="0"/>
          <w:numId w:val="15"/>
        </w:numPr>
        <w:bidi/>
        <w:rPr>
          <w:sz w:val="20"/>
          <w:szCs w:val="24"/>
          <w:rtl/>
        </w:rPr>
      </w:pPr>
      <w:r w:rsidRPr="00B30F06">
        <w:rPr>
          <w:sz w:val="20"/>
          <w:szCs w:val="24"/>
          <w:rtl/>
        </w:rPr>
        <w:t>ولا يمكن للتخطيط القطاعي، القائم على رموز التصنيف الصناعي الموحد على أدق مستوى متاح، أن يفصل بوضوح بين الشركات التي تعتمد اعتمادا مباشرا على استخدام معلومات التسلسل الرقمي بشأن الموارد الجينية والشرائح المجاورة لها ضمن الرمز نفسه. ويستند معيارا</w:t>
      </w:r>
      <w:r w:rsidR="00306251" w:rsidRPr="00B30F06">
        <w:rPr>
          <w:rFonts w:hint="cs"/>
          <w:sz w:val="20"/>
          <w:szCs w:val="24"/>
          <w:rtl/>
        </w:rPr>
        <w:t>ن</w:t>
      </w:r>
      <w:r w:rsidRPr="00B30F06">
        <w:rPr>
          <w:sz w:val="20"/>
          <w:szCs w:val="24"/>
          <w:rtl/>
        </w:rPr>
        <w:t xml:space="preserve"> </w:t>
      </w:r>
      <w:r w:rsidR="00306251" w:rsidRPr="00B30F06">
        <w:rPr>
          <w:rFonts w:hint="cs"/>
          <w:sz w:val="20"/>
          <w:szCs w:val="24"/>
          <w:rtl/>
        </w:rPr>
        <w:t>لل</w:t>
      </w:r>
      <w:r w:rsidRPr="00B30F06">
        <w:rPr>
          <w:sz w:val="20"/>
          <w:szCs w:val="24"/>
          <w:rtl/>
        </w:rPr>
        <w:t xml:space="preserve">معايرة في السيناريو المركزي إلى أدلة خارجة عن صندوق كالي نفسه. فافتراضات معدل المشاركة مُعايَرة استنادا إلى الأدبيات المتعلقة بالمخططات الطوعية المماثلة في مجالي البيئة وتقاسم المنافع، إذ لم </w:t>
      </w:r>
      <w:r w:rsidR="00306251" w:rsidRPr="00B30F06">
        <w:rPr>
          <w:rFonts w:hint="cs"/>
          <w:sz w:val="20"/>
          <w:szCs w:val="24"/>
          <w:rtl/>
        </w:rPr>
        <w:t>يُرصد</w:t>
      </w:r>
      <w:r w:rsidRPr="00B30F06">
        <w:rPr>
          <w:sz w:val="20"/>
          <w:szCs w:val="24"/>
          <w:rtl/>
        </w:rPr>
        <w:t xml:space="preserve"> حتى الآن أي مخطط يتسم بالخصائص التصميمية المحددة لصندوق كالي. </w:t>
      </w:r>
      <w:r w:rsidR="00306251" w:rsidRPr="00B30F06">
        <w:rPr>
          <w:rFonts w:hint="cs"/>
          <w:sz w:val="20"/>
          <w:szCs w:val="24"/>
          <w:rtl/>
        </w:rPr>
        <w:t xml:space="preserve">وفي المقابل، جرت مُعايرة </w:t>
      </w:r>
      <w:r w:rsidRPr="00B30F06">
        <w:rPr>
          <w:sz w:val="20"/>
          <w:szCs w:val="24"/>
          <w:rtl/>
        </w:rPr>
        <w:t>مضاعِفات كثافة استخدام معلومات التسلسل الرقمي بشأن الموارد الجينية</w:t>
      </w:r>
      <w:r w:rsidR="00306251" w:rsidRPr="00B30F06">
        <w:rPr>
          <w:rFonts w:hint="cs"/>
          <w:sz w:val="20"/>
          <w:szCs w:val="24"/>
          <w:rtl/>
        </w:rPr>
        <w:t xml:space="preserve"> </w:t>
      </w:r>
      <w:r w:rsidRPr="00B30F06">
        <w:rPr>
          <w:sz w:val="20"/>
          <w:szCs w:val="24"/>
          <w:rtl/>
        </w:rPr>
        <w:t xml:space="preserve">استنادا إلى الأدبيات القطاعية وحدها. ومن ثم فإن تعديل كثافة استخدام معلومات التسلسل الرقمي بشأن الموارد الجينية هو أكثر المعايير </w:t>
      </w:r>
      <w:r w:rsidR="00306251" w:rsidRPr="00B30F06">
        <w:rPr>
          <w:rFonts w:hint="cs"/>
          <w:sz w:val="20"/>
          <w:szCs w:val="24"/>
          <w:rtl/>
        </w:rPr>
        <w:t>التي تتسم ب</w:t>
      </w:r>
      <w:r w:rsidRPr="00B30F06">
        <w:rPr>
          <w:sz w:val="20"/>
          <w:szCs w:val="24"/>
          <w:rtl/>
        </w:rPr>
        <w:t xml:space="preserve">عدم </w:t>
      </w:r>
      <w:r w:rsidR="00306251" w:rsidRPr="00B30F06">
        <w:rPr>
          <w:rFonts w:hint="cs"/>
          <w:sz w:val="20"/>
          <w:szCs w:val="24"/>
          <w:rtl/>
        </w:rPr>
        <w:t>ال</w:t>
      </w:r>
      <w:r w:rsidRPr="00B30F06">
        <w:rPr>
          <w:sz w:val="20"/>
          <w:szCs w:val="24"/>
          <w:rtl/>
        </w:rPr>
        <w:t xml:space="preserve">يقين في التحليل، وينعكس عدم اليقين هذا في اتساع نطاق السيناريوهات المعروضة في الجزء الثاني. وقد تود الأطراف النظر فيما إذا كان ينبغي إعادة النظر في هذه المضاعِفات </w:t>
      </w:r>
      <w:r w:rsidR="00306251" w:rsidRPr="00B30F06">
        <w:rPr>
          <w:rFonts w:hint="cs"/>
          <w:sz w:val="20"/>
          <w:szCs w:val="24"/>
          <w:rtl/>
        </w:rPr>
        <w:t>عند</w:t>
      </w:r>
      <w:r w:rsidRPr="00B30F06">
        <w:rPr>
          <w:sz w:val="20"/>
          <w:szCs w:val="24"/>
          <w:rtl/>
        </w:rPr>
        <w:t xml:space="preserve"> توافر أدلة على مستوى الشركات أو أدلة قائمة على الدراسات الاستقصائية بشأن استخدام معلومات التسلسل الرقمي بشأن الموارد الجينية.</w:t>
      </w:r>
    </w:p>
    <w:p w14:paraId="30AB2ADD" w14:textId="268D550D" w:rsidR="00BB682B" w:rsidRPr="00B30F06" w:rsidRDefault="00BB682B" w:rsidP="002408E9">
      <w:pPr>
        <w:pStyle w:val="CBDNormalNumber"/>
        <w:numPr>
          <w:ilvl w:val="0"/>
          <w:numId w:val="15"/>
        </w:numPr>
        <w:bidi/>
        <w:rPr>
          <w:sz w:val="20"/>
          <w:szCs w:val="24"/>
          <w:rtl/>
        </w:rPr>
      </w:pPr>
      <w:r w:rsidRPr="00B30F06">
        <w:rPr>
          <w:sz w:val="20"/>
          <w:szCs w:val="24"/>
          <w:rtl/>
        </w:rPr>
        <w:t xml:space="preserve">ولأن صندوق كالي لا </w:t>
      </w:r>
      <w:r w:rsidR="00306251" w:rsidRPr="00B30F06">
        <w:rPr>
          <w:rFonts w:hint="cs"/>
          <w:sz w:val="20"/>
          <w:szCs w:val="24"/>
          <w:rtl/>
        </w:rPr>
        <w:t xml:space="preserve">يزال لا </w:t>
      </w:r>
      <w:r w:rsidRPr="00B30F06">
        <w:rPr>
          <w:sz w:val="20"/>
          <w:szCs w:val="24"/>
          <w:rtl/>
        </w:rPr>
        <w:t xml:space="preserve">يولّد مساهمات، </w:t>
      </w:r>
      <w:r w:rsidR="00306251" w:rsidRPr="00B30F06">
        <w:rPr>
          <w:rFonts w:hint="cs"/>
          <w:sz w:val="20"/>
          <w:szCs w:val="24"/>
          <w:rtl/>
        </w:rPr>
        <w:t>ف</w:t>
      </w:r>
      <w:r w:rsidRPr="00B30F06">
        <w:rPr>
          <w:sz w:val="20"/>
          <w:szCs w:val="24"/>
          <w:rtl/>
        </w:rPr>
        <w:t xml:space="preserve">لا يمكن </w:t>
      </w:r>
      <w:r w:rsidR="00306251" w:rsidRPr="00B30F06">
        <w:rPr>
          <w:rFonts w:hint="cs"/>
          <w:sz w:val="20"/>
          <w:szCs w:val="24"/>
          <w:rtl/>
        </w:rPr>
        <w:t>رصد</w:t>
      </w:r>
      <w:r w:rsidRPr="00B30F06">
        <w:rPr>
          <w:sz w:val="20"/>
          <w:szCs w:val="24"/>
          <w:rtl/>
        </w:rPr>
        <w:t xml:space="preserve"> أي سلوك </w:t>
      </w:r>
      <w:r w:rsidR="00306251" w:rsidRPr="00B30F06">
        <w:rPr>
          <w:rFonts w:hint="cs"/>
          <w:sz w:val="20"/>
          <w:szCs w:val="24"/>
          <w:rtl/>
        </w:rPr>
        <w:t>فعلي</w:t>
      </w:r>
      <w:r w:rsidRPr="00B30F06">
        <w:rPr>
          <w:sz w:val="20"/>
          <w:szCs w:val="24"/>
          <w:rtl/>
        </w:rPr>
        <w:t xml:space="preserve"> </w:t>
      </w:r>
      <w:r w:rsidR="00306251" w:rsidRPr="00B30F06">
        <w:rPr>
          <w:rFonts w:hint="cs"/>
          <w:sz w:val="20"/>
          <w:szCs w:val="24"/>
          <w:rtl/>
        </w:rPr>
        <w:t>ل</w:t>
      </w:r>
      <w:r w:rsidRPr="00B30F06">
        <w:rPr>
          <w:sz w:val="20"/>
          <w:szCs w:val="24"/>
          <w:rtl/>
        </w:rPr>
        <w:t xml:space="preserve">لمشاركة </w:t>
      </w:r>
      <w:r w:rsidR="00306251" w:rsidRPr="00B30F06">
        <w:rPr>
          <w:rFonts w:hint="cs"/>
          <w:sz w:val="20"/>
          <w:szCs w:val="24"/>
          <w:rtl/>
        </w:rPr>
        <w:t>بشكل</w:t>
      </w:r>
      <w:r w:rsidRPr="00B30F06">
        <w:rPr>
          <w:sz w:val="20"/>
          <w:szCs w:val="24"/>
          <w:rtl/>
        </w:rPr>
        <w:t xml:space="preserve"> مباشر. ومن ثم فإن تقييم القدرة التنافسية الوارد في الجزء الثالث </w:t>
      </w:r>
      <w:r w:rsidR="00306251" w:rsidRPr="00B30F06">
        <w:rPr>
          <w:rFonts w:hint="cs"/>
          <w:sz w:val="20"/>
          <w:szCs w:val="24"/>
          <w:rtl/>
        </w:rPr>
        <w:t xml:space="preserve">هو </w:t>
      </w:r>
      <w:r w:rsidRPr="00B30F06">
        <w:rPr>
          <w:sz w:val="20"/>
          <w:szCs w:val="24"/>
          <w:rtl/>
        </w:rPr>
        <w:t xml:space="preserve">تقييم استشرافي يجمع بين الرأي المنظَّم للخبراء </w:t>
      </w:r>
      <w:r w:rsidR="00640D93" w:rsidRPr="00B30F06">
        <w:rPr>
          <w:rFonts w:hint="cs"/>
          <w:sz w:val="20"/>
          <w:szCs w:val="24"/>
          <w:rtl/>
        </w:rPr>
        <w:t>والبيانات</w:t>
      </w:r>
      <w:r w:rsidRPr="00B30F06">
        <w:rPr>
          <w:sz w:val="20"/>
          <w:szCs w:val="24"/>
          <w:rtl/>
        </w:rPr>
        <w:t xml:space="preserve"> الكمية</w:t>
      </w:r>
      <w:r w:rsidR="00640D93" w:rsidRPr="00B30F06">
        <w:rPr>
          <w:rFonts w:hint="cs"/>
          <w:sz w:val="20"/>
          <w:szCs w:val="24"/>
          <w:rtl/>
        </w:rPr>
        <w:t xml:space="preserve"> المرجعية</w:t>
      </w:r>
      <w:r w:rsidRPr="00B30F06">
        <w:rPr>
          <w:sz w:val="20"/>
          <w:szCs w:val="24"/>
          <w:rtl/>
        </w:rPr>
        <w:t xml:space="preserve"> المستمدة من الجزء الثاني حيثما تسمح البيانات بذلك.</w:t>
      </w:r>
    </w:p>
    <w:p w14:paraId="31982213" w14:textId="3AAE0375" w:rsidR="00BB682B" w:rsidRPr="00B30F06" w:rsidRDefault="00BB682B" w:rsidP="002408E9">
      <w:pPr>
        <w:pStyle w:val="CBDNormalNumber"/>
        <w:numPr>
          <w:ilvl w:val="0"/>
          <w:numId w:val="15"/>
        </w:numPr>
        <w:bidi/>
        <w:rPr>
          <w:sz w:val="20"/>
          <w:szCs w:val="24"/>
          <w:rtl/>
        </w:rPr>
      </w:pPr>
      <w:r w:rsidRPr="00B30F06">
        <w:rPr>
          <w:sz w:val="20"/>
          <w:szCs w:val="24"/>
          <w:rtl/>
        </w:rPr>
        <w:t>ولا تزال عدة معايير تصميمية أخرى</w:t>
      </w:r>
      <w:r w:rsidR="00640D93" w:rsidRPr="00B30F06">
        <w:rPr>
          <w:rFonts w:hint="cs"/>
          <w:sz w:val="20"/>
          <w:szCs w:val="24"/>
          <w:rtl/>
        </w:rPr>
        <w:t xml:space="preserve"> واردة</w:t>
      </w:r>
      <w:r w:rsidRPr="00B30F06">
        <w:rPr>
          <w:sz w:val="20"/>
          <w:szCs w:val="24"/>
          <w:rtl/>
        </w:rPr>
        <w:t xml:space="preserve"> في المقرر </w:t>
      </w:r>
      <w:hyperlink r:id="rId27" w:history="1">
        <w:r w:rsidR="00640D93" w:rsidRPr="00B30F06">
          <w:rPr>
            <w:rStyle w:val="Hyperlink"/>
            <w:rFonts w:hint="cs"/>
            <w:sz w:val="20"/>
            <w:szCs w:val="24"/>
            <w:rtl/>
          </w:rPr>
          <w:t>16/2</w:t>
        </w:r>
      </w:hyperlink>
      <w:r w:rsidR="00640D93" w:rsidRPr="00B30F06">
        <w:rPr>
          <w:rFonts w:hint="cs"/>
          <w:sz w:val="20"/>
          <w:szCs w:val="24"/>
          <w:rtl/>
        </w:rPr>
        <w:t>،</w:t>
      </w:r>
      <w:r w:rsidRPr="00B30F06">
        <w:rPr>
          <w:sz w:val="20"/>
          <w:szCs w:val="24"/>
          <w:rtl/>
        </w:rPr>
        <w:t xml:space="preserve"> </w:t>
      </w:r>
      <w:r w:rsidR="00640D93" w:rsidRPr="00B30F06">
        <w:rPr>
          <w:rFonts w:hint="cs"/>
          <w:sz w:val="20"/>
          <w:szCs w:val="24"/>
          <w:rtl/>
        </w:rPr>
        <w:t xml:space="preserve">والتي </w:t>
      </w:r>
      <w:r w:rsidRPr="00B30F06">
        <w:rPr>
          <w:sz w:val="20"/>
          <w:szCs w:val="24"/>
          <w:rtl/>
        </w:rPr>
        <w:t xml:space="preserve">تؤثر في نتائج الإيرادات والقدرة التنافسية على السواء </w:t>
      </w:r>
      <w:r w:rsidR="00640D93" w:rsidRPr="00B30F06">
        <w:rPr>
          <w:rFonts w:hint="cs"/>
          <w:sz w:val="20"/>
          <w:szCs w:val="24"/>
          <w:rtl/>
        </w:rPr>
        <w:t>غير</w:t>
      </w:r>
      <w:r w:rsidRPr="00B30F06">
        <w:rPr>
          <w:sz w:val="20"/>
          <w:szCs w:val="24"/>
          <w:rtl/>
        </w:rPr>
        <w:t xml:space="preserve"> </w:t>
      </w:r>
      <w:r w:rsidR="00640D93" w:rsidRPr="00B30F06">
        <w:rPr>
          <w:rFonts w:hint="cs"/>
          <w:sz w:val="20"/>
          <w:szCs w:val="24"/>
          <w:rtl/>
        </w:rPr>
        <w:t>محسومة</w:t>
      </w:r>
      <w:r w:rsidRPr="00B30F06">
        <w:rPr>
          <w:sz w:val="20"/>
          <w:szCs w:val="24"/>
          <w:rtl/>
        </w:rPr>
        <w:t>؛ وهي مدرجة في الفرع ثالثا</w:t>
      </w:r>
      <w:r w:rsidR="00640D93" w:rsidRPr="00B30F06">
        <w:rPr>
          <w:rFonts w:hint="cs"/>
          <w:sz w:val="20"/>
          <w:szCs w:val="24"/>
          <w:rtl/>
        </w:rPr>
        <w:t>ً</w:t>
      </w:r>
      <w:r w:rsidRPr="00B30F06">
        <w:rPr>
          <w:sz w:val="20"/>
          <w:szCs w:val="24"/>
          <w:rtl/>
        </w:rPr>
        <w:t>-باء أدناه و</w:t>
      </w:r>
      <w:r w:rsidR="00640D93" w:rsidRPr="00B30F06">
        <w:rPr>
          <w:rFonts w:hint="cs"/>
          <w:sz w:val="20"/>
          <w:szCs w:val="24"/>
          <w:rtl/>
        </w:rPr>
        <w:t>تنعكس</w:t>
      </w:r>
      <w:r w:rsidRPr="00B30F06">
        <w:rPr>
          <w:sz w:val="20"/>
          <w:szCs w:val="24"/>
          <w:rtl/>
        </w:rPr>
        <w:t xml:space="preserve"> في </w:t>
      </w:r>
      <w:r w:rsidR="00640D93" w:rsidRPr="00B30F06">
        <w:rPr>
          <w:rFonts w:hint="cs"/>
          <w:sz w:val="20"/>
          <w:szCs w:val="24"/>
          <w:rtl/>
        </w:rPr>
        <w:t>جميع</w:t>
      </w:r>
      <w:r w:rsidRPr="00B30F06">
        <w:rPr>
          <w:sz w:val="20"/>
          <w:szCs w:val="24"/>
          <w:rtl/>
        </w:rPr>
        <w:t xml:space="preserve"> نطاقات السيناريوهات المعروضة في الجزأين الثاني والثالث، بدلا من حسمها </w:t>
      </w:r>
      <w:r w:rsidR="00640D93" w:rsidRPr="00B30F06">
        <w:rPr>
          <w:rFonts w:hint="cs"/>
          <w:sz w:val="20"/>
          <w:szCs w:val="24"/>
          <w:rtl/>
        </w:rPr>
        <w:t xml:space="preserve">عن طريق </w:t>
      </w:r>
      <w:r w:rsidRPr="00B30F06">
        <w:rPr>
          <w:sz w:val="20"/>
          <w:szCs w:val="24"/>
          <w:rtl/>
        </w:rPr>
        <w:t>الافتراض.</w:t>
      </w:r>
    </w:p>
    <w:p w14:paraId="60D90918" w14:textId="14DFAEFA" w:rsidR="00BB682B" w:rsidRPr="00B30F06" w:rsidRDefault="00065994" w:rsidP="00340033">
      <w:pPr>
        <w:pStyle w:val="CBDH1"/>
        <w:bidi/>
        <w:rPr>
          <w:b w:val="0"/>
          <w:bCs/>
          <w:sz w:val="20"/>
          <w:szCs w:val="24"/>
          <w:rtl/>
        </w:rPr>
      </w:pPr>
      <w:r w:rsidRPr="00B30F06">
        <w:rPr>
          <w:b w:val="0"/>
          <w:bCs/>
          <w:sz w:val="20"/>
          <w:szCs w:val="24"/>
          <w:rtl/>
        </w:rPr>
        <w:t>ثالثا</w:t>
      </w:r>
      <w:r w:rsidR="001E404A" w:rsidRPr="00B30F06">
        <w:rPr>
          <w:rFonts w:hint="cs"/>
          <w:b w:val="0"/>
          <w:bCs/>
          <w:sz w:val="20"/>
          <w:szCs w:val="24"/>
          <w:rtl/>
        </w:rPr>
        <w:t>ً</w:t>
      </w:r>
      <w:r w:rsidRPr="00B30F06">
        <w:rPr>
          <w:b w:val="0"/>
          <w:bCs/>
          <w:sz w:val="20"/>
          <w:szCs w:val="24"/>
          <w:rtl/>
        </w:rPr>
        <w:t>-</w:t>
      </w:r>
      <w:r w:rsidRPr="00B30F06">
        <w:rPr>
          <w:b w:val="0"/>
          <w:bCs/>
          <w:sz w:val="20"/>
          <w:szCs w:val="24"/>
        </w:rPr>
        <w:tab/>
      </w:r>
      <w:r w:rsidRPr="00B30F06">
        <w:rPr>
          <w:b w:val="0"/>
          <w:bCs/>
          <w:sz w:val="20"/>
          <w:szCs w:val="24"/>
          <w:rtl/>
        </w:rPr>
        <w:t>المعلومات الأساسية والسياق</w:t>
      </w:r>
    </w:p>
    <w:p w14:paraId="013ECD24" w14:textId="37238466" w:rsidR="00BB682B" w:rsidRPr="00B30F06" w:rsidRDefault="00BB682B" w:rsidP="00E83314">
      <w:pPr>
        <w:pStyle w:val="CBDNormalNumber"/>
        <w:numPr>
          <w:ilvl w:val="0"/>
          <w:numId w:val="15"/>
        </w:numPr>
        <w:bidi/>
        <w:rPr>
          <w:sz w:val="20"/>
          <w:szCs w:val="24"/>
          <w:rtl/>
        </w:rPr>
      </w:pPr>
      <w:r w:rsidRPr="00B30F06">
        <w:rPr>
          <w:sz w:val="20"/>
          <w:szCs w:val="24"/>
          <w:rtl/>
        </w:rPr>
        <w:t>أثار بروتوكول ناغويا بشأن الحصول على الموارد الجينية والتقاسم العادل والمنصف للمنافع الناشئة عن استخدامها وغيره من النهج الثنائية، المصممة أساسا للموارد الجينية المادية، تحديات عملية عند النظر في تطبيقها على معلومات التسلسل الرقمي بشأن الموارد الجينية، بالنظر إلى حجم وسرعة توليد بيانات التسلسل وتبادلها وإعادة استخدامها من خلال مستودعات الوصول المفتوح.</w:t>
      </w:r>
      <w:r w:rsidRPr="00B30F06">
        <w:rPr>
          <w:sz w:val="20"/>
          <w:szCs w:val="24"/>
          <w:vertAlign w:val="superscript"/>
        </w:rPr>
        <w:footnoteReference w:id="4"/>
      </w:r>
      <w:r w:rsidRPr="00B30F06">
        <w:rPr>
          <w:sz w:val="20"/>
          <w:szCs w:val="24"/>
          <w:rtl/>
        </w:rPr>
        <w:t xml:space="preserve"> وعلاوة على ذلك، جسّد إنشاء آلية متعددة الأطراف الهدف الجماعي المتمثل في معالجة الشواغل القديمة العهد المتعلقة بالإنصاف والتي أثارتها البلدان المزودة الغنية بالتنوع البيولوجي بشأن تقاسم المنافع الناشئة عن استخدام معلومات التسلسل الرقمي بشأن الموارد الجينية، وفي تعزيز تنفيذ الهدف الثالث للاتفاقية المتعلق بالتقاسم العادل والمنصف للمنافع. واعتمد مؤتمر الأطراف، في اجتماعه الخامس عشر، المقرر </w:t>
      </w:r>
      <w:hyperlink r:id="rId28" w:history="1">
        <w:r w:rsidR="00711230" w:rsidRPr="00B30F06">
          <w:rPr>
            <w:rStyle w:val="Hyperlink"/>
            <w:rFonts w:hint="cs"/>
            <w:sz w:val="20"/>
            <w:szCs w:val="24"/>
            <w:rtl/>
          </w:rPr>
          <w:t>15/9</w:t>
        </w:r>
      </w:hyperlink>
      <w:r w:rsidRPr="00B30F06">
        <w:rPr>
          <w:sz w:val="20"/>
          <w:szCs w:val="24"/>
          <w:rtl/>
        </w:rPr>
        <w:t xml:space="preserve"> الذي أنشأ فيه الآلية المتعددة الأطراف للتقاسم العادل والمنصف للمنافع الناشئة عن استخدام معلومات التسلسل الرقمي بشأن الموارد الجينية. واعتمد مؤتمر الأطراف، في اجتماعه السادس عشر، المقرر </w:t>
      </w:r>
      <w:hyperlink r:id="rId29" w:history="1">
        <w:r w:rsidR="00711230" w:rsidRPr="00B30F06">
          <w:rPr>
            <w:rStyle w:val="Hyperlink"/>
            <w:rFonts w:hint="cs"/>
            <w:sz w:val="20"/>
            <w:szCs w:val="24"/>
            <w:rtl/>
          </w:rPr>
          <w:t>16/2</w:t>
        </w:r>
      </w:hyperlink>
      <w:r w:rsidRPr="00B30F06">
        <w:rPr>
          <w:sz w:val="20"/>
          <w:szCs w:val="24"/>
          <w:rtl/>
        </w:rPr>
        <w:t xml:space="preserve"> الذي حدد فيه الطرائق العملية للآلية، بما فيها صندوق كالي، الذي تقرر أن يديره مكتب الصناديق الاستئمانية المتعددة الشركاء التابع للأمم المتحدة.</w:t>
      </w:r>
      <w:r w:rsidRPr="00B30F06">
        <w:rPr>
          <w:sz w:val="20"/>
          <w:szCs w:val="24"/>
          <w:vertAlign w:val="superscript"/>
        </w:rPr>
        <w:footnoteReference w:id="5"/>
      </w:r>
      <w:r w:rsidRPr="00B30F06">
        <w:rPr>
          <w:sz w:val="20"/>
          <w:szCs w:val="24"/>
          <w:rtl/>
        </w:rPr>
        <w:t xml:space="preserve"> وقد افتُتح الصندوق في فبراير/شباط 2025. وبموجب المعايير الإرشادية الواردة في مرفق المقرر </w:t>
      </w:r>
      <w:hyperlink r:id="rId30" w:history="1">
        <w:r w:rsidR="00711230" w:rsidRPr="00B30F06">
          <w:rPr>
            <w:rStyle w:val="Hyperlink"/>
            <w:rFonts w:hint="cs"/>
            <w:sz w:val="20"/>
            <w:szCs w:val="24"/>
            <w:rtl/>
          </w:rPr>
          <w:t>16/2</w:t>
        </w:r>
      </w:hyperlink>
      <w:r w:rsidRPr="00B30F06">
        <w:rPr>
          <w:sz w:val="20"/>
          <w:szCs w:val="24"/>
          <w:rtl/>
        </w:rPr>
        <w:t xml:space="preserve">، يُتوقع من الكيانات التي تتجاوز </w:t>
      </w:r>
      <w:r w:rsidR="00711230" w:rsidRPr="00B30F06">
        <w:rPr>
          <w:rFonts w:hint="cs"/>
          <w:sz w:val="20"/>
          <w:szCs w:val="24"/>
          <w:rtl/>
        </w:rPr>
        <w:t>عتبتين</w:t>
      </w:r>
      <w:r w:rsidRPr="00B30F06">
        <w:rPr>
          <w:sz w:val="20"/>
          <w:szCs w:val="24"/>
          <w:rtl/>
        </w:rPr>
        <w:t xml:space="preserve"> على الأقل من ثلاث عتبات مالية (مجموع أصول قدره </w:t>
      </w:r>
      <w:r w:rsidR="00711230" w:rsidRPr="00B30F06">
        <w:rPr>
          <w:rFonts w:hint="cs"/>
          <w:sz w:val="20"/>
          <w:szCs w:val="24"/>
          <w:rtl/>
        </w:rPr>
        <w:t>20,000,000</w:t>
      </w:r>
      <w:r w:rsidRPr="00B30F06">
        <w:rPr>
          <w:sz w:val="20"/>
          <w:szCs w:val="24"/>
          <w:rtl/>
        </w:rPr>
        <w:t xml:space="preserve"> دولار، ومبيعات قدرها </w:t>
      </w:r>
      <w:r w:rsidR="00711230" w:rsidRPr="00B30F06">
        <w:rPr>
          <w:rFonts w:hint="cs"/>
          <w:sz w:val="20"/>
          <w:szCs w:val="24"/>
          <w:rtl/>
        </w:rPr>
        <w:t>50,000,000</w:t>
      </w:r>
      <w:r w:rsidRPr="00B30F06">
        <w:rPr>
          <w:sz w:val="20"/>
          <w:szCs w:val="24"/>
          <w:rtl/>
        </w:rPr>
        <w:t xml:space="preserve"> دولار، وأرباح قدرها </w:t>
      </w:r>
      <w:r w:rsidR="00711230" w:rsidRPr="00B30F06">
        <w:rPr>
          <w:rFonts w:hint="cs"/>
          <w:sz w:val="20"/>
          <w:szCs w:val="24"/>
          <w:rtl/>
        </w:rPr>
        <w:t>5,000,000</w:t>
      </w:r>
      <w:r w:rsidRPr="00B30F06">
        <w:rPr>
          <w:sz w:val="20"/>
          <w:szCs w:val="24"/>
          <w:rtl/>
        </w:rPr>
        <w:t xml:space="preserve"> دولار، محسوبة كمتوسط على مدى السنوات الثلاث الماضية) وتعمل في أحد القطاعات السبعة المدرجة في الضميمة الأولى بالمرفق، وتستفيد بصورة مباشرة أو غير مباشرة من استخدام معلومات التسلسل الرقمي بشأن الموارد الجينية، أن تساهم بنسبة 1 في المائة من </w:t>
      </w:r>
      <w:r w:rsidR="006E4AF8" w:rsidRPr="00B30F06">
        <w:rPr>
          <w:rFonts w:hint="cs"/>
          <w:sz w:val="20"/>
          <w:szCs w:val="24"/>
          <w:rtl/>
        </w:rPr>
        <w:t>أرباحها</w:t>
      </w:r>
      <w:r w:rsidRPr="00B30F06">
        <w:rPr>
          <w:sz w:val="20"/>
          <w:szCs w:val="24"/>
          <w:rtl/>
        </w:rPr>
        <w:t xml:space="preserve"> أو</w:t>
      </w:r>
      <w:r w:rsidR="006E4AF8" w:rsidRPr="00B30F06">
        <w:rPr>
          <w:rFonts w:hint="cs"/>
          <w:sz w:val="20"/>
          <w:szCs w:val="24"/>
          <w:rtl/>
        </w:rPr>
        <w:t xml:space="preserve"> بنسبة</w:t>
      </w:r>
      <w:r w:rsidRPr="00B30F06">
        <w:rPr>
          <w:sz w:val="20"/>
          <w:szCs w:val="24"/>
          <w:rtl/>
        </w:rPr>
        <w:t xml:space="preserve"> 0.1 في المائة من </w:t>
      </w:r>
      <w:r w:rsidR="006E4AF8" w:rsidRPr="00B30F06">
        <w:rPr>
          <w:rFonts w:hint="cs"/>
          <w:sz w:val="20"/>
          <w:szCs w:val="24"/>
          <w:rtl/>
        </w:rPr>
        <w:t>إيراداتها</w:t>
      </w:r>
      <w:r w:rsidRPr="00B30F06">
        <w:rPr>
          <w:sz w:val="20"/>
          <w:szCs w:val="24"/>
          <w:rtl/>
        </w:rPr>
        <w:t>. وت</w:t>
      </w:r>
      <w:r w:rsidR="006E4AF8" w:rsidRPr="00B30F06">
        <w:rPr>
          <w:rFonts w:hint="cs"/>
          <w:sz w:val="20"/>
          <w:szCs w:val="24"/>
          <w:rtl/>
        </w:rPr>
        <w:t>حصل</w:t>
      </w:r>
      <w:r w:rsidRPr="00B30F06">
        <w:rPr>
          <w:sz w:val="20"/>
          <w:szCs w:val="24"/>
          <w:rtl/>
        </w:rPr>
        <w:t xml:space="preserve"> الكيانات المساهمة </w:t>
      </w:r>
      <w:r w:rsidR="006E4AF8" w:rsidRPr="00B30F06">
        <w:rPr>
          <w:rFonts w:hint="cs"/>
          <w:sz w:val="20"/>
          <w:szCs w:val="24"/>
          <w:rtl/>
        </w:rPr>
        <w:t xml:space="preserve">على </w:t>
      </w:r>
      <w:r w:rsidRPr="00B30F06">
        <w:rPr>
          <w:sz w:val="20"/>
          <w:szCs w:val="24"/>
          <w:rtl/>
        </w:rPr>
        <w:t xml:space="preserve">شهادة تعفيها من </w:t>
      </w:r>
      <w:r w:rsidR="006E4AF8" w:rsidRPr="00B30F06">
        <w:rPr>
          <w:sz w:val="20"/>
          <w:szCs w:val="24"/>
          <w:rtl/>
        </w:rPr>
        <w:t>أي التزامات أخرى تتعلق بتقاسم المنافع المالية لتلك السنة</w:t>
      </w:r>
      <w:r w:rsidRPr="00B30F06">
        <w:rPr>
          <w:sz w:val="20"/>
          <w:szCs w:val="24"/>
          <w:rtl/>
        </w:rPr>
        <w:t xml:space="preserve">. ويُخصص ما لا يقل عن 50 في </w:t>
      </w:r>
      <w:proofErr w:type="gramStart"/>
      <w:r w:rsidRPr="00B30F06">
        <w:rPr>
          <w:sz w:val="20"/>
          <w:szCs w:val="24"/>
          <w:rtl/>
        </w:rPr>
        <w:t>المائة</w:t>
      </w:r>
      <w:proofErr w:type="gramEnd"/>
      <w:r w:rsidRPr="00B30F06">
        <w:rPr>
          <w:sz w:val="20"/>
          <w:szCs w:val="24"/>
          <w:rtl/>
        </w:rPr>
        <w:t xml:space="preserve"> من المنافع الموزعة من خلال</w:t>
      </w:r>
      <w:r w:rsidR="006E4AF8" w:rsidRPr="00B30F06">
        <w:rPr>
          <w:rFonts w:hint="cs"/>
          <w:sz w:val="20"/>
          <w:szCs w:val="24"/>
          <w:rtl/>
        </w:rPr>
        <w:t xml:space="preserve"> هذه</w:t>
      </w:r>
      <w:r w:rsidRPr="00B30F06">
        <w:rPr>
          <w:sz w:val="20"/>
          <w:szCs w:val="24"/>
          <w:rtl/>
        </w:rPr>
        <w:t xml:space="preserve"> الآلية ل</w:t>
      </w:r>
      <w:r w:rsidR="006E4AF8" w:rsidRPr="00B30F06">
        <w:rPr>
          <w:rFonts w:hint="cs"/>
          <w:sz w:val="20"/>
          <w:szCs w:val="24"/>
          <w:rtl/>
        </w:rPr>
        <w:t>تلبية ا</w:t>
      </w:r>
      <w:r w:rsidRPr="00B30F06">
        <w:rPr>
          <w:sz w:val="20"/>
          <w:szCs w:val="24"/>
          <w:rtl/>
        </w:rPr>
        <w:t>لاحتياجات التي تحددها الشعوب الأصلية والمجتمعات المحلية بنفسها.</w:t>
      </w:r>
    </w:p>
    <w:p w14:paraId="61509560" w14:textId="4175709B" w:rsidR="00BB682B" w:rsidRPr="00B30F06" w:rsidRDefault="007570C6" w:rsidP="00020F91">
      <w:pPr>
        <w:pStyle w:val="CBDH2"/>
        <w:bidi/>
        <w:rPr>
          <w:b w:val="0"/>
          <w:bCs/>
          <w:sz w:val="20"/>
          <w:szCs w:val="24"/>
          <w:rtl/>
        </w:rPr>
      </w:pPr>
      <w:r w:rsidRPr="00B30F06">
        <w:rPr>
          <w:b w:val="0"/>
          <w:bCs/>
          <w:sz w:val="20"/>
          <w:szCs w:val="24"/>
          <w:rtl/>
        </w:rPr>
        <w:t>ألف-</w:t>
      </w:r>
      <w:r w:rsidRPr="00B30F06">
        <w:rPr>
          <w:b w:val="0"/>
          <w:bCs/>
          <w:sz w:val="20"/>
          <w:szCs w:val="24"/>
        </w:rPr>
        <w:tab/>
      </w:r>
      <w:r w:rsidR="00D70076" w:rsidRPr="00B30F06">
        <w:rPr>
          <w:rFonts w:hint="cs"/>
          <w:b w:val="0"/>
          <w:bCs/>
          <w:sz w:val="20"/>
          <w:szCs w:val="24"/>
          <w:rtl/>
        </w:rPr>
        <w:t>ال</w:t>
      </w:r>
      <w:r w:rsidRPr="00B30F06">
        <w:rPr>
          <w:b w:val="0"/>
          <w:bCs/>
          <w:sz w:val="20"/>
          <w:szCs w:val="24"/>
          <w:rtl/>
        </w:rPr>
        <w:t>آليات</w:t>
      </w:r>
      <w:r w:rsidR="00D70076" w:rsidRPr="00B30F06">
        <w:rPr>
          <w:rFonts w:hint="cs"/>
          <w:b w:val="0"/>
          <w:bCs/>
          <w:sz w:val="20"/>
          <w:szCs w:val="24"/>
          <w:rtl/>
        </w:rPr>
        <w:t xml:space="preserve"> المماثلة ل</w:t>
      </w:r>
      <w:r w:rsidRPr="00B30F06">
        <w:rPr>
          <w:b w:val="0"/>
          <w:bCs/>
          <w:sz w:val="20"/>
          <w:szCs w:val="24"/>
          <w:rtl/>
        </w:rPr>
        <w:t xml:space="preserve">تقاسم المنافع </w:t>
      </w:r>
    </w:p>
    <w:p w14:paraId="6B7F5FA9" w14:textId="0FE7745D" w:rsidR="00BB682B" w:rsidRPr="00B30F06" w:rsidRDefault="00BB682B" w:rsidP="00A74707">
      <w:pPr>
        <w:pStyle w:val="CBDNormalNumber"/>
        <w:numPr>
          <w:ilvl w:val="0"/>
          <w:numId w:val="15"/>
        </w:numPr>
        <w:bidi/>
        <w:rPr>
          <w:sz w:val="20"/>
          <w:szCs w:val="24"/>
          <w:rtl/>
        </w:rPr>
      </w:pPr>
      <w:r w:rsidRPr="00B30F06">
        <w:rPr>
          <w:sz w:val="20"/>
          <w:szCs w:val="24"/>
          <w:rtl/>
        </w:rPr>
        <w:t xml:space="preserve">تتضمن الدراسة استعراضا لأربع آليات مماثلة، </w:t>
      </w:r>
      <w:r w:rsidR="00D70076" w:rsidRPr="00B30F06">
        <w:rPr>
          <w:rFonts w:hint="cs"/>
          <w:sz w:val="20"/>
          <w:szCs w:val="24"/>
          <w:rtl/>
        </w:rPr>
        <w:t>وتفحص</w:t>
      </w:r>
      <w:r w:rsidRPr="00B30F06">
        <w:rPr>
          <w:sz w:val="20"/>
          <w:szCs w:val="24"/>
          <w:rtl/>
        </w:rPr>
        <w:t xml:space="preserve"> كيفية تحديد معدلات المساهمة، والإيرادات التي </w:t>
      </w:r>
      <w:r w:rsidR="00D70076" w:rsidRPr="00B30F06">
        <w:rPr>
          <w:rFonts w:hint="cs"/>
          <w:sz w:val="20"/>
          <w:szCs w:val="24"/>
          <w:rtl/>
        </w:rPr>
        <w:t>حققتها كل آلية</w:t>
      </w:r>
      <w:r w:rsidRPr="00B30F06">
        <w:rPr>
          <w:sz w:val="20"/>
          <w:szCs w:val="24"/>
          <w:rtl/>
        </w:rPr>
        <w:t xml:space="preserve">، والعوامل التي تشكّل الامتثال: </w:t>
      </w:r>
    </w:p>
    <w:p w14:paraId="1085CF42" w14:textId="49FB8DFD" w:rsidR="00BB682B" w:rsidRPr="00B30F06" w:rsidRDefault="00EE24A0" w:rsidP="00437457">
      <w:pPr>
        <w:pStyle w:val="CBDNormalNumber"/>
        <w:numPr>
          <w:ilvl w:val="1"/>
          <w:numId w:val="7"/>
        </w:numPr>
        <w:bidi/>
        <w:ind w:left="540" w:firstLine="594"/>
        <w:rPr>
          <w:sz w:val="20"/>
          <w:szCs w:val="24"/>
          <w:rtl/>
        </w:rPr>
      </w:pPr>
      <w:r w:rsidRPr="00B30F06">
        <w:rPr>
          <w:rFonts w:hint="cs"/>
          <w:sz w:val="20"/>
          <w:szCs w:val="24"/>
          <w:rtl/>
        </w:rPr>
        <w:t xml:space="preserve">حققت </w:t>
      </w:r>
      <w:r w:rsidR="00532E37" w:rsidRPr="00B30F06">
        <w:rPr>
          <w:sz w:val="20"/>
          <w:szCs w:val="24"/>
          <w:rtl/>
        </w:rPr>
        <w:t>المعاهدة الدولية بشأن الموارد الوراثية النباتية للأغذية والزراعة،</w:t>
      </w:r>
      <w:r w:rsidR="00532E37" w:rsidRPr="00B30F06">
        <w:rPr>
          <w:sz w:val="20"/>
          <w:szCs w:val="24"/>
          <w:vertAlign w:val="superscript"/>
        </w:rPr>
        <w:footnoteReference w:id="6"/>
      </w:r>
      <w:r w:rsidR="00532E37" w:rsidRPr="00B30F06">
        <w:rPr>
          <w:sz w:val="20"/>
          <w:szCs w:val="24"/>
          <w:rtl/>
        </w:rPr>
        <w:t xml:space="preserve"> التي يفرض اتفاقها الموحد لنقل المواد</w:t>
      </w:r>
      <w:r w:rsidR="00532E37" w:rsidRPr="00B30F06">
        <w:rPr>
          <w:sz w:val="20"/>
          <w:szCs w:val="24"/>
          <w:vertAlign w:val="superscript"/>
        </w:rPr>
        <w:footnoteReference w:id="7"/>
      </w:r>
      <w:r w:rsidR="00532E37" w:rsidRPr="00B30F06">
        <w:rPr>
          <w:sz w:val="20"/>
          <w:szCs w:val="24"/>
          <w:rtl/>
        </w:rPr>
        <w:t xml:space="preserve"> معدلا فعليا يبلغ نحو 0.77 في المائة من مبيعات المنتجات المسوَّقة تجاريا، </w:t>
      </w:r>
      <w:r w:rsidRPr="00B30F06">
        <w:rPr>
          <w:rFonts w:hint="cs"/>
          <w:sz w:val="20"/>
          <w:szCs w:val="24"/>
          <w:rtl/>
        </w:rPr>
        <w:t>مبلغاً قدره</w:t>
      </w:r>
      <w:r w:rsidR="00532E37" w:rsidRPr="00B30F06">
        <w:rPr>
          <w:sz w:val="20"/>
          <w:szCs w:val="24"/>
          <w:rtl/>
        </w:rPr>
        <w:t xml:space="preserve"> 680 824 دولارا من المدفوعات القائمة على المستخدمين على مدى السنوات الخمس عشرة الماضية،</w:t>
      </w:r>
      <w:r w:rsidR="00532E37" w:rsidRPr="00B30F06">
        <w:rPr>
          <w:sz w:val="20"/>
          <w:szCs w:val="24"/>
          <w:vertAlign w:val="superscript"/>
        </w:rPr>
        <w:footnoteReference w:id="8"/>
      </w:r>
      <w:r w:rsidR="00532E37" w:rsidRPr="00B30F06">
        <w:rPr>
          <w:sz w:val="20"/>
          <w:szCs w:val="24"/>
          <w:rtl/>
        </w:rPr>
        <w:t xml:space="preserve"> وهو ما يعكس ضيق نطاق الالتزام بالدفع الذي يُستحق عند التسويق التجاري بموجب اتفاق نقل المواد، وتوافر وجاذبية الحصول على المواد من خارج النظام المتعدد الأطراف للحصول على الموارد وتقاسم منافعها؛ وتشكل هذه التجربة الأساس للحد الأدنى من سيناريوهات الإيرادات في الجزء الثاني؛ </w:t>
      </w:r>
    </w:p>
    <w:p w14:paraId="786CCA00" w14:textId="00096C6E" w:rsidR="00BB682B" w:rsidRPr="00B30F06" w:rsidRDefault="002617CB" w:rsidP="00EE24A0">
      <w:pPr>
        <w:pStyle w:val="CBDNormalNumber"/>
        <w:numPr>
          <w:ilvl w:val="1"/>
          <w:numId w:val="7"/>
        </w:numPr>
        <w:bidi/>
        <w:ind w:left="540" w:firstLine="594"/>
        <w:rPr>
          <w:sz w:val="20"/>
          <w:szCs w:val="24"/>
          <w:rtl/>
        </w:rPr>
      </w:pPr>
      <w:r w:rsidRPr="00B30F06">
        <w:rPr>
          <w:sz w:val="20"/>
          <w:szCs w:val="24"/>
          <w:rtl/>
        </w:rPr>
        <w:t>إطار منظمة الصحة العالمية للتأهب لمواجهة الأنفلونزا الجائحة،</w:t>
      </w:r>
      <w:r w:rsidRPr="00B30F06">
        <w:rPr>
          <w:sz w:val="20"/>
          <w:szCs w:val="24"/>
          <w:vertAlign w:val="superscript"/>
        </w:rPr>
        <w:footnoteReference w:id="9"/>
      </w:r>
      <w:r w:rsidRPr="00B30F06">
        <w:rPr>
          <w:sz w:val="20"/>
          <w:szCs w:val="24"/>
          <w:rtl/>
        </w:rPr>
        <w:t xml:space="preserve"> الذي </w:t>
      </w:r>
      <w:r w:rsidR="00EE24A0" w:rsidRPr="00B30F06">
        <w:rPr>
          <w:rFonts w:hint="cs"/>
          <w:sz w:val="20"/>
          <w:szCs w:val="24"/>
          <w:rtl/>
        </w:rPr>
        <w:t>حقق</w:t>
      </w:r>
      <w:r w:rsidRPr="00B30F06">
        <w:rPr>
          <w:sz w:val="20"/>
          <w:szCs w:val="24"/>
          <w:rtl/>
        </w:rPr>
        <w:t xml:space="preserve"> مستوى أعلى بكثير من المشاركة (</w:t>
      </w:r>
      <w:r w:rsidR="00EE24A0" w:rsidRPr="00B30F06">
        <w:rPr>
          <w:rFonts w:hint="cs"/>
          <w:sz w:val="20"/>
          <w:szCs w:val="24"/>
          <w:rtl/>
        </w:rPr>
        <w:t>354,700,000</w:t>
      </w:r>
      <w:r w:rsidRPr="00B30F06">
        <w:rPr>
          <w:sz w:val="20"/>
          <w:szCs w:val="24"/>
          <w:rtl/>
        </w:rPr>
        <w:t xml:space="preserve"> دولار من 17 جهة مصنِّعة منذ عام 2012)</w:t>
      </w:r>
      <w:r w:rsidRPr="00B30F06">
        <w:rPr>
          <w:sz w:val="20"/>
          <w:szCs w:val="24"/>
          <w:vertAlign w:val="superscript"/>
        </w:rPr>
        <w:footnoteReference w:id="10"/>
      </w:r>
      <w:r w:rsidRPr="00B30F06">
        <w:rPr>
          <w:sz w:val="20"/>
          <w:szCs w:val="24"/>
          <w:rtl/>
        </w:rPr>
        <w:t xml:space="preserve"> بفضل وجود قاعدة مساهمين محددة بوضوح ومعروفة جيدا،</w:t>
      </w:r>
      <w:r w:rsidRPr="00B30F06">
        <w:rPr>
          <w:sz w:val="20"/>
          <w:szCs w:val="24"/>
          <w:vertAlign w:val="superscript"/>
        </w:rPr>
        <w:footnoteReference w:id="11"/>
      </w:r>
      <w:r w:rsidRPr="00B30F06">
        <w:rPr>
          <w:sz w:val="20"/>
          <w:szCs w:val="24"/>
          <w:rtl/>
        </w:rPr>
        <w:t xml:space="preserve"> </w:t>
      </w:r>
      <w:r w:rsidR="00FC4AD3" w:rsidRPr="00B30F06">
        <w:rPr>
          <w:rFonts w:hint="cs"/>
          <w:sz w:val="20"/>
          <w:szCs w:val="24"/>
          <w:rtl/>
        </w:rPr>
        <w:t>أما</w:t>
      </w:r>
      <w:r w:rsidRPr="00B30F06">
        <w:rPr>
          <w:sz w:val="20"/>
          <w:szCs w:val="24"/>
          <w:rtl/>
        </w:rPr>
        <w:t xml:space="preserve"> اتفاق منظمة الصحة العالمية بشأن الجائحات</w:t>
      </w:r>
      <w:r w:rsidRPr="00B30F06">
        <w:rPr>
          <w:sz w:val="20"/>
          <w:szCs w:val="24"/>
          <w:vertAlign w:val="superscript"/>
        </w:rPr>
        <w:footnoteReference w:id="12"/>
      </w:r>
      <w:r w:rsidRPr="00B30F06">
        <w:rPr>
          <w:sz w:val="20"/>
          <w:szCs w:val="24"/>
          <w:rtl/>
        </w:rPr>
        <w:t xml:space="preserve"> </w:t>
      </w:r>
      <w:r w:rsidR="00FC4AD3" w:rsidRPr="00B30F06">
        <w:rPr>
          <w:sz w:val="20"/>
          <w:szCs w:val="24"/>
          <w:rtl/>
        </w:rPr>
        <w:t>الذي يخلف هذا الإطار،</w:t>
      </w:r>
      <w:r w:rsidR="00FC4AD3" w:rsidRPr="00B30F06">
        <w:rPr>
          <w:rFonts w:hint="cs"/>
          <w:sz w:val="20"/>
          <w:szCs w:val="24"/>
          <w:rtl/>
        </w:rPr>
        <w:t xml:space="preserve"> و</w:t>
      </w:r>
      <w:r w:rsidRPr="00B30F06">
        <w:rPr>
          <w:sz w:val="20"/>
          <w:szCs w:val="24"/>
          <w:rtl/>
        </w:rPr>
        <w:t>الذي يمكن لنظامه للحصول على مسببات الأمراض وتقاسم منافعها</w:t>
      </w:r>
      <w:r w:rsidRPr="00B30F06">
        <w:rPr>
          <w:sz w:val="20"/>
          <w:szCs w:val="24"/>
          <w:vertAlign w:val="superscript"/>
        </w:rPr>
        <w:footnoteReference w:id="13"/>
      </w:r>
      <w:r w:rsidRPr="00B30F06">
        <w:rPr>
          <w:sz w:val="20"/>
          <w:szCs w:val="24"/>
          <w:rtl/>
        </w:rPr>
        <w:t xml:space="preserve"> </w:t>
      </w:r>
      <w:r w:rsidR="00FC4AD3" w:rsidRPr="00B30F06">
        <w:rPr>
          <w:rFonts w:hint="cs"/>
          <w:sz w:val="20"/>
          <w:szCs w:val="24"/>
          <w:rtl/>
        </w:rPr>
        <w:t>فقد</w:t>
      </w:r>
      <w:r w:rsidRPr="00B30F06">
        <w:rPr>
          <w:sz w:val="20"/>
          <w:szCs w:val="24"/>
          <w:rtl/>
        </w:rPr>
        <w:t xml:space="preserve"> ينشئ التزامات متداخلة على الشركات الخاضعة أيضا لصندوق كالي، وهو ما يُبحث بمزيد من التفصيل في الجزء الثالث؛ </w:t>
      </w:r>
    </w:p>
    <w:p w14:paraId="008E5698" w14:textId="38DDD191" w:rsidR="00BB682B" w:rsidRPr="00B30F06" w:rsidRDefault="002D314B" w:rsidP="001322E3">
      <w:pPr>
        <w:pStyle w:val="CBDNormalNumber"/>
        <w:numPr>
          <w:ilvl w:val="1"/>
          <w:numId w:val="7"/>
        </w:numPr>
        <w:bidi/>
        <w:ind w:left="540" w:firstLine="594"/>
        <w:rPr>
          <w:sz w:val="20"/>
          <w:szCs w:val="24"/>
          <w:rtl/>
        </w:rPr>
      </w:pPr>
      <w:r w:rsidRPr="00B30F06">
        <w:rPr>
          <w:sz w:val="20"/>
          <w:szCs w:val="24"/>
          <w:rtl/>
        </w:rPr>
        <w:t>الاتفاق المبرم في إطار اتفاقية الأمم المتحدة لقانون البحار بشأن حفظ التنوع البيولوجي البحري في المناطق الواقعة خارج نطاق الولاية الوطنية واستخدامه على نحو مستدام،</w:t>
      </w:r>
      <w:r w:rsidRPr="00B30F06">
        <w:rPr>
          <w:sz w:val="20"/>
          <w:szCs w:val="24"/>
          <w:vertAlign w:val="superscript"/>
        </w:rPr>
        <w:footnoteReference w:id="14"/>
      </w:r>
      <w:r w:rsidRPr="00B30F06">
        <w:rPr>
          <w:sz w:val="20"/>
          <w:szCs w:val="24"/>
          <w:rtl/>
        </w:rPr>
        <w:t xml:space="preserve"> الذي دخل حيز النفاذ في 17 يناير/كانون الثاني 2026، ويرسي إطارا لوضع القواعد مستقبلا </w:t>
      </w:r>
      <w:r w:rsidR="000843E8" w:rsidRPr="00B30F06">
        <w:rPr>
          <w:rFonts w:hint="cs"/>
          <w:sz w:val="20"/>
          <w:szCs w:val="24"/>
          <w:rtl/>
        </w:rPr>
        <w:t>بدلاً من</w:t>
      </w:r>
      <w:r w:rsidRPr="00B30F06">
        <w:rPr>
          <w:sz w:val="20"/>
          <w:szCs w:val="24"/>
          <w:rtl/>
        </w:rPr>
        <w:t xml:space="preserve"> نظام دفع تشغيلي للمستخدمين من القطاع الخاص، مع ترك تخصيص المنافع النقدية المتأتية من الموارد الجينية البحرية ومن معلومات التسلسل الرقمي بشأن الموارد الجينية لمقررات يتخذها مستقبلا مؤتمر الأطراف في الاتفاق؛ </w:t>
      </w:r>
    </w:p>
    <w:p w14:paraId="6F9CAA9B" w14:textId="2026CEE0" w:rsidR="00BB682B" w:rsidRPr="00B30F06" w:rsidRDefault="00BD16AF" w:rsidP="001322E3">
      <w:pPr>
        <w:pStyle w:val="CBDNormalNumber"/>
        <w:numPr>
          <w:ilvl w:val="1"/>
          <w:numId w:val="7"/>
        </w:numPr>
        <w:bidi/>
        <w:ind w:left="540" w:firstLine="594"/>
        <w:rPr>
          <w:sz w:val="20"/>
          <w:szCs w:val="24"/>
          <w:rtl/>
        </w:rPr>
      </w:pPr>
      <w:r w:rsidRPr="00B30F06">
        <w:rPr>
          <w:sz w:val="20"/>
          <w:szCs w:val="24"/>
          <w:rtl/>
        </w:rPr>
        <w:t>آلية تقاسم المنافع المتأتية من التعدين في قاع البحار العميقة التابعة للسلطة الدولية لقاع البحار،</w:t>
      </w:r>
      <w:r w:rsidRPr="00B30F06">
        <w:rPr>
          <w:sz w:val="20"/>
          <w:szCs w:val="24"/>
          <w:vertAlign w:val="superscript"/>
        </w:rPr>
        <w:footnoteReference w:id="15"/>
      </w:r>
      <w:r w:rsidRPr="00B30F06">
        <w:rPr>
          <w:sz w:val="20"/>
          <w:szCs w:val="24"/>
          <w:rtl/>
        </w:rPr>
        <w:t xml:space="preserve"> التي لا تزال قيد التفاوض، والتي استُرشد في وضعها بتقرير تقني عن </w:t>
      </w:r>
      <w:r w:rsidR="008763A2" w:rsidRPr="00B30F06">
        <w:rPr>
          <w:rFonts w:hint="cs"/>
          <w:sz w:val="20"/>
          <w:szCs w:val="24"/>
          <w:rtl/>
        </w:rPr>
        <w:t>القيمة المتدرجة</w:t>
      </w:r>
      <w:r w:rsidRPr="00B30F06">
        <w:rPr>
          <w:sz w:val="20"/>
          <w:szCs w:val="24"/>
          <w:rtl/>
        </w:rPr>
        <w:t xml:space="preserve"> المحسوبة حسب القيمة</w:t>
      </w:r>
      <w:r w:rsidRPr="00B30F06">
        <w:rPr>
          <w:sz w:val="20"/>
          <w:szCs w:val="24"/>
          <w:vertAlign w:val="superscript"/>
        </w:rPr>
        <w:footnoteReference w:id="16"/>
      </w:r>
      <w:r w:rsidRPr="00B30F06">
        <w:rPr>
          <w:sz w:val="20"/>
          <w:szCs w:val="24"/>
          <w:rtl/>
        </w:rPr>
        <w:t xml:space="preserve"> كلّفت السلطة بإعداده، وهي توضح استنتاجا أوسع نطاقا مفاده أن المخططات المحسوبة حسب القيمة أيسر إنفاذا من المخططات القائمة على الأرباح، وإن كانت تحقق قيمة أقل مع مرور الوقت،</w:t>
      </w:r>
      <w:r w:rsidRPr="00B30F06">
        <w:rPr>
          <w:sz w:val="20"/>
          <w:szCs w:val="24"/>
          <w:vertAlign w:val="superscript"/>
        </w:rPr>
        <w:footnoteReference w:id="17"/>
      </w:r>
      <w:r w:rsidRPr="00B30F06">
        <w:rPr>
          <w:sz w:val="20"/>
          <w:szCs w:val="24"/>
          <w:rtl/>
        </w:rPr>
        <w:t xml:space="preserve"> والدرس المستفاد منها بالنسبة لصندوق كالي هو وجوب الموازنة بين مستويات المساهمة وسهولة القياس ومخاطر التهرب.</w:t>
      </w:r>
    </w:p>
    <w:p w14:paraId="6849EEA6" w14:textId="5A95F834" w:rsidR="00BB682B" w:rsidRPr="00B30F06" w:rsidRDefault="00BB682B" w:rsidP="00020680">
      <w:pPr>
        <w:pStyle w:val="CBDNormalNumber"/>
        <w:numPr>
          <w:ilvl w:val="0"/>
          <w:numId w:val="15"/>
        </w:numPr>
        <w:bidi/>
        <w:rPr>
          <w:sz w:val="20"/>
          <w:szCs w:val="24"/>
          <w:rtl/>
        </w:rPr>
      </w:pPr>
      <w:r w:rsidRPr="00B30F06">
        <w:rPr>
          <w:sz w:val="20"/>
          <w:szCs w:val="24"/>
          <w:rtl/>
        </w:rPr>
        <w:t xml:space="preserve">وفي جميع هذه الآليات، لا تتحقق مساهمات القطاع الخاص إلا حيثما تكون تعريفات النطاق والاستخدام واضحة. وخلافا للمعاهدة الدولية بشأن الموارد الوراثية النباتية للأغذية والزراعة وإطار التأهب لمواجهة الأنفلونزا الجائحة، </w:t>
      </w:r>
      <w:r w:rsidR="007F2208" w:rsidRPr="00B30F06">
        <w:rPr>
          <w:sz w:val="20"/>
          <w:szCs w:val="24"/>
          <w:rtl/>
        </w:rPr>
        <w:t>لا يمتلك صندوق كالي آلية احتياطية مماثلة من القطاع العام لتعويض النقص في الدخل القائم على المستخدمين</w:t>
      </w:r>
      <w:r w:rsidRPr="00B30F06">
        <w:rPr>
          <w:sz w:val="20"/>
          <w:szCs w:val="24"/>
          <w:rtl/>
        </w:rPr>
        <w:t>،</w:t>
      </w:r>
      <w:r w:rsidRPr="00B30F06">
        <w:rPr>
          <w:sz w:val="20"/>
          <w:szCs w:val="24"/>
          <w:vertAlign w:val="superscript"/>
        </w:rPr>
        <w:footnoteReference w:id="18"/>
      </w:r>
      <w:r w:rsidRPr="00B30F06">
        <w:rPr>
          <w:sz w:val="20"/>
          <w:szCs w:val="24"/>
          <w:rtl/>
        </w:rPr>
        <w:t xml:space="preserve"> وهو ما يجعل حشد مساهمات القطاع الخاص أكثر </w:t>
      </w:r>
      <w:r w:rsidR="007F2208" w:rsidRPr="00B30F06">
        <w:rPr>
          <w:rFonts w:hint="cs"/>
          <w:sz w:val="20"/>
          <w:szCs w:val="24"/>
          <w:rtl/>
        </w:rPr>
        <w:t>أهمية</w:t>
      </w:r>
      <w:r w:rsidRPr="00B30F06">
        <w:rPr>
          <w:sz w:val="20"/>
          <w:szCs w:val="24"/>
          <w:rtl/>
        </w:rPr>
        <w:t xml:space="preserve"> لاستدامته المالية </w:t>
      </w:r>
      <w:r w:rsidR="007F2208" w:rsidRPr="00B30F06">
        <w:rPr>
          <w:sz w:val="20"/>
          <w:szCs w:val="24"/>
          <w:rtl/>
        </w:rPr>
        <w:t>مقارنة بأي من الآليات التي جرى استعراضها</w:t>
      </w:r>
      <w:r w:rsidRPr="00B30F06">
        <w:rPr>
          <w:sz w:val="20"/>
          <w:szCs w:val="24"/>
          <w:rtl/>
        </w:rPr>
        <w:t>.</w:t>
      </w:r>
    </w:p>
    <w:p w14:paraId="775542B9" w14:textId="345E7238" w:rsidR="00BB682B" w:rsidRPr="00B30F06" w:rsidRDefault="007570C6" w:rsidP="00020F91">
      <w:pPr>
        <w:pStyle w:val="CBDH2"/>
        <w:bidi/>
        <w:rPr>
          <w:b w:val="0"/>
          <w:bCs/>
          <w:sz w:val="20"/>
          <w:szCs w:val="24"/>
        </w:rPr>
      </w:pPr>
      <w:r w:rsidRPr="00B30F06">
        <w:rPr>
          <w:b w:val="0"/>
          <w:bCs/>
          <w:sz w:val="20"/>
          <w:szCs w:val="24"/>
          <w:rtl/>
        </w:rPr>
        <w:t>باء-</w:t>
      </w:r>
      <w:r w:rsidRPr="00B30F06">
        <w:rPr>
          <w:b w:val="0"/>
          <w:bCs/>
          <w:sz w:val="20"/>
          <w:szCs w:val="24"/>
        </w:rPr>
        <w:tab/>
      </w:r>
      <w:r w:rsidRPr="00B30F06">
        <w:rPr>
          <w:b w:val="0"/>
          <w:bCs/>
          <w:sz w:val="20"/>
          <w:szCs w:val="24"/>
          <w:rtl/>
        </w:rPr>
        <w:t xml:space="preserve">الإطار التحليلي: معايير التصميم </w:t>
      </w:r>
      <w:r w:rsidR="002064FB" w:rsidRPr="00B30F06">
        <w:rPr>
          <w:rFonts w:hint="cs"/>
          <w:b w:val="0"/>
          <w:bCs/>
          <w:sz w:val="20"/>
          <w:szCs w:val="24"/>
          <w:rtl/>
        </w:rPr>
        <w:t>غير المحسومة</w:t>
      </w:r>
    </w:p>
    <w:p w14:paraId="1CEDAD0B" w14:textId="72570B03" w:rsidR="00BB682B" w:rsidRPr="00B30F06" w:rsidRDefault="00BB682B" w:rsidP="00020680">
      <w:pPr>
        <w:pStyle w:val="CBDNormalNumber"/>
        <w:numPr>
          <w:ilvl w:val="0"/>
          <w:numId w:val="15"/>
        </w:numPr>
        <w:bidi/>
        <w:rPr>
          <w:sz w:val="20"/>
          <w:szCs w:val="24"/>
          <w:rtl/>
        </w:rPr>
      </w:pPr>
      <w:r w:rsidRPr="00B30F06">
        <w:rPr>
          <w:sz w:val="20"/>
          <w:szCs w:val="24"/>
          <w:rtl/>
        </w:rPr>
        <w:t>تُ</w:t>
      </w:r>
      <w:r w:rsidR="002064FB" w:rsidRPr="00B30F06">
        <w:rPr>
          <w:rFonts w:hint="cs"/>
          <w:sz w:val="20"/>
          <w:szCs w:val="24"/>
          <w:rtl/>
        </w:rPr>
        <w:t>حصي</w:t>
      </w:r>
      <w:r w:rsidRPr="00B30F06">
        <w:rPr>
          <w:sz w:val="20"/>
          <w:szCs w:val="24"/>
          <w:rtl/>
        </w:rPr>
        <w:t xml:space="preserve"> الدراسة تسعة أوجه من عدم اليقين الهيكلي في المقرر </w:t>
      </w:r>
      <w:hyperlink r:id="rId31" w:history="1">
        <w:r w:rsidR="002064FB" w:rsidRPr="00B30F06">
          <w:rPr>
            <w:rStyle w:val="Hyperlink"/>
            <w:rFonts w:hint="cs"/>
            <w:sz w:val="20"/>
            <w:szCs w:val="24"/>
            <w:rtl/>
          </w:rPr>
          <w:t>16/2</w:t>
        </w:r>
      </w:hyperlink>
      <w:r w:rsidRPr="00B30F06">
        <w:rPr>
          <w:sz w:val="20"/>
          <w:szCs w:val="24"/>
          <w:rtl/>
        </w:rPr>
        <w:t>، تشمل المراحل الثلاث لقرار المساهمة، وهي ما إذا كانت الشركة مؤهلة، وما إذا كانت الشركة المؤهلة ستشارك، ومقدار ما تساهم به الشركة المشارِكة في نهاية المطاف:</w:t>
      </w:r>
    </w:p>
    <w:p w14:paraId="41FBB8D4" w14:textId="5D6B890D" w:rsidR="00F82E2A" w:rsidRPr="00B30F06" w:rsidRDefault="00F82E2A" w:rsidP="002064FB">
      <w:pPr>
        <w:pStyle w:val="CBDNormalNumber"/>
        <w:numPr>
          <w:ilvl w:val="1"/>
          <w:numId w:val="12"/>
        </w:numPr>
        <w:bidi/>
        <w:ind w:left="540" w:firstLine="540"/>
        <w:rPr>
          <w:sz w:val="20"/>
          <w:szCs w:val="24"/>
          <w:rtl/>
        </w:rPr>
      </w:pPr>
      <w:r w:rsidRPr="00B30F06">
        <w:rPr>
          <w:sz w:val="20"/>
          <w:szCs w:val="24"/>
          <w:rtl/>
        </w:rPr>
        <w:t>وأوجه عدم اليقين الهيكلي المتعلقة بالأهلية هي:</w:t>
      </w:r>
    </w:p>
    <w:p w14:paraId="287752C4" w14:textId="76196FBE" w:rsidR="00F82E2A" w:rsidRPr="00B30F06" w:rsidRDefault="00BB682B" w:rsidP="002064FB">
      <w:pPr>
        <w:pStyle w:val="CBDNormalNumber"/>
        <w:numPr>
          <w:ilvl w:val="3"/>
          <w:numId w:val="12"/>
        </w:numPr>
        <w:tabs>
          <w:tab w:val="clear" w:pos="2835"/>
        </w:tabs>
        <w:bidi/>
        <w:ind w:left="2250"/>
        <w:rPr>
          <w:sz w:val="20"/>
          <w:szCs w:val="24"/>
          <w:rtl/>
        </w:rPr>
      </w:pPr>
      <w:r w:rsidRPr="00B30F06">
        <w:rPr>
          <w:sz w:val="20"/>
          <w:szCs w:val="24"/>
          <w:rtl/>
        </w:rPr>
        <w:t xml:space="preserve">اتساع </w:t>
      </w:r>
      <w:r w:rsidR="00340622" w:rsidRPr="00B30F06">
        <w:rPr>
          <w:rFonts w:hint="cs"/>
          <w:sz w:val="20"/>
          <w:szCs w:val="24"/>
          <w:rtl/>
        </w:rPr>
        <w:t xml:space="preserve">نطاق </w:t>
      </w:r>
      <w:r w:rsidRPr="00B30F06">
        <w:rPr>
          <w:sz w:val="20"/>
          <w:szCs w:val="24"/>
          <w:rtl/>
        </w:rPr>
        <w:t xml:space="preserve">قائمة القطاعات، إذ </w:t>
      </w:r>
      <w:r w:rsidR="00340622" w:rsidRPr="00B30F06">
        <w:rPr>
          <w:rFonts w:hint="cs"/>
          <w:sz w:val="20"/>
          <w:szCs w:val="24"/>
          <w:rtl/>
        </w:rPr>
        <w:t>أن</w:t>
      </w:r>
      <w:r w:rsidRPr="00B30F06">
        <w:rPr>
          <w:sz w:val="20"/>
          <w:szCs w:val="24"/>
          <w:rtl/>
        </w:rPr>
        <w:t xml:space="preserve"> </w:t>
      </w:r>
      <w:r w:rsidR="00340622" w:rsidRPr="00B30F06">
        <w:rPr>
          <w:rFonts w:hint="cs"/>
          <w:sz w:val="20"/>
          <w:szCs w:val="24"/>
          <w:rtl/>
        </w:rPr>
        <w:t>تضييق نطاق تفسير</w:t>
      </w:r>
      <w:r w:rsidRPr="00B30F06">
        <w:rPr>
          <w:sz w:val="20"/>
          <w:szCs w:val="24"/>
          <w:rtl/>
        </w:rPr>
        <w:t xml:space="preserve"> الأنشطة الصناعية التي تستفيد بصورة مباشرة أو غير مباشرة من استخدام معلومات التسلسل الرقمي بشأن الموارد الجينية من شأنه أن يقلص عدد </w:t>
      </w:r>
      <w:r w:rsidR="00340622" w:rsidRPr="00B30F06">
        <w:rPr>
          <w:rFonts w:hint="cs"/>
          <w:sz w:val="20"/>
          <w:szCs w:val="24"/>
          <w:rtl/>
        </w:rPr>
        <w:t>الشركات</w:t>
      </w:r>
      <w:r w:rsidRPr="00B30F06">
        <w:rPr>
          <w:sz w:val="20"/>
          <w:szCs w:val="24"/>
          <w:rtl/>
        </w:rPr>
        <w:t xml:space="preserve"> المؤهلة؛</w:t>
      </w:r>
    </w:p>
    <w:p w14:paraId="721E36DE" w14:textId="48E0C4BC" w:rsidR="00C31ED4" w:rsidRPr="00B30F06" w:rsidRDefault="00BB682B" w:rsidP="002064FB">
      <w:pPr>
        <w:pStyle w:val="CBDNormalNumber"/>
        <w:numPr>
          <w:ilvl w:val="3"/>
          <w:numId w:val="12"/>
        </w:numPr>
        <w:tabs>
          <w:tab w:val="clear" w:pos="2835"/>
        </w:tabs>
        <w:bidi/>
        <w:ind w:left="2250"/>
        <w:rPr>
          <w:sz w:val="20"/>
          <w:szCs w:val="24"/>
          <w:rtl/>
        </w:rPr>
      </w:pPr>
      <w:r w:rsidRPr="00B30F06">
        <w:rPr>
          <w:sz w:val="20"/>
          <w:szCs w:val="24"/>
        </w:rPr>
        <w:tab/>
      </w:r>
      <w:r w:rsidRPr="00B30F06">
        <w:rPr>
          <w:sz w:val="20"/>
          <w:szCs w:val="24"/>
          <w:rtl/>
        </w:rPr>
        <w:t>تقلب الأهلية بمرور الوقت، إذ تنتقل الشركات عبر العتبات المالية من سنة إلى أخرى؛</w:t>
      </w:r>
    </w:p>
    <w:p w14:paraId="55CAF54B" w14:textId="1FE75DE4" w:rsidR="00C31ED4" w:rsidRPr="00B30F06" w:rsidRDefault="00BB682B" w:rsidP="002064FB">
      <w:pPr>
        <w:pStyle w:val="CBDNormalNumber"/>
        <w:numPr>
          <w:ilvl w:val="3"/>
          <w:numId w:val="12"/>
        </w:numPr>
        <w:tabs>
          <w:tab w:val="clear" w:pos="2835"/>
        </w:tabs>
        <w:bidi/>
        <w:ind w:left="2250"/>
        <w:rPr>
          <w:sz w:val="20"/>
          <w:szCs w:val="24"/>
          <w:rtl/>
        </w:rPr>
      </w:pPr>
      <w:r w:rsidRPr="00B30F06">
        <w:rPr>
          <w:sz w:val="20"/>
          <w:szCs w:val="24"/>
        </w:rPr>
        <w:tab/>
      </w:r>
      <w:r w:rsidRPr="00B30F06">
        <w:rPr>
          <w:sz w:val="20"/>
          <w:szCs w:val="24"/>
          <w:rtl/>
        </w:rPr>
        <w:t xml:space="preserve">وحدة التقييم على مستوى الكيان، أي ما إذا كانت العتبات والمساهمات تُقيَّم على مستوى الشركة الفرعية أم على مستوى مجموعة الشركات، وهو ما يؤثر في عدد الكيانات المؤهلة </w:t>
      </w:r>
      <w:r w:rsidR="00340622" w:rsidRPr="00B30F06">
        <w:rPr>
          <w:rFonts w:hint="cs"/>
          <w:sz w:val="20"/>
          <w:szCs w:val="24"/>
          <w:rtl/>
        </w:rPr>
        <w:t>ومقدار مساهمة</w:t>
      </w:r>
      <w:r w:rsidRPr="00B30F06">
        <w:rPr>
          <w:sz w:val="20"/>
          <w:szCs w:val="24"/>
          <w:rtl/>
        </w:rPr>
        <w:t xml:space="preserve"> كل منها؛ </w:t>
      </w:r>
    </w:p>
    <w:p w14:paraId="65143FF5" w14:textId="71C3C85F" w:rsidR="00BB682B" w:rsidRPr="00B30F06" w:rsidRDefault="00BB682B" w:rsidP="002064FB">
      <w:pPr>
        <w:pStyle w:val="CBDNormalNumber"/>
        <w:numPr>
          <w:ilvl w:val="3"/>
          <w:numId w:val="12"/>
        </w:numPr>
        <w:tabs>
          <w:tab w:val="clear" w:pos="2835"/>
        </w:tabs>
        <w:bidi/>
        <w:ind w:left="2250"/>
        <w:rPr>
          <w:sz w:val="20"/>
          <w:szCs w:val="24"/>
          <w:rtl/>
        </w:rPr>
      </w:pPr>
      <w:r w:rsidRPr="00B30F06">
        <w:rPr>
          <w:sz w:val="20"/>
          <w:szCs w:val="24"/>
        </w:rPr>
        <w:tab/>
      </w:r>
      <w:r w:rsidRPr="00B30F06">
        <w:rPr>
          <w:sz w:val="20"/>
          <w:szCs w:val="24"/>
          <w:rtl/>
        </w:rPr>
        <w:t xml:space="preserve">الحد الفاصل بين الاستخدام المباشر وغير المباشر لمعلومات التسلسل الرقمي، حيث </w:t>
      </w:r>
      <w:proofErr w:type="gramStart"/>
      <w:r w:rsidR="00340622" w:rsidRPr="00B30F06">
        <w:rPr>
          <w:rFonts w:hint="cs"/>
          <w:sz w:val="20"/>
          <w:szCs w:val="24"/>
          <w:rtl/>
        </w:rPr>
        <w:t>أن</w:t>
      </w:r>
      <w:proofErr w:type="gramEnd"/>
      <w:r w:rsidR="00340622" w:rsidRPr="00B30F06">
        <w:rPr>
          <w:rFonts w:hint="cs"/>
          <w:sz w:val="20"/>
          <w:szCs w:val="24"/>
          <w:rtl/>
        </w:rPr>
        <w:t xml:space="preserve"> توسيع نطاق التعريف سيؤدي إلى زيادة</w:t>
      </w:r>
      <w:r w:rsidRPr="00B30F06">
        <w:rPr>
          <w:sz w:val="20"/>
          <w:szCs w:val="24"/>
          <w:rtl/>
        </w:rPr>
        <w:t xml:space="preserve"> عدد </w:t>
      </w:r>
      <w:r w:rsidR="00340622" w:rsidRPr="00B30F06">
        <w:rPr>
          <w:rFonts w:hint="cs"/>
          <w:sz w:val="20"/>
          <w:szCs w:val="24"/>
          <w:rtl/>
        </w:rPr>
        <w:t>الشركات</w:t>
      </w:r>
      <w:r w:rsidRPr="00B30F06">
        <w:rPr>
          <w:sz w:val="20"/>
          <w:szCs w:val="24"/>
          <w:rtl/>
        </w:rPr>
        <w:t xml:space="preserve"> </w:t>
      </w:r>
      <w:proofErr w:type="gramStart"/>
      <w:r w:rsidRPr="00B30F06">
        <w:rPr>
          <w:sz w:val="20"/>
          <w:szCs w:val="24"/>
          <w:rtl/>
        </w:rPr>
        <w:t>المؤهلة</w:t>
      </w:r>
      <w:proofErr w:type="gramEnd"/>
      <w:r w:rsidRPr="00B30F06">
        <w:rPr>
          <w:sz w:val="20"/>
          <w:szCs w:val="24"/>
          <w:rtl/>
        </w:rPr>
        <w:t xml:space="preserve"> ولكنه سينشئ خطر ازدواجية احتساب الشركات على امتداد سلسلة القيمة؛</w:t>
      </w:r>
    </w:p>
    <w:p w14:paraId="32C7D8E7" w14:textId="000C4D64" w:rsidR="00590242" w:rsidRPr="00B30F06" w:rsidRDefault="00590242" w:rsidP="00340622">
      <w:pPr>
        <w:pStyle w:val="CBDNormalNumber"/>
        <w:numPr>
          <w:ilvl w:val="1"/>
          <w:numId w:val="12"/>
        </w:numPr>
        <w:bidi/>
        <w:ind w:left="540" w:firstLine="540"/>
        <w:rPr>
          <w:sz w:val="20"/>
          <w:szCs w:val="24"/>
          <w:rtl/>
        </w:rPr>
      </w:pPr>
      <w:r w:rsidRPr="00B30F06">
        <w:rPr>
          <w:sz w:val="20"/>
          <w:szCs w:val="24"/>
          <w:rtl/>
        </w:rPr>
        <w:t>أوجه عدم اليقين الهيكلي المتعلقة بالمشاركة وبمبلغ المساهمة</w:t>
      </w:r>
      <w:r w:rsidR="00340622" w:rsidRPr="00B30F06">
        <w:rPr>
          <w:rFonts w:hint="cs"/>
          <w:sz w:val="20"/>
          <w:szCs w:val="24"/>
          <w:rtl/>
        </w:rPr>
        <w:t>، و</w:t>
      </w:r>
      <w:r w:rsidRPr="00B30F06">
        <w:rPr>
          <w:sz w:val="20"/>
          <w:szCs w:val="24"/>
          <w:rtl/>
        </w:rPr>
        <w:t>هي:</w:t>
      </w:r>
    </w:p>
    <w:p w14:paraId="5F7F6140" w14:textId="387FCE8B" w:rsidR="00590242" w:rsidRPr="00B30F06" w:rsidRDefault="00BB682B" w:rsidP="00340622">
      <w:pPr>
        <w:pStyle w:val="CBDNormalNumber"/>
        <w:numPr>
          <w:ilvl w:val="3"/>
          <w:numId w:val="12"/>
        </w:numPr>
        <w:tabs>
          <w:tab w:val="clear" w:pos="2835"/>
        </w:tabs>
        <w:bidi/>
        <w:ind w:left="2250"/>
        <w:rPr>
          <w:sz w:val="20"/>
          <w:szCs w:val="24"/>
          <w:rtl/>
        </w:rPr>
      </w:pPr>
      <w:r w:rsidRPr="00B30F06">
        <w:rPr>
          <w:sz w:val="20"/>
          <w:szCs w:val="24"/>
          <w:rtl/>
        </w:rPr>
        <w:t xml:space="preserve">عدم تماثل المعلومات، إذ قد لا </w:t>
      </w:r>
      <w:r w:rsidR="000C0D59" w:rsidRPr="00B30F06">
        <w:rPr>
          <w:rFonts w:hint="cs"/>
          <w:sz w:val="20"/>
          <w:szCs w:val="24"/>
          <w:rtl/>
        </w:rPr>
        <w:t>تُفصح</w:t>
      </w:r>
      <w:r w:rsidRPr="00B30F06">
        <w:rPr>
          <w:sz w:val="20"/>
          <w:szCs w:val="24"/>
          <w:rtl/>
        </w:rPr>
        <w:t xml:space="preserve"> الشركات المؤهلة </w:t>
      </w:r>
      <w:r w:rsidR="000C0D59" w:rsidRPr="00B30F06">
        <w:rPr>
          <w:rFonts w:hint="cs"/>
          <w:sz w:val="20"/>
          <w:szCs w:val="24"/>
          <w:rtl/>
        </w:rPr>
        <w:t xml:space="preserve">عن </w:t>
      </w:r>
      <w:r w:rsidRPr="00B30F06">
        <w:rPr>
          <w:sz w:val="20"/>
          <w:szCs w:val="24"/>
          <w:rtl/>
        </w:rPr>
        <w:t xml:space="preserve">نفسها ولا يمكن التحقق من عدم المشاركة؛ </w:t>
      </w:r>
    </w:p>
    <w:p w14:paraId="586F420A" w14:textId="2577B9BD" w:rsidR="00590242" w:rsidRPr="00B30F06" w:rsidRDefault="00BB682B" w:rsidP="00340622">
      <w:pPr>
        <w:pStyle w:val="CBDNormalNumber"/>
        <w:numPr>
          <w:ilvl w:val="3"/>
          <w:numId w:val="12"/>
        </w:numPr>
        <w:tabs>
          <w:tab w:val="clear" w:pos="2835"/>
        </w:tabs>
        <w:bidi/>
        <w:ind w:left="2250"/>
        <w:rPr>
          <w:sz w:val="20"/>
          <w:szCs w:val="24"/>
          <w:rtl/>
        </w:rPr>
      </w:pPr>
      <w:r w:rsidRPr="00B30F06">
        <w:rPr>
          <w:sz w:val="20"/>
          <w:szCs w:val="24"/>
          <w:rtl/>
        </w:rPr>
        <w:t xml:space="preserve">القيمة القانونية والتنظيمية لشهادة المساهمة، حيث </w:t>
      </w:r>
      <w:r w:rsidR="000C0D59" w:rsidRPr="00B30F06">
        <w:rPr>
          <w:rFonts w:hint="cs"/>
          <w:sz w:val="20"/>
          <w:szCs w:val="24"/>
          <w:rtl/>
        </w:rPr>
        <w:t>ت</w:t>
      </w:r>
      <w:r w:rsidRPr="00B30F06">
        <w:rPr>
          <w:sz w:val="20"/>
          <w:szCs w:val="24"/>
          <w:rtl/>
        </w:rPr>
        <w:t xml:space="preserve">قلل </w:t>
      </w:r>
      <w:r w:rsidR="000C0D59" w:rsidRPr="00B30F06">
        <w:rPr>
          <w:rFonts w:hint="cs"/>
          <w:sz w:val="20"/>
          <w:szCs w:val="24"/>
          <w:rtl/>
        </w:rPr>
        <w:t>القيمة المنخفضة</w:t>
      </w:r>
      <w:r w:rsidRPr="00B30F06">
        <w:rPr>
          <w:sz w:val="20"/>
          <w:szCs w:val="24"/>
          <w:rtl/>
        </w:rPr>
        <w:t xml:space="preserve"> من الحافز على المشاركة؛ </w:t>
      </w:r>
    </w:p>
    <w:p w14:paraId="6185D68B" w14:textId="70C6C7EE" w:rsidR="00590242" w:rsidRPr="00B30F06" w:rsidRDefault="00BB682B" w:rsidP="00340622">
      <w:pPr>
        <w:pStyle w:val="CBDNormalNumber"/>
        <w:numPr>
          <w:ilvl w:val="3"/>
          <w:numId w:val="12"/>
        </w:numPr>
        <w:tabs>
          <w:tab w:val="clear" w:pos="2835"/>
        </w:tabs>
        <w:bidi/>
        <w:ind w:left="2250"/>
        <w:rPr>
          <w:sz w:val="20"/>
          <w:szCs w:val="24"/>
          <w:rtl/>
        </w:rPr>
      </w:pPr>
      <w:r w:rsidRPr="00B30F06">
        <w:rPr>
          <w:sz w:val="20"/>
          <w:szCs w:val="24"/>
        </w:rPr>
        <w:tab/>
      </w:r>
      <w:r w:rsidRPr="00B30F06">
        <w:rPr>
          <w:sz w:val="20"/>
          <w:szCs w:val="24"/>
          <w:rtl/>
        </w:rPr>
        <w:t xml:space="preserve">تراكم الالتزامات مع الصكوك الدولية الأخرى، </w:t>
      </w:r>
      <w:r w:rsidR="000C0D59" w:rsidRPr="00B30F06">
        <w:rPr>
          <w:rFonts w:hint="cs"/>
          <w:sz w:val="20"/>
          <w:szCs w:val="24"/>
          <w:rtl/>
        </w:rPr>
        <w:t>وهو ما</w:t>
      </w:r>
      <w:r w:rsidRPr="00B30F06">
        <w:rPr>
          <w:sz w:val="20"/>
          <w:szCs w:val="24"/>
          <w:rtl/>
        </w:rPr>
        <w:t xml:space="preserve"> حُدد في </w:t>
      </w:r>
      <w:r w:rsidR="000C0D59" w:rsidRPr="00B30F06">
        <w:rPr>
          <w:rFonts w:hint="cs"/>
          <w:sz w:val="20"/>
          <w:szCs w:val="24"/>
          <w:rtl/>
        </w:rPr>
        <w:t>المساهمات</w:t>
      </w:r>
      <w:r w:rsidRPr="00B30F06">
        <w:rPr>
          <w:sz w:val="20"/>
          <w:szCs w:val="24"/>
          <w:rtl/>
        </w:rPr>
        <w:t xml:space="preserve"> المقدمة استجابة للإخطار رقم</w:t>
      </w:r>
      <w:r w:rsidR="00340622" w:rsidRPr="00B30F06">
        <w:rPr>
          <w:sz w:val="20"/>
          <w:szCs w:val="24"/>
          <w:rtl/>
        </w:rPr>
        <w:br/>
      </w:r>
      <w:hyperlink r:id="rId32" w:history="1">
        <w:r w:rsidR="00340622" w:rsidRPr="00B30F06">
          <w:rPr>
            <w:rStyle w:val="Hyperlink"/>
            <w:rFonts w:hint="cs"/>
            <w:sz w:val="20"/>
            <w:szCs w:val="24"/>
            <w:rtl/>
          </w:rPr>
          <w:t>2024-114</w:t>
        </w:r>
      </w:hyperlink>
      <w:r w:rsidRPr="00B30F06">
        <w:rPr>
          <w:sz w:val="20"/>
          <w:szCs w:val="24"/>
          <w:rtl/>
        </w:rPr>
        <w:t xml:space="preserve"> ب</w:t>
      </w:r>
      <w:r w:rsidR="000C0D59" w:rsidRPr="00B30F06">
        <w:rPr>
          <w:rFonts w:hint="cs"/>
          <w:sz w:val="20"/>
          <w:szCs w:val="24"/>
          <w:rtl/>
        </w:rPr>
        <w:t>أنه</w:t>
      </w:r>
      <w:r w:rsidRPr="00B30F06">
        <w:rPr>
          <w:sz w:val="20"/>
          <w:szCs w:val="24"/>
          <w:rtl/>
        </w:rPr>
        <w:t xml:space="preserve"> العائق الأكثر </w:t>
      </w:r>
      <w:r w:rsidR="000C0D59" w:rsidRPr="00B30F06">
        <w:rPr>
          <w:rFonts w:hint="cs"/>
          <w:sz w:val="20"/>
          <w:szCs w:val="24"/>
          <w:rtl/>
        </w:rPr>
        <w:t>شيوعاً</w:t>
      </w:r>
      <w:r w:rsidRPr="00B30F06">
        <w:rPr>
          <w:sz w:val="20"/>
          <w:szCs w:val="24"/>
          <w:rtl/>
        </w:rPr>
        <w:t xml:space="preserve"> أمام المشاركة؛ </w:t>
      </w:r>
    </w:p>
    <w:p w14:paraId="3B9DDCD5" w14:textId="56067540" w:rsidR="00590242" w:rsidRPr="00B30F06" w:rsidRDefault="00BB682B" w:rsidP="00340622">
      <w:pPr>
        <w:pStyle w:val="CBDNormalNumber"/>
        <w:numPr>
          <w:ilvl w:val="3"/>
          <w:numId w:val="12"/>
        </w:numPr>
        <w:tabs>
          <w:tab w:val="clear" w:pos="2835"/>
        </w:tabs>
        <w:bidi/>
        <w:ind w:left="2250"/>
        <w:rPr>
          <w:sz w:val="20"/>
          <w:szCs w:val="24"/>
          <w:rtl/>
        </w:rPr>
      </w:pPr>
      <w:r w:rsidRPr="00B30F06">
        <w:rPr>
          <w:sz w:val="20"/>
          <w:szCs w:val="24"/>
        </w:rPr>
        <w:tab/>
      </w:r>
      <w:r w:rsidRPr="00B30F06">
        <w:rPr>
          <w:sz w:val="20"/>
          <w:szCs w:val="24"/>
          <w:rtl/>
        </w:rPr>
        <w:t xml:space="preserve">تباين الطرق التي تنفذ بها الأطراف الآلية على الصعيد الوطني، وهو ما قد يزيد المشاركة من خلال تدابير الحوافز المحلية أو ينشئ أوجه عدم تماثل عابرة للحدود؛ </w:t>
      </w:r>
    </w:p>
    <w:p w14:paraId="54E68659" w14:textId="50CD01F9" w:rsidR="00BB682B" w:rsidRPr="00B30F06" w:rsidRDefault="00BB682B" w:rsidP="00340622">
      <w:pPr>
        <w:pStyle w:val="CBDNormalNumber"/>
        <w:numPr>
          <w:ilvl w:val="3"/>
          <w:numId w:val="12"/>
        </w:numPr>
        <w:tabs>
          <w:tab w:val="clear" w:pos="2835"/>
        </w:tabs>
        <w:bidi/>
        <w:ind w:left="2250"/>
        <w:rPr>
          <w:sz w:val="20"/>
          <w:szCs w:val="24"/>
          <w:rtl/>
        </w:rPr>
      </w:pPr>
      <w:r w:rsidRPr="00B30F06">
        <w:rPr>
          <w:sz w:val="20"/>
          <w:szCs w:val="24"/>
        </w:rPr>
        <w:tab/>
      </w:r>
      <w:r w:rsidRPr="00B30F06">
        <w:rPr>
          <w:sz w:val="20"/>
          <w:szCs w:val="24"/>
          <w:rtl/>
        </w:rPr>
        <w:t>صيغة التخصيص في صندوق كالي، التي قد تؤثر في حوافز المشاركة إذا رأى المساهمون أن توزيع المنافع غير منصف.</w:t>
      </w:r>
    </w:p>
    <w:p w14:paraId="2ABCF733" w14:textId="54CCDA19" w:rsidR="00BB682B" w:rsidRPr="00B30F06" w:rsidRDefault="00BB682B" w:rsidP="00284A2D">
      <w:pPr>
        <w:pStyle w:val="CBDNormalNumber"/>
        <w:numPr>
          <w:ilvl w:val="0"/>
          <w:numId w:val="15"/>
        </w:numPr>
        <w:bidi/>
        <w:rPr>
          <w:sz w:val="20"/>
          <w:szCs w:val="24"/>
          <w:rtl/>
        </w:rPr>
      </w:pPr>
      <w:r w:rsidRPr="00B30F06">
        <w:rPr>
          <w:sz w:val="20"/>
          <w:szCs w:val="24"/>
          <w:rtl/>
        </w:rPr>
        <w:t xml:space="preserve">ولا يُتوقع </w:t>
      </w:r>
      <w:r w:rsidR="000C0D59" w:rsidRPr="00B30F06">
        <w:rPr>
          <w:rFonts w:hint="cs"/>
          <w:sz w:val="20"/>
          <w:szCs w:val="24"/>
          <w:rtl/>
        </w:rPr>
        <w:t>أن يؤدي أي</w:t>
      </w:r>
      <w:r w:rsidRPr="00B30F06">
        <w:rPr>
          <w:sz w:val="20"/>
          <w:szCs w:val="24"/>
          <w:rtl/>
        </w:rPr>
        <w:t xml:space="preserve"> من أوجه عدم اليقين التسعة هذه </w:t>
      </w:r>
      <w:r w:rsidR="000C0D59" w:rsidRPr="00B30F06">
        <w:rPr>
          <w:rFonts w:hint="cs"/>
          <w:sz w:val="20"/>
          <w:szCs w:val="24"/>
          <w:rtl/>
        </w:rPr>
        <w:t>إلى رفع</w:t>
      </w:r>
      <w:r w:rsidRPr="00B30F06">
        <w:rPr>
          <w:sz w:val="20"/>
          <w:szCs w:val="24"/>
          <w:rtl/>
        </w:rPr>
        <w:t xml:space="preserve"> إيرادات صندوق كالي فوق الحد الأقصى النظري للامتثال الكامل. ومن ثم </w:t>
      </w:r>
      <w:r w:rsidR="00971203" w:rsidRPr="00B30F06">
        <w:rPr>
          <w:rFonts w:hint="cs"/>
          <w:sz w:val="20"/>
          <w:szCs w:val="24"/>
          <w:rtl/>
        </w:rPr>
        <w:t>يفضل اعتبار الامتثال الكامل</w:t>
      </w:r>
      <w:r w:rsidRPr="00B30F06">
        <w:rPr>
          <w:sz w:val="20"/>
          <w:szCs w:val="24"/>
          <w:rtl/>
        </w:rPr>
        <w:t xml:space="preserve"> سقفا</w:t>
      </w:r>
      <w:r w:rsidR="00971203" w:rsidRPr="00B30F06">
        <w:rPr>
          <w:rFonts w:hint="cs"/>
          <w:sz w:val="20"/>
          <w:szCs w:val="24"/>
          <w:rtl/>
        </w:rPr>
        <w:t>ً</w:t>
      </w:r>
      <w:r w:rsidRPr="00B30F06">
        <w:rPr>
          <w:sz w:val="20"/>
          <w:szCs w:val="24"/>
          <w:rtl/>
        </w:rPr>
        <w:t xml:space="preserve"> </w:t>
      </w:r>
      <w:r w:rsidR="00971203" w:rsidRPr="00B30F06">
        <w:rPr>
          <w:rFonts w:hint="cs"/>
          <w:sz w:val="20"/>
          <w:szCs w:val="24"/>
          <w:rtl/>
        </w:rPr>
        <w:t>وليس</w:t>
      </w:r>
      <w:r w:rsidRPr="00B30F06">
        <w:rPr>
          <w:sz w:val="20"/>
          <w:szCs w:val="24"/>
          <w:rtl/>
        </w:rPr>
        <w:t xml:space="preserve"> تقديرا مركزيا.</w:t>
      </w:r>
    </w:p>
    <w:p w14:paraId="2E642476" w14:textId="37F4BDE6" w:rsidR="00BB682B" w:rsidRPr="00B30F06" w:rsidRDefault="008000EA" w:rsidP="00020F91">
      <w:pPr>
        <w:pStyle w:val="CBDH1"/>
        <w:bidi/>
        <w:rPr>
          <w:b w:val="0"/>
          <w:bCs/>
          <w:sz w:val="20"/>
          <w:szCs w:val="24"/>
          <w:rtl/>
        </w:rPr>
      </w:pPr>
      <w:r w:rsidRPr="00B30F06">
        <w:rPr>
          <w:b w:val="0"/>
          <w:bCs/>
          <w:sz w:val="20"/>
          <w:szCs w:val="24"/>
          <w:rtl/>
        </w:rPr>
        <w:t>رابعا-</w:t>
      </w:r>
      <w:r w:rsidRPr="00B30F06">
        <w:rPr>
          <w:b w:val="0"/>
          <w:bCs/>
          <w:sz w:val="20"/>
          <w:szCs w:val="24"/>
        </w:rPr>
        <w:tab/>
      </w:r>
      <w:r w:rsidRPr="00B30F06">
        <w:rPr>
          <w:b w:val="0"/>
          <w:bCs/>
          <w:sz w:val="20"/>
          <w:szCs w:val="24"/>
          <w:rtl/>
        </w:rPr>
        <w:t>موجز النتائج</w:t>
      </w:r>
    </w:p>
    <w:p w14:paraId="52D7A0E7" w14:textId="38CAED1E" w:rsidR="00BB682B" w:rsidRPr="00B30F06" w:rsidRDefault="008000EA" w:rsidP="00020F91">
      <w:pPr>
        <w:pStyle w:val="CBDH2"/>
        <w:bidi/>
        <w:rPr>
          <w:b w:val="0"/>
          <w:bCs/>
          <w:sz w:val="20"/>
          <w:szCs w:val="24"/>
          <w:rtl/>
        </w:rPr>
      </w:pPr>
      <w:r w:rsidRPr="00B30F06">
        <w:rPr>
          <w:b w:val="0"/>
          <w:bCs/>
          <w:sz w:val="20"/>
          <w:szCs w:val="24"/>
          <w:rtl/>
        </w:rPr>
        <w:t>ألف-</w:t>
      </w:r>
      <w:r w:rsidRPr="00B30F06">
        <w:rPr>
          <w:b w:val="0"/>
          <w:bCs/>
          <w:sz w:val="20"/>
          <w:szCs w:val="24"/>
        </w:rPr>
        <w:tab/>
      </w:r>
      <w:r w:rsidRPr="00B30F06">
        <w:rPr>
          <w:b w:val="0"/>
          <w:bCs/>
          <w:sz w:val="20"/>
          <w:szCs w:val="24"/>
          <w:rtl/>
        </w:rPr>
        <w:t>عتبات الأهلية</w:t>
      </w:r>
    </w:p>
    <w:p w14:paraId="3544962F" w14:textId="075BA2D1" w:rsidR="00BB682B" w:rsidRPr="00B30F06" w:rsidRDefault="00BB682B" w:rsidP="00917A39">
      <w:pPr>
        <w:pStyle w:val="CBDNormalNumber"/>
        <w:numPr>
          <w:ilvl w:val="0"/>
          <w:numId w:val="15"/>
        </w:numPr>
        <w:bidi/>
        <w:rPr>
          <w:sz w:val="20"/>
          <w:szCs w:val="24"/>
          <w:rtl/>
        </w:rPr>
      </w:pPr>
      <w:r w:rsidRPr="00B30F06">
        <w:rPr>
          <w:sz w:val="20"/>
          <w:szCs w:val="24"/>
          <w:rtl/>
        </w:rPr>
        <w:t xml:space="preserve">أظهرت </w:t>
      </w:r>
      <w:r w:rsidR="00F31D85" w:rsidRPr="00B30F06">
        <w:rPr>
          <w:rFonts w:hint="cs"/>
          <w:sz w:val="20"/>
          <w:szCs w:val="24"/>
          <w:rtl/>
        </w:rPr>
        <w:t>المساهمات</w:t>
      </w:r>
      <w:r w:rsidRPr="00B30F06">
        <w:rPr>
          <w:sz w:val="20"/>
          <w:szCs w:val="24"/>
          <w:rtl/>
        </w:rPr>
        <w:t xml:space="preserve"> المقدمة استجابة للإخطار رقم </w:t>
      </w:r>
      <w:hyperlink r:id="rId33" w:history="1">
        <w:r w:rsidR="00F31D85" w:rsidRPr="00B30F06">
          <w:rPr>
            <w:rStyle w:val="Hyperlink"/>
            <w:rFonts w:hint="cs"/>
            <w:sz w:val="20"/>
            <w:szCs w:val="24"/>
            <w:rtl/>
          </w:rPr>
          <w:t>2024-116</w:t>
        </w:r>
      </w:hyperlink>
      <w:r w:rsidRPr="00B30F06">
        <w:rPr>
          <w:sz w:val="20"/>
          <w:szCs w:val="24"/>
          <w:rtl/>
        </w:rPr>
        <w:t xml:space="preserve"> تأييدا واسعا للاعتماد على الأطر الدولية القائمة بدلا من وضع نظام مصمم خصيصا لاتفاقية التنوع البيولوجي، فضلا عن تفضيل العتبات المالية على العتبات القائمة على عدد الموظفين، على أساس أن القدرة على الدفع هي </w:t>
      </w:r>
      <w:r w:rsidR="00F31D85" w:rsidRPr="00B30F06">
        <w:rPr>
          <w:rFonts w:hint="cs"/>
          <w:sz w:val="20"/>
          <w:szCs w:val="24"/>
          <w:rtl/>
        </w:rPr>
        <w:t>المعيار</w:t>
      </w:r>
      <w:r w:rsidRPr="00B30F06">
        <w:rPr>
          <w:sz w:val="20"/>
          <w:szCs w:val="24"/>
          <w:rtl/>
        </w:rPr>
        <w:t xml:space="preserve"> المناسب ل</w:t>
      </w:r>
      <w:r w:rsidR="00F31D85" w:rsidRPr="00B30F06">
        <w:rPr>
          <w:rFonts w:hint="cs"/>
          <w:sz w:val="20"/>
          <w:szCs w:val="24"/>
          <w:rtl/>
        </w:rPr>
        <w:t>ل</w:t>
      </w:r>
      <w:r w:rsidRPr="00B30F06">
        <w:rPr>
          <w:sz w:val="20"/>
          <w:szCs w:val="24"/>
          <w:rtl/>
        </w:rPr>
        <w:t xml:space="preserve">مساهمة </w:t>
      </w:r>
      <w:r w:rsidR="00F31D85" w:rsidRPr="00B30F06">
        <w:rPr>
          <w:rFonts w:hint="cs"/>
          <w:sz w:val="20"/>
          <w:szCs w:val="24"/>
          <w:rtl/>
        </w:rPr>
        <w:t>ال</w:t>
      </w:r>
      <w:r w:rsidRPr="00B30F06">
        <w:rPr>
          <w:sz w:val="20"/>
          <w:szCs w:val="24"/>
          <w:rtl/>
        </w:rPr>
        <w:t>مالية. ورأ</w:t>
      </w:r>
      <w:r w:rsidR="00F31D85" w:rsidRPr="00B30F06">
        <w:rPr>
          <w:rFonts w:hint="cs"/>
          <w:sz w:val="20"/>
          <w:szCs w:val="24"/>
          <w:rtl/>
        </w:rPr>
        <w:t>ى</w:t>
      </w:r>
      <w:r w:rsidRPr="00B30F06">
        <w:rPr>
          <w:sz w:val="20"/>
          <w:szCs w:val="24"/>
          <w:rtl/>
        </w:rPr>
        <w:t xml:space="preserve"> عد</w:t>
      </w:r>
      <w:r w:rsidR="00F31D85" w:rsidRPr="00B30F06">
        <w:rPr>
          <w:rFonts w:hint="cs"/>
          <w:sz w:val="20"/>
          <w:szCs w:val="24"/>
          <w:rtl/>
        </w:rPr>
        <w:t>د من ال</w:t>
      </w:r>
      <w:r w:rsidRPr="00B30F06">
        <w:rPr>
          <w:sz w:val="20"/>
          <w:szCs w:val="24"/>
          <w:rtl/>
        </w:rPr>
        <w:t>أطراف أن</w:t>
      </w:r>
      <w:r w:rsidR="00F31D85" w:rsidRPr="00B30F06">
        <w:rPr>
          <w:rFonts w:hint="cs"/>
          <w:sz w:val="20"/>
          <w:szCs w:val="24"/>
          <w:rtl/>
        </w:rPr>
        <w:t>ه لا يمكن تحديد</w:t>
      </w:r>
      <w:r w:rsidRPr="00B30F06">
        <w:rPr>
          <w:sz w:val="20"/>
          <w:szCs w:val="24"/>
          <w:rtl/>
        </w:rPr>
        <w:t xml:space="preserve"> حجم الشركة لا يمكن </w:t>
      </w:r>
      <w:r w:rsidR="00F31D85" w:rsidRPr="00B30F06">
        <w:rPr>
          <w:rFonts w:hint="cs"/>
          <w:sz w:val="20"/>
          <w:szCs w:val="24"/>
          <w:rtl/>
        </w:rPr>
        <w:t>بشكل موحد عبر</w:t>
      </w:r>
      <w:r w:rsidRPr="00B30F06">
        <w:rPr>
          <w:sz w:val="20"/>
          <w:szCs w:val="24"/>
          <w:rtl/>
        </w:rPr>
        <w:t xml:space="preserve"> القطاعات، في حين حذّر مراقبون من القطاع الخاص من التع</w:t>
      </w:r>
      <w:r w:rsidR="001F0CAE" w:rsidRPr="00B30F06">
        <w:rPr>
          <w:rFonts w:hint="cs"/>
          <w:sz w:val="20"/>
          <w:szCs w:val="24"/>
          <w:rtl/>
        </w:rPr>
        <w:t>ريفات</w:t>
      </w:r>
      <w:r w:rsidRPr="00B30F06">
        <w:rPr>
          <w:sz w:val="20"/>
          <w:szCs w:val="24"/>
          <w:rtl/>
        </w:rPr>
        <w:t xml:space="preserve"> الجامدة التي تشمل شركات لا تعتمد على معلومات التسلسل الرقمي بشأن الموارد الجينية إلا اعتمادا غير مباشر، وفضّل مراقبون من المنظمات غير الحكومية والأوساط الأكاديمية معايير قائمة على النشاط، مثل القيمة المستمدة من معلومات التسلسل الرقمي بشأن الموارد الجينية. </w:t>
      </w:r>
      <w:proofErr w:type="gramStart"/>
      <w:r w:rsidRPr="00B30F06">
        <w:rPr>
          <w:sz w:val="20"/>
          <w:szCs w:val="24"/>
          <w:rtl/>
        </w:rPr>
        <w:t>و</w:t>
      </w:r>
      <w:r w:rsidR="001F0CAE" w:rsidRPr="00B30F06">
        <w:rPr>
          <w:sz w:val="20"/>
          <w:szCs w:val="24"/>
          <w:rtl/>
        </w:rPr>
        <w:t xml:space="preserve"> </w:t>
      </w:r>
      <w:r w:rsidR="001F0CAE" w:rsidRPr="00B30F06">
        <w:rPr>
          <w:sz w:val="20"/>
          <w:szCs w:val="24"/>
          <w:rtl/>
        </w:rPr>
        <w:t>في</w:t>
      </w:r>
      <w:proofErr w:type="gramEnd"/>
      <w:r w:rsidR="001F0CAE" w:rsidRPr="00B30F06">
        <w:rPr>
          <w:sz w:val="20"/>
          <w:szCs w:val="24"/>
          <w:rtl/>
        </w:rPr>
        <w:t xml:space="preserve"> مساهماتهم</w:t>
      </w:r>
      <w:r w:rsidR="001F0CAE" w:rsidRPr="00B30F06">
        <w:rPr>
          <w:rFonts w:hint="cs"/>
          <w:sz w:val="20"/>
          <w:szCs w:val="24"/>
          <w:rtl/>
        </w:rPr>
        <w:t>،</w:t>
      </w:r>
      <w:r w:rsidR="001F0CAE" w:rsidRPr="00B30F06">
        <w:rPr>
          <w:sz w:val="20"/>
          <w:szCs w:val="24"/>
          <w:rtl/>
        </w:rPr>
        <w:t xml:space="preserve"> </w:t>
      </w:r>
      <w:r w:rsidRPr="00B30F06">
        <w:rPr>
          <w:sz w:val="20"/>
          <w:szCs w:val="24"/>
          <w:rtl/>
        </w:rPr>
        <w:t>دع</w:t>
      </w:r>
      <w:r w:rsidR="001F0CAE" w:rsidRPr="00B30F06">
        <w:rPr>
          <w:rFonts w:hint="cs"/>
          <w:sz w:val="20"/>
          <w:szCs w:val="24"/>
          <w:rtl/>
        </w:rPr>
        <w:t>ا كل من</w:t>
      </w:r>
      <w:r w:rsidRPr="00B30F06">
        <w:rPr>
          <w:sz w:val="20"/>
          <w:szCs w:val="24"/>
          <w:rtl/>
        </w:rPr>
        <w:t xml:space="preserve"> الأطراف والمراقب</w:t>
      </w:r>
      <w:r w:rsidR="001F0CAE" w:rsidRPr="00B30F06">
        <w:rPr>
          <w:rFonts w:hint="cs"/>
          <w:sz w:val="20"/>
          <w:szCs w:val="24"/>
          <w:rtl/>
        </w:rPr>
        <w:t>ي</w:t>
      </w:r>
      <w:r w:rsidRPr="00B30F06">
        <w:rPr>
          <w:sz w:val="20"/>
          <w:szCs w:val="24"/>
          <w:rtl/>
        </w:rPr>
        <w:t xml:space="preserve">ن </w:t>
      </w:r>
      <w:r w:rsidR="001F0CAE" w:rsidRPr="00B30F06">
        <w:rPr>
          <w:rFonts w:hint="cs"/>
          <w:sz w:val="20"/>
          <w:szCs w:val="24"/>
          <w:rtl/>
        </w:rPr>
        <w:t>بشكل متسق</w:t>
      </w:r>
      <w:r w:rsidRPr="00B30F06">
        <w:rPr>
          <w:sz w:val="20"/>
          <w:szCs w:val="24"/>
          <w:rtl/>
        </w:rPr>
        <w:t xml:space="preserve"> إلى حماية </w:t>
      </w:r>
      <w:r w:rsidR="001F0CAE" w:rsidRPr="00B30F06">
        <w:rPr>
          <w:rFonts w:hint="cs"/>
          <w:sz w:val="20"/>
          <w:szCs w:val="24"/>
          <w:rtl/>
        </w:rPr>
        <w:t>الشركات</w:t>
      </w:r>
      <w:r w:rsidRPr="00B30F06">
        <w:rPr>
          <w:sz w:val="20"/>
          <w:szCs w:val="24"/>
          <w:rtl/>
        </w:rPr>
        <w:t xml:space="preserve"> الصغيرة والمتوسطة من الأعباء غير المتناسبة.</w:t>
      </w:r>
    </w:p>
    <w:p w14:paraId="234261DE" w14:textId="4D41D7CA" w:rsidR="00BB682B" w:rsidRPr="00B30F06" w:rsidRDefault="00BB682B" w:rsidP="00F45C65">
      <w:pPr>
        <w:pStyle w:val="CBDNormalNumber"/>
        <w:numPr>
          <w:ilvl w:val="0"/>
          <w:numId w:val="15"/>
        </w:numPr>
        <w:bidi/>
        <w:rPr>
          <w:sz w:val="20"/>
          <w:szCs w:val="24"/>
          <w:rtl/>
        </w:rPr>
      </w:pPr>
      <w:r w:rsidRPr="00B30F06">
        <w:rPr>
          <w:sz w:val="20"/>
          <w:szCs w:val="24"/>
          <w:rtl/>
        </w:rPr>
        <w:t xml:space="preserve">وبالمقارنة بأطر البرازيل والصين والهند واليابان والولايات المتحدة الأمريكية والاتحاد الأوروبي ومؤسسة التمويل الدولية التابعة لمجموعة البنك الدولي ومنظمة التعاون والتنمية في الميدان الاقتصادي، تتوافق عتبات المقرر </w:t>
      </w:r>
      <w:r w:rsidRPr="00B30F06">
        <w:rPr>
          <w:sz w:val="20"/>
          <w:szCs w:val="24"/>
        </w:rPr>
        <w:fldChar w:fldCharType="begin"/>
      </w:r>
      <w:r w:rsidRPr="00B30F06">
        <w:rPr>
          <w:sz w:val="20"/>
          <w:szCs w:val="24"/>
        </w:rPr>
        <w:instrText>HYPERLINK "https://www.cbd.int/decisions/cop/?m=cop-16"</w:instrText>
      </w:r>
      <w:r w:rsidRPr="00B30F06">
        <w:rPr>
          <w:sz w:val="20"/>
          <w:szCs w:val="24"/>
        </w:rPr>
      </w:r>
      <w:r w:rsidRPr="00B30F06">
        <w:rPr>
          <w:sz w:val="20"/>
          <w:szCs w:val="24"/>
        </w:rPr>
        <w:fldChar w:fldCharType="separate"/>
      </w:r>
      <w:r w:rsidR="00E51610" w:rsidRPr="00B30F06">
        <w:rPr>
          <w:rStyle w:val="Hyperlink"/>
          <w:rFonts w:hint="cs"/>
          <w:sz w:val="20"/>
          <w:szCs w:val="24"/>
          <w:rtl/>
        </w:rPr>
        <w:t>16/2</w:t>
      </w:r>
      <w:r w:rsidRPr="00B30F06">
        <w:rPr>
          <w:sz w:val="20"/>
          <w:szCs w:val="24"/>
        </w:rPr>
        <w:fldChar w:fldCharType="end"/>
      </w:r>
      <w:r w:rsidRPr="00B30F06">
        <w:rPr>
          <w:sz w:val="20"/>
          <w:szCs w:val="24"/>
          <w:rtl/>
        </w:rPr>
        <w:t xml:space="preserve"> عموما مع معايير </w:t>
      </w:r>
      <w:r w:rsidR="00E51610" w:rsidRPr="00B30F06">
        <w:rPr>
          <w:rFonts w:hint="cs"/>
          <w:sz w:val="20"/>
          <w:szCs w:val="24"/>
          <w:rtl/>
        </w:rPr>
        <w:t>الشركات</w:t>
      </w:r>
      <w:r w:rsidRPr="00B30F06">
        <w:rPr>
          <w:sz w:val="20"/>
          <w:szCs w:val="24"/>
          <w:rtl/>
        </w:rPr>
        <w:t xml:space="preserve"> الكبيرة، وإن كانت هناك اختلافات ملحوظة: فعتبة الأصول البالغة </w:t>
      </w:r>
      <w:r w:rsidR="00E51610" w:rsidRPr="00B30F06">
        <w:rPr>
          <w:rFonts w:hint="cs"/>
          <w:sz w:val="20"/>
          <w:szCs w:val="24"/>
          <w:rtl/>
        </w:rPr>
        <w:t>20,000,000</w:t>
      </w:r>
      <w:r w:rsidRPr="00B30F06">
        <w:rPr>
          <w:sz w:val="20"/>
          <w:szCs w:val="24"/>
          <w:rtl/>
        </w:rPr>
        <w:t xml:space="preserve"> دولار تقل عن </w:t>
      </w:r>
      <w:r w:rsidR="003E7FBE" w:rsidRPr="00B30F06">
        <w:rPr>
          <w:rFonts w:hint="cs"/>
          <w:sz w:val="20"/>
          <w:szCs w:val="24"/>
          <w:rtl/>
        </w:rPr>
        <w:t>الحد الأقصى</w:t>
      </w:r>
      <w:r w:rsidRPr="00B30F06">
        <w:rPr>
          <w:sz w:val="20"/>
          <w:szCs w:val="24"/>
          <w:rtl/>
        </w:rPr>
        <w:t xml:space="preserve"> </w:t>
      </w:r>
      <w:r w:rsidR="003E7FBE" w:rsidRPr="00B30F06">
        <w:rPr>
          <w:rFonts w:hint="cs"/>
          <w:sz w:val="20"/>
          <w:szCs w:val="24"/>
          <w:rtl/>
        </w:rPr>
        <w:t>ل</w:t>
      </w:r>
      <w:r w:rsidRPr="00B30F06">
        <w:rPr>
          <w:sz w:val="20"/>
          <w:szCs w:val="24"/>
          <w:rtl/>
        </w:rPr>
        <w:t xml:space="preserve">لميزانية العمومية </w:t>
      </w:r>
      <w:r w:rsidR="003E7FBE" w:rsidRPr="00B30F06">
        <w:rPr>
          <w:rFonts w:hint="cs"/>
          <w:sz w:val="20"/>
          <w:szCs w:val="24"/>
          <w:rtl/>
        </w:rPr>
        <w:t>للشركات</w:t>
      </w:r>
      <w:r w:rsidRPr="00B30F06">
        <w:rPr>
          <w:sz w:val="20"/>
          <w:szCs w:val="24"/>
          <w:rtl/>
        </w:rPr>
        <w:t xml:space="preserve"> المتوسطة</w:t>
      </w:r>
      <w:r w:rsidR="003E7FBE" w:rsidRPr="00B30F06">
        <w:rPr>
          <w:rFonts w:hint="cs"/>
          <w:sz w:val="20"/>
          <w:szCs w:val="24"/>
          <w:rtl/>
        </w:rPr>
        <w:t xml:space="preserve"> الحجم</w:t>
      </w:r>
      <w:r w:rsidRPr="00B30F06">
        <w:rPr>
          <w:sz w:val="20"/>
          <w:szCs w:val="24"/>
          <w:rtl/>
        </w:rPr>
        <w:t xml:space="preserve"> في الاتحاد الأوروبي</w:t>
      </w:r>
      <w:r w:rsidR="003E7FBE" w:rsidRPr="00B30F06">
        <w:rPr>
          <w:rFonts w:hint="cs"/>
          <w:sz w:val="20"/>
          <w:szCs w:val="24"/>
          <w:rtl/>
        </w:rPr>
        <w:t>،</w:t>
      </w:r>
      <w:r w:rsidRPr="00B30F06">
        <w:rPr>
          <w:sz w:val="20"/>
          <w:szCs w:val="24"/>
          <w:rtl/>
        </w:rPr>
        <w:t xml:space="preserve"> </w:t>
      </w:r>
      <w:r w:rsidR="003E7FBE" w:rsidRPr="00B30F06">
        <w:rPr>
          <w:rFonts w:hint="cs"/>
          <w:sz w:val="20"/>
          <w:szCs w:val="24"/>
          <w:rtl/>
        </w:rPr>
        <w:t>و</w:t>
      </w:r>
      <w:r w:rsidRPr="00B30F06">
        <w:rPr>
          <w:sz w:val="20"/>
          <w:szCs w:val="24"/>
          <w:rtl/>
        </w:rPr>
        <w:t xml:space="preserve">البالغ نحو </w:t>
      </w:r>
      <w:r w:rsidR="00E51610" w:rsidRPr="00B30F06">
        <w:rPr>
          <w:rFonts w:hint="cs"/>
          <w:sz w:val="20"/>
          <w:szCs w:val="24"/>
          <w:rtl/>
        </w:rPr>
        <w:t>50,000,000</w:t>
      </w:r>
      <w:r w:rsidRPr="00B30F06">
        <w:rPr>
          <w:sz w:val="20"/>
          <w:szCs w:val="24"/>
          <w:rtl/>
        </w:rPr>
        <w:t xml:space="preserve"> دولار؛ </w:t>
      </w:r>
      <w:r w:rsidR="003E7FBE" w:rsidRPr="00B30F06">
        <w:rPr>
          <w:rFonts w:hint="cs"/>
          <w:sz w:val="20"/>
          <w:szCs w:val="24"/>
          <w:rtl/>
        </w:rPr>
        <w:t xml:space="preserve">كما أن </w:t>
      </w:r>
      <w:r w:rsidRPr="00B30F06">
        <w:rPr>
          <w:sz w:val="20"/>
          <w:szCs w:val="24"/>
          <w:rtl/>
        </w:rPr>
        <w:t xml:space="preserve">بعض الشركات المصنفة </w:t>
      </w:r>
      <w:r w:rsidR="003E7FBE" w:rsidRPr="00B30F06">
        <w:rPr>
          <w:rFonts w:hint="cs"/>
          <w:sz w:val="20"/>
          <w:szCs w:val="24"/>
          <w:rtl/>
        </w:rPr>
        <w:t>ك</w:t>
      </w:r>
      <w:r w:rsidRPr="00B30F06">
        <w:rPr>
          <w:sz w:val="20"/>
          <w:szCs w:val="24"/>
          <w:rtl/>
        </w:rPr>
        <w:t xml:space="preserve">متوسطة الحجم بموجب التشريعات الهندية والصينية ستقع ضمن نطاق صندوق كالي؛ وخلافا لجميع الأطر المستعرَضة تقريبا، لا يتضمن صندوق كالي أي معيار يتعلق بعدد الموظفين. ولا يوجد لمعيار </w:t>
      </w:r>
      <w:r w:rsidR="003E7FBE" w:rsidRPr="00B30F06">
        <w:rPr>
          <w:rFonts w:hint="cs"/>
          <w:sz w:val="20"/>
          <w:szCs w:val="24"/>
          <w:rtl/>
        </w:rPr>
        <w:t>الربح</w:t>
      </w:r>
      <w:r w:rsidRPr="00B30F06">
        <w:rPr>
          <w:sz w:val="20"/>
          <w:szCs w:val="24"/>
          <w:rtl/>
        </w:rPr>
        <w:t xml:space="preserve"> نظير مباشر في الأطر المستعرَضة. وخلافا لإطاري الولايات المتحدة والاتحاد الأوروبي، لا يتضمن التصميم الحالي أي شرط يتعلق بالملكية أو </w:t>
      </w:r>
      <w:r w:rsidR="003E7FBE" w:rsidRPr="00B30F06">
        <w:rPr>
          <w:rFonts w:hint="cs"/>
          <w:sz w:val="20"/>
          <w:szCs w:val="24"/>
          <w:rtl/>
        </w:rPr>
        <w:t>الانتماء</w:t>
      </w:r>
      <w:r w:rsidRPr="00B30F06">
        <w:rPr>
          <w:sz w:val="20"/>
          <w:szCs w:val="24"/>
          <w:rtl/>
        </w:rPr>
        <w:t xml:space="preserve">، وهو ما يثير تساؤلا عما إذا كان تعريف مستوى الكيان متينا بما يكفي </w:t>
      </w:r>
      <w:r w:rsidR="003E7FBE" w:rsidRPr="00B30F06">
        <w:rPr>
          <w:rFonts w:hint="cs"/>
          <w:sz w:val="20"/>
          <w:szCs w:val="24"/>
          <w:rtl/>
        </w:rPr>
        <w:t>لمنع أي</w:t>
      </w:r>
      <w:r w:rsidRPr="00B30F06">
        <w:rPr>
          <w:sz w:val="20"/>
          <w:szCs w:val="24"/>
          <w:rtl/>
        </w:rPr>
        <w:t xml:space="preserve"> إعادة هيكلة محتملة </w:t>
      </w:r>
      <w:r w:rsidR="003E7FBE" w:rsidRPr="00B30F06">
        <w:rPr>
          <w:rFonts w:hint="cs"/>
          <w:sz w:val="20"/>
          <w:szCs w:val="24"/>
          <w:rtl/>
        </w:rPr>
        <w:t>تهدف إلى</w:t>
      </w:r>
      <w:r w:rsidRPr="00B30F06">
        <w:rPr>
          <w:sz w:val="20"/>
          <w:szCs w:val="24"/>
          <w:rtl/>
        </w:rPr>
        <w:t xml:space="preserve"> عزل النشاط المت</w:t>
      </w:r>
      <w:r w:rsidR="003E7FBE" w:rsidRPr="00B30F06">
        <w:rPr>
          <w:rFonts w:hint="cs"/>
          <w:sz w:val="20"/>
          <w:szCs w:val="24"/>
          <w:rtl/>
        </w:rPr>
        <w:t>علق</w:t>
      </w:r>
      <w:r w:rsidRPr="00B30F06">
        <w:rPr>
          <w:sz w:val="20"/>
          <w:szCs w:val="24"/>
          <w:rtl/>
        </w:rPr>
        <w:t xml:space="preserve"> بمعلومات التسلسل الرقمي بشأن الموارد الجينية في كيانات مبلِّغة أصغر حجما.</w:t>
      </w:r>
    </w:p>
    <w:p w14:paraId="44B13E7E" w14:textId="6023E70B" w:rsidR="00BB682B" w:rsidRPr="00B30F06" w:rsidRDefault="00BB682B" w:rsidP="00F45C65">
      <w:pPr>
        <w:pStyle w:val="CBDNormalNumber"/>
        <w:numPr>
          <w:ilvl w:val="0"/>
          <w:numId w:val="15"/>
        </w:numPr>
        <w:bidi/>
        <w:rPr>
          <w:sz w:val="20"/>
          <w:szCs w:val="24"/>
          <w:rtl/>
        </w:rPr>
      </w:pPr>
      <w:r w:rsidRPr="00B30F06">
        <w:rPr>
          <w:sz w:val="20"/>
          <w:szCs w:val="24"/>
          <w:rtl/>
        </w:rPr>
        <w:t xml:space="preserve">وحُددت </w:t>
      </w:r>
      <w:proofErr w:type="gramStart"/>
      <w:r w:rsidRPr="00B30F06">
        <w:rPr>
          <w:sz w:val="20"/>
          <w:szCs w:val="24"/>
          <w:rtl/>
        </w:rPr>
        <w:t>سبعة</w:t>
      </w:r>
      <w:proofErr w:type="gramEnd"/>
      <w:r w:rsidRPr="00B30F06">
        <w:rPr>
          <w:sz w:val="20"/>
          <w:szCs w:val="24"/>
          <w:rtl/>
        </w:rPr>
        <w:t xml:space="preserve"> خيارات تصميمية لينظر فيها مؤتمر الأطراف، دون تقديم توصية بأ</w:t>
      </w:r>
      <w:r w:rsidR="003E7FBE" w:rsidRPr="00B30F06">
        <w:rPr>
          <w:rFonts w:hint="cs"/>
          <w:sz w:val="20"/>
          <w:szCs w:val="24"/>
          <w:rtl/>
        </w:rPr>
        <w:t>ي منها</w:t>
      </w:r>
      <w:r w:rsidRPr="00B30F06">
        <w:rPr>
          <w:sz w:val="20"/>
          <w:szCs w:val="24"/>
          <w:rtl/>
        </w:rPr>
        <w:t xml:space="preserve">: </w:t>
      </w:r>
    </w:p>
    <w:p w14:paraId="5EB72E21" w14:textId="02D9BA4A" w:rsidR="00BB682B" w:rsidRPr="00B30F06" w:rsidRDefault="000A03CF" w:rsidP="003E7FBE">
      <w:pPr>
        <w:pStyle w:val="CBDNormalNumber"/>
        <w:numPr>
          <w:ilvl w:val="1"/>
          <w:numId w:val="13"/>
        </w:numPr>
        <w:bidi/>
        <w:ind w:left="540" w:firstLine="540"/>
        <w:rPr>
          <w:sz w:val="20"/>
          <w:szCs w:val="24"/>
          <w:rtl/>
        </w:rPr>
      </w:pPr>
      <w:r w:rsidRPr="00B30F06">
        <w:rPr>
          <w:sz w:val="20"/>
          <w:szCs w:val="24"/>
          <w:rtl/>
        </w:rPr>
        <w:t>استكمال العتبات الحالية بإعفاء صريح لل</w:t>
      </w:r>
      <w:r w:rsidR="003E7FBE" w:rsidRPr="00B30F06">
        <w:rPr>
          <w:rFonts w:hint="cs"/>
          <w:sz w:val="20"/>
          <w:szCs w:val="24"/>
          <w:rtl/>
        </w:rPr>
        <w:t>شركات</w:t>
      </w:r>
      <w:r w:rsidRPr="00B30F06">
        <w:rPr>
          <w:sz w:val="20"/>
          <w:szCs w:val="24"/>
          <w:rtl/>
        </w:rPr>
        <w:t xml:space="preserve"> الصغيرة والمتوسطة أو ب</w:t>
      </w:r>
      <w:r w:rsidR="0035511B" w:rsidRPr="00B30F06">
        <w:rPr>
          <w:rFonts w:hint="cs"/>
          <w:sz w:val="20"/>
          <w:szCs w:val="24"/>
          <w:rtl/>
        </w:rPr>
        <w:t xml:space="preserve">إدراج </w:t>
      </w:r>
      <w:r w:rsidRPr="00B30F06">
        <w:rPr>
          <w:sz w:val="20"/>
          <w:szCs w:val="24"/>
          <w:rtl/>
        </w:rPr>
        <w:t xml:space="preserve">شريحة مساهمة مخفَّضة مستمدة من إطار قائم؛ </w:t>
      </w:r>
    </w:p>
    <w:p w14:paraId="34719755" w14:textId="57DE9875" w:rsidR="00BB682B" w:rsidRPr="00B30F06" w:rsidRDefault="00C13558" w:rsidP="0035511B">
      <w:pPr>
        <w:pStyle w:val="CBDNormalNumber"/>
        <w:numPr>
          <w:ilvl w:val="1"/>
          <w:numId w:val="13"/>
        </w:numPr>
        <w:bidi/>
        <w:ind w:left="540" w:firstLine="540"/>
        <w:rPr>
          <w:sz w:val="20"/>
          <w:szCs w:val="24"/>
          <w:rtl/>
        </w:rPr>
      </w:pPr>
      <w:r w:rsidRPr="00B30F06">
        <w:rPr>
          <w:sz w:val="20"/>
          <w:szCs w:val="24"/>
          <w:rtl/>
        </w:rPr>
        <w:t xml:space="preserve">إعادة النظر في معيار </w:t>
      </w:r>
      <w:r w:rsidR="0035511B" w:rsidRPr="00B30F06">
        <w:rPr>
          <w:rFonts w:hint="cs"/>
          <w:sz w:val="20"/>
          <w:szCs w:val="24"/>
          <w:rtl/>
        </w:rPr>
        <w:t>الربح</w:t>
      </w:r>
      <w:r w:rsidRPr="00B30F06">
        <w:rPr>
          <w:sz w:val="20"/>
          <w:szCs w:val="24"/>
          <w:rtl/>
        </w:rPr>
        <w:t>، وذلك</w:t>
      </w:r>
      <w:r w:rsidR="0035511B" w:rsidRPr="00B30F06">
        <w:rPr>
          <w:rFonts w:hint="cs"/>
          <w:sz w:val="20"/>
          <w:szCs w:val="24"/>
          <w:rtl/>
        </w:rPr>
        <w:t>، على سبيل المثال،</w:t>
      </w:r>
      <w:r w:rsidRPr="00B30F06">
        <w:rPr>
          <w:sz w:val="20"/>
          <w:szCs w:val="24"/>
          <w:rtl/>
        </w:rPr>
        <w:t xml:space="preserve"> باستخدام هامش الربح بدلا من مبلغ مطلق، مع </w:t>
      </w:r>
      <w:r w:rsidR="0035511B" w:rsidRPr="00B30F06">
        <w:rPr>
          <w:rFonts w:hint="cs"/>
          <w:sz w:val="20"/>
          <w:szCs w:val="24"/>
          <w:rtl/>
        </w:rPr>
        <w:t>الإشارة إلى</w:t>
      </w:r>
      <w:r w:rsidRPr="00B30F06">
        <w:rPr>
          <w:sz w:val="20"/>
          <w:szCs w:val="24"/>
          <w:rtl/>
        </w:rPr>
        <w:t xml:space="preserve"> أنه مقياس للأداء </w:t>
      </w:r>
      <w:r w:rsidR="0035511B" w:rsidRPr="00B30F06">
        <w:rPr>
          <w:rFonts w:hint="cs"/>
          <w:sz w:val="20"/>
          <w:szCs w:val="24"/>
          <w:rtl/>
        </w:rPr>
        <w:t>وليس</w:t>
      </w:r>
      <w:r w:rsidRPr="00B30F06">
        <w:rPr>
          <w:sz w:val="20"/>
          <w:szCs w:val="24"/>
          <w:rtl/>
        </w:rPr>
        <w:t xml:space="preserve"> مقياس</w:t>
      </w:r>
      <w:r w:rsidR="0035511B" w:rsidRPr="00B30F06">
        <w:rPr>
          <w:rFonts w:hint="cs"/>
          <w:sz w:val="20"/>
          <w:szCs w:val="24"/>
          <w:rtl/>
        </w:rPr>
        <w:t>ا</w:t>
      </w:r>
      <w:r w:rsidRPr="00B30F06">
        <w:rPr>
          <w:sz w:val="20"/>
          <w:szCs w:val="24"/>
          <w:rtl/>
        </w:rPr>
        <w:t xml:space="preserve"> للحجم وأنه </w:t>
      </w:r>
      <w:r w:rsidR="0035511B" w:rsidRPr="00B30F06">
        <w:rPr>
          <w:rFonts w:hint="cs"/>
          <w:sz w:val="20"/>
          <w:szCs w:val="24"/>
          <w:rtl/>
        </w:rPr>
        <w:t>يخضع</w:t>
      </w:r>
      <w:r w:rsidRPr="00B30F06">
        <w:rPr>
          <w:sz w:val="20"/>
          <w:szCs w:val="24"/>
          <w:rtl/>
        </w:rPr>
        <w:t xml:space="preserve"> لإدارة الأرباح وللتقلب</w:t>
      </w:r>
      <w:r w:rsidR="0035511B" w:rsidRPr="00B30F06">
        <w:rPr>
          <w:rFonts w:hint="cs"/>
          <w:sz w:val="20"/>
          <w:szCs w:val="24"/>
          <w:rtl/>
        </w:rPr>
        <w:t>ات</w:t>
      </w:r>
      <w:r w:rsidRPr="00B30F06">
        <w:rPr>
          <w:sz w:val="20"/>
          <w:szCs w:val="24"/>
          <w:rtl/>
        </w:rPr>
        <w:t xml:space="preserve"> الدوري</w:t>
      </w:r>
      <w:r w:rsidR="0035511B" w:rsidRPr="00B30F06">
        <w:rPr>
          <w:rFonts w:hint="cs"/>
          <w:sz w:val="20"/>
          <w:szCs w:val="24"/>
          <w:rtl/>
        </w:rPr>
        <w:t>ة</w:t>
      </w:r>
      <w:r w:rsidRPr="00B30F06">
        <w:rPr>
          <w:sz w:val="20"/>
          <w:szCs w:val="24"/>
          <w:rtl/>
        </w:rPr>
        <w:t xml:space="preserve"> </w:t>
      </w:r>
      <w:r w:rsidR="0035511B" w:rsidRPr="00B30F06">
        <w:rPr>
          <w:rFonts w:hint="cs"/>
          <w:sz w:val="20"/>
          <w:szCs w:val="24"/>
          <w:rtl/>
        </w:rPr>
        <w:t>على نحو لا ينطبق على</w:t>
      </w:r>
      <w:r w:rsidRPr="00B30F06">
        <w:rPr>
          <w:sz w:val="20"/>
          <w:szCs w:val="24"/>
          <w:rtl/>
        </w:rPr>
        <w:t xml:space="preserve"> الإيرادات والأصول؛ </w:t>
      </w:r>
    </w:p>
    <w:p w14:paraId="04C76E93" w14:textId="4AC82C0C" w:rsidR="00BB682B" w:rsidRPr="00B30F06" w:rsidRDefault="00AA020D" w:rsidP="0035511B">
      <w:pPr>
        <w:pStyle w:val="CBDNormalNumber"/>
        <w:numPr>
          <w:ilvl w:val="1"/>
          <w:numId w:val="13"/>
        </w:numPr>
        <w:bidi/>
        <w:ind w:left="540" w:firstLine="540"/>
        <w:rPr>
          <w:sz w:val="20"/>
          <w:szCs w:val="24"/>
          <w:rtl/>
        </w:rPr>
      </w:pPr>
      <w:r w:rsidRPr="00B30F06">
        <w:rPr>
          <w:sz w:val="20"/>
          <w:szCs w:val="24"/>
          <w:rtl/>
        </w:rPr>
        <w:t xml:space="preserve">معايرة العتبات بما يعكس الاختلافات الهيكلية بين الأطراف، سواء حسب القطاع أو حسب التوزيع الوطني لأحجام الشركات، بالنظر إلى الاختلافات في توزيع أحجام الشركات وفي التركيبة القطاعية؛ وقد يكون التعديل القطاعي </w:t>
      </w:r>
      <w:r w:rsidR="00B20F35" w:rsidRPr="00B30F06">
        <w:rPr>
          <w:rFonts w:hint="cs"/>
          <w:sz w:val="20"/>
          <w:szCs w:val="24"/>
          <w:rtl/>
        </w:rPr>
        <w:t>أكثر</w:t>
      </w:r>
      <w:r w:rsidRPr="00B30F06">
        <w:rPr>
          <w:sz w:val="20"/>
          <w:szCs w:val="24"/>
          <w:rtl/>
        </w:rPr>
        <w:t xml:space="preserve"> تبريرا بالنسبة للمستحضرات الصيدلانية، نظرا </w:t>
      </w:r>
      <w:r w:rsidR="00B20F35" w:rsidRPr="00B30F06">
        <w:rPr>
          <w:rFonts w:hint="cs"/>
          <w:sz w:val="20"/>
          <w:szCs w:val="24"/>
          <w:rtl/>
        </w:rPr>
        <w:t>لا</w:t>
      </w:r>
      <w:r w:rsidRPr="00B30F06">
        <w:rPr>
          <w:sz w:val="20"/>
          <w:szCs w:val="24"/>
          <w:rtl/>
        </w:rPr>
        <w:t xml:space="preserve">رتفاع </w:t>
      </w:r>
      <w:r w:rsidR="00B20F35" w:rsidRPr="00B30F06">
        <w:rPr>
          <w:rFonts w:hint="cs"/>
          <w:sz w:val="20"/>
          <w:szCs w:val="24"/>
          <w:rtl/>
        </w:rPr>
        <w:t>المؤشرات</w:t>
      </w:r>
      <w:r w:rsidRPr="00B30F06">
        <w:rPr>
          <w:sz w:val="20"/>
          <w:szCs w:val="24"/>
          <w:rtl/>
        </w:rPr>
        <w:t xml:space="preserve"> المالية</w:t>
      </w:r>
      <w:r w:rsidR="00B20F35" w:rsidRPr="00B30F06">
        <w:rPr>
          <w:rFonts w:hint="cs"/>
          <w:sz w:val="20"/>
          <w:szCs w:val="24"/>
          <w:rtl/>
        </w:rPr>
        <w:t xml:space="preserve"> في ذلك القطاع</w:t>
      </w:r>
      <w:r w:rsidRPr="00B30F06">
        <w:rPr>
          <w:sz w:val="20"/>
          <w:szCs w:val="24"/>
          <w:rtl/>
        </w:rPr>
        <w:t xml:space="preserve"> </w:t>
      </w:r>
      <w:r w:rsidR="00B20F35" w:rsidRPr="00B30F06">
        <w:rPr>
          <w:rFonts w:hint="cs"/>
          <w:sz w:val="20"/>
          <w:szCs w:val="24"/>
          <w:rtl/>
        </w:rPr>
        <w:t>بشكل ملحوظ</w:t>
      </w:r>
      <w:r w:rsidRPr="00B30F06">
        <w:rPr>
          <w:sz w:val="20"/>
          <w:szCs w:val="24"/>
          <w:rtl/>
        </w:rPr>
        <w:t xml:space="preserve">؛ </w:t>
      </w:r>
    </w:p>
    <w:p w14:paraId="71E9B6F2" w14:textId="6C8970E3" w:rsidR="00BB682B" w:rsidRPr="00B30F06" w:rsidRDefault="00253E8E" w:rsidP="0035511B">
      <w:pPr>
        <w:pStyle w:val="CBDNormalNumber"/>
        <w:numPr>
          <w:ilvl w:val="1"/>
          <w:numId w:val="13"/>
        </w:numPr>
        <w:bidi/>
        <w:ind w:left="540" w:firstLine="540"/>
        <w:rPr>
          <w:sz w:val="20"/>
          <w:szCs w:val="24"/>
          <w:rtl/>
        </w:rPr>
      </w:pPr>
      <w:r w:rsidRPr="00B30F06">
        <w:rPr>
          <w:sz w:val="20"/>
          <w:szCs w:val="24"/>
          <w:rtl/>
        </w:rPr>
        <w:t xml:space="preserve">استحداث شروط تتعلق بالملكية أو </w:t>
      </w:r>
      <w:r w:rsidR="00B20F35" w:rsidRPr="00B30F06">
        <w:rPr>
          <w:rFonts w:hint="cs"/>
          <w:sz w:val="20"/>
          <w:szCs w:val="24"/>
          <w:rtl/>
        </w:rPr>
        <w:t>الانتماء</w:t>
      </w:r>
      <w:r w:rsidRPr="00B30F06">
        <w:rPr>
          <w:sz w:val="20"/>
          <w:szCs w:val="24"/>
          <w:rtl/>
        </w:rPr>
        <w:t xml:space="preserve"> مماثلة للشروط الواردة في إطاري الولايات المتحدة والاتحاد الأوروبي؛ </w:t>
      </w:r>
    </w:p>
    <w:p w14:paraId="2E1C4EF0" w14:textId="2186DCF1" w:rsidR="00BB682B" w:rsidRPr="00B30F06" w:rsidRDefault="008B3912" w:rsidP="0035511B">
      <w:pPr>
        <w:pStyle w:val="CBDNormalNumber"/>
        <w:numPr>
          <w:ilvl w:val="1"/>
          <w:numId w:val="13"/>
        </w:numPr>
        <w:bidi/>
        <w:ind w:left="540" w:firstLine="540"/>
        <w:rPr>
          <w:sz w:val="20"/>
          <w:szCs w:val="24"/>
          <w:rtl/>
        </w:rPr>
      </w:pPr>
      <w:r w:rsidRPr="00B30F06">
        <w:rPr>
          <w:sz w:val="20"/>
          <w:szCs w:val="24"/>
          <w:rtl/>
        </w:rPr>
        <w:t xml:space="preserve">استحداث معيار يتعلق بعدد الموظفين، سواء </w:t>
      </w:r>
      <w:r w:rsidR="009D57FB" w:rsidRPr="00B30F06">
        <w:rPr>
          <w:rFonts w:hint="cs"/>
          <w:sz w:val="20"/>
          <w:szCs w:val="24"/>
          <w:rtl/>
        </w:rPr>
        <w:t>منفردا</w:t>
      </w:r>
      <w:r w:rsidRPr="00B30F06">
        <w:rPr>
          <w:sz w:val="20"/>
          <w:szCs w:val="24"/>
          <w:rtl/>
        </w:rPr>
        <w:t xml:space="preserve"> أو إلى جانب العتبات المالية الحالية، </w:t>
      </w:r>
      <w:r w:rsidR="009D57FB" w:rsidRPr="00B30F06">
        <w:rPr>
          <w:sz w:val="20"/>
          <w:szCs w:val="24"/>
          <w:rtl/>
        </w:rPr>
        <w:t>بما يضمن توافق تصميم صندوق كالي مع معظم الأطر الأخرى</w:t>
      </w:r>
      <w:r w:rsidRPr="00B30F06">
        <w:rPr>
          <w:sz w:val="20"/>
          <w:szCs w:val="24"/>
          <w:rtl/>
        </w:rPr>
        <w:t xml:space="preserve"> </w:t>
      </w:r>
      <w:r w:rsidR="009D57FB" w:rsidRPr="00B30F06">
        <w:rPr>
          <w:rFonts w:hint="cs"/>
          <w:sz w:val="20"/>
          <w:szCs w:val="24"/>
          <w:rtl/>
        </w:rPr>
        <w:t>التي جرى استعراضها</w:t>
      </w:r>
      <w:r w:rsidRPr="00B30F06">
        <w:rPr>
          <w:sz w:val="20"/>
          <w:szCs w:val="24"/>
          <w:rtl/>
        </w:rPr>
        <w:t xml:space="preserve"> </w:t>
      </w:r>
      <w:r w:rsidR="009D57FB" w:rsidRPr="00B30F06">
        <w:rPr>
          <w:sz w:val="20"/>
          <w:szCs w:val="24"/>
          <w:rtl/>
        </w:rPr>
        <w:t>وتسهيل تقدير الأطراف لمدى انكشافها</w:t>
      </w:r>
      <w:r w:rsidR="009D57FB" w:rsidRPr="00B30F06">
        <w:rPr>
          <w:rFonts w:hint="cs"/>
          <w:sz w:val="20"/>
          <w:szCs w:val="24"/>
          <w:rtl/>
        </w:rPr>
        <w:t xml:space="preserve"> </w:t>
      </w:r>
      <w:r w:rsidRPr="00B30F06">
        <w:rPr>
          <w:sz w:val="20"/>
          <w:szCs w:val="24"/>
          <w:rtl/>
        </w:rPr>
        <w:t xml:space="preserve">على الصعيد المحلي، </w:t>
      </w:r>
      <w:r w:rsidR="009D57FB" w:rsidRPr="00B30F06">
        <w:rPr>
          <w:sz w:val="20"/>
          <w:szCs w:val="24"/>
          <w:rtl/>
        </w:rPr>
        <w:t>رغم أن هذا الخيار لم يُطرح في مساهمات الأطراف</w:t>
      </w:r>
      <w:r w:rsidRPr="00B30F06">
        <w:rPr>
          <w:sz w:val="20"/>
          <w:szCs w:val="24"/>
          <w:rtl/>
        </w:rPr>
        <w:t xml:space="preserve">؛ </w:t>
      </w:r>
    </w:p>
    <w:p w14:paraId="261CEDCD" w14:textId="4C741637" w:rsidR="0083446D" w:rsidRPr="00B30F06" w:rsidRDefault="007C0F3B" w:rsidP="0035511B">
      <w:pPr>
        <w:pStyle w:val="CBDNormalNumber"/>
        <w:numPr>
          <w:ilvl w:val="1"/>
          <w:numId w:val="13"/>
        </w:numPr>
        <w:bidi/>
        <w:ind w:left="540" w:firstLine="540"/>
        <w:rPr>
          <w:sz w:val="20"/>
          <w:szCs w:val="24"/>
          <w:rtl/>
          <w:lang w:val="en-US"/>
        </w:rPr>
      </w:pPr>
      <w:r w:rsidRPr="00B30F06">
        <w:rPr>
          <w:sz w:val="20"/>
          <w:szCs w:val="24"/>
          <w:rtl/>
        </w:rPr>
        <w:t xml:space="preserve">النظر في التنقيح الدوري للعتبات، على غرار الممارسة المتبعة بموجب التوجيه 2013/34/EU الصادر عن </w:t>
      </w:r>
      <w:proofErr w:type="gramStart"/>
      <w:r w:rsidRPr="00B30F06">
        <w:rPr>
          <w:sz w:val="20"/>
          <w:szCs w:val="24"/>
          <w:rtl/>
        </w:rPr>
        <w:t>البرلمان</w:t>
      </w:r>
      <w:proofErr w:type="gramEnd"/>
      <w:r w:rsidRPr="00B30F06">
        <w:rPr>
          <w:sz w:val="20"/>
          <w:szCs w:val="24"/>
          <w:rtl/>
        </w:rPr>
        <w:t xml:space="preserve"> الأوروبي والمجلس </w:t>
      </w:r>
      <w:r w:rsidR="009D57FB" w:rsidRPr="00B30F06">
        <w:rPr>
          <w:rFonts w:hint="cs"/>
          <w:sz w:val="20"/>
          <w:szCs w:val="24"/>
          <w:rtl/>
        </w:rPr>
        <w:t>بتاريخ</w:t>
      </w:r>
      <w:r w:rsidRPr="00B30F06">
        <w:rPr>
          <w:sz w:val="20"/>
          <w:szCs w:val="24"/>
          <w:rtl/>
        </w:rPr>
        <w:t xml:space="preserve"> 26 يونيو/حزيران 2013 بشأن البيانات المالية السنوية والبيانات المالية الموحَّدة وما يتصل بها من تقارير لأنواع معينة من </w:t>
      </w:r>
      <w:r w:rsidR="0035511B" w:rsidRPr="00B30F06">
        <w:rPr>
          <w:rFonts w:hint="cs"/>
          <w:sz w:val="20"/>
          <w:szCs w:val="24"/>
          <w:rtl/>
        </w:rPr>
        <w:t>الشركات</w:t>
      </w:r>
      <w:r w:rsidRPr="00B30F06">
        <w:rPr>
          <w:sz w:val="20"/>
          <w:szCs w:val="24"/>
          <w:rtl/>
        </w:rPr>
        <w:t xml:space="preserve">، والذي تخوّل المادة 3 (13) منه المفوضية الأوروبية تنقيح عتبات الحجم النقدي بموجب صكوك </w:t>
      </w:r>
      <w:r w:rsidR="009D57FB" w:rsidRPr="00B30F06">
        <w:rPr>
          <w:sz w:val="20"/>
          <w:szCs w:val="24"/>
          <w:rtl/>
        </w:rPr>
        <w:t>تفويضية</w:t>
      </w:r>
      <w:r w:rsidR="009D57FB" w:rsidRPr="00B30F06">
        <w:rPr>
          <w:rFonts w:hint="cs"/>
          <w:sz w:val="20"/>
          <w:szCs w:val="24"/>
          <w:rtl/>
        </w:rPr>
        <w:t xml:space="preserve"> </w:t>
      </w:r>
      <w:r w:rsidRPr="00B30F06">
        <w:rPr>
          <w:sz w:val="20"/>
          <w:szCs w:val="24"/>
          <w:rtl/>
        </w:rPr>
        <w:t xml:space="preserve">كل خمس سنوات على الأقل لمراعاة التضخم؛ ويمكن أن يُسترشد بذلك في اتباع </w:t>
      </w:r>
      <w:r w:rsidR="009D57FB" w:rsidRPr="00B30F06">
        <w:rPr>
          <w:sz w:val="20"/>
          <w:szCs w:val="24"/>
          <w:rtl/>
        </w:rPr>
        <w:t>قائم على الفهرسة</w:t>
      </w:r>
      <w:r w:rsidR="009D57FB" w:rsidRPr="00B30F06">
        <w:rPr>
          <w:rFonts w:hint="cs"/>
          <w:sz w:val="20"/>
          <w:szCs w:val="24"/>
          <w:rtl/>
        </w:rPr>
        <w:t xml:space="preserve"> </w:t>
      </w:r>
      <w:r w:rsidRPr="00B30F06">
        <w:rPr>
          <w:sz w:val="20"/>
          <w:szCs w:val="24"/>
          <w:rtl/>
        </w:rPr>
        <w:t>بدلا من نهج محدد ب</w:t>
      </w:r>
      <w:r w:rsidR="0035511B" w:rsidRPr="00B30F06">
        <w:rPr>
          <w:rFonts w:hint="cs"/>
          <w:sz w:val="20"/>
          <w:szCs w:val="24"/>
          <w:rtl/>
        </w:rPr>
        <w:t>ال</w:t>
      </w:r>
      <w:r w:rsidRPr="00B30F06">
        <w:rPr>
          <w:sz w:val="20"/>
          <w:szCs w:val="24"/>
          <w:rtl/>
        </w:rPr>
        <w:t xml:space="preserve">دولارات </w:t>
      </w:r>
      <w:r w:rsidR="0035511B" w:rsidRPr="00B30F06">
        <w:rPr>
          <w:rFonts w:hint="cs"/>
          <w:sz w:val="20"/>
          <w:szCs w:val="24"/>
          <w:rtl/>
        </w:rPr>
        <w:t>الأمريكية</w:t>
      </w:r>
      <w:r w:rsidRPr="00B30F06">
        <w:rPr>
          <w:sz w:val="20"/>
          <w:szCs w:val="24"/>
          <w:rtl/>
        </w:rPr>
        <w:t xml:space="preserve"> إزاء العتبات؛</w:t>
      </w:r>
    </w:p>
    <w:p w14:paraId="0288B84B" w14:textId="77A8D0DF" w:rsidR="00BB682B" w:rsidRPr="00B30F06" w:rsidRDefault="00B75D10" w:rsidP="0035511B">
      <w:pPr>
        <w:pStyle w:val="CBDNormalNumber"/>
        <w:numPr>
          <w:ilvl w:val="1"/>
          <w:numId w:val="13"/>
        </w:numPr>
        <w:bidi/>
        <w:ind w:left="540" w:firstLine="540"/>
        <w:rPr>
          <w:sz w:val="20"/>
          <w:szCs w:val="24"/>
          <w:rtl/>
        </w:rPr>
      </w:pPr>
      <w:r w:rsidRPr="00B30F06">
        <w:rPr>
          <w:sz w:val="20"/>
          <w:szCs w:val="24"/>
          <w:rtl/>
        </w:rPr>
        <w:t xml:space="preserve">النظر في ترتيبات انتقالية، مثل فترة إدخال تدريجي أو معدل أولي مخفَّض، للشركات التي تستوفي عتبات الأهلية حديثا أو التي كانت كثافة استخدامها لمعلومات التسلسل الرقمي بشأن الموارد الجينية منخفضة </w:t>
      </w:r>
      <w:r w:rsidR="00DF1DA8" w:rsidRPr="00B30F06">
        <w:rPr>
          <w:rFonts w:hint="cs"/>
          <w:sz w:val="20"/>
          <w:szCs w:val="24"/>
          <w:rtl/>
        </w:rPr>
        <w:t>على مر الزمن</w:t>
      </w:r>
      <w:r w:rsidRPr="00B30F06">
        <w:rPr>
          <w:sz w:val="20"/>
          <w:szCs w:val="24"/>
          <w:rtl/>
        </w:rPr>
        <w:t>، لتيسير التكيف الإداري والمالي مع المساهمة لأول مرة.</w:t>
      </w:r>
    </w:p>
    <w:p w14:paraId="5212CC2B" w14:textId="241C0ACE" w:rsidR="00BB682B" w:rsidRPr="00B30F06" w:rsidRDefault="008000EA" w:rsidP="00020F91">
      <w:pPr>
        <w:pStyle w:val="CBDH2"/>
        <w:bidi/>
        <w:rPr>
          <w:b w:val="0"/>
          <w:bCs/>
          <w:sz w:val="20"/>
          <w:szCs w:val="24"/>
          <w:rtl/>
        </w:rPr>
      </w:pPr>
      <w:r w:rsidRPr="00B30F06">
        <w:rPr>
          <w:b w:val="0"/>
          <w:bCs/>
          <w:sz w:val="20"/>
          <w:szCs w:val="24"/>
          <w:rtl/>
        </w:rPr>
        <w:t>باء-</w:t>
      </w:r>
      <w:r w:rsidRPr="00B30F06">
        <w:rPr>
          <w:b w:val="0"/>
          <w:bCs/>
          <w:sz w:val="20"/>
          <w:szCs w:val="24"/>
        </w:rPr>
        <w:tab/>
      </w:r>
      <w:r w:rsidRPr="00B30F06">
        <w:rPr>
          <w:b w:val="0"/>
          <w:bCs/>
          <w:sz w:val="20"/>
          <w:szCs w:val="24"/>
          <w:rtl/>
        </w:rPr>
        <w:t>الإيرادات المحتملة وهيكل المساهمة</w:t>
      </w:r>
    </w:p>
    <w:p w14:paraId="362F6CEF" w14:textId="1C105BAB" w:rsidR="00C80EA4" w:rsidRPr="00B30F06" w:rsidRDefault="008D2AE2" w:rsidP="000C1C50">
      <w:pPr>
        <w:pStyle w:val="CBDNormalNumber"/>
        <w:numPr>
          <w:ilvl w:val="0"/>
          <w:numId w:val="15"/>
        </w:numPr>
        <w:bidi/>
        <w:rPr>
          <w:sz w:val="20"/>
          <w:szCs w:val="24"/>
          <w:rtl/>
        </w:rPr>
      </w:pPr>
      <w:r w:rsidRPr="00B30F06">
        <w:rPr>
          <w:sz w:val="20"/>
          <w:szCs w:val="24"/>
          <w:rtl/>
        </w:rPr>
        <w:t>سيؤدي</w:t>
      </w:r>
      <w:r w:rsidRPr="00B30F06">
        <w:rPr>
          <w:rFonts w:hint="cs"/>
          <w:sz w:val="20"/>
          <w:szCs w:val="24"/>
          <w:rtl/>
        </w:rPr>
        <w:t xml:space="preserve"> </w:t>
      </w:r>
      <w:r w:rsidR="00C80EA4" w:rsidRPr="00B30F06">
        <w:rPr>
          <w:sz w:val="20"/>
          <w:szCs w:val="24"/>
          <w:rtl/>
        </w:rPr>
        <w:t xml:space="preserve">الامتثال الكامل من جانب جميع الكيانات المؤهلة البالغ عددها </w:t>
      </w:r>
      <w:r w:rsidRPr="00B30F06">
        <w:rPr>
          <w:rFonts w:hint="cs"/>
          <w:sz w:val="20"/>
          <w:szCs w:val="24"/>
          <w:rtl/>
        </w:rPr>
        <w:t>21,690</w:t>
      </w:r>
      <w:r w:rsidR="00C80EA4" w:rsidRPr="00B30F06">
        <w:rPr>
          <w:sz w:val="20"/>
          <w:szCs w:val="24"/>
          <w:rtl/>
        </w:rPr>
        <w:t xml:space="preserve"> كيانا </w:t>
      </w:r>
      <w:r w:rsidRPr="00B30F06">
        <w:rPr>
          <w:rFonts w:hint="cs"/>
          <w:sz w:val="20"/>
          <w:szCs w:val="24"/>
          <w:rtl/>
        </w:rPr>
        <w:t>إلى توليد ما يقارب</w:t>
      </w:r>
      <w:r w:rsidR="00C80EA4" w:rsidRPr="00B30F06">
        <w:rPr>
          <w:sz w:val="20"/>
          <w:szCs w:val="24"/>
          <w:rtl/>
        </w:rPr>
        <w:t xml:space="preserve"> 3.65 مليار دولار سنويا. وب</w:t>
      </w:r>
      <w:r w:rsidR="004F0E05" w:rsidRPr="00B30F06">
        <w:rPr>
          <w:rFonts w:hint="cs"/>
          <w:sz w:val="20"/>
          <w:szCs w:val="24"/>
          <w:rtl/>
        </w:rPr>
        <w:t>ع</w:t>
      </w:r>
      <w:r w:rsidR="00C80EA4" w:rsidRPr="00B30F06">
        <w:rPr>
          <w:sz w:val="20"/>
          <w:szCs w:val="24"/>
          <w:rtl/>
        </w:rPr>
        <w:t xml:space="preserve">د أخذ المشاركة على مستوى القطاعات وهيكل الملكية وكثافة استخدام معلومات التسلسل الرقمي بشأن الموارد الجينية في الاعتبار، ينخفض التقدير المركزي إلى </w:t>
      </w:r>
      <w:r w:rsidR="004F0E05" w:rsidRPr="00B30F06">
        <w:rPr>
          <w:rFonts w:hint="cs"/>
          <w:sz w:val="20"/>
          <w:szCs w:val="24"/>
          <w:rtl/>
        </w:rPr>
        <w:t>929,000,000</w:t>
      </w:r>
      <w:r w:rsidR="00C80EA4" w:rsidRPr="00B30F06">
        <w:rPr>
          <w:sz w:val="20"/>
          <w:szCs w:val="24"/>
          <w:rtl/>
        </w:rPr>
        <w:t xml:space="preserve"> دولار سنويا، أي </w:t>
      </w:r>
      <w:r w:rsidR="004F0E05" w:rsidRPr="00B30F06">
        <w:rPr>
          <w:rFonts w:hint="cs"/>
          <w:sz w:val="20"/>
          <w:szCs w:val="24"/>
          <w:rtl/>
        </w:rPr>
        <w:t xml:space="preserve">ما يعادل </w:t>
      </w:r>
      <w:r w:rsidR="00C80EA4" w:rsidRPr="00B30F06">
        <w:rPr>
          <w:sz w:val="20"/>
          <w:szCs w:val="24"/>
          <w:rtl/>
        </w:rPr>
        <w:t xml:space="preserve">نحو ربع </w:t>
      </w:r>
      <w:r w:rsidR="004F0E05" w:rsidRPr="00B30F06">
        <w:rPr>
          <w:rFonts w:hint="cs"/>
          <w:sz w:val="20"/>
          <w:szCs w:val="24"/>
          <w:rtl/>
        </w:rPr>
        <w:t>قيمة</w:t>
      </w:r>
      <w:r w:rsidR="00C80EA4" w:rsidRPr="00B30F06">
        <w:rPr>
          <w:sz w:val="20"/>
          <w:szCs w:val="24"/>
          <w:rtl/>
        </w:rPr>
        <w:t xml:space="preserve"> الامتثال الكامل. </w:t>
      </w:r>
      <w:r w:rsidR="004F0E05" w:rsidRPr="00B30F06">
        <w:rPr>
          <w:sz w:val="20"/>
          <w:szCs w:val="24"/>
          <w:rtl/>
        </w:rPr>
        <w:t>ويغطي النطاق المعدَّل وفقاً لعدم اليقين،</w:t>
      </w:r>
      <w:r w:rsidR="00C80EA4" w:rsidRPr="00B30F06">
        <w:rPr>
          <w:sz w:val="20"/>
          <w:szCs w:val="24"/>
          <w:rtl/>
        </w:rPr>
        <w:t xml:space="preserve"> </w:t>
      </w:r>
      <w:r w:rsidR="004F0E05" w:rsidRPr="00B30F06">
        <w:rPr>
          <w:sz w:val="20"/>
          <w:szCs w:val="24"/>
          <w:rtl/>
        </w:rPr>
        <w:t>المستند إلى انخفاض نسبة الدفع المُلاحَظة في النظام القائم على المستخدمين بموجب</w:t>
      </w:r>
      <w:r w:rsidR="004F0E05" w:rsidRPr="00B30F06">
        <w:rPr>
          <w:rFonts w:hint="cs"/>
          <w:sz w:val="20"/>
          <w:szCs w:val="24"/>
          <w:rtl/>
        </w:rPr>
        <w:t xml:space="preserve"> ا</w:t>
      </w:r>
      <w:r w:rsidR="00C80EA4" w:rsidRPr="00B30F06">
        <w:rPr>
          <w:sz w:val="20"/>
          <w:szCs w:val="24"/>
          <w:rtl/>
        </w:rPr>
        <w:t xml:space="preserve">لمعاهدة الدولية بشأن الموارد الوراثية النباتية للأغذية والزراعة، من </w:t>
      </w:r>
      <w:r w:rsidR="004F0E05" w:rsidRPr="00B30F06">
        <w:rPr>
          <w:rFonts w:hint="cs"/>
          <w:sz w:val="20"/>
          <w:szCs w:val="24"/>
          <w:rtl/>
        </w:rPr>
        <w:t>حوالي</w:t>
      </w:r>
      <w:r w:rsidR="00C80EA4" w:rsidRPr="00B30F06">
        <w:rPr>
          <w:sz w:val="20"/>
          <w:szCs w:val="24"/>
          <w:rtl/>
        </w:rPr>
        <w:t xml:space="preserve"> </w:t>
      </w:r>
      <w:r w:rsidR="004F0E05" w:rsidRPr="00B30F06">
        <w:rPr>
          <w:rFonts w:hint="cs"/>
          <w:sz w:val="20"/>
          <w:szCs w:val="24"/>
          <w:rtl/>
        </w:rPr>
        <w:t>5,000,000</w:t>
      </w:r>
      <w:r w:rsidR="00C80EA4" w:rsidRPr="00B30F06">
        <w:rPr>
          <w:sz w:val="20"/>
          <w:szCs w:val="24"/>
          <w:rtl/>
        </w:rPr>
        <w:t xml:space="preserve"> دولار إلى </w:t>
      </w:r>
      <w:r w:rsidR="004F0E05" w:rsidRPr="00B30F06">
        <w:rPr>
          <w:rFonts w:hint="cs"/>
          <w:sz w:val="20"/>
          <w:szCs w:val="24"/>
          <w:rtl/>
        </w:rPr>
        <w:t>929,000,000</w:t>
      </w:r>
      <w:r w:rsidR="00C80EA4" w:rsidRPr="00B30F06">
        <w:rPr>
          <w:sz w:val="20"/>
          <w:szCs w:val="24"/>
          <w:rtl/>
        </w:rPr>
        <w:t xml:space="preserve"> دولار سنويا بالمعدلات الإرشادية نفسها، وهو نطاق تحدده السمات التصميمية غير المحسومة </w:t>
      </w:r>
      <w:r w:rsidR="004F0E05" w:rsidRPr="00B30F06">
        <w:rPr>
          <w:rFonts w:hint="cs"/>
          <w:sz w:val="20"/>
          <w:szCs w:val="24"/>
          <w:rtl/>
        </w:rPr>
        <w:t>وليس</w:t>
      </w:r>
      <w:r w:rsidR="00C80EA4" w:rsidRPr="00B30F06">
        <w:rPr>
          <w:sz w:val="20"/>
          <w:szCs w:val="24"/>
          <w:rtl/>
        </w:rPr>
        <w:t xml:space="preserve"> مستوى المعدل </w:t>
      </w:r>
      <w:r w:rsidR="004F0E05" w:rsidRPr="00B30F06">
        <w:rPr>
          <w:rFonts w:hint="cs"/>
          <w:sz w:val="20"/>
          <w:szCs w:val="24"/>
          <w:rtl/>
        </w:rPr>
        <w:t>نفسه</w:t>
      </w:r>
      <w:r w:rsidR="00C80EA4" w:rsidRPr="00B30F06">
        <w:rPr>
          <w:sz w:val="20"/>
          <w:szCs w:val="24"/>
          <w:rtl/>
        </w:rPr>
        <w:t>. ويبين الجدول أدناه تقديرات الإيرادات حسب السيناريو.</w:t>
      </w:r>
    </w:p>
    <w:p w14:paraId="5472D91A" w14:textId="7D91A077" w:rsidR="00C80EA4" w:rsidRPr="00B30F06" w:rsidRDefault="00C80EA4" w:rsidP="000C1C50">
      <w:pPr>
        <w:pStyle w:val="CBDNormalNumber"/>
        <w:numPr>
          <w:ilvl w:val="0"/>
          <w:numId w:val="15"/>
        </w:numPr>
        <w:bidi/>
        <w:rPr>
          <w:sz w:val="20"/>
          <w:szCs w:val="24"/>
          <w:rtl/>
        </w:rPr>
      </w:pPr>
      <w:r w:rsidRPr="00B30F06">
        <w:rPr>
          <w:sz w:val="20"/>
          <w:szCs w:val="24"/>
          <w:rtl/>
        </w:rPr>
        <w:t>و</w:t>
      </w:r>
      <w:r w:rsidR="004F0E05" w:rsidRPr="00B30F06">
        <w:rPr>
          <w:sz w:val="20"/>
          <w:szCs w:val="24"/>
          <w:rtl/>
        </w:rPr>
        <w:t>تستند هذه التقديرات إلى</w:t>
      </w:r>
      <w:r w:rsidRPr="00B30F06">
        <w:rPr>
          <w:sz w:val="20"/>
          <w:szCs w:val="24"/>
          <w:rtl/>
        </w:rPr>
        <w:t xml:space="preserve"> أفضل الأدلة المتاحة، غير أنه نظرا إلى عدم </w:t>
      </w:r>
      <w:r w:rsidR="004F0E05" w:rsidRPr="00B30F06">
        <w:rPr>
          <w:rFonts w:hint="cs"/>
          <w:sz w:val="20"/>
          <w:szCs w:val="24"/>
          <w:rtl/>
        </w:rPr>
        <w:t>رصد</w:t>
      </w:r>
      <w:r w:rsidRPr="00B30F06">
        <w:rPr>
          <w:sz w:val="20"/>
          <w:szCs w:val="24"/>
          <w:rtl/>
        </w:rPr>
        <w:t xml:space="preserve"> أي </w:t>
      </w:r>
      <w:r w:rsidR="004F0E05" w:rsidRPr="00B30F06">
        <w:rPr>
          <w:rFonts w:hint="cs"/>
          <w:sz w:val="20"/>
          <w:szCs w:val="24"/>
          <w:rtl/>
        </w:rPr>
        <w:t>نظام</w:t>
      </w:r>
      <w:r w:rsidRPr="00B30F06">
        <w:rPr>
          <w:sz w:val="20"/>
          <w:szCs w:val="24"/>
          <w:rtl/>
        </w:rPr>
        <w:t xml:space="preserve"> طوعي </w:t>
      </w:r>
      <w:r w:rsidR="004F0E05" w:rsidRPr="00B30F06">
        <w:rPr>
          <w:rFonts w:hint="cs"/>
          <w:sz w:val="20"/>
          <w:szCs w:val="24"/>
          <w:rtl/>
        </w:rPr>
        <w:t>تتوافر فيه السمات</w:t>
      </w:r>
      <w:r w:rsidRPr="00B30F06">
        <w:rPr>
          <w:sz w:val="20"/>
          <w:szCs w:val="24"/>
          <w:rtl/>
        </w:rPr>
        <w:t xml:space="preserve"> التصميمية المحددة لصندوق كالي، </w:t>
      </w:r>
      <w:r w:rsidR="004F0E05" w:rsidRPr="00B30F06">
        <w:rPr>
          <w:sz w:val="20"/>
          <w:szCs w:val="24"/>
          <w:rtl/>
        </w:rPr>
        <w:t>فإن افتراضات المشاركة التي بُنيت عليها هذه التقديرات تُعاير بالضرورة من سياقات أخرى، بما في ذلك الآليات المماثلة التي</w:t>
      </w:r>
      <w:r w:rsidR="004F0E05" w:rsidRPr="00B30F06">
        <w:rPr>
          <w:rFonts w:hint="cs"/>
          <w:sz w:val="20"/>
          <w:szCs w:val="24"/>
          <w:rtl/>
        </w:rPr>
        <w:t xml:space="preserve"> جرى استعراضها</w:t>
      </w:r>
      <w:r w:rsidRPr="00B30F06">
        <w:rPr>
          <w:sz w:val="20"/>
          <w:szCs w:val="24"/>
          <w:rtl/>
        </w:rPr>
        <w:t xml:space="preserve"> في الفرع ثالثا-ألف أعلاه، </w:t>
      </w:r>
      <w:r w:rsidR="004F0E05" w:rsidRPr="00B30F06">
        <w:rPr>
          <w:rFonts w:hint="cs"/>
          <w:sz w:val="20"/>
          <w:szCs w:val="24"/>
          <w:rtl/>
        </w:rPr>
        <w:t>وليس استناداً إلى</w:t>
      </w:r>
      <w:r w:rsidRPr="00B30F06">
        <w:rPr>
          <w:sz w:val="20"/>
          <w:szCs w:val="24"/>
          <w:rtl/>
        </w:rPr>
        <w:t xml:space="preserve"> الصندوق نفسه. ومن ثم </w:t>
      </w:r>
      <w:r w:rsidR="004F0E05" w:rsidRPr="00B30F06">
        <w:rPr>
          <w:sz w:val="20"/>
          <w:szCs w:val="24"/>
          <w:rtl/>
        </w:rPr>
        <w:t>ينبغي قراءة النطاق الوارد في الجدول</w:t>
      </w:r>
      <w:r w:rsidRPr="00B30F06">
        <w:rPr>
          <w:sz w:val="20"/>
          <w:szCs w:val="24"/>
          <w:rtl/>
        </w:rPr>
        <w:t xml:space="preserve"> </w:t>
      </w:r>
      <w:r w:rsidR="004F0E05" w:rsidRPr="00B30F06">
        <w:rPr>
          <w:rFonts w:hint="cs"/>
          <w:sz w:val="20"/>
          <w:szCs w:val="24"/>
          <w:rtl/>
        </w:rPr>
        <w:t>على أنه</w:t>
      </w:r>
      <w:r w:rsidRPr="00B30F06">
        <w:rPr>
          <w:sz w:val="20"/>
          <w:szCs w:val="24"/>
          <w:rtl/>
        </w:rPr>
        <w:t xml:space="preserve"> الحدود المعقولة التي </w:t>
      </w:r>
      <w:r w:rsidR="00B57DC6" w:rsidRPr="00B30F06">
        <w:rPr>
          <w:rFonts w:hint="cs"/>
          <w:sz w:val="20"/>
          <w:szCs w:val="24"/>
          <w:rtl/>
        </w:rPr>
        <w:t>توحي بها تلك</w:t>
      </w:r>
      <w:r w:rsidRPr="00B30F06">
        <w:rPr>
          <w:sz w:val="20"/>
          <w:szCs w:val="24"/>
          <w:rtl/>
        </w:rPr>
        <w:t xml:space="preserve"> الأدلة، </w:t>
      </w:r>
      <w:r w:rsidR="00B57DC6" w:rsidRPr="00B30F06">
        <w:rPr>
          <w:rFonts w:hint="cs"/>
          <w:sz w:val="20"/>
          <w:szCs w:val="24"/>
          <w:rtl/>
        </w:rPr>
        <w:t>وليس</w:t>
      </w:r>
      <w:r w:rsidRPr="00B30F06">
        <w:rPr>
          <w:sz w:val="20"/>
          <w:szCs w:val="24"/>
          <w:rtl/>
        </w:rPr>
        <w:t xml:space="preserve"> </w:t>
      </w:r>
      <w:r w:rsidR="003B4893" w:rsidRPr="00B30F06">
        <w:rPr>
          <w:rFonts w:hint="cs"/>
          <w:sz w:val="20"/>
          <w:szCs w:val="24"/>
          <w:rtl/>
        </w:rPr>
        <w:t>كتوقع</w:t>
      </w:r>
      <w:r w:rsidRPr="00B30F06">
        <w:rPr>
          <w:sz w:val="20"/>
          <w:szCs w:val="24"/>
          <w:rtl/>
        </w:rPr>
        <w:t xml:space="preserve"> </w:t>
      </w:r>
      <w:r w:rsidR="003B4893" w:rsidRPr="00B30F06">
        <w:rPr>
          <w:rFonts w:hint="cs"/>
          <w:sz w:val="20"/>
          <w:szCs w:val="24"/>
          <w:rtl/>
        </w:rPr>
        <w:t>ل</w:t>
      </w:r>
      <w:r w:rsidRPr="00B30F06">
        <w:rPr>
          <w:sz w:val="20"/>
          <w:szCs w:val="24"/>
          <w:rtl/>
        </w:rPr>
        <w:t>لمبلغ الذي سيجمعه الصندوق.</w:t>
      </w:r>
    </w:p>
    <w:p w14:paraId="6B644C23" w14:textId="77777777" w:rsidR="00C80EA4" w:rsidRPr="00B30F06" w:rsidRDefault="00C80EA4" w:rsidP="008000EA">
      <w:pPr>
        <w:pStyle w:val="CBDTableTitle"/>
        <w:bidi/>
        <w:rPr>
          <w:b w:val="0"/>
          <w:bCs/>
          <w:sz w:val="20"/>
          <w:szCs w:val="24"/>
          <w:rtl/>
        </w:rPr>
      </w:pPr>
      <w:r w:rsidRPr="00B30F06">
        <w:rPr>
          <w:b w:val="0"/>
          <w:bCs/>
          <w:sz w:val="20"/>
          <w:szCs w:val="24"/>
          <w:rtl/>
        </w:rPr>
        <w:t>المساهمات السنوية المقدَّرة وإسقاطات صافي القيمة الحالية</w:t>
      </w:r>
    </w:p>
    <w:tbl>
      <w:tblPr>
        <w:bidiVisual/>
        <w:tblW w:w="8968" w:type="dxa"/>
        <w:tblInd w:w="562" w:type="dxa"/>
        <w:tblBorders>
          <w:top w:val="single" w:sz="4" w:space="0" w:color="auto"/>
          <w:bottom w:val="single" w:sz="4" w:space="0" w:color="auto"/>
        </w:tblBorders>
        <w:tblCellMar>
          <w:left w:w="10" w:type="dxa"/>
          <w:right w:w="10" w:type="dxa"/>
        </w:tblCellMar>
        <w:tblLook w:val="0000" w:firstRow="0" w:lastRow="0" w:firstColumn="0" w:lastColumn="0" w:noHBand="0" w:noVBand="0"/>
        <w:tblPrChange w:id="5" w:author="Johanna Stansfield" w:date="2026-09-21T09:02:00Z" w16du:dateUtc="2026-09-21T13:02:00Z">
          <w:tblPr>
            <w:tblW w:w="8968" w:type="dxa"/>
            <w:tblInd w:w="562" w:type="dxa"/>
            <w:tblBorders>
              <w:top w:val="single" w:sz="4" w:space="0" w:color="auto"/>
              <w:bottom w:val="single" w:sz="4" w:space="0" w:color="auto"/>
            </w:tblBorders>
            <w:tblCellMar>
              <w:left w:w="10" w:type="dxa"/>
              <w:right w:w="10" w:type="dxa"/>
            </w:tblCellMar>
            <w:tblLook w:val="0000" w:firstRow="0" w:lastRow="0" w:firstColumn="0" w:lastColumn="0" w:noHBand="0" w:noVBand="0"/>
          </w:tblPr>
        </w:tblPrChange>
      </w:tblPr>
      <w:tblGrid>
        <w:gridCol w:w="2268"/>
        <w:gridCol w:w="1275"/>
        <w:gridCol w:w="1418"/>
        <w:gridCol w:w="1300"/>
        <w:gridCol w:w="1393"/>
        <w:gridCol w:w="1314"/>
        <w:tblGridChange w:id="6">
          <w:tblGrid>
            <w:gridCol w:w="2268"/>
            <w:gridCol w:w="1275"/>
            <w:gridCol w:w="1418"/>
            <w:gridCol w:w="1300"/>
            <w:gridCol w:w="1393"/>
            <w:gridCol w:w="1314"/>
          </w:tblGrid>
        </w:tblGridChange>
      </w:tblGrid>
      <w:tr w:rsidR="00C80EA4" w:rsidRPr="00827DA6" w14:paraId="4881A4A9" w14:textId="77777777" w:rsidTr="0099284D">
        <w:trPr>
          <w:tblHeader/>
          <w:trPrChange w:id="7" w:author="Johanna Stansfield" w:date="2026-09-21T09:02:00Z" w16du:dateUtc="2026-09-21T13:02:00Z">
            <w:trPr>
              <w:tblHeader/>
            </w:trPr>
          </w:trPrChange>
        </w:trPr>
        <w:tc>
          <w:tcPr>
            <w:tcW w:w="2268" w:type="dxa"/>
            <w:tcBorders>
              <w:top w:val="single" w:sz="4" w:space="0" w:color="auto"/>
              <w:bottom w:val="single" w:sz="4" w:space="0" w:color="auto"/>
            </w:tcBorders>
            <w:tcMar>
              <w:top w:w="60" w:type="dxa"/>
              <w:left w:w="100" w:type="dxa"/>
              <w:bottom w:w="60" w:type="dxa"/>
              <w:right w:w="100" w:type="dxa"/>
            </w:tcMar>
            <w:tcPrChange w:id="8" w:author="Johanna Stansfield" w:date="2026-09-21T09:02:00Z" w16du:dateUtc="2026-09-21T13:02:00Z">
              <w:tcPr>
                <w:tcW w:w="2268" w:type="dxa"/>
                <w:tcBorders>
                  <w:top w:val="single" w:sz="4" w:space="0" w:color="auto"/>
                  <w:bottom w:val="single" w:sz="4" w:space="0" w:color="auto"/>
                </w:tcBorders>
                <w:tcMar>
                  <w:top w:w="60" w:type="dxa"/>
                  <w:left w:w="100" w:type="dxa"/>
                  <w:bottom w:w="60" w:type="dxa"/>
                  <w:right w:w="100" w:type="dxa"/>
                </w:tcMar>
              </w:tcPr>
            </w:tcPrChange>
          </w:tcPr>
          <w:p w14:paraId="01C9D839" w14:textId="77777777" w:rsidR="00C80EA4" w:rsidRPr="00020F91" w:rsidRDefault="00C80EA4" w:rsidP="00C80EA4">
            <w:pPr>
              <w:pStyle w:val="CBDTableNormal"/>
              <w:bidi/>
              <w:rPr>
                <w:i/>
                <w:iCs/>
                <w:rtl/>
              </w:rPr>
            </w:pPr>
            <w:r>
              <w:rPr>
                <w:i/>
                <w:iCs/>
                <w:rtl/>
              </w:rPr>
              <w:t>السيناريو</w:t>
            </w:r>
          </w:p>
        </w:tc>
        <w:tc>
          <w:tcPr>
            <w:tcW w:w="1275" w:type="dxa"/>
            <w:tcBorders>
              <w:top w:val="single" w:sz="4" w:space="0" w:color="auto"/>
              <w:bottom w:val="single" w:sz="4" w:space="0" w:color="auto"/>
            </w:tcBorders>
            <w:tcMar>
              <w:top w:w="60" w:type="dxa"/>
              <w:left w:w="100" w:type="dxa"/>
              <w:bottom w:w="60" w:type="dxa"/>
              <w:right w:w="100" w:type="dxa"/>
            </w:tcMar>
            <w:tcPrChange w:id="9" w:author="Johanna Stansfield" w:date="2026-09-21T09:02:00Z" w16du:dateUtc="2026-09-21T13:02:00Z">
              <w:tcPr>
                <w:tcW w:w="1275" w:type="dxa"/>
                <w:tcBorders>
                  <w:top w:val="single" w:sz="4" w:space="0" w:color="auto"/>
                  <w:bottom w:val="single" w:sz="4" w:space="0" w:color="auto"/>
                </w:tcBorders>
                <w:tcMar>
                  <w:top w:w="60" w:type="dxa"/>
                  <w:left w:w="100" w:type="dxa"/>
                  <w:bottom w:w="60" w:type="dxa"/>
                  <w:right w:w="100" w:type="dxa"/>
                </w:tcMar>
              </w:tcPr>
            </w:tcPrChange>
          </w:tcPr>
          <w:p w14:paraId="3778BFC6" w14:textId="26C6D644" w:rsidR="00C80EA4" w:rsidRPr="00020F91" w:rsidRDefault="00C80EA4" w:rsidP="00020F91">
            <w:pPr>
              <w:pStyle w:val="CBDTableNormal"/>
              <w:bidi/>
              <w:jc w:val="right"/>
              <w:rPr>
                <w:i/>
                <w:iCs/>
                <w:rtl/>
              </w:rPr>
            </w:pPr>
            <w:r>
              <w:rPr>
                <w:i/>
                <w:iCs/>
                <w:rtl/>
              </w:rPr>
              <w:t>المتوسط السنوي</w:t>
            </w:r>
            <w:r w:rsidRPr="00654805">
              <w:rPr>
                <w:i/>
                <w:iCs/>
                <w:vertAlign w:val="superscript"/>
                <w:rtl/>
              </w:rPr>
              <w:t>(أ)</w:t>
            </w:r>
            <w:r>
              <w:rPr>
                <w:i/>
                <w:iCs/>
                <w:rtl/>
              </w:rPr>
              <w:t xml:space="preserve"> </w:t>
            </w:r>
          </w:p>
        </w:tc>
        <w:tc>
          <w:tcPr>
            <w:tcW w:w="1418" w:type="dxa"/>
            <w:tcBorders>
              <w:top w:val="single" w:sz="4" w:space="0" w:color="auto"/>
              <w:bottom w:val="single" w:sz="4" w:space="0" w:color="auto"/>
            </w:tcBorders>
            <w:tcMar>
              <w:top w:w="60" w:type="dxa"/>
              <w:left w:w="100" w:type="dxa"/>
              <w:bottom w:w="60" w:type="dxa"/>
              <w:right w:w="100" w:type="dxa"/>
            </w:tcMar>
            <w:tcPrChange w:id="10" w:author="Johanna Stansfield" w:date="2026-09-21T09:02:00Z" w16du:dateUtc="2026-09-21T13:02:00Z">
              <w:tcPr>
                <w:tcW w:w="1418" w:type="dxa"/>
                <w:tcBorders>
                  <w:top w:val="single" w:sz="4" w:space="0" w:color="auto"/>
                  <w:bottom w:val="single" w:sz="4" w:space="0" w:color="auto"/>
                </w:tcBorders>
                <w:tcMar>
                  <w:top w:w="60" w:type="dxa"/>
                  <w:left w:w="100" w:type="dxa"/>
                  <w:bottom w:w="60" w:type="dxa"/>
                  <w:right w:w="100" w:type="dxa"/>
                </w:tcMar>
              </w:tcPr>
            </w:tcPrChange>
          </w:tcPr>
          <w:p w14:paraId="2E61EA32" w14:textId="30353610" w:rsidR="00C80EA4" w:rsidRPr="00020F91" w:rsidRDefault="003434DA" w:rsidP="00020F91">
            <w:pPr>
              <w:pStyle w:val="CBDTableNormal"/>
              <w:bidi/>
              <w:jc w:val="right"/>
              <w:rPr>
                <w:i/>
                <w:iCs/>
                <w:rtl/>
              </w:rPr>
            </w:pPr>
            <w:r>
              <w:rPr>
                <w:rFonts w:hint="cs"/>
                <w:i/>
                <w:iCs/>
                <w:rtl/>
              </w:rPr>
              <w:t>نطاق</w:t>
            </w:r>
            <w:r w:rsidR="004268B8">
              <w:rPr>
                <w:i/>
                <w:iCs/>
                <w:rtl/>
              </w:rPr>
              <w:t xml:space="preserve"> </w:t>
            </w:r>
            <w:r>
              <w:rPr>
                <w:rFonts w:hint="cs"/>
                <w:i/>
                <w:iCs/>
                <w:rtl/>
              </w:rPr>
              <w:t>الشريحة</w:t>
            </w:r>
            <w:r w:rsidR="004268B8">
              <w:rPr>
                <w:i/>
                <w:iCs/>
                <w:rtl/>
              </w:rPr>
              <w:t xml:space="preserve"> الم</w:t>
            </w:r>
            <w:r>
              <w:rPr>
                <w:rFonts w:hint="cs"/>
                <w:i/>
                <w:iCs/>
                <w:rtl/>
              </w:rPr>
              <w:t>ئوية</w:t>
            </w:r>
            <w:r w:rsidR="004268B8">
              <w:rPr>
                <w:i/>
                <w:iCs/>
                <w:rtl/>
              </w:rPr>
              <w:t xml:space="preserve"> الخامس</w:t>
            </w:r>
            <w:r>
              <w:rPr>
                <w:rFonts w:hint="cs"/>
                <w:i/>
                <w:iCs/>
                <w:rtl/>
              </w:rPr>
              <w:t>ة</w:t>
            </w:r>
            <w:r w:rsidR="004268B8">
              <w:rPr>
                <w:i/>
                <w:iCs/>
                <w:rtl/>
              </w:rPr>
              <w:t xml:space="preserve"> إلى </w:t>
            </w:r>
            <w:r>
              <w:rPr>
                <w:rFonts w:hint="cs"/>
                <w:i/>
                <w:iCs/>
                <w:rtl/>
              </w:rPr>
              <w:t>الشريحة المئوية</w:t>
            </w:r>
            <w:r w:rsidR="004268B8">
              <w:rPr>
                <w:i/>
                <w:iCs/>
                <w:rtl/>
              </w:rPr>
              <w:t xml:space="preserve"> الخامس</w:t>
            </w:r>
            <w:r>
              <w:rPr>
                <w:rFonts w:hint="cs"/>
                <w:i/>
                <w:iCs/>
                <w:rtl/>
              </w:rPr>
              <w:t>ة</w:t>
            </w:r>
            <w:r w:rsidR="004268B8">
              <w:rPr>
                <w:i/>
                <w:iCs/>
                <w:rtl/>
              </w:rPr>
              <w:t xml:space="preserve"> والتسعين</w:t>
            </w:r>
          </w:p>
        </w:tc>
        <w:tc>
          <w:tcPr>
            <w:tcW w:w="1300" w:type="dxa"/>
            <w:tcBorders>
              <w:top w:val="single" w:sz="4" w:space="0" w:color="auto"/>
              <w:bottom w:val="single" w:sz="4" w:space="0" w:color="auto"/>
            </w:tcBorders>
            <w:tcMar>
              <w:top w:w="60" w:type="dxa"/>
              <w:left w:w="100" w:type="dxa"/>
              <w:bottom w:w="60" w:type="dxa"/>
              <w:right w:w="100" w:type="dxa"/>
            </w:tcMar>
            <w:tcPrChange w:id="11" w:author="Johanna Stansfield" w:date="2026-09-21T09:02:00Z" w16du:dateUtc="2026-09-21T13:02:00Z">
              <w:tcPr>
                <w:tcW w:w="1300" w:type="dxa"/>
                <w:tcBorders>
                  <w:top w:val="single" w:sz="4" w:space="0" w:color="auto"/>
                  <w:bottom w:val="single" w:sz="4" w:space="0" w:color="auto"/>
                </w:tcBorders>
                <w:tcMar>
                  <w:top w:w="60" w:type="dxa"/>
                  <w:left w:w="100" w:type="dxa"/>
                  <w:bottom w:w="60" w:type="dxa"/>
                  <w:right w:w="100" w:type="dxa"/>
                </w:tcMar>
              </w:tcPr>
            </w:tcPrChange>
          </w:tcPr>
          <w:p w14:paraId="7D6253C8" w14:textId="72B94F98" w:rsidR="00C80EA4" w:rsidRPr="00020F91" w:rsidRDefault="00577701" w:rsidP="00020F91">
            <w:pPr>
              <w:pStyle w:val="CBDTableNormal"/>
              <w:bidi/>
              <w:jc w:val="right"/>
              <w:rPr>
                <w:i/>
                <w:iCs/>
                <w:rtl/>
              </w:rPr>
            </w:pPr>
            <w:r>
              <w:rPr>
                <w:i/>
                <w:iCs/>
                <w:rtl/>
              </w:rPr>
              <w:t>النسبة المئوية من السيناريو 0</w:t>
            </w:r>
          </w:p>
        </w:tc>
        <w:tc>
          <w:tcPr>
            <w:tcW w:w="1393" w:type="dxa"/>
            <w:tcBorders>
              <w:top w:val="single" w:sz="4" w:space="0" w:color="auto"/>
              <w:bottom w:val="single" w:sz="4" w:space="0" w:color="auto"/>
            </w:tcBorders>
            <w:tcMar>
              <w:top w:w="60" w:type="dxa"/>
              <w:left w:w="100" w:type="dxa"/>
              <w:bottom w:w="60" w:type="dxa"/>
              <w:right w:w="100" w:type="dxa"/>
            </w:tcMar>
            <w:tcPrChange w:id="12" w:author="Johanna Stansfield" w:date="2026-09-21T09:02:00Z" w16du:dateUtc="2026-09-21T13:02:00Z">
              <w:tcPr>
                <w:tcW w:w="1393" w:type="dxa"/>
                <w:tcBorders>
                  <w:top w:val="single" w:sz="4" w:space="0" w:color="auto"/>
                  <w:bottom w:val="single" w:sz="4" w:space="0" w:color="auto"/>
                </w:tcBorders>
                <w:tcMar>
                  <w:top w:w="60" w:type="dxa"/>
                  <w:left w:w="100" w:type="dxa"/>
                  <w:bottom w:w="60" w:type="dxa"/>
                  <w:right w:w="100" w:type="dxa"/>
                </w:tcMar>
              </w:tcPr>
            </w:tcPrChange>
          </w:tcPr>
          <w:p w14:paraId="403514C5" w14:textId="44510356" w:rsidR="00C80EA4" w:rsidRPr="00020F91" w:rsidRDefault="00C80EA4" w:rsidP="00020F91">
            <w:pPr>
              <w:pStyle w:val="CBDTableNormal"/>
              <w:bidi/>
              <w:jc w:val="right"/>
              <w:rPr>
                <w:i/>
                <w:iCs/>
                <w:rtl/>
              </w:rPr>
            </w:pPr>
            <w:r>
              <w:rPr>
                <w:i/>
                <w:iCs/>
                <w:rtl/>
              </w:rPr>
              <w:t>صافي القيمة الحالية حتى عام 2030</w:t>
            </w:r>
            <w:r w:rsidRPr="003434DA">
              <w:rPr>
                <w:i/>
                <w:iCs/>
                <w:vertAlign w:val="superscript"/>
                <w:rtl/>
              </w:rPr>
              <w:t>(أ</w:t>
            </w:r>
            <w:proofErr w:type="gramStart"/>
            <w:r w:rsidRPr="003434DA">
              <w:rPr>
                <w:i/>
                <w:iCs/>
                <w:vertAlign w:val="superscript"/>
                <w:rtl/>
              </w:rPr>
              <w:t>)،(</w:t>
            </w:r>
            <w:proofErr w:type="gramEnd"/>
            <w:r w:rsidRPr="003434DA">
              <w:rPr>
                <w:i/>
                <w:iCs/>
                <w:vertAlign w:val="superscript"/>
                <w:rtl/>
              </w:rPr>
              <w:t>ب)</w:t>
            </w:r>
            <w:r>
              <w:rPr>
                <w:i/>
                <w:iCs/>
                <w:rtl/>
              </w:rPr>
              <w:t xml:space="preserve"> </w:t>
            </w:r>
          </w:p>
        </w:tc>
        <w:tc>
          <w:tcPr>
            <w:tcW w:w="1314" w:type="dxa"/>
            <w:tcBorders>
              <w:top w:val="single" w:sz="4" w:space="0" w:color="auto"/>
              <w:bottom w:val="single" w:sz="4" w:space="0" w:color="auto"/>
            </w:tcBorders>
            <w:tcMar>
              <w:top w:w="60" w:type="dxa"/>
              <w:left w:w="100" w:type="dxa"/>
              <w:bottom w:w="60" w:type="dxa"/>
              <w:right w:w="100" w:type="dxa"/>
            </w:tcMar>
            <w:tcPrChange w:id="13" w:author="Johanna Stansfield" w:date="2026-09-21T09:02:00Z" w16du:dateUtc="2026-09-21T13:02:00Z">
              <w:tcPr>
                <w:tcW w:w="1314" w:type="dxa"/>
                <w:tcBorders>
                  <w:top w:val="single" w:sz="4" w:space="0" w:color="auto"/>
                  <w:bottom w:val="single" w:sz="4" w:space="0" w:color="auto"/>
                </w:tcBorders>
                <w:tcMar>
                  <w:top w:w="60" w:type="dxa"/>
                  <w:left w:w="100" w:type="dxa"/>
                  <w:bottom w:w="60" w:type="dxa"/>
                  <w:right w:w="100" w:type="dxa"/>
                </w:tcMar>
              </w:tcPr>
            </w:tcPrChange>
          </w:tcPr>
          <w:p w14:paraId="4F6A9FCF" w14:textId="73615149" w:rsidR="00C80EA4" w:rsidRPr="00020F91" w:rsidRDefault="007C596D" w:rsidP="00020F91">
            <w:pPr>
              <w:pStyle w:val="CBDTableNormal"/>
              <w:bidi/>
              <w:jc w:val="right"/>
              <w:rPr>
                <w:i/>
                <w:iCs/>
                <w:rtl/>
              </w:rPr>
            </w:pPr>
            <w:r>
              <w:rPr>
                <w:i/>
                <w:iCs/>
                <w:rtl/>
              </w:rPr>
              <w:t>صافي القيمة الحالية حتى عام 2035</w:t>
            </w:r>
            <w:r w:rsidRPr="003434DA">
              <w:rPr>
                <w:i/>
                <w:iCs/>
                <w:vertAlign w:val="superscript"/>
                <w:rtl/>
              </w:rPr>
              <w:t>(أ</w:t>
            </w:r>
            <w:proofErr w:type="gramStart"/>
            <w:r w:rsidRPr="003434DA">
              <w:rPr>
                <w:i/>
                <w:iCs/>
                <w:vertAlign w:val="superscript"/>
                <w:rtl/>
              </w:rPr>
              <w:t>)،(</w:t>
            </w:r>
            <w:proofErr w:type="gramEnd"/>
            <w:r w:rsidRPr="003434DA">
              <w:rPr>
                <w:i/>
                <w:iCs/>
                <w:vertAlign w:val="superscript"/>
                <w:rtl/>
              </w:rPr>
              <w:t>ب)</w:t>
            </w:r>
            <w:r>
              <w:rPr>
                <w:i/>
                <w:iCs/>
                <w:rtl/>
              </w:rPr>
              <w:t xml:space="preserve"> </w:t>
            </w:r>
          </w:p>
        </w:tc>
      </w:tr>
      <w:tr w:rsidR="00C80EA4" w:rsidRPr="00827DA6" w14:paraId="31716EA6" w14:textId="77777777" w:rsidTr="0099284D">
        <w:tc>
          <w:tcPr>
            <w:tcW w:w="2268" w:type="dxa"/>
            <w:tcBorders>
              <w:top w:val="single" w:sz="4" w:space="0" w:color="auto"/>
            </w:tcBorders>
            <w:tcMar>
              <w:top w:w="60" w:type="dxa"/>
              <w:left w:w="100" w:type="dxa"/>
              <w:bottom w:w="60" w:type="dxa"/>
              <w:right w:w="100" w:type="dxa"/>
            </w:tcMar>
            <w:tcPrChange w:id="14" w:author="Johanna Stansfield" w:date="2026-09-21T09:02:00Z" w16du:dateUtc="2026-09-21T13:02:00Z">
              <w:tcPr>
                <w:tcW w:w="2268" w:type="dxa"/>
                <w:tcBorders>
                  <w:top w:val="single" w:sz="4" w:space="0" w:color="auto"/>
                </w:tcBorders>
                <w:tcMar>
                  <w:top w:w="60" w:type="dxa"/>
                  <w:left w:w="100" w:type="dxa"/>
                  <w:bottom w:w="60" w:type="dxa"/>
                  <w:right w:w="100" w:type="dxa"/>
                </w:tcMar>
              </w:tcPr>
            </w:tcPrChange>
          </w:tcPr>
          <w:p w14:paraId="3096C6C8" w14:textId="7F200AC3" w:rsidR="00C80EA4" w:rsidRPr="00827DA6" w:rsidRDefault="00C80EA4" w:rsidP="00C80EA4">
            <w:pPr>
              <w:pStyle w:val="CBDTableNormal"/>
              <w:bidi/>
              <w:rPr>
                <w:rtl/>
              </w:rPr>
            </w:pPr>
            <w:r>
              <w:rPr>
                <w:rtl/>
              </w:rPr>
              <w:t>السيناريو 0- المشاركة الكاملة</w:t>
            </w:r>
          </w:p>
        </w:tc>
        <w:tc>
          <w:tcPr>
            <w:tcW w:w="1275" w:type="dxa"/>
            <w:tcBorders>
              <w:top w:val="single" w:sz="4" w:space="0" w:color="auto"/>
            </w:tcBorders>
            <w:tcMar>
              <w:top w:w="60" w:type="dxa"/>
              <w:left w:w="100" w:type="dxa"/>
              <w:bottom w:w="60" w:type="dxa"/>
              <w:right w:w="100" w:type="dxa"/>
            </w:tcMar>
            <w:tcPrChange w:id="15" w:author="Johanna Stansfield" w:date="2026-09-21T09:02:00Z" w16du:dateUtc="2026-09-21T13:02:00Z">
              <w:tcPr>
                <w:tcW w:w="1275" w:type="dxa"/>
                <w:tcBorders>
                  <w:top w:val="single" w:sz="4" w:space="0" w:color="auto"/>
                </w:tcBorders>
                <w:tcMar>
                  <w:top w:w="60" w:type="dxa"/>
                  <w:left w:w="100" w:type="dxa"/>
                  <w:bottom w:w="60" w:type="dxa"/>
                  <w:right w:w="100" w:type="dxa"/>
                </w:tcMar>
              </w:tcPr>
            </w:tcPrChange>
          </w:tcPr>
          <w:p w14:paraId="2354A2E7" w14:textId="77777777" w:rsidR="00C80EA4" w:rsidRPr="00827DA6" w:rsidRDefault="00C80EA4" w:rsidP="00020F91">
            <w:pPr>
              <w:pStyle w:val="CBDTableNormal"/>
              <w:bidi/>
              <w:jc w:val="right"/>
              <w:rPr>
                <w:rtl/>
              </w:rPr>
            </w:pPr>
            <w:r>
              <w:t>3.65</w:t>
            </w:r>
          </w:p>
        </w:tc>
        <w:tc>
          <w:tcPr>
            <w:tcW w:w="1418" w:type="dxa"/>
            <w:tcBorders>
              <w:top w:val="single" w:sz="4" w:space="0" w:color="auto"/>
            </w:tcBorders>
            <w:tcMar>
              <w:top w:w="60" w:type="dxa"/>
              <w:left w:w="100" w:type="dxa"/>
              <w:bottom w:w="60" w:type="dxa"/>
              <w:right w:w="100" w:type="dxa"/>
            </w:tcMar>
            <w:tcPrChange w:id="16" w:author="Johanna Stansfield" w:date="2026-09-21T09:02:00Z" w16du:dateUtc="2026-09-21T13:02:00Z">
              <w:tcPr>
                <w:tcW w:w="1418" w:type="dxa"/>
                <w:tcBorders>
                  <w:top w:val="single" w:sz="4" w:space="0" w:color="auto"/>
                </w:tcBorders>
                <w:tcMar>
                  <w:top w:w="60" w:type="dxa"/>
                  <w:left w:w="100" w:type="dxa"/>
                  <w:bottom w:w="60" w:type="dxa"/>
                  <w:right w:w="100" w:type="dxa"/>
                </w:tcMar>
              </w:tcPr>
            </w:tcPrChange>
          </w:tcPr>
          <w:p w14:paraId="00FA2CE5" w14:textId="777840F2" w:rsidR="00C80EA4" w:rsidRPr="00827DA6" w:rsidRDefault="008F2478" w:rsidP="00020F91">
            <w:pPr>
              <w:pStyle w:val="CBDTableNormal"/>
              <w:bidi/>
              <w:jc w:val="right"/>
              <w:rPr>
                <w:rtl/>
              </w:rPr>
            </w:pPr>
            <w:r>
              <w:rPr>
                <w:rtl/>
              </w:rPr>
              <w:t xml:space="preserve">لا ينطبق </w:t>
            </w:r>
          </w:p>
        </w:tc>
        <w:tc>
          <w:tcPr>
            <w:tcW w:w="1300" w:type="dxa"/>
            <w:tcBorders>
              <w:top w:val="single" w:sz="4" w:space="0" w:color="auto"/>
            </w:tcBorders>
            <w:tcMar>
              <w:top w:w="60" w:type="dxa"/>
              <w:left w:w="100" w:type="dxa"/>
              <w:bottom w:w="60" w:type="dxa"/>
              <w:right w:w="100" w:type="dxa"/>
            </w:tcMar>
            <w:tcPrChange w:id="17" w:author="Johanna Stansfield" w:date="2026-09-21T09:02:00Z" w16du:dateUtc="2026-09-21T13:02:00Z">
              <w:tcPr>
                <w:tcW w:w="1300" w:type="dxa"/>
                <w:tcBorders>
                  <w:top w:val="single" w:sz="4" w:space="0" w:color="auto"/>
                </w:tcBorders>
                <w:tcMar>
                  <w:top w:w="60" w:type="dxa"/>
                  <w:left w:w="100" w:type="dxa"/>
                  <w:bottom w:w="60" w:type="dxa"/>
                  <w:right w:w="100" w:type="dxa"/>
                </w:tcMar>
              </w:tcPr>
            </w:tcPrChange>
          </w:tcPr>
          <w:p w14:paraId="189910C8" w14:textId="5B60859D" w:rsidR="00C80EA4" w:rsidRPr="00827DA6" w:rsidRDefault="00C80EA4" w:rsidP="00020F91">
            <w:pPr>
              <w:pStyle w:val="CBDTableNormal"/>
              <w:bidi/>
              <w:jc w:val="right"/>
              <w:rPr>
                <w:rtl/>
              </w:rPr>
            </w:pPr>
            <w:r>
              <w:t>100.0</w:t>
            </w:r>
          </w:p>
        </w:tc>
        <w:tc>
          <w:tcPr>
            <w:tcW w:w="1393" w:type="dxa"/>
            <w:tcBorders>
              <w:top w:val="single" w:sz="4" w:space="0" w:color="auto"/>
            </w:tcBorders>
            <w:tcMar>
              <w:top w:w="60" w:type="dxa"/>
              <w:left w:w="100" w:type="dxa"/>
              <w:bottom w:w="60" w:type="dxa"/>
              <w:right w:w="100" w:type="dxa"/>
            </w:tcMar>
            <w:tcPrChange w:id="18" w:author="Johanna Stansfield" w:date="2026-09-21T09:02:00Z" w16du:dateUtc="2026-09-21T13:02:00Z">
              <w:tcPr>
                <w:tcW w:w="1393" w:type="dxa"/>
                <w:tcBorders>
                  <w:top w:val="single" w:sz="4" w:space="0" w:color="auto"/>
                </w:tcBorders>
                <w:tcMar>
                  <w:top w:w="60" w:type="dxa"/>
                  <w:left w:w="100" w:type="dxa"/>
                  <w:bottom w:w="60" w:type="dxa"/>
                  <w:right w:w="100" w:type="dxa"/>
                </w:tcMar>
              </w:tcPr>
            </w:tcPrChange>
          </w:tcPr>
          <w:p w14:paraId="432575FD" w14:textId="77777777" w:rsidR="00C80EA4" w:rsidRPr="00827DA6" w:rsidRDefault="00C80EA4" w:rsidP="00020F91">
            <w:pPr>
              <w:pStyle w:val="CBDTableNormal"/>
              <w:bidi/>
              <w:jc w:val="right"/>
              <w:rPr>
                <w:rtl/>
              </w:rPr>
            </w:pPr>
            <w:r>
              <w:t>17.2</w:t>
            </w:r>
          </w:p>
        </w:tc>
        <w:tc>
          <w:tcPr>
            <w:tcW w:w="1314" w:type="dxa"/>
            <w:tcBorders>
              <w:top w:val="single" w:sz="4" w:space="0" w:color="auto"/>
            </w:tcBorders>
            <w:tcMar>
              <w:top w:w="60" w:type="dxa"/>
              <w:left w:w="100" w:type="dxa"/>
              <w:bottom w:w="60" w:type="dxa"/>
              <w:right w:w="100" w:type="dxa"/>
            </w:tcMar>
            <w:tcPrChange w:id="19" w:author="Johanna Stansfield" w:date="2026-09-21T09:02:00Z" w16du:dateUtc="2026-09-21T13:02:00Z">
              <w:tcPr>
                <w:tcW w:w="1314" w:type="dxa"/>
                <w:tcBorders>
                  <w:top w:val="single" w:sz="4" w:space="0" w:color="auto"/>
                </w:tcBorders>
                <w:tcMar>
                  <w:top w:w="60" w:type="dxa"/>
                  <w:left w:w="100" w:type="dxa"/>
                  <w:bottom w:w="60" w:type="dxa"/>
                  <w:right w:w="100" w:type="dxa"/>
                </w:tcMar>
              </w:tcPr>
            </w:tcPrChange>
          </w:tcPr>
          <w:p w14:paraId="0F2C4C22" w14:textId="77777777" w:rsidR="00C80EA4" w:rsidRPr="00827DA6" w:rsidRDefault="00C80EA4" w:rsidP="00020F91">
            <w:pPr>
              <w:pStyle w:val="CBDTableNormal"/>
              <w:bidi/>
              <w:jc w:val="right"/>
              <w:rPr>
                <w:rtl/>
              </w:rPr>
            </w:pPr>
            <w:r>
              <w:t>32.0</w:t>
            </w:r>
          </w:p>
        </w:tc>
      </w:tr>
      <w:tr w:rsidR="00C80EA4" w:rsidRPr="00827DA6" w14:paraId="73DA95CC" w14:textId="77777777" w:rsidTr="0099284D">
        <w:tc>
          <w:tcPr>
            <w:tcW w:w="2268" w:type="dxa"/>
            <w:tcMar>
              <w:top w:w="60" w:type="dxa"/>
              <w:left w:w="100" w:type="dxa"/>
              <w:bottom w:w="60" w:type="dxa"/>
              <w:right w:w="100" w:type="dxa"/>
            </w:tcMar>
            <w:tcPrChange w:id="20" w:author="Johanna Stansfield" w:date="2026-09-21T09:02:00Z" w16du:dateUtc="2026-09-21T13:02:00Z">
              <w:tcPr>
                <w:tcW w:w="2268" w:type="dxa"/>
                <w:tcMar>
                  <w:top w:w="60" w:type="dxa"/>
                  <w:left w:w="100" w:type="dxa"/>
                  <w:bottom w:w="60" w:type="dxa"/>
                  <w:right w:w="100" w:type="dxa"/>
                </w:tcMar>
              </w:tcPr>
            </w:tcPrChange>
          </w:tcPr>
          <w:p w14:paraId="67AE95EB" w14:textId="7BBEA37C" w:rsidR="00C80EA4" w:rsidRPr="00827DA6" w:rsidRDefault="00C80EA4" w:rsidP="00C80EA4">
            <w:pPr>
              <w:pStyle w:val="CBDTableNormal"/>
              <w:bidi/>
              <w:rPr>
                <w:rtl/>
              </w:rPr>
            </w:pPr>
            <w:r>
              <w:rPr>
                <w:rtl/>
              </w:rPr>
              <w:t>السيناريو 1- التباين القطاعي</w:t>
            </w:r>
          </w:p>
        </w:tc>
        <w:tc>
          <w:tcPr>
            <w:tcW w:w="1275" w:type="dxa"/>
            <w:tcMar>
              <w:top w:w="60" w:type="dxa"/>
              <w:left w:w="100" w:type="dxa"/>
              <w:bottom w:w="60" w:type="dxa"/>
              <w:right w:w="100" w:type="dxa"/>
            </w:tcMar>
            <w:tcPrChange w:id="21" w:author="Johanna Stansfield" w:date="2026-09-21T09:02:00Z" w16du:dateUtc="2026-09-21T13:02:00Z">
              <w:tcPr>
                <w:tcW w:w="1275" w:type="dxa"/>
                <w:tcMar>
                  <w:top w:w="60" w:type="dxa"/>
                  <w:left w:w="100" w:type="dxa"/>
                  <w:bottom w:w="60" w:type="dxa"/>
                  <w:right w:w="100" w:type="dxa"/>
                </w:tcMar>
              </w:tcPr>
            </w:tcPrChange>
          </w:tcPr>
          <w:p w14:paraId="2FBA3A61" w14:textId="77777777" w:rsidR="00C80EA4" w:rsidRPr="00827DA6" w:rsidRDefault="00C80EA4" w:rsidP="00020F91">
            <w:pPr>
              <w:pStyle w:val="CBDTableNormal"/>
              <w:bidi/>
              <w:jc w:val="right"/>
              <w:rPr>
                <w:rtl/>
              </w:rPr>
            </w:pPr>
            <w:r>
              <w:t>1.16</w:t>
            </w:r>
          </w:p>
        </w:tc>
        <w:tc>
          <w:tcPr>
            <w:tcW w:w="1418" w:type="dxa"/>
            <w:tcMar>
              <w:top w:w="60" w:type="dxa"/>
              <w:left w:w="100" w:type="dxa"/>
              <w:bottom w:w="60" w:type="dxa"/>
              <w:right w:w="100" w:type="dxa"/>
            </w:tcMar>
            <w:tcPrChange w:id="22" w:author="Johanna Stansfield" w:date="2026-09-21T09:02:00Z" w16du:dateUtc="2026-09-21T13:02:00Z">
              <w:tcPr>
                <w:tcW w:w="1418" w:type="dxa"/>
                <w:tcMar>
                  <w:top w:w="60" w:type="dxa"/>
                  <w:left w:w="100" w:type="dxa"/>
                  <w:bottom w:w="60" w:type="dxa"/>
                  <w:right w:w="100" w:type="dxa"/>
                </w:tcMar>
              </w:tcPr>
            </w:tcPrChange>
          </w:tcPr>
          <w:p w14:paraId="165E6532" w14:textId="20F2C210" w:rsidR="00C80EA4" w:rsidRPr="00827DA6" w:rsidRDefault="00C80EA4" w:rsidP="00020F91">
            <w:pPr>
              <w:pStyle w:val="CBDTableNormal"/>
              <w:bidi/>
              <w:jc w:val="right"/>
              <w:rPr>
                <w:rtl/>
              </w:rPr>
            </w:pPr>
            <w:r>
              <w:t>0.81–1.53</w:t>
            </w:r>
          </w:p>
        </w:tc>
        <w:tc>
          <w:tcPr>
            <w:tcW w:w="1300" w:type="dxa"/>
            <w:tcMar>
              <w:top w:w="60" w:type="dxa"/>
              <w:left w:w="100" w:type="dxa"/>
              <w:bottom w:w="60" w:type="dxa"/>
              <w:right w:w="100" w:type="dxa"/>
            </w:tcMar>
            <w:tcPrChange w:id="23" w:author="Johanna Stansfield" w:date="2026-09-21T09:02:00Z" w16du:dateUtc="2026-09-21T13:02:00Z">
              <w:tcPr>
                <w:tcW w:w="1300" w:type="dxa"/>
                <w:tcMar>
                  <w:top w:w="60" w:type="dxa"/>
                  <w:left w:w="100" w:type="dxa"/>
                  <w:bottom w:w="60" w:type="dxa"/>
                  <w:right w:w="100" w:type="dxa"/>
                </w:tcMar>
              </w:tcPr>
            </w:tcPrChange>
          </w:tcPr>
          <w:p w14:paraId="3E5CED5B" w14:textId="1C0B941D" w:rsidR="00C80EA4" w:rsidRPr="00827DA6" w:rsidRDefault="00C80EA4" w:rsidP="00020F91">
            <w:pPr>
              <w:pStyle w:val="CBDTableNormal"/>
              <w:bidi/>
              <w:jc w:val="right"/>
              <w:rPr>
                <w:rtl/>
              </w:rPr>
            </w:pPr>
            <w:r>
              <w:t>31.9</w:t>
            </w:r>
          </w:p>
        </w:tc>
        <w:tc>
          <w:tcPr>
            <w:tcW w:w="1393" w:type="dxa"/>
            <w:tcMar>
              <w:top w:w="60" w:type="dxa"/>
              <w:left w:w="100" w:type="dxa"/>
              <w:bottom w:w="60" w:type="dxa"/>
              <w:right w:w="100" w:type="dxa"/>
            </w:tcMar>
            <w:tcPrChange w:id="24" w:author="Johanna Stansfield" w:date="2026-09-21T09:02:00Z" w16du:dateUtc="2026-09-21T13:02:00Z">
              <w:tcPr>
                <w:tcW w:w="1393" w:type="dxa"/>
                <w:tcMar>
                  <w:top w:w="60" w:type="dxa"/>
                  <w:left w:w="100" w:type="dxa"/>
                  <w:bottom w:w="60" w:type="dxa"/>
                  <w:right w:w="100" w:type="dxa"/>
                </w:tcMar>
              </w:tcPr>
            </w:tcPrChange>
          </w:tcPr>
          <w:p w14:paraId="0E0A8CC2" w14:textId="77777777" w:rsidR="00C80EA4" w:rsidRPr="00827DA6" w:rsidRDefault="00C80EA4" w:rsidP="00020F91">
            <w:pPr>
              <w:pStyle w:val="CBDTableNormal"/>
              <w:bidi/>
              <w:jc w:val="right"/>
              <w:rPr>
                <w:rtl/>
              </w:rPr>
            </w:pPr>
            <w:r>
              <w:t>5.5</w:t>
            </w:r>
          </w:p>
        </w:tc>
        <w:tc>
          <w:tcPr>
            <w:tcW w:w="1314" w:type="dxa"/>
            <w:tcMar>
              <w:top w:w="60" w:type="dxa"/>
              <w:left w:w="100" w:type="dxa"/>
              <w:bottom w:w="60" w:type="dxa"/>
              <w:right w:w="100" w:type="dxa"/>
            </w:tcMar>
            <w:tcPrChange w:id="25" w:author="Johanna Stansfield" w:date="2026-09-21T09:02:00Z" w16du:dateUtc="2026-09-21T13:02:00Z">
              <w:tcPr>
                <w:tcW w:w="1314" w:type="dxa"/>
                <w:tcMar>
                  <w:top w:w="60" w:type="dxa"/>
                  <w:left w:w="100" w:type="dxa"/>
                  <w:bottom w:w="60" w:type="dxa"/>
                  <w:right w:w="100" w:type="dxa"/>
                </w:tcMar>
              </w:tcPr>
            </w:tcPrChange>
          </w:tcPr>
          <w:p w14:paraId="45C6BA01" w14:textId="77777777" w:rsidR="00C80EA4" w:rsidRPr="00827DA6" w:rsidRDefault="00C80EA4" w:rsidP="00020F91">
            <w:pPr>
              <w:pStyle w:val="CBDTableNormal"/>
              <w:bidi/>
              <w:jc w:val="right"/>
              <w:rPr>
                <w:rtl/>
              </w:rPr>
            </w:pPr>
            <w:r>
              <w:t>10.2</w:t>
            </w:r>
          </w:p>
        </w:tc>
      </w:tr>
      <w:tr w:rsidR="00C80EA4" w:rsidRPr="00827DA6" w14:paraId="54984B17" w14:textId="77777777" w:rsidTr="0099284D">
        <w:tc>
          <w:tcPr>
            <w:tcW w:w="2268" w:type="dxa"/>
            <w:tcMar>
              <w:top w:w="60" w:type="dxa"/>
              <w:left w:w="100" w:type="dxa"/>
              <w:bottom w:w="60" w:type="dxa"/>
              <w:right w:w="100" w:type="dxa"/>
            </w:tcMar>
            <w:tcPrChange w:id="26" w:author="Johanna Stansfield" w:date="2026-09-21T09:02:00Z" w16du:dateUtc="2026-09-21T13:02:00Z">
              <w:tcPr>
                <w:tcW w:w="2268" w:type="dxa"/>
                <w:tcMar>
                  <w:top w:w="60" w:type="dxa"/>
                  <w:left w:w="100" w:type="dxa"/>
                  <w:bottom w:w="60" w:type="dxa"/>
                  <w:right w:w="100" w:type="dxa"/>
                </w:tcMar>
              </w:tcPr>
            </w:tcPrChange>
          </w:tcPr>
          <w:p w14:paraId="23B1A05B" w14:textId="2B3DC47C" w:rsidR="00C80EA4" w:rsidRPr="00827DA6" w:rsidRDefault="00C80EA4" w:rsidP="00C80EA4">
            <w:pPr>
              <w:pStyle w:val="CBDTableNormal"/>
              <w:bidi/>
              <w:rPr>
                <w:rtl/>
              </w:rPr>
            </w:pPr>
            <w:r>
              <w:rPr>
                <w:rtl/>
              </w:rPr>
              <w:t>السيناريو 2- التباين القطاعي والتباين بين الشركات</w:t>
            </w:r>
          </w:p>
        </w:tc>
        <w:tc>
          <w:tcPr>
            <w:tcW w:w="1275" w:type="dxa"/>
            <w:tcMar>
              <w:top w:w="60" w:type="dxa"/>
              <w:left w:w="100" w:type="dxa"/>
              <w:bottom w:w="60" w:type="dxa"/>
              <w:right w:w="100" w:type="dxa"/>
            </w:tcMar>
            <w:tcPrChange w:id="27" w:author="Johanna Stansfield" w:date="2026-09-21T09:02:00Z" w16du:dateUtc="2026-09-21T13:02:00Z">
              <w:tcPr>
                <w:tcW w:w="1275" w:type="dxa"/>
                <w:tcMar>
                  <w:top w:w="60" w:type="dxa"/>
                  <w:left w:w="100" w:type="dxa"/>
                  <w:bottom w:w="60" w:type="dxa"/>
                  <w:right w:w="100" w:type="dxa"/>
                </w:tcMar>
              </w:tcPr>
            </w:tcPrChange>
          </w:tcPr>
          <w:p w14:paraId="7061969A" w14:textId="77777777" w:rsidR="00C80EA4" w:rsidRPr="00827DA6" w:rsidRDefault="00C80EA4" w:rsidP="00020F91">
            <w:pPr>
              <w:pStyle w:val="CBDTableNormal"/>
              <w:bidi/>
              <w:jc w:val="right"/>
              <w:rPr>
                <w:rtl/>
              </w:rPr>
            </w:pPr>
            <w:r>
              <w:t>1.20</w:t>
            </w:r>
          </w:p>
        </w:tc>
        <w:tc>
          <w:tcPr>
            <w:tcW w:w="1418" w:type="dxa"/>
            <w:tcMar>
              <w:top w:w="60" w:type="dxa"/>
              <w:left w:w="100" w:type="dxa"/>
              <w:bottom w:w="60" w:type="dxa"/>
              <w:right w:w="100" w:type="dxa"/>
            </w:tcMar>
            <w:tcPrChange w:id="28" w:author="Johanna Stansfield" w:date="2026-09-21T09:02:00Z" w16du:dateUtc="2026-09-21T13:02:00Z">
              <w:tcPr>
                <w:tcW w:w="1418" w:type="dxa"/>
                <w:tcMar>
                  <w:top w:w="60" w:type="dxa"/>
                  <w:left w:w="100" w:type="dxa"/>
                  <w:bottom w:w="60" w:type="dxa"/>
                  <w:right w:w="100" w:type="dxa"/>
                </w:tcMar>
              </w:tcPr>
            </w:tcPrChange>
          </w:tcPr>
          <w:p w14:paraId="6ADB8016" w14:textId="033DEE23" w:rsidR="00C80EA4" w:rsidRPr="00827DA6" w:rsidRDefault="00C80EA4" w:rsidP="00020F91">
            <w:pPr>
              <w:pStyle w:val="CBDTableNormal"/>
              <w:bidi/>
              <w:jc w:val="right"/>
              <w:rPr>
                <w:rtl/>
              </w:rPr>
            </w:pPr>
            <w:r>
              <w:t>0.83–1.60</w:t>
            </w:r>
          </w:p>
        </w:tc>
        <w:tc>
          <w:tcPr>
            <w:tcW w:w="1300" w:type="dxa"/>
            <w:tcMar>
              <w:top w:w="60" w:type="dxa"/>
              <w:left w:w="100" w:type="dxa"/>
              <w:bottom w:w="60" w:type="dxa"/>
              <w:right w:w="100" w:type="dxa"/>
            </w:tcMar>
            <w:tcPrChange w:id="29" w:author="Johanna Stansfield" w:date="2026-09-21T09:02:00Z" w16du:dateUtc="2026-09-21T13:02:00Z">
              <w:tcPr>
                <w:tcW w:w="1300" w:type="dxa"/>
                <w:tcMar>
                  <w:top w:w="60" w:type="dxa"/>
                  <w:left w:w="100" w:type="dxa"/>
                  <w:bottom w:w="60" w:type="dxa"/>
                  <w:right w:w="100" w:type="dxa"/>
                </w:tcMar>
              </w:tcPr>
            </w:tcPrChange>
          </w:tcPr>
          <w:p w14:paraId="01CDCCCC" w14:textId="79E560C5" w:rsidR="00C80EA4" w:rsidRPr="00827DA6" w:rsidRDefault="00C80EA4" w:rsidP="00020F91">
            <w:pPr>
              <w:pStyle w:val="CBDTableNormal"/>
              <w:bidi/>
              <w:jc w:val="right"/>
              <w:rPr>
                <w:rtl/>
              </w:rPr>
            </w:pPr>
            <w:r>
              <w:t>33.0</w:t>
            </w:r>
          </w:p>
        </w:tc>
        <w:tc>
          <w:tcPr>
            <w:tcW w:w="1393" w:type="dxa"/>
            <w:tcMar>
              <w:top w:w="60" w:type="dxa"/>
              <w:left w:w="100" w:type="dxa"/>
              <w:bottom w:w="60" w:type="dxa"/>
              <w:right w:w="100" w:type="dxa"/>
            </w:tcMar>
            <w:tcPrChange w:id="30" w:author="Johanna Stansfield" w:date="2026-09-21T09:02:00Z" w16du:dateUtc="2026-09-21T13:02:00Z">
              <w:tcPr>
                <w:tcW w:w="1393" w:type="dxa"/>
                <w:tcMar>
                  <w:top w:w="60" w:type="dxa"/>
                  <w:left w:w="100" w:type="dxa"/>
                  <w:bottom w:w="60" w:type="dxa"/>
                  <w:right w:w="100" w:type="dxa"/>
                </w:tcMar>
              </w:tcPr>
            </w:tcPrChange>
          </w:tcPr>
          <w:p w14:paraId="4F366AE0" w14:textId="77777777" w:rsidR="00C80EA4" w:rsidRPr="00827DA6" w:rsidRDefault="00C80EA4" w:rsidP="00020F91">
            <w:pPr>
              <w:pStyle w:val="CBDTableNormal"/>
              <w:bidi/>
              <w:jc w:val="right"/>
              <w:rPr>
                <w:rtl/>
              </w:rPr>
            </w:pPr>
            <w:r>
              <w:t>5.7</w:t>
            </w:r>
          </w:p>
        </w:tc>
        <w:tc>
          <w:tcPr>
            <w:tcW w:w="1314" w:type="dxa"/>
            <w:tcMar>
              <w:top w:w="60" w:type="dxa"/>
              <w:left w:w="100" w:type="dxa"/>
              <w:bottom w:w="60" w:type="dxa"/>
              <w:right w:w="100" w:type="dxa"/>
            </w:tcMar>
            <w:tcPrChange w:id="31" w:author="Johanna Stansfield" w:date="2026-09-21T09:02:00Z" w16du:dateUtc="2026-09-21T13:02:00Z">
              <w:tcPr>
                <w:tcW w:w="1314" w:type="dxa"/>
                <w:tcMar>
                  <w:top w:w="60" w:type="dxa"/>
                  <w:left w:w="100" w:type="dxa"/>
                  <w:bottom w:w="60" w:type="dxa"/>
                  <w:right w:w="100" w:type="dxa"/>
                </w:tcMar>
              </w:tcPr>
            </w:tcPrChange>
          </w:tcPr>
          <w:p w14:paraId="75AEF921" w14:textId="77777777" w:rsidR="00C80EA4" w:rsidRPr="00827DA6" w:rsidRDefault="00C80EA4" w:rsidP="00020F91">
            <w:pPr>
              <w:pStyle w:val="CBDTableNormal"/>
              <w:bidi/>
              <w:jc w:val="right"/>
              <w:rPr>
                <w:rtl/>
              </w:rPr>
            </w:pPr>
            <w:r>
              <w:t>10.6</w:t>
            </w:r>
          </w:p>
        </w:tc>
      </w:tr>
      <w:tr w:rsidR="00C80EA4" w:rsidRPr="00827DA6" w14:paraId="5D142400" w14:textId="77777777" w:rsidTr="0099284D">
        <w:tc>
          <w:tcPr>
            <w:tcW w:w="2268" w:type="dxa"/>
            <w:tcMar>
              <w:top w:w="60" w:type="dxa"/>
              <w:left w:w="100" w:type="dxa"/>
              <w:bottom w:w="60" w:type="dxa"/>
              <w:right w:w="100" w:type="dxa"/>
            </w:tcMar>
            <w:tcPrChange w:id="32" w:author="Johanna Stansfield" w:date="2026-09-21T09:02:00Z" w16du:dateUtc="2026-09-21T13:02:00Z">
              <w:tcPr>
                <w:tcW w:w="2268" w:type="dxa"/>
                <w:tcMar>
                  <w:top w:w="60" w:type="dxa"/>
                  <w:left w:w="100" w:type="dxa"/>
                  <w:bottom w:w="60" w:type="dxa"/>
                  <w:right w:w="100" w:type="dxa"/>
                </w:tcMar>
              </w:tcPr>
            </w:tcPrChange>
          </w:tcPr>
          <w:p w14:paraId="7185A4F8" w14:textId="6FBE5E47" w:rsidR="00C80EA4" w:rsidRPr="00020F91" w:rsidRDefault="00C80EA4" w:rsidP="00C80EA4">
            <w:pPr>
              <w:pStyle w:val="CBDTableNormal"/>
              <w:bidi/>
              <w:rPr>
                <w:rtl/>
              </w:rPr>
            </w:pPr>
            <w:r>
              <w:rPr>
                <w:rtl/>
              </w:rPr>
              <w:t>السيناريو 3- تعديل كثافة استخدام معلومات التسلسل الرقمي (مركزي)</w:t>
            </w:r>
          </w:p>
        </w:tc>
        <w:tc>
          <w:tcPr>
            <w:tcW w:w="1275" w:type="dxa"/>
            <w:tcMar>
              <w:top w:w="60" w:type="dxa"/>
              <w:left w:w="100" w:type="dxa"/>
              <w:bottom w:w="60" w:type="dxa"/>
              <w:right w:w="100" w:type="dxa"/>
            </w:tcMar>
            <w:tcPrChange w:id="33" w:author="Johanna Stansfield" w:date="2026-09-21T09:02:00Z" w16du:dateUtc="2026-09-21T13:02:00Z">
              <w:tcPr>
                <w:tcW w:w="1275" w:type="dxa"/>
                <w:tcMar>
                  <w:top w:w="60" w:type="dxa"/>
                  <w:left w:w="100" w:type="dxa"/>
                  <w:bottom w:w="60" w:type="dxa"/>
                  <w:right w:w="100" w:type="dxa"/>
                </w:tcMar>
              </w:tcPr>
            </w:tcPrChange>
          </w:tcPr>
          <w:p w14:paraId="2F16A259" w14:textId="77777777" w:rsidR="00C80EA4" w:rsidRPr="00020F91" w:rsidRDefault="00C80EA4" w:rsidP="00020F91">
            <w:pPr>
              <w:pStyle w:val="CBDTableNormal"/>
              <w:bidi/>
              <w:jc w:val="right"/>
              <w:rPr>
                <w:rtl/>
              </w:rPr>
            </w:pPr>
            <w:r>
              <w:t>0.93</w:t>
            </w:r>
          </w:p>
        </w:tc>
        <w:tc>
          <w:tcPr>
            <w:tcW w:w="1418" w:type="dxa"/>
            <w:tcMar>
              <w:top w:w="60" w:type="dxa"/>
              <w:left w:w="100" w:type="dxa"/>
              <w:bottom w:w="60" w:type="dxa"/>
              <w:right w:w="100" w:type="dxa"/>
            </w:tcMar>
            <w:tcPrChange w:id="34" w:author="Johanna Stansfield" w:date="2026-09-21T09:02:00Z" w16du:dateUtc="2026-09-21T13:02:00Z">
              <w:tcPr>
                <w:tcW w:w="1418" w:type="dxa"/>
                <w:tcMar>
                  <w:top w:w="60" w:type="dxa"/>
                  <w:left w:w="100" w:type="dxa"/>
                  <w:bottom w:w="60" w:type="dxa"/>
                  <w:right w:w="100" w:type="dxa"/>
                </w:tcMar>
              </w:tcPr>
            </w:tcPrChange>
          </w:tcPr>
          <w:p w14:paraId="125F0BAC" w14:textId="7533AC2C" w:rsidR="00C80EA4" w:rsidRPr="00020F91" w:rsidRDefault="00C80EA4" w:rsidP="00020F91">
            <w:pPr>
              <w:pStyle w:val="CBDTableNormal"/>
              <w:bidi/>
              <w:jc w:val="right"/>
              <w:rPr>
                <w:rtl/>
              </w:rPr>
            </w:pPr>
            <w:r>
              <w:t>0.59–1.30</w:t>
            </w:r>
          </w:p>
        </w:tc>
        <w:tc>
          <w:tcPr>
            <w:tcW w:w="1300" w:type="dxa"/>
            <w:tcMar>
              <w:top w:w="60" w:type="dxa"/>
              <w:left w:w="100" w:type="dxa"/>
              <w:bottom w:w="60" w:type="dxa"/>
              <w:right w:w="100" w:type="dxa"/>
            </w:tcMar>
            <w:tcPrChange w:id="35" w:author="Johanna Stansfield" w:date="2026-09-21T09:02:00Z" w16du:dateUtc="2026-09-21T13:02:00Z">
              <w:tcPr>
                <w:tcW w:w="1300" w:type="dxa"/>
                <w:tcMar>
                  <w:top w:w="60" w:type="dxa"/>
                  <w:left w:w="100" w:type="dxa"/>
                  <w:bottom w:w="60" w:type="dxa"/>
                  <w:right w:w="100" w:type="dxa"/>
                </w:tcMar>
              </w:tcPr>
            </w:tcPrChange>
          </w:tcPr>
          <w:p w14:paraId="634F8911" w14:textId="5A6100DB" w:rsidR="00C80EA4" w:rsidRPr="00020F91" w:rsidRDefault="00C80EA4" w:rsidP="00020F91">
            <w:pPr>
              <w:pStyle w:val="CBDTableNormal"/>
              <w:bidi/>
              <w:jc w:val="right"/>
              <w:rPr>
                <w:rtl/>
              </w:rPr>
            </w:pPr>
            <w:r>
              <w:t>25.5</w:t>
            </w:r>
          </w:p>
        </w:tc>
        <w:tc>
          <w:tcPr>
            <w:tcW w:w="1393" w:type="dxa"/>
            <w:tcMar>
              <w:top w:w="60" w:type="dxa"/>
              <w:left w:w="100" w:type="dxa"/>
              <w:bottom w:w="60" w:type="dxa"/>
              <w:right w:w="100" w:type="dxa"/>
            </w:tcMar>
            <w:tcPrChange w:id="36" w:author="Johanna Stansfield" w:date="2026-09-21T09:02:00Z" w16du:dateUtc="2026-09-21T13:02:00Z">
              <w:tcPr>
                <w:tcW w:w="1393" w:type="dxa"/>
                <w:tcMar>
                  <w:top w:w="60" w:type="dxa"/>
                  <w:left w:w="100" w:type="dxa"/>
                  <w:bottom w:w="60" w:type="dxa"/>
                  <w:right w:w="100" w:type="dxa"/>
                </w:tcMar>
              </w:tcPr>
            </w:tcPrChange>
          </w:tcPr>
          <w:p w14:paraId="7D4A4B3B" w14:textId="77777777" w:rsidR="00C80EA4" w:rsidRPr="00020F91" w:rsidRDefault="00C80EA4" w:rsidP="00020F91">
            <w:pPr>
              <w:pStyle w:val="CBDTableNormal"/>
              <w:bidi/>
              <w:jc w:val="right"/>
              <w:rPr>
                <w:rtl/>
              </w:rPr>
            </w:pPr>
            <w:r>
              <w:t>4.4</w:t>
            </w:r>
          </w:p>
        </w:tc>
        <w:tc>
          <w:tcPr>
            <w:tcW w:w="1314" w:type="dxa"/>
            <w:tcMar>
              <w:top w:w="60" w:type="dxa"/>
              <w:left w:w="100" w:type="dxa"/>
              <w:bottom w:w="60" w:type="dxa"/>
              <w:right w:w="100" w:type="dxa"/>
            </w:tcMar>
            <w:tcPrChange w:id="37" w:author="Johanna Stansfield" w:date="2026-09-21T09:02:00Z" w16du:dateUtc="2026-09-21T13:02:00Z">
              <w:tcPr>
                <w:tcW w:w="1314" w:type="dxa"/>
                <w:tcMar>
                  <w:top w:w="60" w:type="dxa"/>
                  <w:left w:w="100" w:type="dxa"/>
                  <w:bottom w:w="60" w:type="dxa"/>
                  <w:right w:w="100" w:type="dxa"/>
                </w:tcMar>
              </w:tcPr>
            </w:tcPrChange>
          </w:tcPr>
          <w:p w14:paraId="26351284" w14:textId="77777777" w:rsidR="00C80EA4" w:rsidRPr="00020F91" w:rsidRDefault="00C80EA4" w:rsidP="00020F91">
            <w:pPr>
              <w:pStyle w:val="CBDTableNormal"/>
              <w:bidi/>
              <w:jc w:val="right"/>
              <w:rPr>
                <w:rtl/>
              </w:rPr>
            </w:pPr>
            <w:r>
              <w:t>8.2</w:t>
            </w:r>
          </w:p>
        </w:tc>
      </w:tr>
      <w:tr w:rsidR="00C80EA4" w:rsidRPr="00827DA6" w14:paraId="2042E9CD" w14:textId="77777777" w:rsidTr="0099284D">
        <w:tc>
          <w:tcPr>
            <w:tcW w:w="2268" w:type="dxa"/>
            <w:tcMar>
              <w:top w:w="60" w:type="dxa"/>
              <w:left w:w="100" w:type="dxa"/>
              <w:bottom w:w="60" w:type="dxa"/>
              <w:right w:w="100" w:type="dxa"/>
            </w:tcMar>
            <w:tcPrChange w:id="38" w:author="Johanna Stansfield" w:date="2026-09-21T09:02:00Z" w16du:dateUtc="2026-09-21T13:02:00Z">
              <w:tcPr>
                <w:tcW w:w="2268" w:type="dxa"/>
                <w:tcMar>
                  <w:top w:w="60" w:type="dxa"/>
                  <w:left w:w="100" w:type="dxa"/>
                  <w:bottom w:w="60" w:type="dxa"/>
                  <w:right w:w="100" w:type="dxa"/>
                </w:tcMar>
              </w:tcPr>
            </w:tcPrChange>
          </w:tcPr>
          <w:p w14:paraId="68B5E9DE" w14:textId="2F98BE07" w:rsidR="00C80EA4" w:rsidRPr="00827DA6" w:rsidRDefault="00C80EA4" w:rsidP="00C80EA4">
            <w:pPr>
              <w:pStyle w:val="CBDTableNormal"/>
              <w:bidi/>
              <w:rPr>
                <w:rtl/>
              </w:rPr>
            </w:pPr>
            <w:r>
              <w:rPr>
                <w:rtl/>
              </w:rPr>
              <w:t>السيناريو 4- الاستيعاب التدريجي(ج)</w:t>
            </w:r>
          </w:p>
        </w:tc>
        <w:tc>
          <w:tcPr>
            <w:tcW w:w="1275" w:type="dxa"/>
            <w:tcMar>
              <w:top w:w="60" w:type="dxa"/>
              <w:left w:w="100" w:type="dxa"/>
              <w:bottom w:w="60" w:type="dxa"/>
              <w:right w:w="100" w:type="dxa"/>
            </w:tcMar>
            <w:tcPrChange w:id="39" w:author="Johanna Stansfield" w:date="2026-09-21T09:02:00Z" w16du:dateUtc="2026-09-21T13:02:00Z">
              <w:tcPr>
                <w:tcW w:w="1275" w:type="dxa"/>
                <w:tcMar>
                  <w:top w:w="60" w:type="dxa"/>
                  <w:left w:w="100" w:type="dxa"/>
                  <w:bottom w:w="60" w:type="dxa"/>
                  <w:right w:w="100" w:type="dxa"/>
                </w:tcMar>
              </w:tcPr>
            </w:tcPrChange>
          </w:tcPr>
          <w:p w14:paraId="25D9C9A2" w14:textId="6510C54B" w:rsidR="00C80EA4" w:rsidRPr="00E90B20" w:rsidRDefault="003434DA" w:rsidP="003434DA">
            <w:pPr>
              <w:pStyle w:val="CBDTableNormal"/>
              <w:bidi/>
              <w:jc w:val="right"/>
              <w:rPr>
                <w:rtl/>
              </w:rPr>
            </w:pPr>
            <w:r w:rsidRPr="003434DA">
              <w:rPr>
                <w:rtl/>
              </w:rPr>
              <w:t>لا ينطبق</w:t>
            </w:r>
          </w:p>
        </w:tc>
        <w:tc>
          <w:tcPr>
            <w:tcW w:w="1418" w:type="dxa"/>
            <w:tcMar>
              <w:top w:w="60" w:type="dxa"/>
              <w:left w:w="100" w:type="dxa"/>
              <w:bottom w:w="60" w:type="dxa"/>
              <w:right w:w="100" w:type="dxa"/>
            </w:tcMar>
            <w:tcPrChange w:id="40" w:author="Johanna Stansfield" w:date="2026-09-21T09:02:00Z" w16du:dateUtc="2026-09-21T13:02:00Z">
              <w:tcPr>
                <w:tcW w:w="1418" w:type="dxa"/>
                <w:tcMar>
                  <w:top w:w="60" w:type="dxa"/>
                  <w:left w:w="100" w:type="dxa"/>
                  <w:bottom w:w="60" w:type="dxa"/>
                  <w:right w:w="100" w:type="dxa"/>
                </w:tcMar>
              </w:tcPr>
            </w:tcPrChange>
          </w:tcPr>
          <w:p w14:paraId="2F19197B" w14:textId="3D1842B1" w:rsidR="00C80EA4" w:rsidRPr="00E90B20" w:rsidRDefault="003434DA" w:rsidP="003434DA">
            <w:pPr>
              <w:pStyle w:val="CBDTableNormal"/>
              <w:bidi/>
              <w:jc w:val="right"/>
              <w:rPr>
                <w:rtl/>
              </w:rPr>
            </w:pPr>
            <w:r w:rsidRPr="003434DA">
              <w:rPr>
                <w:rtl/>
              </w:rPr>
              <w:t>لا ينطبق</w:t>
            </w:r>
          </w:p>
        </w:tc>
        <w:tc>
          <w:tcPr>
            <w:tcW w:w="1300" w:type="dxa"/>
            <w:tcMar>
              <w:top w:w="60" w:type="dxa"/>
              <w:left w:w="100" w:type="dxa"/>
              <w:bottom w:w="60" w:type="dxa"/>
              <w:right w:w="100" w:type="dxa"/>
            </w:tcMar>
            <w:tcPrChange w:id="41" w:author="Johanna Stansfield" w:date="2026-09-21T09:02:00Z" w16du:dateUtc="2026-09-21T13:02:00Z">
              <w:tcPr>
                <w:tcW w:w="1300" w:type="dxa"/>
                <w:tcMar>
                  <w:top w:w="60" w:type="dxa"/>
                  <w:left w:w="100" w:type="dxa"/>
                  <w:bottom w:w="60" w:type="dxa"/>
                  <w:right w:w="100" w:type="dxa"/>
                </w:tcMar>
              </w:tcPr>
            </w:tcPrChange>
          </w:tcPr>
          <w:p w14:paraId="70F33E0D" w14:textId="37003437" w:rsidR="00C80EA4" w:rsidRPr="00E90B20" w:rsidRDefault="003434DA" w:rsidP="00020F91">
            <w:pPr>
              <w:pStyle w:val="CBDTableNormal"/>
              <w:bidi/>
              <w:jc w:val="right"/>
              <w:rPr>
                <w:rtl/>
              </w:rPr>
            </w:pPr>
            <w:r>
              <w:rPr>
                <w:rFonts w:hint="cs"/>
                <w:rtl/>
              </w:rPr>
              <w:t>لا ينطبق</w:t>
            </w:r>
          </w:p>
        </w:tc>
        <w:tc>
          <w:tcPr>
            <w:tcW w:w="1393" w:type="dxa"/>
            <w:tcMar>
              <w:top w:w="60" w:type="dxa"/>
              <w:left w:w="100" w:type="dxa"/>
              <w:bottom w:w="60" w:type="dxa"/>
              <w:right w:w="100" w:type="dxa"/>
            </w:tcMar>
            <w:tcPrChange w:id="42" w:author="Johanna Stansfield" w:date="2026-09-21T09:02:00Z" w16du:dateUtc="2026-09-21T13:02:00Z">
              <w:tcPr>
                <w:tcW w:w="1393" w:type="dxa"/>
                <w:tcMar>
                  <w:top w:w="60" w:type="dxa"/>
                  <w:left w:w="100" w:type="dxa"/>
                  <w:bottom w:w="60" w:type="dxa"/>
                  <w:right w:w="100" w:type="dxa"/>
                </w:tcMar>
              </w:tcPr>
            </w:tcPrChange>
          </w:tcPr>
          <w:p w14:paraId="3EA065AB" w14:textId="77777777" w:rsidR="00C80EA4" w:rsidRPr="00E90B20" w:rsidRDefault="00C80EA4" w:rsidP="00020F91">
            <w:pPr>
              <w:pStyle w:val="CBDTableNormal"/>
              <w:bidi/>
              <w:jc w:val="right"/>
              <w:rPr>
                <w:rtl/>
              </w:rPr>
            </w:pPr>
            <w:r>
              <w:t>1.3</w:t>
            </w:r>
          </w:p>
        </w:tc>
        <w:tc>
          <w:tcPr>
            <w:tcW w:w="1314" w:type="dxa"/>
            <w:tcMar>
              <w:top w:w="60" w:type="dxa"/>
              <w:left w:w="100" w:type="dxa"/>
              <w:bottom w:w="60" w:type="dxa"/>
              <w:right w:w="100" w:type="dxa"/>
            </w:tcMar>
            <w:tcPrChange w:id="43" w:author="Johanna Stansfield" w:date="2026-09-21T09:02:00Z" w16du:dateUtc="2026-09-21T13:02:00Z">
              <w:tcPr>
                <w:tcW w:w="1314" w:type="dxa"/>
                <w:tcMar>
                  <w:top w:w="60" w:type="dxa"/>
                  <w:left w:w="100" w:type="dxa"/>
                  <w:bottom w:w="60" w:type="dxa"/>
                  <w:right w:w="100" w:type="dxa"/>
                </w:tcMar>
              </w:tcPr>
            </w:tcPrChange>
          </w:tcPr>
          <w:p w14:paraId="2A692F28" w14:textId="77777777" w:rsidR="00C80EA4" w:rsidRPr="00827DA6" w:rsidRDefault="00C80EA4" w:rsidP="00020F91">
            <w:pPr>
              <w:pStyle w:val="CBDTableNormal"/>
              <w:bidi/>
              <w:jc w:val="right"/>
              <w:rPr>
                <w:rtl/>
              </w:rPr>
            </w:pPr>
            <w:r>
              <w:t>4.3</w:t>
            </w:r>
          </w:p>
        </w:tc>
      </w:tr>
    </w:tbl>
    <w:p w14:paraId="38C7F204" w14:textId="6C9FE8B1" w:rsidR="00C216DE" w:rsidRDefault="00CD3975" w:rsidP="00A73E9E">
      <w:pPr>
        <w:pStyle w:val="CBDFooter"/>
        <w:bidi/>
        <w:ind w:left="567"/>
        <w:rPr>
          <w:rtl/>
        </w:rPr>
      </w:pPr>
      <w:r>
        <w:rPr>
          <w:i/>
          <w:iCs/>
        </w:rPr>
        <w:tab/>
      </w:r>
      <w:r>
        <w:rPr>
          <w:i/>
          <w:iCs/>
          <w:rtl/>
        </w:rPr>
        <w:t xml:space="preserve">المصدر: Agata Makowska-Curran, From Global Biodiversity Commitments to Local Action: Revenue Potential and Allocation Dynamics of the </w:t>
      </w:r>
      <w:proofErr w:type="spellStart"/>
      <w:r>
        <w:rPr>
          <w:i/>
          <w:iCs/>
          <w:rtl/>
        </w:rPr>
        <w:t>Cali</w:t>
      </w:r>
      <w:proofErr w:type="spellEnd"/>
      <w:r>
        <w:rPr>
          <w:i/>
          <w:iCs/>
          <w:rtl/>
        </w:rPr>
        <w:t xml:space="preserve"> </w:t>
      </w:r>
      <w:proofErr w:type="spellStart"/>
      <w:r>
        <w:rPr>
          <w:i/>
          <w:iCs/>
          <w:rtl/>
        </w:rPr>
        <w:t>Fund</w:t>
      </w:r>
      <w:proofErr w:type="spellEnd"/>
      <w:r>
        <w:rPr>
          <w:i/>
          <w:iCs/>
          <w:rtl/>
        </w:rPr>
        <w:t xml:space="preserve">, ورقة </w:t>
      </w:r>
      <w:r w:rsidR="003434DA">
        <w:rPr>
          <w:rFonts w:hint="cs"/>
          <w:i/>
          <w:iCs/>
          <w:rtl/>
        </w:rPr>
        <w:t>ال</w:t>
      </w:r>
      <w:r>
        <w:rPr>
          <w:i/>
          <w:iCs/>
          <w:rtl/>
        </w:rPr>
        <w:t>عمل رقم 450 (معهد غرانثام لبحوث تغير المناخ والبيئة، يونيو/حزيران 2026).</w:t>
      </w:r>
    </w:p>
    <w:p w14:paraId="283263B9" w14:textId="14F334BE" w:rsidR="00711920" w:rsidRDefault="00B40D16" w:rsidP="003434DA">
      <w:pPr>
        <w:pStyle w:val="CBDFooter"/>
        <w:bidi/>
        <w:ind w:left="567"/>
        <w:rPr>
          <w:rtl/>
        </w:rPr>
      </w:pPr>
      <w:r>
        <w:rPr>
          <w:i/>
          <w:iCs/>
        </w:rPr>
        <w:tab/>
      </w:r>
      <w:r w:rsidR="00711920">
        <w:rPr>
          <w:vertAlign w:val="superscript"/>
          <w:rtl/>
        </w:rPr>
        <w:t xml:space="preserve">(أ) </w:t>
      </w:r>
      <w:r w:rsidR="00711920" w:rsidRPr="003434DA">
        <w:rPr>
          <w:rtl/>
        </w:rPr>
        <w:t xml:space="preserve">بمليارات </w:t>
      </w:r>
      <w:r w:rsidR="003434DA" w:rsidRPr="003434DA">
        <w:rPr>
          <w:rFonts w:hint="cs"/>
          <w:rtl/>
        </w:rPr>
        <w:t>الدولارات الأمريكية</w:t>
      </w:r>
      <w:r w:rsidR="00711920" w:rsidRPr="003434DA">
        <w:rPr>
          <w:rtl/>
        </w:rPr>
        <w:t>.</w:t>
      </w:r>
      <w:r w:rsidR="00711920">
        <w:rPr>
          <w:vertAlign w:val="superscript"/>
          <w:rtl/>
        </w:rPr>
        <w:t xml:space="preserve"> </w:t>
      </w:r>
    </w:p>
    <w:p w14:paraId="2FABC7A8" w14:textId="5A275BCE" w:rsidR="00C216DE" w:rsidRDefault="00C216DE">
      <w:pPr>
        <w:pStyle w:val="CBDFooter"/>
        <w:bidi/>
        <w:ind w:left="567"/>
        <w:rPr>
          <w:rtl/>
        </w:rPr>
      </w:pPr>
      <w:r>
        <w:rPr>
          <w:vertAlign w:val="superscript"/>
        </w:rPr>
        <w:tab/>
      </w:r>
      <w:r>
        <w:rPr>
          <w:vertAlign w:val="superscript"/>
          <w:rtl/>
        </w:rPr>
        <w:t xml:space="preserve">(ب) </w:t>
      </w:r>
      <w:r w:rsidRPr="003434DA">
        <w:rPr>
          <w:rtl/>
        </w:rPr>
        <w:t xml:space="preserve">صافي القيمة الحالية بمعدل خصم قدره 3 في </w:t>
      </w:r>
      <w:proofErr w:type="gramStart"/>
      <w:r w:rsidRPr="003434DA">
        <w:rPr>
          <w:rtl/>
        </w:rPr>
        <w:t>المائة</w:t>
      </w:r>
      <w:proofErr w:type="gramEnd"/>
      <w:r w:rsidRPr="003434DA">
        <w:rPr>
          <w:rtl/>
        </w:rPr>
        <w:t>.</w:t>
      </w:r>
    </w:p>
    <w:p w14:paraId="3956765C" w14:textId="32F9D2FE" w:rsidR="00C216DE" w:rsidRDefault="00C216DE">
      <w:pPr>
        <w:pStyle w:val="CBDFooter"/>
        <w:bidi/>
        <w:ind w:left="567"/>
        <w:rPr>
          <w:rtl/>
        </w:rPr>
      </w:pPr>
      <w:r>
        <w:rPr>
          <w:vertAlign w:val="superscript"/>
        </w:rPr>
        <w:tab/>
      </w:r>
      <w:r>
        <w:rPr>
          <w:vertAlign w:val="superscript"/>
          <w:rtl/>
        </w:rPr>
        <w:t xml:space="preserve">(ج) </w:t>
      </w:r>
      <w:r w:rsidRPr="003434DA">
        <w:rPr>
          <w:rtl/>
        </w:rPr>
        <w:t xml:space="preserve">يطبق السيناريو 4 معامِل مشاركة يرتفع خطيا من 10 في </w:t>
      </w:r>
      <w:proofErr w:type="gramStart"/>
      <w:r w:rsidRPr="003434DA">
        <w:rPr>
          <w:rtl/>
        </w:rPr>
        <w:t>المائة</w:t>
      </w:r>
      <w:proofErr w:type="gramEnd"/>
      <w:r w:rsidRPr="003434DA">
        <w:rPr>
          <w:rtl/>
        </w:rPr>
        <w:t xml:space="preserve"> من معدلات السيناريو 3 في عام 2026 إلى 100 في </w:t>
      </w:r>
      <w:proofErr w:type="gramStart"/>
      <w:r w:rsidRPr="003434DA">
        <w:rPr>
          <w:rtl/>
        </w:rPr>
        <w:t>المائة</w:t>
      </w:r>
      <w:proofErr w:type="gramEnd"/>
      <w:r w:rsidRPr="003434DA">
        <w:rPr>
          <w:rtl/>
        </w:rPr>
        <w:t xml:space="preserve"> بحلول عام 2035.</w:t>
      </w:r>
      <w:r>
        <w:rPr>
          <w:vertAlign w:val="superscript"/>
          <w:rtl/>
        </w:rPr>
        <w:t xml:space="preserve"> </w:t>
      </w:r>
    </w:p>
    <w:p w14:paraId="6D687832" w14:textId="098C5D03" w:rsidR="00C80EA4" w:rsidRPr="00B30F06" w:rsidRDefault="00C80EA4" w:rsidP="001238B7">
      <w:pPr>
        <w:pStyle w:val="CBDNormalNumber"/>
        <w:numPr>
          <w:ilvl w:val="0"/>
          <w:numId w:val="15"/>
        </w:numPr>
        <w:bidi/>
        <w:rPr>
          <w:sz w:val="20"/>
          <w:szCs w:val="24"/>
          <w:rtl/>
        </w:rPr>
      </w:pPr>
      <w:r w:rsidRPr="00B30F06">
        <w:rPr>
          <w:sz w:val="20"/>
          <w:szCs w:val="24"/>
          <w:rtl/>
        </w:rPr>
        <w:t>و</w:t>
      </w:r>
      <w:r w:rsidR="00592CA1" w:rsidRPr="00B30F06">
        <w:rPr>
          <w:rFonts w:hint="cs"/>
          <w:sz w:val="20"/>
          <w:szCs w:val="24"/>
          <w:rtl/>
        </w:rPr>
        <w:t xml:space="preserve">تُظهر </w:t>
      </w:r>
      <w:r w:rsidRPr="00B30F06">
        <w:rPr>
          <w:sz w:val="20"/>
          <w:szCs w:val="24"/>
          <w:rtl/>
        </w:rPr>
        <w:t xml:space="preserve">الإيرادات </w:t>
      </w:r>
      <w:r w:rsidR="007445A2" w:rsidRPr="00B30F06">
        <w:rPr>
          <w:rFonts w:hint="cs"/>
          <w:sz w:val="20"/>
          <w:szCs w:val="24"/>
          <w:rtl/>
        </w:rPr>
        <w:t>النموذجية</w:t>
      </w:r>
      <w:r w:rsidRPr="00B30F06">
        <w:rPr>
          <w:sz w:val="20"/>
          <w:szCs w:val="24"/>
          <w:rtl/>
        </w:rPr>
        <w:t xml:space="preserve"> في إطار السيناريوهات </w:t>
      </w:r>
      <w:r w:rsidR="00592CA1" w:rsidRPr="00B30F06">
        <w:rPr>
          <w:rFonts w:hint="cs"/>
          <w:sz w:val="20"/>
          <w:szCs w:val="24"/>
          <w:rtl/>
        </w:rPr>
        <w:t>تركّزا عالياً</w:t>
      </w:r>
      <w:r w:rsidRPr="00B30F06">
        <w:rPr>
          <w:sz w:val="20"/>
          <w:szCs w:val="24"/>
          <w:rtl/>
        </w:rPr>
        <w:t xml:space="preserve">. </w:t>
      </w:r>
      <w:r w:rsidR="00592CA1" w:rsidRPr="00B30F06">
        <w:rPr>
          <w:sz w:val="20"/>
          <w:szCs w:val="24"/>
          <w:rtl/>
        </w:rPr>
        <w:t>إذ تُشكّل</w:t>
      </w:r>
      <w:r w:rsidR="00592CA1" w:rsidRPr="00B30F06">
        <w:rPr>
          <w:rFonts w:hint="cs"/>
          <w:sz w:val="20"/>
          <w:szCs w:val="24"/>
          <w:rtl/>
        </w:rPr>
        <w:t xml:space="preserve"> </w:t>
      </w:r>
      <w:r w:rsidRPr="00B30F06">
        <w:rPr>
          <w:sz w:val="20"/>
          <w:szCs w:val="24"/>
          <w:rtl/>
        </w:rPr>
        <w:t xml:space="preserve">المستحضرات الصيدلانية وخدمات المعلومات والذكاء الاصطناعي معا </w:t>
      </w:r>
      <w:r w:rsidR="00592CA1" w:rsidRPr="00B30F06">
        <w:rPr>
          <w:rFonts w:hint="cs"/>
          <w:sz w:val="20"/>
          <w:szCs w:val="24"/>
          <w:rtl/>
        </w:rPr>
        <w:t>ما يقارب</w:t>
      </w:r>
      <w:r w:rsidRPr="00B30F06">
        <w:rPr>
          <w:sz w:val="20"/>
          <w:szCs w:val="24"/>
          <w:rtl/>
        </w:rPr>
        <w:t xml:space="preserve"> نصف مساهمات الامتثال الكامل، رغم أنها لا تمثل سوى 40 في </w:t>
      </w:r>
      <w:proofErr w:type="gramStart"/>
      <w:r w:rsidRPr="00B30F06">
        <w:rPr>
          <w:sz w:val="20"/>
          <w:szCs w:val="24"/>
          <w:rtl/>
        </w:rPr>
        <w:t>المائة</w:t>
      </w:r>
      <w:proofErr w:type="gramEnd"/>
      <w:r w:rsidRPr="00B30F06">
        <w:rPr>
          <w:sz w:val="20"/>
          <w:szCs w:val="24"/>
          <w:rtl/>
        </w:rPr>
        <w:t xml:space="preserve"> من الشركات المؤهلة؛ وفي </w:t>
      </w:r>
      <w:r w:rsidR="00592CA1" w:rsidRPr="00B30F06">
        <w:rPr>
          <w:rFonts w:hint="cs"/>
          <w:sz w:val="20"/>
          <w:szCs w:val="24"/>
          <w:rtl/>
        </w:rPr>
        <w:t>ظل</w:t>
      </w:r>
      <w:r w:rsidRPr="00B30F06">
        <w:rPr>
          <w:sz w:val="20"/>
          <w:szCs w:val="24"/>
          <w:rtl/>
        </w:rPr>
        <w:t xml:space="preserve"> افتراضات </w:t>
      </w:r>
      <w:r w:rsidR="00592CA1" w:rsidRPr="00B30F06">
        <w:rPr>
          <w:rFonts w:hint="cs"/>
          <w:sz w:val="20"/>
          <w:szCs w:val="24"/>
          <w:rtl/>
        </w:rPr>
        <w:t>ال</w:t>
      </w:r>
      <w:r w:rsidRPr="00B30F06">
        <w:rPr>
          <w:sz w:val="20"/>
          <w:szCs w:val="24"/>
          <w:rtl/>
        </w:rPr>
        <w:t xml:space="preserve">مشاركة </w:t>
      </w:r>
      <w:r w:rsidR="00592CA1" w:rsidRPr="00B30F06">
        <w:rPr>
          <w:rFonts w:hint="cs"/>
          <w:sz w:val="20"/>
          <w:szCs w:val="24"/>
          <w:rtl/>
        </w:rPr>
        <w:t>ال</w:t>
      </w:r>
      <w:r w:rsidRPr="00B30F06">
        <w:rPr>
          <w:sz w:val="20"/>
          <w:szCs w:val="24"/>
          <w:rtl/>
        </w:rPr>
        <w:t xml:space="preserve">واقعية، تمثل شركات المستحضرات الصيدلانية وحدها 49.6 في </w:t>
      </w:r>
      <w:proofErr w:type="gramStart"/>
      <w:r w:rsidRPr="00B30F06">
        <w:rPr>
          <w:sz w:val="20"/>
          <w:szCs w:val="24"/>
          <w:rtl/>
        </w:rPr>
        <w:t>المائة</w:t>
      </w:r>
      <w:proofErr w:type="gramEnd"/>
      <w:r w:rsidRPr="00B30F06">
        <w:rPr>
          <w:sz w:val="20"/>
          <w:szCs w:val="24"/>
          <w:rtl/>
        </w:rPr>
        <w:t xml:space="preserve"> من المساهمات، </w:t>
      </w:r>
      <w:r w:rsidR="00592CA1" w:rsidRPr="00B30F06">
        <w:rPr>
          <w:rFonts w:hint="cs"/>
          <w:sz w:val="20"/>
          <w:szCs w:val="24"/>
          <w:rtl/>
        </w:rPr>
        <w:t>نظرا</w:t>
      </w:r>
      <w:r w:rsidRPr="00B30F06">
        <w:rPr>
          <w:sz w:val="20"/>
          <w:szCs w:val="24"/>
          <w:rtl/>
        </w:rPr>
        <w:t xml:space="preserve"> </w:t>
      </w:r>
      <w:r w:rsidR="00592CA1" w:rsidRPr="00B30F06">
        <w:rPr>
          <w:rFonts w:hint="cs"/>
          <w:sz w:val="20"/>
          <w:szCs w:val="24"/>
          <w:rtl/>
        </w:rPr>
        <w:t>ل</w:t>
      </w:r>
      <w:r w:rsidRPr="00B30F06">
        <w:rPr>
          <w:sz w:val="20"/>
          <w:szCs w:val="24"/>
          <w:rtl/>
        </w:rPr>
        <w:t xml:space="preserve">ارتفاع </w:t>
      </w:r>
      <w:r w:rsidR="00592CA1" w:rsidRPr="00B30F06">
        <w:rPr>
          <w:rFonts w:hint="cs"/>
          <w:sz w:val="20"/>
          <w:szCs w:val="24"/>
          <w:rtl/>
        </w:rPr>
        <w:t>نسبة مشاركتها</w:t>
      </w:r>
      <w:r w:rsidRPr="00B30F06">
        <w:rPr>
          <w:sz w:val="20"/>
          <w:szCs w:val="24"/>
          <w:rtl/>
        </w:rPr>
        <w:t xml:space="preserve"> وارتفاع كثافة استخدام معلومات التسلسل الرقمي بشأن الموارد الجينية ووجود قاعدة إيرادات مستقرة من الجهات </w:t>
      </w:r>
      <w:r w:rsidR="00592CA1" w:rsidRPr="00B30F06">
        <w:rPr>
          <w:rFonts w:hint="cs"/>
          <w:sz w:val="20"/>
          <w:szCs w:val="24"/>
          <w:rtl/>
        </w:rPr>
        <w:t>الممولة</w:t>
      </w:r>
      <w:r w:rsidRPr="00B30F06">
        <w:rPr>
          <w:sz w:val="20"/>
          <w:szCs w:val="24"/>
          <w:rtl/>
        </w:rPr>
        <w:t xml:space="preserve">، في حين تنخفض حصة المعلومات والذكاء الاصطناعي إلى 11.1 في </w:t>
      </w:r>
      <w:proofErr w:type="gramStart"/>
      <w:r w:rsidRPr="00B30F06">
        <w:rPr>
          <w:sz w:val="20"/>
          <w:szCs w:val="24"/>
          <w:rtl/>
        </w:rPr>
        <w:t>المائة</w:t>
      </w:r>
      <w:proofErr w:type="gramEnd"/>
      <w:r w:rsidRPr="00B30F06">
        <w:rPr>
          <w:sz w:val="20"/>
          <w:szCs w:val="24"/>
          <w:rtl/>
        </w:rPr>
        <w:t xml:space="preserve">. وعلى مستوى الشركات، يمثل أكبر 10 مساهمين ما بين 8.6 و12.2 في </w:t>
      </w:r>
      <w:proofErr w:type="gramStart"/>
      <w:r w:rsidRPr="00B30F06">
        <w:rPr>
          <w:sz w:val="20"/>
          <w:szCs w:val="24"/>
          <w:rtl/>
        </w:rPr>
        <w:t>المائة</w:t>
      </w:r>
      <w:proofErr w:type="gramEnd"/>
      <w:r w:rsidRPr="00B30F06">
        <w:rPr>
          <w:sz w:val="20"/>
          <w:szCs w:val="24"/>
          <w:rtl/>
        </w:rPr>
        <w:t xml:space="preserve"> من مجموع المساهمات، تبعا لسيناريو المشاركة. ومن الناحية الجغرافية، تمثل أكبر 10 ولايات قضائية مساهِمة ما يقدَّر بنحو 74 في </w:t>
      </w:r>
      <w:proofErr w:type="gramStart"/>
      <w:r w:rsidRPr="00B30F06">
        <w:rPr>
          <w:sz w:val="20"/>
          <w:szCs w:val="24"/>
          <w:rtl/>
        </w:rPr>
        <w:t>المائة</w:t>
      </w:r>
      <w:proofErr w:type="gramEnd"/>
      <w:r w:rsidRPr="00B30F06">
        <w:rPr>
          <w:sz w:val="20"/>
          <w:szCs w:val="24"/>
          <w:rtl/>
        </w:rPr>
        <w:t xml:space="preserve"> من إيرادات السيناريو المركزي، </w:t>
      </w:r>
      <w:r w:rsidR="00592CA1" w:rsidRPr="00B30F06">
        <w:rPr>
          <w:rFonts w:hint="cs"/>
          <w:sz w:val="20"/>
          <w:szCs w:val="24"/>
          <w:rtl/>
        </w:rPr>
        <w:t>حيث تمثل</w:t>
      </w:r>
      <w:r w:rsidRPr="00B30F06">
        <w:rPr>
          <w:sz w:val="20"/>
          <w:szCs w:val="24"/>
          <w:rtl/>
        </w:rPr>
        <w:t xml:space="preserve"> الصين وحدها 26.6 في </w:t>
      </w:r>
      <w:proofErr w:type="gramStart"/>
      <w:r w:rsidRPr="00B30F06">
        <w:rPr>
          <w:sz w:val="20"/>
          <w:szCs w:val="24"/>
          <w:rtl/>
        </w:rPr>
        <w:t>المائة</w:t>
      </w:r>
      <w:proofErr w:type="gramEnd"/>
      <w:r w:rsidRPr="00B30F06">
        <w:rPr>
          <w:sz w:val="20"/>
          <w:szCs w:val="24"/>
          <w:rtl/>
        </w:rPr>
        <w:t xml:space="preserve">؛ وتعكس هذه الأرقام الولاية القضائية التي سُجلت فيها الشركة وينبغي أن تُقرأ باعتبارها إرشادية. ويعكس هذا التركز الأنماط الحالية لاستخدام معلومات التسلسل الرقمي بشأن الموارد الجينية في القطاعات السبعة المدرجة في الضميمة الأولى بمرفق المقرر </w:t>
      </w:r>
      <w:hyperlink r:id="rId34" w:history="1">
        <w:r w:rsidR="00592CA1" w:rsidRPr="00B30F06">
          <w:rPr>
            <w:rStyle w:val="Hyperlink"/>
            <w:rFonts w:hint="cs"/>
            <w:sz w:val="20"/>
            <w:szCs w:val="24"/>
            <w:rtl/>
          </w:rPr>
          <w:t>16/2</w:t>
        </w:r>
      </w:hyperlink>
      <w:r w:rsidRPr="00B30F06">
        <w:rPr>
          <w:sz w:val="20"/>
          <w:szCs w:val="24"/>
          <w:rtl/>
        </w:rPr>
        <w:t>، وفي النشاط الصناعي عبر الولايات القضائية، وفي الافتراضات والبيانات التي يقوم عليها هذا التحليل؛ وهو ليس سمة محددة سلفا أو دائمة للآلية. ومع توسع استخدام معلومات التسلسل الرقمي بشأن الموارد الجينية في مجالات ناشئة مثل الذكاء الاصطناعي والبيولوجيا التركيبية، ومع تطور تدابير التنفيذ الوطنية والمشاركة عقب المقررات التي يعتمدها مؤتمر الأطراف في اجتماعه السابع عشر، قد تتغير التركيبة القطاعية والتركيبة حسب الولايات القضائية لمساهمات صندوق كالي بمرور الوقت.</w:t>
      </w:r>
    </w:p>
    <w:p w14:paraId="5BD80595" w14:textId="70185219" w:rsidR="00C80EA4" w:rsidRPr="00B30F06" w:rsidRDefault="00C80EA4" w:rsidP="001238B7">
      <w:pPr>
        <w:pStyle w:val="CBDNormalNumber"/>
        <w:numPr>
          <w:ilvl w:val="0"/>
          <w:numId w:val="15"/>
        </w:numPr>
        <w:bidi/>
        <w:rPr>
          <w:sz w:val="20"/>
          <w:szCs w:val="24"/>
          <w:rtl/>
        </w:rPr>
      </w:pPr>
      <w:r w:rsidRPr="00B30F06">
        <w:rPr>
          <w:sz w:val="20"/>
          <w:szCs w:val="24"/>
          <w:rtl/>
        </w:rPr>
        <w:t xml:space="preserve">ويبين اختبار حساسية العتبات أن الإيرادات تستجيب </w:t>
      </w:r>
      <w:r w:rsidR="00487294" w:rsidRPr="00B30F06">
        <w:rPr>
          <w:sz w:val="20"/>
          <w:szCs w:val="24"/>
          <w:rtl/>
        </w:rPr>
        <w:t>بدرجة أقل بكثير لمعايرة الأهلية مقارنةً بالمشاركة</w:t>
      </w:r>
      <w:r w:rsidRPr="00B30F06">
        <w:rPr>
          <w:sz w:val="20"/>
          <w:szCs w:val="24"/>
          <w:rtl/>
        </w:rPr>
        <w:t xml:space="preserve">: فمضاعفة العتبات الثلاث جميعها ستستبعد 43.5 في </w:t>
      </w:r>
      <w:proofErr w:type="gramStart"/>
      <w:r w:rsidRPr="00B30F06">
        <w:rPr>
          <w:sz w:val="20"/>
          <w:szCs w:val="24"/>
          <w:rtl/>
        </w:rPr>
        <w:t>المائة</w:t>
      </w:r>
      <w:proofErr w:type="gramEnd"/>
      <w:r w:rsidRPr="00B30F06">
        <w:rPr>
          <w:sz w:val="20"/>
          <w:szCs w:val="24"/>
          <w:rtl/>
        </w:rPr>
        <w:t xml:space="preserve"> من الشركات </w:t>
      </w:r>
      <w:proofErr w:type="gramStart"/>
      <w:r w:rsidRPr="00B30F06">
        <w:rPr>
          <w:sz w:val="20"/>
          <w:szCs w:val="24"/>
          <w:rtl/>
        </w:rPr>
        <w:t>المؤهلة</w:t>
      </w:r>
      <w:proofErr w:type="gramEnd"/>
      <w:r w:rsidRPr="00B30F06">
        <w:rPr>
          <w:sz w:val="20"/>
          <w:szCs w:val="24"/>
          <w:rtl/>
        </w:rPr>
        <w:t xml:space="preserve"> ولكنها لن تخفض المساهمات إلا بنسبة 7.4 في </w:t>
      </w:r>
      <w:proofErr w:type="gramStart"/>
      <w:r w:rsidRPr="00B30F06">
        <w:rPr>
          <w:sz w:val="20"/>
          <w:szCs w:val="24"/>
          <w:rtl/>
        </w:rPr>
        <w:t>المائة</w:t>
      </w:r>
      <w:proofErr w:type="gramEnd"/>
      <w:r w:rsidRPr="00B30F06">
        <w:rPr>
          <w:sz w:val="20"/>
          <w:szCs w:val="24"/>
          <w:rtl/>
        </w:rPr>
        <w:t xml:space="preserve">، في حين أن خفضها إلى النصف سيزيد عدد </w:t>
      </w:r>
      <w:r w:rsidR="00487294" w:rsidRPr="00B30F06">
        <w:rPr>
          <w:rFonts w:hint="cs"/>
          <w:sz w:val="20"/>
          <w:szCs w:val="24"/>
          <w:rtl/>
        </w:rPr>
        <w:t>الشركات</w:t>
      </w:r>
      <w:r w:rsidRPr="00B30F06">
        <w:rPr>
          <w:sz w:val="20"/>
          <w:szCs w:val="24"/>
          <w:rtl/>
        </w:rPr>
        <w:t xml:space="preserve"> المؤهلة إلى أكثر من الضعف (بإضافة </w:t>
      </w:r>
      <w:r w:rsidR="00487294" w:rsidRPr="00B30F06">
        <w:rPr>
          <w:rFonts w:hint="cs"/>
          <w:sz w:val="20"/>
          <w:szCs w:val="24"/>
          <w:rtl/>
        </w:rPr>
        <w:t>14,317</w:t>
      </w:r>
      <w:r w:rsidRPr="00B30F06">
        <w:rPr>
          <w:sz w:val="20"/>
          <w:szCs w:val="24"/>
          <w:rtl/>
        </w:rPr>
        <w:t xml:space="preserve"> شركة مؤهلة) ولكنه لن يرفع المساهمات إلا بنسبة 5.5 في </w:t>
      </w:r>
      <w:proofErr w:type="gramStart"/>
      <w:r w:rsidRPr="00B30F06">
        <w:rPr>
          <w:sz w:val="20"/>
          <w:szCs w:val="24"/>
          <w:rtl/>
        </w:rPr>
        <w:t>المائة</w:t>
      </w:r>
      <w:proofErr w:type="gramEnd"/>
      <w:r w:rsidRPr="00B30F06">
        <w:rPr>
          <w:sz w:val="20"/>
          <w:szCs w:val="24"/>
          <w:rtl/>
        </w:rPr>
        <w:t>، وهو ما يعكس شدة تركز المساهمات لدى أكبر الشركات بصرف النظر عن مستوى العتبة</w:t>
      </w:r>
      <w:r w:rsidR="00487294" w:rsidRPr="00B30F06">
        <w:rPr>
          <w:rFonts w:hint="cs"/>
          <w:sz w:val="20"/>
          <w:szCs w:val="24"/>
          <w:rtl/>
        </w:rPr>
        <w:t xml:space="preserve"> المعتمدة</w:t>
      </w:r>
      <w:r w:rsidRPr="00B30F06">
        <w:rPr>
          <w:sz w:val="20"/>
          <w:szCs w:val="24"/>
          <w:rtl/>
        </w:rPr>
        <w:t>. و</w:t>
      </w:r>
      <w:r w:rsidR="00487294" w:rsidRPr="00B30F06">
        <w:rPr>
          <w:rFonts w:hint="cs"/>
          <w:sz w:val="20"/>
          <w:szCs w:val="24"/>
          <w:rtl/>
        </w:rPr>
        <w:t xml:space="preserve">تحمي </w:t>
      </w:r>
      <w:r w:rsidRPr="00B30F06">
        <w:rPr>
          <w:sz w:val="20"/>
          <w:szCs w:val="24"/>
          <w:rtl/>
        </w:rPr>
        <w:t xml:space="preserve">قاعدة </w:t>
      </w:r>
      <w:r w:rsidR="003C739C" w:rsidRPr="00B30F06">
        <w:rPr>
          <w:rFonts w:hint="cs"/>
          <w:sz w:val="20"/>
          <w:szCs w:val="24"/>
          <w:rtl/>
        </w:rPr>
        <w:t>"</w:t>
      </w:r>
      <w:r w:rsidRPr="00B30F06">
        <w:rPr>
          <w:sz w:val="20"/>
          <w:szCs w:val="24"/>
          <w:rtl/>
        </w:rPr>
        <w:t xml:space="preserve">أدنى </w:t>
      </w:r>
      <w:r w:rsidR="003C739C" w:rsidRPr="00B30F06">
        <w:rPr>
          <w:rFonts w:hint="cs"/>
          <w:sz w:val="20"/>
          <w:szCs w:val="24"/>
          <w:rtl/>
        </w:rPr>
        <w:t>المساهمتين"</w:t>
      </w:r>
      <w:r w:rsidRPr="00B30F06">
        <w:rPr>
          <w:sz w:val="20"/>
          <w:szCs w:val="24"/>
          <w:rtl/>
        </w:rPr>
        <w:t xml:space="preserve"> في صندوق كالي، التي تتيح للشركات الدفع على </w:t>
      </w:r>
      <w:r w:rsidR="003C739C" w:rsidRPr="00B30F06">
        <w:rPr>
          <w:rFonts w:hint="cs"/>
          <w:sz w:val="20"/>
          <w:szCs w:val="24"/>
          <w:rtl/>
        </w:rPr>
        <w:t>ال</w:t>
      </w:r>
      <w:r w:rsidRPr="00B30F06">
        <w:rPr>
          <w:sz w:val="20"/>
          <w:szCs w:val="24"/>
          <w:rtl/>
        </w:rPr>
        <w:t xml:space="preserve">أساس </w:t>
      </w:r>
      <w:r w:rsidR="003C739C" w:rsidRPr="00B30F06">
        <w:rPr>
          <w:rFonts w:hint="cs"/>
          <w:sz w:val="20"/>
          <w:szCs w:val="24"/>
          <w:rtl/>
        </w:rPr>
        <w:t>الأدنى</w:t>
      </w:r>
      <w:r w:rsidRPr="00B30F06">
        <w:rPr>
          <w:sz w:val="20"/>
          <w:szCs w:val="24"/>
          <w:rtl/>
        </w:rPr>
        <w:t>، المساهمين من التقلب</w:t>
      </w:r>
      <w:r w:rsidR="003C739C" w:rsidRPr="00B30F06">
        <w:rPr>
          <w:rFonts w:hint="cs"/>
          <w:sz w:val="20"/>
          <w:szCs w:val="24"/>
          <w:rtl/>
        </w:rPr>
        <w:t>ات</w:t>
      </w:r>
      <w:r w:rsidRPr="00B30F06">
        <w:rPr>
          <w:sz w:val="20"/>
          <w:szCs w:val="24"/>
          <w:rtl/>
        </w:rPr>
        <w:t xml:space="preserve"> بتكلفة كبيرة </w:t>
      </w:r>
      <w:r w:rsidR="003C739C" w:rsidRPr="00B30F06">
        <w:rPr>
          <w:rFonts w:hint="cs"/>
          <w:sz w:val="20"/>
          <w:szCs w:val="24"/>
          <w:rtl/>
        </w:rPr>
        <w:t>على</w:t>
      </w:r>
      <w:r w:rsidRPr="00B30F06">
        <w:rPr>
          <w:sz w:val="20"/>
          <w:szCs w:val="24"/>
          <w:rtl/>
        </w:rPr>
        <w:t xml:space="preserve"> الإيرادات: فالاستعاضة عنها إما برسم </w:t>
      </w:r>
      <w:r w:rsidR="003C739C" w:rsidRPr="00B30F06">
        <w:rPr>
          <w:rFonts w:hint="cs"/>
          <w:sz w:val="20"/>
          <w:szCs w:val="24"/>
          <w:rtl/>
        </w:rPr>
        <w:t>قائم</w:t>
      </w:r>
      <w:r w:rsidRPr="00B30F06">
        <w:rPr>
          <w:sz w:val="20"/>
          <w:szCs w:val="24"/>
          <w:rtl/>
        </w:rPr>
        <w:t xml:space="preserve"> على الإيرادات وإما برسم </w:t>
      </w:r>
      <w:r w:rsidR="003C739C" w:rsidRPr="00B30F06">
        <w:rPr>
          <w:rFonts w:hint="cs"/>
          <w:sz w:val="20"/>
          <w:szCs w:val="24"/>
          <w:rtl/>
        </w:rPr>
        <w:t>قائم</w:t>
      </w:r>
      <w:r w:rsidRPr="00B30F06">
        <w:rPr>
          <w:sz w:val="20"/>
          <w:szCs w:val="24"/>
          <w:rtl/>
        </w:rPr>
        <w:t xml:space="preserve"> على الأرباح ستضاعف تقريبا إيرادات الامتثال الكامل. ويضاعف توقيت المشاركة هذه الآثار: إذ يتراوح صافي القيمة الحالية التراكمية حتى عام 2035 بين 4.3 مليار دولار في حالة </w:t>
      </w:r>
      <w:r w:rsidR="003C739C" w:rsidRPr="00B30F06">
        <w:rPr>
          <w:rFonts w:hint="cs"/>
          <w:sz w:val="20"/>
          <w:szCs w:val="24"/>
          <w:rtl/>
        </w:rPr>
        <w:t>التبني</w:t>
      </w:r>
      <w:r w:rsidRPr="00B30F06">
        <w:rPr>
          <w:sz w:val="20"/>
          <w:szCs w:val="24"/>
          <w:rtl/>
        </w:rPr>
        <w:t xml:space="preserve"> السريع و</w:t>
      </w:r>
      <w:r w:rsidR="00487294" w:rsidRPr="00B30F06">
        <w:rPr>
          <w:rFonts w:hint="cs"/>
          <w:sz w:val="20"/>
          <w:szCs w:val="24"/>
          <w:rtl/>
        </w:rPr>
        <w:t>150,000,000</w:t>
      </w:r>
      <w:r w:rsidRPr="00B30F06">
        <w:rPr>
          <w:sz w:val="20"/>
          <w:szCs w:val="24"/>
          <w:rtl/>
        </w:rPr>
        <w:t xml:space="preserve">دولار في حالة مسار </w:t>
      </w:r>
      <w:r w:rsidR="00251AEE" w:rsidRPr="00B30F06">
        <w:rPr>
          <w:rFonts w:hint="cs"/>
          <w:sz w:val="20"/>
          <w:szCs w:val="24"/>
          <w:rtl/>
        </w:rPr>
        <w:t>تبني</w:t>
      </w:r>
      <w:r w:rsidRPr="00B30F06">
        <w:rPr>
          <w:sz w:val="20"/>
          <w:szCs w:val="24"/>
          <w:rtl/>
        </w:rPr>
        <w:t xml:space="preserve"> مماثل لمسار العقد الأول للمعاهدة الدولية بشأن الموارد الوراثية النباتية للأغذية والزراعة، مع سقف نظري واحد.</w:t>
      </w:r>
    </w:p>
    <w:p w14:paraId="095B02DE" w14:textId="05EC6ABF" w:rsidR="00C80EA4" w:rsidRPr="00B30F06" w:rsidRDefault="00C80EA4" w:rsidP="001238B7">
      <w:pPr>
        <w:pStyle w:val="CBDNormalNumber"/>
        <w:numPr>
          <w:ilvl w:val="0"/>
          <w:numId w:val="15"/>
        </w:numPr>
        <w:bidi/>
        <w:rPr>
          <w:sz w:val="20"/>
          <w:szCs w:val="24"/>
          <w:rtl/>
        </w:rPr>
      </w:pPr>
      <w:r w:rsidRPr="00B30F06">
        <w:rPr>
          <w:sz w:val="20"/>
          <w:szCs w:val="24"/>
          <w:rtl/>
        </w:rPr>
        <w:t xml:space="preserve">وتترتب على هذه النتائج خمسة آثار، تُعرض بوصفها نتائج لخيارات التصميم المعروضة على مؤتمر الأطراف، </w:t>
      </w:r>
      <w:r w:rsidR="00251AEE" w:rsidRPr="00B30F06">
        <w:rPr>
          <w:rFonts w:hint="cs"/>
          <w:sz w:val="20"/>
          <w:szCs w:val="24"/>
          <w:rtl/>
        </w:rPr>
        <w:t>وليس</w:t>
      </w:r>
      <w:r w:rsidRPr="00B30F06">
        <w:rPr>
          <w:sz w:val="20"/>
          <w:szCs w:val="24"/>
          <w:rtl/>
        </w:rPr>
        <w:t xml:space="preserve"> بوصفها توصيات: </w:t>
      </w:r>
    </w:p>
    <w:p w14:paraId="0389BB0B" w14:textId="76B208B3" w:rsidR="00C80EA4" w:rsidRPr="00B30F06" w:rsidRDefault="005D77E2" w:rsidP="00251AEE">
      <w:pPr>
        <w:pStyle w:val="CBDNormalNumber"/>
        <w:numPr>
          <w:ilvl w:val="1"/>
          <w:numId w:val="14"/>
        </w:numPr>
        <w:bidi/>
        <w:ind w:left="540" w:firstLine="540"/>
        <w:rPr>
          <w:sz w:val="20"/>
          <w:szCs w:val="24"/>
          <w:rtl/>
        </w:rPr>
      </w:pPr>
      <w:r w:rsidRPr="00B30F06">
        <w:rPr>
          <w:sz w:val="20"/>
          <w:szCs w:val="24"/>
          <w:rtl/>
        </w:rPr>
        <w:t xml:space="preserve">تبين أن المشاركة، </w:t>
      </w:r>
      <w:r w:rsidR="00251AEE" w:rsidRPr="00B30F06">
        <w:rPr>
          <w:rFonts w:hint="cs"/>
          <w:sz w:val="20"/>
          <w:szCs w:val="24"/>
          <w:rtl/>
        </w:rPr>
        <w:t>وليس</w:t>
      </w:r>
      <w:r w:rsidRPr="00B30F06">
        <w:rPr>
          <w:sz w:val="20"/>
          <w:szCs w:val="24"/>
          <w:rtl/>
        </w:rPr>
        <w:t xml:space="preserve"> مستوى </w:t>
      </w:r>
      <w:r w:rsidR="00251AEE" w:rsidRPr="00B30F06">
        <w:rPr>
          <w:rFonts w:hint="cs"/>
          <w:sz w:val="20"/>
          <w:szCs w:val="24"/>
          <w:rtl/>
        </w:rPr>
        <w:t>النسبة</w:t>
      </w:r>
      <w:r w:rsidRPr="00B30F06">
        <w:rPr>
          <w:sz w:val="20"/>
          <w:szCs w:val="24"/>
          <w:rtl/>
        </w:rPr>
        <w:t xml:space="preserve">، هي القيد الملزم على الإيرادات؛ </w:t>
      </w:r>
    </w:p>
    <w:p w14:paraId="55D957E8" w14:textId="27203B8A" w:rsidR="00C80EA4" w:rsidRPr="00B30F06" w:rsidRDefault="001D3C34" w:rsidP="00251AEE">
      <w:pPr>
        <w:pStyle w:val="CBDNormalNumber"/>
        <w:numPr>
          <w:ilvl w:val="1"/>
          <w:numId w:val="14"/>
        </w:numPr>
        <w:bidi/>
        <w:ind w:left="540" w:firstLine="540"/>
        <w:rPr>
          <w:sz w:val="20"/>
          <w:szCs w:val="24"/>
          <w:rtl/>
        </w:rPr>
      </w:pPr>
      <w:r w:rsidRPr="00B30F06">
        <w:rPr>
          <w:sz w:val="20"/>
          <w:szCs w:val="24"/>
          <w:rtl/>
        </w:rPr>
        <w:t>ي</w:t>
      </w:r>
      <w:r w:rsidR="00251AEE" w:rsidRPr="00B30F06">
        <w:rPr>
          <w:rFonts w:hint="cs"/>
          <w:sz w:val="20"/>
          <w:szCs w:val="24"/>
          <w:rtl/>
        </w:rPr>
        <w:t>عمل</w:t>
      </w:r>
      <w:r w:rsidRPr="00B30F06">
        <w:rPr>
          <w:sz w:val="20"/>
          <w:szCs w:val="24"/>
          <w:rtl/>
        </w:rPr>
        <w:t xml:space="preserve"> تصميم العتبات أساسا </w:t>
      </w:r>
      <w:r w:rsidR="00251AEE" w:rsidRPr="00B30F06">
        <w:rPr>
          <w:rFonts w:hint="cs"/>
          <w:sz w:val="20"/>
          <w:szCs w:val="24"/>
          <w:rtl/>
        </w:rPr>
        <w:t>ك</w:t>
      </w:r>
      <w:r w:rsidRPr="00B30F06">
        <w:rPr>
          <w:sz w:val="20"/>
          <w:szCs w:val="24"/>
          <w:rtl/>
        </w:rPr>
        <w:t xml:space="preserve">قرار يتعلق بالحوكمة والشمول </w:t>
      </w:r>
      <w:r w:rsidR="00251AEE" w:rsidRPr="00B30F06">
        <w:rPr>
          <w:rFonts w:hint="cs"/>
          <w:sz w:val="20"/>
          <w:szCs w:val="24"/>
          <w:rtl/>
        </w:rPr>
        <w:t>وليس</w:t>
      </w:r>
      <w:r w:rsidRPr="00B30F06">
        <w:rPr>
          <w:sz w:val="20"/>
          <w:szCs w:val="24"/>
          <w:rtl/>
        </w:rPr>
        <w:t xml:space="preserve"> </w:t>
      </w:r>
      <w:r w:rsidR="00251AEE" w:rsidRPr="00B30F06">
        <w:rPr>
          <w:rFonts w:hint="cs"/>
          <w:sz w:val="20"/>
          <w:szCs w:val="24"/>
          <w:rtl/>
        </w:rPr>
        <w:t>ك</w:t>
      </w:r>
      <w:r w:rsidRPr="00B30F06">
        <w:rPr>
          <w:sz w:val="20"/>
          <w:szCs w:val="24"/>
          <w:rtl/>
        </w:rPr>
        <w:t>قرار مالي، إذ إن خفض العتبات أو رفعها لا يرفع الإيرادات أو يخفضها بصورة متناسبة، على التوالي، بالنظر إلى شدة تركز المساهمات لدى أكبر الشركات بصرف النظر عن مستوى تحديد العتبة؛</w:t>
      </w:r>
    </w:p>
    <w:p w14:paraId="0E0E40FE" w14:textId="0E41EA7E" w:rsidR="00C80EA4" w:rsidRPr="00B30F06" w:rsidRDefault="00251AEE" w:rsidP="00251AEE">
      <w:pPr>
        <w:pStyle w:val="CBDNormalNumber"/>
        <w:numPr>
          <w:ilvl w:val="1"/>
          <w:numId w:val="14"/>
        </w:numPr>
        <w:bidi/>
        <w:ind w:left="540" w:firstLine="540"/>
        <w:rPr>
          <w:sz w:val="20"/>
          <w:szCs w:val="24"/>
          <w:rtl/>
        </w:rPr>
      </w:pPr>
      <w:r w:rsidRPr="00B30F06">
        <w:rPr>
          <w:sz w:val="20"/>
          <w:szCs w:val="24"/>
          <w:rtl/>
        </w:rPr>
        <w:t>يحدد تصميم قاعدة النسبة والمساهمة</w:t>
      </w:r>
      <w:r w:rsidRPr="00B30F06">
        <w:rPr>
          <w:rFonts w:hint="cs"/>
          <w:sz w:val="20"/>
          <w:szCs w:val="24"/>
          <w:rtl/>
        </w:rPr>
        <w:t xml:space="preserve"> </w:t>
      </w:r>
      <w:r w:rsidR="00C76711" w:rsidRPr="00B30F06">
        <w:rPr>
          <w:sz w:val="20"/>
          <w:szCs w:val="24"/>
          <w:rtl/>
        </w:rPr>
        <w:t>مَن يدفع ومدى استقرار المساهمات،</w:t>
      </w:r>
      <w:r w:rsidR="00C76711" w:rsidRPr="00B30F06">
        <w:rPr>
          <w:sz w:val="20"/>
          <w:szCs w:val="24"/>
          <w:vertAlign w:val="superscript"/>
        </w:rPr>
        <w:footnoteReference w:id="19"/>
      </w:r>
      <w:r w:rsidR="00C76711" w:rsidRPr="00B30F06">
        <w:rPr>
          <w:sz w:val="20"/>
          <w:szCs w:val="24"/>
          <w:rtl/>
        </w:rPr>
        <w:t xml:space="preserve"> </w:t>
      </w:r>
      <w:r w:rsidRPr="00B30F06">
        <w:rPr>
          <w:rFonts w:hint="cs"/>
          <w:sz w:val="20"/>
          <w:szCs w:val="24"/>
          <w:rtl/>
        </w:rPr>
        <w:t>وليس</w:t>
      </w:r>
      <w:r w:rsidR="00C76711" w:rsidRPr="00B30F06">
        <w:rPr>
          <w:sz w:val="20"/>
          <w:szCs w:val="24"/>
          <w:rtl/>
        </w:rPr>
        <w:t xml:space="preserve"> </w:t>
      </w:r>
      <w:r w:rsidRPr="00B30F06">
        <w:rPr>
          <w:rFonts w:hint="cs"/>
          <w:sz w:val="20"/>
          <w:szCs w:val="24"/>
          <w:rtl/>
        </w:rPr>
        <w:t xml:space="preserve">فقط </w:t>
      </w:r>
      <w:r w:rsidR="00C76711" w:rsidRPr="00B30F06">
        <w:rPr>
          <w:sz w:val="20"/>
          <w:szCs w:val="24"/>
          <w:rtl/>
        </w:rPr>
        <w:t xml:space="preserve">مقدار ما </w:t>
      </w:r>
      <w:r w:rsidRPr="00B30F06">
        <w:rPr>
          <w:rFonts w:hint="cs"/>
          <w:sz w:val="20"/>
          <w:szCs w:val="24"/>
          <w:rtl/>
        </w:rPr>
        <w:t>يتم جمعه</w:t>
      </w:r>
      <w:r w:rsidR="00C76711" w:rsidRPr="00B30F06">
        <w:rPr>
          <w:sz w:val="20"/>
          <w:szCs w:val="24"/>
          <w:rtl/>
        </w:rPr>
        <w:t xml:space="preserve">؛ وتحمي قاعدة </w:t>
      </w:r>
      <w:r w:rsidRPr="00B30F06">
        <w:rPr>
          <w:rFonts w:hint="cs"/>
          <w:sz w:val="20"/>
          <w:szCs w:val="24"/>
          <w:rtl/>
        </w:rPr>
        <w:t>أدنى المساهمتين</w:t>
      </w:r>
      <w:r w:rsidR="00C76711" w:rsidRPr="00B30F06">
        <w:rPr>
          <w:sz w:val="20"/>
          <w:szCs w:val="24"/>
          <w:rtl/>
        </w:rPr>
        <w:t xml:space="preserve"> الشركات </w:t>
      </w:r>
      <w:r w:rsidR="00594F85" w:rsidRPr="00B30F06">
        <w:rPr>
          <w:sz w:val="20"/>
          <w:szCs w:val="24"/>
          <w:rtl/>
        </w:rPr>
        <w:t>من أي قاعدة قد تكون أكثر تكلفة بالنسبة لها</w:t>
      </w:r>
      <w:r w:rsidR="00594F85" w:rsidRPr="00B30F06">
        <w:rPr>
          <w:rFonts w:hint="cs"/>
          <w:sz w:val="20"/>
          <w:szCs w:val="24"/>
          <w:rtl/>
        </w:rPr>
        <w:t xml:space="preserve">، </w:t>
      </w:r>
      <w:r w:rsidR="00C76711" w:rsidRPr="00B30F06">
        <w:rPr>
          <w:sz w:val="20"/>
          <w:szCs w:val="24"/>
          <w:rtl/>
        </w:rPr>
        <w:t xml:space="preserve">ولكن </w:t>
      </w:r>
      <w:r w:rsidR="00594F85" w:rsidRPr="00B30F06">
        <w:rPr>
          <w:sz w:val="20"/>
          <w:szCs w:val="24"/>
          <w:rtl/>
        </w:rPr>
        <w:t>بتكلفة كبيرة على الإيرادات</w:t>
      </w:r>
      <w:r w:rsidR="00C76711" w:rsidRPr="00B30F06">
        <w:rPr>
          <w:sz w:val="20"/>
          <w:szCs w:val="24"/>
          <w:rtl/>
        </w:rPr>
        <w:t xml:space="preserve">؛ </w:t>
      </w:r>
    </w:p>
    <w:p w14:paraId="53DFFE5A" w14:textId="09A520D4" w:rsidR="00C80EA4" w:rsidRPr="00B30F06" w:rsidRDefault="00B4432E" w:rsidP="00594F85">
      <w:pPr>
        <w:pStyle w:val="CBDNormalNumber"/>
        <w:numPr>
          <w:ilvl w:val="1"/>
          <w:numId w:val="14"/>
        </w:numPr>
        <w:bidi/>
        <w:ind w:left="540" w:firstLine="540"/>
        <w:rPr>
          <w:sz w:val="20"/>
          <w:szCs w:val="24"/>
          <w:rtl/>
        </w:rPr>
      </w:pPr>
      <w:r w:rsidRPr="00B30F06">
        <w:rPr>
          <w:sz w:val="20"/>
          <w:szCs w:val="24"/>
          <w:rtl/>
        </w:rPr>
        <w:t xml:space="preserve">تبين أن مشاركة قطاع المستحضرات الصيدلانية هي العامل الأهم في تحديد مستوى إيرادات صندوق كالي وإمكانية التنبؤ بها في إطار السيناريوهات </w:t>
      </w:r>
      <w:r w:rsidR="007445A2" w:rsidRPr="00B30F06">
        <w:rPr>
          <w:rFonts w:hint="cs"/>
          <w:sz w:val="20"/>
          <w:szCs w:val="24"/>
          <w:rtl/>
        </w:rPr>
        <w:t>النموذجية</w:t>
      </w:r>
      <w:r w:rsidRPr="00B30F06">
        <w:rPr>
          <w:sz w:val="20"/>
          <w:szCs w:val="24"/>
          <w:rtl/>
        </w:rPr>
        <w:t xml:space="preserve">؛ </w:t>
      </w:r>
    </w:p>
    <w:p w14:paraId="532DB7BC" w14:textId="543B2C6C" w:rsidR="00C80EA4" w:rsidRPr="00B30F06" w:rsidRDefault="002D563E" w:rsidP="007445A2">
      <w:pPr>
        <w:pStyle w:val="CBDNormalNumber"/>
        <w:numPr>
          <w:ilvl w:val="1"/>
          <w:numId w:val="14"/>
        </w:numPr>
        <w:bidi/>
        <w:ind w:left="540" w:firstLine="540"/>
        <w:rPr>
          <w:sz w:val="20"/>
          <w:szCs w:val="24"/>
          <w:rtl/>
        </w:rPr>
      </w:pPr>
      <w:r w:rsidRPr="00B30F06">
        <w:rPr>
          <w:sz w:val="20"/>
          <w:szCs w:val="24"/>
          <w:rtl/>
        </w:rPr>
        <w:t>ويشير التركز الجغرافي في التقديرات القطرية، وهي تقديرات إرشادية وخاضعة لأوجه القصور في البيانات التي نوقشت في التقرير الرئيسي، إلى أن الأداء المبكر لصندوق كالي قد يعتمد اعتمادا غير متناسب على مشاركة عدد قليل من الولايات القضائية؛ وهو ما يجعل الأنشطة التي تدعم المشاركة في تلك الولايات القضائية، بما في ذلك حسم أوجه عدم اليقين المحددة، ذات أثر بالغ في تحديد ما إذا كانت الآلية ستحقق إيرادات ذات شأن في سنواتها الأولى.</w:t>
      </w:r>
    </w:p>
    <w:p w14:paraId="1BEE7680" w14:textId="2605D4B3" w:rsidR="00C80EA4" w:rsidRPr="00B30F06" w:rsidRDefault="00340594" w:rsidP="00020F91">
      <w:pPr>
        <w:pStyle w:val="CBDH2"/>
        <w:bidi/>
        <w:rPr>
          <w:b w:val="0"/>
          <w:bCs/>
          <w:sz w:val="20"/>
          <w:szCs w:val="24"/>
          <w:rtl/>
        </w:rPr>
      </w:pPr>
      <w:r w:rsidRPr="00B30F06">
        <w:rPr>
          <w:b w:val="0"/>
          <w:bCs/>
          <w:sz w:val="20"/>
          <w:szCs w:val="24"/>
          <w:rtl/>
        </w:rPr>
        <w:t>جيم-</w:t>
      </w:r>
      <w:r w:rsidRPr="00B30F06">
        <w:rPr>
          <w:b w:val="0"/>
          <w:bCs/>
          <w:sz w:val="20"/>
          <w:szCs w:val="24"/>
        </w:rPr>
        <w:tab/>
      </w:r>
      <w:r w:rsidRPr="00B30F06">
        <w:rPr>
          <w:b w:val="0"/>
          <w:bCs/>
          <w:sz w:val="20"/>
          <w:szCs w:val="24"/>
          <w:rtl/>
        </w:rPr>
        <w:t>الآثار المترتبة على القدرة التنافسية</w:t>
      </w:r>
    </w:p>
    <w:p w14:paraId="2644BFC1" w14:textId="50FC1D23" w:rsidR="00C80EA4" w:rsidRPr="00B30F06" w:rsidRDefault="007445A2" w:rsidP="001238B7">
      <w:pPr>
        <w:pStyle w:val="CBDNormalNumber"/>
        <w:numPr>
          <w:ilvl w:val="0"/>
          <w:numId w:val="15"/>
        </w:numPr>
        <w:bidi/>
        <w:rPr>
          <w:sz w:val="20"/>
          <w:szCs w:val="24"/>
          <w:rtl/>
        </w:rPr>
      </w:pPr>
      <w:r w:rsidRPr="00B30F06">
        <w:rPr>
          <w:rFonts w:hint="cs"/>
          <w:sz w:val="20"/>
          <w:szCs w:val="24"/>
          <w:rtl/>
        </w:rPr>
        <w:t>وفقاً ل</w:t>
      </w:r>
      <w:r w:rsidR="00C80EA4" w:rsidRPr="00B30F06">
        <w:rPr>
          <w:sz w:val="20"/>
          <w:szCs w:val="24"/>
          <w:rtl/>
        </w:rPr>
        <w:t xml:space="preserve">لمعدلات الإرشادية المحددة في المقرر </w:t>
      </w:r>
      <w:hyperlink r:id="rId35" w:history="1">
        <w:r w:rsidRPr="00B30F06">
          <w:rPr>
            <w:rStyle w:val="Hyperlink"/>
            <w:rFonts w:hint="cs"/>
            <w:sz w:val="20"/>
            <w:szCs w:val="24"/>
            <w:rtl/>
          </w:rPr>
          <w:t>16/2</w:t>
        </w:r>
      </w:hyperlink>
      <w:r w:rsidR="00C80EA4" w:rsidRPr="00B30F06">
        <w:rPr>
          <w:sz w:val="20"/>
          <w:szCs w:val="24"/>
          <w:rtl/>
        </w:rPr>
        <w:t xml:space="preserve">، </w:t>
      </w:r>
      <w:r w:rsidRPr="00B30F06">
        <w:rPr>
          <w:sz w:val="20"/>
          <w:szCs w:val="24"/>
          <w:rtl/>
        </w:rPr>
        <w:t>يُعدّ العبءُ المالي المباشر على الشركات المؤهلة محدوداً مقارنةً بهوامش القطاعات</w:t>
      </w:r>
      <w:r w:rsidR="00C80EA4" w:rsidRPr="00B30F06">
        <w:rPr>
          <w:sz w:val="20"/>
          <w:szCs w:val="24"/>
          <w:rtl/>
        </w:rPr>
        <w:t xml:space="preserve"> في جميع القطاعات السبعة المدرجة في الضميمة الأولى بمرفق المقرر، ومن غير المرجح أن </w:t>
      </w:r>
      <w:r w:rsidRPr="00B30F06">
        <w:rPr>
          <w:rFonts w:hint="cs"/>
          <w:sz w:val="20"/>
          <w:szCs w:val="24"/>
          <w:rtl/>
        </w:rPr>
        <w:t>يُحدث</w:t>
      </w:r>
      <w:r w:rsidR="00C80EA4" w:rsidRPr="00B30F06">
        <w:rPr>
          <w:sz w:val="20"/>
          <w:szCs w:val="24"/>
          <w:rtl/>
        </w:rPr>
        <w:t xml:space="preserve"> آثارا ذات شأن على التكلفة والقدرة التنافسية السعرية بالنسبة لمعظم أنواع الشركات. والنتيجة التنافسية الرئيسية هيكلية </w:t>
      </w:r>
      <w:r w:rsidRPr="00B30F06">
        <w:rPr>
          <w:rFonts w:hint="cs"/>
          <w:sz w:val="20"/>
          <w:szCs w:val="24"/>
          <w:rtl/>
        </w:rPr>
        <w:t>وليست</w:t>
      </w:r>
      <w:r w:rsidR="00C80EA4" w:rsidRPr="00B30F06">
        <w:rPr>
          <w:sz w:val="20"/>
          <w:szCs w:val="24"/>
          <w:rtl/>
        </w:rPr>
        <w:t xml:space="preserve"> مدفوعة بالتكلفة: </w:t>
      </w:r>
      <w:r w:rsidR="00C438C5" w:rsidRPr="00B30F06">
        <w:rPr>
          <w:sz w:val="20"/>
          <w:szCs w:val="24"/>
          <w:rtl/>
        </w:rPr>
        <w:t xml:space="preserve">إذ يُمثل عدم التماثل بين الشركات التي يقع مقرها الرئيسي في دول الأطراف والشركات المنافسة التي يقع مقرها الرئيسي في الولايات المتحدة والتي قد لا تواجه التزاما مماثلا، خطرًا جوهريا كبيرا بالنسبة لأنواع الشركات الأكثر نشاطا على مستوى العالم في خمسة من القطاعات السبعة، ولا يمكن حله من خلال تعديل </w:t>
      </w:r>
      <w:r w:rsidR="00C438C5" w:rsidRPr="00B30F06">
        <w:rPr>
          <w:rFonts w:hint="cs"/>
          <w:sz w:val="20"/>
          <w:szCs w:val="24"/>
          <w:rtl/>
        </w:rPr>
        <w:t>المعدل</w:t>
      </w:r>
      <w:r w:rsidR="00C438C5" w:rsidRPr="00B30F06">
        <w:rPr>
          <w:sz w:val="20"/>
          <w:szCs w:val="24"/>
          <w:rtl/>
        </w:rPr>
        <w:t xml:space="preserve"> وحده، لأنه يتعلق بالنطاق وليس </w:t>
      </w:r>
      <w:r w:rsidR="00C438C5" w:rsidRPr="00B30F06">
        <w:rPr>
          <w:rFonts w:hint="cs"/>
          <w:sz w:val="20"/>
          <w:szCs w:val="24"/>
          <w:rtl/>
        </w:rPr>
        <w:t>با</w:t>
      </w:r>
      <w:r w:rsidR="00C80EA4" w:rsidRPr="00B30F06">
        <w:rPr>
          <w:sz w:val="20"/>
          <w:szCs w:val="24"/>
          <w:rtl/>
        </w:rPr>
        <w:t>لمعدل.</w:t>
      </w:r>
    </w:p>
    <w:p w14:paraId="367D0BE2" w14:textId="0089EF74" w:rsidR="00C80EA4" w:rsidRPr="00B30F06" w:rsidRDefault="000E3538" w:rsidP="001238B7">
      <w:pPr>
        <w:pStyle w:val="CBDNormalNumber"/>
        <w:numPr>
          <w:ilvl w:val="0"/>
          <w:numId w:val="15"/>
        </w:numPr>
        <w:bidi/>
        <w:rPr>
          <w:sz w:val="20"/>
          <w:szCs w:val="24"/>
          <w:rtl/>
        </w:rPr>
      </w:pPr>
      <w:r w:rsidRPr="00B30F06">
        <w:rPr>
          <w:sz w:val="20"/>
          <w:szCs w:val="24"/>
          <w:rtl/>
        </w:rPr>
        <w:t>ويتفوق قطاع المستحضرات الصيدلانية (</w:t>
      </w:r>
      <w:r w:rsidR="00C438C5" w:rsidRPr="00B30F06">
        <w:rPr>
          <w:rFonts w:hint="cs"/>
          <w:sz w:val="20"/>
          <w:szCs w:val="24"/>
          <w:rtl/>
        </w:rPr>
        <w:t>3,401</w:t>
      </w:r>
      <w:r w:rsidRPr="00B30F06">
        <w:rPr>
          <w:sz w:val="20"/>
          <w:szCs w:val="24"/>
          <w:rtl/>
        </w:rPr>
        <w:t xml:space="preserve"> شركة مؤهلة؛ 49.6 في </w:t>
      </w:r>
      <w:proofErr w:type="gramStart"/>
      <w:r w:rsidRPr="00B30F06">
        <w:rPr>
          <w:sz w:val="20"/>
          <w:szCs w:val="24"/>
          <w:rtl/>
        </w:rPr>
        <w:t>المائة</w:t>
      </w:r>
      <w:proofErr w:type="gramEnd"/>
      <w:r w:rsidRPr="00B30F06">
        <w:rPr>
          <w:sz w:val="20"/>
          <w:szCs w:val="24"/>
          <w:rtl/>
        </w:rPr>
        <w:t xml:space="preserve"> من مساهمات السيناريو المركزي)، في إطار </w:t>
      </w:r>
      <w:r w:rsidR="00C438C5" w:rsidRPr="00B30F06">
        <w:rPr>
          <w:rFonts w:hint="cs"/>
          <w:sz w:val="20"/>
          <w:szCs w:val="24"/>
          <w:rtl/>
        </w:rPr>
        <w:t>ال</w:t>
      </w:r>
      <w:r w:rsidRPr="00B30F06">
        <w:rPr>
          <w:sz w:val="20"/>
          <w:szCs w:val="24"/>
          <w:rtl/>
        </w:rPr>
        <w:t xml:space="preserve">سيناريوهات </w:t>
      </w:r>
      <w:proofErr w:type="spellStart"/>
      <w:r w:rsidR="00C438C5" w:rsidRPr="00B30F06">
        <w:rPr>
          <w:rFonts w:hint="cs"/>
          <w:sz w:val="20"/>
          <w:szCs w:val="24"/>
          <w:rtl/>
        </w:rPr>
        <w:t>النمزذجية</w:t>
      </w:r>
      <w:proofErr w:type="spellEnd"/>
      <w:r w:rsidRPr="00B30F06">
        <w:rPr>
          <w:sz w:val="20"/>
          <w:szCs w:val="24"/>
          <w:rtl/>
        </w:rPr>
        <w:t xml:space="preserve">، على كل </w:t>
      </w:r>
      <w:r w:rsidR="00C438C5" w:rsidRPr="00B30F06">
        <w:rPr>
          <w:rFonts w:hint="cs"/>
          <w:sz w:val="20"/>
          <w:szCs w:val="24"/>
          <w:rtl/>
        </w:rPr>
        <w:t>ال</w:t>
      </w:r>
      <w:r w:rsidRPr="00B30F06">
        <w:rPr>
          <w:sz w:val="20"/>
          <w:szCs w:val="24"/>
          <w:rtl/>
        </w:rPr>
        <w:t>قطاع</w:t>
      </w:r>
      <w:r w:rsidR="00C438C5" w:rsidRPr="00B30F06">
        <w:rPr>
          <w:rFonts w:hint="cs"/>
          <w:sz w:val="20"/>
          <w:szCs w:val="24"/>
          <w:rtl/>
        </w:rPr>
        <w:t>ات</w:t>
      </w:r>
      <w:r w:rsidRPr="00B30F06">
        <w:rPr>
          <w:sz w:val="20"/>
          <w:szCs w:val="24"/>
          <w:rtl/>
        </w:rPr>
        <w:t xml:space="preserve"> </w:t>
      </w:r>
      <w:r w:rsidR="00C438C5" w:rsidRPr="00B30F06">
        <w:rPr>
          <w:rFonts w:hint="cs"/>
          <w:sz w:val="20"/>
          <w:szCs w:val="24"/>
          <w:rtl/>
        </w:rPr>
        <w:t>الأ</w:t>
      </w:r>
      <w:r w:rsidRPr="00B30F06">
        <w:rPr>
          <w:sz w:val="20"/>
          <w:szCs w:val="24"/>
          <w:rtl/>
        </w:rPr>
        <w:t>خر</w:t>
      </w:r>
      <w:r w:rsidR="00C438C5" w:rsidRPr="00B30F06">
        <w:rPr>
          <w:rFonts w:hint="cs"/>
          <w:sz w:val="20"/>
          <w:szCs w:val="24"/>
          <w:rtl/>
        </w:rPr>
        <w:t>ى</w:t>
      </w:r>
      <w:r w:rsidRPr="00B30F06">
        <w:rPr>
          <w:sz w:val="20"/>
          <w:szCs w:val="24"/>
          <w:rtl/>
        </w:rPr>
        <w:t xml:space="preserve"> من حيث الإيرادات والأصول وهامش الربح، ب</w:t>
      </w:r>
      <w:r w:rsidR="00C438C5" w:rsidRPr="00B30F06">
        <w:rPr>
          <w:rFonts w:hint="cs"/>
          <w:sz w:val="20"/>
          <w:szCs w:val="24"/>
          <w:rtl/>
        </w:rPr>
        <w:t xml:space="preserve">متوسط </w:t>
      </w:r>
      <w:r w:rsidRPr="00B30F06">
        <w:rPr>
          <w:sz w:val="20"/>
          <w:szCs w:val="24"/>
          <w:rtl/>
        </w:rPr>
        <w:t xml:space="preserve">هامش </w:t>
      </w:r>
      <w:r w:rsidR="00C438C5" w:rsidRPr="00B30F06">
        <w:rPr>
          <w:rFonts w:hint="cs"/>
          <w:sz w:val="20"/>
          <w:szCs w:val="24"/>
          <w:rtl/>
        </w:rPr>
        <w:t>يبلغ</w:t>
      </w:r>
      <w:r w:rsidRPr="00B30F06">
        <w:rPr>
          <w:sz w:val="20"/>
          <w:szCs w:val="24"/>
          <w:rtl/>
        </w:rPr>
        <w:t xml:space="preserve"> 10.2 في </w:t>
      </w:r>
      <w:proofErr w:type="gramStart"/>
      <w:r w:rsidRPr="00B30F06">
        <w:rPr>
          <w:sz w:val="20"/>
          <w:szCs w:val="24"/>
          <w:rtl/>
        </w:rPr>
        <w:t>المائة</w:t>
      </w:r>
      <w:proofErr w:type="gramEnd"/>
      <w:r w:rsidR="00C438C5" w:rsidRPr="00B30F06">
        <w:rPr>
          <w:rFonts w:hint="cs"/>
          <w:sz w:val="20"/>
          <w:szCs w:val="24"/>
          <w:rtl/>
        </w:rPr>
        <w:t xml:space="preserve">، </w:t>
      </w:r>
      <w:r w:rsidRPr="00B30F06">
        <w:rPr>
          <w:sz w:val="20"/>
          <w:szCs w:val="24"/>
          <w:rtl/>
        </w:rPr>
        <w:t xml:space="preserve">مع ترجيح </w:t>
      </w:r>
      <w:r w:rsidR="00C438C5" w:rsidRPr="00B30F06">
        <w:rPr>
          <w:rFonts w:hint="cs"/>
          <w:sz w:val="20"/>
          <w:szCs w:val="24"/>
          <w:rtl/>
        </w:rPr>
        <w:t>أن ي</w:t>
      </w:r>
      <w:r w:rsidRPr="00B30F06">
        <w:rPr>
          <w:sz w:val="20"/>
          <w:szCs w:val="24"/>
          <w:rtl/>
        </w:rPr>
        <w:t xml:space="preserve">دفع ما يزيد قليلا عن نصف الشركات المؤهلة على أساس قاعدة الإيرادات الأكثر استقرارا. وتحتفظ الشركات المبتكِرة والشركات المنتجة للقاحات بقدر من القدرة على التحكم في الأسعار، ولا سيما في الولايات المتحدة، رغم ضعف الأدلة على مدى تأثير </w:t>
      </w:r>
      <w:r w:rsidR="00FA131C" w:rsidRPr="00B30F06">
        <w:rPr>
          <w:rFonts w:hint="cs"/>
          <w:sz w:val="20"/>
          <w:szCs w:val="24"/>
          <w:rtl/>
        </w:rPr>
        <w:t>ال</w:t>
      </w:r>
      <w:r w:rsidRPr="00B30F06">
        <w:rPr>
          <w:sz w:val="20"/>
          <w:szCs w:val="24"/>
          <w:rtl/>
        </w:rPr>
        <w:t xml:space="preserve">مساهمة </w:t>
      </w:r>
      <w:r w:rsidR="00FA131C" w:rsidRPr="00B30F06">
        <w:rPr>
          <w:rFonts w:hint="cs"/>
          <w:sz w:val="20"/>
          <w:szCs w:val="24"/>
          <w:rtl/>
        </w:rPr>
        <w:t>ال</w:t>
      </w:r>
      <w:r w:rsidRPr="00B30F06">
        <w:rPr>
          <w:sz w:val="20"/>
          <w:szCs w:val="24"/>
          <w:rtl/>
        </w:rPr>
        <w:t xml:space="preserve">قائمة على الإيرادات في الإنفاق على البحث والتطوير. </w:t>
      </w:r>
      <w:r w:rsidR="00FA131C" w:rsidRPr="00B30F06">
        <w:rPr>
          <w:sz w:val="20"/>
          <w:szCs w:val="24"/>
          <w:rtl/>
        </w:rPr>
        <w:t>يتمثل عامل الضعف التنافسي الإضافي الرئيسي للقطاع، بالإضافة إلى عدم التماثل</w:t>
      </w:r>
      <w:r w:rsidR="00FA131C" w:rsidRPr="00B30F06">
        <w:rPr>
          <w:rFonts w:hint="cs"/>
          <w:sz w:val="20"/>
          <w:szCs w:val="24"/>
          <w:rtl/>
        </w:rPr>
        <w:t xml:space="preserve"> </w:t>
      </w:r>
      <w:r w:rsidRPr="00B30F06">
        <w:rPr>
          <w:sz w:val="20"/>
          <w:szCs w:val="24"/>
          <w:rtl/>
        </w:rPr>
        <w:t xml:space="preserve">مع غير الأطراف المبين في الفقرة 31 أعلاه، </w:t>
      </w:r>
      <w:r w:rsidR="00FA131C" w:rsidRPr="00B30F06">
        <w:rPr>
          <w:rFonts w:hint="cs"/>
          <w:sz w:val="20"/>
          <w:szCs w:val="24"/>
          <w:rtl/>
        </w:rPr>
        <w:t>في</w:t>
      </w:r>
      <w:r w:rsidRPr="00B30F06">
        <w:rPr>
          <w:sz w:val="20"/>
          <w:szCs w:val="24"/>
          <w:rtl/>
        </w:rPr>
        <w:t xml:space="preserve"> التداخل المحتمل مع نظام منظمة الصحة العالمية للحصول على مسببات الأمراض وتقاسم منافعها بالنسبة لمنتجي اللقاحات والمستحضرات الصيدلانية </w:t>
      </w:r>
      <w:r w:rsidR="00FA131C" w:rsidRPr="00B30F06">
        <w:rPr>
          <w:rFonts w:hint="cs"/>
          <w:sz w:val="20"/>
          <w:szCs w:val="24"/>
          <w:rtl/>
        </w:rPr>
        <w:t>الحيوية</w:t>
      </w:r>
      <w:r w:rsidRPr="00B30F06">
        <w:rPr>
          <w:sz w:val="20"/>
          <w:szCs w:val="24"/>
          <w:rtl/>
        </w:rPr>
        <w:t>.</w:t>
      </w:r>
    </w:p>
    <w:p w14:paraId="763D9C7D" w14:textId="6170139F" w:rsidR="00C80EA4" w:rsidRPr="00B30F06" w:rsidRDefault="00FA131C" w:rsidP="001238B7">
      <w:pPr>
        <w:pStyle w:val="CBDNormalNumber"/>
        <w:numPr>
          <w:ilvl w:val="0"/>
          <w:numId w:val="15"/>
        </w:numPr>
        <w:bidi/>
        <w:rPr>
          <w:sz w:val="20"/>
          <w:szCs w:val="24"/>
          <w:rtl/>
        </w:rPr>
      </w:pPr>
      <w:r w:rsidRPr="00B30F06">
        <w:rPr>
          <w:rFonts w:hint="cs"/>
          <w:sz w:val="20"/>
          <w:szCs w:val="24"/>
          <w:rtl/>
        </w:rPr>
        <w:t>و</w:t>
      </w:r>
      <w:r w:rsidRPr="00B30F06">
        <w:rPr>
          <w:sz w:val="20"/>
          <w:szCs w:val="24"/>
          <w:rtl/>
        </w:rPr>
        <w:t>يُظهر قطاع التكنولوجيا الحيوية</w:t>
      </w:r>
      <w:r w:rsidR="00C80EA4" w:rsidRPr="00B30F06">
        <w:rPr>
          <w:sz w:val="20"/>
          <w:szCs w:val="24"/>
          <w:rtl/>
        </w:rPr>
        <w:t xml:space="preserve"> (</w:t>
      </w:r>
      <w:r w:rsidRPr="00B30F06">
        <w:rPr>
          <w:rFonts w:hint="cs"/>
          <w:sz w:val="20"/>
          <w:szCs w:val="24"/>
          <w:rtl/>
        </w:rPr>
        <w:t>3,709</w:t>
      </w:r>
      <w:r w:rsidR="00C80EA4" w:rsidRPr="00B30F06">
        <w:rPr>
          <w:sz w:val="20"/>
          <w:szCs w:val="24"/>
          <w:rtl/>
        </w:rPr>
        <w:t xml:space="preserve"> شركات؛ 19.2 في </w:t>
      </w:r>
      <w:proofErr w:type="gramStart"/>
      <w:r w:rsidR="00C80EA4" w:rsidRPr="00B30F06">
        <w:rPr>
          <w:sz w:val="20"/>
          <w:szCs w:val="24"/>
          <w:rtl/>
        </w:rPr>
        <w:t>المائة</w:t>
      </w:r>
      <w:proofErr w:type="gramEnd"/>
      <w:r w:rsidR="00C80EA4" w:rsidRPr="00B30F06">
        <w:rPr>
          <w:sz w:val="20"/>
          <w:szCs w:val="24"/>
          <w:rtl/>
        </w:rPr>
        <w:t>) تباينا داخليا أكبر بكثير من</w:t>
      </w:r>
      <w:r w:rsidRPr="00B30F06">
        <w:rPr>
          <w:rFonts w:hint="cs"/>
          <w:sz w:val="20"/>
          <w:szCs w:val="24"/>
          <w:rtl/>
        </w:rPr>
        <w:t xml:space="preserve"> قطاع</w:t>
      </w:r>
      <w:r w:rsidR="00C80EA4" w:rsidRPr="00B30F06">
        <w:rPr>
          <w:sz w:val="20"/>
          <w:szCs w:val="24"/>
          <w:rtl/>
        </w:rPr>
        <w:t xml:space="preserve"> المستحضرات الصيدلانية، بهامش </w:t>
      </w:r>
      <w:r w:rsidRPr="00B30F06">
        <w:rPr>
          <w:sz w:val="20"/>
          <w:szCs w:val="24"/>
          <w:rtl/>
        </w:rPr>
        <w:t xml:space="preserve">حيث يبلغ متوسط </w:t>
      </w:r>
      <w:r w:rsidRPr="00B30F06">
        <w:rPr>
          <w:rFonts w:cs="Times New Roman" w:hint="cs"/>
          <w:sz w:val="20"/>
          <w:szCs w:val="24"/>
          <w:rtl/>
        </w:rPr>
        <w:t>​​</w:t>
      </w:r>
      <w:r w:rsidRPr="00B30F06">
        <w:rPr>
          <w:rFonts w:ascii="Simplified Arabic" w:hAnsi="Simplified Arabic" w:hint="cs"/>
          <w:sz w:val="20"/>
          <w:szCs w:val="24"/>
          <w:rtl/>
        </w:rPr>
        <w:t>هامش</w:t>
      </w:r>
      <w:r w:rsidRPr="00B30F06">
        <w:rPr>
          <w:sz w:val="20"/>
          <w:szCs w:val="24"/>
          <w:rtl/>
        </w:rPr>
        <w:t xml:space="preserve"> </w:t>
      </w:r>
      <w:r w:rsidRPr="00B30F06">
        <w:rPr>
          <w:rFonts w:ascii="Simplified Arabic" w:hAnsi="Simplified Arabic" w:hint="cs"/>
          <w:sz w:val="20"/>
          <w:szCs w:val="24"/>
          <w:rtl/>
        </w:rPr>
        <w:t>الربح</w:t>
      </w:r>
      <w:r w:rsidRPr="00B30F06">
        <w:rPr>
          <w:sz w:val="20"/>
          <w:szCs w:val="24"/>
          <w:rtl/>
        </w:rPr>
        <w:t xml:space="preserve"> 7%</w:t>
      </w:r>
      <w:r w:rsidRPr="00B30F06">
        <w:rPr>
          <w:rFonts w:ascii="Simplified Arabic" w:hAnsi="Simplified Arabic" w:hint="cs"/>
          <w:sz w:val="20"/>
          <w:szCs w:val="24"/>
          <w:rtl/>
        </w:rPr>
        <w:t>،</w:t>
      </w:r>
      <w:r w:rsidRPr="00B30F06">
        <w:rPr>
          <w:sz w:val="20"/>
          <w:szCs w:val="24"/>
          <w:rtl/>
        </w:rPr>
        <w:t xml:space="preserve"> </w:t>
      </w:r>
      <w:r w:rsidRPr="00B30F06">
        <w:rPr>
          <w:rFonts w:ascii="Simplified Arabic" w:hAnsi="Simplified Arabic" w:hint="cs"/>
          <w:sz w:val="20"/>
          <w:szCs w:val="24"/>
          <w:rtl/>
        </w:rPr>
        <w:t>مع</w:t>
      </w:r>
      <w:r w:rsidRPr="00B30F06">
        <w:rPr>
          <w:sz w:val="20"/>
          <w:szCs w:val="24"/>
          <w:rtl/>
        </w:rPr>
        <w:t xml:space="preserve"> </w:t>
      </w:r>
      <w:r w:rsidRPr="00B30F06">
        <w:rPr>
          <w:rFonts w:ascii="Simplified Arabic" w:hAnsi="Simplified Arabic" w:hint="cs"/>
          <w:sz w:val="20"/>
          <w:szCs w:val="24"/>
          <w:rtl/>
        </w:rPr>
        <w:t>وجود</w:t>
      </w:r>
      <w:r w:rsidRPr="00B30F06">
        <w:rPr>
          <w:sz w:val="20"/>
          <w:szCs w:val="24"/>
          <w:rtl/>
        </w:rPr>
        <w:t xml:space="preserve"> </w:t>
      </w:r>
      <w:r w:rsidRPr="00B30F06">
        <w:rPr>
          <w:rFonts w:ascii="Simplified Arabic" w:hAnsi="Simplified Arabic" w:hint="cs"/>
          <w:sz w:val="20"/>
          <w:szCs w:val="24"/>
          <w:rtl/>
        </w:rPr>
        <w:t>نسبة</w:t>
      </w:r>
      <w:r w:rsidRPr="00B30F06">
        <w:rPr>
          <w:sz w:val="20"/>
          <w:szCs w:val="24"/>
          <w:rtl/>
        </w:rPr>
        <w:t xml:space="preserve"> </w:t>
      </w:r>
      <w:r w:rsidRPr="00B30F06">
        <w:rPr>
          <w:rFonts w:ascii="Simplified Arabic" w:hAnsi="Simplified Arabic" w:hint="cs"/>
          <w:sz w:val="20"/>
          <w:szCs w:val="24"/>
          <w:rtl/>
        </w:rPr>
        <w:t>كبيرة</w:t>
      </w:r>
      <w:r w:rsidRPr="00B30F06">
        <w:rPr>
          <w:sz w:val="20"/>
          <w:szCs w:val="24"/>
          <w:rtl/>
        </w:rPr>
        <w:t xml:space="preserve"> </w:t>
      </w:r>
      <w:r w:rsidRPr="00B30F06">
        <w:rPr>
          <w:rFonts w:ascii="Simplified Arabic" w:hAnsi="Simplified Arabic" w:hint="cs"/>
          <w:sz w:val="20"/>
          <w:szCs w:val="24"/>
          <w:rtl/>
        </w:rPr>
        <w:t>من</w:t>
      </w:r>
      <w:r w:rsidRPr="00B30F06">
        <w:rPr>
          <w:sz w:val="20"/>
          <w:szCs w:val="24"/>
          <w:rtl/>
        </w:rPr>
        <w:t xml:space="preserve"> </w:t>
      </w:r>
      <w:r w:rsidRPr="00B30F06">
        <w:rPr>
          <w:rFonts w:ascii="Simplified Arabic" w:hAnsi="Simplified Arabic" w:hint="cs"/>
          <w:sz w:val="20"/>
          <w:szCs w:val="24"/>
          <w:rtl/>
        </w:rPr>
        <w:t>الشركات</w:t>
      </w:r>
      <w:r w:rsidRPr="00B30F06">
        <w:rPr>
          <w:sz w:val="20"/>
          <w:szCs w:val="24"/>
          <w:rtl/>
        </w:rPr>
        <w:t xml:space="preserve"> </w:t>
      </w:r>
      <w:r w:rsidRPr="00B30F06">
        <w:rPr>
          <w:rFonts w:ascii="Simplified Arabic" w:hAnsi="Simplified Arabic" w:hint="cs"/>
          <w:sz w:val="20"/>
          <w:szCs w:val="24"/>
          <w:rtl/>
        </w:rPr>
        <w:t>الخاسرة</w:t>
      </w:r>
      <w:r w:rsidRPr="00B30F06">
        <w:rPr>
          <w:sz w:val="20"/>
          <w:szCs w:val="24"/>
          <w:rtl/>
        </w:rPr>
        <w:t xml:space="preserve"> </w:t>
      </w:r>
      <w:r w:rsidRPr="00B30F06">
        <w:rPr>
          <w:rFonts w:ascii="Simplified Arabic" w:hAnsi="Simplified Arabic" w:hint="cs"/>
          <w:sz w:val="20"/>
          <w:szCs w:val="24"/>
          <w:rtl/>
        </w:rPr>
        <w:t>أو</w:t>
      </w:r>
      <w:r w:rsidRPr="00B30F06">
        <w:rPr>
          <w:sz w:val="20"/>
          <w:szCs w:val="24"/>
          <w:rtl/>
        </w:rPr>
        <w:t xml:space="preserve"> </w:t>
      </w:r>
      <w:r w:rsidRPr="00B30F06">
        <w:rPr>
          <w:rFonts w:ascii="Simplified Arabic" w:hAnsi="Simplified Arabic" w:hint="cs"/>
          <w:sz w:val="20"/>
          <w:szCs w:val="24"/>
          <w:rtl/>
        </w:rPr>
        <w:t>ذات</w:t>
      </w:r>
      <w:r w:rsidRPr="00B30F06">
        <w:rPr>
          <w:sz w:val="20"/>
          <w:szCs w:val="24"/>
          <w:rtl/>
        </w:rPr>
        <w:t xml:space="preserve"> </w:t>
      </w:r>
      <w:r w:rsidRPr="00B30F06">
        <w:rPr>
          <w:rFonts w:ascii="Simplified Arabic" w:hAnsi="Simplified Arabic" w:hint="cs"/>
          <w:sz w:val="20"/>
          <w:szCs w:val="24"/>
          <w:rtl/>
        </w:rPr>
        <w:t>هامش</w:t>
      </w:r>
      <w:r w:rsidRPr="00B30F06">
        <w:rPr>
          <w:sz w:val="20"/>
          <w:szCs w:val="24"/>
          <w:rtl/>
        </w:rPr>
        <w:t xml:space="preserve"> </w:t>
      </w:r>
      <w:r w:rsidRPr="00B30F06">
        <w:rPr>
          <w:rFonts w:ascii="Simplified Arabic" w:hAnsi="Simplified Arabic" w:hint="cs"/>
          <w:sz w:val="20"/>
          <w:szCs w:val="24"/>
          <w:rtl/>
        </w:rPr>
        <w:t>الربح</w:t>
      </w:r>
      <w:r w:rsidRPr="00B30F06">
        <w:rPr>
          <w:sz w:val="20"/>
          <w:szCs w:val="24"/>
          <w:rtl/>
        </w:rPr>
        <w:t xml:space="preserve"> </w:t>
      </w:r>
      <w:r w:rsidRPr="00B30F06">
        <w:rPr>
          <w:rFonts w:ascii="Simplified Arabic" w:hAnsi="Simplified Arabic" w:hint="cs"/>
          <w:sz w:val="20"/>
          <w:szCs w:val="24"/>
          <w:rtl/>
        </w:rPr>
        <w:t>شبه</w:t>
      </w:r>
      <w:r w:rsidRPr="00B30F06">
        <w:rPr>
          <w:sz w:val="20"/>
          <w:szCs w:val="24"/>
          <w:rtl/>
        </w:rPr>
        <w:t xml:space="preserve"> </w:t>
      </w:r>
      <w:r w:rsidRPr="00B30F06">
        <w:rPr>
          <w:rFonts w:ascii="Simplified Arabic" w:hAnsi="Simplified Arabic" w:hint="cs"/>
          <w:sz w:val="20"/>
          <w:szCs w:val="24"/>
          <w:rtl/>
        </w:rPr>
        <w:t>المعدوم،</w:t>
      </w:r>
      <w:r w:rsidRPr="00B30F06">
        <w:rPr>
          <w:sz w:val="20"/>
          <w:szCs w:val="24"/>
          <w:rtl/>
        </w:rPr>
        <w:t xml:space="preserve"> </w:t>
      </w:r>
      <w:r w:rsidRPr="00B30F06">
        <w:rPr>
          <w:rFonts w:ascii="Simplified Arabic" w:hAnsi="Simplified Arabic" w:hint="cs"/>
          <w:sz w:val="20"/>
          <w:szCs w:val="24"/>
          <w:rtl/>
        </w:rPr>
        <w:t>والتي</w:t>
      </w:r>
      <w:r w:rsidRPr="00B30F06">
        <w:rPr>
          <w:sz w:val="20"/>
          <w:szCs w:val="24"/>
          <w:rtl/>
        </w:rPr>
        <w:t xml:space="preserve"> </w:t>
      </w:r>
      <w:r w:rsidRPr="00B30F06">
        <w:rPr>
          <w:rFonts w:ascii="Simplified Arabic" w:hAnsi="Simplified Arabic" w:hint="cs"/>
          <w:sz w:val="20"/>
          <w:szCs w:val="24"/>
          <w:rtl/>
        </w:rPr>
        <w:t>يتوافق</w:t>
      </w:r>
      <w:r w:rsidRPr="00B30F06">
        <w:rPr>
          <w:sz w:val="20"/>
          <w:szCs w:val="24"/>
          <w:rtl/>
        </w:rPr>
        <w:t xml:space="preserve"> </w:t>
      </w:r>
      <w:r w:rsidRPr="00B30F06">
        <w:rPr>
          <w:rFonts w:ascii="Simplified Arabic" w:hAnsi="Simplified Arabic" w:hint="cs"/>
          <w:sz w:val="20"/>
          <w:szCs w:val="24"/>
          <w:rtl/>
        </w:rPr>
        <w:t>وضعها</w:t>
      </w:r>
      <w:r w:rsidRPr="00B30F06">
        <w:rPr>
          <w:sz w:val="20"/>
          <w:szCs w:val="24"/>
          <w:rtl/>
        </w:rPr>
        <w:t xml:space="preserve"> </w:t>
      </w:r>
      <w:r w:rsidRPr="00B30F06">
        <w:rPr>
          <w:rFonts w:ascii="Simplified Arabic" w:hAnsi="Simplified Arabic" w:hint="cs"/>
          <w:sz w:val="20"/>
          <w:szCs w:val="24"/>
          <w:rtl/>
        </w:rPr>
        <w:t>المالي</w:t>
      </w:r>
      <w:r w:rsidRPr="00B30F06">
        <w:rPr>
          <w:sz w:val="20"/>
          <w:szCs w:val="24"/>
          <w:rtl/>
        </w:rPr>
        <w:t xml:space="preserve"> </w:t>
      </w:r>
      <w:r w:rsidRPr="00B30F06">
        <w:rPr>
          <w:rFonts w:ascii="Simplified Arabic" w:hAnsi="Simplified Arabic" w:hint="cs"/>
          <w:sz w:val="20"/>
          <w:szCs w:val="24"/>
          <w:rtl/>
        </w:rPr>
        <w:t>مع</w:t>
      </w:r>
      <w:r w:rsidRPr="00B30F06">
        <w:rPr>
          <w:sz w:val="20"/>
          <w:szCs w:val="24"/>
          <w:rtl/>
        </w:rPr>
        <w:t xml:space="preserve"> </w:t>
      </w:r>
      <w:r w:rsidRPr="00B30F06">
        <w:rPr>
          <w:rFonts w:ascii="Simplified Arabic" w:hAnsi="Simplified Arabic" w:hint="cs"/>
          <w:sz w:val="20"/>
          <w:szCs w:val="24"/>
          <w:rtl/>
        </w:rPr>
        <w:t>المشاريع</w:t>
      </w:r>
      <w:r w:rsidRPr="00B30F06">
        <w:rPr>
          <w:sz w:val="20"/>
          <w:szCs w:val="24"/>
          <w:rtl/>
        </w:rPr>
        <w:t xml:space="preserve"> </w:t>
      </w:r>
      <w:r w:rsidRPr="00B30F06">
        <w:rPr>
          <w:rFonts w:ascii="Simplified Arabic" w:hAnsi="Simplified Arabic" w:hint="cs"/>
          <w:sz w:val="20"/>
          <w:szCs w:val="24"/>
          <w:rtl/>
        </w:rPr>
        <w:t>الناشئة</w:t>
      </w:r>
      <w:r w:rsidRPr="00B30F06">
        <w:rPr>
          <w:sz w:val="20"/>
          <w:szCs w:val="24"/>
          <w:rtl/>
        </w:rPr>
        <w:t xml:space="preserve"> </w:t>
      </w:r>
      <w:r w:rsidRPr="00B30F06">
        <w:rPr>
          <w:rFonts w:ascii="Simplified Arabic" w:hAnsi="Simplified Arabic" w:hint="cs"/>
          <w:sz w:val="20"/>
          <w:szCs w:val="24"/>
          <w:rtl/>
        </w:rPr>
        <w:t>الممولة</w:t>
      </w:r>
      <w:r w:rsidRPr="00B30F06">
        <w:rPr>
          <w:sz w:val="20"/>
          <w:szCs w:val="24"/>
          <w:rtl/>
        </w:rPr>
        <w:t xml:space="preserve"> </w:t>
      </w:r>
      <w:r w:rsidRPr="00B30F06">
        <w:rPr>
          <w:rFonts w:ascii="Simplified Arabic" w:hAnsi="Simplified Arabic" w:hint="cs"/>
          <w:sz w:val="20"/>
          <w:szCs w:val="24"/>
          <w:rtl/>
        </w:rPr>
        <w:t>برأس</w:t>
      </w:r>
      <w:r w:rsidRPr="00B30F06">
        <w:rPr>
          <w:sz w:val="20"/>
          <w:szCs w:val="24"/>
          <w:rtl/>
        </w:rPr>
        <w:t xml:space="preserve"> </w:t>
      </w:r>
      <w:r w:rsidRPr="00B30F06">
        <w:rPr>
          <w:rFonts w:ascii="Simplified Arabic" w:hAnsi="Simplified Arabic" w:hint="cs"/>
          <w:sz w:val="20"/>
          <w:szCs w:val="24"/>
          <w:rtl/>
        </w:rPr>
        <w:t>المال</w:t>
      </w:r>
      <w:r w:rsidR="00C80EA4" w:rsidRPr="00B30F06">
        <w:rPr>
          <w:sz w:val="20"/>
          <w:szCs w:val="24"/>
          <w:rtl/>
        </w:rPr>
        <w:t xml:space="preserve">. ويواجه المبتكرون في مجال </w:t>
      </w:r>
      <w:r w:rsidRPr="00B30F06">
        <w:rPr>
          <w:rFonts w:hint="cs"/>
          <w:sz w:val="20"/>
          <w:szCs w:val="24"/>
          <w:rtl/>
        </w:rPr>
        <w:t>المنتجات</w:t>
      </w:r>
      <w:r w:rsidR="00C80EA4" w:rsidRPr="00B30F06">
        <w:rPr>
          <w:sz w:val="20"/>
          <w:szCs w:val="24"/>
          <w:rtl/>
        </w:rPr>
        <w:t xml:space="preserve"> الصيدلانية </w:t>
      </w:r>
      <w:r w:rsidRPr="00B30F06">
        <w:rPr>
          <w:rFonts w:hint="cs"/>
          <w:sz w:val="20"/>
          <w:szCs w:val="24"/>
          <w:rtl/>
        </w:rPr>
        <w:t>الحيوية</w:t>
      </w:r>
      <w:r w:rsidR="00C80EA4" w:rsidRPr="00B30F06">
        <w:rPr>
          <w:sz w:val="20"/>
          <w:szCs w:val="24"/>
          <w:rtl/>
        </w:rPr>
        <w:t xml:space="preserve"> تكاليف تطوير ومخاطر إخفاق مماثلة لتلك التي يواجهها المبتكرون في مجال </w:t>
      </w:r>
      <w:r w:rsidRPr="00B30F06">
        <w:rPr>
          <w:rFonts w:hint="cs"/>
          <w:sz w:val="20"/>
          <w:szCs w:val="24"/>
          <w:rtl/>
        </w:rPr>
        <w:t>المنتجات</w:t>
      </w:r>
      <w:r w:rsidR="00C80EA4" w:rsidRPr="00B30F06">
        <w:rPr>
          <w:sz w:val="20"/>
          <w:szCs w:val="24"/>
          <w:rtl/>
        </w:rPr>
        <w:t xml:space="preserve"> الصيدلانية، وهو ما يجعل عدم اليقين التنظيمي وعدم اليقين بشأن مسار المعدلات شاغلا ذا شأن بالنسبة لهذه الفئة الفرعية على وجه الخصوص.</w:t>
      </w:r>
    </w:p>
    <w:p w14:paraId="34A95AE0" w14:textId="49B83447" w:rsidR="00C80EA4" w:rsidRPr="00B30F06" w:rsidRDefault="00C80EA4" w:rsidP="001238B7">
      <w:pPr>
        <w:pStyle w:val="CBDNormalNumber"/>
        <w:numPr>
          <w:ilvl w:val="0"/>
          <w:numId w:val="15"/>
        </w:numPr>
        <w:bidi/>
        <w:rPr>
          <w:sz w:val="20"/>
          <w:szCs w:val="24"/>
          <w:rtl/>
        </w:rPr>
      </w:pPr>
      <w:r w:rsidRPr="00B30F06">
        <w:rPr>
          <w:sz w:val="20"/>
          <w:szCs w:val="24"/>
          <w:rtl/>
        </w:rPr>
        <w:t>ولا تساهم خدمات المعلومات والذكاء الاصطناعي (</w:t>
      </w:r>
      <w:r w:rsidR="007215D0" w:rsidRPr="00B30F06">
        <w:rPr>
          <w:rFonts w:hint="cs"/>
          <w:sz w:val="20"/>
          <w:szCs w:val="24"/>
          <w:rtl/>
        </w:rPr>
        <w:t>5,217</w:t>
      </w:r>
      <w:r w:rsidRPr="00B30F06">
        <w:rPr>
          <w:sz w:val="20"/>
          <w:szCs w:val="24"/>
          <w:rtl/>
        </w:rPr>
        <w:t xml:space="preserve"> شركة، وهي أكبر </w:t>
      </w:r>
      <w:r w:rsidR="007215D0" w:rsidRPr="00B30F06">
        <w:rPr>
          <w:rFonts w:hint="cs"/>
          <w:sz w:val="20"/>
          <w:szCs w:val="24"/>
          <w:rtl/>
        </w:rPr>
        <w:t>شريحة مؤهلة في جميع</w:t>
      </w:r>
      <w:r w:rsidRPr="00B30F06">
        <w:rPr>
          <w:sz w:val="20"/>
          <w:szCs w:val="24"/>
          <w:rtl/>
        </w:rPr>
        <w:t xml:space="preserve"> </w:t>
      </w:r>
      <w:r w:rsidR="007215D0" w:rsidRPr="00B30F06">
        <w:rPr>
          <w:rFonts w:hint="cs"/>
          <w:sz w:val="20"/>
          <w:szCs w:val="24"/>
          <w:rtl/>
        </w:rPr>
        <w:t>ال</w:t>
      </w:r>
      <w:r w:rsidRPr="00B30F06">
        <w:rPr>
          <w:sz w:val="20"/>
          <w:szCs w:val="24"/>
          <w:rtl/>
        </w:rPr>
        <w:t>قطاع</w:t>
      </w:r>
      <w:r w:rsidR="007215D0" w:rsidRPr="00B30F06">
        <w:rPr>
          <w:rFonts w:hint="cs"/>
          <w:sz w:val="20"/>
          <w:szCs w:val="24"/>
          <w:rtl/>
        </w:rPr>
        <w:t>ات</w:t>
      </w:r>
      <w:r w:rsidRPr="00B30F06">
        <w:rPr>
          <w:sz w:val="20"/>
          <w:szCs w:val="24"/>
          <w:rtl/>
        </w:rPr>
        <w:t xml:space="preserve">) إلا بنسبة 11.1 في </w:t>
      </w:r>
      <w:proofErr w:type="gramStart"/>
      <w:r w:rsidRPr="00B30F06">
        <w:rPr>
          <w:sz w:val="20"/>
          <w:szCs w:val="24"/>
          <w:rtl/>
        </w:rPr>
        <w:t>المائة</w:t>
      </w:r>
      <w:proofErr w:type="gramEnd"/>
      <w:r w:rsidRPr="00B30F06">
        <w:rPr>
          <w:sz w:val="20"/>
          <w:szCs w:val="24"/>
          <w:rtl/>
        </w:rPr>
        <w:t xml:space="preserve"> من إيرادات السيناريو المركزي، </w:t>
      </w:r>
      <w:r w:rsidR="007215D0" w:rsidRPr="00B30F06">
        <w:rPr>
          <w:rFonts w:hint="cs"/>
          <w:sz w:val="20"/>
          <w:szCs w:val="24"/>
          <w:rtl/>
        </w:rPr>
        <w:t>انخفاضاً</w:t>
      </w:r>
      <w:r w:rsidRPr="00B30F06">
        <w:rPr>
          <w:sz w:val="20"/>
          <w:szCs w:val="24"/>
          <w:rtl/>
        </w:rPr>
        <w:t xml:space="preserve"> من 25.2 في </w:t>
      </w:r>
      <w:proofErr w:type="gramStart"/>
      <w:r w:rsidRPr="00B30F06">
        <w:rPr>
          <w:sz w:val="20"/>
          <w:szCs w:val="24"/>
          <w:rtl/>
        </w:rPr>
        <w:t>المائة</w:t>
      </w:r>
      <w:proofErr w:type="gramEnd"/>
      <w:r w:rsidRPr="00B30F06">
        <w:rPr>
          <w:sz w:val="20"/>
          <w:szCs w:val="24"/>
          <w:rtl/>
        </w:rPr>
        <w:t xml:space="preserve"> في </w:t>
      </w:r>
      <w:r w:rsidR="007215D0" w:rsidRPr="00B30F06">
        <w:rPr>
          <w:rFonts w:hint="cs"/>
          <w:sz w:val="20"/>
          <w:szCs w:val="24"/>
          <w:rtl/>
        </w:rPr>
        <w:t>ظل</w:t>
      </w:r>
      <w:r w:rsidRPr="00B30F06">
        <w:rPr>
          <w:sz w:val="20"/>
          <w:szCs w:val="24"/>
          <w:rtl/>
        </w:rPr>
        <w:t xml:space="preserve"> سيناريو الامتثال الكامل، وهو أكبر انخفاض من </w:t>
      </w:r>
      <w:r w:rsidR="007215D0" w:rsidRPr="00B30F06">
        <w:rPr>
          <w:rFonts w:hint="cs"/>
          <w:sz w:val="20"/>
          <w:szCs w:val="24"/>
          <w:rtl/>
        </w:rPr>
        <w:t>نوعه</w:t>
      </w:r>
      <w:r w:rsidRPr="00B30F06">
        <w:rPr>
          <w:sz w:val="20"/>
          <w:szCs w:val="24"/>
          <w:rtl/>
        </w:rPr>
        <w:t xml:space="preserve"> في أي قطاع، وتسجل أعلى حصة من </w:t>
      </w:r>
      <w:r w:rsidR="007215D0" w:rsidRPr="00B30F06">
        <w:rPr>
          <w:rFonts w:hint="cs"/>
          <w:sz w:val="20"/>
          <w:szCs w:val="24"/>
          <w:rtl/>
        </w:rPr>
        <w:t>الشركات</w:t>
      </w:r>
      <w:r w:rsidRPr="00B30F06">
        <w:rPr>
          <w:sz w:val="20"/>
          <w:szCs w:val="24"/>
          <w:rtl/>
        </w:rPr>
        <w:t xml:space="preserve"> غير المساهِمة. وتهيمن على الشريحة العليا من هذا القطاع، وهي الخدمات السحابية والبنية التحتية للبيانات الداعمة لسير عمل الجينوميات، ثلاث جهات مقدِّمة للخدمات تتخذ مقارها في الولايات المتحدة وتسيطر على ما يقدَّر بنحو 63 في </w:t>
      </w:r>
      <w:proofErr w:type="gramStart"/>
      <w:r w:rsidRPr="00B30F06">
        <w:rPr>
          <w:sz w:val="20"/>
          <w:szCs w:val="24"/>
          <w:rtl/>
        </w:rPr>
        <w:t>المائة</w:t>
      </w:r>
      <w:proofErr w:type="gramEnd"/>
      <w:r w:rsidRPr="00B30F06">
        <w:rPr>
          <w:sz w:val="20"/>
          <w:szCs w:val="24"/>
          <w:rtl/>
        </w:rPr>
        <w:t xml:space="preserve"> من السوق العالمية، وهو ما يجعل هذا القطاع أعلى القطاعات المدرجة في الضميمة الأولى بمرفق المقرر </w:t>
      </w:r>
      <w:hyperlink r:id="rId36" w:history="1">
        <w:r w:rsidR="007215D0" w:rsidRPr="00B30F06">
          <w:rPr>
            <w:rStyle w:val="Hyperlink"/>
            <w:rFonts w:hint="cs"/>
            <w:sz w:val="20"/>
            <w:szCs w:val="24"/>
            <w:rtl/>
          </w:rPr>
          <w:t>16/2</w:t>
        </w:r>
      </w:hyperlink>
      <w:r w:rsidRPr="00B30F06">
        <w:rPr>
          <w:sz w:val="20"/>
          <w:szCs w:val="24"/>
          <w:rtl/>
        </w:rPr>
        <w:t xml:space="preserve"> من حيث عدم التماثل التنافسي مع غير الأطراف. كما تثير البيانات المتاحة عن هذا القطاع قدرا كبيرا من عدم اليقين بشأن ما يشكّل نشاطا مستمدا من معلومات التسلسل الرقمي بشأن الموارد الجينية لأغراض الأهلية.</w:t>
      </w:r>
    </w:p>
    <w:p w14:paraId="601019C4" w14:textId="7DFA8B8E" w:rsidR="00C80EA4" w:rsidRPr="00B30F06" w:rsidRDefault="00C80EA4" w:rsidP="001238B7">
      <w:pPr>
        <w:pStyle w:val="CBDNormalNumber"/>
        <w:numPr>
          <w:ilvl w:val="0"/>
          <w:numId w:val="15"/>
        </w:numPr>
        <w:bidi/>
        <w:rPr>
          <w:sz w:val="20"/>
          <w:szCs w:val="24"/>
          <w:rtl/>
        </w:rPr>
      </w:pPr>
      <w:r w:rsidRPr="00B30F06">
        <w:rPr>
          <w:sz w:val="20"/>
          <w:szCs w:val="24"/>
          <w:rtl/>
        </w:rPr>
        <w:t>ويسجل قطاع تربية الحيوانات والنباتات (</w:t>
      </w:r>
      <w:r w:rsidR="001A646B" w:rsidRPr="00B30F06">
        <w:rPr>
          <w:rFonts w:hint="cs"/>
          <w:sz w:val="20"/>
          <w:szCs w:val="24"/>
          <w:rtl/>
        </w:rPr>
        <w:t>4,256</w:t>
      </w:r>
      <w:r w:rsidRPr="00B30F06">
        <w:rPr>
          <w:sz w:val="20"/>
          <w:szCs w:val="24"/>
          <w:rtl/>
        </w:rPr>
        <w:t xml:space="preserve"> شركة؛ 6.8 في </w:t>
      </w:r>
      <w:proofErr w:type="gramStart"/>
      <w:r w:rsidRPr="00B30F06">
        <w:rPr>
          <w:sz w:val="20"/>
          <w:szCs w:val="24"/>
          <w:rtl/>
        </w:rPr>
        <w:t>المائة</w:t>
      </w:r>
      <w:proofErr w:type="gramEnd"/>
      <w:r w:rsidRPr="00B30F06">
        <w:rPr>
          <w:sz w:val="20"/>
          <w:szCs w:val="24"/>
          <w:rtl/>
        </w:rPr>
        <w:t xml:space="preserve">) أوسع </w:t>
      </w:r>
      <w:r w:rsidR="001A646B" w:rsidRPr="00B30F06">
        <w:rPr>
          <w:rFonts w:hint="cs"/>
          <w:sz w:val="20"/>
          <w:szCs w:val="24"/>
          <w:rtl/>
        </w:rPr>
        <w:t>نطاق</w:t>
      </w:r>
      <w:r w:rsidRPr="00B30F06">
        <w:rPr>
          <w:sz w:val="20"/>
          <w:szCs w:val="24"/>
          <w:rtl/>
        </w:rPr>
        <w:t xml:space="preserve"> ربعي في الربحية بين جميع القطاعات، من 0.5 إلى 17.8 في </w:t>
      </w:r>
      <w:proofErr w:type="gramStart"/>
      <w:r w:rsidRPr="00B30F06">
        <w:rPr>
          <w:sz w:val="20"/>
          <w:szCs w:val="24"/>
          <w:rtl/>
        </w:rPr>
        <w:t>المائة</w:t>
      </w:r>
      <w:proofErr w:type="gramEnd"/>
      <w:r w:rsidRPr="00B30F06">
        <w:rPr>
          <w:sz w:val="20"/>
          <w:szCs w:val="24"/>
          <w:rtl/>
        </w:rPr>
        <w:t>، وهو ما يعني أن الأرقام الإجمالية أقل تمثيلا لتجربة فرادى الشركات في هذا القطاع منها في غيره. و</w:t>
      </w:r>
      <w:r w:rsidR="001A646B" w:rsidRPr="00B30F06">
        <w:rPr>
          <w:rFonts w:hint="cs"/>
          <w:sz w:val="20"/>
          <w:szCs w:val="24"/>
          <w:rtl/>
        </w:rPr>
        <w:t>تتميز تربية</w:t>
      </w:r>
      <w:r w:rsidRPr="00B30F06">
        <w:rPr>
          <w:sz w:val="20"/>
          <w:szCs w:val="24"/>
          <w:rtl/>
        </w:rPr>
        <w:t xml:space="preserve"> النباتات للمحاصيل الحقلية الرئيسية </w:t>
      </w:r>
      <w:r w:rsidR="001A646B" w:rsidRPr="00B30F06">
        <w:rPr>
          <w:rFonts w:hint="cs"/>
          <w:sz w:val="20"/>
          <w:szCs w:val="24"/>
          <w:rtl/>
        </w:rPr>
        <w:t>ب</w:t>
      </w:r>
      <w:r w:rsidRPr="00B30F06">
        <w:rPr>
          <w:sz w:val="20"/>
          <w:szCs w:val="24"/>
          <w:rtl/>
        </w:rPr>
        <w:t>ترك</w:t>
      </w:r>
      <w:r w:rsidR="001A646B" w:rsidRPr="00B30F06">
        <w:rPr>
          <w:rFonts w:hint="cs"/>
          <w:sz w:val="20"/>
          <w:szCs w:val="24"/>
          <w:rtl/>
        </w:rPr>
        <w:t>ي</w:t>
      </w:r>
      <w:r w:rsidRPr="00B30F06">
        <w:rPr>
          <w:sz w:val="20"/>
          <w:szCs w:val="24"/>
          <w:rtl/>
        </w:rPr>
        <w:t>ز</w:t>
      </w:r>
      <w:r w:rsidR="001A646B" w:rsidRPr="00B30F06">
        <w:rPr>
          <w:rFonts w:hint="cs"/>
          <w:sz w:val="20"/>
          <w:szCs w:val="24"/>
          <w:rtl/>
        </w:rPr>
        <w:t xml:space="preserve"> عالٍ</w:t>
      </w:r>
      <w:r w:rsidRPr="00B30F06">
        <w:rPr>
          <w:sz w:val="20"/>
          <w:szCs w:val="24"/>
          <w:rtl/>
        </w:rPr>
        <w:t xml:space="preserve">، إذ تستحوذ أكبر خمس شركات عالمية على ما يقدَّر بنحو 42.5 في </w:t>
      </w:r>
      <w:proofErr w:type="gramStart"/>
      <w:r w:rsidRPr="00B30F06">
        <w:rPr>
          <w:sz w:val="20"/>
          <w:szCs w:val="24"/>
          <w:rtl/>
        </w:rPr>
        <w:t>المائة</w:t>
      </w:r>
      <w:proofErr w:type="gramEnd"/>
      <w:r w:rsidRPr="00B30F06">
        <w:rPr>
          <w:sz w:val="20"/>
          <w:szCs w:val="24"/>
          <w:rtl/>
        </w:rPr>
        <w:t xml:space="preserve"> من السوق، ويواجه القطاع احتمال تراكم الالتزامات مستقبلا مع المعاهدة الدولية بشأن الموارد الوراثية النباتية للأغذية والزراعة، التي ت</w:t>
      </w:r>
      <w:r w:rsidR="001A646B" w:rsidRPr="00B30F06">
        <w:rPr>
          <w:rFonts w:hint="cs"/>
          <w:sz w:val="20"/>
          <w:szCs w:val="24"/>
          <w:rtl/>
        </w:rPr>
        <w:t>نظم</w:t>
      </w:r>
      <w:r w:rsidRPr="00B30F06">
        <w:rPr>
          <w:sz w:val="20"/>
          <w:szCs w:val="24"/>
          <w:rtl/>
        </w:rPr>
        <w:t xml:space="preserve"> </w:t>
      </w:r>
      <w:r w:rsidR="001A646B" w:rsidRPr="00B30F06">
        <w:rPr>
          <w:rFonts w:hint="cs"/>
          <w:sz w:val="20"/>
          <w:szCs w:val="24"/>
          <w:rtl/>
        </w:rPr>
        <w:t>العديد من</w:t>
      </w:r>
      <w:r w:rsidRPr="00B30F06">
        <w:rPr>
          <w:sz w:val="20"/>
          <w:szCs w:val="24"/>
          <w:rtl/>
        </w:rPr>
        <w:t xml:space="preserve"> أنواع المحاصيل نفسها.</w:t>
      </w:r>
    </w:p>
    <w:p w14:paraId="64B95E99" w14:textId="6218ADE2" w:rsidR="00C80EA4" w:rsidRPr="00B30F06" w:rsidRDefault="00C80EA4" w:rsidP="001238B7">
      <w:pPr>
        <w:pStyle w:val="CBDNormalNumber"/>
        <w:numPr>
          <w:ilvl w:val="0"/>
          <w:numId w:val="15"/>
        </w:numPr>
        <w:bidi/>
        <w:rPr>
          <w:sz w:val="20"/>
          <w:szCs w:val="24"/>
          <w:rtl/>
        </w:rPr>
      </w:pPr>
      <w:r w:rsidRPr="00B30F06">
        <w:rPr>
          <w:sz w:val="20"/>
          <w:szCs w:val="24"/>
          <w:rtl/>
        </w:rPr>
        <w:t>و</w:t>
      </w:r>
      <w:r w:rsidR="00BF4BC0" w:rsidRPr="00B30F06">
        <w:rPr>
          <w:rFonts w:hint="cs"/>
          <w:sz w:val="20"/>
          <w:szCs w:val="24"/>
          <w:rtl/>
        </w:rPr>
        <w:t>ي</w:t>
      </w:r>
      <w:r w:rsidRPr="00B30F06">
        <w:rPr>
          <w:sz w:val="20"/>
          <w:szCs w:val="24"/>
          <w:rtl/>
        </w:rPr>
        <w:t xml:space="preserve">تنافس </w:t>
      </w:r>
      <w:r w:rsidR="00BF4BC0" w:rsidRPr="00B30F06">
        <w:rPr>
          <w:rFonts w:hint="cs"/>
          <w:sz w:val="20"/>
          <w:szCs w:val="24"/>
          <w:rtl/>
        </w:rPr>
        <w:t xml:space="preserve">قطاع </w:t>
      </w:r>
      <w:r w:rsidRPr="00B30F06">
        <w:rPr>
          <w:sz w:val="20"/>
          <w:szCs w:val="24"/>
          <w:rtl/>
        </w:rPr>
        <w:t>معدات المختبرات (</w:t>
      </w:r>
      <w:r w:rsidR="00BF4BC0" w:rsidRPr="00B30F06">
        <w:rPr>
          <w:rFonts w:hint="cs"/>
          <w:sz w:val="20"/>
          <w:szCs w:val="24"/>
          <w:rtl/>
        </w:rPr>
        <w:t>2,846</w:t>
      </w:r>
      <w:r w:rsidRPr="00B30F06">
        <w:rPr>
          <w:sz w:val="20"/>
          <w:szCs w:val="24"/>
          <w:rtl/>
        </w:rPr>
        <w:t xml:space="preserve"> شركة؛ 5 في </w:t>
      </w:r>
      <w:proofErr w:type="gramStart"/>
      <w:r w:rsidRPr="00B30F06">
        <w:rPr>
          <w:sz w:val="20"/>
          <w:szCs w:val="24"/>
          <w:rtl/>
        </w:rPr>
        <w:t>المائة</w:t>
      </w:r>
      <w:proofErr w:type="gramEnd"/>
      <w:r w:rsidRPr="00B30F06">
        <w:rPr>
          <w:sz w:val="20"/>
          <w:szCs w:val="24"/>
          <w:rtl/>
        </w:rPr>
        <w:t xml:space="preserve">) من خلال منصات متكاملة تجمع بين الأجهزة والمواد الاستهلاكية وعقود الخدمات </w:t>
      </w:r>
      <w:r w:rsidR="00BF4BC0" w:rsidRPr="00B30F06">
        <w:rPr>
          <w:rFonts w:hint="cs"/>
          <w:sz w:val="20"/>
          <w:szCs w:val="24"/>
          <w:rtl/>
        </w:rPr>
        <w:t>ب</w:t>
      </w:r>
      <w:r w:rsidR="00BF4BC0" w:rsidRPr="00B30F06">
        <w:rPr>
          <w:sz w:val="20"/>
          <w:szCs w:val="24"/>
          <w:rtl/>
        </w:rPr>
        <w:t>دلاً من الاعتماد على مبيعات المعدات لمرة واحدة،</w:t>
      </w:r>
      <w:r w:rsidRPr="00B30F06">
        <w:rPr>
          <w:sz w:val="20"/>
          <w:szCs w:val="24"/>
          <w:rtl/>
        </w:rPr>
        <w:t xml:space="preserve"> وهي أقرب من أي قطاع آخر قائم على الأرباح إلى عتبة </w:t>
      </w:r>
      <w:r w:rsidR="00BF4BC0" w:rsidRPr="00B30F06">
        <w:rPr>
          <w:rFonts w:hint="cs"/>
          <w:sz w:val="20"/>
          <w:szCs w:val="24"/>
          <w:rtl/>
        </w:rPr>
        <w:t>عدم الاكتراث</w:t>
      </w:r>
      <w:r w:rsidRPr="00B30F06">
        <w:rPr>
          <w:sz w:val="20"/>
          <w:szCs w:val="24"/>
          <w:rtl/>
        </w:rPr>
        <w:t xml:space="preserve"> البالغة 10 في </w:t>
      </w:r>
      <w:proofErr w:type="gramStart"/>
      <w:r w:rsidRPr="00B30F06">
        <w:rPr>
          <w:sz w:val="20"/>
          <w:szCs w:val="24"/>
          <w:rtl/>
        </w:rPr>
        <w:t>المائة</w:t>
      </w:r>
      <w:proofErr w:type="gramEnd"/>
      <w:r w:rsidRPr="00B30F06">
        <w:rPr>
          <w:sz w:val="20"/>
          <w:szCs w:val="24"/>
          <w:rtl/>
        </w:rPr>
        <w:t xml:space="preserve"> بين الإيرادات والأرباح، وهو ما يعني أن </w:t>
      </w:r>
      <w:r w:rsidR="00BF4BC0" w:rsidRPr="00B30F06">
        <w:rPr>
          <w:rFonts w:hint="cs"/>
          <w:sz w:val="20"/>
          <w:szCs w:val="24"/>
          <w:rtl/>
        </w:rPr>
        <w:t>نسبة كبيرة</w:t>
      </w:r>
      <w:r w:rsidRPr="00B30F06">
        <w:rPr>
          <w:sz w:val="20"/>
          <w:szCs w:val="24"/>
          <w:rtl/>
        </w:rPr>
        <w:t xml:space="preserve"> من الشركات يمكنها الدفع على</w:t>
      </w:r>
      <w:r w:rsidR="00BF4BC0" w:rsidRPr="00B30F06">
        <w:rPr>
          <w:rFonts w:hint="cs"/>
          <w:sz w:val="20"/>
          <w:szCs w:val="24"/>
          <w:rtl/>
        </w:rPr>
        <w:t xml:space="preserve"> أساس</w:t>
      </w:r>
      <w:r w:rsidRPr="00B30F06">
        <w:rPr>
          <w:sz w:val="20"/>
          <w:szCs w:val="24"/>
          <w:rtl/>
        </w:rPr>
        <w:t xml:space="preserve"> أي من القاعدتين. </w:t>
      </w:r>
      <w:r w:rsidR="00BF4BC0" w:rsidRPr="00B30F06">
        <w:rPr>
          <w:sz w:val="20"/>
          <w:szCs w:val="24"/>
          <w:rtl/>
        </w:rPr>
        <w:t>وتُعدّ شركات التسلسل ومنصات الجزيئات ضمن هذا القطاع</w:t>
      </w:r>
      <w:r w:rsidR="00BF4BC0" w:rsidRPr="00B30F06">
        <w:rPr>
          <w:rFonts w:hint="cs"/>
          <w:sz w:val="20"/>
          <w:szCs w:val="24"/>
          <w:rtl/>
        </w:rPr>
        <w:t xml:space="preserve"> </w:t>
      </w:r>
      <w:r w:rsidRPr="00B30F06">
        <w:rPr>
          <w:sz w:val="20"/>
          <w:szCs w:val="24"/>
          <w:rtl/>
        </w:rPr>
        <w:t xml:space="preserve">هي أوضح المستخدمين المباشرين لمعلومات التسلسل الرقمي بشأن الموارد الجينية وأوضحهم من حيث الأهلية؛ </w:t>
      </w:r>
      <w:r w:rsidR="00BF4BC0" w:rsidRPr="00B30F06">
        <w:rPr>
          <w:sz w:val="20"/>
          <w:szCs w:val="24"/>
          <w:rtl/>
        </w:rPr>
        <w:t>ويتسم القطاع ككل بتركيز عالٍ، مع ما يترتب على ذلك من ضغط على هوامش الربح لدى المنافسين الأصغر حجماً المتبقين</w:t>
      </w:r>
      <w:r w:rsidRPr="00B30F06">
        <w:rPr>
          <w:sz w:val="20"/>
          <w:szCs w:val="24"/>
          <w:rtl/>
        </w:rPr>
        <w:t>.</w:t>
      </w:r>
    </w:p>
    <w:p w14:paraId="366F1116" w14:textId="79169502" w:rsidR="00C80EA4" w:rsidRPr="00B30F06" w:rsidRDefault="00C80EA4" w:rsidP="001238B7">
      <w:pPr>
        <w:pStyle w:val="CBDNormalNumber"/>
        <w:numPr>
          <w:ilvl w:val="0"/>
          <w:numId w:val="15"/>
        </w:numPr>
        <w:bidi/>
        <w:rPr>
          <w:sz w:val="20"/>
          <w:szCs w:val="24"/>
          <w:rtl/>
        </w:rPr>
      </w:pPr>
      <w:r w:rsidRPr="00B30F06">
        <w:rPr>
          <w:sz w:val="20"/>
          <w:szCs w:val="24"/>
          <w:rtl/>
        </w:rPr>
        <w:t>و</w:t>
      </w:r>
      <w:r w:rsidR="00596AB1" w:rsidRPr="00B30F06">
        <w:rPr>
          <w:rFonts w:hint="cs"/>
          <w:sz w:val="20"/>
          <w:szCs w:val="24"/>
          <w:rtl/>
        </w:rPr>
        <w:t>يتميز قطاع ا</w:t>
      </w:r>
      <w:r w:rsidRPr="00B30F06">
        <w:rPr>
          <w:sz w:val="20"/>
          <w:szCs w:val="24"/>
          <w:rtl/>
        </w:rPr>
        <w:t>لمغذيات الدوائية (</w:t>
      </w:r>
      <w:r w:rsidR="00596AB1" w:rsidRPr="00B30F06">
        <w:rPr>
          <w:rFonts w:hint="cs"/>
          <w:sz w:val="20"/>
          <w:szCs w:val="24"/>
          <w:rtl/>
        </w:rPr>
        <w:t>1,513</w:t>
      </w:r>
      <w:r w:rsidRPr="00B30F06">
        <w:rPr>
          <w:sz w:val="20"/>
          <w:szCs w:val="24"/>
          <w:rtl/>
        </w:rPr>
        <w:t xml:space="preserve"> شركة؛ 4.7 في </w:t>
      </w:r>
      <w:proofErr w:type="gramStart"/>
      <w:r w:rsidRPr="00B30F06">
        <w:rPr>
          <w:sz w:val="20"/>
          <w:szCs w:val="24"/>
          <w:rtl/>
        </w:rPr>
        <w:t>المائة</w:t>
      </w:r>
      <w:proofErr w:type="gramEnd"/>
      <w:r w:rsidRPr="00B30F06">
        <w:rPr>
          <w:sz w:val="20"/>
          <w:szCs w:val="24"/>
          <w:rtl/>
        </w:rPr>
        <w:t xml:space="preserve">) </w:t>
      </w:r>
      <w:r w:rsidR="00596AB1" w:rsidRPr="00B30F06">
        <w:rPr>
          <w:sz w:val="20"/>
          <w:szCs w:val="24"/>
          <w:rtl/>
        </w:rPr>
        <w:t xml:space="preserve">بأدنى هامش ربح متوسط </w:t>
      </w:r>
      <w:r w:rsidR="00596AB1" w:rsidRPr="00B30F06">
        <w:rPr>
          <w:rFonts w:ascii="Simplified Arabic" w:hAnsi="Simplified Arabic" w:hint="cs"/>
          <w:sz w:val="20"/>
          <w:szCs w:val="24"/>
          <w:rtl/>
        </w:rPr>
        <w:t>بين</w:t>
      </w:r>
      <w:r w:rsidR="00596AB1" w:rsidRPr="00B30F06">
        <w:rPr>
          <w:sz w:val="20"/>
          <w:szCs w:val="24"/>
          <w:rtl/>
        </w:rPr>
        <w:t xml:space="preserve"> </w:t>
      </w:r>
      <w:r w:rsidR="00596AB1" w:rsidRPr="00B30F06">
        <w:rPr>
          <w:rFonts w:ascii="Simplified Arabic" w:hAnsi="Simplified Arabic" w:hint="cs"/>
          <w:sz w:val="20"/>
          <w:szCs w:val="24"/>
          <w:rtl/>
        </w:rPr>
        <w:t>جميع</w:t>
      </w:r>
      <w:r w:rsidR="00596AB1" w:rsidRPr="00B30F06">
        <w:rPr>
          <w:sz w:val="20"/>
          <w:szCs w:val="24"/>
          <w:rtl/>
        </w:rPr>
        <w:t xml:space="preserve"> </w:t>
      </w:r>
      <w:r w:rsidR="00596AB1" w:rsidRPr="00B30F06">
        <w:rPr>
          <w:rFonts w:ascii="Simplified Arabic" w:hAnsi="Simplified Arabic" w:hint="cs"/>
          <w:sz w:val="20"/>
          <w:szCs w:val="24"/>
          <w:rtl/>
        </w:rPr>
        <w:t>القطاعات</w:t>
      </w:r>
      <w:r w:rsidRPr="00B30F06">
        <w:rPr>
          <w:sz w:val="20"/>
          <w:szCs w:val="24"/>
          <w:rtl/>
        </w:rPr>
        <w:t xml:space="preserve">، </w:t>
      </w:r>
      <w:r w:rsidR="00594352" w:rsidRPr="00B30F06">
        <w:rPr>
          <w:rFonts w:hint="cs"/>
          <w:sz w:val="20"/>
          <w:szCs w:val="24"/>
          <w:rtl/>
        </w:rPr>
        <w:t>بنسبة</w:t>
      </w:r>
      <w:r w:rsidRPr="00B30F06">
        <w:rPr>
          <w:sz w:val="20"/>
          <w:szCs w:val="24"/>
          <w:rtl/>
        </w:rPr>
        <w:t xml:space="preserve"> 4 في </w:t>
      </w:r>
      <w:proofErr w:type="gramStart"/>
      <w:r w:rsidRPr="00B30F06">
        <w:rPr>
          <w:sz w:val="20"/>
          <w:szCs w:val="24"/>
          <w:rtl/>
        </w:rPr>
        <w:t>المائة</w:t>
      </w:r>
      <w:proofErr w:type="gramEnd"/>
      <w:r w:rsidRPr="00B30F06">
        <w:rPr>
          <w:sz w:val="20"/>
          <w:szCs w:val="24"/>
          <w:rtl/>
        </w:rPr>
        <w:t xml:space="preserve">، ومن ثم تدفع جميع الشركات المؤهلة تقريبا على أساس الأرباح، </w:t>
      </w:r>
      <w:r w:rsidR="00594352" w:rsidRPr="00B30F06">
        <w:rPr>
          <w:sz w:val="20"/>
          <w:szCs w:val="24"/>
          <w:rtl/>
        </w:rPr>
        <w:t>و</w:t>
      </w:r>
      <w:r w:rsidR="00594352" w:rsidRPr="00B30F06">
        <w:rPr>
          <w:rFonts w:hint="cs"/>
          <w:sz w:val="20"/>
          <w:szCs w:val="24"/>
          <w:rtl/>
        </w:rPr>
        <w:t>ي</w:t>
      </w:r>
      <w:r w:rsidR="00594352" w:rsidRPr="00B30F06">
        <w:rPr>
          <w:sz w:val="20"/>
          <w:szCs w:val="24"/>
          <w:rtl/>
        </w:rPr>
        <w:t xml:space="preserve">برز هنا بشكل خاص </w:t>
      </w:r>
      <w:r w:rsidR="00594352" w:rsidRPr="00B30F06">
        <w:rPr>
          <w:rFonts w:hint="cs"/>
          <w:sz w:val="20"/>
          <w:szCs w:val="24"/>
          <w:rtl/>
        </w:rPr>
        <w:t>الشاغل المتعلق</w:t>
      </w:r>
      <w:r w:rsidR="00594352" w:rsidRPr="00B30F06">
        <w:rPr>
          <w:sz w:val="20"/>
          <w:szCs w:val="24"/>
          <w:rtl/>
        </w:rPr>
        <w:t xml:space="preserve"> </w:t>
      </w:r>
      <w:r w:rsidR="00594352" w:rsidRPr="00B30F06">
        <w:rPr>
          <w:rFonts w:hint="cs"/>
          <w:sz w:val="20"/>
          <w:szCs w:val="24"/>
          <w:rtl/>
        </w:rPr>
        <w:t>ب</w:t>
      </w:r>
      <w:r w:rsidR="00594352" w:rsidRPr="00B30F06">
        <w:rPr>
          <w:sz w:val="20"/>
          <w:szCs w:val="24"/>
          <w:rtl/>
        </w:rPr>
        <w:t>التناسب</w:t>
      </w:r>
      <w:r w:rsidRPr="00B30F06">
        <w:rPr>
          <w:sz w:val="20"/>
          <w:szCs w:val="24"/>
          <w:rtl/>
        </w:rPr>
        <w:t xml:space="preserve">، أي أن الشركات تساهم على أساس مالي شامل بصرف النظر عن كثافة استخدام معلومات التسلسل الرقمي بشأن الموارد الجينية. ويتفاوت الاعتماد على معلومات التسلسل الرقمي بشأن الموارد الجينية تفاوتا كبيرا داخل القطاع؛ فمنتجو المكملات النباتية والمكملات القائمة على المعينات الحيوية أو </w:t>
      </w:r>
      <w:r w:rsidR="00594352" w:rsidRPr="00B30F06">
        <w:rPr>
          <w:rFonts w:hint="cs"/>
          <w:sz w:val="20"/>
          <w:szCs w:val="24"/>
          <w:rtl/>
        </w:rPr>
        <w:t>المكملات الميكروبية</w:t>
      </w:r>
      <w:r w:rsidRPr="00B30F06">
        <w:rPr>
          <w:sz w:val="20"/>
          <w:szCs w:val="24"/>
          <w:rtl/>
        </w:rPr>
        <w:t xml:space="preserve"> هم أوضح المستخدمين المباشرين لمعلومات التسلسل الرقمي بشأن الموارد الجينية، في حين </w:t>
      </w:r>
      <w:r w:rsidR="00594352" w:rsidRPr="00B30F06">
        <w:rPr>
          <w:rFonts w:hint="cs"/>
          <w:sz w:val="20"/>
          <w:szCs w:val="24"/>
          <w:rtl/>
        </w:rPr>
        <w:t>يرتبط قطاع</w:t>
      </w:r>
      <w:r w:rsidRPr="00B30F06">
        <w:rPr>
          <w:sz w:val="20"/>
          <w:szCs w:val="24"/>
          <w:rtl/>
        </w:rPr>
        <w:t xml:space="preserve"> الأغذية الوظيفية الأوسع ارتباطا</w:t>
      </w:r>
      <w:r w:rsidR="00594352" w:rsidRPr="00B30F06">
        <w:rPr>
          <w:sz w:val="20"/>
          <w:szCs w:val="24"/>
          <w:rtl/>
        </w:rPr>
        <w:t xml:space="preserve"> </w:t>
      </w:r>
      <w:r w:rsidR="00594352" w:rsidRPr="00B30F06">
        <w:rPr>
          <w:sz w:val="20"/>
          <w:szCs w:val="24"/>
          <w:rtl/>
        </w:rPr>
        <w:t>أضعف</w:t>
      </w:r>
      <w:r w:rsidRPr="00B30F06">
        <w:rPr>
          <w:sz w:val="20"/>
          <w:szCs w:val="24"/>
          <w:rtl/>
        </w:rPr>
        <w:t xml:space="preserve"> باستخدام معلومات التسلسل الرقمي بشأن الموارد الجينية.</w:t>
      </w:r>
    </w:p>
    <w:p w14:paraId="5DEF5C58" w14:textId="1177AA35" w:rsidR="00C80EA4" w:rsidRPr="00B30F06" w:rsidRDefault="00C80EA4" w:rsidP="001238B7">
      <w:pPr>
        <w:pStyle w:val="CBDNormalNumber"/>
        <w:numPr>
          <w:ilvl w:val="0"/>
          <w:numId w:val="15"/>
        </w:numPr>
        <w:bidi/>
        <w:rPr>
          <w:sz w:val="20"/>
          <w:szCs w:val="24"/>
          <w:rtl/>
        </w:rPr>
      </w:pPr>
      <w:r w:rsidRPr="00B30F06">
        <w:rPr>
          <w:sz w:val="20"/>
          <w:szCs w:val="24"/>
          <w:rtl/>
        </w:rPr>
        <w:t>و</w:t>
      </w:r>
      <w:r w:rsidR="00594352" w:rsidRPr="00B30F06">
        <w:rPr>
          <w:rFonts w:hint="cs"/>
          <w:sz w:val="20"/>
          <w:szCs w:val="24"/>
          <w:rtl/>
        </w:rPr>
        <w:t>ي</w:t>
      </w:r>
      <w:r w:rsidR="00594352" w:rsidRPr="00B30F06">
        <w:rPr>
          <w:sz w:val="20"/>
          <w:szCs w:val="24"/>
          <w:rtl/>
        </w:rPr>
        <w:t>ساهم قطاع مستحضرات التجميل</w:t>
      </w:r>
      <w:r w:rsidR="00594352" w:rsidRPr="00B30F06">
        <w:rPr>
          <w:sz w:val="20"/>
          <w:szCs w:val="24"/>
          <w:rtl/>
        </w:rPr>
        <w:t xml:space="preserve"> </w:t>
      </w:r>
      <w:r w:rsidRPr="00B30F06">
        <w:rPr>
          <w:sz w:val="20"/>
          <w:szCs w:val="24"/>
          <w:rtl/>
        </w:rPr>
        <w:t xml:space="preserve">(748 شركة، وهي أصغر القطاعات السبعة) بنسبة 3.7 في </w:t>
      </w:r>
      <w:proofErr w:type="gramStart"/>
      <w:r w:rsidRPr="00B30F06">
        <w:rPr>
          <w:sz w:val="20"/>
          <w:szCs w:val="24"/>
          <w:rtl/>
        </w:rPr>
        <w:t>المائة</w:t>
      </w:r>
      <w:proofErr w:type="gramEnd"/>
      <w:r w:rsidRPr="00B30F06">
        <w:rPr>
          <w:sz w:val="20"/>
          <w:szCs w:val="24"/>
          <w:rtl/>
        </w:rPr>
        <w:t xml:space="preserve"> من إيرادات السيناريو المركزي وتسجل أعلى معدل مساهمة فعلي قياسا إلى حجم القطاع </w:t>
      </w:r>
      <w:r w:rsidR="00594352" w:rsidRPr="00B30F06">
        <w:rPr>
          <w:sz w:val="20"/>
          <w:szCs w:val="24"/>
          <w:rtl/>
        </w:rPr>
        <w:t>مقارنةً بأي قطاع آخر مدرج</w:t>
      </w:r>
      <w:r w:rsidR="00594352" w:rsidRPr="00B30F06">
        <w:rPr>
          <w:sz w:val="20"/>
          <w:szCs w:val="24"/>
          <w:rtl/>
        </w:rPr>
        <w:t xml:space="preserve"> </w:t>
      </w:r>
      <w:r w:rsidRPr="00B30F06">
        <w:rPr>
          <w:sz w:val="20"/>
          <w:szCs w:val="24"/>
          <w:rtl/>
        </w:rPr>
        <w:t xml:space="preserve">في الضميمة الأولى بمرفق المقرر </w:t>
      </w:r>
      <w:hyperlink r:id="rId37" w:history="1">
        <w:r w:rsidR="00594352" w:rsidRPr="00B30F06">
          <w:rPr>
            <w:rStyle w:val="Hyperlink"/>
            <w:rFonts w:hint="cs"/>
            <w:sz w:val="20"/>
            <w:szCs w:val="24"/>
            <w:rtl/>
          </w:rPr>
          <w:t>16/2</w:t>
        </w:r>
      </w:hyperlink>
      <w:r w:rsidRPr="00B30F06">
        <w:rPr>
          <w:sz w:val="20"/>
          <w:szCs w:val="24"/>
          <w:rtl/>
        </w:rPr>
        <w:t xml:space="preserve">. وينقسم القطاع إلى </w:t>
      </w:r>
      <w:r w:rsidR="00594352" w:rsidRPr="00B30F06">
        <w:rPr>
          <w:sz w:val="20"/>
          <w:szCs w:val="24"/>
          <w:rtl/>
        </w:rPr>
        <w:t>شركات تحمل علامات تجارية في المراحل النهائية من سلسلة القيمة</w:t>
      </w:r>
      <w:r w:rsidRPr="00B30F06">
        <w:rPr>
          <w:sz w:val="20"/>
          <w:szCs w:val="24"/>
          <w:rtl/>
        </w:rPr>
        <w:t xml:space="preserve">، </w:t>
      </w:r>
      <w:r w:rsidR="00594352" w:rsidRPr="00B30F06">
        <w:rPr>
          <w:rFonts w:hint="cs"/>
          <w:sz w:val="20"/>
          <w:szCs w:val="24"/>
          <w:rtl/>
        </w:rPr>
        <w:t>و</w:t>
      </w:r>
      <w:r w:rsidRPr="00B30F06">
        <w:rPr>
          <w:sz w:val="20"/>
          <w:szCs w:val="24"/>
          <w:rtl/>
        </w:rPr>
        <w:t xml:space="preserve">التي تتنافس على الامتثال التنظيمي والعلامة التجارية </w:t>
      </w:r>
      <w:r w:rsidR="00594352" w:rsidRPr="00B30F06">
        <w:rPr>
          <w:sz w:val="20"/>
          <w:szCs w:val="24"/>
          <w:rtl/>
        </w:rPr>
        <w:t>أكثر من تنافسها على الابتكار القائم على التسلسل</w:t>
      </w:r>
      <w:r w:rsidRPr="00B30F06">
        <w:rPr>
          <w:sz w:val="20"/>
          <w:szCs w:val="24"/>
          <w:rtl/>
        </w:rPr>
        <w:t xml:space="preserve">، </w:t>
      </w:r>
      <w:r w:rsidR="00F463EF" w:rsidRPr="00B30F06">
        <w:rPr>
          <w:sz w:val="20"/>
          <w:szCs w:val="24"/>
          <w:rtl/>
        </w:rPr>
        <w:t>وشركات تطوير المكونات الفعالة في المراحل الأولية التي تعتمد على مصادر نباتية أو بحرية أو ميكروبية؛</w:t>
      </w:r>
      <w:r w:rsidR="00F463EF" w:rsidRPr="00B30F06">
        <w:rPr>
          <w:sz w:val="20"/>
          <w:szCs w:val="24"/>
          <w:rtl/>
        </w:rPr>
        <w:t xml:space="preserve"> </w:t>
      </w:r>
      <w:r w:rsidRPr="00B30F06">
        <w:rPr>
          <w:sz w:val="20"/>
          <w:szCs w:val="24"/>
          <w:rtl/>
        </w:rPr>
        <w:t>و</w:t>
      </w:r>
      <w:r w:rsidR="00F463EF" w:rsidRPr="00B30F06">
        <w:rPr>
          <w:rFonts w:hint="cs"/>
          <w:sz w:val="20"/>
          <w:szCs w:val="24"/>
          <w:rtl/>
        </w:rPr>
        <w:t xml:space="preserve">يبرز هنا </w:t>
      </w:r>
      <w:r w:rsidRPr="00B30F06">
        <w:rPr>
          <w:sz w:val="20"/>
          <w:szCs w:val="24"/>
          <w:rtl/>
        </w:rPr>
        <w:t xml:space="preserve">الشاغل المتعلق بالتناسب بوجه خاص </w:t>
      </w:r>
      <w:r w:rsidR="00F463EF" w:rsidRPr="00B30F06">
        <w:rPr>
          <w:rFonts w:hint="cs"/>
          <w:sz w:val="20"/>
          <w:szCs w:val="24"/>
          <w:rtl/>
        </w:rPr>
        <w:t>نظرا ل</w:t>
      </w:r>
      <w:r w:rsidRPr="00B30F06">
        <w:rPr>
          <w:sz w:val="20"/>
          <w:szCs w:val="24"/>
          <w:rtl/>
        </w:rPr>
        <w:t>تباين الآراء بشأن مدى الاستخدام المباشر لمعلومات التسلسل الرقمي بشأن الموارد الجينية على امتداد سلسلة القيمة هذه.</w:t>
      </w:r>
    </w:p>
    <w:p w14:paraId="42B696A0" w14:textId="77777777" w:rsidR="00C80EA4" w:rsidRPr="00B30F06" w:rsidRDefault="00C80EA4" w:rsidP="001238B7">
      <w:pPr>
        <w:pStyle w:val="CBDNormalNumber"/>
        <w:numPr>
          <w:ilvl w:val="0"/>
          <w:numId w:val="15"/>
        </w:numPr>
        <w:bidi/>
        <w:rPr>
          <w:sz w:val="20"/>
          <w:szCs w:val="24"/>
          <w:rtl/>
        </w:rPr>
      </w:pPr>
      <w:r w:rsidRPr="00B30F06">
        <w:rPr>
          <w:sz w:val="20"/>
          <w:szCs w:val="24"/>
          <w:rtl/>
        </w:rPr>
        <w:t xml:space="preserve">وتترتب على التقييم القطاعي خمسة آثار: </w:t>
      </w:r>
    </w:p>
    <w:p w14:paraId="71BD5F39" w14:textId="7713DB70" w:rsidR="00C80EA4" w:rsidRPr="00B30F06" w:rsidRDefault="00F062E1" w:rsidP="00BB0B7F">
      <w:pPr>
        <w:pStyle w:val="CBDNormalNumber"/>
        <w:numPr>
          <w:ilvl w:val="1"/>
          <w:numId w:val="17"/>
        </w:numPr>
        <w:bidi/>
        <w:ind w:left="540" w:firstLine="540"/>
        <w:rPr>
          <w:sz w:val="20"/>
          <w:szCs w:val="24"/>
          <w:rtl/>
        </w:rPr>
      </w:pPr>
      <w:r w:rsidRPr="00B30F06">
        <w:rPr>
          <w:sz w:val="20"/>
          <w:szCs w:val="24"/>
          <w:rtl/>
        </w:rPr>
        <w:t xml:space="preserve">الشاغل المتعلق بالتناسب هو أعلى المخاطر المادية على مستوى التصميم بالنسبة لأنواع الشركات ذات الاعتماد غير المباشر أو المحدود على معلومات التسلسل الرقمي بشأن الموارد الجينية؛ ومن شأن تضييق تعريف الاستخدام غير المباشر، أو تحديد نقطة واحدة لتحمّل مسؤولية المساهمة داخل سلسلة القيمة، أن يقلل خطر احتساب الاستخدام نفسه لمعلومات التسلسل الرقمي بشأن الموارد الجينية في أكثر من مرحلة؛ </w:t>
      </w:r>
    </w:p>
    <w:p w14:paraId="08FB0B84" w14:textId="25E6B592" w:rsidR="00C80EA4" w:rsidRPr="00B30F06" w:rsidRDefault="0095205F" w:rsidP="0095205F">
      <w:pPr>
        <w:pStyle w:val="CBDNormalNumber"/>
        <w:numPr>
          <w:ilvl w:val="1"/>
          <w:numId w:val="17"/>
        </w:numPr>
        <w:bidi/>
        <w:ind w:left="540" w:firstLine="540"/>
        <w:rPr>
          <w:sz w:val="20"/>
          <w:szCs w:val="24"/>
          <w:rtl/>
        </w:rPr>
      </w:pPr>
      <w:r w:rsidRPr="00B30F06">
        <w:rPr>
          <w:sz w:val="20"/>
          <w:szCs w:val="24"/>
          <w:rtl/>
        </w:rPr>
        <w:t>تُولّد معايير التصميم غير المحسومة</w:t>
      </w:r>
      <w:r w:rsidRPr="00B30F06">
        <w:rPr>
          <w:rFonts w:hint="cs"/>
          <w:sz w:val="20"/>
          <w:szCs w:val="24"/>
          <w:rtl/>
        </w:rPr>
        <w:t xml:space="preserve"> حالة من </w:t>
      </w:r>
      <w:r w:rsidR="004303A6" w:rsidRPr="00B30F06">
        <w:rPr>
          <w:sz w:val="20"/>
          <w:szCs w:val="24"/>
          <w:rtl/>
        </w:rPr>
        <w:t xml:space="preserve">عدم </w:t>
      </w:r>
      <w:r w:rsidRPr="00B30F06">
        <w:rPr>
          <w:rFonts w:hint="cs"/>
          <w:sz w:val="20"/>
          <w:szCs w:val="24"/>
          <w:rtl/>
        </w:rPr>
        <w:t>ال</w:t>
      </w:r>
      <w:r w:rsidR="004303A6" w:rsidRPr="00B30F06">
        <w:rPr>
          <w:sz w:val="20"/>
          <w:szCs w:val="24"/>
          <w:rtl/>
        </w:rPr>
        <w:t xml:space="preserve">يقين </w:t>
      </w:r>
      <w:r w:rsidRPr="00B30F06">
        <w:rPr>
          <w:rFonts w:hint="cs"/>
          <w:sz w:val="20"/>
          <w:szCs w:val="24"/>
          <w:rtl/>
        </w:rPr>
        <w:t>ال</w:t>
      </w:r>
      <w:r w:rsidR="004303A6" w:rsidRPr="00B30F06">
        <w:rPr>
          <w:sz w:val="20"/>
          <w:szCs w:val="24"/>
          <w:rtl/>
        </w:rPr>
        <w:t xml:space="preserve">تنظيمي </w:t>
      </w:r>
      <w:r w:rsidRPr="00B30F06">
        <w:rPr>
          <w:rFonts w:hint="cs"/>
          <w:sz w:val="20"/>
          <w:szCs w:val="24"/>
          <w:rtl/>
        </w:rPr>
        <w:t>تختلف</w:t>
      </w:r>
      <w:r w:rsidR="004303A6" w:rsidRPr="00B30F06">
        <w:rPr>
          <w:sz w:val="20"/>
          <w:szCs w:val="24"/>
          <w:rtl/>
        </w:rPr>
        <w:t xml:space="preserve"> تحليليا عن عبء التكلفة المباشر</w:t>
      </w:r>
      <w:r w:rsidRPr="00B30F06">
        <w:rPr>
          <w:rFonts w:hint="cs"/>
          <w:sz w:val="20"/>
          <w:szCs w:val="24"/>
          <w:rtl/>
        </w:rPr>
        <w:t>ة</w:t>
      </w:r>
      <w:r w:rsidR="004303A6" w:rsidRPr="00B30F06">
        <w:rPr>
          <w:sz w:val="20"/>
          <w:szCs w:val="24"/>
          <w:rtl/>
        </w:rPr>
        <w:t xml:space="preserve">، </w:t>
      </w:r>
      <w:r w:rsidRPr="00B30F06">
        <w:rPr>
          <w:rFonts w:hint="cs"/>
          <w:sz w:val="20"/>
          <w:szCs w:val="24"/>
          <w:rtl/>
        </w:rPr>
        <w:t>بل وتكون أكثر تأثيرا منه</w:t>
      </w:r>
      <w:r w:rsidR="004303A6" w:rsidRPr="00B30F06">
        <w:rPr>
          <w:sz w:val="20"/>
          <w:szCs w:val="24"/>
          <w:rtl/>
        </w:rPr>
        <w:t xml:space="preserve"> في عدة قطاعات؛ </w:t>
      </w:r>
    </w:p>
    <w:p w14:paraId="21F57988" w14:textId="71F555F5" w:rsidR="00C80EA4" w:rsidRPr="00B30F06" w:rsidRDefault="0095205F" w:rsidP="0095205F">
      <w:pPr>
        <w:pStyle w:val="CBDNormalNumber"/>
        <w:numPr>
          <w:ilvl w:val="1"/>
          <w:numId w:val="17"/>
        </w:numPr>
        <w:bidi/>
        <w:ind w:left="540" w:firstLine="540"/>
        <w:rPr>
          <w:sz w:val="20"/>
          <w:szCs w:val="24"/>
          <w:rtl/>
        </w:rPr>
      </w:pPr>
      <w:r w:rsidRPr="00B30F06">
        <w:rPr>
          <w:rFonts w:hint="cs"/>
          <w:sz w:val="20"/>
          <w:szCs w:val="24"/>
          <w:rtl/>
        </w:rPr>
        <w:t xml:space="preserve">يحدّ </w:t>
      </w:r>
      <w:r w:rsidR="00A10916" w:rsidRPr="00B30F06">
        <w:rPr>
          <w:sz w:val="20"/>
          <w:szCs w:val="24"/>
          <w:rtl/>
        </w:rPr>
        <w:t xml:space="preserve">التصميم غير الملزم من أشد النتائج وطأة على الشركات </w:t>
      </w:r>
      <w:r w:rsidRPr="00B30F06">
        <w:rPr>
          <w:sz w:val="20"/>
          <w:szCs w:val="24"/>
          <w:rtl/>
        </w:rPr>
        <w:t>ذات الهامش المالي المحدود</w:t>
      </w:r>
      <w:r w:rsidRPr="00B30F06">
        <w:rPr>
          <w:rFonts w:hint="cs"/>
          <w:sz w:val="20"/>
          <w:szCs w:val="24"/>
          <w:rtl/>
        </w:rPr>
        <w:t xml:space="preserve">، </w:t>
      </w:r>
      <w:r w:rsidR="00A10916" w:rsidRPr="00B30F06">
        <w:rPr>
          <w:sz w:val="20"/>
          <w:szCs w:val="24"/>
          <w:rtl/>
        </w:rPr>
        <w:t>ولكنه ي</w:t>
      </w:r>
      <w:r w:rsidRPr="00B30F06">
        <w:rPr>
          <w:rFonts w:hint="cs"/>
          <w:sz w:val="20"/>
          <w:szCs w:val="24"/>
          <w:rtl/>
        </w:rPr>
        <w:t>حدث</w:t>
      </w:r>
      <w:r w:rsidR="00A10916" w:rsidRPr="00B30F06">
        <w:rPr>
          <w:sz w:val="20"/>
          <w:szCs w:val="24"/>
          <w:rtl/>
        </w:rPr>
        <w:t xml:space="preserve"> عدم تماثل في المشاركة بين ال</w:t>
      </w:r>
      <w:r w:rsidRPr="00B30F06">
        <w:rPr>
          <w:rFonts w:hint="cs"/>
          <w:sz w:val="20"/>
          <w:szCs w:val="24"/>
          <w:rtl/>
        </w:rPr>
        <w:t>شركات ال</w:t>
      </w:r>
      <w:r w:rsidR="00A10916" w:rsidRPr="00B30F06">
        <w:rPr>
          <w:sz w:val="20"/>
          <w:szCs w:val="24"/>
          <w:rtl/>
        </w:rPr>
        <w:t>نظ</w:t>
      </w:r>
      <w:r w:rsidRPr="00B30F06">
        <w:rPr>
          <w:rFonts w:hint="cs"/>
          <w:sz w:val="20"/>
          <w:szCs w:val="24"/>
          <w:rtl/>
        </w:rPr>
        <w:t>يرة</w:t>
      </w:r>
      <w:r w:rsidR="00A10916" w:rsidRPr="00B30F06">
        <w:rPr>
          <w:sz w:val="20"/>
          <w:szCs w:val="24"/>
          <w:rtl/>
        </w:rPr>
        <w:t xml:space="preserve"> </w:t>
      </w:r>
      <w:r w:rsidRPr="00B30F06">
        <w:rPr>
          <w:sz w:val="20"/>
          <w:szCs w:val="24"/>
          <w:rtl/>
        </w:rPr>
        <w:t>التي يقع مقرّها الرئيسي</w:t>
      </w:r>
      <w:r w:rsidRPr="00B30F06">
        <w:rPr>
          <w:rFonts w:hint="cs"/>
          <w:sz w:val="20"/>
          <w:szCs w:val="24"/>
          <w:rtl/>
        </w:rPr>
        <w:t xml:space="preserve"> </w:t>
      </w:r>
      <w:r w:rsidR="00A10916" w:rsidRPr="00B30F06">
        <w:rPr>
          <w:sz w:val="20"/>
          <w:szCs w:val="24"/>
          <w:rtl/>
        </w:rPr>
        <w:t xml:space="preserve">في </w:t>
      </w:r>
      <w:r w:rsidRPr="00B30F06">
        <w:rPr>
          <w:rFonts w:hint="cs"/>
          <w:sz w:val="20"/>
          <w:szCs w:val="24"/>
          <w:rtl/>
        </w:rPr>
        <w:t>ال</w:t>
      </w:r>
      <w:r w:rsidR="00A10916" w:rsidRPr="00B30F06">
        <w:rPr>
          <w:sz w:val="20"/>
          <w:szCs w:val="24"/>
          <w:rtl/>
        </w:rPr>
        <w:t xml:space="preserve">ولايات </w:t>
      </w:r>
      <w:r w:rsidRPr="00B30F06">
        <w:rPr>
          <w:rFonts w:hint="cs"/>
          <w:sz w:val="20"/>
          <w:szCs w:val="24"/>
          <w:rtl/>
        </w:rPr>
        <w:t>ال</w:t>
      </w:r>
      <w:r w:rsidR="00A10916" w:rsidRPr="00B30F06">
        <w:rPr>
          <w:sz w:val="20"/>
          <w:szCs w:val="24"/>
          <w:rtl/>
        </w:rPr>
        <w:t xml:space="preserve">قضائية </w:t>
      </w:r>
      <w:r w:rsidRPr="00B30F06">
        <w:rPr>
          <w:rFonts w:hint="cs"/>
          <w:sz w:val="20"/>
          <w:szCs w:val="24"/>
          <w:rtl/>
        </w:rPr>
        <w:t>لل</w:t>
      </w:r>
      <w:r w:rsidR="00A10916" w:rsidRPr="00B30F06">
        <w:rPr>
          <w:sz w:val="20"/>
          <w:szCs w:val="24"/>
          <w:rtl/>
        </w:rPr>
        <w:t xml:space="preserve">أطراف؛ </w:t>
      </w:r>
    </w:p>
    <w:p w14:paraId="6144212F" w14:textId="6BEF8E77" w:rsidR="00C80EA4" w:rsidRPr="00B30F06" w:rsidRDefault="00D23D0B" w:rsidP="0095205F">
      <w:pPr>
        <w:pStyle w:val="CBDNormalNumber"/>
        <w:numPr>
          <w:ilvl w:val="1"/>
          <w:numId w:val="17"/>
        </w:numPr>
        <w:bidi/>
        <w:ind w:left="540" w:firstLine="540"/>
        <w:rPr>
          <w:sz w:val="20"/>
          <w:szCs w:val="24"/>
          <w:rtl/>
        </w:rPr>
      </w:pPr>
      <w:r w:rsidRPr="00B30F06">
        <w:rPr>
          <w:sz w:val="20"/>
          <w:szCs w:val="24"/>
          <w:rtl/>
        </w:rPr>
        <w:t xml:space="preserve">يتفاوت التعرض التنافسي تفاوتا كبيرا حسب القطاع؛ </w:t>
      </w:r>
    </w:p>
    <w:p w14:paraId="0DB9EC8E" w14:textId="7FEA7B9D" w:rsidR="00C80EA4" w:rsidRPr="00B30F06" w:rsidRDefault="004D18D2" w:rsidP="0095205F">
      <w:pPr>
        <w:pStyle w:val="CBDNormalNumber"/>
        <w:numPr>
          <w:ilvl w:val="1"/>
          <w:numId w:val="17"/>
        </w:numPr>
        <w:bidi/>
        <w:ind w:left="540" w:firstLine="540"/>
        <w:rPr>
          <w:sz w:val="20"/>
          <w:szCs w:val="24"/>
          <w:rtl/>
        </w:rPr>
      </w:pPr>
      <w:r w:rsidRPr="00B30F06">
        <w:rPr>
          <w:sz w:val="20"/>
          <w:szCs w:val="24"/>
          <w:rtl/>
        </w:rPr>
        <w:t xml:space="preserve">يمكن أن تستفيد مشاركة القطاع الخاص قبل الاجتماع السابع عشر لمؤتمر الأطراف من </w:t>
      </w:r>
      <w:r w:rsidRPr="00B30F06">
        <w:rPr>
          <w:rFonts w:hint="cs"/>
          <w:sz w:val="20"/>
          <w:szCs w:val="24"/>
          <w:rtl/>
        </w:rPr>
        <w:t xml:space="preserve">اتباع </w:t>
      </w:r>
      <w:r w:rsidRPr="00B30F06">
        <w:rPr>
          <w:sz w:val="20"/>
          <w:szCs w:val="24"/>
          <w:rtl/>
        </w:rPr>
        <w:t>نهجٍ قطاعيٍّ مخصّص</w:t>
      </w:r>
      <w:r w:rsidR="00D23D0B" w:rsidRPr="00B30F06">
        <w:rPr>
          <w:sz w:val="20"/>
          <w:szCs w:val="24"/>
          <w:rtl/>
        </w:rPr>
        <w:t>.</w:t>
      </w:r>
    </w:p>
    <w:p w14:paraId="30B4CD51" w14:textId="653BD791" w:rsidR="00C80EA4" w:rsidRPr="00B30F06" w:rsidRDefault="00340594" w:rsidP="00020F91">
      <w:pPr>
        <w:pStyle w:val="CBDH1"/>
        <w:bidi/>
        <w:rPr>
          <w:b w:val="0"/>
          <w:bCs/>
          <w:sz w:val="20"/>
          <w:szCs w:val="24"/>
          <w:rtl/>
        </w:rPr>
      </w:pPr>
      <w:r w:rsidRPr="00B30F06">
        <w:rPr>
          <w:b w:val="0"/>
          <w:bCs/>
          <w:sz w:val="20"/>
          <w:szCs w:val="24"/>
          <w:rtl/>
        </w:rPr>
        <w:t>خامسا-</w:t>
      </w:r>
      <w:r w:rsidRPr="00B30F06">
        <w:rPr>
          <w:b w:val="0"/>
          <w:bCs/>
          <w:sz w:val="20"/>
          <w:szCs w:val="24"/>
        </w:rPr>
        <w:tab/>
      </w:r>
      <w:r w:rsidRPr="00B30F06">
        <w:rPr>
          <w:b w:val="0"/>
          <w:bCs/>
          <w:sz w:val="20"/>
          <w:szCs w:val="24"/>
          <w:rtl/>
        </w:rPr>
        <w:t>الاستنتاجات</w:t>
      </w:r>
    </w:p>
    <w:p w14:paraId="23356C14" w14:textId="62348EC9" w:rsidR="00C80EA4" w:rsidRPr="00B30F06" w:rsidRDefault="00C80EA4" w:rsidP="001238B7">
      <w:pPr>
        <w:pStyle w:val="CBDNormalNumber"/>
        <w:numPr>
          <w:ilvl w:val="0"/>
          <w:numId w:val="15"/>
        </w:numPr>
        <w:bidi/>
        <w:rPr>
          <w:sz w:val="20"/>
          <w:szCs w:val="24"/>
          <w:rtl/>
        </w:rPr>
      </w:pPr>
      <w:r w:rsidRPr="00B30F06">
        <w:rPr>
          <w:sz w:val="20"/>
          <w:szCs w:val="24"/>
          <w:rtl/>
        </w:rPr>
        <w:t>يقدم هذا التقرير دراسة لصندوق كالي من ثلاثة أبعاد هي: الأهلية وتصميم العتبات، والإيرادات المحتملة في إطار سيناريوهات بديلة للمشاركة والتصميم، والآثار المترتبة على القدرة التنافسية بالنسبة للشركات المؤهلة في جميع القطاعات الإرشادية السبعة المدرجة في الضميمة الأولى بمرفق المقرر 16/2. وينبغي أن تُقرأ النتائج المتعلقة بمعدلات المساهمة والقدرة التنافسية إلى جانب السياق الأوسع الذي تقوم عليه الآلية، والذي ي</w:t>
      </w:r>
      <w:r w:rsidR="004D18D2" w:rsidRPr="00B30F06">
        <w:rPr>
          <w:rFonts w:hint="cs"/>
          <w:sz w:val="20"/>
          <w:szCs w:val="24"/>
          <w:rtl/>
        </w:rPr>
        <w:t>عكس</w:t>
      </w:r>
      <w:r w:rsidRPr="00B30F06">
        <w:rPr>
          <w:sz w:val="20"/>
          <w:szCs w:val="24"/>
          <w:rtl/>
        </w:rPr>
        <w:t xml:space="preserve"> توازنا تفاوضيا بين الوصول المفتوح إلى معلومات التسلسل الرقمي بشأن الموارد الجينية والتقاسم العادل والمنصف للمنافع.</w:t>
      </w:r>
    </w:p>
    <w:p w14:paraId="537FF1F6" w14:textId="47214DB0" w:rsidR="00C80EA4" w:rsidRPr="00B30F06" w:rsidRDefault="00C80EA4" w:rsidP="001238B7">
      <w:pPr>
        <w:pStyle w:val="CBDNormalNumber"/>
        <w:numPr>
          <w:ilvl w:val="0"/>
          <w:numId w:val="15"/>
        </w:numPr>
        <w:bidi/>
        <w:rPr>
          <w:sz w:val="20"/>
          <w:szCs w:val="24"/>
          <w:rtl/>
        </w:rPr>
      </w:pPr>
      <w:r w:rsidRPr="00B30F06">
        <w:rPr>
          <w:sz w:val="20"/>
          <w:szCs w:val="24"/>
          <w:rtl/>
        </w:rPr>
        <w:t xml:space="preserve">وفيما يتعلق بالأهلية وتصميم العتبات، تتوافق العتبات الحالية، على النحو المبين في الفقرة 3 من مرفق المقرر </w:t>
      </w:r>
      <w:hyperlink r:id="rId38" w:history="1">
        <w:r w:rsidR="004D18D2" w:rsidRPr="00B30F06">
          <w:rPr>
            <w:rStyle w:val="Hyperlink"/>
            <w:rFonts w:hint="cs"/>
            <w:sz w:val="20"/>
            <w:szCs w:val="24"/>
            <w:rtl/>
          </w:rPr>
          <w:t>16/2</w:t>
        </w:r>
      </w:hyperlink>
      <w:r w:rsidRPr="00B30F06">
        <w:rPr>
          <w:sz w:val="20"/>
          <w:szCs w:val="24"/>
          <w:rtl/>
        </w:rPr>
        <w:t>، توافقا عاما مع معايير ال</w:t>
      </w:r>
      <w:r w:rsidR="004D18D2" w:rsidRPr="00B30F06">
        <w:rPr>
          <w:rFonts w:hint="cs"/>
          <w:sz w:val="20"/>
          <w:szCs w:val="24"/>
          <w:rtl/>
        </w:rPr>
        <w:t>شركات</w:t>
      </w:r>
      <w:r w:rsidRPr="00B30F06">
        <w:rPr>
          <w:sz w:val="20"/>
          <w:szCs w:val="24"/>
          <w:rtl/>
        </w:rPr>
        <w:t xml:space="preserve"> الكبيرة في معظم الأطر المرجعية، </w:t>
      </w:r>
      <w:r w:rsidR="004D18D2" w:rsidRPr="00B30F06">
        <w:rPr>
          <w:rFonts w:hint="cs"/>
          <w:sz w:val="20"/>
          <w:szCs w:val="24"/>
          <w:rtl/>
        </w:rPr>
        <w:t>على الرغم من أن</w:t>
      </w:r>
      <w:r w:rsidRPr="00B30F06">
        <w:rPr>
          <w:sz w:val="20"/>
          <w:szCs w:val="24"/>
          <w:rtl/>
        </w:rPr>
        <w:t xml:space="preserve"> عتبة الأصول تقل عن </w:t>
      </w:r>
      <w:r w:rsidR="004D18D2" w:rsidRPr="00B30F06">
        <w:rPr>
          <w:rFonts w:hint="cs"/>
          <w:sz w:val="20"/>
          <w:szCs w:val="24"/>
          <w:rtl/>
        </w:rPr>
        <w:t>الحد الأقصى للشركات</w:t>
      </w:r>
      <w:r w:rsidRPr="00B30F06">
        <w:rPr>
          <w:sz w:val="20"/>
          <w:szCs w:val="24"/>
          <w:rtl/>
        </w:rPr>
        <w:t xml:space="preserve"> المتوسطة </w:t>
      </w:r>
      <w:r w:rsidR="004D18D2" w:rsidRPr="00B30F06">
        <w:rPr>
          <w:rFonts w:hint="cs"/>
          <w:sz w:val="20"/>
          <w:szCs w:val="24"/>
          <w:rtl/>
        </w:rPr>
        <w:t xml:space="preserve">الحجم </w:t>
      </w:r>
      <w:r w:rsidRPr="00B30F06">
        <w:rPr>
          <w:sz w:val="20"/>
          <w:szCs w:val="24"/>
          <w:rtl/>
        </w:rPr>
        <w:t xml:space="preserve">في الاتحاد الأوروبي </w:t>
      </w:r>
      <w:r w:rsidR="004D18D2" w:rsidRPr="00B30F06">
        <w:rPr>
          <w:rFonts w:hint="cs"/>
          <w:sz w:val="20"/>
          <w:szCs w:val="24"/>
          <w:rtl/>
        </w:rPr>
        <w:t>وأن</w:t>
      </w:r>
      <w:r w:rsidRPr="00B30F06">
        <w:rPr>
          <w:sz w:val="20"/>
          <w:szCs w:val="24"/>
          <w:rtl/>
        </w:rPr>
        <w:t xml:space="preserve"> غياب معيار يتعلق بعدد الموظفين وغياب شروط </w:t>
      </w:r>
      <w:r w:rsidR="00F257A0" w:rsidRPr="00B30F06">
        <w:rPr>
          <w:rFonts w:hint="cs"/>
          <w:sz w:val="20"/>
          <w:szCs w:val="24"/>
          <w:rtl/>
        </w:rPr>
        <w:t>الانتماء</w:t>
      </w:r>
      <w:r w:rsidRPr="00B30F06">
        <w:rPr>
          <w:sz w:val="20"/>
          <w:szCs w:val="24"/>
          <w:rtl/>
        </w:rPr>
        <w:t xml:space="preserve"> يخالفان جميع الأطر </w:t>
      </w:r>
      <w:r w:rsidR="00F257A0" w:rsidRPr="00B30F06">
        <w:rPr>
          <w:rFonts w:hint="cs"/>
          <w:sz w:val="20"/>
          <w:szCs w:val="24"/>
          <w:rtl/>
        </w:rPr>
        <w:t>التي جرى استعراضها</w:t>
      </w:r>
      <w:r w:rsidRPr="00B30F06">
        <w:rPr>
          <w:sz w:val="20"/>
          <w:szCs w:val="24"/>
          <w:rtl/>
        </w:rPr>
        <w:t xml:space="preserve"> تقريبا. وثمة ثلاث مسائل تصميمية قد تكون ذات أهمية لمؤتمر الأطراف: غياب إعفاء صريح </w:t>
      </w:r>
      <w:r w:rsidR="00F257A0" w:rsidRPr="00B30F06">
        <w:rPr>
          <w:rFonts w:hint="cs"/>
          <w:sz w:val="20"/>
          <w:szCs w:val="24"/>
          <w:rtl/>
        </w:rPr>
        <w:t>للشركات</w:t>
      </w:r>
      <w:r w:rsidRPr="00B30F06">
        <w:rPr>
          <w:sz w:val="20"/>
          <w:szCs w:val="24"/>
          <w:rtl/>
        </w:rPr>
        <w:t xml:space="preserve"> الصغيرة والمتوسطة</w:t>
      </w:r>
      <w:r w:rsidR="00F257A0" w:rsidRPr="00B30F06">
        <w:rPr>
          <w:rFonts w:hint="cs"/>
          <w:sz w:val="20"/>
          <w:szCs w:val="24"/>
          <w:rtl/>
        </w:rPr>
        <w:t xml:space="preserve"> الحجم</w:t>
      </w:r>
      <w:r w:rsidRPr="00B30F06">
        <w:rPr>
          <w:sz w:val="20"/>
          <w:szCs w:val="24"/>
          <w:rtl/>
        </w:rPr>
        <w:t xml:space="preserve"> أو شريحة مساهمة مخفَّضة؛ وغياب شروط </w:t>
      </w:r>
      <w:r w:rsidR="00F257A0" w:rsidRPr="00B30F06">
        <w:rPr>
          <w:rFonts w:hint="cs"/>
          <w:sz w:val="20"/>
          <w:szCs w:val="24"/>
          <w:rtl/>
        </w:rPr>
        <w:t>الانتماء</w:t>
      </w:r>
      <w:r w:rsidRPr="00B30F06">
        <w:rPr>
          <w:sz w:val="20"/>
          <w:szCs w:val="24"/>
          <w:rtl/>
        </w:rPr>
        <w:t>، وهو ما يعني أن التصميم على مستوى الكيان قد يتأثر بإعادة هيكلة الشركات؛ والت</w:t>
      </w:r>
      <w:r w:rsidR="00F257A0" w:rsidRPr="00B30F06">
        <w:rPr>
          <w:rFonts w:hint="cs"/>
          <w:sz w:val="20"/>
          <w:szCs w:val="24"/>
          <w:rtl/>
        </w:rPr>
        <w:t>ناقض</w:t>
      </w:r>
      <w:r w:rsidRPr="00B30F06">
        <w:rPr>
          <w:sz w:val="20"/>
          <w:szCs w:val="24"/>
          <w:rtl/>
        </w:rPr>
        <w:t xml:space="preserve"> بين هيكل </w:t>
      </w:r>
      <w:r w:rsidR="00F257A0" w:rsidRPr="00B30F06">
        <w:rPr>
          <w:rFonts w:hint="cs"/>
          <w:sz w:val="20"/>
          <w:szCs w:val="24"/>
          <w:rtl/>
        </w:rPr>
        <w:t>ال</w:t>
      </w:r>
      <w:r w:rsidRPr="00B30F06">
        <w:rPr>
          <w:sz w:val="20"/>
          <w:szCs w:val="24"/>
          <w:rtl/>
        </w:rPr>
        <w:t xml:space="preserve">عتبات </w:t>
      </w:r>
      <w:r w:rsidR="00F257A0" w:rsidRPr="00B30F06">
        <w:rPr>
          <w:rFonts w:hint="cs"/>
          <w:sz w:val="20"/>
          <w:szCs w:val="24"/>
          <w:rtl/>
        </w:rPr>
        <w:t>ال</w:t>
      </w:r>
      <w:r w:rsidRPr="00B30F06">
        <w:rPr>
          <w:sz w:val="20"/>
          <w:szCs w:val="24"/>
          <w:rtl/>
        </w:rPr>
        <w:t>موحد وال</w:t>
      </w:r>
      <w:r w:rsidR="00F257A0" w:rsidRPr="00B30F06">
        <w:rPr>
          <w:rFonts w:hint="cs"/>
          <w:sz w:val="20"/>
          <w:szCs w:val="24"/>
          <w:rtl/>
        </w:rPr>
        <w:t>فروق</w:t>
      </w:r>
      <w:r w:rsidRPr="00B30F06">
        <w:rPr>
          <w:sz w:val="20"/>
          <w:szCs w:val="24"/>
          <w:rtl/>
        </w:rPr>
        <w:t xml:space="preserve"> المالية الكبيرة بين القطاعات المدرجة في الضميمة الأولى بمرفق المقرر 16/2، وهي </w:t>
      </w:r>
      <w:r w:rsidR="00F257A0" w:rsidRPr="00B30F06">
        <w:rPr>
          <w:rFonts w:hint="cs"/>
          <w:sz w:val="20"/>
          <w:szCs w:val="24"/>
          <w:rtl/>
        </w:rPr>
        <w:t>فروق</w:t>
      </w:r>
      <w:r w:rsidRPr="00B30F06">
        <w:rPr>
          <w:sz w:val="20"/>
          <w:szCs w:val="24"/>
          <w:rtl/>
        </w:rPr>
        <w:t xml:space="preserve"> </w:t>
      </w:r>
      <w:r w:rsidR="00F257A0" w:rsidRPr="00B30F06">
        <w:rPr>
          <w:rFonts w:hint="cs"/>
          <w:sz w:val="20"/>
          <w:szCs w:val="24"/>
          <w:rtl/>
        </w:rPr>
        <w:t>تظهر بوضوح أكبر</w:t>
      </w:r>
      <w:r w:rsidRPr="00B30F06">
        <w:rPr>
          <w:sz w:val="20"/>
          <w:szCs w:val="24"/>
          <w:rtl/>
        </w:rPr>
        <w:t xml:space="preserve"> في قطاع المستحضرات الصيدلانية. ومن حيث العمل المقبل، </w:t>
      </w:r>
      <w:r w:rsidR="00F257A0" w:rsidRPr="00B30F06">
        <w:rPr>
          <w:sz w:val="20"/>
          <w:szCs w:val="24"/>
          <w:rtl/>
        </w:rPr>
        <w:t>يتمثل أحد المسارات الممكنة في</w:t>
      </w:r>
      <w:r w:rsidR="00F257A0" w:rsidRPr="00B30F06">
        <w:rPr>
          <w:rFonts w:hint="cs"/>
          <w:sz w:val="20"/>
          <w:szCs w:val="24"/>
          <w:rtl/>
        </w:rPr>
        <w:t xml:space="preserve"> مواصلة</w:t>
      </w:r>
      <w:r w:rsidRPr="00B30F06">
        <w:rPr>
          <w:sz w:val="20"/>
          <w:szCs w:val="24"/>
          <w:rtl/>
        </w:rPr>
        <w:t xml:space="preserve"> العمل </w:t>
      </w:r>
      <w:r w:rsidR="00F257A0" w:rsidRPr="00B30F06">
        <w:rPr>
          <w:rFonts w:hint="cs"/>
          <w:sz w:val="20"/>
          <w:szCs w:val="24"/>
          <w:rtl/>
        </w:rPr>
        <w:t>على</w:t>
      </w:r>
      <w:r w:rsidRPr="00B30F06">
        <w:rPr>
          <w:sz w:val="20"/>
          <w:szCs w:val="24"/>
          <w:rtl/>
        </w:rPr>
        <w:t xml:space="preserve"> هذه المسائل التصميمية؛ وبدلا من ذلك، ومع مراعاة أن الأطر المرجعية تجسّد </w:t>
      </w:r>
      <w:r w:rsidR="00F257A0" w:rsidRPr="00B30F06">
        <w:rPr>
          <w:rFonts w:hint="cs"/>
          <w:sz w:val="20"/>
          <w:szCs w:val="24"/>
          <w:rtl/>
        </w:rPr>
        <w:t>ال</w:t>
      </w:r>
      <w:r w:rsidRPr="00B30F06">
        <w:rPr>
          <w:sz w:val="20"/>
          <w:szCs w:val="24"/>
          <w:rtl/>
        </w:rPr>
        <w:t xml:space="preserve">ظروف </w:t>
      </w:r>
      <w:r w:rsidR="00F257A0" w:rsidRPr="00B30F06">
        <w:rPr>
          <w:rFonts w:hint="cs"/>
          <w:sz w:val="20"/>
          <w:szCs w:val="24"/>
          <w:rtl/>
        </w:rPr>
        <w:t>ال</w:t>
      </w:r>
      <w:r w:rsidRPr="00B30F06">
        <w:rPr>
          <w:sz w:val="20"/>
          <w:szCs w:val="24"/>
          <w:rtl/>
        </w:rPr>
        <w:t xml:space="preserve">وطنية أو </w:t>
      </w:r>
      <w:r w:rsidR="00F257A0" w:rsidRPr="00B30F06">
        <w:rPr>
          <w:rFonts w:hint="cs"/>
          <w:sz w:val="20"/>
          <w:szCs w:val="24"/>
          <w:rtl/>
        </w:rPr>
        <w:t>ال</w:t>
      </w:r>
      <w:r w:rsidRPr="00B30F06">
        <w:rPr>
          <w:sz w:val="20"/>
          <w:szCs w:val="24"/>
          <w:rtl/>
        </w:rPr>
        <w:t>إقليمية، يمكن لمؤتمر الأطراف أن يكتفي بالاعتراف بتلك الأطر وأن يقرر أن يُسترشد بها في تحديد ما إذا كان ينبغي المشاركة في صندوق كالي.</w:t>
      </w:r>
    </w:p>
    <w:p w14:paraId="6E725B22" w14:textId="21F259C2" w:rsidR="00C80EA4" w:rsidRPr="00B30F06" w:rsidRDefault="00F257A0" w:rsidP="001238B7">
      <w:pPr>
        <w:pStyle w:val="CBDNormalNumber"/>
        <w:numPr>
          <w:ilvl w:val="0"/>
          <w:numId w:val="15"/>
        </w:numPr>
        <w:bidi/>
        <w:rPr>
          <w:sz w:val="20"/>
          <w:szCs w:val="24"/>
          <w:rtl/>
        </w:rPr>
      </w:pPr>
      <w:r w:rsidRPr="00B30F06">
        <w:rPr>
          <w:sz w:val="20"/>
          <w:szCs w:val="24"/>
          <w:rtl/>
        </w:rPr>
        <w:t>فيما يتعلق بإمكانات الإيرادات، تبيّن أنه في ظل السيناريوهات النموذجية، يتأثر حجم صندوق كالي بالمشاركة بشكل أكبر بكثير من تأثره بمعايرة المعدلات الفعلية.</w:t>
      </w:r>
      <w:r w:rsidR="00C80EA4" w:rsidRPr="00B30F06">
        <w:rPr>
          <w:sz w:val="20"/>
          <w:szCs w:val="24"/>
          <w:rtl/>
        </w:rPr>
        <w:t xml:space="preserve"> </w:t>
      </w:r>
      <w:r w:rsidRPr="00B30F06">
        <w:rPr>
          <w:sz w:val="20"/>
          <w:szCs w:val="24"/>
          <w:rtl/>
        </w:rPr>
        <w:t>كما تُعدّ المشاركة القيد الرئيسي المُلزم</w:t>
      </w:r>
      <w:r w:rsidR="00C80EA4" w:rsidRPr="00B30F06">
        <w:rPr>
          <w:sz w:val="20"/>
          <w:szCs w:val="24"/>
          <w:rtl/>
        </w:rPr>
        <w:t xml:space="preserve">: إذ </w:t>
      </w:r>
      <w:r w:rsidRPr="00B30F06">
        <w:rPr>
          <w:rFonts w:hint="cs"/>
          <w:sz w:val="20"/>
          <w:szCs w:val="24"/>
          <w:rtl/>
        </w:rPr>
        <w:t>إ</w:t>
      </w:r>
      <w:r w:rsidR="00C80EA4" w:rsidRPr="00B30F06">
        <w:rPr>
          <w:sz w:val="20"/>
          <w:szCs w:val="24"/>
          <w:rtl/>
        </w:rPr>
        <w:t xml:space="preserve">ن القيمة التشغيلية لشهادة المساهمة، ومستوى الوضوح بشأن نطاق المساهمات، وكيفية حسم مسألة تراكم الالتزامات، هي التي ستحدد عدد الشركات </w:t>
      </w:r>
      <w:r w:rsidR="00C43633" w:rsidRPr="00B30F06">
        <w:rPr>
          <w:rFonts w:hint="cs"/>
          <w:sz w:val="20"/>
          <w:szCs w:val="24"/>
          <w:rtl/>
        </w:rPr>
        <w:t>المساهمة</w:t>
      </w:r>
      <w:r w:rsidR="00C80EA4" w:rsidRPr="00B30F06">
        <w:rPr>
          <w:sz w:val="20"/>
          <w:szCs w:val="24"/>
          <w:rtl/>
        </w:rPr>
        <w:t xml:space="preserve">، في حين أن مستوى المعدل الإرشادي لن يحدد سوى المبلغ الذي تدفعه كل شركة مشارِكة، </w:t>
      </w:r>
      <w:r w:rsidR="00C43633" w:rsidRPr="00B30F06">
        <w:rPr>
          <w:rFonts w:hint="cs"/>
          <w:sz w:val="20"/>
          <w:szCs w:val="24"/>
          <w:rtl/>
        </w:rPr>
        <w:t>وليس</w:t>
      </w:r>
      <w:r w:rsidR="00C80EA4" w:rsidRPr="00B30F06">
        <w:rPr>
          <w:sz w:val="20"/>
          <w:szCs w:val="24"/>
          <w:rtl/>
        </w:rPr>
        <w:t xml:space="preserve"> قرارها بالمشاركة. ولتصميم العتبات آثار مهمة على حوكمة إيرادات الصندوق كما أنه يؤثر في المشاركة والكفاءة الإدارية. و</w:t>
      </w:r>
      <w:r w:rsidR="00C43633" w:rsidRPr="00B30F06">
        <w:rPr>
          <w:rFonts w:hint="cs"/>
          <w:sz w:val="20"/>
          <w:szCs w:val="24"/>
          <w:rtl/>
        </w:rPr>
        <w:t xml:space="preserve">تُعد </w:t>
      </w:r>
      <w:r w:rsidR="00C80EA4" w:rsidRPr="00B30F06">
        <w:rPr>
          <w:sz w:val="20"/>
          <w:szCs w:val="24"/>
          <w:rtl/>
        </w:rPr>
        <w:t xml:space="preserve">مشاركة قطاع المستحضرات الصيدلانية هي العامل الأهم في تحديد إيرادات الصندوق المتوقعة في </w:t>
      </w:r>
      <w:r w:rsidR="00C43633" w:rsidRPr="00B30F06">
        <w:rPr>
          <w:rFonts w:hint="cs"/>
          <w:sz w:val="20"/>
          <w:szCs w:val="24"/>
          <w:rtl/>
        </w:rPr>
        <w:t>ظل</w:t>
      </w:r>
      <w:r w:rsidR="00C80EA4" w:rsidRPr="00B30F06">
        <w:rPr>
          <w:sz w:val="20"/>
          <w:szCs w:val="24"/>
          <w:rtl/>
        </w:rPr>
        <w:t xml:space="preserve"> سيناريوهات المشاركة الواقعية. غير أن هذه النتائج تظل مشروطة بالافتراضات التي يقوم عليها تحليل السيناريوهات، ولا سيما معدلات المشاركة المفترضة الخاصة بكل قطاع، ومعايرة كثافة استخدام معلومات التسلسل الرقمي بشأن الموارد الجينية، وسلوك الشركات في المساهمة، وهي أمور تتفاوت بين القطاعات الإرشادية السبعة المدرجة في الضميمة الأولى بمرفق المقرر </w:t>
      </w:r>
      <w:hyperlink r:id="rId39" w:history="1">
        <w:r w:rsidR="00C43633" w:rsidRPr="00B30F06">
          <w:rPr>
            <w:rStyle w:val="Hyperlink"/>
            <w:rFonts w:hint="cs"/>
            <w:sz w:val="20"/>
            <w:szCs w:val="24"/>
            <w:rtl/>
          </w:rPr>
          <w:t>16/2</w:t>
        </w:r>
      </w:hyperlink>
      <w:r w:rsidR="00C80EA4" w:rsidRPr="00B30F06">
        <w:rPr>
          <w:sz w:val="20"/>
          <w:szCs w:val="24"/>
          <w:rtl/>
        </w:rPr>
        <w:t xml:space="preserve"> </w:t>
      </w:r>
      <w:r w:rsidR="00C43633" w:rsidRPr="00B30F06">
        <w:rPr>
          <w:rFonts w:hint="cs"/>
          <w:sz w:val="20"/>
          <w:szCs w:val="24"/>
          <w:rtl/>
        </w:rPr>
        <w:t>ولا يُفترض أنها</w:t>
      </w:r>
      <w:r w:rsidR="00C80EA4" w:rsidRPr="00B30F06">
        <w:rPr>
          <w:sz w:val="20"/>
          <w:szCs w:val="24"/>
          <w:rtl/>
        </w:rPr>
        <w:t xml:space="preserve"> موحدة.</w:t>
      </w:r>
    </w:p>
    <w:p w14:paraId="341F0F5A" w14:textId="1B993752" w:rsidR="00C80EA4" w:rsidRPr="00B30F06" w:rsidRDefault="00C72CD7" w:rsidP="001238B7">
      <w:pPr>
        <w:pStyle w:val="CBDNormalNumber"/>
        <w:numPr>
          <w:ilvl w:val="0"/>
          <w:numId w:val="15"/>
        </w:numPr>
        <w:bidi/>
        <w:rPr>
          <w:sz w:val="20"/>
          <w:szCs w:val="24"/>
          <w:rtl/>
        </w:rPr>
      </w:pPr>
      <w:r w:rsidRPr="00B30F06">
        <w:rPr>
          <w:rFonts w:hint="cs"/>
          <w:sz w:val="20"/>
          <w:szCs w:val="24"/>
          <w:rtl/>
        </w:rPr>
        <w:t>و</w:t>
      </w:r>
      <w:r w:rsidRPr="00B30F06">
        <w:rPr>
          <w:sz w:val="20"/>
          <w:szCs w:val="24"/>
          <w:rtl/>
        </w:rPr>
        <w:t>فيما يتعلق بالقدرة التنافسية، فإن العبء المالي المباشر على الشركات المؤهلة يبقى محدوداً مقارنةً بهوامش القطاعات عند المعدلات الإرشادية</w:t>
      </w:r>
      <w:r w:rsidR="00C80EA4" w:rsidRPr="00B30F06">
        <w:rPr>
          <w:sz w:val="20"/>
          <w:szCs w:val="24"/>
          <w:rtl/>
        </w:rPr>
        <w:t>. و</w:t>
      </w:r>
      <w:r w:rsidRPr="00B30F06">
        <w:rPr>
          <w:rFonts w:hint="cs"/>
          <w:sz w:val="20"/>
          <w:szCs w:val="24"/>
          <w:rtl/>
        </w:rPr>
        <w:t xml:space="preserve">يتمثل </w:t>
      </w:r>
      <w:r w:rsidR="00C80EA4" w:rsidRPr="00B30F06">
        <w:rPr>
          <w:sz w:val="20"/>
          <w:szCs w:val="24"/>
          <w:rtl/>
        </w:rPr>
        <w:t xml:space="preserve">الخطر التنافسي </w:t>
      </w:r>
      <w:r w:rsidRPr="00B30F06">
        <w:rPr>
          <w:rFonts w:hint="cs"/>
          <w:sz w:val="20"/>
          <w:szCs w:val="24"/>
          <w:rtl/>
        </w:rPr>
        <w:t>الأبرز</w:t>
      </w:r>
      <w:r w:rsidR="00C80EA4" w:rsidRPr="00B30F06">
        <w:rPr>
          <w:sz w:val="20"/>
          <w:szCs w:val="24"/>
          <w:rtl/>
        </w:rPr>
        <w:t xml:space="preserve"> </w:t>
      </w:r>
      <w:r w:rsidRPr="00B30F06">
        <w:rPr>
          <w:rFonts w:hint="cs"/>
          <w:sz w:val="20"/>
          <w:szCs w:val="24"/>
          <w:rtl/>
        </w:rPr>
        <w:t>في</w:t>
      </w:r>
      <w:r w:rsidR="00C80EA4" w:rsidRPr="00B30F06">
        <w:rPr>
          <w:sz w:val="20"/>
          <w:szCs w:val="24"/>
          <w:rtl/>
        </w:rPr>
        <w:t xml:space="preserve"> عدم التماثل الهيكلي المحتمل مع المنافسين من غير الأطراف، وهو خطر دائم في إطار التصميم الحالي وأشد ما يكون حدة بالنسبة لأنواع الشركات النشطة عالميا و</w:t>
      </w:r>
      <w:r w:rsidRPr="00B30F06">
        <w:rPr>
          <w:rFonts w:hint="cs"/>
          <w:sz w:val="20"/>
          <w:szCs w:val="24"/>
          <w:rtl/>
        </w:rPr>
        <w:t>التي تعتمد بشكل مكثف على</w:t>
      </w:r>
      <w:r w:rsidR="00C80EA4" w:rsidRPr="00B30F06">
        <w:rPr>
          <w:sz w:val="20"/>
          <w:szCs w:val="24"/>
          <w:rtl/>
        </w:rPr>
        <w:t xml:space="preserve"> البحث</w:t>
      </w:r>
      <w:r w:rsidRPr="00B30F06">
        <w:rPr>
          <w:rFonts w:hint="cs"/>
          <w:sz w:val="20"/>
          <w:szCs w:val="24"/>
          <w:rtl/>
        </w:rPr>
        <w:t>،</w:t>
      </w:r>
      <w:r w:rsidR="00C80EA4" w:rsidRPr="00B30F06">
        <w:rPr>
          <w:sz w:val="20"/>
          <w:szCs w:val="24"/>
          <w:rtl/>
        </w:rPr>
        <w:t xml:space="preserve"> </w:t>
      </w:r>
      <w:r w:rsidRPr="00B30F06">
        <w:rPr>
          <w:rFonts w:hint="cs"/>
          <w:sz w:val="20"/>
          <w:szCs w:val="24"/>
          <w:rtl/>
        </w:rPr>
        <w:t>و</w:t>
      </w:r>
      <w:r w:rsidR="00C80EA4" w:rsidRPr="00B30F06">
        <w:rPr>
          <w:sz w:val="20"/>
          <w:szCs w:val="24"/>
          <w:rtl/>
        </w:rPr>
        <w:t>التي تمثل أيضا أكبر حصة من إيرادات صندوق كالي. و</w:t>
      </w:r>
      <w:r w:rsidRPr="00B30F06">
        <w:rPr>
          <w:rFonts w:hint="cs"/>
          <w:sz w:val="20"/>
          <w:szCs w:val="24"/>
          <w:rtl/>
        </w:rPr>
        <w:t xml:space="preserve">يُعد </w:t>
      </w:r>
      <w:r w:rsidR="00C80EA4" w:rsidRPr="00B30F06">
        <w:rPr>
          <w:sz w:val="20"/>
          <w:szCs w:val="24"/>
          <w:rtl/>
        </w:rPr>
        <w:t>الشاغل المتعلق بالتناسب، حيث تساهم الشركات على الأساس المالي نفسه بصرف النظر عن كثافة استخدام معلومات التسلسل الرقمي بشأن الموارد الجينية، أشد المخاطر التنافسية حدة على مستوى التصميم بالنسبة للقطاعات ذات الاعتماد غير المباشر أو المحدود على معلومات التسلسل الرقمي بشأن الموارد الجينية. والتصميم غير الملزم للآلية هو أهم سماتها ال</w:t>
      </w:r>
      <w:r w:rsidR="00666F3F" w:rsidRPr="00B30F06">
        <w:rPr>
          <w:rFonts w:hint="cs"/>
          <w:sz w:val="20"/>
          <w:szCs w:val="24"/>
          <w:rtl/>
        </w:rPr>
        <w:t>وق</w:t>
      </w:r>
      <w:r w:rsidR="00C80EA4" w:rsidRPr="00B30F06">
        <w:rPr>
          <w:sz w:val="20"/>
          <w:szCs w:val="24"/>
          <w:rtl/>
        </w:rPr>
        <w:t xml:space="preserve">ائية وأكبر قيودها في آن واحد: فهو يحد من النتائج الشديدة الوطأة على </w:t>
      </w:r>
      <w:r w:rsidR="00666F3F" w:rsidRPr="00B30F06">
        <w:rPr>
          <w:rFonts w:hint="cs"/>
          <w:sz w:val="20"/>
          <w:szCs w:val="24"/>
          <w:rtl/>
        </w:rPr>
        <w:t>ا</w:t>
      </w:r>
      <w:r w:rsidR="00666F3F" w:rsidRPr="00B30F06">
        <w:rPr>
          <w:sz w:val="20"/>
          <w:szCs w:val="24"/>
          <w:rtl/>
        </w:rPr>
        <w:t>لشركات ذات الهامش المالي المحدود</w:t>
      </w:r>
      <w:r w:rsidR="00666F3F" w:rsidRPr="00B30F06">
        <w:rPr>
          <w:rFonts w:hint="cs"/>
          <w:sz w:val="20"/>
          <w:szCs w:val="24"/>
          <w:rtl/>
        </w:rPr>
        <w:t>،</w:t>
      </w:r>
      <w:r w:rsidR="00C80EA4" w:rsidRPr="00B30F06">
        <w:rPr>
          <w:sz w:val="20"/>
          <w:szCs w:val="24"/>
          <w:rtl/>
        </w:rPr>
        <w:t xml:space="preserve"> بينما ي</w:t>
      </w:r>
      <w:r w:rsidR="00666F3F" w:rsidRPr="00B30F06">
        <w:rPr>
          <w:rFonts w:hint="cs"/>
          <w:sz w:val="20"/>
          <w:szCs w:val="24"/>
          <w:rtl/>
        </w:rPr>
        <w:t>هي</w:t>
      </w:r>
      <w:r w:rsidR="00C80EA4" w:rsidRPr="00B30F06">
        <w:rPr>
          <w:sz w:val="20"/>
          <w:szCs w:val="24"/>
          <w:rtl/>
        </w:rPr>
        <w:t xml:space="preserve">ئ </w:t>
      </w:r>
      <w:r w:rsidR="00666F3F" w:rsidRPr="00B30F06">
        <w:rPr>
          <w:rFonts w:hint="cs"/>
          <w:sz w:val="20"/>
          <w:szCs w:val="24"/>
          <w:rtl/>
        </w:rPr>
        <w:t xml:space="preserve">في الوقت نفسه </w:t>
      </w:r>
      <w:r w:rsidR="00C80EA4" w:rsidRPr="00B30F06">
        <w:rPr>
          <w:sz w:val="20"/>
          <w:szCs w:val="24"/>
          <w:rtl/>
        </w:rPr>
        <w:t xml:space="preserve">ديناميات المشاركة التي تحدد ما إذا كان الصندوق سيبلغ حجما ذا </w:t>
      </w:r>
      <w:r w:rsidR="00666F3F" w:rsidRPr="00B30F06">
        <w:rPr>
          <w:rFonts w:hint="cs"/>
          <w:sz w:val="20"/>
          <w:szCs w:val="24"/>
          <w:rtl/>
        </w:rPr>
        <w:t>مغزى</w:t>
      </w:r>
      <w:r w:rsidR="00C80EA4" w:rsidRPr="00B30F06">
        <w:rPr>
          <w:sz w:val="20"/>
          <w:szCs w:val="24"/>
          <w:rtl/>
        </w:rPr>
        <w:t>.</w:t>
      </w:r>
    </w:p>
    <w:p w14:paraId="0FED5E12" w14:textId="0AC1B561" w:rsidR="00F81FD7" w:rsidRPr="00B30F06" w:rsidRDefault="00C80EA4" w:rsidP="001238B7">
      <w:pPr>
        <w:pStyle w:val="CBDNormalNumber"/>
        <w:numPr>
          <w:ilvl w:val="0"/>
          <w:numId w:val="15"/>
        </w:numPr>
        <w:bidi/>
        <w:rPr>
          <w:sz w:val="20"/>
          <w:szCs w:val="24"/>
          <w:rtl/>
        </w:rPr>
      </w:pPr>
      <w:r w:rsidRPr="00B30F06">
        <w:rPr>
          <w:sz w:val="20"/>
          <w:szCs w:val="24"/>
          <w:rtl/>
        </w:rPr>
        <w:t xml:space="preserve">ولا يزال يتعين تنقيح عدة معايير تصميمية قبل الاجتماع السابع عشر لمؤتمر الأطراف، </w:t>
      </w:r>
      <w:r w:rsidR="00CF0783" w:rsidRPr="00B30F06">
        <w:rPr>
          <w:sz w:val="20"/>
          <w:szCs w:val="24"/>
          <w:rtl/>
        </w:rPr>
        <w:t>وستؤثر بصورة جوهرية في كلٍّ من الإيرادات</w:t>
      </w:r>
      <w:r w:rsidR="00CF0783" w:rsidRPr="00B30F06">
        <w:rPr>
          <w:rFonts w:hint="cs"/>
          <w:sz w:val="20"/>
          <w:szCs w:val="24"/>
          <w:rtl/>
        </w:rPr>
        <w:t xml:space="preserve"> المحتملة</w:t>
      </w:r>
      <w:r w:rsidR="00CF0783" w:rsidRPr="00B30F06">
        <w:rPr>
          <w:sz w:val="20"/>
          <w:szCs w:val="24"/>
          <w:rtl/>
        </w:rPr>
        <w:t xml:space="preserve"> والآثار التنافسية للآلية:</w:t>
      </w:r>
      <w:r w:rsidRPr="00B30F06">
        <w:rPr>
          <w:sz w:val="20"/>
          <w:szCs w:val="24"/>
          <w:rtl/>
        </w:rPr>
        <w:t xml:space="preserve"> التنقيح المحتمل للمعدلات، والقيمة القانونية لشهادة المساهمة، وحسم التراكم المحتمل للالتزامات مع نظام منظمة الصحة العالمية للحصول على مسببات الأمراض وتقاسم منافعها ومع المعاهدة الدولية بشأن الموارد الوراثية النباتية للأغذية والزراعة، ووحدة التقييم على مستوى الكيان، والحد الفاصل بين الاستخدام المباشر وغير المباشر بالنسبة للقطاعات التي تقوم أهليتها على الاستفادة غير المباشرة من استخدام معلومات التسلسل الرقمي بشأن الموارد الجينية. </w:t>
      </w:r>
      <w:r w:rsidR="00CF0783" w:rsidRPr="00B30F06">
        <w:rPr>
          <w:sz w:val="20"/>
          <w:szCs w:val="24"/>
          <w:rtl/>
        </w:rPr>
        <w:t>وبما أن المشاركة تُعدّ القيد الملزم على الإيرادات في ظل السيناريوهات النموذجية</w:t>
      </w:r>
      <w:r w:rsidRPr="00B30F06">
        <w:rPr>
          <w:sz w:val="20"/>
          <w:szCs w:val="24"/>
          <w:rtl/>
        </w:rPr>
        <w:t xml:space="preserve">، فإن كيفية حسم هذه المعايير </w:t>
      </w:r>
      <w:r w:rsidR="00CF0783" w:rsidRPr="00B30F06">
        <w:rPr>
          <w:sz w:val="20"/>
          <w:szCs w:val="24"/>
          <w:rtl/>
        </w:rPr>
        <w:t>قد تحدد ليس فقط حجم إيرادات صندوق كالي، بل أيضاً ما إذا كانت الحوافز المقدمة للكيانات الخاصة للمشاركة كافية لجمعها بطريقة تُعتبر عادلة وقابلة للتنبؤ.</w:t>
      </w:r>
      <w:r w:rsidRPr="00B30F06">
        <w:rPr>
          <w:sz w:val="20"/>
          <w:szCs w:val="24"/>
          <w:rtl/>
        </w:rPr>
        <w:t xml:space="preserve"> </w:t>
      </w:r>
    </w:p>
    <w:p w14:paraId="6898D6AE" w14:textId="0A7D9C99" w:rsidR="00A111D1" w:rsidRPr="00827DA6" w:rsidRDefault="00A111D1" w:rsidP="00F81FD7">
      <w:pPr>
        <w:pStyle w:val="CBDNormalNumber"/>
        <w:bidi/>
        <w:ind w:left="567"/>
        <w:jc w:val="center"/>
        <w:rPr>
          <w:rtl/>
        </w:rPr>
      </w:pPr>
      <w:r>
        <w:t>__________</w:t>
      </w:r>
    </w:p>
    <w:sectPr w:rsidR="00A111D1" w:rsidRPr="00827DA6" w:rsidSect="008747FB">
      <w:headerReference w:type="even" r:id="rId40"/>
      <w:headerReference w:type="default" r:id="rId41"/>
      <w:footerReference w:type="even" r:id="rId42"/>
      <w:footerReference w:type="default" r:id="rId43"/>
      <w:pgSz w:w="12240" w:h="15840"/>
      <w:pgMar w:top="567" w:right="1440" w:bottom="1134" w:left="1440" w:header="709" w:footer="709" w:gutter="0"/>
      <w:cols w:space="708"/>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76FD1" w14:textId="77777777" w:rsidR="00CF5B30" w:rsidRPr="00827DA6" w:rsidRDefault="00CF5B30" w:rsidP="00CF1848">
      <w:r w:rsidRPr="00827DA6">
        <w:separator/>
      </w:r>
    </w:p>
  </w:endnote>
  <w:endnote w:type="continuationSeparator" w:id="0">
    <w:p w14:paraId="1EAC12C5" w14:textId="77777777" w:rsidR="00CF5B30" w:rsidRPr="00827DA6" w:rsidRDefault="00CF5B30" w:rsidP="00CF1848">
      <w:r w:rsidRPr="00827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607E218" w14:textId="77777777" w:rsidR="00D75CA6" w:rsidRPr="00827DA6" w:rsidRDefault="00D75CA6" w:rsidP="00D75CA6">
            <w:pPr>
              <w:pStyle w:val="Footer"/>
              <w:jc w:val="right"/>
            </w:pPr>
            <w:r w:rsidRPr="00020F91">
              <w:rPr>
                <w:szCs w:val="20"/>
              </w:rPr>
              <w:fldChar w:fldCharType="begin"/>
            </w:r>
            <w:r w:rsidRPr="00020F91">
              <w:rPr>
                <w:szCs w:val="20"/>
              </w:rPr>
              <w:instrText xml:space="preserve"> PAGE </w:instrText>
            </w:r>
            <w:r w:rsidRPr="00020F91">
              <w:rPr>
                <w:szCs w:val="20"/>
              </w:rPr>
              <w:fldChar w:fldCharType="separate"/>
            </w:r>
            <w:r w:rsidRPr="00020F91">
              <w:rPr>
                <w:noProof/>
                <w:szCs w:val="20"/>
              </w:rPr>
              <w:t>2</w:t>
            </w:r>
            <w:r w:rsidRPr="00020F91">
              <w:rPr>
                <w:szCs w:val="20"/>
              </w:rPr>
              <w:fldChar w:fldCharType="end"/>
            </w:r>
            <w:r w:rsidRPr="00827DA6">
              <w:rPr>
                <w:szCs w:val="20"/>
              </w:rPr>
              <w:t>/</w:t>
            </w:r>
            <w:r w:rsidRPr="00020F91">
              <w:rPr>
                <w:szCs w:val="20"/>
              </w:rPr>
              <w:fldChar w:fldCharType="begin"/>
            </w:r>
            <w:r w:rsidRPr="00020F91">
              <w:rPr>
                <w:szCs w:val="20"/>
              </w:rPr>
              <w:instrText xml:space="preserve"> NUMPAGES  </w:instrText>
            </w:r>
            <w:r w:rsidRPr="00020F91">
              <w:rPr>
                <w:szCs w:val="20"/>
              </w:rPr>
              <w:fldChar w:fldCharType="separate"/>
            </w:r>
            <w:r w:rsidRPr="00020F91">
              <w:rPr>
                <w:noProof/>
                <w:szCs w:val="20"/>
              </w:rPr>
              <w:t>2</w:t>
            </w:r>
            <w:r w:rsidRPr="00020F9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7975ABC" w14:textId="77777777" w:rsidR="00D75CA6" w:rsidRPr="00827DA6" w:rsidRDefault="00D75CA6" w:rsidP="00020F91">
        <w:pPr>
          <w:pStyle w:val="Footer"/>
          <w:jc w:val="left"/>
        </w:pPr>
        <w:r w:rsidRPr="00020F91">
          <w:rPr>
            <w:szCs w:val="20"/>
          </w:rPr>
          <w:fldChar w:fldCharType="begin"/>
        </w:r>
        <w:r w:rsidRPr="00020F91">
          <w:rPr>
            <w:szCs w:val="20"/>
          </w:rPr>
          <w:instrText xml:space="preserve"> PAGE </w:instrText>
        </w:r>
        <w:r w:rsidRPr="00020F91">
          <w:rPr>
            <w:szCs w:val="20"/>
          </w:rPr>
          <w:fldChar w:fldCharType="separate"/>
        </w:r>
        <w:r w:rsidRPr="00020F91">
          <w:rPr>
            <w:szCs w:val="20"/>
          </w:rPr>
          <w:t>2</w:t>
        </w:r>
        <w:r w:rsidRPr="00020F91">
          <w:rPr>
            <w:szCs w:val="20"/>
          </w:rPr>
          <w:fldChar w:fldCharType="end"/>
        </w:r>
        <w:r w:rsidRPr="00827DA6">
          <w:rPr>
            <w:szCs w:val="20"/>
          </w:rPr>
          <w:t>/</w:t>
        </w:r>
        <w:r w:rsidRPr="00020F91">
          <w:rPr>
            <w:szCs w:val="20"/>
          </w:rPr>
          <w:fldChar w:fldCharType="begin"/>
        </w:r>
        <w:r w:rsidRPr="00020F91">
          <w:rPr>
            <w:szCs w:val="20"/>
          </w:rPr>
          <w:instrText xml:space="preserve"> NUMPAGES  </w:instrText>
        </w:r>
        <w:r w:rsidRPr="00020F91">
          <w:rPr>
            <w:szCs w:val="20"/>
          </w:rPr>
          <w:fldChar w:fldCharType="separate"/>
        </w:r>
        <w:r w:rsidRPr="00020F91">
          <w:rPr>
            <w:szCs w:val="20"/>
          </w:rPr>
          <w:t>3</w:t>
        </w:r>
        <w:r w:rsidRPr="00020F9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37130" w14:textId="77777777" w:rsidR="00CF5B30" w:rsidRPr="00C643F0" w:rsidRDefault="00CF5B30" w:rsidP="00BB5AED">
      <w:pPr>
        <w:bidi/>
      </w:pPr>
      <w:r w:rsidRPr="00C643F0">
        <w:separator/>
      </w:r>
    </w:p>
    <w:p w14:paraId="7DCA03D1" w14:textId="77777777" w:rsidR="00CF5B30" w:rsidRDefault="00CF5B30" w:rsidP="00BB5AED">
      <w:pPr>
        <w:bidi/>
      </w:pPr>
    </w:p>
  </w:footnote>
  <w:footnote w:type="continuationSeparator" w:id="0">
    <w:p w14:paraId="34501B8B" w14:textId="77777777" w:rsidR="00CF5B30" w:rsidRPr="00827DA6" w:rsidRDefault="00CF5B30" w:rsidP="00CF1848">
      <w:r w:rsidRPr="00827DA6">
        <w:continuationSeparator/>
      </w:r>
    </w:p>
  </w:footnote>
  <w:footnote w:id="1">
    <w:p w14:paraId="44639C59" w14:textId="77777777" w:rsidR="00BB515B" w:rsidRPr="00FE5853" w:rsidRDefault="00BB515B" w:rsidP="00BB515B">
      <w:pPr>
        <w:pStyle w:val="FootnoteText"/>
        <w:bidi/>
        <w:jc w:val="both"/>
        <w:rPr>
          <w:szCs w:val="22"/>
          <w:rtl/>
          <w:lang w:bidi="ar-EG"/>
        </w:rPr>
      </w:pPr>
      <w:r w:rsidRPr="00FE5853">
        <w:rPr>
          <w:rStyle w:val="FootnoteReference"/>
          <w:szCs w:val="22"/>
        </w:rPr>
        <w:t>*</w:t>
      </w:r>
      <w:r w:rsidRPr="00FE5853">
        <w:rPr>
          <w:rFonts w:hint="cs"/>
          <w:szCs w:val="22"/>
          <w:rtl/>
        </w:rPr>
        <w:t xml:space="preserve"> </w:t>
      </w:r>
      <w:hyperlink r:id="rId1" w:history="1">
        <w:r w:rsidRPr="00FE5853">
          <w:rPr>
            <w:rStyle w:val="Hyperlink"/>
            <w:szCs w:val="22"/>
          </w:rPr>
          <w:t>CBD/COP/17/1/Rev.1</w:t>
        </w:r>
      </w:hyperlink>
      <w:r w:rsidRPr="00FE5853">
        <w:rPr>
          <w:rFonts w:hint="cs"/>
          <w:szCs w:val="22"/>
          <w:rtl/>
        </w:rPr>
        <w:t>.</w:t>
      </w:r>
    </w:p>
  </w:footnote>
  <w:footnote w:id="2">
    <w:p w14:paraId="4E87AE27" w14:textId="404E0E89" w:rsidR="00E26BF2" w:rsidRPr="00020F91" w:rsidRDefault="00E26BF2" w:rsidP="002B2318">
      <w:pPr>
        <w:pStyle w:val="FootnoteText"/>
        <w:bidi/>
        <w:rPr>
          <w:rtl/>
          <w:lang w:val="en-US"/>
        </w:rPr>
      </w:pPr>
      <w:r>
        <w:rPr>
          <w:rStyle w:val="FootnoteReference"/>
        </w:rPr>
        <w:footnoteRef/>
      </w:r>
      <w:r>
        <w:t xml:space="preserve"> Agata Makowska-Curran, </w:t>
      </w:r>
      <w:r w:rsidR="001920A0">
        <w:rPr>
          <w:rtl/>
        </w:rPr>
        <w:t>من الالتزامات العالمية بشأن التنوع البيولوجي إلى العمل المحلي: إمكانات الإيرادات وديناميات التخصيص في صندوق كالي</w:t>
      </w:r>
      <w:r>
        <w:rPr>
          <w:rtl/>
        </w:rPr>
        <w:t>، ورقة عمل رقم 450 (يونيو/حزيران 2026).</w:t>
      </w:r>
    </w:p>
  </w:footnote>
  <w:footnote w:id="3">
    <w:p w14:paraId="32046A26" w14:textId="62CA3F7D" w:rsidR="00553FAC" w:rsidRPr="00020F91" w:rsidRDefault="00553FAC">
      <w:pPr>
        <w:pStyle w:val="FootnoteText"/>
        <w:bidi/>
        <w:rPr>
          <w:rtl/>
          <w:lang w:val="en-US"/>
        </w:rPr>
      </w:pPr>
      <w:r>
        <w:rPr>
          <w:rStyle w:val="FootnoteReference"/>
        </w:rPr>
        <w:footnoteRef/>
      </w:r>
      <w:r>
        <w:t xml:space="preserve"> </w:t>
      </w:r>
      <w:r>
        <w:rPr>
          <w:rtl/>
        </w:rPr>
        <w:t xml:space="preserve">انظر </w:t>
      </w:r>
      <w:bookmarkStart w:id="0" w:name="_Hlk240286144"/>
      <w:r w:rsidR="001920A0">
        <w:fldChar w:fldCharType="begin"/>
      </w:r>
      <w:r w:rsidR="001920A0">
        <w:instrText>HYPERLINK "http://www.moodys.com/web/en/us/capabilities/company-reference-data/orbis.html"</w:instrText>
      </w:r>
      <w:r w:rsidR="001920A0">
        <w:fldChar w:fldCharType="separate"/>
      </w:r>
      <w:r w:rsidR="001920A0" w:rsidRPr="002D38E1">
        <w:rPr>
          <w:rStyle w:val="Hyperlink"/>
        </w:rPr>
        <w:t>www.moodys.com/web/en/us/capabilities/company-reference-data/orbis.html</w:t>
      </w:r>
      <w:bookmarkEnd w:id="0"/>
      <w:r w:rsidR="001920A0">
        <w:fldChar w:fldCharType="end"/>
      </w:r>
      <w:r>
        <w:rPr>
          <w:rtl/>
        </w:rPr>
        <w:t>.</w:t>
      </w:r>
    </w:p>
  </w:footnote>
  <w:footnote w:id="4">
    <w:p w14:paraId="43A586B5" w14:textId="45A6DA26" w:rsidR="00BB682B" w:rsidRPr="00020F91" w:rsidRDefault="00BB682B" w:rsidP="001920A0">
      <w:pPr>
        <w:pStyle w:val="FootnoteText"/>
        <w:bidi/>
        <w:rPr>
          <w:rtl/>
        </w:rPr>
      </w:pPr>
      <w:r>
        <w:rPr>
          <w:rStyle w:val="FootnoteReference"/>
        </w:rPr>
        <w:footnoteRef/>
      </w:r>
      <w:r>
        <w:t xml:space="preserve"> Bruna Gomes Maia and Sacha Bourgeois-Gironde, </w:t>
      </w:r>
      <w:r w:rsidR="001920A0">
        <w:rPr>
          <w:rFonts w:hint="cs"/>
          <w:rtl/>
        </w:rPr>
        <w:t>"ت</w:t>
      </w:r>
      <w:r w:rsidR="001920A0" w:rsidRPr="001920A0">
        <w:rPr>
          <w:rtl/>
        </w:rPr>
        <w:t xml:space="preserve">حليل توصيات </w:t>
      </w:r>
      <w:r w:rsidR="001920A0">
        <w:rPr>
          <w:rFonts w:hint="cs"/>
          <w:rtl/>
        </w:rPr>
        <w:t>مجموعة</w:t>
      </w:r>
      <w:r w:rsidR="001920A0" w:rsidRPr="001920A0">
        <w:rPr>
          <w:rtl/>
        </w:rPr>
        <w:t xml:space="preserve"> العمل وال</w:t>
      </w:r>
      <w:r w:rsidR="001920A0">
        <w:rPr>
          <w:rFonts w:hint="cs"/>
          <w:rtl/>
        </w:rPr>
        <w:t>م</w:t>
      </w:r>
      <w:r w:rsidR="001920A0" w:rsidRPr="001920A0">
        <w:rPr>
          <w:rtl/>
        </w:rPr>
        <w:t xml:space="preserve">قرر 16/2 الصادر عن </w:t>
      </w:r>
      <w:r w:rsidR="001920A0">
        <w:rPr>
          <w:rFonts w:hint="cs"/>
          <w:rtl/>
        </w:rPr>
        <w:t>الاجتماع السادس عشر ل</w:t>
      </w:r>
      <w:r w:rsidR="001920A0" w:rsidRPr="001920A0">
        <w:rPr>
          <w:rtl/>
        </w:rPr>
        <w:t>مؤتمر الأطراف بشأن معلومات التسلسل الرقمي</w:t>
      </w:r>
      <w:r w:rsidR="001920A0">
        <w:rPr>
          <w:rFonts w:hint="cs"/>
          <w:rtl/>
        </w:rPr>
        <w:t xml:space="preserve">" مجلة </w:t>
      </w:r>
      <w:r>
        <w:rPr>
          <w:i/>
          <w:iCs/>
        </w:rPr>
        <w:t>Global Policy</w:t>
      </w:r>
      <w:r>
        <w:rPr>
          <w:rtl/>
        </w:rPr>
        <w:t xml:space="preserve">، المجلد 16، العدد 4 (سبتمبر/أيلول </w:t>
      </w:r>
      <w:proofErr w:type="gramStart"/>
      <w:r>
        <w:rPr>
          <w:rtl/>
        </w:rPr>
        <w:t>2025)،</w:t>
      </w:r>
      <w:proofErr w:type="gramEnd"/>
      <w:r>
        <w:rPr>
          <w:rtl/>
        </w:rPr>
        <w:t xml:space="preserve"> الصفحات 751-761.</w:t>
      </w:r>
    </w:p>
  </w:footnote>
  <w:footnote w:id="5">
    <w:p w14:paraId="21E8E0A1" w14:textId="60165726" w:rsidR="00366F6B" w:rsidRPr="00020F91" w:rsidRDefault="00366F6B" w:rsidP="00286BAD">
      <w:pPr>
        <w:pStyle w:val="FootnoteText"/>
        <w:bidi/>
        <w:rPr>
          <w:rtl/>
          <w:lang w:val="en-US"/>
        </w:rPr>
      </w:pPr>
      <w:r>
        <w:rPr>
          <w:rStyle w:val="FootnoteReference"/>
        </w:rPr>
        <w:footnoteRef/>
      </w:r>
      <w:r>
        <w:t xml:space="preserve"> </w:t>
      </w:r>
      <w:r>
        <w:rPr>
          <w:rtl/>
        </w:rPr>
        <w:t xml:space="preserve">انظر </w:t>
      </w:r>
      <w:bookmarkStart w:id="1" w:name="_Hlk240294006"/>
      <w:r w:rsidR="00286BAD" w:rsidRPr="00286BAD">
        <w:rPr>
          <w:lang w:val="en-US"/>
        </w:rPr>
        <w:fldChar w:fldCharType="begin"/>
      </w:r>
      <w:r w:rsidR="00286BAD" w:rsidRPr="00286BAD">
        <w:rPr>
          <w:lang w:val="en-US"/>
        </w:rPr>
        <w:instrText>HYPERLINK "https://mptf.undp.org/"</w:instrText>
      </w:r>
      <w:r w:rsidR="00286BAD" w:rsidRPr="00286BAD">
        <w:rPr>
          <w:lang w:val="en-US"/>
        </w:rPr>
      </w:r>
      <w:r w:rsidR="00286BAD" w:rsidRPr="00286BAD">
        <w:rPr>
          <w:lang w:val="en-US"/>
        </w:rPr>
        <w:fldChar w:fldCharType="separate"/>
      </w:r>
      <w:r w:rsidR="00286BAD" w:rsidRPr="00286BAD">
        <w:rPr>
          <w:rStyle w:val="Hyperlink"/>
          <w:lang w:val="en-US"/>
        </w:rPr>
        <w:t>https://mptf.undp.org/</w:t>
      </w:r>
      <w:bookmarkEnd w:id="1"/>
      <w:r w:rsidR="00286BAD" w:rsidRPr="00286BAD">
        <w:fldChar w:fldCharType="end"/>
      </w:r>
      <w:r>
        <w:rPr>
          <w:rtl/>
        </w:rPr>
        <w:t>.</w:t>
      </w:r>
    </w:p>
  </w:footnote>
  <w:footnote w:id="6">
    <w:p w14:paraId="3E3EADC6" w14:textId="618DD55C" w:rsidR="00532E37" w:rsidRPr="00020F91" w:rsidRDefault="00532E37">
      <w:pPr>
        <w:pStyle w:val="FootnoteText"/>
        <w:bidi/>
        <w:rPr>
          <w:rtl/>
          <w:lang w:val="en-US"/>
        </w:rPr>
      </w:pPr>
      <w:r>
        <w:rPr>
          <w:rStyle w:val="FootnoteReference"/>
        </w:rPr>
        <w:footnoteRef/>
      </w:r>
      <w:r>
        <w:t xml:space="preserve"> </w:t>
      </w:r>
      <w:r>
        <w:rPr>
          <w:rtl/>
        </w:rPr>
        <w:t xml:space="preserve">انظر </w:t>
      </w:r>
      <w:bookmarkStart w:id="2" w:name="_Hlk240294062"/>
      <w:r w:rsidR="00286BAD">
        <w:rPr>
          <w:lang w:val="en-US"/>
        </w:rPr>
        <w:fldChar w:fldCharType="begin"/>
      </w:r>
      <w:r w:rsidR="00286BAD">
        <w:rPr>
          <w:lang w:val="en-US"/>
        </w:rPr>
        <w:instrText>HYPERLINK "http://www.fao.org/plant-treaty/en"</w:instrText>
      </w:r>
      <w:r w:rsidR="00286BAD">
        <w:rPr>
          <w:lang w:val="en-US"/>
        </w:rPr>
      </w:r>
      <w:r w:rsidR="00286BAD">
        <w:rPr>
          <w:lang w:val="en-US"/>
        </w:rPr>
        <w:fldChar w:fldCharType="separate"/>
      </w:r>
      <w:r w:rsidR="00286BAD" w:rsidRPr="00532E37">
        <w:rPr>
          <w:rStyle w:val="Hyperlink"/>
          <w:lang w:val="en-US"/>
        </w:rPr>
        <w:t>www.fao.org/plant-treaty/en</w:t>
      </w:r>
      <w:bookmarkEnd w:id="2"/>
      <w:r w:rsidR="00286BAD">
        <w:rPr>
          <w:lang w:val="en-US"/>
        </w:rPr>
        <w:fldChar w:fldCharType="end"/>
      </w:r>
      <w:r>
        <w:rPr>
          <w:rtl/>
        </w:rPr>
        <w:t>.</w:t>
      </w:r>
    </w:p>
  </w:footnote>
  <w:footnote w:id="7">
    <w:p w14:paraId="11B00E64" w14:textId="0C691527" w:rsidR="00A67C64" w:rsidRPr="00020F91" w:rsidRDefault="00A67C64">
      <w:pPr>
        <w:pStyle w:val="FootnoteText"/>
        <w:bidi/>
        <w:rPr>
          <w:rtl/>
          <w:lang w:val="en-US"/>
        </w:rPr>
      </w:pPr>
      <w:r>
        <w:rPr>
          <w:rStyle w:val="FootnoteReference"/>
        </w:rPr>
        <w:footnoteRef/>
      </w:r>
      <w:r>
        <w:t xml:space="preserve"> </w:t>
      </w:r>
      <w:r>
        <w:rPr>
          <w:rtl/>
        </w:rPr>
        <w:t xml:space="preserve">انظر </w:t>
      </w:r>
      <w:hyperlink r:id="rId2" w:history="1">
        <w:r>
          <w:rPr>
            <w:rStyle w:val="Hyperlink"/>
          </w:rPr>
          <w:t>www.fao.org/plant-treaty/areas-of-work/the-multilateral-system/smta/en/</w:t>
        </w:r>
      </w:hyperlink>
      <w:r>
        <w:t>.</w:t>
      </w:r>
    </w:p>
  </w:footnote>
  <w:footnote w:id="8">
    <w:p w14:paraId="32BB5168" w14:textId="1637088C" w:rsidR="00BB682B" w:rsidRPr="00020F91" w:rsidRDefault="00BB682B" w:rsidP="00020F91">
      <w:pPr>
        <w:tabs>
          <w:tab w:val="clear" w:pos="567"/>
        </w:tabs>
        <w:bidi/>
        <w:jc w:val="left"/>
        <w:rPr>
          <w:sz w:val="18"/>
          <w:szCs w:val="18"/>
          <w:rtl/>
        </w:rPr>
      </w:pPr>
      <w:r>
        <w:rPr>
          <w:rStyle w:val="FootnoteReference"/>
        </w:rPr>
        <w:footnoteRef/>
      </w:r>
      <w:r>
        <w:t xml:space="preserve"> </w:t>
      </w:r>
      <w:r>
        <w:rPr>
          <w:rtl/>
        </w:rPr>
        <w:t>القرار 3/2025 بشأن تنفيذ استراتيجية التمويل للمعاهدة الدولية للفترة 2020-2027، الذي اعتمدته الهيئة الرئاسية للمعاهدة الدولية في ديسمبر/كانون الأول 2025.</w:t>
      </w:r>
    </w:p>
  </w:footnote>
  <w:footnote w:id="9">
    <w:p w14:paraId="39F7E2B3" w14:textId="11001120" w:rsidR="00F07520" w:rsidRPr="00020F91" w:rsidRDefault="00F07520" w:rsidP="00286BAD">
      <w:pPr>
        <w:pStyle w:val="FootnoteText"/>
        <w:bidi/>
        <w:rPr>
          <w:rtl/>
          <w:lang w:val="en-US"/>
        </w:rPr>
      </w:pPr>
      <w:r>
        <w:rPr>
          <w:rStyle w:val="FootnoteReference"/>
        </w:rPr>
        <w:footnoteRef/>
      </w:r>
      <w:r>
        <w:t xml:space="preserve"> </w:t>
      </w:r>
      <w:r>
        <w:rPr>
          <w:rtl/>
        </w:rPr>
        <w:t xml:space="preserve">انظر </w:t>
      </w:r>
      <w:bookmarkStart w:id="3" w:name="_Hlk240294728"/>
      <w:r w:rsidR="00286BAD" w:rsidRPr="00286BAD">
        <w:rPr>
          <w:lang w:val="en-US"/>
        </w:rPr>
        <w:fldChar w:fldCharType="begin"/>
      </w:r>
      <w:r w:rsidR="00286BAD" w:rsidRPr="00286BAD">
        <w:rPr>
          <w:lang w:val="en-US"/>
        </w:rPr>
        <w:instrText>HYPERLINK "http://www.who.int/initiatives/pandemic-influenza-preparedness-framework"</w:instrText>
      </w:r>
      <w:r w:rsidR="00286BAD" w:rsidRPr="00286BAD">
        <w:rPr>
          <w:lang w:val="en-US"/>
        </w:rPr>
      </w:r>
      <w:r w:rsidR="00286BAD" w:rsidRPr="00286BAD">
        <w:rPr>
          <w:lang w:val="en-US"/>
        </w:rPr>
        <w:fldChar w:fldCharType="separate"/>
      </w:r>
      <w:r w:rsidR="00286BAD" w:rsidRPr="00286BAD">
        <w:rPr>
          <w:rStyle w:val="Hyperlink"/>
          <w:lang w:val="en-US"/>
        </w:rPr>
        <w:t>www.who.int/initiatives/pandemic-influenza-preparedness-framework</w:t>
      </w:r>
      <w:bookmarkEnd w:id="3"/>
      <w:r w:rsidR="00286BAD" w:rsidRPr="00286BAD">
        <w:fldChar w:fldCharType="end"/>
      </w:r>
      <w:r>
        <w:rPr>
          <w:rtl/>
        </w:rPr>
        <w:t>.</w:t>
      </w:r>
    </w:p>
  </w:footnote>
  <w:footnote w:id="10">
    <w:p w14:paraId="572EDC05" w14:textId="324F0610" w:rsidR="00BB682B" w:rsidRPr="00020F91" w:rsidRDefault="00BB682B" w:rsidP="00020F91">
      <w:pPr>
        <w:tabs>
          <w:tab w:val="clear" w:pos="567"/>
        </w:tabs>
        <w:bidi/>
        <w:jc w:val="left"/>
        <w:rPr>
          <w:sz w:val="18"/>
          <w:szCs w:val="18"/>
          <w:rtl/>
        </w:rPr>
      </w:pPr>
      <w:r>
        <w:rPr>
          <w:rStyle w:val="FootnoteReference"/>
        </w:rPr>
        <w:footnoteRef/>
      </w:r>
      <w:r>
        <w:t xml:space="preserve"> </w:t>
      </w:r>
      <w:r>
        <w:rPr>
          <w:rtl/>
        </w:rPr>
        <w:t xml:space="preserve">منظمة الصحة العالمية، "PIP </w:t>
      </w:r>
      <w:proofErr w:type="spellStart"/>
      <w:r>
        <w:rPr>
          <w:rtl/>
        </w:rPr>
        <w:t>partnership</w:t>
      </w:r>
      <w:proofErr w:type="spellEnd"/>
      <w:r>
        <w:rPr>
          <w:rtl/>
        </w:rPr>
        <w:t xml:space="preserve"> </w:t>
      </w:r>
      <w:proofErr w:type="spellStart"/>
      <w:r>
        <w:rPr>
          <w:rtl/>
        </w:rPr>
        <w:t>contributions</w:t>
      </w:r>
      <w:proofErr w:type="spellEnd"/>
      <w:r>
        <w:rPr>
          <w:rtl/>
        </w:rPr>
        <w:t xml:space="preserve"> (2012–2025)". متاح على العنوان </w:t>
      </w:r>
      <w:hyperlink r:id="rId3" w:history="1">
        <w:r>
          <w:rPr>
            <w:rStyle w:val="Hyperlink"/>
          </w:rPr>
          <w:t>https://cdn.who.int/media/docs/default-source/pip-framework/partnership-contribution/pc-collection/pc-total-contributions.pdf?sfvrsn=ce1eb4d1_8</w:t>
        </w:r>
      </w:hyperlink>
      <w:r>
        <w:rPr>
          <w:rtl/>
        </w:rPr>
        <w:t xml:space="preserve"> (جرى الاطلاع عليه في مايو/أيار 2026).</w:t>
      </w:r>
    </w:p>
  </w:footnote>
  <w:footnote w:id="11">
    <w:p w14:paraId="25EED997" w14:textId="735EBFAF" w:rsidR="00BB682B" w:rsidRPr="00BF53E6" w:rsidRDefault="00BB682B" w:rsidP="00020F91">
      <w:pPr>
        <w:tabs>
          <w:tab w:val="clear" w:pos="567"/>
        </w:tabs>
        <w:bidi/>
        <w:jc w:val="left"/>
        <w:rPr>
          <w:szCs w:val="18"/>
          <w:rtl/>
        </w:rPr>
      </w:pPr>
      <w:r>
        <w:rPr>
          <w:rStyle w:val="FootnoteReference"/>
        </w:rPr>
        <w:footnoteRef/>
      </w:r>
      <w:r>
        <w:t xml:space="preserve"> Michelle F. Rourke, “</w:t>
      </w:r>
      <w:r w:rsidR="00530099">
        <w:rPr>
          <w:rFonts w:hint="cs"/>
          <w:rtl/>
        </w:rPr>
        <w:t>"</w:t>
      </w:r>
      <w:r w:rsidR="00530099" w:rsidRPr="00530099">
        <w:rPr>
          <w:rtl/>
        </w:rPr>
        <w:t xml:space="preserve">الوصول بالتصميم، </w:t>
      </w:r>
      <w:r w:rsidR="00286BAD" w:rsidRPr="00286BAD">
        <w:rPr>
          <w:rtl/>
        </w:rPr>
        <w:t>والمنافع إذا تيسّرت: نظرة أقرب إلى اتفاقيات نقل المواد القياسية في إطار التأهب لمواجهة جوائح الإنفلونزا</w:t>
      </w:r>
      <w:r w:rsidR="00286BAD">
        <w:rPr>
          <w:rFonts w:hint="cs"/>
          <w:rtl/>
        </w:rPr>
        <w:t>"</w:t>
      </w:r>
      <w:r w:rsidR="00530099">
        <w:rPr>
          <w:rFonts w:hint="cs"/>
          <w:rtl/>
        </w:rPr>
        <w:t xml:space="preserve"> مجلة </w:t>
      </w:r>
      <w:r>
        <w:rPr>
          <w:i/>
          <w:iCs/>
        </w:rPr>
        <w:t>The Milbank Quarterly</w:t>
      </w:r>
      <w:r>
        <w:rPr>
          <w:rtl/>
        </w:rPr>
        <w:t>، المجلد 97، العدد 1 (مارس/آذار 2019)، الصفحات 91-112؛ و</w:t>
      </w:r>
      <w:r>
        <w:t>Anne Huvos, Steven A. Solomon and Claudia Nannini, “</w:t>
      </w:r>
      <w:r w:rsidR="00286BAD">
        <w:rPr>
          <w:rFonts w:hint="cs"/>
          <w:rtl/>
        </w:rPr>
        <w:t xml:space="preserve"> "</w:t>
      </w:r>
      <w:r w:rsidR="00530099" w:rsidRPr="00530099">
        <w:rPr>
          <w:rtl/>
        </w:rPr>
        <w:t>إ</w:t>
      </w:r>
      <w:r w:rsidR="00286BAD" w:rsidRPr="00286BAD">
        <w:rPr>
          <w:rtl/>
        </w:rPr>
        <w:t>طار التأهب لمواجهة جوائح الإنفلونزا بوصفه آلية للإتاحة وتقاسم المنافع</w:t>
      </w:r>
      <w:r w:rsidR="00530099" w:rsidRPr="00286BAD">
        <w:rPr>
          <w:rFonts w:hint="cs"/>
          <w:rtl/>
        </w:rPr>
        <w:t>"</w:t>
      </w:r>
      <w:r w:rsidR="00286BAD">
        <w:rPr>
          <w:rFonts w:hint="cs"/>
          <w:rtl/>
        </w:rPr>
        <w:t xml:space="preserve"> في كتاب </w:t>
      </w:r>
      <w:r w:rsidRPr="00286BAD">
        <w:t>Viral Sovereignty</w:t>
      </w:r>
      <w:r w:rsidR="00286BAD">
        <w:rPr>
          <w:rFonts w:hint="cs"/>
          <w:rtl/>
        </w:rPr>
        <w:t xml:space="preserve"> "</w:t>
      </w:r>
      <w:r w:rsidR="00286BAD" w:rsidRPr="00286BAD">
        <w:rPr>
          <w:rtl/>
        </w:rPr>
        <w:t>نقل التكنولوجيا: النظام العالمي المتغيّر لتبادل العوامل الممرِضة لأغراض بحوث الصحة العامة</w:t>
      </w:r>
      <w:r w:rsidR="00286BAD">
        <w:rPr>
          <w:rFonts w:hint="cs"/>
          <w:rtl/>
        </w:rPr>
        <w:t>"</w:t>
      </w:r>
      <w:r>
        <w:rPr>
          <w:rtl/>
        </w:rPr>
        <w:t xml:space="preserve"> </w:t>
      </w:r>
      <w:proofErr w:type="spellStart"/>
      <w:r>
        <w:rPr>
          <w:rtl/>
        </w:rPr>
        <w:t>Rebecca</w:t>
      </w:r>
      <w:proofErr w:type="spellEnd"/>
      <w:r>
        <w:rPr>
          <w:rtl/>
        </w:rPr>
        <w:t xml:space="preserve"> </w:t>
      </w:r>
      <w:proofErr w:type="spellStart"/>
      <w:r>
        <w:rPr>
          <w:rtl/>
        </w:rPr>
        <w:t>Katz</w:t>
      </w:r>
      <w:proofErr w:type="spellEnd"/>
      <w:r>
        <w:rPr>
          <w:rtl/>
        </w:rPr>
        <w:t xml:space="preserve"> </w:t>
      </w:r>
      <w:proofErr w:type="spellStart"/>
      <w:r>
        <w:rPr>
          <w:rtl/>
        </w:rPr>
        <w:t>and</w:t>
      </w:r>
      <w:proofErr w:type="spellEnd"/>
      <w:r>
        <w:rPr>
          <w:rtl/>
        </w:rPr>
        <w:t xml:space="preserve"> </w:t>
      </w:r>
      <w:proofErr w:type="spellStart"/>
      <w:r>
        <w:rPr>
          <w:rtl/>
        </w:rPr>
        <w:t>Sam</w:t>
      </w:r>
      <w:proofErr w:type="spellEnd"/>
      <w:r>
        <w:rPr>
          <w:rtl/>
        </w:rPr>
        <w:t xml:space="preserve"> F. </w:t>
      </w:r>
      <w:proofErr w:type="spellStart"/>
      <w:r>
        <w:rPr>
          <w:rtl/>
        </w:rPr>
        <w:t>Halabi</w:t>
      </w:r>
      <w:proofErr w:type="spellEnd"/>
      <w:r>
        <w:rPr>
          <w:rtl/>
        </w:rPr>
        <w:t xml:space="preserve">, </w:t>
      </w:r>
      <w:proofErr w:type="spellStart"/>
      <w:r>
        <w:rPr>
          <w:rtl/>
        </w:rPr>
        <w:t>eds</w:t>
      </w:r>
      <w:proofErr w:type="spellEnd"/>
      <w:r>
        <w:rPr>
          <w:rtl/>
        </w:rPr>
        <w:t>. (</w:t>
      </w:r>
      <w:proofErr w:type="spellStart"/>
      <w:r>
        <w:rPr>
          <w:rtl/>
        </w:rPr>
        <w:t>Cambridge</w:t>
      </w:r>
      <w:proofErr w:type="spellEnd"/>
      <w:r>
        <w:rPr>
          <w:rtl/>
        </w:rPr>
        <w:t xml:space="preserve"> </w:t>
      </w:r>
      <w:proofErr w:type="spellStart"/>
      <w:r>
        <w:rPr>
          <w:rtl/>
        </w:rPr>
        <w:t>University</w:t>
      </w:r>
      <w:proofErr w:type="spellEnd"/>
      <w:r>
        <w:rPr>
          <w:rtl/>
        </w:rPr>
        <w:t xml:space="preserve"> </w:t>
      </w:r>
      <w:proofErr w:type="spellStart"/>
      <w:r>
        <w:rPr>
          <w:rtl/>
        </w:rPr>
        <w:t>Press</w:t>
      </w:r>
      <w:proofErr w:type="spellEnd"/>
      <w:r>
        <w:rPr>
          <w:rtl/>
        </w:rPr>
        <w:t>, 2020)، الصفحات 193-204.</w:t>
      </w:r>
    </w:p>
  </w:footnote>
  <w:footnote w:id="12">
    <w:p w14:paraId="2AA0419A" w14:textId="00C4A549" w:rsidR="007A37E1" w:rsidRPr="00020F91" w:rsidRDefault="007A37E1">
      <w:pPr>
        <w:pStyle w:val="FootnoteText"/>
        <w:bidi/>
        <w:rPr>
          <w:rtl/>
          <w:lang w:val="en-US"/>
        </w:rPr>
      </w:pPr>
      <w:r>
        <w:rPr>
          <w:rStyle w:val="FootnoteReference"/>
        </w:rPr>
        <w:footnoteRef/>
      </w:r>
      <w:r>
        <w:t xml:space="preserve"> </w:t>
      </w:r>
      <w:r>
        <w:rPr>
          <w:rtl/>
        </w:rPr>
        <w:t xml:space="preserve">انظر </w:t>
      </w:r>
      <w:bookmarkStart w:id="4" w:name="_Hlk240355101"/>
      <w:r w:rsidR="00530099">
        <w:rPr>
          <w:lang w:val="en-US"/>
        </w:rPr>
        <w:fldChar w:fldCharType="begin"/>
      </w:r>
      <w:r w:rsidR="00530099">
        <w:rPr>
          <w:lang w:val="en-US"/>
        </w:rPr>
        <w:instrText>HYPERLINK "http://www.who.int/health-topics/who-pandemic-agreement" \l "tab=tab_1"</w:instrText>
      </w:r>
      <w:r w:rsidR="00530099">
        <w:rPr>
          <w:lang w:val="en-US"/>
        </w:rPr>
      </w:r>
      <w:r w:rsidR="00530099">
        <w:rPr>
          <w:lang w:val="en-US"/>
        </w:rPr>
        <w:fldChar w:fldCharType="separate"/>
      </w:r>
      <w:r w:rsidR="00530099" w:rsidRPr="007A37E1">
        <w:rPr>
          <w:rStyle w:val="Hyperlink"/>
          <w:lang w:val="en-US"/>
        </w:rPr>
        <w:t>www.who.int/health-topics/who-pandemic-agreement#tab=tab_1</w:t>
      </w:r>
      <w:bookmarkEnd w:id="4"/>
      <w:r w:rsidR="00530099">
        <w:rPr>
          <w:lang w:val="en-US"/>
        </w:rPr>
        <w:fldChar w:fldCharType="end"/>
      </w:r>
      <w:r>
        <w:rPr>
          <w:rtl/>
        </w:rPr>
        <w:t>.</w:t>
      </w:r>
    </w:p>
  </w:footnote>
  <w:footnote w:id="13">
    <w:p w14:paraId="571E4115" w14:textId="73ABF9A2" w:rsidR="00BB682B" w:rsidRPr="00827DA6" w:rsidRDefault="00BB682B" w:rsidP="00020F91">
      <w:pPr>
        <w:pStyle w:val="FootnoteText"/>
        <w:tabs>
          <w:tab w:val="clear" w:pos="567"/>
        </w:tabs>
        <w:bidi/>
        <w:rPr>
          <w:szCs w:val="18"/>
          <w:rtl/>
        </w:rPr>
      </w:pPr>
      <w:r>
        <w:rPr>
          <w:rStyle w:val="FootnoteReference"/>
        </w:rPr>
        <w:footnoteRef/>
      </w:r>
      <w:r>
        <w:t xml:space="preserve"> </w:t>
      </w:r>
      <w:r>
        <w:rPr>
          <w:rtl/>
        </w:rPr>
        <w:t>انظر مرفق اتفاق منظمة الصحة العالمية بشأن الجائحات.</w:t>
      </w:r>
    </w:p>
  </w:footnote>
  <w:footnote w:id="14">
    <w:p w14:paraId="7684FC52" w14:textId="2D8DF852" w:rsidR="009A275E" w:rsidRPr="00020F91" w:rsidRDefault="009A275E">
      <w:pPr>
        <w:pStyle w:val="FootnoteText"/>
        <w:bidi/>
        <w:rPr>
          <w:rtl/>
          <w:lang w:val="en-US"/>
        </w:rPr>
      </w:pPr>
      <w:r>
        <w:rPr>
          <w:rStyle w:val="FootnoteReference"/>
        </w:rPr>
        <w:footnoteRef/>
      </w:r>
      <w:r>
        <w:t xml:space="preserve"> </w:t>
      </w:r>
      <w:r w:rsidR="00530099">
        <w:rPr>
          <w:rFonts w:hint="cs"/>
          <w:rtl/>
        </w:rPr>
        <w:t xml:space="preserve"> </w:t>
      </w:r>
      <w:r>
        <w:t>A/CONF.232/2023/4</w:t>
      </w:r>
      <w:r w:rsidR="00530099">
        <w:rPr>
          <w:rFonts w:hint="cs"/>
          <w:rtl/>
        </w:rPr>
        <w:t>.</w:t>
      </w:r>
    </w:p>
  </w:footnote>
  <w:footnote w:id="15">
    <w:p w14:paraId="145C7D2F" w14:textId="62305F19" w:rsidR="00DA1B50" w:rsidRPr="00020F91" w:rsidRDefault="00DA1B50">
      <w:pPr>
        <w:pStyle w:val="FootnoteText"/>
        <w:bidi/>
        <w:rPr>
          <w:rtl/>
          <w:lang w:val="en-US"/>
        </w:rPr>
      </w:pPr>
      <w:r>
        <w:rPr>
          <w:rStyle w:val="FootnoteReference"/>
        </w:rPr>
        <w:footnoteRef/>
      </w:r>
      <w:r>
        <w:t xml:space="preserve"> </w:t>
      </w:r>
      <w:r>
        <w:rPr>
          <w:rtl/>
        </w:rPr>
        <w:t xml:space="preserve">انظر </w:t>
      </w:r>
      <w:hyperlink r:id="rId4" w:history="1">
        <w:r>
          <w:rPr>
            <w:rStyle w:val="Hyperlink"/>
          </w:rPr>
          <w:t>https://isa.org.jm/equitable-sharing-of-benefits/</w:t>
        </w:r>
      </w:hyperlink>
      <w:r>
        <w:t>.</w:t>
      </w:r>
      <w:r w:rsidR="00530099">
        <w:rPr>
          <w:rFonts w:hint="cs"/>
          <w:rtl/>
        </w:rPr>
        <w:t>.</w:t>
      </w:r>
    </w:p>
  </w:footnote>
  <w:footnote w:id="16">
    <w:p w14:paraId="3EB3AA8E" w14:textId="6F105F99" w:rsidR="00BB682B" w:rsidRPr="00827DA6" w:rsidRDefault="00BB682B" w:rsidP="00020F91">
      <w:pPr>
        <w:tabs>
          <w:tab w:val="clear" w:pos="567"/>
        </w:tabs>
        <w:bidi/>
        <w:jc w:val="left"/>
        <w:rPr>
          <w:rtl/>
        </w:rPr>
      </w:pPr>
      <w:r>
        <w:rPr>
          <w:rStyle w:val="FootnoteReference"/>
        </w:rPr>
        <w:footnoteRef/>
      </w:r>
      <w:r>
        <w:t xml:space="preserve"> Randolph </w:t>
      </w:r>
      <w:proofErr w:type="spellStart"/>
      <w:r>
        <w:t>Kirchain</w:t>
      </w:r>
      <w:proofErr w:type="spellEnd"/>
      <w:r>
        <w:t xml:space="preserve"> and </w:t>
      </w:r>
      <w:proofErr w:type="gramStart"/>
      <w:r>
        <w:t xml:space="preserve">others, </w:t>
      </w:r>
      <w:r w:rsidR="00530099">
        <w:rPr>
          <w:rFonts w:hint="cs"/>
          <w:rtl/>
        </w:rPr>
        <w:t xml:space="preserve"> </w:t>
      </w:r>
      <w:r w:rsidR="00530099" w:rsidRPr="00530099">
        <w:rPr>
          <w:rFonts w:hint="cs"/>
          <w:rtl/>
        </w:rPr>
        <w:t>"</w:t>
      </w:r>
      <w:proofErr w:type="gramEnd"/>
      <w:r w:rsidR="00530099" w:rsidRPr="00530099">
        <w:rPr>
          <w:rtl/>
        </w:rPr>
        <w:t>تقرير إلى السلطة الدولية لقاع البحار حول تطوير نموذج اقتصادي ونظام دفع لاستغلال العقيدات متعددة المعادن في المنطقة</w:t>
      </w:r>
      <w:r w:rsidR="00530099">
        <w:rPr>
          <w:rFonts w:hint="cs"/>
          <w:rtl/>
        </w:rPr>
        <w:t>"</w:t>
      </w:r>
      <w:r>
        <w:rPr>
          <w:rtl/>
        </w:rPr>
        <w:t>، معهد ماساتشوستس للتكنولوجيا، مختبر نظم المواد، 2019.</w:t>
      </w:r>
    </w:p>
  </w:footnote>
  <w:footnote w:id="17">
    <w:p w14:paraId="3C9CC28A" w14:textId="6E5F3956" w:rsidR="00BB682B" w:rsidRPr="00020F91" w:rsidRDefault="00BB682B" w:rsidP="00020F91">
      <w:pPr>
        <w:tabs>
          <w:tab w:val="clear" w:pos="567"/>
        </w:tabs>
        <w:bidi/>
        <w:jc w:val="left"/>
        <w:rPr>
          <w:sz w:val="18"/>
          <w:szCs w:val="18"/>
          <w:rtl/>
        </w:rPr>
      </w:pPr>
      <w:r>
        <w:rPr>
          <w:rStyle w:val="FootnoteReference"/>
        </w:rPr>
        <w:footnoteRef/>
      </w:r>
      <w:r>
        <w:t xml:space="preserve"> Kris Van </w:t>
      </w:r>
      <w:proofErr w:type="spellStart"/>
      <w:r>
        <w:t>Nijen</w:t>
      </w:r>
      <w:proofErr w:type="spellEnd"/>
      <w:r>
        <w:t xml:space="preserve"> and others, “</w:t>
      </w:r>
      <w:r w:rsidR="001E01FA" w:rsidRPr="001E01FA">
        <w:rPr>
          <w:rtl/>
        </w:rPr>
        <w:t>"تطوير نظام دفع لأنشطة التعدين في أعماق البحار في المنطقة من خلال مشاركة أصحاب المصلحة"</w:t>
      </w:r>
      <w:r w:rsidR="00530099">
        <w:rPr>
          <w:rFonts w:hint="cs"/>
          <w:rtl/>
        </w:rPr>
        <w:t xml:space="preserve"> </w:t>
      </w:r>
      <w:r w:rsidR="00530099" w:rsidRPr="00530099">
        <w:rPr>
          <w:rtl/>
        </w:rPr>
        <w:t>المجلة الدولية للقانون البحري والساحلي</w:t>
      </w:r>
      <w:r>
        <w:rPr>
          <w:rtl/>
        </w:rPr>
        <w:t>، المجلد 34، العدد 4 (</w:t>
      </w:r>
      <w:proofErr w:type="gramStart"/>
      <w:r>
        <w:rPr>
          <w:rtl/>
        </w:rPr>
        <w:t>2019)،</w:t>
      </w:r>
      <w:proofErr w:type="gramEnd"/>
      <w:r>
        <w:rPr>
          <w:rtl/>
        </w:rPr>
        <w:t xml:space="preserve"> الصفحات 571-601؛</w:t>
      </w:r>
      <w:r w:rsidR="00530099">
        <w:rPr>
          <w:rFonts w:hint="cs"/>
          <w:rtl/>
        </w:rPr>
        <w:t xml:space="preserve"> و</w:t>
      </w:r>
      <w:r>
        <w:t xml:space="preserve">Torsten Thiele, H. P. Damian and Pradeep </w:t>
      </w:r>
      <w:proofErr w:type="gramStart"/>
      <w:r>
        <w:t xml:space="preserve">Singh, </w:t>
      </w:r>
      <w:r w:rsidR="00530099">
        <w:rPr>
          <w:rFonts w:hint="cs"/>
          <w:rtl/>
        </w:rPr>
        <w:t xml:space="preserve"> "</w:t>
      </w:r>
      <w:proofErr w:type="gramEnd"/>
      <w:r w:rsidR="00530099" w:rsidRPr="00530099">
        <w:rPr>
          <w:rtl/>
        </w:rPr>
        <w:t>نهج شامل لآلية الدفع لتعدين قاع البحر العميق</w:t>
      </w:r>
      <w:r w:rsidR="00530099">
        <w:rPr>
          <w:rFonts w:hint="cs"/>
          <w:rtl/>
        </w:rPr>
        <w:t>"</w:t>
      </w:r>
      <w:r>
        <w:rPr>
          <w:rtl/>
        </w:rPr>
        <w:t>، معهد الدراسات المتقدمة في مجال الاستدامة، موجز السياسات رقم 1/2021، يناير/كانون الثاني 2021.</w:t>
      </w:r>
    </w:p>
  </w:footnote>
  <w:footnote w:id="18">
    <w:p w14:paraId="64DFF010" w14:textId="6F4E6936" w:rsidR="00BB682B" w:rsidRPr="00827DA6" w:rsidRDefault="00BB682B" w:rsidP="00C95B07">
      <w:pPr>
        <w:pStyle w:val="FootnoteText"/>
        <w:bidi/>
        <w:rPr>
          <w:rtl/>
        </w:rPr>
      </w:pPr>
      <w:r>
        <w:rPr>
          <w:rStyle w:val="FootnoteReference"/>
        </w:rPr>
        <w:footnoteRef/>
      </w:r>
      <w:r>
        <w:t xml:space="preserve"> </w:t>
      </w:r>
      <w:r>
        <w:rPr>
          <w:rtl/>
        </w:rPr>
        <w:t xml:space="preserve">في الفقرة 16 من مرفق المقرر </w:t>
      </w:r>
      <w:hyperlink r:id="rId5" w:history="1">
        <w:r>
          <w:rPr>
            <w:rStyle w:val="Hyperlink"/>
          </w:rPr>
          <w:t>16/2</w:t>
        </w:r>
      </w:hyperlink>
      <w:r>
        <w:rPr>
          <w:rtl/>
        </w:rPr>
        <w:t xml:space="preserve">، يشجع مؤتمر الأطراف أيضا على تقديم مساهمات إضافة إلى المساهمات المقدمة من المستخدمين التجاريين لمعلومات التسلسل الرقمي المحددين في الفقرة 3 من المرفق، وهو ما يمكن أن يشمل مساهمات محتملة من القطاع العام، وإن لم تكن أي التزامات من هذا القبيل قد </w:t>
      </w:r>
      <w:r w:rsidR="001E01FA">
        <w:rPr>
          <w:rFonts w:hint="cs"/>
          <w:rtl/>
        </w:rPr>
        <w:t>اتُّخذت</w:t>
      </w:r>
      <w:r>
        <w:rPr>
          <w:rtl/>
        </w:rPr>
        <w:t xml:space="preserve"> وقت كتابة التقرير الكامل.</w:t>
      </w:r>
    </w:p>
  </w:footnote>
  <w:footnote w:id="19">
    <w:p w14:paraId="7E097E09" w14:textId="37D4A310" w:rsidR="00C80EA4" w:rsidRPr="00827DA6" w:rsidRDefault="00C80EA4" w:rsidP="00C80EA4">
      <w:pPr>
        <w:pStyle w:val="FootnoteText"/>
        <w:bidi/>
        <w:rPr>
          <w:rtl/>
        </w:rPr>
      </w:pPr>
      <w:r>
        <w:rPr>
          <w:rStyle w:val="FootnoteReference"/>
        </w:rPr>
        <w:footnoteRef/>
      </w:r>
      <w:r>
        <w:t xml:space="preserve"> </w:t>
      </w:r>
      <w:r>
        <w:rPr>
          <w:rtl/>
        </w:rPr>
        <w:t xml:space="preserve">تعمل الآلية على النحو التالي: لما كان من المرجح أن تدفع الشركات على أساس القاعدة التي تعطي المبلغ الأقل، فإن هامش ربح الشركة قياسا إلى نقطة </w:t>
      </w:r>
      <w:r w:rsidR="001E01FA">
        <w:rPr>
          <w:rFonts w:hint="cs"/>
          <w:rtl/>
        </w:rPr>
        <w:t>عدم الاكتراث</w:t>
      </w:r>
      <w:r>
        <w:rPr>
          <w:rtl/>
        </w:rPr>
        <w:t xml:space="preserve"> البالغة 10 في </w:t>
      </w:r>
      <w:proofErr w:type="gramStart"/>
      <w:r>
        <w:rPr>
          <w:rtl/>
        </w:rPr>
        <w:t>المائة</w:t>
      </w:r>
      <w:proofErr w:type="gramEnd"/>
      <w:r>
        <w:rPr>
          <w:rtl/>
        </w:rPr>
        <w:t xml:space="preserve"> التي يحددها المعدلان هو الذي يحدد ما إذا كانت ستدفع على أساس قاعدة الإيرادات الأكثر استقرارا أم على أساس قاعدة الأرباح الأكثر تقلبا؛ وتغيير معدل واحد فقط ينقل الشركات بين القاعدتين، في حين أن إدخال تغييرات متناسبة على كليهما يترك مجموعة المساهمين واستقرارها دون تغيير.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C17B4C9" w14:textId="7294F261" w:rsidR="00534681" w:rsidRPr="00827DA6" w:rsidRDefault="00340594" w:rsidP="007C4951">
        <w:pPr>
          <w:pStyle w:val="Header"/>
          <w:spacing w:after="240"/>
          <w:jc w:val="right"/>
          <w:rPr>
            <w:szCs w:val="20"/>
          </w:rPr>
        </w:pPr>
        <w:r w:rsidRPr="00827DA6">
          <w:rPr>
            <w:szCs w:val="20"/>
          </w:rPr>
          <w:t>CBD/COP/17/6/Add.3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103E4AC" w14:textId="572364FA" w:rsidR="009505C9" w:rsidRPr="00827DA6" w:rsidRDefault="00340594" w:rsidP="007C4951">
        <w:pPr>
          <w:pStyle w:val="Header"/>
          <w:spacing w:after="240"/>
        </w:pPr>
        <w:r w:rsidRPr="00827DA6">
          <w:t>CBD/COP/17/6/Add.3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2F82"/>
    <w:multiLevelType w:val="multilevel"/>
    <w:tmpl w:val="9E7A283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arabicAbjad"/>
      <w:lvlText w:val="(%2)"/>
      <w:lvlJc w:val="left"/>
      <w:pPr>
        <w:ind w:left="720"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EF97919"/>
    <w:multiLevelType w:val="hybridMultilevel"/>
    <w:tmpl w:val="78CC86F8"/>
    <w:lvl w:ilvl="0" w:tplc="9F527B30">
      <w:start w:val="1"/>
      <w:numFmt w:val="upperLetter"/>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3447D0"/>
    <w:multiLevelType w:val="multilevel"/>
    <w:tmpl w:val="45D6B1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arabicAbjad"/>
      <w:lvlText w:val="(%2)"/>
      <w:lvlJc w:val="left"/>
      <w:pPr>
        <w:ind w:left="720"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35CB57FE"/>
    <w:multiLevelType w:val="hybridMultilevel"/>
    <w:tmpl w:val="45EE2AB2"/>
    <w:lvl w:ilvl="0" w:tplc="0809000F">
      <w:start w:val="1"/>
      <w:numFmt w:val="decimal"/>
      <w:lvlText w:val="%1."/>
      <w:lvlJc w:val="left"/>
      <w:pPr>
        <w:ind w:left="360" w:hanging="360"/>
      </w:pPr>
    </w:lvl>
    <w:lvl w:ilvl="1" w:tplc="49362FDE">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7E634C7"/>
    <w:multiLevelType w:val="multilevel"/>
    <w:tmpl w:val="A0A8C6D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arabicAbjad"/>
      <w:lvlText w:val="(%2)"/>
      <w:lvlJc w:val="left"/>
      <w:pPr>
        <w:ind w:left="720"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3CA42984"/>
    <w:multiLevelType w:val="singleLevel"/>
    <w:tmpl w:val="F6F808A4"/>
    <w:lvl w:ilvl="0">
      <w:start w:val="1"/>
      <w:numFmt w:val="arabicAbjad"/>
      <w:lvlText w:val="(%1)"/>
      <w:lvlJc w:val="left"/>
      <w:pPr>
        <w:ind w:left="1494" w:hanging="360"/>
      </w:pPr>
      <w:rPr>
        <w:rFonts w:hint="default"/>
      </w:rPr>
    </w:lvl>
  </w:abstractNum>
  <w:abstractNum w:abstractNumId="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EB66936"/>
    <w:multiLevelType w:val="multilevel"/>
    <w:tmpl w:val="AA0897F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arabicAbjad"/>
      <w:lvlText w:val="(%2)"/>
      <w:lvlJc w:val="left"/>
      <w:pPr>
        <w:ind w:left="720"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A234A1B"/>
    <w:multiLevelType w:val="hybridMultilevel"/>
    <w:tmpl w:val="71986DC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D7B4E9F"/>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1D02D2"/>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9"/>
  </w:num>
  <w:num w:numId="2" w16cid:durableId="1858829">
    <w:abstractNumId w:val="7"/>
  </w:num>
  <w:num w:numId="3" w16cid:durableId="1333221471">
    <w:abstractNumId w:val="14"/>
  </w:num>
  <w:num w:numId="4" w16cid:durableId="1072390599">
    <w:abstractNumId w:val="16"/>
  </w:num>
  <w:num w:numId="5" w16cid:durableId="960385107">
    <w:abstractNumId w:val="8"/>
  </w:num>
  <w:num w:numId="6" w16cid:durableId="893932166">
    <w:abstractNumId w:val="12"/>
  </w:num>
  <w:num w:numId="7" w16cid:durableId="323945383">
    <w:abstractNumId w:val="5"/>
  </w:num>
  <w:num w:numId="8" w16cid:durableId="376050590">
    <w:abstractNumId w:val="3"/>
  </w:num>
  <w:num w:numId="9" w16cid:durableId="1343631334">
    <w:abstractNumId w:val="1"/>
  </w:num>
  <w:num w:numId="10" w16cid:durableId="1963031435">
    <w:abstractNumId w:val="11"/>
  </w:num>
  <w:num w:numId="11" w16cid:durableId="2135711171">
    <w:abstractNumId w:val="5"/>
  </w:num>
  <w:num w:numId="12" w16cid:durableId="661590849">
    <w:abstractNumId w:val="2"/>
  </w:num>
  <w:num w:numId="13" w16cid:durableId="1990741380">
    <w:abstractNumId w:val="4"/>
  </w:num>
  <w:num w:numId="14" w16cid:durableId="129521259">
    <w:abstractNumId w:val="10"/>
  </w:num>
  <w:num w:numId="15" w16cid:durableId="1854342770">
    <w:abstractNumId w:val="13"/>
  </w:num>
  <w:num w:numId="16" w16cid:durableId="1171524857">
    <w:abstractNumId w:val="15"/>
  </w:num>
  <w:num w:numId="17" w16cid:durableId="1210071333">
    <w:abstractNumId w:val="0"/>
  </w:num>
  <w:num w:numId="18" w16cid:durableId="1553662253">
    <w:abstractNumId w:val="6"/>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anna Stansfield">
    <w15:presenceInfo w15:providerId="None" w15:userId="Johanna Stansfiel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D7"/>
    <w:rsid w:val="00005596"/>
    <w:rsid w:val="000073E1"/>
    <w:rsid w:val="000106F8"/>
    <w:rsid w:val="00017658"/>
    <w:rsid w:val="00020680"/>
    <w:rsid w:val="00020F91"/>
    <w:rsid w:val="00025464"/>
    <w:rsid w:val="000342C8"/>
    <w:rsid w:val="00036444"/>
    <w:rsid w:val="0003676E"/>
    <w:rsid w:val="00040E42"/>
    <w:rsid w:val="000413EB"/>
    <w:rsid w:val="00043C43"/>
    <w:rsid w:val="0005091C"/>
    <w:rsid w:val="00052969"/>
    <w:rsid w:val="00052A7D"/>
    <w:rsid w:val="000606EC"/>
    <w:rsid w:val="00064D0F"/>
    <w:rsid w:val="00065994"/>
    <w:rsid w:val="00066380"/>
    <w:rsid w:val="000708A6"/>
    <w:rsid w:val="0007171B"/>
    <w:rsid w:val="00074598"/>
    <w:rsid w:val="00081A8F"/>
    <w:rsid w:val="000843E8"/>
    <w:rsid w:val="000908C3"/>
    <w:rsid w:val="000941E6"/>
    <w:rsid w:val="0009533F"/>
    <w:rsid w:val="00096274"/>
    <w:rsid w:val="0009775C"/>
    <w:rsid w:val="00097E01"/>
    <w:rsid w:val="000A03CF"/>
    <w:rsid w:val="000A1978"/>
    <w:rsid w:val="000A19E9"/>
    <w:rsid w:val="000A202F"/>
    <w:rsid w:val="000A3420"/>
    <w:rsid w:val="000A5E67"/>
    <w:rsid w:val="000B09C2"/>
    <w:rsid w:val="000B1674"/>
    <w:rsid w:val="000B2F38"/>
    <w:rsid w:val="000B5FF9"/>
    <w:rsid w:val="000B7964"/>
    <w:rsid w:val="000C0D59"/>
    <w:rsid w:val="000C1C50"/>
    <w:rsid w:val="000C21BA"/>
    <w:rsid w:val="000C3416"/>
    <w:rsid w:val="000C5A39"/>
    <w:rsid w:val="000D0F68"/>
    <w:rsid w:val="000D14AF"/>
    <w:rsid w:val="000D2078"/>
    <w:rsid w:val="000D5FA7"/>
    <w:rsid w:val="000E3538"/>
    <w:rsid w:val="000E402A"/>
    <w:rsid w:val="000E673A"/>
    <w:rsid w:val="000E792F"/>
    <w:rsid w:val="000F0D1B"/>
    <w:rsid w:val="000F2507"/>
    <w:rsid w:val="000F3DF2"/>
    <w:rsid w:val="000F4479"/>
    <w:rsid w:val="000F6945"/>
    <w:rsid w:val="000F74F5"/>
    <w:rsid w:val="000F78FC"/>
    <w:rsid w:val="00102452"/>
    <w:rsid w:val="001031DF"/>
    <w:rsid w:val="00105372"/>
    <w:rsid w:val="001054A6"/>
    <w:rsid w:val="00106369"/>
    <w:rsid w:val="001078A1"/>
    <w:rsid w:val="0012360E"/>
    <w:rsid w:val="00123647"/>
    <w:rsid w:val="001238B7"/>
    <w:rsid w:val="00126E46"/>
    <w:rsid w:val="00127845"/>
    <w:rsid w:val="001312AD"/>
    <w:rsid w:val="00131E7A"/>
    <w:rsid w:val="001322E3"/>
    <w:rsid w:val="00134353"/>
    <w:rsid w:val="00134846"/>
    <w:rsid w:val="00141F2E"/>
    <w:rsid w:val="00145270"/>
    <w:rsid w:val="00152BBE"/>
    <w:rsid w:val="001540F7"/>
    <w:rsid w:val="00161B22"/>
    <w:rsid w:val="001632A7"/>
    <w:rsid w:val="00166A30"/>
    <w:rsid w:val="00172AF6"/>
    <w:rsid w:val="00173F41"/>
    <w:rsid w:val="001745F7"/>
    <w:rsid w:val="00176CEE"/>
    <w:rsid w:val="00184654"/>
    <w:rsid w:val="001869AD"/>
    <w:rsid w:val="00186DD8"/>
    <w:rsid w:val="00190847"/>
    <w:rsid w:val="001911F4"/>
    <w:rsid w:val="001920A0"/>
    <w:rsid w:val="001947CE"/>
    <w:rsid w:val="001A01D3"/>
    <w:rsid w:val="001A1EE0"/>
    <w:rsid w:val="001A35EC"/>
    <w:rsid w:val="001A646B"/>
    <w:rsid w:val="001B0C92"/>
    <w:rsid w:val="001B13FE"/>
    <w:rsid w:val="001B2761"/>
    <w:rsid w:val="001B54B9"/>
    <w:rsid w:val="001B7711"/>
    <w:rsid w:val="001C3CAA"/>
    <w:rsid w:val="001C40BF"/>
    <w:rsid w:val="001C626A"/>
    <w:rsid w:val="001D01FA"/>
    <w:rsid w:val="001D317A"/>
    <w:rsid w:val="001D3C34"/>
    <w:rsid w:val="001E01FA"/>
    <w:rsid w:val="001E1A56"/>
    <w:rsid w:val="001E404A"/>
    <w:rsid w:val="001F021E"/>
    <w:rsid w:val="001F0CAE"/>
    <w:rsid w:val="002064FB"/>
    <w:rsid w:val="00214476"/>
    <w:rsid w:val="00214AF4"/>
    <w:rsid w:val="002230A0"/>
    <w:rsid w:val="00227D0F"/>
    <w:rsid w:val="002408E9"/>
    <w:rsid w:val="00240EE6"/>
    <w:rsid w:val="00251AEE"/>
    <w:rsid w:val="00251DA0"/>
    <w:rsid w:val="00252C53"/>
    <w:rsid w:val="00253E8E"/>
    <w:rsid w:val="002617CB"/>
    <w:rsid w:val="00261DE1"/>
    <w:rsid w:val="00262A2B"/>
    <w:rsid w:val="00263BE1"/>
    <w:rsid w:val="00265794"/>
    <w:rsid w:val="0027295E"/>
    <w:rsid w:val="00284A2D"/>
    <w:rsid w:val="00284C77"/>
    <w:rsid w:val="00284DA1"/>
    <w:rsid w:val="00286ACA"/>
    <w:rsid w:val="00286BAD"/>
    <w:rsid w:val="00290B95"/>
    <w:rsid w:val="00295341"/>
    <w:rsid w:val="002A0B73"/>
    <w:rsid w:val="002A0C1E"/>
    <w:rsid w:val="002A4A32"/>
    <w:rsid w:val="002A4D1F"/>
    <w:rsid w:val="002A51AA"/>
    <w:rsid w:val="002B1035"/>
    <w:rsid w:val="002B18C8"/>
    <w:rsid w:val="002B20CD"/>
    <w:rsid w:val="002B2318"/>
    <w:rsid w:val="002B6EBA"/>
    <w:rsid w:val="002C40A3"/>
    <w:rsid w:val="002C7984"/>
    <w:rsid w:val="002D2BDB"/>
    <w:rsid w:val="002D314B"/>
    <w:rsid w:val="002D38E1"/>
    <w:rsid w:val="002D563E"/>
    <w:rsid w:val="002D765B"/>
    <w:rsid w:val="002E30C5"/>
    <w:rsid w:val="002E31DC"/>
    <w:rsid w:val="002E67C2"/>
    <w:rsid w:val="002F4363"/>
    <w:rsid w:val="002F5349"/>
    <w:rsid w:val="002F6E18"/>
    <w:rsid w:val="00300384"/>
    <w:rsid w:val="003008FE"/>
    <w:rsid w:val="0030169D"/>
    <w:rsid w:val="00303ACA"/>
    <w:rsid w:val="00303E4D"/>
    <w:rsid w:val="003060EB"/>
    <w:rsid w:val="00306251"/>
    <w:rsid w:val="003126D9"/>
    <w:rsid w:val="003153EB"/>
    <w:rsid w:val="0032136E"/>
    <w:rsid w:val="00321985"/>
    <w:rsid w:val="003234C4"/>
    <w:rsid w:val="003248B0"/>
    <w:rsid w:val="003252A2"/>
    <w:rsid w:val="003271E3"/>
    <w:rsid w:val="00331FA4"/>
    <w:rsid w:val="00340033"/>
    <w:rsid w:val="00340594"/>
    <w:rsid w:val="00340622"/>
    <w:rsid w:val="003434DA"/>
    <w:rsid w:val="003463DF"/>
    <w:rsid w:val="00351205"/>
    <w:rsid w:val="00354777"/>
    <w:rsid w:val="0035511B"/>
    <w:rsid w:val="003562A5"/>
    <w:rsid w:val="00362EF1"/>
    <w:rsid w:val="00363B67"/>
    <w:rsid w:val="00364F08"/>
    <w:rsid w:val="00366E21"/>
    <w:rsid w:val="00366F6B"/>
    <w:rsid w:val="00372F74"/>
    <w:rsid w:val="0037546E"/>
    <w:rsid w:val="00382123"/>
    <w:rsid w:val="00383F41"/>
    <w:rsid w:val="00384684"/>
    <w:rsid w:val="00392175"/>
    <w:rsid w:val="00395E78"/>
    <w:rsid w:val="0039650C"/>
    <w:rsid w:val="00397981"/>
    <w:rsid w:val="00397EF3"/>
    <w:rsid w:val="003A0B5B"/>
    <w:rsid w:val="003A2AD7"/>
    <w:rsid w:val="003A39AC"/>
    <w:rsid w:val="003A3F62"/>
    <w:rsid w:val="003A7F6C"/>
    <w:rsid w:val="003B4893"/>
    <w:rsid w:val="003B6950"/>
    <w:rsid w:val="003C11A4"/>
    <w:rsid w:val="003C674F"/>
    <w:rsid w:val="003C718E"/>
    <w:rsid w:val="003C739C"/>
    <w:rsid w:val="003D2E89"/>
    <w:rsid w:val="003D698F"/>
    <w:rsid w:val="003E274A"/>
    <w:rsid w:val="003E5175"/>
    <w:rsid w:val="003E7FBE"/>
    <w:rsid w:val="003F0BA5"/>
    <w:rsid w:val="003F1A75"/>
    <w:rsid w:val="003F2B4B"/>
    <w:rsid w:val="003F3670"/>
    <w:rsid w:val="003F59AF"/>
    <w:rsid w:val="003F59BF"/>
    <w:rsid w:val="003F613A"/>
    <w:rsid w:val="003F7224"/>
    <w:rsid w:val="003F7E15"/>
    <w:rsid w:val="00400849"/>
    <w:rsid w:val="00411C88"/>
    <w:rsid w:val="004165C4"/>
    <w:rsid w:val="00423A8B"/>
    <w:rsid w:val="00424DD7"/>
    <w:rsid w:val="004262FE"/>
    <w:rsid w:val="004268B8"/>
    <w:rsid w:val="00427D21"/>
    <w:rsid w:val="004303A6"/>
    <w:rsid w:val="0043257B"/>
    <w:rsid w:val="00435778"/>
    <w:rsid w:val="00437457"/>
    <w:rsid w:val="00440B3F"/>
    <w:rsid w:val="00443AAD"/>
    <w:rsid w:val="004458C1"/>
    <w:rsid w:val="00447F4A"/>
    <w:rsid w:val="00453B69"/>
    <w:rsid w:val="00456F67"/>
    <w:rsid w:val="0046130A"/>
    <w:rsid w:val="00464394"/>
    <w:rsid w:val="004644C2"/>
    <w:rsid w:val="00464E43"/>
    <w:rsid w:val="00465293"/>
    <w:rsid w:val="00466847"/>
    <w:rsid w:val="00467F2F"/>
    <w:rsid w:val="00467F9C"/>
    <w:rsid w:val="00470398"/>
    <w:rsid w:val="004709B2"/>
    <w:rsid w:val="004739DC"/>
    <w:rsid w:val="004771B8"/>
    <w:rsid w:val="00483BC8"/>
    <w:rsid w:val="00484784"/>
    <w:rsid w:val="004869A4"/>
    <w:rsid w:val="00487294"/>
    <w:rsid w:val="00491B20"/>
    <w:rsid w:val="00492858"/>
    <w:rsid w:val="004946B0"/>
    <w:rsid w:val="00494AA1"/>
    <w:rsid w:val="004954B2"/>
    <w:rsid w:val="00495FBD"/>
    <w:rsid w:val="004A1F35"/>
    <w:rsid w:val="004A3E0D"/>
    <w:rsid w:val="004A5B97"/>
    <w:rsid w:val="004A790A"/>
    <w:rsid w:val="004A7D7A"/>
    <w:rsid w:val="004B1717"/>
    <w:rsid w:val="004C7C6C"/>
    <w:rsid w:val="004D03B7"/>
    <w:rsid w:val="004D18D2"/>
    <w:rsid w:val="004D746A"/>
    <w:rsid w:val="004D7DF6"/>
    <w:rsid w:val="004E1CF1"/>
    <w:rsid w:val="004E284E"/>
    <w:rsid w:val="004E2B8B"/>
    <w:rsid w:val="004E2BE3"/>
    <w:rsid w:val="004E6240"/>
    <w:rsid w:val="004E6B44"/>
    <w:rsid w:val="004F0E05"/>
    <w:rsid w:val="004F176F"/>
    <w:rsid w:val="004F38E6"/>
    <w:rsid w:val="004F6FC6"/>
    <w:rsid w:val="004F7402"/>
    <w:rsid w:val="00501DB6"/>
    <w:rsid w:val="005022F1"/>
    <w:rsid w:val="005029CC"/>
    <w:rsid w:val="005044C2"/>
    <w:rsid w:val="00505306"/>
    <w:rsid w:val="00506B9F"/>
    <w:rsid w:val="00507318"/>
    <w:rsid w:val="0051006C"/>
    <w:rsid w:val="005103B6"/>
    <w:rsid w:val="005135B4"/>
    <w:rsid w:val="00514541"/>
    <w:rsid w:val="00524CF2"/>
    <w:rsid w:val="00530099"/>
    <w:rsid w:val="00530CCF"/>
    <w:rsid w:val="00532E37"/>
    <w:rsid w:val="00534681"/>
    <w:rsid w:val="00535A81"/>
    <w:rsid w:val="00535A93"/>
    <w:rsid w:val="0053628E"/>
    <w:rsid w:val="005373EF"/>
    <w:rsid w:val="005404A3"/>
    <w:rsid w:val="005450B3"/>
    <w:rsid w:val="00546DF5"/>
    <w:rsid w:val="00553FAC"/>
    <w:rsid w:val="005561CE"/>
    <w:rsid w:val="005567D5"/>
    <w:rsid w:val="005579BE"/>
    <w:rsid w:val="00560315"/>
    <w:rsid w:val="0056068E"/>
    <w:rsid w:val="005623A2"/>
    <w:rsid w:val="00562FD3"/>
    <w:rsid w:val="00563442"/>
    <w:rsid w:val="0056348E"/>
    <w:rsid w:val="00565B42"/>
    <w:rsid w:val="00573759"/>
    <w:rsid w:val="00577701"/>
    <w:rsid w:val="0058183E"/>
    <w:rsid w:val="00590242"/>
    <w:rsid w:val="00592CA1"/>
    <w:rsid w:val="00594352"/>
    <w:rsid w:val="00594C06"/>
    <w:rsid w:val="00594F85"/>
    <w:rsid w:val="005960BD"/>
    <w:rsid w:val="00596AB1"/>
    <w:rsid w:val="00597BCE"/>
    <w:rsid w:val="005A74AA"/>
    <w:rsid w:val="005B35E2"/>
    <w:rsid w:val="005B4D7B"/>
    <w:rsid w:val="005C4CE6"/>
    <w:rsid w:val="005D10DD"/>
    <w:rsid w:val="005D1958"/>
    <w:rsid w:val="005D1E36"/>
    <w:rsid w:val="005D3B19"/>
    <w:rsid w:val="005D77E2"/>
    <w:rsid w:val="005E1B49"/>
    <w:rsid w:val="005E37EF"/>
    <w:rsid w:val="005F4D77"/>
    <w:rsid w:val="005F545D"/>
    <w:rsid w:val="005F6023"/>
    <w:rsid w:val="005F7E4F"/>
    <w:rsid w:val="00602F8C"/>
    <w:rsid w:val="00606CEA"/>
    <w:rsid w:val="006122BA"/>
    <w:rsid w:val="00620D72"/>
    <w:rsid w:val="006315F9"/>
    <w:rsid w:val="00632292"/>
    <w:rsid w:val="00634148"/>
    <w:rsid w:val="00636ED4"/>
    <w:rsid w:val="00640D93"/>
    <w:rsid w:val="00641CD5"/>
    <w:rsid w:val="00647691"/>
    <w:rsid w:val="006478AC"/>
    <w:rsid w:val="006478BF"/>
    <w:rsid w:val="00654805"/>
    <w:rsid w:val="006602A5"/>
    <w:rsid w:val="00666F3F"/>
    <w:rsid w:val="006676B5"/>
    <w:rsid w:val="00670E78"/>
    <w:rsid w:val="00685DF8"/>
    <w:rsid w:val="006974F8"/>
    <w:rsid w:val="006978F8"/>
    <w:rsid w:val="006A15C0"/>
    <w:rsid w:val="006A3895"/>
    <w:rsid w:val="006A73C1"/>
    <w:rsid w:val="006B023C"/>
    <w:rsid w:val="006B2290"/>
    <w:rsid w:val="006B3B1C"/>
    <w:rsid w:val="006C3646"/>
    <w:rsid w:val="006E3381"/>
    <w:rsid w:val="006E4AF8"/>
    <w:rsid w:val="006E53BD"/>
    <w:rsid w:val="006E6D21"/>
    <w:rsid w:val="006E7BE2"/>
    <w:rsid w:val="006F338D"/>
    <w:rsid w:val="006F6E2F"/>
    <w:rsid w:val="007021C9"/>
    <w:rsid w:val="00702D8A"/>
    <w:rsid w:val="00705D33"/>
    <w:rsid w:val="007077A8"/>
    <w:rsid w:val="00711230"/>
    <w:rsid w:val="00711920"/>
    <w:rsid w:val="00717D88"/>
    <w:rsid w:val="0072123E"/>
    <w:rsid w:val="007215D0"/>
    <w:rsid w:val="007260EF"/>
    <w:rsid w:val="00726A43"/>
    <w:rsid w:val="00727121"/>
    <w:rsid w:val="00736D5A"/>
    <w:rsid w:val="00740449"/>
    <w:rsid w:val="007445A2"/>
    <w:rsid w:val="00745AB7"/>
    <w:rsid w:val="007476F0"/>
    <w:rsid w:val="00751BEB"/>
    <w:rsid w:val="007570C6"/>
    <w:rsid w:val="00760F92"/>
    <w:rsid w:val="007654DB"/>
    <w:rsid w:val="0076579B"/>
    <w:rsid w:val="007747A7"/>
    <w:rsid w:val="00786056"/>
    <w:rsid w:val="007942D3"/>
    <w:rsid w:val="007A37E1"/>
    <w:rsid w:val="007A53AD"/>
    <w:rsid w:val="007A71E4"/>
    <w:rsid w:val="007B2099"/>
    <w:rsid w:val="007B435F"/>
    <w:rsid w:val="007B6C09"/>
    <w:rsid w:val="007B6E65"/>
    <w:rsid w:val="007B7741"/>
    <w:rsid w:val="007B794A"/>
    <w:rsid w:val="007C0F3B"/>
    <w:rsid w:val="007C4951"/>
    <w:rsid w:val="007C596D"/>
    <w:rsid w:val="007D1925"/>
    <w:rsid w:val="007D33CD"/>
    <w:rsid w:val="007D5BA4"/>
    <w:rsid w:val="007E09DA"/>
    <w:rsid w:val="007E0F8A"/>
    <w:rsid w:val="007E773D"/>
    <w:rsid w:val="007E7FBA"/>
    <w:rsid w:val="007F1597"/>
    <w:rsid w:val="007F1DC8"/>
    <w:rsid w:val="007F2208"/>
    <w:rsid w:val="007F3849"/>
    <w:rsid w:val="007F57F5"/>
    <w:rsid w:val="007F718D"/>
    <w:rsid w:val="008000EA"/>
    <w:rsid w:val="00801FAD"/>
    <w:rsid w:val="00806584"/>
    <w:rsid w:val="008178B6"/>
    <w:rsid w:val="008227E3"/>
    <w:rsid w:val="008230FC"/>
    <w:rsid w:val="0082326A"/>
    <w:rsid w:val="00824EAB"/>
    <w:rsid w:val="00827DA6"/>
    <w:rsid w:val="00831AA6"/>
    <w:rsid w:val="0083446D"/>
    <w:rsid w:val="00834F91"/>
    <w:rsid w:val="0083671C"/>
    <w:rsid w:val="0083795C"/>
    <w:rsid w:val="00843F46"/>
    <w:rsid w:val="008515BC"/>
    <w:rsid w:val="00851657"/>
    <w:rsid w:val="00853402"/>
    <w:rsid w:val="00855DC6"/>
    <w:rsid w:val="008622A1"/>
    <w:rsid w:val="00862D2B"/>
    <w:rsid w:val="00865A97"/>
    <w:rsid w:val="00865B74"/>
    <w:rsid w:val="00866063"/>
    <w:rsid w:val="008705AD"/>
    <w:rsid w:val="00871DFE"/>
    <w:rsid w:val="00873B02"/>
    <w:rsid w:val="008747FB"/>
    <w:rsid w:val="00875F12"/>
    <w:rsid w:val="008763A2"/>
    <w:rsid w:val="00876F2E"/>
    <w:rsid w:val="00885B30"/>
    <w:rsid w:val="00885F5A"/>
    <w:rsid w:val="0088645C"/>
    <w:rsid w:val="0089399A"/>
    <w:rsid w:val="00896011"/>
    <w:rsid w:val="008974F0"/>
    <w:rsid w:val="00897D68"/>
    <w:rsid w:val="008A1499"/>
    <w:rsid w:val="008A1737"/>
    <w:rsid w:val="008B012A"/>
    <w:rsid w:val="008B3912"/>
    <w:rsid w:val="008C0095"/>
    <w:rsid w:val="008C3F1B"/>
    <w:rsid w:val="008C5CED"/>
    <w:rsid w:val="008D035C"/>
    <w:rsid w:val="008D1734"/>
    <w:rsid w:val="008D2AE2"/>
    <w:rsid w:val="008E3391"/>
    <w:rsid w:val="008E44A6"/>
    <w:rsid w:val="008E62F2"/>
    <w:rsid w:val="008E7DEA"/>
    <w:rsid w:val="008F0BD2"/>
    <w:rsid w:val="008F2478"/>
    <w:rsid w:val="008F32EB"/>
    <w:rsid w:val="008F41DE"/>
    <w:rsid w:val="008F6379"/>
    <w:rsid w:val="008F6A1F"/>
    <w:rsid w:val="00902E56"/>
    <w:rsid w:val="00906E17"/>
    <w:rsid w:val="00910B82"/>
    <w:rsid w:val="00910BAF"/>
    <w:rsid w:val="00917A39"/>
    <w:rsid w:val="0092142F"/>
    <w:rsid w:val="0092298A"/>
    <w:rsid w:val="009265D7"/>
    <w:rsid w:val="00926945"/>
    <w:rsid w:val="00930BA1"/>
    <w:rsid w:val="00930F86"/>
    <w:rsid w:val="0093169E"/>
    <w:rsid w:val="00934891"/>
    <w:rsid w:val="00934C01"/>
    <w:rsid w:val="00942532"/>
    <w:rsid w:val="009468A2"/>
    <w:rsid w:val="009505C9"/>
    <w:rsid w:val="00950752"/>
    <w:rsid w:val="0095205F"/>
    <w:rsid w:val="009601AE"/>
    <w:rsid w:val="00965E66"/>
    <w:rsid w:val="00966424"/>
    <w:rsid w:val="00971203"/>
    <w:rsid w:val="00972942"/>
    <w:rsid w:val="009775E2"/>
    <w:rsid w:val="00992494"/>
    <w:rsid w:val="0099284D"/>
    <w:rsid w:val="00995D52"/>
    <w:rsid w:val="009A2047"/>
    <w:rsid w:val="009A275E"/>
    <w:rsid w:val="009C2DE6"/>
    <w:rsid w:val="009D57FB"/>
    <w:rsid w:val="009D6D78"/>
    <w:rsid w:val="009E2238"/>
    <w:rsid w:val="009E2332"/>
    <w:rsid w:val="009E58EC"/>
    <w:rsid w:val="00A050CC"/>
    <w:rsid w:val="00A05931"/>
    <w:rsid w:val="00A10916"/>
    <w:rsid w:val="00A111D1"/>
    <w:rsid w:val="00A14DCF"/>
    <w:rsid w:val="00A17A52"/>
    <w:rsid w:val="00A23392"/>
    <w:rsid w:val="00A251F0"/>
    <w:rsid w:val="00A264A4"/>
    <w:rsid w:val="00A276DA"/>
    <w:rsid w:val="00A3194B"/>
    <w:rsid w:val="00A32117"/>
    <w:rsid w:val="00A32AFF"/>
    <w:rsid w:val="00A369A4"/>
    <w:rsid w:val="00A42A6D"/>
    <w:rsid w:val="00A42F72"/>
    <w:rsid w:val="00A443B1"/>
    <w:rsid w:val="00A466B2"/>
    <w:rsid w:val="00A53FF2"/>
    <w:rsid w:val="00A60F33"/>
    <w:rsid w:val="00A66621"/>
    <w:rsid w:val="00A67C64"/>
    <w:rsid w:val="00A73E9E"/>
    <w:rsid w:val="00A74707"/>
    <w:rsid w:val="00A76A55"/>
    <w:rsid w:val="00A770E5"/>
    <w:rsid w:val="00A82C3F"/>
    <w:rsid w:val="00A874CE"/>
    <w:rsid w:val="00A90352"/>
    <w:rsid w:val="00A9145B"/>
    <w:rsid w:val="00A92DB3"/>
    <w:rsid w:val="00AA020D"/>
    <w:rsid w:val="00AA1658"/>
    <w:rsid w:val="00AA276F"/>
    <w:rsid w:val="00AA41B4"/>
    <w:rsid w:val="00AA6F92"/>
    <w:rsid w:val="00AB3B1B"/>
    <w:rsid w:val="00AB6934"/>
    <w:rsid w:val="00AC006B"/>
    <w:rsid w:val="00AC0702"/>
    <w:rsid w:val="00AC1512"/>
    <w:rsid w:val="00AC272B"/>
    <w:rsid w:val="00AD03B9"/>
    <w:rsid w:val="00AD2FE9"/>
    <w:rsid w:val="00AE0840"/>
    <w:rsid w:val="00AE79F2"/>
    <w:rsid w:val="00AF152F"/>
    <w:rsid w:val="00AF3033"/>
    <w:rsid w:val="00AF42DE"/>
    <w:rsid w:val="00B11E55"/>
    <w:rsid w:val="00B20F35"/>
    <w:rsid w:val="00B2385A"/>
    <w:rsid w:val="00B239C3"/>
    <w:rsid w:val="00B27659"/>
    <w:rsid w:val="00B30F06"/>
    <w:rsid w:val="00B320B3"/>
    <w:rsid w:val="00B3369F"/>
    <w:rsid w:val="00B365BB"/>
    <w:rsid w:val="00B40441"/>
    <w:rsid w:val="00B40D16"/>
    <w:rsid w:val="00B43A34"/>
    <w:rsid w:val="00B43A90"/>
    <w:rsid w:val="00B4432E"/>
    <w:rsid w:val="00B46567"/>
    <w:rsid w:val="00B51E0B"/>
    <w:rsid w:val="00B51FC6"/>
    <w:rsid w:val="00B57DC6"/>
    <w:rsid w:val="00B70631"/>
    <w:rsid w:val="00B75D10"/>
    <w:rsid w:val="00B80116"/>
    <w:rsid w:val="00B817A9"/>
    <w:rsid w:val="00B94036"/>
    <w:rsid w:val="00B9447D"/>
    <w:rsid w:val="00B94E6C"/>
    <w:rsid w:val="00BA0D7C"/>
    <w:rsid w:val="00BB0B7F"/>
    <w:rsid w:val="00BB4606"/>
    <w:rsid w:val="00BB515B"/>
    <w:rsid w:val="00BB5AED"/>
    <w:rsid w:val="00BB682B"/>
    <w:rsid w:val="00BD0FA6"/>
    <w:rsid w:val="00BD16AF"/>
    <w:rsid w:val="00BD3672"/>
    <w:rsid w:val="00BF4BC0"/>
    <w:rsid w:val="00BF53E6"/>
    <w:rsid w:val="00BF6790"/>
    <w:rsid w:val="00C05B82"/>
    <w:rsid w:val="00C05C57"/>
    <w:rsid w:val="00C13558"/>
    <w:rsid w:val="00C17153"/>
    <w:rsid w:val="00C1725F"/>
    <w:rsid w:val="00C17CC1"/>
    <w:rsid w:val="00C216DE"/>
    <w:rsid w:val="00C2359A"/>
    <w:rsid w:val="00C23D2F"/>
    <w:rsid w:val="00C24689"/>
    <w:rsid w:val="00C31ED4"/>
    <w:rsid w:val="00C354D5"/>
    <w:rsid w:val="00C431F3"/>
    <w:rsid w:val="00C43633"/>
    <w:rsid w:val="00C438C5"/>
    <w:rsid w:val="00C443BD"/>
    <w:rsid w:val="00C451C5"/>
    <w:rsid w:val="00C47649"/>
    <w:rsid w:val="00C53A67"/>
    <w:rsid w:val="00C56A17"/>
    <w:rsid w:val="00C608E7"/>
    <w:rsid w:val="00C6221B"/>
    <w:rsid w:val="00C62F74"/>
    <w:rsid w:val="00C643F0"/>
    <w:rsid w:val="00C728B4"/>
    <w:rsid w:val="00C72CD7"/>
    <w:rsid w:val="00C7573F"/>
    <w:rsid w:val="00C76711"/>
    <w:rsid w:val="00C8065C"/>
    <w:rsid w:val="00C80EA4"/>
    <w:rsid w:val="00C86FE2"/>
    <w:rsid w:val="00C9093D"/>
    <w:rsid w:val="00C909ED"/>
    <w:rsid w:val="00C9161D"/>
    <w:rsid w:val="00C95B07"/>
    <w:rsid w:val="00CA0C1D"/>
    <w:rsid w:val="00CA4D0D"/>
    <w:rsid w:val="00CB048A"/>
    <w:rsid w:val="00CC3F00"/>
    <w:rsid w:val="00CC4A12"/>
    <w:rsid w:val="00CC7D23"/>
    <w:rsid w:val="00CD3975"/>
    <w:rsid w:val="00CF0783"/>
    <w:rsid w:val="00CF0D72"/>
    <w:rsid w:val="00CF1848"/>
    <w:rsid w:val="00CF2BCE"/>
    <w:rsid w:val="00CF4875"/>
    <w:rsid w:val="00CF4D0A"/>
    <w:rsid w:val="00CF5B30"/>
    <w:rsid w:val="00D0006A"/>
    <w:rsid w:val="00D04AA6"/>
    <w:rsid w:val="00D0791E"/>
    <w:rsid w:val="00D12044"/>
    <w:rsid w:val="00D13DCA"/>
    <w:rsid w:val="00D14848"/>
    <w:rsid w:val="00D170D9"/>
    <w:rsid w:val="00D2197A"/>
    <w:rsid w:val="00D21F76"/>
    <w:rsid w:val="00D2281E"/>
    <w:rsid w:val="00D23D0B"/>
    <w:rsid w:val="00D251B2"/>
    <w:rsid w:val="00D278ED"/>
    <w:rsid w:val="00D33EFC"/>
    <w:rsid w:val="00D40DBC"/>
    <w:rsid w:val="00D424B1"/>
    <w:rsid w:val="00D445B5"/>
    <w:rsid w:val="00D44C96"/>
    <w:rsid w:val="00D5372E"/>
    <w:rsid w:val="00D53C1A"/>
    <w:rsid w:val="00D578F6"/>
    <w:rsid w:val="00D60D37"/>
    <w:rsid w:val="00D61C85"/>
    <w:rsid w:val="00D623EB"/>
    <w:rsid w:val="00D66EC3"/>
    <w:rsid w:val="00D6737C"/>
    <w:rsid w:val="00D70076"/>
    <w:rsid w:val="00D70368"/>
    <w:rsid w:val="00D704EA"/>
    <w:rsid w:val="00D7188C"/>
    <w:rsid w:val="00D72D53"/>
    <w:rsid w:val="00D740A7"/>
    <w:rsid w:val="00D75CA6"/>
    <w:rsid w:val="00D76A18"/>
    <w:rsid w:val="00D80849"/>
    <w:rsid w:val="00D82C92"/>
    <w:rsid w:val="00D82E8F"/>
    <w:rsid w:val="00D83473"/>
    <w:rsid w:val="00D85F9C"/>
    <w:rsid w:val="00D90B67"/>
    <w:rsid w:val="00D936DF"/>
    <w:rsid w:val="00D9407A"/>
    <w:rsid w:val="00D97C3F"/>
    <w:rsid w:val="00DA1B50"/>
    <w:rsid w:val="00DA522F"/>
    <w:rsid w:val="00DB3293"/>
    <w:rsid w:val="00DB4E3E"/>
    <w:rsid w:val="00DB50C8"/>
    <w:rsid w:val="00DB541F"/>
    <w:rsid w:val="00DB5E0F"/>
    <w:rsid w:val="00DB70F5"/>
    <w:rsid w:val="00DC02DD"/>
    <w:rsid w:val="00DC17FA"/>
    <w:rsid w:val="00DC1D18"/>
    <w:rsid w:val="00DC241F"/>
    <w:rsid w:val="00DC249F"/>
    <w:rsid w:val="00DC3B01"/>
    <w:rsid w:val="00DC630C"/>
    <w:rsid w:val="00DC73D1"/>
    <w:rsid w:val="00DD118C"/>
    <w:rsid w:val="00DD258D"/>
    <w:rsid w:val="00DD6BF3"/>
    <w:rsid w:val="00DE765C"/>
    <w:rsid w:val="00DF1DA8"/>
    <w:rsid w:val="00DF75F5"/>
    <w:rsid w:val="00E01A81"/>
    <w:rsid w:val="00E043CD"/>
    <w:rsid w:val="00E0709D"/>
    <w:rsid w:val="00E1649D"/>
    <w:rsid w:val="00E1694D"/>
    <w:rsid w:val="00E26BF2"/>
    <w:rsid w:val="00E300BE"/>
    <w:rsid w:val="00E33520"/>
    <w:rsid w:val="00E358F0"/>
    <w:rsid w:val="00E35CBC"/>
    <w:rsid w:val="00E45127"/>
    <w:rsid w:val="00E51610"/>
    <w:rsid w:val="00E65B16"/>
    <w:rsid w:val="00E65F40"/>
    <w:rsid w:val="00E66235"/>
    <w:rsid w:val="00E74420"/>
    <w:rsid w:val="00E74800"/>
    <w:rsid w:val="00E75A28"/>
    <w:rsid w:val="00E76BED"/>
    <w:rsid w:val="00E82706"/>
    <w:rsid w:val="00E83314"/>
    <w:rsid w:val="00E83C24"/>
    <w:rsid w:val="00E90B20"/>
    <w:rsid w:val="00E91AA7"/>
    <w:rsid w:val="00E9318D"/>
    <w:rsid w:val="00E9326E"/>
    <w:rsid w:val="00E93F3E"/>
    <w:rsid w:val="00E943A9"/>
    <w:rsid w:val="00E97C84"/>
    <w:rsid w:val="00E97F72"/>
    <w:rsid w:val="00EA5253"/>
    <w:rsid w:val="00EA75AF"/>
    <w:rsid w:val="00EB02E9"/>
    <w:rsid w:val="00EB10A4"/>
    <w:rsid w:val="00EC0F9B"/>
    <w:rsid w:val="00EC1E6E"/>
    <w:rsid w:val="00ED0008"/>
    <w:rsid w:val="00ED04A7"/>
    <w:rsid w:val="00ED0B26"/>
    <w:rsid w:val="00ED288A"/>
    <w:rsid w:val="00ED5BAB"/>
    <w:rsid w:val="00ED659C"/>
    <w:rsid w:val="00ED6FD8"/>
    <w:rsid w:val="00EE24A0"/>
    <w:rsid w:val="00EE28E1"/>
    <w:rsid w:val="00EE2BB6"/>
    <w:rsid w:val="00EE3DAA"/>
    <w:rsid w:val="00EE6F91"/>
    <w:rsid w:val="00EE715E"/>
    <w:rsid w:val="00EE757B"/>
    <w:rsid w:val="00EE7B43"/>
    <w:rsid w:val="00EF5718"/>
    <w:rsid w:val="00EF6E01"/>
    <w:rsid w:val="00EF757F"/>
    <w:rsid w:val="00F019BA"/>
    <w:rsid w:val="00F062E1"/>
    <w:rsid w:val="00F063C2"/>
    <w:rsid w:val="00F07520"/>
    <w:rsid w:val="00F10C15"/>
    <w:rsid w:val="00F13BA6"/>
    <w:rsid w:val="00F17474"/>
    <w:rsid w:val="00F20D90"/>
    <w:rsid w:val="00F24002"/>
    <w:rsid w:val="00F257A0"/>
    <w:rsid w:val="00F3110E"/>
    <w:rsid w:val="00F31624"/>
    <w:rsid w:val="00F31D85"/>
    <w:rsid w:val="00F31F99"/>
    <w:rsid w:val="00F34A04"/>
    <w:rsid w:val="00F448AB"/>
    <w:rsid w:val="00F45C65"/>
    <w:rsid w:val="00F463EF"/>
    <w:rsid w:val="00F50272"/>
    <w:rsid w:val="00F53193"/>
    <w:rsid w:val="00F5357E"/>
    <w:rsid w:val="00F644B3"/>
    <w:rsid w:val="00F6586C"/>
    <w:rsid w:val="00F70CD2"/>
    <w:rsid w:val="00F74C3C"/>
    <w:rsid w:val="00F81FD7"/>
    <w:rsid w:val="00F82E2A"/>
    <w:rsid w:val="00F84CCD"/>
    <w:rsid w:val="00F8674E"/>
    <w:rsid w:val="00F86B58"/>
    <w:rsid w:val="00F87D34"/>
    <w:rsid w:val="00F9038B"/>
    <w:rsid w:val="00F91867"/>
    <w:rsid w:val="00F93128"/>
    <w:rsid w:val="00F935AA"/>
    <w:rsid w:val="00F94774"/>
    <w:rsid w:val="00F94F07"/>
    <w:rsid w:val="00FA131C"/>
    <w:rsid w:val="00FA1ACE"/>
    <w:rsid w:val="00FA4BF3"/>
    <w:rsid w:val="00FA663B"/>
    <w:rsid w:val="00FB13E9"/>
    <w:rsid w:val="00FC2AF9"/>
    <w:rsid w:val="00FC4AD3"/>
    <w:rsid w:val="00FC53DB"/>
    <w:rsid w:val="00FD3B5C"/>
    <w:rsid w:val="00FD4B2F"/>
    <w:rsid w:val="00FD5664"/>
    <w:rsid w:val="00FD622B"/>
    <w:rsid w:val="00FE51C3"/>
    <w:rsid w:val="00FE5ADA"/>
    <w:rsid w:val="00FE6C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600E25"/>
  <w15:docId w15:val="{B464DC9E-D005-4A91-8814-DF1D2857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Simplified Arabic"/>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Simplified Arabic"/>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Simplified Arabic"/>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Simplified Arabic"/>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Simplified Arabic"/>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Simplified Arabic"/>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Simplified Arabic"/>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Simplified Arabic"/>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Simplified Arabic"/>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Simplified Arabic"/>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Simplified Arabic"/>
      <w:bCs/>
      <w:szCs w:val="22"/>
      <w:lang w:val="en-GB"/>
    </w:rPr>
  </w:style>
  <w:style w:type="character" w:customStyle="1" w:styleId="Heading7Char">
    <w:name w:val="Heading 7 Char"/>
    <w:basedOn w:val="DefaultParagraphFont"/>
    <w:link w:val="Heading7"/>
    <w:rsid w:val="003F1A75"/>
    <w:rPr>
      <w:rFonts w:ascii="Times New Roman" w:eastAsia="SimSun" w:hAnsi="Times New Roman" w:cs="Simplified Arabic"/>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Simplified Arabic"/>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Simplified Arabic"/>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Simplified Arabic"/>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noProof/>
      <w:lang w:val="en-US"/>
    </w:rPr>
  </w:style>
  <w:style w:type="paragraph" w:customStyle="1" w:styleId="DarkList-Accent31">
    <w:name w:val="Dark List - Accent 31"/>
    <w:hidden/>
    <w:uiPriority w:val="99"/>
    <w:semiHidden/>
    <w:rsid w:val="003F1A75"/>
    <w:rPr>
      <w:rFonts w:ascii="Times New Roman" w:eastAsia="SimSun" w:hAnsi="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Simplified Arabic"/>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Simplified Arabic"/>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Simplified Arabic"/>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Simplified Arabic"/>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Simplified Arabic"/>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Simplified Arabic"/>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Simplified Arabic"/>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Simplified Arabic"/>
      <w:sz w:val="22"/>
      <w:szCs w:val="22"/>
      <w:lang w:val="en-GB"/>
    </w:rPr>
  </w:style>
  <w:style w:type="table" w:styleId="Colou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u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Simplified Arabic"/>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Simplified Arabic"/>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u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u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u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u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u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u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u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u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u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u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u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u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Simplified Arabic"/>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Simplified Arabic"/>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Simplified Arabic"/>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u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u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u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u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u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u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Simplified Arabic"/>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Simplified Arabic"/>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Simplified Arabic"/>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Simplified Arabic"/>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Simplified Arabic"/>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Simplified Arabic"/>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9650C"/>
    <w:rPr>
      <w:rFonts w:ascii="Times New Roman" w:eastAsia="SimSun" w:hAnsi="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notifications/2024-1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notifications/2024-114" TargetMode="External"/><Relationship Id="rId37" Type="http://schemas.openxmlformats.org/officeDocument/2006/relationships/hyperlink" Target="https://www.cbd.int/decisions/cop/?m=cop-16" TargetMode="External"/><Relationship Id="rId40" Type="http://schemas.openxmlformats.org/officeDocument/2006/relationships/header" Target="header1.xml"/><Relationship Id="rId45"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notifications/2024-116" TargetMode="External"/><Relationship Id="rId31" Type="http://schemas.openxmlformats.org/officeDocument/2006/relationships/hyperlink" Target="https://www.cbd.int/decisions/cop/?m=cop-16"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notifications/2024-116" TargetMode="External"/><Relationship Id="rId38" Type="http://schemas.openxmlformats.org/officeDocument/2006/relationships/hyperlink" Target="https://www.cbd.int/decisions/cop/?m=cop-16" TargetMode="External"/><Relationship Id="rId46" Type="http://schemas.openxmlformats.org/officeDocument/2006/relationships/theme" Target="theme/theme1.xml"/><Relationship Id="rId20" Type="http://schemas.openxmlformats.org/officeDocument/2006/relationships/hyperlink" Target="https://www.cbd.int/decisions/cop/?m=cop-16" TargetMode="External"/><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cdn.who.int/media/docs/default-source/pip-framework/partnership-contribution/pc-collection/pc-total-contributions.pdf?sfvrsn=ce1eb4d1_8" TargetMode="External"/><Relationship Id="rId2" Type="http://schemas.openxmlformats.org/officeDocument/2006/relationships/hyperlink" Target="https://www.fao.org/plant-treaty/areas-of-work/the-multilateral-system/smta/en/" TargetMode="External"/><Relationship Id="rId1" Type="http://schemas.openxmlformats.org/officeDocument/2006/relationships/hyperlink" Target="https://www.cbd.int/documents/CBD/COP/17/1/REV1" TargetMode="External"/><Relationship Id="rId5" Type="http://schemas.openxmlformats.org/officeDocument/2006/relationships/hyperlink" Target="https://www.cbd.int/decisions/cop/?m=cop-16" TargetMode="External"/><Relationship Id="rId4" Type="http://schemas.openxmlformats.org/officeDocument/2006/relationships/hyperlink" Target="https://isa.org.jm/equitable-sharing-of-benefi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BREY1\Downloads\DRAFT%20cop-17-6-Add.3.clea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FA1B5A-C0F4-4A46-995D-0EB1131867D6}"/>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cop-17-6-Add.3.clean</Template>
  <TotalTime>1173</TotalTime>
  <Pages>15</Pages>
  <Words>5429</Words>
  <Characters>30839</Characters>
  <Application>Microsoft Office Word</Application>
  <DocSecurity>0</DocSecurity>
  <Lines>700</Lines>
  <Paragraphs>326</Paragraphs>
  <ScaleCrop>false</ScaleCrop>
  <HeadingPairs>
    <vt:vector size="2" baseType="variant">
      <vt:variant>
        <vt:lpstr>Title</vt:lpstr>
      </vt:variant>
      <vt:variant>
        <vt:i4>1</vt:i4>
      </vt:variant>
    </vt:vector>
  </HeadingPairs>
  <TitlesOfParts>
    <vt:vector size="1" baseType="lpstr">
      <vt:lpstr>Executive summary of the study on contribution rates, including implications for revenue generation and economic competitiveness, and on national and international standards for the identification of small, medium and large entities</vt:lpstr>
    </vt:vector>
  </TitlesOfParts>
  <Company>SCBD</Company>
  <LinksUpToDate>false</LinksUpToDate>
  <CharactersWithSpaces>35942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of the study on contribution rates, including implications for revenue generation and economic competitiveness, and on national and international standards for the identification of small, medium and large entities</dc:title>
  <dc:subject>CBD/COP/17/6/Add.3</dc:subject>
  <dc:creator>Secretariat of the Convention on Biological Diversity</dc:creator>
  <cp:keywords>Convention on Biological Diversity</cp:keywords>
  <cp:lastModifiedBy>Dalia El Gendi</cp:lastModifiedBy>
  <cp:revision>61</cp:revision>
  <cp:lastPrinted>2020-01-21T16:56:00Z</cp:lastPrinted>
  <dcterms:created xsi:type="dcterms:W3CDTF">2026-09-24T19:43:00Z</dcterms:created>
  <dcterms:modified xsi:type="dcterms:W3CDTF">2026-09-25T17:18:00Z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