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91A48"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71E9F9A2" w:rsidR="008A1499" w:rsidRPr="00A91A48" w:rsidRDefault="008A1499" w:rsidP="003F1A75">
            <w:pPr>
              <w:pStyle w:val="ABSymbol"/>
            </w:pPr>
            <w:r w:rsidRPr="00A91A48">
              <w:rPr>
                <w:sz w:val="40"/>
              </w:rPr>
              <w:t>CBD</w:t>
            </w:r>
            <w:r w:rsidRPr="00A91A48">
              <w:t>/</w:t>
            </w:r>
            <w:r w:rsidR="00F041E5" w:rsidRPr="00A91A48">
              <w:t>C</w:t>
            </w:r>
            <w:r w:rsidR="00975047" w:rsidRPr="00A91A48">
              <w:t>P</w:t>
            </w:r>
            <w:r w:rsidRPr="00A91A48">
              <w:t>/</w:t>
            </w:r>
            <w:r w:rsidR="00975047" w:rsidRPr="00A91A48">
              <w:t>MOP/</w:t>
            </w:r>
            <w:r w:rsidR="00F041E5" w:rsidRPr="00A91A48">
              <w:t>12</w:t>
            </w:r>
            <w:r w:rsidR="00975047" w:rsidRPr="00A91A48">
              <w:t>/</w:t>
            </w:r>
            <w:r w:rsidR="00A91A48" w:rsidRPr="00CB60A0">
              <w:t>L.2</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381AC0C6" w:rsidR="008A1499" w:rsidRPr="003F1A75" w:rsidRDefault="00AE7E08" w:rsidP="008A1499">
            <w:pPr>
              <w:pStyle w:val="AEDistrNormal"/>
            </w:pPr>
            <w:r>
              <w:t>2</w:t>
            </w:r>
            <w:r w:rsidR="0086638C">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6C2913" w:rsidRDefault="00975047" w:rsidP="008A1499">
            <w:pPr>
              <w:pStyle w:val="AFCorN12Bold"/>
            </w:pPr>
            <w:r w:rsidRPr="006C2913">
              <w:t xml:space="preserve">Conference of the Parties to the Convention on Biological Diversity serving as the meeting of the Parties to the </w:t>
            </w:r>
            <w:r w:rsidR="00F041E5" w:rsidRPr="006C2913">
              <w:t>Cartagena Protocol on Biosafety</w:t>
            </w:r>
          </w:p>
          <w:p w14:paraId="4AD00E11" w14:textId="77777777" w:rsidR="008A1499" w:rsidRPr="006C2913" w:rsidRDefault="00F041E5" w:rsidP="008A1499">
            <w:pPr>
              <w:pStyle w:val="AFCorNBold"/>
            </w:pPr>
            <w:r w:rsidRPr="006C2913">
              <w:t>Twelfth</w:t>
            </w:r>
            <w:r w:rsidR="008A1499" w:rsidRPr="006C2913">
              <w:t xml:space="preserve"> meeting </w:t>
            </w:r>
          </w:p>
          <w:p w14:paraId="2AB875DF" w14:textId="77777777" w:rsidR="008A1499" w:rsidRPr="006C2913" w:rsidRDefault="00975047" w:rsidP="008A1499">
            <w:pPr>
              <w:pStyle w:val="AFCorNNormal"/>
            </w:pPr>
            <w:r w:rsidRPr="006C2913">
              <w:t>Yerevan, 19–30 October 2026</w:t>
            </w:r>
          </w:p>
          <w:p w14:paraId="018EC1BC" w14:textId="29C30056" w:rsidR="008A1499" w:rsidRPr="006C2913" w:rsidRDefault="001643E3" w:rsidP="008A1499">
            <w:pPr>
              <w:pStyle w:val="AFCorNNormal"/>
            </w:pPr>
            <w:r w:rsidRPr="006C2913">
              <w:t>A</w:t>
            </w:r>
            <w:r w:rsidR="008A1499" w:rsidRPr="006C2913">
              <w:t>genda</w:t>
            </w:r>
            <w:r w:rsidRPr="006C2913">
              <w:t xml:space="preserve"> item</w:t>
            </w:r>
            <w:r w:rsidR="008A1499" w:rsidRPr="006C2913">
              <w:t xml:space="preserve"> </w:t>
            </w:r>
            <w:r w:rsidR="006E70F4" w:rsidRPr="006C2913">
              <w:t>5</w:t>
            </w:r>
          </w:p>
          <w:p w14:paraId="75CB86EC" w14:textId="77777777" w:rsidR="008A1499" w:rsidRPr="006C2913" w:rsidRDefault="006E70F4" w:rsidP="008A1499">
            <w:pPr>
              <w:pStyle w:val="AFCorNBold"/>
            </w:pPr>
            <w:r w:rsidRPr="006C2913">
              <w:t>Report of the Compliance Committee</w:t>
            </w:r>
          </w:p>
          <w:p w14:paraId="5CAAF4FB" w14:textId="75624EC2" w:rsidR="002F0021" w:rsidRPr="006C2913" w:rsidRDefault="002F0021" w:rsidP="002F0021">
            <w:pPr>
              <w:pStyle w:val="AFCorNNormal"/>
            </w:pPr>
          </w:p>
        </w:tc>
        <w:tc>
          <w:tcPr>
            <w:tcW w:w="4388" w:type="dxa"/>
          </w:tcPr>
          <w:p w14:paraId="2585170E" w14:textId="77777777" w:rsidR="008A1499" w:rsidRPr="003F1A75" w:rsidRDefault="008A1499" w:rsidP="008A1499">
            <w:pPr>
              <w:pStyle w:val="CBDNormal"/>
              <w:jc w:val="left"/>
            </w:pPr>
          </w:p>
        </w:tc>
      </w:tr>
    </w:tbl>
    <w:p w14:paraId="04E81299" w14:textId="626F7D3A" w:rsidR="00C9161D" w:rsidRPr="003F1A75" w:rsidRDefault="00000000" w:rsidP="00A111D1">
      <w:pPr>
        <w:pStyle w:val="CBDTitle"/>
        <w:rPr>
          <w:caps/>
        </w:rPr>
      </w:pPr>
      <w:sdt>
        <w:sdtPr>
          <w:rPr>
            <w:sz w:val="24"/>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995C1D" w:rsidRPr="00995C1D">
            <w:rPr>
              <w:sz w:val="24"/>
            </w:rPr>
            <w:t>Compliance</w:t>
          </w:r>
        </w:sdtContent>
      </w:sdt>
      <w:r w:rsidR="00105372" w:rsidRPr="003F1A75">
        <w:rPr>
          <w:caps/>
        </w:rPr>
        <w:t xml:space="preserve"> </w:t>
      </w:r>
    </w:p>
    <w:p w14:paraId="561E2151" w14:textId="16956DFB" w:rsidR="00F6586C" w:rsidRPr="003F1A75" w:rsidRDefault="00726DEC" w:rsidP="00A111D1">
      <w:pPr>
        <w:pStyle w:val="CBDSubTitle"/>
      </w:pPr>
      <w:r>
        <w:t xml:space="preserve">Draft decision submitted by the </w:t>
      </w:r>
      <w:r w:rsidR="007A76DB" w:rsidRPr="006C2913">
        <w:t>Chair of Working Group II</w:t>
      </w:r>
    </w:p>
    <w:p w14:paraId="74F1B53D" w14:textId="77777777" w:rsidR="00C72AAE" w:rsidRPr="00850BE4" w:rsidRDefault="00C72AAE" w:rsidP="00C72AAE">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p>
    <w:p w14:paraId="77C2EB94" w14:textId="77E4DFDD" w:rsidR="00C72AAE" w:rsidRPr="00850BE4" w:rsidRDefault="002F6A8A" w:rsidP="00E30ECE">
      <w:pPr>
        <w:pStyle w:val="CBDNormalNoNumber"/>
      </w:pPr>
      <w:r>
        <w:tab/>
      </w:r>
      <w:r w:rsidR="00E3730D" w:rsidRPr="00E30ECE">
        <w:t>1.</w:t>
      </w:r>
      <w:r w:rsidR="00E3730D" w:rsidRPr="00E30ECE">
        <w:tab/>
      </w:r>
      <w:r w:rsidR="00C72AAE" w:rsidRPr="00850BE4">
        <w:rPr>
          <w:i/>
          <w:iCs/>
        </w:rPr>
        <w:t>Notes</w:t>
      </w:r>
      <w:r w:rsidR="00C72AAE" w:rsidRPr="00850BE4">
        <w:t xml:space="preserve"> that </w:t>
      </w:r>
      <w:proofErr w:type="gramStart"/>
      <w:r w:rsidR="00C72AAE" w:rsidRPr="00850BE4">
        <w:t>a number of</w:t>
      </w:r>
      <w:proofErr w:type="gramEnd"/>
      <w:r w:rsidR="00C72AAE" w:rsidRPr="00850BE4">
        <w:t xml:space="preserve"> Parties have not designated the national focal points, competent national authorities or contact points required under the Cartagena Protocol on Biosafety;</w:t>
      </w:r>
      <w:r w:rsidR="00C72AAE" w:rsidRPr="00850BE4">
        <w:rPr>
          <w:rStyle w:val="FootnoteReference"/>
        </w:rPr>
        <w:footnoteReference w:id="1"/>
      </w:r>
      <w:r w:rsidR="00C72AAE" w:rsidRPr="00850BE4">
        <w:t xml:space="preserve"> </w:t>
      </w:r>
    </w:p>
    <w:p w14:paraId="0BD487E0" w14:textId="1B96FF41" w:rsidR="00C72AAE" w:rsidRPr="00850BE4" w:rsidRDefault="00535DFA" w:rsidP="00E30ECE">
      <w:pPr>
        <w:pStyle w:val="CBDNormalNoNumber"/>
      </w:pPr>
      <w:r>
        <w:tab/>
      </w:r>
      <w:r w:rsidR="00C77F7F" w:rsidRPr="00E30ECE">
        <w:t>2.</w:t>
      </w:r>
      <w:r w:rsidR="00C77F7F" w:rsidRPr="00E30ECE">
        <w:tab/>
      </w:r>
      <w:r w:rsidR="00C72AAE" w:rsidRPr="00850BE4">
        <w:rPr>
          <w:i/>
          <w:iCs/>
        </w:rPr>
        <w:t xml:space="preserve">Reminds </w:t>
      </w:r>
      <w:r w:rsidR="00C72AAE" w:rsidRPr="00850BE4">
        <w:t xml:space="preserve">Parties of their obligation to designate their national focal points for the Cartagena Protocol, in compliance with Article 19 of the Protocol, and of the need to designate their Biosafety Clearing-House national focal points, in accordance with the modalities of operation of the Biosafety </w:t>
      </w:r>
      <w:proofErr w:type="gramStart"/>
      <w:r w:rsidR="00C72AAE" w:rsidRPr="00850BE4">
        <w:t>Clearing-House</w:t>
      </w:r>
      <w:proofErr w:type="gramEnd"/>
      <w:r w:rsidR="00C72AAE" w:rsidRPr="00850BE4">
        <w:t>, and to keep the information up to date;</w:t>
      </w:r>
      <w:r w:rsidR="00C72AAE" w:rsidRPr="00850BE4">
        <w:rPr>
          <w:rStyle w:val="FootnoteReference"/>
        </w:rPr>
        <w:footnoteReference w:id="2"/>
      </w:r>
      <w:r w:rsidR="00C72AAE" w:rsidRPr="00850BE4">
        <w:t xml:space="preserve"> </w:t>
      </w:r>
    </w:p>
    <w:p w14:paraId="736D60A2" w14:textId="05A0E3C9" w:rsidR="00C72AAE" w:rsidRPr="00850BE4" w:rsidRDefault="00535DFA" w:rsidP="00E30ECE">
      <w:pPr>
        <w:pStyle w:val="CBDNormalNoNumber"/>
      </w:pPr>
      <w:r>
        <w:tab/>
      </w:r>
      <w:r w:rsidR="00EF676A" w:rsidRPr="00E30ECE">
        <w:t>3.</w:t>
      </w:r>
      <w:r w:rsidR="00EF676A" w:rsidRPr="00E30ECE">
        <w:tab/>
      </w:r>
      <w:r w:rsidR="00C72AAE" w:rsidRPr="00850BE4">
        <w:rPr>
          <w:i/>
          <w:iCs/>
        </w:rPr>
        <w:t>Also reminds</w:t>
      </w:r>
      <w:r w:rsidR="00C72AAE" w:rsidRPr="00850BE4">
        <w:t xml:space="preserve"> Parties of their obligation to make available through the Biosafety Clearing-House the </w:t>
      </w:r>
      <w:bookmarkStart w:id="0" w:name="_Hlk200722798"/>
      <w:r w:rsidR="00C72AAE" w:rsidRPr="00850BE4">
        <w:t xml:space="preserve">contact details of one or more </w:t>
      </w:r>
      <w:bookmarkStart w:id="1" w:name="_Hlk200722925"/>
      <w:r w:rsidR="00C72AAE" w:rsidRPr="00850BE4">
        <w:t>competent national authorities</w:t>
      </w:r>
      <w:bookmarkEnd w:id="0"/>
      <w:bookmarkEnd w:id="1"/>
      <w:r w:rsidR="00C72AAE" w:rsidRPr="00850BE4">
        <w:t>, in accordance with Article 19 of the Cartagena Protocol, and urges those Parties that have not yet done so to make that information available, as a matter of priority;</w:t>
      </w:r>
    </w:p>
    <w:p w14:paraId="462112E6" w14:textId="47675F46" w:rsidR="00C72AAE" w:rsidRPr="00850BE4" w:rsidRDefault="00535DFA" w:rsidP="00E30ECE">
      <w:pPr>
        <w:pStyle w:val="CBDNormalNoNumber"/>
      </w:pPr>
      <w:r>
        <w:tab/>
      </w:r>
      <w:r w:rsidR="00D12288" w:rsidRPr="00E30ECE">
        <w:t>4.</w:t>
      </w:r>
      <w:r w:rsidR="00D12288" w:rsidRPr="00E30ECE">
        <w:tab/>
      </w:r>
      <w:r w:rsidR="00C72AAE" w:rsidRPr="00850BE4">
        <w:rPr>
          <w:i/>
          <w:iCs/>
        </w:rPr>
        <w:t>Further reminds</w:t>
      </w:r>
      <w:r w:rsidR="00C72AAE" w:rsidRPr="00850BE4">
        <w:t xml:space="preserve"> Parties of their obligation to designate a point of contact for the purposes of receiving notifications under Article 17 of the Cartagena Protocol, and urges</w:t>
      </w:r>
      <w:r w:rsidR="00C72AAE" w:rsidRPr="00850BE4">
        <w:rPr>
          <w:i/>
          <w:iCs/>
        </w:rPr>
        <w:t xml:space="preserve"> </w:t>
      </w:r>
      <w:r w:rsidR="00C72AAE" w:rsidRPr="00850BE4">
        <w:t>those that have not yet done so to make such designations as soon as possible;</w:t>
      </w:r>
    </w:p>
    <w:p w14:paraId="54511174" w14:textId="10FC037E" w:rsidR="0053270B" w:rsidRDefault="00535DFA" w:rsidP="00E30ECE">
      <w:pPr>
        <w:pStyle w:val="CBDNormalNoNumber"/>
      </w:pPr>
      <w:r>
        <w:tab/>
      </w:r>
      <w:r w:rsidR="00D12288" w:rsidRPr="00E30ECE">
        <w:t>5.</w:t>
      </w:r>
      <w:r w:rsidR="00D12288" w:rsidRPr="00E30ECE">
        <w:tab/>
      </w:r>
      <w:r w:rsidR="00C72AAE" w:rsidRPr="00850BE4">
        <w:rPr>
          <w:i/>
          <w:iCs/>
        </w:rPr>
        <w:t>Urges</w:t>
      </w:r>
      <w:r w:rsidR="00C72AAE" w:rsidRPr="00850BE4">
        <w:t xml:space="preserve"> Parties that are developing their biosafety regulatory frameworks to expedite their work, recognizing that Parties are required under the Cartagena Protocol to take measures for its implementation and that such measures will contribute to achieving Target 17 of the Kunming-Montreal Global Biodiversity Framework</w:t>
      </w:r>
      <w:r w:rsidR="0053270B">
        <w:t>;</w:t>
      </w:r>
      <w:r w:rsidR="00C72AAE" w:rsidRPr="00850BE4">
        <w:rPr>
          <w:rStyle w:val="FootnoteReference"/>
        </w:rPr>
        <w:footnoteReference w:id="3"/>
      </w:r>
      <w:r w:rsidR="00C72AAE" w:rsidRPr="00850BE4">
        <w:t xml:space="preserve"> </w:t>
      </w:r>
    </w:p>
    <w:p w14:paraId="7DDED8B1" w14:textId="6F9D3095" w:rsidR="00C72AAE" w:rsidRPr="00850BE4" w:rsidRDefault="00535DFA" w:rsidP="00E30ECE">
      <w:pPr>
        <w:pStyle w:val="CBDNormalNoNumber"/>
      </w:pPr>
      <w:r>
        <w:tab/>
        <w:t>6.</w:t>
      </w:r>
      <w:r>
        <w:tab/>
      </w:r>
      <w:r w:rsidR="0053270B" w:rsidRPr="00E30ECE">
        <w:rPr>
          <w:i/>
          <w:iCs/>
        </w:rPr>
        <w:t>W</w:t>
      </w:r>
      <w:r w:rsidR="00C72AAE" w:rsidRPr="00E30ECE">
        <w:rPr>
          <w:i/>
          <w:iCs/>
        </w:rPr>
        <w:t>elcomes</w:t>
      </w:r>
      <w:r w:rsidR="00C72AAE" w:rsidRPr="00850BE4">
        <w:t xml:space="preserve"> the support provided to several Parties by the United Nations Environment Programme, through its Law and Environment Assistance Platform, and Japan, through the Japan Biodiversity Fund</w:t>
      </w:r>
      <w:r w:rsidR="003E7065">
        <w:t>,</w:t>
      </w:r>
      <w:r w:rsidR="009C7D09">
        <w:t xml:space="preserve"> for the development of their biosafety regulatory frameworks</w:t>
      </w:r>
      <w:r w:rsidR="00CE6A3F">
        <w:t>,</w:t>
      </w:r>
      <w:r w:rsidR="0053270B">
        <w:t xml:space="preserve"> and </w:t>
      </w:r>
      <w:r w:rsidR="0053270B" w:rsidRPr="0024421C">
        <w:t>calls upon</w:t>
      </w:r>
      <w:r w:rsidR="0053270B">
        <w:t xml:space="preserve"> donors to provide financial resources and </w:t>
      </w:r>
      <w:r w:rsidR="009038A3">
        <w:t xml:space="preserve">upon </w:t>
      </w:r>
      <w:r w:rsidR="009C7D09">
        <w:t xml:space="preserve">capacity-building providers to </w:t>
      </w:r>
      <w:r w:rsidR="0053270B">
        <w:t>facilitate technical assistance and regional cooperation in that regard</w:t>
      </w:r>
      <w:r w:rsidR="00C72AAE" w:rsidRPr="00850BE4">
        <w:t>;</w:t>
      </w:r>
    </w:p>
    <w:p w14:paraId="692C0804" w14:textId="3BAFB2C2" w:rsidR="00C72AAE" w:rsidRPr="00850BE4" w:rsidRDefault="00B42A00" w:rsidP="00E30ECE">
      <w:pPr>
        <w:pStyle w:val="CBDNormalNoNumber"/>
      </w:pPr>
      <w:r>
        <w:lastRenderedPageBreak/>
        <w:tab/>
      </w:r>
      <w:r w:rsidR="003727E6">
        <w:t>7</w:t>
      </w:r>
      <w:r w:rsidRPr="00E30ECE">
        <w:t>.</w:t>
      </w:r>
      <w:r w:rsidRPr="00E30ECE">
        <w:tab/>
      </w:r>
      <w:r w:rsidR="00C72AAE" w:rsidRPr="00850BE4">
        <w:rPr>
          <w:i/>
          <w:iCs/>
        </w:rPr>
        <w:t>Reminds</w:t>
      </w:r>
      <w:r w:rsidR="00C72AAE" w:rsidRPr="00850BE4">
        <w:t xml:space="preserve"> Parties of their obligation to publish their legal measures for the implementation of the Cartagena Protocol through the Biosafety </w:t>
      </w:r>
      <w:proofErr w:type="gramStart"/>
      <w:r w:rsidR="00C72AAE" w:rsidRPr="00850BE4">
        <w:t>Clearing-House</w:t>
      </w:r>
      <w:proofErr w:type="gramEnd"/>
      <w:r w:rsidR="00C72AAE" w:rsidRPr="00850BE4">
        <w:t>;</w:t>
      </w:r>
    </w:p>
    <w:p w14:paraId="593C7C42" w14:textId="12540323" w:rsidR="00C72AAE" w:rsidRPr="00850BE4" w:rsidRDefault="001071DB" w:rsidP="00E30ECE">
      <w:pPr>
        <w:pStyle w:val="CBDNormalNoNumber"/>
      </w:pPr>
      <w:r w:rsidRPr="00E30ECE">
        <w:tab/>
      </w:r>
      <w:r w:rsidR="003727E6">
        <w:t>8</w:t>
      </w:r>
      <w:r w:rsidRPr="00E30ECE">
        <w:t>.</w:t>
      </w:r>
      <w:r w:rsidRPr="00E30ECE">
        <w:tab/>
      </w:r>
      <w:r w:rsidR="00C72AAE" w:rsidRPr="00850BE4">
        <w:rPr>
          <w:i/>
          <w:iCs/>
        </w:rPr>
        <w:t>Recalls</w:t>
      </w:r>
      <w:r w:rsidR="00C72AAE" w:rsidRPr="00850BE4">
        <w:t xml:space="preserve"> the caution in decision </w:t>
      </w:r>
      <w:hyperlink r:id="rId15" w:history="1">
        <w:r w:rsidR="00C72AAE" w:rsidRPr="00850BE4">
          <w:rPr>
            <w:rStyle w:val="Hyperlink"/>
          </w:rPr>
          <w:t>CP-11/1 B</w:t>
        </w:r>
      </w:hyperlink>
      <w:r w:rsidR="00C72AAE" w:rsidRPr="00850BE4">
        <w:t xml:space="preserve"> of 30 October 2024, and welcomes the funding extended by the Global Environment Facility to the cautioned Parties to prepare their fourth and fifth national reports;</w:t>
      </w:r>
    </w:p>
    <w:p w14:paraId="0077E505" w14:textId="43789A0A" w:rsidR="00C72AAE" w:rsidRPr="00850BE4" w:rsidRDefault="001071DB" w:rsidP="00E30ECE">
      <w:pPr>
        <w:pStyle w:val="CBDNormalNoNumber"/>
      </w:pPr>
      <w:r w:rsidRPr="00E30ECE">
        <w:tab/>
      </w:r>
      <w:r w:rsidR="003727E6">
        <w:t>9</w:t>
      </w:r>
      <w:r w:rsidRPr="00E30ECE">
        <w:t>.</w:t>
      </w:r>
      <w:r w:rsidRPr="00E30ECE">
        <w:tab/>
      </w:r>
      <w:r w:rsidR="00C72AAE" w:rsidRPr="00850BE4">
        <w:rPr>
          <w:i/>
          <w:iCs/>
        </w:rPr>
        <w:t>Welcomes</w:t>
      </w:r>
      <w:r w:rsidR="00C72AAE" w:rsidRPr="00850BE4">
        <w:t xml:space="preserve"> the submission of the fourth and fifth national reports by Belize and Libya, which resolves their non-compliance with the reporting obligation;</w:t>
      </w:r>
    </w:p>
    <w:p w14:paraId="129999A8" w14:textId="7A053197" w:rsidR="00C72AAE" w:rsidRPr="00850BE4" w:rsidRDefault="001071DB" w:rsidP="00E30ECE">
      <w:pPr>
        <w:pStyle w:val="CBDNormalNoNumber"/>
      </w:pPr>
      <w:r w:rsidRPr="00E30ECE">
        <w:tab/>
        <w:t>1</w:t>
      </w:r>
      <w:r w:rsidR="003727E6">
        <w:t>0</w:t>
      </w:r>
      <w:r w:rsidRPr="00E30ECE">
        <w:t>.</w:t>
      </w:r>
      <w:r w:rsidRPr="00E30ECE">
        <w:tab/>
      </w:r>
      <w:r w:rsidR="00C72AAE" w:rsidRPr="00850BE4">
        <w:rPr>
          <w:i/>
          <w:iCs/>
        </w:rPr>
        <w:t>Expresses grave concern</w:t>
      </w:r>
      <w:r w:rsidR="00C72AAE" w:rsidRPr="00850BE4">
        <w:t xml:space="preserve"> that Papua New Guinea has not submitted its third, fourth or fifth national report;</w:t>
      </w:r>
    </w:p>
    <w:p w14:paraId="29A87549" w14:textId="73E4BEA8" w:rsidR="00C72AAE" w:rsidRPr="00850BE4" w:rsidRDefault="001071DB" w:rsidP="00E30ECE">
      <w:pPr>
        <w:pStyle w:val="CBDNormalNoNumber"/>
      </w:pPr>
      <w:r w:rsidRPr="00E30ECE">
        <w:tab/>
        <w:t>1</w:t>
      </w:r>
      <w:r w:rsidR="003727E6">
        <w:t>1</w:t>
      </w:r>
      <w:r w:rsidRPr="00E30ECE">
        <w:t>.</w:t>
      </w:r>
      <w:r w:rsidRPr="00E30ECE">
        <w:tab/>
      </w:r>
      <w:r w:rsidR="00C72AAE" w:rsidRPr="00850BE4">
        <w:rPr>
          <w:i/>
          <w:iCs/>
        </w:rPr>
        <w:t>Requests</w:t>
      </w:r>
      <w:r w:rsidR="00C72AAE" w:rsidRPr="00850BE4">
        <w:t xml:space="preserve"> the Committee to consider possible measures to address the repeated non-compliance of Papua New Guinea with its reporting obligation and make a recommendation in that regard to the Conference of the Parties serving as the meeting of the Parties to the Cartagena Protocol for consideration at its thirteenth meeting;</w:t>
      </w:r>
    </w:p>
    <w:p w14:paraId="5D7AE322" w14:textId="43F7312B" w:rsidR="00453073" w:rsidRDefault="001071DB" w:rsidP="00E30ECE">
      <w:pPr>
        <w:pStyle w:val="Para1"/>
        <w:numPr>
          <w:ilvl w:val="0"/>
          <w:numId w:val="0"/>
        </w:numPr>
        <w:ind w:left="567"/>
      </w:pPr>
      <w:r w:rsidRPr="00E30ECE">
        <w:tab/>
        <w:t>1</w:t>
      </w:r>
      <w:r w:rsidR="003727E6">
        <w:t>2</w:t>
      </w:r>
      <w:r w:rsidRPr="00E30ECE">
        <w:t>.</w:t>
      </w:r>
      <w:r w:rsidRPr="00E30ECE">
        <w:tab/>
      </w:r>
      <w:r w:rsidR="00C72AAE" w:rsidRPr="00850BE4">
        <w:rPr>
          <w:i/>
          <w:iCs/>
        </w:rPr>
        <w:t xml:space="preserve">Encourages </w:t>
      </w:r>
      <w:r w:rsidR="00C72AAE" w:rsidRPr="00850BE4">
        <w:t xml:space="preserve">Parties facing difficulties complying with one or more obligations under the Cartagena Protocol to seek </w:t>
      </w:r>
      <w:r w:rsidR="00C72AAE" w:rsidRPr="00E30ECE">
        <w:t>assistance</w:t>
      </w:r>
      <w:r w:rsidR="00C72AAE" w:rsidRPr="00850BE4">
        <w:t xml:space="preserve"> </w:t>
      </w:r>
      <w:r w:rsidR="00C72AAE" w:rsidRPr="00E30ECE">
        <w:t>from</w:t>
      </w:r>
      <w:r w:rsidR="00C72AAE" w:rsidRPr="00850BE4">
        <w:t xml:space="preserve"> the Compliance Committee under the Protocol or the Secretariat of the Convention on Biological Diversity.</w:t>
      </w:r>
      <w:r w:rsidR="00C72AAE" w:rsidRPr="00850BE4">
        <w:rPr>
          <w:rStyle w:val="FootnoteReference"/>
        </w:rPr>
        <w:footnoteReference w:id="4"/>
      </w:r>
      <w:r w:rsidR="00C72AAE" w:rsidRPr="00850BE4">
        <w:rPr>
          <w:i/>
          <w:iCs/>
        </w:rPr>
        <w:t xml:space="preserve"> </w:t>
      </w:r>
    </w:p>
    <w:p w14:paraId="4E687CBF" w14:textId="6CD52798" w:rsidR="00A111D1" w:rsidRPr="003F1A75" w:rsidRDefault="006C2913" w:rsidP="00975047">
      <w:pPr>
        <w:pStyle w:val="Para1"/>
        <w:numPr>
          <w:ilvl w:val="0"/>
          <w:numId w:val="0"/>
        </w:numPr>
        <w:ind w:left="567"/>
        <w:jc w:val="center"/>
      </w:pPr>
      <w:r w:rsidRPr="003F1A75">
        <w:t>__</w:t>
      </w:r>
      <w:r w:rsidR="00A111D1" w:rsidRPr="003F1A75">
        <w:t>______</w:t>
      </w:r>
      <w:r w:rsidRPr="003F1A75">
        <w:t>__</w:t>
      </w:r>
    </w:p>
    <w:sectPr w:rsidR="00A111D1" w:rsidRPr="003F1A75" w:rsidSect="00C72AAE">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A95A" w14:textId="77777777" w:rsidR="001A0296" w:rsidRPr="003F1A75" w:rsidRDefault="001A0296" w:rsidP="00CF1848">
      <w:r w:rsidRPr="003F1A75">
        <w:separator/>
      </w:r>
    </w:p>
  </w:endnote>
  <w:endnote w:type="continuationSeparator" w:id="0">
    <w:p w14:paraId="714D8C1F" w14:textId="77777777" w:rsidR="001A0296" w:rsidRPr="003F1A75" w:rsidRDefault="001A029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AE7E08" w:rsidRDefault="00D75CA6" w:rsidP="00D75CA6">
            <w:pPr>
              <w:pStyle w:val="Footer"/>
              <w:jc w:val="left"/>
            </w:pPr>
            <w:r w:rsidRPr="00E30ECE">
              <w:rPr>
                <w:szCs w:val="20"/>
              </w:rPr>
              <w:fldChar w:fldCharType="begin"/>
            </w:r>
            <w:r w:rsidRPr="00E30ECE">
              <w:rPr>
                <w:szCs w:val="20"/>
              </w:rPr>
              <w:instrText xml:space="preserve"> PAGE </w:instrText>
            </w:r>
            <w:r w:rsidRPr="00E30ECE">
              <w:rPr>
                <w:szCs w:val="20"/>
              </w:rPr>
              <w:fldChar w:fldCharType="separate"/>
            </w:r>
            <w:r w:rsidRPr="00E30ECE">
              <w:rPr>
                <w:noProof/>
                <w:szCs w:val="20"/>
              </w:rPr>
              <w:t>2</w:t>
            </w:r>
            <w:r w:rsidRPr="00E30ECE">
              <w:rPr>
                <w:szCs w:val="20"/>
              </w:rPr>
              <w:fldChar w:fldCharType="end"/>
            </w:r>
            <w:r w:rsidRPr="00AE7E08">
              <w:rPr>
                <w:szCs w:val="20"/>
              </w:rPr>
              <w:t>/</w:t>
            </w:r>
            <w:r w:rsidRPr="00E30ECE">
              <w:rPr>
                <w:szCs w:val="20"/>
              </w:rPr>
              <w:fldChar w:fldCharType="begin"/>
            </w:r>
            <w:r w:rsidRPr="00E30ECE">
              <w:rPr>
                <w:szCs w:val="20"/>
              </w:rPr>
              <w:instrText xml:space="preserve"> NUMPAGES  </w:instrText>
            </w:r>
            <w:r w:rsidRPr="00E30ECE">
              <w:rPr>
                <w:szCs w:val="20"/>
              </w:rPr>
              <w:fldChar w:fldCharType="separate"/>
            </w:r>
            <w:r w:rsidRPr="00E30ECE">
              <w:rPr>
                <w:noProof/>
                <w:szCs w:val="20"/>
              </w:rPr>
              <w:t>2</w:t>
            </w:r>
            <w:r w:rsidRPr="00E30EC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31718" w14:textId="77777777" w:rsidR="001A0296" w:rsidRPr="003F1A75" w:rsidRDefault="001A0296" w:rsidP="00CF1848">
      <w:r w:rsidRPr="003F1A75">
        <w:separator/>
      </w:r>
    </w:p>
  </w:footnote>
  <w:footnote w:type="continuationSeparator" w:id="0">
    <w:p w14:paraId="2D76AD7C" w14:textId="77777777" w:rsidR="001A0296" w:rsidRPr="003F1A75" w:rsidRDefault="001A0296" w:rsidP="00CF1848">
      <w:r w:rsidRPr="003F1A75">
        <w:continuationSeparator/>
      </w:r>
    </w:p>
  </w:footnote>
  <w:footnote w:id="1">
    <w:p w14:paraId="56BDC86B" w14:textId="77777777" w:rsidR="00C72AAE" w:rsidRPr="00F95C52" w:rsidRDefault="00C72AAE" w:rsidP="00C72AAE">
      <w:pPr>
        <w:pStyle w:val="FootnoteText"/>
        <w:rPr>
          <w:lang w:val="en-CA"/>
        </w:rPr>
      </w:pPr>
      <w:r>
        <w:rPr>
          <w:rStyle w:val="FootnoteReference"/>
        </w:rPr>
        <w:footnoteRef/>
      </w:r>
      <w:r>
        <w:t xml:space="preserve"> </w:t>
      </w:r>
      <w:r w:rsidRPr="00C40C3B">
        <w:t xml:space="preserve">United Nations, </w:t>
      </w:r>
      <w:r w:rsidRPr="00F95C52">
        <w:rPr>
          <w:i/>
          <w:iCs/>
        </w:rPr>
        <w:t>Treaty Series</w:t>
      </w:r>
      <w:r w:rsidRPr="00C40C3B">
        <w:t>, vol. 2226, No. 30619.</w:t>
      </w:r>
    </w:p>
  </w:footnote>
  <w:footnote w:id="2">
    <w:p w14:paraId="31C1ACEA" w14:textId="77777777" w:rsidR="00C72AAE" w:rsidRDefault="00C72AAE" w:rsidP="00C72AAE">
      <w:pPr>
        <w:pStyle w:val="FootnoteText"/>
      </w:pPr>
      <w:r>
        <w:rPr>
          <w:rStyle w:val="FootnoteReference"/>
        </w:rPr>
        <w:footnoteRef/>
      </w:r>
      <w:r>
        <w:t xml:space="preserve"> Decision </w:t>
      </w:r>
      <w:hyperlink r:id="rId1" w:history="1">
        <w:r>
          <w:rPr>
            <w:rStyle w:val="Hyperlink"/>
          </w:rPr>
          <w:t>BS-I/3</w:t>
        </w:r>
      </w:hyperlink>
      <w:r>
        <w:t>, annex.</w:t>
      </w:r>
    </w:p>
  </w:footnote>
  <w:footnote w:id="3">
    <w:p w14:paraId="6E135BD4" w14:textId="77777777" w:rsidR="00C72AAE" w:rsidRPr="00F95C52" w:rsidRDefault="00C72AAE" w:rsidP="00C72AAE">
      <w:pPr>
        <w:pStyle w:val="FootnoteText"/>
        <w:rPr>
          <w:lang w:val="en-CA"/>
        </w:rPr>
      </w:pPr>
      <w:r>
        <w:rPr>
          <w:rStyle w:val="FootnoteReference"/>
        </w:rPr>
        <w:footnoteRef/>
      </w:r>
      <w:r>
        <w:t xml:space="preserve"> </w:t>
      </w:r>
      <w:r>
        <w:rPr>
          <w:lang w:val="en-CA"/>
        </w:rPr>
        <w:t xml:space="preserve">Decision </w:t>
      </w:r>
      <w:hyperlink r:id="rId2" w:history="1">
        <w:r w:rsidRPr="000D0704">
          <w:rPr>
            <w:rStyle w:val="Hyperlink"/>
            <w:lang w:val="en-CA"/>
          </w:rPr>
          <w:t>15/4</w:t>
        </w:r>
      </w:hyperlink>
      <w:r>
        <w:rPr>
          <w:lang w:val="en-CA"/>
        </w:rPr>
        <w:t>, annex.</w:t>
      </w:r>
    </w:p>
  </w:footnote>
  <w:footnote w:id="4">
    <w:p w14:paraId="77B6D783" w14:textId="77777777" w:rsidR="00C72AAE" w:rsidRPr="000A6EB4" w:rsidRDefault="00C72AAE" w:rsidP="00C72AAE">
      <w:pPr>
        <w:pStyle w:val="FootnoteText"/>
      </w:pPr>
      <w:r>
        <w:rPr>
          <w:rStyle w:val="FootnoteReference"/>
        </w:rPr>
        <w:footnoteRef/>
      </w:r>
      <w:r>
        <w:t xml:space="preserve"> </w:t>
      </w:r>
      <w:r w:rsidRPr="000A6EB4">
        <w:t xml:space="preserve">United Nations, </w:t>
      </w:r>
      <w:r w:rsidRPr="00F95C52">
        <w:rPr>
          <w:i/>
          <w:iCs/>
        </w:rPr>
        <w:t>Treaty Series</w:t>
      </w:r>
      <w:r w:rsidRPr="000A6EB4">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62ECF94A" w:rsidR="00534681" w:rsidRPr="003F1A75" w:rsidRDefault="001A0532" w:rsidP="007C4951">
        <w:pPr>
          <w:pStyle w:val="Header"/>
          <w:spacing w:after="240"/>
          <w:rPr>
            <w:szCs w:val="20"/>
          </w:rPr>
        </w:pPr>
        <w:r>
          <w:rPr>
            <w:szCs w:val="20"/>
          </w:rPr>
          <w:t>CBD/CP/MOP/12/L.2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82486B1" w:rsidR="009505C9" w:rsidRPr="003F1A75" w:rsidRDefault="001A0532" w:rsidP="007C4951">
        <w:pPr>
          <w:pStyle w:val="Header"/>
          <w:spacing w:after="240"/>
          <w:jc w:val="right"/>
        </w:pPr>
        <w:r>
          <w:t>CBD/CP/MOP/12/L.2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230E6"/>
    <w:rsid w:val="0006641A"/>
    <w:rsid w:val="0007171B"/>
    <w:rsid w:val="00084958"/>
    <w:rsid w:val="000B0E05"/>
    <w:rsid w:val="000B73B1"/>
    <w:rsid w:val="000D0F68"/>
    <w:rsid w:val="000D4A4B"/>
    <w:rsid w:val="000E28FE"/>
    <w:rsid w:val="000E673A"/>
    <w:rsid w:val="000E7ECB"/>
    <w:rsid w:val="000F0B6A"/>
    <w:rsid w:val="000F6945"/>
    <w:rsid w:val="000F74F5"/>
    <w:rsid w:val="000F78FC"/>
    <w:rsid w:val="0010204C"/>
    <w:rsid w:val="001031DF"/>
    <w:rsid w:val="00105372"/>
    <w:rsid w:val="001054A6"/>
    <w:rsid w:val="001071DB"/>
    <w:rsid w:val="001078A1"/>
    <w:rsid w:val="00124FAF"/>
    <w:rsid w:val="00130D0E"/>
    <w:rsid w:val="001312AD"/>
    <w:rsid w:val="00131E7A"/>
    <w:rsid w:val="00134846"/>
    <w:rsid w:val="001643E3"/>
    <w:rsid w:val="00172AF6"/>
    <w:rsid w:val="00176CEE"/>
    <w:rsid w:val="00186DD8"/>
    <w:rsid w:val="001A0296"/>
    <w:rsid w:val="001A0532"/>
    <w:rsid w:val="001A07D6"/>
    <w:rsid w:val="001A35EC"/>
    <w:rsid w:val="001A5872"/>
    <w:rsid w:val="001B13FE"/>
    <w:rsid w:val="001B4FF0"/>
    <w:rsid w:val="001C6A27"/>
    <w:rsid w:val="001D457B"/>
    <w:rsid w:val="001D635F"/>
    <w:rsid w:val="001E530B"/>
    <w:rsid w:val="001E7A82"/>
    <w:rsid w:val="00216CAB"/>
    <w:rsid w:val="00224945"/>
    <w:rsid w:val="00227D0F"/>
    <w:rsid w:val="0023080C"/>
    <w:rsid w:val="0024421C"/>
    <w:rsid w:val="00254EB5"/>
    <w:rsid w:val="00266D42"/>
    <w:rsid w:val="002672BB"/>
    <w:rsid w:val="002A222A"/>
    <w:rsid w:val="002C22A1"/>
    <w:rsid w:val="002D2BF2"/>
    <w:rsid w:val="002F0021"/>
    <w:rsid w:val="002F6A8A"/>
    <w:rsid w:val="003008FE"/>
    <w:rsid w:val="0030169D"/>
    <w:rsid w:val="003060EB"/>
    <w:rsid w:val="003100B0"/>
    <w:rsid w:val="00314309"/>
    <w:rsid w:val="003153EB"/>
    <w:rsid w:val="0032136E"/>
    <w:rsid w:val="00321985"/>
    <w:rsid w:val="003268DD"/>
    <w:rsid w:val="00351205"/>
    <w:rsid w:val="00355A27"/>
    <w:rsid w:val="003727E6"/>
    <w:rsid w:val="00372F74"/>
    <w:rsid w:val="003932C4"/>
    <w:rsid w:val="003E7065"/>
    <w:rsid w:val="003E7B38"/>
    <w:rsid w:val="003F1A75"/>
    <w:rsid w:val="003F7224"/>
    <w:rsid w:val="00427D21"/>
    <w:rsid w:val="00446F24"/>
    <w:rsid w:val="00447F4A"/>
    <w:rsid w:val="00453073"/>
    <w:rsid w:val="00455A4A"/>
    <w:rsid w:val="00456F67"/>
    <w:rsid w:val="004644C2"/>
    <w:rsid w:val="00467F9C"/>
    <w:rsid w:val="0049428C"/>
    <w:rsid w:val="004A76B1"/>
    <w:rsid w:val="004B4797"/>
    <w:rsid w:val="004F5A0C"/>
    <w:rsid w:val="00504017"/>
    <w:rsid w:val="0051006C"/>
    <w:rsid w:val="0053270B"/>
    <w:rsid w:val="00534681"/>
    <w:rsid w:val="00535DFA"/>
    <w:rsid w:val="00543259"/>
    <w:rsid w:val="0056068E"/>
    <w:rsid w:val="00563442"/>
    <w:rsid w:val="0056348E"/>
    <w:rsid w:val="00565B42"/>
    <w:rsid w:val="005B35E2"/>
    <w:rsid w:val="005B5BFE"/>
    <w:rsid w:val="005C4CE6"/>
    <w:rsid w:val="006107D7"/>
    <w:rsid w:val="006122BA"/>
    <w:rsid w:val="00617EEE"/>
    <w:rsid w:val="006349E9"/>
    <w:rsid w:val="0064174C"/>
    <w:rsid w:val="006478BF"/>
    <w:rsid w:val="00661585"/>
    <w:rsid w:val="0066589E"/>
    <w:rsid w:val="00665DA0"/>
    <w:rsid w:val="00670E6A"/>
    <w:rsid w:val="006915E1"/>
    <w:rsid w:val="00693483"/>
    <w:rsid w:val="006A73C1"/>
    <w:rsid w:val="006B2290"/>
    <w:rsid w:val="006C2913"/>
    <w:rsid w:val="006D1B33"/>
    <w:rsid w:val="006E70F4"/>
    <w:rsid w:val="006F4337"/>
    <w:rsid w:val="00712BA8"/>
    <w:rsid w:val="007163C9"/>
    <w:rsid w:val="00717D88"/>
    <w:rsid w:val="00720DC3"/>
    <w:rsid w:val="00726A43"/>
    <w:rsid w:val="00726DEC"/>
    <w:rsid w:val="00732DB4"/>
    <w:rsid w:val="00747715"/>
    <w:rsid w:val="00782877"/>
    <w:rsid w:val="00786056"/>
    <w:rsid w:val="007942D3"/>
    <w:rsid w:val="007A22EB"/>
    <w:rsid w:val="007A76DB"/>
    <w:rsid w:val="007B2099"/>
    <w:rsid w:val="007B671C"/>
    <w:rsid w:val="007B6C09"/>
    <w:rsid w:val="007B7741"/>
    <w:rsid w:val="007C4951"/>
    <w:rsid w:val="007E09DA"/>
    <w:rsid w:val="007E0F8A"/>
    <w:rsid w:val="007E15AE"/>
    <w:rsid w:val="007F718D"/>
    <w:rsid w:val="00801FAD"/>
    <w:rsid w:val="008044B4"/>
    <w:rsid w:val="00816BF9"/>
    <w:rsid w:val="008178B6"/>
    <w:rsid w:val="008658C5"/>
    <w:rsid w:val="00865B74"/>
    <w:rsid w:val="00866063"/>
    <w:rsid w:val="0086638C"/>
    <w:rsid w:val="0087479F"/>
    <w:rsid w:val="008974F0"/>
    <w:rsid w:val="008A1499"/>
    <w:rsid w:val="008A6CCC"/>
    <w:rsid w:val="008B012A"/>
    <w:rsid w:val="008C5514"/>
    <w:rsid w:val="008D41D3"/>
    <w:rsid w:val="009038A3"/>
    <w:rsid w:val="00906E17"/>
    <w:rsid w:val="00913699"/>
    <w:rsid w:val="0091409D"/>
    <w:rsid w:val="0091411F"/>
    <w:rsid w:val="00930BA1"/>
    <w:rsid w:val="0093169E"/>
    <w:rsid w:val="00931A19"/>
    <w:rsid w:val="009505C9"/>
    <w:rsid w:val="00950752"/>
    <w:rsid w:val="00957DF4"/>
    <w:rsid w:val="009617E1"/>
    <w:rsid w:val="00966424"/>
    <w:rsid w:val="00975047"/>
    <w:rsid w:val="00976B19"/>
    <w:rsid w:val="00994341"/>
    <w:rsid w:val="00995C1D"/>
    <w:rsid w:val="009A700F"/>
    <w:rsid w:val="009A7C23"/>
    <w:rsid w:val="009C2DE6"/>
    <w:rsid w:val="009C4F6B"/>
    <w:rsid w:val="009C7D09"/>
    <w:rsid w:val="009E578F"/>
    <w:rsid w:val="00A032D4"/>
    <w:rsid w:val="00A111D1"/>
    <w:rsid w:val="00A134C8"/>
    <w:rsid w:val="00A2162B"/>
    <w:rsid w:val="00A60DCA"/>
    <w:rsid w:val="00A91A48"/>
    <w:rsid w:val="00AA6F92"/>
    <w:rsid w:val="00AB2B6A"/>
    <w:rsid w:val="00AB6934"/>
    <w:rsid w:val="00AB7D9E"/>
    <w:rsid w:val="00AC33CF"/>
    <w:rsid w:val="00AC4873"/>
    <w:rsid w:val="00AD38EF"/>
    <w:rsid w:val="00AE1597"/>
    <w:rsid w:val="00AE7E08"/>
    <w:rsid w:val="00AF42DE"/>
    <w:rsid w:val="00B0042E"/>
    <w:rsid w:val="00B23080"/>
    <w:rsid w:val="00B25EF1"/>
    <w:rsid w:val="00B3369F"/>
    <w:rsid w:val="00B337BC"/>
    <w:rsid w:val="00B420E9"/>
    <w:rsid w:val="00B42A00"/>
    <w:rsid w:val="00B51FC6"/>
    <w:rsid w:val="00B801BC"/>
    <w:rsid w:val="00B94E6C"/>
    <w:rsid w:val="00BB4606"/>
    <w:rsid w:val="00BB7F35"/>
    <w:rsid w:val="00BD6E92"/>
    <w:rsid w:val="00BE4762"/>
    <w:rsid w:val="00C14DCD"/>
    <w:rsid w:val="00C17928"/>
    <w:rsid w:val="00C221DB"/>
    <w:rsid w:val="00C23D2F"/>
    <w:rsid w:val="00C443BD"/>
    <w:rsid w:val="00C451C5"/>
    <w:rsid w:val="00C71E89"/>
    <w:rsid w:val="00C72AAE"/>
    <w:rsid w:val="00C77F7F"/>
    <w:rsid w:val="00C9161D"/>
    <w:rsid w:val="00C96B12"/>
    <w:rsid w:val="00CA0C1D"/>
    <w:rsid w:val="00CB2178"/>
    <w:rsid w:val="00CD19FD"/>
    <w:rsid w:val="00CD5E61"/>
    <w:rsid w:val="00CE6A3F"/>
    <w:rsid w:val="00CF1848"/>
    <w:rsid w:val="00D12044"/>
    <w:rsid w:val="00D12288"/>
    <w:rsid w:val="00D1445B"/>
    <w:rsid w:val="00D170D9"/>
    <w:rsid w:val="00D25ACD"/>
    <w:rsid w:val="00D33EFC"/>
    <w:rsid w:val="00D36892"/>
    <w:rsid w:val="00D40DBC"/>
    <w:rsid w:val="00D469A2"/>
    <w:rsid w:val="00D5590E"/>
    <w:rsid w:val="00D61C85"/>
    <w:rsid w:val="00D75CA6"/>
    <w:rsid w:val="00D76A18"/>
    <w:rsid w:val="00D80849"/>
    <w:rsid w:val="00D81CC8"/>
    <w:rsid w:val="00D82E8F"/>
    <w:rsid w:val="00D83830"/>
    <w:rsid w:val="00D95DE8"/>
    <w:rsid w:val="00DA2343"/>
    <w:rsid w:val="00DB5E0F"/>
    <w:rsid w:val="00DD118C"/>
    <w:rsid w:val="00DD1C1D"/>
    <w:rsid w:val="00DE765C"/>
    <w:rsid w:val="00E003A0"/>
    <w:rsid w:val="00E02CF3"/>
    <w:rsid w:val="00E23ECC"/>
    <w:rsid w:val="00E2540E"/>
    <w:rsid w:val="00E30ECE"/>
    <w:rsid w:val="00E3730D"/>
    <w:rsid w:val="00E56C3B"/>
    <w:rsid w:val="00E56DCC"/>
    <w:rsid w:val="00E66235"/>
    <w:rsid w:val="00E83C24"/>
    <w:rsid w:val="00E91ECC"/>
    <w:rsid w:val="00E9318D"/>
    <w:rsid w:val="00E931ED"/>
    <w:rsid w:val="00E93F3E"/>
    <w:rsid w:val="00E957B3"/>
    <w:rsid w:val="00EA2187"/>
    <w:rsid w:val="00EC3329"/>
    <w:rsid w:val="00ED04AD"/>
    <w:rsid w:val="00ED50B1"/>
    <w:rsid w:val="00EE577F"/>
    <w:rsid w:val="00EE72B3"/>
    <w:rsid w:val="00EF3D08"/>
    <w:rsid w:val="00EF5E54"/>
    <w:rsid w:val="00EF676A"/>
    <w:rsid w:val="00F041E5"/>
    <w:rsid w:val="00F063C2"/>
    <w:rsid w:val="00F2462F"/>
    <w:rsid w:val="00F53193"/>
    <w:rsid w:val="00F5357E"/>
    <w:rsid w:val="00F61780"/>
    <w:rsid w:val="00F6586C"/>
    <w:rsid w:val="00F82257"/>
    <w:rsid w:val="00F863C4"/>
    <w:rsid w:val="00F9038B"/>
    <w:rsid w:val="00F94774"/>
    <w:rsid w:val="00FA663B"/>
    <w:rsid w:val="00FB04DD"/>
    <w:rsid w:val="00FC53DB"/>
    <w:rsid w:val="00FF33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F5546EB0-4AEF-4C47-BBD6-1DABDC72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bch.cbd.int/protocol/decisions?decisionID=82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B65EEF" w:rsidRDefault="00E67E9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727DA"/>
    <w:rsid w:val="000D2F12"/>
    <w:rsid w:val="00130D0E"/>
    <w:rsid w:val="00254EB5"/>
    <w:rsid w:val="002E5279"/>
    <w:rsid w:val="003268DD"/>
    <w:rsid w:val="00394D7D"/>
    <w:rsid w:val="00482F7A"/>
    <w:rsid w:val="005426C6"/>
    <w:rsid w:val="00720DC3"/>
    <w:rsid w:val="008A6CCC"/>
    <w:rsid w:val="00934DFF"/>
    <w:rsid w:val="00957DF4"/>
    <w:rsid w:val="00976B19"/>
    <w:rsid w:val="009B5918"/>
    <w:rsid w:val="00B65EEF"/>
    <w:rsid w:val="00BB7F35"/>
    <w:rsid w:val="00BC12AE"/>
    <w:rsid w:val="00CB2178"/>
    <w:rsid w:val="00D86BE9"/>
    <w:rsid w:val="00DA2343"/>
    <w:rsid w:val="00E123BF"/>
    <w:rsid w:val="00E2540E"/>
    <w:rsid w:val="00E67E92"/>
    <w:rsid w:val="00EC1CA6"/>
    <w:rsid w:val="00EF3D08"/>
    <w:rsid w:val="00F234CB"/>
    <w:rsid w:val="00FA6317"/>
    <w:rsid w:val="00FB79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214102-3963-4856-BB36-0BB4D544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Compliance</vt:lpstr>
    </vt:vector>
  </TitlesOfParts>
  <Company>SCBD</Company>
  <LinksUpToDate>false</LinksUpToDate>
  <CharactersWithSpaces>3667</CharactersWithSpaces>
  <SharedDoc>false</SharedDoc>
  <HLinks>
    <vt:vector size="18" baseType="variant">
      <vt:variant>
        <vt:i4>7405681</vt:i4>
      </vt:variant>
      <vt:variant>
        <vt:i4>0</vt:i4>
      </vt:variant>
      <vt:variant>
        <vt:i4>0</vt:i4>
      </vt:variant>
      <vt:variant>
        <vt:i4>5</vt:i4>
      </vt:variant>
      <vt:variant>
        <vt:lpwstr>https://www.cbd.int/decisions/mop/?m=cp-mop-11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7929915</vt:i4>
      </vt:variant>
      <vt:variant>
        <vt:i4>0</vt:i4>
      </vt:variant>
      <vt:variant>
        <vt:i4>0</vt:i4>
      </vt:variant>
      <vt:variant>
        <vt:i4>5</vt:i4>
      </vt:variant>
      <vt:variant>
        <vt:lpwstr>https://bch.cbd.int/protocol/decisions?decisionID=8284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CBD/CP/MOP/12/L.2</dc:subject>
  <dc:creator>Veronique Lefebvre</dc:creator>
  <cp:keywords>Convention on Biological Diversity</cp:keywords>
  <cp:lastModifiedBy>Veronique Lefebvre</cp:lastModifiedBy>
  <cp:revision>3</cp:revision>
  <cp:lastPrinted>2020-01-22T16:56:00Z</cp:lastPrinted>
  <dcterms:created xsi:type="dcterms:W3CDTF">2026-10-22T11:59:00Z</dcterms:created>
  <dcterms:modified xsi:type="dcterms:W3CDTF">2026-10-22T11:59:00Z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