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2651A7" w:rsidRPr="00B96AF0" w14:paraId="4791A654" w14:textId="77777777" w:rsidTr="002E307E">
        <w:trPr>
          <w:gridBefore w:val="1"/>
          <w:wBefore w:w="17" w:type="dxa"/>
          <w:trHeight w:val="1196"/>
        </w:trPr>
        <w:tc>
          <w:tcPr>
            <w:tcW w:w="1350" w:type="dxa"/>
            <w:tcBorders>
              <w:bottom w:val="single" w:sz="12" w:space="0" w:color="000000"/>
            </w:tcBorders>
          </w:tcPr>
          <w:p w14:paraId="5DB5282C" w14:textId="77777777" w:rsidR="002651A7" w:rsidRPr="00B96AF0" w:rsidRDefault="002651A7" w:rsidP="002E307E">
            <w:pPr>
              <w:pStyle w:val="Header"/>
              <w:tabs>
                <w:tab w:val="clear" w:pos="4320"/>
                <w:tab w:val="clear" w:pos="8640"/>
              </w:tabs>
              <w:rPr>
                <w:noProof/>
                <w:lang w:val="fr-FR"/>
              </w:rPr>
            </w:pPr>
            <w:bookmarkStart w:id="0" w:name="Meeting"/>
            <w:r w:rsidRPr="00B96AF0">
              <w:rPr>
                <w:noProof/>
                <w:lang w:val="en-CA" w:eastAsia="en-CA"/>
              </w:rPr>
              <w:drawing>
                <wp:anchor distT="0" distB="0" distL="114300" distR="114300" simplePos="0" relativeHeight="251660288" behindDoc="0" locked="1" layoutInCell="1" allowOverlap="0" wp14:anchorId="7770B212" wp14:editId="396C5446">
                  <wp:simplePos x="0" y="0"/>
                  <wp:positionH relativeFrom="column">
                    <wp:posOffset>78105</wp:posOffset>
                  </wp:positionH>
                  <wp:positionV relativeFrom="page">
                    <wp:posOffset>69215</wp:posOffset>
                  </wp:positionV>
                  <wp:extent cx="4953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09D30631" w14:textId="77777777" w:rsidR="002651A7" w:rsidRPr="00B96AF0" w:rsidRDefault="002651A7" w:rsidP="002E307E">
            <w:pPr>
              <w:rPr>
                <w:noProof/>
                <w:lang w:val="fr-FR"/>
              </w:rPr>
            </w:pPr>
            <w:r w:rsidRPr="00B96AF0">
              <w:rPr>
                <w:noProof/>
                <w:sz w:val="20"/>
                <w:lang w:val="en-CA" w:eastAsia="en-CA"/>
              </w:rPr>
              <w:drawing>
                <wp:anchor distT="0" distB="0" distL="114300" distR="114300" simplePos="0" relativeHeight="251659264" behindDoc="0" locked="1" layoutInCell="1" allowOverlap="0" wp14:anchorId="0BE9E576" wp14:editId="2714A627">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7FA12FFB" w14:textId="77777777" w:rsidR="002651A7" w:rsidRPr="00B96AF0" w:rsidRDefault="002651A7" w:rsidP="002E307E">
            <w:pPr>
              <w:jc w:val="right"/>
              <w:rPr>
                <w:rFonts w:ascii="Univers" w:hAnsi="Univers"/>
                <w:b/>
                <w:noProof/>
                <w:sz w:val="32"/>
                <w:lang w:val="fr-FR"/>
              </w:rPr>
            </w:pPr>
            <w:r w:rsidRPr="00B96AF0">
              <w:rPr>
                <w:rFonts w:ascii="Univers" w:hAnsi="Univers"/>
                <w:b/>
                <w:noProof/>
                <w:sz w:val="32"/>
                <w:lang w:val="fr-FR"/>
              </w:rPr>
              <w:t>CBD</w:t>
            </w:r>
          </w:p>
          <w:p w14:paraId="65BABA80" w14:textId="77777777" w:rsidR="002651A7" w:rsidRPr="00B96AF0" w:rsidRDefault="002651A7" w:rsidP="002E307E">
            <w:pPr>
              <w:jc w:val="left"/>
              <w:rPr>
                <w:rFonts w:ascii="Univers" w:hAnsi="Univers"/>
                <w:b/>
                <w:noProof/>
                <w:sz w:val="32"/>
                <w:lang w:val="fr-FR"/>
              </w:rPr>
            </w:pPr>
          </w:p>
        </w:tc>
      </w:tr>
      <w:tr w:rsidR="002651A7" w:rsidRPr="00B96AF0" w14:paraId="114DF9B1" w14:textId="77777777" w:rsidTr="002E307E">
        <w:trPr>
          <w:trHeight w:val="1693"/>
        </w:trPr>
        <w:tc>
          <w:tcPr>
            <w:tcW w:w="5238" w:type="dxa"/>
            <w:gridSpan w:val="4"/>
          </w:tcPr>
          <w:p w14:paraId="39A6B896" w14:textId="77777777" w:rsidR="002651A7" w:rsidRPr="00B96AF0" w:rsidRDefault="002651A7" w:rsidP="002E307E">
            <w:pPr>
              <w:jc w:val="left"/>
              <w:rPr>
                <w:noProof/>
                <w:lang w:val="fr-FR"/>
              </w:rPr>
            </w:pPr>
            <w:r w:rsidRPr="00B96AF0">
              <w:rPr>
                <w:bCs/>
                <w:noProof/>
                <w:szCs w:val="22"/>
                <w:lang w:val="en-CA" w:eastAsia="en-CA"/>
              </w:rPr>
              <w:drawing>
                <wp:inline distT="0" distB="0" distL="0" distR="0" wp14:anchorId="5E36E82E" wp14:editId="7B76078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4C0424B0" w14:textId="77777777" w:rsidR="002651A7" w:rsidRPr="00B96AF0" w:rsidRDefault="002651A7" w:rsidP="002E307E">
            <w:pPr>
              <w:rPr>
                <w:noProof/>
                <w:lang w:val="fr-FR"/>
              </w:rPr>
            </w:pPr>
          </w:p>
        </w:tc>
        <w:tc>
          <w:tcPr>
            <w:tcW w:w="2941" w:type="dxa"/>
          </w:tcPr>
          <w:p w14:paraId="560057BE" w14:textId="77777777" w:rsidR="002651A7" w:rsidRPr="00B96AF0" w:rsidRDefault="002651A7" w:rsidP="002E307E">
            <w:pPr>
              <w:ind w:left="37"/>
              <w:rPr>
                <w:noProof/>
                <w:lang w:val="fr-FR"/>
              </w:rPr>
            </w:pPr>
            <w:r w:rsidRPr="00B96AF0">
              <w:rPr>
                <w:noProof/>
                <w:lang w:val="fr-FR"/>
              </w:rPr>
              <w:t>Distr.</w:t>
            </w:r>
          </w:p>
          <w:p w14:paraId="6632EBC3" w14:textId="77777777" w:rsidR="002651A7" w:rsidRPr="00B96AF0" w:rsidRDefault="002651A7" w:rsidP="002E307E">
            <w:pPr>
              <w:rPr>
                <w:noProof/>
                <w:lang w:val="fr-FR"/>
              </w:rPr>
            </w:pPr>
            <w:r w:rsidRPr="00B96AF0">
              <w:rPr>
                <w:noProof/>
                <w:lang w:val="fr-FR"/>
              </w:rPr>
              <w:t xml:space="preserve">GÉNÉRALE </w:t>
            </w:r>
          </w:p>
          <w:p w14:paraId="4A8B8C94" w14:textId="77777777" w:rsidR="002651A7" w:rsidRPr="00B96AF0" w:rsidRDefault="002651A7" w:rsidP="002E307E">
            <w:pPr>
              <w:ind w:left="37"/>
              <w:rPr>
                <w:noProof/>
                <w:lang w:val="fr-FR"/>
              </w:rPr>
            </w:pPr>
          </w:p>
          <w:p w14:paraId="669CE374" w14:textId="3D0C5EFC" w:rsidR="002651A7" w:rsidRPr="00B96AF0" w:rsidRDefault="00791BEA" w:rsidP="002E307E">
            <w:pPr>
              <w:tabs>
                <w:tab w:val="left" w:pos="0"/>
              </w:tabs>
              <w:suppressAutoHyphens/>
              <w:ind w:left="37"/>
              <w:rPr>
                <w:noProof/>
                <w:lang w:val="fr-FR"/>
              </w:rPr>
            </w:pPr>
            <w:sdt>
              <w:sdtPr>
                <w:rPr>
                  <w:rFonts w:cs="Arial (Body CS)"/>
                  <w:kern w:val="22"/>
                  <w:lang w:val="fr-FR"/>
                </w:rPr>
                <w:alias w:val="Subject"/>
                <w:tag w:val=""/>
                <w:id w:val="2137136483"/>
                <w:placeholder>
                  <w:docPart w:val="4DE8E0968ABA47A8981B059E8916D3F8"/>
                </w:placeholder>
                <w:dataBinding w:prefixMappings="xmlns:ns0='http://purl.org/dc/elements/1.1/' xmlns:ns1='http://schemas.openxmlformats.org/package/2006/metadata/core-properties' " w:xpath="/ns1:coreProperties[1]/ns0:subject[1]" w:storeItemID="{6C3C8BC8-F283-45AE-878A-BAB7291924A1}"/>
                <w:text/>
              </w:sdtPr>
              <w:sdtEndPr/>
              <w:sdtContent>
                <w:r w:rsidR="002651A7">
                  <w:rPr>
                    <w:rFonts w:cs="Arial (Body CS)"/>
                    <w:kern w:val="22"/>
                    <w:lang w:val="fr-FR"/>
                  </w:rPr>
                  <w:t>CBD/WG2020/2/3</w:t>
                </w:r>
              </w:sdtContent>
            </w:sdt>
          </w:p>
          <w:p w14:paraId="2BCEC33E" w14:textId="3D15A453" w:rsidR="002651A7" w:rsidRPr="00B96AF0" w:rsidRDefault="002651A7" w:rsidP="002E307E">
            <w:pPr>
              <w:ind w:left="37"/>
              <w:rPr>
                <w:noProof/>
                <w:lang w:val="fr-FR"/>
              </w:rPr>
            </w:pPr>
            <w:r w:rsidRPr="00B96AF0">
              <w:rPr>
                <w:noProof/>
                <w:lang w:val="fr-FR"/>
              </w:rPr>
              <w:t xml:space="preserve">6 </w:t>
            </w:r>
            <w:r w:rsidR="009C104C">
              <w:rPr>
                <w:noProof/>
                <w:lang w:val="fr-FR"/>
              </w:rPr>
              <w:t>janvier</w:t>
            </w:r>
            <w:r w:rsidRPr="00B96AF0">
              <w:rPr>
                <w:noProof/>
                <w:lang w:val="fr-FR"/>
              </w:rPr>
              <w:t xml:space="preserve"> 2019</w:t>
            </w:r>
          </w:p>
          <w:p w14:paraId="3624DCCB" w14:textId="77777777" w:rsidR="002651A7" w:rsidRPr="00B96AF0" w:rsidRDefault="002651A7" w:rsidP="002E307E">
            <w:pPr>
              <w:ind w:left="37"/>
              <w:rPr>
                <w:noProof/>
                <w:lang w:val="fr-FR"/>
              </w:rPr>
            </w:pPr>
          </w:p>
          <w:p w14:paraId="3F372539" w14:textId="77777777" w:rsidR="002651A7" w:rsidRPr="00B96AF0" w:rsidRDefault="002651A7" w:rsidP="002E307E">
            <w:pPr>
              <w:ind w:left="37"/>
              <w:rPr>
                <w:noProof/>
                <w:lang w:val="fr-FR"/>
              </w:rPr>
            </w:pPr>
            <w:r w:rsidRPr="00B96AF0">
              <w:rPr>
                <w:noProof/>
                <w:lang w:val="fr-FR"/>
              </w:rPr>
              <w:t>FRANÇAIS</w:t>
            </w:r>
          </w:p>
          <w:p w14:paraId="419BCE81" w14:textId="77777777" w:rsidR="002651A7" w:rsidRPr="00B96AF0" w:rsidRDefault="002651A7" w:rsidP="002E307E">
            <w:pPr>
              <w:ind w:left="37"/>
              <w:rPr>
                <w:rFonts w:ascii="Courier New" w:hAnsi="Courier New"/>
                <w:noProof/>
                <w:lang w:val="fr-FR"/>
              </w:rPr>
            </w:pPr>
            <w:r w:rsidRPr="00B96AF0">
              <w:rPr>
                <w:noProof/>
                <w:lang w:val="fr-FR"/>
              </w:rPr>
              <w:t>ORIGINAL</w:t>
            </w:r>
            <w:r>
              <w:rPr>
                <w:noProof/>
                <w:lang w:val="fr-FR"/>
              </w:rPr>
              <w:t xml:space="preserve"> </w:t>
            </w:r>
            <w:r w:rsidRPr="00B96AF0">
              <w:rPr>
                <w:noProof/>
                <w:lang w:val="fr-FR"/>
              </w:rPr>
              <w:t>: ANGLAIS</w:t>
            </w:r>
          </w:p>
        </w:tc>
      </w:tr>
    </w:tbl>
    <w:p w14:paraId="66A3B901" w14:textId="6E3CC638" w:rsidR="00CA6B87" w:rsidRPr="001D0621" w:rsidRDefault="002651A7" w:rsidP="001D0621">
      <w:pPr>
        <w:pStyle w:val="meetingname"/>
        <w:ind w:left="142" w:right="4824" w:hanging="142"/>
        <w:rPr>
          <w:kern w:val="22"/>
          <w:szCs w:val="22"/>
          <w:lang w:val="fr-FR"/>
        </w:rPr>
      </w:pPr>
      <w:r w:rsidRPr="001D0621">
        <w:rPr>
          <w:kern w:val="22"/>
          <w:lang w:val="fr-FR"/>
        </w:rPr>
        <w:t xml:space="preserve">groupe de travail </w:t>
      </w:r>
      <w:r w:rsidR="00B10345">
        <w:rPr>
          <w:kern w:val="22"/>
          <w:lang w:val="fr-FR"/>
        </w:rPr>
        <w:t>À</w:t>
      </w:r>
      <w:r w:rsidR="001D0621" w:rsidRPr="001D0621">
        <w:rPr>
          <w:kern w:val="22"/>
          <w:lang w:val="fr-FR"/>
        </w:rPr>
        <w:t xml:space="preserve"> composition non limitÉe sur le cadre mondial de la biodiversitÉ pour l’aprÈs-2020</w:t>
      </w:r>
      <w:bookmarkEnd w:id="0"/>
    </w:p>
    <w:p w14:paraId="31FD3979" w14:textId="1CEDE1FB" w:rsidR="00EF752B" w:rsidRPr="001D0621" w:rsidRDefault="001D0621" w:rsidP="005A3C61">
      <w:pPr>
        <w:rPr>
          <w:snapToGrid w:val="0"/>
          <w:kern w:val="22"/>
          <w:szCs w:val="22"/>
          <w:lang w:val="fr-FR" w:eastAsia="nb-NO"/>
        </w:rPr>
      </w:pPr>
      <w:r w:rsidRPr="001D0621">
        <w:rPr>
          <w:snapToGrid w:val="0"/>
          <w:kern w:val="22"/>
          <w:szCs w:val="22"/>
          <w:lang w:val="fr-FR" w:eastAsia="nb-NO"/>
        </w:rPr>
        <w:t>Deuxième réunion</w:t>
      </w:r>
    </w:p>
    <w:p w14:paraId="5A92B631" w14:textId="4A29D734" w:rsidR="004B055A" w:rsidRPr="006E0D05" w:rsidRDefault="009639D5" w:rsidP="000D77C4">
      <w:pPr>
        <w:rPr>
          <w:kern w:val="22"/>
          <w:lang w:val="fr-FR"/>
        </w:rPr>
      </w:pPr>
      <w:r>
        <w:rPr>
          <w:kern w:val="22"/>
          <w:lang w:val="fr-FR"/>
        </w:rPr>
        <w:t xml:space="preserve">Rome, </w:t>
      </w:r>
      <w:bookmarkStart w:id="1" w:name="_GoBack"/>
      <w:bookmarkEnd w:id="1"/>
      <w:r w:rsidR="00EF752B" w:rsidRPr="001D0621">
        <w:rPr>
          <w:kern w:val="22"/>
          <w:lang w:val="fr-FR"/>
        </w:rPr>
        <w:t xml:space="preserve">24-29 </w:t>
      </w:r>
      <w:r w:rsidR="001D0621" w:rsidRPr="001D0621">
        <w:rPr>
          <w:kern w:val="22"/>
          <w:lang w:val="fr-FR"/>
        </w:rPr>
        <w:t>février</w:t>
      </w:r>
      <w:r w:rsidR="00EF752B" w:rsidRPr="001D0621">
        <w:rPr>
          <w:kern w:val="22"/>
          <w:lang w:val="fr-FR"/>
        </w:rPr>
        <w:t xml:space="preserve"> 2020</w:t>
      </w:r>
    </w:p>
    <w:p w14:paraId="49644A78" w14:textId="2620C5A1" w:rsidR="00A00C62" w:rsidRPr="001D0621" w:rsidRDefault="001D0621" w:rsidP="005A3C61">
      <w:pPr>
        <w:spacing w:before="120" w:after="120"/>
        <w:jc w:val="center"/>
        <w:rPr>
          <w:b/>
          <w:caps/>
          <w:kern w:val="22"/>
          <w:lang w:val="fr-FR"/>
        </w:rPr>
      </w:pPr>
      <w:r w:rsidRPr="001D0621">
        <w:rPr>
          <w:b/>
          <w:caps/>
          <w:kern w:val="22"/>
          <w:lang w:val="fr-FR"/>
        </w:rPr>
        <w:t>avant-projet d</w:t>
      </w:r>
      <w:r w:rsidR="00C73947">
        <w:rPr>
          <w:b/>
          <w:caps/>
          <w:kern w:val="22"/>
          <w:lang w:val="fr-FR"/>
        </w:rPr>
        <w:t>u</w:t>
      </w:r>
      <w:r w:rsidRPr="001D0621">
        <w:rPr>
          <w:b/>
          <w:caps/>
          <w:kern w:val="22"/>
          <w:lang w:val="fr-FR"/>
        </w:rPr>
        <w:t xml:space="preserve"> cadre mondial de la biodiversitÉ pour</w:t>
      </w:r>
      <w:r w:rsidR="00774B40">
        <w:rPr>
          <w:b/>
          <w:caps/>
          <w:kern w:val="22"/>
          <w:lang w:val="fr-FR"/>
        </w:rPr>
        <w:t xml:space="preserve"> </w:t>
      </w:r>
      <w:r w:rsidRPr="001D0621">
        <w:rPr>
          <w:b/>
          <w:caps/>
          <w:kern w:val="22"/>
          <w:lang w:val="fr-FR"/>
        </w:rPr>
        <w:t>l’aprÈs-2020</w:t>
      </w:r>
    </w:p>
    <w:p w14:paraId="2789C12D" w14:textId="637C5764" w:rsidR="000C6355" w:rsidRPr="001D0621" w:rsidRDefault="00EF752B" w:rsidP="005A3C61">
      <w:pPr>
        <w:pStyle w:val="Para1"/>
        <w:jc w:val="center"/>
        <w:rPr>
          <w:i/>
          <w:kern w:val="22"/>
          <w:lang w:val="fr-FR"/>
        </w:rPr>
      </w:pPr>
      <w:r w:rsidRPr="001D0621">
        <w:rPr>
          <w:i/>
          <w:kern w:val="22"/>
          <w:lang w:val="fr-FR"/>
        </w:rPr>
        <w:t>N</w:t>
      </w:r>
      <w:r w:rsidR="000C6355" w:rsidRPr="001D0621">
        <w:rPr>
          <w:i/>
          <w:kern w:val="22"/>
          <w:lang w:val="fr-FR"/>
        </w:rPr>
        <w:t xml:space="preserve">ote </w:t>
      </w:r>
      <w:bookmarkStart w:id="2" w:name="_Hlk12534882"/>
      <w:r w:rsidR="001D0621" w:rsidRPr="001D0621">
        <w:rPr>
          <w:i/>
          <w:kern w:val="22"/>
          <w:lang w:val="fr-FR"/>
        </w:rPr>
        <w:t>des coprésidents</w:t>
      </w:r>
      <w:r w:rsidR="000C6355" w:rsidRPr="001D0621">
        <w:rPr>
          <w:i/>
          <w:kern w:val="22"/>
          <w:lang w:val="fr-FR"/>
        </w:rPr>
        <w:t xml:space="preserve"> </w:t>
      </w:r>
      <w:bookmarkEnd w:id="2"/>
    </w:p>
    <w:p w14:paraId="6AC49E2E" w14:textId="22CB983B" w:rsidR="00EC2A40" w:rsidRPr="001D0621" w:rsidRDefault="00273EDF" w:rsidP="005A3C61">
      <w:pPr>
        <w:pStyle w:val="Heading1"/>
        <w:numPr>
          <w:ilvl w:val="0"/>
          <w:numId w:val="5"/>
        </w:numPr>
        <w:spacing w:before="120"/>
        <w:ind w:left="1077"/>
        <w:rPr>
          <w:b w:val="0"/>
          <w:iCs/>
          <w:snapToGrid w:val="0"/>
          <w:kern w:val="22"/>
          <w:lang w:val="fr-FR"/>
        </w:rPr>
      </w:pPr>
      <w:r>
        <w:rPr>
          <w:iCs/>
          <w:snapToGrid w:val="0"/>
          <w:kern w:val="22"/>
          <w:lang w:val="fr-FR"/>
        </w:rPr>
        <w:t>renseignements gÉnÉraux</w:t>
      </w:r>
    </w:p>
    <w:p w14:paraId="13F54BD1" w14:textId="0002F199" w:rsidR="006F2F19" w:rsidRPr="001D0621" w:rsidRDefault="00B10345" w:rsidP="005A3C61">
      <w:pPr>
        <w:pStyle w:val="Para1"/>
        <w:numPr>
          <w:ilvl w:val="0"/>
          <w:numId w:val="6"/>
        </w:numPr>
        <w:tabs>
          <w:tab w:val="clear" w:pos="360"/>
        </w:tabs>
        <w:rPr>
          <w:kern w:val="22"/>
          <w:szCs w:val="22"/>
          <w:lang w:val="fr-FR"/>
        </w:rPr>
      </w:pPr>
      <w:r>
        <w:rPr>
          <w:rFonts w:eastAsia="Malgun Gothic"/>
          <w:kern w:val="22"/>
          <w:szCs w:val="22"/>
          <w:lang w:val="fr-FR"/>
        </w:rPr>
        <w:t xml:space="preserve">Dans la </w:t>
      </w:r>
      <w:r w:rsidRPr="00CD3298">
        <w:rPr>
          <w:rFonts w:eastAsia="Malgun Gothic"/>
          <w:kern w:val="22"/>
          <w:szCs w:val="22"/>
          <w:lang w:val="fr-FR"/>
        </w:rPr>
        <w:t>d</w:t>
      </w:r>
      <w:r>
        <w:rPr>
          <w:rFonts w:eastAsia="Malgun Gothic"/>
          <w:kern w:val="22"/>
          <w:szCs w:val="22"/>
          <w:lang w:val="fr-FR"/>
        </w:rPr>
        <w:t>é</w:t>
      </w:r>
      <w:r w:rsidRPr="00CD3298">
        <w:rPr>
          <w:rFonts w:eastAsia="Malgun Gothic"/>
          <w:kern w:val="22"/>
          <w:szCs w:val="22"/>
          <w:lang w:val="fr-FR"/>
        </w:rPr>
        <w:t xml:space="preserve">cision </w:t>
      </w:r>
      <w:hyperlink r:id="rId14" w:history="1">
        <w:r w:rsidRPr="00CD3298">
          <w:rPr>
            <w:rStyle w:val="Hyperlink"/>
            <w:rFonts w:eastAsia="Malgun Gothic"/>
            <w:kern w:val="22"/>
            <w:szCs w:val="22"/>
            <w:lang w:val="fr-FR"/>
          </w:rPr>
          <w:t>14/34</w:t>
        </w:r>
      </w:hyperlink>
      <w:r w:rsidRPr="00CD3298">
        <w:rPr>
          <w:rFonts w:eastAsia="Malgun Gothic"/>
          <w:kern w:val="22"/>
          <w:szCs w:val="22"/>
          <w:lang w:val="fr-FR"/>
        </w:rPr>
        <w:t xml:space="preserve">, la Conférence des Parties a </w:t>
      </w:r>
      <w:r w:rsidR="009C104C">
        <w:rPr>
          <w:rFonts w:eastAsia="Malgun Gothic"/>
          <w:kern w:val="22"/>
          <w:szCs w:val="22"/>
          <w:lang w:val="fr-FR"/>
        </w:rPr>
        <w:t>énonc</w:t>
      </w:r>
      <w:r w:rsidRPr="00CD3298">
        <w:rPr>
          <w:rFonts w:eastAsia="Malgun Gothic"/>
          <w:kern w:val="22"/>
          <w:szCs w:val="22"/>
          <w:lang w:val="fr-FR"/>
        </w:rPr>
        <w:t xml:space="preserve">é </w:t>
      </w:r>
      <w:r>
        <w:rPr>
          <w:rFonts w:eastAsia="Malgun Gothic"/>
          <w:kern w:val="22"/>
          <w:szCs w:val="22"/>
          <w:lang w:val="fr-FR"/>
        </w:rPr>
        <w:t xml:space="preserve">le processus </w:t>
      </w:r>
      <w:r w:rsidR="009C104C">
        <w:rPr>
          <w:rFonts w:eastAsia="Malgun Gothic"/>
          <w:kern w:val="22"/>
          <w:szCs w:val="22"/>
          <w:lang w:val="fr-FR"/>
        </w:rPr>
        <w:t>d’</w:t>
      </w:r>
      <w:r>
        <w:rPr>
          <w:rFonts w:eastAsia="Malgun Gothic"/>
          <w:kern w:val="22"/>
          <w:szCs w:val="22"/>
          <w:lang w:val="fr-FR"/>
        </w:rPr>
        <w:t>élaboration du cadre mondial de la biodiversité pour l’après-2020, constitué le Groupe de travail à composition non limitée sur le cadre mondial de la biodiversité pour l’après-2020 pour soutenir ce processus et nommé ses coprésidents. Lors de sa première réunion, le Groupe de travail a demandé aux coprésidents</w:t>
      </w:r>
      <w:r w:rsidR="00001D26">
        <w:rPr>
          <w:rFonts w:eastAsia="Malgun Gothic"/>
          <w:kern w:val="22"/>
          <w:szCs w:val="22"/>
          <w:lang w:val="fr-FR"/>
        </w:rPr>
        <w:t xml:space="preserve"> et à la Secrétaire exécutive, sous la supervision du Bureau, de poursuivre le processus d’élaboration conformément aux décisions 14/34, </w:t>
      </w:r>
      <w:hyperlink r:id="rId15" w:history="1">
        <w:r w:rsidRPr="00CD3298">
          <w:rPr>
            <w:rStyle w:val="Hyperlink"/>
            <w:kern w:val="22"/>
            <w:szCs w:val="22"/>
            <w:lang w:val="fr-FR"/>
          </w:rPr>
          <w:t>CP-9/7</w:t>
        </w:r>
      </w:hyperlink>
      <w:r w:rsidRPr="00CD3298">
        <w:rPr>
          <w:kern w:val="22"/>
          <w:szCs w:val="22"/>
          <w:lang w:val="fr-FR"/>
        </w:rPr>
        <w:t>)</w:t>
      </w:r>
      <w:r w:rsidR="00001D26">
        <w:rPr>
          <w:kern w:val="22"/>
          <w:szCs w:val="22"/>
          <w:lang w:val="fr-FR"/>
        </w:rPr>
        <w:t xml:space="preserve"> et </w:t>
      </w:r>
      <w:hyperlink r:id="rId16" w:history="1">
        <w:r w:rsidRPr="00CD3298">
          <w:rPr>
            <w:rStyle w:val="Hyperlink"/>
            <w:kern w:val="22"/>
            <w:szCs w:val="22"/>
            <w:lang w:val="fr-FR"/>
          </w:rPr>
          <w:t>NP-3/15</w:t>
        </w:r>
      </w:hyperlink>
      <w:r w:rsidR="00001D26">
        <w:rPr>
          <w:kern w:val="22"/>
          <w:szCs w:val="22"/>
          <w:lang w:val="fr-FR"/>
        </w:rPr>
        <w:t xml:space="preserve">, et d’élaborer des documents, y compris un avant-projet du cadre mondial de la </w:t>
      </w:r>
      <w:r>
        <w:rPr>
          <w:rFonts w:eastAsia="Malgun Gothic"/>
          <w:kern w:val="22"/>
          <w:szCs w:val="22"/>
          <w:lang w:val="fr-FR"/>
        </w:rPr>
        <w:t>biodiversité pour l’après-2020</w:t>
      </w:r>
      <w:r w:rsidRPr="004C186D">
        <w:rPr>
          <w:rStyle w:val="FootnoteReference"/>
          <w:rFonts w:eastAsia="Malgun Gothic"/>
          <w:kern w:val="22"/>
          <w:sz w:val="22"/>
          <w:szCs w:val="22"/>
          <w:u w:val="none"/>
          <w:vertAlign w:val="superscript"/>
          <w:lang w:val="fr-FR"/>
        </w:rPr>
        <w:footnoteReference w:id="1"/>
      </w:r>
      <w:r w:rsidR="00001D26">
        <w:rPr>
          <w:rFonts w:eastAsia="Malgun Gothic"/>
          <w:kern w:val="22"/>
          <w:szCs w:val="22"/>
          <w:lang w:val="fr-FR"/>
        </w:rPr>
        <w:t>, pour examen par le Groupe de travail à sa deuxième réunion.</w:t>
      </w:r>
    </w:p>
    <w:p w14:paraId="446A4334" w14:textId="27998FE6" w:rsidR="00156187" w:rsidRPr="001D0621" w:rsidRDefault="00001D26" w:rsidP="005A3C61">
      <w:pPr>
        <w:pStyle w:val="Para1"/>
        <w:numPr>
          <w:ilvl w:val="0"/>
          <w:numId w:val="6"/>
        </w:numPr>
        <w:tabs>
          <w:tab w:val="clear" w:pos="360"/>
        </w:tabs>
        <w:rPr>
          <w:kern w:val="22"/>
          <w:szCs w:val="22"/>
          <w:lang w:val="fr-FR"/>
        </w:rPr>
      </w:pPr>
      <w:r>
        <w:rPr>
          <w:kern w:val="22"/>
          <w:szCs w:val="22"/>
          <w:lang w:val="fr-FR"/>
        </w:rPr>
        <w:t xml:space="preserve">Le présent document a été élaboré en réponse à cette demande. La partie I fournit des renseignements généraux, la partie II contient une introduction </w:t>
      </w:r>
      <w:r w:rsidR="00B83B12">
        <w:rPr>
          <w:kern w:val="22"/>
          <w:szCs w:val="22"/>
          <w:lang w:val="fr-FR"/>
        </w:rPr>
        <w:t xml:space="preserve">sur l’avant-projet et la partie III un projet de recommandation pour examen par le Groupe de travail. L’annexe I contient l’avant-projet du cadre mondial de la biodiversité pour l’après-2020 aux fins d’examen par le Groupe de travail. </w:t>
      </w:r>
      <w:r w:rsidR="006F0320">
        <w:rPr>
          <w:kern w:val="22"/>
          <w:szCs w:val="22"/>
          <w:lang w:val="fr-FR"/>
        </w:rPr>
        <w:t>Des éléments d’un projet de recommandation à la Conférence des Parties</w:t>
      </w:r>
      <w:r w:rsidR="009C104C">
        <w:rPr>
          <w:kern w:val="22"/>
          <w:szCs w:val="22"/>
          <w:lang w:val="fr-FR"/>
        </w:rPr>
        <w:t xml:space="preserve"> à sa quinzième réunion,</w:t>
      </w:r>
      <w:r w:rsidR="006F0320">
        <w:rPr>
          <w:kern w:val="22"/>
          <w:szCs w:val="22"/>
          <w:lang w:val="fr-FR"/>
        </w:rPr>
        <w:t xml:space="preserve"> sur le cadre mondial de la biodiversité pour l’après-2020 sont présentés dans l’annexe II, aux fins d’examen par le Groupe de travail. Le document est complété par deux additifs contenant des appendices de l’avant-projet de cadre mondial de la biodiversité pour l’après-2002 ainsi qu’un glossaire des termes.</w:t>
      </w:r>
    </w:p>
    <w:p w14:paraId="3BA0F729" w14:textId="537AB415" w:rsidR="00C3484D" w:rsidRPr="001D0621" w:rsidRDefault="006F0320" w:rsidP="005A3C61">
      <w:pPr>
        <w:pStyle w:val="Para1"/>
        <w:numPr>
          <w:ilvl w:val="0"/>
          <w:numId w:val="6"/>
        </w:numPr>
        <w:tabs>
          <w:tab w:val="clear" w:pos="360"/>
        </w:tabs>
        <w:rPr>
          <w:kern w:val="22"/>
          <w:szCs w:val="22"/>
          <w:lang w:val="fr-FR"/>
        </w:rPr>
      </w:pPr>
      <w:r>
        <w:rPr>
          <w:kern w:val="22"/>
          <w:szCs w:val="22"/>
          <w:lang w:val="fr-FR"/>
        </w:rPr>
        <w:t>Le cadre proposé applique u</w:t>
      </w:r>
      <w:r w:rsidR="00862BEE">
        <w:rPr>
          <w:kern w:val="22"/>
          <w:szCs w:val="22"/>
          <w:lang w:val="fr-FR"/>
        </w:rPr>
        <w:t xml:space="preserve">ne approche fondée sur la théorie du changement, cadre de planification stratégique employé pour aider à planifier, mettre en œuvre et évaluer les effets des mesures prises. Il s’agit d’un outil puissant </w:t>
      </w:r>
      <w:r w:rsidR="00CF75D6">
        <w:rPr>
          <w:kern w:val="22"/>
          <w:szCs w:val="22"/>
          <w:lang w:val="fr-FR"/>
        </w:rPr>
        <w:t>pour organiser des objectifs et des solutions mesurables et pour évaluer leurs effets à court et à long terme à l’intérieur d’une structure cohérente, valable et transparente. Ce type de structure permet également à un grand nombre de parties prenantes d’articuler des problèmes, de collaborer vers des objectifs communs, d’utiliser le même langage lorsqu’elles échangent des informations sur l’état d’avancement de la mise en œuvre, et de s’assurer que les mesures collectives sont alignées sur la réalisation de plus grand impact possible.</w:t>
      </w:r>
      <w:r w:rsidR="00C3484D" w:rsidRPr="001D0621">
        <w:rPr>
          <w:kern w:val="22"/>
          <w:szCs w:val="22"/>
          <w:lang w:val="fr-FR"/>
        </w:rPr>
        <w:t xml:space="preserve"> </w:t>
      </w:r>
    </w:p>
    <w:p w14:paraId="2936AE7F" w14:textId="1CED25F9" w:rsidR="00C3484D" w:rsidRPr="00B079A6" w:rsidRDefault="00CF75D6" w:rsidP="005A3C61">
      <w:pPr>
        <w:pStyle w:val="Para1"/>
        <w:numPr>
          <w:ilvl w:val="0"/>
          <w:numId w:val="6"/>
        </w:numPr>
        <w:tabs>
          <w:tab w:val="clear" w:pos="360"/>
        </w:tabs>
        <w:rPr>
          <w:kern w:val="22"/>
          <w:szCs w:val="22"/>
          <w:lang w:val="fr-FR"/>
        </w:rPr>
      </w:pPr>
      <w:r>
        <w:rPr>
          <w:kern w:val="22"/>
          <w:szCs w:val="22"/>
          <w:lang w:val="fr-FR"/>
        </w:rPr>
        <w:t>Certains éléments du cadre proposé</w:t>
      </w:r>
      <w:r w:rsidR="00B9398C">
        <w:rPr>
          <w:kern w:val="22"/>
          <w:szCs w:val="22"/>
          <w:lang w:val="fr-FR"/>
        </w:rPr>
        <w:t xml:space="preserve"> sont présentés actuellement seulement  titre d’exemple car leur formulation finale dépendra des résultats de processus en cours, notamment des processus liés à la </w:t>
      </w:r>
      <w:r w:rsidR="00B9398C" w:rsidRPr="00B079A6">
        <w:rPr>
          <w:kern w:val="22"/>
          <w:szCs w:val="22"/>
          <w:lang w:val="fr-FR"/>
        </w:rPr>
        <w:lastRenderedPageBreak/>
        <w:t>mobilisation des ressources, à l’intégration, à l’information de séquençage numérique, à l’utilisation durable, au renforcement des capaci</w:t>
      </w:r>
      <w:r w:rsidR="00B9398C" w:rsidRPr="00B079A6">
        <w:rPr>
          <w:lang w:val="fr-FR"/>
        </w:rPr>
        <w:t>tés, à la planification nationale et à l’établissement des rapports, à des questions relatives à la responsabilité, la transparence et aux indicateurs.</w:t>
      </w:r>
      <w:r w:rsidR="00B079A6">
        <w:rPr>
          <w:kern w:val="22"/>
          <w:szCs w:val="22"/>
          <w:lang w:val="fr-FR"/>
        </w:rPr>
        <w:t xml:space="preserve"> Lorsqu’un libellé est utilisé à titre d’illustration, cela est indiqué par une note de bas de page. En outre, le libellé n’est pas sensé préjuger des processus en cours, mais plutôt fournir un tableau complet des éléments du cadre mondial de la biodiversité pour l’après-2020.</w:t>
      </w:r>
    </w:p>
    <w:p w14:paraId="31D1065E" w14:textId="74432A88" w:rsidR="00813367" w:rsidRPr="00B079A6" w:rsidRDefault="00B079A6" w:rsidP="005A3C61">
      <w:pPr>
        <w:pStyle w:val="Para1"/>
        <w:numPr>
          <w:ilvl w:val="0"/>
          <w:numId w:val="6"/>
        </w:numPr>
        <w:tabs>
          <w:tab w:val="clear" w:pos="360"/>
        </w:tabs>
        <w:rPr>
          <w:kern w:val="22"/>
          <w:szCs w:val="22"/>
          <w:lang w:val="fr-FR"/>
        </w:rPr>
      </w:pPr>
      <w:r>
        <w:rPr>
          <w:kern w:val="22"/>
          <w:szCs w:val="22"/>
          <w:lang w:val="fr-FR"/>
        </w:rPr>
        <w:t>L</w:t>
      </w:r>
      <w:r w:rsidR="00C02A49">
        <w:rPr>
          <w:kern w:val="22"/>
          <w:szCs w:val="22"/>
          <w:lang w:val="fr-FR"/>
        </w:rPr>
        <w:t>a proposition d’</w:t>
      </w:r>
      <w:r>
        <w:rPr>
          <w:kern w:val="22"/>
          <w:szCs w:val="22"/>
          <w:lang w:val="fr-FR"/>
        </w:rPr>
        <w:t>avant-projet de cadre mondial de la biodiversit</w:t>
      </w:r>
      <w:r w:rsidR="00C02A49">
        <w:rPr>
          <w:kern w:val="22"/>
          <w:szCs w:val="22"/>
          <w:lang w:val="fr-FR"/>
        </w:rPr>
        <w:t>é</w:t>
      </w:r>
      <w:r>
        <w:rPr>
          <w:kern w:val="22"/>
          <w:szCs w:val="22"/>
          <w:lang w:val="fr-FR"/>
        </w:rPr>
        <w:t xml:space="preserve"> pour l’apr</w:t>
      </w:r>
      <w:r w:rsidR="00CC4326">
        <w:rPr>
          <w:kern w:val="22"/>
          <w:szCs w:val="22"/>
          <w:lang w:val="fr-FR"/>
        </w:rPr>
        <w:t>ès-2020</w:t>
      </w:r>
      <w:r w:rsidR="00C81445">
        <w:rPr>
          <w:kern w:val="22"/>
          <w:szCs w:val="22"/>
          <w:lang w:val="fr-FR"/>
        </w:rPr>
        <w:t xml:space="preserve"> proposé</w:t>
      </w:r>
      <w:r w:rsidR="00C02A49">
        <w:rPr>
          <w:kern w:val="22"/>
          <w:szCs w:val="22"/>
          <w:lang w:val="fr-FR"/>
        </w:rPr>
        <w:t>e</w:t>
      </w:r>
      <w:r w:rsidR="00C81445">
        <w:rPr>
          <w:kern w:val="22"/>
          <w:szCs w:val="22"/>
          <w:lang w:val="fr-FR"/>
        </w:rPr>
        <w:t xml:space="preserve"> a été élaboré</w:t>
      </w:r>
      <w:r w:rsidR="00C02A49">
        <w:rPr>
          <w:kern w:val="22"/>
          <w:szCs w:val="22"/>
          <w:lang w:val="fr-FR"/>
        </w:rPr>
        <w:t xml:space="preserve">e en tenant </w:t>
      </w:r>
      <w:r w:rsidR="00F04E69">
        <w:rPr>
          <w:kern w:val="22"/>
          <w:szCs w:val="22"/>
          <w:lang w:val="fr-FR"/>
        </w:rPr>
        <w:t xml:space="preserve">dûment </w:t>
      </w:r>
      <w:r w:rsidR="00C02A49">
        <w:rPr>
          <w:kern w:val="22"/>
          <w:szCs w:val="22"/>
          <w:lang w:val="fr-FR"/>
        </w:rPr>
        <w:t>compte d</w:t>
      </w:r>
      <w:r w:rsidR="00920834">
        <w:rPr>
          <w:kern w:val="22"/>
          <w:szCs w:val="22"/>
          <w:lang w:val="fr-FR"/>
        </w:rPr>
        <w:t>es conclusions de l’examen d</w:t>
      </w:r>
      <w:r w:rsidR="00F04E69">
        <w:rPr>
          <w:kern w:val="22"/>
          <w:szCs w:val="22"/>
          <w:lang w:val="fr-FR"/>
        </w:rPr>
        <w:t xml:space="preserve">es </w:t>
      </w:r>
      <w:r w:rsidR="00920834">
        <w:rPr>
          <w:kern w:val="22"/>
          <w:szCs w:val="22"/>
          <w:lang w:val="fr-FR"/>
        </w:rPr>
        <w:t>éléments éventuels d</w:t>
      </w:r>
      <w:r w:rsidR="00F04E69">
        <w:rPr>
          <w:kern w:val="22"/>
          <w:szCs w:val="22"/>
          <w:lang w:val="fr-FR"/>
        </w:rPr>
        <w:t>u</w:t>
      </w:r>
      <w:r w:rsidR="00920834">
        <w:rPr>
          <w:kern w:val="22"/>
          <w:szCs w:val="22"/>
          <w:lang w:val="fr-FR"/>
        </w:rPr>
        <w:t xml:space="preserve"> cadre mondial de la biodiversité pour l’après-2020 par le Groupe de travail à sa première réunion</w:t>
      </w:r>
      <w:r w:rsidR="00F052CE" w:rsidRPr="00B079A6">
        <w:rPr>
          <w:kern w:val="22"/>
          <w:szCs w:val="22"/>
          <w:vertAlign w:val="superscript"/>
          <w:lang w:val="fr-FR"/>
        </w:rPr>
        <w:footnoteReference w:id="2"/>
      </w:r>
      <w:r w:rsidR="00920834">
        <w:rPr>
          <w:kern w:val="22"/>
          <w:szCs w:val="22"/>
          <w:lang w:val="fr-FR"/>
        </w:rPr>
        <w:t>. Elle prend également en considération les éléments d’orientation sur les objectifs, les cibles SMART</w:t>
      </w:r>
      <w:r w:rsidR="0059585F" w:rsidRPr="0046540F">
        <w:rPr>
          <w:rStyle w:val="FootnoteReference"/>
          <w:kern w:val="22"/>
          <w:sz w:val="22"/>
          <w:szCs w:val="22"/>
          <w:u w:val="none"/>
          <w:vertAlign w:val="superscript"/>
          <w:lang w:val="fr-FR"/>
        </w:rPr>
        <w:footnoteReference w:id="3"/>
      </w:r>
      <w:r w:rsidR="00920834">
        <w:rPr>
          <w:kern w:val="22"/>
          <w:szCs w:val="22"/>
          <w:lang w:val="fr-FR"/>
        </w:rPr>
        <w:t>, les indicateurs, les bases de référence et les cadres de suivi relatifs aux facteurs de perte de biodiversité, pour la réalisation d’un changement transformateur dans les limites des trois objectifs de la Convention examinés à la vingt-troisième réunion de l’Organe subsidiaire chargé de fournir des avis scientifiques, techniques et technologiques</w:t>
      </w:r>
      <w:r w:rsidR="00156187" w:rsidRPr="00B079A6">
        <w:rPr>
          <w:kern w:val="22"/>
          <w:szCs w:val="22"/>
          <w:vertAlign w:val="superscript"/>
          <w:lang w:val="fr-FR"/>
        </w:rPr>
        <w:footnoteReference w:id="4"/>
      </w:r>
      <w:r w:rsidR="00F052CE" w:rsidRPr="00B079A6">
        <w:rPr>
          <w:kern w:val="22"/>
          <w:szCs w:val="22"/>
          <w:lang w:val="fr-FR"/>
        </w:rPr>
        <w:t xml:space="preserve"> </w:t>
      </w:r>
      <w:r w:rsidR="00920834">
        <w:rPr>
          <w:kern w:val="22"/>
          <w:szCs w:val="22"/>
          <w:lang w:val="fr-FR"/>
        </w:rPr>
        <w:t xml:space="preserve">ainsi que les </w:t>
      </w:r>
      <w:hyperlink r:id="rId17" w:history="1">
        <w:r w:rsidR="00920834" w:rsidRPr="009F2C06">
          <w:rPr>
            <w:rStyle w:val="Hyperlink"/>
            <w:kern w:val="22"/>
            <w:szCs w:val="22"/>
            <w:lang w:val="fr-FR"/>
          </w:rPr>
          <w:t>résultats</w:t>
        </w:r>
      </w:hyperlink>
      <w:r w:rsidR="00920834">
        <w:rPr>
          <w:kern w:val="22"/>
          <w:szCs w:val="22"/>
          <w:lang w:val="fr-FR"/>
        </w:rPr>
        <w:t xml:space="preserve"> de la onzième réunion du Groupe de travail spécial à composition non limitée sur l’article 8j) et les dispositions connexes. Le cadre proposés tient compte également des divers processus de consultation menés</w:t>
      </w:r>
      <w:r w:rsidR="00C3484D" w:rsidRPr="00B079A6">
        <w:rPr>
          <w:kern w:val="22"/>
          <w:vertAlign w:val="superscript"/>
          <w:lang w:val="fr-FR"/>
        </w:rPr>
        <w:footnoteReference w:id="5"/>
      </w:r>
      <w:r w:rsidR="00920834">
        <w:rPr>
          <w:kern w:val="22"/>
          <w:szCs w:val="22"/>
          <w:lang w:val="fr-FR"/>
        </w:rPr>
        <w:t>,</w:t>
      </w:r>
      <w:r w:rsidR="00813367" w:rsidRPr="00B079A6">
        <w:rPr>
          <w:kern w:val="22"/>
          <w:szCs w:val="22"/>
          <w:lang w:val="fr-FR"/>
        </w:rPr>
        <w:t xml:space="preserve"> </w:t>
      </w:r>
      <w:r w:rsidR="00920834">
        <w:rPr>
          <w:kern w:val="22"/>
          <w:szCs w:val="22"/>
          <w:lang w:val="fr-FR"/>
        </w:rPr>
        <w:t>y compris les points de vue exprim</w:t>
      </w:r>
      <w:r w:rsidR="00906696">
        <w:rPr>
          <w:kern w:val="22"/>
          <w:szCs w:val="22"/>
          <w:lang w:val="fr-FR"/>
        </w:rPr>
        <w:t>é</w:t>
      </w:r>
      <w:r w:rsidR="00920834">
        <w:rPr>
          <w:kern w:val="22"/>
          <w:szCs w:val="22"/>
          <w:lang w:val="fr-FR"/>
        </w:rPr>
        <w:t>s pendant</w:t>
      </w:r>
      <w:r w:rsidR="00906696">
        <w:rPr>
          <w:kern w:val="22"/>
          <w:szCs w:val="22"/>
          <w:lang w:val="fr-FR"/>
        </w:rPr>
        <w:t xml:space="preserve"> la réunion d’information informelle organisée par les coprésidents le 24 novembre 2019, à laquelle une vue d’ensemble préliminaire de l’avant-projet du cadre a été présentée.</w:t>
      </w:r>
    </w:p>
    <w:p w14:paraId="3AEE21E2" w14:textId="58C8A787" w:rsidR="001278D6" w:rsidRPr="00B079A6" w:rsidRDefault="00906696" w:rsidP="005A3C61">
      <w:pPr>
        <w:pStyle w:val="Para1"/>
        <w:numPr>
          <w:ilvl w:val="0"/>
          <w:numId w:val="6"/>
        </w:numPr>
        <w:tabs>
          <w:tab w:val="clear" w:pos="360"/>
        </w:tabs>
        <w:rPr>
          <w:kern w:val="22"/>
          <w:szCs w:val="22"/>
          <w:lang w:val="fr-FR"/>
        </w:rPr>
      </w:pPr>
      <w:r>
        <w:rPr>
          <w:kern w:val="22"/>
          <w:szCs w:val="22"/>
          <w:lang w:val="fr-FR"/>
        </w:rPr>
        <w:t>Les tendances mondiales actuelles et les futurs scénarios ont aussi été pris en compte dans la formulation du cadre, notamment :</w:t>
      </w:r>
    </w:p>
    <w:p w14:paraId="5C96BDDB" w14:textId="4A1582E2" w:rsidR="00734CB2" w:rsidRPr="00B079A6" w:rsidRDefault="00136151" w:rsidP="005A3C61">
      <w:pPr>
        <w:pStyle w:val="Para1"/>
        <w:numPr>
          <w:ilvl w:val="1"/>
          <w:numId w:val="6"/>
        </w:numPr>
        <w:rPr>
          <w:kern w:val="22"/>
          <w:szCs w:val="22"/>
          <w:lang w:val="fr-FR"/>
        </w:rPr>
      </w:pPr>
      <w:r>
        <w:rPr>
          <w:rFonts w:eastAsia="Malgun Gothic"/>
          <w:kern w:val="22"/>
          <w:szCs w:val="22"/>
          <w:lang w:val="fr-FR"/>
        </w:rPr>
        <w:t>Le rapport de l’Évaluation mondiale sur la biodiversité et les services écosystémiques publié par la Plateforme intergouvernementale scientifique et politiques sur la biodiversité et les services écosystémiques a averti que les objectifs de conservation et d’utilisation durable de la biodiversité et de réalisation de la durabilité ne peuvent pas être atteints par les trajectoires actuelles</w:t>
      </w:r>
      <w:r w:rsidR="00B03DBB">
        <w:rPr>
          <w:rFonts w:eastAsia="Malgun Gothic"/>
          <w:kern w:val="22"/>
          <w:szCs w:val="22"/>
          <w:lang w:val="fr-FR"/>
        </w:rPr>
        <w:t xml:space="preserve">, et les objectifs pour la biodiversité à l’horizon 2030 et au-delà </w:t>
      </w:r>
      <w:r w:rsidR="009C0A06">
        <w:rPr>
          <w:rFonts w:eastAsia="Malgun Gothic"/>
          <w:kern w:val="22"/>
          <w:szCs w:val="22"/>
          <w:lang w:val="fr-FR"/>
        </w:rPr>
        <w:t>n</w:t>
      </w:r>
      <w:r w:rsidR="00B03DBB">
        <w:rPr>
          <w:rFonts w:eastAsia="Malgun Gothic"/>
          <w:kern w:val="22"/>
          <w:szCs w:val="22"/>
          <w:lang w:val="fr-FR"/>
        </w:rPr>
        <w:t xml:space="preserve">e peuvent être réalisés que par </w:t>
      </w:r>
      <w:r w:rsidR="00AF02C1">
        <w:rPr>
          <w:rFonts w:eastAsia="Malgun Gothic"/>
          <w:kern w:val="22"/>
          <w:szCs w:val="22"/>
          <w:lang w:val="fr-FR"/>
        </w:rPr>
        <w:t>des</w:t>
      </w:r>
      <w:r w:rsidR="00B03DBB">
        <w:rPr>
          <w:rFonts w:eastAsia="Malgun Gothic"/>
          <w:kern w:val="22"/>
          <w:szCs w:val="22"/>
          <w:lang w:val="fr-FR"/>
        </w:rPr>
        <w:t xml:space="preserve"> changement</w:t>
      </w:r>
      <w:r w:rsidR="00AF02C1">
        <w:rPr>
          <w:rFonts w:eastAsia="Malgun Gothic"/>
          <w:kern w:val="22"/>
          <w:szCs w:val="22"/>
          <w:lang w:val="fr-FR"/>
        </w:rPr>
        <w:t>s</w:t>
      </w:r>
      <w:r w:rsidR="00B03DBB">
        <w:rPr>
          <w:rFonts w:eastAsia="Malgun Gothic"/>
          <w:kern w:val="22"/>
          <w:szCs w:val="22"/>
          <w:lang w:val="fr-FR"/>
        </w:rPr>
        <w:t xml:space="preserve"> transformateur</w:t>
      </w:r>
      <w:r w:rsidR="00AF02C1">
        <w:rPr>
          <w:rFonts w:eastAsia="Malgun Gothic"/>
          <w:kern w:val="22"/>
          <w:szCs w:val="22"/>
          <w:lang w:val="fr-FR"/>
        </w:rPr>
        <w:t>s</w:t>
      </w:r>
      <w:r w:rsidR="00B03DBB">
        <w:rPr>
          <w:rFonts w:eastAsia="Malgun Gothic"/>
          <w:kern w:val="22"/>
          <w:szCs w:val="22"/>
          <w:lang w:val="fr-FR"/>
        </w:rPr>
        <w:t xml:space="preserve"> dans tous les facteurs économique</w:t>
      </w:r>
      <w:r w:rsidR="009C0A06">
        <w:rPr>
          <w:rFonts w:eastAsia="Malgun Gothic"/>
          <w:kern w:val="22"/>
          <w:szCs w:val="22"/>
          <w:lang w:val="fr-FR"/>
        </w:rPr>
        <w:t>s</w:t>
      </w:r>
      <w:r w:rsidR="00B03DBB">
        <w:rPr>
          <w:rFonts w:eastAsia="Malgun Gothic"/>
          <w:kern w:val="22"/>
          <w:szCs w:val="22"/>
          <w:lang w:val="fr-FR"/>
        </w:rPr>
        <w:t xml:space="preserve">, sociaux, politiques et technologiques. Le rapide déclin passé et présent de la biodiversité, des fonctions des écosystèmes et des nombreuses contributions de la nature au bien-être des populations signifie que la plupart des objectifs sociétaux et environnementaux internationaux, tels que ceux qui font partie des Objectifs d’Aichi pour la biodiversité et du Programme de développement durable à l’horizon 2003 ne seront pas réalisés en suivant les trajectoires actuelles. Ce déclin </w:t>
      </w:r>
      <w:r w:rsidR="00773AC2">
        <w:rPr>
          <w:rFonts w:eastAsia="Malgun Gothic"/>
          <w:kern w:val="22"/>
          <w:szCs w:val="22"/>
          <w:lang w:val="fr-FR"/>
        </w:rPr>
        <w:t>portera aussi atteinte aux autres objectifs, tels que ceux qui sont précisés dans l’Accord de Paris</w:t>
      </w:r>
      <w:r w:rsidR="004F38B5" w:rsidRPr="0046540F">
        <w:rPr>
          <w:rStyle w:val="FootnoteReference"/>
          <w:rFonts w:eastAsia="Malgun Gothic"/>
          <w:kern w:val="22"/>
          <w:sz w:val="22"/>
          <w:szCs w:val="22"/>
          <w:u w:val="none"/>
          <w:vertAlign w:val="superscript"/>
          <w:lang w:val="fr-FR"/>
        </w:rPr>
        <w:footnoteReference w:id="6"/>
      </w:r>
      <w:r w:rsidR="00734CB2" w:rsidRPr="00B079A6">
        <w:rPr>
          <w:rFonts w:eastAsia="Malgun Gothic"/>
          <w:kern w:val="22"/>
          <w:szCs w:val="22"/>
          <w:lang w:val="fr-FR"/>
        </w:rPr>
        <w:t xml:space="preserve"> </w:t>
      </w:r>
      <w:r w:rsidR="00773AC2">
        <w:rPr>
          <w:rFonts w:eastAsia="Malgun Gothic"/>
          <w:kern w:val="22"/>
          <w:szCs w:val="22"/>
          <w:lang w:val="fr-FR"/>
        </w:rPr>
        <w:t xml:space="preserve">adopté aux termes de la Convention-cadre des Nations Unies sur les changements climatiques, ainsi que la Vision 2050 pour la biodiversité ; </w:t>
      </w:r>
    </w:p>
    <w:p w14:paraId="1DFE63D6" w14:textId="598ED3EF" w:rsidR="001278D6" w:rsidRPr="00B079A6" w:rsidRDefault="00773AC2" w:rsidP="005A3C61">
      <w:pPr>
        <w:pStyle w:val="Para1"/>
        <w:numPr>
          <w:ilvl w:val="1"/>
          <w:numId w:val="6"/>
        </w:numPr>
        <w:rPr>
          <w:kern w:val="22"/>
          <w:szCs w:val="22"/>
          <w:lang w:val="fr-FR"/>
        </w:rPr>
      </w:pPr>
      <w:r>
        <w:rPr>
          <w:kern w:val="22"/>
          <w:szCs w:val="22"/>
          <w:lang w:val="fr-FR"/>
        </w:rPr>
        <w:t>La population mondiale, qui a maintenant atteint</w:t>
      </w:r>
      <w:r w:rsidR="001278D6" w:rsidRPr="00B079A6">
        <w:rPr>
          <w:kern w:val="22"/>
          <w:szCs w:val="22"/>
          <w:lang w:val="fr-FR"/>
        </w:rPr>
        <w:t xml:space="preserve"> 7</w:t>
      </w:r>
      <w:r>
        <w:rPr>
          <w:kern w:val="22"/>
          <w:szCs w:val="22"/>
          <w:lang w:val="fr-FR"/>
        </w:rPr>
        <w:t>,</w:t>
      </w:r>
      <w:r w:rsidR="001278D6" w:rsidRPr="00B079A6">
        <w:rPr>
          <w:kern w:val="22"/>
          <w:szCs w:val="22"/>
          <w:lang w:val="fr-FR"/>
        </w:rPr>
        <w:t>6</w:t>
      </w:r>
      <w:r>
        <w:rPr>
          <w:kern w:val="22"/>
          <w:szCs w:val="22"/>
          <w:lang w:val="fr-FR"/>
        </w:rPr>
        <w:t xml:space="preserve"> milliards,</w:t>
      </w:r>
      <w:r w:rsidR="001278D6" w:rsidRPr="00B079A6">
        <w:rPr>
          <w:kern w:val="22"/>
          <w:szCs w:val="22"/>
          <w:lang w:val="fr-FR"/>
        </w:rPr>
        <w:t xml:space="preserve"> </w:t>
      </w:r>
      <w:r>
        <w:rPr>
          <w:kern w:val="22"/>
          <w:szCs w:val="22"/>
          <w:lang w:val="fr-FR"/>
        </w:rPr>
        <w:t xml:space="preserve">devrait atteindre </w:t>
      </w:r>
      <w:r w:rsidR="001278D6" w:rsidRPr="00B079A6">
        <w:rPr>
          <w:kern w:val="22"/>
          <w:szCs w:val="22"/>
          <w:lang w:val="fr-FR"/>
        </w:rPr>
        <w:t>8</w:t>
      </w:r>
      <w:r>
        <w:rPr>
          <w:kern w:val="22"/>
          <w:szCs w:val="22"/>
          <w:lang w:val="fr-FR"/>
        </w:rPr>
        <w:t>,</w:t>
      </w:r>
      <w:r w:rsidR="001278D6" w:rsidRPr="00B079A6">
        <w:rPr>
          <w:kern w:val="22"/>
          <w:szCs w:val="22"/>
          <w:lang w:val="fr-FR"/>
        </w:rPr>
        <w:t xml:space="preserve">6 </w:t>
      </w:r>
      <w:r>
        <w:rPr>
          <w:kern w:val="22"/>
          <w:szCs w:val="22"/>
          <w:lang w:val="fr-FR"/>
        </w:rPr>
        <w:t>milliards d’ici à 2030 et 9,8 milliards d’ici à 2050.</w:t>
      </w:r>
      <w:r w:rsidR="001278D6" w:rsidRPr="00B079A6">
        <w:rPr>
          <w:kern w:val="22"/>
          <w:szCs w:val="22"/>
          <w:lang w:val="fr-FR"/>
        </w:rPr>
        <w:t xml:space="preserve"> </w:t>
      </w:r>
      <w:r w:rsidR="005F107E">
        <w:rPr>
          <w:kern w:val="22"/>
          <w:szCs w:val="22"/>
          <w:lang w:val="fr-FR"/>
        </w:rPr>
        <w:t>Il devrait y avoir 43 villes de plus de 10 millions d’habitants d’ici à 2030 et d’ici ici à 2050, plus de 68% de la population humaine vivra dans des zones urbaines. Cette croissance démographique et urbanisation aura des conséquences sur la demande en ressources, y compris la nourriture, l’infrastructure et l’occupation des sols ;</w:t>
      </w:r>
      <w:r w:rsidR="001278D6" w:rsidRPr="00B079A6">
        <w:rPr>
          <w:kern w:val="22"/>
          <w:szCs w:val="22"/>
          <w:lang w:val="fr-FR"/>
        </w:rPr>
        <w:t> </w:t>
      </w:r>
    </w:p>
    <w:p w14:paraId="4348C416" w14:textId="578420B5" w:rsidR="001278D6" w:rsidRPr="006E0D05" w:rsidRDefault="00146825" w:rsidP="005A3C61">
      <w:pPr>
        <w:pStyle w:val="Para1"/>
        <w:numPr>
          <w:ilvl w:val="1"/>
          <w:numId w:val="6"/>
        </w:numPr>
        <w:rPr>
          <w:kern w:val="22"/>
          <w:szCs w:val="22"/>
          <w:lang w:val="fr-FR"/>
        </w:rPr>
      </w:pPr>
      <w:r>
        <w:rPr>
          <w:kern w:val="22"/>
          <w:szCs w:val="22"/>
          <w:lang w:val="fr-FR"/>
        </w:rPr>
        <w:t>Par rapport aux niveaux préindustriels</w:t>
      </w:r>
      <w:r w:rsidR="001278D6" w:rsidRPr="00B079A6">
        <w:rPr>
          <w:kern w:val="22"/>
          <w:szCs w:val="22"/>
          <w:lang w:val="fr-FR"/>
        </w:rPr>
        <w:t>,</w:t>
      </w:r>
      <w:r>
        <w:rPr>
          <w:kern w:val="22"/>
          <w:szCs w:val="22"/>
          <w:lang w:val="fr-FR"/>
        </w:rPr>
        <w:t xml:space="preserve"> on estime que les humains ont déjà causé un réchauffement de la planète</w:t>
      </w:r>
      <w:r w:rsidR="00E531C9">
        <w:rPr>
          <w:kern w:val="22"/>
          <w:szCs w:val="22"/>
          <w:lang w:val="fr-FR"/>
        </w:rPr>
        <w:t xml:space="preserve"> observé</w:t>
      </w:r>
      <w:r>
        <w:rPr>
          <w:kern w:val="22"/>
          <w:szCs w:val="22"/>
          <w:lang w:val="fr-FR"/>
        </w:rPr>
        <w:t xml:space="preserve"> de </w:t>
      </w:r>
      <w:r w:rsidR="001278D6" w:rsidRPr="00B079A6">
        <w:rPr>
          <w:kern w:val="22"/>
          <w:szCs w:val="22"/>
          <w:lang w:val="fr-FR"/>
        </w:rPr>
        <w:t xml:space="preserve">1°C. </w:t>
      </w:r>
      <w:r w:rsidR="00E531C9">
        <w:rPr>
          <w:kern w:val="22"/>
          <w:szCs w:val="22"/>
          <w:lang w:val="fr-FR"/>
        </w:rPr>
        <w:t xml:space="preserve">Si les tendances se maintiennent, ce réchauffement devrait se poursuivre pour atteindre </w:t>
      </w:r>
      <w:r w:rsidR="001278D6" w:rsidRPr="00B079A6">
        <w:rPr>
          <w:kern w:val="22"/>
          <w:szCs w:val="22"/>
          <w:lang w:val="fr-FR"/>
        </w:rPr>
        <w:t>1</w:t>
      </w:r>
      <w:r w:rsidR="00E531C9">
        <w:rPr>
          <w:kern w:val="22"/>
          <w:szCs w:val="22"/>
          <w:lang w:val="fr-FR"/>
        </w:rPr>
        <w:t>,</w:t>
      </w:r>
      <w:r w:rsidR="001278D6" w:rsidRPr="00B079A6">
        <w:rPr>
          <w:kern w:val="22"/>
          <w:szCs w:val="22"/>
          <w:lang w:val="fr-FR"/>
        </w:rPr>
        <w:t xml:space="preserve">5°C </w:t>
      </w:r>
      <w:r w:rsidR="00E531C9">
        <w:rPr>
          <w:kern w:val="22"/>
          <w:szCs w:val="22"/>
          <w:lang w:val="fr-FR"/>
        </w:rPr>
        <w:t>entre</w:t>
      </w:r>
      <w:r w:rsidR="001278D6" w:rsidRPr="00B079A6">
        <w:rPr>
          <w:kern w:val="22"/>
          <w:szCs w:val="22"/>
          <w:lang w:val="fr-FR"/>
        </w:rPr>
        <w:t xml:space="preserve"> 2030 </w:t>
      </w:r>
      <w:r w:rsidR="00E531C9">
        <w:rPr>
          <w:kern w:val="22"/>
          <w:szCs w:val="22"/>
          <w:lang w:val="fr-FR"/>
        </w:rPr>
        <w:t>et</w:t>
      </w:r>
      <w:r w:rsidR="001278D6" w:rsidRPr="00B079A6">
        <w:rPr>
          <w:kern w:val="22"/>
          <w:szCs w:val="22"/>
          <w:lang w:val="fr-FR"/>
        </w:rPr>
        <w:t xml:space="preserve"> </w:t>
      </w:r>
      <w:r w:rsidR="00475F76" w:rsidRPr="00B079A6">
        <w:rPr>
          <w:kern w:val="22"/>
          <w:szCs w:val="22"/>
          <w:lang w:val="fr-FR"/>
        </w:rPr>
        <w:t>2050</w:t>
      </w:r>
      <w:r w:rsidR="00E531C9">
        <w:rPr>
          <w:kern w:val="22"/>
          <w:szCs w:val="22"/>
          <w:lang w:val="fr-FR"/>
        </w:rPr>
        <w:t xml:space="preserve">. Afin de maintenir le réchauffement de la planète bien au-dessous de </w:t>
      </w:r>
      <w:r w:rsidR="001278D6" w:rsidRPr="00B079A6">
        <w:rPr>
          <w:kern w:val="22"/>
          <w:szCs w:val="22"/>
          <w:lang w:val="fr-FR"/>
        </w:rPr>
        <w:t>2°C</w:t>
      </w:r>
      <w:r w:rsidR="00E531C9">
        <w:rPr>
          <w:kern w:val="22"/>
          <w:szCs w:val="22"/>
          <w:lang w:val="fr-FR"/>
        </w:rPr>
        <w:t xml:space="preserve"> et le plus près possible de </w:t>
      </w:r>
      <w:r w:rsidR="006F2F19" w:rsidRPr="00B079A6">
        <w:rPr>
          <w:kern w:val="22"/>
          <w:szCs w:val="22"/>
          <w:lang w:val="fr-FR"/>
        </w:rPr>
        <w:t>1</w:t>
      </w:r>
      <w:r w:rsidR="00E531C9">
        <w:rPr>
          <w:kern w:val="22"/>
          <w:szCs w:val="22"/>
          <w:lang w:val="fr-FR"/>
        </w:rPr>
        <w:t>,</w:t>
      </w:r>
      <w:r w:rsidR="006F2F19" w:rsidRPr="00B079A6">
        <w:rPr>
          <w:kern w:val="22"/>
          <w:szCs w:val="22"/>
          <w:lang w:val="fr-FR"/>
        </w:rPr>
        <w:t>5°C</w:t>
      </w:r>
      <w:r w:rsidR="00E531C9">
        <w:rPr>
          <w:kern w:val="22"/>
          <w:szCs w:val="22"/>
          <w:lang w:val="fr-FR"/>
        </w:rPr>
        <w:t xml:space="preserve">, il sera nécessaire de mettre en œuvre un ensemble de </w:t>
      </w:r>
      <w:r w:rsidR="00E531C9">
        <w:rPr>
          <w:kern w:val="22"/>
          <w:szCs w:val="22"/>
          <w:lang w:val="fr-FR"/>
        </w:rPr>
        <w:lastRenderedPageBreak/>
        <w:t>mesures susceptibles d’avoir des conséquences négatives ou positives sur la biodiversité, selon les garanties mises en place ;</w:t>
      </w:r>
    </w:p>
    <w:p w14:paraId="5997546F" w14:textId="27063187" w:rsidR="001278D6" w:rsidRPr="00E531C9" w:rsidRDefault="00E531C9" w:rsidP="005A3C61">
      <w:pPr>
        <w:pStyle w:val="Para1"/>
        <w:numPr>
          <w:ilvl w:val="1"/>
          <w:numId w:val="6"/>
        </w:numPr>
        <w:rPr>
          <w:kern w:val="22"/>
          <w:szCs w:val="22"/>
          <w:lang w:val="fr-FR"/>
        </w:rPr>
      </w:pPr>
      <w:r w:rsidRPr="00E531C9">
        <w:rPr>
          <w:kern w:val="22"/>
          <w:szCs w:val="22"/>
          <w:lang w:val="fr-FR"/>
        </w:rPr>
        <w:t>L’innovation technologique et sociale</w:t>
      </w:r>
      <w:r w:rsidR="001278D6" w:rsidRPr="00E531C9">
        <w:rPr>
          <w:kern w:val="22"/>
          <w:szCs w:val="22"/>
          <w:lang w:val="fr-FR"/>
        </w:rPr>
        <w:t xml:space="preserve"> </w:t>
      </w:r>
      <w:r w:rsidR="00F73D11">
        <w:rPr>
          <w:kern w:val="22"/>
          <w:szCs w:val="22"/>
          <w:lang w:val="fr-FR"/>
        </w:rPr>
        <w:t>peut avoir des effets aussi bien nuisibles que positifs sur la biodiversité. Elle peut entraîner des améliorations dans l’efficacité de l’utilisation des ressources</w:t>
      </w:r>
      <w:r w:rsidR="00E33FF4">
        <w:rPr>
          <w:kern w:val="22"/>
          <w:szCs w:val="22"/>
          <w:lang w:val="fr-FR"/>
        </w:rPr>
        <w:t xml:space="preserve"> et de nouvelles solutions aux menaces qui pèsent sur la biodiversité. Cependant, il importe de mesurer soigneusement ces effets, afin de veiller à ce qu’ils ne soient pas accidentellement nuisibles en bloquant la société </w:t>
      </w:r>
      <w:r w:rsidR="00B024DA">
        <w:rPr>
          <w:kern w:val="22"/>
          <w:szCs w:val="22"/>
          <w:lang w:val="fr-FR"/>
        </w:rPr>
        <w:t>sur des voies</w:t>
      </w:r>
      <w:r w:rsidR="00E33FF4">
        <w:rPr>
          <w:kern w:val="22"/>
          <w:szCs w:val="22"/>
          <w:lang w:val="fr-FR"/>
        </w:rPr>
        <w:t xml:space="preserve"> de développement non durable</w:t>
      </w:r>
      <w:r w:rsidR="00B024DA">
        <w:rPr>
          <w:kern w:val="22"/>
          <w:szCs w:val="22"/>
          <w:lang w:val="fr-FR"/>
        </w:rPr>
        <w:t>s</w:t>
      </w:r>
      <w:r w:rsidR="00E33FF4">
        <w:rPr>
          <w:kern w:val="22"/>
          <w:szCs w:val="22"/>
          <w:lang w:val="fr-FR"/>
        </w:rPr>
        <w:t>, par exemple ;</w:t>
      </w:r>
      <w:r w:rsidR="001278D6" w:rsidRPr="00E531C9">
        <w:rPr>
          <w:kern w:val="22"/>
          <w:szCs w:val="22"/>
          <w:lang w:val="fr-FR"/>
        </w:rPr>
        <w:t> </w:t>
      </w:r>
    </w:p>
    <w:p w14:paraId="1D8F1B5D" w14:textId="75442E8C" w:rsidR="001278D6" w:rsidRPr="00E531C9" w:rsidRDefault="00E33FF4" w:rsidP="005A3C61">
      <w:pPr>
        <w:pStyle w:val="Para1"/>
        <w:numPr>
          <w:ilvl w:val="1"/>
          <w:numId w:val="6"/>
        </w:numPr>
        <w:rPr>
          <w:kern w:val="22"/>
          <w:szCs w:val="22"/>
          <w:lang w:val="fr-FR"/>
        </w:rPr>
      </w:pPr>
      <w:r>
        <w:rPr>
          <w:kern w:val="22"/>
          <w:szCs w:val="22"/>
          <w:lang w:val="fr-FR"/>
        </w:rPr>
        <w:t>Les systèmes naturels et</w:t>
      </w:r>
      <w:r w:rsidR="00B024DA">
        <w:rPr>
          <w:kern w:val="22"/>
          <w:szCs w:val="22"/>
          <w:lang w:val="fr-FR"/>
        </w:rPr>
        <w:t xml:space="preserve"> sociaux comportent des délais entre le moment où les mesures sont prises et celui où les changements deviennent </w:t>
      </w:r>
      <w:r w:rsidR="002847FB">
        <w:rPr>
          <w:kern w:val="22"/>
          <w:szCs w:val="22"/>
          <w:lang w:val="fr-FR"/>
        </w:rPr>
        <w:t>apparents. Ces délais doivent être pris en compte dans la conception des cibles et des mesures prises pour les atteindre ;</w:t>
      </w:r>
      <w:r w:rsidR="001278D6" w:rsidRPr="00E531C9">
        <w:rPr>
          <w:kern w:val="22"/>
          <w:szCs w:val="22"/>
          <w:lang w:val="fr-FR"/>
        </w:rPr>
        <w:t> </w:t>
      </w:r>
    </w:p>
    <w:p w14:paraId="16198DFD" w14:textId="60221A28" w:rsidR="001278D6" w:rsidRPr="00E531C9" w:rsidRDefault="002847FB" w:rsidP="005A3C61">
      <w:pPr>
        <w:pStyle w:val="Para1"/>
        <w:numPr>
          <w:ilvl w:val="1"/>
          <w:numId w:val="6"/>
        </w:numPr>
        <w:rPr>
          <w:kern w:val="22"/>
          <w:szCs w:val="22"/>
          <w:lang w:val="fr-FR"/>
        </w:rPr>
      </w:pPr>
      <w:r>
        <w:rPr>
          <w:kern w:val="22"/>
          <w:szCs w:val="22"/>
          <w:lang w:val="fr-FR"/>
        </w:rPr>
        <w:t>Les</w:t>
      </w:r>
      <w:r w:rsidR="00F51EC7">
        <w:rPr>
          <w:kern w:val="22"/>
          <w:szCs w:val="22"/>
          <w:lang w:val="fr-FR"/>
        </w:rPr>
        <w:t xml:space="preserve"> vastes changements requis pour atteindre la Vision 2050 nécessiteront un degré de collaboration sans précédent et la participation de toute la société.</w:t>
      </w:r>
    </w:p>
    <w:p w14:paraId="6D68D629" w14:textId="4636E750" w:rsidR="001278D6" w:rsidRPr="00E531C9" w:rsidRDefault="00F51EC7" w:rsidP="009F6D3C">
      <w:pPr>
        <w:pStyle w:val="Para1"/>
        <w:numPr>
          <w:ilvl w:val="0"/>
          <w:numId w:val="6"/>
        </w:numPr>
        <w:tabs>
          <w:tab w:val="clear" w:pos="360"/>
        </w:tabs>
        <w:rPr>
          <w:kern w:val="22"/>
          <w:szCs w:val="22"/>
          <w:lang w:val="fr-FR"/>
        </w:rPr>
      </w:pPr>
      <w:r>
        <w:rPr>
          <w:kern w:val="22"/>
          <w:szCs w:val="22"/>
          <w:lang w:val="fr-FR"/>
        </w:rPr>
        <w:t xml:space="preserve">Le Programme de développement durable à l’horizon </w:t>
      </w:r>
      <w:r w:rsidR="001278D6" w:rsidRPr="00E531C9">
        <w:rPr>
          <w:kern w:val="22"/>
          <w:szCs w:val="22"/>
          <w:lang w:val="fr-FR"/>
        </w:rPr>
        <w:t>2030</w:t>
      </w:r>
      <w:r>
        <w:rPr>
          <w:kern w:val="22"/>
          <w:szCs w:val="22"/>
          <w:lang w:val="fr-FR"/>
        </w:rPr>
        <w:t>, programme mondial d’action pour la population humaine, la planète et la prospérité, sera mis en œuvre en même temps que le cadre, créant des possibilités de synergies, mais aussi la nécessité de justifier et d’équilibrer les compromis.</w:t>
      </w:r>
    </w:p>
    <w:p w14:paraId="69ECC606" w14:textId="636EFD38" w:rsidR="001278D6" w:rsidRPr="00E531C9" w:rsidRDefault="004813D7" w:rsidP="005A3C61">
      <w:pPr>
        <w:pStyle w:val="Para1"/>
        <w:numPr>
          <w:ilvl w:val="0"/>
          <w:numId w:val="6"/>
        </w:numPr>
        <w:tabs>
          <w:tab w:val="clear" w:pos="360"/>
        </w:tabs>
        <w:rPr>
          <w:kern w:val="22"/>
          <w:szCs w:val="22"/>
          <w:lang w:val="fr-FR"/>
        </w:rPr>
      </w:pPr>
      <w:r>
        <w:rPr>
          <w:kern w:val="22"/>
          <w:szCs w:val="22"/>
          <w:lang w:val="fr-FR"/>
        </w:rPr>
        <w:t xml:space="preserve">Le succès de la mise en œuvre du cadre dépendra des enseignements tirés des expériences, des succès et des problèmes passés, y compris la mise en œuvre des Objectifs d’Aichi pour la biodiversité et du Plan stratégique pour la diversité biologique </w:t>
      </w:r>
      <w:r w:rsidR="0048624E" w:rsidRPr="00E531C9">
        <w:rPr>
          <w:kern w:val="22"/>
          <w:szCs w:val="22"/>
          <w:lang w:val="fr-FR"/>
        </w:rPr>
        <w:t>2011-2020</w:t>
      </w:r>
      <w:r w:rsidR="00BC24DD" w:rsidRPr="00E531C9">
        <w:rPr>
          <w:kern w:val="22"/>
          <w:szCs w:val="22"/>
          <w:lang w:val="fr-FR"/>
        </w:rPr>
        <w:t xml:space="preserve">. </w:t>
      </w:r>
      <w:r>
        <w:rPr>
          <w:kern w:val="22"/>
          <w:szCs w:val="22"/>
          <w:lang w:val="fr-FR"/>
        </w:rPr>
        <w:t>Les principales expériences sont les suivantes :</w:t>
      </w:r>
      <w:r w:rsidR="001278D6" w:rsidRPr="00E531C9">
        <w:rPr>
          <w:kern w:val="22"/>
          <w:szCs w:val="22"/>
          <w:lang w:val="fr-FR"/>
        </w:rPr>
        <w:t> </w:t>
      </w:r>
    </w:p>
    <w:p w14:paraId="3B75BA02" w14:textId="59BEE0A1" w:rsidR="001278D6" w:rsidRPr="00E531C9" w:rsidRDefault="004813D7" w:rsidP="005A3C61">
      <w:pPr>
        <w:pStyle w:val="Para1"/>
        <w:numPr>
          <w:ilvl w:val="1"/>
          <w:numId w:val="6"/>
        </w:numPr>
        <w:rPr>
          <w:kern w:val="22"/>
          <w:szCs w:val="22"/>
          <w:lang w:val="fr-FR"/>
        </w:rPr>
      </w:pPr>
      <w:r>
        <w:rPr>
          <w:kern w:val="22"/>
          <w:szCs w:val="22"/>
          <w:lang w:val="fr-FR"/>
        </w:rPr>
        <w:t>Continuer de concentrer les efforts sur l’objectif final d’atteindre la Vision 2050 et veiller à ce que les mesures prises soient à la mesure de celle-ci ;</w:t>
      </w:r>
      <w:r w:rsidR="001278D6" w:rsidRPr="00E531C9">
        <w:rPr>
          <w:kern w:val="22"/>
          <w:szCs w:val="22"/>
          <w:lang w:val="fr-FR"/>
        </w:rPr>
        <w:t> </w:t>
      </w:r>
    </w:p>
    <w:p w14:paraId="2E6DB2CC" w14:textId="76A8CF38" w:rsidR="001278D6" w:rsidRPr="00E531C9" w:rsidRDefault="004813D7" w:rsidP="005A3C61">
      <w:pPr>
        <w:pStyle w:val="Para1"/>
        <w:numPr>
          <w:ilvl w:val="1"/>
          <w:numId w:val="6"/>
        </w:numPr>
        <w:rPr>
          <w:kern w:val="22"/>
          <w:szCs w:val="22"/>
          <w:lang w:val="fr-FR"/>
        </w:rPr>
      </w:pPr>
      <w:r>
        <w:rPr>
          <w:kern w:val="22"/>
          <w:szCs w:val="22"/>
          <w:lang w:val="fr-FR"/>
        </w:rPr>
        <w:t>Redoubler d’efforts pour gérer les facteurs de perte de biodiversité ;</w:t>
      </w:r>
    </w:p>
    <w:p w14:paraId="41710E4E" w14:textId="1E447FC9" w:rsidR="001278D6" w:rsidRPr="00E531C9" w:rsidRDefault="004813D7" w:rsidP="005A3C61">
      <w:pPr>
        <w:pStyle w:val="Para1"/>
        <w:numPr>
          <w:ilvl w:val="1"/>
          <w:numId w:val="6"/>
        </w:numPr>
        <w:rPr>
          <w:kern w:val="22"/>
          <w:szCs w:val="22"/>
          <w:lang w:val="fr-FR"/>
        </w:rPr>
      </w:pPr>
      <w:r>
        <w:rPr>
          <w:kern w:val="22"/>
          <w:szCs w:val="22"/>
          <w:lang w:val="fr-FR"/>
        </w:rPr>
        <w:t>Renforcer les efforts déployés au niveau national</w:t>
      </w:r>
      <w:r w:rsidR="001278D6" w:rsidRPr="00E531C9">
        <w:rPr>
          <w:kern w:val="22"/>
          <w:szCs w:val="22"/>
          <w:lang w:val="fr-FR"/>
        </w:rPr>
        <w:t xml:space="preserve"> </w:t>
      </w:r>
      <w:r w:rsidR="003528A3">
        <w:rPr>
          <w:kern w:val="22"/>
          <w:szCs w:val="22"/>
          <w:lang w:val="fr-FR"/>
        </w:rPr>
        <w:t>pour la mise en œuvre</w:t>
      </w:r>
      <w:r w:rsidR="001278D6" w:rsidRPr="00E531C9">
        <w:rPr>
          <w:kern w:val="22"/>
          <w:szCs w:val="22"/>
          <w:lang w:val="fr-FR"/>
        </w:rPr>
        <w:t xml:space="preserve">, </w:t>
      </w:r>
      <w:r w:rsidR="003528A3">
        <w:rPr>
          <w:kern w:val="22"/>
          <w:szCs w:val="22"/>
          <w:lang w:val="fr-FR"/>
        </w:rPr>
        <w:t>y compris le rôle des stratégies et plans d’action nationaux pour la diversité biologique et les processus de planification, de notification et d’évaluation connexes, et veiller à ce que les cibles ou engagements nationaux soient à la mesure des objectifs</w:t>
      </w:r>
      <w:r w:rsidR="00BD5936">
        <w:rPr>
          <w:kern w:val="22"/>
          <w:szCs w:val="22"/>
          <w:lang w:val="fr-FR"/>
        </w:rPr>
        <w:t xml:space="preserve"> mondiaux ;</w:t>
      </w:r>
      <w:r w:rsidR="001278D6" w:rsidRPr="00E531C9">
        <w:rPr>
          <w:kern w:val="22"/>
          <w:szCs w:val="22"/>
          <w:lang w:val="fr-FR"/>
        </w:rPr>
        <w:t> </w:t>
      </w:r>
    </w:p>
    <w:p w14:paraId="293EAA24" w14:textId="5220C943" w:rsidR="001278D6" w:rsidRPr="00E531C9" w:rsidRDefault="001278D6" w:rsidP="005A3C61">
      <w:pPr>
        <w:pStyle w:val="Para1"/>
        <w:numPr>
          <w:ilvl w:val="1"/>
          <w:numId w:val="6"/>
        </w:numPr>
        <w:rPr>
          <w:kern w:val="22"/>
          <w:szCs w:val="22"/>
          <w:lang w:val="fr-FR"/>
        </w:rPr>
      </w:pPr>
      <w:r w:rsidRPr="00E531C9">
        <w:rPr>
          <w:kern w:val="22"/>
          <w:szCs w:val="22"/>
          <w:lang w:val="fr-FR"/>
        </w:rPr>
        <w:t>R</w:t>
      </w:r>
      <w:r w:rsidR="00BD5936">
        <w:rPr>
          <w:kern w:val="22"/>
          <w:szCs w:val="22"/>
          <w:lang w:val="fr-FR"/>
        </w:rPr>
        <w:t xml:space="preserve">éduire les délais dans la planification, </w:t>
      </w:r>
      <w:r w:rsidR="00E138FC">
        <w:rPr>
          <w:kern w:val="22"/>
          <w:szCs w:val="22"/>
          <w:lang w:val="fr-FR"/>
        </w:rPr>
        <w:t>en tenir compte</w:t>
      </w:r>
      <w:r w:rsidR="00BD5936">
        <w:rPr>
          <w:kern w:val="22"/>
          <w:szCs w:val="22"/>
          <w:lang w:val="fr-FR"/>
        </w:rPr>
        <w:t xml:space="preserve"> dans la mise en œuvre et assurer l’efficacité des évaluations de l’état d’avancement ;</w:t>
      </w:r>
      <w:r w:rsidRPr="00E531C9">
        <w:rPr>
          <w:kern w:val="22"/>
          <w:szCs w:val="22"/>
          <w:lang w:val="fr-FR"/>
        </w:rPr>
        <w:t> </w:t>
      </w:r>
    </w:p>
    <w:p w14:paraId="6411FED1" w14:textId="21DA5C3A" w:rsidR="001278D6" w:rsidRPr="00E531C9" w:rsidRDefault="00BD5936" w:rsidP="005A3C61">
      <w:pPr>
        <w:pStyle w:val="Para1"/>
        <w:numPr>
          <w:ilvl w:val="1"/>
          <w:numId w:val="6"/>
        </w:numPr>
        <w:rPr>
          <w:kern w:val="22"/>
          <w:szCs w:val="22"/>
          <w:lang w:val="fr-FR"/>
        </w:rPr>
      </w:pPr>
      <w:r>
        <w:rPr>
          <w:kern w:val="22"/>
          <w:szCs w:val="22"/>
          <w:lang w:val="fr-FR"/>
        </w:rPr>
        <w:t>Veiller à ce que les moyens de mise en œuvre soient en place, notamment les ressources financières, le renforcement des capacités et un appui ciblé et soutenu aux Parties ;</w:t>
      </w:r>
      <w:r w:rsidR="001278D6" w:rsidRPr="00E531C9">
        <w:rPr>
          <w:kern w:val="22"/>
          <w:szCs w:val="22"/>
          <w:lang w:val="fr-FR"/>
        </w:rPr>
        <w:t> </w:t>
      </w:r>
    </w:p>
    <w:p w14:paraId="21698CAB" w14:textId="7F859737" w:rsidR="001278D6" w:rsidRPr="00E531C9" w:rsidRDefault="00BD5936" w:rsidP="005A3C61">
      <w:pPr>
        <w:pStyle w:val="Para1"/>
        <w:numPr>
          <w:ilvl w:val="1"/>
          <w:numId w:val="6"/>
        </w:numPr>
        <w:rPr>
          <w:kern w:val="22"/>
          <w:szCs w:val="22"/>
          <w:lang w:val="fr-FR"/>
        </w:rPr>
      </w:pPr>
      <w:r>
        <w:rPr>
          <w:kern w:val="22"/>
          <w:szCs w:val="22"/>
          <w:lang w:val="fr-FR"/>
        </w:rPr>
        <w:t xml:space="preserve">S’assurer que la mise en œuvre est participative, </w:t>
      </w:r>
      <w:r w:rsidR="006E61A1">
        <w:rPr>
          <w:kern w:val="22"/>
          <w:szCs w:val="22"/>
          <w:lang w:val="fr-FR"/>
        </w:rPr>
        <w:t>inclusive</w:t>
      </w:r>
      <w:r>
        <w:rPr>
          <w:kern w:val="22"/>
          <w:szCs w:val="22"/>
          <w:lang w:val="fr-FR"/>
        </w:rPr>
        <w:t>,</w:t>
      </w:r>
      <w:r w:rsidRPr="00663464">
        <w:rPr>
          <w:iCs/>
          <w:kern w:val="22"/>
          <w:szCs w:val="22"/>
          <w:lang w:val="fr-FR"/>
        </w:rPr>
        <w:t xml:space="preserve"> sensible </w:t>
      </w:r>
      <w:r>
        <w:rPr>
          <w:iCs/>
          <w:kern w:val="22"/>
          <w:szCs w:val="22"/>
          <w:lang w:val="fr-FR"/>
        </w:rPr>
        <w:t>à la problématique femmes-hommes</w:t>
      </w:r>
      <w:r w:rsidRPr="00663464">
        <w:rPr>
          <w:iCs/>
          <w:kern w:val="22"/>
          <w:szCs w:val="22"/>
          <w:lang w:val="fr-FR"/>
        </w:rPr>
        <w:t>, transformat</w:t>
      </w:r>
      <w:r w:rsidR="006E61A1">
        <w:rPr>
          <w:iCs/>
          <w:kern w:val="22"/>
          <w:szCs w:val="22"/>
          <w:lang w:val="fr-FR"/>
        </w:rPr>
        <w:t>rice</w:t>
      </w:r>
      <w:r w:rsidRPr="00663464">
        <w:rPr>
          <w:iCs/>
          <w:kern w:val="22"/>
          <w:szCs w:val="22"/>
          <w:lang w:val="fr-FR"/>
        </w:rPr>
        <w:t>, exhausti</w:t>
      </w:r>
      <w:r w:rsidR="006E61A1">
        <w:rPr>
          <w:iCs/>
          <w:kern w:val="22"/>
          <w:szCs w:val="22"/>
          <w:lang w:val="fr-FR"/>
        </w:rPr>
        <w:t>ve</w:t>
      </w:r>
      <w:r w:rsidRPr="00663464">
        <w:rPr>
          <w:iCs/>
          <w:kern w:val="22"/>
          <w:szCs w:val="22"/>
          <w:lang w:val="fr-FR"/>
        </w:rPr>
        <w:t>, cataly</w:t>
      </w:r>
      <w:r w:rsidR="006E61A1">
        <w:rPr>
          <w:iCs/>
          <w:kern w:val="22"/>
          <w:szCs w:val="22"/>
          <w:lang w:val="fr-FR"/>
        </w:rPr>
        <w:t>tique</w:t>
      </w:r>
      <w:r w:rsidRPr="00663464">
        <w:rPr>
          <w:iCs/>
          <w:kern w:val="22"/>
          <w:szCs w:val="22"/>
          <w:lang w:val="fr-FR"/>
        </w:rPr>
        <w:t xml:space="preserve">, </w:t>
      </w:r>
      <w:r w:rsidR="006E61A1">
        <w:rPr>
          <w:iCs/>
          <w:kern w:val="22"/>
          <w:szCs w:val="22"/>
          <w:lang w:val="fr-FR"/>
        </w:rPr>
        <w:t>visible, fondée sur les connaissances, transparente, efficace, axée sur les résultats, itérative et souple ;</w:t>
      </w:r>
    </w:p>
    <w:p w14:paraId="69462F72" w14:textId="7A4810E8" w:rsidR="001278D6" w:rsidRPr="00E531C9" w:rsidRDefault="006E61A1" w:rsidP="005A3C61">
      <w:pPr>
        <w:pStyle w:val="Para1"/>
        <w:numPr>
          <w:ilvl w:val="1"/>
          <w:numId w:val="6"/>
        </w:numPr>
        <w:rPr>
          <w:kern w:val="22"/>
          <w:szCs w:val="22"/>
          <w:lang w:val="fr-FR"/>
        </w:rPr>
      </w:pPr>
      <w:r>
        <w:rPr>
          <w:kern w:val="22"/>
          <w:szCs w:val="22"/>
          <w:lang w:val="fr-FR"/>
        </w:rPr>
        <w:t>Assurer un suivi, une évaluation et des informations en retour réguliers des progrès accomplis dans la réalisation de tous les éléments du cadre, y compris les mesures prises, leur efficacité</w:t>
      </w:r>
      <w:r w:rsidR="00292622">
        <w:rPr>
          <w:kern w:val="22"/>
          <w:szCs w:val="22"/>
          <w:lang w:val="fr-FR"/>
        </w:rPr>
        <w:t xml:space="preserve"> et les changements dans les conditions biologiques, sociales et économiques qui en résultent ;</w:t>
      </w:r>
    </w:p>
    <w:p w14:paraId="44971283" w14:textId="42816033" w:rsidR="00B56FDA" w:rsidRPr="00E531C9" w:rsidRDefault="00292622" w:rsidP="005A3C61">
      <w:pPr>
        <w:pStyle w:val="Para1"/>
        <w:numPr>
          <w:ilvl w:val="1"/>
          <w:numId w:val="6"/>
        </w:numPr>
        <w:rPr>
          <w:kern w:val="22"/>
          <w:szCs w:val="22"/>
          <w:lang w:val="fr-FR"/>
        </w:rPr>
      </w:pPr>
      <w:r>
        <w:rPr>
          <w:kern w:val="22"/>
          <w:szCs w:val="22"/>
          <w:lang w:val="fr-FR"/>
        </w:rPr>
        <w:t>Veiller à ce que la mobilisation des ressources soit à la mesure de l’ambition ;</w:t>
      </w:r>
    </w:p>
    <w:p w14:paraId="72AE0D38" w14:textId="688AB241" w:rsidR="001F54C9" w:rsidRPr="006E0D05" w:rsidRDefault="00292622" w:rsidP="001919C1">
      <w:pPr>
        <w:pStyle w:val="Para1"/>
        <w:numPr>
          <w:ilvl w:val="1"/>
          <w:numId w:val="6"/>
        </w:numPr>
        <w:rPr>
          <w:kern w:val="22"/>
          <w:szCs w:val="22"/>
          <w:lang w:val="fr-FR"/>
        </w:rPr>
      </w:pPr>
      <w:r>
        <w:rPr>
          <w:kern w:val="22"/>
          <w:szCs w:val="22"/>
          <w:lang w:val="fr-FR"/>
        </w:rPr>
        <w:t>Intégrer la biodiversité dans tous les secteurs de la société, en mettant l’accent sur l’engagement des secteurs qui seront responsables de la mise en œuvre des mesures propres à gérer les facteurs de perte de biodiversité.</w:t>
      </w:r>
    </w:p>
    <w:p w14:paraId="1A3E112F" w14:textId="78257586" w:rsidR="001F54C9" w:rsidRPr="00390F97" w:rsidRDefault="001F54C9" w:rsidP="001919C1">
      <w:pPr>
        <w:pStyle w:val="Heading1"/>
        <w:numPr>
          <w:ilvl w:val="0"/>
          <w:numId w:val="5"/>
        </w:numPr>
        <w:ind w:left="1077"/>
        <w:rPr>
          <w:iCs/>
          <w:snapToGrid w:val="0"/>
          <w:kern w:val="22"/>
        </w:rPr>
      </w:pPr>
      <w:r w:rsidRPr="00390F97">
        <w:rPr>
          <w:iCs/>
          <w:snapToGrid w:val="0"/>
          <w:kern w:val="22"/>
        </w:rPr>
        <w:t>INTRODUCTION</w:t>
      </w:r>
      <w:r w:rsidR="00292622">
        <w:rPr>
          <w:iCs/>
          <w:snapToGrid w:val="0"/>
          <w:kern w:val="22"/>
        </w:rPr>
        <w:t xml:space="preserve"> </w:t>
      </w:r>
      <w:r w:rsidR="003E1A4C">
        <w:rPr>
          <w:iCs/>
          <w:snapToGrid w:val="0"/>
          <w:kern w:val="22"/>
        </w:rPr>
        <w:t>À l’avant-projet</w:t>
      </w:r>
    </w:p>
    <w:p w14:paraId="5A260B05" w14:textId="6CB1A935" w:rsidR="004E7574" w:rsidRPr="003E1A4C" w:rsidRDefault="003E1A4C" w:rsidP="001F54C9">
      <w:pPr>
        <w:pStyle w:val="Para1"/>
        <w:numPr>
          <w:ilvl w:val="0"/>
          <w:numId w:val="6"/>
        </w:numPr>
        <w:tabs>
          <w:tab w:val="clear" w:pos="360"/>
        </w:tabs>
        <w:rPr>
          <w:kern w:val="22"/>
          <w:szCs w:val="22"/>
          <w:lang w:val="fr-FR"/>
        </w:rPr>
      </w:pPr>
      <w:r w:rsidRPr="003E1A4C">
        <w:rPr>
          <w:kern w:val="22"/>
          <w:szCs w:val="22"/>
          <w:lang w:val="fr-FR"/>
        </w:rPr>
        <w:t>L’avant-projet du cadre mondial de la biodiversité pour l’après-2020 a été élaboré en gardant à l’esprit les points suivants:</w:t>
      </w:r>
    </w:p>
    <w:p w14:paraId="00819B95" w14:textId="5536087B" w:rsidR="001919C1" w:rsidRPr="003E1A4C" w:rsidRDefault="0011249C" w:rsidP="009855A4">
      <w:pPr>
        <w:pStyle w:val="Para1"/>
        <w:numPr>
          <w:ilvl w:val="1"/>
          <w:numId w:val="6"/>
        </w:numPr>
        <w:rPr>
          <w:kern w:val="22"/>
          <w:szCs w:val="22"/>
          <w:lang w:val="fr-FR"/>
        </w:rPr>
      </w:pPr>
      <w:r>
        <w:rPr>
          <w:kern w:val="22"/>
          <w:szCs w:val="22"/>
          <w:lang w:val="fr-FR"/>
        </w:rPr>
        <w:lastRenderedPageBreak/>
        <w:t xml:space="preserve">Afin de veiller à ce que l’ensemble des objectifs et des cibles de l’avant-projet de cadre soit formulé de manière concise, dans un langage relativement simple, et que leur nombre soit limité, chaque objectif et cible est accompagné d’une rubrique </w:t>
      </w:r>
      <w:r w:rsidR="00163856">
        <w:rPr>
          <w:kern w:val="22"/>
          <w:szCs w:val="22"/>
          <w:lang w:val="fr-FR"/>
        </w:rPr>
        <w:t>dans un avant-projet de cadre de suivi</w:t>
      </w:r>
      <w:r w:rsidR="00E63B55" w:rsidRPr="0046540F">
        <w:rPr>
          <w:rStyle w:val="FootnoteReference"/>
          <w:kern w:val="22"/>
          <w:sz w:val="22"/>
          <w:szCs w:val="22"/>
          <w:u w:val="none"/>
          <w:vertAlign w:val="superscript"/>
          <w:lang w:val="fr-FR"/>
        </w:rPr>
        <w:footnoteReference w:id="7"/>
      </w:r>
      <w:r w:rsidR="00163856">
        <w:rPr>
          <w:kern w:val="22"/>
          <w:szCs w:val="22"/>
          <w:lang w:val="fr-FR"/>
        </w:rPr>
        <w:t xml:space="preserve"> qui précise les éléments qui doivent être pris en compte dans la mise en œuvre de chaque objectif ou cible. Il comprend également une liste préliminaire des indicateurs qui peuvent être utilisés pour évaluer les progrès accomplis dans la réalisation des objectifs et de leurs cibles, ce en réponse à la demande faite par l’Organe subsidiaire chargé de fournir des avis scientifiques, techniques et technologiques dans la recommandation </w:t>
      </w:r>
      <w:r w:rsidR="009855A4" w:rsidRPr="003E1A4C">
        <w:rPr>
          <w:kern w:val="22"/>
          <w:szCs w:val="22"/>
          <w:lang w:val="fr-FR"/>
        </w:rPr>
        <w:t xml:space="preserve">23/1, </w:t>
      </w:r>
      <w:r w:rsidR="00163856">
        <w:rPr>
          <w:kern w:val="22"/>
          <w:szCs w:val="22"/>
          <w:lang w:val="fr-FR"/>
        </w:rPr>
        <w:t>d’inclure des informations sur la disponibilité d’indicateurs pour les cibles incluses dans l’avant-projet de cadre mondial de la biodiversité pour l’après-2020 ;</w:t>
      </w:r>
      <w:r w:rsidR="009855A4" w:rsidRPr="003E1A4C">
        <w:rPr>
          <w:kern w:val="22"/>
          <w:szCs w:val="22"/>
          <w:lang w:val="fr-FR"/>
        </w:rPr>
        <w:t xml:space="preserve"> </w:t>
      </w:r>
    </w:p>
    <w:p w14:paraId="073A51AA" w14:textId="4C0D6FAE" w:rsidR="009855A4" w:rsidRPr="003E1A4C" w:rsidRDefault="00163856" w:rsidP="009855A4">
      <w:pPr>
        <w:pStyle w:val="Para1"/>
        <w:numPr>
          <w:ilvl w:val="1"/>
          <w:numId w:val="6"/>
        </w:numPr>
        <w:rPr>
          <w:kern w:val="22"/>
          <w:szCs w:val="22"/>
          <w:lang w:val="fr-FR"/>
        </w:rPr>
      </w:pPr>
      <w:r>
        <w:rPr>
          <w:kern w:val="22"/>
          <w:szCs w:val="22"/>
          <w:lang w:val="fr-FR"/>
        </w:rPr>
        <w:t>Lorsque les objectifs et les cibles du cadre comportent des nombres ou des pourcentages, ceux-ci sont placés entre crochets. La</w:t>
      </w:r>
      <w:r w:rsidR="00000997">
        <w:rPr>
          <w:kern w:val="22"/>
          <w:szCs w:val="22"/>
          <w:lang w:val="fr-FR"/>
        </w:rPr>
        <w:t xml:space="preserve"> détermination finale des chiffres dans le cadre sera éclairée par les consultations et les travaux scientifiques en cours, ainsi que les délibérations de l’Organe subsidiaire chargé de fournir des avis scientifiques, techniques et technologiques à sa vingt-quatrième réunion</w:t>
      </w:r>
      <w:r w:rsidR="00527DC6">
        <w:rPr>
          <w:kern w:val="22"/>
          <w:szCs w:val="22"/>
          <w:lang w:val="fr-FR"/>
        </w:rPr>
        <w:t> ;</w:t>
      </w:r>
    </w:p>
    <w:p w14:paraId="635B9284" w14:textId="57CBD8A3" w:rsidR="004E7574" w:rsidRPr="003E1A4C" w:rsidRDefault="00D50132" w:rsidP="005A3C61">
      <w:pPr>
        <w:pStyle w:val="Para1"/>
        <w:numPr>
          <w:ilvl w:val="1"/>
          <w:numId w:val="6"/>
        </w:numPr>
        <w:rPr>
          <w:kern w:val="22"/>
          <w:szCs w:val="22"/>
          <w:lang w:val="fr-FR"/>
        </w:rPr>
      </w:pPr>
      <w:r>
        <w:rPr>
          <w:kern w:val="22"/>
          <w:szCs w:val="22"/>
          <w:lang w:val="fr-FR"/>
        </w:rPr>
        <w:t>Conformément au mandat qui lui a été conféré par la Conférence des Parties à sa quatorzième réunion</w:t>
      </w:r>
      <w:r w:rsidR="00CC1F38" w:rsidRPr="0046540F">
        <w:rPr>
          <w:rStyle w:val="FootnoteReference"/>
          <w:kern w:val="22"/>
          <w:sz w:val="22"/>
          <w:szCs w:val="22"/>
          <w:u w:val="none"/>
          <w:vertAlign w:val="superscript"/>
          <w:lang w:val="fr-FR"/>
        </w:rPr>
        <w:footnoteReference w:id="8"/>
      </w:r>
      <w:r>
        <w:rPr>
          <w:kern w:val="22"/>
          <w:szCs w:val="22"/>
          <w:lang w:val="fr-FR"/>
        </w:rPr>
        <w:t>, le cadre mondial de la biodiversité pour l’après-2020 est destiné à être utilisé non seulement dans le cadre de la Convention sur la diversité biologique et ses protocoles, mais aussi</w:t>
      </w:r>
      <w:r w:rsidR="00CC01DA">
        <w:rPr>
          <w:kern w:val="22"/>
          <w:szCs w:val="22"/>
          <w:lang w:val="fr-FR"/>
        </w:rPr>
        <w:t xml:space="preserve"> pour les autres conventions relatives à la biodiversité et les conventions de Rio, les autres accords multilatéraux sur l’environnement, d’autres processus et instruments internationaux et l’ensemble de la communauté internationale ;</w:t>
      </w:r>
      <w:r w:rsidR="004E7574" w:rsidRPr="003E1A4C">
        <w:rPr>
          <w:kern w:val="22"/>
          <w:szCs w:val="22"/>
          <w:lang w:val="fr-FR"/>
        </w:rPr>
        <w:t xml:space="preserve"> </w:t>
      </w:r>
    </w:p>
    <w:p w14:paraId="4B10BA4A" w14:textId="6F7C2F92" w:rsidR="004E7574" w:rsidRPr="003E1A4C" w:rsidRDefault="00CC01DA" w:rsidP="000D77C4">
      <w:pPr>
        <w:pStyle w:val="ListParagraph"/>
        <w:numPr>
          <w:ilvl w:val="1"/>
          <w:numId w:val="6"/>
        </w:numPr>
        <w:spacing w:before="120" w:after="120"/>
        <w:contextualSpacing w:val="0"/>
        <w:rPr>
          <w:kern w:val="22"/>
          <w:lang w:val="fr-FR"/>
        </w:rPr>
      </w:pPr>
      <w:r>
        <w:rPr>
          <w:kern w:val="22"/>
          <w:szCs w:val="22"/>
          <w:lang w:val="fr-FR"/>
        </w:rPr>
        <w:t xml:space="preserve">Il est envisagé que le cadre sera accompagné d’une décision de la Conférence des Parties qui mettra en vigueur son application </w:t>
      </w:r>
      <w:r w:rsidR="00BA08B6">
        <w:rPr>
          <w:kern w:val="22"/>
          <w:szCs w:val="22"/>
          <w:lang w:val="fr-FR"/>
        </w:rPr>
        <w:t>aux termes de la Convention. Une telle décision pourrait par exemple adopter le cadre et inclure des obligations en matière de rapports, d’examen et de moyens des mise en œuvre. Un avant-projet d’une telle décision est présenté à l’annexe II à titre d’exemple. Des décisions complémentaires de la Conférence des Parties pourraient couvrir des aspects connexes, tels que la mobilisation des ressources, le renforcement des capacités et l</w:t>
      </w:r>
      <w:r w:rsidR="00F521CB">
        <w:rPr>
          <w:kern w:val="22"/>
          <w:szCs w:val="22"/>
          <w:lang w:val="fr-FR"/>
        </w:rPr>
        <w:t>’approche stratégique à long terme de l’intégration, entre autres, ainsi que des sujets connexes tels que l’information de séquençage numérique ;</w:t>
      </w:r>
      <w:r w:rsidR="004E7574" w:rsidRPr="003E1A4C">
        <w:rPr>
          <w:kern w:val="22"/>
          <w:szCs w:val="22"/>
          <w:lang w:val="fr-FR"/>
        </w:rPr>
        <w:t xml:space="preserve"> </w:t>
      </w:r>
    </w:p>
    <w:p w14:paraId="5BC7936E" w14:textId="6C83DBC7" w:rsidR="001919C1" w:rsidRPr="003E1A4C" w:rsidRDefault="00F521CB" w:rsidP="001919C1">
      <w:pPr>
        <w:pStyle w:val="Para1"/>
        <w:numPr>
          <w:ilvl w:val="1"/>
          <w:numId w:val="6"/>
        </w:numPr>
        <w:rPr>
          <w:kern w:val="22"/>
          <w:szCs w:val="22"/>
          <w:lang w:val="fr-FR"/>
        </w:rPr>
      </w:pPr>
      <w:r>
        <w:rPr>
          <w:kern w:val="22"/>
          <w:szCs w:val="22"/>
          <w:lang w:val="fr-FR"/>
        </w:rPr>
        <w:t xml:space="preserve">Il est aussi envisagé que la Conférence des Parties siégeant en tant que réunion des Parties au Protocole de Cartagena sur la prévention des risques biotechnologique et que la Conférence des Parties siégeant en tant que réunion des Parties au Protocole de Nagoya sur l’accès aux ressources génétiques et le partage juste et équitable des avantages découlant de leur utilisation pourraient approuver le cadre et formuler des demandes additionnelles à leurs Parties respectives. La réunion des Parties au Protocole de Cartagena pourrait également adopter le </w:t>
      </w:r>
      <w:r w:rsidR="000F7E08">
        <w:rPr>
          <w:kern w:val="22"/>
          <w:szCs w:val="22"/>
          <w:lang w:val="fr-FR"/>
        </w:rPr>
        <w:t>p</w:t>
      </w:r>
      <w:r>
        <w:rPr>
          <w:kern w:val="22"/>
          <w:szCs w:val="22"/>
          <w:lang w:val="fr-FR"/>
        </w:rPr>
        <w:t>lan d</w:t>
      </w:r>
      <w:r w:rsidR="000F7E08">
        <w:rPr>
          <w:kern w:val="22"/>
          <w:szCs w:val="22"/>
          <w:lang w:val="fr-FR"/>
        </w:rPr>
        <w:t>e mise en œuvre pour le Protocole. En outre, les organes directeurs des conventions relatives à la biodiversité pourraient aussi, en temps voulu, envisager d’accueillir avec satisfaction le cadre, où de l’approuver.</w:t>
      </w:r>
    </w:p>
    <w:p w14:paraId="126FC80B" w14:textId="320D5085" w:rsidR="001919C1" w:rsidRPr="006E0D05" w:rsidRDefault="000F7E08" w:rsidP="009F6D3C">
      <w:pPr>
        <w:pStyle w:val="Para1"/>
        <w:numPr>
          <w:ilvl w:val="0"/>
          <w:numId w:val="6"/>
        </w:numPr>
        <w:tabs>
          <w:tab w:val="clear" w:pos="360"/>
        </w:tabs>
        <w:rPr>
          <w:kern w:val="22"/>
          <w:szCs w:val="22"/>
          <w:lang w:val="fr-FR"/>
        </w:rPr>
      </w:pPr>
      <w:r>
        <w:rPr>
          <w:kern w:val="22"/>
          <w:szCs w:val="22"/>
          <w:lang w:val="fr-FR"/>
        </w:rPr>
        <w:t xml:space="preserve">Il est envisagé que le Groupe de travail, à sa deuxième réunion, concentrera son attention sur l’avant-projet de cadre lui-même (annexe I </w:t>
      </w:r>
      <w:r w:rsidR="006F4D21">
        <w:rPr>
          <w:kern w:val="22"/>
          <w:szCs w:val="22"/>
          <w:lang w:val="fr-FR"/>
        </w:rPr>
        <w:t>ci-dessous</w:t>
      </w:r>
      <w:r>
        <w:rPr>
          <w:kern w:val="22"/>
          <w:szCs w:val="22"/>
          <w:lang w:val="fr-FR"/>
        </w:rPr>
        <w:t>) et utilisera  l’avant-projet de cadre de suivi comme référence explicative et contextuelle, tout en remettant sa négociation jusqu</w:t>
      </w:r>
      <w:r w:rsidR="00912148">
        <w:rPr>
          <w:kern w:val="22"/>
          <w:szCs w:val="22"/>
          <w:lang w:val="fr-FR"/>
        </w:rPr>
        <w:t>’après sa mise à jour à la lumière des négociations du texte principal du cadre mondial de la biodiversité pour l’après-2020 et sa présentation à l’Organe subsidiaire chargé de fournir des avis scientifiques, techniques et technologiques pour examen. Cependant, toute observation faite par une Partie à la deuxième réunion du Groupe de travail concernant les appendices sera prise en compte dans ce processus.</w:t>
      </w:r>
    </w:p>
    <w:p w14:paraId="655A02BE" w14:textId="56D7D50F" w:rsidR="005637A6" w:rsidRPr="00390F97" w:rsidRDefault="00185711" w:rsidP="009F6D3C">
      <w:pPr>
        <w:pStyle w:val="Heading1"/>
        <w:numPr>
          <w:ilvl w:val="0"/>
          <w:numId w:val="5"/>
        </w:numPr>
        <w:ind w:left="0" w:firstLine="0"/>
        <w:rPr>
          <w:iCs/>
          <w:snapToGrid w:val="0"/>
          <w:kern w:val="22"/>
        </w:rPr>
      </w:pPr>
      <w:r>
        <w:rPr>
          <w:iCs/>
          <w:snapToGrid w:val="0"/>
          <w:kern w:val="22"/>
        </w:rPr>
        <w:t>recommandation suggÉrÉe</w:t>
      </w:r>
    </w:p>
    <w:p w14:paraId="49282E6E" w14:textId="61B3CFE9" w:rsidR="005637A6" w:rsidRPr="00185711" w:rsidRDefault="00185711" w:rsidP="005A3C61">
      <w:pPr>
        <w:pStyle w:val="Para1"/>
        <w:numPr>
          <w:ilvl w:val="0"/>
          <w:numId w:val="6"/>
        </w:numPr>
        <w:tabs>
          <w:tab w:val="clear" w:pos="360"/>
        </w:tabs>
        <w:rPr>
          <w:kern w:val="22"/>
          <w:szCs w:val="22"/>
          <w:lang w:val="fr-FR"/>
        </w:rPr>
      </w:pPr>
      <w:r w:rsidRPr="00185711">
        <w:rPr>
          <w:kern w:val="22"/>
          <w:szCs w:val="22"/>
          <w:lang w:val="fr-FR"/>
        </w:rPr>
        <w:t>Le Groupe de travail à composition non limitée sur le cadre mondial de la biodiversité pour l’après-2020</w:t>
      </w:r>
      <w:r w:rsidR="005637A6" w:rsidRPr="00185711">
        <w:rPr>
          <w:kern w:val="22"/>
          <w:szCs w:val="22"/>
          <w:lang w:val="fr-FR"/>
        </w:rPr>
        <w:t xml:space="preserve"> </w:t>
      </w:r>
      <w:r w:rsidR="00774B40">
        <w:rPr>
          <w:kern w:val="22"/>
          <w:szCs w:val="22"/>
          <w:lang w:val="fr-FR"/>
        </w:rPr>
        <w:t xml:space="preserve">pourrait souhaiter adopter une recommandation </w:t>
      </w:r>
      <w:r w:rsidR="008C7995">
        <w:rPr>
          <w:kern w:val="22"/>
          <w:szCs w:val="22"/>
          <w:lang w:val="fr-FR"/>
        </w:rPr>
        <w:t>comme suit</w:t>
      </w:r>
      <w:r w:rsidR="00774B40">
        <w:rPr>
          <w:kern w:val="22"/>
          <w:szCs w:val="22"/>
          <w:lang w:val="fr-FR"/>
        </w:rPr>
        <w:t> :</w:t>
      </w:r>
    </w:p>
    <w:p w14:paraId="258A1205" w14:textId="7B9D4438" w:rsidR="005637A6" w:rsidRPr="00185711" w:rsidRDefault="00774B40" w:rsidP="00037E8A">
      <w:pPr>
        <w:pStyle w:val="Para1"/>
        <w:suppressLineNumbers/>
        <w:suppressAutoHyphens/>
        <w:kinsoku w:val="0"/>
        <w:overflowPunct w:val="0"/>
        <w:autoSpaceDE w:val="0"/>
        <w:autoSpaceDN w:val="0"/>
        <w:adjustRightInd w:val="0"/>
        <w:snapToGrid w:val="0"/>
        <w:ind w:firstLine="720"/>
        <w:rPr>
          <w:i/>
          <w:kern w:val="22"/>
          <w:szCs w:val="22"/>
          <w:lang w:val="fr-FR"/>
        </w:rPr>
      </w:pPr>
      <w:r>
        <w:rPr>
          <w:i/>
          <w:kern w:val="22"/>
          <w:szCs w:val="22"/>
          <w:lang w:val="fr-FR"/>
        </w:rPr>
        <w:lastRenderedPageBreak/>
        <w:t>Le Groupe de travail à composition non limitée sur le cadre mondial de la biodiversité pour l’après-2020,</w:t>
      </w:r>
    </w:p>
    <w:p w14:paraId="3CE21E69" w14:textId="770412F4" w:rsidR="001750B0" w:rsidRPr="00185711" w:rsidRDefault="001750B0" w:rsidP="00037E8A">
      <w:pPr>
        <w:pStyle w:val="Para1"/>
        <w:suppressLineNumbers/>
        <w:suppressAutoHyphens/>
        <w:kinsoku w:val="0"/>
        <w:overflowPunct w:val="0"/>
        <w:autoSpaceDE w:val="0"/>
        <w:autoSpaceDN w:val="0"/>
        <w:adjustRightInd w:val="0"/>
        <w:snapToGrid w:val="0"/>
        <w:ind w:left="720"/>
        <w:rPr>
          <w:i/>
          <w:kern w:val="22"/>
          <w:szCs w:val="22"/>
          <w:lang w:val="fr-FR"/>
        </w:rPr>
      </w:pPr>
      <w:r w:rsidRPr="00185711">
        <w:rPr>
          <w:i/>
          <w:kern w:val="22"/>
          <w:szCs w:val="22"/>
          <w:lang w:val="fr-FR"/>
        </w:rPr>
        <w:t>R</w:t>
      </w:r>
      <w:r w:rsidR="00774B40">
        <w:rPr>
          <w:i/>
          <w:kern w:val="22"/>
          <w:szCs w:val="22"/>
          <w:lang w:val="fr-FR"/>
        </w:rPr>
        <w:t>appelant</w:t>
      </w:r>
      <w:r w:rsidRPr="00185711">
        <w:rPr>
          <w:i/>
          <w:kern w:val="22"/>
          <w:szCs w:val="22"/>
          <w:lang w:val="fr-FR"/>
        </w:rPr>
        <w:t xml:space="preserve"> </w:t>
      </w:r>
      <w:r w:rsidR="00774B40">
        <w:rPr>
          <w:kern w:val="22"/>
          <w:szCs w:val="22"/>
          <w:lang w:val="fr-FR"/>
        </w:rPr>
        <w:t>la dé</w:t>
      </w:r>
      <w:r w:rsidRPr="00185711">
        <w:rPr>
          <w:kern w:val="22"/>
          <w:szCs w:val="22"/>
          <w:lang w:val="fr-FR"/>
        </w:rPr>
        <w:t>cision 14/37</w:t>
      </w:r>
      <w:r w:rsidRPr="00185711">
        <w:rPr>
          <w:i/>
          <w:kern w:val="22"/>
          <w:szCs w:val="22"/>
          <w:lang w:val="fr-FR"/>
        </w:rPr>
        <w:t xml:space="preserve">, </w:t>
      </w:r>
      <w:r w:rsidR="00774B40">
        <w:rPr>
          <w:kern w:val="22"/>
          <w:szCs w:val="22"/>
          <w:lang w:val="fr-FR"/>
        </w:rPr>
        <w:t>la recommandation</w:t>
      </w:r>
      <w:r w:rsidRPr="00185711">
        <w:rPr>
          <w:kern w:val="22"/>
          <w:szCs w:val="22"/>
          <w:lang w:val="fr-FR"/>
        </w:rPr>
        <w:t xml:space="preserve"> </w:t>
      </w:r>
      <w:r w:rsidR="001C0E0F" w:rsidRPr="00185711">
        <w:rPr>
          <w:kern w:val="22"/>
          <w:szCs w:val="22"/>
          <w:lang w:val="fr-FR"/>
        </w:rPr>
        <w:t>WG2020</w:t>
      </w:r>
      <w:r w:rsidR="00C150BE" w:rsidRPr="00185711">
        <w:rPr>
          <w:kern w:val="22"/>
          <w:szCs w:val="22"/>
          <w:lang w:val="fr-FR"/>
        </w:rPr>
        <w:t>-</w:t>
      </w:r>
      <w:r w:rsidRPr="00185711">
        <w:rPr>
          <w:kern w:val="22"/>
          <w:szCs w:val="22"/>
          <w:lang w:val="fr-FR"/>
        </w:rPr>
        <w:t xml:space="preserve">1/1 </w:t>
      </w:r>
      <w:r w:rsidR="00774B40">
        <w:rPr>
          <w:kern w:val="22"/>
          <w:szCs w:val="22"/>
          <w:lang w:val="fr-FR"/>
        </w:rPr>
        <w:t>et la</w:t>
      </w:r>
      <w:r w:rsidRPr="00185711">
        <w:rPr>
          <w:kern w:val="22"/>
          <w:szCs w:val="22"/>
          <w:lang w:val="fr-FR"/>
        </w:rPr>
        <w:t xml:space="preserve"> recomm</w:t>
      </w:r>
      <w:r w:rsidR="00774B40">
        <w:rPr>
          <w:kern w:val="22"/>
          <w:szCs w:val="22"/>
          <w:lang w:val="fr-FR"/>
        </w:rPr>
        <w:t>a</w:t>
      </w:r>
      <w:r w:rsidRPr="00185711">
        <w:rPr>
          <w:kern w:val="22"/>
          <w:szCs w:val="22"/>
          <w:lang w:val="fr-FR"/>
        </w:rPr>
        <w:t xml:space="preserve">ndation </w:t>
      </w:r>
      <w:r w:rsidR="00C150BE" w:rsidRPr="00185711">
        <w:rPr>
          <w:kern w:val="22"/>
          <w:szCs w:val="22"/>
          <w:lang w:val="fr-FR"/>
        </w:rPr>
        <w:t>SBSTTA-</w:t>
      </w:r>
      <w:r w:rsidRPr="00185711">
        <w:rPr>
          <w:kern w:val="22"/>
          <w:szCs w:val="22"/>
          <w:lang w:val="fr-FR"/>
        </w:rPr>
        <w:t>23/1</w:t>
      </w:r>
      <w:r w:rsidR="00C150BE" w:rsidRPr="00185711">
        <w:rPr>
          <w:kern w:val="22"/>
          <w:szCs w:val="22"/>
          <w:lang w:val="fr-FR"/>
        </w:rPr>
        <w:t>,</w:t>
      </w:r>
    </w:p>
    <w:p w14:paraId="49B57EC1" w14:textId="4E42CC12" w:rsidR="005637A6" w:rsidRPr="00185711" w:rsidRDefault="00774B40" w:rsidP="009F6D3C">
      <w:pPr>
        <w:pStyle w:val="Para3"/>
        <w:numPr>
          <w:ilvl w:val="2"/>
          <w:numId w:val="25"/>
        </w:numPr>
        <w:tabs>
          <w:tab w:val="clear" w:pos="1440"/>
          <w:tab w:val="clear" w:pos="1980"/>
          <w:tab w:val="left" w:pos="1276"/>
        </w:tabs>
        <w:ind w:left="0" w:firstLine="709"/>
        <w:rPr>
          <w:kern w:val="22"/>
          <w:lang w:val="fr-FR"/>
        </w:rPr>
      </w:pPr>
      <w:r>
        <w:rPr>
          <w:i/>
          <w:kern w:val="22"/>
          <w:lang w:val="fr-FR"/>
        </w:rPr>
        <w:t>Prend note</w:t>
      </w:r>
      <w:r w:rsidR="00BA042C" w:rsidRPr="00185711">
        <w:rPr>
          <w:i/>
          <w:kern w:val="22"/>
          <w:lang w:val="fr-FR"/>
        </w:rPr>
        <w:t xml:space="preserve"> </w:t>
      </w:r>
      <w:r>
        <w:rPr>
          <w:kern w:val="22"/>
          <w:lang w:val="fr-FR"/>
        </w:rPr>
        <w:t>des progrès accomplis lors de sa deuxième réunion et qui sont reflétés dans le texte joint en annexe au rapport de la réunion</w:t>
      </w:r>
      <w:r w:rsidR="00437503" w:rsidRPr="00185711">
        <w:rPr>
          <w:rStyle w:val="FootnoteReference"/>
          <w:kern w:val="22"/>
          <w:u w:val="none"/>
          <w:vertAlign w:val="superscript"/>
          <w:lang w:val="fr-FR"/>
        </w:rPr>
        <w:footnoteReference w:id="9"/>
      </w:r>
      <w:r>
        <w:rPr>
          <w:kern w:val="22"/>
          <w:lang w:val="fr-FR"/>
        </w:rPr>
        <w:t> ;</w:t>
      </w:r>
    </w:p>
    <w:p w14:paraId="52CC9F6F" w14:textId="25CAB088" w:rsidR="001F54C9" w:rsidRPr="00185711" w:rsidRDefault="008E32B7" w:rsidP="009F6D3C">
      <w:pPr>
        <w:pStyle w:val="Para3"/>
        <w:numPr>
          <w:ilvl w:val="2"/>
          <w:numId w:val="25"/>
        </w:numPr>
        <w:tabs>
          <w:tab w:val="clear" w:pos="1440"/>
          <w:tab w:val="clear" w:pos="1980"/>
          <w:tab w:val="left" w:pos="1276"/>
        </w:tabs>
        <w:ind w:left="0" w:firstLine="709"/>
        <w:rPr>
          <w:kern w:val="22"/>
          <w:lang w:val="fr-FR"/>
        </w:rPr>
      </w:pPr>
      <w:r>
        <w:rPr>
          <w:i/>
          <w:kern w:val="22"/>
          <w:lang w:val="fr-FR"/>
        </w:rPr>
        <w:t>Prie</w:t>
      </w:r>
      <w:r w:rsidR="001750B0" w:rsidRPr="00185711">
        <w:rPr>
          <w:kern w:val="22"/>
          <w:lang w:val="fr-FR"/>
        </w:rPr>
        <w:t xml:space="preserve"> </w:t>
      </w:r>
      <w:r>
        <w:rPr>
          <w:kern w:val="22"/>
          <w:lang w:val="fr-FR"/>
        </w:rPr>
        <w:t xml:space="preserve">la Secrétaire exécutive </w:t>
      </w:r>
      <w:r w:rsidR="00037E8A" w:rsidRPr="00185711">
        <w:rPr>
          <w:kern w:val="22"/>
          <w:lang w:val="fr-FR"/>
        </w:rPr>
        <w:t xml:space="preserve"> </w:t>
      </w:r>
      <w:r w:rsidR="001E7BF3">
        <w:rPr>
          <w:kern w:val="22"/>
          <w:lang w:val="fr-FR"/>
        </w:rPr>
        <w:t>de mettre à jour les tableaux qui figurent dans les appendices de l’avant-projet de cadre à la lumière des résultats de la deuxième réunion et de les aligner sur les</w:t>
      </w:r>
      <w:r w:rsidR="008170CC">
        <w:rPr>
          <w:kern w:val="22"/>
          <w:lang w:val="fr-FR"/>
        </w:rPr>
        <w:t xml:space="preserve"> projets d’objectifs et de tableaux du cadre mondial de la biodiversité pour l’après-2020 aux fins d’examen par l’Organe subsidiaire chargé de fournir des avis scientifiques, techniques et technologiques à sa vingt-quatrième réunion ;</w:t>
      </w:r>
    </w:p>
    <w:p w14:paraId="0F0D3FB1" w14:textId="6F2C8EA0" w:rsidR="00037E8A" w:rsidRPr="00185711" w:rsidRDefault="00037E8A" w:rsidP="009F6D3C">
      <w:pPr>
        <w:pStyle w:val="Para3"/>
        <w:numPr>
          <w:ilvl w:val="2"/>
          <w:numId w:val="25"/>
        </w:numPr>
        <w:tabs>
          <w:tab w:val="clear" w:pos="1440"/>
          <w:tab w:val="clear" w:pos="1980"/>
          <w:tab w:val="left" w:pos="1276"/>
        </w:tabs>
        <w:ind w:left="0" w:firstLine="709"/>
        <w:rPr>
          <w:kern w:val="22"/>
          <w:lang w:val="fr-FR"/>
        </w:rPr>
      </w:pPr>
      <w:r w:rsidRPr="00185711">
        <w:rPr>
          <w:i/>
          <w:kern w:val="22"/>
          <w:lang w:val="fr-FR"/>
        </w:rPr>
        <w:t xml:space="preserve">Invite </w:t>
      </w:r>
      <w:r w:rsidR="00187EAC">
        <w:rPr>
          <w:kern w:val="22"/>
          <w:lang w:val="fr-FR"/>
        </w:rPr>
        <w:t>l’Organe subsidiaire chargé de fournir des avis scientifiques, techniques et technologiques à entreprendre, à sa vingt-quatrième réunion, un examen scientifique et technique du projet d’objectifs et de cibles du cadre mondial pour la biodiversité, ainsi que des appendices révisés du cadre, et à fournir des avis au Groupe de travail à sa troisième réunion ;</w:t>
      </w:r>
    </w:p>
    <w:p w14:paraId="197C78D8" w14:textId="004AA3EE" w:rsidR="00A54F8E" w:rsidRPr="00185711" w:rsidRDefault="00187EAC" w:rsidP="009F6D3C">
      <w:pPr>
        <w:pStyle w:val="Para3"/>
        <w:numPr>
          <w:ilvl w:val="2"/>
          <w:numId w:val="25"/>
        </w:numPr>
        <w:tabs>
          <w:tab w:val="clear" w:pos="1440"/>
          <w:tab w:val="clear" w:pos="1980"/>
          <w:tab w:val="left" w:pos="1276"/>
        </w:tabs>
        <w:ind w:left="0" w:firstLine="709"/>
        <w:rPr>
          <w:rFonts w:eastAsia="Malgun Gothic"/>
          <w:i/>
          <w:lang w:val="fr-FR"/>
        </w:rPr>
      </w:pPr>
      <w:r>
        <w:rPr>
          <w:i/>
          <w:kern w:val="22"/>
          <w:lang w:val="fr-FR"/>
        </w:rPr>
        <w:t>Prie</w:t>
      </w:r>
      <w:r w:rsidR="005637A6" w:rsidRPr="00185711">
        <w:rPr>
          <w:kern w:val="22"/>
          <w:lang w:val="fr-FR"/>
        </w:rPr>
        <w:t xml:space="preserve"> </w:t>
      </w:r>
      <w:r>
        <w:rPr>
          <w:kern w:val="22"/>
          <w:lang w:val="fr-FR"/>
        </w:rPr>
        <w:t>les coprésidents du Groupe de travail à composition non limitée sur le cadre mondial de la biodiversité pour l’après-2020 et la Secrétaire exécutive, sous la supervision du Bureau de la Conférence des Parties, de compléter et annoter le texte qui figure dans l’annexe du rapport</w:t>
      </w:r>
      <w:r w:rsidR="00FC765B">
        <w:rPr>
          <w:kern w:val="22"/>
          <w:lang w:val="fr-FR"/>
        </w:rPr>
        <w:t>, le cas échéant, afin de tenir compte des processus de consultation en cour</w:t>
      </w:r>
      <w:r w:rsidR="006F4D21">
        <w:rPr>
          <w:kern w:val="22"/>
          <w:lang w:val="fr-FR"/>
        </w:rPr>
        <w:t xml:space="preserve">s, </w:t>
      </w:r>
      <w:r w:rsidR="00FC765B">
        <w:rPr>
          <w:kern w:val="22"/>
          <w:lang w:val="fr-FR"/>
        </w:rPr>
        <w:t>des résultats de la vingt-quatrième réunion de l’Organe subsidiaire chargé de fournir des avis scientifiques, techniques et technologiques et de la troisième réunion de l’Organe subsidiaire chargé de l’application, et de mettre cette version annoté</w:t>
      </w:r>
      <w:r w:rsidR="00AA63B6">
        <w:rPr>
          <w:kern w:val="22"/>
          <w:lang w:val="fr-FR"/>
        </w:rPr>
        <w:t>e</w:t>
      </w:r>
      <w:r w:rsidR="00FC765B">
        <w:rPr>
          <w:kern w:val="22"/>
          <w:lang w:val="fr-FR"/>
        </w:rPr>
        <w:t xml:space="preserve"> à disposition six semaines avant la troisième réunion du Groupe de travail à composition non limitée sur la cadre mondial de la biodiversité pour l’après-2020.</w:t>
      </w:r>
    </w:p>
    <w:p w14:paraId="5734A992" w14:textId="77777777" w:rsidR="00435EAC" w:rsidRPr="00185711" w:rsidRDefault="00435EAC">
      <w:pPr>
        <w:jc w:val="left"/>
        <w:rPr>
          <w:rFonts w:eastAsia="Malgun Gothic"/>
          <w:i/>
          <w:kern w:val="22"/>
          <w:lang w:val="fr-FR"/>
        </w:rPr>
      </w:pPr>
      <w:r w:rsidRPr="00185711">
        <w:rPr>
          <w:rFonts w:eastAsia="Malgun Gothic"/>
          <w:i/>
          <w:kern w:val="22"/>
          <w:lang w:val="fr-FR"/>
        </w:rPr>
        <w:br w:type="page"/>
      </w:r>
    </w:p>
    <w:p w14:paraId="1A5A1B3C" w14:textId="4978677C" w:rsidR="003B48FB" w:rsidRPr="006E0D05" w:rsidRDefault="003B48FB" w:rsidP="00037E8A">
      <w:pPr>
        <w:spacing w:before="120" w:after="120"/>
        <w:jc w:val="center"/>
        <w:rPr>
          <w:rFonts w:eastAsia="Malgun Gothic"/>
          <w:i/>
          <w:kern w:val="22"/>
          <w:lang w:val="fr-FR"/>
        </w:rPr>
      </w:pPr>
      <w:r w:rsidRPr="006E0D05">
        <w:rPr>
          <w:rFonts w:eastAsia="Malgun Gothic"/>
          <w:i/>
          <w:kern w:val="22"/>
          <w:lang w:val="fr-FR"/>
        </w:rPr>
        <w:lastRenderedPageBreak/>
        <w:t>Annex</w:t>
      </w:r>
      <w:r w:rsidR="001672B6" w:rsidRPr="006E0D05">
        <w:rPr>
          <w:rFonts w:eastAsia="Malgun Gothic"/>
          <w:i/>
          <w:kern w:val="22"/>
          <w:lang w:val="fr-FR"/>
        </w:rPr>
        <w:t>e</w:t>
      </w:r>
      <w:r w:rsidRPr="006E0D05">
        <w:rPr>
          <w:rFonts w:eastAsia="Malgun Gothic"/>
          <w:i/>
          <w:kern w:val="22"/>
          <w:lang w:val="fr-FR"/>
        </w:rPr>
        <w:t xml:space="preserve"> I</w:t>
      </w:r>
    </w:p>
    <w:p w14:paraId="0DD3946F" w14:textId="1256D67E" w:rsidR="003B48FB" w:rsidRPr="001672B6" w:rsidRDefault="001672B6" w:rsidP="005A3C61">
      <w:pPr>
        <w:spacing w:before="120" w:after="120"/>
        <w:jc w:val="center"/>
        <w:rPr>
          <w:b/>
          <w:caps/>
          <w:kern w:val="22"/>
          <w:lang w:val="fr-FR"/>
        </w:rPr>
      </w:pPr>
      <w:r w:rsidRPr="001672B6">
        <w:rPr>
          <w:b/>
          <w:caps/>
          <w:kern w:val="22"/>
          <w:lang w:val="fr-FR"/>
        </w:rPr>
        <w:t>le cadre mondial de la biodiversitÉ pour l’aprÈs-2020</w:t>
      </w:r>
    </w:p>
    <w:p w14:paraId="08F20C51" w14:textId="77777777" w:rsidR="00234F50" w:rsidRPr="001672B6" w:rsidRDefault="00234F50" w:rsidP="005A3C61">
      <w:pPr>
        <w:pStyle w:val="Heading1"/>
        <w:numPr>
          <w:ilvl w:val="0"/>
          <w:numId w:val="9"/>
        </w:numPr>
        <w:spacing w:before="120"/>
        <w:rPr>
          <w:iCs/>
          <w:snapToGrid w:val="0"/>
          <w:kern w:val="22"/>
          <w:lang w:val="fr-FR"/>
        </w:rPr>
      </w:pPr>
      <w:r w:rsidRPr="001672B6">
        <w:rPr>
          <w:iCs/>
          <w:snapToGrid w:val="0"/>
          <w:kern w:val="22"/>
          <w:lang w:val="fr-FR"/>
        </w:rPr>
        <w:t>Introduction</w:t>
      </w:r>
    </w:p>
    <w:p w14:paraId="48CF366C" w14:textId="0FDE3D3F" w:rsidR="00234F50" w:rsidRPr="001672B6" w:rsidRDefault="001672B6" w:rsidP="00172099">
      <w:pPr>
        <w:pStyle w:val="Heading2"/>
        <w:numPr>
          <w:ilvl w:val="0"/>
          <w:numId w:val="4"/>
        </w:numPr>
        <w:tabs>
          <w:tab w:val="clear" w:pos="720"/>
        </w:tabs>
        <w:spacing w:before="240"/>
        <w:ind w:left="714" w:hanging="357"/>
        <w:rPr>
          <w:rFonts w:eastAsia="Malgun Gothic"/>
          <w:kern w:val="22"/>
          <w:lang w:val="fr-FR"/>
        </w:rPr>
      </w:pPr>
      <w:r w:rsidRPr="001672B6">
        <w:rPr>
          <w:rFonts w:eastAsia="Malgun Gothic"/>
          <w:kern w:val="22"/>
          <w:lang w:val="fr-FR"/>
        </w:rPr>
        <w:t>Renseignements généraux</w:t>
      </w:r>
      <w:r w:rsidR="00801AF3" w:rsidRPr="001672B6">
        <w:rPr>
          <w:rFonts w:eastAsia="Malgun Gothic"/>
          <w:kern w:val="22"/>
          <w:lang w:val="fr-FR"/>
        </w:rPr>
        <w:t xml:space="preserve"> </w:t>
      </w:r>
    </w:p>
    <w:p w14:paraId="5067B383" w14:textId="3EE9D9D8" w:rsidR="00234F50" w:rsidRPr="001672B6" w:rsidRDefault="005E4AAD" w:rsidP="005E4AAD">
      <w:pPr>
        <w:pStyle w:val="Para1"/>
        <w:numPr>
          <w:ilvl w:val="0"/>
          <w:numId w:val="26"/>
        </w:numPr>
        <w:tabs>
          <w:tab w:val="clear" w:pos="360"/>
        </w:tabs>
        <w:rPr>
          <w:kern w:val="22"/>
          <w:szCs w:val="22"/>
          <w:lang w:val="fr-FR"/>
        </w:rPr>
      </w:pPr>
      <w:r>
        <w:rPr>
          <w:kern w:val="22"/>
          <w:szCs w:val="22"/>
          <w:lang w:val="fr-FR"/>
        </w:rPr>
        <w:t xml:space="preserve">La biodiversité et les avantages qu’elle procure, est fondamentale au bien-être humain et à la santé de la planète. Malgré les efforts déployés, la biodiversité continue de se détériorer à l’échelle mondiale et les estimations indiquent que ce déclin se poursuivra ou s’aggravera </w:t>
      </w:r>
      <w:r w:rsidR="00A55357">
        <w:rPr>
          <w:kern w:val="22"/>
          <w:szCs w:val="22"/>
          <w:lang w:val="fr-FR"/>
        </w:rPr>
        <w:t>selon les scénarios du statu quo.</w:t>
      </w:r>
      <w:r w:rsidR="00234F50" w:rsidRPr="001672B6">
        <w:rPr>
          <w:kern w:val="22"/>
          <w:szCs w:val="22"/>
          <w:lang w:val="fr-FR"/>
        </w:rPr>
        <w:t xml:space="preserve"> </w:t>
      </w:r>
      <w:r w:rsidR="003F1F84">
        <w:rPr>
          <w:kern w:val="22"/>
          <w:szCs w:val="22"/>
          <w:lang w:val="fr-FR"/>
        </w:rPr>
        <w:t>Le cadre mondial de la biodiversité pour l’après-2020</w:t>
      </w:r>
      <w:r w:rsidR="00C825F3" w:rsidRPr="001672B6">
        <w:rPr>
          <w:rStyle w:val="FootnoteReference"/>
          <w:kern w:val="22"/>
          <w:szCs w:val="22"/>
          <w:u w:val="none"/>
          <w:vertAlign w:val="superscript"/>
          <w:lang w:val="fr-FR"/>
        </w:rPr>
        <w:footnoteReference w:id="10"/>
      </w:r>
      <w:r w:rsidR="00BB58E2" w:rsidRPr="001672B6">
        <w:rPr>
          <w:kern w:val="22"/>
          <w:szCs w:val="22"/>
          <w:lang w:val="fr-FR"/>
        </w:rPr>
        <w:t xml:space="preserve"> </w:t>
      </w:r>
      <w:r w:rsidR="003F1F84">
        <w:rPr>
          <w:kern w:val="22"/>
          <w:szCs w:val="22"/>
          <w:lang w:val="fr-FR"/>
        </w:rPr>
        <w:t xml:space="preserve">se fonde sur le Plan stratégique pour la diversité biologique </w:t>
      </w:r>
      <w:r w:rsidR="00BB58E2" w:rsidRPr="001672B6">
        <w:rPr>
          <w:kern w:val="22"/>
          <w:szCs w:val="22"/>
          <w:lang w:val="fr-FR"/>
        </w:rPr>
        <w:t xml:space="preserve">2011-2020 </w:t>
      </w:r>
      <w:r w:rsidR="003F1F84">
        <w:rPr>
          <w:kern w:val="22"/>
          <w:szCs w:val="22"/>
          <w:lang w:val="fr-FR"/>
        </w:rPr>
        <w:t>et prévoit un plan ambitieux d’action de vaste envergure pour susciter un changement transformateur dans le rapport entre la société et la biodiversité et assurer, d’ici à 2050, la réalisation de la vision commune de vivre en harmonie avec la nature.</w:t>
      </w:r>
    </w:p>
    <w:p w14:paraId="355E801B" w14:textId="3ABEF67C" w:rsidR="001B2E25" w:rsidRPr="001672B6" w:rsidRDefault="003F1F84" w:rsidP="00172099">
      <w:pPr>
        <w:pStyle w:val="Heading2"/>
        <w:numPr>
          <w:ilvl w:val="0"/>
          <w:numId w:val="4"/>
        </w:numPr>
        <w:tabs>
          <w:tab w:val="clear" w:pos="720"/>
        </w:tabs>
        <w:spacing w:before="240"/>
        <w:ind w:left="714" w:hanging="357"/>
        <w:rPr>
          <w:rFonts w:eastAsia="Malgun Gothic"/>
          <w:kern w:val="22"/>
          <w:lang w:val="fr-FR"/>
        </w:rPr>
      </w:pPr>
      <w:r>
        <w:rPr>
          <w:rFonts w:eastAsia="Malgun Gothic"/>
          <w:kern w:val="22"/>
          <w:lang w:val="fr-FR"/>
        </w:rPr>
        <w:t>L’objet</w:t>
      </w:r>
      <w:r w:rsidR="00FA1067" w:rsidRPr="001672B6">
        <w:rPr>
          <w:rFonts w:eastAsia="Malgun Gothic"/>
          <w:kern w:val="22"/>
          <w:lang w:val="fr-FR"/>
        </w:rPr>
        <w:t xml:space="preserve"> </w:t>
      </w:r>
    </w:p>
    <w:p w14:paraId="1EDF58A2" w14:textId="32504AD8" w:rsidR="00E64201" w:rsidRPr="001672B6" w:rsidRDefault="00C12246" w:rsidP="007A59F6">
      <w:pPr>
        <w:pStyle w:val="Para1"/>
        <w:numPr>
          <w:ilvl w:val="0"/>
          <w:numId w:val="26"/>
        </w:numPr>
        <w:tabs>
          <w:tab w:val="clear" w:pos="360"/>
        </w:tabs>
        <w:rPr>
          <w:kern w:val="22"/>
          <w:szCs w:val="22"/>
          <w:lang w:val="fr-FR"/>
        </w:rPr>
      </w:pPr>
      <w:r>
        <w:rPr>
          <w:kern w:val="22"/>
          <w:lang w:val="fr-FR"/>
        </w:rPr>
        <w:t>Le cadre vise à galvaniser une action urgente et transformatrice de la part des gouvernements et de toute la société, y compris les peuples autochtones et communautés locales, la société civile et les entreprises, en vue d’obtenir les résultats qu’il énonce dans sa vision, sa mission, ses objectifs et ses cibles, et contribuer ainsi aux objectifs de la Convention sur la diversité biologique ainsi qu’aux autres accords multilatéraux, processus et instruments relatifs à la biodiversité.</w:t>
      </w:r>
    </w:p>
    <w:p w14:paraId="403CF810" w14:textId="42BBB0CE" w:rsidR="001B2E25" w:rsidRPr="001672B6" w:rsidRDefault="00C12246" w:rsidP="007A59F6">
      <w:pPr>
        <w:pStyle w:val="Para1"/>
        <w:numPr>
          <w:ilvl w:val="0"/>
          <w:numId w:val="26"/>
        </w:numPr>
        <w:tabs>
          <w:tab w:val="clear" w:pos="360"/>
        </w:tabs>
        <w:rPr>
          <w:kern w:val="22"/>
          <w:lang w:val="fr-FR"/>
        </w:rPr>
      </w:pPr>
      <w:r>
        <w:rPr>
          <w:kern w:val="22"/>
          <w:szCs w:val="22"/>
          <w:lang w:val="fr-FR"/>
        </w:rPr>
        <w:t>Le cadre sera mis en œuvre principalement</w:t>
      </w:r>
      <w:r w:rsidR="001C62C5">
        <w:rPr>
          <w:kern w:val="22"/>
          <w:szCs w:val="22"/>
          <w:lang w:val="fr-FR"/>
        </w:rPr>
        <w:t xml:space="preserve"> au moyen d’activités au niveau national et des mesures de soutien aux niveaux infranational, régional et mondial. Il vise à promouvoir les synergies et la coordination avec les processus compétents. Il représente un cadre mondial, axé sur les résultats, pour le développement d’objectifs et de cibles nationaux et, le cas échéant, régionaux,</w:t>
      </w:r>
      <w:r w:rsidR="00E21A08">
        <w:rPr>
          <w:kern w:val="22"/>
          <w:szCs w:val="22"/>
          <w:lang w:val="fr-FR"/>
        </w:rPr>
        <w:t xml:space="preserve"> et la mise à jour des stratégies et plans d’action nationaux pour la diversité biologique, selon qu’il convient, pour les réaliser, et pour faciliter le suivi et l’évaluation des progrès accomplis au niveau mondial.</w:t>
      </w:r>
    </w:p>
    <w:p w14:paraId="7E0562BD" w14:textId="748FACE2" w:rsidR="00E64201" w:rsidRPr="001672B6" w:rsidRDefault="00E21A08" w:rsidP="008307EE">
      <w:pPr>
        <w:pStyle w:val="Para1"/>
        <w:numPr>
          <w:ilvl w:val="0"/>
          <w:numId w:val="26"/>
        </w:numPr>
        <w:tabs>
          <w:tab w:val="clear" w:pos="360"/>
        </w:tabs>
        <w:rPr>
          <w:kern w:val="22"/>
          <w:lang w:val="fr-FR"/>
        </w:rPr>
      </w:pPr>
      <w:r w:rsidRPr="008307EE">
        <w:rPr>
          <w:kern w:val="22"/>
          <w:szCs w:val="22"/>
          <w:lang w:val="fr-FR"/>
        </w:rPr>
        <w:t>Le cadre contribuera à la mise en œuvre du Programme de développement durable à l’horizon 2030. En outre, les progrès accomplis vers la réalisation des Objectifs de développement durable contribueront à créer les conditions nécessaires à la mise en œuvre du cadre.</w:t>
      </w:r>
    </w:p>
    <w:p w14:paraId="2FA9E033" w14:textId="13681B02" w:rsidR="00234F50" w:rsidRPr="001672B6" w:rsidRDefault="00234F50" w:rsidP="00172099">
      <w:pPr>
        <w:pStyle w:val="Heading2"/>
        <w:numPr>
          <w:ilvl w:val="0"/>
          <w:numId w:val="4"/>
        </w:numPr>
        <w:tabs>
          <w:tab w:val="clear" w:pos="720"/>
        </w:tabs>
        <w:spacing w:before="240"/>
        <w:ind w:left="714" w:hanging="357"/>
        <w:rPr>
          <w:rFonts w:eastAsia="Malgun Gothic"/>
          <w:kern w:val="22"/>
          <w:lang w:val="fr-FR"/>
        </w:rPr>
      </w:pPr>
      <w:r w:rsidRPr="001672B6">
        <w:rPr>
          <w:rFonts w:eastAsia="Malgun Gothic"/>
          <w:kern w:val="22"/>
          <w:lang w:val="fr-FR"/>
        </w:rPr>
        <w:t>Th</w:t>
      </w:r>
      <w:r w:rsidR="00E21A08">
        <w:rPr>
          <w:rFonts w:eastAsia="Malgun Gothic"/>
          <w:kern w:val="22"/>
          <w:lang w:val="fr-FR"/>
        </w:rPr>
        <w:t>éorie du changement</w:t>
      </w:r>
    </w:p>
    <w:p w14:paraId="230AE1F7" w14:textId="2F1CA4AD" w:rsidR="00734CB2" w:rsidRPr="001672B6" w:rsidRDefault="00E21A08" w:rsidP="008307EE">
      <w:pPr>
        <w:pStyle w:val="Para1"/>
        <w:numPr>
          <w:ilvl w:val="0"/>
          <w:numId w:val="26"/>
        </w:numPr>
        <w:tabs>
          <w:tab w:val="clear" w:pos="360"/>
        </w:tabs>
        <w:rPr>
          <w:color w:val="000000"/>
          <w:kern w:val="22"/>
          <w:szCs w:val="22"/>
          <w:lang w:val="fr-FR"/>
        </w:rPr>
      </w:pPr>
      <w:r w:rsidRPr="008307EE">
        <w:rPr>
          <w:kern w:val="22"/>
          <w:szCs w:val="22"/>
          <w:lang w:val="fr-FR"/>
        </w:rPr>
        <w:t>Le cadre est articulé autour d’une théorie du changement (</w:t>
      </w:r>
      <w:r w:rsidR="00AA63B6">
        <w:rPr>
          <w:kern w:val="22"/>
          <w:szCs w:val="22"/>
          <w:lang w:val="fr-FR"/>
        </w:rPr>
        <w:t xml:space="preserve">voir </w:t>
      </w:r>
      <w:r w:rsidRPr="008307EE">
        <w:rPr>
          <w:kern w:val="22"/>
          <w:szCs w:val="22"/>
          <w:lang w:val="fr-FR"/>
        </w:rPr>
        <w:t xml:space="preserve">figure 1) qui reconnaît que des mesures politiques d’urgence à l’échelle mondiale, régionale et nationale sont nécessaires pour transformer les modèles économiques, sociaux et financiers afin que les tendances qui ont aggravé la perte de biodiversité </w:t>
      </w:r>
      <w:r w:rsidR="00AC1AFA" w:rsidRPr="008307EE">
        <w:rPr>
          <w:kern w:val="22"/>
          <w:szCs w:val="22"/>
          <w:lang w:val="fr-FR"/>
        </w:rPr>
        <w:t xml:space="preserve">se stabilisent au cours des </w:t>
      </w:r>
      <w:r w:rsidR="00AA63B6">
        <w:rPr>
          <w:kern w:val="22"/>
          <w:szCs w:val="22"/>
          <w:lang w:val="fr-FR"/>
        </w:rPr>
        <w:t>10</w:t>
      </w:r>
      <w:r w:rsidR="00AC1AFA" w:rsidRPr="008307EE">
        <w:rPr>
          <w:kern w:val="22"/>
          <w:szCs w:val="22"/>
          <w:lang w:val="fr-FR"/>
        </w:rPr>
        <w:t xml:space="preserve"> prochaines années (</w:t>
      </w:r>
      <w:r w:rsidR="00AA63B6">
        <w:rPr>
          <w:kern w:val="22"/>
          <w:szCs w:val="22"/>
          <w:lang w:val="fr-FR"/>
        </w:rPr>
        <w:t xml:space="preserve">d’ici à  </w:t>
      </w:r>
      <w:r w:rsidR="00AC1AFA" w:rsidRPr="008307EE">
        <w:rPr>
          <w:kern w:val="22"/>
          <w:szCs w:val="22"/>
          <w:lang w:val="fr-FR"/>
        </w:rPr>
        <w:t xml:space="preserve">2030) et permettent le rétablissement des écosystèmes naturels pendant les </w:t>
      </w:r>
      <w:r w:rsidR="00AA63B6">
        <w:rPr>
          <w:kern w:val="22"/>
          <w:szCs w:val="22"/>
          <w:lang w:val="fr-FR"/>
        </w:rPr>
        <w:t>20</w:t>
      </w:r>
      <w:r w:rsidR="00AC1AFA" w:rsidRPr="008307EE">
        <w:rPr>
          <w:kern w:val="22"/>
          <w:szCs w:val="22"/>
          <w:lang w:val="fr-FR"/>
        </w:rPr>
        <w:t xml:space="preserve"> années suivantes, avec une nette amélioration d’ici à 2050 pour réaliser la vision de la Convention de « vivre en harmonie avec la nature d’ici à 2050 ». Il suppose aussi qu’une approche associant tout le gouvernement et toute la société est essentielle pour </w:t>
      </w:r>
      <w:r w:rsidR="004B6810" w:rsidRPr="008307EE">
        <w:rPr>
          <w:kern w:val="22"/>
          <w:szCs w:val="22"/>
          <w:lang w:val="fr-FR"/>
        </w:rPr>
        <w:t xml:space="preserve">susciter les changements nécessaires au cours des </w:t>
      </w:r>
      <w:r w:rsidR="00AA63B6">
        <w:rPr>
          <w:kern w:val="22"/>
          <w:szCs w:val="22"/>
          <w:lang w:val="fr-FR"/>
        </w:rPr>
        <w:t>10</w:t>
      </w:r>
      <w:r w:rsidR="004B6810" w:rsidRPr="008307EE">
        <w:rPr>
          <w:kern w:val="22"/>
          <w:szCs w:val="22"/>
          <w:lang w:val="fr-FR"/>
        </w:rPr>
        <w:t xml:space="preserve"> prochaines années, comme étape vers la réalisation de la Vision 2050. Ainsi, les gouvernements et la société doivent établir des priorités et allouer des ressources financières et autres ressources, internaliser la valeur de la nature et reconnaître le coût de l’inaction.</w:t>
      </w:r>
      <w:r w:rsidR="00734CB2" w:rsidRPr="001672B6">
        <w:rPr>
          <w:color w:val="000000"/>
          <w:kern w:val="22"/>
          <w:szCs w:val="22"/>
          <w:lang w:val="fr-FR"/>
        </w:rPr>
        <w:t> </w:t>
      </w:r>
    </w:p>
    <w:p w14:paraId="738B879C" w14:textId="27337FC7" w:rsidR="00435EAC" w:rsidRPr="001672B6" w:rsidRDefault="00151F1E" w:rsidP="009F6D3C">
      <w:pPr>
        <w:pStyle w:val="ListParagraph"/>
        <w:numPr>
          <w:ilvl w:val="0"/>
          <w:numId w:val="6"/>
        </w:numPr>
        <w:tabs>
          <w:tab w:val="clear" w:pos="360"/>
        </w:tabs>
        <w:spacing w:before="120" w:after="120"/>
        <w:contextualSpacing w:val="0"/>
        <w:rPr>
          <w:color w:val="000000"/>
          <w:kern w:val="22"/>
          <w:szCs w:val="22"/>
          <w:lang w:val="fr-FR"/>
        </w:rPr>
      </w:pPr>
      <w:r>
        <w:rPr>
          <w:color w:val="000000"/>
          <w:kern w:val="22"/>
          <w:szCs w:val="22"/>
          <w:lang w:val="fr-FR"/>
        </w:rPr>
        <w:t xml:space="preserve">La théorie du changement du cadre part de l’hypothèse que des mesures transformatrices sont prises afin de a) mettre en place des outils et des solutions pour la mise en œuvre et l’intégration, b) réduire les menaces qui pèsent sur la biodiversité et c) s’assurer que la biodiversité est utilisée de manière durable afin de répondre aux besoins des populations et que ces mesures sont soutenues par i) des conditions </w:t>
      </w:r>
      <w:r w:rsidR="002208EE">
        <w:rPr>
          <w:color w:val="000000"/>
          <w:kern w:val="22"/>
          <w:szCs w:val="22"/>
          <w:lang w:val="fr-FR"/>
        </w:rPr>
        <w:t>habilitantes</w:t>
      </w:r>
      <w:r>
        <w:rPr>
          <w:color w:val="000000"/>
          <w:kern w:val="22"/>
          <w:szCs w:val="22"/>
          <w:lang w:val="fr-FR"/>
        </w:rPr>
        <w:t xml:space="preserve">, </w:t>
      </w:r>
      <w:r>
        <w:rPr>
          <w:color w:val="000000"/>
          <w:kern w:val="22"/>
          <w:szCs w:val="22"/>
          <w:lang w:val="fr-FR"/>
        </w:rPr>
        <w:lastRenderedPageBreak/>
        <w:t xml:space="preserve">ii) des moyens de mise en œuvre adéquats, y compris les ressources financières, les capacités et la technologie, et d) que l’état d’avancement est suivi de manière transparente et </w:t>
      </w:r>
      <w:r w:rsidR="004377E8">
        <w:rPr>
          <w:color w:val="000000"/>
          <w:kern w:val="22"/>
          <w:szCs w:val="22"/>
          <w:lang w:val="fr-FR"/>
        </w:rPr>
        <w:t>responsable, accompagné d’un bilan adéquat pour garantir que d’ici à 2030, le monde est sur la bonne voie pour atteindre la Vision 2050 pour la biodiversité.</w:t>
      </w:r>
    </w:p>
    <w:p w14:paraId="4ADE656E" w14:textId="5DC6FE1E" w:rsidR="00734CB2" w:rsidRPr="001672B6" w:rsidRDefault="004377E8" w:rsidP="009F6D3C">
      <w:pPr>
        <w:pStyle w:val="ListParagraph"/>
        <w:numPr>
          <w:ilvl w:val="0"/>
          <w:numId w:val="6"/>
        </w:numPr>
        <w:tabs>
          <w:tab w:val="clear" w:pos="360"/>
        </w:tabs>
        <w:spacing w:before="120" w:after="120"/>
        <w:contextualSpacing w:val="0"/>
        <w:rPr>
          <w:color w:val="000000"/>
          <w:kern w:val="22"/>
          <w:szCs w:val="22"/>
          <w:lang w:val="fr-FR"/>
        </w:rPr>
      </w:pPr>
      <w:r w:rsidRPr="008307EE">
        <w:rPr>
          <w:color w:val="000000"/>
          <w:kern w:val="22"/>
          <w:szCs w:val="22"/>
          <w:lang w:val="fr-FR"/>
        </w:rPr>
        <w:t>La théorie du changement du cadre reconnaît la nécessité</w:t>
      </w:r>
      <w:r w:rsidR="00EE0394" w:rsidRPr="008307EE">
        <w:rPr>
          <w:color w:val="000000"/>
          <w:kern w:val="22"/>
          <w:szCs w:val="22"/>
          <w:lang w:val="fr-FR"/>
        </w:rPr>
        <w:t xml:space="preserve"> d’une reconnaissance appropriée de l’égalité des sexes, de l’habilitation des femmes, des jeunes, d’approches tenant compte des questions de genre et de la participation pleine et effective des peuples autochtones et communautés locales à </w:t>
      </w:r>
      <w:r w:rsidR="00FF2450">
        <w:rPr>
          <w:color w:val="000000"/>
          <w:kern w:val="22"/>
          <w:szCs w:val="22"/>
          <w:lang w:val="fr-FR"/>
        </w:rPr>
        <w:t xml:space="preserve">la mise en œuvre de </w:t>
      </w:r>
      <w:r w:rsidR="00EE0394" w:rsidRPr="008307EE">
        <w:rPr>
          <w:color w:val="000000"/>
          <w:kern w:val="22"/>
          <w:szCs w:val="22"/>
          <w:lang w:val="fr-FR"/>
        </w:rPr>
        <w:t>ce cadre. En outre, elle est fondée sur la reconnaissance du fait que sa mise en œuvre sera entreprise en partenariat avec de nombreuses organisation aux niveaux mondial, national et local afin d</w:t>
      </w:r>
      <w:r w:rsidR="0055334E" w:rsidRPr="008307EE">
        <w:rPr>
          <w:color w:val="000000"/>
          <w:kern w:val="22"/>
          <w:szCs w:val="22"/>
          <w:lang w:val="fr-FR"/>
        </w:rPr>
        <w:t>’optimiser</w:t>
      </w:r>
      <w:r w:rsidR="00EE0394" w:rsidRPr="008307EE">
        <w:rPr>
          <w:color w:val="000000"/>
          <w:kern w:val="22"/>
          <w:szCs w:val="22"/>
          <w:lang w:val="fr-FR"/>
        </w:rPr>
        <w:t xml:space="preserve"> </w:t>
      </w:r>
      <w:r w:rsidR="0055334E" w:rsidRPr="008307EE">
        <w:rPr>
          <w:color w:val="000000"/>
          <w:kern w:val="22"/>
          <w:szCs w:val="22"/>
          <w:lang w:val="fr-FR"/>
        </w:rPr>
        <w:t>l</w:t>
      </w:r>
      <w:r w:rsidR="00EE0394" w:rsidRPr="008307EE">
        <w:rPr>
          <w:color w:val="000000"/>
          <w:kern w:val="22"/>
          <w:szCs w:val="22"/>
          <w:lang w:val="fr-FR"/>
        </w:rPr>
        <w:t>es moyens</w:t>
      </w:r>
      <w:r w:rsidR="0055334E" w:rsidRPr="008307EE">
        <w:rPr>
          <w:color w:val="000000"/>
          <w:kern w:val="22"/>
          <w:szCs w:val="22"/>
          <w:lang w:val="fr-FR"/>
        </w:rPr>
        <w:t xml:space="preserve"> de créer une dynamique en faveur du succès. Elle sera mise en œuvre en adoptant une approche fondée sur les droits et en reconnaissant le principe d’équité entre les générations.</w:t>
      </w:r>
    </w:p>
    <w:p w14:paraId="50E60D3E" w14:textId="4B92FC85" w:rsidR="00734CB2" w:rsidRDefault="0055334E" w:rsidP="009F6D3C">
      <w:pPr>
        <w:pStyle w:val="ListParagraph"/>
        <w:numPr>
          <w:ilvl w:val="0"/>
          <w:numId w:val="6"/>
        </w:numPr>
        <w:tabs>
          <w:tab w:val="clear" w:pos="360"/>
        </w:tabs>
        <w:spacing w:before="120" w:after="120"/>
        <w:contextualSpacing w:val="0"/>
        <w:rPr>
          <w:color w:val="000000"/>
          <w:kern w:val="22"/>
          <w:szCs w:val="22"/>
          <w:lang w:val="fr-FR"/>
        </w:rPr>
      </w:pPr>
      <w:r>
        <w:rPr>
          <w:color w:val="000000"/>
          <w:kern w:val="22"/>
          <w:szCs w:val="22"/>
          <w:lang w:val="fr-FR"/>
        </w:rPr>
        <w:t>La théorie du changement complète et appuie le Programme de développement durable à l’horizon 2030. Elle prend aussi en compte les stratégies et les objectifs à long terme d’autres accords multilatéraux sur l’environnement, notamment les conventions relatives à la biodiversité et les conventions de rio, afin d’assurer la réalisation synergique d’avantages de tous les accords, pour la planète et la population.</w:t>
      </w:r>
    </w:p>
    <w:p w14:paraId="60EE520E" w14:textId="7E9720BF" w:rsidR="00E142F0" w:rsidRPr="001672B6" w:rsidRDefault="00E142F0" w:rsidP="008173FF">
      <w:pPr>
        <w:pStyle w:val="ListParagraph"/>
        <w:spacing w:before="120" w:after="120"/>
        <w:ind w:left="0"/>
        <w:contextualSpacing w:val="0"/>
        <w:rPr>
          <w:color w:val="000000"/>
          <w:kern w:val="22"/>
          <w:szCs w:val="22"/>
          <w:lang w:val="fr-FR"/>
        </w:rPr>
      </w:pPr>
      <w:r>
        <w:rPr>
          <w:noProof/>
          <w:color w:val="000000"/>
          <w:kern w:val="22"/>
          <w:szCs w:val="22"/>
          <w:lang w:val="fr-FR"/>
        </w:rPr>
        <w:drawing>
          <wp:inline distT="0" distB="0" distL="0" distR="0" wp14:anchorId="69FCBBD3" wp14:editId="7B9898F5">
            <wp:extent cx="5892904" cy="3822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194" cy="3837160"/>
                    </a:xfrm>
                    <a:prstGeom prst="rect">
                      <a:avLst/>
                    </a:prstGeom>
                    <a:noFill/>
                  </pic:spPr>
                </pic:pic>
              </a:graphicData>
            </a:graphic>
          </wp:inline>
        </w:drawing>
      </w:r>
    </w:p>
    <w:p w14:paraId="6B04B0CB" w14:textId="02A3AA42" w:rsidR="00234F50" w:rsidRDefault="00234F50" w:rsidP="005A3C61">
      <w:pPr>
        <w:spacing w:before="120" w:after="120"/>
        <w:rPr>
          <w:b/>
          <w:kern w:val="22"/>
          <w:szCs w:val="22"/>
          <w:lang w:val="fr-FR"/>
        </w:rPr>
      </w:pPr>
      <w:r w:rsidRPr="001672B6">
        <w:rPr>
          <w:b/>
          <w:kern w:val="22"/>
          <w:szCs w:val="22"/>
          <w:lang w:val="fr-FR"/>
        </w:rPr>
        <w:t>Figure 1</w:t>
      </w:r>
      <w:r w:rsidR="00BF3A51">
        <w:rPr>
          <w:b/>
          <w:kern w:val="22"/>
          <w:szCs w:val="22"/>
          <w:lang w:val="fr-FR"/>
        </w:rPr>
        <w:t xml:space="preserve">.  </w:t>
      </w:r>
      <w:r w:rsidR="00946160">
        <w:rPr>
          <w:b/>
          <w:kern w:val="22"/>
          <w:szCs w:val="22"/>
          <w:lang w:val="fr-FR"/>
        </w:rPr>
        <w:t>Théorie du changement du cadre</w:t>
      </w:r>
    </w:p>
    <w:p w14:paraId="5BC754F5" w14:textId="600C3A58" w:rsidR="00FF468A" w:rsidRDefault="00FF468A" w:rsidP="00FF468A">
      <w:pPr>
        <w:pStyle w:val="Heading1"/>
        <w:numPr>
          <w:ilvl w:val="0"/>
          <w:numId w:val="9"/>
        </w:numPr>
        <w:spacing w:before="120"/>
        <w:rPr>
          <w:b w:val="0"/>
          <w:kern w:val="22"/>
          <w:szCs w:val="22"/>
          <w:lang w:val="fr-FR"/>
        </w:rPr>
      </w:pPr>
      <w:r>
        <w:rPr>
          <w:iCs/>
          <w:snapToGrid w:val="0"/>
          <w:kern w:val="22"/>
          <w:lang w:val="fr-FR"/>
        </w:rPr>
        <w:t>Le cadre</w:t>
      </w:r>
    </w:p>
    <w:p w14:paraId="2DFF46D2" w14:textId="37EE9D42" w:rsidR="00234F50" w:rsidRPr="001672B6" w:rsidRDefault="004377E8" w:rsidP="00172099">
      <w:pPr>
        <w:pStyle w:val="Heading2"/>
        <w:numPr>
          <w:ilvl w:val="0"/>
          <w:numId w:val="10"/>
        </w:numPr>
        <w:tabs>
          <w:tab w:val="clear" w:pos="720"/>
        </w:tabs>
        <w:spacing w:before="240"/>
        <w:ind w:left="714" w:hanging="357"/>
        <w:rPr>
          <w:rFonts w:eastAsia="Malgun Gothic"/>
          <w:kern w:val="22"/>
          <w:lang w:val="fr-FR"/>
        </w:rPr>
      </w:pPr>
      <w:r>
        <w:rPr>
          <w:rFonts w:eastAsia="Malgun Gothic"/>
          <w:kern w:val="22"/>
          <w:lang w:val="fr-FR"/>
        </w:rPr>
        <w:t xml:space="preserve">Vision </w:t>
      </w:r>
      <w:r w:rsidR="00234F50" w:rsidRPr="001672B6">
        <w:rPr>
          <w:rFonts w:eastAsia="Malgun Gothic"/>
          <w:kern w:val="22"/>
          <w:lang w:val="fr-FR"/>
        </w:rPr>
        <w:t>2050</w:t>
      </w:r>
    </w:p>
    <w:p w14:paraId="354CAF7F" w14:textId="00C42BE7" w:rsidR="00234F50" w:rsidRPr="001672B6" w:rsidRDefault="007B7860" w:rsidP="005A3C61">
      <w:pPr>
        <w:pStyle w:val="Para1"/>
        <w:numPr>
          <w:ilvl w:val="0"/>
          <w:numId w:val="6"/>
        </w:numPr>
        <w:tabs>
          <w:tab w:val="clear" w:pos="360"/>
        </w:tabs>
        <w:rPr>
          <w:kern w:val="22"/>
          <w:szCs w:val="22"/>
          <w:lang w:val="fr-FR"/>
        </w:rPr>
      </w:pPr>
      <w:r>
        <w:rPr>
          <w:kern w:val="22"/>
          <w:szCs w:val="22"/>
          <w:lang w:val="fr-FR"/>
        </w:rPr>
        <w:t xml:space="preserve">La vision du cadre est un monde qui vit en harmonie avec la nature, selon laquelle : « d’ici à 2050, </w:t>
      </w:r>
      <w:r w:rsidR="001F76AB">
        <w:rPr>
          <w:kern w:val="22"/>
          <w:szCs w:val="22"/>
          <w:lang w:val="fr-FR"/>
        </w:rPr>
        <w:t xml:space="preserve">la biodiversité est valorisée, conservée, restaurée et utilisée avec sagesse, </w:t>
      </w:r>
      <w:r w:rsidR="001F76AB" w:rsidRPr="001A0230">
        <w:rPr>
          <w:noProof/>
          <w:szCs w:val="22"/>
          <w:lang w:val="fr-FR"/>
        </w:rPr>
        <w:t>en assurant le maintien des services fournis par les écosystèmes, en maintenant la planète en bonne santé et en procurant des avantages essentiels à tous les peuples</w:t>
      </w:r>
      <w:r w:rsidR="001F76AB">
        <w:rPr>
          <w:noProof/>
          <w:szCs w:val="22"/>
          <w:lang w:val="fr-FR"/>
        </w:rPr>
        <w:t>.</w:t>
      </w:r>
      <w:r w:rsidR="001F76AB" w:rsidRPr="001A0230">
        <w:rPr>
          <w:noProof/>
          <w:szCs w:val="22"/>
          <w:lang w:val="fr-FR"/>
        </w:rPr>
        <w:t>»</w:t>
      </w:r>
    </w:p>
    <w:p w14:paraId="59F5605F" w14:textId="5C7742A4" w:rsidR="00234F50" w:rsidRPr="001672B6" w:rsidRDefault="000B4829" w:rsidP="00172099">
      <w:pPr>
        <w:pStyle w:val="Heading2"/>
        <w:numPr>
          <w:ilvl w:val="0"/>
          <w:numId w:val="10"/>
        </w:numPr>
        <w:tabs>
          <w:tab w:val="clear" w:pos="720"/>
        </w:tabs>
        <w:spacing w:before="240"/>
        <w:ind w:left="714" w:hanging="357"/>
        <w:rPr>
          <w:b w:val="0"/>
          <w:kern w:val="22"/>
          <w:szCs w:val="22"/>
          <w:lang w:val="fr-FR"/>
        </w:rPr>
      </w:pPr>
      <w:r>
        <w:rPr>
          <w:rFonts w:eastAsia="Malgun Gothic"/>
          <w:kern w:val="22"/>
          <w:lang w:val="fr-FR"/>
        </w:rPr>
        <w:lastRenderedPageBreak/>
        <w:t xml:space="preserve">Objectifs </w:t>
      </w:r>
      <w:r w:rsidR="00BE4518">
        <w:rPr>
          <w:rFonts w:eastAsia="Malgun Gothic"/>
          <w:kern w:val="22"/>
          <w:lang w:val="fr-FR"/>
        </w:rPr>
        <w:t>aux horizons</w:t>
      </w:r>
      <w:r>
        <w:rPr>
          <w:rFonts w:eastAsia="Malgun Gothic"/>
          <w:kern w:val="22"/>
          <w:lang w:val="fr-FR"/>
        </w:rPr>
        <w:t xml:space="preserve"> 2030 et 2050</w:t>
      </w:r>
      <w:r w:rsidR="00FA1067" w:rsidRPr="001672B6">
        <w:rPr>
          <w:rFonts w:eastAsia="Malgun Gothic"/>
          <w:kern w:val="22"/>
          <w:lang w:val="fr-FR"/>
        </w:rPr>
        <w:t xml:space="preserve"> </w:t>
      </w:r>
    </w:p>
    <w:p w14:paraId="357EF00F" w14:textId="49BEA522" w:rsidR="00A925AB" w:rsidRPr="001672B6" w:rsidRDefault="000B4829" w:rsidP="005A3C61">
      <w:pPr>
        <w:pStyle w:val="Para1"/>
        <w:numPr>
          <w:ilvl w:val="0"/>
          <w:numId w:val="6"/>
        </w:numPr>
        <w:tabs>
          <w:tab w:val="clear" w:pos="360"/>
        </w:tabs>
        <w:rPr>
          <w:kern w:val="22"/>
          <w:szCs w:val="22"/>
          <w:lang w:val="fr-FR"/>
        </w:rPr>
      </w:pPr>
      <w:r>
        <w:rPr>
          <w:kern w:val="22"/>
          <w:szCs w:val="22"/>
          <w:lang w:val="fr-FR"/>
        </w:rPr>
        <w:t>Le cadre à 5 objectifs à long terme pour 2050 liés à la Vision 2050 pour la diversité biologique. Chacun de ces objectifs est associé à un résultat pour 2030</w:t>
      </w:r>
      <w:r w:rsidR="0024410E" w:rsidRPr="007C59FB">
        <w:rPr>
          <w:rStyle w:val="FootnoteReference"/>
          <w:kern w:val="22"/>
          <w:sz w:val="22"/>
          <w:szCs w:val="22"/>
          <w:u w:val="none"/>
          <w:vertAlign w:val="superscript"/>
          <w:lang w:val="fr-FR"/>
        </w:rPr>
        <w:footnoteReference w:id="11"/>
      </w:r>
      <w:r>
        <w:rPr>
          <w:kern w:val="22"/>
          <w:szCs w:val="22"/>
          <w:lang w:val="fr-FR"/>
        </w:rPr>
        <w:t>. Ces cinq objectifs sont les suivants :</w:t>
      </w:r>
    </w:p>
    <w:p w14:paraId="61CC373B" w14:textId="7E535546" w:rsidR="00A925AB" w:rsidRPr="001672B6" w:rsidRDefault="008F4255" w:rsidP="005A3C61">
      <w:pPr>
        <w:pStyle w:val="Para1"/>
        <w:numPr>
          <w:ilvl w:val="1"/>
          <w:numId w:val="6"/>
        </w:numPr>
        <w:rPr>
          <w:kern w:val="22"/>
          <w:lang w:val="fr-FR"/>
        </w:rPr>
      </w:pPr>
      <w:r>
        <w:rPr>
          <w:kern w:val="22"/>
          <w:lang w:val="fr-FR"/>
        </w:rPr>
        <w:t xml:space="preserve">D’ici à 2030, aucune perte nette dans la superficie et l’intégrité des écosystèmes d’eau douce, marins et terrestres et augmentation d’au moins </w:t>
      </w:r>
      <w:r w:rsidR="00A925AB" w:rsidRPr="001672B6">
        <w:rPr>
          <w:kern w:val="22"/>
          <w:lang w:val="fr-FR"/>
        </w:rPr>
        <w:t>[20%]</w:t>
      </w:r>
      <w:r w:rsidR="00172099" w:rsidRPr="001672B6">
        <w:rPr>
          <w:kern w:val="22"/>
          <w:lang w:val="fr-FR"/>
        </w:rPr>
        <w:t xml:space="preserve"> </w:t>
      </w:r>
      <w:r>
        <w:rPr>
          <w:kern w:val="22"/>
          <w:lang w:val="fr-FR"/>
        </w:rPr>
        <w:t>d’ici à 2050, assurant ainsi la résilience des écosystèmes ;</w:t>
      </w:r>
    </w:p>
    <w:p w14:paraId="726FACB8" w14:textId="1F6C6C27" w:rsidR="00A925AB" w:rsidRPr="001672B6" w:rsidRDefault="00A77468" w:rsidP="009F6D3C">
      <w:pPr>
        <w:pStyle w:val="Para1"/>
        <w:numPr>
          <w:ilvl w:val="1"/>
          <w:numId w:val="6"/>
        </w:numPr>
        <w:rPr>
          <w:kern w:val="22"/>
          <w:lang w:val="fr-FR"/>
        </w:rPr>
      </w:pPr>
      <w:r>
        <w:rPr>
          <w:kern w:val="22"/>
          <w:lang w:val="fr-FR"/>
        </w:rPr>
        <w:t xml:space="preserve">Le pourcentage d’espèces menacées d’extinction est réduit de </w:t>
      </w:r>
      <w:r w:rsidR="00A925AB" w:rsidRPr="001672B6">
        <w:rPr>
          <w:kern w:val="22"/>
          <w:lang w:val="fr-FR"/>
        </w:rPr>
        <w:t>[X%]</w:t>
      </w:r>
      <w:r w:rsidR="00580E7E" w:rsidRPr="001672B6">
        <w:rPr>
          <w:kern w:val="22"/>
          <w:lang w:val="fr-FR"/>
        </w:rPr>
        <w:t xml:space="preserve"> </w:t>
      </w:r>
      <w:r>
        <w:rPr>
          <w:kern w:val="22"/>
          <w:lang w:val="fr-FR"/>
        </w:rPr>
        <w:t xml:space="preserve">et l’abondance des espèces a augmenté </w:t>
      </w:r>
      <w:r w:rsidR="00BE4518">
        <w:rPr>
          <w:kern w:val="22"/>
          <w:lang w:val="fr-FR"/>
        </w:rPr>
        <w:t xml:space="preserve">en moyenne de </w:t>
      </w:r>
      <w:r w:rsidR="00580E7E" w:rsidRPr="001672B6">
        <w:rPr>
          <w:kern w:val="22"/>
          <w:lang w:val="fr-FR"/>
        </w:rPr>
        <w:t xml:space="preserve">[X%] </w:t>
      </w:r>
      <w:r w:rsidR="00BE4518">
        <w:rPr>
          <w:kern w:val="22"/>
          <w:lang w:val="fr-FR"/>
        </w:rPr>
        <w:t>d’ici à 2030</w:t>
      </w:r>
      <w:r w:rsidR="00A925AB" w:rsidRPr="001672B6">
        <w:rPr>
          <w:kern w:val="22"/>
          <w:lang w:val="fr-FR"/>
        </w:rPr>
        <w:t xml:space="preserve"> </w:t>
      </w:r>
      <w:r w:rsidR="00BE4518">
        <w:rPr>
          <w:kern w:val="22"/>
          <w:lang w:val="fr-FR"/>
        </w:rPr>
        <w:t>et de</w:t>
      </w:r>
      <w:r w:rsidR="00A925AB" w:rsidRPr="001672B6">
        <w:rPr>
          <w:kern w:val="22"/>
          <w:lang w:val="fr-FR"/>
        </w:rPr>
        <w:t xml:space="preserve"> [X%]</w:t>
      </w:r>
      <w:r w:rsidR="00580E7E" w:rsidRPr="001672B6">
        <w:rPr>
          <w:kern w:val="22"/>
          <w:lang w:val="fr-FR"/>
        </w:rPr>
        <w:t xml:space="preserve"> </w:t>
      </w:r>
      <w:r w:rsidR="00BE4518">
        <w:rPr>
          <w:kern w:val="22"/>
          <w:lang w:val="fr-FR"/>
        </w:rPr>
        <w:t>d’ici à 2050 ;</w:t>
      </w:r>
      <w:r w:rsidR="00A925AB" w:rsidRPr="001672B6">
        <w:rPr>
          <w:kern w:val="22"/>
          <w:lang w:val="fr-FR"/>
        </w:rPr>
        <w:t xml:space="preserve"> </w:t>
      </w:r>
    </w:p>
    <w:p w14:paraId="41420A53" w14:textId="4886DD17" w:rsidR="00A925AB" w:rsidRPr="001672B6" w:rsidRDefault="00BE4518" w:rsidP="009F6D3C">
      <w:pPr>
        <w:pStyle w:val="Para1"/>
        <w:numPr>
          <w:ilvl w:val="1"/>
          <w:numId w:val="6"/>
        </w:numPr>
        <w:rPr>
          <w:kern w:val="22"/>
          <w:lang w:val="fr-FR"/>
        </w:rPr>
      </w:pPr>
      <w:r>
        <w:rPr>
          <w:kern w:val="22"/>
          <w:lang w:val="fr-FR"/>
        </w:rPr>
        <w:t>La diversité génétique</w:t>
      </w:r>
      <w:r w:rsidR="00A925AB" w:rsidRPr="001672B6">
        <w:rPr>
          <w:kern w:val="22"/>
          <w:lang w:val="fr-FR"/>
        </w:rPr>
        <w:t xml:space="preserve"> </w:t>
      </w:r>
      <w:r w:rsidR="002E3ECF">
        <w:rPr>
          <w:kern w:val="22"/>
          <w:lang w:val="fr-FR"/>
        </w:rPr>
        <w:t xml:space="preserve">est préservée ou augmentée en moyenne d’ici à 2030 et pour </w:t>
      </w:r>
      <w:r w:rsidR="00A925AB" w:rsidRPr="001672B6">
        <w:rPr>
          <w:kern w:val="22"/>
          <w:lang w:val="fr-FR"/>
        </w:rPr>
        <w:t xml:space="preserve">[90%] </w:t>
      </w:r>
      <w:r w:rsidR="002E3ECF">
        <w:rPr>
          <w:kern w:val="22"/>
          <w:lang w:val="fr-FR"/>
        </w:rPr>
        <w:t>des espèces d’ici à2050 ;</w:t>
      </w:r>
      <w:r w:rsidR="00A925AB" w:rsidRPr="001672B6">
        <w:rPr>
          <w:kern w:val="22"/>
          <w:lang w:val="fr-FR"/>
        </w:rPr>
        <w:t xml:space="preserve"> </w:t>
      </w:r>
    </w:p>
    <w:p w14:paraId="1D92F92E" w14:textId="685C0E55" w:rsidR="00A925AB" w:rsidRPr="001672B6" w:rsidRDefault="000C00B3" w:rsidP="009F6D3C">
      <w:pPr>
        <w:pStyle w:val="Para1"/>
        <w:numPr>
          <w:ilvl w:val="1"/>
          <w:numId w:val="6"/>
        </w:numPr>
        <w:rPr>
          <w:kern w:val="22"/>
          <w:lang w:val="fr-FR"/>
        </w:rPr>
      </w:pPr>
      <w:r>
        <w:rPr>
          <w:kern w:val="22"/>
          <w:lang w:val="fr-FR"/>
        </w:rPr>
        <w:t>La nature fournit des avantages aux populations en contribuant à :</w:t>
      </w:r>
    </w:p>
    <w:p w14:paraId="2A6E2A30" w14:textId="74C344EC" w:rsidR="00172099" w:rsidRPr="001672B6" w:rsidRDefault="000C00B3" w:rsidP="00563EB6">
      <w:pPr>
        <w:pStyle w:val="Para3"/>
        <w:tabs>
          <w:tab w:val="clear" w:pos="1440"/>
          <w:tab w:val="clear" w:pos="1980"/>
        </w:tabs>
        <w:spacing w:before="120" w:after="120"/>
        <w:ind w:left="1418" w:hanging="567"/>
        <w:rPr>
          <w:lang w:val="fr-FR"/>
        </w:rPr>
      </w:pPr>
      <w:r>
        <w:rPr>
          <w:kern w:val="22"/>
          <w:lang w:val="fr-FR"/>
        </w:rPr>
        <w:t xml:space="preserve">Une meilleure nutrition pour au moins </w:t>
      </w:r>
      <w:r w:rsidR="00A925AB" w:rsidRPr="000C00B3">
        <w:rPr>
          <w:kern w:val="22"/>
          <w:lang w:val="fr-FR"/>
        </w:rPr>
        <w:t>[</w:t>
      </w:r>
      <w:r w:rsidR="00172099" w:rsidRPr="000C00B3">
        <w:rPr>
          <w:kern w:val="22"/>
          <w:lang w:val="fr-FR"/>
        </w:rPr>
        <w:t>X</w:t>
      </w:r>
      <w:r w:rsidR="00A925AB" w:rsidRPr="000C00B3">
        <w:rPr>
          <w:kern w:val="22"/>
          <w:lang w:val="fr-FR"/>
        </w:rPr>
        <w:t xml:space="preserve"> million</w:t>
      </w:r>
      <w:r>
        <w:rPr>
          <w:kern w:val="22"/>
          <w:lang w:val="fr-FR"/>
        </w:rPr>
        <w:t>s</w:t>
      </w:r>
      <w:r w:rsidR="00A925AB" w:rsidRPr="000C00B3">
        <w:rPr>
          <w:kern w:val="22"/>
          <w:lang w:val="fr-FR"/>
        </w:rPr>
        <w:t xml:space="preserve">] </w:t>
      </w:r>
      <w:r>
        <w:rPr>
          <w:kern w:val="22"/>
          <w:lang w:val="fr-FR"/>
        </w:rPr>
        <w:t xml:space="preserve">de personnes d’ici à </w:t>
      </w:r>
      <w:r w:rsidR="00A925AB" w:rsidRPr="000C00B3">
        <w:rPr>
          <w:kern w:val="22"/>
          <w:lang w:val="fr-FR"/>
        </w:rPr>
        <w:t xml:space="preserve">2030 </w:t>
      </w:r>
      <w:r>
        <w:rPr>
          <w:kern w:val="22"/>
          <w:lang w:val="fr-FR"/>
        </w:rPr>
        <w:t>et</w:t>
      </w:r>
      <w:r w:rsidR="00A925AB" w:rsidRPr="000C00B3">
        <w:rPr>
          <w:kern w:val="22"/>
          <w:lang w:val="fr-FR"/>
        </w:rPr>
        <w:t xml:space="preserve"> [Y million</w:t>
      </w:r>
      <w:r>
        <w:rPr>
          <w:kern w:val="22"/>
          <w:lang w:val="fr-FR"/>
        </w:rPr>
        <w:t>s</w:t>
      </w:r>
      <w:r w:rsidR="00A925AB" w:rsidRPr="000C00B3">
        <w:rPr>
          <w:kern w:val="22"/>
          <w:lang w:val="fr-FR"/>
        </w:rPr>
        <w:t xml:space="preserve">] </w:t>
      </w:r>
      <w:r>
        <w:rPr>
          <w:kern w:val="22"/>
          <w:lang w:val="fr-FR"/>
        </w:rPr>
        <w:t>d’ici à</w:t>
      </w:r>
      <w:r w:rsidR="00A925AB" w:rsidRPr="000C00B3">
        <w:rPr>
          <w:kern w:val="22"/>
          <w:lang w:val="fr-FR"/>
        </w:rPr>
        <w:t xml:space="preserve"> 2050</w:t>
      </w:r>
      <w:r w:rsidR="00604EB8" w:rsidRPr="000C00B3">
        <w:rPr>
          <w:kern w:val="22"/>
          <w:lang w:val="fr-FR"/>
        </w:rPr>
        <w:t>;</w:t>
      </w:r>
    </w:p>
    <w:p w14:paraId="5F552A0F" w14:textId="46D366E0" w:rsidR="00A925AB" w:rsidRPr="001672B6" w:rsidRDefault="000C00B3" w:rsidP="00563EB6">
      <w:pPr>
        <w:pStyle w:val="Para3"/>
        <w:tabs>
          <w:tab w:val="clear" w:pos="1440"/>
          <w:tab w:val="clear" w:pos="1980"/>
        </w:tabs>
        <w:spacing w:before="120" w:after="120"/>
        <w:ind w:left="1418" w:hanging="567"/>
        <w:rPr>
          <w:kern w:val="22"/>
          <w:lang w:val="fr-FR"/>
        </w:rPr>
      </w:pPr>
      <w:r>
        <w:rPr>
          <w:kern w:val="22"/>
          <w:lang w:val="fr-FR"/>
        </w:rPr>
        <w:t xml:space="preserve">Des améliorations dans l’accès durable à une eau sûre et potable pour au moins </w:t>
      </w:r>
      <w:r w:rsidR="00A925AB" w:rsidRPr="001672B6">
        <w:rPr>
          <w:kern w:val="22"/>
          <w:lang w:val="fr-FR"/>
        </w:rPr>
        <w:t>[X million</w:t>
      </w:r>
      <w:r w:rsidR="002E307E">
        <w:rPr>
          <w:kern w:val="22"/>
          <w:lang w:val="fr-FR"/>
        </w:rPr>
        <w:t>s</w:t>
      </w:r>
      <w:r w:rsidR="00A925AB" w:rsidRPr="001672B6">
        <w:rPr>
          <w:kern w:val="22"/>
          <w:lang w:val="fr-FR"/>
        </w:rPr>
        <w:t xml:space="preserve">] </w:t>
      </w:r>
      <w:r w:rsidR="002E307E">
        <w:rPr>
          <w:kern w:val="22"/>
          <w:lang w:val="fr-FR"/>
        </w:rPr>
        <w:t>de personnes</w:t>
      </w:r>
      <w:r w:rsidR="00A925AB" w:rsidRPr="001672B6">
        <w:rPr>
          <w:kern w:val="22"/>
          <w:lang w:val="fr-FR"/>
        </w:rPr>
        <w:t xml:space="preserve"> </w:t>
      </w:r>
      <w:r w:rsidR="002E307E">
        <w:rPr>
          <w:kern w:val="22"/>
          <w:lang w:val="fr-FR"/>
        </w:rPr>
        <w:t>d’ici à</w:t>
      </w:r>
      <w:r w:rsidR="00A925AB" w:rsidRPr="001672B6">
        <w:rPr>
          <w:kern w:val="22"/>
          <w:lang w:val="fr-FR"/>
        </w:rPr>
        <w:t xml:space="preserve"> 2030 </w:t>
      </w:r>
      <w:r w:rsidR="002E307E">
        <w:rPr>
          <w:kern w:val="22"/>
          <w:lang w:val="fr-FR"/>
        </w:rPr>
        <w:t>et</w:t>
      </w:r>
      <w:r w:rsidR="00A925AB" w:rsidRPr="001672B6">
        <w:rPr>
          <w:kern w:val="22"/>
          <w:lang w:val="fr-FR"/>
        </w:rPr>
        <w:t xml:space="preserve"> [Y million</w:t>
      </w:r>
      <w:r w:rsidR="002E307E">
        <w:rPr>
          <w:kern w:val="22"/>
          <w:lang w:val="fr-FR"/>
        </w:rPr>
        <w:t>s</w:t>
      </w:r>
      <w:r w:rsidR="00A925AB" w:rsidRPr="001672B6">
        <w:rPr>
          <w:kern w:val="22"/>
          <w:lang w:val="fr-FR"/>
        </w:rPr>
        <w:t xml:space="preserve">] </w:t>
      </w:r>
      <w:r w:rsidR="002E307E">
        <w:rPr>
          <w:kern w:val="22"/>
          <w:lang w:val="fr-FR"/>
        </w:rPr>
        <w:t>d’ici à</w:t>
      </w:r>
      <w:r w:rsidR="00A925AB" w:rsidRPr="001672B6">
        <w:rPr>
          <w:kern w:val="22"/>
          <w:lang w:val="fr-FR"/>
        </w:rPr>
        <w:t xml:space="preserve"> 2050</w:t>
      </w:r>
      <w:r w:rsidR="00604EB8" w:rsidRPr="001672B6">
        <w:rPr>
          <w:kern w:val="22"/>
          <w:lang w:val="fr-FR"/>
        </w:rPr>
        <w:t>;</w:t>
      </w:r>
      <w:r w:rsidR="00A925AB" w:rsidRPr="001672B6">
        <w:rPr>
          <w:kern w:val="22"/>
          <w:lang w:val="fr-FR"/>
        </w:rPr>
        <w:t xml:space="preserve"> </w:t>
      </w:r>
    </w:p>
    <w:p w14:paraId="613B6B3F" w14:textId="19267612" w:rsidR="00A925AB" w:rsidRPr="001672B6" w:rsidRDefault="0089569F" w:rsidP="00563EB6">
      <w:pPr>
        <w:pStyle w:val="Para3"/>
        <w:tabs>
          <w:tab w:val="clear" w:pos="1440"/>
          <w:tab w:val="clear" w:pos="1980"/>
        </w:tabs>
        <w:spacing w:before="120" w:after="120"/>
        <w:ind w:left="1418" w:hanging="567"/>
        <w:rPr>
          <w:kern w:val="22"/>
          <w:lang w:val="fr-FR"/>
        </w:rPr>
      </w:pPr>
      <w:r>
        <w:rPr>
          <w:kern w:val="22"/>
          <w:lang w:val="fr-FR"/>
        </w:rPr>
        <w:t xml:space="preserve">Des améliorations dans la résilience face aux catastrophes naturelles pour au moins </w:t>
      </w:r>
      <w:r w:rsidR="00A925AB" w:rsidRPr="001672B6">
        <w:rPr>
          <w:kern w:val="22"/>
          <w:lang w:val="fr-FR"/>
        </w:rPr>
        <w:t>[X million</w:t>
      </w:r>
      <w:r>
        <w:rPr>
          <w:kern w:val="22"/>
          <w:lang w:val="fr-FR"/>
        </w:rPr>
        <w:t>s</w:t>
      </w:r>
      <w:r w:rsidR="00A925AB" w:rsidRPr="001672B6">
        <w:rPr>
          <w:kern w:val="22"/>
          <w:lang w:val="fr-FR"/>
        </w:rPr>
        <w:t xml:space="preserve">] </w:t>
      </w:r>
      <w:r>
        <w:rPr>
          <w:kern w:val="22"/>
          <w:lang w:val="fr-FR"/>
        </w:rPr>
        <w:t xml:space="preserve">de personnes d’ici à </w:t>
      </w:r>
      <w:r w:rsidR="00A925AB" w:rsidRPr="001672B6">
        <w:rPr>
          <w:kern w:val="22"/>
          <w:lang w:val="fr-FR"/>
        </w:rPr>
        <w:t xml:space="preserve">2030 </w:t>
      </w:r>
      <w:r>
        <w:rPr>
          <w:kern w:val="22"/>
          <w:lang w:val="fr-FR"/>
        </w:rPr>
        <w:t>et</w:t>
      </w:r>
      <w:r w:rsidR="00A925AB" w:rsidRPr="001672B6">
        <w:rPr>
          <w:kern w:val="22"/>
          <w:lang w:val="fr-FR"/>
        </w:rPr>
        <w:t xml:space="preserve"> [Y million</w:t>
      </w:r>
      <w:r>
        <w:rPr>
          <w:kern w:val="22"/>
          <w:lang w:val="fr-FR"/>
        </w:rPr>
        <w:t>s</w:t>
      </w:r>
      <w:r w:rsidR="00A925AB" w:rsidRPr="001672B6">
        <w:rPr>
          <w:kern w:val="22"/>
          <w:lang w:val="fr-FR"/>
        </w:rPr>
        <w:t xml:space="preserve">] </w:t>
      </w:r>
      <w:r>
        <w:rPr>
          <w:kern w:val="22"/>
          <w:lang w:val="fr-FR"/>
        </w:rPr>
        <w:t>d’ici à</w:t>
      </w:r>
      <w:r w:rsidR="00A925AB" w:rsidRPr="001672B6">
        <w:rPr>
          <w:kern w:val="22"/>
          <w:lang w:val="fr-FR"/>
        </w:rPr>
        <w:t xml:space="preserve"> 2050</w:t>
      </w:r>
      <w:r w:rsidR="00604EB8" w:rsidRPr="001672B6">
        <w:rPr>
          <w:kern w:val="22"/>
          <w:lang w:val="fr-FR"/>
        </w:rPr>
        <w:t>;</w:t>
      </w:r>
      <w:r w:rsidR="00A925AB" w:rsidRPr="001672B6">
        <w:rPr>
          <w:kern w:val="22"/>
          <w:lang w:val="fr-FR"/>
        </w:rPr>
        <w:t xml:space="preserve"> </w:t>
      </w:r>
    </w:p>
    <w:p w14:paraId="3F8E3C02" w14:textId="3D4D47E7" w:rsidR="00A925AB" w:rsidRPr="001672B6" w:rsidRDefault="00270D0A" w:rsidP="00563EB6">
      <w:pPr>
        <w:pStyle w:val="Para3"/>
        <w:tabs>
          <w:tab w:val="clear" w:pos="1440"/>
          <w:tab w:val="clear" w:pos="1980"/>
        </w:tabs>
        <w:spacing w:before="120" w:after="120"/>
        <w:ind w:left="1418" w:hanging="567"/>
        <w:rPr>
          <w:kern w:val="22"/>
          <w:lang w:val="fr-FR"/>
        </w:rPr>
      </w:pPr>
      <w:r w:rsidRPr="001672B6">
        <w:rPr>
          <w:kern w:val="22"/>
          <w:lang w:val="fr-FR"/>
        </w:rPr>
        <w:t>A</w:t>
      </w:r>
      <w:r w:rsidR="0089569F">
        <w:rPr>
          <w:kern w:val="22"/>
          <w:lang w:val="fr-FR"/>
        </w:rPr>
        <w:t>u moins</w:t>
      </w:r>
      <w:r w:rsidR="00A925AB" w:rsidRPr="001672B6">
        <w:rPr>
          <w:kern w:val="22"/>
          <w:lang w:val="fr-FR"/>
        </w:rPr>
        <w:t xml:space="preserve"> [30%] </w:t>
      </w:r>
      <w:r w:rsidR="0089569F">
        <w:rPr>
          <w:kern w:val="22"/>
          <w:lang w:val="fr-FR"/>
        </w:rPr>
        <w:t xml:space="preserve">des efforts déployés pour réaliser les cibles de l’accord de Parties d’ici à 2030 et </w:t>
      </w:r>
      <w:r w:rsidR="00172099" w:rsidRPr="001672B6">
        <w:rPr>
          <w:kern w:val="22"/>
          <w:lang w:val="fr-FR"/>
        </w:rPr>
        <w:t>2050</w:t>
      </w:r>
      <w:r w:rsidR="00A925AB" w:rsidRPr="001672B6">
        <w:rPr>
          <w:kern w:val="22"/>
          <w:lang w:val="fr-FR"/>
        </w:rPr>
        <w:t>.</w:t>
      </w:r>
    </w:p>
    <w:p w14:paraId="4EA0F6B0" w14:textId="1B2C7F81" w:rsidR="0024410E" w:rsidRPr="001672B6" w:rsidRDefault="0089569F" w:rsidP="005A3C61">
      <w:pPr>
        <w:pStyle w:val="Para1"/>
        <w:numPr>
          <w:ilvl w:val="1"/>
          <w:numId w:val="6"/>
        </w:numPr>
        <w:rPr>
          <w:kern w:val="22"/>
          <w:lang w:val="fr-FR"/>
        </w:rPr>
      </w:pPr>
      <w:r>
        <w:rPr>
          <w:kern w:val="22"/>
          <w:szCs w:val="22"/>
          <w:lang w:val="fr-FR"/>
        </w:rPr>
        <w:t>Partagés de manière juste et équitable</w:t>
      </w:r>
      <w:r w:rsidR="00877086" w:rsidRPr="001672B6">
        <w:rPr>
          <w:kern w:val="22"/>
          <w:szCs w:val="22"/>
          <w:lang w:val="fr-FR"/>
        </w:rPr>
        <w:t>,</w:t>
      </w:r>
      <w:r>
        <w:rPr>
          <w:kern w:val="22"/>
          <w:szCs w:val="22"/>
          <w:lang w:val="fr-FR"/>
        </w:rPr>
        <w:t xml:space="preserve"> les avantages découlant de l’utilisation des ressources génétiques </w:t>
      </w:r>
      <w:r w:rsidR="00416D45">
        <w:rPr>
          <w:kern w:val="22"/>
          <w:szCs w:val="22"/>
          <w:lang w:val="fr-FR"/>
        </w:rPr>
        <w:t xml:space="preserve"> et des connaissances traditionnelles associées ont augmenté de </w:t>
      </w:r>
      <w:r w:rsidR="00172099" w:rsidRPr="001672B6">
        <w:rPr>
          <w:kern w:val="22"/>
          <w:szCs w:val="22"/>
          <w:lang w:val="fr-FR"/>
        </w:rPr>
        <w:t xml:space="preserve">[X] </w:t>
      </w:r>
      <w:r w:rsidR="00416D45">
        <w:rPr>
          <w:kern w:val="22"/>
          <w:szCs w:val="22"/>
          <w:lang w:val="fr-FR"/>
        </w:rPr>
        <w:t>d’ici à</w:t>
      </w:r>
      <w:r w:rsidR="00172099" w:rsidRPr="001672B6">
        <w:rPr>
          <w:kern w:val="22"/>
          <w:szCs w:val="22"/>
          <w:lang w:val="fr-FR"/>
        </w:rPr>
        <w:t xml:space="preserve"> 2030 </w:t>
      </w:r>
      <w:r w:rsidR="00416D45">
        <w:rPr>
          <w:kern w:val="22"/>
          <w:szCs w:val="22"/>
          <w:lang w:val="fr-FR"/>
        </w:rPr>
        <w:t xml:space="preserve">et atteint </w:t>
      </w:r>
      <w:r w:rsidR="00172099" w:rsidRPr="001672B6">
        <w:rPr>
          <w:kern w:val="22"/>
          <w:szCs w:val="22"/>
          <w:lang w:val="fr-FR"/>
        </w:rPr>
        <w:t>[X</w:t>
      </w:r>
      <w:r w:rsidR="00877086" w:rsidRPr="001672B6">
        <w:rPr>
          <w:kern w:val="22"/>
          <w:szCs w:val="22"/>
          <w:lang w:val="fr-FR"/>
        </w:rPr>
        <w:t>]</w:t>
      </w:r>
      <w:r w:rsidR="00172099" w:rsidRPr="001672B6">
        <w:rPr>
          <w:kern w:val="22"/>
          <w:szCs w:val="22"/>
          <w:lang w:val="fr-FR"/>
        </w:rPr>
        <w:t xml:space="preserve"> </w:t>
      </w:r>
      <w:r w:rsidR="00416D45">
        <w:rPr>
          <w:kern w:val="22"/>
          <w:szCs w:val="22"/>
          <w:lang w:val="fr-FR"/>
        </w:rPr>
        <w:t>d’ici à</w:t>
      </w:r>
      <w:r w:rsidR="00172099" w:rsidRPr="001672B6">
        <w:rPr>
          <w:kern w:val="22"/>
          <w:szCs w:val="22"/>
          <w:lang w:val="fr-FR"/>
        </w:rPr>
        <w:t xml:space="preserve"> 2050</w:t>
      </w:r>
      <w:r w:rsidR="00BE6D60" w:rsidRPr="001672B6">
        <w:rPr>
          <w:kern w:val="22"/>
          <w:szCs w:val="22"/>
          <w:lang w:val="fr-FR"/>
        </w:rPr>
        <w:t>.</w:t>
      </w:r>
    </w:p>
    <w:p w14:paraId="10248F3D" w14:textId="24E2F393" w:rsidR="00234F50" w:rsidRPr="001672B6" w:rsidRDefault="00234F50" w:rsidP="00172099">
      <w:pPr>
        <w:pStyle w:val="Heading2"/>
        <w:numPr>
          <w:ilvl w:val="0"/>
          <w:numId w:val="10"/>
        </w:numPr>
        <w:tabs>
          <w:tab w:val="clear" w:pos="720"/>
        </w:tabs>
        <w:spacing w:before="240"/>
        <w:ind w:left="714" w:hanging="357"/>
        <w:rPr>
          <w:rFonts w:eastAsia="Malgun Gothic"/>
          <w:kern w:val="22"/>
          <w:szCs w:val="22"/>
          <w:lang w:val="fr-FR"/>
        </w:rPr>
      </w:pPr>
      <w:r w:rsidRPr="001672B6">
        <w:rPr>
          <w:rFonts w:eastAsia="Malgun Gothic"/>
          <w:kern w:val="22"/>
          <w:szCs w:val="22"/>
          <w:lang w:val="fr-FR"/>
        </w:rPr>
        <w:t>Mission</w:t>
      </w:r>
      <w:r w:rsidR="00416D45">
        <w:rPr>
          <w:rFonts w:eastAsia="Malgun Gothic"/>
          <w:kern w:val="22"/>
          <w:szCs w:val="22"/>
          <w:lang w:val="fr-FR"/>
        </w:rPr>
        <w:t xml:space="preserve">  à l’horizon 2030</w:t>
      </w:r>
    </w:p>
    <w:p w14:paraId="6597CDB5" w14:textId="29BD3E7F" w:rsidR="00243F6B" w:rsidRPr="001672B6" w:rsidRDefault="00416D45" w:rsidP="005A3C61">
      <w:pPr>
        <w:pStyle w:val="Para1"/>
        <w:numPr>
          <w:ilvl w:val="0"/>
          <w:numId w:val="6"/>
        </w:numPr>
        <w:tabs>
          <w:tab w:val="clear" w:pos="360"/>
        </w:tabs>
        <w:rPr>
          <w:kern w:val="22"/>
          <w:szCs w:val="22"/>
          <w:lang w:val="fr-FR"/>
        </w:rPr>
      </w:pPr>
      <w:r>
        <w:rPr>
          <w:kern w:val="22"/>
          <w:szCs w:val="22"/>
          <w:lang w:val="fr-FR"/>
        </w:rPr>
        <w:t>La mission de ce cadre à l’horizon 2030 est la suivante :</w:t>
      </w:r>
      <w:r w:rsidR="00234F50" w:rsidRPr="001672B6">
        <w:rPr>
          <w:kern w:val="22"/>
          <w:szCs w:val="22"/>
          <w:lang w:val="fr-FR"/>
        </w:rPr>
        <w:t xml:space="preserve"> </w:t>
      </w:r>
    </w:p>
    <w:p w14:paraId="0BBB7B96" w14:textId="4A3C19F3" w:rsidR="00243F6B" w:rsidRPr="001672B6" w:rsidRDefault="00416D45" w:rsidP="00BF3A51">
      <w:pPr>
        <w:pStyle w:val="Para1"/>
        <w:ind w:left="720"/>
        <w:rPr>
          <w:kern w:val="22"/>
          <w:szCs w:val="22"/>
          <w:lang w:val="fr-FR"/>
        </w:rPr>
      </w:pPr>
      <w:r>
        <w:rPr>
          <w:kern w:val="22"/>
          <w:szCs w:val="22"/>
          <w:lang w:val="fr-FR"/>
        </w:rPr>
        <w:t xml:space="preserve">Prendre </w:t>
      </w:r>
      <w:r w:rsidR="008C7995">
        <w:rPr>
          <w:kern w:val="22"/>
          <w:szCs w:val="22"/>
          <w:lang w:val="fr-FR"/>
        </w:rPr>
        <w:t xml:space="preserve">d’urgence </w:t>
      </w:r>
      <w:r>
        <w:rPr>
          <w:kern w:val="22"/>
          <w:szCs w:val="22"/>
          <w:lang w:val="fr-FR"/>
        </w:rPr>
        <w:t>des mesures dans l’ensemble de la société pour mettre la biodiversité sur la voie du rétablissement au profit de la planète et des populations</w:t>
      </w:r>
      <w:r w:rsidR="0024410E" w:rsidRPr="007C59FB">
        <w:rPr>
          <w:rStyle w:val="FootnoteReference"/>
          <w:kern w:val="22"/>
          <w:sz w:val="22"/>
          <w:szCs w:val="22"/>
          <w:u w:val="none"/>
          <w:vertAlign w:val="superscript"/>
          <w:lang w:val="fr-FR"/>
        </w:rPr>
        <w:footnoteReference w:id="12"/>
      </w:r>
      <w:r w:rsidR="006818E1" w:rsidRPr="001672B6" w:rsidDel="006818E1">
        <w:rPr>
          <w:kern w:val="22"/>
          <w:szCs w:val="22"/>
          <w:vertAlign w:val="superscript"/>
          <w:lang w:val="fr-FR"/>
        </w:rPr>
        <w:t xml:space="preserve"> </w:t>
      </w:r>
    </w:p>
    <w:p w14:paraId="3280F35F" w14:textId="7DBA8BA6" w:rsidR="00243F6B" w:rsidRPr="001672B6" w:rsidRDefault="00416D45" w:rsidP="00172099">
      <w:pPr>
        <w:pStyle w:val="Heading2"/>
        <w:numPr>
          <w:ilvl w:val="0"/>
          <w:numId w:val="10"/>
        </w:numPr>
        <w:tabs>
          <w:tab w:val="clear" w:pos="720"/>
        </w:tabs>
        <w:spacing w:before="240"/>
        <w:ind w:left="714" w:hanging="357"/>
        <w:rPr>
          <w:rFonts w:eastAsia="Malgun Gothic"/>
          <w:kern w:val="22"/>
          <w:szCs w:val="22"/>
          <w:lang w:val="fr-FR"/>
        </w:rPr>
      </w:pPr>
      <w:r>
        <w:rPr>
          <w:rFonts w:eastAsia="Malgun Gothic"/>
          <w:kern w:val="22"/>
          <w:szCs w:val="22"/>
          <w:lang w:val="fr-FR"/>
        </w:rPr>
        <w:t>Cibles ax</w:t>
      </w:r>
      <w:r w:rsidR="00074491">
        <w:rPr>
          <w:rFonts w:eastAsia="Malgun Gothic"/>
          <w:kern w:val="22"/>
          <w:szCs w:val="22"/>
          <w:lang w:val="fr-FR"/>
        </w:rPr>
        <w:t>ées sur l’action à échéance 2030</w:t>
      </w:r>
    </w:p>
    <w:p w14:paraId="1805611A" w14:textId="6CDF5484" w:rsidR="00072EBE" w:rsidRPr="001672B6" w:rsidRDefault="00074491" w:rsidP="00877086">
      <w:pPr>
        <w:pStyle w:val="Para1"/>
        <w:numPr>
          <w:ilvl w:val="0"/>
          <w:numId w:val="6"/>
        </w:numPr>
        <w:tabs>
          <w:tab w:val="clear" w:pos="360"/>
        </w:tabs>
        <w:rPr>
          <w:rFonts w:eastAsia="Malgun Gothic"/>
          <w:kern w:val="22"/>
          <w:szCs w:val="22"/>
          <w:lang w:val="fr-FR"/>
        </w:rPr>
      </w:pPr>
      <w:r>
        <w:rPr>
          <w:kern w:val="22"/>
          <w:szCs w:val="22"/>
          <w:lang w:val="fr-FR"/>
        </w:rPr>
        <w:t xml:space="preserve">Le cadre comporte 20 cibles axées sur l’action  </w:t>
      </w:r>
      <w:r w:rsidR="0099789E">
        <w:rPr>
          <w:kern w:val="22"/>
          <w:szCs w:val="22"/>
          <w:lang w:val="fr-FR"/>
        </w:rPr>
        <w:t xml:space="preserve">dont l’échéance est </w:t>
      </w:r>
      <w:r w:rsidR="0024410E" w:rsidRPr="001672B6">
        <w:rPr>
          <w:kern w:val="22"/>
          <w:szCs w:val="22"/>
          <w:lang w:val="fr-FR"/>
        </w:rPr>
        <w:t>2030</w:t>
      </w:r>
      <w:r>
        <w:rPr>
          <w:kern w:val="22"/>
          <w:szCs w:val="22"/>
          <w:lang w:val="fr-FR"/>
        </w:rPr>
        <w:t xml:space="preserve"> qui, si elles sont réalisées, contribueront aux objectifs axés sur les résultats </w:t>
      </w:r>
      <w:r w:rsidR="0099789E">
        <w:rPr>
          <w:kern w:val="22"/>
          <w:szCs w:val="22"/>
          <w:lang w:val="fr-FR"/>
        </w:rPr>
        <w:t xml:space="preserve">pour 2030 et 2050. Les mesures prises pour atteindre ces cibles doivent être mises en œuvre conformément aux dispositions de la Convention sur la diversité </w:t>
      </w:r>
      <w:r w:rsidR="0099789E">
        <w:rPr>
          <w:kern w:val="22"/>
          <w:szCs w:val="22"/>
          <w:lang w:val="fr-FR"/>
        </w:rPr>
        <w:lastRenderedPageBreak/>
        <w:t>biologique</w:t>
      </w:r>
      <w:r w:rsidR="00BB79C8">
        <w:rPr>
          <w:kern w:val="22"/>
          <w:szCs w:val="22"/>
          <w:lang w:val="fr-FR"/>
        </w:rPr>
        <w:t xml:space="preserve"> et en harmonie avec celles-ci, et d’autres obligations internationales pertinentes, compte tenu de la situation socioéconomique nationale</w:t>
      </w:r>
      <w:r w:rsidR="0024410E" w:rsidRPr="001672B6">
        <w:rPr>
          <w:rStyle w:val="FootnoteReference"/>
          <w:kern w:val="22"/>
          <w:szCs w:val="22"/>
          <w:u w:val="none"/>
          <w:vertAlign w:val="superscript"/>
          <w:lang w:val="fr-FR"/>
        </w:rPr>
        <w:footnoteReference w:id="13"/>
      </w:r>
      <w:r w:rsidR="00BB79C8">
        <w:rPr>
          <w:kern w:val="22"/>
          <w:szCs w:val="22"/>
          <w:lang w:val="fr-FR"/>
        </w:rPr>
        <w:t>.</w:t>
      </w:r>
    </w:p>
    <w:p w14:paraId="216AD0E7" w14:textId="11CE235D" w:rsidR="00A925AB" w:rsidRPr="001672B6" w:rsidRDefault="00072EBE" w:rsidP="009F6D3C">
      <w:pPr>
        <w:pStyle w:val="Para1"/>
        <w:numPr>
          <w:ilvl w:val="1"/>
          <w:numId w:val="6"/>
        </w:numPr>
        <w:tabs>
          <w:tab w:val="clear" w:pos="1440"/>
          <w:tab w:val="num" w:pos="709"/>
        </w:tabs>
        <w:ind w:firstLine="0"/>
        <w:jc w:val="left"/>
        <w:rPr>
          <w:rFonts w:eastAsia="Malgun Gothic"/>
          <w:b/>
          <w:kern w:val="22"/>
          <w:szCs w:val="22"/>
          <w:lang w:val="fr-FR"/>
        </w:rPr>
      </w:pPr>
      <w:r w:rsidRPr="001672B6">
        <w:rPr>
          <w:rFonts w:eastAsia="Malgun Gothic"/>
          <w:b/>
          <w:kern w:val="22"/>
          <w:szCs w:val="22"/>
          <w:lang w:val="fr-FR"/>
        </w:rPr>
        <w:t>R</w:t>
      </w:r>
      <w:r w:rsidR="00BB79C8">
        <w:rPr>
          <w:rFonts w:eastAsia="Malgun Gothic"/>
          <w:b/>
          <w:kern w:val="22"/>
          <w:szCs w:val="22"/>
          <w:lang w:val="fr-FR"/>
        </w:rPr>
        <w:t>éduire les menaces qui pèsent sur la biodiversité</w:t>
      </w:r>
    </w:p>
    <w:p w14:paraId="19DCF913" w14:textId="174259D7" w:rsidR="00140BB2" w:rsidRPr="001672B6" w:rsidRDefault="00C36525" w:rsidP="009F6D3C">
      <w:pPr>
        <w:pStyle w:val="Para3"/>
        <w:numPr>
          <w:ilvl w:val="0"/>
          <w:numId w:val="0"/>
        </w:numPr>
        <w:tabs>
          <w:tab w:val="clear" w:pos="1980"/>
          <w:tab w:val="left" w:pos="1134"/>
        </w:tabs>
        <w:spacing w:before="120" w:after="120"/>
        <w:ind w:left="636"/>
        <w:rPr>
          <w:rStyle w:val="FootnoteReference"/>
          <w:rFonts w:eastAsia="Malgun Gothic"/>
          <w:kern w:val="22"/>
          <w:sz w:val="22"/>
          <w:szCs w:val="22"/>
          <w:u w:val="none"/>
          <w:lang w:val="fr-FR"/>
        </w:rPr>
      </w:pPr>
      <w:r w:rsidRPr="001672B6">
        <w:rPr>
          <w:kern w:val="22"/>
          <w:lang w:val="fr-FR"/>
        </w:rPr>
        <w:t>1.</w:t>
      </w:r>
      <w:r w:rsidRPr="001672B6">
        <w:rPr>
          <w:kern w:val="22"/>
          <w:lang w:val="fr-FR"/>
        </w:rPr>
        <w:tab/>
      </w:r>
      <w:r w:rsidR="00D51700">
        <w:rPr>
          <w:kern w:val="22"/>
          <w:lang w:val="fr-FR"/>
        </w:rPr>
        <w:t xml:space="preserve">Conserver et restaurer les écosystèmes d’eau douce, marins et terrestres en augmentant d’au moins </w:t>
      </w:r>
      <w:r w:rsidR="00140BB2" w:rsidRPr="001672B6">
        <w:rPr>
          <w:kern w:val="22"/>
          <w:lang w:val="fr-FR"/>
        </w:rPr>
        <w:t xml:space="preserve">[50%] </w:t>
      </w:r>
      <w:r w:rsidR="00D51700">
        <w:rPr>
          <w:kern w:val="22"/>
          <w:lang w:val="fr-FR"/>
        </w:rPr>
        <w:t>la superficie marine et terrestre sous aménagement spatial exhaustif en gérant le changement de l’occupation des sols et réalisant, d’ici à 2030 une augmentation nette de la superficie, connectivité et intégrité et en conservant les régions intactes et sauvages.</w:t>
      </w:r>
      <w:r w:rsidR="00140BB2" w:rsidRPr="001672B6">
        <w:rPr>
          <w:kern w:val="22"/>
          <w:lang w:val="fr-FR"/>
        </w:rPr>
        <w:t xml:space="preserve"> </w:t>
      </w:r>
    </w:p>
    <w:p w14:paraId="4D4C087F" w14:textId="1A31C235" w:rsidR="00140BB2" w:rsidRPr="001672B6" w:rsidRDefault="00C36525" w:rsidP="009F6D3C">
      <w:pPr>
        <w:pStyle w:val="Para3"/>
        <w:numPr>
          <w:ilvl w:val="0"/>
          <w:numId w:val="0"/>
        </w:numPr>
        <w:tabs>
          <w:tab w:val="clear" w:pos="1980"/>
          <w:tab w:val="left" w:pos="1134"/>
        </w:tabs>
        <w:spacing w:before="120" w:after="120"/>
        <w:ind w:left="636"/>
        <w:rPr>
          <w:rFonts w:eastAsia="Malgun Gothic"/>
          <w:kern w:val="22"/>
          <w:szCs w:val="22"/>
          <w:lang w:val="fr-FR"/>
        </w:rPr>
      </w:pPr>
      <w:r w:rsidRPr="001672B6">
        <w:rPr>
          <w:kern w:val="22"/>
          <w:lang w:val="fr-FR"/>
        </w:rPr>
        <w:t>2.</w:t>
      </w:r>
      <w:r w:rsidRPr="001672B6">
        <w:rPr>
          <w:kern w:val="22"/>
          <w:lang w:val="fr-FR"/>
        </w:rPr>
        <w:tab/>
      </w:r>
      <w:r w:rsidR="00140BB2" w:rsidRPr="001672B6">
        <w:rPr>
          <w:kern w:val="22"/>
          <w:lang w:val="fr-FR"/>
        </w:rPr>
        <w:t>Prot</w:t>
      </w:r>
      <w:r w:rsidR="00D51700">
        <w:rPr>
          <w:kern w:val="22"/>
          <w:lang w:val="fr-FR"/>
        </w:rPr>
        <w:t xml:space="preserve">éger les sites d’importance particulière pour la biodiversité </w:t>
      </w:r>
      <w:r w:rsidR="002F64BF">
        <w:rPr>
          <w:kern w:val="22"/>
          <w:lang w:val="fr-FR"/>
        </w:rPr>
        <w:t xml:space="preserve">au moyen d’aires protégées et d’autres mesures efficaces de conservation par zone d’ici à 2030, couvrant au moins </w:t>
      </w:r>
      <w:r w:rsidR="00140BB2" w:rsidRPr="001672B6">
        <w:rPr>
          <w:kern w:val="22"/>
          <w:lang w:val="fr-FR"/>
        </w:rPr>
        <w:t xml:space="preserve">[60%] </w:t>
      </w:r>
      <w:r w:rsidR="002F64BF">
        <w:rPr>
          <w:kern w:val="22"/>
          <w:lang w:val="fr-FR"/>
        </w:rPr>
        <w:t>de ces</w:t>
      </w:r>
      <w:r w:rsidR="00140BB2" w:rsidRPr="001672B6">
        <w:rPr>
          <w:kern w:val="22"/>
          <w:lang w:val="fr-FR"/>
        </w:rPr>
        <w:t xml:space="preserve"> sites </w:t>
      </w:r>
      <w:r w:rsidR="002F64BF">
        <w:rPr>
          <w:kern w:val="22"/>
          <w:lang w:val="fr-FR"/>
        </w:rPr>
        <w:t>et au moins</w:t>
      </w:r>
      <w:r w:rsidR="00140BB2" w:rsidRPr="001672B6">
        <w:rPr>
          <w:kern w:val="22"/>
          <w:lang w:val="fr-FR"/>
        </w:rPr>
        <w:t xml:space="preserve"> [30%] </w:t>
      </w:r>
      <w:r w:rsidR="002F64BF">
        <w:rPr>
          <w:kern w:val="22"/>
          <w:lang w:val="fr-FR"/>
        </w:rPr>
        <w:t xml:space="preserve">des zones terrestres et marines avec au moins </w:t>
      </w:r>
      <w:r w:rsidR="0008437A" w:rsidRPr="001672B6">
        <w:rPr>
          <w:kern w:val="22"/>
          <w:lang w:val="fr-FR"/>
        </w:rPr>
        <w:t>[</w:t>
      </w:r>
      <w:r w:rsidR="00140BB2" w:rsidRPr="001672B6">
        <w:rPr>
          <w:kern w:val="22"/>
          <w:lang w:val="fr-FR"/>
        </w:rPr>
        <w:t>10%</w:t>
      </w:r>
      <w:r w:rsidR="0008437A" w:rsidRPr="001672B6">
        <w:rPr>
          <w:kern w:val="22"/>
          <w:lang w:val="fr-FR"/>
        </w:rPr>
        <w:t>]</w:t>
      </w:r>
      <w:r w:rsidR="00140BB2" w:rsidRPr="001672B6">
        <w:rPr>
          <w:kern w:val="22"/>
          <w:lang w:val="fr-FR"/>
        </w:rPr>
        <w:t xml:space="preserve"> </w:t>
      </w:r>
      <w:r w:rsidR="002F64BF">
        <w:rPr>
          <w:kern w:val="22"/>
          <w:lang w:val="fr-FR"/>
        </w:rPr>
        <w:t>sous stricte protection</w:t>
      </w:r>
      <w:r w:rsidR="00606CDA" w:rsidRPr="001672B6">
        <w:rPr>
          <w:kern w:val="22"/>
          <w:lang w:val="fr-FR"/>
        </w:rPr>
        <w:t>.</w:t>
      </w:r>
    </w:p>
    <w:p w14:paraId="78EECB9F" w14:textId="4475B9A6" w:rsidR="00140BB2" w:rsidRPr="001672B6" w:rsidRDefault="00C36525" w:rsidP="009F6D3C">
      <w:pPr>
        <w:pStyle w:val="Para3"/>
        <w:numPr>
          <w:ilvl w:val="0"/>
          <w:numId w:val="0"/>
        </w:numPr>
        <w:tabs>
          <w:tab w:val="clear" w:pos="1980"/>
          <w:tab w:val="left" w:pos="1134"/>
        </w:tabs>
        <w:spacing w:before="120" w:after="120"/>
        <w:ind w:left="636"/>
        <w:rPr>
          <w:rFonts w:eastAsia="Malgun Gothic"/>
          <w:kern w:val="22"/>
          <w:szCs w:val="22"/>
          <w:lang w:val="fr-FR"/>
        </w:rPr>
      </w:pPr>
      <w:r w:rsidRPr="001672B6">
        <w:rPr>
          <w:kern w:val="22"/>
          <w:lang w:val="fr-FR"/>
        </w:rPr>
        <w:t>3.</w:t>
      </w:r>
      <w:r w:rsidRPr="001672B6">
        <w:rPr>
          <w:kern w:val="22"/>
          <w:lang w:val="fr-FR"/>
        </w:rPr>
        <w:tab/>
      </w:r>
      <w:r w:rsidR="00140BB2" w:rsidRPr="001672B6">
        <w:rPr>
          <w:kern w:val="22"/>
          <w:lang w:val="fr-FR"/>
        </w:rPr>
        <w:t>Contr</w:t>
      </w:r>
      <w:r w:rsidR="00695BF1">
        <w:rPr>
          <w:kern w:val="22"/>
          <w:lang w:val="fr-FR"/>
        </w:rPr>
        <w:t xml:space="preserve">ôler toutes les voies d’introduction d’espèces exotiques envahissantes en réalisant, d’ici à 2030, une réduction de </w:t>
      </w:r>
      <w:r w:rsidR="00140BB2" w:rsidRPr="001672B6">
        <w:rPr>
          <w:kern w:val="22"/>
          <w:lang w:val="fr-FR"/>
        </w:rPr>
        <w:t xml:space="preserve">[50%] </w:t>
      </w:r>
      <w:r w:rsidR="00695BF1">
        <w:rPr>
          <w:kern w:val="22"/>
          <w:lang w:val="fr-FR"/>
        </w:rPr>
        <w:t>du taux de nouvelles introductions, et éliminer ou contrôle</w:t>
      </w:r>
      <w:r w:rsidR="00554992">
        <w:rPr>
          <w:kern w:val="22"/>
          <w:lang w:val="fr-FR"/>
        </w:rPr>
        <w:t>r</w:t>
      </w:r>
      <w:r w:rsidR="00695BF1">
        <w:rPr>
          <w:kern w:val="22"/>
          <w:lang w:val="fr-FR"/>
        </w:rPr>
        <w:t xml:space="preserve"> les espèces exotiques envahissantes afin d’éliminer ou réduire leurs effets d’ici à 2030 dans au moins </w:t>
      </w:r>
      <w:r w:rsidR="00140BB2" w:rsidRPr="001672B6">
        <w:rPr>
          <w:kern w:val="22"/>
          <w:lang w:val="fr-FR"/>
        </w:rPr>
        <w:t xml:space="preserve">[50%] </w:t>
      </w:r>
      <w:r w:rsidR="00695BF1">
        <w:rPr>
          <w:kern w:val="22"/>
          <w:lang w:val="fr-FR"/>
        </w:rPr>
        <w:t>des sites prioritaires</w:t>
      </w:r>
      <w:r w:rsidR="00140BB2" w:rsidRPr="001672B6">
        <w:rPr>
          <w:kern w:val="22"/>
          <w:lang w:val="fr-FR"/>
        </w:rPr>
        <w:t>.</w:t>
      </w:r>
    </w:p>
    <w:p w14:paraId="7C068AA5" w14:textId="2ECE9398" w:rsidR="00140BB2" w:rsidRPr="001672B6" w:rsidRDefault="00C36525" w:rsidP="009F6D3C">
      <w:pPr>
        <w:pStyle w:val="Para3"/>
        <w:numPr>
          <w:ilvl w:val="0"/>
          <w:numId w:val="0"/>
        </w:numPr>
        <w:tabs>
          <w:tab w:val="clear" w:pos="1980"/>
          <w:tab w:val="left" w:pos="1134"/>
        </w:tabs>
        <w:spacing w:before="120" w:after="120"/>
        <w:ind w:left="636"/>
        <w:rPr>
          <w:rFonts w:eastAsia="Malgun Gothic"/>
          <w:kern w:val="22"/>
          <w:szCs w:val="22"/>
          <w:lang w:val="fr-FR"/>
        </w:rPr>
      </w:pPr>
      <w:r w:rsidRPr="001672B6">
        <w:rPr>
          <w:kern w:val="22"/>
          <w:lang w:val="fr-FR"/>
        </w:rPr>
        <w:t>4.</w:t>
      </w:r>
      <w:r w:rsidRPr="001672B6">
        <w:rPr>
          <w:kern w:val="22"/>
          <w:lang w:val="fr-FR"/>
        </w:rPr>
        <w:tab/>
      </w:r>
      <w:r w:rsidR="00554992">
        <w:rPr>
          <w:kern w:val="22"/>
          <w:lang w:val="fr-FR"/>
        </w:rPr>
        <w:t xml:space="preserve">D’ici à 2030, réduire d’au moins </w:t>
      </w:r>
      <w:r w:rsidR="00140BB2" w:rsidRPr="001672B6">
        <w:rPr>
          <w:kern w:val="22"/>
          <w:lang w:val="fr-FR"/>
        </w:rPr>
        <w:t xml:space="preserve">[50%] </w:t>
      </w:r>
      <w:r w:rsidR="00554992">
        <w:rPr>
          <w:kern w:val="22"/>
          <w:lang w:val="fr-FR"/>
        </w:rPr>
        <w:t xml:space="preserve">la </w:t>
      </w:r>
      <w:r w:rsidR="00140BB2" w:rsidRPr="001672B6">
        <w:rPr>
          <w:kern w:val="22"/>
          <w:lang w:val="fr-FR"/>
        </w:rPr>
        <w:t xml:space="preserve">pollution </w:t>
      </w:r>
      <w:r w:rsidR="00554992">
        <w:rPr>
          <w:kern w:val="22"/>
          <w:lang w:val="fr-FR"/>
        </w:rPr>
        <w:t>causée par l’excès d’éléments nutritifs, les biocides, les déchets de plastique et les autres sources de pollution</w:t>
      </w:r>
      <w:r w:rsidR="00140BB2" w:rsidRPr="001672B6">
        <w:rPr>
          <w:kern w:val="22"/>
          <w:lang w:val="fr-FR"/>
        </w:rPr>
        <w:t>.</w:t>
      </w:r>
    </w:p>
    <w:p w14:paraId="2201CDC2" w14:textId="3910A8ED" w:rsidR="00140BB2" w:rsidRPr="001672B6" w:rsidRDefault="00C36525" w:rsidP="009F6D3C">
      <w:pPr>
        <w:pStyle w:val="Para3"/>
        <w:numPr>
          <w:ilvl w:val="0"/>
          <w:numId w:val="0"/>
        </w:numPr>
        <w:tabs>
          <w:tab w:val="clear" w:pos="1980"/>
          <w:tab w:val="left" w:pos="1134"/>
        </w:tabs>
        <w:spacing w:before="120" w:after="120"/>
        <w:ind w:left="636"/>
        <w:rPr>
          <w:kern w:val="22"/>
          <w:lang w:val="fr-FR"/>
        </w:rPr>
      </w:pPr>
      <w:r w:rsidRPr="001672B6">
        <w:rPr>
          <w:kern w:val="22"/>
          <w:lang w:val="fr-FR"/>
        </w:rPr>
        <w:t>5.</w:t>
      </w:r>
      <w:r w:rsidRPr="001672B6">
        <w:rPr>
          <w:kern w:val="22"/>
          <w:lang w:val="fr-FR"/>
        </w:rPr>
        <w:tab/>
      </w:r>
      <w:r w:rsidR="00554992">
        <w:rPr>
          <w:kern w:val="22"/>
          <w:lang w:val="fr-FR"/>
        </w:rPr>
        <w:t xml:space="preserve">D’ici à 2030, veiller à ce que la récolte, le commerce et l’utilisation des espèces sauvages soient licites et </w:t>
      </w:r>
      <w:r w:rsidR="00A412D7">
        <w:rPr>
          <w:kern w:val="22"/>
          <w:lang w:val="fr-FR"/>
        </w:rPr>
        <w:t>à des niveaux durables.</w:t>
      </w:r>
    </w:p>
    <w:p w14:paraId="3A3F6205" w14:textId="77AD3F5D" w:rsidR="00140BB2" w:rsidRPr="001672B6" w:rsidRDefault="00C36525" w:rsidP="009F6D3C">
      <w:pPr>
        <w:pStyle w:val="Para3"/>
        <w:numPr>
          <w:ilvl w:val="0"/>
          <w:numId w:val="0"/>
        </w:numPr>
        <w:tabs>
          <w:tab w:val="clear" w:pos="1980"/>
          <w:tab w:val="left" w:pos="1134"/>
        </w:tabs>
        <w:spacing w:before="120" w:after="120"/>
        <w:ind w:left="636"/>
        <w:rPr>
          <w:kern w:val="22"/>
          <w:szCs w:val="22"/>
          <w:lang w:val="fr-FR"/>
        </w:rPr>
      </w:pPr>
      <w:r w:rsidRPr="001672B6">
        <w:rPr>
          <w:kern w:val="22"/>
          <w:lang w:val="fr-FR"/>
        </w:rPr>
        <w:t>6.</w:t>
      </w:r>
      <w:r w:rsidRPr="001672B6">
        <w:rPr>
          <w:kern w:val="22"/>
          <w:lang w:val="fr-FR"/>
        </w:rPr>
        <w:tab/>
      </w:r>
      <w:r w:rsidR="00140BB2" w:rsidRPr="001672B6">
        <w:rPr>
          <w:kern w:val="22"/>
          <w:lang w:val="fr-FR"/>
        </w:rPr>
        <w:t>Contrib</w:t>
      </w:r>
      <w:r w:rsidR="00A412D7">
        <w:rPr>
          <w:kern w:val="22"/>
          <w:lang w:val="fr-FR"/>
        </w:rPr>
        <w:t>uer à la réduction des effets des changements climatiques et à l’adaptation à ceux-ci ainsi qu’à la réduction des risques de catastrophe grâce à des solutions fondées sur la nature</w:t>
      </w:r>
      <w:r w:rsidR="00095E03">
        <w:rPr>
          <w:kern w:val="22"/>
          <w:lang w:val="fr-FR"/>
        </w:rPr>
        <w:t xml:space="preserve"> en fournissant d’ici à 2030 </w:t>
      </w:r>
      <w:r w:rsidR="00140BB2" w:rsidRPr="001672B6">
        <w:rPr>
          <w:kern w:val="22"/>
          <w:lang w:val="fr-FR"/>
        </w:rPr>
        <w:t>[</w:t>
      </w:r>
      <w:r w:rsidR="00A412D7">
        <w:rPr>
          <w:kern w:val="22"/>
          <w:lang w:val="fr-FR"/>
        </w:rPr>
        <w:t>environ</w:t>
      </w:r>
      <w:r w:rsidR="00140BB2" w:rsidRPr="001672B6">
        <w:rPr>
          <w:kern w:val="22"/>
          <w:lang w:val="fr-FR"/>
        </w:rPr>
        <w:t xml:space="preserve"> 30%] [</w:t>
      </w:r>
      <w:r w:rsidR="00A412D7">
        <w:rPr>
          <w:kern w:val="22"/>
          <w:lang w:val="fr-FR"/>
        </w:rPr>
        <w:t>au moins</w:t>
      </w:r>
      <w:r w:rsidR="00140BB2" w:rsidRPr="001672B6">
        <w:rPr>
          <w:kern w:val="22"/>
          <w:lang w:val="fr-FR"/>
        </w:rPr>
        <w:t xml:space="preserve"> XXX MT CO2=] </w:t>
      </w:r>
      <w:r w:rsidR="00A412D7">
        <w:rPr>
          <w:kern w:val="22"/>
          <w:lang w:val="fr-FR"/>
        </w:rPr>
        <w:t>des efforts d’atténuation nécessaires pour réaliser les objectifs de l’Accord de Partis, en complétant des réductions d’émissions strictes et en évitant les effets nuisibles sur la biodiversité et la sécurité alimentaire.</w:t>
      </w:r>
    </w:p>
    <w:p w14:paraId="2CA02BCA" w14:textId="4D33F668" w:rsidR="00140BB2" w:rsidRPr="00AD6304" w:rsidRDefault="00A412D7" w:rsidP="009F6D3C">
      <w:pPr>
        <w:pStyle w:val="Para1"/>
        <w:numPr>
          <w:ilvl w:val="1"/>
          <w:numId w:val="6"/>
        </w:numPr>
        <w:tabs>
          <w:tab w:val="clear" w:pos="1440"/>
          <w:tab w:val="num" w:pos="709"/>
        </w:tabs>
        <w:ind w:firstLine="0"/>
        <w:jc w:val="left"/>
        <w:rPr>
          <w:rFonts w:eastAsia="Malgun Gothic"/>
          <w:b/>
          <w:kern w:val="22"/>
          <w:szCs w:val="22"/>
          <w:lang w:val="fr-FR"/>
        </w:rPr>
      </w:pPr>
      <w:r w:rsidRPr="00AD6304">
        <w:rPr>
          <w:rFonts w:eastAsia="Malgun Gothic"/>
          <w:b/>
          <w:kern w:val="22"/>
          <w:szCs w:val="22"/>
          <w:lang w:val="fr-FR"/>
        </w:rPr>
        <w:t xml:space="preserve">Répondre aux besoins des populations </w:t>
      </w:r>
      <w:r w:rsidR="00AD6304" w:rsidRPr="00AD6304">
        <w:rPr>
          <w:rFonts w:eastAsia="Malgun Gothic"/>
          <w:b/>
          <w:kern w:val="22"/>
          <w:szCs w:val="22"/>
          <w:lang w:val="fr-FR"/>
        </w:rPr>
        <w:t>grâce à l’utilisation durable et au partage des avantages</w:t>
      </w:r>
    </w:p>
    <w:p w14:paraId="17BCB349" w14:textId="7EBC663A" w:rsidR="001F4077" w:rsidRPr="00AD6304" w:rsidRDefault="006A2792"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7.</w:t>
      </w:r>
      <w:r w:rsidRPr="00AD6304">
        <w:rPr>
          <w:kern w:val="22"/>
          <w:lang w:val="fr-FR"/>
        </w:rPr>
        <w:tab/>
      </w:r>
      <w:r w:rsidR="008C7995">
        <w:rPr>
          <w:kern w:val="22"/>
          <w:lang w:val="fr-FR"/>
        </w:rPr>
        <w:t xml:space="preserve">Améliorer </w:t>
      </w:r>
      <w:r w:rsidR="00690270">
        <w:rPr>
          <w:kern w:val="22"/>
          <w:lang w:val="fr-FR"/>
        </w:rPr>
        <w:t xml:space="preserve">l’utilisation durable des espèces sauvages en procurant des avantages, d’ici à 2030, notamment une nutrition, une sécurité alimentaire et </w:t>
      </w:r>
      <w:r w:rsidR="00B22220">
        <w:rPr>
          <w:kern w:val="22"/>
          <w:lang w:val="fr-FR"/>
        </w:rPr>
        <w:t xml:space="preserve">des moyens de subsistance accrus pour au moins </w:t>
      </w:r>
      <w:r w:rsidR="001F4077" w:rsidRPr="00AD6304">
        <w:rPr>
          <w:kern w:val="22"/>
          <w:lang w:val="fr-FR"/>
        </w:rPr>
        <w:t>[X million</w:t>
      </w:r>
      <w:r w:rsidR="00B22220">
        <w:rPr>
          <w:kern w:val="22"/>
          <w:lang w:val="fr-FR"/>
        </w:rPr>
        <w:t>s</w:t>
      </w:r>
      <w:r w:rsidR="001F4077" w:rsidRPr="00AD6304">
        <w:rPr>
          <w:kern w:val="22"/>
          <w:lang w:val="fr-FR"/>
        </w:rPr>
        <w:t xml:space="preserve">] </w:t>
      </w:r>
      <w:r w:rsidR="00B22220">
        <w:rPr>
          <w:kern w:val="22"/>
          <w:lang w:val="fr-FR"/>
        </w:rPr>
        <w:t>de personnes</w:t>
      </w:r>
      <w:r w:rsidR="001F4077" w:rsidRPr="00AD6304">
        <w:rPr>
          <w:kern w:val="22"/>
          <w:lang w:val="fr-FR"/>
        </w:rPr>
        <w:t xml:space="preserve">, </w:t>
      </w:r>
      <w:r w:rsidR="00B22220">
        <w:rPr>
          <w:kern w:val="22"/>
          <w:lang w:val="fr-FR"/>
        </w:rPr>
        <w:t xml:space="preserve">en particulier les plus vulnérables, et réduire le conflit entre humains et faune sauvage de </w:t>
      </w:r>
      <w:r w:rsidR="001F4077" w:rsidRPr="00AD6304">
        <w:rPr>
          <w:kern w:val="22"/>
          <w:lang w:val="fr-FR"/>
        </w:rPr>
        <w:t>[X%].</w:t>
      </w:r>
    </w:p>
    <w:p w14:paraId="3D36B543" w14:textId="5B060E5E"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8.</w:t>
      </w:r>
      <w:r w:rsidRPr="00AD6304">
        <w:rPr>
          <w:kern w:val="22"/>
          <w:lang w:val="fr-FR"/>
        </w:rPr>
        <w:tab/>
      </w:r>
      <w:r w:rsidR="00140BB2" w:rsidRPr="00AD6304">
        <w:rPr>
          <w:kern w:val="22"/>
          <w:lang w:val="fr-FR"/>
        </w:rPr>
        <w:t>Conserve</w:t>
      </w:r>
      <w:r w:rsidR="00B22220">
        <w:rPr>
          <w:kern w:val="22"/>
          <w:lang w:val="fr-FR"/>
        </w:rPr>
        <w:t xml:space="preserve">r et </w:t>
      </w:r>
      <w:r w:rsidR="003E1F38">
        <w:rPr>
          <w:kern w:val="22"/>
          <w:lang w:val="fr-FR"/>
        </w:rPr>
        <w:t xml:space="preserve">améliorer </w:t>
      </w:r>
      <w:r w:rsidR="00B22220">
        <w:rPr>
          <w:kern w:val="22"/>
          <w:lang w:val="fr-FR"/>
        </w:rPr>
        <w:t>l’utilisation durable de la biodiversité dans les écosystèmes agricoles et autres écosystèmes gérés afin de soutenir la productivité</w:t>
      </w:r>
      <w:r w:rsidR="00AC3AF8">
        <w:rPr>
          <w:kern w:val="22"/>
          <w:lang w:val="fr-FR"/>
        </w:rPr>
        <w:t xml:space="preserve">, la durabilité et la résilience de ces systèmes en réduisant, d’ici à 2030, les </w:t>
      </w:r>
      <w:r w:rsidR="00F05D5D">
        <w:rPr>
          <w:kern w:val="22"/>
          <w:lang w:val="fr-FR"/>
        </w:rPr>
        <w:t xml:space="preserve">écarts de productivité connexes d’au moins </w:t>
      </w:r>
      <w:r w:rsidR="00140BB2" w:rsidRPr="00AD6304">
        <w:rPr>
          <w:kern w:val="22"/>
          <w:lang w:val="fr-FR"/>
        </w:rPr>
        <w:t xml:space="preserve"> [50%].</w:t>
      </w:r>
    </w:p>
    <w:p w14:paraId="76D49897" w14:textId="12621C8B"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9.</w:t>
      </w:r>
      <w:r w:rsidRPr="00AD6304">
        <w:rPr>
          <w:kern w:val="22"/>
          <w:lang w:val="fr-FR"/>
        </w:rPr>
        <w:tab/>
      </w:r>
      <w:r w:rsidR="003E1F38">
        <w:rPr>
          <w:kern w:val="22"/>
          <w:lang w:val="fr-FR"/>
        </w:rPr>
        <w:t xml:space="preserve">Améliorer </w:t>
      </w:r>
      <w:r w:rsidR="00F05D5D">
        <w:rPr>
          <w:kern w:val="22"/>
          <w:lang w:val="fr-FR"/>
        </w:rPr>
        <w:t xml:space="preserve">les solutions fondées sur la nature contribuant, d’ici à 2030, à la fourniture d’eau </w:t>
      </w:r>
      <w:r w:rsidR="005B0090">
        <w:rPr>
          <w:kern w:val="22"/>
          <w:lang w:val="fr-FR"/>
        </w:rPr>
        <w:t xml:space="preserve">propre pour au moins </w:t>
      </w:r>
      <w:r w:rsidR="00140BB2" w:rsidRPr="00AD6304">
        <w:rPr>
          <w:kern w:val="22"/>
          <w:lang w:val="fr-FR"/>
        </w:rPr>
        <w:t>[XXX million</w:t>
      </w:r>
      <w:r w:rsidR="005B0090">
        <w:rPr>
          <w:kern w:val="22"/>
          <w:lang w:val="fr-FR"/>
        </w:rPr>
        <w:t>s</w:t>
      </w:r>
      <w:r w:rsidR="00140BB2" w:rsidRPr="00AD6304">
        <w:rPr>
          <w:kern w:val="22"/>
          <w:lang w:val="fr-FR"/>
        </w:rPr>
        <w:t xml:space="preserve">] </w:t>
      </w:r>
      <w:r w:rsidR="005B0090">
        <w:rPr>
          <w:kern w:val="22"/>
          <w:lang w:val="fr-FR"/>
        </w:rPr>
        <w:t>de personnes</w:t>
      </w:r>
      <w:r w:rsidR="00140BB2" w:rsidRPr="00AD6304">
        <w:rPr>
          <w:kern w:val="22"/>
          <w:lang w:val="fr-FR"/>
        </w:rPr>
        <w:t>.</w:t>
      </w:r>
    </w:p>
    <w:p w14:paraId="54EEBD1C" w14:textId="5F121E33"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10.</w:t>
      </w:r>
      <w:r w:rsidRPr="00AD6304">
        <w:rPr>
          <w:kern w:val="22"/>
          <w:lang w:val="fr-FR"/>
        </w:rPr>
        <w:tab/>
      </w:r>
      <w:r w:rsidR="005B0090">
        <w:rPr>
          <w:kern w:val="22"/>
          <w:lang w:val="fr-FR"/>
        </w:rPr>
        <w:t xml:space="preserve">Augmenter les bienfaits des espaces vers pour la santé et le bien-être, en particulier pour les habitants des zones urbaines, augmentant, d’ici à 2030, la proportion de personnes ayant accès à de tels espaces verts d’au moins </w:t>
      </w:r>
      <w:r w:rsidR="00140BB2" w:rsidRPr="00AD6304">
        <w:rPr>
          <w:kern w:val="22"/>
          <w:lang w:val="fr-FR"/>
        </w:rPr>
        <w:t xml:space="preserve">[100%]. </w:t>
      </w:r>
    </w:p>
    <w:p w14:paraId="65D9B682" w14:textId="7059F598"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11.</w:t>
      </w:r>
      <w:r w:rsidRPr="00AD6304">
        <w:rPr>
          <w:kern w:val="22"/>
          <w:lang w:val="fr-FR"/>
        </w:rPr>
        <w:tab/>
      </w:r>
      <w:r w:rsidR="005B0090">
        <w:rPr>
          <w:kern w:val="22"/>
          <w:lang w:val="fr-FR"/>
        </w:rPr>
        <w:t xml:space="preserve">Veiller à ce que les avantages découlant de l’utilisation des ressources génétiques et des connaissances traditionnelles associées soient utilisées de manière juste et équitable, entraînant, d’ici à 2030, une augmentation de </w:t>
      </w:r>
      <w:r w:rsidR="00140BB2" w:rsidRPr="00AD6304">
        <w:rPr>
          <w:kern w:val="22"/>
          <w:lang w:val="fr-FR"/>
        </w:rPr>
        <w:t xml:space="preserve">[X] </w:t>
      </w:r>
      <w:r w:rsidR="005B0090">
        <w:rPr>
          <w:kern w:val="22"/>
          <w:lang w:val="fr-FR"/>
        </w:rPr>
        <w:t>des avantages</w:t>
      </w:r>
      <w:r w:rsidR="00140BB2" w:rsidRPr="00AD6304">
        <w:rPr>
          <w:kern w:val="22"/>
          <w:lang w:val="fr-FR"/>
        </w:rPr>
        <w:t>.</w:t>
      </w:r>
    </w:p>
    <w:p w14:paraId="6C3B832C" w14:textId="3A8F449F" w:rsidR="00A925AB" w:rsidRPr="00AD6304" w:rsidRDefault="005B0090" w:rsidP="009F6D3C">
      <w:pPr>
        <w:pStyle w:val="Para1"/>
        <w:numPr>
          <w:ilvl w:val="1"/>
          <w:numId w:val="6"/>
        </w:numPr>
        <w:tabs>
          <w:tab w:val="clear" w:pos="1440"/>
          <w:tab w:val="num" w:pos="709"/>
        </w:tabs>
        <w:ind w:firstLine="0"/>
        <w:jc w:val="left"/>
        <w:rPr>
          <w:rFonts w:eastAsia="Malgun Gothic"/>
          <w:b/>
          <w:kern w:val="22"/>
          <w:szCs w:val="22"/>
          <w:lang w:val="fr-FR"/>
        </w:rPr>
      </w:pPr>
      <w:r>
        <w:rPr>
          <w:rFonts w:eastAsia="Malgun Gothic"/>
          <w:b/>
          <w:kern w:val="22"/>
          <w:szCs w:val="22"/>
          <w:lang w:val="fr-FR"/>
        </w:rPr>
        <w:lastRenderedPageBreak/>
        <w:t>Outils et solutions pour</w:t>
      </w:r>
      <w:r w:rsidR="001D2945">
        <w:rPr>
          <w:rFonts w:eastAsia="Malgun Gothic"/>
          <w:b/>
          <w:kern w:val="22"/>
          <w:szCs w:val="22"/>
          <w:lang w:val="fr-FR"/>
        </w:rPr>
        <w:t xml:space="preserve"> la mise en œuvre et l’intégration</w:t>
      </w:r>
      <w:r>
        <w:rPr>
          <w:rFonts w:eastAsia="Malgun Gothic"/>
          <w:b/>
          <w:kern w:val="22"/>
          <w:szCs w:val="22"/>
          <w:lang w:val="fr-FR"/>
        </w:rPr>
        <w:t xml:space="preserve"> </w:t>
      </w:r>
    </w:p>
    <w:p w14:paraId="4224290B" w14:textId="4DB3F711" w:rsidR="00140BB2" w:rsidRPr="00AD6304" w:rsidRDefault="00140BB2" w:rsidP="009F6D3C">
      <w:pPr>
        <w:pStyle w:val="Para3"/>
        <w:numPr>
          <w:ilvl w:val="6"/>
          <w:numId w:val="48"/>
        </w:numPr>
        <w:tabs>
          <w:tab w:val="clear" w:pos="1980"/>
          <w:tab w:val="clear" w:pos="2520"/>
          <w:tab w:val="left" w:pos="1985"/>
        </w:tabs>
        <w:spacing w:before="120" w:after="120"/>
        <w:ind w:left="1134" w:hanging="567"/>
        <w:rPr>
          <w:kern w:val="22"/>
          <w:lang w:val="fr-FR"/>
        </w:rPr>
      </w:pPr>
      <w:r w:rsidRPr="00AD6304">
        <w:rPr>
          <w:kern w:val="22"/>
          <w:lang w:val="fr-FR"/>
        </w:rPr>
        <w:t>R</w:t>
      </w:r>
      <w:r w:rsidR="001D2945">
        <w:rPr>
          <w:kern w:val="22"/>
          <w:lang w:val="fr-FR"/>
        </w:rPr>
        <w:t xml:space="preserve">éformer les </w:t>
      </w:r>
      <w:r w:rsidR="003E1F38">
        <w:rPr>
          <w:kern w:val="22"/>
          <w:lang w:val="fr-FR"/>
        </w:rPr>
        <w:t>incitatifs</w:t>
      </w:r>
      <w:r w:rsidR="001D2945">
        <w:rPr>
          <w:kern w:val="22"/>
          <w:lang w:val="fr-FR"/>
        </w:rPr>
        <w:t xml:space="preserve">, </w:t>
      </w:r>
      <w:r w:rsidR="003E1F38">
        <w:rPr>
          <w:kern w:val="22"/>
          <w:lang w:val="fr-FR"/>
        </w:rPr>
        <w:t xml:space="preserve">en éliminant les </w:t>
      </w:r>
      <w:r w:rsidR="001D2945">
        <w:rPr>
          <w:kern w:val="22"/>
          <w:lang w:val="fr-FR"/>
        </w:rPr>
        <w:t xml:space="preserve">subventions les plus nuisibles à la biodiversité en s’assurant que, d’ici à 2030, les </w:t>
      </w:r>
      <w:r w:rsidR="003E1F38">
        <w:rPr>
          <w:kern w:val="22"/>
          <w:lang w:val="fr-FR"/>
        </w:rPr>
        <w:t>incitatifs</w:t>
      </w:r>
      <w:r w:rsidR="001D2945">
        <w:rPr>
          <w:kern w:val="22"/>
          <w:lang w:val="fr-FR"/>
        </w:rPr>
        <w:t xml:space="preserve">, y compris les </w:t>
      </w:r>
      <w:r w:rsidR="003E1F38">
        <w:rPr>
          <w:kern w:val="22"/>
          <w:lang w:val="fr-FR"/>
        </w:rPr>
        <w:t xml:space="preserve">incitatifs </w:t>
      </w:r>
      <w:r w:rsidR="009C4C44">
        <w:rPr>
          <w:kern w:val="22"/>
          <w:lang w:val="fr-FR"/>
        </w:rPr>
        <w:t xml:space="preserve">économiques et réglementaires publiques et privées sont soit </w:t>
      </w:r>
      <w:r w:rsidR="003E1F38">
        <w:rPr>
          <w:kern w:val="22"/>
          <w:lang w:val="fr-FR"/>
        </w:rPr>
        <w:t>positifs</w:t>
      </w:r>
      <w:r w:rsidR="009C4C44">
        <w:rPr>
          <w:kern w:val="22"/>
          <w:lang w:val="fr-FR"/>
        </w:rPr>
        <w:t>, soit neutres pour la biodiversité.</w:t>
      </w:r>
    </w:p>
    <w:p w14:paraId="004760CB" w14:textId="61F27091" w:rsidR="00140BB2" w:rsidRPr="00AD6304" w:rsidRDefault="00140BB2" w:rsidP="009F6D3C">
      <w:pPr>
        <w:pStyle w:val="Para3"/>
        <w:numPr>
          <w:ilvl w:val="6"/>
          <w:numId w:val="6"/>
        </w:numPr>
        <w:spacing w:before="120" w:after="120"/>
        <w:ind w:left="1134" w:hanging="567"/>
        <w:rPr>
          <w:kern w:val="22"/>
          <w:lang w:val="fr-FR"/>
        </w:rPr>
      </w:pPr>
      <w:r w:rsidRPr="00AD6304">
        <w:rPr>
          <w:kern w:val="22"/>
          <w:lang w:val="fr-FR"/>
        </w:rPr>
        <w:t>Int</w:t>
      </w:r>
      <w:r w:rsidR="009C4C44">
        <w:rPr>
          <w:kern w:val="22"/>
          <w:lang w:val="fr-FR"/>
        </w:rPr>
        <w:t xml:space="preserve">égrer les valeurs de la biodiversité </w:t>
      </w:r>
      <w:r w:rsidR="00EE7CED">
        <w:rPr>
          <w:kern w:val="22"/>
          <w:lang w:val="fr-FR"/>
        </w:rPr>
        <w:t>dans l’aménagement, les processus de développement, les stratégies de réduction de la pauvreté et les comptes</w:t>
      </w:r>
      <w:r w:rsidRPr="00AD6304">
        <w:rPr>
          <w:kern w:val="22"/>
          <w:lang w:val="fr-FR"/>
        </w:rPr>
        <w:t xml:space="preserve"> </w:t>
      </w:r>
      <w:r w:rsidR="00EE7CED">
        <w:rPr>
          <w:kern w:val="22"/>
          <w:lang w:val="fr-FR"/>
        </w:rPr>
        <w:t>nationaux et locaux, en veillant à ce que, d’ici à 2030, les valeurs de la biodiversité soient intégrées dans tous les secteurs et que des évaluations s</w:t>
      </w:r>
      <w:r w:rsidR="00133332">
        <w:rPr>
          <w:kern w:val="22"/>
          <w:lang w:val="fr-FR"/>
        </w:rPr>
        <w:t>tratégiques environnementales et des études d’impact sur l’environnement qui comprennent la biodiversité soient pleinement appliquées.</w:t>
      </w:r>
    </w:p>
    <w:p w14:paraId="4D58FE66" w14:textId="53C52DC4" w:rsidR="00140BB2" w:rsidRPr="00AD6304" w:rsidRDefault="00140BB2" w:rsidP="009F6D3C">
      <w:pPr>
        <w:pStyle w:val="Para3"/>
        <w:numPr>
          <w:ilvl w:val="6"/>
          <w:numId w:val="6"/>
        </w:numPr>
        <w:spacing w:before="120" w:after="120"/>
        <w:ind w:left="1134" w:hanging="567"/>
        <w:rPr>
          <w:color w:val="191919"/>
          <w:kern w:val="22"/>
          <w:szCs w:val="22"/>
          <w:lang w:val="fr-FR"/>
        </w:rPr>
      </w:pPr>
      <w:r w:rsidRPr="00AD6304">
        <w:rPr>
          <w:kern w:val="22"/>
          <w:lang w:val="fr-FR"/>
        </w:rPr>
        <w:t>R</w:t>
      </w:r>
      <w:r w:rsidR="00133332">
        <w:rPr>
          <w:kern w:val="22"/>
          <w:lang w:val="fr-FR"/>
        </w:rPr>
        <w:t xml:space="preserve">éformer les secteurs économiques vers des pratiques durables, notamment le long de leur chaînes logistiques nationales et </w:t>
      </w:r>
      <w:r w:rsidR="00975E06">
        <w:rPr>
          <w:kern w:val="22"/>
          <w:lang w:val="fr-FR"/>
        </w:rPr>
        <w:t xml:space="preserve">transfrontalières, réalisant, d’ici à 2030, une réduction d’au moins </w:t>
      </w:r>
      <w:r w:rsidRPr="00AD6304">
        <w:rPr>
          <w:kern w:val="22"/>
          <w:lang w:val="fr-FR"/>
        </w:rPr>
        <w:t xml:space="preserve">[50%] </w:t>
      </w:r>
      <w:r w:rsidR="00975E06">
        <w:rPr>
          <w:kern w:val="22"/>
          <w:lang w:val="fr-FR"/>
        </w:rPr>
        <w:t>des effets nuisibles sur la biodiversité.</w:t>
      </w:r>
    </w:p>
    <w:p w14:paraId="6A2460CD" w14:textId="2800BA7F" w:rsidR="00140BB2" w:rsidRPr="00AD6304" w:rsidRDefault="00975E06" w:rsidP="009F6D3C">
      <w:pPr>
        <w:pStyle w:val="Para3"/>
        <w:numPr>
          <w:ilvl w:val="6"/>
          <w:numId w:val="6"/>
        </w:numPr>
        <w:spacing w:before="120" w:after="120"/>
        <w:ind w:left="1134" w:hanging="567"/>
        <w:rPr>
          <w:rFonts w:eastAsia="Malgun Gothic"/>
          <w:kern w:val="22"/>
          <w:lang w:val="fr-FR"/>
        </w:rPr>
      </w:pPr>
      <w:r>
        <w:rPr>
          <w:color w:val="000000"/>
          <w:kern w:val="22"/>
          <w:szCs w:val="22"/>
          <w:lang w:val="fr-FR"/>
        </w:rPr>
        <w:t xml:space="preserve">Les ressources, y compris le renforcement des capacités, pour la mise en œuvre du cadre </w:t>
      </w:r>
      <w:proofErr w:type="spellStart"/>
      <w:r>
        <w:rPr>
          <w:color w:val="000000"/>
          <w:kern w:val="22"/>
          <w:szCs w:val="22"/>
          <w:lang w:val="fr-FR"/>
        </w:rPr>
        <w:t>on</w:t>
      </w:r>
      <w:proofErr w:type="spellEnd"/>
      <w:r>
        <w:rPr>
          <w:color w:val="000000"/>
          <w:kern w:val="22"/>
          <w:szCs w:val="22"/>
          <w:lang w:val="fr-FR"/>
        </w:rPr>
        <w:t xml:space="preserve"> augmenté de toutes les sources, de sorte que, d’ici à 2030, les ressources ont augmenté de </w:t>
      </w:r>
      <w:r w:rsidR="00140BB2" w:rsidRPr="00AD6304">
        <w:rPr>
          <w:color w:val="000000"/>
          <w:kern w:val="22"/>
          <w:szCs w:val="22"/>
          <w:lang w:val="fr-FR"/>
        </w:rPr>
        <w:t xml:space="preserve">[X%] </w:t>
      </w:r>
      <w:r>
        <w:rPr>
          <w:color w:val="000000"/>
          <w:kern w:val="22"/>
          <w:szCs w:val="22"/>
          <w:lang w:val="fr-FR"/>
        </w:rPr>
        <w:t>et sont à la mesure de l’ambition des cibles du cadre</w:t>
      </w:r>
      <w:r w:rsidR="00140BB2" w:rsidRPr="007C59FB">
        <w:rPr>
          <w:rStyle w:val="FootnoteReference"/>
          <w:color w:val="000000"/>
          <w:kern w:val="22"/>
          <w:sz w:val="22"/>
          <w:szCs w:val="22"/>
          <w:u w:val="none"/>
          <w:vertAlign w:val="superscript"/>
          <w:lang w:val="fr-FR"/>
        </w:rPr>
        <w:footnoteReference w:id="14"/>
      </w:r>
      <w:r>
        <w:rPr>
          <w:color w:val="000000"/>
          <w:kern w:val="22"/>
          <w:szCs w:val="22"/>
          <w:lang w:val="fr-FR"/>
        </w:rPr>
        <w:t>.</w:t>
      </w:r>
    </w:p>
    <w:p w14:paraId="462A34A7" w14:textId="4F3847C6" w:rsidR="00140BB2" w:rsidRPr="00AD6304" w:rsidRDefault="00332CF6" w:rsidP="009F6D3C">
      <w:pPr>
        <w:pStyle w:val="Para3"/>
        <w:numPr>
          <w:ilvl w:val="6"/>
          <w:numId w:val="6"/>
        </w:numPr>
        <w:spacing w:before="120" w:after="120"/>
        <w:ind w:left="1134" w:hanging="567"/>
        <w:rPr>
          <w:rFonts w:eastAsia="Malgun Gothic"/>
          <w:b/>
          <w:kern w:val="22"/>
          <w:szCs w:val="22"/>
          <w:lang w:val="fr-FR"/>
        </w:rPr>
      </w:pPr>
      <w:r>
        <w:rPr>
          <w:kern w:val="22"/>
          <w:lang w:val="fr-FR"/>
        </w:rPr>
        <w:t>D’ici à 2030, mettre en place et en œuvre dans tous les pays des mesures pour empêcher les effets nuisibles potentiels de la biotechnologie sur la biodiversité</w:t>
      </w:r>
      <w:r w:rsidR="00140BB2" w:rsidRPr="00AD6304">
        <w:rPr>
          <w:kern w:val="22"/>
          <w:lang w:val="fr-FR"/>
        </w:rPr>
        <w:t xml:space="preserve">. </w:t>
      </w:r>
    </w:p>
    <w:p w14:paraId="25256A98" w14:textId="1D8B2213" w:rsidR="001C7124" w:rsidRPr="00AD6304" w:rsidRDefault="003E1F38" w:rsidP="000F6BD5">
      <w:pPr>
        <w:pStyle w:val="Para3"/>
        <w:numPr>
          <w:ilvl w:val="6"/>
          <w:numId w:val="6"/>
        </w:numPr>
        <w:spacing w:before="120" w:after="120"/>
        <w:ind w:left="1134" w:hanging="567"/>
        <w:rPr>
          <w:kern w:val="22"/>
          <w:lang w:val="fr-FR"/>
        </w:rPr>
      </w:pPr>
      <w:r>
        <w:rPr>
          <w:kern w:val="22"/>
          <w:szCs w:val="22"/>
          <w:lang w:val="fr-FR"/>
        </w:rPr>
        <w:t>Partout, les populations prennent</w:t>
      </w:r>
      <w:r w:rsidR="00D72CEC">
        <w:rPr>
          <w:kern w:val="22"/>
          <w:szCs w:val="22"/>
          <w:lang w:val="fr-FR"/>
        </w:rPr>
        <w:t xml:space="preserve"> </w:t>
      </w:r>
      <w:r w:rsidR="00332CF6">
        <w:rPr>
          <w:kern w:val="22"/>
          <w:szCs w:val="22"/>
          <w:lang w:val="fr-FR"/>
        </w:rPr>
        <w:t xml:space="preserve">des mesures quantifiables visant à assurer une consommation et des styles de vie durables en tenant compte des conditions </w:t>
      </w:r>
      <w:r w:rsidR="00E22990">
        <w:rPr>
          <w:kern w:val="22"/>
          <w:szCs w:val="22"/>
          <w:lang w:val="fr-FR"/>
        </w:rPr>
        <w:t xml:space="preserve">culturelles et </w:t>
      </w:r>
      <w:r w:rsidR="00332CF6">
        <w:rPr>
          <w:kern w:val="22"/>
          <w:szCs w:val="22"/>
          <w:lang w:val="fr-FR"/>
        </w:rPr>
        <w:t>socioéconomiques</w:t>
      </w:r>
      <w:r w:rsidR="00E22990">
        <w:rPr>
          <w:kern w:val="22"/>
          <w:szCs w:val="22"/>
          <w:lang w:val="fr-FR"/>
        </w:rPr>
        <w:t xml:space="preserve"> individuelles et nationales, réalisant, d’ici à 2030, des niveaux de consommation équitables et durables.</w:t>
      </w:r>
      <w:r w:rsidR="00F32264" w:rsidRPr="00AD6304">
        <w:rPr>
          <w:kern w:val="22"/>
          <w:szCs w:val="22"/>
          <w:lang w:val="fr-FR"/>
        </w:rPr>
        <w:t xml:space="preserve"> </w:t>
      </w:r>
    </w:p>
    <w:p w14:paraId="5C32C52E" w14:textId="6C4E241D" w:rsidR="00140BB2" w:rsidRPr="00AD6304" w:rsidRDefault="005239D6" w:rsidP="009F6D3C">
      <w:pPr>
        <w:pStyle w:val="Para3"/>
        <w:numPr>
          <w:ilvl w:val="6"/>
          <w:numId w:val="6"/>
        </w:numPr>
        <w:spacing w:before="120" w:after="120"/>
        <w:ind w:left="1134" w:hanging="567"/>
        <w:rPr>
          <w:kern w:val="22"/>
          <w:lang w:val="fr-FR"/>
        </w:rPr>
      </w:pPr>
      <w:r w:rsidRPr="00AD6304">
        <w:rPr>
          <w:kern w:val="22"/>
          <w:lang w:val="fr-FR"/>
        </w:rPr>
        <w:t>P</w:t>
      </w:r>
      <w:r w:rsidR="00140BB2" w:rsidRPr="00AD6304">
        <w:rPr>
          <w:kern w:val="22"/>
          <w:lang w:val="fr-FR"/>
        </w:rPr>
        <w:t>romo</w:t>
      </w:r>
      <w:r w:rsidR="00E22990">
        <w:rPr>
          <w:kern w:val="22"/>
          <w:lang w:val="fr-FR"/>
        </w:rPr>
        <w:t>uvoir l’éducation et la production, l’échange et l’utilisation des connaissances relatives à la biodiversité dans le cas des connaissances traditionnelles, innovations et pratiques des peuples autochtones et communautés locales, en s’assurant que, d’ici à 2030, tous les décideurs ont accès à des informations fiables et à jour pour la gestion efficace de la biodiversité.</w:t>
      </w:r>
    </w:p>
    <w:p w14:paraId="22C35FBD" w14:textId="50B433D8" w:rsidR="00140BB2" w:rsidRPr="00AD6304" w:rsidRDefault="00E22990" w:rsidP="009F6D3C">
      <w:pPr>
        <w:pStyle w:val="Para3"/>
        <w:numPr>
          <w:ilvl w:val="6"/>
          <w:numId w:val="6"/>
        </w:numPr>
        <w:spacing w:before="120" w:after="120"/>
        <w:ind w:left="1134" w:hanging="567"/>
        <w:rPr>
          <w:rFonts w:eastAsia="Malgun Gothic"/>
          <w:kern w:val="22"/>
          <w:szCs w:val="22"/>
          <w:lang w:val="fr-FR"/>
        </w:rPr>
      </w:pPr>
      <w:r>
        <w:rPr>
          <w:kern w:val="22"/>
          <w:lang w:val="fr-FR"/>
        </w:rPr>
        <w:t>Favoriser la participation pleine et effective des peuples autochtones et communautés locales, des femmes et des filles, et des jeunes à la prise de décisions concernant la conservation et l’utilisation durable de la biodiversité en assurant, d’ici à 2030, leur participation équitable</w:t>
      </w:r>
      <w:r w:rsidR="00C04892">
        <w:rPr>
          <w:kern w:val="22"/>
          <w:lang w:val="fr-FR"/>
        </w:rPr>
        <w:t xml:space="preserve"> et leurs droits sur les ressources pertinentes.</w:t>
      </w:r>
    </w:p>
    <w:p w14:paraId="798573F6" w14:textId="4AD0388C" w:rsidR="00140BB2" w:rsidRPr="00AD6304" w:rsidRDefault="00C04892" w:rsidP="009F6D3C">
      <w:pPr>
        <w:pStyle w:val="Para3"/>
        <w:numPr>
          <w:ilvl w:val="6"/>
          <w:numId w:val="6"/>
        </w:numPr>
        <w:spacing w:before="120" w:after="120"/>
        <w:ind w:left="1134" w:hanging="567"/>
        <w:rPr>
          <w:rFonts w:eastAsia="Malgun Gothic"/>
          <w:b/>
          <w:i/>
          <w:kern w:val="22"/>
          <w:szCs w:val="22"/>
          <w:lang w:val="fr-FR"/>
        </w:rPr>
      </w:pPr>
      <w:r>
        <w:rPr>
          <w:kern w:val="22"/>
          <w:lang w:val="fr-FR"/>
        </w:rPr>
        <w:t>Encourager des visions diverses d’une bonne qualité de vie et</w:t>
      </w:r>
      <w:r w:rsidR="00ED75DE">
        <w:rPr>
          <w:kern w:val="22"/>
          <w:lang w:val="fr-FR"/>
        </w:rPr>
        <w:t xml:space="preserve">  des valeurs de responsabilité, afin de réaliser, d’ici à 2030, de nouvelles normes sociales de durabilité.</w:t>
      </w:r>
    </w:p>
    <w:p w14:paraId="0FBE9D28" w14:textId="18098A16" w:rsidR="003D3632" w:rsidRPr="00AD6304" w:rsidRDefault="00ED75DE" w:rsidP="005C254C">
      <w:pPr>
        <w:pStyle w:val="Heading2"/>
        <w:numPr>
          <w:ilvl w:val="0"/>
          <w:numId w:val="10"/>
        </w:numPr>
        <w:tabs>
          <w:tab w:val="clear" w:pos="720"/>
        </w:tabs>
        <w:spacing w:before="240"/>
        <w:ind w:left="714" w:hanging="357"/>
        <w:rPr>
          <w:kern w:val="22"/>
          <w:lang w:val="fr-FR"/>
        </w:rPr>
      </w:pPr>
      <w:r>
        <w:rPr>
          <w:kern w:val="22"/>
          <w:lang w:val="fr-FR"/>
        </w:rPr>
        <w:t>Mécanisme</w:t>
      </w:r>
      <w:r w:rsidR="005974FE">
        <w:rPr>
          <w:kern w:val="22"/>
          <w:lang w:val="fr-FR"/>
        </w:rPr>
        <w:t>s</w:t>
      </w:r>
      <w:r>
        <w:rPr>
          <w:kern w:val="22"/>
          <w:lang w:val="fr-FR"/>
        </w:rPr>
        <w:t xml:space="preserve"> d’appui à la mise en œuvre</w:t>
      </w:r>
    </w:p>
    <w:p w14:paraId="1E9FB384" w14:textId="5AE77B25" w:rsidR="001E0ACB" w:rsidRPr="00AD6304" w:rsidRDefault="00ED75DE" w:rsidP="009F6D3C">
      <w:pPr>
        <w:pStyle w:val="Para1"/>
        <w:numPr>
          <w:ilvl w:val="0"/>
          <w:numId w:val="6"/>
        </w:numPr>
        <w:tabs>
          <w:tab w:val="clear" w:pos="360"/>
        </w:tabs>
        <w:snapToGrid w:val="0"/>
        <w:rPr>
          <w:kern w:val="22"/>
          <w:lang w:val="fr-FR"/>
        </w:rPr>
      </w:pPr>
      <w:r>
        <w:rPr>
          <w:kern w:val="22"/>
          <w:lang w:val="fr-FR"/>
        </w:rPr>
        <w:t xml:space="preserve">La mise en œuvre effective du cadre nécessite des mécanismes d’appui </w:t>
      </w:r>
      <w:r w:rsidR="002C35D3">
        <w:rPr>
          <w:kern w:val="22"/>
          <w:lang w:val="fr-FR"/>
        </w:rPr>
        <w:t xml:space="preserve">qui soient </w:t>
      </w:r>
      <w:r>
        <w:rPr>
          <w:kern w:val="22"/>
          <w:lang w:val="fr-FR"/>
        </w:rPr>
        <w:t>à la mesure de l’ambition</w:t>
      </w:r>
      <w:r w:rsidR="002C35D3">
        <w:rPr>
          <w:kern w:val="22"/>
          <w:lang w:val="fr-FR"/>
        </w:rPr>
        <w:t xml:space="preserve"> énoncée dans ses objectifs et ses cibles ainsi que des changements transformateurs pour les atteindre, notamment :</w:t>
      </w:r>
    </w:p>
    <w:p w14:paraId="6FB69A54" w14:textId="74ADE734" w:rsidR="001E0ACB" w:rsidRPr="002C35D3" w:rsidRDefault="002C35D3" w:rsidP="002C35D3">
      <w:pPr>
        <w:pStyle w:val="Para1"/>
        <w:numPr>
          <w:ilvl w:val="1"/>
          <w:numId w:val="6"/>
        </w:numPr>
        <w:rPr>
          <w:kern w:val="22"/>
          <w:lang w:val="fr-FR"/>
        </w:rPr>
      </w:pPr>
      <w:r>
        <w:rPr>
          <w:kern w:val="22"/>
          <w:lang w:val="fr-FR"/>
        </w:rPr>
        <w:t>Le montant des ressources disponibles pour mettre en œuvre le cadre doit être suffisant. Ceci nécessite une augmentation des ressources de toutes les sources ;</w:t>
      </w:r>
    </w:p>
    <w:p w14:paraId="4B4B7E61" w14:textId="4B1DFE35" w:rsidR="001E0ACB" w:rsidRPr="00AD6304" w:rsidRDefault="002C35D3" w:rsidP="002C35D3">
      <w:pPr>
        <w:pStyle w:val="Para1"/>
        <w:numPr>
          <w:ilvl w:val="1"/>
          <w:numId w:val="6"/>
        </w:numPr>
        <w:rPr>
          <w:kern w:val="22"/>
          <w:lang w:val="fr-FR"/>
        </w:rPr>
      </w:pPr>
      <w:r>
        <w:rPr>
          <w:kern w:val="22"/>
          <w:lang w:val="fr-FR"/>
        </w:rPr>
        <w:t>Le renforcement des capacités</w:t>
      </w:r>
      <w:r w:rsidR="001E0ACB" w:rsidRPr="00AD6304">
        <w:rPr>
          <w:kern w:val="22"/>
          <w:lang w:val="fr-FR"/>
        </w:rPr>
        <w:t xml:space="preserve">, </w:t>
      </w:r>
      <w:r>
        <w:rPr>
          <w:kern w:val="22"/>
          <w:lang w:val="fr-FR"/>
        </w:rPr>
        <w:t xml:space="preserve">en particulier le renforcement des capacités déterminé au niveau national </w:t>
      </w:r>
      <w:r w:rsidR="00904362">
        <w:rPr>
          <w:kern w:val="22"/>
          <w:lang w:val="fr-FR"/>
        </w:rPr>
        <w:t xml:space="preserve">ou </w:t>
      </w:r>
      <w:r w:rsidR="001E0ACB" w:rsidRPr="00AD6304">
        <w:rPr>
          <w:kern w:val="22"/>
          <w:lang w:val="fr-FR"/>
        </w:rPr>
        <w:t xml:space="preserve"> </w:t>
      </w:r>
      <w:r w:rsidR="00546306">
        <w:rPr>
          <w:kern w:val="22"/>
          <w:lang w:val="fr-FR"/>
        </w:rPr>
        <w:t>piloté par les pays</w:t>
      </w:r>
      <w:r w:rsidR="001E0ACB" w:rsidRPr="00546306">
        <w:rPr>
          <w:vertAlign w:val="superscript"/>
        </w:rPr>
        <w:footnoteReference w:id="15"/>
      </w:r>
      <w:r w:rsidR="00546306">
        <w:rPr>
          <w:kern w:val="22"/>
          <w:lang w:val="fr-FR"/>
        </w:rPr>
        <w:t> ;</w:t>
      </w:r>
      <w:r w:rsidR="001E0ACB" w:rsidRPr="002C35D3">
        <w:rPr>
          <w:kern w:val="22"/>
          <w:lang w:val="fr-FR"/>
        </w:rPr>
        <w:t xml:space="preserve"> </w:t>
      </w:r>
    </w:p>
    <w:p w14:paraId="2A3C1E70" w14:textId="445647C0" w:rsidR="001E0ACB" w:rsidRPr="00AD6304" w:rsidRDefault="00546306" w:rsidP="002C35D3">
      <w:pPr>
        <w:pStyle w:val="Para1"/>
        <w:numPr>
          <w:ilvl w:val="1"/>
          <w:numId w:val="6"/>
        </w:numPr>
        <w:rPr>
          <w:kern w:val="22"/>
          <w:lang w:val="fr-FR"/>
        </w:rPr>
      </w:pPr>
      <w:r>
        <w:rPr>
          <w:kern w:val="22"/>
          <w:lang w:val="fr-FR"/>
        </w:rPr>
        <w:lastRenderedPageBreak/>
        <w:t>La production et l’échange d’informations et de connaissances scientifiques importantes pour la mise en œuvre effective, le suivi et l’évaluation du cadre ;</w:t>
      </w:r>
    </w:p>
    <w:p w14:paraId="5F68884D" w14:textId="453BF266" w:rsidR="001E0ACB" w:rsidRPr="00AD6304" w:rsidRDefault="00546306" w:rsidP="002C35D3">
      <w:pPr>
        <w:pStyle w:val="Para1"/>
        <w:numPr>
          <w:ilvl w:val="1"/>
          <w:numId w:val="6"/>
        </w:numPr>
        <w:rPr>
          <w:kern w:val="22"/>
          <w:lang w:val="fr-FR"/>
        </w:rPr>
      </w:pPr>
      <w:r>
        <w:rPr>
          <w:kern w:val="22"/>
          <w:lang w:val="fr-FR"/>
        </w:rPr>
        <w:t>La coopération technique et scientifique, le transfert de technologie et l’innovation pertinentes pour la mise en œuvre du cadre.</w:t>
      </w:r>
      <w:r w:rsidR="001E0ACB" w:rsidRPr="00AD6304">
        <w:rPr>
          <w:kern w:val="22"/>
          <w:lang w:val="fr-FR"/>
        </w:rPr>
        <w:t xml:space="preserve"> </w:t>
      </w:r>
    </w:p>
    <w:p w14:paraId="4841D51A" w14:textId="60C21003" w:rsidR="003D3632" w:rsidRPr="00AD6304" w:rsidRDefault="00546306" w:rsidP="005C254C">
      <w:pPr>
        <w:pStyle w:val="Heading2"/>
        <w:numPr>
          <w:ilvl w:val="0"/>
          <w:numId w:val="10"/>
        </w:numPr>
        <w:tabs>
          <w:tab w:val="clear" w:pos="720"/>
        </w:tabs>
        <w:spacing w:before="240"/>
        <w:ind w:left="714" w:hanging="357"/>
        <w:rPr>
          <w:kern w:val="22"/>
          <w:lang w:val="fr-FR"/>
        </w:rPr>
      </w:pPr>
      <w:r>
        <w:rPr>
          <w:kern w:val="22"/>
          <w:lang w:val="fr-FR"/>
        </w:rPr>
        <w:t xml:space="preserve">Conditions </w:t>
      </w:r>
      <w:r w:rsidR="003E1F38">
        <w:rPr>
          <w:kern w:val="22"/>
          <w:lang w:val="fr-FR"/>
        </w:rPr>
        <w:t>habilitantes</w:t>
      </w:r>
    </w:p>
    <w:p w14:paraId="20992C33" w14:textId="2CA443A5" w:rsidR="001E0ACB" w:rsidRPr="00AD6304" w:rsidRDefault="00546306" w:rsidP="009F6D3C">
      <w:pPr>
        <w:pStyle w:val="Para1"/>
        <w:numPr>
          <w:ilvl w:val="0"/>
          <w:numId w:val="6"/>
        </w:numPr>
        <w:tabs>
          <w:tab w:val="clear" w:pos="360"/>
        </w:tabs>
        <w:snapToGrid w:val="0"/>
        <w:rPr>
          <w:rFonts w:eastAsia="Cambria"/>
          <w:kern w:val="22"/>
          <w:lang w:val="fr-FR"/>
        </w:rPr>
      </w:pPr>
      <w:r>
        <w:rPr>
          <w:kern w:val="22"/>
          <w:lang w:val="fr-FR"/>
        </w:rPr>
        <w:t xml:space="preserve">La prise en compte appropriée d’un ensemble de conditions </w:t>
      </w:r>
      <w:r w:rsidR="003E1F38">
        <w:rPr>
          <w:kern w:val="22"/>
          <w:lang w:val="fr-FR"/>
        </w:rPr>
        <w:t xml:space="preserve">habilitantes </w:t>
      </w:r>
      <w:r>
        <w:rPr>
          <w:kern w:val="22"/>
          <w:lang w:val="fr-FR"/>
        </w:rPr>
        <w:t xml:space="preserve">facilitera la mise en œuvre du cadre. En outre, une action efficace </w:t>
      </w:r>
      <w:r w:rsidR="007C103B">
        <w:rPr>
          <w:kern w:val="22"/>
          <w:lang w:val="fr-FR"/>
        </w:rPr>
        <w:t xml:space="preserve">pour mettre en place ces conditions </w:t>
      </w:r>
      <w:r w:rsidR="00B04A8B">
        <w:rPr>
          <w:kern w:val="22"/>
          <w:lang w:val="fr-FR"/>
        </w:rPr>
        <w:t>habilitantes</w:t>
      </w:r>
      <w:r w:rsidR="007C103B">
        <w:rPr>
          <w:kern w:val="22"/>
          <w:lang w:val="fr-FR"/>
        </w:rPr>
        <w:t xml:space="preserve"> contribuera à la réalisation d’autres objectifs sociétaux. Ces conditions </w:t>
      </w:r>
      <w:r w:rsidR="00B04A8B">
        <w:rPr>
          <w:kern w:val="22"/>
          <w:lang w:val="fr-FR"/>
        </w:rPr>
        <w:t>habilitantes</w:t>
      </w:r>
      <w:r w:rsidR="007C103B">
        <w:rPr>
          <w:kern w:val="22"/>
          <w:lang w:val="fr-FR"/>
        </w:rPr>
        <w:t xml:space="preserve"> sont les suivantes :</w:t>
      </w:r>
      <w:r w:rsidR="001E0ACB" w:rsidRPr="00AD6304">
        <w:rPr>
          <w:kern w:val="22"/>
          <w:lang w:val="fr-FR"/>
        </w:rPr>
        <w:t xml:space="preserve"> </w:t>
      </w:r>
    </w:p>
    <w:p w14:paraId="2F416DA1" w14:textId="71B4F1C0" w:rsidR="001E0ACB" w:rsidRPr="00AD6304" w:rsidRDefault="007C103B" w:rsidP="001E0ACB">
      <w:pPr>
        <w:pStyle w:val="Para1"/>
        <w:numPr>
          <w:ilvl w:val="1"/>
          <w:numId w:val="6"/>
        </w:numPr>
        <w:snapToGrid w:val="0"/>
        <w:rPr>
          <w:iCs/>
          <w:kern w:val="22"/>
          <w:lang w:val="fr-FR"/>
        </w:rPr>
      </w:pPr>
      <w:r>
        <w:rPr>
          <w:iCs/>
          <w:kern w:val="22"/>
          <w:lang w:val="fr-FR"/>
        </w:rPr>
        <w:t>La participation des peuples autochtones et communautés locales et une reconnaissance de leurs droits dans la mise en œuvre du cadre ;</w:t>
      </w:r>
    </w:p>
    <w:p w14:paraId="7C178FCD" w14:textId="3D1A5487" w:rsidR="001E0ACB" w:rsidRPr="00AD6304" w:rsidRDefault="007C103B" w:rsidP="001E0ACB">
      <w:pPr>
        <w:pStyle w:val="Para1"/>
        <w:numPr>
          <w:ilvl w:val="1"/>
          <w:numId w:val="6"/>
        </w:numPr>
        <w:snapToGrid w:val="0"/>
        <w:rPr>
          <w:iCs/>
          <w:kern w:val="22"/>
          <w:lang w:val="fr-FR"/>
        </w:rPr>
      </w:pPr>
      <w:r>
        <w:rPr>
          <w:iCs/>
          <w:kern w:val="22"/>
          <w:lang w:val="fr-FR"/>
        </w:rPr>
        <w:t>La participation de toutes les parties prenantes pertinentes, y compris les femmes, les jeunes, la société civile, les autorités locales et infranationales, le secteur privé, le milieu universitaire et les institutions scientifiques ;</w:t>
      </w:r>
    </w:p>
    <w:p w14:paraId="2EF4B544" w14:textId="322743C2" w:rsidR="001E0ACB" w:rsidRPr="00AD6304" w:rsidRDefault="007C103B" w:rsidP="001E0ACB">
      <w:pPr>
        <w:pStyle w:val="Para1"/>
        <w:numPr>
          <w:ilvl w:val="1"/>
          <w:numId w:val="6"/>
        </w:numPr>
        <w:snapToGrid w:val="0"/>
        <w:rPr>
          <w:kern w:val="22"/>
          <w:lang w:val="fr-FR"/>
        </w:rPr>
      </w:pPr>
      <w:r>
        <w:rPr>
          <w:iCs/>
          <w:kern w:val="22"/>
          <w:lang w:val="fr-FR"/>
        </w:rPr>
        <w:t>L’égalité des sexes, l’habilitation des femmes et des approches sensibles à la problématique hommes-femmes ;</w:t>
      </w:r>
    </w:p>
    <w:p w14:paraId="7CDACD0A" w14:textId="2063FDC4" w:rsidR="001E0ACB" w:rsidRPr="00AD6304" w:rsidRDefault="007C103B" w:rsidP="001E0ACB">
      <w:pPr>
        <w:pStyle w:val="Para1"/>
        <w:numPr>
          <w:ilvl w:val="1"/>
          <w:numId w:val="6"/>
        </w:numPr>
        <w:snapToGrid w:val="0"/>
        <w:rPr>
          <w:iCs/>
          <w:kern w:val="22"/>
          <w:lang w:val="fr-FR"/>
        </w:rPr>
      </w:pPr>
      <w:r>
        <w:rPr>
          <w:iCs/>
          <w:kern w:val="22"/>
          <w:lang w:val="fr-FR"/>
        </w:rPr>
        <w:t>La reconnaissance de l’équité entre générations.</w:t>
      </w:r>
    </w:p>
    <w:p w14:paraId="70F8E294" w14:textId="3B18F263" w:rsidR="001E0ACB" w:rsidRPr="00AD6304" w:rsidRDefault="00014384" w:rsidP="001E0ACB">
      <w:pPr>
        <w:pStyle w:val="Para1"/>
        <w:numPr>
          <w:ilvl w:val="1"/>
          <w:numId w:val="6"/>
        </w:numPr>
        <w:snapToGrid w:val="0"/>
        <w:rPr>
          <w:iCs/>
          <w:kern w:val="22"/>
          <w:lang w:val="fr-FR"/>
        </w:rPr>
      </w:pPr>
      <w:r>
        <w:rPr>
          <w:iCs/>
          <w:kern w:val="22"/>
          <w:lang w:val="fr-FR"/>
        </w:rPr>
        <w:t>Les synergies avec d’autres accords multilatéraux sur l’environnement et processus compétents ;</w:t>
      </w:r>
    </w:p>
    <w:p w14:paraId="171941FA" w14:textId="0C5602B5" w:rsidR="001E0ACB" w:rsidRPr="00AD6304" w:rsidRDefault="00014384" w:rsidP="001E0ACB">
      <w:pPr>
        <w:pStyle w:val="Para1"/>
        <w:numPr>
          <w:ilvl w:val="1"/>
          <w:numId w:val="6"/>
        </w:numPr>
        <w:snapToGrid w:val="0"/>
        <w:rPr>
          <w:iCs/>
          <w:kern w:val="22"/>
          <w:lang w:val="fr-FR"/>
        </w:rPr>
      </w:pPr>
      <w:r>
        <w:rPr>
          <w:iCs/>
          <w:kern w:val="22"/>
          <w:lang w:val="fr-FR"/>
        </w:rPr>
        <w:t>Les partenariats pour maximiser les activités aux niveaux local, national, régional et mondial ;</w:t>
      </w:r>
    </w:p>
    <w:p w14:paraId="3F04D130" w14:textId="2BA2C79D" w:rsidR="00F86609" w:rsidRPr="00AD6304" w:rsidRDefault="00014384" w:rsidP="00F86609">
      <w:pPr>
        <w:pStyle w:val="Para1"/>
        <w:numPr>
          <w:ilvl w:val="1"/>
          <w:numId w:val="6"/>
        </w:numPr>
        <w:snapToGrid w:val="0"/>
        <w:rPr>
          <w:iCs/>
          <w:kern w:val="22"/>
          <w:lang w:val="fr-FR"/>
        </w:rPr>
      </w:pPr>
      <w:r>
        <w:rPr>
          <w:iCs/>
          <w:kern w:val="22"/>
          <w:lang w:val="fr-FR"/>
        </w:rPr>
        <w:t>La mise en place d’une gouvernance inclusive et intégrée adéquate</w:t>
      </w:r>
      <w:r w:rsidR="007A59F6">
        <w:rPr>
          <w:iCs/>
          <w:kern w:val="22"/>
          <w:lang w:val="fr-FR"/>
        </w:rPr>
        <w:t xml:space="preserve"> afin d’assurer la cohérence et l’efficacité des politiques pour la mise en œuvre du cadre ;</w:t>
      </w:r>
      <w:r w:rsidR="00AC6677" w:rsidRPr="00AD6304">
        <w:rPr>
          <w:iCs/>
          <w:kern w:val="22"/>
          <w:lang w:val="fr-FR"/>
        </w:rPr>
        <w:t xml:space="preserve"> </w:t>
      </w:r>
    </w:p>
    <w:p w14:paraId="36D9EF36" w14:textId="5C611814" w:rsidR="00702D72" w:rsidRPr="00AD6304" w:rsidRDefault="007A59F6" w:rsidP="00F86609">
      <w:pPr>
        <w:pStyle w:val="Para1"/>
        <w:numPr>
          <w:ilvl w:val="1"/>
          <w:numId w:val="6"/>
        </w:numPr>
        <w:snapToGrid w:val="0"/>
        <w:rPr>
          <w:iCs/>
          <w:kern w:val="22"/>
          <w:lang w:val="fr-FR"/>
        </w:rPr>
      </w:pPr>
      <w:r>
        <w:rPr>
          <w:iCs/>
          <w:kern w:val="22"/>
          <w:lang w:val="fr-FR"/>
        </w:rPr>
        <w:t>Une volonté politique adéquate et la reconnaissance, aux niveaux les plus élevés de gouvernement, de la nécessité urgente de mettre fin à la perte de biodiversité.</w:t>
      </w:r>
    </w:p>
    <w:p w14:paraId="61BABD1D" w14:textId="23DEDAA0" w:rsidR="003D3632" w:rsidRPr="00AD6304" w:rsidRDefault="00B13628" w:rsidP="009F6D3C">
      <w:pPr>
        <w:pStyle w:val="Para1"/>
        <w:numPr>
          <w:ilvl w:val="0"/>
          <w:numId w:val="6"/>
        </w:numPr>
        <w:tabs>
          <w:tab w:val="clear" w:pos="360"/>
        </w:tabs>
        <w:snapToGrid w:val="0"/>
        <w:rPr>
          <w:iCs/>
          <w:kern w:val="22"/>
          <w:lang w:val="fr-FR"/>
        </w:rPr>
      </w:pPr>
      <w:r>
        <w:rPr>
          <w:iCs/>
          <w:kern w:val="22"/>
          <w:lang w:val="fr-FR"/>
        </w:rPr>
        <w:t xml:space="preserve">La mise en œuvre du Programme de développement durable à l’horizon </w:t>
      </w:r>
      <w:r w:rsidR="001E0ACB" w:rsidRPr="00AD6304">
        <w:rPr>
          <w:iCs/>
          <w:kern w:val="22"/>
          <w:lang w:val="fr-FR"/>
        </w:rPr>
        <w:t>2030</w:t>
      </w:r>
      <w:r>
        <w:rPr>
          <w:iCs/>
          <w:kern w:val="22"/>
          <w:lang w:val="fr-FR"/>
        </w:rPr>
        <w:t xml:space="preserve"> et les progrès accomplis vers la réalisation des Objectifs de développement durable, tels que les objectifs sur une éducation de qualité, l’égalité entre les sexes, la réduction des inégalités</w:t>
      </w:r>
      <w:r w:rsidR="00D40E2D">
        <w:rPr>
          <w:iCs/>
          <w:kern w:val="22"/>
          <w:lang w:val="fr-FR"/>
        </w:rPr>
        <w:t xml:space="preserve">, la paix et la justice, ainsi que la production et consommation durables contribueront à créer des conditions </w:t>
      </w:r>
      <w:r w:rsidR="00B04A8B">
        <w:rPr>
          <w:iCs/>
          <w:kern w:val="22"/>
          <w:lang w:val="fr-FR"/>
        </w:rPr>
        <w:t xml:space="preserve">habilitantes pour </w:t>
      </w:r>
      <w:r w:rsidR="00D40E2D">
        <w:rPr>
          <w:iCs/>
          <w:kern w:val="22"/>
          <w:lang w:val="fr-FR"/>
        </w:rPr>
        <w:t>la mise en œuvre du cadre mondial de la biodiversité pour l’après-2020.</w:t>
      </w:r>
    </w:p>
    <w:p w14:paraId="53F5DAD9" w14:textId="792D7B54" w:rsidR="00234F50" w:rsidRPr="00AD6304" w:rsidRDefault="00234F50" w:rsidP="005C254C">
      <w:pPr>
        <w:pStyle w:val="Heading2"/>
        <w:numPr>
          <w:ilvl w:val="0"/>
          <w:numId w:val="10"/>
        </w:numPr>
        <w:tabs>
          <w:tab w:val="clear" w:pos="720"/>
        </w:tabs>
        <w:spacing w:before="240"/>
        <w:ind w:left="714" w:hanging="357"/>
        <w:rPr>
          <w:rFonts w:eastAsia="Malgun Gothic"/>
          <w:kern w:val="22"/>
          <w:szCs w:val="22"/>
          <w:lang w:val="fr-FR"/>
        </w:rPr>
      </w:pPr>
      <w:r w:rsidRPr="00AD6304">
        <w:rPr>
          <w:rFonts w:eastAsia="Malgun Gothic"/>
          <w:kern w:val="22"/>
          <w:szCs w:val="22"/>
          <w:lang w:val="fr-FR"/>
        </w:rPr>
        <w:t>Respons</w:t>
      </w:r>
      <w:r w:rsidR="00B13628">
        <w:rPr>
          <w:rFonts w:eastAsia="Malgun Gothic"/>
          <w:kern w:val="22"/>
          <w:szCs w:val="22"/>
          <w:lang w:val="fr-FR"/>
        </w:rPr>
        <w:t>abilité et transparence</w:t>
      </w:r>
      <w:r w:rsidR="00AC70A5" w:rsidRPr="004078EB">
        <w:rPr>
          <w:rStyle w:val="FootnoteReference"/>
          <w:rFonts w:eastAsia="Malgun Gothic"/>
          <w:b w:val="0"/>
          <w:kern w:val="22"/>
          <w:sz w:val="22"/>
          <w:szCs w:val="22"/>
          <w:u w:val="none"/>
          <w:vertAlign w:val="superscript"/>
          <w:lang w:val="fr-FR"/>
        </w:rPr>
        <w:footnoteReference w:id="16"/>
      </w:r>
      <w:r w:rsidRPr="004078EB">
        <w:rPr>
          <w:rFonts w:eastAsia="Malgun Gothic"/>
          <w:b w:val="0"/>
          <w:kern w:val="22"/>
          <w:szCs w:val="22"/>
          <w:vertAlign w:val="superscript"/>
          <w:lang w:val="fr-FR"/>
        </w:rPr>
        <w:t xml:space="preserve"> </w:t>
      </w:r>
    </w:p>
    <w:p w14:paraId="19D9A474" w14:textId="616F976A" w:rsidR="004A4564" w:rsidRPr="00AD6304" w:rsidRDefault="00704A98" w:rsidP="009F6D3C">
      <w:pPr>
        <w:pStyle w:val="Para1"/>
        <w:numPr>
          <w:ilvl w:val="0"/>
          <w:numId w:val="6"/>
        </w:numPr>
        <w:tabs>
          <w:tab w:val="clear" w:pos="360"/>
        </w:tabs>
        <w:snapToGrid w:val="0"/>
        <w:rPr>
          <w:kern w:val="22"/>
          <w:lang w:val="fr-FR"/>
        </w:rPr>
      </w:pPr>
      <w:r>
        <w:rPr>
          <w:kern w:val="22"/>
          <w:lang w:val="fr-FR"/>
        </w:rPr>
        <w:t>Le cadre contient des mesures propres à assurer le suivi, l’examen et l’établissement de rapports sur sa mise en œuvre aux niveaux national, régional et mondial. Ce sont des éléments essentiels du cadre, qui comprennent notamment :</w:t>
      </w:r>
      <w:r w:rsidR="004A4564" w:rsidRPr="00AD6304">
        <w:rPr>
          <w:kern w:val="22"/>
          <w:lang w:val="fr-FR"/>
        </w:rPr>
        <w:t xml:space="preserve"> </w:t>
      </w:r>
    </w:p>
    <w:p w14:paraId="4D86C604" w14:textId="548FB614" w:rsidR="004A4564" w:rsidRPr="00AD6304" w:rsidRDefault="004A4564" w:rsidP="009F6D3C">
      <w:pPr>
        <w:pStyle w:val="Para1"/>
        <w:numPr>
          <w:ilvl w:val="1"/>
          <w:numId w:val="10"/>
        </w:numPr>
        <w:ind w:left="0" w:firstLine="709"/>
        <w:rPr>
          <w:kern w:val="22"/>
          <w:szCs w:val="22"/>
          <w:lang w:val="fr-FR"/>
        </w:rPr>
      </w:pPr>
      <w:r w:rsidRPr="00AD6304">
        <w:rPr>
          <w:kern w:val="22"/>
          <w:szCs w:val="22"/>
          <w:lang w:val="fr-FR"/>
        </w:rPr>
        <w:t>Refl</w:t>
      </w:r>
      <w:r w:rsidR="00023AFE">
        <w:rPr>
          <w:kern w:val="22"/>
          <w:szCs w:val="22"/>
          <w:lang w:val="fr-FR"/>
        </w:rPr>
        <w:t>éter le cadre dans les différents processus de planification, y compris les stratégies et plans d’action nationaux pour la diversité biologique ;</w:t>
      </w:r>
      <w:r w:rsidRPr="00AD6304">
        <w:rPr>
          <w:kern w:val="22"/>
          <w:szCs w:val="22"/>
          <w:lang w:val="fr-FR"/>
        </w:rPr>
        <w:t xml:space="preserve"> </w:t>
      </w:r>
    </w:p>
    <w:p w14:paraId="4667530E" w14:textId="65786EDC" w:rsidR="004A4564" w:rsidRPr="00AD6304" w:rsidRDefault="00023AFE" w:rsidP="009F6D3C">
      <w:pPr>
        <w:pStyle w:val="Para1"/>
        <w:numPr>
          <w:ilvl w:val="1"/>
          <w:numId w:val="10"/>
        </w:numPr>
        <w:ind w:left="0" w:firstLine="709"/>
        <w:rPr>
          <w:kern w:val="22"/>
          <w:szCs w:val="22"/>
          <w:lang w:val="fr-FR"/>
        </w:rPr>
      </w:pPr>
      <w:r>
        <w:rPr>
          <w:kern w:val="22"/>
          <w:szCs w:val="22"/>
          <w:lang w:val="fr-FR"/>
        </w:rPr>
        <w:t>Rapports périodiques, notamment en utilisant les indicateurs identifiés, par les Gouvernements, les accords multilatéraux sur l’environnement et les autres processus internationaux compétents, les peuples autochtones et communautés locales, la société civile et le secteur privé sur les mesures prises pour mettre en œuvre le cadre, les réalisations et les difficultés rencontrées ;</w:t>
      </w:r>
      <w:r w:rsidR="004A4564" w:rsidRPr="00AD6304">
        <w:rPr>
          <w:kern w:val="22"/>
          <w:szCs w:val="22"/>
          <w:lang w:val="fr-FR"/>
        </w:rPr>
        <w:t xml:space="preserve">  </w:t>
      </w:r>
    </w:p>
    <w:p w14:paraId="04EA247E" w14:textId="00112970" w:rsidR="004A4564" w:rsidRPr="00AD6304" w:rsidRDefault="00284F28" w:rsidP="009F6D3C">
      <w:pPr>
        <w:pStyle w:val="Para1"/>
        <w:numPr>
          <w:ilvl w:val="1"/>
          <w:numId w:val="10"/>
        </w:numPr>
        <w:ind w:left="0" w:firstLine="709"/>
        <w:rPr>
          <w:kern w:val="22"/>
          <w:szCs w:val="22"/>
          <w:lang w:val="fr-FR"/>
        </w:rPr>
      </w:pPr>
      <w:r>
        <w:rPr>
          <w:kern w:val="22"/>
          <w:szCs w:val="22"/>
          <w:lang w:val="fr-FR"/>
        </w:rPr>
        <w:lastRenderedPageBreak/>
        <w:t>Examens et</w:t>
      </w:r>
      <w:r w:rsidR="00EC06DA">
        <w:rPr>
          <w:kern w:val="22"/>
          <w:szCs w:val="22"/>
          <w:lang w:val="fr-FR"/>
        </w:rPr>
        <w:t xml:space="preserve"> bilans périodique, y compris en utilisant le cadre de suivi, de l’état d’avancement de la mise en œuvre, des réalisations et des difficultés rencontrées ;</w:t>
      </w:r>
      <w:r w:rsidR="004A4564" w:rsidRPr="00AD6304">
        <w:rPr>
          <w:kern w:val="22"/>
          <w:szCs w:val="22"/>
          <w:lang w:val="fr-FR"/>
        </w:rPr>
        <w:t xml:space="preserve"> </w:t>
      </w:r>
    </w:p>
    <w:p w14:paraId="2586B889" w14:textId="467870EA" w:rsidR="004A4564" w:rsidRPr="00AD6304" w:rsidRDefault="00EC06DA" w:rsidP="009F6D3C">
      <w:pPr>
        <w:pStyle w:val="Para1"/>
        <w:numPr>
          <w:ilvl w:val="1"/>
          <w:numId w:val="10"/>
        </w:numPr>
        <w:ind w:left="0" w:firstLine="709"/>
        <w:rPr>
          <w:kern w:val="22"/>
          <w:szCs w:val="22"/>
          <w:lang w:val="fr-FR"/>
        </w:rPr>
      </w:pPr>
      <w:r>
        <w:rPr>
          <w:kern w:val="22"/>
          <w:szCs w:val="22"/>
          <w:lang w:val="fr-FR"/>
        </w:rPr>
        <w:t xml:space="preserve">Mécanismes </w:t>
      </w:r>
      <w:r w:rsidR="004A4564" w:rsidRPr="00AD6304">
        <w:rPr>
          <w:kern w:val="22"/>
          <w:vertAlign w:val="superscript"/>
          <w:lang w:val="fr-FR"/>
        </w:rPr>
        <w:footnoteReference w:id="17"/>
      </w:r>
      <w:r w:rsidR="004A4564" w:rsidRPr="00AD6304">
        <w:rPr>
          <w:kern w:val="22"/>
          <w:szCs w:val="22"/>
          <w:vertAlign w:val="superscript"/>
          <w:lang w:val="fr-FR"/>
        </w:rPr>
        <w:t xml:space="preserve"> </w:t>
      </w:r>
    </w:p>
    <w:p w14:paraId="3C62338A" w14:textId="367D471A" w:rsidR="00990967" w:rsidRPr="00AD6304" w:rsidRDefault="00B40247" w:rsidP="005C254C">
      <w:pPr>
        <w:pStyle w:val="Heading2"/>
        <w:numPr>
          <w:ilvl w:val="0"/>
          <w:numId w:val="10"/>
        </w:numPr>
        <w:tabs>
          <w:tab w:val="clear" w:pos="720"/>
        </w:tabs>
        <w:spacing w:before="240"/>
        <w:ind w:left="714" w:hanging="357"/>
        <w:rPr>
          <w:rFonts w:eastAsia="Malgun Gothic"/>
          <w:b w:val="0"/>
          <w:iCs w:val="0"/>
          <w:kern w:val="22"/>
          <w:szCs w:val="22"/>
          <w:lang w:val="fr-FR"/>
        </w:rPr>
      </w:pPr>
      <w:r>
        <w:rPr>
          <w:rFonts w:eastAsia="Malgun Gothic"/>
          <w:kern w:val="22"/>
          <w:szCs w:val="22"/>
          <w:lang w:val="fr-FR"/>
        </w:rPr>
        <w:t>Rayonnement</w:t>
      </w:r>
      <w:r w:rsidR="00990967" w:rsidRPr="00AD6304">
        <w:rPr>
          <w:rFonts w:eastAsia="Malgun Gothic"/>
          <w:kern w:val="22"/>
          <w:szCs w:val="22"/>
          <w:lang w:val="fr-FR"/>
        </w:rPr>
        <w:t xml:space="preserve">, </w:t>
      </w:r>
      <w:r>
        <w:rPr>
          <w:rFonts w:eastAsia="Malgun Gothic"/>
          <w:kern w:val="22"/>
          <w:szCs w:val="22"/>
          <w:lang w:val="fr-FR"/>
        </w:rPr>
        <w:t xml:space="preserve">sensibilisation et adoption </w:t>
      </w:r>
    </w:p>
    <w:p w14:paraId="1E6011D2" w14:textId="353CF838" w:rsidR="004A4564" w:rsidRPr="00AD6304" w:rsidRDefault="00B40247" w:rsidP="009F6D3C">
      <w:pPr>
        <w:pStyle w:val="Para1"/>
        <w:numPr>
          <w:ilvl w:val="0"/>
          <w:numId w:val="6"/>
        </w:numPr>
        <w:tabs>
          <w:tab w:val="clear" w:pos="360"/>
        </w:tabs>
        <w:snapToGrid w:val="0"/>
        <w:rPr>
          <w:kern w:val="22"/>
          <w:szCs w:val="22"/>
          <w:lang w:val="fr-FR"/>
        </w:rPr>
      </w:pPr>
      <w:r>
        <w:rPr>
          <w:kern w:val="22"/>
          <w:szCs w:val="22"/>
          <w:lang w:val="fr-FR"/>
        </w:rPr>
        <w:t xml:space="preserve">Tous les acteurs devront </w:t>
      </w:r>
      <w:r w:rsidR="009E0426">
        <w:rPr>
          <w:kern w:val="22"/>
          <w:szCs w:val="22"/>
          <w:lang w:val="fr-FR"/>
        </w:rPr>
        <w:t>aider à sensibiliser le public au cadre et à la nécessité que la société toute entière participe à sa mise en œuvre. Ceci nécessite des activités aux niveaux local, national, régional et mondial et la mise en œuvre du cadre de manière qui appuie les autres processus et stratégies internationaux compétents</w:t>
      </w:r>
      <w:r w:rsidR="004A4564" w:rsidRPr="00AD6304">
        <w:rPr>
          <w:kern w:val="22"/>
          <w:szCs w:val="22"/>
          <w:vertAlign w:val="superscript"/>
          <w:lang w:val="fr-FR"/>
        </w:rPr>
        <w:footnoteReference w:id="18"/>
      </w:r>
      <w:r w:rsidR="009E0426">
        <w:rPr>
          <w:kern w:val="22"/>
          <w:szCs w:val="22"/>
          <w:lang w:val="fr-FR"/>
        </w:rPr>
        <w:t>.</w:t>
      </w:r>
    </w:p>
    <w:p w14:paraId="66987336" w14:textId="336DB647" w:rsidR="005A3C61" w:rsidRPr="00AD6304" w:rsidRDefault="005A3C61" w:rsidP="005C254C">
      <w:pPr>
        <w:pStyle w:val="Heading2"/>
        <w:tabs>
          <w:tab w:val="clear" w:pos="720"/>
        </w:tabs>
        <w:spacing w:before="240"/>
        <w:ind w:left="714" w:hanging="357"/>
        <w:rPr>
          <w:rFonts w:eastAsia="Malgun Gothic"/>
          <w:b w:val="0"/>
          <w:iCs w:val="0"/>
          <w:kern w:val="22"/>
          <w:szCs w:val="22"/>
          <w:lang w:val="fr-FR"/>
        </w:rPr>
      </w:pPr>
      <w:r w:rsidRPr="00AD6304">
        <w:rPr>
          <w:rFonts w:eastAsia="Malgun Gothic"/>
          <w:kern w:val="22"/>
          <w:szCs w:val="22"/>
          <w:lang w:val="fr-FR"/>
        </w:rPr>
        <w:t>Appendices</w:t>
      </w:r>
      <w:r w:rsidR="005974FE" w:rsidRPr="005974FE">
        <w:rPr>
          <w:rStyle w:val="FootnoteReference"/>
          <w:rFonts w:eastAsia="Malgun Gothic"/>
          <w:kern w:val="22"/>
          <w:sz w:val="22"/>
          <w:szCs w:val="22"/>
          <w:u w:val="none"/>
          <w:vertAlign w:val="superscript"/>
          <w:lang w:val="fr-FR"/>
        </w:rPr>
        <w:footnoteReference w:id="19"/>
      </w:r>
    </w:p>
    <w:p w14:paraId="0188DB3A" w14:textId="26C229AE" w:rsidR="005A3C61" w:rsidRPr="00AD6304" w:rsidRDefault="005A3C61" w:rsidP="005A3C61">
      <w:pPr>
        <w:pStyle w:val="Para1"/>
        <w:rPr>
          <w:kern w:val="22"/>
          <w:szCs w:val="22"/>
          <w:lang w:val="fr-FR"/>
        </w:rPr>
      </w:pPr>
      <w:r w:rsidRPr="00AD6304">
        <w:rPr>
          <w:kern w:val="22"/>
          <w:szCs w:val="22"/>
          <w:lang w:val="fr-FR"/>
        </w:rPr>
        <w:t>Appendi</w:t>
      </w:r>
      <w:r w:rsidR="009E0426">
        <w:rPr>
          <w:kern w:val="22"/>
          <w:szCs w:val="22"/>
          <w:lang w:val="fr-FR"/>
        </w:rPr>
        <w:t>ce</w:t>
      </w:r>
      <w:r w:rsidRPr="00AD6304">
        <w:rPr>
          <w:kern w:val="22"/>
          <w:szCs w:val="22"/>
          <w:lang w:val="fr-FR"/>
        </w:rPr>
        <w:t xml:space="preserve"> 1</w:t>
      </w:r>
      <w:r w:rsidR="009E0426">
        <w:rPr>
          <w:kern w:val="22"/>
          <w:szCs w:val="22"/>
          <w:lang w:val="fr-FR"/>
        </w:rPr>
        <w:t> :</w:t>
      </w:r>
      <w:r w:rsidRPr="00AD6304">
        <w:rPr>
          <w:kern w:val="22"/>
          <w:szCs w:val="22"/>
          <w:lang w:val="fr-FR"/>
        </w:rPr>
        <w:t xml:space="preserve"> </w:t>
      </w:r>
      <w:r w:rsidR="009E0426">
        <w:rPr>
          <w:kern w:val="22"/>
          <w:szCs w:val="22"/>
          <w:lang w:val="fr-FR"/>
        </w:rPr>
        <w:t>Avant-projet de cadre de suivi des objectifs du cadre mondial de la biodiversité pour l’après-2020.</w:t>
      </w:r>
      <w:r w:rsidRPr="00AD6304">
        <w:rPr>
          <w:kern w:val="22"/>
          <w:szCs w:val="22"/>
          <w:lang w:val="fr-FR"/>
        </w:rPr>
        <w:t xml:space="preserve">ork. </w:t>
      </w:r>
    </w:p>
    <w:p w14:paraId="7A4EF62A" w14:textId="7F621CBC" w:rsidR="005A3C61" w:rsidRPr="006E0D05" w:rsidRDefault="005A3C61" w:rsidP="005A3C61">
      <w:pPr>
        <w:pStyle w:val="Para1"/>
        <w:rPr>
          <w:kern w:val="22"/>
          <w:szCs w:val="22"/>
          <w:lang w:val="fr-FR"/>
        </w:rPr>
      </w:pPr>
      <w:r w:rsidRPr="00AD6304">
        <w:rPr>
          <w:kern w:val="22"/>
          <w:szCs w:val="22"/>
          <w:lang w:val="fr-FR"/>
        </w:rPr>
        <w:t>Appendi</w:t>
      </w:r>
      <w:r w:rsidR="009E0426">
        <w:rPr>
          <w:kern w:val="22"/>
          <w:szCs w:val="22"/>
          <w:lang w:val="fr-FR"/>
        </w:rPr>
        <w:t>ce</w:t>
      </w:r>
      <w:r w:rsidRPr="00AD6304">
        <w:rPr>
          <w:kern w:val="22"/>
          <w:szCs w:val="22"/>
          <w:lang w:val="fr-FR"/>
        </w:rPr>
        <w:t xml:space="preserve"> </w:t>
      </w:r>
      <w:r w:rsidR="00082B19" w:rsidRPr="00AD6304">
        <w:rPr>
          <w:kern w:val="22"/>
          <w:szCs w:val="22"/>
          <w:lang w:val="fr-FR"/>
        </w:rPr>
        <w:t>2</w:t>
      </w:r>
      <w:r w:rsidR="009E0426">
        <w:rPr>
          <w:kern w:val="22"/>
          <w:szCs w:val="22"/>
          <w:lang w:val="fr-FR"/>
        </w:rPr>
        <w:t> :</w:t>
      </w:r>
      <w:r w:rsidRPr="00AD6304">
        <w:rPr>
          <w:kern w:val="22"/>
          <w:szCs w:val="22"/>
          <w:lang w:val="fr-FR"/>
        </w:rPr>
        <w:t xml:space="preserve"> </w:t>
      </w:r>
      <w:r w:rsidR="009E0426">
        <w:rPr>
          <w:kern w:val="22"/>
          <w:szCs w:val="22"/>
          <w:lang w:val="fr-FR"/>
        </w:rPr>
        <w:t>Avant-projet de cadre de suivi des cibles du cadre mondial de la biodiversité pour l’après-2020</w:t>
      </w:r>
      <w:r w:rsidRPr="00AD6304">
        <w:rPr>
          <w:kern w:val="22"/>
          <w:szCs w:val="22"/>
          <w:lang w:val="fr-FR"/>
        </w:rPr>
        <w:t>.</w:t>
      </w:r>
      <w:r w:rsidRPr="006E0D05">
        <w:rPr>
          <w:kern w:val="22"/>
          <w:szCs w:val="22"/>
          <w:lang w:val="fr-FR"/>
        </w:rPr>
        <w:t xml:space="preserve"> </w:t>
      </w:r>
    </w:p>
    <w:p w14:paraId="4246AF02" w14:textId="77777777" w:rsidR="002C3874" w:rsidRPr="006E0D05" w:rsidRDefault="002C3874">
      <w:pPr>
        <w:jc w:val="left"/>
        <w:rPr>
          <w:i/>
          <w:snapToGrid w:val="0"/>
          <w:kern w:val="22"/>
          <w:szCs w:val="22"/>
          <w:lang w:val="fr-FR"/>
        </w:rPr>
      </w:pPr>
      <w:r w:rsidRPr="006E0D05">
        <w:rPr>
          <w:i/>
          <w:kern w:val="22"/>
          <w:szCs w:val="22"/>
          <w:lang w:val="fr-FR"/>
        </w:rPr>
        <w:br w:type="page"/>
      </w:r>
    </w:p>
    <w:p w14:paraId="2CB4A796" w14:textId="3EFF5734" w:rsidR="009457E1" w:rsidRPr="006E0D05" w:rsidRDefault="009457E1" w:rsidP="005A3C61">
      <w:pPr>
        <w:pStyle w:val="Para1"/>
        <w:suppressLineNumbers/>
        <w:suppressAutoHyphens/>
        <w:jc w:val="center"/>
        <w:rPr>
          <w:i/>
          <w:kern w:val="22"/>
          <w:szCs w:val="22"/>
          <w:lang w:val="fr-FR"/>
        </w:rPr>
      </w:pPr>
      <w:r w:rsidRPr="006E0D05">
        <w:rPr>
          <w:i/>
          <w:kern w:val="22"/>
          <w:szCs w:val="22"/>
          <w:lang w:val="fr-FR"/>
        </w:rPr>
        <w:lastRenderedPageBreak/>
        <w:t>Annex</w:t>
      </w:r>
      <w:r w:rsidR="00975E06" w:rsidRPr="006E0D05">
        <w:rPr>
          <w:i/>
          <w:kern w:val="22"/>
          <w:szCs w:val="22"/>
          <w:lang w:val="fr-FR"/>
        </w:rPr>
        <w:t>e</w:t>
      </w:r>
      <w:r w:rsidRPr="006E0D05">
        <w:rPr>
          <w:i/>
          <w:kern w:val="22"/>
          <w:szCs w:val="22"/>
          <w:lang w:val="fr-FR"/>
        </w:rPr>
        <w:t xml:space="preserve"> </w:t>
      </w:r>
      <w:r w:rsidR="00C86929" w:rsidRPr="006E0D05">
        <w:rPr>
          <w:i/>
          <w:kern w:val="22"/>
          <w:szCs w:val="22"/>
          <w:lang w:val="fr-FR"/>
        </w:rPr>
        <w:t>II</w:t>
      </w:r>
    </w:p>
    <w:p w14:paraId="298DE063" w14:textId="532ABE92" w:rsidR="009457E1" w:rsidRPr="005542C7" w:rsidRDefault="00975E06" w:rsidP="005A3C61">
      <w:pPr>
        <w:pStyle w:val="Para1"/>
        <w:suppressLineNumbers/>
        <w:suppressAutoHyphens/>
        <w:jc w:val="center"/>
        <w:rPr>
          <w:b/>
          <w:kern w:val="22"/>
          <w:szCs w:val="22"/>
          <w:lang w:val="fr-FR"/>
        </w:rPr>
      </w:pPr>
      <w:r w:rsidRPr="005542C7">
        <w:rPr>
          <w:rStyle w:val="Heading1Char"/>
          <w:lang w:val="fr-FR"/>
        </w:rPr>
        <w:t>É</w:t>
      </w:r>
      <w:r w:rsidR="009457E1" w:rsidRPr="005542C7">
        <w:rPr>
          <w:rStyle w:val="Heading1Char"/>
          <w:lang w:val="fr-FR"/>
        </w:rPr>
        <w:t>l</w:t>
      </w:r>
      <w:r w:rsidRPr="005542C7">
        <w:rPr>
          <w:rStyle w:val="Heading1Char"/>
          <w:lang w:val="fr-FR"/>
        </w:rPr>
        <w:t>É</w:t>
      </w:r>
      <w:r w:rsidR="009457E1" w:rsidRPr="005542C7">
        <w:rPr>
          <w:rStyle w:val="Heading1Char"/>
          <w:lang w:val="fr-FR"/>
        </w:rPr>
        <w:t xml:space="preserve">ments </w:t>
      </w:r>
      <w:r w:rsidRPr="005542C7">
        <w:rPr>
          <w:rStyle w:val="Heading1Char"/>
          <w:lang w:val="fr-FR"/>
        </w:rPr>
        <w:t>d’un projet de dÉcision pour la quinziÈme rÉunion de la confÉ</w:t>
      </w:r>
      <w:r w:rsidR="005542C7" w:rsidRPr="005542C7">
        <w:rPr>
          <w:rStyle w:val="Heading1Char"/>
          <w:lang w:val="fr-FR"/>
        </w:rPr>
        <w:t>rence des Parties À la convention sur la diversitÉ biologique</w:t>
      </w:r>
      <w:r w:rsidR="00523BF0" w:rsidRPr="004078EB">
        <w:rPr>
          <w:rStyle w:val="FootnoteReference"/>
          <w:b/>
          <w:kern w:val="22"/>
          <w:sz w:val="22"/>
          <w:szCs w:val="22"/>
          <w:u w:val="none"/>
          <w:vertAlign w:val="superscript"/>
          <w:lang w:val="fr-FR"/>
        </w:rPr>
        <w:footnoteReference w:id="20"/>
      </w:r>
    </w:p>
    <w:p w14:paraId="42E606F6" w14:textId="31E6AD83" w:rsidR="009457E1" w:rsidRPr="005542C7" w:rsidRDefault="005542C7" w:rsidP="00FF468A">
      <w:pPr>
        <w:pStyle w:val="Para1"/>
        <w:ind w:firstLine="709"/>
        <w:rPr>
          <w:kern w:val="22"/>
          <w:szCs w:val="22"/>
          <w:lang w:val="fr-FR"/>
        </w:rPr>
      </w:pPr>
      <w:r w:rsidRPr="005542C7">
        <w:rPr>
          <w:kern w:val="22"/>
          <w:szCs w:val="22"/>
          <w:lang w:val="fr-FR"/>
        </w:rPr>
        <w:t>Le Groupe de travail à composition non limitée sur le cadre mondial de la biodiversité pour l’après-2020 pourrait souhaiter recomm</w:t>
      </w:r>
      <w:r w:rsidR="00DF729F">
        <w:rPr>
          <w:kern w:val="22"/>
          <w:szCs w:val="22"/>
          <w:lang w:val="fr-FR"/>
        </w:rPr>
        <w:t>a</w:t>
      </w:r>
      <w:r w:rsidRPr="005542C7">
        <w:rPr>
          <w:kern w:val="22"/>
          <w:szCs w:val="22"/>
          <w:lang w:val="fr-FR"/>
        </w:rPr>
        <w:t>nder à la Conférence des Parties</w:t>
      </w:r>
      <w:r w:rsidR="00DF729F">
        <w:rPr>
          <w:kern w:val="22"/>
          <w:szCs w:val="22"/>
          <w:lang w:val="fr-FR"/>
        </w:rPr>
        <w:t xml:space="preserve"> d’adopter, à sa quinzième réunion, une décision </w:t>
      </w:r>
      <w:r w:rsidR="001371BC">
        <w:rPr>
          <w:kern w:val="22"/>
          <w:szCs w:val="22"/>
          <w:lang w:val="fr-FR"/>
        </w:rPr>
        <w:t>comme suit</w:t>
      </w:r>
      <w:r w:rsidR="00DF729F">
        <w:rPr>
          <w:kern w:val="22"/>
          <w:szCs w:val="22"/>
          <w:lang w:val="fr-FR"/>
        </w:rPr>
        <w:t> :</w:t>
      </w:r>
      <w:r w:rsidRPr="005542C7">
        <w:rPr>
          <w:kern w:val="22"/>
          <w:szCs w:val="22"/>
          <w:lang w:val="fr-FR"/>
        </w:rPr>
        <w:t xml:space="preserve"> </w:t>
      </w:r>
    </w:p>
    <w:p w14:paraId="0DA5F2C6" w14:textId="24E12DDD" w:rsidR="009457E1" w:rsidRPr="005542C7" w:rsidRDefault="00DF729F" w:rsidP="001750B0">
      <w:pPr>
        <w:pStyle w:val="Para10"/>
        <w:suppressLineNumbers/>
        <w:tabs>
          <w:tab w:val="left" w:pos="720"/>
        </w:tabs>
        <w:suppressAutoHyphens/>
        <w:kinsoku w:val="0"/>
        <w:overflowPunct w:val="0"/>
        <w:autoSpaceDE w:val="0"/>
        <w:autoSpaceDN w:val="0"/>
        <w:adjustRightInd w:val="0"/>
        <w:snapToGrid w:val="0"/>
        <w:ind w:left="709" w:firstLine="851"/>
        <w:rPr>
          <w:rFonts w:cs="Times New Roman"/>
          <w:i/>
          <w:snapToGrid w:val="0"/>
          <w:kern w:val="22"/>
          <w:lang w:val="fr-FR"/>
        </w:rPr>
      </w:pPr>
      <w:r>
        <w:rPr>
          <w:rFonts w:cs="Times New Roman"/>
          <w:i/>
          <w:snapToGrid w:val="0"/>
          <w:kern w:val="22"/>
          <w:lang w:val="fr-FR"/>
        </w:rPr>
        <w:t>La Conférence des Parties</w:t>
      </w:r>
      <w:r w:rsidR="009457E1" w:rsidRPr="005542C7">
        <w:rPr>
          <w:rFonts w:cs="Times New Roman"/>
          <w:i/>
          <w:snapToGrid w:val="0"/>
          <w:kern w:val="22"/>
          <w:lang w:val="fr-FR"/>
        </w:rPr>
        <w:t>,</w:t>
      </w:r>
    </w:p>
    <w:p w14:paraId="325F3C85" w14:textId="50E798F1" w:rsidR="00FA4855" w:rsidRPr="005542C7" w:rsidRDefault="009457E1" w:rsidP="009F6D3C">
      <w:pPr>
        <w:pStyle w:val="Para1"/>
        <w:suppressLineNumbers/>
        <w:suppressAutoHyphens/>
        <w:rPr>
          <w:rFonts w:eastAsia="MS Mincho"/>
          <w:bCs/>
          <w:i/>
          <w:kern w:val="22"/>
          <w:szCs w:val="22"/>
          <w:lang w:val="fr-FR"/>
        </w:rPr>
      </w:pPr>
      <w:r w:rsidRPr="005542C7">
        <w:rPr>
          <w:kern w:val="22"/>
          <w:szCs w:val="22"/>
          <w:lang w:val="fr-FR"/>
        </w:rPr>
        <w:tab/>
      </w:r>
      <w:r w:rsidRPr="005542C7">
        <w:rPr>
          <w:rFonts w:eastAsia="MS Mincho"/>
          <w:bCs/>
          <w:i/>
          <w:kern w:val="22"/>
          <w:szCs w:val="22"/>
          <w:lang w:val="fr-FR"/>
        </w:rPr>
        <w:t>R</w:t>
      </w:r>
      <w:r w:rsidR="00DF729F">
        <w:rPr>
          <w:rFonts w:eastAsia="MS Mincho"/>
          <w:bCs/>
          <w:i/>
          <w:kern w:val="22"/>
          <w:szCs w:val="22"/>
          <w:lang w:val="fr-FR"/>
        </w:rPr>
        <w:t>appelant</w:t>
      </w:r>
      <w:r w:rsidRPr="005542C7">
        <w:rPr>
          <w:rFonts w:eastAsia="MS Mincho"/>
          <w:bCs/>
          <w:i/>
          <w:kern w:val="22"/>
          <w:szCs w:val="22"/>
          <w:lang w:val="fr-FR"/>
        </w:rPr>
        <w:t xml:space="preserve"> </w:t>
      </w:r>
      <w:r w:rsidR="00DF729F">
        <w:rPr>
          <w:rFonts w:eastAsia="MS Mincho"/>
          <w:bCs/>
          <w:kern w:val="22"/>
          <w:szCs w:val="22"/>
          <w:lang w:val="fr-FR"/>
        </w:rPr>
        <w:t>sa</w:t>
      </w:r>
      <w:r w:rsidRPr="005542C7">
        <w:rPr>
          <w:rFonts w:eastAsia="MS Mincho"/>
          <w:bCs/>
          <w:kern w:val="22"/>
          <w:szCs w:val="22"/>
          <w:lang w:val="fr-FR"/>
        </w:rPr>
        <w:t xml:space="preserve"> d</w:t>
      </w:r>
      <w:r w:rsidR="00DF729F">
        <w:rPr>
          <w:rFonts w:eastAsia="MS Mincho"/>
          <w:bCs/>
          <w:kern w:val="22"/>
          <w:szCs w:val="22"/>
          <w:lang w:val="fr-FR"/>
        </w:rPr>
        <w:t>é</w:t>
      </w:r>
      <w:r w:rsidRPr="005542C7">
        <w:rPr>
          <w:rFonts w:eastAsia="MS Mincho"/>
          <w:bCs/>
          <w:kern w:val="22"/>
          <w:szCs w:val="22"/>
          <w:lang w:val="fr-FR"/>
        </w:rPr>
        <w:t xml:space="preserve">cision 14/34 </w:t>
      </w:r>
      <w:r w:rsidR="00DF729F">
        <w:rPr>
          <w:rFonts w:eastAsia="MS Mincho"/>
          <w:bCs/>
          <w:kern w:val="22"/>
          <w:szCs w:val="22"/>
          <w:lang w:val="fr-FR"/>
        </w:rPr>
        <w:t>dans laquelle elle</w:t>
      </w:r>
      <w:r w:rsidR="002502A2">
        <w:rPr>
          <w:rFonts w:eastAsia="MS Mincho"/>
          <w:bCs/>
          <w:kern w:val="22"/>
          <w:szCs w:val="22"/>
          <w:lang w:val="fr-FR"/>
        </w:rPr>
        <w:t xml:space="preserve"> décrit le processus d’élaboration du cadre mondial de la biodiversité pour  l’après-2020</w:t>
      </w:r>
      <w:r w:rsidR="00A71AEB" w:rsidRPr="005542C7">
        <w:rPr>
          <w:rFonts w:eastAsia="MS Mincho"/>
          <w:bCs/>
          <w:kern w:val="22"/>
          <w:szCs w:val="22"/>
          <w:lang w:val="fr-FR"/>
        </w:rPr>
        <w:t>,</w:t>
      </w:r>
    </w:p>
    <w:p w14:paraId="0AA182B3" w14:textId="40C04A34" w:rsidR="00EE2938" w:rsidRPr="005542C7" w:rsidRDefault="00EE2938" w:rsidP="001750B0">
      <w:pPr>
        <w:pStyle w:val="Para1"/>
        <w:suppressLineNumbers/>
        <w:suppressAutoHyphens/>
        <w:jc w:val="left"/>
        <w:rPr>
          <w:rFonts w:eastAsia="MS Mincho"/>
          <w:bCs/>
          <w:i/>
          <w:kern w:val="22"/>
          <w:szCs w:val="22"/>
          <w:lang w:val="fr-FR"/>
        </w:rPr>
      </w:pPr>
      <w:r w:rsidRPr="005542C7">
        <w:rPr>
          <w:rFonts w:eastAsia="MS Mincho"/>
          <w:bCs/>
          <w:i/>
          <w:kern w:val="22"/>
          <w:szCs w:val="22"/>
          <w:lang w:val="fr-FR"/>
        </w:rPr>
        <w:tab/>
      </w:r>
      <w:r w:rsidR="00EC0516">
        <w:rPr>
          <w:rFonts w:eastAsia="MS Mincho"/>
          <w:bCs/>
          <w:i/>
          <w:kern w:val="22"/>
          <w:szCs w:val="22"/>
          <w:lang w:val="fr-FR"/>
        </w:rPr>
        <w:t>Soulignant</w:t>
      </w:r>
      <w:r w:rsidRPr="005542C7">
        <w:rPr>
          <w:rFonts w:eastAsia="MS Mincho"/>
          <w:bCs/>
          <w:i/>
          <w:kern w:val="22"/>
          <w:szCs w:val="22"/>
          <w:lang w:val="fr-FR"/>
        </w:rPr>
        <w:t xml:space="preserve"> </w:t>
      </w:r>
      <w:r w:rsidR="00EC0516">
        <w:rPr>
          <w:rFonts w:eastAsia="MS Mincho"/>
          <w:bCs/>
          <w:kern w:val="22"/>
          <w:szCs w:val="22"/>
          <w:lang w:val="fr-FR"/>
        </w:rPr>
        <w:t>la nécessité de réaliser les trois objectifs de la Convention d’une manière équilibrée et intégrée,</w:t>
      </w:r>
    </w:p>
    <w:p w14:paraId="711FD255" w14:textId="5BECDF7E" w:rsidR="00FA4855" w:rsidRPr="005542C7" w:rsidRDefault="009457E1" w:rsidP="001750B0">
      <w:pPr>
        <w:pStyle w:val="Para1"/>
        <w:suppressLineNumbers/>
        <w:suppressAutoHyphens/>
        <w:ind w:firstLine="720"/>
        <w:jc w:val="left"/>
        <w:rPr>
          <w:rFonts w:eastAsia="MS Mincho"/>
          <w:bCs/>
          <w:i/>
          <w:kern w:val="22"/>
          <w:szCs w:val="22"/>
          <w:lang w:val="fr-FR"/>
        </w:rPr>
      </w:pPr>
      <w:r w:rsidRPr="005542C7">
        <w:rPr>
          <w:rFonts w:eastAsia="MS Mincho"/>
          <w:bCs/>
          <w:i/>
          <w:kern w:val="22"/>
          <w:szCs w:val="22"/>
          <w:lang w:val="fr-FR"/>
        </w:rPr>
        <w:t>Expr</w:t>
      </w:r>
      <w:r w:rsidR="00EC0516">
        <w:rPr>
          <w:rFonts w:eastAsia="MS Mincho"/>
          <w:bCs/>
          <w:i/>
          <w:kern w:val="22"/>
          <w:szCs w:val="22"/>
          <w:lang w:val="fr-FR"/>
        </w:rPr>
        <w:t>imant</w:t>
      </w:r>
      <w:r w:rsidRPr="005542C7">
        <w:rPr>
          <w:kern w:val="22"/>
          <w:szCs w:val="22"/>
          <w:lang w:val="fr-FR"/>
        </w:rPr>
        <w:t xml:space="preserve"> </w:t>
      </w:r>
      <w:r w:rsidR="00EC0516">
        <w:rPr>
          <w:kern w:val="22"/>
          <w:szCs w:val="22"/>
          <w:lang w:val="fr-FR"/>
        </w:rPr>
        <w:t>sa</w:t>
      </w:r>
      <w:r w:rsidRPr="005542C7">
        <w:rPr>
          <w:kern w:val="22"/>
          <w:szCs w:val="22"/>
          <w:lang w:val="fr-FR"/>
        </w:rPr>
        <w:t xml:space="preserve"> gratitude </w:t>
      </w:r>
      <w:r w:rsidR="00EC0516">
        <w:rPr>
          <w:kern w:val="22"/>
          <w:szCs w:val="22"/>
          <w:lang w:val="fr-FR"/>
        </w:rPr>
        <w:t>aux Gouvernements et aux organisations qui ont fourni un appui financier et en nature à l’élaboration du cadre mondial de la biodiversité pour l’après-2020</w:t>
      </w:r>
      <w:r w:rsidR="00A71AEB" w:rsidRPr="005542C7">
        <w:rPr>
          <w:kern w:val="22"/>
          <w:szCs w:val="22"/>
          <w:lang w:val="fr-FR"/>
        </w:rPr>
        <w:t>,</w:t>
      </w:r>
    </w:p>
    <w:p w14:paraId="6CD507C1" w14:textId="689C30E8" w:rsidR="009457E1" w:rsidRPr="005542C7" w:rsidRDefault="008B2D19" w:rsidP="009F6D3C">
      <w:pPr>
        <w:pStyle w:val="Para1"/>
        <w:suppressLineNumbers/>
        <w:suppressAutoHyphens/>
        <w:ind w:firstLine="720"/>
        <w:rPr>
          <w:rFonts w:eastAsia="MS Mincho"/>
          <w:bCs/>
          <w:kern w:val="22"/>
          <w:szCs w:val="22"/>
          <w:lang w:val="fr-FR"/>
        </w:rPr>
      </w:pPr>
      <w:r>
        <w:rPr>
          <w:rFonts w:eastAsia="MS Mincho"/>
          <w:bCs/>
          <w:i/>
          <w:kern w:val="22"/>
          <w:szCs w:val="22"/>
          <w:lang w:val="fr-FR"/>
        </w:rPr>
        <w:t>Profondément préoccupée</w:t>
      </w:r>
      <w:r w:rsidR="009457E1" w:rsidRPr="005542C7">
        <w:rPr>
          <w:rFonts w:eastAsia="MS Mincho"/>
          <w:bCs/>
          <w:i/>
          <w:kern w:val="22"/>
          <w:szCs w:val="22"/>
          <w:lang w:val="fr-FR"/>
        </w:rPr>
        <w:t xml:space="preserve"> </w:t>
      </w:r>
      <w:r>
        <w:rPr>
          <w:rFonts w:eastAsia="MS Mincho"/>
          <w:bCs/>
          <w:kern w:val="22"/>
          <w:szCs w:val="22"/>
          <w:lang w:val="fr-FR"/>
        </w:rPr>
        <w:t>par la perte constante de biodiversité et la menace que cette perte représente pour le bien-être humain et la perspective de réaliser le Programme de développement durable à l’horizon 2030 ainsi que les trois objectifs de la Convention,</w:t>
      </w:r>
    </w:p>
    <w:p w14:paraId="43976123" w14:textId="3614D87E" w:rsidR="00FA4855" w:rsidRPr="005542C7" w:rsidRDefault="009457E1" w:rsidP="009F6D3C">
      <w:pPr>
        <w:pStyle w:val="Para1"/>
        <w:numPr>
          <w:ilvl w:val="0"/>
          <w:numId w:val="11"/>
        </w:numPr>
        <w:tabs>
          <w:tab w:val="clear" w:pos="360"/>
        </w:tabs>
        <w:ind w:firstLine="709"/>
        <w:rPr>
          <w:kern w:val="22"/>
          <w:szCs w:val="22"/>
          <w:lang w:val="fr-FR"/>
        </w:rPr>
      </w:pPr>
      <w:r w:rsidRPr="005542C7">
        <w:rPr>
          <w:rFonts w:eastAsia="MS Mincho"/>
          <w:bCs/>
          <w:i/>
          <w:kern w:val="22"/>
          <w:szCs w:val="22"/>
          <w:lang w:val="fr-FR"/>
        </w:rPr>
        <w:t>Adopt</w:t>
      </w:r>
      <w:r w:rsidR="008B2D19">
        <w:rPr>
          <w:rFonts w:eastAsia="MS Mincho"/>
          <w:bCs/>
          <w:i/>
          <w:kern w:val="22"/>
          <w:szCs w:val="22"/>
          <w:lang w:val="fr-FR"/>
        </w:rPr>
        <w:t>e</w:t>
      </w:r>
      <w:r w:rsidRPr="005542C7">
        <w:rPr>
          <w:rFonts w:eastAsia="MS Mincho"/>
          <w:bCs/>
          <w:kern w:val="22"/>
          <w:szCs w:val="22"/>
          <w:lang w:val="fr-FR"/>
        </w:rPr>
        <w:t xml:space="preserve"> </w:t>
      </w:r>
      <w:r w:rsidR="008B2D19">
        <w:rPr>
          <w:rFonts w:eastAsia="MS Mincho"/>
          <w:bCs/>
          <w:kern w:val="22"/>
          <w:szCs w:val="22"/>
          <w:lang w:val="fr-FR"/>
        </w:rPr>
        <w:t>le cadre mondial de la biodiversité pour l’après-2020</w:t>
      </w:r>
      <w:r w:rsidR="00D13DFF">
        <w:rPr>
          <w:rFonts w:eastAsia="MS Mincho"/>
          <w:bCs/>
          <w:kern w:val="22"/>
          <w:szCs w:val="22"/>
          <w:lang w:val="fr-FR"/>
        </w:rPr>
        <w:t>,</w:t>
      </w:r>
      <w:r w:rsidR="008B2D19">
        <w:rPr>
          <w:rFonts w:eastAsia="MS Mincho"/>
          <w:bCs/>
          <w:kern w:val="22"/>
          <w:szCs w:val="22"/>
          <w:lang w:val="fr-FR"/>
        </w:rPr>
        <w:t xml:space="preserve"> tel qu’il figure dans l’annexe I de la présente décision</w:t>
      </w:r>
      <w:r w:rsidR="00D13DFF">
        <w:rPr>
          <w:rFonts w:eastAsia="MS Mincho"/>
          <w:bCs/>
          <w:kern w:val="22"/>
          <w:szCs w:val="22"/>
          <w:lang w:val="fr-FR"/>
        </w:rPr>
        <w:t>,</w:t>
      </w:r>
      <w:r w:rsidR="008B2D19">
        <w:rPr>
          <w:rFonts w:eastAsia="MS Mincho"/>
          <w:bCs/>
          <w:kern w:val="22"/>
          <w:szCs w:val="22"/>
          <w:lang w:val="fr-FR"/>
        </w:rPr>
        <w:t xml:space="preserve"> en tant que cadre mondial d’action</w:t>
      </w:r>
      <w:r w:rsidR="00D13DFF">
        <w:rPr>
          <w:rFonts w:eastAsia="MS Mincho"/>
          <w:bCs/>
          <w:kern w:val="22"/>
          <w:szCs w:val="22"/>
          <w:lang w:val="fr-FR"/>
        </w:rPr>
        <w:t>, par toutes les Parties et les parties prenantes, pour atteindre la Vision 2050 pour la biodiversité et réaliser les objectifs de la Convention ;</w:t>
      </w:r>
    </w:p>
    <w:p w14:paraId="21765675" w14:textId="408BF577" w:rsidR="00A925AB" w:rsidRPr="005542C7" w:rsidRDefault="005B152D" w:rsidP="009F6D3C">
      <w:pPr>
        <w:pStyle w:val="Para1"/>
        <w:numPr>
          <w:ilvl w:val="0"/>
          <w:numId w:val="11"/>
        </w:numPr>
        <w:tabs>
          <w:tab w:val="clear" w:pos="360"/>
        </w:tabs>
        <w:ind w:firstLine="709"/>
        <w:rPr>
          <w:kern w:val="22"/>
          <w:szCs w:val="22"/>
          <w:lang w:val="fr-FR"/>
        </w:rPr>
      </w:pPr>
      <w:r w:rsidRPr="005542C7">
        <w:rPr>
          <w:i/>
          <w:kern w:val="22"/>
          <w:szCs w:val="22"/>
          <w:lang w:val="fr-FR"/>
        </w:rPr>
        <w:t>Adopt</w:t>
      </w:r>
      <w:r w:rsidR="008B2D19">
        <w:rPr>
          <w:i/>
          <w:kern w:val="22"/>
          <w:szCs w:val="22"/>
          <w:lang w:val="fr-FR"/>
        </w:rPr>
        <w:t>e</w:t>
      </w:r>
      <w:r w:rsidRPr="005542C7">
        <w:rPr>
          <w:kern w:val="22"/>
          <w:szCs w:val="22"/>
          <w:lang w:val="fr-FR"/>
        </w:rPr>
        <w:t xml:space="preserve"> </w:t>
      </w:r>
      <w:r w:rsidR="008B2D19">
        <w:rPr>
          <w:kern w:val="22"/>
          <w:szCs w:val="22"/>
          <w:lang w:val="fr-FR"/>
        </w:rPr>
        <w:t>l’annexe technique du cadre qui contient son cadre de suivi des progrès réalisés vers ses objectifs et ses cibles ;</w:t>
      </w:r>
      <w:r w:rsidR="00A925AB" w:rsidRPr="005542C7">
        <w:rPr>
          <w:kern w:val="22"/>
          <w:szCs w:val="22"/>
          <w:lang w:val="fr-FR"/>
        </w:rPr>
        <w:t xml:space="preserve"> </w:t>
      </w:r>
    </w:p>
    <w:p w14:paraId="53DF78B4" w14:textId="0E7ADDB2" w:rsidR="00A925AB" w:rsidRPr="005542C7" w:rsidRDefault="00536973" w:rsidP="009F6D3C">
      <w:pPr>
        <w:pStyle w:val="Para1"/>
        <w:numPr>
          <w:ilvl w:val="0"/>
          <w:numId w:val="11"/>
        </w:numPr>
        <w:tabs>
          <w:tab w:val="clear" w:pos="360"/>
        </w:tabs>
        <w:ind w:firstLine="709"/>
        <w:rPr>
          <w:kern w:val="22"/>
          <w:szCs w:val="22"/>
          <w:lang w:val="fr-FR"/>
        </w:rPr>
      </w:pPr>
      <w:r>
        <w:rPr>
          <w:i/>
          <w:kern w:val="22"/>
          <w:lang w:val="fr-FR"/>
        </w:rPr>
        <w:t xml:space="preserve">Crée </w:t>
      </w:r>
      <w:r>
        <w:rPr>
          <w:kern w:val="22"/>
          <w:lang w:val="fr-FR"/>
        </w:rPr>
        <w:t xml:space="preserve">un mécanisme de rapport, évaluation et transparence [tel que développé dans la décision </w:t>
      </w:r>
      <w:r w:rsidR="00A925AB" w:rsidRPr="005542C7">
        <w:rPr>
          <w:kern w:val="22"/>
          <w:lang w:val="fr-FR"/>
        </w:rPr>
        <w:t>15/-</w:t>
      </w:r>
      <w:r w:rsidR="00A925AB" w:rsidRPr="00910996">
        <w:rPr>
          <w:rStyle w:val="FootnoteReference"/>
          <w:kern w:val="22"/>
          <w:sz w:val="22"/>
          <w:szCs w:val="22"/>
          <w:u w:val="none"/>
          <w:vertAlign w:val="superscript"/>
          <w:lang w:val="fr-FR"/>
        </w:rPr>
        <w:footnoteReference w:id="21"/>
      </w:r>
      <w:r w:rsidR="00A925AB" w:rsidRPr="005542C7">
        <w:rPr>
          <w:kern w:val="22"/>
          <w:vertAlign w:val="superscript"/>
          <w:lang w:val="fr-FR"/>
        </w:rPr>
        <w:t xml:space="preserve"> </w:t>
      </w:r>
    </w:p>
    <w:p w14:paraId="3F26860E" w14:textId="641B2742" w:rsidR="00A925AB" w:rsidRPr="005542C7" w:rsidRDefault="00A925AB" w:rsidP="009F6D3C">
      <w:pPr>
        <w:pStyle w:val="ListParagraph"/>
        <w:numPr>
          <w:ilvl w:val="0"/>
          <w:numId w:val="11"/>
        </w:numPr>
        <w:spacing w:before="120" w:after="120"/>
        <w:ind w:firstLine="709"/>
        <w:contextualSpacing w:val="0"/>
        <w:rPr>
          <w:kern w:val="22"/>
          <w:lang w:val="fr-FR"/>
        </w:rPr>
      </w:pPr>
      <w:r w:rsidRPr="005542C7">
        <w:rPr>
          <w:i/>
          <w:kern w:val="22"/>
          <w:lang w:val="fr-FR"/>
        </w:rPr>
        <w:t>Note</w:t>
      </w:r>
      <w:r w:rsidRPr="005542C7">
        <w:rPr>
          <w:kern w:val="22"/>
          <w:lang w:val="fr-FR"/>
        </w:rPr>
        <w:t xml:space="preserve"> </w:t>
      </w:r>
      <w:r w:rsidR="00536973">
        <w:rPr>
          <w:kern w:val="22"/>
          <w:lang w:val="fr-FR"/>
        </w:rPr>
        <w:t>que le cadre est destiné à être mis en œuvre dans le cadre de la Convention, conformément à la présente décision ainsi qu’aux décisions suivantes :</w:t>
      </w:r>
    </w:p>
    <w:p w14:paraId="43F199CF" w14:textId="1E340A88" w:rsidR="00A925AB" w:rsidRPr="005542C7" w:rsidRDefault="00A925AB" w:rsidP="001750B0">
      <w:pPr>
        <w:pStyle w:val="ListParagraph"/>
        <w:numPr>
          <w:ilvl w:val="1"/>
          <w:numId w:val="11"/>
        </w:numPr>
        <w:spacing w:before="120" w:after="120"/>
        <w:contextualSpacing w:val="0"/>
        <w:rPr>
          <w:kern w:val="22"/>
          <w:lang w:val="fr-FR"/>
        </w:rPr>
      </w:pPr>
      <w:r w:rsidRPr="005542C7">
        <w:rPr>
          <w:kern w:val="22"/>
          <w:lang w:val="fr-FR"/>
        </w:rPr>
        <w:t>D</w:t>
      </w:r>
      <w:r w:rsidR="00536973">
        <w:rPr>
          <w:kern w:val="22"/>
          <w:lang w:val="fr-FR"/>
        </w:rPr>
        <w:t>é</w:t>
      </w:r>
      <w:r w:rsidRPr="005542C7">
        <w:rPr>
          <w:kern w:val="22"/>
          <w:lang w:val="fr-FR"/>
        </w:rPr>
        <w:t xml:space="preserve">cision 15/- </w:t>
      </w:r>
      <w:r w:rsidR="00536973">
        <w:rPr>
          <w:kern w:val="22"/>
          <w:lang w:val="fr-FR"/>
        </w:rPr>
        <w:t>sur la mobilisation des ressources ;</w:t>
      </w:r>
    </w:p>
    <w:p w14:paraId="26A6620F" w14:textId="54751FA4" w:rsidR="00A925AB" w:rsidRPr="005542C7" w:rsidRDefault="00A925AB" w:rsidP="001750B0">
      <w:pPr>
        <w:pStyle w:val="ListParagraph"/>
        <w:numPr>
          <w:ilvl w:val="1"/>
          <w:numId w:val="11"/>
        </w:numPr>
        <w:spacing w:before="120" w:after="120"/>
        <w:contextualSpacing w:val="0"/>
        <w:rPr>
          <w:kern w:val="22"/>
          <w:lang w:val="fr-FR"/>
        </w:rPr>
      </w:pPr>
      <w:r w:rsidRPr="005542C7">
        <w:rPr>
          <w:kern w:val="22"/>
          <w:lang w:val="fr-FR"/>
        </w:rPr>
        <w:t>D</w:t>
      </w:r>
      <w:r w:rsidR="00536973">
        <w:rPr>
          <w:kern w:val="22"/>
          <w:lang w:val="fr-FR"/>
        </w:rPr>
        <w:t>é</w:t>
      </w:r>
      <w:r w:rsidRPr="005542C7">
        <w:rPr>
          <w:kern w:val="22"/>
          <w:lang w:val="fr-FR"/>
        </w:rPr>
        <w:t xml:space="preserve">cision 15/- </w:t>
      </w:r>
      <w:r w:rsidR="00536973">
        <w:rPr>
          <w:kern w:val="22"/>
          <w:lang w:val="fr-FR"/>
        </w:rPr>
        <w:t>sur le renforcement des capacités</w:t>
      </w:r>
    </w:p>
    <w:p w14:paraId="580C9457" w14:textId="081D65A6" w:rsidR="00DC0212" w:rsidRPr="005542C7" w:rsidRDefault="00A925AB" w:rsidP="001750B0">
      <w:pPr>
        <w:pStyle w:val="ListParagraph"/>
        <w:numPr>
          <w:ilvl w:val="1"/>
          <w:numId w:val="11"/>
        </w:numPr>
        <w:spacing w:before="120" w:after="120"/>
        <w:contextualSpacing w:val="0"/>
        <w:rPr>
          <w:kern w:val="22"/>
          <w:lang w:val="fr-FR"/>
        </w:rPr>
      </w:pPr>
      <w:r w:rsidRPr="005542C7">
        <w:rPr>
          <w:kern w:val="22"/>
          <w:lang w:val="fr-FR"/>
        </w:rPr>
        <w:t>D</w:t>
      </w:r>
      <w:r w:rsidR="00536973">
        <w:rPr>
          <w:kern w:val="22"/>
          <w:lang w:val="fr-FR"/>
        </w:rPr>
        <w:t>é</w:t>
      </w:r>
      <w:r w:rsidRPr="005542C7">
        <w:rPr>
          <w:kern w:val="22"/>
          <w:lang w:val="fr-FR"/>
        </w:rPr>
        <w:t xml:space="preserve">cision 15/- </w:t>
      </w:r>
      <w:r w:rsidR="00536973">
        <w:rPr>
          <w:kern w:val="22"/>
          <w:lang w:val="fr-FR"/>
        </w:rPr>
        <w:t xml:space="preserve">sur </w:t>
      </w:r>
      <w:r w:rsidR="00832383">
        <w:rPr>
          <w:kern w:val="22"/>
          <w:lang w:val="fr-FR"/>
        </w:rPr>
        <w:t xml:space="preserve">une </w:t>
      </w:r>
      <w:r w:rsidR="00536973">
        <w:rPr>
          <w:kern w:val="22"/>
          <w:lang w:val="fr-FR"/>
        </w:rPr>
        <w:t>approche stratégique à long terme de l’intégration ;</w:t>
      </w:r>
      <w:r w:rsidR="00DC0212" w:rsidRPr="005542C7">
        <w:rPr>
          <w:kern w:val="22"/>
          <w:lang w:val="fr-FR"/>
        </w:rPr>
        <w:t xml:space="preserve"> </w:t>
      </w:r>
    </w:p>
    <w:p w14:paraId="26C81F22" w14:textId="5923F159" w:rsidR="009A77B8" w:rsidRPr="005542C7" w:rsidRDefault="00536973" w:rsidP="009F6D3C">
      <w:pPr>
        <w:pStyle w:val="ListParagraph"/>
        <w:numPr>
          <w:ilvl w:val="0"/>
          <w:numId w:val="11"/>
        </w:numPr>
        <w:spacing w:before="120" w:after="120"/>
        <w:ind w:firstLine="709"/>
        <w:contextualSpacing w:val="0"/>
        <w:rPr>
          <w:kern w:val="22"/>
          <w:lang w:val="fr-FR"/>
        </w:rPr>
      </w:pPr>
      <w:r>
        <w:rPr>
          <w:i/>
          <w:kern w:val="22"/>
          <w:lang w:val="fr-FR"/>
        </w:rPr>
        <w:t>Exhorte</w:t>
      </w:r>
      <w:r w:rsidR="009A77B8" w:rsidRPr="005542C7">
        <w:rPr>
          <w:kern w:val="22"/>
          <w:lang w:val="fr-FR"/>
        </w:rPr>
        <w:t xml:space="preserve"> </w:t>
      </w:r>
      <w:r>
        <w:rPr>
          <w:kern w:val="22"/>
          <w:lang w:val="fr-FR"/>
        </w:rPr>
        <w:t>les P</w:t>
      </w:r>
      <w:r w:rsidR="009A77B8" w:rsidRPr="005542C7">
        <w:rPr>
          <w:kern w:val="22"/>
          <w:lang w:val="fr-FR"/>
        </w:rPr>
        <w:t xml:space="preserve">arties </w:t>
      </w:r>
      <w:r>
        <w:rPr>
          <w:kern w:val="22"/>
          <w:lang w:val="fr-FR"/>
        </w:rPr>
        <w:t>et</w:t>
      </w:r>
      <w:r w:rsidR="000F3770" w:rsidRPr="005542C7">
        <w:rPr>
          <w:kern w:val="22"/>
          <w:lang w:val="fr-FR"/>
        </w:rPr>
        <w:t xml:space="preserve"> </w:t>
      </w:r>
      <w:r w:rsidR="000F3770" w:rsidRPr="005542C7">
        <w:rPr>
          <w:i/>
          <w:kern w:val="22"/>
          <w:lang w:val="fr-FR"/>
        </w:rPr>
        <w:t>invite</w:t>
      </w:r>
      <w:r w:rsidR="000F3770" w:rsidRPr="005542C7">
        <w:rPr>
          <w:kern w:val="22"/>
          <w:lang w:val="fr-FR"/>
        </w:rPr>
        <w:t xml:space="preserve"> </w:t>
      </w:r>
      <w:r>
        <w:rPr>
          <w:kern w:val="22"/>
          <w:lang w:val="fr-FR"/>
        </w:rPr>
        <w:t xml:space="preserve">les autres </w:t>
      </w:r>
      <w:r w:rsidR="009A77B8" w:rsidRPr="005542C7">
        <w:rPr>
          <w:kern w:val="22"/>
          <w:lang w:val="fr-FR"/>
        </w:rPr>
        <w:t>Go</w:t>
      </w:r>
      <w:r>
        <w:rPr>
          <w:kern w:val="22"/>
          <w:lang w:val="fr-FR"/>
        </w:rPr>
        <w:t>u</w:t>
      </w:r>
      <w:r w:rsidR="009A77B8" w:rsidRPr="005542C7">
        <w:rPr>
          <w:kern w:val="22"/>
          <w:lang w:val="fr-FR"/>
        </w:rPr>
        <w:t>vern</w:t>
      </w:r>
      <w:r>
        <w:rPr>
          <w:kern w:val="22"/>
          <w:lang w:val="fr-FR"/>
        </w:rPr>
        <w:t>e</w:t>
      </w:r>
      <w:r w:rsidR="009A77B8" w:rsidRPr="005542C7">
        <w:rPr>
          <w:kern w:val="22"/>
          <w:lang w:val="fr-FR"/>
        </w:rPr>
        <w:t xml:space="preserve">ments </w:t>
      </w:r>
      <w:r>
        <w:rPr>
          <w:kern w:val="22"/>
          <w:lang w:val="fr-FR"/>
        </w:rPr>
        <w:t xml:space="preserve">et toutes les parties prenantes à mettre en œuvre le cadre, conformément aux dispositions de la Convention et </w:t>
      </w:r>
      <w:r w:rsidR="00363EEC">
        <w:rPr>
          <w:kern w:val="22"/>
          <w:lang w:val="fr-FR"/>
        </w:rPr>
        <w:t>à d’autres obligations internationales pertinentes et en harmonie avec celles-ci, en tenant compte des circonstances socioéconomiques et des capacités nationales ;</w:t>
      </w:r>
    </w:p>
    <w:p w14:paraId="665F284D" w14:textId="3F72E6E0" w:rsidR="009A77B8" w:rsidRPr="005542C7" w:rsidRDefault="00363EEC" w:rsidP="009F6D3C">
      <w:pPr>
        <w:pStyle w:val="ListParagraph"/>
        <w:numPr>
          <w:ilvl w:val="0"/>
          <w:numId w:val="11"/>
        </w:numPr>
        <w:spacing w:before="120" w:after="120"/>
        <w:ind w:firstLine="709"/>
        <w:contextualSpacing w:val="0"/>
        <w:rPr>
          <w:i/>
          <w:kern w:val="22"/>
          <w:lang w:val="fr-FR"/>
        </w:rPr>
      </w:pPr>
      <w:r>
        <w:rPr>
          <w:i/>
          <w:kern w:val="22"/>
          <w:lang w:val="fr-FR"/>
        </w:rPr>
        <w:t>Prie instamment</w:t>
      </w:r>
      <w:r>
        <w:rPr>
          <w:iCs/>
          <w:kern w:val="22"/>
          <w:lang w:val="fr-FR"/>
        </w:rPr>
        <w:t xml:space="preserve"> les Parties :</w:t>
      </w:r>
    </w:p>
    <w:p w14:paraId="6B9A00B7" w14:textId="3D4F9713" w:rsidR="009A77B8" w:rsidRPr="005542C7" w:rsidRDefault="00363EEC" w:rsidP="001750B0">
      <w:pPr>
        <w:pStyle w:val="ListParagraph"/>
        <w:numPr>
          <w:ilvl w:val="1"/>
          <w:numId w:val="11"/>
        </w:numPr>
        <w:spacing w:before="120" w:after="120"/>
        <w:contextualSpacing w:val="0"/>
        <w:rPr>
          <w:i/>
          <w:kern w:val="22"/>
          <w:lang w:val="fr-FR"/>
        </w:rPr>
      </w:pPr>
      <w:r>
        <w:rPr>
          <w:kern w:val="22"/>
          <w:lang w:val="fr-FR"/>
        </w:rPr>
        <w:t>De développer des cibles ou des engagements nationaux et, le cas échéant, régionaux pour chacune des cibles mondiales du cadre,</w:t>
      </w:r>
      <w:r w:rsidR="00A925AB" w:rsidRPr="005542C7">
        <w:rPr>
          <w:kern w:val="22"/>
          <w:lang w:val="fr-FR"/>
        </w:rPr>
        <w:t xml:space="preserve"> </w:t>
      </w:r>
      <w:r w:rsidR="00832383">
        <w:rPr>
          <w:kern w:val="22"/>
          <w:lang w:val="fr-FR"/>
        </w:rPr>
        <w:t xml:space="preserve">qui </w:t>
      </w:r>
      <w:r>
        <w:rPr>
          <w:kern w:val="22"/>
          <w:lang w:val="fr-FR"/>
        </w:rPr>
        <w:t xml:space="preserve">doivent être développés en vue de contribuer aux </w:t>
      </w:r>
      <w:r w:rsidR="00180BCB">
        <w:rPr>
          <w:kern w:val="22"/>
          <w:lang w:val="fr-FR"/>
        </w:rPr>
        <w:t>efforts collectifs déployés à l’échelle mondiale pour atteindre les cibles mondiales</w:t>
      </w:r>
      <w:r w:rsidR="00545D41">
        <w:rPr>
          <w:kern w:val="22"/>
          <w:lang w:val="fr-FR"/>
        </w:rPr>
        <w:t>, tout en prenant en compte les priorités, les circonstances et les capacités nationales et, dans le cas des pays en développement, des ressources fournies par les pays développés conformément à l’article 20 de la Convention</w:t>
      </w:r>
      <w:r w:rsidR="00832383">
        <w:rPr>
          <w:kern w:val="22"/>
          <w:lang w:val="fr-FR"/>
        </w:rPr>
        <w:t xml:space="preserve">, et de les communiquer à la Secrétaire exécutive avant </w:t>
      </w:r>
      <w:r w:rsidR="00832383" w:rsidRPr="005542C7">
        <w:rPr>
          <w:kern w:val="22"/>
          <w:lang w:val="fr-FR"/>
        </w:rPr>
        <w:t>[</w:t>
      </w:r>
      <w:r w:rsidR="00832383">
        <w:rPr>
          <w:kern w:val="22"/>
          <w:lang w:val="fr-FR"/>
        </w:rPr>
        <w:t>avri</w:t>
      </w:r>
      <w:r w:rsidR="00832383" w:rsidRPr="005542C7">
        <w:rPr>
          <w:kern w:val="22"/>
          <w:lang w:val="fr-FR"/>
        </w:rPr>
        <w:t>l 2021]</w:t>
      </w:r>
      <w:r w:rsidR="00832383">
        <w:rPr>
          <w:kern w:val="22"/>
          <w:lang w:val="fr-FR"/>
        </w:rPr>
        <w:t xml:space="preserve"> au plus tard</w:t>
      </w:r>
      <w:r w:rsidR="00545D41">
        <w:rPr>
          <w:kern w:val="22"/>
          <w:lang w:val="fr-FR"/>
        </w:rPr>
        <w:t> ;</w:t>
      </w:r>
      <w:r w:rsidR="00A925AB" w:rsidRPr="005542C7">
        <w:rPr>
          <w:bCs/>
          <w:color w:val="000000"/>
          <w:kern w:val="22"/>
          <w:lang w:val="fr-FR"/>
        </w:rPr>
        <w:t xml:space="preserve"> </w:t>
      </w:r>
    </w:p>
    <w:p w14:paraId="0E1A5828" w14:textId="111C846F" w:rsidR="009A77B8" w:rsidRPr="005542C7" w:rsidRDefault="00E3032A" w:rsidP="001750B0">
      <w:pPr>
        <w:pStyle w:val="ListParagraph"/>
        <w:numPr>
          <w:ilvl w:val="1"/>
          <w:numId w:val="11"/>
        </w:numPr>
        <w:spacing w:before="120" w:after="120"/>
        <w:contextualSpacing w:val="0"/>
        <w:rPr>
          <w:i/>
          <w:kern w:val="22"/>
          <w:lang w:val="fr-FR"/>
        </w:rPr>
      </w:pPr>
      <w:r>
        <w:rPr>
          <w:bCs/>
          <w:color w:val="000000"/>
          <w:kern w:val="22"/>
          <w:lang w:val="fr-FR"/>
        </w:rPr>
        <w:lastRenderedPageBreak/>
        <w:t>Mettre à jour</w:t>
      </w:r>
      <w:r w:rsidR="00832383">
        <w:rPr>
          <w:bCs/>
          <w:color w:val="000000"/>
          <w:kern w:val="22"/>
          <w:lang w:val="fr-FR"/>
        </w:rPr>
        <w:t xml:space="preserve"> </w:t>
      </w:r>
      <w:r>
        <w:rPr>
          <w:bCs/>
          <w:color w:val="000000"/>
          <w:kern w:val="22"/>
          <w:lang w:val="fr-FR"/>
        </w:rPr>
        <w:t xml:space="preserve">les stratégies et plans d’action nationaux pour la diversité biologique, conformément au cadre et aux orientations </w:t>
      </w:r>
      <w:r w:rsidR="00A925AB" w:rsidRPr="005542C7">
        <w:rPr>
          <w:kern w:val="22"/>
          <w:lang w:val="fr-FR"/>
        </w:rPr>
        <w:t>[</w:t>
      </w:r>
      <w:r>
        <w:rPr>
          <w:kern w:val="22"/>
          <w:lang w:val="fr-FR"/>
        </w:rPr>
        <w:t xml:space="preserve">qui figurent dans l’annexe </w:t>
      </w:r>
      <w:r w:rsidR="00A925AB" w:rsidRPr="005542C7">
        <w:rPr>
          <w:kern w:val="22"/>
          <w:lang w:val="fr-FR"/>
        </w:rPr>
        <w:t>X] [</w:t>
      </w:r>
      <w:r>
        <w:rPr>
          <w:kern w:val="22"/>
          <w:lang w:val="fr-FR"/>
        </w:rPr>
        <w:t xml:space="preserve">et adoptées dans la décision </w:t>
      </w:r>
      <w:r w:rsidR="00A925AB" w:rsidRPr="005542C7">
        <w:rPr>
          <w:kern w:val="22"/>
          <w:lang w:val="fr-FR"/>
        </w:rPr>
        <w:t xml:space="preserve">15/-], </w:t>
      </w:r>
      <w:r>
        <w:rPr>
          <w:kern w:val="22"/>
          <w:lang w:val="fr-FR"/>
        </w:rPr>
        <w:t>en incorporant des cibles ou des engagements nationaux, et les adopter en tant qu’instruments politiques pangouvernementaux ;</w:t>
      </w:r>
    </w:p>
    <w:p w14:paraId="23B4AAC2" w14:textId="1478EC06" w:rsidR="009A77B8" w:rsidRPr="005542C7" w:rsidRDefault="00E3032A" w:rsidP="001750B0">
      <w:pPr>
        <w:pStyle w:val="ListParagraph"/>
        <w:numPr>
          <w:ilvl w:val="1"/>
          <w:numId w:val="11"/>
        </w:numPr>
        <w:spacing w:before="120" w:after="120"/>
        <w:contextualSpacing w:val="0"/>
        <w:rPr>
          <w:i/>
          <w:kern w:val="22"/>
          <w:lang w:val="fr-FR"/>
        </w:rPr>
      </w:pPr>
      <w:r>
        <w:rPr>
          <w:kern w:val="22"/>
          <w:lang w:val="fr-FR"/>
        </w:rPr>
        <w:t xml:space="preserve">Suivre et évaluer la mise en œuvre de leurs cibles ou engagements nationaux et de leurs stratégies et plans d’action nationaux pour la </w:t>
      </w:r>
      <w:r w:rsidR="00EE24C4">
        <w:rPr>
          <w:kern w:val="22"/>
          <w:lang w:val="fr-FR"/>
        </w:rPr>
        <w:t>diversité biologique</w:t>
      </w:r>
      <w:r>
        <w:rPr>
          <w:kern w:val="22"/>
          <w:lang w:val="fr-FR"/>
        </w:rPr>
        <w:t xml:space="preserve"> en utilisant l’ensemble d’indicateurs élaboré pour le cadre et en rendre compte à la Conférence des Parties dans leurs rapports nationaux ou par tout autre moyens décidé par la Conférence des Parties ;</w:t>
      </w:r>
    </w:p>
    <w:p w14:paraId="65079F1A" w14:textId="53B7CF84" w:rsidR="009A77B8" w:rsidRPr="005542C7" w:rsidRDefault="00A925AB" w:rsidP="001750B0">
      <w:pPr>
        <w:pStyle w:val="ListParagraph"/>
        <w:numPr>
          <w:ilvl w:val="1"/>
          <w:numId w:val="11"/>
        </w:numPr>
        <w:spacing w:before="120" w:after="120"/>
        <w:contextualSpacing w:val="0"/>
        <w:rPr>
          <w:i/>
          <w:kern w:val="22"/>
          <w:lang w:val="fr-FR"/>
        </w:rPr>
      </w:pPr>
      <w:r w:rsidRPr="005542C7">
        <w:rPr>
          <w:kern w:val="22"/>
          <w:lang w:val="fr-FR"/>
        </w:rPr>
        <w:t>A</w:t>
      </w:r>
      <w:r w:rsidR="00E3032A">
        <w:rPr>
          <w:kern w:val="22"/>
          <w:lang w:val="fr-FR"/>
        </w:rPr>
        <w:t>juster leurs cibles ou engagements nationaux et mesures connexes dans les stratégies et plans d’action nationaux pour la diversit</w:t>
      </w:r>
      <w:r w:rsidR="00EE24C4">
        <w:rPr>
          <w:kern w:val="22"/>
          <w:lang w:val="fr-FR"/>
        </w:rPr>
        <w:t>é biologique, le cas échéant, à la lumière du bilan périodique mondial des progrès réalisés ;</w:t>
      </w:r>
    </w:p>
    <w:p w14:paraId="706FA559" w14:textId="09BA2323" w:rsidR="00FA4855" w:rsidRPr="005542C7" w:rsidRDefault="009457E1" w:rsidP="009F6D3C">
      <w:pPr>
        <w:pStyle w:val="Para1"/>
        <w:numPr>
          <w:ilvl w:val="0"/>
          <w:numId w:val="11"/>
        </w:numPr>
        <w:tabs>
          <w:tab w:val="clear" w:pos="360"/>
        </w:tabs>
        <w:ind w:firstLine="709"/>
        <w:rPr>
          <w:kern w:val="22"/>
          <w:szCs w:val="22"/>
          <w:lang w:val="fr-FR"/>
        </w:rPr>
      </w:pPr>
      <w:r w:rsidRPr="005542C7">
        <w:rPr>
          <w:i/>
          <w:kern w:val="22"/>
          <w:szCs w:val="22"/>
          <w:lang w:val="fr-FR"/>
        </w:rPr>
        <w:t>R</w:t>
      </w:r>
      <w:r w:rsidR="00832383">
        <w:rPr>
          <w:i/>
          <w:kern w:val="22"/>
          <w:szCs w:val="22"/>
          <w:lang w:val="fr-FR"/>
        </w:rPr>
        <w:t>éitère</w:t>
      </w:r>
      <w:r w:rsidRPr="005542C7">
        <w:rPr>
          <w:kern w:val="22"/>
          <w:szCs w:val="22"/>
          <w:lang w:val="fr-FR"/>
        </w:rPr>
        <w:t xml:space="preserve"> </w:t>
      </w:r>
      <w:r w:rsidR="004B20AF">
        <w:rPr>
          <w:kern w:val="22"/>
          <w:szCs w:val="22"/>
          <w:lang w:val="fr-FR"/>
        </w:rPr>
        <w:t>que le rôle de la Conférence des Parties est de garder à l’étude l’application de la Convention</w:t>
      </w:r>
      <w:r w:rsidR="00832383">
        <w:rPr>
          <w:kern w:val="22"/>
          <w:szCs w:val="22"/>
          <w:lang w:val="fr-FR"/>
        </w:rPr>
        <w:t xml:space="preserve"> et </w:t>
      </w:r>
      <w:r w:rsidR="004B20AF">
        <w:rPr>
          <w:kern w:val="22"/>
          <w:szCs w:val="22"/>
          <w:lang w:val="fr-FR"/>
        </w:rPr>
        <w:t>décide que</w:t>
      </w:r>
      <w:r w:rsidR="00832383">
        <w:rPr>
          <w:kern w:val="22"/>
          <w:szCs w:val="22"/>
          <w:lang w:val="fr-FR"/>
        </w:rPr>
        <w:t>,</w:t>
      </w:r>
      <w:r w:rsidR="00832383" w:rsidRPr="00832383">
        <w:rPr>
          <w:kern w:val="22"/>
          <w:szCs w:val="22"/>
          <w:lang w:val="fr-FR"/>
        </w:rPr>
        <w:t xml:space="preserve"> </w:t>
      </w:r>
      <w:r w:rsidR="00832383">
        <w:rPr>
          <w:kern w:val="22"/>
          <w:szCs w:val="22"/>
          <w:lang w:val="fr-FR"/>
        </w:rPr>
        <w:t>à chacune de ses futures réunions,</w:t>
      </w:r>
      <w:r w:rsidR="004B20AF">
        <w:rPr>
          <w:kern w:val="22"/>
          <w:szCs w:val="22"/>
          <w:lang w:val="fr-FR"/>
        </w:rPr>
        <w:t xml:space="preserve"> la Conférence des Parties examinera</w:t>
      </w:r>
      <w:r w:rsidR="00832383">
        <w:rPr>
          <w:kern w:val="22"/>
          <w:szCs w:val="22"/>
          <w:lang w:val="fr-FR"/>
        </w:rPr>
        <w:t xml:space="preserve"> </w:t>
      </w:r>
      <w:r w:rsidR="004B20AF">
        <w:rPr>
          <w:kern w:val="22"/>
          <w:szCs w:val="22"/>
          <w:lang w:val="fr-FR"/>
        </w:rPr>
        <w:t>l’état d’avancement de la mise en œuvre du cadre mondial de la biodiversité pour l’après-2020</w:t>
      </w:r>
      <w:r w:rsidR="00446F51">
        <w:rPr>
          <w:kern w:val="22"/>
          <w:szCs w:val="22"/>
          <w:lang w:val="fr-FR"/>
        </w:rPr>
        <w:t>, échangera les expériences présentant un intérêt pour la mise en œuvre et fournira des orientations sur les moyens de faire face aux difficultés rencontrées.</w:t>
      </w:r>
    </w:p>
    <w:p w14:paraId="06273FAC" w14:textId="0E8CE727" w:rsidR="005B329D" w:rsidRPr="005542C7" w:rsidRDefault="00034222" w:rsidP="009F6D3C">
      <w:pPr>
        <w:pStyle w:val="Para1"/>
        <w:suppressLineNumbers/>
        <w:suppressAutoHyphens/>
        <w:jc w:val="center"/>
        <w:rPr>
          <w:kern w:val="22"/>
          <w:szCs w:val="22"/>
          <w:lang w:val="fr-FR"/>
        </w:rPr>
      </w:pPr>
      <w:r w:rsidRPr="005542C7">
        <w:rPr>
          <w:kern w:val="22"/>
          <w:szCs w:val="22"/>
          <w:lang w:val="fr-FR"/>
        </w:rPr>
        <w:t>__________</w:t>
      </w:r>
    </w:p>
    <w:sectPr w:rsidR="005B329D" w:rsidRPr="005542C7" w:rsidSect="00EA3D8F">
      <w:headerReference w:type="even" r:id="rId19"/>
      <w:headerReference w:type="default" r:id="rId20"/>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D38F" w14:textId="77777777" w:rsidR="00791BEA" w:rsidRDefault="00791BEA">
      <w:r>
        <w:separator/>
      </w:r>
    </w:p>
  </w:endnote>
  <w:endnote w:type="continuationSeparator" w:id="0">
    <w:p w14:paraId="696A4FF4" w14:textId="77777777" w:rsidR="00791BEA" w:rsidRDefault="0079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Body C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B221" w14:textId="77777777" w:rsidR="00791BEA" w:rsidRDefault="00791BEA">
      <w:r>
        <w:separator/>
      </w:r>
    </w:p>
  </w:footnote>
  <w:footnote w:type="continuationSeparator" w:id="0">
    <w:p w14:paraId="3790B839" w14:textId="77777777" w:rsidR="00791BEA" w:rsidRDefault="00791BEA">
      <w:r>
        <w:continuationSeparator/>
      </w:r>
    </w:p>
  </w:footnote>
  <w:footnote w:id="1">
    <w:p w14:paraId="6BCAE33E" w14:textId="6B458F76" w:rsidR="00E754EE" w:rsidRPr="00E804A8" w:rsidRDefault="00E754EE" w:rsidP="00B10345">
      <w:pPr>
        <w:pStyle w:val="FootnoteText"/>
        <w:ind w:firstLine="0"/>
        <w:rPr>
          <w:lang w:val="fr-FR"/>
        </w:rPr>
      </w:pPr>
      <w:r w:rsidRPr="00E804A8">
        <w:rPr>
          <w:rStyle w:val="FootnoteReference"/>
          <w:rFonts w:eastAsia="Malgun Gothic"/>
          <w:snapToGrid w:val="0"/>
          <w:kern w:val="22"/>
          <w:szCs w:val="22"/>
          <w:u w:val="none"/>
          <w:vertAlign w:val="superscript"/>
          <w:lang w:val="fr-FR"/>
        </w:rPr>
        <w:footnoteRef/>
      </w:r>
      <w:r w:rsidRPr="00E804A8">
        <w:rPr>
          <w:rStyle w:val="FootnoteReference"/>
          <w:rFonts w:eastAsia="Malgun Gothic"/>
          <w:snapToGrid w:val="0"/>
          <w:kern w:val="22"/>
          <w:szCs w:val="22"/>
          <w:u w:val="none"/>
          <w:vertAlign w:val="superscript"/>
          <w:lang w:val="fr-FR"/>
        </w:rPr>
        <w:t xml:space="preserve"> </w:t>
      </w:r>
      <w:r>
        <w:rPr>
          <w:lang w:val="fr-FR"/>
        </w:rPr>
        <w:t xml:space="preserve">Le terme « cadre mondial de la biodiversité pour l’après-2020 » est employé temporairement dans le présent document comme élément de substitution, en attendant une décision sur le nom final du cadre par la Conférence des Parties à sa quinzième réunion. De même, le mot « cadre » est employé dans tout le texte comme mot de substitution en attendant le nom final. </w:t>
      </w:r>
    </w:p>
  </w:footnote>
  <w:footnote w:id="2">
    <w:p w14:paraId="731F1D1F" w14:textId="4541A907" w:rsidR="00E754EE" w:rsidRPr="00F04E69" w:rsidRDefault="00E754EE" w:rsidP="005A3C61">
      <w:pPr>
        <w:pStyle w:val="FootnoteText"/>
        <w:spacing w:before="40" w:after="40"/>
        <w:ind w:firstLine="0"/>
        <w:rPr>
          <w:sz w:val="20"/>
          <w:szCs w:val="20"/>
          <w:lang w:val="fr-FR"/>
        </w:rPr>
      </w:pPr>
      <w:r w:rsidRPr="009F6D3C">
        <w:rPr>
          <w:rStyle w:val="FootnoteReference"/>
          <w:sz w:val="20"/>
          <w:szCs w:val="20"/>
          <w:u w:val="none"/>
          <w:vertAlign w:val="superscript"/>
        </w:rPr>
        <w:footnoteRef/>
      </w:r>
      <w:r w:rsidRPr="006E0D05">
        <w:rPr>
          <w:sz w:val="20"/>
          <w:szCs w:val="20"/>
          <w:lang w:val="fr-FR"/>
        </w:rPr>
        <w:t xml:space="preserve"> </w:t>
      </w:r>
      <w:r w:rsidRPr="00F04E69">
        <w:rPr>
          <w:sz w:val="20"/>
          <w:szCs w:val="20"/>
          <w:lang w:val="fr-FR"/>
        </w:rPr>
        <w:t xml:space="preserve">Voir </w:t>
      </w:r>
      <w:r w:rsidRPr="00F04E69">
        <w:rPr>
          <w:szCs w:val="18"/>
          <w:lang w:val="fr-FR"/>
        </w:rPr>
        <w:t>CBD/WG2020/1/5.</w:t>
      </w:r>
    </w:p>
  </w:footnote>
  <w:footnote w:id="3">
    <w:p w14:paraId="0BAD2BB2" w14:textId="51BBE5C5" w:rsidR="00E754EE" w:rsidRPr="00386672" w:rsidRDefault="00E754EE" w:rsidP="00242FCC">
      <w:pPr>
        <w:pStyle w:val="FootnoteText"/>
        <w:ind w:firstLine="0"/>
        <w:rPr>
          <w:lang w:val="fr-FR"/>
        </w:rPr>
      </w:pPr>
      <w:r w:rsidRPr="00386672">
        <w:rPr>
          <w:rStyle w:val="FootnoteReference"/>
          <w:u w:val="none"/>
          <w:vertAlign w:val="superscript"/>
          <w:lang w:val="fr-FR"/>
        </w:rPr>
        <w:footnoteRef/>
      </w:r>
      <w:r w:rsidRPr="00386672">
        <w:rPr>
          <w:lang w:val="fr-FR"/>
        </w:rPr>
        <w:t xml:space="preserve"> On trouvera un glossaire des termes dans le document CBD/WG2020/2/3/Add.2.</w:t>
      </w:r>
    </w:p>
  </w:footnote>
  <w:footnote w:id="4">
    <w:p w14:paraId="0D7201D7" w14:textId="21F488DB" w:rsidR="00E754EE" w:rsidRPr="00386672" w:rsidRDefault="00E754EE" w:rsidP="005A3C61">
      <w:pPr>
        <w:pStyle w:val="FootnoteText"/>
        <w:spacing w:before="40" w:after="40"/>
        <w:ind w:firstLine="0"/>
        <w:rPr>
          <w:sz w:val="20"/>
          <w:szCs w:val="20"/>
          <w:lang w:val="fr-FR"/>
        </w:rPr>
      </w:pPr>
      <w:r w:rsidRPr="00386672">
        <w:rPr>
          <w:rStyle w:val="FootnoteReference"/>
          <w:sz w:val="20"/>
          <w:szCs w:val="20"/>
          <w:u w:val="none"/>
          <w:vertAlign w:val="superscript"/>
          <w:lang w:val="fr-FR"/>
        </w:rPr>
        <w:footnoteRef/>
      </w:r>
      <w:r w:rsidRPr="00386672">
        <w:rPr>
          <w:sz w:val="20"/>
          <w:szCs w:val="20"/>
          <w:lang w:val="fr-FR"/>
        </w:rPr>
        <w:t xml:space="preserve"> </w:t>
      </w:r>
      <w:r>
        <w:rPr>
          <w:sz w:val="20"/>
          <w:szCs w:val="20"/>
          <w:lang w:val="fr-FR"/>
        </w:rPr>
        <w:t xml:space="preserve">Voir la </w:t>
      </w:r>
      <w:r>
        <w:rPr>
          <w:szCs w:val="18"/>
          <w:lang w:val="fr-FR"/>
        </w:rPr>
        <w:t>r</w:t>
      </w:r>
      <w:r w:rsidRPr="00386672">
        <w:rPr>
          <w:szCs w:val="18"/>
          <w:lang w:val="fr-FR"/>
        </w:rPr>
        <w:t>ecommandation 23/1</w:t>
      </w:r>
      <w:r>
        <w:rPr>
          <w:szCs w:val="18"/>
          <w:lang w:val="fr-FR"/>
        </w:rPr>
        <w:t xml:space="preserve"> de l’Organe subsidiaire</w:t>
      </w:r>
      <w:r w:rsidRPr="00386672">
        <w:rPr>
          <w:szCs w:val="18"/>
          <w:lang w:val="fr-FR"/>
        </w:rPr>
        <w:t>.</w:t>
      </w:r>
    </w:p>
  </w:footnote>
  <w:footnote w:id="5">
    <w:p w14:paraId="69BD5518" w14:textId="6491B69F" w:rsidR="00E754EE" w:rsidRPr="00386672" w:rsidRDefault="00E754EE" w:rsidP="005A3C61">
      <w:pPr>
        <w:pStyle w:val="FootnoteText"/>
        <w:spacing w:before="40" w:after="40"/>
        <w:ind w:firstLine="0"/>
        <w:jc w:val="left"/>
        <w:rPr>
          <w:kern w:val="18"/>
          <w:sz w:val="20"/>
          <w:szCs w:val="20"/>
          <w:lang w:val="fr-FR"/>
        </w:rPr>
      </w:pPr>
      <w:r w:rsidRPr="00386672">
        <w:rPr>
          <w:rStyle w:val="FootnoteReference"/>
          <w:kern w:val="18"/>
          <w:sz w:val="20"/>
          <w:szCs w:val="20"/>
          <w:u w:val="none"/>
          <w:vertAlign w:val="superscript"/>
          <w:lang w:val="fr-FR"/>
        </w:rPr>
        <w:footnoteRef/>
      </w:r>
      <w:r w:rsidRPr="00386672">
        <w:rPr>
          <w:kern w:val="18"/>
          <w:sz w:val="20"/>
          <w:szCs w:val="20"/>
          <w:lang w:val="fr-FR"/>
        </w:rPr>
        <w:t xml:space="preserve"> </w:t>
      </w:r>
      <w:r>
        <w:rPr>
          <w:kern w:val="18"/>
          <w:szCs w:val="18"/>
          <w:lang w:val="fr-FR"/>
        </w:rPr>
        <w:t>On trouvera un aperçu général de ces processus dans les documents</w:t>
      </w:r>
      <w:r w:rsidRPr="00386672">
        <w:rPr>
          <w:kern w:val="18"/>
          <w:szCs w:val="18"/>
          <w:lang w:val="fr-FR"/>
        </w:rPr>
        <w:t xml:space="preserve"> CBD/WG2020/1/2 </w:t>
      </w:r>
      <w:r>
        <w:rPr>
          <w:kern w:val="18"/>
          <w:szCs w:val="18"/>
          <w:lang w:val="fr-FR"/>
        </w:rPr>
        <w:t xml:space="preserve">et </w:t>
      </w:r>
      <w:r w:rsidRPr="00386672">
        <w:rPr>
          <w:kern w:val="18"/>
          <w:szCs w:val="18"/>
          <w:lang w:val="fr-FR"/>
        </w:rPr>
        <w:t xml:space="preserve">CBD/WG2020/2/2. </w:t>
      </w:r>
      <w:r>
        <w:rPr>
          <w:kern w:val="18"/>
          <w:szCs w:val="18"/>
          <w:lang w:val="fr-FR"/>
        </w:rPr>
        <w:t>En outre</w:t>
      </w:r>
      <w:r w:rsidRPr="00386672">
        <w:rPr>
          <w:kern w:val="18"/>
          <w:szCs w:val="18"/>
          <w:lang w:val="fr-FR"/>
        </w:rPr>
        <w:t xml:space="preserve">, </w:t>
      </w:r>
      <w:r>
        <w:rPr>
          <w:kern w:val="18"/>
          <w:szCs w:val="18"/>
          <w:lang w:val="fr-FR"/>
        </w:rPr>
        <w:t xml:space="preserve">toutes les communications reçues sont disponibles à l’adresse </w:t>
      </w:r>
      <w:hyperlink r:id="rId1" w:history="1">
        <w:r w:rsidRPr="00386672">
          <w:rPr>
            <w:rStyle w:val="Hyperlink"/>
            <w:szCs w:val="18"/>
            <w:lang w:val="fr-FR"/>
          </w:rPr>
          <w:t>https://www.cbd.int/conferences/post2020/submissions</w:t>
        </w:r>
      </w:hyperlink>
    </w:p>
  </w:footnote>
  <w:footnote w:id="6">
    <w:p w14:paraId="51AAA9CE" w14:textId="336FB080" w:rsidR="00E754EE" w:rsidRPr="00386672" w:rsidRDefault="00E754EE" w:rsidP="009F6D3C">
      <w:pPr>
        <w:pStyle w:val="FootnoteText"/>
        <w:ind w:firstLine="0"/>
        <w:rPr>
          <w:lang w:val="fr-FR"/>
        </w:rPr>
      </w:pPr>
      <w:r w:rsidRPr="00386672">
        <w:rPr>
          <w:rStyle w:val="FootnoteReference"/>
          <w:u w:val="none"/>
          <w:vertAlign w:val="superscript"/>
          <w:lang w:val="fr-FR"/>
        </w:rPr>
        <w:footnoteRef/>
      </w:r>
      <w:r w:rsidRPr="00386672">
        <w:rPr>
          <w:lang w:val="fr-FR"/>
        </w:rPr>
        <w:t xml:space="preserve"> </w:t>
      </w:r>
      <w:r>
        <w:rPr>
          <w:rFonts w:cs="Calibri"/>
          <w:lang w:val="fr-FR"/>
        </w:rPr>
        <w:t>Nations Unies, Recueil des traités</w:t>
      </w:r>
      <w:r w:rsidRPr="00386672">
        <w:rPr>
          <w:rFonts w:cs="Calibri"/>
          <w:lang w:val="fr-FR"/>
        </w:rPr>
        <w:t xml:space="preserve">, </w:t>
      </w:r>
      <w:r>
        <w:rPr>
          <w:rFonts w:cs="Calibri"/>
          <w:lang w:val="fr-FR"/>
        </w:rPr>
        <w:t>n</w:t>
      </w:r>
      <w:r>
        <w:rPr>
          <w:rFonts w:cs="Calibri"/>
          <w:vertAlign w:val="superscript"/>
          <w:lang w:val="fr-FR"/>
        </w:rPr>
        <w:t>o</w:t>
      </w:r>
      <w:r w:rsidRPr="00386672">
        <w:rPr>
          <w:rFonts w:cs="Calibri"/>
          <w:lang w:val="fr-FR"/>
        </w:rPr>
        <w:t xml:space="preserve"> I-54113</w:t>
      </w:r>
    </w:p>
  </w:footnote>
  <w:footnote w:id="7">
    <w:p w14:paraId="1F765835" w14:textId="51517919" w:rsidR="00E754EE" w:rsidRPr="006E0D05" w:rsidRDefault="00E754EE" w:rsidP="000D77C4">
      <w:pPr>
        <w:pStyle w:val="FootnoteText"/>
        <w:ind w:firstLine="0"/>
        <w:rPr>
          <w:lang w:val="fr-FR"/>
        </w:rPr>
      </w:pPr>
      <w:r w:rsidRPr="009F6D3C">
        <w:rPr>
          <w:rStyle w:val="FootnoteReference"/>
          <w:u w:val="none"/>
          <w:vertAlign w:val="superscript"/>
        </w:rPr>
        <w:footnoteRef/>
      </w:r>
      <w:r w:rsidRPr="006E0D05">
        <w:rPr>
          <w:lang w:val="fr-FR"/>
        </w:rPr>
        <w:t xml:space="preserve"> </w:t>
      </w:r>
      <w:r w:rsidRPr="006E0D05">
        <w:rPr>
          <w:sz w:val="20"/>
          <w:szCs w:val="20"/>
          <w:lang w:val="fr-FR"/>
        </w:rPr>
        <w:t>CBD/WG2020/2/3/Add.1</w:t>
      </w:r>
    </w:p>
  </w:footnote>
  <w:footnote w:id="8">
    <w:p w14:paraId="72F43BB0" w14:textId="1FD920D0" w:rsidR="00E754EE" w:rsidRPr="00185711" w:rsidRDefault="00E754EE" w:rsidP="00CC1F38">
      <w:pPr>
        <w:pStyle w:val="FootnoteText"/>
        <w:ind w:firstLine="0"/>
        <w:rPr>
          <w:lang w:val="fr-FR"/>
        </w:rPr>
      </w:pPr>
      <w:r w:rsidRPr="009E53CF">
        <w:rPr>
          <w:rStyle w:val="FootnoteReference"/>
          <w:u w:val="none"/>
          <w:vertAlign w:val="superscript"/>
        </w:rPr>
        <w:footnoteRef/>
      </w:r>
      <w:r w:rsidRPr="006E0D05">
        <w:rPr>
          <w:lang w:val="fr-FR"/>
        </w:rPr>
        <w:t xml:space="preserve"> </w:t>
      </w:r>
      <w:r w:rsidRPr="00185711">
        <w:rPr>
          <w:lang w:val="fr-FR"/>
        </w:rPr>
        <w:t>Décision 14/34, annexe.</w:t>
      </w:r>
    </w:p>
  </w:footnote>
  <w:footnote w:id="9">
    <w:p w14:paraId="57959F9B" w14:textId="565B44C1" w:rsidR="00E754EE" w:rsidRPr="006E0D05" w:rsidRDefault="00E754EE" w:rsidP="009F6D3C">
      <w:pPr>
        <w:pStyle w:val="FootnoteText"/>
        <w:ind w:firstLine="0"/>
        <w:rPr>
          <w:lang w:val="fr-FR"/>
        </w:rPr>
      </w:pPr>
      <w:r w:rsidRPr="009F6D3C">
        <w:rPr>
          <w:rStyle w:val="FootnoteReference"/>
          <w:u w:val="none"/>
          <w:vertAlign w:val="superscript"/>
        </w:rPr>
        <w:footnoteRef/>
      </w:r>
      <w:r w:rsidRPr="006E0D05">
        <w:rPr>
          <w:lang w:val="fr-FR"/>
        </w:rPr>
        <w:t xml:space="preserve"> </w:t>
      </w:r>
      <w:hyperlink r:id="rId2" w:history="1">
        <w:r w:rsidRPr="006E0D05">
          <w:rPr>
            <w:rStyle w:val="Hyperlink"/>
            <w:bCs/>
            <w:lang w:val="fr-FR"/>
          </w:rPr>
          <w:t>CBD/WG2020/1/5</w:t>
        </w:r>
      </w:hyperlink>
    </w:p>
  </w:footnote>
  <w:footnote w:id="10">
    <w:p w14:paraId="1A229E9B" w14:textId="1F67A381" w:rsidR="00E754EE" w:rsidRPr="006E0D05" w:rsidRDefault="00E754EE" w:rsidP="005A3C61">
      <w:pPr>
        <w:pStyle w:val="FootnoteText"/>
        <w:spacing w:before="40" w:after="40"/>
        <w:ind w:firstLine="0"/>
        <w:rPr>
          <w:sz w:val="20"/>
          <w:szCs w:val="20"/>
          <w:lang w:val="fr-FR"/>
        </w:rPr>
      </w:pPr>
      <w:r w:rsidRPr="009F6D3C">
        <w:rPr>
          <w:rStyle w:val="FootnoteReference"/>
          <w:sz w:val="20"/>
          <w:szCs w:val="20"/>
          <w:u w:val="none"/>
          <w:vertAlign w:val="superscript"/>
        </w:rPr>
        <w:footnoteRef/>
      </w:r>
      <w:r w:rsidRPr="006E0D05">
        <w:rPr>
          <w:sz w:val="20"/>
          <w:szCs w:val="20"/>
          <w:lang w:val="fr-FR"/>
        </w:rPr>
        <w:t xml:space="preserve"> </w:t>
      </w:r>
      <w:r>
        <w:rPr>
          <w:lang w:val="fr-FR"/>
        </w:rPr>
        <w:t>Le terme « cadre mondial de la biodiversité pour l’après-2020 » est employé temporairement dans le présent document comme élément de substitution, en attendant une décision sur le nom final du cadre par la Conférence des Parties à sa quinzième réunion. De même, le mot « cadre » est employé dans tout le texte comme mot de substitution en attendant le nom final.</w:t>
      </w:r>
    </w:p>
  </w:footnote>
  <w:footnote w:id="11">
    <w:p w14:paraId="3D2B605F" w14:textId="4E7879AF" w:rsidR="00E754EE" w:rsidRPr="004A457E" w:rsidRDefault="00E754EE" w:rsidP="005A3C61">
      <w:pPr>
        <w:pStyle w:val="FootnoteText"/>
        <w:spacing w:before="40" w:after="40"/>
        <w:ind w:firstLine="0"/>
        <w:rPr>
          <w:szCs w:val="18"/>
          <w:lang w:val="fr-FR"/>
        </w:rPr>
      </w:pPr>
      <w:r w:rsidRPr="004A457E">
        <w:rPr>
          <w:rStyle w:val="FootnoteReference"/>
          <w:szCs w:val="18"/>
          <w:u w:val="none"/>
          <w:vertAlign w:val="superscript"/>
        </w:rPr>
        <w:footnoteRef/>
      </w:r>
      <w:r w:rsidRPr="006E0D05">
        <w:rPr>
          <w:szCs w:val="18"/>
          <w:lang w:val="fr-FR"/>
        </w:rPr>
        <w:t xml:space="preserve"> </w:t>
      </w:r>
      <w:r w:rsidRPr="004A457E">
        <w:rPr>
          <w:kern w:val="22"/>
          <w:szCs w:val="18"/>
          <w:lang w:val="fr-FR"/>
        </w:rPr>
        <w:t>Un cadre de suivi fournit des informations supplémentaires sur les bases de données de référence et les étapes pour les éléments des objectifs (appendice 1 ; voir CBD/WG2020/2/</w:t>
      </w:r>
      <w:r w:rsidR="00414CF9">
        <w:rPr>
          <w:kern w:val="22"/>
          <w:szCs w:val="18"/>
          <w:lang w:val="fr-FR"/>
        </w:rPr>
        <w:t>3</w:t>
      </w:r>
      <w:r w:rsidRPr="004A457E">
        <w:rPr>
          <w:kern w:val="22"/>
          <w:szCs w:val="18"/>
          <w:lang w:val="fr-FR"/>
        </w:rPr>
        <w:t>/Add.1).</w:t>
      </w:r>
    </w:p>
  </w:footnote>
  <w:footnote w:id="12">
    <w:p w14:paraId="441D01F7" w14:textId="6C4867E1" w:rsidR="00E754EE" w:rsidRPr="007C59FB" w:rsidRDefault="00E754EE" w:rsidP="005A3C61">
      <w:pPr>
        <w:pStyle w:val="Para1"/>
        <w:spacing w:before="40" w:after="40"/>
        <w:rPr>
          <w:sz w:val="18"/>
          <w:lang w:val="fr-FR"/>
        </w:rPr>
      </w:pPr>
      <w:r w:rsidRPr="007C59FB">
        <w:rPr>
          <w:rStyle w:val="FootnoteReference"/>
          <w:u w:val="none"/>
          <w:vertAlign w:val="superscript"/>
        </w:rPr>
        <w:footnoteRef/>
      </w:r>
      <w:r w:rsidRPr="006E0D05">
        <w:rPr>
          <w:sz w:val="18"/>
          <w:lang w:val="fr-FR"/>
        </w:rPr>
        <w:t xml:space="preserve"> </w:t>
      </w:r>
      <w:r w:rsidRPr="007C59FB">
        <w:rPr>
          <w:kern w:val="22"/>
          <w:sz w:val="18"/>
          <w:lang w:val="fr-FR"/>
        </w:rPr>
        <w:t>Dans la mission à l’horizon 2030, « prendre d’urgence</w:t>
      </w:r>
      <w:r w:rsidR="00D72CEC">
        <w:rPr>
          <w:kern w:val="22"/>
          <w:sz w:val="18"/>
          <w:lang w:val="fr-FR"/>
        </w:rPr>
        <w:t xml:space="preserve"> des mesures</w:t>
      </w:r>
      <w:r w:rsidRPr="007C59FB">
        <w:rPr>
          <w:kern w:val="22"/>
          <w:sz w:val="18"/>
          <w:lang w:val="fr-FR"/>
        </w:rPr>
        <w:t xml:space="preserve"> » indique la nécessité de prendre des mesures pendant la présente décennie pour faire face à la situation critique de la biodiversité. « Dans l’ensemble de la société » indique la nécessité que les mesures soient prises par toutes les parties prenantes, et de l’intégration dans tous les secteurs de la société et de l’économie. « Pour mettre la biodiversité sur la voie du rétablissement » implique la nécessité d’une approche positive, axée sur l’action, et d’une action concertée et stratégique sur toute une gamme de questions. Cela implique aussi la nécessité d’une stabilisation du rythme de perte de biodiversité et de l’augmentation de la protection et de la restauration tout en reconnaissant que l’arrêt complet de la perte d’écosystèmes, d’espèces et de diversité génétique n’est pas possible avant 2030. « Au profit de la planète et des populations » souligne les éléments de la contribution de la nature aux populations ainsi que le lien solide entre la réalisation du Programme de développement durable à l’horizon 2030 et de ses Objectifs de développement durable tout en reconnaissant l’importance intrinsèque et existentielle de la biodiversité. L’échéance de 2030 signifie que cette mission est une étape sur la voie de la Vision 2050 de « vivre en harmonie avec la nature » et renforce la nécessité de </w:t>
      </w:r>
      <w:r w:rsidR="002E3DC8">
        <w:rPr>
          <w:kern w:val="22"/>
          <w:sz w:val="18"/>
          <w:lang w:val="fr-FR"/>
        </w:rPr>
        <w:t xml:space="preserve">prendre </w:t>
      </w:r>
      <w:r w:rsidRPr="007C59FB">
        <w:rPr>
          <w:kern w:val="22"/>
          <w:sz w:val="18"/>
          <w:lang w:val="fr-FR"/>
        </w:rPr>
        <w:t>d’urgence</w:t>
      </w:r>
      <w:r w:rsidR="002E3DC8">
        <w:rPr>
          <w:kern w:val="22"/>
          <w:sz w:val="18"/>
          <w:lang w:val="fr-FR"/>
        </w:rPr>
        <w:t xml:space="preserve"> des mesures</w:t>
      </w:r>
      <w:r w:rsidRPr="007C59FB">
        <w:rPr>
          <w:kern w:val="22"/>
          <w:sz w:val="18"/>
          <w:lang w:val="fr-FR"/>
        </w:rPr>
        <w:t xml:space="preserve"> au cours de la présente décennie.</w:t>
      </w:r>
    </w:p>
  </w:footnote>
  <w:footnote w:id="13">
    <w:p w14:paraId="27E13853" w14:textId="4763414F" w:rsidR="00E754EE" w:rsidRPr="004F594A" w:rsidRDefault="00E754EE" w:rsidP="005A3C61">
      <w:pPr>
        <w:pStyle w:val="Para1"/>
        <w:spacing w:before="40" w:after="40"/>
        <w:rPr>
          <w:kern w:val="22"/>
          <w:sz w:val="20"/>
          <w:szCs w:val="20"/>
          <w:lang w:val="fr-FR"/>
        </w:rPr>
      </w:pPr>
      <w:r w:rsidRPr="007C59FB">
        <w:rPr>
          <w:rStyle w:val="FootnoteReference"/>
          <w:u w:val="none"/>
          <w:vertAlign w:val="superscript"/>
          <w:lang w:val="fr-FR"/>
        </w:rPr>
        <w:footnoteRef/>
      </w:r>
      <w:r w:rsidRPr="007C59FB">
        <w:rPr>
          <w:sz w:val="18"/>
          <w:lang w:val="fr-FR"/>
        </w:rPr>
        <w:t xml:space="preserve"> </w:t>
      </w:r>
      <w:r w:rsidRPr="007C59FB">
        <w:rPr>
          <w:kern w:val="22"/>
          <w:sz w:val="18"/>
          <w:lang w:val="fr-FR"/>
        </w:rPr>
        <w:t>Les pays fixeront des objectifs et des indicateurs nationaux alignés sur ce cadre et les progrès accomplis vers les objections nationaux et mondiaux seront examinés périodiquement. Un cadre de suivi (Appendice 2 ; voir CBD/WG2020/2/</w:t>
      </w:r>
      <w:r w:rsidR="00483E56">
        <w:rPr>
          <w:kern w:val="22"/>
          <w:sz w:val="18"/>
          <w:lang w:val="fr-FR"/>
        </w:rPr>
        <w:t>3</w:t>
      </w:r>
      <w:r w:rsidRPr="007C59FB">
        <w:rPr>
          <w:kern w:val="22"/>
          <w:sz w:val="18"/>
          <w:lang w:val="fr-FR"/>
        </w:rPr>
        <w:t xml:space="preserve">/Add.1) fournit des renseignements supplémentaires sur les indicateurs des progrès accomplis dans la réalisation des cibles. </w:t>
      </w:r>
    </w:p>
    <w:p w14:paraId="063A8898" w14:textId="77777777" w:rsidR="00E754EE" w:rsidRPr="006E0D05" w:rsidRDefault="00E754EE" w:rsidP="005A3C61">
      <w:pPr>
        <w:pStyle w:val="FootnoteText"/>
        <w:spacing w:before="40" w:after="40"/>
        <w:ind w:firstLine="0"/>
        <w:rPr>
          <w:sz w:val="20"/>
          <w:szCs w:val="20"/>
          <w:lang w:val="fr-FR"/>
        </w:rPr>
      </w:pPr>
    </w:p>
  </w:footnote>
  <w:footnote w:id="14">
    <w:p w14:paraId="0E96EACA" w14:textId="2021E3D6" w:rsidR="00E754EE" w:rsidRPr="00C04892" w:rsidRDefault="00E754EE" w:rsidP="000D77C4">
      <w:pPr>
        <w:pStyle w:val="FootnoteText"/>
        <w:ind w:firstLine="0"/>
        <w:rPr>
          <w:lang w:val="fr-FR"/>
        </w:rPr>
      </w:pPr>
      <w:r w:rsidRPr="009F6D3C">
        <w:rPr>
          <w:rStyle w:val="FootnoteReference"/>
          <w:u w:val="none"/>
          <w:vertAlign w:val="superscript"/>
        </w:rPr>
        <w:footnoteRef/>
      </w:r>
      <w:r w:rsidRPr="006E0D05">
        <w:rPr>
          <w:lang w:val="fr-FR"/>
        </w:rPr>
        <w:t xml:space="preserve"> </w:t>
      </w:r>
      <w:r w:rsidRPr="00C04892">
        <w:rPr>
          <w:lang w:val="fr-FR"/>
        </w:rPr>
        <w:t>Cette cible ne préjuge en rien des résultats des consultations thématiques sur la mobili</w:t>
      </w:r>
      <w:r>
        <w:rPr>
          <w:lang w:val="fr-FR"/>
        </w:rPr>
        <w:t>s</w:t>
      </w:r>
      <w:r w:rsidRPr="00C04892">
        <w:rPr>
          <w:lang w:val="fr-FR"/>
        </w:rPr>
        <w:t>ation des ressources et le renforcement des capacités</w:t>
      </w:r>
      <w:r>
        <w:rPr>
          <w:lang w:val="fr-FR"/>
        </w:rPr>
        <w:t>, ou de toute recommandation adoptée par l’Organe subsidiaire chargé de l’application à sa troisième réunion.</w:t>
      </w:r>
    </w:p>
  </w:footnote>
  <w:footnote w:id="15">
    <w:p w14:paraId="4EBA0A5E" w14:textId="6A05A660" w:rsidR="00E754EE" w:rsidRPr="004A1E31" w:rsidRDefault="00E754EE" w:rsidP="001E0ACB">
      <w:pPr>
        <w:pStyle w:val="FootnoteText"/>
        <w:spacing w:after="0"/>
        <w:ind w:firstLine="0"/>
        <w:rPr>
          <w:szCs w:val="18"/>
          <w:lang w:val="fr-FR"/>
        </w:rPr>
      </w:pPr>
      <w:r w:rsidRPr="004A1E31">
        <w:rPr>
          <w:rStyle w:val="FootnoteReference"/>
          <w:szCs w:val="18"/>
          <w:u w:val="none"/>
          <w:vertAlign w:val="superscript"/>
          <w:lang w:val="fr-FR"/>
        </w:rPr>
        <w:footnoteRef/>
      </w:r>
      <w:r w:rsidRPr="004A1E31">
        <w:rPr>
          <w:szCs w:val="18"/>
          <w:lang w:val="fr-FR"/>
        </w:rPr>
        <w:t xml:space="preserve"> Le cadre stratégique à long terme au-delà de 2020 sera l’un des principaux mécanismes pour la fourniture de cet appui (décision 14/24).</w:t>
      </w:r>
    </w:p>
  </w:footnote>
  <w:footnote w:id="16">
    <w:p w14:paraId="522CA0D3" w14:textId="3FEE0641" w:rsidR="00E754EE" w:rsidRPr="00E754EE" w:rsidRDefault="00E754EE" w:rsidP="005A3C61">
      <w:pPr>
        <w:pStyle w:val="Para1"/>
        <w:spacing w:before="40" w:after="40"/>
        <w:rPr>
          <w:sz w:val="18"/>
          <w:lang w:val="fr-FR"/>
        </w:rPr>
      </w:pPr>
      <w:r w:rsidRPr="00E754EE">
        <w:rPr>
          <w:rStyle w:val="FootnoteReference"/>
          <w:u w:val="none"/>
          <w:vertAlign w:val="superscript"/>
        </w:rPr>
        <w:footnoteRef/>
      </w:r>
      <w:r w:rsidRPr="006E0D05">
        <w:rPr>
          <w:rFonts w:eastAsia="Malgun Gothic"/>
          <w:i/>
          <w:kern w:val="22"/>
          <w:sz w:val="18"/>
          <w:lang w:val="fr-FR"/>
        </w:rPr>
        <w:t xml:space="preserve"> </w:t>
      </w:r>
      <w:r w:rsidRPr="00E754EE">
        <w:rPr>
          <w:rFonts w:eastAsia="Malgun Gothic"/>
          <w:kern w:val="22"/>
          <w:sz w:val="18"/>
          <w:lang w:val="fr-FR"/>
        </w:rPr>
        <w:t xml:space="preserve">Les questions relatives à la transparence de la mise œuvre, du suivi, des rapports et de l’évaluation du cadre mondial de la biodiversité pour l’après-2020 seront examinées au cours d’une consultation thématique et pendant la troisième réunion de l’Organe subsidiaire chargé de l’application. Cette section du cadre sera mise à jour pour tenir compte des résultats de ces processus. </w:t>
      </w:r>
    </w:p>
  </w:footnote>
  <w:footnote w:id="17">
    <w:p w14:paraId="15228EFA" w14:textId="4AB2CF40" w:rsidR="00E754EE" w:rsidRPr="004A1E31" w:rsidRDefault="00E754EE" w:rsidP="004A4564">
      <w:pPr>
        <w:pStyle w:val="Para1"/>
        <w:spacing w:before="0" w:after="0"/>
        <w:rPr>
          <w:sz w:val="20"/>
          <w:szCs w:val="20"/>
          <w:lang w:val="fr-FR"/>
        </w:rPr>
      </w:pPr>
      <w:r w:rsidRPr="00E754EE">
        <w:rPr>
          <w:rStyle w:val="FootnoteReference"/>
          <w:u w:val="none"/>
          <w:vertAlign w:val="superscript"/>
          <w:lang w:val="fr-FR"/>
        </w:rPr>
        <w:footnoteRef/>
      </w:r>
      <w:r w:rsidRPr="00E754EE">
        <w:rPr>
          <w:sz w:val="18"/>
          <w:lang w:val="fr-FR"/>
        </w:rPr>
        <w:t xml:space="preserve"> </w:t>
      </w:r>
      <w:r w:rsidRPr="00E754EE">
        <w:rPr>
          <w:kern w:val="22"/>
          <w:sz w:val="18"/>
          <w:lang w:val="fr-FR"/>
        </w:rPr>
        <w:t xml:space="preserve">Le cadre pourrait être </w:t>
      </w:r>
      <w:r w:rsidR="00D92DC3">
        <w:rPr>
          <w:kern w:val="22"/>
          <w:sz w:val="18"/>
          <w:lang w:val="fr-FR"/>
        </w:rPr>
        <w:t>soutenu</w:t>
      </w:r>
      <w:r w:rsidRPr="00E754EE">
        <w:rPr>
          <w:kern w:val="22"/>
          <w:sz w:val="18"/>
          <w:lang w:val="fr-FR"/>
        </w:rPr>
        <w:t xml:space="preserve"> par des mécanismes de responsabilité et de transparence additionnels qui </w:t>
      </w:r>
      <w:r>
        <w:rPr>
          <w:kern w:val="22"/>
          <w:sz w:val="18"/>
          <w:lang w:val="fr-FR"/>
        </w:rPr>
        <w:t>assureront le suivi de</w:t>
      </w:r>
      <w:r w:rsidRPr="00E754EE">
        <w:rPr>
          <w:kern w:val="22"/>
          <w:sz w:val="18"/>
          <w:lang w:val="fr-FR"/>
        </w:rPr>
        <w:t xml:space="preserve"> sa mise en œuvre</w:t>
      </w:r>
      <w:r w:rsidR="00D92DC3">
        <w:rPr>
          <w:kern w:val="22"/>
          <w:sz w:val="18"/>
          <w:lang w:val="fr-FR"/>
        </w:rPr>
        <w:t xml:space="preserve"> par le biais des décisions de la Conférence des Parties. L’Organe subsidiaire chargé de l’application pourrait fournir des orientations sur ces mécanismes à sa troisième réunion en réponse aux mandats donnés par la Conférence des Parties</w:t>
      </w:r>
      <w:r w:rsidRPr="00E754EE">
        <w:rPr>
          <w:kern w:val="22"/>
          <w:sz w:val="18"/>
          <w:lang w:val="fr-FR"/>
        </w:rPr>
        <w:t>.</w:t>
      </w:r>
    </w:p>
  </w:footnote>
  <w:footnote w:id="18">
    <w:p w14:paraId="69D3DBDE" w14:textId="7B300926" w:rsidR="00E754EE" w:rsidRPr="007B75E8" w:rsidRDefault="00E754EE" w:rsidP="00352911">
      <w:pPr>
        <w:pStyle w:val="ListParagraph"/>
        <w:keepNext/>
        <w:tabs>
          <w:tab w:val="left" w:pos="284"/>
        </w:tabs>
        <w:spacing w:after="60"/>
        <w:ind w:left="0"/>
        <w:outlineLvl w:val="0"/>
        <w:rPr>
          <w:sz w:val="20"/>
          <w:szCs w:val="20"/>
          <w:lang w:val="fr-FR"/>
        </w:rPr>
      </w:pPr>
      <w:r w:rsidRPr="007B75E8">
        <w:rPr>
          <w:rStyle w:val="FootnoteReference"/>
          <w:sz w:val="20"/>
          <w:szCs w:val="20"/>
          <w:u w:val="none"/>
          <w:vertAlign w:val="superscript"/>
          <w:lang w:val="fr-FR"/>
        </w:rPr>
        <w:footnoteRef/>
      </w:r>
      <w:r w:rsidRPr="007B75E8">
        <w:rPr>
          <w:sz w:val="20"/>
          <w:szCs w:val="20"/>
          <w:lang w:val="fr-FR"/>
        </w:rPr>
        <w:t xml:space="preserve"> </w:t>
      </w:r>
      <w:r w:rsidR="007B75E8" w:rsidRPr="007B75E8">
        <w:rPr>
          <w:kern w:val="22"/>
          <w:sz w:val="18"/>
          <w:szCs w:val="18"/>
          <w:lang w:val="fr-FR"/>
        </w:rPr>
        <w:t xml:space="preserve">La mise en </w:t>
      </w:r>
      <w:r w:rsidR="007B75E8">
        <w:rPr>
          <w:kern w:val="22"/>
          <w:sz w:val="18"/>
          <w:szCs w:val="18"/>
          <w:lang w:val="fr-FR"/>
        </w:rPr>
        <w:t>œuvre</w:t>
      </w:r>
      <w:r w:rsidR="007B75E8" w:rsidRPr="007B75E8">
        <w:rPr>
          <w:kern w:val="22"/>
          <w:sz w:val="18"/>
          <w:szCs w:val="18"/>
          <w:lang w:val="fr-FR"/>
        </w:rPr>
        <w:t xml:space="preserve"> du cadre mondial de la biodiversité</w:t>
      </w:r>
      <w:r w:rsidR="007B75E8">
        <w:rPr>
          <w:kern w:val="22"/>
          <w:sz w:val="18"/>
          <w:szCs w:val="18"/>
          <w:lang w:val="fr-FR"/>
        </w:rPr>
        <w:t xml:space="preserve"> pour l’après-2020 sera soutenue par une stratégie de communication cohérente, complète et innovatrice. Dans la décision </w:t>
      </w:r>
      <w:r w:rsidRPr="007B75E8">
        <w:rPr>
          <w:sz w:val="18"/>
          <w:szCs w:val="18"/>
          <w:lang w:val="fr-FR"/>
        </w:rPr>
        <w:t xml:space="preserve">14/34, </w:t>
      </w:r>
      <w:r w:rsidR="007B75E8">
        <w:rPr>
          <w:sz w:val="18"/>
          <w:szCs w:val="18"/>
          <w:lang w:val="fr-FR"/>
        </w:rPr>
        <w:t>la Conférence des Parties a décidé que</w:t>
      </w:r>
      <w:r w:rsidR="009D3EA5">
        <w:rPr>
          <w:sz w:val="18"/>
          <w:szCs w:val="18"/>
          <w:lang w:val="fr-FR"/>
        </w:rPr>
        <w:t xml:space="preserve"> le cadre mondial de la biodiversité pour l’après-2020</w:t>
      </w:r>
      <w:r w:rsidR="007B75E8">
        <w:rPr>
          <w:sz w:val="18"/>
          <w:szCs w:val="18"/>
          <w:lang w:val="fr-FR"/>
        </w:rPr>
        <w:t xml:space="preserve"> </w:t>
      </w:r>
      <w:r w:rsidR="00352911" w:rsidRPr="00352911">
        <w:rPr>
          <w:sz w:val="18"/>
          <w:szCs w:val="18"/>
          <w:lang w:val="fr-FR"/>
        </w:rPr>
        <w:t>devrait être accompagné d’une mission inspirante et motivante à l’horizon 2030, comme première étape vers la réalisation de la vision 2050</w:t>
      </w:r>
      <w:r w:rsidR="00352911">
        <w:rPr>
          <w:sz w:val="18"/>
          <w:szCs w:val="18"/>
          <w:lang w:val="fr-FR"/>
        </w:rPr>
        <w:t xml:space="preserve"> de « vivre en harmonie avec la nature »</w:t>
      </w:r>
      <w:r w:rsidR="00352911" w:rsidRPr="00352911">
        <w:rPr>
          <w:sz w:val="18"/>
          <w:szCs w:val="18"/>
          <w:lang w:val="fr-FR"/>
        </w:rPr>
        <w:t>, qui reposera sur une stratégie de communication cohérente, complète et innovante</w:t>
      </w:r>
      <w:r w:rsidRPr="00352911">
        <w:rPr>
          <w:sz w:val="18"/>
          <w:szCs w:val="18"/>
          <w:lang w:val="fr-FR"/>
        </w:rPr>
        <w:t>.</w:t>
      </w:r>
    </w:p>
  </w:footnote>
  <w:footnote w:id="19">
    <w:p w14:paraId="3027CA44" w14:textId="3E2DAEA1" w:rsidR="00E754EE" w:rsidRPr="00352911" w:rsidRDefault="00E754EE" w:rsidP="00352911">
      <w:pPr>
        <w:pStyle w:val="FootnoteText"/>
        <w:ind w:firstLine="0"/>
        <w:rPr>
          <w:szCs w:val="18"/>
          <w:lang w:val="fr-FR"/>
        </w:rPr>
      </w:pPr>
      <w:r w:rsidRPr="00352911">
        <w:rPr>
          <w:rStyle w:val="FootnoteReference"/>
          <w:szCs w:val="18"/>
          <w:u w:val="none"/>
          <w:vertAlign w:val="superscript"/>
          <w:lang w:val="fr-FR"/>
        </w:rPr>
        <w:footnoteRef/>
      </w:r>
      <w:r w:rsidRPr="00352911">
        <w:rPr>
          <w:szCs w:val="18"/>
          <w:vertAlign w:val="superscript"/>
          <w:lang w:val="fr-FR"/>
        </w:rPr>
        <w:t xml:space="preserve"> </w:t>
      </w:r>
      <w:r w:rsidRPr="00352911">
        <w:rPr>
          <w:rFonts w:eastAsia="Malgun Gothic"/>
          <w:kern w:val="22"/>
          <w:szCs w:val="18"/>
          <w:lang w:val="fr-FR"/>
        </w:rPr>
        <w:t>Voir CBD/WG2020/2/</w:t>
      </w:r>
      <w:r w:rsidR="00FE6E5A">
        <w:rPr>
          <w:rFonts w:eastAsia="Malgun Gothic"/>
          <w:kern w:val="22"/>
          <w:szCs w:val="18"/>
          <w:lang w:val="fr-FR"/>
        </w:rPr>
        <w:t>3</w:t>
      </w:r>
      <w:r w:rsidRPr="00352911">
        <w:rPr>
          <w:rFonts w:eastAsia="Malgun Gothic"/>
          <w:kern w:val="22"/>
          <w:szCs w:val="18"/>
          <w:lang w:val="fr-FR"/>
        </w:rPr>
        <w:t>/A</w:t>
      </w:r>
      <w:r w:rsidR="00FE6E5A">
        <w:rPr>
          <w:rFonts w:eastAsia="Malgun Gothic"/>
          <w:kern w:val="22"/>
          <w:szCs w:val="18"/>
          <w:lang w:val="fr-FR"/>
        </w:rPr>
        <w:t>dd</w:t>
      </w:r>
      <w:r w:rsidRPr="00352911">
        <w:rPr>
          <w:rFonts w:eastAsia="Malgun Gothic"/>
          <w:kern w:val="22"/>
          <w:szCs w:val="18"/>
          <w:lang w:val="fr-FR"/>
        </w:rPr>
        <w:t>.1</w:t>
      </w:r>
    </w:p>
  </w:footnote>
  <w:footnote w:id="20">
    <w:p w14:paraId="7FA6C5B0" w14:textId="2061420E" w:rsidR="00E754EE" w:rsidRPr="00910996" w:rsidRDefault="00E754EE" w:rsidP="004F42EA">
      <w:pPr>
        <w:pStyle w:val="FootnoteText"/>
        <w:ind w:firstLine="0"/>
        <w:rPr>
          <w:szCs w:val="18"/>
          <w:lang w:val="fr-FR"/>
        </w:rPr>
      </w:pPr>
      <w:r w:rsidRPr="00910996">
        <w:rPr>
          <w:rStyle w:val="FootnoteReference"/>
          <w:szCs w:val="18"/>
          <w:u w:val="none"/>
          <w:vertAlign w:val="superscript"/>
          <w:lang w:val="fr-FR"/>
        </w:rPr>
        <w:footnoteRef/>
      </w:r>
      <w:r w:rsidRPr="00910996">
        <w:rPr>
          <w:szCs w:val="18"/>
          <w:lang w:val="fr-FR"/>
        </w:rPr>
        <w:t xml:space="preserve"> Il est envisagé que les Parties aux Protocoles de Cartagena et de Nagoya adopteront également des décisions relatives au cadre mondial de la biodiversité pour l’après-2020. </w:t>
      </w:r>
    </w:p>
  </w:footnote>
  <w:footnote w:id="21">
    <w:p w14:paraId="3BFADC4F" w14:textId="234D2359" w:rsidR="00E754EE" w:rsidRPr="00093A68" w:rsidRDefault="00E754EE" w:rsidP="005A3C61">
      <w:pPr>
        <w:pStyle w:val="FootnoteText"/>
        <w:spacing w:before="40" w:after="40"/>
        <w:ind w:firstLine="0"/>
        <w:rPr>
          <w:sz w:val="20"/>
          <w:szCs w:val="20"/>
          <w:lang w:val="fr-FR"/>
        </w:rPr>
      </w:pPr>
      <w:r w:rsidRPr="00910996">
        <w:rPr>
          <w:rStyle w:val="FootnoteReference"/>
          <w:szCs w:val="18"/>
          <w:u w:val="none"/>
          <w:vertAlign w:val="superscript"/>
          <w:lang w:val="fr-FR"/>
        </w:rPr>
        <w:footnoteRef/>
      </w:r>
      <w:r w:rsidRPr="00910996">
        <w:rPr>
          <w:szCs w:val="18"/>
          <w:lang w:val="fr-FR"/>
        </w:rPr>
        <w:t xml:space="preserve"> Celui-ci sera élaboré par l’Organe subsidiaire chargé de l’application à sa troisième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77777777" w:rsidR="00E754EE" w:rsidRDefault="00E754EE" w:rsidP="00247B64">
    <w:pPr>
      <w:pStyle w:val="Header"/>
      <w:tabs>
        <w:tab w:val="clear" w:pos="4320"/>
        <w:tab w:val="clear" w:pos="8640"/>
      </w:tabs>
      <w:jc w:val="left"/>
      <w:rPr>
        <w:noProof/>
        <w:kern w:val="22"/>
      </w:rPr>
    </w:pPr>
    <w:r w:rsidRPr="00037E8A">
      <w:rPr>
        <w:noProof/>
        <w:kern w:val="22"/>
      </w:rPr>
      <w:t>CBD/WG2020/2/3</w:t>
    </w:r>
  </w:p>
  <w:p w14:paraId="22E207C7" w14:textId="38433AEF" w:rsidR="00E754EE" w:rsidRPr="005440A6" w:rsidRDefault="00E754EE">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E1F38">
      <w:rPr>
        <w:noProof/>
        <w:kern w:val="22"/>
      </w:rPr>
      <w:t>12</w:t>
    </w:r>
    <w:r w:rsidRPr="005440A6">
      <w:rPr>
        <w:noProof/>
        <w:kern w:val="22"/>
      </w:rPr>
      <w:fldChar w:fldCharType="end"/>
    </w:r>
  </w:p>
  <w:p w14:paraId="54510F7E" w14:textId="77777777" w:rsidR="00E754EE" w:rsidRPr="005440A6" w:rsidRDefault="00E754EE">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2068" w14:textId="77777777" w:rsidR="00E754EE" w:rsidRPr="005440A6" w:rsidRDefault="00E754EE">
    <w:pPr>
      <w:pStyle w:val="Header"/>
      <w:tabs>
        <w:tab w:val="clear" w:pos="4320"/>
        <w:tab w:val="clear" w:pos="8640"/>
      </w:tabs>
      <w:jc w:val="right"/>
      <w:rPr>
        <w:noProof/>
        <w:kern w:val="22"/>
      </w:rPr>
    </w:pPr>
    <w:r w:rsidRPr="00037E8A">
      <w:rPr>
        <w:noProof/>
        <w:kern w:val="22"/>
      </w:rPr>
      <w:t>CBD/WG2020/2/3</w:t>
    </w:r>
  </w:p>
  <w:p w14:paraId="272A2401" w14:textId="59AF6FCE" w:rsidR="00E754EE" w:rsidRPr="005440A6" w:rsidRDefault="00E754EE">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E1F38">
      <w:rPr>
        <w:noProof/>
        <w:kern w:val="22"/>
      </w:rPr>
      <w:t>11</w:t>
    </w:r>
    <w:r w:rsidRPr="005440A6">
      <w:rPr>
        <w:noProof/>
        <w:kern w:val="22"/>
      </w:rPr>
      <w:fldChar w:fldCharType="end"/>
    </w:r>
  </w:p>
  <w:p w14:paraId="16B3F556" w14:textId="77777777" w:rsidR="00E754EE" w:rsidRPr="005440A6" w:rsidRDefault="00E754E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CB79F4"/>
    <w:multiLevelType w:val="multilevel"/>
    <w:tmpl w:val="8C1464D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iCs/>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45FA1"/>
    <w:multiLevelType w:val="multilevel"/>
    <w:tmpl w:val="BEEC0F9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ascii="Times New Roman" w:eastAsia="Times New Roman" w:hAnsi="Times New Roman"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69220B"/>
    <w:multiLevelType w:val="hybridMultilevel"/>
    <w:tmpl w:val="0A30442C"/>
    <w:lvl w:ilvl="0" w:tplc="41F268F0">
      <w:start w:val="1"/>
      <w:numFmt w:val="upperLetter"/>
      <w:lvlText w:val="%1."/>
      <w:lvlJc w:val="left"/>
      <w:pPr>
        <w:ind w:left="720" w:hanging="360"/>
      </w:pPr>
      <w:rPr>
        <w:rFonts w:hint="default"/>
        <w:b/>
      </w:rPr>
    </w:lvl>
    <w:lvl w:ilvl="1" w:tplc="3B3CDA6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0"/>
  </w:num>
  <w:num w:numId="4">
    <w:abstractNumId w:val="15"/>
  </w:num>
  <w:num w:numId="5">
    <w:abstractNumId w:val="0"/>
  </w:num>
  <w:num w:numId="6">
    <w:abstractNumId w:val="13"/>
  </w:num>
  <w:num w:numId="7">
    <w:abstractNumId w:val="1"/>
  </w:num>
  <w:num w:numId="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7"/>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3"/>
  </w:num>
  <w:num w:numId="45">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3"/>
  </w:num>
  <w:num w:numId="48">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7"/>
    <w:rsid w:val="00001D26"/>
    <w:rsid w:val="00002B7E"/>
    <w:rsid w:val="00006FF2"/>
    <w:rsid w:val="000073D2"/>
    <w:rsid w:val="0001208E"/>
    <w:rsid w:val="00012605"/>
    <w:rsid w:val="00014384"/>
    <w:rsid w:val="000162FB"/>
    <w:rsid w:val="0002075A"/>
    <w:rsid w:val="000209A7"/>
    <w:rsid w:val="000215B7"/>
    <w:rsid w:val="000219AC"/>
    <w:rsid w:val="00022AF2"/>
    <w:rsid w:val="000230E7"/>
    <w:rsid w:val="0002382D"/>
    <w:rsid w:val="00023AFE"/>
    <w:rsid w:val="00025C80"/>
    <w:rsid w:val="0003032B"/>
    <w:rsid w:val="00031D24"/>
    <w:rsid w:val="00034222"/>
    <w:rsid w:val="00035AC8"/>
    <w:rsid w:val="00036152"/>
    <w:rsid w:val="00037873"/>
    <w:rsid w:val="00037E8A"/>
    <w:rsid w:val="00040294"/>
    <w:rsid w:val="00041A2A"/>
    <w:rsid w:val="000433E8"/>
    <w:rsid w:val="00044481"/>
    <w:rsid w:val="00044971"/>
    <w:rsid w:val="00045CD4"/>
    <w:rsid w:val="00045D5A"/>
    <w:rsid w:val="00050499"/>
    <w:rsid w:val="0005066A"/>
    <w:rsid w:val="000516F2"/>
    <w:rsid w:val="000518A3"/>
    <w:rsid w:val="00054381"/>
    <w:rsid w:val="0005569A"/>
    <w:rsid w:val="000558E2"/>
    <w:rsid w:val="0005619E"/>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4491"/>
    <w:rsid w:val="00075C6A"/>
    <w:rsid w:val="00077AFA"/>
    <w:rsid w:val="000823A3"/>
    <w:rsid w:val="00082B19"/>
    <w:rsid w:val="0008437A"/>
    <w:rsid w:val="00084B1C"/>
    <w:rsid w:val="00087C20"/>
    <w:rsid w:val="00090597"/>
    <w:rsid w:val="00093A68"/>
    <w:rsid w:val="0009426C"/>
    <w:rsid w:val="00095B84"/>
    <w:rsid w:val="00095E03"/>
    <w:rsid w:val="000A11E3"/>
    <w:rsid w:val="000A5625"/>
    <w:rsid w:val="000A7241"/>
    <w:rsid w:val="000A72F4"/>
    <w:rsid w:val="000B1386"/>
    <w:rsid w:val="000B25ED"/>
    <w:rsid w:val="000B2C19"/>
    <w:rsid w:val="000B4829"/>
    <w:rsid w:val="000B4AE6"/>
    <w:rsid w:val="000B6637"/>
    <w:rsid w:val="000C00B3"/>
    <w:rsid w:val="000C1F09"/>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0F7E08"/>
    <w:rsid w:val="00100181"/>
    <w:rsid w:val="00101003"/>
    <w:rsid w:val="00103180"/>
    <w:rsid w:val="00104D12"/>
    <w:rsid w:val="001052AE"/>
    <w:rsid w:val="00111DBA"/>
    <w:rsid w:val="00111F71"/>
    <w:rsid w:val="001121AF"/>
    <w:rsid w:val="0011249C"/>
    <w:rsid w:val="0012214B"/>
    <w:rsid w:val="0012527A"/>
    <w:rsid w:val="00126D30"/>
    <w:rsid w:val="001278D6"/>
    <w:rsid w:val="00131B2B"/>
    <w:rsid w:val="00133332"/>
    <w:rsid w:val="00133BA4"/>
    <w:rsid w:val="00134093"/>
    <w:rsid w:val="00134166"/>
    <w:rsid w:val="00136151"/>
    <w:rsid w:val="001371BC"/>
    <w:rsid w:val="00140BB2"/>
    <w:rsid w:val="001426D3"/>
    <w:rsid w:val="001428FA"/>
    <w:rsid w:val="00145383"/>
    <w:rsid w:val="00146825"/>
    <w:rsid w:val="001504E3"/>
    <w:rsid w:val="00151F1E"/>
    <w:rsid w:val="00156187"/>
    <w:rsid w:val="0015704C"/>
    <w:rsid w:val="00160026"/>
    <w:rsid w:val="00163856"/>
    <w:rsid w:val="00166367"/>
    <w:rsid w:val="001667E3"/>
    <w:rsid w:val="001672B6"/>
    <w:rsid w:val="00167304"/>
    <w:rsid w:val="00170620"/>
    <w:rsid w:val="0017194C"/>
    <w:rsid w:val="00172099"/>
    <w:rsid w:val="001727B7"/>
    <w:rsid w:val="001750B0"/>
    <w:rsid w:val="00176C31"/>
    <w:rsid w:val="00176CB1"/>
    <w:rsid w:val="001771D5"/>
    <w:rsid w:val="00180BCB"/>
    <w:rsid w:val="00183241"/>
    <w:rsid w:val="00185711"/>
    <w:rsid w:val="00186C84"/>
    <w:rsid w:val="00187EAC"/>
    <w:rsid w:val="001919C1"/>
    <w:rsid w:val="00192E06"/>
    <w:rsid w:val="00194CA4"/>
    <w:rsid w:val="00195754"/>
    <w:rsid w:val="00195877"/>
    <w:rsid w:val="00196DA0"/>
    <w:rsid w:val="001A12D3"/>
    <w:rsid w:val="001A19AA"/>
    <w:rsid w:val="001A39F7"/>
    <w:rsid w:val="001A429C"/>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5240"/>
    <w:rsid w:val="001C5A17"/>
    <w:rsid w:val="001C62C5"/>
    <w:rsid w:val="001C7124"/>
    <w:rsid w:val="001C772A"/>
    <w:rsid w:val="001C7F8A"/>
    <w:rsid w:val="001D0621"/>
    <w:rsid w:val="001D0671"/>
    <w:rsid w:val="001D13BB"/>
    <w:rsid w:val="001D2945"/>
    <w:rsid w:val="001D325E"/>
    <w:rsid w:val="001D4F16"/>
    <w:rsid w:val="001E0ACB"/>
    <w:rsid w:val="001E33AA"/>
    <w:rsid w:val="001E5A1B"/>
    <w:rsid w:val="001E740C"/>
    <w:rsid w:val="001E7BF3"/>
    <w:rsid w:val="001F1A2E"/>
    <w:rsid w:val="001F4077"/>
    <w:rsid w:val="001F4D11"/>
    <w:rsid w:val="001F54C9"/>
    <w:rsid w:val="001F6379"/>
    <w:rsid w:val="001F76AB"/>
    <w:rsid w:val="00202511"/>
    <w:rsid w:val="00204415"/>
    <w:rsid w:val="00205279"/>
    <w:rsid w:val="00207712"/>
    <w:rsid w:val="00207A6E"/>
    <w:rsid w:val="0021010A"/>
    <w:rsid w:val="0021077E"/>
    <w:rsid w:val="00212351"/>
    <w:rsid w:val="00214049"/>
    <w:rsid w:val="002208AA"/>
    <w:rsid w:val="002208EE"/>
    <w:rsid w:val="00224541"/>
    <w:rsid w:val="00224B92"/>
    <w:rsid w:val="00224BDC"/>
    <w:rsid w:val="002254E1"/>
    <w:rsid w:val="0022568F"/>
    <w:rsid w:val="00226E20"/>
    <w:rsid w:val="00227813"/>
    <w:rsid w:val="00230CF8"/>
    <w:rsid w:val="00231DD5"/>
    <w:rsid w:val="00232BF0"/>
    <w:rsid w:val="00234F50"/>
    <w:rsid w:val="002357E1"/>
    <w:rsid w:val="00241682"/>
    <w:rsid w:val="002429D1"/>
    <w:rsid w:val="00242FCC"/>
    <w:rsid w:val="0024338B"/>
    <w:rsid w:val="00243F6B"/>
    <w:rsid w:val="0024410E"/>
    <w:rsid w:val="002464FC"/>
    <w:rsid w:val="0024748C"/>
    <w:rsid w:val="00247945"/>
    <w:rsid w:val="00247B64"/>
    <w:rsid w:val="002502A2"/>
    <w:rsid w:val="00251BA1"/>
    <w:rsid w:val="00252897"/>
    <w:rsid w:val="00252B79"/>
    <w:rsid w:val="0025400C"/>
    <w:rsid w:val="00257A1F"/>
    <w:rsid w:val="002617A4"/>
    <w:rsid w:val="00265097"/>
    <w:rsid w:val="002651A7"/>
    <w:rsid w:val="00267DF1"/>
    <w:rsid w:val="00270D0A"/>
    <w:rsid w:val="00270E7F"/>
    <w:rsid w:val="00273783"/>
    <w:rsid w:val="00273EDF"/>
    <w:rsid w:val="0027494C"/>
    <w:rsid w:val="00274EFB"/>
    <w:rsid w:val="0028205D"/>
    <w:rsid w:val="002841B3"/>
    <w:rsid w:val="002847FB"/>
    <w:rsid w:val="00284F28"/>
    <w:rsid w:val="002854B0"/>
    <w:rsid w:val="002866C1"/>
    <w:rsid w:val="002879A6"/>
    <w:rsid w:val="002909AF"/>
    <w:rsid w:val="0029239B"/>
    <w:rsid w:val="00292622"/>
    <w:rsid w:val="00294E29"/>
    <w:rsid w:val="00295B31"/>
    <w:rsid w:val="002A088B"/>
    <w:rsid w:val="002A1D55"/>
    <w:rsid w:val="002A4C09"/>
    <w:rsid w:val="002A60F3"/>
    <w:rsid w:val="002A6943"/>
    <w:rsid w:val="002A6B52"/>
    <w:rsid w:val="002B0942"/>
    <w:rsid w:val="002B0B78"/>
    <w:rsid w:val="002B1B51"/>
    <w:rsid w:val="002B21EE"/>
    <w:rsid w:val="002B5E5E"/>
    <w:rsid w:val="002B5E7B"/>
    <w:rsid w:val="002B66D3"/>
    <w:rsid w:val="002B7A2D"/>
    <w:rsid w:val="002C1100"/>
    <w:rsid w:val="002C1523"/>
    <w:rsid w:val="002C17FB"/>
    <w:rsid w:val="002C35D3"/>
    <w:rsid w:val="002C3874"/>
    <w:rsid w:val="002C3C97"/>
    <w:rsid w:val="002C4BDB"/>
    <w:rsid w:val="002C54B1"/>
    <w:rsid w:val="002D1748"/>
    <w:rsid w:val="002D2A65"/>
    <w:rsid w:val="002E0627"/>
    <w:rsid w:val="002E307E"/>
    <w:rsid w:val="002E391B"/>
    <w:rsid w:val="002E3DC8"/>
    <w:rsid w:val="002E3ECF"/>
    <w:rsid w:val="002E55D1"/>
    <w:rsid w:val="002F076E"/>
    <w:rsid w:val="002F114F"/>
    <w:rsid w:val="002F15A8"/>
    <w:rsid w:val="002F5A8F"/>
    <w:rsid w:val="002F64BF"/>
    <w:rsid w:val="00300A3D"/>
    <w:rsid w:val="0030541F"/>
    <w:rsid w:val="00305921"/>
    <w:rsid w:val="0030782B"/>
    <w:rsid w:val="00307E5F"/>
    <w:rsid w:val="00307E87"/>
    <w:rsid w:val="00312A48"/>
    <w:rsid w:val="00313EB1"/>
    <w:rsid w:val="00317ED1"/>
    <w:rsid w:val="003210FF"/>
    <w:rsid w:val="0032145B"/>
    <w:rsid w:val="00323E87"/>
    <w:rsid w:val="003240BA"/>
    <w:rsid w:val="00324BE1"/>
    <w:rsid w:val="00325595"/>
    <w:rsid w:val="003258C4"/>
    <w:rsid w:val="00325DE3"/>
    <w:rsid w:val="00327E56"/>
    <w:rsid w:val="00331F06"/>
    <w:rsid w:val="00332CF6"/>
    <w:rsid w:val="00332DD7"/>
    <w:rsid w:val="0033471A"/>
    <w:rsid w:val="00335475"/>
    <w:rsid w:val="0033609E"/>
    <w:rsid w:val="00336766"/>
    <w:rsid w:val="00342D5D"/>
    <w:rsid w:val="003442C8"/>
    <w:rsid w:val="00344BD6"/>
    <w:rsid w:val="00344D05"/>
    <w:rsid w:val="00346F2E"/>
    <w:rsid w:val="00347BBA"/>
    <w:rsid w:val="0035227B"/>
    <w:rsid w:val="003528A3"/>
    <w:rsid w:val="00352911"/>
    <w:rsid w:val="00353E0E"/>
    <w:rsid w:val="00355401"/>
    <w:rsid w:val="00355A5C"/>
    <w:rsid w:val="00357194"/>
    <w:rsid w:val="00363EEC"/>
    <w:rsid w:val="003651D5"/>
    <w:rsid w:val="00370ABF"/>
    <w:rsid w:val="003715AE"/>
    <w:rsid w:val="003716BF"/>
    <w:rsid w:val="0037297E"/>
    <w:rsid w:val="00374C76"/>
    <w:rsid w:val="0037564A"/>
    <w:rsid w:val="0037689B"/>
    <w:rsid w:val="0037751A"/>
    <w:rsid w:val="0037762D"/>
    <w:rsid w:val="00381CE0"/>
    <w:rsid w:val="00385054"/>
    <w:rsid w:val="003856C9"/>
    <w:rsid w:val="0038574E"/>
    <w:rsid w:val="00386672"/>
    <w:rsid w:val="003868BB"/>
    <w:rsid w:val="00390892"/>
    <w:rsid w:val="00390EEB"/>
    <w:rsid w:val="00390F97"/>
    <w:rsid w:val="00394FB3"/>
    <w:rsid w:val="00396318"/>
    <w:rsid w:val="003963FC"/>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C5913"/>
    <w:rsid w:val="003D3632"/>
    <w:rsid w:val="003D48CE"/>
    <w:rsid w:val="003D4F39"/>
    <w:rsid w:val="003D5B5F"/>
    <w:rsid w:val="003D6B53"/>
    <w:rsid w:val="003D6FE2"/>
    <w:rsid w:val="003D7967"/>
    <w:rsid w:val="003E0333"/>
    <w:rsid w:val="003E0D17"/>
    <w:rsid w:val="003E1550"/>
    <w:rsid w:val="003E1A4C"/>
    <w:rsid w:val="003E1F38"/>
    <w:rsid w:val="003E2DAE"/>
    <w:rsid w:val="003E3DE5"/>
    <w:rsid w:val="003E62E1"/>
    <w:rsid w:val="003F1F84"/>
    <w:rsid w:val="003F1FDB"/>
    <w:rsid w:val="003F2A57"/>
    <w:rsid w:val="003F346E"/>
    <w:rsid w:val="003F5FB2"/>
    <w:rsid w:val="003F6E44"/>
    <w:rsid w:val="003F77AF"/>
    <w:rsid w:val="003F7818"/>
    <w:rsid w:val="003F79A2"/>
    <w:rsid w:val="004023FD"/>
    <w:rsid w:val="00403F2E"/>
    <w:rsid w:val="00406BC6"/>
    <w:rsid w:val="004072D7"/>
    <w:rsid w:val="004078EB"/>
    <w:rsid w:val="00411C8F"/>
    <w:rsid w:val="004130AA"/>
    <w:rsid w:val="00413339"/>
    <w:rsid w:val="004140C7"/>
    <w:rsid w:val="00414CF9"/>
    <w:rsid w:val="00416D1A"/>
    <w:rsid w:val="00416D45"/>
    <w:rsid w:val="00420886"/>
    <w:rsid w:val="00424730"/>
    <w:rsid w:val="00431140"/>
    <w:rsid w:val="004324E9"/>
    <w:rsid w:val="00434782"/>
    <w:rsid w:val="00434949"/>
    <w:rsid w:val="004351EF"/>
    <w:rsid w:val="00435EAC"/>
    <w:rsid w:val="00437429"/>
    <w:rsid w:val="00437503"/>
    <w:rsid w:val="004377E8"/>
    <w:rsid w:val="004420F6"/>
    <w:rsid w:val="00443022"/>
    <w:rsid w:val="0044424E"/>
    <w:rsid w:val="004452CA"/>
    <w:rsid w:val="004454B3"/>
    <w:rsid w:val="004465A1"/>
    <w:rsid w:val="00446F51"/>
    <w:rsid w:val="00450989"/>
    <w:rsid w:val="004514A0"/>
    <w:rsid w:val="00451D9C"/>
    <w:rsid w:val="00452D4A"/>
    <w:rsid w:val="004531E4"/>
    <w:rsid w:val="00453E93"/>
    <w:rsid w:val="004557D8"/>
    <w:rsid w:val="00455942"/>
    <w:rsid w:val="00456B82"/>
    <w:rsid w:val="0045745E"/>
    <w:rsid w:val="004619D7"/>
    <w:rsid w:val="0046540F"/>
    <w:rsid w:val="00465A8B"/>
    <w:rsid w:val="00465BD7"/>
    <w:rsid w:val="004660F3"/>
    <w:rsid w:val="004702ED"/>
    <w:rsid w:val="00472E78"/>
    <w:rsid w:val="00472E7F"/>
    <w:rsid w:val="00475F76"/>
    <w:rsid w:val="0047755C"/>
    <w:rsid w:val="00477586"/>
    <w:rsid w:val="004813D7"/>
    <w:rsid w:val="00482F7A"/>
    <w:rsid w:val="004832FF"/>
    <w:rsid w:val="00483E56"/>
    <w:rsid w:val="004859E8"/>
    <w:rsid w:val="0048624E"/>
    <w:rsid w:val="00487AEF"/>
    <w:rsid w:val="00490DB3"/>
    <w:rsid w:val="00492D17"/>
    <w:rsid w:val="00496782"/>
    <w:rsid w:val="00497F39"/>
    <w:rsid w:val="004A1E31"/>
    <w:rsid w:val="004A22EA"/>
    <w:rsid w:val="004A2699"/>
    <w:rsid w:val="004A4564"/>
    <w:rsid w:val="004A457E"/>
    <w:rsid w:val="004A4E54"/>
    <w:rsid w:val="004A714F"/>
    <w:rsid w:val="004B055A"/>
    <w:rsid w:val="004B147D"/>
    <w:rsid w:val="004B20AF"/>
    <w:rsid w:val="004B4C8D"/>
    <w:rsid w:val="004B54DA"/>
    <w:rsid w:val="004B597A"/>
    <w:rsid w:val="004B6810"/>
    <w:rsid w:val="004B68B4"/>
    <w:rsid w:val="004C1781"/>
    <w:rsid w:val="004C186D"/>
    <w:rsid w:val="004C5BC9"/>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4F594A"/>
    <w:rsid w:val="004F68CE"/>
    <w:rsid w:val="00500530"/>
    <w:rsid w:val="00500E09"/>
    <w:rsid w:val="005032C9"/>
    <w:rsid w:val="00503F1E"/>
    <w:rsid w:val="00506278"/>
    <w:rsid w:val="00507053"/>
    <w:rsid w:val="00516C26"/>
    <w:rsid w:val="0052036E"/>
    <w:rsid w:val="00523015"/>
    <w:rsid w:val="005239D6"/>
    <w:rsid w:val="00523BF0"/>
    <w:rsid w:val="00527062"/>
    <w:rsid w:val="00527DC6"/>
    <w:rsid w:val="00527F75"/>
    <w:rsid w:val="00533673"/>
    <w:rsid w:val="005336C0"/>
    <w:rsid w:val="00534759"/>
    <w:rsid w:val="00534951"/>
    <w:rsid w:val="00535BD1"/>
    <w:rsid w:val="00536973"/>
    <w:rsid w:val="0053697C"/>
    <w:rsid w:val="00536BF5"/>
    <w:rsid w:val="005370DE"/>
    <w:rsid w:val="00537C4D"/>
    <w:rsid w:val="00537C7F"/>
    <w:rsid w:val="00542025"/>
    <w:rsid w:val="00543032"/>
    <w:rsid w:val="0054359D"/>
    <w:rsid w:val="005440A6"/>
    <w:rsid w:val="00545BDD"/>
    <w:rsid w:val="00545D41"/>
    <w:rsid w:val="00545D89"/>
    <w:rsid w:val="00546306"/>
    <w:rsid w:val="0054695D"/>
    <w:rsid w:val="0055334E"/>
    <w:rsid w:val="005542B0"/>
    <w:rsid w:val="005542C7"/>
    <w:rsid w:val="00554992"/>
    <w:rsid w:val="005563C7"/>
    <w:rsid w:val="005565DA"/>
    <w:rsid w:val="00560F5F"/>
    <w:rsid w:val="005623E1"/>
    <w:rsid w:val="005637A6"/>
    <w:rsid w:val="00563A22"/>
    <w:rsid w:val="00563EB6"/>
    <w:rsid w:val="005642BE"/>
    <w:rsid w:val="0056578D"/>
    <w:rsid w:val="00570B3A"/>
    <w:rsid w:val="00571A77"/>
    <w:rsid w:val="00573006"/>
    <w:rsid w:val="005761F1"/>
    <w:rsid w:val="00576737"/>
    <w:rsid w:val="00576B2C"/>
    <w:rsid w:val="00580185"/>
    <w:rsid w:val="00580E7E"/>
    <w:rsid w:val="00581AE9"/>
    <w:rsid w:val="00587F03"/>
    <w:rsid w:val="005930DC"/>
    <w:rsid w:val="005955D2"/>
    <w:rsid w:val="0059585F"/>
    <w:rsid w:val="005974FE"/>
    <w:rsid w:val="005A3A83"/>
    <w:rsid w:val="005A3C61"/>
    <w:rsid w:val="005A4184"/>
    <w:rsid w:val="005A4284"/>
    <w:rsid w:val="005A5DC9"/>
    <w:rsid w:val="005A6754"/>
    <w:rsid w:val="005A7F75"/>
    <w:rsid w:val="005B0090"/>
    <w:rsid w:val="005B152D"/>
    <w:rsid w:val="005B2987"/>
    <w:rsid w:val="005B329D"/>
    <w:rsid w:val="005B6441"/>
    <w:rsid w:val="005B6A66"/>
    <w:rsid w:val="005B770F"/>
    <w:rsid w:val="005C1D09"/>
    <w:rsid w:val="005C254C"/>
    <w:rsid w:val="005C7352"/>
    <w:rsid w:val="005C76E7"/>
    <w:rsid w:val="005D139C"/>
    <w:rsid w:val="005D206C"/>
    <w:rsid w:val="005D2F07"/>
    <w:rsid w:val="005D407F"/>
    <w:rsid w:val="005D4325"/>
    <w:rsid w:val="005D514B"/>
    <w:rsid w:val="005E17C1"/>
    <w:rsid w:val="005E2449"/>
    <w:rsid w:val="005E4AAD"/>
    <w:rsid w:val="005E4C45"/>
    <w:rsid w:val="005E5E82"/>
    <w:rsid w:val="005E6559"/>
    <w:rsid w:val="005E727D"/>
    <w:rsid w:val="005F0D34"/>
    <w:rsid w:val="005F107E"/>
    <w:rsid w:val="005F393F"/>
    <w:rsid w:val="005F4C74"/>
    <w:rsid w:val="005F5CFA"/>
    <w:rsid w:val="005F67B3"/>
    <w:rsid w:val="005F6CC0"/>
    <w:rsid w:val="005F7C8F"/>
    <w:rsid w:val="00604828"/>
    <w:rsid w:val="00604EB8"/>
    <w:rsid w:val="00606CDA"/>
    <w:rsid w:val="0060727C"/>
    <w:rsid w:val="00607320"/>
    <w:rsid w:val="00611060"/>
    <w:rsid w:val="006136CA"/>
    <w:rsid w:val="006144D5"/>
    <w:rsid w:val="0061757B"/>
    <w:rsid w:val="00621C85"/>
    <w:rsid w:val="00622047"/>
    <w:rsid w:val="006260D5"/>
    <w:rsid w:val="00626F44"/>
    <w:rsid w:val="00626FE8"/>
    <w:rsid w:val="00627238"/>
    <w:rsid w:val="0062742C"/>
    <w:rsid w:val="00627D53"/>
    <w:rsid w:val="0063009C"/>
    <w:rsid w:val="00632116"/>
    <w:rsid w:val="006325FD"/>
    <w:rsid w:val="006350EB"/>
    <w:rsid w:val="006364A3"/>
    <w:rsid w:val="00640F20"/>
    <w:rsid w:val="00641D9B"/>
    <w:rsid w:val="00643966"/>
    <w:rsid w:val="00643C79"/>
    <w:rsid w:val="006457E0"/>
    <w:rsid w:val="006507F2"/>
    <w:rsid w:val="00650B2B"/>
    <w:rsid w:val="00651D04"/>
    <w:rsid w:val="00654B2B"/>
    <w:rsid w:val="006612DF"/>
    <w:rsid w:val="00665EC5"/>
    <w:rsid w:val="00666481"/>
    <w:rsid w:val="0066747C"/>
    <w:rsid w:val="00667FE8"/>
    <w:rsid w:val="00676CF1"/>
    <w:rsid w:val="0067726D"/>
    <w:rsid w:val="00677B95"/>
    <w:rsid w:val="006809BF"/>
    <w:rsid w:val="006818E1"/>
    <w:rsid w:val="006834E2"/>
    <w:rsid w:val="006845D8"/>
    <w:rsid w:val="0068560C"/>
    <w:rsid w:val="00686260"/>
    <w:rsid w:val="00690270"/>
    <w:rsid w:val="00690847"/>
    <w:rsid w:val="0069120B"/>
    <w:rsid w:val="00691524"/>
    <w:rsid w:val="006920FB"/>
    <w:rsid w:val="006930DE"/>
    <w:rsid w:val="00695BF1"/>
    <w:rsid w:val="006A02FB"/>
    <w:rsid w:val="006A2792"/>
    <w:rsid w:val="006A7713"/>
    <w:rsid w:val="006B074E"/>
    <w:rsid w:val="006B18A8"/>
    <w:rsid w:val="006B2BD5"/>
    <w:rsid w:val="006B41A9"/>
    <w:rsid w:val="006B5413"/>
    <w:rsid w:val="006B641D"/>
    <w:rsid w:val="006B667E"/>
    <w:rsid w:val="006B6F44"/>
    <w:rsid w:val="006B756E"/>
    <w:rsid w:val="006C0C40"/>
    <w:rsid w:val="006C40FE"/>
    <w:rsid w:val="006C5C2B"/>
    <w:rsid w:val="006C6B75"/>
    <w:rsid w:val="006D0E3D"/>
    <w:rsid w:val="006D5935"/>
    <w:rsid w:val="006E0D05"/>
    <w:rsid w:val="006E3C95"/>
    <w:rsid w:val="006E51D5"/>
    <w:rsid w:val="006E535C"/>
    <w:rsid w:val="006E61A1"/>
    <w:rsid w:val="006F0235"/>
    <w:rsid w:val="006F0320"/>
    <w:rsid w:val="006F284C"/>
    <w:rsid w:val="006F2F19"/>
    <w:rsid w:val="006F4D21"/>
    <w:rsid w:val="006F7227"/>
    <w:rsid w:val="00702366"/>
    <w:rsid w:val="00702D72"/>
    <w:rsid w:val="00704A98"/>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06D0"/>
    <w:rsid w:val="00741757"/>
    <w:rsid w:val="007438B7"/>
    <w:rsid w:val="00743CF0"/>
    <w:rsid w:val="00752967"/>
    <w:rsid w:val="00752F5A"/>
    <w:rsid w:val="0075659F"/>
    <w:rsid w:val="00762E7C"/>
    <w:rsid w:val="0076433A"/>
    <w:rsid w:val="0076456C"/>
    <w:rsid w:val="007676EE"/>
    <w:rsid w:val="007715B0"/>
    <w:rsid w:val="00773AC2"/>
    <w:rsid w:val="00774A3E"/>
    <w:rsid w:val="00774B40"/>
    <w:rsid w:val="007754DD"/>
    <w:rsid w:val="00781376"/>
    <w:rsid w:val="00785FD3"/>
    <w:rsid w:val="00786622"/>
    <w:rsid w:val="00791BEA"/>
    <w:rsid w:val="007926CF"/>
    <w:rsid w:val="0079325E"/>
    <w:rsid w:val="0079426B"/>
    <w:rsid w:val="007979E0"/>
    <w:rsid w:val="007A0495"/>
    <w:rsid w:val="007A1460"/>
    <w:rsid w:val="007A310E"/>
    <w:rsid w:val="007A3B11"/>
    <w:rsid w:val="007A3F5E"/>
    <w:rsid w:val="007A59F6"/>
    <w:rsid w:val="007B1587"/>
    <w:rsid w:val="007B486C"/>
    <w:rsid w:val="007B4AD7"/>
    <w:rsid w:val="007B50F3"/>
    <w:rsid w:val="007B62CF"/>
    <w:rsid w:val="007B6D0B"/>
    <w:rsid w:val="007B75E8"/>
    <w:rsid w:val="007B7860"/>
    <w:rsid w:val="007C0FFE"/>
    <w:rsid w:val="007C103B"/>
    <w:rsid w:val="007C4A10"/>
    <w:rsid w:val="007C5285"/>
    <w:rsid w:val="007C59FB"/>
    <w:rsid w:val="007C633B"/>
    <w:rsid w:val="007C7FC9"/>
    <w:rsid w:val="007D1397"/>
    <w:rsid w:val="007D28DC"/>
    <w:rsid w:val="007D3182"/>
    <w:rsid w:val="007E7EB4"/>
    <w:rsid w:val="007F0172"/>
    <w:rsid w:val="007F4B9E"/>
    <w:rsid w:val="007F7039"/>
    <w:rsid w:val="008013CD"/>
    <w:rsid w:val="00801AF3"/>
    <w:rsid w:val="00802A8C"/>
    <w:rsid w:val="008048A0"/>
    <w:rsid w:val="0080518F"/>
    <w:rsid w:val="008061CA"/>
    <w:rsid w:val="00806804"/>
    <w:rsid w:val="00807F2E"/>
    <w:rsid w:val="00813367"/>
    <w:rsid w:val="00814600"/>
    <w:rsid w:val="00815158"/>
    <w:rsid w:val="008170CC"/>
    <w:rsid w:val="008173FF"/>
    <w:rsid w:val="0082101F"/>
    <w:rsid w:val="00821BA5"/>
    <w:rsid w:val="00822C2B"/>
    <w:rsid w:val="008245E4"/>
    <w:rsid w:val="00825391"/>
    <w:rsid w:val="00825524"/>
    <w:rsid w:val="0082572D"/>
    <w:rsid w:val="00830512"/>
    <w:rsid w:val="008307EE"/>
    <w:rsid w:val="00831940"/>
    <w:rsid w:val="00831FCF"/>
    <w:rsid w:val="0083211E"/>
    <w:rsid w:val="00832383"/>
    <w:rsid w:val="0083545F"/>
    <w:rsid w:val="00835C25"/>
    <w:rsid w:val="008372DA"/>
    <w:rsid w:val="008432A6"/>
    <w:rsid w:val="00843FF1"/>
    <w:rsid w:val="008463ED"/>
    <w:rsid w:val="00857244"/>
    <w:rsid w:val="00857976"/>
    <w:rsid w:val="008579BA"/>
    <w:rsid w:val="00857D3B"/>
    <w:rsid w:val="008601E4"/>
    <w:rsid w:val="00862BEE"/>
    <w:rsid w:val="00870D40"/>
    <w:rsid w:val="0087381A"/>
    <w:rsid w:val="00873B38"/>
    <w:rsid w:val="00877086"/>
    <w:rsid w:val="00881404"/>
    <w:rsid w:val="00891141"/>
    <w:rsid w:val="008918B4"/>
    <w:rsid w:val="00892A2D"/>
    <w:rsid w:val="0089569F"/>
    <w:rsid w:val="00896B08"/>
    <w:rsid w:val="008975AB"/>
    <w:rsid w:val="008A0DA4"/>
    <w:rsid w:val="008A0F2A"/>
    <w:rsid w:val="008A2DAA"/>
    <w:rsid w:val="008A2DD3"/>
    <w:rsid w:val="008A5243"/>
    <w:rsid w:val="008A52FC"/>
    <w:rsid w:val="008A549E"/>
    <w:rsid w:val="008A5775"/>
    <w:rsid w:val="008B2CDF"/>
    <w:rsid w:val="008B2D19"/>
    <w:rsid w:val="008B3782"/>
    <w:rsid w:val="008B42C5"/>
    <w:rsid w:val="008B4F2D"/>
    <w:rsid w:val="008B6445"/>
    <w:rsid w:val="008C013C"/>
    <w:rsid w:val="008C1E35"/>
    <w:rsid w:val="008C5E92"/>
    <w:rsid w:val="008C7995"/>
    <w:rsid w:val="008D0686"/>
    <w:rsid w:val="008D2F24"/>
    <w:rsid w:val="008D44F2"/>
    <w:rsid w:val="008D5AA2"/>
    <w:rsid w:val="008D5AFB"/>
    <w:rsid w:val="008D5C63"/>
    <w:rsid w:val="008D77F3"/>
    <w:rsid w:val="008E32B7"/>
    <w:rsid w:val="008E38C3"/>
    <w:rsid w:val="008E4043"/>
    <w:rsid w:val="008E5F84"/>
    <w:rsid w:val="008E7500"/>
    <w:rsid w:val="008F183E"/>
    <w:rsid w:val="008F184D"/>
    <w:rsid w:val="008F4255"/>
    <w:rsid w:val="008F4D59"/>
    <w:rsid w:val="008F59A1"/>
    <w:rsid w:val="00902633"/>
    <w:rsid w:val="00904362"/>
    <w:rsid w:val="009056C7"/>
    <w:rsid w:val="00906696"/>
    <w:rsid w:val="0090674C"/>
    <w:rsid w:val="009067F8"/>
    <w:rsid w:val="009073D6"/>
    <w:rsid w:val="00910996"/>
    <w:rsid w:val="009119AA"/>
    <w:rsid w:val="00911BBD"/>
    <w:rsid w:val="00912148"/>
    <w:rsid w:val="00912399"/>
    <w:rsid w:val="009151DA"/>
    <w:rsid w:val="009171E4"/>
    <w:rsid w:val="00917652"/>
    <w:rsid w:val="00920834"/>
    <w:rsid w:val="00920857"/>
    <w:rsid w:val="00921316"/>
    <w:rsid w:val="00922199"/>
    <w:rsid w:val="00922EAD"/>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46160"/>
    <w:rsid w:val="00953856"/>
    <w:rsid w:val="00953DD8"/>
    <w:rsid w:val="00953FEC"/>
    <w:rsid w:val="009554D5"/>
    <w:rsid w:val="00956BC3"/>
    <w:rsid w:val="00957FA3"/>
    <w:rsid w:val="009602F2"/>
    <w:rsid w:val="009602FE"/>
    <w:rsid w:val="0096182F"/>
    <w:rsid w:val="009639D5"/>
    <w:rsid w:val="00963CBA"/>
    <w:rsid w:val="00963E5B"/>
    <w:rsid w:val="0096404A"/>
    <w:rsid w:val="00965B2C"/>
    <w:rsid w:val="00965C00"/>
    <w:rsid w:val="0096605A"/>
    <w:rsid w:val="009677D2"/>
    <w:rsid w:val="0097142D"/>
    <w:rsid w:val="009718AD"/>
    <w:rsid w:val="00973B50"/>
    <w:rsid w:val="009746B1"/>
    <w:rsid w:val="00975143"/>
    <w:rsid w:val="00975E06"/>
    <w:rsid w:val="00975FAF"/>
    <w:rsid w:val="00980C3A"/>
    <w:rsid w:val="00981DE6"/>
    <w:rsid w:val="00981FCC"/>
    <w:rsid w:val="009855A4"/>
    <w:rsid w:val="0098587E"/>
    <w:rsid w:val="009877FA"/>
    <w:rsid w:val="00990967"/>
    <w:rsid w:val="00991A37"/>
    <w:rsid w:val="00992B96"/>
    <w:rsid w:val="00992C5F"/>
    <w:rsid w:val="009948E2"/>
    <w:rsid w:val="00995346"/>
    <w:rsid w:val="0099789E"/>
    <w:rsid w:val="009A0C35"/>
    <w:rsid w:val="009A155B"/>
    <w:rsid w:val="009A4234"/>
    <w:rsid w:val="009A58BA"/>
    <w:rsid w:val="009A77B8"/>
    <w:rsid w:val="009B4302"/>
    <w:rsid w:val="009B4854"/>
    <w:rsid w:val="009B5E1D"/>
    <w:rsid w:val="009C0A06"/>
    <w:rsid w:val="009C0A85"/>
    <w:rsid w:val="009C104C"/>
    <w:rsid w:val="009C13C6"/>
    <w:rsid w:val="009C15B1"/>
    <w:rsid w:val="009C167F"/>
    <w:rsid w:val="009C4C44"/>
    <w:rsid w:val="009C4E12"/>
    <w:rsid w:val="009C5A5C"/>
    <w:rsid w:val="009D2F92"/>
    <w:rsid w:val="009D3EA5"/>
    <w:rsid w:val="009E0426"/>
    <w:rsid w:val="009E14FA"/>
    <w:rsid w:val="009E1E16"/>
    <w:rsid w:val="009E2B79"/>
    <w:rsid w:val="009E5524"/>
    <w:rsid w:val="009F2C06"/>
    <w:rsid w:val="009F5917"/>
    <w:rsid w:val="009F6D3C"/>
    <w:rsid w:val="00A00C62"/>
    <w:rsid w:val="00A00F2E"/>
    <w:rsid w:val="00A0211E"/>
    <w:rsid w:val="00A10051"/>
    <w:rsid w:val="00A10849"/>
    <w:rsid w:val="00A115EF"/>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12D7"/>
    <w:rsid w:val="00A43334"/>
    <w:rsid w:val="00A44969"/>
    <w:rsid w:val="00A478FF"/>
    <w:rsid w:val="00A522CF"/>
    <w:rsid w:val="00A53B62"/>
    <w:rsid w:val="00A54F8E"/>
    <w:rsid w:val="00A55357"/>
    <w:rsid w:val="00A57366"/>
    <w:rsid w:val="00A62EFE"/>
    <w:rsid w:val="00A63161"/>
    <w:rsid w:val="00A635DB"/>
    <w:rsid w:val="00A645EB"/>
    <w:rsid w:val="00A67C06"/>
    <w:rsid w:val="00A70054"/>
    <w:rsid w:val="00A71604"/>
    <w:rsid w:val="00A71AEB"/>
    <w:rsid w:val="00A73D09"/>
    <w:rsid w:val="00A74749"/>
    <w:rsid w:val="00A75265"/>
    <w:rsid w:val="00A753E6"/>
    <w:rsid w:val="00A7595E"/>
    <w:rsid w:val="00A77468"/>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B1F"/>
    <w:rsid w:val="00AA63B6"/>
    <w:rsid w:val="00AA64A9"/>
    <w:rsid w:val="00AB1DAF"/>
    <w:rsid w:val="00AB28A5"/>
    <w:rsid w:val="00AB453A"/>
    <w:rsid w:val="00AB5510"/>
    <w:rsid w:val="00AB7F3A"/>
    <w:rsid w:val="00AC1AFA"/>
    <w:rsid w:val="00AC1E69"/>
    <w:rsid w:val="00AC2057"/>
    <w:rsid w:val="00AC26F6"/>
    <w:rsid w:val="00AC3AF8"/>
    <w:rsid w:val="00AC6677"/>
    <w:rsid w:val="00AC70A5"/>
    <w:rsid w:val="00AC71A7"/>
    <w:rsid w:val="00AD1390"/>
    <w:rsid w:val="00AD22E6"/>
    <w:rsid w:val="00AD4FF5"/>
    <w:rsid w:val="00AD573B"/>
    <w:rsid w:val="00AD6237"/>
    <w:rsid w:val="00AD6304"/>
    <w:rsid w:val="00AD6804"/>
    <w:rsid w:val="00AD7E05"/>
    <w:rsid w:val="00AE59C6"/>
    <w:rsid w:val="00AE5AD8"/>
    <w:rsid w:val="00AE5B67"/>
    <w:rsid w:val="00AE6358"/>
    <w:rsid w:val="00AF02C1"/>
    <w:rsid w:val="00AF2AC6"/>
    <w:rsid w:val="00AF3EC6"/>
    <w:rsid w:val="00AF4842"/>
    <w:rsid w:val="00AF526B"/>
    <w:rsid w:val="00B024DA"/>
    <w:rsid w:val="00B029EB"/>
    <w:rsid w:val="00B03DBB"/>
    <w:rsid w:val="00B04A8B"/>
    <w:rsid w:val="00B079A6"/>
    <w:rsid w:val="00B10345"/>
    <w:rsid w:val="00B12620"/>
    <w:rsid w:val="00B13574"/>
    <w:rsid w:val="00B13628"/>
    <w:rsid w:val="00B15390"/>
    <w:rsid w:val="00B16B7F"/>
    <w:rsid w:val="00B22220"/>
    <w:rsid w:val="00B230AB"/>
    <w:rsid w:val="00B241DC"/>
    <w:rsid w:val="00B2510B"/>
    <w:rsid w:val="00B26766"/>
    <w:rsid w:val="00B26A08"/>
    <w:rsid w:val="00B271A0"/>
    <w:rsid w:val="00B27A68"/>
    <w:rsid w:val="00B30754"/>
    <w:rsid w:val="00B3299A"/>
    <w:rsid w:val="00B32D4A"/>
    <w:rsid w:val="00B33661"/>
    <w:rsid w:val="00B36DF6"/>
    <w:rsid w:val="00B37214"/>
    <w:rsid w:val="00B40247"/>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735F"/>
    <w:rsid w:val="00B77EF5"/>
    <w:rsid w:val="00B80112"/>
    <w:rsid w:val="00B81F41"/>
    <w:rsid w:val="00B81FC6"/>
    <w:rsid w:val="00B83B12"/>
    <w:rsid w:val="00B843A9"/>
    <w:rsid w:val="00B85904"/>
    <w:rsid w:val="00B85F9B"/>
    <w:rsid w:val="00B87047"/>
    <w:rsid w:val="00B87C79"/>
    <w:rsid w:val="00B9398C"/>
    <w:rsid w:val="00B953D7"/>
    <w:rsid w:val="00B962EB"/>
    <w:rsid w:val="00BA042C"/>
    <w:rsid w:val="00BA08B6"/>
    <w:rsid w:val="00BA12B2"/>
    <w:rsid w:val="00BA1498"/>
    <w:rsid w:val="00BA1BCC"/>
    <w:rsid w:val="00BA3233"/>
    <w:rsid w:val="00BB1DED"/>
    <w:rsid w:val="00BB20F5"/>
    <w:rsid w:val="00BB45B3"/>
    <w:rsid w:val="00BB4628"/>
    <w:rsid w:val="00BB48DC"/>
    <w:rsid w:val="00BB58E2"/>
    <w:rsid w:val="00BB6402"/>
    <w:rsid w:val="00BB79C8"/>
    <w:rsid w:val="00BC24DD"/>
    <w:rsid w:val="00BC36DD"/>
    <w:rsid w:val="00BC4C57"/>
    <w:rsid w:val="00BD397C"/>
    <w:rsid w:val="00BD5936"/>
    <w:rsid w:val="00BD5FE0"/>
    <w:rsid w:val="00BE37A4"/>
    <w:rsid w:val="00BE4518"/>
    <w:rsid w:val="00BE45DE"/>
    <w:rsid w:val="00BE4A47"/>
    <w:rsid w:val="00BE6D60"/>
    <w:rsid w:val="00BF188A"/>
    <w:rsid w:val="00BF3A51"/>
    <w:rsid w:val="00BF459E"/>
    <w:rsid w:val="00BF4745"/>
    <w:rsid w:val="00BF608B"/>
    <w:rsid w:val="00C02A49"/>
    <w:rsid w:val="00C039D3"/>
    <w:rsid w:val="00C03D77"/>
    <w:rsid w:val="00C04892"/>
    <w:rsid w:val="00C05456"/>
    <w:rsid w:val="00C062DA"/>
    <w:rsid w:val="00C07138"/>
    <w:rsid w:val="00C076A9"/>
    <w:rsid w:val="00C12246"/>
    <w:rsid w:val="00C130BF"/>
    <w:rsid w:val="00C142DE"/>
    <w:rsid w:val="00C150BE"/>
    <w:rsid w:val="00C15BBB"/>
    <w:rsid w:val="00C1628A"/>
    <w:rsid w:val="00C2081A"/>
    <w:rsid w:val="00C235C0"/>
    <w:rsid w:val="00C24552"/>
    <w:rsid w:val="00C309B5"/>
    <w:rsid w:val="00C31FC0"/>
    <w:rsid w:val="00C3303B"/>
    <w:rsid w:val="00C3484D"/>
    <w:rsid w:val="00C36525"/>
    <w:rsid w:val="00C37AA2"/>
    <w:rsid w:val="00C37FF1"/>
    <w:rsid w:val="00C41C01"/>
    <w:rsid w:val="00C43E44"/>
    <w:rsid w:val="00C45301"/>
    <w:rsid w:val="00C46933"/>
    <w:rsid w:val="00C47A62"/>
    <w:rsid w:val="00C507CD"/>
    <w:rsid w:val="00C5473E"/>
    <w:rsid w:val="00C557B9"/>
    <w:rsid w:val="00C56058"/>
    <w:rsid w:val="00C561CE"/>
    <w:rsid w:val="00C56DF1"/>
    <w:rsid w:val="00C57F68"/>
    <w:rsid w:val="00C6072A"/>
    <w:rsid w:val="00C6469A"/>
    <w:rsid w:val="00C66BA3"/>
    <w:rsid w:val="00C670DC"/>
    <w:rsid w:val="00C73947"/>
    <w:rsid w:val="00C772D5"/>
    <w:rsid w:val="00C80AA9"/>
    <w:rsid w:val="00C81445"/>
    <w:rsid w:val="00C825F3"/>
    <w:rsid w:val="00C8561B"/>
    <w:rsid w:val="00C85EA4"/>
    <w:rsid w:val="00C86929"/>
    <w:rsid w:val="00C86C53"/>
    <w:rsid w:val="00C86F43"/>
    <w:rsid w:val="00C90325"/>
    <w:rsid w:val="00C90FB0"/>
    <w:rsid w:val="00C912FE"/>
    <w:rsid w:val="00C92C8F"/>
    <w:rsid w:val="00C92CF4"/>
    <w:rsid w:val="00C965F2"/>
    <w:rsid w:val="00C97F90"/>
    <w:rsid w:val="00CA0B22"/>
    <w:rsid w:val="00CA113E"/>
    <w:rsid w:val="00CA1572"/>
    <w:rsid w:val="00CA1D78"/>
    <w:rsid w:val="00CA2D24"/>
    <w:rsid w:val="00CA4EB6"/>
    <w:rsid w:val="00CA6B87"/>
    <w:rsid w:val="00CB4A87"/>
    <w:rsid w:val="00CB4FD9"/>
    <w:rsid w:val="00CB5D77"/>
    <w:rsid w:val="00CB6D38"/>
    <w:rsid w:val="00CB7FE5"/>
    <w:rsid w:val="00CC01DA"/>
    <w:rsid w:val="00CC149F"/>
    <w:rsid w:val="00CC1E84"/>
    <w:rsid w:val="00CC1F38"/>
    <w:rsid w:val="00CC2031"/>
    <w:rsid w:val="00CC2C99"/>
    <w:rsid w:val="00CC4326"/>
    <w:rsid w:val="00CD034F"/>
    <w:rsid w:val="00CD1EC2"/>
    <w:rsid w:val="00CD3E5B"/>
    <w:rsid w:val="00CD5043"/>
    <w:rsid w:val="00CE0A17"/>
    <w:rsid w:val="00CE51C3"/>
    <w:rsid w:val="00CE5958"/>
    <w:rsid w:val="00CE6BA5"/>
    <w:rsid w:val="00CE7AB5"/>
    <w:rsid w:val="00CF45B7"/>
    <w:rsid w:val="00CF4F30"/>
    <w:rsid w:val="00CF4F69"/>
    <w:rsid w:val="00CF75D6"/>
    <w:rsid w:val="00CF7894"/>
    <w:rsid w:val="00D01984"/>
    <w:rsid w:val="00D01A9A"/>
    <w:rsid w:val="00D048F3"/>
    <w:rsid w:val="00D06A74"/>
    <w:rsid w:val="00D12959"/>
    <w:rsid w:val="00D13403"/>
    <w:rsid w:val="00D13DFF"/>
    <w:rsid w:val="00D14156"/>
    <w:rsid w:val="00D14293"/>
    <w:rsid w:val="00D15589"/>
    <w:rsid w:val="00D20CA8"/>
    <w:rsid w:val="00D22A32"/>
    <w:rsid w:val="00D22AE8"/>
    <w:rsid w:val="00D25CD2"/>
    <w:rsid w:val="00D27168"/>
    <w:rsid w:val="00D304B6"/>
    <w:rsid w:val="00D30C33"/>
    <w:rsid w:val="00D30F26"/>
    <w:rsid w:val="00D32371"/>
    <w:rsid w:val="00D32454"/>
    <w:rsid w:val="00D376BF"/>
    <w:rsid w:val="00D40E2D"/>
    <w:rsid w:val="00D417A0"/>
    <w:rsid w:val="00D41B7C"/>
    <w:rsid w:val="00D4290D"/>
    <w:rsid w:val="00D432AD"/>
    <w:rsid w:val="00D44E27"/>
    <w:rsid w:val="00D50132"/>
    <w:rsid w:val="00D51069"/>
    <w:rsid w:val="00D51700"/>
    <w:rsid w:val="00D52338"/>
    <w:rsid w:val="00D55F0B"/>
    <w:rsid w:val="00D61D4D"/>
    <w:rsid w:val="00D63D1D"/>
    <w:rsid w:val="00D64640"/>
    <w:rsid w:val="00D66AC3"/>
    <w:rsid w:val="00D70D77"/>
    <w:rsid w:val="00D70F9A"/>
    <w:rsid w:val="00D72037"/>
    <w:rsid w:val="00D7282F"/>
    <w:rsid w:val="00D72CEC"/>
    <w:rsid w:val="00D8354B"/>
    <w:rsid w:val="00D85849"/>
    <w:rsid w:val="00D87542"/>
    <w:rsid w:val="00D9025D"/>
    <w:rsid w:val="00D92DC3"/>
    <w:rsid w:val="00D9537D"/>
    <w:rsid w:val="00D95537"/>
    <w:rsid w:val="00D96A92"/>
    <w:rsid w:val="00D96AE6"/>
    <w:rsid w:val="00DA2E6D"/>
    <w:rsid w:val="00DA3467"/>
    <w:rsid w:val="00DA48DB"/>
    <w:rsid w:val="00DA7535"/>
    <w:rsid w:val="00DB0D43"/>
    <w:rsid w:val="00DB1CAB"/>
    <w:rsid w:val="00DB2DA2"/>
    <w:rsid w:val="00DB4678"/>
    <w:rsid w:val="00DC0212"/>
    <w:rsid w:val="00DC1AC6"/>
    <w:rsid w:val="00DC2ACC"/>
    <w:rsid w:val="00DC3719"/>
    <w:rsid w:val="00DC4CF9"/>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DF729F"/>
    <w:rsid w:val="00E0030C"/>
    <w:rsid w:val="00E00729"/>
    <w:rsid w:val="00E00FC8"/>
    <w:rsid w:val="00E049DB"/>
    <w:rsid w:val="00E05982"/>
    <w:rsid w:val="00E1131F"/>
    <w:rsid w:val="00E12221"/>
    <w:rsid w:val="00E138FC"/>
    <w:rsid w:val="00E142F0"/>
    <w:rsid w:val="00E15D96"/>
    <w:rsid w:val="00E205F1"/>
    <w:rsid w:val="00E20EA6"/>
    <w:rsid w:val="00E21A08"/>
    <w:rsid w:val="00E21F93"/>
    <w:rsid w:val="00E22164"/>
    <w:rsid w:val="00E22990"/>
    <w:rsid w:val="00E22DF4"/>
    <w:rsid w:val="00E24D6F"/>
    <w:rsid w:val="00E25D44"/>
    <w:rsid w:val="00E3032A"/>
    <w:rsid w:val="00E30D06"/>
    <w:rsid w:val="00E30D7F"/>
    <w:rsid w:val="00E3206A"/>
    <w:rsid w:val="00E33FF4"/>
    <w:rsid w:val="00E3426A"/>
    <w:rsid w:val="00E3576A"/>
    <w:rsid w:val="00E37A7A"/>
    <w:rsid w:val="00E411AD"/>
    <w:rsid w:val="00E4337E"/>
    <w:rsid w:val="00E435F8"/>
    <w:rsid w:val="00E4440C"/>
    <w:rsid w:val="00E47630"/>
    <w:rsid w:val="00E50338"/>
    <w:rsid w:val="00E50A3A"/>
    <w:rsid w:val="00E50E88"/>
    <w:rsid w:val="00E531C9"/>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54EE"/>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2CCA"/>
    <w:rsid w:val="00EB3889"/>
    <w:rsid w:val="00EB38A3"/>
    <w:rsid w:val="00EB656E"/>
    <w:rsid w:val="00EB7707"/>
    <w:rsid w:val="00EC0516"/>
    <w:rsid w:val="00EC06DA"/>
    <w:rsid w:val="00EC0891"/>
    <w:rsid w:val="00EC23A6"/>
    <w:rsid w:val="00EC256A"/>
    <w:rsid w:val="00EC2A40"/>
    <w:rsid w:val="00EC7ADD"/>
    <w:rsid w:val="00ED392C"/>
    <w:rsid w:val="00ED5B36"/>
    <w:rsid w:val="00ED75DE"/>
    <w:rsid w:val="00EE0394"/>
    <w:rsid w:val="00EE053D"/>
    <w:rsid w:val="00EE0F5F"/>
    <w:rsid w:val="00EE12CE"/>
    <w:rsid w:val="00EE1907"/>
    <w:rsid w:val="00EE24C4"/>
    <w:rsid w:val="00EE2938"/>
    <w:rsid w:val="00EE2F6F"/>
    <w:rsid w:val="00EE3666"/>
    <w:rsid w:val="00EE51DB"/>
    <w:rsid w:val="00EE707F"/>
    <w:rsid w:val="00EE723E"/>
    <w:rsid w:val="00EE7CED"/>
    <w:rsid w:val="00EF01A2"/>
    <w:rsid w:val="00EF18FC"/>
    <w:rsid w:val="00EF399A"/>
    <w:rsid w:val="00EF53E3"/>
    <w:rsid w:val="00EF752B"/>
    <w:rsid w:val="00F01112"/>
    <w:rsid w:val="00F04BE5"/>
    <w:rsid w:val="00F04E69"/>
    <w:rsid w:val="00F052CE"/>
    <w:rsid w:val="00F05D5D"/>
    <w:rsid w:val="00F060CD"/>
    <w:rsid w:val="00F079DF"/>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1EC7"/>
    <w:rsid w:val="00F521CB"/>
    <w:rsid w:val="00F53670"/>
    <w:rsid w:val="00F60318"/>
    <w:rsid w:val="00F64CB9"/>
    <w:rsid w:val="00F6604C"/>
    <w:rsid w:val="00F664B1"/>
    <w:rsid w:val="00F664F3"/>
    <w:rsid w:val="00F67181"/>
    <w:rsid w:val="00F7063F"/>
    <w:rsid w:val="00F70D12"/>
    <w:rsid w:val="00F720A5"/>
    <w:rsid w:val="00F7294B"/>
    <w:rsid w:val="00F73D11"/>
    <w:rsid w:val="00F75C76"/>
    <w:rsid w:val="00F77628"/>
    <w:rsid w:val="00F77D25"/>
    <w:rsid w:val="00F81FCF"/>
    <w:rsid w:val="00F8205B"/>
    <w:rsid w:val="00F838DD"/>
    <w:rsid w:val="00F85F0F"/>
    <w:rsid w:val="00F86609"/>
    <w:rsid w:val="00F8770F"/>
    <w:rsid w:val="00F87ADE"/>
    <w:rsid w:val="00F918F2"/>
    <w:rsid w:val="00F93005"/>
    <w:rsid w:val="00FA1067"/>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6159"/>
    <w:rsid w:val="00FC765B"/>
    <w:rsid w:val="00FD03DD"/>
    <w:rsid w:val="00FD061C"/>
    <w:rsid w:val="00FD2D4E"/>
    <w:rsid w:val="00FD4992"/>
    <w:rsid w:val="00FD54B3"/>
    <w:rsid w:val="00FD5F53"/>
    <w:rsid w:val="00FD6F98"/>
    <w:rsid w:val="00FD7C0A"/>
    <w:rsid w:val="00FE0697"/>
    <w:rsid w:val="00FE18E0"/>
    <w:rsid w:val="00FE4D64"/>
    <w:rsid w:val="00FE5B09"/>
    <w:rsid w:val="00FE6E5A"/>
    <w:rsid w:val="00FF0127"/>
    <w:rsid w:val="00FF0D8A"/>
    <w:rsid w:val="00FF2450"/>
    <w:rsid w:val="00FF2A8D"/>
    <w:rsid w:val="00FF468A"/>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chartTrackingRefBased/>
  <w15:docId w15:val="{67A120CD-82EB-4795-8323-14939ED5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customStyle="1" w:styleId="CharChar">
    <w:name w:val="Char Char"/>
    <w:basedOn w:val="Normal"/>
    <w:rsid w:val="001F76AB"/>
    <w:pPr>
      <w:widowControl w:val="0"/>
      <w:adjustRightInd w:val="0"/>
      <w:spacing w:line="360" w:lineRule="atLeast"/>
      <w:textAlignment w:val="baseline"/>
    </w:pPr>
    <w:rPr>
      <w:rFonts w:ascii="Arial" w:eastAsia="Batang"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537889">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WG8J-11"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3d0b/5980/d5e3680d75f04a79d4a8be30/wg2020-01-05-fr.pdf" TargetMode="External"/><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8E0968ABA47A8981B059E8916D3F8"/>
        <w:category>
          <w:name w:val="General"/>
          <w:gallery w:val="placeholder"/>
        </w:category>
        <w:types>
          <w:type w:val="bbPlcHdr"/>
        </w:types>
        <w:behaviors>
          <w:behavior w:val="content"/>
        </w:behaviors>
        <w:guid w:val="{D435D8F3-68EB-430E-BAAA-C56F6FEC67C4}"/>
      </w:docPartPr>
      <w:docPartBody>
        <w:p w:rsidR="000F1AB4" w:rsidRDefault="007E6BE8" w:rsidP="007E6BE8">
          <w:pPr>
            <w:pStyle w:val="4DE8E0968ABA47A8981B059E8916D3F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Body C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6D"/>
    <w:rsid w:val="00053871"/>
    <w:rsid w:val="000B5D01"/>
    <w:rsid w:val="000C33B0"/>
    <w:rsid w:val="000D387D"/>
    <w:rsid w:val="000F1AB4"/>
    <w:rsid w:val="00132F1F"/>
    <w:rsid w:val="00156222"/>
    <w:rsid w:val="00160D62"/>
    <w:rsid w:val="00161339"/>
    <w:rsid w:val="0026296D"/>
    <w:rsid w:val="002F42DF"/>
    <w:rsid w:val="0032710B"/>
    <w:rsid w:val="00362DFE"/>
    <w:rsid w:val="00403D57"/>
    <w:rsid w:val="00452B41"/>
    <w:rsid w:val="004D488A"/>
    <w:rsid w:val="004D7F4B"/>
    <w:rsid w:val="0051284B"/>
    <w:rsid w:val="00512953"/>
    <w:rsid w:val="005A2C4D"/>
    <w:rsid w:val="006048B8"/>
    <w:rsid w:val="006C6E99"/>
    <w:rsid w:val="00724150"/>
    <w:rsid w:val="00724CA0"/>
    <w:rsid w:val="00754011"/>
    <w:rsid w:val="00772830"/>
    <w:rsid w:val="007B198B"/>
    <w:rsid w:val="007E6BE8"/>
    <w:rsid w:val="00811E3A"/>
    <w:rsid w:val="009577DD"/>
    <w:rsid w:val="00AA0624"/>
    <w:rsid w:val="00AD3F24"/>
    <w:rsid w:val="00B2291C"/>
    <w:rsid w:val="00BB583F"/>
    <w:rsid w:val="00BC4E7D"/>
    <w:rsid w:val="00DF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6BE8"/>
    <w:rPr>
      <w:color w:val="808080"/>
    </w:rPr>
  </w:style>
  <w:style w:type="paragraph" w:customStyle="1" w:styleId="4DE8E0968ABA47A8981B059E8916D3F8">
    <w:name w:val="4DE8E0968ABA47A8981B059E8916D3F8"/>
    <w:rsid w:val="007E6BE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D0D7BD3D-331E-44EB-BF7C-2F377622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EA200-8CE3-4C50-9B3B-4178DF6E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post-2020 global biodiversity framework</vt:lpstr>
    </vt:vector>
  </TitlesOfParts>
  <Company>Biodiversity</Company>
  <LinksUpToDate>false</LinksUpToDate>
  <CharactersWithSpaces>38783</CharactersWithSpaces>
  <SharedDoc>false</SharedDoc>
  <HyperlinkBase/>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post-2020 global biodiversity framework</dc:title>
  <dc:subject>CBD/WG2020/2/3</dc:subject>
  <dc:creator>Co-Chairs</dc:creator>
  <cp:keywords>Open-ended Working Group on the Post-2020 Global Biodiversity Framework, first meeting, Nairobi, Kenya, 27-30 August 2019, Convention on Biological Diversity</cp:keywords>
  <cp:lastModifiedBy>Guyonne</cp:lastModifiedBy>
  <cp:revision>18</cp:revision>
  <cp:lastPrinted>2020-01-11T13:55:00Z</cp:lastPrinted>
  <dcterms:created xsi:type="dcterms:W3CDTF">2020-01-11T15:25:00Z</dcterms:created>
  <dcterms:modified xsi:type="dcterms:W3CDTF">2020-02-01T11:08:00Z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..CBD/WG2020/2/3.6 janvier 2019..FRANÇAIS.ORIGINAL : ANGLAIS..groupe de travail À composition non limitÉe sur le cadre mondial de la biodiversitÉ pour l'aprÈs-2020</vt:lpwstr>
  </property>
  <property fmtid="{D5CDD505-2E9C-101B-9397-08002B2CF9AE}" pid="4" name="ContentTypeId">
    <vt:lpwstr>0x01010069BFACF6D92CD24AA50050CE23F68F74</vt:lpwstr>
  </property>
</Properties>
</file>