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993BFE" w14:paraId="2FD00814" w14:textId="77777777" w:rsidTr="00CF1848">
        <w:trPr>
          <w:trHeight w:val="709"/>
        </w:trPr>
        <w:tc>
          <w:tcPr>
            <w:tcW w:w="976" w:type="dxa"/>
            <w:tcBorders>
              <w:bottom w:val="single" w:sz="12" w:space="0" w:color="auto"/>
            </w:tcBorders>
          </w:tcPr>
          <w:p w14:paraId="2FD00811" w14:textId="77777777" w:rsidR="00C9161D" w:rsidRPr="00765620" w:rsidRDefault="00C9161D">
            <w:pPr>
              <w:rPr>
                <w:kern w:val="22"/>
              </w:rPr>
            </w:pPr>
            <w:r w:rsidRPr="00765620">
              <w:rPr>
                <w:noProof/>
                <w:kern w:val="22"/>
                <w:lang w:val="fr-CA" w:eastAsia="fr-CA"/>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Pr="00765620" w:rsidRDefault="00C9161D">
            <w:pPr>
              <w:rPr>
                <w:kern w:val="22"/>
              </w:rPr>
            </w:pPr>
            <w:r w:rsidRPr="00765620">
              <w:rPr>
                <w:noProof/>
                <w:kern w:val="22"/>
                <w:lang w:val="fr-CA" w:eastAsia="fr-CA"/>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765620" w:rsidRDefault="00C9161D" w:rsidP="00C9161D">
            <w:pPr>
              <w:jc w:val="right"/>
              <w:rPr>
                <w:rFonts w:ascii="Arial" w:hAnsi="Arial" w:cs="Arial"/>
                <w:b/>
                <w:kern w:val="22"/>
                <w:sz w:val="32"/>
                <w:szCs w:val="32"/>
              </w:rPr>
            </w:pPr>
            <w:r w:rsidRPr="00765620">
              <w:rPr>
                <w:rFonts w:ascii="Arial" w:hAnsi="Arial" w:cs="Arial"/>
                <w:b/>
                <w:kern w:val="22"/>
                <w:sz w:val="32"/>
                <w:szCs w:val="32"/>
              </w:rPr>
              <w:t>CBD</w:t>
            </w:r>
          </w:p>
        </w:tc>
      </w:tr>
      <w:tr w:rsidR="00C9161D" w:rsidRPr="00993BFE" w14:paraId="2FD0081E" w14:textId="77777777" w:rsidTr="00CF1848">
        <w:tc>
          <w:tcPr>
            <w:tcW w:w="6117" w:type="dxa"/>
            <w:gridSpan w:val="2"/>
            <w:tcBorders>
              <w:top w:val="single" w:sz="12" w:space="0" w:color="auto"/>
              <w:bottom w:val="single" w:sz="36" w:space="0" w:color="auto"/>
            </w:tcBorders>
            <w:vAlign w:val="center"/>
          </w:tcPr>
          <w:p w14:paraId="2FD00815" w14:textId="7571816D" w:rsidR="00C9161D" w:rsidRPr="00765620" w:rsidRDefault="00E844B6" w:rsidP="00C9161D">
            <w:pPr>
              <w:rPr>
                <w:kern w:val="22"/>
              </w:rPr>
            </w:pPr>
            <w:r>
              <w:rPr>
                <w:bCs/>
                <w:noProof/>
                <w:szCs w:val="22"/>
                <w:lang w:val="fr-CA" w:eastAsia="fr-CA"/>
              </w:rPr>
              <w:drawing>
                <wp:inline distT="0" distB="0" distL="0" distR="0" wp14:anchorId="1E7F28FD" wp14:editId="0F542517">
                  <wp:extent cx="2857500" cy="1076325"/>
                  <wp:effectExtent l="0" t="0" r="0" b="9525"/>
                  <wp:docPr id="7" name="Picture 7"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765620" w:rsidRDefault="00C9161D" w:rsidP="00176CEE">
            <w:pPr>
              <w:ind w:left="1215"/>
              <w:rPr>
                <w:kern w:val="22"/>
                <w:szCs w:val="22"/>
              </w:rPr>
            </w:pPr>
            <w:r w:rsidRPr="00765620">
              <w:rPr>
                <w:kern w:val="22"/>
                <w:szCs w:val="22"/>
              </w:rPr>
              <w:t>Distr.</w:t>
            </w:r>
          </w:p>
          <w:p w14:paraId="2FD00817" w14:textId="32936D7E" w:rsidR="00C9161D" w:rsidRPr="00765620" w:rsidRDefault="008E0A24" w:rsidP="00176CEE">
            <w:pPr>
              <w:ind w:left="1215"/>
              <w:rPr>
                <w:kern w:val="22"/>
                <w:szCs w:val="22"/>
              </w:rPr>
            </w:pPr>
            <w:sdt>
              <w:sdtPr>
                <w:rPr>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proofErr w:type="spellStart"/>
                <w:r w:rsidR="007D7555">
                  <w:rPr>
                    <w:kern w:val="22"/>
                    <w:szCs w:val="22"/>
                  </w:rPr>
                  <w:t>LIMITÉE</w:t>
                </w:r>
                <w:proofErr w:type="spellEnd"/>
              </w:sdtContent>
            </w:sdt>
          </w:p>
          <w:p w14:paraId="2FD00818" w14:textId="77777777" w:rsidR="00C9161D" w:rsidRPr="00765620" w:rsidRDefault="00C9161D" w:rsidP="00176CEE">
            <w:pPr>
              <w:ind w:left="1215"/>
              <w:rPr>
                <w:kern w:val="22"/>
                <w:szCs w:val="22"/>
              </w:rPr>
            </w:pPr>
          </w:p>
          <w:p w14:paraId="2FD00819" w14:textId="0587D9F0" w:rsidR="00C9161D" w:rsidRPr="00765620" w:rsidRDefault="008E0A24" w:rsidP="00176CEE">
            <w:pPr>
              <w:ind w:left="1215"/>
              <w:rPr>
                <w:kern w:val="22"/>
                <w:szCs w:val="22"/>
              </w:rPr>
            </w:pPr>
            <w:sdt>
              <w:sdtPr>
                <w:rPr>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D315B1" w:rsidRPr="00765620">
                  <w:rPr>
                    <w:kern w:val="22"/>
                  </w:rPr>
                  <w:t>CBD/CP/MOP/9/L.4</w:t>
                </w:r>
              </w:sdtContent>
            </w:sdt>
          </w:p>
          <w:p w14:paraId="2FD0081A" w14:textId="41062FA4" w:rsidR="00C9161D" w:rsidRPr="00765620" w:rsidRDefault="00E46FB0" w:rsidP="00176CEE">
            <w:pPr>
              <w:ind w:left="1215"/>
              <w:rPr>
                <w:kern w:val="22"/>
                <w:szCs w:val="22"/>
              </w:rPr>
            </w:pPr>
            <w:r w:rsidRPr="00765620">
              <w:rPr>
                <w:kern w:val="22"/>
                <w:szCs w:val="22"/>
              </w:rPr>
              <w:t>22</w:t>
            </w:r>
            <w:r w:rsidR="00F6586C" w:rsidRPr="00765620">
              <w:rPr>
                <w:kern w:val="22"/>
                <w:szCs w:val="22"/>
              </w:rPr>
              <w:t xml:space="preserve"> </w:t>
            </w:r>
            <w:proofErr w:type="spellStart"/>
            <w:r w:rsidR="007D7555">
              <w:rPr>
                <w:kern w:val="22"/>
                <w:szCs w:val="22"/>
              </w:rPr>
              <w:t>novembre</w:t>
            </w:r>
            <w:proofErr w:type="spellEnd"/>
            <w:r w:rsidR="00F6586C" w:rsidRPr="00765620">
              <w:rPr>
                <w:kern w:val="22"/>
                <w:szCs w:val="22"/>
              </w:rPr>
              <w:t xml:space="preserve"> 2018</w:t>
            </w:r>
          </w:p>
          <w:p w14:paraId="2FD0081B" w14:textId="77777777" w:rsidR="00C9161D" w:rsidRPr="00765620" w:rsidRDefault="00C9161D" w:rsidP="00176CEE">
            <w:pPr>
              <w:ind w:left="1215"/>
              <w:rPr>
                <w:kern w:val="22"/>
                <w:szCs w:val="22"/>
              </w:rPr>
            </w:pPr>
          </w:p>
          <w:p w14:paraId="340FCA73" w14:textId="77777777" w:rsidR="007D7555" w:rsidRDefault="007D7555" w:rsidP="00176CEE">
            <w:pPr>
              <w:ind w:left="1215"/>
              <w:rPr>
                <w:kern w:val="22"/>
                <w:szCs w:val="22"/>
              </w:rPr>
            </w:pPr>
            <w:proofErr w:type="spellStart"/>
            <w:r>
              <w:rPr>
                <w:kern w:val="22"/>
                <w:szCs w:val="22"/>
              </w:rPr>
              <w:t>FRANÇAIS</w:t>
            </w:r>
            <w:proofErr w:type="spellEnd"/>
          </w:p>
          <w:p w14:paraId="2FD0081C" w14:textId="73032FB2" w:rsidR="00C9161D" w:rsidRPr="00765620" w:rsidRDefault="006B2290" w:rsidP="00176CEE">
            <w:pPr>
              <w:ind w:left="1215"/>
              <w:rPr>
                <w:kern w:val="22"/>
                <w:szCs w:val="22"/>
              </w:rPr>
            </w:pPr>
            <w:r w:rsidRPr="00765620">
              <w:rPr>
                <w:kern w:val="22"/>
                <w:szCs w:val="22"/>
              </w:rPr>
              <w:t>ORIGINAL</w:t>
            </w:r>
            <w:r w:rsidR="007D7555">
              <w:rPr>
                <w:kern w:val="22"/>
                <w:szCs w:val="22"/>
              </w:rPr>
              <w:t xml:space="preserve"> </w:t>
            </w:r>
            <w:r w:rsidRPr="00765620">
              <w:rPr>
                <w:kern w:val="22"/>
                <w:szCs w:val="22"/>
              </w:rPr>
              <w:t xml:space="preserve">: </w:t>
            </w:r>
            <w:proofErr w:type="spellStart"/>
            <w:r w:rsidR="007D7555">
              <w:rPr>
                <w:kern w:val="22"/>
                <w:szCs w:val="22"/>
              </w:rPr>
              <w:t>ANGLAIS</w:t>
            </w:r>
            <w:bookmarkStart w:id="0" w:name="_GoBack"/>
            <w:bookmarkEnd w:id="0"/>
            <w:proofErr w:type="spellEnd"/>
          </w:p>
          <w:p w14:paraId="2FD0081D" w14:textId="77777777" w:rsidR="00C9161D" w:rsidRPr="00765620" w:rsidRDefault="00C9161D">
            <w:pPr>
              <w:rPr>
                <w:kern w:val="22"/>
              </w:rPr>
            </w:pPr>
          </w:p>
        </w:tc>
      </w:tr>
    </w:tbl>
    <w:p w14:paraId="29852FF2" w14:textId="5CD67F55" w:rsidR="00E844B6" w:rsidRPr="00CA7BE3" w:rsidRDefault="00E844B6" w:rsidP="00E844B6">
      <w:pPr>
        <w:pStyle w:val="Cornernotation"/>
        <w:suppressLineNumbers/>
        <w:suppressAutoHyphens/>
        <w:kinsoku w:val="0"/>
        <w:overflowPunct w:val="0"/>
        <w:autoSpaceDE w:val="0"/>
        <w:autoSpaceDN w:val="0"/>
        <w:spacing w:before="60"/>
        <w:ind w:left="227" w:right="3780" w:hanging="227"/>
        <w:rPr>
          <w:snapToGrid w:val="0"/>
          <w:kern w:val="22"/>
          <w:lang w:val="fr-FR"/>
        </w:rPr>
      </w:pPr>
      <w:r>
        <w:rPr>
          <w:snapToGrid w:val="0"/>
          <w:kern w:val="22"/>
          <w:lang w:val="fr-FR"/>
        </w:rPr>
        <w:t>CONFÉRENCE DES PARTIES À LA CONVENTION SUR LA DIVERSITÉ BIOLOGIQUE SIÉGEANT EN TANT QUE RÉ</w:t>
      </w:r>
      <w:r w:rsidRPr="00CA7BE3">
        <w:rPr>
          <w:snapToGrid w:val="0"/>
          <w:kern w:val="22"/>
          <w:lang w:val="fr-FR"/>
        </w:rPr>
        <w:t>UNION DES</w:t>
      </w:r>
      <w:r>
        <w:rPr>
          <w:snapToGrid w:val="0"/>
          <w:kern w:val="22"/>
          <w:lang w:val="fr-FR"/>
        </w:rPr>
        <w:t xml:space="preserve"> PARTIES AU PROTOCOLE DE CARTAGENA SUR LA PRÉVENTION DES RISQUES BIOTECHNOLOGIQUES</w:t>
      </w:r>
    </w:p>
    <w:p w14:paraId="758D2DAE" w14:textId="77777777" w:rsidR="00E844B6" w:rsidRPr="00CA7BE3" w:rsidRDefault="00E844B6" w:rsidP="00E844B6">
      <w:pPr>
        <w:pStyle w:val="Cornernotation"/>
        <w:suppressLineNumbers/>
        <w:suppressAutoHyphens/>
        <w:kinsoku w:val="0"/>
        <w:overflowPunct w:val="0"/>
        <w:autoSpaceDE w:val="0"/>
        <w:autoSpaceDN w:val="0"/>
        <w:ind w:left="0" w:right="4512" w:firstLine="0"/>
        <w:rPr>
          <w:snapToGrid w:val="0"/>
          <w:kern w:val="22"/>
          <w:lang w:val="fr-FR"/>
        </w:rPr>
      </w:pPr>
      <w:r w:rsidRPr="00CA7BE3">
        <w:rPr>
          <w:snapToGrid w:val="0"/>
          <w:kern w:val="22"/>
          <w:lang w:val="fr-FR"/>
        </w:rPr>
        <w:t>Neuvième réunion</w:t>
      </w:r>
    </w:p>
    <w:p w14:paraId="441E5E97" w14:textId="62B6C805" w:rsidR="00E844B6" w:rsidRPr="00CA7BE3" w:rsidRDefault="00E844B6" w:rsidP="00E844B6">
      <w:pPr>
        <w:suppressLineNumbers/>
        <w:suppressAutoHyphens/>
        <w:kinsoku w:val="0"/>
        <w:overflowPunct w:val="0"/>
        <w:autoSpaceDE w:val="0"/>
        <w:autoSpaceDN w:val="0"/>
        <w:rPr>
          <w:snapToGrid w:val="0"/>
          <w:kern w:val="22"/>
          <w:szCs w:val="22"/>
          <w:lang w:val="fr-FR" w:eastAsia="nb-NO"/>
        </w:rPr>
      </w:pPr>
      <w:bookmarkStart w:id="1" w:name="_Hlk505863673"/>
      <w:proofErr w:type="spellStart"/>
      <w:r w:rsidRPr="00CA7BE3">
        <w:rPr>
          <w:snapToGrid w:val="0"/>
          <w:kern w:val="22"/>
          <w:szCs w:val="22"/>
          <w:lang w:val="fr-FR" w:eastAsia="nb-NO"/>
        </w:rPr>
        <w:t>Sharm</w:t>
      </w:r>
      <w:proofErr w:type="spellEnd"/>
      <w:r w:rsidRPr="00CA7BE3">
        <w:rPr>
          <w:snapToGrid w:val="0"/>
          <w:kern w:val="22"/>
          <w:szCs w:val="22"/>
          <w:lang w:val="fr-FR" w:eastAsia="nb-NO"/>
        </w:rPr>
        <w:t xml:space="preserve"> El-Sheikh, </w:t>
      </w:r>
      <w:r>
        <w:rPr>
          <w:snapToGrid w:val="0"/>
          <w:kern w:val="22"/>
          <w:szCs w:val="22"/>
          <w:lang w:val="fr-FR" w:eastAsia="nb-NO"/>
        </w:rPr>
        <w:t>É</w:t>
      </w:r>
      <w:r w:rsidRPr="00CA7BE3">
        <w:rPr>
          <w:snapToGrid w:val="0"/>
          <w:kern w:val="22"/>
          <w:szCs w:val="22"/>
          <w:lang w:val="fr-FR" w:eastAsia="nb-NO"/>
        </w:rPr>
        <w:t>gypt</w:t>
      </w:r>
      <w:bookmarkEnd w:id="1"/>
      <w:r w:rsidRPr="00CA7BE3">
        <w:rPr>
          <w:snapToGrid w:val="0"/>
          <w:kern w:val="22"/>
          <w:szCs w:val="22"/>
          <w:lang w:val="fr-FR" w:eastAsia="nb-NO"/>
        </w:rPr>
        <w:t>e, 17-29 novembre 2018</w:t>
      </w:r>
    </w:p>
    <w:p w14:paraId="2FD00822" w14:textId="3B6E35F4" w:rsidR="00172AF6" w:rsidRPr="00E844B6" w:rsidRDefault="00E844B6" w:rsidP="00E844B6">
      <w:pPr>
        <w:pStyle w:val="Cornernotation"/>
        <w:ind w:right="3973"/>
        <w:rPr>
          <w:kern w:val="22"/>
          <w:szCs w:val="22"/>
          <w:lang w:val="fr-CA"/>
        </w:rPr>
      </w:pPr>
      <w:r>
        <w:rPr>
          <w:snapToGrid w:val="0"/>
          <w:kern w:val="22"/>
          <w:szCs w:val="22"/>
          <w:lang w:val="fr-FR"/>
        </w:rPr>
        <w:t>Point 19</w:t>
      </w:r>
      <w:r w:rsidRPr="00CA7BE3">
        <w:rPr>
          <w:snapToGrid w:val="0"/>
          <w:kern w:val="22"/>
          <w:szCs w:val="22"/>
          <w:lang w:val="fr-FR"/>
        </w:rPr>
        <w:t xml:space="preserve"> de l’ordre du jour provisoir</w:t>
      </w:r>
      <w:r>
        <w:rPr>
          <w:snapToGrid w:val="0"/>
          <w:kern w:val="22"/>
          <w:szCs w:val="22"/>
          <w:lang w:val="fr-FR"/>
        </w:rPr>
        <w:t>e</w:t>
      </w:r>
    </w:p>
    <w:p w14:paraId="2FD00824" w14:textId="70AA941F" w:rsidR="00C9161D" w:rsidRPr="00E844B6" w:rsidRDefault="00E844B6" w:rsidP="00765620">
      <w:pPr>
        <w:spacing w:before="240" w:after="120"/>
        <w:jc w:val="center"/>
        <w:rPr>
          <w:b/>
          <w:caps/>
          <w:kern w:val="22"/>
          <w:szCs w:val="22"/>
          <w:lang w:val="fr-CA"/>
        </w:rPr>
      </w:pPr>
      <w:sdt>
        <w:sdtPr>
          <w:rPr>
            <w:b/>
            <w:bCs/>
            <w:snapToGrid w:val="0"/>
            <w:lang w:val="fr-F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E844B6">
            <w:rPr>
              <w:b/>
              <w:bCs/>
              <w:snapToGrid w:val="0"/>
              <w:lang w:val="fr-FR"/>
            </w:rPr>
            <w:t>PROTOCOLE ADDITIONNEL DE NAGOYA – KUALA LUMPUR SUR LA RESPONSABILITÉ ET LA RÉPARATION</w:t>
          </w:r>
        </w:sdtContent>
      </w:sdt>
      <w:r w:rsidR="00DD57D4" w:rsidRPr="00E844B6">
        <w:rPr>
          <w:b/>
          <w:caps/>
          <w:kern w:val="22"/>
          <w:szCs w:val="22"/>
          <w:lang w:val="fr-CA"/>
        </w:rPr>
        <w:t xml:space="preserve"> </w:t>
      </w:r>
    </w:p>
    <w:p w14:paraId="201F390C" w14:textId="77777777" w:rsidR="00E844B6" w:rsidRPr="00AC6FA3" w:rsidRDefault="00E844B6" w:rsidP="00E844B6">
      <w:pPr>
        <w:spacing w:before="120" w:after="240"/>
        <w:jc w:val="center"/>
        <w:rPr>
          <w:b/>
          <w:caps/>
          <w:lang w:val="fr-CA"/>
        </w:rPr>
      </w:pPr>
      <w:r>
        <w:rPr>
          <w:b/>
          <w:szCs w:val="22"/>
          <w:lang w:val="fr-CA"/>
        </w:rPr>
        <w:t>Projet de décision présenté par la présidente du Groupe de travail II</w:t>
      </w:r>
    </w:p>
    <w:p w14:paraId="68DC52CE" w14:textId="41B248C8" w:rsidR="00E844B6" w:rsidRPr="00AC6FA3" w:rsidRDefault="00E844B6" w:rsidP="00E844B6">
      <w:pPr>
        <w:pStyle w:val="Para1"/>
        <w:numPr>
          <w:ilvl w:val="0"/>
          <w:numId w:val="0"/>
        </w:numPr>
        <w:ind w:firstLine="720"/>
        <w:rPr>
          <w:i/>
          <w:snapToGrid/>
          <w:szCs w:val="24"/>
          <w:lang w:val="fr-CA"/>
        </w:rPr>
      </w:pPr>
      <w:r w:rsidRPr="00414731">
        <w:rPr>
          <w:i/>
          <w:lang w:val="fr-FR"/>
        </w:rPr>
        <w:t xml:space="preserve">La Conférence des Parties siégeant en tant que </w:t>
      </w:r>
      <w:r>
        <w:rPr>
          <w:i/>
          <w:lang w:val="fr-FR"/>
        </w:rPr>
        <w:t>réunion des Parties au Pro</w:t>
      </w:r>
      <w:r w:rsidRPr="00414731">
        <w:rPr>
          <w:i/>
          <w:lang w:val="fr-FR"/>
        </w:rPr>
        <w:t xml:space="preserve">tocole de Cartagena </w:t>
      </w:r>
      <w:r>
        <w:rPr>
          <w:i/>
          <w:lang w:val="fr-FR"/>
        </w:rPr>
        <w:t xml:space="preserve">sur la prévention des risques biotechnologiques et </w:t>
      </w:r>
      <w:r w:rsidRPr="00414731">
        <w:rPr>
          <w:i/>
          <w:lang w:val="fr-FR"/>
        </w:rPr>
        <w:t xml:space="preserve">siégeant en tant que </w:t>
      </w:r>
      <w:r>
        <w:rPr>
          <w:i/>
          <w:lang w:val="fr-FR"/>
        </w:rPr>
        <w:t>réunion des Parties au Protocole additionnel de</w:t>
      </w:r>
      <w:r w:rsidRPr="00414731">
        <w:rPr>
          <w:i/>
          <w:lang w:val="fr-FR"/>
        </w:rPr>
        <w:t xml:space="preserve"> Nagoya </w:t>
      </w:r>
      <w:r w:rsidRPr="00414731">
        <w:rPr>
          <w:rFonts w:hint="eastAsia"/>
          <w:i/>
          <w:lang w:val="fr-FR"/>
        </w:rPr>
        <w:t>–</w:t>
      </w:r>
      <w:r>
        <w:rPr>
          <w:i/>
          <w:lang w:val="fr-FR"/>
        </w:rPr>
        <w:t xml:space="preserve"> Kuala Lumpur sur la responsabilité et la réparation</w:t>
      </w:r>
      <w:r w:rsidRPr="003333A1">
        <w:rPr>
          <w:rStyle w:val="Appelnotedebasdep"/>
        </w:rPr>
        <w:footnoteReference w:id="1"/>
      </w:r>
    </w:p>
    <w:p w14:paraId="676193AE" w14:textId="77777777" w:rsidR="00E844B6" w:rsidRPr="00760C21" w:rsidRDefault="00E844B6" w:rsidP="00E844B6">
      <w:pPr>
        <w:pStyle w:val="HEADING"/>
        <w:keepNext w:val="0"/>
        <w:numPr>
          <w:ilvl w:val="0"/>
          <w:numId w:val="24"/>
        </w:numPr>
        <w:spacing w:before="120"/>
        <w:ind w:left="0" w:firstLine="709"/>
        <w:jc w:val="both"/>
        <w:rPr>
          <w:b w:val="0"/>
          <w:bCs w:val="0"/>
          <w:caps w:val="0"/>
          <w:snapToGrid w:val="0"/>
          <w:szCs w:val="18"/>
          <w:lang w:val="fr-FR"/>
        </w:rPr>
      </w:pPr>
      <w:r w:rsidRPr="003C74EA">
        <w:rPr>
          <w:b w:val="0"/>
          <w:bCs w:val="0"/>
          <w:i/>
          <w:caps w:val="0"/>
          <w:snapToGrid w:val="0"/>
          <w:szCs w:val="18"/>
          <w:lang w:val="fr-FR"/>
        </w:rPr>
        <w:t>Accueille</w:t>
      </w:r>
      <w:r w:rsidRPr="00760C21">
        <w:rPr>
          <w:b w:val="0"/>
          <w:bCs w:val="0"/>
          <w:caps w:val="0"/>
          <w:snapToGrid w:val="0"/>
          <w:szCs w:val="18"/>
          <w:lang w:val="fr-FR"/>
        </w:rPr>
        <w:t xml:space="preserve"> avec satisfaction l’entrée en vigueur du Protocole additionnel de Nagoya – Kuala Lumpur sur la responsabilité et la réparation relatif au Protocole de Cartagena sur la prévention des risques biotechnologiques Protocole de Cartagena sur la prévention des risques biotechnologiques;</w:t>
      </w:r>
    </w:p>
    <w:p w14:paraId="256B7B2A" w14:textId="77777777" w:rsidR="00E844B6" w:rsidRPr="00760C21" w:rsidRDefault="00E844B6" w:rsidP="00E844B6">
      <w:pPr>
        <w:pStyle w:val="HEADING"/>
        <w:keepNext w:val="0"/>
        <w:numPr>
          <w:ilvl w:val="0"/>
          <w:numId w:val="24"/>
        </w:numPr>
        <w:spacing w:before="120"/>
        <w:ind w:left="0" w:firstLine="709"/>
        <w:jc w:val="both"/>
        <w:rPr>
          <w:b w:val="0"/>
          <w:bCs w:val="0"/>
          <w:caps w:val="0"/>
          <w:snapToGrid w:val="0"/>
          <w:szCs w:val="18"/>
          <w:lang w:val="fr-FR"/>
        </w:rPr>
      </w:pPr>
      <w:r w:rsidRPr="003C74EA">
        <w:rPr>
          <w:b w:val="0"/>
          <w:bCs w:val="0"/>
          <w:i/>
          <w:caps w:val="0"/>
          <w:snapToGrid w:val="0"/>
          <w:szCs w:val="18"/>
          <w:lang w:val="fr-FR"/>
        </w:rPr>
        <w:t>Félicite</w:t>
      </w:r>
      <w:r w:rsidRPr="00760C21">
        <w:rPr>
          <w:b w:val="0"/>
          <w:bCs w:val="0"/>
          <w:caps w:val="0"/>
          <w:snapToGrid w:val="0"/>
          <w:szCs w:val="18"/>
          <w:lang w:val="fr-FR"/>
        </w:rPr>
        <w:t xml:space="preserve"> les Parties qui ont déposé leur instrument de ratification d’acceptation, d’approbation ou d’adhésion au Protocole additionnel de Nagoya – Kuala Lumpur sur la responsabilité et la réparation, et les invite instamment à prendre les mesures nécessaires à sa mise en œuvre;</w:t>
      </w:r>
    </w:p>
    <w:p w14:paraId="2760C4E3" w14:textId="77777777" w:rsidR="00E844B6" w:rsidRPr="00760C21" w:rsidRDefault="00E844B6" w:rsidP="00E844B6">
      <w:pPr>
        <w:pStyle w:val="HEADING"/>
        <w:keepNext w:val="0"/>
        <w:numPr>
          <w:ilvl w:val="0"/>
          <w:numId w:val="24"/>
        </w:numPr>
        <w:spacing w:before="120"/>
        <w:ind w:left="0" w:firstLine="709"/>
        <w:jc w:val="both"/>
        <w:rPr>
          <w:b w:val="0"/>
          <w:bCs w:val="0"/>
          <w:caps w:val="0"/>
          <w:snapToGrid w:val="0"/>
          <w:szCs w:val="18"/>
          <w:lang w:val="fr-FR"/>
        </w:rPr>
      </w:pPr>
      <w:r w:rsidRPr="003C74EA">
        <w:rPr>
          <w:b w:val="0"/>
          <w:bCs w:val="0"/>
          <w:i/>
          <w:caps w:val="0"/>
          <w:snapToGrid w:val="0"/>
          <w:szCs w:val="18"/>
          <w:lang w:val="fr-FR"/>
        </w:rPr>
        <w:t>Invite instamment</w:t>
      </w:r>
      <w:r w:rsidRPr="00760C21">
        <w:rPr>
          <w:b w:val="0"/>
          <w:bCs w:val="0"/>
          <w:caps w:val="0"/>
          <w:snapToGrid w:val="0"/>
          <w:szCs w:val="18"/>
          <w:lang w:val="fr-FR"/>
        </w:rPr>
        <w:t xml:space="preserve"> les Parties au Protocole de Cartagena sur la prévention des risques biotechnologiques qui ne l’ont pas encore fait, à déposer leur instrument de ratification d’acceptation, d’approbation ou d’adhésion au Protocole additionnel de Nagoya – Kuala Lumpur sur la responsabilité et la réparation, dans les plus brefs délais;</w:t>
      </w:r>
    </w:p>
    <w:p w14:paraId="466E0F02" w14:textId="77777777" w:rsidR="00E844B6" w:rsidRPr="00760C21" w:rsidRDefault="00E844B6" w:rsidP="00E844B6">
      <w:pPr>
        <w:pStyle w:val="HEADING"/>
        <w:keepNext w:val="0"/>
        <w:numPr>
          <w:ilvl w:val="0"/>
          <w:numId w:val="24"/>
        </w:numPr>
        <w:spacing w:before="120"/>
        <w:ind w:left="0" w:firstLine="709"/>
        <w:jc w:val="both"/>
        <w:rPr>
          <w:b w:val="0"/>
          <w:bCs w:val="0"/>
          <w:caps w:val="0"/>
          <w:snapToGrid w:val="0"/>
          <w:szCs w:val="18"/>
          <w:lang w:val="fr-FR"/>
        </w:rPr>
      </w:pPr>
      <w:r w:rsidRPr="003C74EA">
        <w:rPr>
          <w:b w:val="0"/>
          <w:bCs w:val="0"/>
          <w:i/>
          <w:caps w:val="0"/>
          <w:snapToGrid w:val="0"/>
          <w:szCs w:val="18"/>
          <w:lang w:val="fr-FR"/>
        </w:rPr>
        <w:t>Accueille</w:t>
      </w:r>
      <w:r w:rsidRPr="00760C21">
        <w:rPr>
          <w:b w:val="0"/>
          <w:bCs w:val="0"/>
          <w:caps w:val="0"/>
          <w:snapToGrid w:val="0"/>
          <w:szCs w:val="18"/>
          <w:lang w:val="fr-FR"/>
        </w:rPr>
        <w:t xml:space="preserve"> avec satisfaction les activités entreprises pour faciliter l’entrée en vigueur et la mise en œuvre du Protocole additionnel de Nagoya – Kuala Lumpur sur la responsabilité et la réparation, ainsi que les appuis fournis par les donateurs dans ce but;</w:t>
      </w:r>
    </w:p>
    <w:p w14:paraId="074291B4" w14:textId="25CDF38B" w:rsidR="00E844B6" w:rsidRPr="00760C21" w:rsidRDefault="00E844B6" w:rsidP="00E844B6">
      <w:pPr>
        <w:pStyle w:val="HEADING"/>
        <w:keepNext w:val="0"/>
        <w:numPr>
          <w:ilvl w:val="0"/>
          <w:numId w:val="24"/>
        </w:numPr>
        <w:spacing w:before="120"/>
        <w:ind w:left="0" w:firstLine="709"/>
        <w:jc w:val="both"/>
        <w:rPr>
          <w:b w:val="0"/>
          <w:bCs w:val="0"/>
          <w:caps w:val="0"/>
          <w:snapToGrid w:val="0"/>
          <w:szCs w:val="18"/>
          <w:lang w:val="fr-FR"/>
        </w:rPr>
      </w:pPr>
      <w:r w:rsidRPr="003C74EA">
        <w:rPr>
          <w:b w:val="0"/>
          <w:bCs w:val="0"/>
          <w:i/>
          <w:caps w:val="0"/>
          <w:snapToGrid w:val="0"/>
          <w:szCs w:val="18"/>
          <w:lang w:val="fr-FR"/>
        </w:rPr>
        <w:t>Demande</w:t>
      </w:r>
      <w:r w:rsidRPr="00760C21">
        <w:rPr>
          <w:b w:val="0"/>
          <w:bCs w:val="0"/>
          <w:caps w:val="0"/>
          <w:snapToGrid w:val="0"/>
          <w:szCs w:val="18"/>
          <w:lang w:val="fr-FR"/>
        </w:rPr>
        <w:t xml:space="preserve"> à la Secrétaire exécutive, dans la limite des ressources financières disponibles</w:t>
      </w:r>
      <w:r w:rsidR="003C74EA">
        <w:rPr>
          <w:b w:val="0"/>
          <w:bCs w:val="0"/>
          <w:caps w:val="0"/>
          <w:snapToGrid w:val="0"/>
          <w:szCs w:val="18"/>
          <w:lang w:val="fr-FR"/>
        </w:rPr>
        <w:t xml:space="preserve"> provenant du Fonds d’affectation spéciale volontaire</w:t>
      </w:r>
      <w:r w:rsidRPr="00760C21">
        <w:rPr>
          <w:b w:val="0"/>
          <w:bCs w:val="0"/>
          <w:caps w:val="0"/>
          <w:snapToGrid w:val="0"/>
          <w:szCs w:val="18"/>
          <w:lang w:val="fr-FR"/>
        </w:rPr>
        <w:t xml:space="preserve">, de continuer d’entreprendre des activités de sensibilisation </w:t>
      </w:r>
      <w:r w:rsidR="003C74EA">
        <w:rPr>
          <w:b w:val="0"/>
          <w:bCs w:val="0"/>
          <w:caps w:val="0"/>
          <w:snapToGrid w:val="0"/>
          <w:szCs w:val="18"/>
          <w:lang w:val="fr-FR"/>
        </w:rPr>
        <w:t xml:space="preserve">et de renforcement des capacités </w:t>
      </w:r>
      <w:r w:rsidRPr="00760C21">
        <w:rPr>
          <w:b w:val="0"/>
          <w:bCs w:val="0"/>
          <w:caps w:val="0"/>
          <w:snapToGrid w:val="0"/>
          <w:szCs w:val="18"/>
          <w:lang w:val="fr-FR"/>
        </w:rPr>
        <w:t>et de fournir des appuis aux Parties dans la mise en œuvre du Protocole additionnel à l’échelle intérieure;</w:t>
      </w:r>
    </w:p>
    <w:p w14:paraId="1FDC4EEE" w14:textId="77777777" w:rsidR="00E844B6" w:rsidRPr="00760C21" w:rsidRDefault="00E844B6" w:rsidP="00E844B6">
      <w:pPr>
        <w:pStyle w:val="HEADING"/>
        <w:keepNext w:val="0"/>
        <w:numPr>
          <w:ilvl w:val="0"/>
          <w:numId w:val="24"/>
        </w:numPr>
        <w:spacing w:before="120"/>
        <w:ind w:left="0" w:firstLine="709"/>
        <w:jc w:val="both"/>
        <w:rPr>
          <w:b w:val="0"/>
          <w:bCs w:val="0"/>
          <w:caps w:val="0"/>
          <w:snapToGrid w:val="0"/>
          <w:szCs w:val="18"/>
          <w:lang w:val="fr-FR"/>
        </w:rPr>
      </w:pPr>
      <w:r w:rsidRPr="003C74EA">
        <w:rPr>
          <w:b w:val="0"/>
          <w:bCs w:val="0"/>
          <w:i/>
          <w:caps w:val="0"/>
          <w:snapToGrid w:val="0"/>
          <w:szCs w:val="18"/>
          <w:lang w:val="fr-FR"/>
        </w:rPr>
        <w:t>Demande</w:t>
      </w:r>
      <w:r w:rsidRPr="00760C21">
        <w:rPr>
          <w:b w:val="0"/>
          <w:bCs w:val="0"/>
          <w:caps w:val="0"/>
          <w:snapToGrid w:val="0"/>
          <w:szCs w:val="18"/>
          <w:lang w:val="fr-FR"/>
        </w:rPr>
        <w:t xml:space="preserve"> aux Parties au Protocole additionnel de désigner une autorité compétente, afin que cette dernière s’acquitte des fonctions énumérées au Protocole additionnel (article 5), et de communiquer les </w:t>
      </w:r>
      <w:r w:rsidRPr="00760C21">
        <w:rPr>
          <w:b w:val="0"/>
          <w:bCs w:val="0"/>
          <w:caps w:val="0"/>
          <w:snapToGrid w:val="0"/>
          <w:szCs w:val="18"/>
          <w:lang w:val="fr-FR"/>
        </w:rPr>
        <w:lastRenderedPageBreak/>
        <w:t xml:space="preserve">coordonnées de leur autorité compétente au Centre d’échange pour la prévention des risques biotechnologiques to the Protocole additionnel; </w:t>
      </w:r>
    </w:p>
    <w:p w14:paraId="61CCBE33" w14:textId="77777777" w:rsidR="00E844B6" w:rsidRPr="00760C21" w:rsidRDefault="00E844B6" w:rsidP="00E844B6">
      <w:pPr>
        <w:pStyle w:val="HEADING"/>
        <w:keepNext w:val="0"/>
        <w:numPr>
          <w:ilvl w:val="0"/>
          <w:numId w:val="24"/>
        </w:numPr>
        <w:spacing w:before="120"/>
        <w:ind w:left="0" w:firstLine="709"/>
        <w:jc w:val="both"/>
        <w:rPr>
          <w:b w:val="0"/>
          <w:bCs w:val="0"/>
          <w:caps w:val="0"/>
          <w:snapToGrid w:val="0"/>
          <w:szCs w:val="18"/>
          <w:lang w:val="fr-FR"/>
        </w:rPr>
      </w:pPr>
      <w:r w:rsidRPr="003C74EA">
        <w:rPr>
          <w:b w:val="0"/>
          <w:bCs w:val="0"/>
          <w:i/>
          <w:caps w:val="0"/>
          <w:snapToGrid w:val="0"/>
          <w:szCs w:val="18"/>
          <w:lang w:val="fr-FR"/>
        </w:rPr>
        <w:t>Demande</w:t>
      </w:r>
      <w:r w:rsidRPr="00760C21">
        <w:rPr>
          <w:b w:val="0"/>
          <w:bCs w:val="0"/>
          <w:caps w:val="0"/>
          <w:snapToGrid w:val="0"/>
          <w:szCs w:val="18"/>
          <w:lang w:val="fr-FR"/>
        </w:rPr>
        <w:t xml:space="preserve"> aux Parties au Protocole additionnel, et prie les autres gouvernements, de rendre compte des mesures qu’ils ont prises pour mettre en œuvre le Protocole additionnel, en répondant aux questions relatives à ce dernier dans le modèle du quatrième rapport national présenté au titre du Protocole de Cartagena, comme le prévoit l’annexe à la décision CP-9/--;</w:t>
      </w:r>
    </w:p>
    <w:p w14:paraId="06A99E25" w14:textId="497F5170" w:rsidR="00E844B6" w:rsidRPr="00760C21" w:rsidRDefault="00E844B6" w:rsidP="00E844B6">
      <w:pPr>
        <w:pStyle w:val="HEADING"/>
        <w:keepNext w:val="0"/>
        <w:numPr>
          <w:ilvl w:val="0"/>
          <w:numId w:val="24"/>
        </w:numPr>
        <w:spacing w:before="120"/>
        <w:ind w:left="0" w:firstLine="709"/>
        <w:jc w:val="both"/>
        <w:rPr>
          <w:b w:val="0"/>
          <w:bCs w:val="0"/>
          <w:caps w:val="0"/>
          <w:snapToGrid w:val="0"/>
          <w:szCs w:val="18"/>
          <w:lang w:val="fr-FR"/>
        </w:rPr>
      </w:pPr>
      <w:r w:rsidRPr="003C74EA">
        <w:rPr>
          <w:b w:val="0"/>
          <w:bCs w:val="0"/>
          <w:i/>
          <w:caps w:val="0"/>
          <w:snapToGrid w:val="0"/>
          <w:szCs w:val="18"/>
          <w:lang w:val="fr-FR"/>
        </w:rPr>
        <w:t>Demande</w:t>
      </w:r>
      <w:r w:rsidRPr="00760C21">
        <w:rPr>
          <w:b w:val="0"/>
          <w:bCs w:val="0"/>
          <w:caps w:val="0"/>
          <w:snapToGrid w:val="0"/>
          <w:szCs w:val="18"/>
          <w:lang w:val="fr-FR"/>
        </w:rPr>
        <w:t xml:space="preserve"> à la Secrétaire exécutive d’entreprendre, </w:t>
      </w:r>
      <w:r w:rsidR="006E41F6" w:rsidRPr="00760C21">
        <w:rPr>
          <w:b w:val="0"/>
          <w:bCs w:val="0"/>
          <w:caps w:val="0"/>
          <w:snapToGrid w:val="0"/>
          <w:szCs w:val="18"/>
          <w:lang w:val="fr-FR"/>
        </w:rPr>
        <w:t>dans la limite des ressources financières disponibles</w:t>
      </w:r>
      <w:r w:rsidR="006E41F6">
        <w:rPr>
          <w:b w:val="0"/>
          <w:bCs w:val="0"/>
          <w:caps w:val="0"/>
          <w:snapToGrid w:val="0"/>
          <w:szCs w:val="18"/>
          <w:lang w:val="fr-FR"/>
        </w:rPr>
        <w:t xml:space="preserve"> provenant du Fonds d’affectation spéciale volontaire</w:t>
      </w:r>
      <w:r w:rsidR="006E41F6">
        <w:rPr>
          <w:b w:val="0"/>
          <w:bCs w:val="0"/>
          <w:caps w:val="0"/>
          <w:snapToGrid w:val="0"/>
          <w:szCs w:val="18"/>
          <w:lang w:val="fr-FR"/>
        </w:rPr>
        <w:t xml:space="preserve">, </w:t>
      </w:r>
      <w:r w:rsidR="006E41F6" w:rsidRPr="00760C21">
        <w:rPr>
          <w:b w:val="0"/>
          <w:bCs w:val="0"/>
          <w:caps w:val="0"/>
          <w:snapToGrid w:val="0"/>
          <w:szCs w:val="18"/>
          <w:lang w:val="fr-FR"/>
        </w:rPr>
        <w:t>une étude complète abordant entre autres</w:t>
      </w:r>
      <w:r w:rsidR="006E41F6">
        <w:rPr>
          <w:b w:val="0"/>
          <w:bCs w:val="0"/>
          <w:caps w:val="0"/>
          <w:snapToGrid w:val="0"/>
          <w:szCs w:val="18"/>
          <w:lang w:val="fr-FR"/>
        </w:rPr>
        <w:t xml:space="preserve"> les sujets ci-dessous, </w:t>
      </w:r>
      <w:r w:rsidRPr="00760C21">
        <w:rPr>
          <w:b w:val="0"/>
          <w:bCs w:val="0"/>
          <w:caps w:val="0"/>
          <w:snapToGrid w:val="0"/>
          <w:szCs w:val="18"/>
          <w:lang w:val="fr-FR"/>
        </w:rPr>
        <w:t>aux fins d’examen par la Conférence des Parties siégeant en tant que réunion des Parties au Protocole de Cartagena</w:t>
      </w:r>
      <w:r w:rsidR="006E41F6">
        <w:rPr>
          <w:b w:val="0"/>
          <w:bCs w:val="0"/>
          <w:caps w:val="0"/>
          <w:snapToGrid w:val="0"/>
          <w:szCs w:val="18"/>
          <w:lang w:val="fr-FR"/>
        </w:rPr>
        <w:t xml:space="preserve"> sur la prévention des risques biotechnologiques servant de réunion des Parties au Protocole additionnel, </w:t>
      </w:r>
      <w:r w:rsidR="006E41F6" w:rsidRPr="00760C21">
        <w:rPr>
          <w:b w:val="0"/>
          <w:bCs w:val="0"/>
          <w:caps w:val="0"/>
          <w:snapToGrid w:val="0"/>
          <w:szCs w:val="18"/>
          <w:lang w:val="fr-FR"/>
        </w:rPr>
        <w:t xml:space="preserve">à sa </w:t>
      </w:r>
      <w:r w:rsidR="006E41F6">
        <w:rPr>
          <w:b w:val="0"/>
          <w:bCs w:val="0"/>
          <w:caps w:val="0"/>
          <w:snapToGrid w:val="0"/>
          <w:szCs w:val="18"/>
          <w:lang w:val="fr-FR"/>
        </w:rPr>
        <w:t>prochaine réunion</w:t>
      </w:r>
      <w:r w:rsidRPr="00760C21">
        <w:rPr>
          <w:b w:val="0"/>
          <w:bCs w:val="0"/>
          <w:caps w:val="0"/>
          <w:snapToGrid w:val="0"/>
          <w:szCs w:val="18"/>
          <w:lang w:val="fr-FR"/>
        </w:rPr>
        <w:t xml:space="preserve"> :</w:t>
      </w:r>
    </w:p>
    <w:p w14:paraId="3424AF55" w14:textId="77777777" w:rsidR="00E844B6" w:rsidRPr="00760C21" w:rsidRDefault="00E844B6" w:rsidP="00E844B6">
      <w:pPr>
        <w:pStyle w:val="HEADING"/>
        <w:keepNext w:val="0"/>
        <w:numPr>
          <w:ilvl w:val="0"/>
          <w:numId w:val="23"/>
        </w:numPr>
        <w:spacing w:before="120"/>
        <w:ind w:left="0" w:firstLine="709"/>
        <w:jc w:val="both"/>
        <w:rPr>
          <w:b w:val="0"/>
          <w:bCs w:val="0"/>
          <w:caps w:val="0"/>
          <w:snapToGrid w:val="0"/>
          <w:szCs w:val="18"/>
          <w:lang w:val="fr-FR"/>
        </w:rPr>
      </w:pPr>
      <w:r w:rsidRPr="00760C21">
        <w:rPr>
          <w:b w:val="0"/>
          <w:bCs w:val="0"/>
          <w:caps w:val="0"/>
          <w:snapToGrid w:val="0"/>
          <w:szCs w:val="18"/>
          <w:lang w:val="fr-FR"/>
        </w:rPr>
        <w:t>Les modalités de mécanismes de garantie financière;</w:t>
      </w:r>
    </w:p>
    <w:p w14:paraId="7E672B10" w14:textId="77777777" w:rsidR="00E844B6" w:rsidRPr="00760C21" w:rsidRDefault="00E844B6" w:rsidP="00E844B6">
      <w:pPr>
        <w:pStyle w:val="HEADING"/>
        <w:keepNext w:val="0"/>
        <w:numPr>
          <w:ilvl w:val="0"/>
          <w:numId w:val="23"/>
        </w:numPr>
        <w:spacing w:before="120"/>
        <w:ind w:left="0" w:firstLine="709"/>
        <w:jc w:val="both"/>
        <w:rPr>
          <w:b w:val="0"/>
          <w:bCs w:val="0"/>
          <w:caps w:val="0"/>
          <w:snapToGrid w:val="0"/>
          <w:szCs w:val="18"/>
          <w:lang w:val="fr-FR"/>
        </w:rPr>
      </w:pPr>
      <w:r w:rsidRPr="00760C21">
        <w:rPr>
          <w:b w:val="0"/>
          <w:bCs w:val="0"/>
          <w:caps w:val="0"/>
          <w:snapToGrid w:val="0"/>
          <w:szCs w:val="18"/>
          <w:lang w:val="fr-FR"/>
        </w:rPr>
        <w:t>Une évaluation des impacts environnementaux, économiques et sociaux de tels mécanismes, en particulier sur les pays en développement;</w:t>
      </w:r>
    </w:p>
    <w:p w14:paraId="56EC0730" w14:textId="77777777" w:rsidR="00E844B6" w:rsidRPr="00760C21" w:rsidRDefault="00E844B6" w:rsidP="00E844B6">
      <w:pPr>
        <w:pStyle w:val="HEADING"/>
        <w:keepNext w:val="0"/>
        <w:numPr>
          <w:ilvl w:val="0"/>
          <w:numId w:val="23"/>
        </w:numPr>
        <w:spacing w:before="120"/>
        <w:ind w:left="0" w:firstLine="709"/>
        <w:jc w:val="both"/>
        <w:rPr>
          <w:b w:val="0"/>
          <w:bCs w:val="0"/>
          <w:caps w:val="0"/>
          <w:snapToGrid w:val="0"/>
          <w:szCs w:val="18"/>
          <w:lang w:val="fr-FR"/>
        </w:rPr>
      </w:pPr>
      <w:r w:rsidRPr="00760C21">
        <w:rPr>
          <w:b w:val="0"/>
          <w:bCs w:val="0"/>
          <w:caps w:val="0"/>
          <w:snapToGrid w:val="0"/>
          <w:szCs w:val="18"/>
          <w:lang w:val="fr-FR"/>
        </w:rPr>
        <w:t>L’identification des organismes appropriés pour fournir la garantie financière;</w:t>
      </w:r>
    </w:p>
    <w:p w14:paraId="37DC9860" w14:textId="77777777" w:rsidR="00E844B6" w:rsidRPr="00760C21" w:rsidRDefault="00E844B6" w:rsidP="00E844B6">
      <w:pPr>
        <w:pStyle w:val="Para1"/>
        <w:numPr>
          <w:ilvl w:val="0"/>
          <w:numId w:val="0"/>
        </w:numPr>
        <w:ind w:firstLine="709"/>
        <w:rPr>
          <w:lang w:val="fr-FR"/>
        </w:rPr>
      </w:pPr>
      <w:r>
        <w:rPr>
          <w:lang w:val="fr-FR"/>
        </w:rPr>
        <w:t>9.</w:t>
      </w:r>
      <w:r>
        <w:rPr>
          <w:lang w:val="fr-FR"/>
        </w:rPr>
        <w:tab/>
      </w:r>
      <w:r w:rsidRPr="003C74EA">
        <w:rPr>
          <w:i/>
          <w:lang w:val="fr-FR"/>
        </w:rPr>
        <w:t>Demande</w:t>
      </w:r>
      <w:r w:rsidRPr="00760C21">
        <w:rPr>
          <w:lang w:val="fr-FR"/>
        </w:rPr>
        <w:t xml:space="preserve"> également à la Secrétaire exécutive de créer un modèle commun approprié, sur le site Web du Centre d’échange, afin d’aider les Parties à communiquer les coordonnées de leurs autorités compétentes, conformément à l’article 5 du Protocole additionnel de Nagoya – Kuala Lumpur sur la responsabilité et la réparation</w:t>
      </w:r>
      <w:r>
        <w:rPr>
          <w:lang w:val="fr-FR"/>
        </w:rPr>
        <w:t>.</w:t>
      </w:r>
    </w:p>
    <w:p w14:paraId="54572751" w14:textId="2666331C" w:rsidR="008722AE" w:rsidRPr="00765620" w:rsidRDefault="008722AE" w:rsidP="008722AE">
      <w:pPr>
        <w:pStyle w:val="Para1"/>
        <w:numPr>
          <w:ilvl w:val="0"/>
          <w:numId w:val="0"/>
        </w:numPr>
        <w:jc w:val="center"/>
        <w:rPr>
          <w:kern w:val="22"/>
          <w:szCs w:val="22"/>
        </w:rPr>
      </w:pPr>
      <w:r w:rsidRPr="00765620">
        <w:rPr>
          <w:kern w:val="22"/>
          <w:szCs w:val="22"/>
        </w:rPr>
        <w:t>_________</w:t>
      </w:r>
      <w:r w:rsidR="0012685E" w:rsidRPr="00765620">
        <w:rPr>
          <w:kern w:val="22"/>
          <w:szCs w:val="22"/>
        </w:rPr>
        <w:t>_</w:t>
      </w:r>
    </w:p>
    <w:sectPr w:rsidR="008722AE" w:rsidRPr="00765620" w:rsidSect="007B078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11F062" w14:textId="77777777" w:rsidR="008E0A24" w:rsidRDefault="008E0A24" w:rsidP="00CF1848">
      <w:r>
        <w:separator/>
      </w:r>
    </w:p>
  </w:endnote>
  <w:endnote w:type="continuationSeparator" w:id="0">
    <w:p w14:paraId="12CDE94F" w14:textId="77777777" w:rsidR="008E0A24" w:rsidRDefault="008E0A24"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panose1 w:val="020B0603020202030204"/>
    <w:charset w:val="00"/>
    <w:family w:val="swiss"/>
    <w:pitch w:val="variable"/>
    <w:sig w:usb0="00000007" w:usb1="00000000" w:usb2="00000000" w:usb3="00000000" w:csb0="00000093"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2C1618" w14:textId="77777777" w:rsidR="008E0A24" w:rsidRDefault="008E0A24" w:rsidP="00CF1848">
      <w:r>
        <w:separator/>
      </w:r>
    </w:p>
  </w:footnote>
  <w:footnote w:type="continuationSeparator" w:id="0">
    <w:p w14:paraId="5C8F935F" w14:textId="77777777" w:rsidR="008E0A24" w:rsidRDefault="008E0A24" w:rsidP="00CF1848">
      <w:r>
        <w:continuationSeparator/>
      </w:r>
    </w:p>
  </w:footnote>
  <w:footnote w:id="1">
    <w:p w14:paraId="24CE6FD8" w14:textId="7CA527E7" w:rsidR="00E844B6" w:rsidRPr="00A8299E" w:rsidRDefault="00E844B6" w:rsidP="00E844B6">
      <w:pPr>
        <w:pStyle w:val="Notedebasdepage"/>
        <w:suppressLineNumbers/>
        <w:suppressAutoHyphens/>
        <w:ind w:firstLine="0"/>
        <w:jc w:val="left"/>
        <w:rPr>
          <w:szCs w:val="18"/>
          <w:lang w:val="fr-FR"/>
        </w:rPr>
      </w:pPr>
      <w:r>
        <w:rPr>
          <w:rStyle w:val="Appelnotedebasdep"/>
          <w:szCs w:val="18"/>
        </w:rPr>
        <w:footnoteRef/>
      </w:r>
      <w:r w:rsidRPr="00A8299E">
        <w:rPr>
          <w:szCs w:val="18"/>
          <w:lang w:val="fr-FR"/>
        </w:rPr>
        <w:t xml:space="preserve"> Conformément </w:t>
      </w:r>
      <w:r w:rsidR="00C24755">
        <w:rPr>
          <w:szCs w:val="18"/>
          <w:lang w:val="fr-FR"/>
        </w:rPr>
        <w:t>au paragraphe 1 de l’article 14 et sous réserve du paragraphe 2 de l</w:t>
      </w:r>
      <w:r w:rsidRPr="00A8299E">
        <w:rPr>
          <w:szCs w:val="18"/>
          <w:lang w:val="fr-FR"/>
        </w:rPr>
        <w:t>’article 32 de la Convention</w:t>
      </w:r>
      <w:r w:rsidR="00C24755">
        <w:rPr>
          <w:szCs w:val="18"/>
          <w:lang w:val="fr-FR"/>
        </w:rPr>
        <w:t>, la Conférence des Parties siégeant en tant que réunion des Parties au Protocole servira de réunion des Parties au Protocole add</w:t>
      </w:r>
      <w:r w:rsidR="003C74EA">
        <w:rPr>
          <w:szCs w:val="18"/>
          <w:lang w:val="fr-FR"/>
        </w:rPr>
        <w:t>itionnel. Par conséquent, la présente décision a été prise par les Parties au Protocole additionnel.</w:t>
      </w:r>
      <w:r w:rsidRPr="00A8299E">
        <w:rPr>
          <w:szCs w:val="18"/>
          <w:lang w:val="fr-F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lang w:val="fr-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59155400" w:rsidR="00534681" w:rsidRPr="00E844B6" w:rsidRDefault="00D315B1" w:rsidP="00765620">
        <w:pPr>
          <w:pStyle w:val="En-tte"/>
          <w:tabs>
            <w:tab w:val="clear" w:pos="4320"/>
            <w:tab w:val="clear" w:pos="8640"/>
          </w:tabs>
          <w:jc w:val="left"/>
          <w:rPr>
            <w:noProof/>
            <w:kern w:val="22"/>
            <w:lang w:val="fr-CA"/>
          </w:rPr>
        </w:pPr>
        <w:r w:rsidRPr="00E844B6">
          <w:rPr>
            <w:noProof/>
            <w:kern w:val="22"/>
            <w:lang w:val="fr-CA"/>
          </w:rPr>
          <w:t>CBD/CP/MOP/9/L.4</w:t>
        </w:r>
      </w:p>
    </w:sdtContent>
  </w:sdt>
  <w:p w14:paraId="2FD00833" w14:textId="5C458814" w:rsidR="00534681" w:rsidRPr="00E844B6" w:rsidRDefault="00534681" w:rsidP="00765620">
    <w:pPr>
      <w:pStyle w:val="En-tte"/>
      <w:tabs>
        <w:tab w:val="clear" w:pos="4320"/>
        <w:tab w:val="clear" w:pos="8640"/>
      </w:tabs>
      <w:jc w:val="left"/>
      <w:rPr>
        <w:noProof/>
        <w:kern w:val="22"/>
        <w:lang w:val="fr-CA"/>
      </w:rPr>
    </w:pPr>
    <w:r w:rsidRPr="00E844B6">
      <w:rPr>
        <w:noProof/>
        <w:kern w:val="22"/>
        <w:lang w:val="fr-CA"/>
      </w:rPr>
      <w:t xml:space="preserve">Page </w:t>
    </w:r>
    <w:r w:rsidRPr="00765620">
      <w:rPr>
        <w:noProof/>
        <w:kern w:val="22"/>
      </w:rPr>
      <w:fldChar w:fldCharType="begin"/>
    </w:r>
    <w:r w:rsidRPr="00E844B6">
      <w:rPr>
        <w:noProof/>
        <w:kern w:val="22"/>
        <w:lang w:val="fr-CA"/>
      </w:rPr>
      <w:instrText xml:space="preserve"> PAGE   \* MERGEFORMAT </w:instrText>
    </w:r>
    <w:r w:rsidRPr="00765620">
      <w:rPr>
        <w:noProof/>
        <w:kern w:val="22"/>
      </w:rPr>
      <w:fldChar w:fldCharType="separate"/>
    </w:r>
    <w:r w:rsidR="007D7555">
      <w:rPr>
        <w:noProof/>
        <w:kern w:val="22"/>
        <w:lang w:val="fr-CA"/>
      </w:rPr>
      <w:t>2</w:t>
    </w:r>
    <w:r w:rsidRPr="00765620">
      <w:rPr>
        <w:noProof/>
        <w:kern w:val="22"/>
      </w:rPr>
      <w:fldChar w:fldCharType="end"/>
    </w:r>
  </w:p>
  <w:p w14:paraId="2FD00834" w14:textId="77777777" w:rsidR="00534681" w:rsidRPr="00E844B6" w:rsidRDefault="00534681" w:rsidP="00765620">
    <w:pPr>
      <w:pStyle w:val="En-tte"/>
      <w:tabs>
        <w:tab w:val="clear" w:pos="4320"/>
        <w:tab w:val="clear" w:pos="8640"/>
      </w:tabs>
      <w:jc w:val="left"/>
      <w:rPr>
        <w:noProof/>
        <w:kern w:val="22"/>
        <w:lang w:val="fr-C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2244573F" w:rsidR="009505C9" w:rsidRPr="007B078D" w:rsidRDefault="00D315B1" w:rsidP="009505C9">
        <w:pPr>
          <w:pStyle w:val="En-tte"/>
          <w:jc w:val="right"/>
          <w:rPr>
            <w:lang w:val="fr-FR"/>
          </w:rPr>
        </w:pPr>
        <w:r>
          <w:rPr>
            <w:lang w:val="fr-FR"/>
          </w:rPr>
          <w:t>CBD/CP/MOP/9/L.4</w:t>
        </w:r>
      </w:p>
    </w:sdtContent>
  </w:sdt>
  <w:p w14:paraId="2FD00836" w14:textId="77777777" w:rsidR="009505C9" w:rsidRPr="007B078D" w:rsidRDefault="009505C9" w:rsidP="009505C9">
    <w:pPr>
      <w:pStyle w:val="En-tte"/>
      <w:jc w:val="right"/>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7B078D">
      <w:rPr>
        <w:noProof/>
        <w:lang w:val="fr-FR"/>
      </w:rPr>
      <w:t>1</w:t>
    </w:r>
    <w:r>
      <w:rPr>
        <w:noProof/>
      </w:rPr>
      <w:fldChar w:fldCharType="end"/>
    </w:r>
  </w:p>
  <w:p w14:paraId="2FD00837" w14:textId="77777777" w:rsidR="009505C9" w:rsidRPr="007B078D" w:rsidRDefault="009505C9">
    <w:pPr>
      <w:pStyle w:val="En-tte"/>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B04EE"/>
    <w:multiLevelType w:val="hybridMultilevel"/>
    <w:tmpl w:val="A5AA06B8"/>
    <w:lvl w:ilvl="0" w:tplc="2456457E">
      <w:start w:val="1"/>
      <w:numFmt w:val="decimal"/>
      <w:lvlText w:val="%1."/>
      <w:lvlJc w:val="left"/>
      <w:pPr>
        <w:ind w:left="644" w:hanging="360"/>
      </w:pPr>
      <w:rPr>
        <w:rFonts w:ascii="Times New Roman" w:eastAsia="Times New Roman" w:hAnsi="Times New Roman" w:cs="Times New Roman"/>
        <w:i w:val="0"/>
      </w:rPr>
    </w:lvl>
    <w:lvl w:ilvl="1" w:tplc="10090019">
      <w:start w:val="1"/>
      <w:numFmt w:val="lowerLetter"/>
      <w:lvlText w:val="%2."/>
      <w:lvlJc w:val="left"/>
      <w:pPr>
        <w:ind w:left="1364" w:hanging="360"/>
      </w:p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2F2D03A2"/>
    <w:multiLevelType w:val="hybridMultilevel"/>
    <w:tmpl w:val="0FAEC1DA"/>
    <w:lvl w:ilvl="0" w:tplc="0C0C0017">
      <w:start w:val="1"/>
      <w:numFmt w:val="lowerLetter"/>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E0B4A1F"/>
    <w:multiLevelType w:val="multilevel"/>
    <w:tmpl w:val="54909F82"/>
    <w:lvl w:ilvl="0">
      <w:start w:val="1"/>
      <w:numFmt w:val="lowerLetter"/>
      <w:lvlText w:val="(%1)"/>
      <w:lvlJc w:val="left"/>
      <w:pPr>
        <w:tabs>
          <w:tab w:val="num" w:pos="360"/>
        </w:tabs>
        <w:ind w:left="0" w:firstLine="0"/>
      </w:pPr>
      <w:rPr>
        <w:rFonts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4"/>
  </w:num>
  <w:num w:numId="2">
    <w:abstractNumId w:val="8"/>
  </w:num>
  <w:num w:numId="3">
    <w:abstractNumId w:val="6"/>
  </w:num>
  <w:num w:numId="4">
    <w:abstractNumId w:val="8"/>
  </w:num>
  <w:num w:numId="5">
    <w:abstractNumId w:val="7"/>
  </w:num>
  <w:num w:numId="6">
    <w:abstractNumId w:val="1"/>
  </w:num>
  <w:num w:numId="7">
    <w:abstractNumId w:val="3"/>
  </w:num>
  <w:num w:numId="8">
    <w:abstractNumId w:val="6"/>
    <w:lvlOverride w:ilvl="0">
      <w:startOverride w:val="1"/>
    </w:lvlOverride>
  </w:num>
  <w:num w:numId="9">
    <w:abstractNumId w:val="11"/>
  </w:num>
  <w:num w:numId="10">
    <w:abstractNumId w:val="6"/>
    <w:lvlOverride w:ilvl="0">
      <w:startOverride w:val="1"/>
    </w:lvlOverride>
  </w:num>
  <w:num w:numId="11">
    <w:abstractNumId w:val="6"/>
    <w:lvlOverride w:ilvl="0">
      <w:startOverride w:val="1"/>
    </w:lvlOverride>
  </w:num>
  <w:num w:numId="12">
    <w:abstractNumId w:val="6"/>
    <w:lvlOverride w:ilvl="0">
      <w:startOverride w:val="1"/>
    </w:lvlOverride>
  </w:num>
  <w:num w:numId="13">
    <w:abstractNumId w:val="6"/>
    <w:lvlOverride w:ilvl="0">
      <w:startOverride w:val="1"/>
    </w:lvlOverride>
  </w:num>
  <w:num w:numId="14">
    <w:abstractNumId w:val="10"/>
  </w:num>
  <w:num w:numId="15">
    <w:abstractNumId w:val="9"/>
  </w:num>
  <w:num w:numId="16">
    <w:abstractNumId w:val="2"/>
  </w:num>
  <w:num w:numId="17">
    <w:abstractNumId w:val="12"/>
  </w:num>
  <w:num w:numId="18">
    <w:abstractNumId w:val="13"/>
  </w:num>
  <w:num w:numId="19">
    <w:abstractNumId w:val="14"/>
  </w:num>
  <w:num w:numId="20">
    <w:abstractNumId w:val="8"/>
  </w:num>
  <w:num w:numId="21">
    <w:abstractNumId w:val="8"/>
  </w:num>
  <w:num w:numId="22">
    <w:abstractNumId w:val="8"/>
  </w:num>
  <w:num w:numId="23">
    <w:abstractNumId w:val="5"/>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317A3"/>
    <w:rsid w:val="000631B9"/>
    <w:rsid w:val="00092B3A"/>
    <w:rsid w:val="000D0EC0"/>
    <w:rsid w:val="000E673A"/>
    <w:rsid w:val="000F4914"/>
    <w:rsid w:val="000F74F5"/>
    <w:rsid w:val="00100A01"/>
    <w:rsid w:val="00105372"/>
    <w:rsid w:val="0012685E"/>
    <w:rsid w:val="00131E7A"/>
    <w:rsid w:val="001338AC"/>
    <w:rsid w:val="0014645A"/>
    <w:rsid w:val="00172AF6"/>
    <w:rsid w:val="00176CEE"/>
    <w:rsid w:val="00186DD8"/>
    <w:rsid w:val="001B129D"/>
    <w:rsid w:val="00273079"/>
    <w:rsid w:val="00282D62"/>
    <w:rsid w:val="00293AAE"/>
    <w:rsid w:val="002E7978"/>
    <w:rsid w:val="00345D6C"/>
    <w:rsid w:val="00372F74"/>
    <w:rsid w:val="00374869"/>
    <w:rsid w:val="003928F1"/>
    <w:rsid w:val="003B04EB"/>
    <w:rsid w:val="003C74EA"/>
    <w:rsid w:val="003D6DF7"/>
    <w:rsid w:val="003F7224"/>
    <w:rsid w:val="00411E22"/>
    <w:rsid w:val="00427D21"/>
    <w:rsid w:val="00462B2C"/>
    <w:rsid w:val="004644C2"/>
    <w:rsid w:val="00467F9C"/>
    <w:rsid w:val="00534681"/>
    <w:rsid w:val="00595CAF"/>
    <w:rsid w:val="006122BA"/>
    <w:rsid w:val="00643892"/>
    <w:rsid w:val="0068672C"/>
    <w:rsid w:val="006B2290"/>
    <w:rsid w:val="006C47B1"/>
    <w:rsid w:val="006E41F6"/>
    <w:rsid w:val="006E5DAD"/>
    <w:rsid w:val="00717D88"/>
    <w:rsid w:val="00765620"/>
    <w:rsid w:val="0077626F"/>
    <w:rsid w:val="007942D3"/>
    <w:rsid w:val="007B078D"/>
    <w:rsid w:val="007B6C09"/>
    <w:rsid w:val="007C7749"/>
    <w:rsid w:val="007D7555"/>
    <w:rsid w:val="007E09DA"/>
    <w:rsid w:val="007E1F54"/>
    <w:rsid w:val="008178B6"/>
    <w:rsid w:val="00865B74"/>
    <w:rsid w:val="008722AE"/>
    <w:rsid w:val="008966CE"/>
    <w:rsid w:val="008D2D45"/>
    <w:rsid w:val="008E0A24"/>
    <w:rsid w:val="00930BA1"/>
    <w:rsid w:val="0093169E"/>
    <w:rsid w:val="009505C9"/>
    <w:rsid w:val="00987DFB"/>
    <w:rsid w:val="00993BFE"/>
    <w:rsid w:val="00A05D10"/>
    <w:rsid w:val="00A266FE"/>
    <w:rsid w:val="00A6327B"/>
    <w:rsid w:val="00AC3393"/>
    <w:rsid w:val="00B3369F"/>
    <w:rsid w:val="00B42EDD"/>
    <w:rsid w:val="00B609F6"/>
    <w:rsid w:val="00BB0435"/>
    <w:rsid w:val="00BF0C74"/>
    <w:rsid w:val="00C24755"/>
    <w:rsid w:val="00C443BD"/>
    <w:rsid w:val="00C9161D"/>
    <w:rsid w:val="00CF1848"/>
    <w:rsid w:val="00D12044"/>
    <w:rsid w:val="00D315B1"/>
    <w:rsid w:val="00D76A18"/>
    <w:rsid w:val="00DB4EDD"/>
    <w:rsid w:val="00DD118C"/>
    <w:rsid w:val="00DD57D4"/>
    <w:rsid w:val="00DE5E5B"/>
    <w:rsid w:val="00DF1E6D"/>
    <w:rsid w:val="00DF52E4"/>
    <w:rsid w:val="00E46FB0"/>
    <w:rsid w:val="00E66235"/>
    <w:rsid w:val="00E83C24"/>
    <w:rsid w:val="00E844B6"/>
    <w:rsid w:val="00E9318D"/>
    <w:rsid w:val="00E9373A"/>
    <w:rsid w:val="00E93932"/>
    <w:rsid w:val="00ED5C33"/>
    <w:rsid w:val="00ED72FA"/>
    <w:rsid w:val="00F6586C"/>
    <w:rsid w:val="00F750E0"/>
    <w:rsid w:val="00F94774"/>
    <w:rsid w:val="00FA10D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FD00811"/>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qFormat/>
    <w:rsid w:val="007E09DA"/>
    <w:pPr>
      <w:keepLines/>
      <w:spacing w:after="60"/>
      <w:ind w:firstLine="720"/>
    </w:pPr>
    <w:rPr>
      <w:sz w:val="18"/>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paragraph" w:styleId="Sansinterligne">
    <w:name w:val="No Spacing"/>
    <w:link w:val="SansinterligneCar"/>
    <w:uiPriority w:val="1"/>
    <w:qFormat/>
    <w:rsid w:val="00273079"/>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273079"/>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DE5E5B"/>
    <w:pPr>
      <w:spacing w:after="160" w:line="240" w:lineRule="exact"/>
      <w:jc w:val="left"/>
    </w:pPr>
    <w:rPr>
      <w:rFonts w:asciiTheme="minorHAnsi" w:eastAsiaTheme="minorEastAsia" w:hAnsiTheme="minorHAnsi" w:cstheme="minorBidi"/>
      <w:vertAlign w:val="superscript"/>
      <w:lang w:val="fr-CA"/>
    </w:rPr>
  </w:style>
  <w:style w:type="paragraph" w:styleId="Objetducommentaire">
    <w:name w:val="annotation subject"/>
    <w:basedOn w:val="Commentaire"/>
    <w:next w:val="Commentaire"/>
    <w:link w:val="ObjetducommentaireCar"/>
    <w:uiPriority w:val="99"/>
    <w:semiHidden/>
    <w:unhideWhenUsed/>
    <w:rsid w:val="00293AAE"/>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293AAE"/>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edelespacerserv"/>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Textedelespacerserv"/>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panose1 w:val="020B0603020202030204"/>
    <w:charset w:val="00"/>
    <w:family w:val="swiss"/>
    <w:pitch w:val="variable"/>
    <w:sig w:usb0="00000007" w:usb1="00000000" w:usb2="00000000" w:usb3="00000000" w:csb0="00000093"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1160A5"/>
    <w:rsid w:val="00126173"/>
    <w:rsid w:val="001E68A5"/>
    <w:rsid w:val="002D6B2B"/>
    <w:rsid w:val="004A1753"/>
    <w:rsid w:val="00500A2B"/>
    <w:rsid w:val="0058288D"/>
    <w:rsid w:val="006801B3"/>
    <w:rsid w:val="007663B1"/>
    <w:rsid w:val="00810A55"/>
    <w:rsid w:val="008C6619"/>
    <w:rsid w:val="008D420E"/>
    <w:rsid w:val="0098642F"/>
    <w:rsid w:val="009E0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uiPriority w:val="67"/>
    <w:rsid w:val="009E0D87"/>
    <w:rPr>
      <w:color w:val="808080"/>
    </w:rPr>
  </w:style>
  <w:style w:type="paragraph" w:customStyle="1" w:styleId="B4981DB131D84B03A605A20D13BBA6F5">
    <w:name w:val="B4981DB131D84B03A605A20D13BBA6F5"/>
    <w:rsid w:val="009E0D87"/>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D9055A-C4CA-4949-A267-F01FC4A66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630</Words>
  <Characters>3468</Characters>
  <Application>Microsoft Office Word</Application>
  <DocSecurity>0</DocSecurity>
  <Lines>28</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PROTOCOLE ADDITIONNEL DE NAGOYA – KUALA LUMPUR SUR LA RESPONSABILITÉ ET LA RÉPARATION</vt:lpstr>
      <vt:lpstr>Nagoya – Kuala Lumpur Supplementary Protocol on Liability and Redress</vt:lpstr>
    </vt:vector>
  </TitlesOfParts>
  <Company>SCBD</Company>
  <LinksUpToDate>false</LinksUpToDate>
  <CharactersWithSpaces>4090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PROTOCOLE ADDITIONNEL DE NAGOYA – KUALA LUMPUR SUR LA RESPONSABILITÉ ET LA RÉPARATION</dc:title>
  <dc:subject>CBD/CP/MOP/9/L.4</dc:subject>
  <dc:creator>CP-MOP 9</dc:creator>
  <cp:keywords>Nagoya – Kuala Lumpur Supplementary Protocol on Liability and Redress, Cartagena Protocol on Biosafety, Convention on Biological Diversity</cp:keywords>
  <cp:lastModifiedBy>Louise</cp:lastModifiedBy>
  <cp:revision>3</cp:revision>
  <cp:lastPrinted>2018-11-22T18:07:00Z</cp:lastPrinted>
  <dcterms:created xsi:type="dcterms:W3CDTF">2018-11-25T14:04:00Z</dcterms:created>
  <dcterms:modified xsi:type="dcterms:W3CDTF">2018-11-25T14:17:00Z</dcterms:modified>
  <cp:contentStatus>LIMITÉE</cp:contentStatus>
</cp:coreProperties>
</file>