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Borders>
          <w:bottom w:val="single" w:sz="30" w:space="0" w:color="000000"/>
        </w:tblBorders>
        <w:tblLayout w:type="fixed"/>
        <w:tblLook w:val="0000" w:firstRow="0" w:lastRow="0" w:firstColumn="0" w:lastColumn="0" w:noHBand="0" w:noVBand="0"/>
      </w:tblPr>
      <w:tblGrid>
        <w:gridCol w:w="17"/>
        <w:gridCol w:w="1350"/>
        <w:gridCol w:w="1260"/>
        <w:gridCol w:w="2611"/>
        <w:gridCol w:w="824"/>
        <w:gridCol w:w="3685"/>
      </w:tblGrid>
      <w:tr w:rsidR="00041416" w:rsidRPr="00DF422D" w14:paraId="0A0C68DD" w14:textId="77777777" w:rsidTr="00041416">
        <w:trPr>
          <w:gridBefore w:val="1"/>
          <w:wBefore w:w="17" w:type="dxa"/>
          <w:trHeight w:val="993"/>
        </w:trPr>
        <w:tc>
          <w:tcPr>
            <w:tcW w:w="1350" w:type="dxa"/>
            <w:tcBorders>
              <w:bottom w:val="single" w:sz="12" w:space="0" w:color="000000"/>
            </w:tcBorders>
            <w:shd w:val="clear" w:color="auto" w:fill="auto"/>
          </w:tcPr>
          <w:p w14:paraId="48EF00F1" w14:textId="77777777" w:rsidR="00041416" w:rsidRPr="00041416" w:rsidRDefault="000A79AF" w:rsidP="00BB67DC">
            <w:pPr>
              <w:pStyle w:val="Header"/>
              <w:spacing w:line="240" w:lineRule="auto"/>
              <w:rPr>
                <w:noProof/>
                <w:kern w:val="22"/>
              </w:rPr>
            </w:pPr>
            <w:r w:rsidRPr="00041416">
              <w:rPr>
                <w:noProof/>
                <w:kern w:val="22"/>
                <w:lang w:val="en-US"/>
              </w:rPr>
              <w:drawing>
                <wp:inline distT="0" distB="0" distL="0" distR="0" wp14:anchorId="4573DDB3" wp14:editId="090D048E">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60" w:type="dxa"/>
            <w:tcBorders>
              <w:bottom w:val="single" w:sz="12" w:space="0" w:color="000000"/>
            </w:tcBorders>
            <w:shd w:val="clear" w:color="auto" w:fill="auto"/>
          </w:tcPr>
          <w:p w14:paraId="1403F871" w14:textId="77777777" w:rsidR="00041416" w:rsidRPr="00041416" w:rsidRDefault="000A79AF" w:rsidP="00BB67DC">
            <w:pPr>
              <w:rPr>
                <w:noProof/>
                <w:kern w:val="22"/>
              </w:rPr>
            </w:pPr>
            <w:r w:rsidRPr="00041416">
              <w:rPr>
                <w:noProof/>
                <w:kern w:val="22"/>
                <w:lang w:val="en-US"/>
              </w:rPr>
              <w:drawing>
                <wp:inline distT="0" distB="0" distL="0" distR="0" wp14:anchorId="53747DF9" wp14:editId="371190C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shd w:val="clear" w:color="auto" w:fill="auto"/>
          </w:tcPr>
          <w:p w14:paraId="775EC730" w14:textId="77777777" w:rsidR="00041416" w:rsidRPr="00041416" w:rsidRDefault="00041416" w:rsidP="00BB67DC">
            <w:pPr>
              <w:jc w:val="right"/>
              <w:rPr>
                <w:rFonts w:ascii="Univers" w:hAnsi="Univers"/>
                <w:b/>
                <w:kern w:val="22"/>
                <w:sz w:val="32"/>
                <w:szCs w:val="32"/>
              </w:rPr>
            </w:pPr>
            <w:r w:rsidRPr="00041416">
              <w:rPr>
                <w:rFonts w:ascii="Univers" w:hAnsi="Univers"/>
                <w:b/>
                <w:kern w:val="22"/>
                <w:sz w:val="32"/>
                <w:szCs w:val="32"/>
              </w:rPr>
              <w:t>CBD</w:t>
            </w:r>
          </w:p>
        </w:tc>
      </w:tr>
      <w:tr w:rsidR="00D517ED" w:rsidRPr="001B19F9" w14:paraId="456ED91C" w14:textId="77777777" w:rsidTr="00041416">
        <w:trPr>
          <w:trHeight w:val="1925"/>
        </w:trPr>
        <w:tc>
          <w:tcPr>
            <w:tcW w:w="5238" w:type="dxa"/>
            <w:gridSpan w:val="4"/>
          </w:tcPr>
          <w:p w14:paraId="191F9378" w14:textId="77777777" w:rsidR="00D517ED" w:rsidRPr="00EC3104" w:rsidRDefault="000A79AF" w:rsidP="00BB67DC">
            <w:pPr>
              <w:jc w:val="left"/>
              <w:rPr>
                <w:kern w:val="22"/>
                <w:szCs w:val="22"/>
              </w:rPr>
            </w:pPr>
            <w:r w:rsidRPr="001B19F9">
              <w:rPr>
                <w:noProof/>
                <w:kern w:val="22"/>
                <w:szCs w:val="22"/>
                <w:lang w:val="en-US"/>
              </w:rPr>
              <w:drawing>
                <wp:inline distT="0" distB="0" distL="0" distR="0" wp14:anchorId="37EAE0AE" wp14:editId="48BA3F43">
                  <wp:extent cx="2838450" cy="1076325"/>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824" w:type="dxa"/>
          </w:tcPr>
          <w:p w14:paraId="6B692A5F" w14:textId="77777777" w:rsidR="00D517ED" w:rsidRPr="00F3253C" w:rsidRDefault="00D517ED" w:rsidP="00BB67DC">
            <w:pPr>
              <w:rPr>
                <w:kern w:val="22"/>
                <w:szCs w:val="22"/>
              </w:rPr>
            </w:pPr>
          </w:p>
        </w:tc>
        <w:tc>
          <w:tcPr>
            <w:tcW w:w="3685" w:type="dxa"/>
          </w:tcPr>
          <w:p w14:paraId="3C8B7F2A" w14:textId="77777777" w:rsidR="00D517ED" w:rsidRPr="00E424DE" w:rsidRDefault="00D517ED" w:rsidP="00022B67">
            <w:pPr>
              <w:ind w:left="176"/>
              <w:jc w:val="left"/>
              <w:rPr>
                <w:kern w:val="22"/>
                <w:szCs w:val="22"/>
                <w:lang w:val="pt-BR"/>
              </w:rPr>
            </w:pPr>
            <w:r w:rsidRPr="00E424DE">
              <w:rPr>
                <w:kern w:val="22"/>
                <w:szCs w:val="22"/>
                <w:lang w:val="pt-BR"/>
              </w:rPr>
              <w:t>Distr.</w:t>
            </w:r>
          </w:p>
          <w:p w14:paraId="4E9A4373" w14:textId="77777777" w:rsidR="00D517ED" w:rsidRPr="00E424DE" w:rsidRDefault="00D517ED" w:rsidP="00022B67">
            <w:pPr>
              <w:ind w:left="176"/>
              <w:jc w:val="left"/>
              <w:rPr>
                <w:kern w:val="22"/>
                <w:szCs w:val="22"/>
                <w:lang w:val="pt-BR"/>
              </w:rPr>
            </w:pPr>
            <w:r w:rsidRPr="00E424DE">
              <w:rPr>
                <w:kern w:val="22"/>
                <w:szCs w:val="22"/>
                <w:lang w:val="pt-BR"/>
              </w:rPr>
              <w:t>GENERAL</w:t>
            </w:r>
          </w:p>
          <w:p w14:paraId="0F1A80C6" w14:textId="77777777" w:rsidR="00D517ED" w:rsidRPr="00E424DE" w:rsidRDefault="00D517ED" w:rsidP="00022B67">
            <w:pPr>
              <w:ind w:left="176"/>
              <w:rPr>
                <w:kern w:val="22"/>
                <w:szCs w:val="22"/>
                <w:lang w:val="pt-BR"/>
              </w:rPr>
            </w:pPr>
          </w:p>
          <w:p w14:paraId="06CAF849" w14:textId="5A4D2A81" w:rsidR="00D517ED" w:rsidRPr="00E424DE" w:rsidRDefault="00BB53BA" w:rsidP="00022B67">
            <w:pPr>
              <w:tabs>
                <w:tab w:val="left" w:pos="0"/>
              </w:tabs>
              <w:suppressAutoHyphens/>
              <w:ind w:left="176"/>
              <w:rPr>
                <w:kern w:val="22"/>
                <w:szCs w:val="22"/>
                <w:lang w:val="pt-BR"/>
              </w:rPr>
            </w:pPr>
            <w:r w:rsidRPr="00E424DE">
              <w:rPr>
                <w:kern w:val="22"/>
                <w:szCs w:val="22"/>
                <w:lang w:val="pt-BR"/>
              </w:rPr>
              <w:t>CBD/SBSTTA/21</w:t>
            </w:r>
            <w:r w:rsidR="00D517ED" w:rsidRPr="00E424DE">
              <w:rPr>
                <w:kern w:val="22"/>
                <w:szCs w:val="22"/>
                <w:lang w:val="pt-BR"/>
              </w:rPr>
              <w:t>/</w:t>
            </w:r>
            <w:r w:rsidR="005356E0" w:rsidRPr="00E424DE">
              <w:rPr>
                <w:kern w:val="22"/>
                <w:szCs w:val="22"/>
                <w:lang w:val="pt-BR"/>
              </w:rPr>
              <w:t>INF/</w:t>
            </w:r>
            <w:r w:rsidR="000C604F" w:rsidRPr="00E424DE">
              <w:rPr>
                <w:kern w:val="22"/>
                <w:szCs w:val="22"/>
                <w:lang w:val="pt-BR"/>
              </w:rPr>
              <w:t>18</w:t>
            </w:r>
            <w:r w:rsidR="00022B67">
              <w:rPr>
                <w:kern w:val="22"/>
                <w:szCs w:val="22"/>
                <w:lang w:val="pt-BR"/>
              </w:rPr>
              <w:t>/Rev.1</w:t>
            </w:r>
          </w:p>
          <w:p w14:paraId="33A3BF85" w14:textId="77777777" w:rsidR="00D517ED" w:rsidRPr="004B5E73" w:rsidRDefault="000C604F" w:rsidP="00022B67">
            <w:pPr>
              <w:tabs>
                <w:tab w:val="left" w:pos="0"/>
              </w:tabs>
              <w:suppressAutoHyphens/>
              <w:ind w:left="176"/>
              <w:rPr>
                <w:kern w:val="22"/>
                <w:szCs w:val="22"/>
              </w:rPr>
            </w:pPr>
            <w:r w:rsidRPr="00240E97">
              <w:rPr>
                <w:kern w:val="22"/>
                <w:szCs w:val="22"/>
              </w:rPr>
              <w:t xml:space="preserve">6 </w:t>
            </w:r>
            <w:r w:rsidR="00323474" w:rsidRPr="00240E97">
              <w:rPr>
                <w:kern w:val="22"/>
                <w:szCs w:val="22"/>
              </w:rPr>
              <w:t>December</w:t>
            </w:r>
            <w:r w:rsidR="00D517ED" w:rsidRPr="00240E97">
              <w:rPr>
                <w:kern w:val="22"/>
                <w:szCs w:val="22"/>
              </w:rPr>
              <w:t xml:space="preserve"> </w:t>
            </w:r>
            <w:r w:rsidR="00BB53BA" w:rsidRPr="00240E97">
              <w:rPr>
                <w:kern w:val="22"/>
                <w:szCs w:val="22"/>
              </w:rPr>
              <w:t>2017</w:t>
            </w:r>
          </w:p>
          <w:p w14:paraId="2BF7113B" w14:textId="77777777" w:rsidR="00D517ED" w:rsidRPr="004B5E73" w:rsidRDefault="00D517ED" w:rsidP="00022B67">
            <w:pPr>
              <w:ind w:left="176"/>
              <w:rPr>
                <w:kern w:val="22"/>
                <w:szCs w:val="22"/>
              </w:rPr>
            </w:pPr>
          </w:p>
          <w:p w14:paraId="405CDBF3" w14:textId="77777777" w:rsidR="00D517ED" w:rsidRPr="004B5E73" w:rsidRDefault="00D517ED" w:rsidP="00022B67">
            <w:pPr>
              <w:ind w:left="176"/>
              <w:rPr>
                <w:rFonts w:ascii="Courier New" w:hAnsi="Courier New"/>
                <w:kern w:val="22"/>
                <w:szCs w:val="22"/>
              </w:rPr>
            </w:pPr>
            <w:r w:rsidRPr="004B5E73">
              <w:rPr>
                <w:kern w:val="22"/>
                <w:szCs w:val="22"/>
              </w:rPr>
              <w:t>ENGLISH</w:t>
            </w:r>
            <w:r w:rsidR="008463DB" w:rsidRPr="004B5E73">
              <w:rPr>
                <w:kern w:val="22"/>
                <w:szCs w:val="22"/>
              </w:rPr>
              <w:t xml:space="preserve"> ONLY</w:t>
            </w:r>
          </w:p>
        </w:tc>
      </w:tr>
    </w:tbl>
    <w:p w14:paraId="488BED39" w14:textId="77777777" w:rsidR="00D517ED" w:rsidRPr="00667125" w:rsidRDefault="00D517ED" w:rsidP="00BB67DC">
      <w:pPr>
        <w:pStyle w:val="Cornernotation"/>
        <w:ind w:right="4540"/>
        <w:rPr>
          <w:kern w:val="22"/>
          <w:szCs w:val="22"/>
        </w:rPr>
      </w:pPr>
      <w:r w:rsidRPr="00667125">
        <w:rPr>
          <w:caps/>
          <w:kern w:val="22"/>
          <w:szCs w:val="22"/>
        </w:rPr>
        <w:t>Subsidiary Body on Scientific, Technical and Technological Advice</w:t>
      </w:r>
    </w:p>
    <w:p w14:paraId="3B188CAF" w14:textId="77777777" w:rsidR="00BB53BA" w:rsidRPr="0060692E" w:rsidRDefault="00BB53BA" w:rsidP="00BB67DC">
      <w:pPr>
        <w:rPr>
          <w:kern w:val="22"/>
          <w:szCs w:val="22"/>
        </w:rPr>
      </w:pPr>
      <w:r w:rsidRPr="0060692E">
        <w:rPr>
          <w:kern w:val="22"/>
          <w:szCs w:val="22"/>
        </w:rPr>
        <w:t>Twenty-first meeting</w:t>
      </w:r>
    </w:p>
    <w:p w14:paraId="37D9DB69" w14:textId="77777777" w:rsidR="00D517ED" w:rsidRPr="00E638E3" w:rsidRDefault="00D517ED" w:rsidP="00BB67DC">
      <w:pPr>
        <w:rPr>
          <w:kern w:val="22"/>
          <w:szCs w:val="22"/>
        </w:rPr>
      </w:pPr>
      <w:r w:rsidRPr="00E638E3">
        <w:rPr>
          <w:kern w:val="22"/>
          <w:szCs w:val="22"/>
        </w:rPr>
        <w:t xml:space="preserve">Montreal, Canada, </w:t>
      </w:r>
      <w:r w:rsidR="00BB53BA" w:rsidRPr="00E638E3">
        <w:rPr>
          <w:kern w:val="22"/>
          <w:szCs w:val="22"/>
        </w:rPr>
        <w:t>11</w:t>
      </w:r>
      <w:r w:rsidRPr="00E638E3">
        <w:rPr>
          <w:kern w:val="22"/>
          <w:szCs w:val="22"/>
        </w:rPr>
        <w:t>-</w:t>
      </w:r>
      <w:r w:rsidR="00BB53BA" w:rsidRPr="00E638E3">
        <w:rPr>
          <w:kern w:val="22"/>
          <w:szCs w:val="22"/>
        </w:rPr>
        <w:t>14</w:t>
      </w:r>
      <w:r w:rsidRPr="00E638E3">
        <w:rPr>
          <w:kern w:val="22"/>
          <w:szCs w:val="22"/>
        </w:rPr>
        <w:t xml:space="preserve"> </w:t>
      </w:r>
      <w:r w:rsidR="00BB53BA" w:rsidRPr="00E638E3">
        <w:rPr>
          <w:kern w:val="22"/>
          <w:szCs w:val="22"/>
        </w:rPr>
        <w:t>December 2017</w:t>
      </w:r>
    </w:p>
    <w:p w14:paraId="3BC309B6" w14:textId="77777777" w:rsidR="00F826FE" w:rsidRPr="00667125" w:rsidRDefault="00BB53BA" w:rsidP="00BB67DC">
      <w:pPr>
        <w:rPr>
          <w:kern w:val="22"/>
          <w:szCs w:val="22"/>
        </w:rPr>
      </w:pPr>
      <w:r w:rsidRPr="00667125">
        <w:rPr>
          <w:kern w:val="22"/>
          <w:szCs w:val="22"/>
        </w:rPr>
        <w:t xml:space="preserve">Item </w:t>
      </w:r>
      <w:r w:rsidR="00BE40DE" w:rsidRPr="00667125">
        <w:rPr>
          <w:kern w:val="22"/>
          <w:szCs w:val="22"/>
        </w:rPr>
        <w:t>3</w:t>
      </w:r>
      <w:r w:rsidRPr="00667125">
        <w:rPr>
          <w:kern w:val="22"/>
          <w:szCs w:val="22"/>
        </w:rPr>
        <w:t xml:space="preserve"> of the provisional agenda</w:t>
      </w:r>
      <w:r w:rsidR="00F826FE" w:rsidRPr="00667125">
        <w:rPr>
          <w:rStyle w:val="FootnoteReference"/>
          <w:snapToGrid w:val="0"/>
          <w:kern w:val="22"/>
          <w:sz w:val="22"/>
          <w:szCs w:val="22"/>
          <w:u w:val="none"/>
          <w:vertAlign w:val="superscript"/>
        </w:rPr>
        <w:footnoteReference w:customMarkFollows="1" w:id="1"/>
        <w:t>*</w:t>
      </w:r>
    </w:p>
    <w:p w14:paraId="4458584B" w14:textId="77777777" w:rsidR="00D260E2" w:rsidRPr="00240E97" w:rsidRDefault="00667125" w:rsidP="00240E97">
      <w:pPr>
        <w:pStyle w:val="heading2notforTOC"/>
        <w:tabs>
          <w:tab w:val="clear" w:pos="567"/>
        </w:tabs>
        <w:spacing w:before="240" w:after="0"/>
        <w:rPr>
          <w:rFonts w:ascii="Times New Roman Bold" w:hAnsi="Times New Roman Bold" w:cs="Times New Roman Bold" w:hint="eastAsia"/>
          <w:b/>
          <w:bCs/>
          <w:i w:val="0"/>
          <w:iCs w:val="0"/>
          <w:caps/>
          <w:snapToGrid w:val="0"/>
          <w:kern w:val="22"/>
          <w:szCs w:val="22"/>
        </w:rPr>
      </w:pPr>
      <w:r w:rsidRPr="00240E97">
        <w:rPr>
          <w:rFonts w:ascii="Times New Roman Bold" w:hAnsi="Times New Roman Bold" w:cs="Times New Roman Bold"/>
          <w:b/>
          <w:bCs/>
          <w:i w:val="0"/>
          <w:iCs w:val="0"/>
          <w:caps/>
          <w:snapToGrid w:val="0"/>
          <w:kern w:val="22"/>
          <w:szCs w:val="22"/>
        </w:rPr>
        <w:t xml:space="preserve">Multiscale, cross-sectoral scenarios for </w:t>
      </w:r>
      <w:r w:rsidRPr="00240E97">
        <w:rPr>
          <w:rFonts w:ascii="Times New Roman Bold" w:hAnsi="Times New Roman Bold" w:cs="Times New Roman Bold"/>
          <w:b/>
          <w:bCs/>
          <w:i w:val="0"/>
          <w:caps/>
          <w:snapToGrid w:val="0"/>
          <w:kern w:val="22"/>
          <w:szCs w:val="22"/>
        </w:rPr>
        <w:t>nature futures</w:t>
      </w:r>
      <w:r w:rsidRPr="00240E97">
        <w:rPr>
          <w:rFonts w:ascii="Times New Roman Bold" w:hAnsi="Times New Roman Bold" w:cs="Times New Roman Bold"/>
          <w:b/>
          <w:bCs/>
          <w:i w:val="0"/>
          <w:iCs w:val="0"/>
          <w:caps/>
          <w:snapToGrid w:val="0"/>
          <w:kern w:val="22"/>
          <w:szCs w:val="22"/>
        </w:rPr>
        <w:t>: The positive visions for biodiversity, ecosystem services, and human well-being</w:t>
      </w:r>
    </w:p>
    <w:p w14:paraId="0C401289" w14:textId="77777777" w:rsidR="00D260E2" w:rsidRPr="0060692E" w:rsidRDefault="00D260E2" w:rsidP="005A61D1">
      <w:pPr>
        <w:pStyle w:val="heading2notforTOC"/>
        <w:tabs>
          <w:tab w:val="clear" w:pos="567"/>
        </w:tabs>
        <w:spacing w:after="0"/>
        <w:rPr>
          <w:snapToGrid w:val="0"/>
          <w:kern w:val="22"/>
          <w:szCs w:val="22"/>
        </w:rPr>
      </w:pPr>
      <w:r w:rsidRPr="0060692E">
        <w:rPr>
          <w:snapToGrid w:val="0"/>
          <w:kern w:val="22"/>
          <w:szCs w:val="22"/>
        </w:rPr>
        <w:t>Note by the Executive Secretary</w:t>
      </w:r>
    </w:p>
    <w:p w14:paraId="1113CAB8" w14:textId="77777777" w:rsidR="00D260E2" w:rsidRPr="00667125" w:rsidRDefault="00D260E2" w:rsidP="00240E97">
      <w:pPr>
        <w:pStyle w:val="Para1"/>
        <w:numPr>
          <w:ilvl w:val="0"/>
          <w:numId w:val="9"/>
        </w:numPr>
        <w:tabs>
          <w:tab w:val="clear" w:pos="1080"/>
        </w:tabs>
        <w:ind w:left="0" w:firstLine="0"/>
        <w:rPr>
          <w:rFonts w:eastAsia="Malgun Gothic"/>
          <w:kern w:val="22"/>
          <w:szCs w:val="22"/>
        </w:rPr>
      </w:pPr>
      <w:r w:rsidRPr="0032539F">
        <w:rPr>
          <w:szCs w:val="22"/>
        </w:rPr>
        <w:t xml:space="preserve">The Executive Secretary is circulating herewith, for the information of participants in the twenty-first meeting of the Subsidiary Body on Scientific, Technical and Technological Advice, a note </w:t>
      </w:r>
      <w:r w:rsidR="00F4715C" w:rsidRPr="0032539F">
        <w:rPr>
          <w:szCs w:val="22"/>
        </w:rPr>
        <w:t>on developing</w:t>
      </w:r>
      <w:r w:rsidR="009E7CF2" w:rsidRPr="0032539F">
        <w:rPr>
          <w:szCs w:val="22"/>
        </w:rPr>
        <w:t xml:space="preserve"> multiscale</w:t>
      </w:r>
      <w:r w:rsidR="00F223C9" w:rsidRPr="0032539F">
        <w:rPr>
          <w:szCs w:val="22"/>
        </w:rPr>
        <w:t xml:space="preserve"> and cross-sectoral</w:t>
      </w:r>
      <w:r w:rsidR="009E7CF2" w:rsidRPr="0032539F">
        <w:rPr>
          <w:szCs w:val="22"/>
        </w:rPr>
        <w:t xml:space="preserve"> scenarios fo</w:t>
      </w:r>
      <w:bookmarkStart w:id="0" w:name="_GoBack"/>
      <w:bookmarkEnd w:id="0"/>
      <w:r w:rsidR="009E7CF2" w:rsidRPr="0032539F">
        <w:rPr>
          <w:szCs w:val="22"/>
        </w:rPr>
        <w:t>r</w:t>
      </w:r>
      <w:r w:rsidR="004735D6" w:rsidRPr="00240E97">
        <w:rPr>
          <w:szCs w:val="22"/>
        </w:rPr>
        <w:t xml:space="preserve"> </w:t>
      </w:r>
      <w:r w:rsidR="004735D6" w:rsidRPr="00240E97">
        <w:rPr>
          <w:iCs/>
          <w:szCs w:val="22"/>
        </w:rPr>
        <w:t>Nature Futures</w:t>
      </w:r>
      <w:r w:rsidR="00F4715C" w:rsidRPr="00240E97">
        <w:rPr>
          <w:szCs w:val="22"/>
        </w:rPr>
        <w:t xml:space="preserve">. It </w:t>
      </w:r>
      <w:r w:rsidR="00E75EE1" w:rsidRPr="00240E97">
        <w:rPr>
          <w:szCs w:val="22"/>
        </w:rPr>
        <w:t xml:space="preserve">describes a process for </w:t>
      </w:r>
      <w:r w:rsidR="004735D6" w:rsidRPr="00240E97">
        <w:rPr>
          <w:szCs w:val="22"/>
        </w:rPr>
        <w:t xml:space="preserve">visioning </w:t>
      </w:r>
      <w:r w:rsidR="006E030C" w:rsidRPr="00240E97">
        <w:rPr>
          <w:szCs w:val="22"/>
        </w:rPr>
        <w:t>new</w:t>
      </w:r>
      <w:r w:rsidR="00430874" w:rsidRPr="00240E97">
        <w:rPr>
          <w:szCs w:val="22"/>
        </w:rPr>
        <w:t xml:space="preserve"> scenarios </w:t>
      </w:r>
      <w:r w:rsidR="00D5431A" w:rsidRPr="00240E97">
        <w:rPr>
          <w:szCs w:val="22"/>
        </w:rPr>
        <w:t>o</w:t>
      </w:r>
      <w:r w:rsidR="00430874" w:rsidRPr="00240E97">
        <w:rPr>
          <w:szCs w:val="22"/>
        </w:rPr>
        <w:t>n biodiversity</w:t>
      </w:r>
      <w:r w:rsidR="00A77D20" w:rsidRPr="00240E97">
        <w:rPr>
          <w:szCs w:val="22"/>
        </w:rPr>
        <w:t xml:space="preserve">, </w:t>
      </w:r>
      <w:r w:rsidR="00430874" w:rsidRPr="00240E97">
        <w:rPr>
          <w:szCs w:val="22"/>
        </w:rPr>
        <w:t>ecosystem services</w:t>
      </w:r>
      <w:r w:rsidR="00A77D20" w:rsidRPr="00240E97">
        <w:rPr>
          <w:szCs w:val="22"/>
        </w:rPr>
        <w:t>, and human well-being</w:t>
      </w:r>
      <w:r w:rsidR="00E75EE1" w:rsidRPr="00240E97">
        <w:rPr>
          <w:szCs w:val="22"/>
        </w:rPr>
        <w:t>, and provides a summary of progress made to date</w:t>
      </w:r>
      <w:r w:rsidRPr="00667125">
        <w:rPr>
          <w:rFonts w:eastAsia="Malgun Gothic"/>
          <w:kern w:val="22"/>
          <w:szCs w:val="22"/>
        </w:rPr>
        <w:t>. The note has been prepare</w:t>
      </w:r>
      <w:r w:rsidR="00AD62A2" w:rsidRPr="00667125">
        <w:rPr>
          <w:rFonts w:eastAsia="Malgun Gothic"/>
          <w:kern w:val="22"/>
          <w:szCs w:val="22"/>
        </w:rPr>
        <w:t>d</w:t>
      </w:r>
      <w:r w:rsidRPr="00667125">
        <w:rPr>
          <w:rFonts w:eastAsia="Malgun Gothic"/>
          <w:kern w:val="22"/>
          <w:szCs w:val="22"/>
        </w:rPr>
        <w:t xml:space="preserve"> by the </w:t>
      </w:r>
      <w:r w:rsidR="004735D6" w:rsidRPr="00667125">
        <w:rPr>
          <w:rFonts w:eastAsia="Malgun Gothic"/>
          <w:kern w:val="22"/>
          <w:szCs w:val="22"/>
        </w:rPr>
        <w:t>Expert Group on Scenarios and Modelling</w:t>
      </w:r>
      <w:r w:rsidR="00DF4B59" w:rsidRPr="00667125">
        <w:rPr>
          <w:rFonts w:eastAsia="Malgun Gothic"/>
          <w:kern w:val="22"/>
          <w:szCs w:val="22"/>
        </w:rPr>
        <w:t xml:space="preserve"> of </w:t>
      </w:r>
      <w:r w:rsidR="00180216" w:rsidRPr="00667125">
        <w:rPr>
          <w:rFonts w:eastAsia="Malgun Gothic"/>
          <w:kern w:val="22"/>
          <w:szCs w:val="22"/>
        </w:rPr>
        <w:t xml:space="preserve">the </w:t>
      </w:r>
      <w:r w:rsidR="00DF4B59" w:rsidRPr="00667125">
        <w:rPr>
          <w:rFonts w:eastAsia="Malgun Gothic"/>
          <w:kern w:val="22"/>
          <w:szCs w:val="22"/>
        </w:rPr>
        <w:t xml:space="preserve">Intergovernmental </w:t>
      </w:r>
      <w:r w:rsidR="0060692E" w:rsidRPr="0060692E">
        <w:rPr>
          <w:rFonts w:eastAsia="Malgun Gothic"/>
          <w:kern w:val="22"/>
          <w:szCs w:val="22"/>
        </w:rPr>
        <w:t xml:space="preserve">Science-Policy </w:t>
      </w:r>
      <w:r w:rsidR="00DF4B59" w:rsidRPr="0060692E">
        <w:rPr>
          <w:rFonts w:eastAsia="Malgun Gothic"/>
          <w:kern w:val="22"/>
          <w:szCs w:val="22"/>
        </w:rPr>
        <w:t xml:space="preserve">Platform on Biodiversity and Ecosystem Services </w:t>
      </w:r>
      <w:r w:rsidR="007D3B8A" w:rsidRPr="007D3B8A">
        <w:rPr>
          <w:rFonts w:eastAsia="Malgun Gothic"/>
          <w:kern w:val="22"/>
          <w:szCs w:val="22"/>
        </w:rPr>
        <w:t>led by Co-Chairs Dr</w:t>
      </w:r>
      <w:r w:rsidR="007D3B8A">
        <w:rPr>
          <w:rFonts w:eastAsia="Malgun Gothic"/>
          <w:kern w:val="22"/>
          <w:szCs w:val="22"/>
        </w:rPr>
        <w:t> </w:t>
      </w:r>
      <w:r w:rsidR="007D3B8A" w:rsidRPr="007D3B8A">
        <w:rPr>
          <w:rFonts w:eastAsia="Malgun Gothic"/>
          <w:kern w:val="22"/>
          <w:szCs w:val="22"/>
        </w:rPr>
        <w:t>Carolyn Lundquist (NIWA, New Zealand) and Prof</w:t>
      </w:r>
      <w:r w:rsidR="007D3B8A">
        <w:rPr>
          <w:rFonts w:eastAsia="Malgun Gothic"/>
          <w:kern w:val="22"/>
          <w:szCs w:val="22"/>
        </w:rPr>
        <w:t>.</w:t>
      </w:r>
      <w:r w:rsidR="007D3B8A" w:rsidRPr="007D3B8A">
        <w:rPr>
          <w:rFonts w:eastAsia="Malgun Gothic"/>
          <w:kern w:val="22"/>
          <w:szCs w:val="22"/>
        </w:rPr>
        <w:t xml:space="preserve"> Henrique Pereira (iDiv) </w:t>
      </w:r>
      <w:r w:rsidRPr="0060692E">
        <w:rPr>
          <w:rFonts w:eastAsia="Malgun Gothic"/>
          <w:kern w:val="22"/>
          <w:szCs w:val="22"/>
        </w:rPr>
        <w:t xml:space="preserve">with inputs from </w:t>
      </w:r>
      <w:r w:rsidR="0045071D" w:rsidRPr="00C15AE3">
        <w:rPr>
          <w:rFonts w:eastAsia="Malgun Gothic"/>
          <w:kern w:val="22"/>
          <w:szCs w:val="22"/>
        </w:rPr>
        <w:t>Isabel M.D. Rosa and HyeJin Kim</w:t>
      </w:r>
      <w:r w:rsidR="0045071D" w:rsidRPr="00240E97">
        <w:rPr>
          <w:snapToGrid/>
          <w:color w:val="000000"/>
          <w:szCs w:val="22"/>
          <w:shd w:val="clear" w:color="auto" w:fill="FFFFFF"/>
        </w:rPr>
        <w:t xml:space="preserve"> (</w:t>
      </w:r>
      <w:r w:rsidR="0045071D" w:rsidRPr="00667125">
        <w:rPr>
          <w:rFonts w:eastAsia="Malgun Gothic"/>
          <w:kern w:val="22"/>
          <w:szCs w:val="22"/>
        </w:rPr>
        <w:t>German Centre for Integrative Biodiversity Research</w:t>
      </w:r>
      <w:r w:rsidR="00C15AE3" w:rsidRPr="00C15AE3">
        <w:rPr>
          <w:rFonts w:eastAsia="Malgun Gothic"/>
          <w:kern w:val="22"/>
          <w:szCs w:val="22"/>
        </w:rPr>
        <w:t xml:space="preserve"> </w:t>
      </w:r>
      <w:r w:rsidR="00C15AE3">
        <w:rPr>
          <w:rFonts w:eastAsia="Malgun Gothic"/>
          <w:kern w:val="22"/>
          <w:szCs w:val="22"/>
        </w:rPr>
        <w:t>(</w:t>
      </w:r>
      <w:r w:rsidR="00C15AE3" w:rsidRPr="00667125">
        <w:rPr>
          <w:rFonts w:eastAsia="Malgun Gothic"/>
          <w:kern w:val="22"/>
          <w:szCs w:val="22"/>
        </w:rPr>
        <w:t>iDiv</w:t>
      </w:r>
      <w:r w:rsidR="00C15AE3">
        <w:rPr>
          <w:rFonts w:eastAsia="Malgun Gothic"/>
          <w:kern w:val="22"/>
          <w:szCs w:val="22"/>
        </w:rPr>
        <w:t>)</w:t>
      </w:r>
      <w:r w:rsidR="0045071D" w:rsidRPr="00667125">
        <w:rPr>
          <w:rFonts w:eastAsia="Malgun Gothic"/>
          <w:kern w:val="22"/>
          <w:szCs w:val="22"/>
        </w:rPr>
        <w:t>)</w:t>
      </w:r>
      <w:r w:rsidR="00375D81">
        <w:rPr>
          <w:rFonts w:eastAsia="Malgun Gothic"/>
          <w:kern w:val="22"/>
          <w:szCs w:val="22"/>
        </w:rPr>
        <w:t>,</w:t>
      </w:r>
      <w:r w:rsidR="0045071D" w:rsidRPr="00667125">
        <w:rPr>
          <w:rFonts w:eastAsia="Malgun Gothic"/>
          <w:kern w:val="22"/>
          <w:szCs w:val="22"/>
        </w:rPr>
        <w:t xml:space="preserve"> </w:t>
      </w:r>
      <w:r w:rsidR="007D3B8A" w:rsidRPr="007D3B8A">
        <w:rPr>
          <w:rFonts w:eastAsia="Malgun Gothic"/>
          <w:kern w:val="22"/>
          <w:szCs w:val="22"/>
        </w:rPr>
        <w:t xml:space="preserve">the Technical Support Unit based at </w:t>
      </w:r>
      <w:r w:rsidR="00003ED0">
        <w:rPr>
          <w:rFonts w:eastAsia="Malgun Gothic"/>
          <w:kern w:val="22"/>
          <w:szCs w:val="22"/>
        </w:rPr>
        <w:t xml:space="preserve">the </w:t>
      </w:r>
      <w:r w:rsidR="00003ED0" w:rsidRPr="00003ED0">
        <w:rPr>
          <w:rFonts w:eastAsia="Malgun Gothic"/>
          <w:kern w:val="22"/>
          <w:szCs w:val="22"/>
        </w:rPr>
        <w:t>Netherlands Environmental Assessment Agency</w:t>
      </w:r>
      <w:r w:rsidR="007D3B8A" w:rsidRPr="007D3B8A">
        <w:rPr>
          <w:rFonts w:eastAsia="Malgun Gothic"/>
          <w:kern w:val="22"/>
          <w:szCs w:val="22"/>
        </w:rPr>
        <w:t>,</w:t>
      </w:r>
      <w:r w:rsidR="007D3B8A">
        <w:rPr>
          <w:rFonts w:eastAsia="Malgun Gothic"/>
          <w:kern w:val="22"/>
          <w:szCs w:val="22"/>
        </w:rPr>
        <w:t xml:space="preserve"> </w:t>
      </w:r>
      <w:r w:rsidR="0045071D" w:rsidRPr="00667125">
        <w:rPr>
          <w:rFonts w:eastAsia="Malgun Gothic"/>
          <w:kern w:val="22"/>
          <w:szCs w:val="22"/>
        </w:rPr>
        <w:t xml:space="preserve">and </w:t>
      </w:r>
      <w:r w:rsidRPr="00667125">
        <w:rPr>
          <w:rFonts w:eastAsia="Malgun Gothic"/>
          <w:kern w:val="22"/>
          <w:szCs w:val="22"/>
        </w:rPr>
        <w:t xml:space="preserve">the </w:t>
      </w:r>
      <w:r w:rsidR="007D3B8A">
        <w:rPr>
          <w:rFonts w:eastAsia="Malgun Gothic"/>
          <w:kern w:val="22"/>
          <w:szCs w:val="22"/>
        </w:rPr>
        <w:t xml:space="preserve">IPBES </w:t>
      </w:r>
      <w:r w:rsidRPr="00667125">
        <w:rPr>
          <w:rFonts w:eastAsia="Malgun Gothic"/>
          <w:kern w:val="22"/>
          <w:szCs w:val="22"/>
        </w:rPr>
        <w:t>Secretariat</w:t>
      </w:r>
      <w:r w:rsidR="00AA0754" w:rsidRPr="00667125">
        <w:rPr>
          <w:rFonts w:eastAsia="Malgun Gothic"/>
          <w:kern w:val="22"/>
          <w:szCs w:val="22"/>
        </w:rPr>
        <w:t>.</w:t>
      </w:r>
    </w:p>
    <w:p w14:paraId="3F54AA1E" w14:textId="2A18DD8D" w:rsidR="007675CF" w:rsidRPr="00E424DE" w:rsidRDefault="00E424DE" w:rsidP="00E424DE">
      <w:pPr>
        <w:pStyle w:val="Para1"/>
        <w:numPr>
          <w:ilvl w:val="0"/>
          <w:numId w:val="9"/>
        </w:numPr>
        <w:tabs>
          <w:tab w:val="clear" w:pos="1080"/>
          <w:tab w:val="num" w:pos="142"/>
        </w:tabs>
        <w:ind w:left="0" w:firstLine="0"/>
        <w:rPr>
          <w:i/>
          <w:iCs/>
          <w:szCs w:val="22"/>
        </w:rPr>
      </w:pPr>
      <w:r>
        <w:rPr>
          <w:szCs w:val="22"/>
        </w:rPr>
        <w:t>T</w:t>
      </w:r>
      <w:r w:rsidR="00754AB1">
        <w:rPr>
          <w:szCs w:val="22"/>
        </w:rPr>
        <w:t>he</w:t>
      </w:r>
      <w:r w:rsidR="00754AB1" w:rsidRPr="0032539F">
        <w:rPr>
          <w:szCs w:val="22"/>
        </w:rPr>
        <w:t xml:space="preserve"> </w:t>
      </w:r>
      <w:r w:rsidR="00BC0E4C" w:rsidRPr="0032539F">
        <w:rPr>
          <w:szCs w:val="22"/>
        </w:rPr>
        <w:t>present</w:t>
      </w:r>
      <w:r w:rsidR="00D260E2" w:rsidRPr="0032539F">
        <w:rPr>
          <w:szCs w:val="22"/>
        </w:rPr>
        <w:t xml:space="preserve"> note </w:t>
      </w:r>
      <w:r w:rsidRPr="0032539F">
        <w:rPr>
          <w:szCs w:val="22"/>
        </w:rPr>
        <w:t>provid</w:t>
      </w:r>
      <w:r>
        <w:rPr>
          <w:szCs w:val="22"/>
        </w:rPr>
        <w:t>es</w:t>
      </w:r>
      <w:r w:rsidR="00D260E2" w:rsidRPr="0032539F">
        <w:rPr>
          <w:szCs w:val="22"/>
        </w:rPr>
        <w:t xml:space="preserve"> additional information </w:t>
      </w:r>
      <w:r w:rsidR="00E75EE1" w:rsidRPr="0032539F">
        <w:rPr>
          <w:szCs w:val="22"/>
        </w:rPr>
        <w:t xml:space="preserve">further </w:t>
      </w:r>
      <w:r w:rsidR="00D260E2" w:rsidRPr="0032539F">
        <w:rPr>
          <w:szCs w:val="22"/>
        </w:rPr>
        <w:t xml:space="preserve">to </w:t>
      </w:r>
      <w:hyperlink r:id="rId11" w:history="1">
        <w:r w:rsidR="00D260E2" w:rsidRPr="00240E97">
          <w:rPr>
            <w:rStyle w:val="Hyperlink"/>
            <w:szCs w:val="22"/>
          </w:rPr>
          <w:t>CBD/SBSTTA/21/2</w:t>
        </w:r>
      </w:hyperlink>
      <w:r w:rsidR="00513EB6" w:rsidRPr="0032539F">
        <w:rPr>
          <w:szCs w:val="22"/>
        </w:rPr>
        <w:t>,</w:t>
      </w:r>
      <w:r w:rsidR="00D260E2" w:rsidRPr="0032539F">
        <w:rPr>
          <w:szCs w:val="22"/>
        </w:rPr>
        <w:t xml:space="preserve"> </w:t>
      </w:r>
      <w:r w:rsidR="00513EB6" w:rsidRPr="0032539F">
        <w:rPr>
          <w:szCs w:val="22"/>
        </w:rPr>
        <w:t>section</w:t>
      </w:r>
      <w:r w:rsidR="00E638E3">
        <w:rPr>
          <w:szCs w:val="22"/>
        </w:rPr>
        <w:t> </w:t>
      </w:r>
      <w:r w:rsidR="00513EB6" w:rsidRPr="0032539F">
        <w:rPr>
          <w:szCs w:val="22"/>
        </w:rPr>
        <w:t>III</w:t>
      </w:r>
      <w:r w:rsidR="00E638E3">
        <w:rPr>
          <w:szCs w:val="22"/>
        </w:rPr>
        <w:t> </w:t>
      </w:r>
      <w:r w:rsidR="00513EB6" w:rsidRPr="0032539F">
        <w:rPr>
          <w:szCs w:val="22"/>
        </w:rPr>
        <w:t>C</w:t>
      </w:r>
      <w:r w:rsidR="008F1687" w:rsidRPr="0032539F">
        <w:rPr>
          <w:szCs w:val="22"/>
        </w:rPr>
        <w:t xml:space="preserve"> (para</w:t>
      </w:r>
      <w:r w:rsidR="000C604F" w:rsidRPr="0032539F">
        <w:rPr>
          <w:szCs w:val="22"/>
        </w:rPr>
        <w:t>.</w:t>
      </w:r>
      <w:r w:rsidR="00E638E3">
        <w:rPr>
          <w:szCs w:val="22"/>
        </w:rPr>
        <w:t> </w:t>
      </w:r>
      <w:r w:rsidR="008F1687" w:rsidRPr="0032539F">
        <w:rPr>
          <w:szCs w:val="22"/>
        </w:rPr>
        <w:t>29)</w:t>
      </w:r>
      <w:r w:rsidR="00667C05" w:rsidRPr="0032539F">
        <w:rPr>
          <w:szCs w:val="22"/>
        </w:rPr>
        <w:t>.</w:t>
      </w:r>
      <w:r w:rsidR="00754AB1">
        <w:rPr>
          <w:szCs w:val="22"/>
        </w:rPr>
        <w:t xml:space="preserve"> In response to recommendation XXI/1 it has been revised </w:t>
      </w:r>
      <w:r w:rsidR="00013DE0">
        <w:rPr>
          <w:szCs w:val="22"/>
        </w:rPr>
        <w:t>following a peer review process as well as</w:t>
      </w:r>
      <w:r w:rsidR="00754AB1">
        <w:rPr>
          <w:szCs w:val="22"/>
        </w:rPr>
        <w:t xml:space="preserve"> to reflect addition work on this issue.</w:t>
      </w:r>
    </w:p>
    <w:p w14:paraId="15592CA3" w14:textId="77777777" w:rsidR="007675CF" w:rsidRPr="0032539F" w:rsidRDefault="007675CF" w:rsidP="00BB67DC">
      <w:pPr>
        <w:pStyle w:val="Para1"/>
        <w:numPr>
          <w:ilvl w:val="0"/>
          <w:numId w:val="9"/>
        </w:numPr>
        <w:tabs>
          <w:tab w:val="clear" w:pos="1080"/>
          <w:tab w:val="num" w:pos="142"/>
        </w:tabs>
        <w:ind w:left="0" w:firstLine="0"/>
        <w:rPr>
          <w:i/>
          <w:iCs/>
          <w:szCs w:val="22"/>
        </w:rPr>
      </w:pPr>
      <w:r w:rsidRPr="0032539F">
        <w:rPr>
          <w:szCs w:val="22"/>
        </w:rPr>
        <w:t>The work being undertaken will place biodiversity at the centre of scenario development and address the full range of social-ecological feedbacks, including those between biodiversity change, ecosystem services and human well-being and consideration of individual and institutional responses to biodiversity changes. Ultimately</w:t>
      </w:r>
      <w:r w:rsidR="00AA3EE8">
        <w:rPr>
          <w:szCs w:val="22"/>
        </w:rPr>
        <w:t>,</w:t>
      </w:r>
      <w:r w:rsidRPr="0032539F">
        <w:rPr>
          <w:szCs w:val="22"/>
        </w:rPr>
        <w:t xml:space="preserve"> it will help to identify alternative pathways </w:t>
      </w:r>
      <w:r w:rsidR="00E75EE1" w:rsidRPr="0032539F">
        <w:rPr>
          <w:szCs w:val="22"/>
        </w:rPr>
        <w:t>towards the defined visions</w:t>
      </w:r>
      <w:r w:rsidRPr="0032539F">
        <w:rPr>
          <w:szCs w:val="22"/>
        </w:rPr>
        <w:t>. The work will also help to better account for different cultural and world</w:t>
      </w:r>
      <w:r w:rsidR="00AA3EE8">
        <w:rPr>
          <w:szCs w:val="22"/>
        </w:rPr>
        <w:t xml:space="preserve"> </w:t>
      </w:r>
      <w:r w:rsidRPr="0032539F">
        <w:rPr>
          <w:szCs w:val="22"/>
        </w:rPr>
        <w:t>views and ultimately help to develop broad and meaningful stakeholder engagement in the design of policy measures.</w:t>
      </w:r>
    </w:p>
    <w:p w14:paraId="19121A12" w14:textId="77777777" w:rsidR="007675CF" w:rsidRPr="0032539F" w:rsidRDefault="007675CF" w:rsidP="00A5366E">
      <w:pPr>
        <w:pStyle w:val="Para1"/>
        <w:numPr>
          <w:ilvl w:val="0"/>
          <w:numId w:val="9"/>
        </w:numPr>
        <w:tabs>
          <w:tab w:val="clear" w:pos="1080"/>
          <w:tab w:val="num" w:pos="142"/>
        </w:tabs>
        <w:ind w:left="0" w:firstLine="0"/>
        <w:rPr>
          <w:i/>
          <w:iCs/>
          <w:szCs w:val="22"/>
        </w:rPr>
      </w:pPr>
      <w:r w:rsidRPr="0032539F">
        <w:rPr>
          <w:szCs w:val="22"/>
        </w:rPr>
        <w:t>While the work described above will extend beyond 2020, it nonetheless has the potential to help inform the development of the post-</w:t>
      </w:r>
      <w:r w:rsidRPr="00240E97">
        <w:rPr>
          <w:szCs w:val="22"/>
        </w:rPr>
        <w:t>2020 global biodiversity framework. Conversely, discussions on the post-2020 global biodiversity framework can help to shape the new scenarios</w:t>
      </w:r>
      <w:r w:rsidR="001B1DBF" w:rsidRPr="00240E97">
        <w:rPr>
          <w:szCs w:val="22"/>
        </w:rPr>
        <w:t xml:space="preserve"> being developed</w:t>
      </w:r>
      <w:r w:rsidRPr="00240E97">
        <w:rPr>
          <w:szCs w:val="22"/>
        </w:rPr>
        <w:t xml:space="preserve">. For these reasons, the involvement of the constituency </w:t>
      </w:r>
      <w:r w:rsidR="00A5366E">
        <w:rPr>
          <w:szCs w:val="22"/>
        </w:rPr>
        <w:t xml:space="preserve">of the </w:t>
      </w:r>
      <w:r w:rsidR="00A5366E" w:rsidRPr="00A93F9A">
        <w:rPr>
          <w:szCs w:val="22"/>
        </w:rPr>
        <w:t xml:space="preserve">Convention on Biological Diversity </w:t>
      </w:r>
      <w:r w:rsidRPr="0032539F">
        <w:rPr>
          <w:szCs w:val="22"/>
        </w:rPr>
        <w:t>in this process will be important.</w:t>
      </w:r>
    </w:p>
    <w:p w14:paraId="667EE87F" w14:textId="77777777" w:rsidR="00D260E2" w:rsidRPr="00667125" w:rsidRDefault="00D260E2" w:rsidP="00BB67DC">
      <w:pPr>
        <w:pStyle w:val="Para1"/>
        <w:numPr>
          <w:ilvl w:val="0"/>
          <w:numId w:val="9"/>
        </w:numPr>
        <w:tabs>
          <w:tab w:val="clear" w:pos="1080"/>
          <w:tab w:val="num" w:pos="142"/>
        </w:tabs>
        <w:ind w:left="0" w:firstLine="0"/>
        <w:rPr>
          <w:rFonts w:eastAsia="Malgun Gothic"/>
          <w:kern w:val="22"/>
          <w:szCs w:val="22"/>
        </w:rPr>
      </w:pPr>
      <w:r w:rsidRPr="00667125">
        <w:rPr>
          <w:rFonts w:eastAsia="Malgun Gothic"/>
          <w:kern w:val="22"/>
          <w:szCs w:val="22"/>
        </w:rPr>
        <w:t>The report is presented in the form and language in which it was received by the Secretariat.</w:t>
      </w:r>
    </w:p>
    <w:p w14:paraId="2DAA46AD" w14:textId="77777777" w:rsidR="00D260E2" w:rsidRPr="00E726B9" w:rsidRDefault="00BA7390" w:rsidP="00BB67DC">
      <w:pPr>
        <w:pStyle w:val="Subtitle"/>
        <w:spacing w:before="120" w:after="120" w:line="240" w:lineRule="auto"/>
      </w:pPr>
      <w:r>
        <w:rPr>
          <w:kern w:val="22"/>
        </w:rPr>
        <w:br w:type="page"/>
      </w:r>
      <w:r w:rsidR="00BF53CE">
        <w:rPr>
          <w:bCs/>
          <w:caps/>
          <w:snapToGrid w:val="0"/>
          <w:kern w:val="22"/>
        </w:rPr>
        <w:lastRenderedPageBreak/>
        <w:t>Multiscale</w:t>
      </w:r>
      <w:r w:rsidR="00BF53CE">
        <w:rPr>
          <w:b w:val="0"/>
          <w:bCs/>
          <w:i/>
          <w:iCs/>
          <w:caps/>
          <w:snapToGrid w:val="0"/>
          <w:kern w:val="22"/>
        </w:rPr>
        <w:t xml:space="preserve">, </w:t>
      </w:r>
      <w:r w:rsidR="00BF53CE">
        <w:rPr>
          <w:bCs/>
          <w:caps/>
          <w:snapToGrid w:val="0"/>
          <w:kern w:val="22"/>
        </w:rPr>
        <w:t xml:space="preserve">Cross-sectoral SCENARIOS for </w:t>
      </w:r>
      <w:r w:rsidR="00BF53CE" w:rsidRPr="00BF53CE">
        <w:rPr>
          <w:bCs/>
          <w:i/>
          <w:caps/>
          <w:snapToGrid w:val="0"/>
          <w:kern w:val="22"/>
        </w:rPr>
        <w:t>NATURE FUTURES</w:t>
      </w:r>
    </w:p>
    <w:p w14:paraId="78661BF5" w14:textId="77777777" w:rsidR="00D260E2" w:rsidRPr="00E726B9" w:rsidRDefault="000263EE" w:rsidP="00BB67DC">
      <w:pPr>
        <w:pStyle w:val="Heading1"/>
        <w:keepNext w:val="0"/>
        <w:numPr>
          <w:ilvl w:val="0"/>
          <w:numId w:val="16"/>
        </w:numPr>
        <w:tabs>
          <w:tab w:val="clear" w:pos="720"/>
        </w:tabs>
        <w:spacing w:before="120"/>
      </w:pPr>
      <w:r>
        <w:t>introduction</w:t>
      </w:r>
    </w:p>
    <w:p w14:paraId="004B804B" w14:textId="77777777" w:rsidR="005818E0" w:rsidRDefault="005818E0" w:rsidP="00BB67DC">
      <w:pPr>
        <w:pStyle w:val="ListParagraph"/>
        <w:numPr>
          <w:ilvl w:val="0"/>
          <w:numId w:val="15"/>
        </w:numPr>
        <w:spacing w:before="120" w:after="120"/>
        <w:contextualSpacing w:val="0"/>
      </w:pPr>
      <w:r w:rsidRPr="00522F55">
        <w:t xml:space="preserve">The first IPBES methodological assessment, approved </w:t>
      </w:r>
      <w:r>
        <w:t>and released in 2016, reviewed p</w:t>
      </w:r>
      <w:r w:rsidRPr="00522F55">
        <w:t>olicy support tools and methodologies for scenario analysis and modelling of biod</w:t>
      </w:r>
      <w:r>
        <w:t>iversity and ecosystem services</w:t>
      </w:r>
      <w:r w:rsidRPr="00522F55">
        <w:t xml:space="preserve"> </w:t>
      </w:r>
      <w:r>
        <w:t xml:space="preserve">and </w:t>
      </w:r>
      <w:r w:rsidRPr="00522F55">
        <w:t xml:space="preserve">addressed the development and interpretation of scenarios and models to </w:t>
      </w:r>
      <w:r>
        <w:t xml:space="preserve">better inform </w:t>
      </w:r>
      <w:r w:rsidRPr="00522F55">
        <w:t>polic</w:t>
      </w:r>
      <w:r w:rsidR="00A95675">
        <w:t>ies</w:t>
      </w:r>
      <w:r w:rsidRPr="00522F55">
        <w:t xml:space="preserve"> and decision-making</w:t>
      </w:r>
      <w:r>
        <w:t xml:space="preserve"> (IPBES 2016)</w:t>
      </w:r>
      <w:r w:rsidRPr="00522F55">
        <w:t xml:space="preserve">. Following the release of the </w:t>
      </w:r>
      <w:r>
        <w:t>assessment</w:t>
      </w:r>
      <w:r w:rsidRPr="00522F55">
        <w:t xml:space="preserve">, Phase </w:t>
      </w:r>
      <w:r>
        <w:t>two</w:t>
      </w:r>
      <w:r w:rsidRPr="00522F55">
        <w:t xml:space="preserve"> of the IPBES Scena</w:t>
      </w:r>
      <w:r>
        <w:t>rios and Modelling</w:t>
      </w:r>
      <w:r w:rsidRPr="00522F55">
        <w:t xml:space="preserve"> Expert Group was</w:t>
      </w:r>
      <w:r>
        <w:t xml:space="preserve"> approved by the IPBES Plenary in February 2016 and</w:t>
      </w:r>
      <w:r w:rsidRPr="00522F55">
        <w:t xml:space="preserve"> </w:t>
      </w:r>
      <w:r>
        <w:t xml:space="preserve">was </w:t>
      </w:r>
      <w:r w:rsidRPr="00522F55">
        <w:t>initiated in October 2016 at a workshop in Leipz</w:t>
      </w:r>
      <w:r>
        <w:t xml:space="preserve">ig, Germany where short-, </w:t>
      </w:r>
      <w:r w:rsidRPr="00522F55">
        <w:t xml:space="preserve">medium- and long-term activities </w:t>
      </w:r>
      <w:r>
        <w:t>were identified to enhance the</w:t>
      </w:r>
      <w:r w:rsidRPr="00522F55">
        <w:t xml:space="preserve"> use of scenarios</w:t>
      </w:r>
      <w:r>
        <w:t xml:space="preserve"> and modelled results in IPBES assessment</w:t>
      </w:r>
      <w:r w:rsidR="008A2CF8">
        <w:t>s</w:t>
      </w:r>
      <w:r>
        <w:t xml:space="preserve"> and to d</w:t>
      </w:r>
      <w:r w:rsidR="0045071D">
        <w:t>evelop a new set of biodiversity-cente</w:t>
      </w:r>
      <w:r>
        <w:t>red scenarios.</w:t>
      </w:r>
    </w:p>
    <w:p w14:paraId="6B855B24" w14:textId="77777777" w:rsidR="0069318B" w:rsidRDefault="00B25B0C" w:rsidP="00BB67DC">
      <w:pPr>
        <w:pStyle w:val="ListParagraph"/>
        <w:numPr>
          <w:ilvl w:val="0"/>
          <w:numId w:val="15"/>
        </w:numPr>
        <w:spacing w:before="120" w:after="120"/>
        <w:contextualSpacing w:val="0"/>
      </w:pPr>
      <w:r>
        <w:t xml:space="preserve">Existing scenarios of biodiversity and ecosystem services have important limitations and gaps that constrain their usefulness for the IPBES and for informing decision-makers. </w:t>
      </w:r>
      <w:r w:rsidR="0069318B">
        <w:t>To date, most scenarios for global environmental assessments have explored impacts of society on nature, such as biodiversity loss</w:t>
      </w:r>
      <w:r w:rsidR="001248B0">
        <w:t xml:space="preserve"> (Pereira et al. 2010)</w:t>
      </w:r>
      <w:r w:rsidR="0069318B">
        <w:t>, but have poorly explored the role of nature and related policies in socioeconomic development</w:t>
      </w:r>
      <w:r w:rsidR="001248B0">
        <w:t xml:space="preserve"> (Rosa et al. 2017)</w:t>
      </w:r>
      <w:r w:rsidR="0069318B">
        <w:t>. Most prior scenarios have failed to incorporate policy objectives related to nature conservation, social-ecological feedbacks, or the linkages between biodiversity and ecosystem services</w:t>
      </w:r>
      <w:r w:rsidR="00E11CEB">
        <w:t xml:space="preserve"> (IPBES 2016)</w:t>
      </w:r>
      <w:r w:rsidR="0069318B">
        <w:t xml:space="preserve">. Often, </w:t>
      </w:r>
      <w:r w:rsidR="00F33C4B">
        <w:t>biodiversity (</w:t>
      </w:r>
      <w:r w:rsidR="0069318B">
        <w:t>nature</w:t>
      </w:r>
      <w:r w:rsidR="00F33C4B">
        <w:t>)</w:t>
      </w:r>
      <w:r w:rsidRPr="005D7B0D">
        <w:rPr>
          <w:rStyle w:val="FootnoteReference"/>
          <w:vertAlign w:val="superscript"/>
        </w:rPr>
        <w:footnoteReference w:id="2"/>
      </w:r>
      <w:r w:rsidR="0069318B">
        <w:t xml:space="preserve"> and </w:t>
      </w:r>
      <w:r w:rsidR="00F33C4B">
        <w:t>ecosystem services (</w:t>
      </w:r>
      <w:r>
        <w:t xml:space="preserve">nature’s </w:t>
      </w:r>
      <w:r w:rsidR="0069318B">
        <w:t>benefits</w:t>
      </w:r>
      <w:r>
        <w:t xml:space="preserve"> to people</w:t>
      </w:r>
      <w:r w:rsidR="00F33C4B">
        <w:t>)</w:t>
      </w:r>
      <w:r w:rsidR="0069318B">
        <w:t xml:space="preserve"> were treated as the consequence of human decisions, but were not at the centr</w:t>
      </w:r>
      <w:r>
        <w:t>e</w:t>
      </w:r>
      <w:r w:rsidR="0069318B">
        <w:t xml:space="preserve"> of the analysis</w:t>
      </w:r>
      <w:r w:rsidR="003403E5">
        <w:t xml:space="preserve"> (Rosa et al. 2017). </w:t>
      </w:r>
      <w:r w:rsidR="0069318B">
        <w:t>Scenarios to date are also typically relevant at only a particular spatial scale of analysis, and are unable to capture the cross-scale, dynamic and tele</w:t>
      </w:r>
      <w:r w:rsidR="003B39FC">
        <w:t>-</w:t>
      </w:r>
      <w:r w:rsidR="0069318B">
        <w:t>connected characteristics of drivers of change to nature and nature’s contributions to people</w:t>
      </w:r>
      <w:r w:rsidR="00C03CF8">
        <w:t xml:space="preserve"> (Kok et al. 201</w:t>
      </w:r>
      <w:r w:rsidR="00C65436">
        <w:t>7</w:t>
      </w:r>
      <w:r w:rsidR="00C03CF8">
        <w:t>)</w:t>
      </w:r>
      <w:r w:rsidR="0069318B">
        <w:t xml:space="preserve">. </w:t>
      </w:r>
    </w:p>
    <w:p w14:paraId="76066020" w14:textId="7734ED45" w:rsidR="006E030C" w:rsidRDefault="0069318B" w:rsidP="00BB67DC">
      <w:pPr>
        <w:pStyle w:val="ListParagraph"/>
        <w:numPr>
          <w:ilvl w:val="0"/>
          <w:numId w:val="15"/>
        </w:numPr>
        <w:spacing w:before="120" w:after="120"/>
        <w:contextualSpacing w:val="0"/>
      </w:pPr>
      <w:r>
        <w:t xml:space="preserve">To address these issues, the IPBES Expert Group </w:t>
      </w:r>
      <w:r w:rsidR="00627918">
        <w:t xml:space="preserve">on Scenarios and Modelling </w:t>
      </w:r>
      <w:r>
        <w:t xml:space="preserve">has initiated the development of </w:t>
      </w:r>
      <w:r w:rsidR="008A2CF8">
        <w:t>the new</w:t>
      </w:r>
      <w:r>
        <w:t xml:space="preserve"> </w:t>
      </w:r>
      <w:r w:rsidRPr="005D7B0D">
        <w:rPr>
          <w:iCs/>
        </w:rPr>
        <w:t>Nature Futures</w:t>
      </w:r>
      <w:r w:rsidR="008A2CF8">
        <w:t xml:space="preserve"> Scenarios</w:t>
      </w:r>
      <w:r>
        <w:t xml:space="preserve"> based on positive visions</w:t>
      </w:r>
      <w:r w:rsidR="00AE7126">
        <w:t xml:space="preserve"> on global development </w:t>
      </w:r>
      <w:r w:rsidR="008A2CF8">
        <w:t>and</w:t>
      </w:r>
      <w:r w:rsidR="00AE7126">
        <w:t xml:space="preserve"> </w:t>
      </w:r>
      <w:r>
        <w:t xml:space="preserve">human relationship with nature. </w:t>
      </w:r>
      <w:r w:rsidR="00D12EDC">
        <w:t>T</w:t>
      </w:r>
      <w:r>
        <w:t xml:space="preserve">he new IPBES scenarios represent a departure from previous </w:t>
      </w:r>
      <w:r w:rsidR="00F33D35">
        <w:t xml:space="preserve">scenarios (e.g., Millennium Ecosystem Assessment, IPCC Shared Socio-economic Pathways) </w:t>
      </w:r>
      <w:r w:rsidR="00EB7B84">
        <w:t xml:space="preserve">as they are target seeking and not purely exploratory </w:t>
      </w:r>
      <w:r w:rsidR="00D12EDC">
        <w:t>and</w:t>
      </w:r>
      <w:r w:rsidR="00EB7B84">
        <w:t xml:space="preserve"> place biodiversity at the centre of the scenario choices by</w:t>
      </w:r>
      <w:r>
        <w:t xml:space="preserve"> </w:t>
      </w:r>
      <w:r w:rsidR="00EB7B84">
        <w:t xml:space="preserve">assessing future consequences of </w:t>
      </w:r>
      <w:r>
        <w:t>alternative policies and management practices underpinned by diverse value systems</w:t>
      </w:r>
      <w:r w:rsidR="00EB7B84">
        <w:t xml:space="preserve"> for biodiversity</w:t>
      </w:r>
      <w:r>
        <w:t>. Importantly, they will integrate the social-ecological feedback loops across drivers, biodiversity, ecosystem services, and human well-being, and incorporate multiple systems of knowledge</w:t>
      </w:r>
      <w:r w:rsidR="00D12EDC">
        <w:t xml:space="preserve"> (</w:t>
      </w:r>
      <w:r w:rsidR="008D240F">
        <w:t xml:space="preserve">See Section II and </w:t>
      </w:r>
      <w:r w:rsidR="00C65436" w:rsidRPr="005D7B0D">
        <w:t xml:space="preserve">Figure 1, </w:t>
      </w:r>
      <w:r w:rsidR="00D12EDC" w:rsidRPr="005D7B0D">
        <w:t>Rosa et al. 2017</w:t>
      </w:r>
      <w:r w:rsidR="00D12EDC">
        <w:t xml:space="preserve">). </w:t>
      </w:r>
    </w:p>
    <w:p w14:paraId="6DA29100" w14:textId="77777777" w:rsidR="006E030C" w:rsidRPr="00E726B9" w:rsidRDefault="006E030C" w:rsidP="00BB67DC">
      <w:pPr>
        <w:pStyle w:val="ListParagraph"/>
        <w:numPr>
          <w:ilvl w:val="0"/>
          <w:numId w:val="15"/>
        </w:numPr>
        <w:spacing w:before="120" w:after="120"/>
        <w:ind w:left="357" w:hanging="357"/>
        <w:contextualSpacing w:val="0"/>
      </w:pPr>
      <w:r>
        <w:t xml:space="preserve">Targets for human development are increasingly connected with targets for </w:t>
      </w:r>
      <w:r w:rsidR="00F33C4B">
        <w:t>biodiversity</w:t>
      </w:r>
      <w:r>
        <w:t xml:space="preserve">, such as in the </w:t>
      </w:r>
      <w:r w:rsidR="0011407B">
        <w:t xml:space="preserve">United Nation’s </w:t>
      </w:r>
      <w:r>
        <w:t xml:space="preserve">2030 </w:t>
      </w:r>
      <w:r w:rsidR="005B7E17">
        <w:t xml:space="preserve">Agenda for Sustainable Development and the </w:t>
      </w:r>
      <w:r>
        <w:t>Sustainable Development Goals (SDG</w:t>
      </w:r>
      <w:r w:rsidR="005B7E17">
        <w:t>s</w:t>
      </w:r>
      <w:r>
        <w:t xml:space="preserve">). Scenarios can be developed that better incorporate the role of </w:t>
      </w:r>
      <w:r w:rsidR="00F33C4B">
        <w:t xml:space="preserve">biodiversity </w:t>
      </w:r>
      <w:r>
        <w:t xml:space="preserve">in sustainable futures, and that explore interactions between </w:t>
      </w:r>
      <w:r w:rsidR="00F33C4B">
        <w:t xml:space="preserve">biodiversity </w:t>
      </w:r>
      <w:r>
        <w:t xml:space="preserve">and </w:t>
      </w:r>
      <w:r w:rsidR="00F33C4B">
        <w:t>ecosystem services</w:t>
      </w:r>
      <w:r>
        <w:t xml:space="preserve"> with societal drivers and connections to human well-being, enhancing linkages between </w:t>
      </w:r>
      <w:r w:rsidR="00F33C4B">
        <w:t xml:space="preserve">biodiversity </w:t>
      </w:r>
      <w:r>
        <w:t xml:space="preserve">and global governance targets. </w:t>
      </w:r>
      <w:r w:rsidR="0011407B">
        <w:t>In respect to</w:t>
      </w:r>
      <w:r>
        <w:t xml:space="preserve"> this, the </w:t>
      </w:r>
      <w:r w:rsidRPr="005D7B0D">
        <w:rPr>
          <w:iCs/>
        </w:rPr>
        <w:t>Nature Futures</w:t>
      </w:r>
      <w:r>
        <w:t xml:space="preserve"> Scenarios </w:t>
      </w:r>
      <w:r w:rsidR="0011407B">
        <w:t>can</w:t>
      </w:r>
      <w:r>
        <w:t xml:space="preserve"> explore alternative pathways to reach these intertwined targets, including potential synergies and trade-offs between </w:t>
      </w:r>
      <w:r w:rsidR="00F33C4B">
        <w:t xml:space="preserve">biodiversity </w:t>
      </w:r>
      <w:r>
        <w:t>conservation and other development goals</w:t>
      </w:r>
      <w:r w:rsidR="00B6140A">
        <w:t xml:space="preserve"> as well as the need to involve different actors, including indigenous peoples and local communities</w:t>
      </w:r>
      <w:r>
        <w:t>.</w:t>
      </w:r>
    </w:p>
    <w:p w14:paraId="10A1A410" w14:textId="77777777" w:rsidR="008D240F" w:rsidRDefault="008D240F" w:rsidP="008D240F">
      <w:pPr>
        <w:pStyle w:val="Heading1"/>
        <w:numPr>
          <w:ilvl w:val="0"/>
          <w:numId w:val="16"/>
        </w:numPr>
        <w:tabs>
          <w:tab w:val="clear" w:pos="720"/>
        </w:tabs>
        <w:spacing w:before="120"/>
      </w:pPr>
      <w:r>
        <w:t>OVERVIEW OF THE “NATURE FUTURES” SCENARIOS</w:t>
      </w:r>
    </w:p>
    <w:p w14:paraId="241FC56B" w14:textId="77777777" w:rsidR="008D240F" w:rsidRDefault="008D240F" w:rsidP="00882A1D">
      <w:pPr>
        <w:pStyle w:val="ListParagraph"/>
        <w:numPr>
          <w:ilvl w:val="0"/>
          <w:numId w:val="15"/>
        </w:numPr>
        <w:spacing w:before="120" w:after="120"/>
      </w:pPr>
      <w:r>
        <w:t xml:space="preserve">An iterative, participatory and creative process is envisaged to identify visions for biodiversity. This process will bring together key stakeholders from different sectors, at multiple spatial scales, including public administration agencies, intergovernmental organizations, non-governmental organizations, businesses, civil society, indigenous peoples and local communities, as well as the scientific community. Visualization techniques and other facilitation tools will be used to enrich discussions on scenarios among stakeholders. </w:t>
      </w:r>
    </w:p>
    <w:p w14:paraId="71E557E9" w14:textId="77777777" w:rsidR="006E030C" w:rsidRDefault="006E030C" w:rsidP="00BB67DC">
      <w:pPr>
        <w:spacing w:before="120" w:after="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80B5D" w14:paraId="3C284F69" w14:textId="77777777" w:rsidTr="00080B5D">
        <w:trPr>
          <w:trHeight w:val="390"/>
        </w:trPr>
        <w:tc>
          <w:tcPr>
            <w:tcW w:w="9350" w:type="dxa"/>
          </w:tcPr>
          <w:p w14:paraId="066A6EC6" w14:textId="77777777" w:rsidR="00080B5D" w:rsidRDefault="004A029E" w:rsidP="00BB67DC">
            <w:pPr>
              <w:pStyle w:val="Caption"/>
              <w:spacing w:before="120" w:after="120"/>
            </w:pPr>
            <w:r>
              <w:rPr>
                <w:noProof/>
                <w:lang w:val="en-US"/>
              </w:rPr>
              <w:drawing>
                <wp:inline distT="0" distB="0" distL="0" distR="0" wp14:anchorId="2C19D531" wp14:editId="76148932">
                  <wp:extent cx="2820035" cy="213852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 Shot 2017-12-05 at 15.24.52.png"/>
                          <pic:cNvPicPr/>
                        </pic:nvPicPr>
                        <pic:blipFill>
                          <a:blip r:embed="rId12">
                            <a:extLst>
                              <a:ext uri="{28A0092B-C50C-407E-A947-70E740481C1C}">
                                <a14:useLocalDpi xmlns:a14="http://schemas.microsoft.com/office/drawing/2010/main" val="0"/>
                              </a:ext>
                            </a:extLst>
                          </a:blip>
                          <a:stretch>
                            <a:fillRect/>
                          </a:stretch>
                        </pic:blipFill>
                        <pic:spPr>
                          <a:xfrm>
                            <a:off x="0" y="0"/>
                            <a:ext cx="2844733" cy="2157256"/>
                          </a:xfrm>
                          <a:prstGeom prst="rect">
                            <a:avLst/>
                          </a:prstGeom>
                        </pic:spPr>
                      </pic:pic>
                    </a:graphicData>
                  </a:graphic>
                </wp:inline>
              </w:drawing>
            </w:r>
            <w:r w:rsidR="00080B5D">
              <w:t xml:space="preserve">     </w:t>
            </w:r>
            <w:r>
              <w:rPr>
                <w:noProof/>
                <w:lang w:val="en-US"/>
              </w:rPr>
              <w:drawing>
                <wp:inline distT="0" distB="0" distL="0" distR="0" wp14:anchorId="0CE03F8C" wp14:editId="11F2A56B">
                  <wp:extent cx="2762833" cy="2423972"/>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 Shot 2017-12-05 at 15.24.37.png"/>
                          <pic:cNvPicPr/>
                        </pic:nvPicPr>
                        <pic:blipFill>
                          <a:blip r:embed="rId13">
                            <a:extLst>
                              <a:ext uri="{28A0092B-C50C-407E-A947-70E740481C1C}">
                                <a14:useLocalDpi xmlns:a14="http://schemas.microsoft.com/office/drawing/2010/main" val="0"/>
                              </a:ext>
                            </a:extLst>
                          </a:blip>
                          <a:stretch>
                            <a:fillRect/>
                          </a:stretch>
                        </pic:blipFill>
                        <pic:spPr>
                          <a:xfrm>
                            <a:off x="0" y="0"/>
                            <a:ext cx="2783479" cy="2442086"/>
                          </a:xfrm>
                          <a:prstGeom prst="rect">
                            <a:avLst/>
                          </a:prstGeom>
                        </pic:spPr>
                      </pic:pic>
                    </a:graphicData>
                  </a:graphic>
                </wp:inline>
              </w:drawing>
            </w:r>
          </w:p>
        </w:tc>
      </w:tr>
      <w:tr w:rsidR="00183163" w:rsidRPr="00FD489B" w14:paraId="23244C47" w14:textId="77777777" w:rsidTr="00080B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9350" w:type="dxa"/>
            <w:tcBorders>
              <w:top w:val="nil"/>
              <w:left w:val="nil"/>
              <w:bottom w:val="nil"/>
              <w:right w:val="nil"/>
            </w:tcBorders>
          </w:tcPr>
          <w:p w14:paraId="717B52CC" w14:textId="77777777" w:rsidR="00080B5D" w:rsidRPr="00FD489B" w:rsidRDefault="002F5513" w:rsidP="00BB67DC">
            <w:pPr>
              <w:spacing w:before="120" w:after="120"/>
              <w:ind w:right="-101"/>
              <w:jc w:val="left"/>
              <w:rPr>
                <w:rFonts w:asciiTheme="minorHAnsi" w:hAnsiTheme="minorHAnsi" w:cstheme="minorEastAsia"/>
                <w:color w:val="000000" w:themeColor="text1"/>
                <w:sz w:val="20"/>
                <w:szCs w:val="20"/>
              </w:rPr>
            </w:pPr>
            <w:r w:rsidRPr="00FD489B">
              <w:rPr>
                <w:rFonts w:asciiTheme="minorHAnsi" w:hAnsiTheme="minorHAnsi" w:cstheme="minorEastAsia"/>
                <w:color w:val="000000" w:themeColor="text1"/>
                <w:sz w:val="20"/>
                <w:szCs w:val="20"/>
              </w:rPr>
              <w:t xml:space="preserve"> </w:t>
            </w:r>
            <w:r w:rsidR="004A029E" w:rsidRPr="00FD489B">
              <w:rPr>
                <w:rFonts w:asciiTheme="minorHAnsi" w:hAnsiTheme="minorHAnsi" w:cstheme="minorEastAsia"/>
                <w:color w:val="000000" w:themeColor="text1"/>
                <w:sz w:val="20"/>
                <w:szCs w:val="20"/>
              </w:rPr>
              <w:t>a</w:t>
            </w:r>
            <w:r w:rsidR="006E030C" w:rsidRPr="00FD489B">
              <w:rPr>
                <w:rFonts w:asciiTheme="minorHAnsi" w:hAnsiTheme="minorHAnsi" w:cstheme="minorEastAsia"/>
                <w:color w:val="000000" w:themeColor="text1"/>
                <w:sz w:val="20"/>
                <w:szCs w:val="20"/>
              </w:rPr>
              <w:t>.</w:t>
            </w:r>
            <w:r w:rsidR="00080B5D" w:rsidRPr="00FD489B">
              <w:rPr>
                <w:rFonts w:asciiTheme="minorHAnsi" w:hAnsiTheme="minorHAnsi" w:cstheme="minorEastAsia"/>
                <w:color w:val="000000" w:themeColor="text1"/>
                <w:sz w:val="20"/>
                <w:szCs w:val="20"/>
              </w:rPr>
              <w:t xml:space="preserve">                                                  </w:t>
            </w:r>
            <w:r w:rsidR="004A029E" w:rsidRPr="00FD489B">
              <w:rPr>
                <w:rFonts w:asciiTheme="minorHAnsi" w:hAnsiTheme="minorHAnsi" w:cstheme="minorEastAsia"/>
                <w:color w:val="000000" w:themeColor="text1"/>
                <w:sz w:val="20"/>
                <w:szCs w:val="20"/>
              </w:rPr>
              <w:t xml:space="preserve">           </w:t>
            </w:r>
            <w:r w:rsidR="00080B5D" w:rsidRPr="00FD489B">
              <w:rPr>
                <w:rFonts w:asciiTheme="minorHAnsi" w:hAnsiTheme="minorHAnsi" w:cstheme="minorEastAsia"/>
                <w:color w:val="000000" w:themeColor="text1"/>
                <w:sz w:val="20"/>
                <w:szCs w:val="20"/>
              </w:rPr>
              <w:t xml:space="preserve">           </w:t>
            </w:r>
            <w:r w:rsidR="004A029E" w:rsidRPr="00FD489B">
              <w:rPr>
                <w:rFonts w:asciiTheme="minorHAnsi" w:hAnsiTheme="minorHAnsi" w:cstheme="minorEastAsia"/>
                <w:color w:val="000000" w:themeColor="text1"/>
                <w:sz w:val="20"/>
                <w:szCs w:val="20"/>
              </w:rPr>
              <w:t xml:space="preserve">    </w:t>
            </w:r>
            <w:r w:rsidR="00080B5D" w:rsidRPr="00FD489B">
              <w:rPr>
                <w:rFonts w:asciiTheme="minorHAnsi" w:hAnsiTheme="minorHAnsi" w:cstheme="minorEastAsia"/>
                <w:color w:val="000000" w:themeColor="text1"/>
                <w:sz w:val="20"/>
                <w:szCs w:val="20"/>
              </w:rPr>
              <w:t xml:space="preserve">       </w:t>
            </w:r>
            <w:r w:rsidRPr="00FD489B">
              <w:rPr>
                <w:rFonts w:asciiTheme="minorHAnsi" w:hAnsiTheme="minorHAnsi" w:cstheme="minorEastAsia"/>
                <w:color w:val="000000" w:themeColor="text1"/>
                <w:sz w:val="20"/>
                <w:szCs w:val="20"/>
              </w:rPr>
              <w:t xml:space="preserve">  </w:t>
            </w:r>
            <w:r w:rsidR="00FD489B">
              <w:rPr>
                <w:rFonts w:asciiTheme="minorHAnsi" w:hAnsiTheme="minorHAnsi" w:cstheme="minorEastAsia"/>
                <w:color w:val="000000" w:themeColor="text1"/>
                <w:sz w:val="20"/>
                <w:szCs w:val="20"/>
              </w:rPr>
              <w:t xml:space="preserve">        </w:t>
            </w:r>
            <w:r w:rsidRPr="00FD489B">
              <w:rPr>
                <w:rFonts w:asciiTheme="minorHAnsi" w:hAnsiTheme="minorHAnsi" w:cstheme="minorEastAsia"/>
                <w:color w:val="000000" w:themeColor="text1"/>
                <w:sz w:val="20"/>
                <w:szCs w:val="20"/>
              </w:rPr>
              <w:t xml:space="preserve">  </w:t>
            </w:r>
            <w:r w:rsidR="00080B5D" w:rsidRPr="00FD489B">
              <w:rPr>
                <w:rFonts w:asciiTheme="minorHAnsi" w:hAnsiTheme="minorHAnsi" w:cstheme="minorEastAsia"/>
                <w:color w:val="000000" w:themeColor="text1"/>
                <w:sz w:val="20"/>
                <w:szCs w:val="20"/>
              </w:rPr>
              <w:t>b</w:t>
            </w:r>
            <w:r w:rsidR="006E030C" w:rsidRPr="00FD489B">
              <w:rPr>
                <w:rFonts w:asciiTheme="minorHAnsi" w:hAnsiTheme="minorHAnsi" w:cstheme="minorEastAsia"/>
                <w:color w:val="000000" w:themeColor="text1"/>
                <w:sz w:val="20"/>
                <w:szCs w:val="20"/>
              </w:rPr>
              <w:t>.</w:t>
            </w:r>
          </w:p>
        </w:tc>
      </w:tr>
    </w:tbl>
    <w:p w14:paraId="428F167C" w14:textId="77777777" w:rsidR="00B9658C" w:rsidRDefault="00014248" w:rsidP="00BB67DC">
      <w:pPr>
        <w:pStyle w:val="Caption"/>
        <w:spacing w:before="120" w:after="120"/>
        <w:jc w:val="left"/>
        <w:rPr>
          <w:rFonts w:ascii="Times New Roman" w:hAnsi="Times New Roman"/>
          <w:color w:val="000000" w:themeColor="text1"/>
          <w:sz w:val="20"/>
          <w:szCs w:val="20"/>
        </w:rPr>
      </w:pPr>
      <w:r w:rsidRPr="005C65A6">
        <w:rPr>
          <w:rFonts w:ascii="Times New Roman" w:hAnsi="Times New Roman"/>
          <w:color w:val="000000" w:themeColor="text1"/>
          <w:sz w:val="20"/>
          <w:szCs w:val="20"/>
        </w:rPr>
        <w:t>Figure</w:t>
      </w:r>
      <w:r w:rsidR="006E030C" w:rsidRPr="005C65A6">
        <w:rPr>
          <w:rFonts w:ascii="Times New Roman" w:hAnsi="Times New Roman"/>
          <w:color w:val="000000" w:themeColor="text1"/>
          <w:sz w:val="20"/>
          <w:szCs w:val="20"/>
        </w:rPr>
        <w:t xml:space="preserve"> 1. </w:t>
      </w:r>
      <w:r w:rsidR="002F5513" w:rsidRPr="005C65A6">
        <w:rPr>
          <w:rFonts w:ascii="Times New Roman" w:hAnsi="Times New Roman"/>
          <w:color w:val="000000" w:themeColor="text1"/>
          <w:sz w:val="20"/>
          <w:szCs w:val="20"/>
        </w:rPr>
        <w:t xml:space="preserve">a. </w:t>
      </w:r>
      <w:r w:rsidRPr="005C65A6">
        <w:rPr>
          <w:rFonts w:ascii="Times New Roman" w:hAnsi="Times New Roman"/>
          <w:color w:val="000000" w:themeColor="text1"/>
          <w:sz w:val="20"/>
          <w:szCs w:val="20"/>
        </w:rPr>
        <w:t xml:space="preserve">Strategy to develop the </w:t>
      </w:r>
      <w:r w:rsidR="006E030C" w:rsidRPr="005C65A6">
        <w:rPr>
          <w:rFonts w:ascii="Times New Roman" w:hAnsi="Times New Roman"/>
          <w:color w:val="000000" w:themeColor="text1"/>
          <w:sz w:val="20"/>
          <w:szCs w:val="20"/>
        </w:rPr>
        <w:t>new</w:t>
      </w:r>
      <w:r w:rsidRPr="005C65A6">
        <w:rPr>
          <w:rFonts w:ascii="Times New Roman" w:hAnsi="Times New Roman"/>
          <w:color w:val="000000" w:themeColor="text1"/>
          <w:sz w:val="20"/>
          <w:szCs w:val="20"/>
        </w:rPr>
        <w:t xml:space="preserve"> </w:t>
      </w:r>
      <w:r w:rsidR="006E030C" w:rsidRPr="005C65A6">
        <w:rPr>
          <w:rFonts w:ascii="Times New Roman" w:hAnsi="Times New Roman"/>
          <w:color w:val="000000" w:themeColor="text1"/>
          <w:sz w:val="20"/>
          <w:szCs w:val="20"/>
        </w:rPr>
        <w:t xml:space="preserve">scenarios on </w:t>
      </w:r>
      <w:r w:rsidRPr="005C65A6">
        <w:rPr>
          <w:rFonts w:ascii="Times New Roman" w:hAnsi="Times New Roman"/>
          <w:color w:val="000000" w:themeColor="text1"/>
          <w:sz w:val="20"/>
          <w:szCs w:val="20"/>
        </w:rPr>
        <w:t>biodiversity and ecosystem services</w:t>
      </w:r>
      <w:r w:rsidR="002F5513" w:rsidRPr="005C65A6">
        <w:rPr>
          <w:rFonts w:ascii="Times New Roman" w:hAnsi="Times New Roman"/>
          <w:color w:val="000000" w:themeColor="text1"/>
          <w:sz w:val="20"/>
          <w:szCs w:val="20"/>
        </w:rPr>
        <w:t>, b.</w:t>
      </w:r>
      <w:r w:rsidR="009672B9" w:rsidRPr="005C65A6">
        <w:rPr>
          <w:rFonts w:ascii="Times New Roman" w:hAnsi="Times New Roman"/>
          <w:color w:val="000000" w:themeColor="text1"/>
          <w:sz w:val="20"/>
          <w:szCs w:val="20"/>
        </w:rPr>
        <w:t xml:space="preserve"> Constructing multiscale, multisec</w:t>
      </w:r>
      <w:r w:rsidR="0095022F" w:rsidRPr="005C65A6">
        <w:rPr>
          <w:rFonts w:ascii="Times New Roman" w:hAnsi="Times New Roman"/>
          <w:color w:val="000000" w:themeColor="text1"/>
          <w:sz w:val="20"/>
          <w:szCs w:val="20"/>
        </w:rPr>
        <w:t>toral visions for Nature F</w:t>
      </w:r>
      <w:r w:rsidR="00080B5D" w:rsidRPr="005C65A6">
        <w:rPr>
          <w:rFonts w:ascii="Times New Roman" w:hAnsi="Times New Roman"/>
          <w:color w:val="000000" w:themeColor="text1"/>
          <w:sz w:val="20"/>
          <w:szCs w:val="20"/>
        </w:rPr>
        <w:t xml:space="preserve">utures. </w:t>
      </w:r>
      <w:r w:rsidRPr="005C65A6">
        <w:rPr>
          <w:rFonts w:ascii="Times New Roman" w:hAnsi="Times New Roman"/>
          <w:color w:val="000000" w:themeColor="text1"/>
          <w:sz w:val="20"/>
          <w:szCs w:val="20"/>
        </w:rPr>
        <w:t>Taken from Rosa et al. (2017).</w:t>
      </w:r>
    </w:p>
    <w:p w14:paraId="065E72F5" w14:textId="77777777" w:rsidR="008D240F" w:rsidRPr="00882A1D" w:rsidRDefault="008D240F" w:rsidP="00882A1D"/>
    <w:p w14:paraId="706CE7A9" w14:textId="77777777" w:rsidR="00633877" w:rsidRDefault="00633877" w:rsidP="00FE0796">
      <w:pPr>
        <w:pStyle w:val="ListParagraph"/>
        <w:numPr>
          <w:ilvl w:val="0"/>
          <w:numId w:val="15"/>
        </w:numPr>
        <w:spacing w:before="120" w:after="120"/>
        <w:ind w:left="357"/>
        <w:contextualSpacing w:val="0"/>
      </w:pPr>
      <w:r>
        <w:t>At the global scale, nature futures</w:t>
      </w:r>
      <w:r w:rsidR="00FE0796">
        <w:t xml:space="preserve"> </w:t>
      </w:r>
      <w:r>
        <w:t xml:space="preserve">could, for example, explore pathways to achieve the 2050 Vision of the Convention on Biological Diversity in the context of the Sustainable Development Goals. At the regional scale, nature futures can be informed by the ongoing IPBES regional assessments, which are collecting information on trends of biodiversity and ecosystem services, as well as by national and regional biodiversity targets (for example, national biodiversity strategies and action plans). Local studies, on the other hand, could provide knowledge on how to link biodiversity scenarios to decision-making, while being inclusive of the diversity of nature values held by different local communities. </w:t>
      </w:r>
    </w:p>
    <w:p w14:paraId="1D002340" w14:textId="77777777" w:rsidR="00633877" w:rsidRDefault="00633877" w:rsidP="00882A1D">
      <w:pPr>
        <w:pStyle w:val="ListParagraph"/>
        <w:numPr>
          <w:ilvl w:val="0"/>
          <w:numId w:val="15"/>
        </w:numPr>
        <w:spacing w:before="120" w:after="120"/>
        <w:ind w:left="357"/>
        <w:contextualSpacing w:val="0"/>
      </w:pPr>
      <w:r>
        <w:t>Once the alternative nature futures have been identified, qualitative and quantitative approaches (for example, modelling, empirical studies and expert knowledge) can be used to identify potential pathways for reaching the desired goals, including specific policy alternatives, and taking into account feedbacks between biodiversity, ecosystem services,</w:t>
      </w:r>
      <w:r w:rsidR="00E60C9E">
        <w:t xml:space="preserve"> traditional knowledge,</w:t>
      </w:r>
      <w:r>
        <w:t xml:space="preserve"> human well-being and decision-making. These analyses could be carried out in working groups, focusing on three topics (Fig. 1a): (1) models of interactions between biodiversi</w:t>
      </w:r>
      <w:r w:rsidR="00E43E45">
        <w:t xml:space="preserve">ty and ecosystem services; </w:t>
      </w:r>
      <w:r>
        <w:t xml:space="preserve">(2) social–ecological feedbacks, such as individual and institutional behavioural responses to changes in nature and their impact on human well-being; and (3) trajectories of indirect (for example, socioeconomic changes) and direct (for example, land-use change) drivers of change and their impacts on nature. </w:t>
      </w:r>
    </w:p>
    <w:p w14:paraId="2955149C" w14:textId="77777777" w:rsidR="008D240F" w:rsidRDefault="008D240F" w:rsidP="00FE0796">
      <w:pPr>
        <w:pStyle w:val="ListParagraph"/>
        <w:numPr>
          <w:ilvl w:val="0"/>
          <w:numId w:val="15"/>
        </w:numPr>
        <w:spacing w:before="120" w:after="120"/>
        <w:ind w:left="357"/>
        <w:contextualSpacing w:val="0"/>
      </w:pPr>
      <w:r>
        <w:t>O</w:t>
      </w:r>
      <w:r w:rsidR="00633877">
        <w:t>ur knowledge about the relationships between biodiversity</w:t>
      </w:r>
      <w:r w:rsidR="00FE0796">
        <w:t xml:space="preserve"> </w:t>
      </w:r>
      <w:r w:rsidR="00633877">
        <w:t>and ecosystem functioning, and therefore services, has improved greatly</w:t>
      </w:r>
      <w:r>
        <w:t xml:space="preserve">, and this knowledge can </w:t>
      </w:r>
      <w:r w:rsidR="00633877">
        <w:t>be incorporated into models</w:t>
      </w:r>
      <w:r w:rsidR="005D0BD1">
        <w:t xml:space="preserve"> for the new </w:t>
      </w:r>
      <w:r w:rsidR="00FE0796">
        <w:t>scenarios</w:t>
      </w:r>
      <w:r>
        <w:t xml:space="preserve">. </w:t>
      </w:r>
      <w:r w:rsidR="00633877">
        <w:t xml:space="preserve">In developing this new generation of scenarios, it is vital </w:t>
      </w:r>
      <w:r w:rsidR="00FE0796">
        <w:t xml:space="preserve">to </w:t>
      </w:r>
      <w:r w:rsidR="00633877">
        <w:t>not only include key stakeholders in identifying the futures, but also to describe and model how they may respond to changes in drivers, biodiversity, ecosystem services and human well-being associated with each future. Models that couple social and ecological dynamics are becoming available, demonstrating that insights from social–ecological feedbacks can be critical for anticipating regime shifts</w:t>
      </w:r>
      <w:r>
        <w:t xml:space="preserve">. </w:t>
      </w:r>
      <w:r w:rsidR="00633877">
        <w:t>Many of these social–ecological feedbacks play out across multiple scales and locations through telecoupling between the production and consumption of ecosystem services, often mediated by trade, but</w:t>
      </w:r>
      <w:r w:rsidR="00633877">
        <w:rPr>
          <w:rFonts w:ascii="MS Mincho" w:eastAsia="MS Mincho" w:hAnsi="MS Mincho" w:cs="MS Mincho"/>
        </w:rPr>
        <w:t> </w:t>
      </w:r>
      <w:r w:rsidR="00633877">
        <w:t>also through institutional and governance linkages</w:t>
      </w:r>
      <w:r>
        <w:t>.</w:t>
      </w:r>
    </w:p>
    <w:p w14:paraId="40046DA7" w14:textId="77777777" w:rsidR="008F1687" w:rsidRDefault="008F1687" w:rsidP="00882A1D">
      <w:pPr>
        <w:spacing w:before="120" w:after="120"/>
      </w:pPr>
    </w:p>
    <w:p w14:paraId="04EF765D" w14:textId="77777777" w:rsidR="000263EE" w:rsidRDefault="00D70F62" w:rsidP="00882A1D">
      <w:pPr>
        <w:pStyle w:val="Heading1"/>
        <w:numPr>
          <w:ilvl w:val="0"/>
          <w:numId w:val="16"/>
        </w:numPr>
        <w:tabs>
          <w:tab w:val="clear" w:pos="720"/>
        </w:tabs>
        <w:spacing w:before="120"/>
      </w:pPr>
      <w:r>
        <w:lastRenderedPageBreak/>
        <w:t>initial visioning</w:t>
      </w:r>
      <w:r w:rsidR="008F1687">
        <w:t xml:space="preserve"> EXERCISE</w:t>
      </w:r>
    </w:p>
    <w:p w14:paraId="719C8754" w14:textId="77777777" w:rsidR="005818E0" w:rsidRDefault="00B81BB8" w:rsidP="00BB67DC">
      <w:pPr>
        <w:pStyle w:val="ListParagraph"/>
        <w:numPr>
          <w:ilvl w:val="0"/>
          <w:numId w:val="15"/>
        </w:numPr>
        <w:spacing w:before="120" w:after="120"/>
        <w:contextualSpacing w:val="0"/>
      </w:pPr>
      <w:r>
        <w:t>T</w:t>
      </w:r>
      <w:r w:rsidR="005450B8">
        <w:t>he IPBES Expert Group</w:t>
      </w:r>
      <w:r w:rsidR="00BF2F53">
        <w:t xml:space="preserve"> on Scenarios and Modelling</w:t>
      </w:r>
      <w:r w:rsidR="004B5AA3">
        <w:t>,</w:t>
      </w:r>
      <w:r w:rsidR="000B0FF6" w:rsidRPr="000B0FF6">
        <w:t xml:space="preserve"> </w:t>
      </w:r>
      <w:r w:rsidR="000B0FF6">
        <w:t xml:space="preserve">with the support of </w:t>
      </w:r>
      <w:r w:rsidR="00445DD2">
        <w:t>its</w:t>
      </w:r>
      <w:r w:rsidR="000B0FF6">
        <w:t xml:space="preserve"> Technical Support Unit (TSU)</w:t>
      </w:r>
      <w:r w:rsidR="004B5AA3">
        <w:t>,</w:t>
      </w:r>
      <w:r w:rsidR="005450B8">
        <w:t xml:space="preserve"> initiated the development of Multiscale Scenarios for </w:t>
      </w:r>
      <w:r w:rsidR="005450B8" w:rsidRPr="005D7B0D">
        <w:rPr>
          <w:iCs/>
        </w:rPr>
        <w:t>Nature Futures</w:t>
      </w:r>
      <w:r w:rsidR="005450B8">
        <w:t xml:space="preserve"> based on positive visions for our relationship with nature.</w:t>
      </w:r>
      <w:r>
        <w:t xml:space="preserve"> As t</w:t>
      </w:r>
      <w:r w:rsidR="00DC5A6A">
        <w:t xml:space="preserve">he first step of this process, a </w:t>
      </w:r>
      <w:r w:rsidR="005450B8">
        <w:t xml:space="preserve">stakeholder workshop </w:t>
      </w:r>
      <w:r w:rsidR="00DC5A6A">
        <w:t xml:space="preserve">was held </w:t>
      </w:r>
      <w:r w:rsidR="005450B8">
        <w:t xml:space="preserve">on 4-8 September 2017 in Auckland, New Zealand. Over 70 participants from </w:t>
      </w:r>
      <w:r w:rsidR="00D72118">
        <w:t xml:space="preserve">government agencies, </w:t>
      </w:r>
      <w:r w:rsidR="005450B8">
        <w:t xml:space="preserve">inter-governmental organizations, non-governmental organizations, academia and the private sector, from 31 countries, and with a range of sectoral expertise on biodiversity topics, from agriculture to fisheries, worked together in visioning </w:t>
      </w:r>
      <w:r w:rsidR="006876EA">
        <w:t>futures</w:t>
      </w:r>
      <w:r w:rsidR="005450B8">
        <w:t xml:space="preserve">. This </w:t>
      </w:r>
      <w:r w:rsidR="006876EA">
        <w:t>workshop was</w:t>
      </w:r>
      <w:r w:rsidR="005450B8">
        <w:t xml:space="preserve"> carried out in four steps </w:t>
      </w:r>
      <w:r w:rsidR="005C3800">
        <w:t>using</w:t>
      </w:r>
      <w:r w:rsidR="005450B8">
        <w:t xml:space="preserve"> a suite of scenario building methods. First the participants identified important themes to develop the visions. Next, thematic groups identified the main trends in each theme </w:t>
      </w:r>
      <w:r w:rsidR="0011407B">
        <w:t>with</w:t>
      </w:r>
      <w:r w:rsidR="005450B8">
        <w:t xml:space="preserve"> a set of “</w:t>
      </w:r>
      <w:r w:rsidR="00F33C4B">
        <w:t>s</w:t>
      </w:r>
      <w:r w:rsidR="005450B8">
        <w:t xml:space="preserve">eeds” </w:t>
      </w:r>
      <w:r w:rsidR="0011407B">
        <w:t xml:space="preserve">– </w:t>
      </w:r>
      <w:r w:rsidR="005450B8">
        <w:t>emerging</w:t>
      </w:r>
      <w:r w:rsidR="0011407B">
        <w:t xml:space="preserve"> </w:t>
      </w:r>
      <w:r w:rsidR="005450B8">
        <w:t xml:space="preserve">initiatives </w:t>
      </w:r>
      <w:r w:rsidR="005C3800">
        <w:t>with potential</w:t>
      </w:r>
      <w:r w:rsidR="0011407B">
        <w:t xml:space="preserve"> – that </w:t>
      </w:r>
      <w:r w:rsidR="00D72118">
        <w:t xml:space="preserve">could </w:t>
      </w:r>
      <w:r w:rsidR="002164BD">
        <w:t>contribute</w:t>
      </w:r>
      <w:r w:rsidR="005450B8">
        <w:t xml:space="preserve"> to positive futures </w:t>
      </w:r>
      <w:r w:rsidR="005C3800">
        <w:t xml:space="preserve">for </w:t>
      </w:r>
      <w:r w:rsidR="00F33C4B">
        <w:t>biodiversity</w:t>
      </w:r>
      <w:r w:rsidR="005450B8">
        <w:t xml:space="preserve">. Implications of </w:t>
      </w:r>
      <w:r w:rsidR="002164BD">
        <w:t>the</w:t>
      </w:r>
      <w:r w:rsidR="00D72118">
        <w:t>se</w:t>
      </w:r>
      <w:r w:rsidR="002164BD">
        <w:t xml:space="preserve"> </w:t>
      </w:r>
      <w:r w:rsidR="00D72118">
        <w:t xml:space="preserve">emerging initiatives </w:t>
      </w:r>
      <w:r w:rsidR="005450B8">
        <w:t>across a range of sectors were</w:t>
      </w:r>
      <w:r w:rsidR="00C65436">
        <w:t xml:space="preserve"> identified </w:t>
      </w:r>
      <w:r w:rsidR="002164BD">
        <w:t>and</w:t>
      </w:r>
      <w:r w:rsidR="00C65436">
        <w:t xml:space="preserve"> </w:t>
      </w:r>
      <w:r w:rsidR="005450B8">
        <w:t>a pathway analysis</w:t>
      </w:r>
      <w:r w:rsidR="00283151">
        <w:t xml:space="preserve"> on</w:t>
      </w:r>
      <w:r w:rsidR="005450B8">
        <w:t xml:space="preserve"> </w:t>
      </w:r>
      <w:r w:rsidR="002164BD">
        <w:t>transforming</w:t>
      </w:r>
      <w:r w:rsidR="005450B8">
        <w:t xml:space="preserve"> current regime into desirable </w:t>
      </w:r>
      <w:r w:rsidR="005C3800">
        <w:t xml:space="preserve">future </w:t>
      </w:r>
      <w:r w:rsidR="00283151">
        <w:t>regime</w:t>
      </w:r>
      <w:r w:rsidR="005C3800">
        <w:t>s</w:t>
      </w:r>
      <w:r w:rsidR="002164BD">
        <w:t xml:space="preserve"> was conducted</w:t>
      </w:r>
      <w:r w:rsidR="005450B8">
        <w:t xml:space="preserve">. </w:t>
      </w:r>
      <w:r w:rsidR="005C3800">
        <w:t>Then, n</w:t>
      </w:r>
      <w:r w:rsidR="005450B8">
        <w:t xml:space="preserve">arratives </w:t>
      </w:r>
      <w:r w:rsidR="002164BD">
        <w:t xml:space="preserve">for the visions were developed for </w:t>
      </w:r>
      <w:r w:rsidR="005450B8">
        <w:t xml:space="preserve">each </w:t>
      </w:r>
      <w:r w:rsidR="005C3800">
        <w:t>theme based on the results of previous exercises</w:t>
      </w:r>
      <w:r w:rsidR="005450B8">
        <w:t>. Finally, common</w:t>
      </w:r>
      <w:r w:rsidR="00283151">
        <w:t xml:space="preserve"> and unique elements</w:t>
      </w:r>
      <w:r w:rsidR="005450B8">
        <w:t xml:space="preserve"> across the </w:t>
      </w:r>
      <w:r w:rsidR="00283151">
        <w:t>visions</w:t>
      </w:r>
      <w:r w:rsidR="005450B8">
        <w:t xml:space="preserve"> and gaps were identified, and the regional relevance </w:t>
      </w:r>
      <w:r w:rsidR="00283151">
        <w:t>of each vision with existing challenges (lock-in’s) and opportunities (cracks) were discussed.</w:t>
      </w:r>
      <w:r w:rsidR="005450B8">
        <w:t xml:space="preserve"> </w:t>
      </w:r>
      <w:r w:rsidR="0069318B" w:rsidRPr="0069318B">
        <w:t xml:space="preserve">The </w:t>
      </w:r>
      <w:r w:rsidR="00D70F62">
        <w:t>visioning</w:t>
      </w:r>
      <w:r w:rsidR="0069318B" w:rsidRPr="0069318B">
        <w:t xml:space="preserve"> used an approach developed by researchers in the Seeds of the Good Anthropocene Project (Bennett et al. 2016)</w:t>
      </w:r>
      <w:r w:rsidR="000706D8">
        <w:t xml:space="preserve"> </w:t>
      </w:r>
      <w:r w:rsidR="0069318B" w:rsidRPr="0069318B">
        <w:t xml:space="preserve">designed to </w:t>
      </w:r>
      <w:r w:rsidR="00D70F62">
        <w:t xml:space="preserve">support the </w:t>
      </w:r>
      <w:r w:rsidR="0069318B" w:rsidRPr="0069318B">
        <w:t>bottom-up divergent vision</w:t>
      </w:r>
      <w:r w:rsidR="00D70F62">
        <w:t>ing</w:t>
      </w:r>
      <w:r w:rsidR="0069318B" w:rsidRPr="0069318B">
        <w:t xml:space="preserve"> of the future. </w:t>
      </w:r>
    </w:p>
    <w:p w14:paraId="1D008E8A" w14:textId="77777777" w:rsidR="000263EE" w:rsidRDefault="00C65436" w:rsidP="00882A1D">
      <w:pPr>
        <w:pStyle w:val="ListParagraph"/>
        <w:numPr>
          <w:ilvl w:val="0"/>
          <w:numId w:val="15"/>
        </w:numPr>
        <w:spacing w:before="120" w:after="120"/>
        <w:contextualSpacing w:val="0"/>
      </w:pPr>
      <w:r>
        <w:t xml:space="preserve">From the initial visions developed during the </w:t>
      </w:r>
      <w:r w:rsidRPr="00F4715C">
        <w:t>workshop, c</w:t>
      </w:r>
      <w:r w:rsidR="000263EE" w:rsidRPr="00F4715C">
        <w:t>ommon themes</w:t>
      </w:r>
      <w:r w:rsidRPr="00F4715C">
        <w:t xml:space="preserve"> emerged</w:t>
      </w:r>
      <w:r w:rsidR="000263EE" w:rsidRPr="00F4715C">
        <w:t xml:space="preserve"> on preferences for the future </w:t>
      </w:r>
      <w:r w:rsidRPr="00F4715C">
        <w:t xml:space="preserve">of our relationship with nature. </w:t>
      </w:r>
      <w:r w:rsidR="000263EE" w:rsidRPr="00F4715C">
        <w:t xml:space="preserve">Some visions emphasize the indirect and intangible benefits of biodiversity, while others emphasize the direct uses of nature. </w:t>
      </w:r>
      <w:r w:rsidR="00F4715C" w:rsidRPr="00B77616">
        <w:t>Some visions emp</w:t>
      </w:r>
      <w:r w:rsidR="00F4715C" w:rsidRPr="00F4715C">
        <w:t>hasize l</w:t>
      </w:r>
      <w:r w:rsidR="000263EE" w:rsidRPr="00F4715C">
        <w:t xml:space="preserve">ocalization of ecosystem service flows and the development of multifunctional landscapes, while others emphasize the management of ecosystem service flows </w:t>
      </w:r>
      <w:r w:rsidR="00F4715C" w:rsidRPr="00F4715C">
        <w:t xml:space="preserve">at a global level. </w:t>
      </w:r>
      <w:r w:rsidR="000263EE" w:rsidRPr="00F4715C">
        <w:t xml:space="preserve">Other themes emerging from a cross-cutting analysis include the appreciation of specific elements of biodiversity or a more holistic appreciation of biodiversity, varying degrees of the use of technology to improve </w:t>
      </w:r>
      <w:r w:rsidR="00F33C4B" w:rsidRPr="00F4715C">
        <w:t>ecosystem services</w:t>
      </w:r>
      <w:r w:rsidR="000263EE" w:rsidRPr="00F4715C">
        <w:t xml:space="preserve">, and varying intensities of </w:t>
      </w:r>
      <w:r w:rsidR="00F33C4B" w:rsidRPr="00F4715C">
        <w:t xml:space="preserve">biodiversity </w:t>
      </w:r>
      <w:r w:rsidR="000263EE" w:rsidRPr="00F4715C">
        <w:t>management. Shared themes</w:t>
      </w:r>
      <w:r w:rsidR="000263EE">
        <w:t xml:space="preserve"> across multiple visions include green infrastructure, a circular economy, context-dependent learning to inform environmental governance, </w:t>
      </w:r>
      <w:r w:rsidR="005818E0">
        <w:t>increased equity</w:t>
      </w:r>
      <w:r w:rsidR="000263EE">
        <w:t xml:space="preserve"> and reduction of humanity’s global footprint. Several visions require a societal paradigm shift and significant changes in values</w:t>
      </w:r>
      <w:r w:rsidR="006E030C">
        <w:t>.</w:t>
      </w:r>
    </w:p>
    <w:p w14:paraId="396902B3" w14:textId="77777777" w:rsidR="006E030C" w:rsidRPr="00E726B9" w:rsidRDefault="000263EE" w:rsidP="00FE0796">
      <w:pPr>
        <w:pStyle w:val="ListParagraph"/>
        <w:numPr>
          <w:ilvl w:val="0"/>
          <w:numId w:val="15"/>
        </w:numPr>
        <w:spacing w:before="120" w:after="120"/>
        <w:contextualSpacing w:val="0"/>
      </w:pPr>
      <w:r>
        <w:t>These visions differ conceptually from traditional scenarios that are used in environmental management</w:t>
      </w:r>
      <w:r w:rsidR="00FE0796">
        <w:t xml:space="preserve"> in that </w:t>
      </w:r>
      <w:r w:rsidR="005A61D1">
        <w:t>they</w:t>
      </w:r>
      <w:r>
        <w:t xml:space="preserve"> </w:t>
      </w:r>
      <w:r w:rsidR="005A61D1">
        <w:t>focus</w:t>
      </w:r>
      <w:r>
        <w:t xml:space="preserve"> on </w:t>
      </w:r>
      <w:r w:rsidR="00F33C4B">
        <w:t xml:space="preserve">biodiversity </w:t>
      </w:r>
      <w:r>
        <w:t xml:space="preserve">and </w:t>
      </w:r>
      <w:r w:rsidR="00F33C4B">
        <w:t>ecosystem services</w:t>
      </w:r>
      <w:r>
        <w:t xml:space="preserve">, and </w:t>
      </w:r>
      <w:r w:rsidR="005A61D1">
        <w:t xml:space="preserve">they </w:t>
      </w:r>
      <w:r>
        <w:t xml:space="preserve">vision </w:t>
      </w:r>
      <w:r w:rsidR="005A61D1">
        <w:t xml:space="preserve">only </w:t>
      </w:r>
      <w:r>
        <w:t xml:space="preserve">positive futures. </w:t>
      </w:r>
      <w:r w:rsidR="005A61D1">
        <w:t>Moreover, t</w:t>
      </w:r>
      <w:r>
        <w:t xml:space="preserve">hese visions also allow for the inclusion of dynamic processes and feedbacks between humans and nature that are missing in current scenarios, </w:t>
      </w:r>
      <w:r w:rsidR="00A72CA5">
        <w:t>including but not limited to</w:t>
      </w:r>
      <w:r>
        <w:t xml:space="preserve"> ch</w:t>
      </w:r>
      <w:r w:rsidR="00636299">
        <w:t>anges in socio-cultural values</w:t>
      </w:r>
      <w:r w:rsidR="00FE0796">
        <w:t>,</w:t>
      </w:r>
      <w:r w:rsidR="00636299">
        <w:t xml:space="preserve"> </w:t>
      </w:r>
      <w:r>
        <w:t>qualitative values</w:t>
      </w:r>
      <w:r w:rsidR="00FE0796">
        <w:t>,</w:t>
      </w:r>
      <w:r>
        <w:t xml:space="preserve"> such as sense of place</w:t>
      </w:r>
      <w:r w:rsidR="00FE0796">
        <w:t>,</w:t>
      </w:r>
      <w:r>
        <w:t xml:space="preserve"> changes in practices</w:t>
      </w:r>
      <w:r w:rsidR="00FE0796">
        <w:t>,</w:t>
      </w:r>
      <w:r>
        <w:t xml:space="preserve"> distribution of stakeholders’ preferences</w:t>
      </w:r>
      <w:r w:rsidR="00FE0796">
        <w:t>,</w:t>
      </w:r>
      <w:r>
        <w:t xml:space="preserve"> teleconnections</w:t>
      </w:r>
      <w:r w:rsidR="00FE0796">
        <w:t>,</w:t>
      </w:r>
      <w:r w:rsidR="005A61D1">
        <w:t xml:space="preserve"> </w:t>
      </w:r>
      <w:r>
        <w:t>and the complexity of biodiversity change (</w:t>
      </w:r>
      <w:r w:rsidR="00A72CA5">
        <w:t xml:space="preserve">e.g. </w:t>
      </w:r>
      <w:r>
        <w:t>invasive and endemic species, spatial scale).</w:t>
      </w:r>
    </w:p>
    <w:p w14:paraId="0C995A35" w14:textId="77777777" w:rsidR="00D260E2" w:rsidRPr="00E726B9" w:rsidRDefault="00BC1E1F" w:rsidP="00882A1D">
      <w:pPr>
        <w:pStyle w:val="Heading1"/>
        <w:keepNext w:val="0"/>
        <w:numPr>
          <w:ilvl w:val="0"/>
          <w:numId w:val="16"/>
        </w:numPr>
        <w:tabs>
          <w:tab w:val="clear" w:pos="720"/>
        </w:tabs>
        <w:spacing w:before="120"/>
      </w:pPr>
      <w:r>
        <w:t xml:space="preserve">a </w:t>
      </w:r>
      <w:r w:rsidR="0095022F">
        <w:t>WAY</w:t>
      </w:r>
      <w:r>
        <w:t xml:space="preserve"> forward</w:t>
      </w:r>
    </w:p>
    <w:p w14:paraId="72265A2C" w14:textId="77777777" w:rsidR="006E030C" w:rsidRDefault="0069318B" w:rsidP="00BB67DC">
      <w:pPr>
        <w:pStyle w:val="Caption"/>
        <w:numPr>
          <w:ilvl w:val="0"/>
          <w:numId w:val="15"/>
        </w:numPr>
        <w:spacing w:before="120" w:after="120"/>
        <w:ind w:left="357" w:hanging="357"/>
        <w:rPr>
          <w:rFonts w:ascii="Times New Roman" w:eastAsia="Times New Roman" w:hAnsi="Times New Roman"/>
          <w:i w:val="0"/>
          <w:iCs w:val="0"/>
          <w:color w:val="auto"/>
          <w:sz w:val="22"/>
          <w:szCs w:val="24"/>
        </w:rPr>
      </w:pPr>
      <w:r w:rsidRPr="0069318B">
        <w:rPr>
          <w:rFonts w:ascii="Times New Roman" w:eastAsia="Times New Roman" w:hAnsi="Times New Roman"/>
          <w:i w:val="0"/>
          <w:iCs w:val="0"/>
          <w:color w:val="auto"/>
          <w:sz w:val="22"/>
          <w:szCs w:val="24"/>
        </w:rPr>
        <w:t xml:space="preserve">The </w:t>
      </w:r>
      <w:r w:rsidR="00D05B54">
        <w:rPr>
          <w:rFonts w:ascii="Times New Roman" w:eastAsia="Times New Roman" w:hAnsi="Times New Roman"/>
          <w:i w:val="0"/>
          <w:iCs w:val="0"/>
          <w:color w:val="auto"/>
          <w:sz w:val="22"/>
          <w:szCs w:val="24"/>
        </w:rPr>
        <w:t xml:space="preserve">initial </w:t>
      </w:r>
      <w:r w:rsidRPr="0069318B">
        <w:rPr>
          <w:rFonts w:ascii="Times New Roman" w:eastAsia="Times New Roman" w:hAnsi="Times New Roman"/>
          <w:i w:val="0"/>
          <w:iCs w:val="0"/>
          <w:color w:val="auto"/>
          <w:sz w:val="22"/>
          <w:szCs w:val="24"/>
        </w:rPr>
        <w:t xml:space="preserve">visions </w:t>
      </w:r>
      <w:r w:rsidR="00636299">
        <w:rPr>
          <w:rFonts w:ascii="Times New Roman" w:eastAsia="Times New Roman" w:hAnsi="Times New Roman"/>
          <w:i w:val="0"/>
          <w:iCs w:val="0"/>
          <w:color w:val="auto"/>
          <w:sz w:val="22"/>
          <w:szCs w:val="24"/>
        </w:rPr>
        <w:t>developed</w:t>
      </w:r>
      <w:r w:rsidRPr="0069318B">
        <w:rPr>
          <w:rFonts w:ascii="Times New Roman" w:eastAsia="Times New Roman" w:hAnsi="Times New Roman"/>
          <w:i w:val="0"/>
          <w:iCs w:val="0"/>
          <w:color w:val="auto"/>
          <w:sz w:val="22"/>
          <w:szCs w:val="24"/>
        </w:rPr>
        <w:t xml:space="preserve"> </w:t>
      </w:r>
      <w:r w:rsidR="00636299">
        <w:rPr>
          <w:rFonts w:ascii="Times New Roman" w:eastAsia="Times New Roman" w:hAnsi="Times New Roman"/>
          <w:i w:val="0"/>
          <w:iCs w:val="0"/>
          <w:color w:val="auto"/>
          <w:sz w:val="22"/>
          <w:szCs w:val="24"/>
        </w:rPr>
        <w:t>from</w:t>
      </w:r>
      <w:r w:rsidRPr="0069318B">
        <w:rPr>
          <w:rFonts w:ascii="Times New Roman" w:eastAsia="Times New Roman" w:hAnsi="Times New Roman"/>
          <w:i w:val="0"/>
          <w:iCs w:val="0"/>
          <w:color w:val="auto"/>
          <w:sz w:val="22"/>
          <w:szCs w:val="24"/>
        </w:rPr>
        <w:t xml:space="preserve"> the workshop </w:t>
      </w:r>
      <w:r w:rsidR="005A61D1">
        <w:rPr>
          <w:rFonts w:ascii="Times New Roman" w:eastAsia="Times New Roman" w:hAnsi="Times New Roman"/>
          <w:i w:val="0"/>
          <w:iCs w:val="0"/>
          <w:color w:val="auto"/>
          <w:sz w:val="22"/>
          <w:szCs w:val="24"/>
        </w:rPr>
        <w:t>are a</w:t>
      </w:r>
      <w:r w:rsidRPr="0069318B">
        <w:rPr>
          <w:rFonts w:ascii="Times New Roman" w:eastAsia="Times New Roman" w:hAnsi="Times New Roman"/>
          <w:i w:val="0"/>
          <w:iCs w:val="0"/>
          <w:color w:val="auto"/>
          <w:sz w:val="22"/>
          <w:szCs w:val="24"/>
        </w:rPr>
        <w:t xml:space="preserve"> first step in a </w:t>
      </w:r>
      <w:r w:rsidR="005A61D1">
        <w:rPr>
          <w:rFonts w:ascii="Times New Roman" w:eastAsia="Times New Roman" w:hAnsi="Times New Roman"/>
          <w:i w:val="0"/>
          <w:iCs w:val="0"/>
          <w:color w:val="auto"/>
          <w:sz w:val="22"/>
          <w:szCs w:val="24"/>
        </w:rPr>
        <w:t>five</w:t>
      </w:r>
      <w:r w:rsidRPr="0069318B">
        <w:rPr>
          <w:rFonts w:ascii="Times New Roman" w:eastAsia="Times New Roman" w:hAnsi="Times New Roman"/>
          <w:i w:val="0"/>
          <w:iCs w:val="0"/>
          <w:color w:val="auto"/>
          <w:sz w:val="22"/>
          <w:szCs w:val="24"/>
        </w:rPr>
        <w:t>-year process of developing Multiscale Scenarios for Nature Futures</w:t>
      </w:r>
      <w:r w:rsidR="00C65436">
        <w:rPr>
          <w:rFonts w:ascii="Times New Roman" w:eastAsia="Times New Roman" w:hAnsi="Times New Roman"/>
          <w:i w:val="0"/>
          <w:iCs w:val="0"/>
          <w:color w:val="auto"/>
          <w:sz w:val="22"/>
          <w:szCs w:val="24"/>
        </w:rPr>
        <w:t>,</w:t>
      </w:r>
      <w:r w:rsidRPr="0069318B">
        <w:rPr>
          <w:rFonts w:ascii="Times New Roman" w:eastAsia="Times New Roman" w:hAnsi="Times New Roman"/>
          <w:i w:val="0"/>
          <w:iCs w:val="0"/>
          <w:color w:val="auto"/>
          <w:sz w:val="22"/>
          <w:szCs w:val="24"/>
        </w:rPr>
        <w:t xml:space="preserve"> </w:t>
      </w:r>
      <w:r w:rsidR="003009F6">
        <w:rPr>
          <w:rFonts w:ascii="Times New Roman" w:eastAsia="Times New Roman" w:hAnsi="Times New Roman"/>
          <w:i w:val="0"/>
          <w:iCs w:val="0"/>
          <w:color w:val="auto"/>
          <w:sz w:val="22"/>
          <w:szCs w:val="24"/>
        </w:rPr>
        <w:t xml:space="preserve">in </w:t>
      </w:r>
      <w:r w:rsidR="005A61D1">
        <w:rPr>
          <w:rFonts w:ascii="Times New Roman" w:eastAsia="Times New Roman" w:hAnsi="Times New Roman"/>
          <w:i w:val="0"/>
          <w:iCs w:val="0"/>
          <w:color w:val="auto"/>
          <w:sz w:val="22"/>
          <w:szCs w:val="24"/>
        </w:rPr>
        <w:t xml:space="preserve">a </w:t>
      </w:r>
      <w:r w:rsidR="003009F6">
        <w:rPr>
          <w:rFonts w:ascii="Times New Roman" w:eastAsia="Times New Roman" w:hAnsi="Times New Roman"/>
          <w:i w:val="0"/>
          <w:iCs w:val="0"/>
          <w:color w:val="auto"/>
          <w:sz w:val="22"/>
          <w:szCs w:val="24"/>
        </w:rPr>
        <w:t>continuous iteration</w:t>
      </w:r>
      <w:r w:rsidR="00D0715B">
        <w:rPr>
          <w:rFonts w:ascii="Times New Roman" w:eastAsia="Times New Roman" w:hAnsi="Times New Roman"/>
          <w:i w:val="0"/>
          <w:iCs w:val="0"/>
          <w:color w:val="auto"/>
          <w:sz w:val="22"/>
          <w:szCs w:val="24"/>
        </w:rPr>
        <w:t xml:space="preserve"> of </w:t>
      </w:r>
      <w:r w:rsidRPr="0069318B">
        <w:rPr>
          <w:rFonts w:ascii="Times New Roman" w:eastAsia="Times New Roman" w:hAnsi="Times New Roman"/>
          <w:i w:val="0"/>
          <w:iCs w:val="0"/>
          <w:color w:val="auto"/>
          <w:sz w:val="22"/>
          <w:szCs w:val="24"/>
        </w:rPr>
        <w:t>visioning, stakeholder consultation, and modelling</w:t>
      </w:r>
      <w:r w:rsidR="00C65436">
        <w:rPr>
          <w:rFonts w:ascii="Times New Roman" w:eastAsia="Times New Roman" w:hAnsi="Times New Roman"/>
          <w:i w:val="0"/>
          <w:iCs w:val="0"/>
          <w:color w:val="auto"/>
          <w:sz w:val="22"/>
          <w:szCs w:val="24"/>
        </w:rPr>
        <w:t xml:space="preserve"> (Figure 2</w:t>
      </w:r>
      <w:r w:rsidR="005818E0">
        <w:rPr>
          <w:rFonts w:ascii="Times New Roman" w:eastAsia="Times New Roman" w:hAnsi="Times New Roman"/>
          <w:i w:val="0"/>
          <w:iCs w:val="0"/>
          <w:color w:val="auto"/>
          <w:sz w:val="22"/>
          <w:szCs w:val="24"/>
        </w:rPr>
        <w:t>a</w:t>
      </w:r>
      <w:r w:rsidR="004D44D4">
        <w:rPr>
          <w:rFonts w:ascii="Times New Roman" w:eastAsia="Times New Roman" w:hAnsi="Times New Roman"/>
          <w:i w:val="0"/>
          <w:iCs w:val="0"/>
          <w:color w:val="auto"/>
          <w:sz w:val="22"/>
          <w:szCs w:val="24"/>
        </w:rPr>
        <w:t>, 2b</w:t>
      </w:r>
      <w:r w:rsidR="00C65436">
        <w:rPr>
          <w:rFonts w:ascii="Times New Roman" w:eastAsia="Times New Roman" w:hAnsi="Times New Roman"/>
          <w:i w:val="0"/>
          <w:iCs w:val="0"/>
          <w:color w:val="auto"/>
          <w:sz w:val="22"/>
          <w:szCs w:val="24"/>
        </w:rPr>
        <w:t>)</w:t>
      </w:r>
      <w:r w:rsidRPr="0069318B">
        <w:rPr>
          <w:rFonts w:ascii="Times New Roman" w:eastAsia="Times New Roman" w:hAnsi="Times New Roman"/>
          <w:i w:val="0"/>
          <w:iCs w:val="0"/>
          <w:color w:val="auto"/>
          <w:sz w:val="22"/>
          <w:szCs w:val="24"/>
        </w:rPr>
        <w:t xml:space="preserve">. </w:t>
      </w:r>
      <w:r w:rsidR="005A61D1">
        <w:rPr>
          <w:rFonts w:ascii="Times New Roman" w:eastAsia="Times New Roman" w:hAnsi="Times New Roman"/>
          <w:i w:val="0"/>
          <w:iCs w:val="0"/>
          <w:color w:val="auto"/>
          <w:sz w:val="22"/>
          <w:szCs w:val="24"/>
        </w:rPr>
        <w:t>They do</w:t>
      </w:r>
      <w:r w:rsidR="005A61D1" w:rsidRPr="0069318B">
        <w:rPr>
          <w:rFonts w:ascii="Times New Roman" w:eastAsia="Times New Roman" w:hAnsi="Times New Roman"/>
          <w:i w:val="0"/>
          <w:iCs w:val="0"/>
          <w:color w:val="auto"/>
          <w:sz w:val="22"/>
          <w:szCs w:val="24"/>
        </w:rPr>
        <w:t xml:space="preserve"> not represent all possible </w:t>
      </w:r>
      <w:r w:rsidR="005A61D1">
        <w:rPr>
          <w:rFonts w:ascii="Times New Roman" w:eastAsia="Times New Roman" w:hAnsi="Times New Roman"/>
          <w:i w:val="0"/>
          <w:iCs w:val="0"/>
          <w:color w:val="auto"/>
          <w:sz w:val="22"/>
          <w:szCs w:val="24"/>
        </w:rPr>
        <w:t>visions of positive futures.</w:t>
      </w:r>
      <w:r w:rsidR="005A61D1" w:rsidRPr="0069318B">
        <w:rPr>
          <w:rFonts w:ascii="Times New Roman" w:eastAsia="Times New Roman" w:hAnsi="Times New Roman"/>
          <w:i w:val="0"/>
          <w:iCs w:val="0"/>
          <w:color w:val="auto"/>
          <w:sz w:val="22"/>
          <w:szCs w:val="24"/>
        </w:rPr>
        <w:t xml:space="preserve"> </w:t>
      </w:r>
      <w:r w:rsidR="005A61D1">
        <w:rPr>
          <w:rFonts w:ascii="Times New Roman" w:eastAsia="Times New Roman" w:hAnsi="Times New Roman"/>
          <w:i w:val="0"/>
          <w:iCs w:val="0"/>
          <w:color w:val="auto"/>
          <w:sz w:val="22"/>
          <w:szCs w:val="24"/>
        </w:rPr>
        <w:t xml:space="preserve">At a later stage, the </w:t>
      </w:r>
      <w:r w:rsidR="00BC0E81" w:rsidRPr="0069318B">
        <w:rPr>
          <w:rFonts w:ascii="Times New Roman" w:eastAsia="Times New Roman" w:hAnsi="Times New Roman"/>
          <w:i w:val="0"/>
          <w:iCs w:val="0"/>
          <w:color w:val="auto"/>
          <w:sz w:val="22"/>
          <w:szCs w:val="24"/>
        </w:rPr>
        <w:t xml:space="preserve">visions </w:t>
      </w:r>
      <w:r w:rsidR="005A61D1">
        <w:rPr>
          <w:rFonts w:ascii="Times New Roman" w:eastAsia="Times New Roman" w:hAnsi="Times New Roman"/>
          <w:i w:val="0"/>
          <w:iCs w:val="0"/>
          <w:color w:val="auto"/>
          <w:sz w:val="22"/>
          <w:szCs w:val="24"/>
        </w:rPr>
        <w:t xml:space="preserve">will </w:t>
      </w:r>
      <w:r w:rsidR="003009F6">
        <w:rPr>
          <w:rFonts w:ascii="Times New Roman" w:eastAsia="Times New Roman" w:hAnsi="Times New Roman"/>
          <w:i w:val="0"/>
          <w:iCs w:val="0"/>
          <w:color w:val="auto"/>
          <w:sz w:val="22"/>
          <w:szCs w:val="24"/>
        </w:rPr>
        <w:t>need to be consolidated into a smaller set of visions</w:t>
      </w:r>
      <w:r w:rsidR="00BC0E81" w:rsidRPr="0069318B">
        <w:rPr>
          <w:rFonts w:ascii="Times New Roman" w:eastAsia="Times New Roman" w:hAnsi="Times New Roman"/>
          <w:i w:val="0"/>
          <w:iCs w:val="0"/>
          <w:color w:val="auto"/>
          <w:sz w:val="22"/>
          <w:szCs w:val="24"/>
        </w:rPr>
        <w:t xml:space="preserve"> through</w:t>
      </w:r>
      <w:r w:rsidR="00BC0E81">
        <w:rPr>
          <w:rFonts w:ascii="Times New Roman" w:eastAsia="Times New Roman" w:hAnsi="Times New Roman"/>
          <w:i w:val="0"/>
          <w:iCs w:val="0"/>
          <w:color w:val="auto"/>
          <w:sz w:val="22"/>
          <w:szCs w:val="24"/>
        </w:rPr>
        <w:t xml:space="preserve"> follow-on</w:t>
      </w:r>
      <w:r w:rsidR="00BC0E81" w:rsidRPr="0069318B">
        <w:rPr>
          <w:rFonts w:ascii="Times New Roman" w:eastAsia="Times New Roman" w:hAnsi="Times New Roman"/>
          <w:i w:val="0"/>
          <w:iCs w:val="0"/>
          <w:color w:val="auto"/>
          <w:sz w:val="22"/>
          <w:szCs w:val="24"/>
        </w:rPr>
        <w:t xml:space="preserve"> global and regional consultations</w:t>
      </w:r>
      <w:r w:rsidR="00D0715B">
        <w:rPr>
          <w:rFonts w:ascii="Times New Roman" w:eastAsia="Times New Roman" w:hAnsi="Times New Roman"/>
          <w:i w:val="0"/>
          <w:iCs w:val="0"/>
          <w:color w:val="auto"/>
          <w:sz w:val="22"/>
          <w:szCs w:val="24"/>
        </w:rPr>
        <w:t xml:space="preserve">. Concurrently, </w:t>
      </w:r>
      <w:r w:rsidR="00636299">
        <w:rPr>
          <w:rFonts w:ascii="Times New Roman" w:eastAsia="Times New Roman" w:hAnsi="Times New Roman"/>
          <w:i w:val="0"/>
          <w:iCs w:val="0"/>
          <w:color w:val="auto"/>
          <w:sz w:val="22"/>
          <w:szCs w:val="24"/>
        </w:rPr>
        <w:t xml:space="preserve">the expert group and the </w:t>
      </w:r>
      <w:r w:rsidR="00D0715B">
        <w:rPr>
          <w:rFonts w:ascii="Times New Roman" w:eastAsia="Times New Roman" w:hAnsi="Times New Roman"/>
          <w:i w:val="0"/>
          <w:iCs w:val="0"/>
          <w:color w:val="auto"/>
          <w:sz w:val="22"/>
          <w:szCs w:val="24"/>
        </w:rPr>
        <w:t>m</w:t>
      </w:r>
      <w:r w:rsidR="00BC0E81" w:rsidRPr="0069318B">
        <w:rPr>
          <w:rFonts w:ascii="Times New Roman" w:eastAsia="Times New Roman" w:hAnsi="Times New Roman"/>
          <w:i w:val="0"/>
          <w:iCs w:val="0"/>
          <w:color w:val="auto"/>
          <w:sz w:val="22"/>
          <w:szCs w:val="24"/>
        </w:rPr>
        <w:t xml:space="preserve">odelling </w:t>
      </w:r>
      <w:r w:rsidR="00636299">
        <w:rPr>
          <w:rFonts w:ascii="Times New Roman" w:eastAsia="Times New Roman" w:hAnsi="Times New Roman"/>
          <w:i w:val="0"/>
          <w:iCs w:val="0"/>
          <w:color w:val="auto"/>
          <w:sz w:val="22"/>
          <w:szCs w:val="24"/>
        </w:rPr>
        <w:t>community</w:t>
      </w:r>
      <w:r w:rsidR="00BC0E81">
        <w:rPr>
          <w:rFonts w:ascii="Times New Roman" w:eastAsia="Times New Roman" w:hAnsi="Times New Roman"/>
          <w:i w:val="0"/>
          <w:iCs w:val="0"/>
          <w:color w:val="auto"/>
          <w:sz w:val="22"/>
          <w:szCs w:val="24"/>
        </w:rPr>
        <w:t xml:space="preserve"> will collaboratively develop storylines and</w:t>
      </w:r>
      <w:r w:rsidR="00BC0E81" w:rsidRPr="0069318B">
        <w:rPr>
          <w:rFonts w:ascii="Times New Roman" w:eastAsia="Times New Roman" w:hAnsi="Times New Roman"/>
          <w:i w:val="0"/>
          <w:iCs w:val="0"/>
          <w:color w:val="auto"/>
          <w:sz w:val="22"/>
          <w:szCs w:val="24"/>
        </w:rPr>
        <w:t xml:space="preserve"> scenarios for each </w:t>
      </w:r>
      <w:r w:rsidR="00636299">
        <w:rPr>
          <w:rFonts w:ascii="Times New Roman" w:eastAsia="Times New Roman" w:hAnsi="Times New Roman"/>
          <w:i w:val="0"/>
          <w:iCs w:val="0"/>
          <w:color w:val="auto"/>
          <w:sz w:val="22"/>
          <w:szCs w:val="24"/>
        </w:rPr>
        <w:t xml:space="preserve">of the visions </w:t>
      </w:r>
      <w:r w:rsidR="00BC0E81">
        <w:rPr>
          <w:rFonts w:ascii="Times New Roman" w:eastAsia="Times New Roman" w:hAnsi="Times New Roman"/>
          <w:i w:val="0"/>
          <w:iCs w:val="0"/>
          <w:color w:val="auto"/>
          <w:sz w:val="22"/>
          <w:szCs w:val="24"/>
        </w:rPr>
        <w:t>in dialogue with stakeholders</w:t>
      </w:r>
      <w:r w:rsidR="00BC0E81" w:rsidRPr="0069318B">
        <w:rPr>
          <w:rFonts w:ascii="Times New Roman" w:eastAsia="Times New Roman" w:hAnsi="Times New Roman"/>
          <w:i w:val="0"/>
          <w:iCs w:val="0"/>
          <w:color w:val="auto"/>
          <w:sz w:val="22"/>
          <w:szCs w:val="24"/>
        </w:rPr>
        <w:t xml:space="preserve">. </w:t>
      </w:r>
      <w:r w:rsidR="00BC0E81">
        <w:rPr>
          <w:rFonts w:ascii="Times New Roman" w:eastAsia="Times New Roman" w:hAnsi="Times New Roman"/>
          <w:i w:val="0"/>
          <w:iCs w:val="0"/>
          <w:color w:val="auto"/>
          <w:sz w:val="22"/>
          <w:szCs w:val="24"/>
        </w:rPr>
        <w:t>The</w:t>
      </w:r>
      <w:r w:rsidR="00BC0E81" w:rsidRPr="0069318B">
        <w:rPr>
          <w:rFonts w:ascii="Times New Roman" w:eastAsia="Times New Roman" w:hAnsi="Times New Roman"/>
          <w:i w:val="0"/>
          <w:iCs w:val="0"/>
          <w:color w:val="auto"/>
          <w:sz w:val="22"/>
          <w:szCs w:val="24"/>
        </w:rPr>
        <w:t xml:space="preserve"> gaps identified </w:t>
      </w:r>
      <w:r w:rsidR="00BC0E81">
        <w:rPr>
          <w:rFonts w:ascii="Times New Roman" w:eastAsia="Times New Roman" w:hAnsi="Times New Roman"/>
          <w:i w:val="0"/>
          <w:iCs w:val="0"/>
          <w:color w:val="auto"/>
          <w:sz w:val="22"/>
          <w:szCs w:val="24"/>
        </w:rPr>
        <w:t xml:space="preserve">in </w:t>
      </w:r>
      <w:r w:rsidR="00C65436">
        <w:rPr>
          <w:rFonts w:ascii="Times New Roman" w:eastAsia="Times New Roman" w:hAnsi="Times New Roman"/>
          <w:i w:val="0"/>
          <w:iCs w:val="0"/>
          <w:color w:val="auto"/>
          <w:sz w:val="22"/>
          <w:szCs w:val="24"/>
        </w:rPr>
        <w:t>initial</w:t>
      </w:r>
      <w:r w:rsidR="00BC0E81">
        <w:rPr>
          <w:rFonts w:ascii="Times New Roman" w:eastAsia="Times New Roman" w:hAnsi="Times New Roman"/>
          <w:i w:val="0"/>
          <w:iCs w:val="0"/>
          <w:color w:val="auto"/>
          <w:sz w:val="22"/>
          <w:szCs w:val="24"/>
        </w:rPr>
        <w:t xml:space="preserve"> visions</w:t>
      </w:r>
      <w:r w:rsidR="00BC0E81" w:rsidRPr="0069318B">
        <w:rPr>
          <w:rFonts w:ascii="Times New Roman" w:eastAsia="Times New Roman" w:hAnsi="Times New Roman"/>
          <w:i w:val="0"/>
          <w:iCs w:val="0"/>
          <w:color w:val="auto"/>
          <w:sz w:val="22"/>
          <w:szCs w:val="24"/>
        </w:rPr>
        <w:t xml:space="preserve"> will be </w:t>
      </w:r>
      <w:r w:rsidR="00BC0E81">
        <w:rPr>
          <w:rFonts w:ascii="Times New Roman" w:eastAsia="Times New Roman" w:hAnsi="Times New Roman"/>
          <w:i w:val="0"/>
          <w:iCs w:val="0"/>
          <w:color w:val="auto"/>
          <w:sz w:val="22"/>
          <w:szCs w:val="24"/>
        </w:rPr>
        <w:t>filled</w:t>
      </w:r>
      <w:r w:rsidR="00BC0E81" w:rsidRPr="0069318B">
        <w:rPr>
          <w:rFonts w:ascii="Times New Roman" w:eastAsia="Times New Roman" w:hAnsi="Times New Roman"/>
          <w:i w:val="0"/>
          <w:iCs w:val="0"/>
          <w:color w:val="auto"/>
          <w:sz w:val="22"/>
          <w:szCs w:val="24"/>
        </w:rPr>
        <w:t xml:space="preserve"> </w:t>
      </w:r>
      <w:r w:rsidR="00BC0E81">
        <w:rPr>
          <w:rFonts w:ascii="Times New Roman" w:eastAsia="Times New Roman" w:hAnsi="Times New Roman"/>
          <w:i w:val="0"/>
          <w:iCs w:val="0"/>
          <w:color w:val="auto"/>
          <w:sz w:val="22"/>
          <w:szCs w:val="24"/>
        </w:rPr>
        <w:t>during</w:t>
      </w:r>
      <w:r w:rsidR="00BC0E81" w:rsidRPr="0069318B">
        <w:rPr>
          <w:rFonts w:ascii="Times New Roman" w:eastAsia="Times New Roman" w:hAnsi="Times New Roman"/>
          <w:i w:val="0"/>
          <w:iCs w:val="0"/>
          <w:color w:val="auto"/>
          <w:sz w:val="22"/>
          <w:szCs w:val="24"/>
        </w:rPr>
        <w:t xml:space="preserve"> </w:t>
      </w:r>
      <w:r w:rsidR="00636299">
        <w:rPr>
          <w:rFonts w:ascii="Times New Roman" w:eastAsia="Times New Roman" w:hAnsi="Times New Roman"/>
          <w:i w:val="0"/>
          <w:iCs w:val="0"/>
          <w:color w:val="auto"/>
          <w:sz w:val="22"/>
          <w:szCs w:val="24"/>
        </w:rPr>
        <w:t>the</w:t>
      </w:r>
      <w:r w:rsidR="00BC0E81" w:rsidRPr="0069318B">
        <w:rPr>
          <w:rFonts w:ascii="Times New Roman" w:eastAsia="Times New Roman" w:hAnsi="Times New Roman"/>
          <w:i w:val="0"/>
          <w:iCs w:val="0"/>
          <w:color w:val="auto"/>
          <w:sz w:val="22"/>
          <w:szCs w:val="24"/>
        </w:rPr>
        <w:t xml:space="preserve"> </w:t>
      </w:r>
      <w:r w:rsidR="00636299">
        <w:rPr>
          <w:rFonts w:ascii="Times New Roman" w:eastAsia="Times New Roman" w:hAnsi="Times New Roman"/>
          <w:i w:val="0"/>
          <w:iCs w:val="0"/>
          <w:color w:val="auto"/>
          <w:sz w:val="22"/>
          <w:szCs w:val="24"/>
        </w:rPr>
        <w:t>consultation process</w:t>
      </w:r>
      <w:r w:rsidR="0045071D">
        <w:rPr>
          <w:rFonts w:ascii="Times New Roman" w:eastAsia="Times New Roman" w:hAnsi="Times New Roman"/>
          <w:i w:val="0"/>
          <w:iCs w:val="0"/>
          <w:color w:val="auto"/>
          <w:sz w:val="22"/>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5071D" w14:paraId="7122BBAA" w14:textId="77777777" w:rsidTr="00A4107C">
        <w:tc>
          <w:tcPr>
            <w:tcW w:w="9350" w:type="dxa"/>
            <w:shd w:val="clear" w:color="auto" w:fill="auto"/>
            <w:vAlign w:val="center"/>
          </w:tcPr>
          <w:p w14:paraId="3225DD9E" w14:textId="447F71EB" w:rsidR="00932B44" w:rsidRDefault="0045071D" w:rsidP="0045071D">
            <w:pPr>
              <w:spacing w:before="120"/>
              <w:ind w:right="-101"/>
              <w:jc w:val="left"/>
            </w:pPr>
            <w:r>
              <w:rPr>
                <w:noProof/>
                <w:lang w:val="en-US"/>
              </w:rPr>
              <w:lastRenderedPageBreak/>
              <w:drawing>
                <wp:inline distT="0" distB="0" distL="0" distR="0" wp14:anchorId="24C0BF42" wp14:editId="246E8539">
                  <wp:extent cx="3259303" cy="241794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atureFutures_timeline.png"/>
                          <pic:cNvPicPr/>
                        </pic:nvPicPr>
                        <pic:blipFill rotWithShape="1">
                          <a:blip r:embed="rId14">
                            <a:extLst>
                              <a:ext uri="{28A0092B-C50C-407E-A947-70E740481C1C}">
                                <a14:useLocalDpi xmlns:a14="http://schemas.microsoft.com/office/drawing/2010/main" val="0"/>
                              </a:ext>
                            </a:extLst>
                          </a:blip>
                          <a:srcRect l="4332"/>
                          <a:stretch/>
                        </pic:blipFill>
                        <pic:spPr bwMode="auto">
                          <a:xfrm>
                            <a:off x="0" y="0"/>
                            <a:ext cx="3259303" cy="2417946"/>
                          </a:xfrm>
                          <a:prstGeom prst="rect">
                            <a:avLst/>
                          </a:prstGeom>
                          <a:ln>
                            <a:noFill/>
                          </a:ln>
                          <a:extLst>
                            <a:ext uri="{53640926-AAD7-44D8-BBD7-CCE9431645EC}">
                              <a14:shadowObscured xmlns:a14="http://schemas.microsoft.com/office/drawing/2010/main"/>
                            </a:ext>
                          </a:extLst>
                        </pic:spPr>
                      </pic:pic>
                    </a:graphicData>
                  </a:graphic>
                </wp:inline>
              </w:drawing>
            </w:r>
            <w:r w:rsidRPr="0045071D">
              <w:t xml:space="preserve">  </w:t>
            </w:r>
          </w:p>
          <w:p w14:paraId="445E4FA8" w14:textId="039AC5C8" w:rsidR="0045071D" w:rsidRPr="0045071D" w:rsidRDefault="0045071D" w:rsidP="0045071D">
            <w:pPr>
              <w:spacing w:before="120"/>
              <w:ind w:right="-101"/>
              <w:jc w:val="left"/>
            </w:pPr>
            <w:r w:rsidRPr="0045071D">
              <w:t xml:space="preserve">  </w:t>
            </w:r>
          </w:p>
        </w:tc>
      </w:tr>
      <w:tr w:rsidR="0045071D" w:rsidRPr="00FD489B" w14:paraId="2C4D0D7E" w14:textId="77777777" w:rsidTr="00A4107C">
        <w:trPr>
          <w:trHeight w:val="287"/>
        </w:trPr>
        <w:tc>
          <w:tcPr>
            <w:tcW w:w="9350" w:type="dxa"/>
            <w:shd w:val="clear" w:color="auto" w:fill="auto"/>
            <w:vAlign w:val="center"/>
          </w:tcPr>
          <w:p w14:paraId="66C21D48" w14:textId="5FF67AF1" w:rsidR="00F33D35" w:rsidRDefault="0045071D" w:rsidP="00E424DE">
            <w:pPr>
              <w:spacing w:before="120"/>
              <w:ind w:right="-101"/>
              <w:jc w:val="left"/>
              <w:rPr>
                <w:rFonts w:asciiTheme="minorHAnsi" w:hAnsiTheme="minorHAnsi" w:cstheme="minorEastAsia"/>
                <w:color w:val="000000" w:themeColor="text1"/>
                <w:sz w:val="20"/>
                <w:szCs w:val="20"/>
              </w:rPr>
            </w:pPr>
            <w:r w:rsidRPr="00FD489B">
              <w:rPr>
                <w:rFonts w:asciiTheme="minorHAnsi" w:hAnsiTheme="minorHAnsi" w:cstheme="minorEastAsia"/>
                <w:color w:val="000000" w:themeColor="text1"/>
                <w:sz w:val="20"/>
                <w:szCs w:val="20"/>
              </w:rPr>
              <w:t xml:space="preserve">a.                                                                                                   </w:t>
            </w:r>
            <w:r>
              <w:rPr>
                <w:rFonts w:asciiTheme="minorHAnsi" w:hAnsiTheme="minorHAnsi" w:cstheme="minorEastAsia"/>
                <w:color w:val="000000" w:themeColor="text1"/>
                <w:sz w:val="20"/>
                <w:szCs w:val="20"/>
              </w:rPr>
              <w:t xml:space="preserve">          </w:t>
            </w:r>
            <w:r w:rsidRPr="00FD489B">
              <w:rPr>
                <w:rFonts w:asciiTheme="minorHAnsi" w:hAnsiTheme="minorHAnsi" w:cstheme="minorEastAsia"/>
                <w:color w:val="000000" w:themeColor="text1"/>
                <w:sz w:val="20"/>
                <w:szCs w:val="20"/>
              </w:rPr>
              <w:t xml:space="preserve">     </w:t>
            </w:r>
          </w:p>
          <w:p w14:paraId="750F116D" w14:textId="3BFCD35D" w:rsidR="00F33D35" w:rsidRDefault="00F33D35" w:rsidP="00F33D35">
            <w:pPr>
              <w:spacing w:before="120"/>
              <w:ind w:right="-101"/>
              <w:jc w:val="left"/>
              <w:rPr>
                <w:rFonts w:asciiTheme="minorHAnsi" w:hAnsiTheme="minorHAnsi" w:cstheme="minorEastAsia"/>
                <w:color w:val="000000" w:themeColor="text1"/>
                <w:sz w:val="20"/>
                <w:szCs w:val="20"/>
              </w:rPr>
            </w:pPr>
            <w:r>
              <w:rPr>
                <w:noProof/>
                <w:lang w:eastAsia="ko-KR"/>
              </w:rPr>
              <w:t xml:space="preserve"> </w:t>
            </w:r>
            <w:r>
              <w:rPr>
                <w:noProof/>
                <w:lang w:val="en-US"/>
              </w:rPr>
              <w:drawing>
                <wp:inline distT="0" distB="0" distL="0" distR="0" wp14:anchorId="08669598" wp14:editId="62859732">
                  <wp:extent cx="4779859" cy="1950256"/>
                  <wp:effectExtent l="0" t="0" r="0" b="571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5"/>
                          <a:stretch>
                            <a:fillRect/>
                          </a:stretch>
                        </pic:blipFill>
                        <pic:spPr>
                          <a:xfrm>
                            <a:off x="0" y="0"/>
                            <a:ext cx="4779859" cy="1950256"/>
                          </a:xfrm>
                          <a:prstGeom prst="rect">
                            <a:avLst/>
                          </a:prstGeom>
                        </pic:spPr>
                      </pic:pic>
                    </a:graphicData>
                  </a:graphic>
                </wp:inline>
              </w:drawing>
            </w:r>
          </w:p>
          <w:p w14:paraId="5C866E94" w14:textId="684215F7" w:rsidR="0045071D" w:rsidRPr="00FD489B" w:rsidRDefault="0045071D" w:rsidP="00F33D35">
            <w:pPr>
              <w:spacing w:before="120"/>
              <w:ind w:right="-101"/>
              <w:jc w:val="left"/>
              <w:rPr>
                <w:rFonts w:asciiTheme="minorHAnsi" w:hAnsiTheme="minorHAnsi" w:cstheme="minorEastAsia"/>
                <w:color w:val="000000" w:themeColor="text1"/>
                <w:sz w:val="20"/>
                <w:szCs w:val="20"/>
              </w:rPr>
            </w:pPr>
            <w:r w:rsidRPr="00FD489B">
              <w:rPr>
                <w:rFonts w:asciiTheme="minorHAnsi" w:hAnsiTheme="minorHAnsi" w:cstheme="minorEastAsia"/>
                <w:color w:val="000000" w:themeColor="text1"/>
                <w:sz w:val="20"/>
                <w:szCs w:val="20"/>
              </w:rPr>
              <w:t xml:space="preserve">b. </w:t>
            </w:r>
          </w:p>
        </w:tc>
      </w:tr>
    </w:tbl>
    <w:p w14:paraId="230B5991" w14:textId="77777777" w:rsidR="0045071D" w:rsidRPr="005C65A6" w:rsidRDefault="0045071D" w:rsidP="0045071D">
      <w:pPr>
        <w:pStyle w:val="Caption"/>
        <w:spacing w:before="120" w:after="0"/>
        <w:jc w:val="left"/>
        <w:rPr>
          <w:rFonts w:ascii="Times New Roman" w:hAnsi="Times New Roman"/>
          <w:color w:val="000000" w:themeColor="text1"/>
          <w:sz w:val="20"/>
          <w:szCs w:val="20"/>
        </w:rPr>
      </w:pPr>
      <w:r w:rsidRPr="005C65A6">
        <w:rPr>
          <w:rFonts w:ascii="Times New Roman" w:hAnsi="Times New Roman"/>
          <w:color w:val="000000" w:themeColor="text1"/>
          <w:sz w:val="20"/>
          <w:szCs w:val="20"/>
        </w:rPr>
        <w:t xml:space="preserve">Figure 2. a. 2017-2021 timeline for the Nature Futures Scenarios development, b. Stakeholder consultation, visioning, and modelling </w:t>
      </w:r>
      <w:r w:rsidR="004D44D4">
        <w:rPr>
          <w:rFonts w:ascii="Times New Roman" w:hAnsi="Times New Roman"/>
          <w:color w:val="000000" w:themeColor="text1"/>
          <w:sz w:val="20"/>
          <w:szCs w:val="20"/>
        </w:rPr>
        <w:t>i</w:t>
      </w:r>
      <w:r w:rsidRPr="005C65A6">
        <w:rPr>
          <w:rFonts w:ascii="Times New Roman" w:hAnsi="Times New Roman"/>
          <w:color w:val="000000" w:themeColor="text1"/>
          <w:sz w:val="20"/>
          <w:szCs w:val="20"/>
        </w:rPr>
        <w:t>terative process.</w:t>
      </w:r>
    </w:p>
    <w:p w14:paraId="0577CB66" w14:textId="77777777" w:rsidR="0045071D" w:rsidRPr="0045071D" w:rsidRDefault="0045071D" w:rsidP="00882A1D"/>
    <w:p w14:paraId="5FC2B29D" w14:textId="0AC98C5B" w:rsidR="005A61D1" w:rsidRPr="0045071D" w:rsidRDefault="00C65436" w:rsidP="0045071D">
      <w:pPr>
        <w:pStyle w:val="Caption"/>
        <w:numPr>
          <w:ilvl w:val="0"/>
          <w:numId w:val="15"/>
        </w:numPr>
        <w:spacing w:before="120" w:after="120"/>
        <w:ind w:left="357" w:hanging="357"/>
        <w:rPr>
          <w:rFonts w:ascii="Times New Roman" w:eastAsia="Times New Roman" w:hAnsi="Times New Roman"/>
          <w:i w:val="0"/>
          <w:iCs w:val="0"/>
          <w:color w:val="auto"/>
          <w:sz w:val="22"/>
          <w:szCs w:val="24"/>
        </w:rPr>
      </w:pPr>
      <w:r w:rsidRPr="0045071D">
        <w:rPr>
          <w:rFonts w:ascii="Times New Roman" w:eastAsia="Times New Roman" w:hAnsi="Times New Roman"/>
          <w:i w:val="0"/>
          <w:iCs w:val="0"/>
          <w:color w:val="auto"/>
          <w:sz w:val="22"/>
          <w:szCs w:val="24"/>
        </w:rPr>
        <w:t>The IPBES Expert Group on Scenarios and Modelling</w:t>
      </w:r>
      <w:r w:rsidR="004B5AA3">
        <w:rPr>
          <w:rFonts w:ascii="Times New Roman" w:eastAsia="Times New Roman" w:hAnsi="Times New Roman"/>
          <w:i w:val="0"/>
          <w:iCs w:val="0"/>
          <w:color w:val="auto"/>
          <w:sz w:val="22"/>
          <w:szCs w:val="24"/>
        </w:rPr>
        <w:t>,</w:t>
      </w:r>
      <w:r w:rsidR="000B0FF6" w:rsidRPr="000B0FF6">
        <w:t xml:space="preserve"> </w:t>
      </w:r>
      <w:r w:rsidR="000B0FF6" w:rsidRPr="000B0FF6">
        <w:rPr>
          <w:rFonts w:ascii="Times New Roman" w:eastAsia="Times New Roman" w:hAnsi="Times New Roman"/>
          <w:i w:val="0"/>
          <w:iCs w:val="0"/>
          <w:color w:val="auto"/>
          <w:sz w:val="22"/>
          <w:szCs w:val="24"/>
        </w:rPr>
        <w:t xml:space="preserve">with the support of </w:t>
      </w:r>
      <w:r w:rsidR="00445DD2">
        <w:rPr>
          <w:rFonts w:ascii="Times New Roman" w:eastAsia="Times New Roman" w:hAnsi="Times New Roman"/>
          <w:i w:val="0"/>
          <w:iCs w:val="0"/>
          <w:color w:val="auto"/>
          <w:sz w:val="22"/>
          <w:szCs w:val="24"/>
        </w:rPr>
        <w:t>its</w:t>
      </w:r>
      <w:r w:rsidR="000B0FF6" w:rsidRPr="000B0FF6">
        <w:rPr>
          <w:rFonts w:ascii="Times New Roman" w:eastAsia="Times New Roman" w:hAnsi="Times New Roman"/>
          <w:i w:val="0"/>
          <w:iCs w:val="0"/>
          <w:color w:val="auto"/>
          <w:sz w:val="22"/>
          <w:szCs w:val="24"/>
        </w:rPr>
        <w:t xml:space="preserve"> Technical Support Unit (TSU)</w:t>
      </w:r>
      <w:r w:rsidR="004B5AA3">
        <w:rPr>
          <w:rFonts w:ascii="Times New Roman" w:eastAsia="Times New Roman" w:hAnsi="Times New Roman"/>
          <w:i w:val="0"/>
          <w:iCs w:val="0"/>
          <w:color w:val="auto"/>
          <w:sz w:val="22"/>
          <w:szCs w:val="24"/>
        </w:rPr>
        <w:t>,</w:t>
      </w:r>
      <w:r w:rsidR="002830E4" w:rsidRPr="0045071D">
        <w:rPr>
          <w:rFonts w:ascii="Times New Roman" w:eastAsia="Times New Roman" w:hAnsi="Times New Roman"/>
          <w:i w:val="0"/>
          <w:iCs w:val="0"/>
          <w:color w:val="auto"/>
          <w:sz w:val="22"/>
          <w:szCs w:val="24"/>
        </w:rPr>
        <w:t xml:space="preserve"> will take the lead on the development of </w:t>
      </w:r>
      <w:r w:rsidR="007874C5">
        <w:rPr>
          <w:rFonts w:ascii="Times New Roman" w:eastAsia="Times New Roman" w:hAnsi="Times New Roman"/>
          <w:i w:val="0"/>
          <w:iCs w:val="0"/>
          <w:color w:val="auto"/>
          <w:sz w:val="22"/>
          <w:szCs w:val="24"/>
        </w:rPr>
        <w:t>narratives and modelling and analysis</w:t>
      </w:r>
      <w:r w:rsidR="002830E4" w:rsidRPr="0045071D">
        <w:rPr>
          <w:rFonts w:ascii="Times New Roman" w:eastAsia="Times New Roman" w:hAnsi="Times New Roman"/>
          <w:i w:val="0"/>
          <w:iCs w:val="0"/>
          <w:color w:val="auto"/>
          <w:sz w:val="22"/>
          <w:szCs w:val="24"/>
        </w:rPr>
        <w:t xml:space="preserve"> </w:t>
      </w:r>
      <w:r w:rsidR="007874C5">
        <w:rPr>
          <w:rFonts w:ascii="Times New Roman" w:eastAsia="Times New Roman" w:hAnsi="Times New Roman"/>
          <w:i w:val="0"/>
          <w:iCs w:val="0"/>
          <w:color w:val="auto"/>
          <w:sz w:val="22"/>
          <w:szCs w:val="24"/>
        </w:rPr>
        <w:t xml:space="preserve">to produce the </w:t>
      </w:r>
      <w:r w:rsidR="00636299" w:rsidRPr="0045071D">
        <w:rPr>
          <w:rFonts w:ascii="Times New Roman" w:eastAsia="Times New Roman" w:hAnsi="Times New Roman"/>
          <w:i w:val="0"/>
          <w:iCs w:val="0"/>
          <w:color w:val="auto"/>
          <w:sz w:val="22"/>
          <w:szCs w:val="24"/>
        </w:rPr>
        <w:t>scenarios on</w:t>
      </w:r>
      <w:r w:rsidR="003009F6" w:rsidRPr="0045071D">
        <w:rPr>
          <w:rFonts w:ascii="Times New Roman" w:eastAsia="Times New Roman" w:hAnsi="Times New Roman"/>
          <w:i w:val="0"/>
          <w:iCs w:val="0"/>
          <w:color w:val="auto"/>
          <w:sz w:val="22"/>
          <w:szCs w:val="24"/>
        </w:rPr>
        <w:t xml:space="preserve"> </w:t>
      </w:r>
      <w:r w:rsidR="00BC0E81" w:rsidRPr="005D7B0D">
        <w:rPr>
          <w:rFonts w:ascii="Times New Roman" w:eastAsia="Times New Roman" w:hAnsi="Times New Roman"/>
          <w:i w:val="0"/>
          <w:color w:val="auto"/>
          <w:sz w:val="22"/>
          <w:szCs w:val="24"/>
        </w:rPr>
        <w:t>Nature Futures</w:t>
      </w:r>
      <w:r w:rsidR="002830E4" w:rsidRPr="0045071D">
        <w:rPr>
          <w:rFonts w:ascii="Times New Roman" w:eastAsia="Times New Roman" w:hAnsi="Times New Roman"/>
          <w:i w:val="0"/>
          <w:iCs w:val="0"/>
          <w:color w:val="auto"/>
          <w:sz w:val="22"/>
          <w:szCs w:val="24"/>
        </w:rPr>
        <w:t xml:space="preserve">. The expert group will consult </w:t>
      </w:r>
      <w:r w:rsidR="007874C5">
        <w:rPr>
          <w:rFonts w:ascii="Times New Roman" w:eastAsia="Times New Roman" w:hAnsi="Times New Roman"/>
          <w:i w:val="0"/>
          <w:iCs w:val="0"/>
          <w:color w:val="auto"/>
          <w:sz w:val="22"/>
          <w:szCs w:val="24"/>
        </w:rPr>
        <w:t xml:space="preserve">iteratively </w:t>
      </w:r>
      <w:r w:rsidR="002830E4" w:rsidRPr="0045071D">
        <w:rPr>
          <w:rFonts w:ascii="Times New Roman" w:eastAsia="Times New Roman" w:hAnsi="Times New Roman"/>
          <w:i w:val="0"/>
          <w:iCs w:val="0"/>
          <w:color w:val="auto"/>
          <w:sz w:val="22"/>
          <w:szCs w:val="24"/>
        </w:rPr>
        <w:t xml:space="preserve">a </w:t>
      </w:r>
      <w:r w:rsidR="00BC0E81" w:rsidRPr="0045071D">
        <w:rPr>
          <w:rFonts w:ascii="Times New Roman" w:eastAsia="Times New Roman" w:hAnsi="Times New Roman"/>
          <w:i w:val="0"/>
          <w:iCs w:val="0"/>
          <w:color w:val="auto"/>
          <w:sz w:val="22"/>
          <w:szCs w:val="24"/>
        </w:rPr>
        <w:t>wide range</w:t>
      </w:r>
      <w:r w:rsidR="002830E4" w:rsidRPr="0045071D">
        <w:rPr>
          <w:rFonts w:ascii="Times New Roman" w:eastAsia="Times New Roman" w:hAnsi="Times New Roman"/>
          <w:i w:val="0"/>
          <w:iCs w:val="0"/>
          <w:color w:val="auto"/>
          <w:sz w:val="22"/>
          <w:szCs w:val="24"/>
        </w:rPr>
        <w:t xml:space="preserve"> of stakeholders</w:t>
      </w:r>
      <w:r w:rsidR="00636299" w:rsidRPr="0045071D">
        <w:rPr>
          <w:rFonts w:ascii="Times New Roman" w:eastAsia="Times New Roman" w:hAnsi="Times New Roman"/>
          <w:i w:val="0"/>
          <w:iCs w:val="0"/>
          <w:color w:val="auto"/>
          <w:sz w:val="22"/>
          <w:szCs w:val="24"/>
        </w:rPr>
        <w:t xml:space="preserve"> and experts</w:t>
      </w:r>
      <w:r w:rsidR="00BC0E81" w:rsidRPr="0045071D">
        <w:rPr>
          <w:rFonts w:ascii="Times New Roman" w:eastAsia="Times New Roman" w:hAnsi="Times New Roman"/>
          <w:i w:val="0"/>
          <w:iCs w:val="0"/>
          <w:color w:val="auto"/>
          <w:sz w:val="22"/>
          <w:szCs w:val="24"/>
        </w:rPr>
        <w:t xml:space="preserve"> through </w:t>
      </w:r>
      <w:r w:rsidR="00630331" w:rsidRPr="0045071D">
        <w:rPr>
          <w:rFonts w:ascii="Times New Roman" w:eastAsia="Times New Roman" w:hAnsi="Times New Roman"/>
          <w:i w:val="0"/>
          <w:iCs w:val="0"/>
          <w:color w:val="auto"/>
          <w:sz w:val="22"/>
          <w:szCs w:val="24"/>
        </w:rPr>
        <w:t xml:space="preserve">international </w:t>
      </w:r>
      <w:r w:rsidR="00BC0E81" w:rsidRPr="0045071D">
        <w:rPr>
          <w:rFonts w:ascii="Times New Roman" w:eastAsia="Times New Roman" w:hAnsi="Times New Roman"/>
          <w:i w:val="0"/>
          <w:iCs w:val="0"/>
          <w:color w:val="auto"/>
          <w:sz w:val="22"/>
          <w:szCs w:val="24"/>
        </w:rPr>
        <w:t>platforms</w:t>
      </w:r>
      <w:r w:rsidR="00630331" w:rsidRPr="0045071D">
        <w:rPr>
          <w:rFonts w:ascii="Times New Roman" w:eastAsia="Times New Roman" w:hAnsi="Times New Roman"/>
          <w:i w:val="0"/>
          <w:iCs w:val="0"/>
          <w:color w:val="auto"/>
          <w:sz w:val="22"/>
          <w:szCs w:val="24"/>
        </w:rPr>
        <w:t xml:space="preserve"> </w:t>
      </w:r>
      <w:r w:rsidR="00BC0E81" w:rsidRPr="0045071D">
        <w:rPr>
          <w:rFonts w:ascii="Times New Roman" w:eastAsia="Times New Roman" w:hAnsi="Times New Roman"/>
          <w:i w:val="0"/>
          <w:iCs w:val="0"/>
          <w:color w:val="auto"/>
          <w:sz w:val="22"/>
          <w:szCs w:val="24"/>
        </w:rPr>
        <w:t>such as</w:t>
      </w:r>
      <w:r w:rsidR="002830E4" w:rsidRPr="0045071D">
        <w:rPr>
          <w:rFonts w:ascii="Times New Roman" w:eastAsia="Times New Roman" w:hAnsi="Times New Roman"/>
          <w:i w:val="0"/>
          <w:iCs w:val="0"/>
          <w:color w:val="auto"/>
          <w:sz w:val="22"/>
          <w:szCs w:val="24"/>
        </w:rPr>
        <w:t xml:space="preserve"> IPBES Plenar</w:t>
      </w:r>
      <w:r w:rsidRPr="0045071D">
        <w:rPr>
          <w:rFonts w:ascii="Times New Roman" w:eastAsia="Times New Roman" w:hAnsi="Times New Roman"/>
          <w:i w:val="0"/>
          <w:iCs w:val="0"/>
          <w:color w:val="auto"/>
          <w:sz w:val="22"/>
          <w:szCs w:val="24"/>
        </w:rPr>
        <w:t>y</w:t>
      </w:r>
      <w:r w:rsidR="002830E4" w:rsidRPr="0045071D">
        <w:rPr>
          <w:rFonts w:ascii="Times New Roman" w:eastAsia="Times New Roman" w:hAnsi="Times New Roman"/>
          <w:i w:val="0"/>
          <w:iCs w:val="0"/>
          <w:color w:val="auto"/>
          <w:sz w:val="22"/>
          <w:szCs w:val="24"/>
        </w:rPr>
        <w:t>, CBD</w:t>
      </w:r>
      <w:r w:rsidR="005A61D1" w:rsidRPr="0045071D">
        <w:rPr>
          <w:rFonts w:ascii="Times New Roman" w:eastAsia="Times New Roman" w:hAnsi="Times New Roman"/>
          <w:i w:val="0"/>
          <w:iCs w:val="0"/>
          <w:color w:val="auto"/>
          <w:sz w:val="22"/>
          <w:szCs w:val="24"/>
        </w:rPr>
        <w:t xml:space="preserve"> SBSTTA</w:t>
      </w:r>
      <w:r w:rsidR="005A61D1" w:rsidRPr="0045071D" w:rsidDel="005A61D1">
        <w:rPr>
          <w:rFonts w:ascii="Times New Roman" w:eastAsia="Times New Roman" w:hAnsi="Times New Roman"/>
          <w:i w:val="0"/>
          <w:iCs w:val="0"/>
          <w:color w:val="auto"/>
          <w:sz w:val="22"/>
          <w:szCs w:val="24"/>
        </w:rPr>
        <w:t xml:space="preserve"> </w:t>
      </w:r>
      <w:r w:rsidR="005A61D1" w:rsidRPr="0045071D">
        <w:rPr>
          <w:rFonts w:ascii="Times New Roman" w:eastAsia="Times New Roman" w:hAnsi="Times New Roman"/>
          <w:i w:val="0"/>
          <w:iCs w:val="0"/>
          <w:color w:val="auto"/>
          <w:sz w:val="22"/>
          <w:szCs w:val="24"/>
        </w:rPr>
        <w:t xml:space="preserve">and </w:t>
      </w:r>
      <w:r w:rsidR="00BC0E81" w:rsidRPr="0045071D">
        <w:rPr>
          <w:rFonts w:ascii="Times New Roman" w:eastAsia="Times New Roman" w:hAnsi="Times New Roman"/>
          <w:i w:val="0"/>
          <w:iCs w:val="0"/>
          <w:color w:val="auto"/>
          <w:sz w:val="22"/>
          <w:szCs w:val="24"/>
        </w:rPr>
        <w:t>COP</w:t>
      </w:r>
      <w:r w:rsidR="00BB67DC" w:rsidRPr="00E424DE">
        <w:rPr>
          <w:rStyle w:val="FootnoteReference"/>
          <w:rFonts w:ascii="Times New Roman" w:eastAsia="Times New Roman" w:hAnsi="Times New Roman"/>
          <w:i w:val="0"/>
          <w:iCs w:val="0"/>
          <w:color w:val="auto"/>
          <w:szCs w:val="24"/>
          <w:u w:val="none"/>
          <w:vertAlign w:val="superscript"/>
        </w:rPr>
        <w:footnoteReference w:id="3"/>
      </w:r>
      <w:r w:rsidR="002830E4" w:rsidRPr="0045071D">
        <w:rPr>
          <w:rFonts w:ascii="Times New Roman" w:eastAsia="Times New Roman" w:hAnsi="Times New Roman"/>
          <w:i w:val="0"/>
          <w:iCs w:val="0"/>
          <w:color w:val="auto"/>
          <w:sz w:val="22"/>
          <w:szCs w:val="24"/>
        </w:rPr>
        <w:t xml:space="preserve">, </w:t>
      </w:r>
      <w:r w:rsidR="005A61D1" w:rsidRPr="0045071D">
        <w:rPr>
          <w:rFonts w:ascii="Times New Roman" w:eastAsia="Times New Roman" w:hAnsi="Times New Roman"/>
          <w:i w:val="0"/>
          <w:iCs w:val="0"/>
          <w:color w:val="auto"/>
          <w:sz w:val="22"/>
          <w:szCs w:val="24"/>
        </w:rPr>
        <w:t xml:space="preserve">the </w:t>
      </w:r>
      <w:r w:rsidR="002830E4" w:rsidRPr="0045071D">
        <w:rPr>
          <w:rFonts w:ascii="Times New Roman" w:eastAsia="Times New Roman" w:hAnsi="Times New Roman"/>
          <w:i w:val="0"/>
          <w:iCs w:val="0"/>
          <w:color w:val="auto"/>
          <w:sz w:val="22"/>
          <w:szCs w:val="24"/>
        </w:rPr>
        <w:t xml:space="preserve">World Economic Forum, and other relevant </w:t>
      </w:r>
      <w:r w:rsidR="00630331" w:rsidRPr="0045071D">
        <w:rPr>
          <w:rFonts w:ascii="Times New Roman" w:eastAsia="Times New Roman" w:hAnsi="Times New Roman"/>
          <w:i w:val="0"/>
          <w:iCs w:val="0"/>
          <w:color w:val="auto"/>
          <w:sz w:val="22"/>
          <w:szCs w:val="24"/>
        </w:rPr>
        <w:t>initiatives</w:t>
      </w:r>
      <w:r w:rsidR="007874C5">
        <w:rPr>
          <w:rFonts w:ascii="Times New Roman" w:eastAsia="Times New Roman" w:hAnsi="Times New Roman"/>
          <w:i w:val="0"/>
          <w:iCs w:val="0"/>
          <w:color w:val="auto"/>
          <w:sz w:val="22"/>
          <w:szCs w:val="24"/>
        </w:rPr>
        <w:t>, and at least two full cycles of stakeholder consultation, modelling and analysis, and narrative development are expected over the next 4 years (Figure 2)</w:t>
      </w:r>
      <w:r w:rsidR="002830E4" w:rsidRPr="0045071D">
        <w:rPr>
          <w:rFonts w:ascii="Times New Roman" w:eastAsia="Times New Roman" w:hAnsi="Times New Roman"/>
          <w:i w:val="0"/>
          <w:iCs w:val="0"/>
          <w:color w:val="auto"/>
          <w:sz w:val="22"/>
          <w:szCs w:val="24"/>
        </w:rPr>
        <w:t xml:space="preserve">. </w:t>
      </w:r>
      <w:r w:rsidR="007874C5">
        <w:rPr>
          <w:rFonts w:ascii="Times New Roman" w:eastAsia="Times New Roman" w:hAnsi="Times New Roman"/>
          <w:i w:val="0"/>
          <w:iCs w:val="0"/>
          <w:color w:val="auto"/>
          <w:sz w:val="22"/>
          <w:szCs w:val="24"/>
        </w:rPr>
        <w:t>Hopefully, a new generation of “shared socio-ecological pathways” will also be developed based on the experience of the Nature Futures Scenarios, in order to incorporate the central role of biodiversity on general scenarios for human development.</w:t>
      </w:r>
    </w:p>
    <w:p w14:paraId="4B4B1178" w14:textId="77777777" w:rsidR="00B35E72" w:rsidRDefault="00BC0E81" w:rsidP="00BB67DC">
      <w:pPr>
        <w:pStyle w:val="Caption"/>
        <w:numPr>
          <w:ilvl w:val="0"/>
          <w:numId w:val="15"/>
        </w:numPr>
        <w:spacing w:before="120" w:after="120"/>
        <w:ind w:left="357" w:hanging="357"/>
        <w:rPr>
          <w:rFonts w:ascii="Times New Roman" w:eastAsia="Times New Roman" w:hAnsi="Times New Roman"/>
          <w:i w:val="0"/>
          <w:iCs w:val="0"/>
          <w:color w:val="auto"/>
          <w:sz w:val="22"/>
          <w:szCs w:val="24"/>
        </w:rPr>
      </w:pPr>
      <w:r w:rsidRPr="009C4E98">
        <w:rPr>
          <w:rFonts w:ascii="Times New Roman" w:eastAsia="Times New Roman" w:hAnsi="Times New Roman"/>
          <w:i w:val="0"/>
          <w:iCs w:val="0"/>
          <w:color w:val="auto"/>
          <w:sz w:val="22"/>
          <w:szCs w:val="24"/>
        </w:rPr>
        <w:t xml:space="preserve">The </w:t>
      </w:r>
      <w:r w:rsidR="006E030C">
        <w:rPr>
          <w:rFonts w:ascii="Times New Roman" w:eastAsia="Times New Roman" w:hAnsi="Times New Roman"/>
          <w:i w:val="0"/>
          <w:iCs w:val="0"/>
          <w:color w:val="auto"/>
          <w:sz w:val="22"/>
          <w:szCs w:val="24"/>
        </w:rPr>
        <w:t xml:space="preserve">activities for developing the </w:t>
      </w:r>
      <w:r w:rsidR="00630331" w:rsidRPr="005D7B0D">
        <w:rPr>
          <w:rFonts w:ascii="Times New Roman" w:eastAsia="Times New Roman" w:hAnsi="Times New Roman"/>
          <w:i w:val="0"/>
          <w:color w:val="auto"/>
          <w:sz w:val="22"/>
          <w:szCs w:val="24"/>
        </w:rPr>
        <w:t>Nature Future</w:t>
      </w:r>
      <w:r w:rsidR="00630331">
        <w:rPr>
          <w:rFonts w:ascii="Times New Roman" w:eastAsia="Times New Roman" w:hAnsi="Times New Roman"/>
          <w:i w:val="0"/>
          <w:iCs w:val="0"/>
          <w:color w:val="auto"/>
          <w:sz w:val="22"/>
          <w:szCs w:val="24"/>
        </w:rPr>
        <w:t xml:space="preserve"> Scenarios</w:t>
      </w:r>
      <w:r w:rsidRPr="009C4E98">
        <w:rPr>
          <w:rFonts w:ascii="Times New Roman" w:eastAsia="Times New Roman" w:hAnsi="Times New Roman"/>
          <w:i w:val="0"/>
          <w:iCs w:val="0"/>
          <w:color w:val="auto"/>
          <w:sz w:val="22"/>
          <w:szCs w:val="24"/>
        </w:rPr>
        <w:t xml:space="preserve"> include visioning of the positive outlook</w:t>
      </w:r>
      <w:r w:rsidR="005818E0">
        <w:rPr>
          <w:rFonts w:ascii="Times New Roman" w:eastAsia="Times New Roman" w:hAnsi="Times New Roman"/>
          <w:i w:val="0"/>
          <w:iCs w:val="0"/>
          <w:color w:val="auto"/>
          <w:sz w:val="22"/>
          <w:szCs w:val="24"/>
        </w:rPr>
        <w:t>s</w:t>
      </w:r>
      <w:r w:rsidRPr="009C4E98">
        <w:rPr>
          <w:rFonts w:ascii="Times New Roman" w:eastAsia="Times New Roman" w:hAnsi="Times New Roman"/>
          <w:i w:val="0"/>
          <w:iCs w:val="0"/>
          <w:color w:val="auto"/>
          <w:sz w:val="22"/>
          <w:szCs w:val="24"/>
        </w:rPr>
        <w:t xml:space="preserve"> </w:t>
      </w:r>
      <w:r w:rsidR="005818E0">
        <w:rPr>
          <w:rFonts w:ascii="Times New Roman" w:eastAsia="Times New Roman" w:hAnsi="Times New Roman"/>
          <w:i w:val="0"/>
          <w:iCs w:val="0"/>
          <w:color w:val="auto"/>
          <w:sz w:val="22"/>
          <w:szCs w:val="24"/>
        </w:rPr>
        <w:t>for</w:t>
      </w:r>
      <w:r w:rsidRPr="009C4E98">
        <w:rPr>
          <w:rFonts w:ascii="Times New Roman" w:eastAsia="Times New Roman" w:hAnsi="Times New Roman"/>
          <w:i w:val="0"/>
          <w:iCs w:val="0"/>
          <w:color w:val="auto"/>
          <w:sz w:val="22"/>
          <w:szCs w:val="24"/>
        </w:rPr>
        <w:t xml:space="preserve"> nature </w:t>
      </w:r>
      <w:r>
        <w:rPr>
          <w:rFonts w:ascii="Times New Roman" w:eastAsia="Times New Roman" w:hAnsi="Times New Roman"/>
          <w:i w:val="0"/>
          <w:iCs w:val="0"/>
          <w:color w:val="auto"/>
          <w:sz w:val="22"/>
          <w:szCs w:val="24"/>
        </w:rPr>
        <w:t xml:space="preserve">through stakeholder engagement, </w:t>
      </w:r>
      <w:r w:rsidRPr="009C4E98">
        <w:rPr>
          <w:rFonts w:ascii="Times New Roman" w:eastAsia="Times New Roman" w:hAnsi="Times New Roman"/>
          <w:i w:val="0"/>
          <w:iCs w:val="0"/>
          <w:color w:val="auto"/>
          <w:sz w:val="22"/>
          <w:szCs w:val="24"/>
        </w:rPr>
        <w:t xml:space="preserve">identifying pathways building on existing innovative good practices with potential challenges and opportunities for regime shifts, translating visions into scenarios with quantitative modelling and qualitative integration of multiple knowledge systems, </w:t>
      </w:r>
      <w:r>
        <w:rPr>
          <w:rFonts w:ascii="Times New Roman" w:eastAsia="Times New Roman" w:hAnsi="Times New Roman"/>
          <w:i w:val="0"/>
          <w:iCs w:val="0"/>
          <w:color w:val="auto"/>
          <w:sz w:val="22"/>
          <w:szCs w:val="24"/>
        </w:rPr>
        <w:t>assessing</w:t>
      </w:r>
      <w:r w:rsidRPr="009C4E98">
        <w:rPr>
          <w:rFonts w:ascii="Times New Roman" w:eastAsia="Times New Roman" w:hAnsi="Times New Roman"/>
          <w:i w:val="0"/>
          <w:iCs w:val="0"/>
          <w:color w:val="auto"/>
          <w:sz w:val="22"/>
          <w:szCs w:val="24"/>
        </w:rPr>
        <w:t xml:space="preserve"> policy and management relevance in </w:t>
      </w:r>
      <w:r w:rsidR="00C65436">
        <w:rPr>
          <w:rFonts w:ascii="Times New Roman" w:eastAsia="Times New Roman" w:hAnsi="Times New Roman"/>
          <w:i w:val="0"/>
          <w:iCs w:val="0"/>
          <w:color w:val="auto"/>
          <w:sz w:val="22"/>
          <w:szCs w:val="24"/>
        </w:rPr>
        <w:t>support of</w:t>
      </w:r>
      <w:r w:rsidRPr="009C4E98">
        <w:rPr>
          <w:rFonts w:ascii="Times New Roman" w:eastAsia="Times New Roman" w:hAnsi="Times New Roman"/>
          <w:i w:val="0"/>
          <w:iCs w:val="0"/>
          <w:color w:val="auto"/>
          <w:sz w:val="22"/>
          <w:szCs w:val="24"/>
        </w:rPr>
        <w:t xml:space="preserve"> </w:t>
      </w:r>
      <w:r w:rsidR="004D5AB6">
        <w:rPr>
          <w:rFonts w:ascii="Times New Roman" w:eastAsia="Times New Roman" w:hAnsi="Times New Roman"/>
          <w:i w:val="0"/>
          <w:iCs w:val="0"/>
          <w:color w:val="auto"/>
          <w:sz w:val="22"/>
          <w:szCs w:val="24"/>
        </w:rPr>
        <w:t>enhanced</w:t>
      </w:r>
      <w:r>
        <w:rPr>
          <w:rFonts w:ascii="Times New Roman" w:eastAsia="Times New Roman" w:hAnsi="Times New Roman"/>
          <w:i w:val="0"/>
          <w:iCs w:val="0"/>
          <w:color w:val="auto"/>
          <w:sz w:val="22"/>
          <w:szCs w:val="24"/>
        </w:rPr>
        <w:t xml:space="preserve"> use of scenarios</w:t>
      </w:r>
      <w:r w:rsidR="009F0A0D">
        <w:rPr>
          <w:rFonts w:ascii="Times New Roman" w:eastAsia="Times New Roman" w:hAnsi="Times New Roman"/>
          <w:i w:val="0"/>
          <w:iCs w:val="0"/>
          <w:color w:val="auto"/>
          <w:sz w:val="22"/>
          <w:szCs w:val="24"/>
        </w:rPr>
        <w:t xml:space="preserve"> and modelled </w:t>
      </w:r>
      <w:r w:rsidR="009F0A0D">
        <w:rPr>
          <w:rFonts w:ascii="Times New Roman" w:eastAsia="Times New Roman" w:hAnsi="Times New Roman"/>
          <w:i w:val="0"/>
          <w:iCs w:val="0"/>
          <w:color w:val="auto"/>
          <w:sz w:val="22"/>
          <w:szCs w:val="24"/>
        </w:rPr>
        <w:lastRenderedPageBreak/>
        <w:t>results</w:t>
      </w:r>
      <w:r>
        <w:rPr>
          <w:rFonts w:ascii="Times New Roman" w:eastAsia="Times New Roman" w:hAnsi="Times New Roman"/>
          <w:i w:val="0"/>
          <w:iCs w:val="0"/>
          <w:color w:val="auto"/>
          <w:sz w:val="22"/>
          <w:szCs w:val="24"/>
        </w:rPr>
        <w:t xml:space="preserve"> in conservation policies and practice</w:t>
      </w:r>
      <w:r w:rsidR="008A0AF8">
        <w:rPr>
          <w:rFonts w:ascii="Times New Roman" w:eastAsia="Times New Roman" w:hAnsi="Times New Roman"/>
          <w:i w:val="0"/>
          <w:iCs w:val="0"/>
          <w:color w:val="auto"/>
          <w:sz w:val="22"/>
          <w:szCs w:val="24"/>
        </w:rPr>
        <w:t>s</w:t>
      </w:r>
      <w:r w:rsidR="005818E0">
        <w:rPr>
          <w:rFonts w:ascii="Times New Roman" w:eastAsia="Times New Roman" w:hAnsi="Times New Roman"/>
          <w:i w:val="0"/>
          <w:iCs w:val="0"/>
          <w:color w:val="auto"/>
          <w:sz w:val="22"/>
          <w:szCs w:val="24"/>
        </w:rPr>
        <w:t xml:space="preserve">, and </w:t>
      </w:r>
      <w:r w:rsidR="005818E0" w:rsidRPr="009C4E98">
        <w:rPr>
          <w:rFonts w:ascii="Times New Roman" w:eastAsia="Times New Roman" w:hAnsi="Times New Roman"/>
          <w:i w:val="0"/>
          <w:iCs w:val="0"/>
          <w:color w:val="auto"/>
          <w:sz w:val="22"/>
          <w:szCs w:val="24"/>
        </w:rPr>
        <w:t xml:space="preserve">bridging scientific communities and stakeholder groups through </w:t>
      </w:r>
      <w:r w:rsidR="005818E0">
        <w:rPr>
          <w:rFonts w:ascii="Times New Roman" w:eastAsia="Times New Roman" w:hAnsi="Times New Roman"/>
          <w:i w:val="0"/>
          <w:iCs w:val="0"/>
          <w:color w:val="auto"/>
          <w:sz w:val="22"/>
          <w:szCs w:val="24"/>
        </w:rPr>
        <w:t xml:space="preserve">results </w:t>
      </w:r>
      <w:r w:rsidR="008A0AF8">
        <w:rPr>
          <w:rFonts w:ascii="Times New Roman" w:eastAsia="Times New Roman" w:hAnsi="Times New Roman"/>
          <w:i w:val="0"/>
          <w:iCs w:val="0"/>
          <w:color w:val="auto"/>
          <w:sz w:val="22"/>
          <w:szCs w:val="24"/>
        </w:rPr>
        <w:t>dissemination</w:t>
      </w:r>
      <w:r w:rsidR="005818E0">
        <w:rPr>
          <w:rFonts w:ascii="Times New Roman" w:eastAsia="Times New Roman" w:hAnsi="Times New Roman"/>
          <w:i w:val="0"/>
          <w:iCs w:val="0"/>
          <w:color w:val="auto"/>
          <w:sz w:val="22"/>
          <w:szCs w:val="24"/>
        </w:rPr>
        <w:t xml:space="preserve"> </w:t>
      </w:r>
      <w:r w:rsidR="008A0AF8">
        <w:rPr>
          <w:rFonts w:ascii="Times New Roman" w:eastAsia="Times New Roman" w:hAnsi="Times New Roman"/>
          <w:i w:val="0"/>
          <w:iCs w:val="0"/>
          <w:color w:val="auto"/>
          <w:sz w:val="22"/>
          <w:szCs w:val="24"/>
        </w:rPr>
        <w:t xml:space="preserve"> and dialogue </w:t>
      </w:r>
      <w:r w:rsidR="005818E0">
        <w:rPr>
          <w:rFonts w:ascii="Times New Roman" w:eastAsia="Times New Roman" w:hAnsi="Times New Roman"/>
          <w:i w:val="0"/>
          <w:iCs w:val="0"/>
          <w:color w:val="auto"/>
          <w:sz w:val="22"/>
          <w:szCs w:val="24"/>
        </w:rPr>
        <w:t>(Figure 2b)</w:t>
      </w:r>
      <w:r>
        <w:rPr>
          <w:rFonts w:ascii="Times New Roman" w:eastAsia="Times New Roman" w:hAnsi="Times New Roman"/>
          <w:i w:val="0"/>
          <w:iCs w:val="0"/>
          <w:color w:val="auto"/>
          <w:sz w:val="22"/>
          <w:szCs w:val="24"/>
        </w:rPr>
        <w:t>.</w:t>
      </w:r>
    </w:p>
    <w:p w14:paraId="19E9F9AB" w14:textId="77777777" w:rsidR="00A302D0" w:rsidRDefault="00A302D0" w:rsidP="00BB67DC">
      <w:pPr>
        <w:spacing w:before="120" w:after="120"/>
      </w:pPr>
    </w:p>
    <w:p w14:paraId="401BDD21" w14:textId="77777777" w:rsidR="00A302D0" w:rsidRDefault="00A302D0" w:rsidP="00BB67DC">
      <w:pPr>
        <w:spacing w:before="120" w:after="120"/>
      </w:pPr>
    </w:p>
    <w:p w14:paraId="07FF03D3" w14:textId="77777777" w:rsidR="00A302D0" w:rsidRPr="006E030C" w:rsidRDefault="00A302D0" w:rsidP="005A61D1">
      <w:pPr>
        <w:spacing w:before="120"/>
      </w:pPr>
    </w:p>
    <w:p w14:paraId="5D42580B" w14:textId="77777777" w:rsidR="00D260E2" w:rsidRPr="00D260E2" w:rsidRDefault="00D260E2" w:rsidP="005A61D1">
      <w:pPr>
        <w:spacing w:before="120"/>
        <w:jc w:val="center"/>
        <w:rPr>
          <w:bCs/>
        </w:rPr>
      </w:pPr>
    </w:p>
    <w:p w14:paraId="55388625" w14:textId="77777777" w:rsidR="00FF35CA" w:rsidRDefault="00FF35CA" w:rsidP="005A61D1">
      <w:pPr>
        <w:spacing w:before="120"/>
        <w:jc w:val="left"/>
        <w:rPr>
          <w:b/>
          <w:caps/>
        </w:rPr>
      </w:pPr>
      <w:r>
        <w:br w:type="page"/>
      </w:r>
    </w:p>
    <w:p w14:paraId="747F25B6" w14:textId="77777777" w:rsidR="00D3676A" w:rsidRDefault="00D3676A" w:rsidP="005A61D1">
      <w:pPr>
        <w:pStyle w:val="Heading1"/>
        <w:keepNext w:val="0"/>
        <w:tabs>
          <w:tab w:val="clear" w:pos="720"/>
        </w:tabs>
        <w:spacing w:before="120" w:after="0" w:line="276" w:lineRule="auto"/>
      </w:pPr>
      <w:r>
        <w:lastRenderedPageBreak/>
        <w:t>IV. REFERENCEs</w:t>
      </w:r>
    </w:p>
    <w:p w14:paraId="4CD6A303" w14:textId="77777777" w:rsidR="00F55DE0" w:rsidRDefault="00F55DE0" w:rsidP="00E01380">
      <w:pPr>
        <w:widowControl w:val="0"/>
        <w:autoSpaceDE w:val="0"/>
        <w:autoSpaceDN w:val="0"/>
        <w:adjustRightInd w:val="0"/>
        <w:spacing w:before="120"/>
        <w:ind w:left="480" w:hanging="480"/>
      </w:pPr>
      <w:r>
        <w:t>Bennett, E.M., Solan, M., Biggs, R., McPhearson, T., Norström, A.V., Olsson, P., Pereira, L., Peterson, G.D., Raudsepp</w:t>
      </w:r>
      <w:r>
        <w:rPr>
          <w:rFonts w:ascii="Calibri" w:eastAsia="Calibri" w:hAnsi="Calibri" w:cs="Calibri"/>
        </w:rPr>
        <w:t>‐</w:t>
      </w:r>
      <w:r>
        <w:t>Hearne, C., Biermann, F. (2016) Bright spots: seeds of a good Anthropocene. Frontiers in Ecology and the Environment, 14(8): 441–448.</w:t>
      </w:r>
    </w:p>
    <w:p w14:paraId="61389982" w14:textId="77777777" w:rsidR="00807FB7" w:rsidRPr="00807FB7" w:rsidRDefault="00807FB7" w:rsidP="00807FB7">
      <w:pPr>
        <w:widowControl w:val="0"/>
        <w:autoSpaceDE w:val="0"/>
        <w:autoSpaceDN w:val="0"/>
        <w:adjustRightInd w:val="0"/>
        <w:spacing w:before="120"/>
        <w:ind w:left="480" w:hanging="480"/>
        <w:rPr>
          <w:lang w:val="en-US"/>
        </w:rPr>
      </w:pPr>
      <w:r w:rsidRPr="00807FB7">
        <w:rPr>
          <w:lang w:val="en-US"/>
        </w:rPr>
        <w:t>Díaz S, Demissew S, Joly C, Lonsdale WM, Larigauderie A (2015</w:t>
      </w:r>
      <w:r>
        <w:rPr>
          <w:lang w:val="en-US"/>
        </w:rPr>
        <w:t>a</w:t>
      </w:r>
      <w:r w:rsidRPr="00807FB7">
        <w:rPr>
          <w:lang w:val="en-US"/>
        </w:rPr>
        <w:t>) A Rosetta Stone for Nature’s Benefits to People. PLoS Biol 13(1):</w:t>
      </w:r>
    </w:p>
    <w:p w14:paraId="5365EDE3" w14:textId="77777777" w:rsidR="00807FB7" w:rsidRDefault="00807FB7" w:rsidP="00807FB7">
      <w:pPr>
        <w:widowControl w:val="0"/>
        <w:autoSpaceDE w:val="0"/>
        <w:autoSpaceDN w:val="0"/>
        <w:adjustRightInd w:val="0"/>
        <w:spacing w:before="120"/>
        <w:ind w:left="480" w:hanging="480"/>
      </w:pPr>
      <w:r w:rsidRPr="00807FB7">
        <w:t>Díaz,</w:t>
      </w:r>
      <w:r>
        <w:t xml:space="preserve"> S</w:t>
      </w:r>
      <w:r w:rsidRPr="00807FB7">
        <w:t xml:space="preserve"> </w:t>
      </w:r>
      <w:r>
        <w:t>et al</w:t>
      </w:r>
      <w:r w:rsidRPr="00807FB7">
        <w:t xml:space="preserve">, The IPBES Conceptual Framework — connecting nature and people, </w:t>
      </w:r>
      <w:r>
        <w:t xml:space="preserve">(2015b) </w:t>
      </w:r>
      <w:r w:rsidRPr="00807FB7">
        <w:t xml:space="preserve">Current Opinion in Environmental Sustainability, </w:t>
      </w:r>
      <w:r>
        <w:t xml:space="preserve">14, </w:t>
      </w:r>
      <w:r w:rsidRPr="00807FB7">
        <w:t xml:space="preserve">1-16, </w:t>
      </w:r>
    </w:p>
    <w:p w14:paraId="0863F941" w14:textId="77777777" w:rsidR="00F55DE0" w:rsidRDefault="00F55DE0" w:rsidP="00E01380">
      <w:pPr>
        <w:widowControl w:val="0"/>
        <w:autoSpaceDE w:val="0"/>
        <w:autoSpaceDN w:val="0"/>
        <w:adjustRightInd w:val="0"/>
        <w:spacing w:before="120"/>
        <w:ind w:left="480" w:hanging="480"/>
      </w:pPr>
      <w:r>
        <w:t>IPBES (2016) Summary for policymakers of the methodological assessment of scenarios and models of biodiversity and ecosystem services of the Intergovernmental Science-Policy Platform on Biodiversity and Ecosystem Services. Ferrier, S., Ninan, K.N., Leadley, P., Alkemade, R., Acosta, L.A., Akçakaya, H.R., Brotons, L., Cheung, W., Christensen, V., Harhash, K.A., Kabubo-Mariara, J., Lundquist, C., Obersteiner, M., Pereira, H., Peterson, G., Pichs-Madruga, R., Ravindranath, N.H., Rondinini, C., Wintle, B. (eds.) Secretariat of the Intergovernmental Science-Policy Platform on Biodiversity and Ecosystem Services, Bonn, Germany.</w:t>
      </w:r>
    </w:p>
    <w:p w14:paraId="7E5DF9A4" w14:textId="77777777" w:rsidR="001A19D9" w:rsidRPr="00E01380" w:rsidRDefault="001A19D9" w:rsidP="00E01380">
      <w:pPr>
        <w:widowControl w:val="0"/>
        <w:autoSpaceDE w:val="0"/>
        <w:autoSpaceDN w:val="0"/>
        <w:adjustRightInd w:val="0"/>
        <w:spacing w:before="120"/>
        <w:ind w:left="480" w:hanging="480"/>
      </w:pPr>
      <w:r w:rsidRPr="001A19D9">
        <w:t xml:space="preserve">Kok, </w:t>
      </w:r>
      <w:r w:rsidR="00D3676A">
        <w:t xml:space="preserve">M.T.J., </w:t>
      </w:r>
      <w:r w:rsidRPr="001A19D9">
        <w:t xml:space="preserve">Kok, </w:t>
      </w:r>
      <w:r w:rsidR="00D3676A">
        <w:t xml:space="preserve">K., </w:t>
      </w:r>
      <w:r w:rsidR="00D3676A" w:rsidRPr="001A19D9">
        <w:t>Peterson</w:t>
      </w:r>
      <w:r w:rsidR="00D3676A">
        <w:t xml:space="preserve">, </w:t>
      </w:r>
      <w:r w:rsidRPr="001A19D9">
        <w:t>G.D., Hill</w:t>
      </w:r>
      <w:r w:rsidR="00D3676A">
        <w:t xml:space="preserve">, </w:t>
      </w:r>
      <w:r w:rsidR="00D3676A" w:rsidRPr="001A19D9">
        <w:t>R.</w:t>
      </w:r>
      <w:r w:rsidRPr="001A19D9">
        <w:t>, Agard,</w:t>
      </w:r>
      <w:r w:rsidR="00D3676A">
        <w:t xml:space="preserve"> J., </w:t>
      </w:r>
      <w:r w:rsidRPr="001A19D9">
        <w:t>Carpenter</w:t>
      </w:r>
      <w:r w:rsidR="00D3676A">
        <w:t>, S.R</w:t>
      </w:r>
      <w:r>
        <w:t xml:space="preserve">. </w:t>
      </w:r>
      <w:r w:rsidR="00D3676A">
        <w:t xml:space="preserve">(2017) </w:t>
      </w:r>
      <w:r w:rsidRPr="001A19D9">
        <w:t>Biodiversity and ecosystem services require IPBES to take novel approach to scenarios</w:t>
      </w:r>
      <w:r>
        <w:t xml:space="preserve">. </w:t>
      </w:r>
      <w:r w:rsidRPr="001A19D9">
        <w:t>Sustain. Sci.</w:t>
      </w:r>
      <w:r w:rsidR="00D3676A">
        <w:t>, 12(1): 177-181.</w:t>
      </w:r>
    </w:p>
    <w:p w14:paraId="763F1045" w14:textId="77777777" w:rsidR="00F55DE0" w:rsidRDefault="000263EE" w:rsidP="00E01380">
      <w:pPr>
        <w:widowControl w:val="0"/>
        <w:autoSpaceDE w:val="0"/>
        <w:autoSpaceDN w:val="0"/>
        <w:adjustRightInd w:val="0"/>
        <w:spacing w:before="120"/>
        <w:ind w:left="480" w:hanging="480"/>
      </w:pPr>
      <w:r>
        <w:t>Pereira, H.M., Leadley, P.W., Proenca, V., et al. (2010) Scenarios for global biodiversity in the 21</w:t>
      </w:r>
      <w:r w:rsidRPr="000263EE">
        <w:rPr>
          <w:vertAlign w:val="superscript"/>
        </w:rPr>
        <w:t>st</w:t>
      </w:r>
      <w:r>
        <w:t xml:space="preserve"> century. </w:t>
      </w:r>
      <w:r>
        <w:rPr>
          <w:i/>
        </w:rPr>
        <w:t xml:space="preserve">Science, </w:t>
      </w:r>
      <w:r>
        <w:t>330, 1496-1501.</w:t>
      </w:r>
    </w:p>
    <w:p w14:paraId="6C602578" w14:textId="77777777" w:rsidR="00F55DE0" w:rsidRDefault="000263EE" w:rsidP="005A61D1">
      <w:pPr>
        <w:widowControl w:val="0"/>
        <w:autoSpaceDE w:val="0"/>
        <w:autoSpaceDN w:val="0"/>
        <w:adjustRightInd w:val="0"/>
        <w:spacing w:before="120"/>
        <w:ind w:left="480" w:hanging="480"/>
      </w:pPr>
      <w:r>
        <w:t>Rosa, I.M.D., Pereira, H.M., Ferrier, S., Alkemade, R., Acosta, L.A., Akcakaya, R., Belder, E. den, Fazel, A.M., Fujimori, S., Harfoot, M., HarhaK.A.sh, , Harrison, P.A., Hauck, J., Hendriks, R.J.J., Hernández, G., Jetz, W., Karlsson-Vinkhuyzen, S.I., Kim, H.J., King, N., Kok, M.T.J., Kolomytsev, G.O., Lazarova, T., Leadley, P., Lundquist, C.J., García Márquez, J., Meyer, C., Navarro, L.M., Nesshöver, C., Ngo, H.T., Ninan, K.N., Palomo, M.G., Pereira, L.M., Peterson, G.D., Pichs, R., Popp, A., Purvis, A., Ravera, F., Rondinini, C., Sathyapalan, J., Schipper, A.M., Seppelt, R., Settele, J., Si</w:t>
      </w:r>
      <w:r w:rsidR="00987239">
        <w:t>tas, N., van Vuuren, D., (2017)</w:t>
      </w:r>
      <w:r>
        <w:t xml:space="preserve"> Multiscale scenarios for nature futures. Nat. Ecol. Evol. 1 (10), 1416 – 1419.</w:t>
      </w:r>
    </w:p>
    <w:p w14:paraId="3F8A56EB" w14:textId="77777777" w:rsidR="000263EE" w:rsidRDefault="000263EE" w:rsidP="005A61D1">
      <w:pPr>
        <w:widowControl w:val="0"/>
        <w:autoSpaceDE w:val="0"/>
        <w:autoSpaceDN w:val="0"/>
        <w:adjustRightInd w:val="0"/>
        <w:spacing w:before="120"/>
        <w:ind w:left="480" w:hanging="480"/>
      </w:pPr>
    </w:p>
    <w:p w14:paraId="3935459F" w14:textId="77777777" w:rsidR="00470422" w:rsidRDefault="004B77E2" w:rsidP="005A61D1">
      <w:pPr>
        <w:spacing w:before="120"/>
        <w:jc w:val="center"/>
        <w:rPr>
          <w:kern w:val="22"/>
          <w:szCs w:val="22"/>
        </w:rPr>
      </w:pPr>
      <w:r>
        <w:rPr>
          <w:kern w:val="22"/>
          <w:szCs w:val="22"/>
        </w:rPr>
        <w:t>__________</w:t>
      </w:r>
    </w:p>
    <w:p w14:paraId="4BBCACD8" w14:textId="77777777" w:rsidR="00F55DE0" w:rsidRDefault="00F55DE0" w:rsidP="005A61D1">
      <w:pPr>
        <w:spacing w:before="120"/>
        <w:jc w:val="center"/>
        <w:rPr>
          <w:kern w:val="22"/>
          <w:szCs w:val="22"/>
        </w:rPr>
      </w:pPr>
    </w:p>
    <w:p w14:paraId="203FAA45" w14:textId="77777777" w:rsidR="00F55DE0" w:rsidRPr="001B19F9" w:rsidRDefault="00F55DE0" w:rsidP="005A61D1">
      <w:pPr>
        <w:spacing w:before="120"/>
        <w:jc w:val="center"/>
        <w:rPr>
          <w:kern w:val="22"/>
          <w:szCs w:val="22"/>
        </w:rPr>
      </w:pPr>
    </w:p>
    <w:sectPr w:rsidR="00F55DE0" w:rsidRPr="001B19F9" w:rsidSect="000C604F">
      <w:headerReference w:type="even" r:id="rId16"/>
      <w:headerReference w:type="default" r:id="rId17"/>
      <w:footerReference w:type="even" r:id="rId18"/>
      <w:footerReference w:type="default" r:id="rId19"/>
      <w:footerReference w:type="first" r:id="rId20"/>
      <w:footnotePr>
        <w:numRestart w:val="eachSect"/>
      </w:footnotePr>
      <w:type w:val="continuous"/>
      <w:pgSz w:w="12240" w:h="15840" w:code="1"/>
      <w:pgMar w:top="1152" w:right="1440" w:bottom="1138" w:left="1440" w:header="461"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66F9C" w14:textId="77777777" w:rsidR="000408C6" w:rsidRDefault="000408C6">
      <w:r>
        <w:separator/>
      </w:r>
    </w:p>
  </w:endnote>
  <w:endnote w:type="continuationSeparator" w:id="0">
    <w:p w14:paraId="1242ED80" w14:textId="77777777" w:rsidR="000408C6" w:rsidRDefault="0004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Univers">
    <w:altName w:val="Univers"/>
    <w:charset w:val="00"/>
    <w:family w:val="swiss"/>
    <w:pitch w:val="variable"/>
    <w:sig w:usb0="0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01000003" w:usb1="00000000" w:usb2="00000000" w:usb3="00000000" w:csb0="00010001" w:csb1="00000000"/>
  </w:font>
  <w:font w:name="MS Mincho">
    <w:altName w:val="ＭＳ 明朝"/>
    <w:panose1 w:val="02020609040205080304"/>
    <w:charset w:val="80"/>
    <w:family w:val="modern"/>
    <w:pitch w:val="fixed"/>
    <w:sig w:usb0="00000287" w:usb1="08070000" w:usb2="00000010" w:usb3="00000000" w:csb0="0002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E1D7C" w14:textId="77777777" w:rsidR="009C3790" w:rsidRDefault="009C3790" w:rsidP="001B19F9">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EAD12" w14:textId="77777777" w:rsidR="00A84F7F" w:rsidRDefault="00A84F7F" w:rsidP="001B19F9">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1BF3D" w14:textId="77777777" w:rsidR="009C3790" w:rsidRDefault="009C3790" w:rsidP="001B19F9">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88E2E" w14:textId="77777777" w:rsidR="000408C6" w:rsidRDefault="000408C6">
      <w:r>
        <w:separator/>
      </w:r>
    </w:p>
  </w:footnote>
  <w:footnote w:type="continuationSeparator" w:id="0">
    <w:p w14:paraId="25471DC0" w14:textId="77777777" w:rsidR="000408C6" w:rsidRDefault="000408C6">
      <w:r>
        <w:continuationSeparator/>
      </w:r>
    </w:p>
  </w:footnote>
  <w:footnote w:id="1">
    <w:p w14:paraId="15558C0E" w14:textId="77777777" w:rsidR="00F826FE" w:rsidRPr="00240E97" w:rsidRDefault="00F826FE" w:rsidP="00667125">
      <w:pPr>
        <w:pStyle w:val="FootnoteText"/>
        <w:keepLines w:val="0"/>
        <w:tabs>
          <w:tab w:val="left" w:pos="142"/>
        </w:tabs>
        <w:ind w:firstLine="0"/>
        <w:jc w:val="left"/>
        <w:rPr>
          <w:snapToGrid w:val="0"/>
          <w:kern w:val="22"/>
          <w:szCs w:val="18"/>
        </w:rPr>
      </w:pPr>
      <w:r w:rsidRPr="00240E97">
        <w:rPr>
          <w:rStyle w:val="FootnoteReference"/>
          <w:snapToGrid w:val="0"/>
          <w:kern w:val="22"/>
          <w:szCs w:val="18"/>
          <w:u w:val="none"/>
          <w:vertAlign w:val="superscript"/>
        </w:rPr>
        <w:t>*</w:t>
      </w:r>
      <w:r w:rsidRPr="00240E97">
        <w:rPr>
          <w:snapToGrid w:val="0"/>
          <w:kern w:val="22"/>
          <w:szCs w:val="18"/>
        </w:rPr>
        <w:t xml:space="preserve"> </w:t>
      </w:r>
      <w:hyperlink r:id="rId1" w:history="1">
        <w:r w:rsidRPr="00240E97">
          <w:rPr>
            <w:rStyle w:val="Hyperlink"/>
            <w:kern w:val="22"/>
          </w:rPr>
          <w:t>CBD/SBSTTA/21/1</w:t>
        </w:r>
      </w:hyperlink>
      <w:r w:rsidR="00D17A32" w:rsidRPr="00240E97">
        <w:rPr>
          <w:noProof/>
          <w:snapToGrid w:val="0"/>
          <w:kern w:val="22"/>
          <w:szCs w:val="18"/>
        </w:rPr>
        <w:t>.</w:t>
      </w:r>
    </w:p>
  </w:footnote>
  <w:footnote w:id="2">
    <w:p w14:paraId="7E544DDA" w14:textId="77777777" w:rsidR="00B25B0C" w:rsidRPr="00240E97" w:rsidRDefault="00B25B0C" w:rsidP="00882A1D">
      <w:pPr>
        <w:pStyle w:val="FootnoteText"/>
        <w:ind w:firstLine="0"/>
        <w:rPr>
          <w:kern w:val="22"/>
        </w:rPr>
      </w:pPr>
      <w:r w:rsidRPr="00240E97">
        <w:rPr>
          <w:rStyle w:val="FootnoteReference"/>
          <w:kern w:val="22"/>
          <w:u w:val="none"/>
          <w:vertAlign w:val="superscript"/>
        </w:rPr>
        <w:footnoteRef/>
      </w:r>
      <w:r w:rsidRPr="00240E97">
        <w:rPr>
          <w:kern w:val="22"/>
        </w:rPr>
        <w:t xml:space="preserve"> </w:t>
      </w:r>
      <w:r w:rsidR="00E75EE1" w:rsidRPr="00240E97">
        <w:rPr>
          <w:kern w:val="22"/>
        </w:rPr>
        <w:t>In the IPBES c</w:t>
      </w:r>
      <w:r w:rsidRPr="00240E97">
        <w:rPr>
          <w:kern w:val="22"/>
        </w:rPr>
        <w:t>onceptual framework</w:t>
      </w:r>
      <w:r w:rsidR="00E75EE1" w:rsidRPr="00240E97">
        <w:rPr>
          <w:kern w:val="22"/>
        </w:rPr>
        <w:t xml:space="preserve"> </w:t>
      </w:r>
      <w:r w:rsidR="0095516B" w:rsidRPr="00240E97">
        <w:rPr>
          <w:kern w:val="22"/>
        </w:rPr>
        <w:t xml:space="preserve">(Diaz et al 2015a, 2015b) </w:t>
      </w:r>
      <w:r w:rsidR="00E75EE1" w:rsidRPr="00240E97">
        <w:rPr>
          <w:kern w:val="22"/>
        </w:rPr>
        <w:t>the term “biodiversity” is used interchangeably with the term “nature” and the term “ecosystem services” is used interchangeably with the term “nature’s benefits to people”</w:t>
      </w:r>
    </w:p>
  </w:footnote>
  <w:footnote w:id="3">
    <w:p w14:paraId="033B9FD5" w14:textId="77777777" w:rsidR="00BB67DC" w:rsidRPr="00240E97" w:rsidRDefault="00BB67DC" w:rsidP="00BB67DC">
      <w:pPr>
        <w:pStyle w:val="FootnoteText"/>
        <w:ind w:firstLine="0"/>
        <w:rPr>
          <w:kern w:val="22"/>
          <w:lang w:val="en-CA"/>
        </w:rPr>
      </w:pPr>
      <w:r w:rsidRPr="00240E97">
        <w:rPr>
          <w:rStyle w:val="FootnoteReference"/>
          <w:kern w:val="22"/>
          <w:u w:val="none"/>
          <w:vertAlign w:val="superscript"/>
        </w:rPr>
        <w:footnoteRef/>
      </w:r>
      <w:r w:rsidRPr="00240E97">
        <w:rPr>
          <w:kern w:val="22"/>
        </w:rPr>
        <w:t xml:space="preserve"> </w:t>
      </w:r>
      <w:r w:rsidRPr="00240E97">
        <w:rPr>
          <w:kern w:val="22"/>
          <w:lang w:val="en-CA"/>
        </w:rPr>
        <w:t>This could include workshops held on the margins of SBSTTA-22 in July 2018 and COP-14 in November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36136" w14:textId="453FBC74" w:rsidR="00D17A32" w:rsidRPr="00D260E2" w:rsidRDefault="00D17A32" w:rsidP="008011F4">
    <w:pPr>
      <w:pStyle w:val="Header"/>
      <w:tabs>
        <w:tab w:val="clear" w:pos="4320"/>
        <w:tab w:val="clear" w:pos="8640"/>
      </w:tabs>
      <w:spacing w:line="240" w:lineRule="auto"/>
      <w:rPr>
        <w:noProof/>
        <w:kern w:val="22"/>
        <w:lang w:val="fr-BE"/>
      </w:rPr>
    </w:pPr>
    <w:r w:rsidRPr="0086460A">
      <w:rPr>
        <w:noProof/>
        <w:kern w:val="22"/>
        <w:lang w:val="fr-BE"/>
      </w:rPr>
      <w:t>C</w:t>
    </w:r>
    <w:r w:rsidR="00BA7390" w:rsidRPr="0086460A">
      <w:rPr>
        <w:noProof/>
        <w:kern w:val="22"/>
        <w:lang w:val="fr-BE"/>
      </w:rPr>
      <w:t>BD/SBSTTA/21/INF</w:t>
    </w:r>
    <w:r w:rsidR="00BA7390" w:rsidRPr="000C604F">
      <w:rPr>
        <w:noProof/>
        <w:kern w:val="22"/>
        <w:lang w:val="fr-BE"/>
      </w:rPr>
      <w:t>/</w:t>
    </w:r>
    <w:r w:rsidR="000C604F">
      <w:rPr>
        <w:noProof/>
        <w:kern w:val="22"/>
        <w:lang w:val="fr-BE"/>
      </w:rPr>
      <w:t>18</w:t>
    </w:r>
    <w:r w:rsidR="00022B67">
      <w:rPr>
        <w:noProof/>
        <w:kern w:val="22"/>
        <w:lang w:val="fr-BE"/>
      </w:rPr>
      <w:t>/Rev.1</w:t>
    </w:r>
  </w:p>
  <w:p w14:paraId="1DC527B7" w14:textId="486EBE9B" w:rsidR="00570619" w:rsidRPr="00D260E2" w:rsidRDefault="00D17A32" w:rsidP="008011F4">
    <w:pPr>
      <w:pStyle w:val="Header"/>
      <w:tabs>
        <w:tab w:val="clear" w:pos="4320"/>
        <w:tab w:val="clear" w:pos="8640"/>
      </w:tabs>
      <w:spacing w:line="240" w:lineRule="auto"/>
      <w:rPr>
        <w:lang w:val="fr-BE"/>
      </w:rPr>
    </w:pPr>
    <w:r w:rsidRPr="000C604F">
      <w:rPr>
        <w:noProof/>
        <w:kern w:val="22"/>
        <w:lang w:val="fr-BE"/>
      </w:rPr>
      <w:t xml:space="preserve">Page </w:t>
    </w:r>
    <w:r w:rsidRPr="000C604F">
      <w:rPr>
        <w:noProof/>
        <w:kern w:val="22"/>
      </w:rPr>
      <w:fldChar w:fldCharType="begin"/>
    </w:r>
    <w:r w:rsidRPr="000C604F">
      <w:rPr>
        <w:noProof/>
        <w:kern w:val="22"/>
        <w:lang w:val="fr-BE"/>
      </w:rPr>
      <w:instrText xml:space="preserve"> PAGE   \* MERGEFORMAT </w:instrText>
    </w:r>
    <w:r w:rsidRPr="000C604F">
      <w:rPr>
        <w:noProof/>
        <w:kern w:val="22"/>
      </w:rPr>
      <w:fldChar w:fldCharType="separate"/>
    </w:r>
    <w:r w:rsidR="00022B67">
      <w:rPr>
        <w:noProof/>
        <w:kern w:val="22"/>
        <w:lang w:val="fr-BE"/>
      </w:rPr>
      <w:t>6</w:t>
    </w:r>
    <w:r w:rsidRPr="000C604F">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C2D93" w14:textId="19CC26C7" w:rsidR="00D17A32" w:rsidRPr="00D260E2" w:rsidRDefault="00D17A32" w:rsidP="000C604F">
    <w:pPr>
      <w:pStyle w:val="Header"/>
      <w:tabs>
        <w:tab w:val="clear" w:pos="4320"/>
        <w:tab w:val="clear" w:pos="8640"/>
      </w:tabs>
      <w:jc w:val="right"/>
      <w:rPr>
        <w:noProof/>
        <w:lang w:val="fr-BE"/>
      </w:rPr>
    </w:pPr>
    <w:r w:rsidRPr="0086460A">
      <w:rPr>
        <w:noProof/>
        <w:lang w:val="fr-BE"/>
      </w:rPr>
      <w:t>C</w:t>
    </w:r>
    <w:r w:rsidR="00BA7390" w:rsidRPr="0086460A">
      <w:rPr>
        <w:noProof/>
        <w:lang w:val="fr-BE"/>
      </w:rPr>
      <w:t>BD/SBSTTA/21/</w:t>
    </w:r>
    <w:r w:rsidR="00BA7390" w:rsidRPr="000C604F">
      <w:rPr>
        <w:noProof/>
        <w:lang w:val="fr-BE"/>
      </w:rPr>
      <w:t>INF/</w:t>
    </w:r>
    <w:r w:rsidR="000C604F" w:rsidRPr="00240E97">
      <w:rPr>
        <w:noProof/>
        <w:lang w:val="fr-BE"/>
      </w:rPr>
      <w:t>18</w:t>
    </w:r>
    <w:r w:rsidR="00022B67">
      <w:rPr>
        <w:noProof/>
        <w:lang w:val="fr-BE"/>
      </w:rPr>
      <w:t>/Rev.1</w:t>
    </w:r>
  </w:p>
  <w:p w14:paraId="14ED59A4" w14:textId="3725210B" w:rsidR="00D17A32" w:rsidRPr="00D260E2" w:rsidRDefault="00D17A32" w:rsidP="000C604F">
    <w:pPr>
      <w:pStyle w:val="Header"/>
      <w:tabs>
        <w:tab w:val="clear" w:pos="4320"/>
        <w:tab w:val="clear" w:pos="8640"/>
      </w:tabs>
      <w:jc w:val="right"/>
      <w:rPr>
        <w:noProof/>
        <w:lang w:val="fr-BE"/>
      </w:rPr>
    </w:pPr>
    <w:r w:rsidRPr="00D260E2">
      <w:rPr>
        <w:noProof/>
        <w:lang w:val="fr-BE"/>
      </w:rPr>
      <w:t xml:space="preserve">Page </w:t>
    </w:r>
    <w:r w:rsidRPr="001B19F9">
      <w:rPr>
        <w:noProof/>
      </w:rPr>
      <w:fldChar w:fldCharType="begin"/>
    </w:r>
    <w:r w:rsidRPr="00D260E2">
      <w:rPr>
        <w:noProof/>
        <w:lang w:val="fr-BE"/>
      </w:rPr>
      <w:instrText xml:space="preserve"> PAGE   \* MERGEFORMAT </w:instrText>
    </w:r>
    <w:r w:rsidRPr="001B19F9">
      <w:rPr>
        <w:noProof/>
      </w:rPr>
      <w:fldChar w:fldCharType="separate"/>
    </w:r>
    <w:r w:rsidR="00022B67">
      <w:rPr>
        <w:noProof/>
        <w:lang w:val="fr-BE"/>
      </w:rPr>
      <w:t>7</w:t>
    </w:r>
    <w:r w:rsidRPr="001B19F9">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1" w15:restartNumberingAfterBreak="0">
    <w:nsid w:val="055B1AE3"/>
    <w:multiLevelType w:val="hybridMultilevel"/>
    <w:tmpl w:val="FE22EEF0"/>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D9E28F7"/>
    <w:multiLevelType w:val="hybridMultilevel"/>
    <w:tmpl w:val="78FCC6A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71549A"/>
    <w:multiLevelType w:val="multilevel"/>
    <w:tmpl w:val="8090BB12"/>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5AC6065"/>
    <w:multiLevelType w:val="hybridMultilevel"/>
    <w:tmpl w:val="E754039A"/>
    <w:lvl w:ilvl="0" w:tplc="8C7E416E">
      <w:start w:val="1"/>
      <w:numFmt w:val="decimal"/>
      <w:lvlText w:val="%1."/>
      <w:lvlJc w:val="left"/>
      <w:pPr>
        <w:ind w:left="720" w:hanging="360"/>
      </w:pPr>
      <w:rPr>
        <w:b w:val="0"/>
      </w:rPr>
    </w:lvl>
    <w:lvl w:ilvl="1" w:tplc="8F68050A">
      <w:start w:val="1"/>
      <w:numFmt w:val="lowerLetter"/>
      <w:lvlText w:val="%2."/>
      <w:lvlJc w:val="left"/>
      <w:pPr>
        <w:ind w:left="1440" w:hanging="360"/>
      </w:pPr>
      <w:rPr>
        <w:rFonts w:ascii="Times New Roman" w:hAnsi="Times New Roman" w:cs="Times New Roman"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91287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04C7FF0"/>
    <w:multiLevelType w:val="hybridMultilevel"/>
    <w:tmpl w:val="6C70A63A"/>
    <w:lvl w:ilvl="0" w:tplc="8C7E416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3F7930"/>
    <w:multiLevelType w:val="hybridMultilevel"/>
    <w:tmpl w:val="78FCC6A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1" w15:restartNumberingAfterBreak="0">
    <w:nsid w:val="44CC7FBB"/>
    <w:multiLevelType w:val="hybridMultilevel"/>
    <w:tmpl w:val="8A94B994"/>
    <w:lvl w:ilvl="0" w:tplc="EB3CD996">
      <w:start w:val="1"/>
      <w:numFmt w:val="lowerLetter"/>
      <w:pStyle w:val="Para2rev"/>
      <w:lvlText w:val="(%1)"/>
      <w:lvlJc w:val="left"/>
      <w:pPr>
        <w:tabs>
          <w:tab w:val="num" w:pos="720"/>
        </w:tabs>
        <w:ind w:left="0" w:firstLine="720"/>
      </w:pPr>
      <w:rPr>
        <w:rFonts w:hint="default"/>
        <w:b w:val="0"/>
        <w:i w:val="0"/>
      </w:rPr>
    </w:lvl>
    <w:lvl w:ilvl="1" w:tplc="7C8CABE2">
      <w:start w:val="1"/>
      <w:numFmt w:val="lowerRoman"/>
      <w:lvlText w:val="(%2)"/>
      <w:lvlJc w:val="left"/>
      <w:pPr>
        <w:tabs>
          <w:tab w:val="num" w:pos="2160"/>
        </w:tabs>
        <w:ind w:left="2160" w:hanging="360"/>
      </w:pPr>
      <w:rPr>
        <w:rFonts w:hint="default"/>
        <w:b w:val="0"/>
        <w:i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0"/>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A5E4E07"/>
    <w:multiLevelType w:val="hybridMultilevel"/>
    <w:tmpl w:val="BE4846A0"/>
    <w:lvl w:ilvl="0" w:tplc="8C7E416E">
      <w:start w:val="1"/>
      <w:numFmt w:val="decimal"/>
      <w:lvlText w:val="%1."/>
      <w:lvlJc w:val="left"/>
      <w:pPr>
        <w:ind w:left="360" w:hanging="360"/>
      </w:pPr>
      <w:rPr>
        <w:b w:val="0"/>
      </w:rPr>
    </w:lvl>
    <w:lvl w:ilvl="1" w:tplc="2314F6E8">
      <w:start w:val="1"/>
      <w:numFmt w:val="lowerLetter"/>
      <w:lvlText w:val="%2."/>
      <w:lvlJc w:val="left"/>
      <w:pPr>
        <w:ind w:left="1440" w:hanging="360"/>
      </w:pPr>
      <w:rPr>
        <w:rFonts w:ascii="Calibri" w:hAnsi="Calibri"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E464B6"/>
    <w:multiLevelType w:val="hybridMultilevel"/>
    <w:tmpl w:val="3BB03C4C"/>
    <w:lvl w:ilvl="0" w:tplc="9B185CE2">
      <w:start w:val="1"/>
      <w:numFmt w:val="lowerLetter"/>
      <w:lvlText w:val="%1."/>
      <w:lvlJc w:val="left"/>
      <w:pPr>
        <w:ind w:left="1440" w:hanging="360"/>
      </w:pPr>
      <w:rPr>
        <w:rFonts w:ascii="Times New Roman"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7A223ADF"/>
    <w:multiLevelType w:val="hybridMultilevel"/>
    <w:tmpl w:val="78FCC6A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CFD53D9"/>
    <w:multiLevelType w:val="hybridMultilevel"/>
    <w:tmpl w:val="78FCC6A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0"/>
  </w:num>
  <w:num w:numId="3">
    <w:abstractNumId w:val="10"/>
  </w:num>
  <w:num w:numId="4">
    <w:abstractNumId w:val="9"/>
  </w:num>
  <w:num w:numId="5">
    <w:abstractNumId w:val="6"/>
  </w:num>
  <w:num w:numId="6">
    <w:abstractNumId w:val="11"/>
  </w:num>
  <w:num w:numId="7">
    <w:abstractNumId w:val="12"/>
  </w:num>
  <w:num w:numId="8">
    <w:abstractNumId w:val="15"/>
  </w:num>
  <w:num w:numId="9">
    <w:abstractNumId w:val="1"/>
  </w:num>
  <w:num w:numId="10">
    <w:abstractNumId w:val="13"/>
  </w:num>
  <w:num w:numId="11">
    <w:abstractNumId w:val="7"/>
  </w:num>
  <w:num w:numId="12">
    <w:abstractNumId w:val="4"/>
  </w:num>
  <w:num w:numId="13">
    <w:abstractNumId w:val="14"/>
  </w:num>
  <w:num w:numId="14">
    <w:abstractNumId w:val="5"/>
  </w:num>
  <w:num w:numId="15">
    <w:abstractNumId w:val="3"/>
  </w:num>
  <w:num w:numId="16">
    <w:abstractNumId w:val="8"/>
  </w:num>
  <w:num w:numId="17">
    <w:abstractNumId w:val="18"/>
  </w:num>
  <w:num w:numId="18">
    <w:abstractNumId w:val="17"/>
  </w:num>
  <w:num w:numId="19">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activeWritingStyle w:appName="MSWord" w:lang="en-GB" w:vendorID="64" w:dllVersion="4096" w:nlCheck="1" w:checkStyle="0"/>
  <w:activeWritingStyle w:appName="MSWord" w:lang="pt-BR" w:vendorID="64" w:dllVersion="4096" w:nlCheck="1" w:checkStyle="0"/>
  <w:activeWritingStyle w:appName="MSWord" w:lang="en-GB" w:vendorID="64" w:dllVersion="6" w:nlCheck="1" w:checkStyle="1"/>
  <w:activeWritingStyle w:appName="MSWord" w:lang="en-GB" w:vendorID="64" w:dllVersion="0" w:nlCheck="1" w:checkStyle="0"/>
  <w:activeWritingStyle w:appName="MSWord" w:lang="fr-BE"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AD2"/>
    <w:rsid w:val="00001A89"/>
    <w:rsid w:val="00002806"/>
    <w:rsid w:val="00003ED0"/>
    <w:rsid w:val="000108AF"/>
    <w:rsid w:val="00010E7F"/>
    <w:rsid w:val="00011CD4"/>
    <w:rsid w:val="00013DE0"/>
    <w:rsid w:val="00014248"/>
    <w:rsid w:val="00016000"/>
    <w:rsid w:val="00017702"/>
    <w:rsid w:val="00017BA7"/>
    <w:rsid w:val="00022B67"/>
    <w:rsid w:val="00023F06"/>
    <w:rsid w:val="00025F48"/>
    <w:rsid w:val="000263EE"/>
    <w:rsid w:val="0002673D"/>
    <w:rsid w:val="00027A92"/>
    <w:rsid w:val="00030CA9"/>
    <w:rsid w:val="00031133"/>
    <w:rsid w:val="0003312B"/>
    <w:rsid w:val="00034AE4"/>
    <w:rsid w:val="00035453"/>
    <w:rsid w:val="000408C6"/>
    <w:rsid w:val="00041416"/>
    <w:rsid w:val="00041F78"/>
    <w:rsid w:val="00042288"/>
    <w:rsid w:val="0004684C"/>
    <w:rsid w:val="00046E35"/>
    <w:rsid w:val="00052804"/>
    <w:rsid w:val="0006163D"/>
    <w:rsid w:val="00066E22"/>
    <w:rsid w:val="00067576"/>
    <w:rsid w:val="000706D8"/>
    <w:rsid w:val="0007262A"/>
    <w:rsid w:val="00076F86"/>
    <w:rsid w:val="00080B5D"/>
    <w:rsid w:val="00083C03"/>
    <w:rsid w:val="00085D30"/>
    <w:rsid w:val="000862E8"/>
    <w:rsid w:val="00087FAC"/>
    <w:rsid w:val="000910F7"/>
    <w:rsid w:val="00091A66"/>
    <w:rsid w:val="00091B57"/>
    <w:rsid w:val="00096E28"/>
    <w:rsid w:val="00097AB7"/>
    <w:rsid w:val="00097B48"/>
    <w:rsid w:val="000A1849"/>
    <w:rsid w:val="000A413F"/>
    <w:rsid w:val="000A5B38"/>
    <w:rsid w:val="000A68F0"/>
    <w:rsid w:val="000A79AF"/>
    <w:rsid w:val="000B0BD8"/>
    <w:rsid w:val="000B0FF6"/>
    <w:rsid w:val="000B2898"/>
    <w:rsid w:val="000B2FCA"/>
    <w:rsid w:val="000B451A"/>
    <w:rsid w:val="000C0F48"/>
    <w:rsid w:val="000C34C3"/>
    <w:rsid w:val="000C604F"/>
    <w:rsid w:val="000D26BE"/>
    <w:rsid w:val="000D40C9"/>
    <w:rsid w:val="000D55DD"/>
    <w:rsid w:val="000D7D1C"/>
    <w:rsid w:val="000E5584"/>
    <w:rsid w:val="000E6418"/>
    <w:rsid w:val="000F10CE"/>
    <w:rsid w:val="000F23D0"/>
    <w:rsid w:val="000F2BC9"/>
    <w:rsid w:val="000F2F90"/>
    <w:rsid w:val="000F3F64"/>
    <w:rsid w:val="000F5D5E"/>
    <w:rsid w:val="00102091"/>
    <w:rsid w:val="00104559"/>
    <w:rsid w:val="001055A7"/>
    <w:rsid w:val="0010579C"/>
    <w:rsid w:val="00113E3D"/>
    <w:rsid w:val="0011407B"/>
    <w:rsid w:val="00114AC9"/>
    <w:rsid w:val="00115418"/>
    <w:rsid w:val="0011585C"/>
    <w:rsid w:val="00115D59"/>
    <w:rsid w:val="001172C0"/>
    <w:rsid w:val="00117761"/>
    <w:rsid w:val="00120962"/>
    <w:rsid w:val="00120B82"/>
    <w:rsid w:val="00121F0F"/>
    <w:rsid w:val="00124640"/>
    <w:rsid w:val="001248B0"/>
    <w:rsid w:val="00127AE4"/>
    <w:rsid w:val="00130282"/>
    <w:rsid w:val="00131374"/>
    <w:rsid w:val="0013664D"/>
    <w:rsid w:val="00137AB5"/>
    <w:rsid w:val="001406EB"/>
    <w:rsid w:val="00140823"/>
    <w:rsid w:val="00146717"/>
    <w:rsid w:val="0014686D"/>
    <w:rsid w:val="00155382"/>
    <w:rsid w:val="001569C0"/>
    <w:rsid w:val="001579FE"/>
    <w:rsid w:val="00161E14"/>
    <w:rsid w:val="001637D2"/>
    <w:rsid w:val="0016492C"/>
    <w:rsid w:val="001653E5"/>
    <w:rsid w:val="00165C9F"/>
    <w:rsid w:val="001712F8"/>
    <w:rsid w:val="001717BC"/>
    <w:rsid w:val="00174E9C"/>
    <w:rsid w:val="00177375"/>
    <w:rsid w:val="00180216"/>
    <w:rsid w:val="00183163"/>
    <w:rsid w:val="001866D0"/>
    <w:rsid w:val="001903CF"/>
    <w:rsid w:val="00191A2D"/>
    <w:rsid w:val="001922EE"/>
    <w:rsid w:val="0019278B"/>
    <w:rsid w:val="001A19D9"/>
    <w:rsid w:val="001A279C"/>
    <w:rsid w:val="001A2FBC"/>
    <w:rsid w:val="001B182A"/>
    <w:rsid w:val="001B19F9"/>
    <w:rsid w:val="001B1DBF"/>
    <w:rsid w:val="001B4BAB"/>
    <w:rsid w:val="001B71FB"/>
    <w:rsid w:val="001C1E09"/>
    <w:rsid w:val="001C2116"/>
    <w:rsid w:val="001C2251"/>
    <w:rsid w:val="001C7250"/>
    <w:rsid w:val="001D39E7"/>
    <w:rsid w:val="001D79BD"/>
    <w:rsid w:val="001D7DFF"/>
    <w:rsid w:val="001E085F"/>
    <w:rsid w:val="001E0FE1"/>
    <w:rsid w:val="001E4736"/>
    <w:rsid w:val="001E6527"/>
    <w:rsid w:val="001F0329"/>
    <w:rsid w:val="001F034F"/>
    <w:rsid w:val="001F09AB"/>
    <w:rsid w:val="001F1D23"/>
    <w:rsid w:val="001F1F8E"/>
    <w:rsid w:val="001F4F9E"/>
    <w:rsid w:val="002010F5"/>
    <w:rsid w:val="0020486B"/>
    <w:rsid w:val="002063BD"/>
    <w:rsid w:val="002106DE"/>
    <w:rsid w:val="00211567"/>
    <w:rsid w:val="00215597"/>
    <w:rsid w:val="002164BD"/>
    <w:rsid w:val="002177C1"/>
    <w:rsid w:val="0022169A"/>
    <w:rsid w:val="00224F27"/>
    <w:rsid w:val="002265B9"/>
    <w:rsid w:val="002267EA"/>
    <w:rsid w:val="0023006B"/>
    <w:rsid w:val="00234D12"/>
    <w:rsid w:val="0024025A"/>
    <w:rsid w:val="00240E97"/>
    <w:rsid w:val="00244AAE"/>
    <w:rsid w:val="00254F2F"/>
    <w:rsid w:val="00254F7E"/>
    <w:rsid w:val="0025766A"/>
    <w:rsid w:val="00266E50"/>
    <w:rsid w:val="00270B84"/>
    <w:rsid w:val="00271ED1"/>
    <w:rsid w:val="00273C04"/>
    <w:rsid w:val="0027529A"/>
    <w:rsid w:val="00275E56"/>
    <w:rsid w:val="002808CC"/>
    <w:rsid w:val="002830E4"/>
    <w:rsid w:val="00283151"/>
    <w:rsid w:val="00283D70"/>
    <w:rsid w:val="00284040"/>
    <w:rsid w:val="00286480"/>
    <w:rsid w:val="00287858"/>
    <w:rsid w:val="00287EDE"/>
    <w:rsid w:val="002916FC"/>
    <w:rsid w:val="002933AE"/>
    <w:rsid w:val="00294803"/>
    <w:rsid w:val="0029490A"/>
    <w:rsid w:val="00296D98"/>
    <w:rsid w:val="002A1ADE"/>
    <w:rsid w:val="002A3DDA"/>
    <w:rsid w:val="002B0B36"/>
    <w:rsid w:val="002B4963"/>
    <w:rsid w:val="002C1C30"/>
    <w:rsid w:val="002C2427"/>
    <w:rsid w:val="002C3E36"/>
    <w:rsid w:val="002C6BCB"/>
    <w:rsid w:val="002D0DDA"/>
    <w:rsid w:val="002D2C7E"/>
    <w:rsid w:val="002D7B63"/>
    <w:rsid w:val="002E0127"/>
    <w:rsid w:val="002E0D2D"/>
    <w:rsid w:val="002E0E18"/>
    <w:rsid w:val="002E0E38"/>
    <w:rsid w:val="002E0F85"/>
    <w:rsid w:val="002E248F"/>
    <w:rsid w:val="002E69E8"/>
    <w:rsid w:val="002E6CCF"/>
    <w:rsid w:val="002E7BD7"/>
    <w:rsid w:val="002F1468"/>
    <w:rsid w:val="002F154C"/>
    <w:rsid w:val="002F2593"/>
    <w:rsid w:val="002F47CD"/>
    <w:rsid w:val="002F5513"/>
    <w:rsid w:val="002F646C"/>
    <w:rsid w:val="002F7A6D"/>
    <w:rsid w:val="002F7D82"/>
    <w:rsid w:val="003009F6"/>
    <w:rsid w:val="00304DAE"/>
    <w:rsid w:val="00305005"/>
    <w:rsid w:val="00307687"/>
    <w:rsid w:val="00310DE3"/>
    <w:rsid w:val="00314302"/>
    <w:rsid w:val="0031431F"/>
    <w:rsid w:val="003143D3"/>
    <w:rsid w:val="003150C8"/>
    <w:rsid w:val="00323474"/>
    <w:rsid w:val="00323C76"/>
    <w:rsid w:val="0032539F"/>
    <w:rsid w:val="00326A2C"/>
    <w:rsid w:val="00326FD1"/>
    <w:rsid w:val="00327C1B"/>
    <w:rsid w:val="00330F6C"/>
    <w:rsid w:val="00331A84"/>
    <w:rsid w:val="00334378"/>
    <w:rsid w:val="0034023C"/>
    <w:rsid w:val="003403E5"/>
    <w:rsid w:val="00344045"/>
    <w:rsid w:val="00345F22"/>
    <w:rsid w:val="00347261"/>
    <w:rsid w:val="003508A2"/>
    <w:rsid w:val="00350F6B"/>
    <w:rsid w:val="00360597"/>
    <w:rsid w:val="003607A6"/>
    <w:rsid w:val="00365DA1"/>
    <w:rsid w:val="00367FCF"/>
    <w:rsid w:val="003710B1"/>
    <w:rsid w:val="00371969"/>
    <w:rsid w:val="00375D81"/>
    <w:rsid w:val="00381AFD"/>
    <w:rsid w:val="00385538"/>
    <w:rsid w:val="003855CB"/>
    <w:rsid w:val="00385711"/>
    <w:rsid w:val="0038693C"/>
    <w:rsid w:val="00387239"/>
    <w:rsid w:val="0039111B"/>
    <w:rsid w:val="00392292"/>
    <w:rsid w:val="00392857"/>
    <w:rsid w:val="00392DFF"/>
    <w:rsid w:val="003A08C5"/>
    <w:rsid w:val="003A1BD9"/>
    <w:rsid w:val="003A4529"/>
    <w:rsid w:val="003A6FD8"/>
    <w:rsid w:val="003B05F0"/>
    <w:rsid w:val="003B156D"/>
    <w:rsid w:val="003B39FC"/>
    <w:rsid w:val="003B45AF"/>
    <w:rsid w:val="003B4755"/>
    <w:rsid w:val="003B5637"/>
    <w:rsid w:val="003B6C1B"/>
    <w:rsid w:val="003C08CC"/>
    <w:rsid w:val="003C33B9"/>
    <w:rsid w:val="003C4F04"/>
    <w:rsid w:val="003D3333"/>
    <w:rsid w:val="003D7898"/>
    <w:rsid w:val="003E3A4A"/>
    <w:rsid w:val="003E519F"/>
    <w:rsid w:val="003E5B0E"/>
    <w:rsid w:val="003E7268"/>
    <w:rsid w:val="003E78FA"/>
    <w:rsid w:val="003F03CA"/>
    <w:rsid w:val="003F077C"/>
    <w:rsid w:val="003F1DF5"/>
    <w:rsid w:val="003F3C7E"/>
    <w:rsid w:val="003F79EF"/>
    <w:rsid w:val="00402C85"/>
    <w:rsid w:val="00405B58"/>
    <w:rsid w:val="00410529"/>
    <w:rsid w:val="00412FED"/>
    <w:rsid w:val="004149DC"/>
    <w:rsid w:val="00414B12"/>
    <w:rsid w:val="00414BD0"/>
    <w:rsid w:val="004200E5"/>
    <w:rsid w:val="00420D87"/>
    <w:rsid w:val="00421235"/>
    <w:rsid w:val="004235DC"/>
    <w:rsid w:val="0042467A"/>
    <w:rsid w:val="00430874"/>
    <w:rsid w:val="0043283B"/>
    <w:rsid w:val="00434044"/>
    <w:rsid w:val="004340BC"/>
    <w:rsid w:val="004340D0"/>
    <w:rsid w:val="00434F5A"/>
    <w:rsid w:val="0043577B"/>
    <w:rsid w:val="0043692A"/>
    <w:rsid w:val="00443699"/>
    <w:rsid w:val="00444939"/>
    <w:rsid w:val="00444E0E"/>
    <w:rsid w:val="00445DD2"/>
    <w:rsid w:val="0045071D"/>
    <w:rsid w:val="00452296"/>
    <w:rsid w:val="0045499B"/>
    <w:rsid w:val="00455F14"/>
    <w:rsid w:val="0046115B"/>
    <w:rsid w:val="004627B2"/>
    <w:rsid w:val="00470422"/>
    <w:rsid w:val="004704F6"/>
    <w:rsid w:val="004735D6"/>
    <w:rsid w:val="0048006E"/>
    <w:rsid w:val="00483CB0"/>
    <w:rsid w:val="00485E7F"/>
    <w:rsid w:val="00485FC5"/>
    <w:rsid w:val="00486CA9"/>
    <w:rsid w:val="00486E75"/>
    <w:rsid w:val="00494B84"/>
    <w:rsid w:val="00495C53"/>
    <w:rsid w:val="00497005"/>
    <w:rsid w:val="004A029E"/>
    <w:rsid w:val="004B27E3"/>
    <w:rsid w:val="004B3131"/>
    <w:rsid w:val="004B3C0A"/>
    <w:rsid w:val="004B4C1F"/>
    <w:rsid w:val="004B4CBE"/>
    <w:rsid w:val="004B5AA3"/>
    <w:rsid w:val="004B5E73"/>
    <w:rsid w:val="004B73C1"/>
    <w:rsid w:val="004B77E2"/>
    <w:rsid w:val="004C04D6"/>
    <w:rsid w:val="004C25E9"/>
    <w:rsid w:val="004C50B8"/>
    <w:rsid w:val="004C6913"/>
    <w:rsid w:val="004D03E5"/>
    <w:rsid w:val="004D0A78"/>
    <w:rsid w:val="004D44D4"/>
    <w:rsid w:val="004D5915"/>
    <w:rsid w:val="004D5A79"/>
    <w:rsid w:val="004D5AB6"/>
    <w:rsid w:val="004D7752"/>
    <w:rsid w:val="004E0456"/>
    <w:rsid w:val="004E098F"/>
    <w:rsid w:val="004E1B84"/>
    <w:rsid w:val="004E625F"/>
    <w:rsid w:val="004E67A0"/>
    <w:rsid w:val="004F2146"/>
    <w:rsid w:val="004F289C"/>
    <w:rsid w:val="004F38A4"/>
    <w:rsid w:val="004F3E56"/>
    <w:rsid w:val="004F3FC7"/>
    <w:rsid w:val="004F408D"/>
    <w:rsid w:val="004F6C72"/>
    <w:rsid w:val="005029D1"/>
    <w:rsid w:val="005049A4"/>
    <w:rsid w:val="00506433"/>
    <w:rsid w:val="00510275"/>
    <w:rsid w:val="00510B87"/>
    <w:rsid w:val="00513EB6"/>
    <w:rsid w:val="0051454A"/>
    <w:rsid w:val="00515339"/>
    <w:rsid w:val="0051690F"/>
    <w:rsid w:val="00522F55"/>
    <w:rsid w:val="0052428C"/>
    <w:rsid w:val="0052468F"/>
    <w:rsid w:val="0052538F"/>
    <w:rsid w:val="005311DB"/>
    <w:rsid w:val="005356E0"/>
    <w:rsid w:val="00536118"/>
    <w:rsid w:val="00537CAB"/>
    <w:rsid w:val="00544922"/>
    <w:rsid w:val="005450B8"/>
    <w:rsid w:val="00545993"/>
    <w:rsid w:val="00553D38"/>
    <w:rsid w:val="00554A10"/>
    <w:rsid w:val="00555229"/>
    <w:rsid w:val="00561654"/>
    <w:rsid w:val="005636EA"/>
    <w:rsid w:val="005642BE"/>
    <w:rsid w:val="00564FDB"/>
    <w:rsid w:val="005672AD"/>
    <w:rsid w:val="00570619"/>
    <w:rsid w:val="00574382"/>
    <w:rsid w:val="005753BD"/>
    <w:rsid w:val="00576A53"/>
    <w:rsid w:val="00581095"/>
    <w:rsid w:val="005818E0"/>
    <w:rsid w:val="005820ED"/>
    <w:rsid w:val="00585284"/>
    <w:rsid w:val="005919C7"/>
    <w:rsid w:val="005921B0"/>
    <w:rsid w:val="00592FEF"/>
    <w:rsid w:val="00595DDA"/>
    <w:rsid w:val="00597D1E"/>
    <w:rsid w:val="005A0E5D"/>
    <w:rsid w:val="005A61D1"/>
    <w:rsid w:val="005B2A88"/>
    <w:rsid w:val="005B2F57"/>
    <w:rsid w:val="005B31F8"/>
    <w:rsid w:val="005B3761"/>
    <w:rsid w:val="005B637E"/>
    <w:rsid w:val="005B6B5E"/>
    <w:rsid w:val="005B6E68"/>
    <w:rsid w:val="005B7E17"/>
    <w:rsid w:val="005C1ECA"/>
    <w:rsid w:val="005C3800"/>
    <w:rsid w:val="005C5FC0"/>
    <w:rsid w:val="005C65A6"/>
    <w:rsid w:val="005D0BD1"/>
    <w:rsid w:val="005D2A8C"/>
    <w:rsid w:val="005D4304"/>
    <w:rsid w:val="005D52DB"/>
    <w:rsid w:val="005D5E6B"/>
    <w:rsid w:val="005D6575"/>
    <w:rsid w:val="005D7A13"/>
    <w:rsid w:val="005D7B0D"/>
    <w:rsid w:val="005E19B3"/>
    <w:rsid w:val="005E3075"/>
    <w:rsid w:val="005E6211"/>
    <w:rsid w:val="005E6498"/>
    <w:rsid w:val="005F3626"/>
    <w:rsid w:val="005F40A5"/>
    <w:rsid w:val="005F70F3"/>
    <w:rsid w:val="005F768C"/>
    <w:rsid w:val="0060325C"/>
    <w:rsid w:val="006032D6"/>
    <w:rsid w:val="00604ADD"/>
    <w:rsid w:val="00605E07"/>
    <w:rsid w:val="0060692E"/>
    <w:rsid w:val="00611559"/>
    <w:rsid w:val="00612A9C"/>
    <w:rsid w:val="006155EC"/>
    <w:rsid w:val="00617D90"/>
    <w:rsid w:val="006220EC"/>
    <w:rsid w:val="00624697"/>
    <w:rsid w:val="006272A1"/>
    <w:rsid w:val="00627918"/>
    <w:rsid w:val="00630331"/>
    <w:rsid w:val="00630B00"/>
    <w:rsid w:val="00633877"/>
    <w:rsid w:val="00635D3F"/>
    <w:rsid w:val="00636299"/>
    <w:rsid w:val="00636B7F"/>
    <w:rsid w:val="006419FC"/>
    <w:rsid w:val="00644870"/>
    <w:rsid w:val="00644E83"/>
    <w:rsid w:val="006457F3"/>
    <w:rsid w:val="006459F3"/>
    <w:rsid w:val="006460FF"/>
    <w:rsid w:val="006476BC"/>
    <w:rsid w:val="00650448"/>
    <w:rsid w:val="00653651"/>
    <w:rsid w:val="00654FEC"/>
    <w:rsid w:val="00660D56"/>
    <w:rsid w:val="0066192C"/>
    <w:rsid w:val="00662B8A"/>
    <w:rsid w:val="006631E2"/>
    <w:rsid w:val="006643FA"/>
    <w:rsid w:val="00667125"/>
    <w:rsid w:val="00667C05"/>
    <w:rsid w:val="00672427"/>
    <w:rsid w:val="00672AE0"/>
    <w:rsid w:val="0067721A"/>
    <w:rsid w:val="00681E2A"/>
    <w:rsid w:val="00687578"/>
    <w:rsid w:val="006876EA"/>
    <w:rsid w:val="006877CB"/>
    <w:rsid w:val="0069009E"/>
    <w:rsid w:val="006906DA"/>
    <w:rsid w:val="00692961"/>
    <w:rsid w:val="0069318B"/>
    <w:rsid w:val="006943F8"/>
    <w:rsid w:val="00694A87"/>
    <w:rsid w:val="0069627C"/>
    <w:rsid w:val="006B0A85"/>
    <w:rsid w:val="006B2DCE"/>
    <w:rsid w:val="006B36DD"/>
    <w:rsid w:val="006B6E13"/>
    <w:rsid w:val="006C1A35"/>
    <w:rsid w:val="006C4E98"/>
    <w:rsid w:val="006C6266"/>
    <w:rsid w:val="006C7559"/>
    <w:rsid w:val="006D2AF4"/>
    <w:rsid w:val="006D3778"/>
    <w:rsid w:val="006D3810"/>
    <w:rsid w:val="006D6DBC"/>
    <w:rsid w:val="006D7E42"/>
    <w:rsid w:val="006E030C"/>
    <w:rsid w:val="006E48B8"/>
    <w:rsid w:val="006F18BF"/>
    <w:rsid w:val="006F3006"/>
    <w:rsid w:val="006F6E2C"/>
    <w:rsid w:val="006F7904"/>
    <w:rsid w:val="007033A7"/>
    <w:rsid w:val="00707F85"/>
    <w:rsid w:val="0071151F"/>
    <w:rsid w:val="00712EC6"/>
    <w:rsid w:val="00714091"/>
    <w:rsid w:val="00714AC1"/>
    <w:rsid w:val="00715A1C"/>
    <w:rsid w:val="00730FEF"/>
    <w:rsid w:val="007323CD"/>
    <w:rsid w:val="007345F4"/>
    <w:rsid w:val="00734DBE"/>
    <w:rsid w:val="0073695D"/>
    <w:rsid w:val="00741D66"/>
    <w:rsid w:val="00742A00"/>
    <w:rsid w:val="00743FB1"/>
    <w:rsid w:val="0074548D"/>
    <w:rsid w:val="00746AAB"/>
    <w:rsid w:val="00752D32"/>
    <w:rsid w:val="00754365"/>
    <w:rsid w:val="00754AB1"/>
    <w:rsid w:val="0075601D"/>
    <w:rsid w:val="007602C1"/>
    <w:rsid w:val="00763C52"/>
    <w:rsid w:val="00763C7A"/>
    <w:rsid w:val="00766B31"/>
    <w:rsid w:val="007675CF"/>
    <w:rsid w:val="007761D2"/>
    <w:rsid w:val="00777940"/>
    <w:rsid w:val="00777C78"/>
    <w:rsid w:val="00781E18"/>
    <w:rsid w:val="0078351F"/>
    <w:rsid w:val="007844ED"/>
    <w:rsid w:val="00784717"/>
    <w:rsid w:val="007860E4"/>
    <w:rsid w:val="0078648B"/>
    <w:rsid w:val="007872C6"/>
    <w:rsid w:val="007874C5"/>
    <w:rsid w:val="007876B3"/>
    <w:rsid w:val="0079586C"/>
    <w:rsid w:val="007A68D6"/>
    <w:rsid w:val="007A6E77"/>
    <w:rsid w:val="007A78AB"/>
    <w:rsid w:val="007B0D6B"/>
    <w:rsid w:val="007B1A43"/>
    <w:rsid w:val="007B386A"/>
    <w:rsid w:val="007B6A54"/>
    <w:rsid w:val="007C05E6"/>
    <w:rsid w:val="007C2676"/>
    <w:rsid w:val="007C4C8A"/>
    <w:rsid w:val="007D0C6B"/>
    <w:rsid w:val="007D0E25"/>
    <w:rsid w:val="007D3B8A"/>
    <w:rsid w:val="007D44C7"/>
    <w:rsid w:val="007D4F07"/>
    <w:rsid w:val="007D6ADB"/>
    <w:rsid w:val="007E6028"/>
    <w:rsid w:val="007E7C5B"/>
    <w:rsid w:val="007E7D64"/>
    <w:rsid w:val="007E7F9A"/>
    <w:rsid w:val="007F06CB"/>
    <w:rsid w:val="007F44E8"/>
    <w:rsid w:val="007F48C5"/>
    <w:rsid w:val="008011F4"/>
    <w:rsid w:val="00803914"/>
    <w:rsid w:val="00804D10"/>
    <w:rsid w:val="00805CF2"/>
    <w:rsid w:val="008068F1"/>
    <w:rsid w:val="00806981"/>
    <w:rsid w:val="00806A5B"/>
    <w:rsid w:val="008071A4"/>
    <w:rsid w:val="00807FB7"/>
    <w:rsid w:val="008110C8"/>
    <w:rsid w:val="00814AD2"/>
    <w:rsid w:val="00817AFF"/>
    <w:rsid w:val="0082351F"/>
    <w:rsid w:val="0082480A"/>
    <w:rsid w:val="0082685E"/>
    <w:rsid w:val="0083049A"/>
    <w:rsid w:val="008310BE"/>
    <w:rsid w:val="0083597A"/>
    <w:rsid w:val="00836F4C"/>
    <w:rsid w:val="008404F1"/>
    <w:rsid w:val="008407E1"/>
    <w:rsid w:val="00840B8F"/>
    <w:rsid w:val="008430B1"/>
    <w:rsid w:val="008435DB"/>
    <w:rsid w:val="0084393F"/>
    <w:rsid w:val="00845C03"/>
    <w:rsid w:val="008463DB"/>
    <w:rsid w:val="008465A0"/>
    <w:rsid w:val="00846C71"/>
    <w:rsid w:val="00851892"/>
    <w:rsid w:val="00854CA0"/>
    <w:rsid w:val="0085550E"/>
    <w:rsid w:val="00857D2D"/>
    <w:rsid w:val="00857F19"/>
    <w:rsid w:val="0086460A"/>
    <w:rsid w:val="00865B3E"/>
    <w:rsid w:val="00866EAC"/>
    <w:rsid w:val="00867638"/>
    <w:rsid w:val="00871107"/>
    <w:rsid w:val="00874201"/>
    <w:rsid w:val="008779AF"/>
    <w:rsid w:val="008808AC"/>
    <w:rsid w:val="00880CF9"/>
    <w:rsid w:val="00882A1D"/>
    <w:rsid w:val="00883C05"/>
    <w:rsid w:val="00884EB1"/>
    <w:rsid w:val="00890ED7"/>
    <w:rsid w:val="00891887"/>
    <w:rsid w:val="008925C8"/>
    <w:rsid w:val="0089384C"/>
    <w:rsid w:val="008965A0"/>
    <w:rsid w:val="008A0AF8"/>
    <w:rsid w:val="008A0ED7"/>
    <w:rsid w:val="008A2AF3"/>
    <w:rsid w:val="008A2CF8"/>
    <w:rsid w:val="008A3225"/>
    <w:rsid w:val="008A4263"/>
    <w:rsid w:val="008B1B54"/>
    <w:rsid w:val="008B2007"/>
    <w:rsid w:val="008B7E0C"/>
    <w:rsid w:val="008C0266"/>
    <w:rsid w:val="008C197E"/>
    <w:rsid w:val="008C3020"/>
    <w:rsid w:val="008C3CE9"/>
    <w:rsid w:val="008C57E0"/>
    <w:rsid w:val="008C66EB"/>
    <w:rsid w:val="008C72D2"/>
    <w:rsid w:val="008C7739"/>
    <w:rsid w:val="008D240F"/>
    <w:rsid w:val="008D2EFE"/>
    <w:rsid w:val="008E1B63"/>
    <w:rsid w:val="008E379C"/>
    <w:rsid w:val="008F00DB"/>
    <w:rsid w:val="008F1646"/>
    <w:rsid w:val="008F1687"/>
    <w:rsid w:val="008F1F62"/>
    <w:rsid w:val="008F2D5C"/>
    <w:rsid w:val="008F560A"/>
    <w:rsid w:val="008F6E49"/>
    <w:rsid w:val="00902700"/>
    <w:rsid w:val="00903ACD"/>
    <w:rsid w:val="009041BC"/>
    <w:rsid w:val="00904DE1"/>
    <w:rsid w:val="00906E52"/>
    <w:rsid w:val="00910C82"/>
    <w:rsid w:val="00912359"/>
    <w:rsid w:val="009135B2"/>
    <w:rsid w:val="0092049B"/>
    <w:rsid w:val="00921F19"/>
    <w:rsid w:val="00923590"/>
    <w:rsid w:val="00923683"/>
    <w:rsid w:val="00924675"/>
    <w:rsid w:val="009261B0"/>
    <w:rsid w:val="009266BA"/>
    <w:rsid w:val="00931EAF"/>
    <w:rsid w:val="00931FBE"/>
    <w:rsid w:val="00932560"/>
    <w:rsid w:val="00932B44"/>
    <w:rsid w:val="009335A1"/>
    <w:rsid w:val="009345F1"/>
    <w:rsid w:val="00936D65"/>
    <w:rsid w:val="00937488"/>
    <w:rsid w:val="00941EF9"/>
    <w:rsid w:val="00943AD9"/>
    <w:rsid w:val="009501B2"/>
    <w:rsid w:val="0095022F"/>
    <w:rsid w:val="009506C8"/>
    <w:rsid w:val="0095101E"/>
    <w:rsid w:val="00951746"/>
    <w:rsid w:val="00953843"/>
    <w:rsid w:val="00954557"/>
    <w:rsid w:val="00954B03"/>
    <w:rsid w:val="00954FF0"/>
    <w:rsid w:val="0095516B"/>
    <w:rsid w:val="00963618"/>
    <w:rsid w:val="00963DFF"/>
    <w:rsid w:val="009655C3"/>
    <w:rsid w:val="009672A6"/>
    <w:rsid w:val="009672B9"/>
    <w:rsid w:val="00967FFC"/>
    <w:rsid w:val="0097323F"/>
    <w:rsid w:val="009767FE"/>
    <w:rsid w:val="009838C4"/>
    <w:rsid w:val="0098621B"/>
    <w:rsid w:val="00987239"/>
    <w:rsid w:val="0099463D"/>
    <w:rsid w:val="009A16A8"/>
    <w:rsid w:val="009A6A28"/>
    <w:rsid w:val="009B1F3A"/>
    <w:rsid w:val="009B4B3E"/>
    <w:rsid w:val="009B5CE4"/>
    <w:rsid w:val="009C01EF"/>
    <w:rsid w:val="009C04B8"/>
    <w:rsid w:val="009C15A9"/>
    <w:rsid w:val="009C3790"/>
    <w:rsid w:val="009C3880"/>
    <w:rsid w:val="009C4E98"/>
    <w:rsid w:val="009C6A04"/>
    <w:rsid w:val="009D0B63"/>
    <w:rsid w:val="009D3E8E"/>
    <w:rsid w:val="009D508F"/>
    <w:rsid w:val="009D5B43"/>
    <w:rsid w:val="009E40E0"/>
    <w:rsid w:val="009E7CF2"/>
    <w:rsid w:val="009F0A0D"/>
    <w:rsid w:val="009F10C5"/>
    <w:rsid w:val="009F2C3E"/>
    <w:rsid w:val="009F3952"/>
    <w:rsid w:val="009F5605"/>
    <w:rsid w:val="009F747E"/>
    <w:rsid w:val="009F78BA"/>
    <w:rsid w:val="009F7D3D"/>
    <w:rsid w:val="00A01449"/>
    <w:rsid w:val="00A053C5"/>
    <w:rsid w:val="00A06497"/>
    <w:rsid w:val="00A13D5F"/>
    <w:rsid w:val="00A16D0B"/>
    <w:rsid w:val="00A17AD6"/>
    <w:rsid w:val="00A17BD2"/>
    <w:rsid w:val="00A22721"/>
    <w:rsid w:val="00A25BA6"/>
    <w:rsid w:val="00A27463"/>
    <w:rsid w:val="00A27A13"/>
    <w:rsid w:val="00A302D0"/>
    <w:rsid w:val="00A3070B"/>
    <w:rsid w:val="00A316C4"/>
    <w:rsid w:val="00A35D3A"/>
    <w:rsid w:val="00A35D5F"/>
    <w:rsid w:val="00A36183"/>
    <w:rsid w:val="00A40DB4"/>
    <w:rsid w:val="00A42BFC"/>
    <w:rsid w:val="00A44875"/>
    <w:rsid w:val="00A5147F"/>
    <w:rsid w:val="00A5366E"/>
    <w:rsid w:val="00A53770"/>
    <w:rsid w:val="00A57218"/>
    <w:rsid w:val="00A613F0"/>
    <w:rsid w:val="00A61CF6"/>
    <w:rsid w:val="00A623A9"/>
    <w:rsid w:val="00A650D7"/>
    <w:rsid w:val="00A6671F"/>
    <w:rsid w:val="00A713E3"/>
    <w:rsid w:val="00A72CA5"/>
    <w:rsid w:val="00A751B9"/>
    <w:rsid w:val="00A75CA4"/>
    <w:rsid w:val="00A77D20"/>
    <w:rsid w:val="00A8071F"/>
    <w:rsid w:val="00A828C8"/>
    <w:rsid w:val="00A83284"/>
    <w:rsid w:val="00A84701"/>
    <w:rsid w:val="00A84F7F"/>
    <w:rsid w:val="00A90854"/>
    <w:rsid w:val="00A9103B"/>
    <w:rsid w:val="00A913BB"/>
    <w:rsid w:val="00A93AE7"/>
    <w:rsid w:val="00A94BF5"/>
    <w:rsid w:val="00A95675"/>
    <w:rsid w:val="00A96091"/>
    <w:rsid w:val="00A9623F"/>
    <w:rsid w:val="00A96583"/>
    <w:rsid w:val="00A969D5"/>
    <w:rsid w:val="00AA0754"/>
    <w:rsid w:val="00AA1B71"/>
    <w:rsid w:val="00AA2E8F"/>
    <w:rsid w:val="00AA36FC"/>
    <w:rsid w:val="00AA3924"/>
    <w:rsid w:val="00AA3EE8"/>
    <w:rsid w:val="00AA420D"/>
    <w:rsid w:val="00AA4C05"/>
    <w:rsid w:val="00AA780F"/>
    <w:rsid w:val="00AB034C"/>
    <w:rsid w:val="00AB5D36"/>
    <w:rsid w:val="00AC296D"/>
    <w:rsid w:val="00AC3330"/>
    <w:rsid w:val="00AC415D"/>
    <w:rsid w:val="00AD09BF"/>
    <w:rsid w:val="00AD3321"/>
    <w:rsid w:val="00AD4019"/>
    <w:rsid w:val="00AD62A2"/>
    <w:rsid w:val="00AE04BC"/>
    <w:rsid w:val="00AE13FB"/>
    <w:rsid w:val="00AE2FDD"/>
    <w:rsid w:val="00AE3712"/>
    <w:rsid w:val="00AE4021"/>
    <w:rsid w:val="00AE5A11"/>
    <w:rsid w:val="00AE6B60"/>
    <w:rsid w:val="00AE7126"/>
    <w:rsid w:val="00AE7E8A"/>
    <w:rsid w:val="00AE7F12"/>
    <w:rsid w:val="00AF043C"/>
    <w:rsid w:val="00AF07BE"/>
    <w:rsid w:val="00AF6F89"/>
    <w:rsid w:val="00B0429A"/>
    <w:rsid w:val="00B1314E"/>
    <w:rsid w:val="00B13C1D"/>
    <w:rsid w:val="00B14FED"/>
    <w:rsid w:val="00B21E7F"/>
    <w:rsid w:val="00B23123"/>
    <w:rsid w:val="00B23CB2"/>
    <w:rsid w:val="00B23CE9"/>
    <w:rsid w:val="00B25842"/>
    <w:rsid w:val="00B2589D"/>
    <w:rsid w:val="00B25B0C"/>
    <w:rsid w:val="00B26D93"/>
    <w:rsid w:val="00B332BA"/>
    <w:rsid w:val="00B35E72"/>
    <w:rsid w:val="00B418FB"/>
    <w:rsid w:val="00B4246B"/>
    <w:rsid w:val="00B42AA4"/>
    <w:rsid w:val="00B43A02"/>
    <w:rsid w:val="00B4435F"/>
    <w:rsid w:val="00B52204"/>
    <w:rsid w:val="00B52505"/>
    <w:rsid w:val="00B57535"/>
    <w:rsid w:val="00B600C2"/>
    <w:rsid w:val="00B60AE7"/>
    <w:rsid w:val="00B60B6A"/>
    <w:rsid w:val="00B6140A"/>
    <w:rsid w:val="00B64F65"/>
    <w:rsid w:val="00B677D7"/>
    <w:rsid w:val="00B71E12"/>
    <w:rsid w:val="00B72C36"/>
    <w:rsid w:val="00B746D3"/>
    <w:rsid w:val="00B74F8B"/>
    <w:rsid w:val="00B77616"/>
    <w:rsid w:val="00B81864"/>
    <w:rsid w:val="00B81BB8"/>
    <w:rsid w:val="00B82DF9"/>
    <w:rsid w:val="00B831A5"/>
    <w:rsid w:val="00B85EF2"/>
    <w:rsid w:val="00B86962"/>
    <w:rsid w:val="00B87A04"/>
    <w:rsid w:val="00B95BB2"/>
    <w:rsid w:val="00B9602D"/>
    <w:rsid w:val="00B962C4"/>
    <w:rsid w:val="00B9658C"/>
    <w:rsid w:val="00BA01A1"/>
    <w:rsid w:val="00BA059A"/>
    <w:rsid w:val="00BA7390"/>
    <w:rsid w:val="00BA73F9"/>
    <w:rsid w:val="00BA7834"/>
    <w:rsid w:val="00BB0CCF"/>
    <w:rsid w:val="00BB1200"/>
    <w:rsid w:val="00BB322E"/>
    <w:rsid w:val="00BB4B6D"/>
    <w:rsid w:val="00BB4C7B"/>
    <w:rsid w:val="00BB53BA"/>
    <w:rsid w:val="00BB67D7"/>
    <w:rsid w:val="00BB67DC"/>
    <w:rsid w:val="00BC0B72"/>
    <w:rsid w:val="00BC0D23"/>
    <w:rsid w:val="00BC0E4C"/>
    <w:rsid w:val="00BC0E81"/>
    <w:rsid w:val="00BC1E1F"/>
    <w:rsid w:val="00BC33DB"/>
    <w:rsid w:val="00BC7B6E"/>
    <w:rsid w:val="00BD03E4"/>
    <w:rsid w:val="00BD0583"/>
    <w:rsid w:val="00BD3787"/>
    <w:rsid w:val="00BD3B88"/>
    <w:rsid w:val="00BD55FE"/>
    <w:rsid w:val="00BD6195"/>
    <w:rsid w:val="00BE249D"/>
    <w:rsid w:val="00BE40DE"/>
    <w:rsid w:val="00BE5870"/>
    <w:rsid w:val="00BE63FB"/>
    <w:rsid w:val="00BE699D"/>
    <w:rsid w:val="00BF1BE8"/>
    <w:rsid w:val="00BF2F53"/>
    <w:rsid w:val="00BF4CBF"/>
    <w:rsid w:val="00BF53CE"/>
    <w:rsid w:val="00BF6C59"/>
    <w:rsid w:val="00C0358A"/>
    <w:rsid w:val="00C03CC7"/>
    <w:rsid w:val="00C03CF8"/>
    <w:rsid w:val="00C04923"/>
    <w:rsid w:val="00C1218F"/>
    <w:rsid w:val="00C13419"/>
    <w:rsid w:val="00C14DE1"/>
    <w:rsid w:val="00C15AE3"/>
    <w:rsid w:val="00C15C4B"/>
    <w:rsid w:val="00C16DEC"/>
    <w:rsid w:val="00C17602"/>
    <w:rsid w:val="00C21533"/>
    <w:rsid w:val="00C30308"/>
    <w:rsid w:val="00C338A7"/>
    <w:rsid w:val="00C355EE"/>
    <w:rsid w:val="00C37E4D"/>
    <w:rsid w:val="00C475D5"/>
    <w:rsid w:val="00C510E0"/>
    <w:rsid w:val="00C5210A"/>
    <w:rsid w:val="00C54F2D"/>
    <w:rsid w:val="00C56317"/>
    <w:rsid w:val="00C567A2"/>
    <w:rsid w:val="00C57BE4"/>
    <w:rsid w:val="00C64D5B"/>
    <w:rsid w:val="00C65436"/>
    <w:rsid w:val="00C75CB2"/>
    <w:rsid w:val="00C80233"/>
    <w:rsid w:val="00C82B97"/>
    <w:rsid w:val="00C9078F"/>
    <w:rsid w:val="00C923F4"/>
    <w:rsid w:val="00CA3EBA"/>
    <w:rsid w:val="00CA758F"/>
    <w:rsid w:val="00CB176B"/>
    <w:rsid w:val="00CB41BE"/>
    <w:rsid w:val="00CB4324"/>
    <w:rsid w:val="00CC0B55"/>
    <w:rsid w:val="00CC297C"/>
    <w:rsid w:val="00CC49FF"/>
    <w:rsid w:val="00CC4FD9"/>
    <w:rsid w:val="00CD0D94"/>
    <w:rsid w:val="00CD7485"/>
    <w:rsid w:val="00CD7D52"/>
    <w:rsid w:val="00CE0445"/>
    <w:rsid w:val="00CE0B7A"/>
    <w:rsid w:val="00CE14C5"/>
    <w:rsid w:val="00CE5262"/>
    <w:rsid w:val="00CE78EE"/>
    <w:rsid w:val="00CF7BA9"/>
    <w:rsid w:val="00D01055"/>
    <w:rsid w:val="00D023A4"/>
    <w:rsid w:val="00D02A58"/>
    <w:rsid w:val="00D05135"/>
    <w:rsid w:val="00D05B54"/>
    <w:rsid w:val="00D05CBC"/>
    <w:rsid w:val="00D061A0"/>
    <w:rsid w:val="00D0715B"/>
    <w:rsid w:val="00D10971"/>
    <w:rsid w:val="00D12EDC"/>
    <w:rsid w:val="00D14384"/>
    <w:rsid w:val="00D17A32"/>
    <w:rsid w:val="00D20E44"/>
    <w:rsid w:val="00D260E2"/>
    <w:rsid w:val="00D32D88"/>
    <w:rsid w:val="00D35718"/>
    <w:rsid w:val="00D3676A"/>
    <w:rsid w:val="00D41A96"/>
    <w:rsid w:val="00D42A1B"/>
    <w:rsid w:val="00D4535B"/>
    <w:rsid w:val="00D45C3B"/>
    <w:rsid w:val="00D50CC4"/>
    <w:rsid w:val="00D51701"/>
    <w:rsid w:val="00D517DC"/>
    <w:rsid w:val="00D517ED"/>
    <w:rsid w:val="00D5271A"/>
    <w:rsid w:val="00D53E8A"/>
    <w:rsid w:val="00D5431A"/>
    <w:rsid w:val="00D54D49"/>
    <w:rsid w:val="00D557CA"/>
    <w:rsid w:val="00D6240F"/>
    <w:rsid w:val="00D70CF0"/>
    <w:rsid w:val="00D70F62"/>
    <w:rsid w:val="00D72118"/>
    <w:rsid w:val="00D74593"/>
    <w:rsid w:val="00D77894"/>
    <w:rsid w:val="00D8077A"/>
    <w:rsid w:val="00D82355"/>
    <w:rsid w:val="00D83AB9"/>
    <w:rsid w:val="00D84C81"/>
    <w:rsid w:val="00D851E5"/>
    <w:rsid w:val="00D87A2F"/>
    <w:rsid w:val="00D92B19"/>
    <w:rsid w:val="00D93569"/>
    <w:rsid w:val="00D9624D"/>
    <w:rsid w:val="00D97EDB"/>
    <w:rsid w:val="00DA5295"/>
    <w:rsid w:val="00DA7DFE"/>
    <w:rsid w:val="00DB3657"/>
    <w:rsid w:val="00DB6CF7"/>
    <w:rsid w:val="00DC4D17"/>
    <w:rsid w:val="00DC4EB5"/>
    <w:rsid w:val="00DC5A6A"/>
    <w:rsid w:val="00DD0B58"/>
    <w:rsid w:val="00DD1764"/>
    <w:rsid w:val="00DD303F"/>
    <w:rsid w:val="00DD3CFD"/>
    <w:rsid w:val="00DD3FFA"/>
    <w:rsid w:val="00DD550E"/>
    <w:rsid w:val="00DE125E"/>
    <w:rsid w:val="00DE313E"/>
    <w:rsid w:val="00DE4F0C"/>
    <w:rsid w:val="00DE511D"/>
    <w:rsid w:val="00DF4B59"/>
    <w:rsid w:val="00E00F80"/>
    <w:rsid w:val="00E01380"/>
    <w:rsid w:val="00E02307"/>
    <w:rsid w:val="00E03755"/>
    <w:rsid w:val="00E0555D"/>
    <w:rsid w:val="00E11CEB"/>
    <w:rsid w:val="00E137CC"/>
    <w:rsid w:val="00E13A87"/>
    <w:rsid w:val="00E13D1F"/>
    <w:rsid w:val="00E141E8"/>
    <w:rsid w:val="00E21467"/>
    <w:rsid w:val="00E23CEA"/>
    <w:rsid w:val="00E23E4D"/>
    <w:rsid w:val="00E25614"/>
    <w:rsid w:val="00E30176"/>
    <w:rsid w:val="00E317E6"/>
    <w:rsid w:val="00E31C4B"/>
    <w:rsid w:val="00E33FAC"/>
    <w:rsid w:val="00E35BC2"/>
    <w:rsid w:val="00E41609"/>
    <w:rsid w:val="00E41A95"/>
    <w:rsid w:val="00E42050"/>
    <w:rsid w:val="00E422BB"/>
    <w:rsid w:val="00E424DE"/>
    <w:rsid w:val="00E43E45"/>
    <w:rsid w:val="00E44A76"/>
    <w:rsid w:val="00E464DD"/>
    <w:rsid w:val="00E46A49"/>
    <w:rsid w:val="00E510DD"/>
    <w:rsid w:val="00E52E99"/>
    <w:rsid w:val="00E60092"/>
    <w:rsid w:val="00E601F0"/>
    <w:rsid w:val="00E60C9E"/>
    <w:rsid w:val="00E628F3"/>
    <w:rsid w:val="00E63648"/>
    <w:rsid w:val="00E638E3"/>
    <w:rsid w:val="00E66F62"/>
    <w:rsid w:val="00E709A1"/>
    <w:rsid w:val="00E74A8A"/>
    <w:rsid w:val="00E74AC1"/>
    <w:rsid w:val="00E75EE1"/>
    <w:rsid w:val="00E76EDA"/>
    <w:rsid w:val="00E77DE5"/>
    <w:rsid w:val="00E82926"/>
    <w:rsid w:val="00E853F9"/>
    <w:rsid w:val="00E91EE4"/>
    <w:rsid w:val="00E93A9D"/>
    <w:rsid w:val="00E94200"/>
    <w:rsid w:val="00E96EF1"/>
    <w:rsid w:val="00E974E9"/>
    <w:rsid w:val="00EA2587"/>
    <w:rsid w:val="00EA2814"/>
    <w:rsid w:val="00EA57F2"/>
    <w:rsid w:val="00EA65E1"/>
    <w:rsid w:val="00EA6FA4"/>
    <w:rsid w:val="00EA7434"/>
    <w:rsid w:val="00EB0B5C"/>
    <w:rsid w:val="00EB1DBE"/>
    <w:rsid w:val="00EB36BB"/>
    <w:rsid w:val="00EB5798"/>
    <w:rsid w:val="00EB712F"/>
    <w:rsid w:val="00EB7B84"/>
    <w:rsid w:val="00EB7CE2"/>
    <w:rsid w:val="00EC1151"/>
    <w:rsid w:val="00EC3104"/>
    <w:rsid w:val="00EC5BF4"/>
    <w:rsid w:val="00EC6C75"/>
    <w:rsid w:val="00EC7976"/>
    <w:rsid w:val="00ED03B0"/>
    <w:rsid w:val="00ED436E"/>
    <w:rsid w:val="00EE3A39"/>
    <w:rsid w:val="00EE4986"/>
    <w:rsid w:val="00EE5E1B"/>
    <w:rsid w:val="00EE6A49"/>
    <w:rsid w:val="00EE715D"/>
    <w:rsid w:val="00EE7D4E"/>
    <w:rsid w:val="00EF1172"/>
    <w:rsid w:val="00EF4338"/>
    <w:rsid w:val="00EF7889"/>
    <w:rsid w:val="00F0077B"/>
    <w:rsid w:val="00F00DFB"/>
    <w:rsid w:val="00F0145E"/>
    <w:rsid w:val="00F023C9"/>
    <w:rsid w:val="00F02763"/>
    <w:rsid w:val="00F07627"/>
    <w:rsid w:val="00F07A17"/>
    <w:rsid w:val="00F07DA4"/>
    <w:rsid w:val="00F10F11"/>
    <w:rsid w:val="00F120D6"/>
    <w:rsid w:val="00F13704"/>
    <w:rsid w:val="00F17D7A"/>
    <w:rsid w:val="00F223C9"/>
    <w:rsid w:val="00F23811"/>
    <w:rsid w:val="00F3253C"/>
    <w:rsid w:val="00F33C4B"/>
    <w:rsid w:val="00F33D35"/>
    <w:rsid w:val="00F35921"/>
    <w:rsid w:val="00F376B1"/>
    <w:rsid w:val="00F37CC4"/>
    <w:rsid w:val="00F40AB8"/>
    <w:rsid w:val="00F44432"/>
    <w:rsid w:val="00F44F4C"/>
    <w:rsid w:val="00F45131"/>
    <w:rsid w:val="00F4715C"/>
    <w:rsid w:val="00F50D34"/>
    <w:rsid w:val="00F52062"/>
    <w:rsid w:val="00F55AF8"/>
    <w:rsid w:val="00F55DE0"/>
    <w:rsid w:val="00F56649"/>
    <w:rsid w:val="00F62537"/>
    <w:rsid w:val="00F6358B"/>
    <w:rsid w:val="00F64BF1"/>
    <w:rsid w:val="00F70E87"/>
    <w:rsid w:val="00F72868"/>
    <w:rsid w:val="00F732D4"/>
    <w:rsid w:val="00F742FB"/>
    <w:rsid w:val="00F74462"/>
    <w:rsid w:val="00F7601F"/>
    <w:rsid w:val="00F81B61"/>
    <w:rsid w:val="00F826FE"/>
    <w:rsid w:val="00F83309"/>
    <w:rsid w:val="00F83A19"/>
    <w:rsid w:val="00F83A9B"/>
    <w:rsid w:val="00F85427"/>
    <w:rsid w:val="00F86D5E"/>
    <w:rsid w:val="00F90432"/>
    <w:rsid w:val="00F9209D"/>
    <w:rsid w:val="00F93750"/>
    <w:rsid w:val="00F97E7A"/>
    <w:rsid w:val="00FA2155"/>
    <w:rsid w:val="00FA2708"/>
    <w:rsid w:val="00FA4385"/>
    <w:rsid w:val="00FB3A73"/>
    <w:rsid w:val="00FB3A74"/>
    <w:rsid w:val="00FB6863"/>
    <w:rsid w:val="00FB6C06"/>
    <w:rsid w:val="00FB7C09"/>
    <w:rsid w:val="00FB7F71"/>
    <w:rsid w:val="00FC1D63"/>
    <w:rsid w:val="00FC2051"/>
    <w:rsid w:val="00FC3DAE"/>
    <w:rsid w:val="00FD489B"/>
    <w:rsid w:val="00FD5E99"/>
    <w:rsid w:val="00FD6D67"/>
    <w:rsid w:val="00FD6E97"/>
    <w:rsid w:val="00FD7F18"/>
    <w:rsid w:val="00FE0796"/>
    <w:rsid w:val="00FE3CBA"/>
    <w:rsid w:val="00FE4FF6"/>
    <w:rsid w:val="00FF35CA"/>
    <w:rsid w:val="00FF53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A36F002"/>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uiPriority="67"/>
    <w:lsdException w:name="No Spacing" w:uiPriority="68"/>
    <w:lsdException w:name="Light Shading" w:uiPriority="69"/>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outlineLvl w:val="3"/>
    </w:pPr>
    <w:rPr>
      <w:b/>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 Car"/>
    <w:basedOn w:val="Normal"/>
    <w:link w:val="BodyTextChar"/>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uiPriority w:val="99"/>
    <w:rsid w:val="003855CB"/>
    <w:pPr>
      <w:spacing w:before="120" w:after="120"/>
    </w:pPr>
    <w:rPr>
      <w:snapToGrid w:val="0"/>
      <w:szCs w:val="18"/>
    </w:rPr>
  </w:style>
  <w:style w:type="paragraph" w:customStyle="1" w:styleId="Para20">
    <w:name w:val="Para2"/>
    <w:basedOn w:val="Para1"/>
    <w:pPr>
      <w:tabs>
        <w:tab w:val="num" w:pos="720"/>
      </w:tabs>
      <w:autoSpaceDE w:val="0"/>
      <w:autoSpaceDN w:val="0"/>
      <w:ind w:firstLine="720"/>
    </w:pPr>
  </w:style>
  <w:style w:type="paragraph" w:customStyle="1" w:styleId="Para3">
    <w:name w:val="Para3"/>
    <w:basedOn w:val="Normal"/>
    <w:p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uiPriority w:val="99"/>
    <w:qFormat/>
    <w:pPr>
      <w:keepLines/>
      <w:spacing w:after="60"/>
      <w:ind w:firstLine="720"/>
    </w:pPr>
    <w:rPr>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4"/>
      </w:numPr>
      <w:tabs>
        <w:tab w:val="clear" w:pos="360"/>
      </w:tabs>
      <w:spacing w:before="120" w:after="120"/>
    </w:pPr>
    <w:rPr>
      <w:szCs w:val="20"/>
    </w:rPr>
  </w:style>
  <w:style w:type="paragraph" w:customStyle="1" w:styleId="Paranum">
    <w:name w:val="Paranum"/>
    <w:basedOn w:val="Para1"/>
    <w:pPr>
      <w:numPr>
        <w:numId w:val="3"/>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customStyle="1" w:styleId="para40">
    <w:name w:val="para4"/>
    <w:basedOn w:val="Normal"/>
    <w:pPr>
      <w:numPr>
        <w:ilvl w:val="3"/>
        <w:numId w:val="7"/>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3multiline">
    <w:name w:val="Heading 3 (multiline)"/>
    <w:basedOn w:val="Heading3"/>
    <w:next w:val="Para1"/>
    <w:pPr>
      <w:tabs>
        <w:tab w:val="clear" w:pos="567"/>
        <w:tab w:val="left" w:pos="426"/>
      </w:tabs>
      <w:ind w:left="1418" w:right="855" w:hanging="709"/>
      <w:jc w:val="left"/>
    </w:pPr>
  </w:style>
  <w:style w:type="paragraph" w:customStyle="1" w:styleId="Heading2longmultiline">
    <w:name w:val="Heading 2 (long multiline)"/>
    <w:basedOn w:val="Heading2multiline"/>
    <w:pPr>
      <w:keepLines/>
      <w:ind w:left="2127" w:right="1281"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Heading1"/>
    <w:next w:val="Heading2"/>
  </w:style>
  <w:style w:type="paragraph" w:customStyle="1" w:styleId="Heading-replies">
    <w:name w:val="Heading -replies"/>
    <w:basedOn w:val="Heading1"/>
    <w:pPr>
      <w:spacing w:before="0" w:after="0"/>
      <w:jc w:val="right"/>
    </w:pPr>
    <w:rPr>
      <w:b w:val="0"/>
      <w:bCs/>
    </w:rPr>
  </w:style>
  <w:style w:type="paragraph" w:customStyle="1" w:styleId="Paragraph">
    <w:name w:val="Paragraph"/>
    <w:basedOn w:val="Normal"/>
    <w:pPr>
      <w:spacing w:before="120" w:after="120"/>
    </w:pPr>
  </w:style>
  <w:style w:type="paragraph" w:styleId="CommentText">
    <w:name w:val="annotation text"/>
    <w:basedOn w:val="Normal"/>
    <w:link w:val="CommentTextChar"/>
    <w:uiPriority w:val="99"/>
    <w:semiHidden/>
    <w:pPr>
      <w:spacing w:after="120" w:line="240" w:lineRule="exact"/>
      <w:jc w:val="left"/>
    </w:pPr>
    <w:rPr>
      <w:rFonts w:ascii="Courier" w:hAnsi="Courier"/>
      <w:sz w:val="20"/>
      <w:szCs w:val="20"/>
    </w:rPr>
  </w:style>
  <w:style w:type="paragraph" w:customStyle="1" w:styleId="Heading1centred">
    <w:name w:val="Heading 1 (centred)"/>
    <w:basedOn w:val="Normal"/>
    <w:next w:val="Para1"/>
    <w:pPr>
      <w:keepNext/>
      <w:tabs>
        <w:tab w:val="left" w:pos="709"/>
      </w:tabs>
      <w:overflowPunct w:val="0"/>
      <w:autoSpaceDE w:val="0"/>
      <w:autoSpaceDN w:val="0"/>
      <w:adjustRightInd w:val="0"/>
      <w:spacing w:before="240" w:after="120"/>
      <w:jc w:val="center"/>
      <w:textAlignment w:val="baseline"/>
    </w:pPr>
    <w:rPr>
      <w:b/>
      <w:caps/>
      <w:szCs w:val="20"/>
    </w:rPr>
  </w:style>
  <w:style w:type="paragraph" w:styleId="NormalWeb">
    <w:name w:val="Normal (Web)"/>
    <w:basedOn w:val="Normal"/>
    <w:uiPriority w:val="99"/>
    <w:pPr>
      <w:spacing w:before="100" w:after="100"/>
      <w:jc w:val="left"/>
    </w:pPr>
    <w:rPr>
      <w:rFonts w:ascii="Verdana" w:eastAsia="Arial Unicode MS" w:hAnsi="Verdana"/>
      <w:color w:val="000000"/>
      <w:sz w:val="18"/>
      <w:lang w:val="en-US"/>
    </w:rPr>
  </w:style>
  <w:style w:type="paragraph" w:styleId="BodyTextIndent2">
    <w:name w:val="Body Text Indent 2"/>
    <w:basedOn w:val="Normal"/>
    <w:pPr>
      <w:ind w:left="709" w:hanging="709"/>
      <w:jc w:val="left"/>
    </w:pPr>
    <w:rPr>
      <w:szCs w:val="20"/>
      <w:lang w:val="en-US"/>
    </w:rPr>
  </w:style>
  <w:style w:type="paragraph" w:styleId="BodyTextIndent3">
    <w:name w:val="Body Text Indent 3"/>
    <w:basedOn w:val="Normal"/>
    <w:pPr>
      <w:tabs>
        <w:tab w:val="left" w:pos="1276"/>
      </w:tabs>
      <w:ind w:left="1276" w:hanging="567"/>
      <w:jc w:val="left"/>
    </w:pPr>
    <w:rPr>
      <w:szCs w:val="20"/>
      <w:lang w:val="en-US"/>
    </w:rPr>
  </w:style>
  <w:style w:type="paragraph" w:styleId="BodyText2">
    <w:name w:val="Body Text 2"/>
    <w:basedOn w:val="Normal"/>
    <w:rPr>
      <w:color w:val="000000"/>
      <w:sz w:val="24"/>
      <w:szCs w:val="20"/>
    </w:rPr>
  </w:style>
  <w:style w:type="paragraph" w:styleId="BodyText3">
    <w:name w:val="Body Text 3"/>
    <w:basedOn w:val="Normal"/>
    <w:pPr>
      <w:jc w:val="left"/>
    </w:pPr>
  </w:style>
  <w:style w:type="paragraph" w:customStyle="1" w:styleId="Activity">
    <w:name w:val="Activity"/>
    <w:basedOn w:val="Para1"/>
    <w:pPr>
      <w:keepNext/>
      <w:numPr>
        <w:ilvl w:val="1"/>
        <w:numId w:val="1"/>
      </w:numPr>
      <w:tabs>
        <w:tab w:val="clear" w:pos="1440"/>
        <w:tab w:val="left" w:pos="720"/>
      </w:tabs>
      <w:autoSpaceDE w:val="0"/>
      <w:autoSpaceDN w:val="0"/>
    </w:pPr>
    <w:rPr>
      <w:b/>
      <w:bCs/>
      <w:snapToGrid/>
    </w:rPr>
  </w:style>
  <w:style w:type="paragraph" w:styleId="DocumentMap">
    <w:name w:val="Document Map"/>
    <w:basedOn w:val="Normal"/>
    <w:semiHidden/>
    <w:pPr>
      <w:shd w:val="clear" w:color="auto" w:fill="000080"/>
    </w:pPr>
    <w:rPr>
      <w:rFonts w:ascii="Tahoma" w:hAnsi="Tahoma" w:cs="Tahoma"/>
    </w:rPr>
  </w:style>
  <w:style w:type="character" w:styleId="Strong">
    <w:name w:val="Strong"/>
    <w:uiPriority w:val="22"/>
    <w:qFormat/>
    <w:rPr>
      <w:b/>
      <w:bCs/>
    </w:r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lang w:eastAsia="de-DE"/>
    </w:rPr>
  </w:style>
  <w:style w:type="paragraph" w:customStyle="1" w:styleId="Para4">
    <w:name w:val="Para4"/>
    <w:basedOn w:val="Para3"/>
    <w:pPr>
      <w:numPr>
        <w:ilvl w:val="7"/>
        <w:numId w:val="2"/>
      </w:numPr>
      <w:tabs>
        <w:tab w:val="clear" w:pos="1980"/>
        <w:tab w:val="left" w:pos="2552"/>
      </w:tabs>
      <w:ind w:left="2552" w:hanging="567"/>
    </w:pPr>
    <w:rPr>
      <w:lang w:val="en-US"/>
    </w:rPr>
  </w:style>
  <w:style w:type="paragraph" w:customStyle="1" w:styleId="FBD-goal">
    <w:name w:val="FBD-goal"/>
    <w:basedOn w:val="Normal"/>
    <w:pPr>
      <w:keepNext/>
      <w:spacing w:before="120" w:after="120"/>
    </w:pPr>
    <w:rPr>
      <w:b/>
      <w:i/>
      <w:szCs w:val="20"/>
    </w:rPr>
  </w:style>
  <w:style w:type="character" w:styleId="Hyperlink">
    <w:name w:val="Hyperlink"/>
    <w:rPr>
      <w:color w:val="0000FF"/>
      <w:u w:val="single"/>
    </w:rPr>
  </w:style>
  <w:style w:type="paragraph" w:customStyle="1" w:styleId="Para2rev">
    <w:name w:val="Para 2 (rev)"/>
    <w:basedOn w:val="Normal"/>
    <w:pPr>
      <w:numPr>
        <w:numId w:val="6"/>
      </w:numPr>
      <w:spacing w:after="120"/>
    </w:pPr>
  </w:style>
  <w:style w:type="character" w:styleId="CommentReference">
    <w:name w:val="annotation reference"/>
    <w:uiPriority w:val="99"/>
    <w:semiHidden/>
    <w:rPr>
      <w:sz w:val="16"/>
      <w:szCs w:val="16"/>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line="240" w:lineRule="auto"/>
      <w:jc w:val="both"/>
    </w:pPr>
    <w:rPr>
      <w:rFonts w:ascii="Times New Roman" w:hAnsi="Times New Roman"/>
      <w:b/>
      <w:bCs/>
    </w:rPr>
  </w:style>
  <w:style w:type="paragraph" w:customStyle="1" w:styleId="1Para">
    <w:name w:val="1.Para"/>
    <w:basedOn w:val="Normal"/>
    <w:pPr>
      <w:numPr>
        <w:numId w:val="8"/>
      </w:numPr>
      <w:tabs>
        <w:tab w:val="left" w:pos="567"/>
      </w:tabs>
      <w:spacing w:before="120" w:after="120"/>
    </w:pPr>
    <w:rPr>
      <w:rFonts w:cs="Angsana New"/>
      <w:szCs w:val="22"/>
    </w:rPr>
  </w:style>
  <w:style w:type="paragraph" w:customStyle="1" w:styleId="para10">
    <w:name w:val="para 1"/>
    <w:basedOn w:val="Para1"/>
    <w:qFormat/>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szCs w:val="24"/>
      <w:lang w:val="en-GB" w:eastAsia="en-US"/>
    </w:rPr>
  </w:style>
  <w:style w:type="character" w:customStyle="1" w:styleId="Para1Char">
    <w:name w:val="Para1 Char"/>
    <w:uiPriority w:val="99"/>
    <w:rPr>
      <w:snapToGrid w:val="0"/>
      <w:sz w:val="22"/>
      <w:szCs w:val="18"/>
      <w:lang w:val="en-GB" w:eastAsia="en-US"/>
    </w:rPr>
  </w:style>
  <w:style w:type="character" w:customStyle="1" w:styleId="para1Char0">
    <w:name w:val="para 1 Char"/>
    <w:rPr>
      <w:snapToGrid w:val="0"/>
      <w:sz w:val="22"/>
      <w:szCs w:val="18"/>
      <w:lang w:val="en-GB" w:eastAsia="en-US"/>
    </w:rPr>
  </w:style>
  <w:style w:type="character" w:customStyle="1" w:styleId="HeaderChar">
    <w:name w:val="Header Char"/>
    <w:rPr>
      <w:sz w:val="22"/>
      <w:lang w:val="en-GB" w:eastAsia="en-US"/>
    </w:rPr>
  </w:style>
  <w:style w:type="character" w:customStyle="1" w:styleId="BodyTextChar">
    <w:name w:val="Body Text Char"/>
    <w:aliases w:val=" Car Char"/>
    <w:link w:val="BodyText"/>
    <w:rsid w:val="00DD3CFD"/>
    <w:rPr>
      <w:iCs/>
      <w:sz w:val="22"/>
      <w:szCs w:val="24"/>
      <w:lang w:val="en-GB" w:eastAsia="en-US" w:bidi="ar-SA"/>
    </w:rPr>
  </w:style>
  <w:style w:type="paragraph" w:customStyle="1" w:styleId="Default">
    <w:name w:val="Default"/>
    <w:rsid w:val="007E7D64"/>
    <w:pPr>
      <w:autoSpaceDE w:val="0"/>
      <w:autoSpaceDN w:val="0"/>
      <w:adjustRightInd w:val="0"/>
    </w:pPr>
    <w:rPr>
      <w:rFonts w:ascii="Calibri" w:eastAsia="MS Mincho" w:hAnsi="Calibri" w:cs="Calibri"/>
      <w:color w:val="000000"/>
      <w:sz w:val="24"/>
      <w:szCs w:val="24"/>
      <w:lang w:eastAsia="ja-JP"/>
    </w:rPr>
  </w:style>
  <w:style w:type="character" w:customStyle="1" w:styleId="recordhilite">
    <w:name w:val="recordhilite"/>
    <w:basedOn w:val="DefaultParagraphFont"/>
    <w:rsid w:val="00954557"/>
  </w:style>
  <w:style w:type="character" w:customStyle="1" w:styleId="st">
    <w:name w:val="st"/>
    <w:basedOn w:val="DefaultParagraphFont"/>
    <w:rsid w:val="00334378"/>
  </w:style>
  <w:style w:type="character" w:styleId="Emphasis">
    <w:name w:val="Emphasis"/>
    <w:uiPriority w:val="20"/>
    <w:qFormat/>
    <w:rsid w:val="00304DAE"/>
    <w:rPr>
      <w:i/>
      <w:iCs/>
    </w:rPr>
  </w:style>
  <w:style w:type="paragraph" w:styleId="Title">
    <w:name w:val="Title"/>
    <w:basedOn w:val="Normal"/>
    <w:next w:val="Normal"/>
    <w:link w:val="TitleChar"/>
    <w:uiPriority w:val="10"/>
    <w:qFormat/>
    <w:rsid w:val="00011CD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011CD4"/>
    <w:rPr>
      <w:rFonts w:ascii="Cambria" w:eastAsia="Times New Roman" w:hAnsi="Cambria" w:cs="Times New Roman"/>
      <w:b/>
      <w:bCs/>
      <w:kern w:val="28"/>
      <w:sz w:val="32"/>
      <w:szCs w:val="32"/>
      <w:lang w:val="en-GB"/>
    </w:rPr>
  </w:style>
  <w:style w:type="character" w:customStyle="1" w:styleId="CommentTextChar">
    <w:name w:val="Comment Text Char"/>
    <w:link w:val="CommentText"/>
    <w:uiPriority w:val="99"/>
    <w:semiHidden/>
    <w:rsid w:val="00254F2F"/>
    <w:rPr>
      <w:rFonts w:ascii="Courier" w:hAnsi="Courier"/>
      <w:lang w:val="en-GB"/>
    </w:rPr>
  </w:style>
  <w:style w:type="character" w:customStyle="1" w:styleId="apple-converted-space">
    <w:name w:val="apple-converted-space"/>
    <w:basedOn w:val="DefaultParagraphFont"/>
    <w:rsid w:val="00E317E6"/>
  </w:style>
  <w:style w:type="character" w:styleId="LineNumber">
    <w:name w:val="line number"/>
    <w:basedOn w:val="DefaultParagraphFont"/>
    <w:uiPriority w:val="99"/>
    <w:semiHidden/>
    <w:unhideWhenUsed/>
    <w:rsid w:val="00576A53"/>
  </w:style>
  <w:style w:type="paragraph" w:customStyle="1" w:styleId="heading2notforTOC">
    <w:name w:val="heading 2 not for TOC"/>
    <w:basedOn w:val="Heading3"/>
    <w:rsid w:val="00BB53BA"/>
    <w:rPr>
      <w:rFonts w:eastAsia="Malgun Gothic"/>
    </w:rPr>
  </w:style>
  <w:style w:type="paragraph" w:styleId="Revision">
    <w:name w:val="Revision"/>
    <w:hidden/>
    <w:uiPriority w:val="71"/>
    <w:rsid w:val="00921F19"/>
    <w:rPr>
      <w:sz w:val="22"/>
      <w:szCs w:val="24"/>
      <w:lang w:val="en-GB"/>
    </w:rPr>
  </w:style>
  <w:style w:type="character" w:customStyle="1" w:styleId="Heading2Char">
    <w:name w:val="Heading 2 Char"/>
    <w:link w:val="Heading2"/>
    <w:rsid w:val="00F826FE"/>
    <w:rPr>
      <w:b/>
      <w:bCs/>
      <w:i/>
      <w:iCs/>
      <w:sz w:val="22"/>
      <w:szCs w:val="24"/>
      <w:lang w:val="en-GB"/>
    </w:rPr>
  </w:style>
  <w:style w:type="paragraph" w:styleId="ListParagraph">
    <w:name w:val="List Paragraph"/>
    <w:basedOn w:val="Normal"/>
    <w:uiPriority w:val="34"/>
    <w:qFormat/>
    <w:rsid w:val="00B23CB2"/>
    <w:pPr>
      <w:ind w:left="720"/>
      <w:contextualSpacing/>
    </w:pPr>
  </w:style>
  <w:style w:type="table" w:styleId="TableGrid">
    <w:name w:val="Table Grid"/>
    <w:basedOn w:val="TableNormal"/>
    <w:uiPriority w:val="39"/>
    <w:rsid w:val="00BA7390"/>
    <w:rPr>
      <w:rFonts w:ascii="Calibri" w:eastAsia="Calibri" w:hAnsi="Calibri"/>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A7390"/>
    <w:pPr>
      <w:spacing w:after="200"/>
    </w:pPr>
    <w:rPr>
      <w:rFonts w:ascii="Calibri" w:eastAsia="Calibri" w:hAnsi="Calibri"/>
      <w:i/>
      <w:iCs/>
      <w:color w:val="44546A"/>
      <w:sz w:val="18"/>
      <w:szCs w:val="18"/>
    </w:rPr>
  </w:style>
  <w:style w:type="character" w:customStyle="1" w:styleId="Heading1Char">
    <w:name w:val="Heading 1 Char"/>
    <w:link w:val="Heading1"/>
    <w:rsid w:val="00D260E2"/>
    <w:rPr>
      <w:b/>
      <w:caps/>
      <w:sz w:val="22"/>
      <w:szCs w:val="24"/>
      <w:lang w:val="en-GB"/>
    </w:rPr>
  </w:style>
  <w:style w:type="paragraph" w:styleId="Subtitle">
    <w:name w:val="Subtitle"/>
    <w:basedOn w:val="Title"/>
    <w:next w:val="Normal"/>
    <w:link w:val="SubtitleChar"/>
    <w:uiPriority w:val="11"/>
    <w:qFormat/>
    <w:rsid w:val="00D260E2"/>
    <w:pPr>
      <w:spacing w:before="0" w:after="200" w:line="276" w:lineRule="auto"/>
      <w:outlineLvl w:val="9"/>
    </w:pPr>
    <w:rPr>
      <w:rFonts w:ascii="Times New Roman" w:eastAsia="Calibri" w:hAnsi="Times New Roman" w:cs="Arial"/>
      <w:bCs w:val="0"/>
      <w:kern w:val="0"/>
      <w:sz w:val="22"/>
      <w:szCs w:val="22"/>
    </w:rPr>
  </w:style>
  <w:style w:type="character" w:customStyle="1" w:styleId="SubtitleChar">
    <w:name w:val="Subtitle Char"/>
    <w:link w:val="Subtitle"/>
    <w:uiPriority w:val="11"/>
    <w:rsid w:val="00D260E2"/>
    <w:rPr>
      <w:rFonts w:eastAsia="Calibri" w:cs="Arial"/>
      <w:b/>
      <w:sz w:val="22"/>
      <w:szCs w:val="22"/>
      <w:lang w:val="en-GB"/>
    </w:rPr>
  </w:style>
  <w:style w:type="table" w:styleId="LightList">
    <w:name w:val="Light List"/>
    <w:basedOn w:val="TableNormal"/>
    <w:uiPriority w:val="61"/>
    <w:rsid w:val="00D260E2"/>
    <w:rPr>
      <w:rFonts w:ascii="Calibri" w:eastAsia="Calibri" w:hAnsi="Calibri" w:cs="Arial"/>
      <w:sz w:val="22"/>
      <w:szCs w:val="22"/>
      <w:lang w:val="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04079">
      <w:bodyDiv w:val="1"/>
      <w:marLeft w:val="0"/>
      <w:marRight w:val="0"/>
      <w:marTop w:val="0"/>
      <w:marBottom w:val="0"/>
      <w:divBdr>
        <w:top w:val="none" w:sz="0" w:space="0" w:color="auto"/>
        <w:left w:val="none" w:sz="0" w:space="0" w:color="auto"/>
        <w:bottom w:val="none" w:sz="0" w:space="0" w:color="auto"/>
        <w:right w:val="none" w:sz="0" w:space="0" w:color="auto"/>
      </w:divBdr>
    </w:div>
    <w:div w:id="85539921">
      <w:bodyDiv w:val="1"/>
      <w:marLeft w:val="0"/>
      <w:marRight w:val="0"/>
      <w:marTop w:val="0"/>
      <w:marBottom w:val="0"/>
      <w:divBdr>
        <w:top w:val="none" w:sz="0" w:space="0" w:color="auto"/>
        <w:left w:val="none" w:sz="0" w:space="0" w:color="auto"/>
        <w:bottom w:val="none" w:sz="0" w:space="0" w:color="auto"/>
        <w:right w:val="none" w:sz="0" w:space="0" w:color="auto"/>
      </w:divBdr>
    </w:div>
    <w:div w:id="114758575">
      <w:bodyDiv w:val="1"/>
      <w:marLeft w:val="0"/>
      <w:marRight w:val="0"/>
      <w:marTop w:val="0"/>
      <w:marBottom w:val="0"/>
      <w:divBdr>
        <w:top w:val="none" w:sz="0" w:space="0" w:color="auto"/>
        <w:left w:val="none" w:sz="0" w:space="0" w:color="auto"/>
        <w:bottom w:val="none" w:sz="0" w:space="0" w:color="auto"/>
        <w:right w:val="none" w:sz="0" w:space="0" w:color="auto"/>
      </w:divBdr>
      <w:divsChild>
        <w:div w:id="1270888665">
          <w:marLeft w:val="0"/>
          <w:marRight w:val="0"/>
          <w:marTop w:val="0"/>
          <w:marBottom w:val="0"/>
          <w:divBdr>
            <w:top w:val="none" w:sz="0" w:space="0" w:color="auto"/>
            <w:left w:val="none" w:sz="0" w:space="0" w:color="auto"/>
            <w:bottom w:val="none" w:sz="0" w:space="0" w:color="auto"/>
            <w:right w:val="none" w:sz="0" w:space="0" w:color="auto"/>
          </w:divBdr>
        </w:div>
      </w:divsChild>
    </w:div>
    <w:div w:id="129371015">
      <w:bodyDiv w:val="1"/>
      <w:marLeft w:val="0"/>
      <w:marRight w:val="0"/>
      <w:marTop w:val="0"/>
      <w:marBottom w:val="0"/>
      <w:divBdr>
        <w:top w:val="none" w:sz="0" w:space="0" w:color="auto"/>
        <w:left w:val="none" w:sz="0" w:space="0" w:color="auto"/>
        <w:bottom w:val="none" w:sz="0" w:space="0" w:color="auto"/>
        <w:right w:val="none" w:sz="0" w:space="0" w:color="auto"/>
      </w:divBdr>
      <w:divsChild>
        <w:div w:id="973217162">
          <w:marLeft w:val="0"/>
          <w:marRight w:val="0"/>
          <w:marTop w:val="0"/>
          <w:marBottom w:val="0"/>
          <w:divBdr>
            <w:top w:val="none" w:sz="0" w:space="0" w:color="auto"/>
            <w:left w:val="none" w:sz="0" w:space="0" w:color="auto"/>
            <w:bottom w:val="none" w:sz="0" w:space="0" w:color="auto"/>
            <w:right w:val="none" w:sz="0" w:space="0" w:color="auto"/>
          </w:divBdr>
        </w:div>
        <w:div w:id="991526754">
          <w:marLeft w:val="0"/>
          <w:marRight w:val="0"/>
          <w:marTop w:val="0"/>
          <w:marBottom w:val="0"/>
          <w:divBdr>
            <w:top w:val="none" w:sz="0" w:space="0" w:color="auto"/>
            <w:left w:val="none" w:sz="0" w:space="0" w:color="auto"/>
            <w:bottom w:val="none" w:sz="0" w:space="0" w:color="auto"/>
            <w:right w:val="none" w:sz="0" w:space="0" w:color="auto"/>
          </w:divBdr>
        </w:div>
      </w:divsChild>
    </w:div>
    <w:div w:id="175071931">
      <w:bodyDiv w:val="1"/>
      <w:marLeft w:val="0"/>
      <w:marRight w:val="0"/>
      <w:marTop w:val="0"/>
      <w:marBottom w:val="0"/>
      <w:divBdr>
        <w:top w:val="none" w:sz="0" w:space="0" w:color="auto"/>
        <w:left w:val="none" w:sz="0" w:space="0" w:color="auto"/>
        <w:bottom w:val="none" w:sz="0" w:space="0" w:color="auto"/>
        <w:right w:val="none" w:sz="0" w:space="0" w:color="auto"/>
      </w:divBdr>
      <w:divsChild>
        <w:div w:id="69499783">
          <w:marLeft w:val="0"/>
          <w:marRight w:val="0"/>
          <w:marTop w:val="0"/>
          <w:marBottom w:val="0"/>
          <w:divBdr>
            <w:top w:val="none" w:sz="0" w:space="0" w:color="auto"/>
            <w:left w:val="none" w:sz="0" w:space="0" w:color="auto"/>
            <w:bottom w:val="none" w:sz="0" w:space="0" w:color="auto"/>
            <w:right w:val="none" w:sz="0" w:space="0" w:color="auto"/>
          </w:divBdr>
        </w:div>
        <w:div w:id="575820477">
          <w:marLeft w:val="0"/>
          <w:marRight w:val="0"/>
          <w:marTop w:val="0"/>
          <w:marBottom w:val="0"/>
          <w:divBdr>
            <w:top w:val="none" w:sz="0" w:space="0" w:color="auto"/>
            <w:left w:val="none" w:sz="0" w:space="0" w:color="auto"/>
            <w:bottom w:val="none" w:sz="0" w:space="0" w:color="auto"/>
            <w:right w:val="none" w:sz="0" w:space="0" w:color="auto"/>
          </w:divBdr>
        </w:div>
        <w:div w:id="749960643">
          <w:marLeft w:val="0"/>
          <w:marRight w:val="0"/>
          <w:marTop w:val="0"/>
          <w:marBottom w:val="0"/>
          <w:divBdr>
            <w:top w:val="none" w:sz="0" w:space="0" w:color="auto"/>
            <w:left w:val="none" w:sz="0" w:space="0" w:color="auto"/>
            <w:bottom w:val="none" w:sz="0" w:space="0" w:color="auto"/>
            <w:right w:val="none" w:sz="0" w:space="0" w:color="auto"/>
          </w:divBdr>
        </w:div>
        <w:div w:id="1058935773">
          <w:marLeft w:val="0"/>
          <w:marRight w:val="0"/>
          <w:marTop w:val="0"/>
          <w:marBottom w:val="0"/>
          <w:divBdr>
            <w:top w:val="none" w:sz="0" w:space="0" w:color="auto"/>
            <w:left w:val="none" w:sz="0" w:space="0" w:color="auto"/>
            <w:bottom w:val="none" w:sz="0" w:space="0" w:color="auto"/>
            <w:right w:val="none" w:sz="0" w:space="0" w:color="auto"/>
          </w:divBdr>
        </w:div>
      </w:divsChild>
    </w:div>
    <w:div w:id="416365803">
      <w:bodyDiv w:val="1"/>
      <w:marLeft w:val="0"/>
      <w:marRight w:val="0"/>
      <w:marTop w:val="0"/>
      <w:marBottom w:val="0"/>
      <w:divBdr>
        <w:top w:val="none" w:sz="0" w:space="0" w:color="auto"/>
        <w:left w:val="none" w:sz="0" w:space="0" w:color="auto"/>
        <w:bottom w:val="none" w:sz="0" w:space="0" w:color="auto"/>
        <w:right w:val="none" w:sz="0" w:space="0" w:color="auto"/>
      </w:divBdr>
    </w:div>
    <w:div w:id="587350041">
      <w:bodyDiv w:val="1"/>
      <w:marLeft w:val="0"/>
      <w:marRight w:val="0"/>
      <w:marTop w:val="0"/>
      <w:marBottom w:val="0"/>
      <w:divBdr>
        <w:top w:val="none" w:sz="0" w:space="0" w:color="auto"/>
        <w:left w:val="none" w:sz="0" w:space="0" w:color="auto"/>
        <w:bottom w:val="none" w:sz="0" w:space="0" w:color="auto"/>
        <w:right w:val="none" w:sz="0" w:space="0" w:color="auto"/>
      </w:divBdr>
      <w:divsChild>
        <w:div w:id="798449934">
          <w:marLeft w:val="0"/>
          <w:marRight w:val="0"/>
          <w:marTop w:val="0"/>
          <w:marBottom w:val="0"/>
          <w:divBdr>
            <w:top w:val="none" w:sz="0" w:space="0" w:color="auto"/>
            <w:left w:val="none" w:sz="0" w:space="0" w:color="auto"/>
            <w:bottom w:val="none" w:sz="0" w:space="0" w:color="auto"/>
            <w:right w:val="none" w:sz="0" w:space="0" w:color="auto"/>
          </w:divBdr>
          <w:divsChild>
            <w:div w:id="39613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759780">
      <w:bodyDiv w:val="1"/>
      <w:marLeft w:val="0"/>
      <w:marRight w:val="0"/>
      <w:marTop w:val="0"/>
      <w:marBottom w:val="0"/>
      <w:divBdr>
        <w:top w:val="none" w:sz="0" w:space="0" w:color="auto"/>
        <w:left w:val="none" w:sz="0" w:space="0" w:color="auto"/>
        <w:bottom w:val="none" w:sz="0" w:space="0" w:color="auto"/>
        <w:right w:val="none" w:sz="0" w:space="0" w:color="auto"/>
      </w:divBdr>
    </w:div>
    <w:div w:id="643318590">
      <w:bodyDiv w:val="1"/>
      <w:marLeft w:val="0"/>
      <w:marRight w:val="0"/>
      <w:marTop w:val="0"/>
      <w:marBottom w:val="0"/>
      <w:divBdr>
        <w:top w:val="none" w:sz="0" w:space="0" w:color="auto"/>
        <w:left w:val="none" w:sz="0" w:space="0" w:color="auto"/>
        <w:bottom w:val="none" w:sz="0" w:space="0" w:color="auto"/>
        <w:right w:val="none" w:sz="0" w:space="0" w:color="auto"/>
      </w:divBdr>
    </w:div>
    <w:div w:id="659581152">
      <w:bodyDiv w:val="1"/>
      <w:marLeft w:val="0"/>
      <w:marRight w:val="0"/>
      <w:marTop w:val="0"/>
      <w:marBottom w:val="0"/>
      <w:divBdr>
        <w:top w:val="none" w:sz="0" w:space="0" w:color="auto"/>
        <w:left w:val="none" w:sz="0" w:space="0" w:color="auto"/>
        <w:bottom w:val="none" w:sz="0" w:space="0" w:color="auto"/>
        <w:right w:val="none" w:sz="0" w:space="0" w:color="auto"/>
      </w:divBdr>
    </w:div>
    <w:div w:id="695814223">
      <w:bodyDiv w:val="1"/>
      <w:marLeft w:val="0"/>
      <w:marRight w:val="0"/>
      <w:marTop w:val="0"/>
      <w:marBottom w:val="0"/>
      <w:divBdr>
        <w:top w:val="none" w:sz="0" w:space="0" w:color="auto"/>
        <w:left w:val="none" w:sz="0" w:space="0" w:color="auto"/>
        <w:bottom w:val="none" w:sz="0" w:space="0" w:color="auto"/>
        <w:right w:val="none" w:sz="0" w:space="0" w:color="auto"/>
      </w:divBdr>
    </w:div>
    <w:div w:id="722293479">
      <w:bodyDiv w:val="1"/>
      <w:marLeft w:val="0"/>
      <w:marRight w:val="0"/>
      <w:marTop w:val="0"/>
      <w:marBottom w:val="0"/>
      <w:divBdr>
        <w:top w:val="none" w:sz="0" w:space="0" w:color="auto"/>
        <w:left w:val="none" w:sz="0" w:space="0" w:color="auto"/>
        <w:bottom w:val="none" w:sz="0" w:space="0" w:color="auto"/>
        <w:right w:val="none" w:sz="0" w:space="0" w:color="auto"/>
      </w:divBdr>
    </w:div>
    <w:div w:id="816265008">
      <w:bodyDiv w:val="1"/>
      <w:marLeft w:val="0"/>
      <w:marRight w:val="0"/>
      <w:marTop w:val="0"/>
      <w:marBottom w:val="0"/>
      <w:divBdr>
        <w:top w:val="none" w:sz="0" w:space="0" w:color="auto"/>
        <w:left w:val="none" w:sz="0" w:space="0" w:color="auto"/>
        <w:bottom w:val="none" w:sz="0" w:space="0" w:color="auto"/>
        <w:right w:val="none" w:sz="0" w:space="0" w:color="auto"/>
      </w:divBdr>
    </w:div>
    <w:div w:id="821430740">
      <w:bodyDiv w:val="1"/>
      <w:marLeft w:val="0"/>
      <w:marRight w:val="0"/>
      <w:marTop w:val="0"/>
      <w:marBottom w:val="0"/>
      <w:divBdr>
        <w:top w:val="none" w:sz="0" w:space="0" w:color="auto"/>
        <w:left w:val="none" w:sz="0" w:space="0" w:color="auto"/>
        <w:bottom w:val="none" w:sz="0" w:space="0" w:color="auto"/>
        <w:right w:val="none" w:sz="0" w:space="0" w:color="auto"/>
      </w:divBdr>
      <w:divsChild>
        <w:div w:id="503975218">
          <w:marLeft w:val="0"/>
          <w:marRight w:val="0"/>
          <w:marTop w:val="0"/>
          <w:marBottom w:val="0"/>
          <w:divBdr>
            <w:top w:val="none" w:sz="0" w:space="0" w:color="auto"/>
            <w:left w:val="none" w:sz="0" w:space="0" w:color="auto"/>
            <w:bottom w:val="none" w:sz="0" w:space="0" w:color="auto"/>
            <w:right w:val="none" w:sz="0" w:space="0" w:color="auto"/>
          </w:divBdr>
        </w:div>
        <w:div w:id="936400986">
          <w:marLeft w:val="0"/>
          <w:marRight w:val="0"/>
          <w:marTop w:val="0"/>
          <w:marBottom w:val="0"/>
          <w:divBdr>
            <w:top w:val="none" w:sz="0" w:space="0" w:color="auto"/>
            <w:left w:val="none" w:sz="0" w:space="0" w:color="auto"/>
            <w:bottom w:val="none" w:sz="0" w:space="0" w:color="auto"/>
            <w:right w:val="none" w:sz="0" w:space="0" w:color="auto"/>
          </w:divBdr>
        </w:div>
      </w:divsChild>
    </w:div>
    <w:div w:id="962618617">
      <w:bodyDiv w:val="1"/>
      <w:marLeft w:val="0"/>
      <w:marRight w:val="0"/>
      <w:marTop w:val="0"/>
      <w:marBottom w:val="0"/>
      <w:divBdr>
        <w:top w:val="none" w:sz="0" w:space="0" w:color="auto"/>
        <w:left w:val="none" w:sz="0" w:space="0" w:color="auto"/>
        <w:bottom w:val="none" w:sz="0" w:space="0" w:color="auto"/>
        <w:right w:val="none" w:sz="0" w:space="0" w:color="auto"/>
      </w:divBdr>
      <w:divsChild>
        <w:div w:id="2026857846">
          <w:marLeft w:val="0"/>
          <w:marRight w:val="0"/>
          <w:marTop w:val="0"/>
          <w:marBottom w:val="0"/>
          <w:divBdr>
            <w:top w:val="none" w:sz="0" w:space="0" w:color="auto"/>
            <w:left w:val="none" w:sz="0" w:space="0" w:color="auto"/>
            <w:bottom w:val="none" w:sz="0" w:space="0" w:color="auto"/>
            <w:right w:val="none" w:sz="0" w:space="0" w:color="auto"/>
          </w:divBdr>
          <w:divsChild>
            <w:div w:id="951594677">
              <w:marLeft w:val="0"/>
              <w:marRight w:val="0"/>
              <w:marTop w:val="0"/>
              <w:marBottom w:val="0"/>
              <w:divBdr>
                <w:top w:val="none" w:sz="0" w:space="0" w:color="auto"/>
                <w:left w:val="none" w:sz="0" w:space="0" w:color="auto"/>
                <w:bottom w:val="none" w:sz="0" w:space="0" w:color="auto"/>
                <w:right w:val="none" w:sz="0" w:space="0" w:color="auto"/>
              </w:divBdr>
              <w:divsChild>
                <w:div w:id="136336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198691">
      <w:bodyDiv w:val="1"/>
      <w:marLeft w:val="0"/>
      <w:marRight w:val="0"/>
      <w:marTop w:val="0"/>
      <w:marBottom w:val="0"/>
      <w:divBdr>
        <w:top w:val="none" w:sz="0" w:space="0" w:color="auto"/>
        <w:left w:val="none" w:sz="0" w:space="0" w:color="auto"/>
        <w:bottom w:val="none" w:sz="0" w:space="0" w:color="auto"/>
        <w:right w:val="none" w:sz="0" w:space="0" w:color="auto"/>
      </w:divBdr>
      <w:divsChild>
        <w:div w:id="1399592163">
          <w:marLeft w:val="0"/>
          <w:marRight w:val="0"/>
          <w:marTop w:val="0"/>
          <w:marBottom w:val="0"/>
          <w:divBdr>
            <w:top w:val="none" w:sz="0" w:space="0" w:color="auto"/>
            <w:left w:val="none" w:sz="0" w:space="0" w:color="auto"/>
            <w:bottom w:val="none" w:sz="0" w:space="0" w:color="auto"/>
            <w:right w:val="none" w:sz="0" w:space="0" w:color="auto"/>
          </w:divBdr>
        </w:div>
      </w:divsChild>
    </w:div>
    <w:div w:id="1193109721">
      <w:bodyDiv w:val="1"/>
      <w:marLeft w:val="0"/>
      <w:marRight w:val="0"/>
      <w:marTop w:val="0"/>
      <w:marBottom w:val="0"/>
      <w:divBdr>
        <w:top w:val="none" w:sz="0" w:space="0" w:color="auto"/>
        <w:left w:val="none" w:sz="0" w:space="0" w:color="auto"/>
        <w:bottom w:val="none" w:sz="0" w:space="0" w:color="auto"/>
        <w:right w:val="none" w:sz="0" w:space="0" w:color="auto"/>
      </w:divBdr>
      <w:divsChild>
        <w:div w:id="1629168768">
          <w:marLeft w:val="0"/>
          <w:marRight w:val="0"/>
          <w:marTop w:val="0"/>
          <w:marBottom w:val="0"/>
          <w:divBdr>
            <w:top w:val="none" w:sz="0" w:space="0" w:color="auto"/>
            <w:left w:val="none" w:sz="0" w:space="0" w:color="auto"/>
            <w:bottom w:val="none" w:sz="0" w:space="0" w:color="auto"/>
            <w:right w:val="none" w:sz="0" w:space="0" w:color="auto"/>
          </w:divBdr>
        </w:div>
      </w:divsChild>
    </w:div>
    <w:div w:id="1344818404">
      <w:bodyDiv w:val="1"/>
      <w:marLeft w:val="0"/>
      <w:marRight w:val="0"/>
      <w:marTop w:val="0"/>
      <w:marBottom w:val="0"/>
      <w:divBdr>
        <w:top w:val="none" w:sz="0" w:space="0" w:color="auto"/>
        <w:left w:val="none" w:sz="0" w:space="0" w:color="auto"/>
        <w:bottom w:val="none" w:sz="0" w:space="0" w:color="auto"/>
        <w:right w:val="none" w:sz="0" w:space="0" w:color="auto"/>
      </w:divBdr>
      <w:divsChild>
        <w:div w:id="1501240471">
          <w:marLeft w:val="0"/>
          <w:marRight w:val="0"/>
          <w:marTop w:val="0"/>
          <w:marBottom w:val="0"/>
          <w:divBdr>
            <w:top w:val="none" w:sz="0" w:space="0" w:color="auto"/>
            <w:left w:val="none" w:sz="0" w:space="0" w:color="auto"/>
            <w:bottom w:val="none" w:sz="0" w:space="0" w:color="auto"/>
            <w:right w:val="none" w:sz="0" w:space="0" w:color="auto"/>
          </w:divBdr>
        </w:div>
      </w:divsChild>
    </w:div>
    <w:div w:id="1446576594">
      <w:bodyDiv w:val="1"/>
      <w:marLeft w:val="0"/>
      <w:marRight w:val="0"/>
      <w:marTop w:val="0"/>
      <w:marBottom w:val="0"/>
      <w:divBdr>
        <w:top w:val="none" w:sz="0" w:space="0" w:color="auto"/>
        <w:left w:val="none" w:sz="0" w:space="0" w:color="auto"/>
        <w:bottom w:val="none" w:sz="0" w:space="0" w:color="auto"/>
        <w:right w:val="none" w:sz="0" w:space="0" w:color="auto"/>
      </w:divBdr>
    </w:div>
    <w:div w:id="1537310665">
      <w:bodyDiv w:val="1"/>
      <w:marLeft w:val="0"/>
      <w:marRight w:val="0"/>
      <w:marTop w:val="0"/>
      <w:marBottom w:val="0"/>
      <w:divBdr>
        <w:top w:val="none" w:sz="0" w:space="0" w:color="auto"/>
        <w:left w:val="none" w:sz="0" w:space="0" w:color="auto"/>
        <w:bottom w:val="none" w:sz="0" w:space="0" w:color="auto"/>
        <w:right w:val="none" w:sz="0" w:space="0" w:color="auto"/>
      </w:divBdr>
    </w:div>
    <w:div w:id="1689256235">
      <w:bodyDiv w:val="1"/>
      <w:marLeft w:val="0"/>
      <w:marRight w:val="0"/>
      <w:marTop w:val="0"/>
      <w:marBottom w:val="0"/>
      <w:divBdr>
        <w:top w:val="none" w:sz="0" w:space="0" w:color="auto"/>
        <w:left w:val="none" w:sz="0" w:space="0" w:color="auto"/>
        <w:bottom w:val="none" w:sz="0" w:space="0" w:color="auto"/>
        <w:right w:val="none" w:sz="0" w:space="0" w:color="auto"/>
      </w:divBdr>
      <w:divsChild>
        <w:div w:id="1300378683">
          <w:marLeft w:val="0"/>
          <w:marRight w:val="0"/>
          <w:marTop w:val="0"/>
          <w:marBottom w:val="0"/>
          <w:divBdr>
            <w:top w:val="none" w:sz="0" w:space="0" w:color="auto"/>
            <w:left w:val="none" w:sz="0" w:space="0" w:color="auto"/>
            <w:bottom w:val="none" w:sz="0" w:space="0" w:color="auto"/>
            <w:right w:val="none" w:sz="0" w:space="0" w:color="auto"/>
          </w:divBdr>
        </w:div>
      </w:divsChild>
    </w:div>
    <w:div w:id="1716848729">
      <w:bodyDiv w:val="1"/>
      <w:marLeft w:val="0"/>
      <w:marRight w:val="0"/>
      <w:marTop w:val="0"/>
      <w:marBottom w:val="0"/>
      <w:divBdr>
        <w:top w:val="none" w:sz="0" w:space="0" w:color="auto"/>
        <w:left w:val="none" w:sz="0" w:space="0" w:color="auto"/>
        <w:bottom w:val="none" w:sz="0" w:space="0" w:color="auto"/>
        <w:right w:val="none" w:sz="0" w:space="0" w:color="auto"/>
      </w:divBdr>
    </w:div>
    <w:div w:id="1732532468">
      <w:bodyDiv w:val="1"/>
      <w:marLeft w:val="0"/>
      <w:marRight w:val="0"/>
      <w:marTop w:val="0"/>
      <w:marBottom w:val="0"/>
      <w:divBdr>
        <w:top w:val="none" w:sz="0" w:space="0" w:color="auto"/>
        <w:left w:val="none" w:sz="0" w:space="0" w:color="auto"/>
        <w:bottom w:val="none" w:sz="0" w:space="0" w:color="auto"/>
        <w:right w:val="none" w:sz="0" w:space="0" w:color="auto"/>
      </w:divBdr>
    </w:div>
    <w:div w:id="1742293113">
      <w:bodyDiv w:val="1"/>
      <w:marLeft w:val="0"/>
      <w:marRight w:val="0"/>
      <w:marTop w:val="0"/>
      <w:marBottom w:val="0"/>
      <w:divBdr>
        <w:top w:val="none" w:sz="0" w:space="0" w:color="auto"/>
        <w:left w:val="none" w:sz="0" w:space="0" w:color="auto"/>
        <w:bottom w:val="none" w:sz="0" w:space="0" w:color="auto"/>
        <w:right w:val="none" w:sz="0" w:space="0" w:color="auto"/>
      </w:divBdr>
      <w:divsChild>
        <w:div w:id="1004547951">
          <w:marLeft w:val="0"/>
          <w:marRight w:val="0"/>
          <w:marTop w:val="0"/>
          <w:marBottom w:val="0"/>
          <w:divBdr>
            <w:top w:val="none" w:sz="0" w:space="0" w:color="auto"/>
            <w:left w:val="none" w:sz="0" w:space="0" w:color="auto"/>
            <w:bottom w:val="none" w:sz="0" w:space="0" w:color="auto"/>
            <w:right w:val="none" w:sz="0" w:space="0" w:color="auto"/>
          </w:divBdr>
        </w:div>
        <w:div w:id="1086147375">
          <w:marLeft w:val="0"/>
          <w:marRight w:val="0"/>
          <w:marTop w:val="0"/>
          <w:marBottom w:val="0"/>
          <w:divBdr>
            <w:top w:val="none" w:sz="0" w:space="0" w:color="auto"/>
            <w:left w:val="none" w:sz="0" w:space="0" w:color="auto"/>
            <w:bottom w:val="none" w:sz="0" w:space="0" w:color="auto"/>
            <w:right w:val="none" w:sz="0" w:space="0" w:color="auto"/>
          </w:divBdr>
        </w:div>
      </w:divsChild>
    </w:div>
    <w:div w:id="1773281117">
      <w:bodyDiv w:val="1"/>
      <w:marLeft w:val="0"/>
      <w:marRight w:val="0"/>
      <w:marTop w:val="0"/>
      <w:marBottom w:val="0"/>
      <w:divBdr>
        <w:top w:val="none" w:sz="0" w:space="0" w:color="auto"/>
        <w:left w:val="none" w:sz="0" w:space="0" w:color="auto"/>
        <w:bottom w:val="none" w:sz="0" w:space="0" w:color="auto"/>
        <w:right w:val="none" w:sz="0" w:space="0" w:color="auto"/>
      </w:divBdr>
    </w:div>
    <w:div w:id="1783380207">
      <w:bodyDiv w:val="1"/>
      <w:marLeft w:val="0"/>
      <w:marRight w:val="0"/>
      <w:marTop w:val="0"/>
      <w:marBottom w:val="0"/>
      <w:divBdr>
        <w:top w:val="none" w:sz="0" w:space="0" w:color="auto"/>
        <w:left w:val="none" w:sz="0" w:space="0" w:color="auto"/>
        <w:bottom w:val="none" w:sz="0" w:space="0" w:color="auto"/>
        <w:right w:val="none" w:sz="0" w:space="0" w:color="auto"/>
      </w:divBdr>
      <w:divsChild>
        <w:div w:id="602884010">
          <w:marLeft w:val="0"/>
          <w:marRight w:val="0"/>
          <w:marTop w:val="0"/>
          <w:marBottom w:val="0"/>
          <w:divBdr>
            <w:top w:val="none" w:sz="0" w:space="0" w:color="auto"/>
            <w:left w:val="none" w:sz="0" w:space="0" w:color="auto"/>
            <w:bottom w:val="none" w:sz="0" w:space="0" w:color="auto"/>
            <w:right w:val="none" w:sz="0" w:space="0" w:color="auto"/>
          </w:divBdr>
        </w:div>
      </w:divsChild>
    </w:div>
    <w:div w:id="1927959237">
      <w:bodyDiv w:val="1"/>
      <w:marLeft w:val="0"/>
      <w:marRight w:val="0"/>
      <w:marTop w:val="0"/>
      <w:marBottom w:val="0"/>
      <w:divBdr>
        <w:top w:val="none" w:sz="0" w:space="0" w:color="auto"/>
        <w:left w:val="none" w:sz="0" w:space="0" w:color="auto"/>
        <w:bottom w:val="none" w:sz="0" w:space="0" w:color="auto"/>
        <w:right w:val="none" w:sz="0" w:space="0" w:color="auto"/>
      </w:divBdr>
    </w:div>
    <w:div w:id="1994023358">
      <w:bodyDiv w:val="1"/>
      <w:marLeft w:val="0"/>
      <w:marRight w:val="0"/>
      <w:marTop w:val="0"/>
      <w:marBottom w:val="0"/>
      <w:divBdr>
        <w:top w:val="none" w:sz="0" w:space="0" w:color="auto"/>
        <w:left w:val="none" w:sz="0" w:space="0" w:color="auto"/>
        <w:bottom w:val="none" w:sz="0" w:space="0" w:color="auto"/>
        <w:right w:val="none" w:sz="0" w:space="0" w:color="auto"/>
      </w:divBdr>
    </w:div>
    <w:div w:id="1998069081">
      <w:bodyDiv w:val="1"/>
      <w:marLeft w:val="0"/>
      <w:marRight w:val="0"/>
      <w:marTop w:val="0"/>
      <w:marBottom w:val="0"/>
      <w:divBdr>
        <w:top w:val="none" w:sz="0" w:space="0" w:color="auto"/>
        <w:left w:val="none" w:sz="0" w:space="0" w:color="auto"/>
        <w:bottom w:val="none" w:sz="0" w:space="0" w:color="auto"/>
        <w:right w:val="none" w:sz="0" w:space="0" w:color="auto"/>
      </w:divBdr>
      <w:divsChild>
        <w:div w:id="426737149">
          <w:marLeft w:val="0"/>
          <w:marRight w:val="0"/>
          <w:marTop w:val="0"/>
          <w:marBottom w:val="0"/>
          <w:divBdr>
            <w:top w:val="none" w:sz="0" w:space="0" w:color="auto"/>
            <w:left w:val="none" w:sz="0" w:space="0" w:color="auto"/>
            <w:bottom w:val="none" w:sz="0" w:space="0" w:color="auto"/>
            <w:right w:val="none" w:sz="0" w:space="0" w:color="auto"/>
          </w:divBdr>
        </w:div>
      </w:divsChild>
    </w:div>
    <w:div w:id="2018539144">
      <w:bodyDiv w:val="1"/>
      <w:marLeft w:val="0"/>
      <w:marRight w:val="0"/>
      <w:marTop w:val="0"/>
      <w:marBottom w:val="0"/>
      <w:divBdr>
        <w:top w:val="none" w:sz="0" w:space="0" w:color="auto"/>
        <w:left w:val="none" w:sz="0" w:space="0" w:color="auto"/>
        <w:bottom w:val="none" w:sz="0" w:space="0" w:color="auto"/>
        <w:right w:val="none" w:sz="0" w:space="0" w:color="auto"/>
      </w:divBdr>
    </w:div>
    <w:div w:id="2062360217">
      <w:bodyDiv w:val="1"/>
      <w:marLeft w:val="0"/>
      <w:marRight w:val="0"/>
      <w:marTop w:val="0"/>
      <w:marBottom w:val="0"/>
      <w:divBdr>
        <w:top w:val="none" w:sz="0" w:space="0" w:color="auto"/>
        <w:left w:val="none" w:sz="0" w:space="0" w:color="auto"/>
        <w:bottom w:val="none" w:sz="0" w:space="0" w:color="auto"/>
        <w:right w:val="none" w:sz="0" w:space="0" w:color="auto"/>
      </w:divBdr>
    </w:div>
    <w:div w:id="2069764164">
      <w:bodyDiv w:val="1"/>
      <w:marLeft w:val="0"/>
      <w:marRight w:val="0"/>
      <w:marTop w:val="0"/>
      <w:marBottom w:val="0"/>
      <w:divBdr>
        <w:top w:val="none" w:sz="0" w:space="0" w:color="auto"/>
        <w:left w:val="none" w:sz="0" w:space="0" w:color="auto"/>
        <w:bottom w:val="none" w:sz="0" w:space="0" w:color="auto"/>
        <w:right w:val="none" w:sz="0" w:space="0" w:color="auto"/>
      </w:divBdr>
    </w:div>
    <w:div w:id="20796667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c/4a22/3eba/a499b54091a1c1e22bb7b54e/sbstta-21-02-en.pdf" TargetMode="External"/><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sbstta/sbstta-21/official/sbstta-21-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Blank%20with%20mast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BEDA8-C2DC-4D35-A4C1-826D2605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with masthead.dot</Template>
  <TotalTime>1</TotalTime>
  <Pages>7</Pages>
  <Words>2678</Words>
  <Characters>15266</Characters>
  <Application>Microsoft Office Word</Application>
  <DocSecurity>4</DocSecurity>
  <Lines>127</Lines>
  <Paragraphs>35</Paragraphs>
  <ScaleCrop>false</ScaleCrop>
  <HeadingPairs>
    <vt:vector size="2" baseType="variant">
      <vt:variant>
        <vt:lpstr>Title</vt:lpstr>
      </vt:variant>
      <vt:variant>
        <vt:i4>1</vt:i4>
      </vt:variant>
    </vt:vector>
  </HeadingPairs>
  <TitlesOfParts>
    <vt:vector size="1" baseType="lpstr">
      <vt:lpstr>Multiscale, cross-sectoral scenarios for nature futures: The positive visions for biodiversity, ecosystem services, and human well-being</vt:lpstr>
    </vt:vector>
  </TitlesOfParts>
  <Company>Biodiversity</Company>
  <LinksUpToDate>false</LinksUpToDate>
  <CharactersWithSpaces>17909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Multiscale, cross-sectoral scenarios for nature futures: The positive visions for biodiversity, ecosystem services, and human well-being</dc:title>
  <dc:creator>SCBD</dc:creator>
  <cp:lastModifiedBy>veronique lefebvre</cp:lastModifiedBy>
  <cp:revision>2</cp:revision>
  <cp:lastPrinted>2017-12-07T17:15:00Z</cp:lastPrinted>
  <dcterms:created xsi:type="dcterms:W3CDTF">2018-05-24T20:39:00Z</dcterms:created>
  <dcterms:modified xsi:type="dcterms:W3CDTF">2018-05-24T20:39:00Z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id="yL3ySDcN"/&gt;&lt;style id="http://www.zotero.org/styles/council-of-science-editors-author-date" hasBibliography="1" bibliographyStyleHasBeenSet="0"/&gt;&lt;prefs&gt;&lt;pref name="fieldType" value="Field"/&gt;&lt;pr</vt:lpwstr>
  </property>
  <property fmtid="{D5CDD505-2E9C-101B-9397-08002B2CF9AE}" pid="3" name="ZOTERO_PREF_2">
    <vt:lpwstr>ef name="storeReferences" value="true"/&gt;&lt;pref name="automaticJournalAbbreviations" value="true"/&gt;&lt;pref name="noteType" value=""/&gt;&lt;/prefs&gt;&lt;/data&gt;</vt:lpwstr>
  </property>
</Properties>
</file>