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6"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70495286" w:rsidRPr="00FB5668" w:rsidRDefault="70495286">
      <w:pPr>
        <w:rPr>
          <w:lang w:val="fr-CA"/>
        </w:rPr>
      </w:pPr>
    </w:p>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8"/>
        <w:gridCol w:w="3933"/>
        <w:gridCol w:w="5802"/>
      </w:tblGrid>
      <w:tr w:rsidR="00A96B21" w:rsidRPr="00FB5668" w:rsidTr="00D9044B">
        <w:trPr>
          <w:trHeight w:val="851"/>
        </w:trPr>
        <w:tc>
          <w:tcPr>
            <w:tcW w:w="465" w:type="pct"/>
            <w:tcBorders>
              <w:bottom w:val="single" w:sz="8" w:space="0" w:color="auto"/>
            </w:tcBorders>
            <w:vAlign w:val="bottom"/>
          </w:tcPr>
          <w:p w:rsidR="00A96B21" w:rsidRPr="00FB5668" w:rsidRDefault="00A96B21" w:rsidP="00D9044B">
            <w:pPr>
              <w:spacing w:after="120"/>
              <w:jc w:val="left"/>
              <w:rPr>
                <w:lang w:val="fr-CA"/>
              </w:rPr>
            </w:pPr>
            <w:bookmarkStart w:id="0" w:name="_Hlk137651738"/>
            <w:r w:rsidRPr="00FB5668">
              <w:rPr>
                <w:noProof/>
                <w:lang w:val="fr-CA" w:eastAsia="fr-CA"/>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A96B21" w:rsidRPr="00FB5668" w:rsidRDefault="00212F2F" w:rsidP="00D9044B">
            <w:pPr>
              <w:spacing w:after="120"/>
              <w:jc w:val="left"/>
              <w:rPr>
                <w:lang w:val="fr-CA"/>
              </w:rPr>
            </w:pPr>
            <w:r w:rsidRPr="00FB5668">
              <w:rPr>
                <w:noProof/>
                <w:lang w:val="fr-CA" w:eastAsia="fr-CA"/>
              </w:rPr>
              <w:drawing>
                <wp:inline distT="0" distB="0" distL="0" distR="0">
                  <wp:extent cx="481965" cy="276860"/>
                  <wp:effectExtent l="0" t="0" r="0" b="889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481965" cy="276860"/>
                          </a:xfrm>
                          <a:prstGeom prst="rect">
                            <a:avLst/>
                          </a:prstGeom>
                          <a:noFill/>
                          <a:ln>
                            <a:noFill/>
                          </a:ln>
                        </pic:spPr>
                      </pic:pic>
                    </a:graphicData>
                  </a:graphic>
                </wp:inline>
              </w:drawing>
            </w:r>
          </w:p>
        </w:tc>
        <w:tc>
          <w:tcPr>
            <w:tcW w:w="2703" w:type="pct"/>
            <w:tcBorders>
              <w:bottom w:val="single" w:sz="8" w:space="0" w:color="auto"/>
            </w:tcBorders>
            <w:vAlign w:val="bottom"/>
          </w:tcPr>
          <w:p w:rsidR="00A96B21" w:rsidRPr="00FB5668" w:rsidRDefault="00A96B21" w:rsidP="00184909">
            <w:pPr>
              <w:spacing w:after="120"/>
              <w:ind w:left="2021"/>
              <w:jc w:val="right"/>
              <w:rPr>
                <w:szCs w:val="22"/>
                <w:lang w:val="fr-CA"/>
              </w:rPr>
            </w:pPr>
            <w:r w:rsidRPr="00FB5668">
              <w:rPr>
                <w:sz w:val="40"/>
                <w:szCs w:val="40"/>
                <w:lang w:val="fr-CA"/>
              </w:rPr>
              <w:t>CBD</w:t>
            </w:r>
            <w:r w:rsidRPr="00FB5668">
              <w:rPr>
                <w:szCs w:val="22"/>
                <w:lang w:val="fr-CA"/>
              </w:rPr>
              <w:t>/CP/MOP/11/L.1/</w:t>
            </w:r>
            <w:proofErr w:type="spellStart"/>
            <w:r w:rsidRPr="00FB5668">
              <w:rPr>
                <w:szCs w:val="22"/>
                <w:lang w:val="fr-CA"/>
              </w:rPr>
              <w:t>Rev</w:t>
            </w:r>
            <w:proofErr w:type="spellEnd"/>
            <w:r w:rsidRPr="00FB5668">
              <w:rPr>
                <w:szCs w:val="22"/>
                <w:lang w:val="fr-CA"/>
              </w:rPr>
              <w:t>.1</w:t>
            </w:r>
          </w:p>
        </w:tc>
      </w:tr>
      <w:tr w:rsidR="00A96B21" w:rsidRPr="00FB5668" w:rsidTr="00D9044B">
        <w:tc>
          <w:tcPr>
            <w:tcW w:w="2297" w:type="pct"/>
            <w:gridSpan w:val="2"/>
            <w:tcBorders>
              <w:top w:val="single" w:sz="8" w:space="0" w:color="auto"/>
              <w:bottom w:val="single" w:sz="12" w:space="0" w:color="auto"/>
            </w:tcBorders>
          </w:tcPr>
          <w:p w:rsidR="00A96B21" w:rsidRPr="00FB5668" w:rsidRDefault="00212F2F" w:rsidP="00D9044B">
            <w:pPr>
              <w:pStyle w:val="Cornernotation"/>
              <w:suppressLineNumbers/>
              <w:suppressAutoHyphens/>
              <w:spacing w:before="120" w:after="120"/>
              <w:ind w:right="0"/>
              <w:rPr>
                <w:lang w:val="fr-CA"/>
              </w:rPr>
            </w:pPr>
            <w:r w:rsidRPr="00FB5668">
              <w:rPr>
                <w:noProof/>
                <w:lang w:val="fr-CA" w:eastAsia="fr-CA"/>
              </w:rPr>
              <w:drawing>
                <wp:inline distT="0" distB="0" distL="0" distR="0">
                  <wp:extent cx="2857500" cy="1076325"/>
                  <wp:effectExtent l="0" t="0" r="0" b="9525"/>
                  <wp:docPr id="5" name="Pictur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BD_logo_fr-CMYK-black [Converted]"/>
                          <pic:cNvPicPr>
                            <a:picLocks noChangeAspect="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rsidR="00A96B21" w:rsidRPr="00FB5668" w:rsidRDefault="00C75BDE" w:rsidP="007F7E8B">
            <w:pPr>
              <w:ind w:left="2584"/>
              <w:jc w:val="left"/>
              <w:rPr>
                <w:noProof/>
                <w:lang w:val="fr-CA"/>
              </w:rPr>
            </w:pPr>
            <w:r>
              <w:rPr>
                <w:noProof/>
                <w:lang w:val="fr-CA"/>
              </w:rPr>
              <w:t>Distr. : L</w:t>
            </w:r>
            <w:r w:rsidR="00A96B21" w:rsidRPr="00FB5668">
              <w:rPr>
                <w:noProof/>
                <w:lang w:val="fr-CA"/>
              </w:rPr>
              <w:t>imitée</w:t>
            </w:r>
          </w:p>
          <w:p w:rsidR="00A96B21" w:rsidRPr="00FB5668" w:rsidRDefault="00347F25" w:rsidP="00A507D4">
            <w:pPr>
              <w:ind w:left="2584"/>
              <w:jc w:val="left"/>
              <w:rPr>
                <w:lang w:val="fr-CA"/>
              </w:rPr>
            </w:pPr>
            <w:r w:rsidRPr="00FB5668">
              <w:rPr>
                <w:noProof/>
                <w:lang w:val="fr-CA"/>
              </w:rPr>
              <w:t>26 février</w:t>
            </w:r>
            <w:r w:rsidRPr="00FB5668">
              <w:rPr>
                <w:lang w:val="fr-CA"/>
              </w:rPr>
              <w:t> </w:t>
            </w:r>
            <w:r w:rsidR="002F61C8" w:rsidRPr="00FB5668">
              <w:rPr>
                <w:lang w:val="fr-CA"/>
              </w:rPr>
              <w:t>2025</w:t>
            </w:r>
          </w:p>
          <w:p w:rsidR="00A96B21" w:rsidRPr="00FB5668" w:rsidRDefault="00347F25" w:rsidP="003C6F10">
            <w:pPr>
              <w:ind w:left="2584"/>
              <w:rPr>
                <w:lang w:val="fr-CA"/>
              </w:rPr>
            </w:pPr>
            <w:r w:rsidRPr="00FB5668">
              <w:rPr>
                <w:lang w:val="fr-CA"/>
              </w:rPr>
              <w:t>Français</w:t>
            </w:r>
            <w:r w:rsidRPr="00FB5668">
              <w:rPr>
                <w:lang w:val="fr-CA"/>
              </w:rPr>
              <w:br/>
              <w:t>Original : A</w:t>
            </w:r>
            <w:r w:rsidR="00A96B21" w:rsidRPr="00FB5668">
              <w:rPr>
                <w:lang w:val="fr-CA"/>
              </w:rPr>
              <w:t>nglais</w:t>
            </w:r>
          </w:p>
          <w:p w:rsidR="00A96B21" w:rsidRPr="00FB5668" w:rsidRDefault="00A96B21" w:rsidP="00D9044B">
            <w:pPr>
              <w:rPr>
                <w:lang w:val="fr-CA"/>
              </w:rPr>
            </w:pPr>
          </w:p>
        </w:tc>
      </w:tr>
    </w:tbl>
    <w:p w:rsidR="00A96B21" w:rsidRPr="00FB5668" w:rsidRDefault="00392FF8" w:rsidP="00A96B21">
      <w:pPr>
        <w:pStyle w:val="Cornernotation"/>
        <w:rPr>
          <w:bCs/>
          <w:sz w:val="22"/>
          <w:lang w:val="fr-CA"/>
        </w:rPr>
      </w:pPr>
      <w:r w:rsidRPr="00FB5668">
        <w:rPr>
          <w:lang w:val="fr-CA"/>
        </w:rPr>
        <w:t xml:space="preserve">Conférence des Parties à la Convention sur </w:t>
      </w:r>
      <w:r w:rsidRPr="00FB5668">
        <w:rPr>
          <w:lang w:val="fr-CA"/>
        </w:rPr>
        <w:br/>
        <w:t xml:space="preserve">la diversité biologique siégeant en tant que réunion </w:t>
      </w:r>
      <w:r w:rsidRPr="00FB5668">
        <w:rPr>
          <w:lang w:val="fr-CA"/>
        </w:rPr>
        <w:br/>
        <w:t xml:space="preserve">des Parties au Protocole de Cartagena sur la </w:t>
      </w:r>
      <w:r w:rsidRPr="00FB5668">
        <w:rPr>
          <w:lang w:val="fr-CA"/>
        </w:rPr>
        <w:br/>
        <w:t>prévention des risques biotechnologiques</w:t>
      </w:r>
    </w:p>
    <w:p w:rsidR="00392FF8" w:rsidRPr="00FB5668" w:rsidRDefault="00392FF8" w:rsidP="00A96B21">
      <w:pPr>
        <w:pStyle w:val="Venuedate"/>
        <w:rPr>
          <w:b/>
          <w:bCs w:val="0"/>
          <w:lang w:val="fr-CA"/>
        </w:rPr>
      </w:pPr>
      <w:r w:rsidRPr="00FB5668">
        <w:rPr>
          <w:b/>
          <w:bCs w:val="0"/>
          <w:lang w:val="fr-CA"/>
        </w:rPr>
        <w:t>Onzième réunion</w:t>
      </w:r>
    </w:p>
    <w:p w:rsidR="00A96B21" w:rsidRPr="00FB5668" w:rsidRDefault="00347F25" w:rsidP="00182866">
      <w:pPr>
        <w:pStyle w:val="Venuedate"/>
        <w:ind w:right="3125"/>
        <w:rPr>
          <w:lang w:val="fr-CA"/>
        </w:rPr>
      </w:pPr>
      <w:r w:rsidRPr="00FB5668">
        <w:rPr>
          <w:lang w:val="fr-CA"/>
        </w:rPr>
        <w:t>Cali (Colombie), 21 </w:t>
      </w:r>
      <w:r w:rsidR="00392FF8" w:rsidRPr="00FB5668">
        <w:rPr>
          <w:lang w:val="fr-CA"/>
        </w:rPr>
        <w:t>octobre-1</w:t>
      </w:r>
      <w:r w:rsidR="00392FF8" w:rsidRPr="00FB5668">
        <w:rPr>
          <w:vertAlign w:val="superscript"/>
          <w:lang w:val="fr-CA"/>
        </w:rPr>
        <w:t>er</w:t>
      </w:r>
      <w:r w:rsidRPr="00FB5668">
        <w:rPr>
          <w:lang w:val="fr-CA"/>
        </w:rPr>
        <w:t> novembre </w:t>
      </w:r>
      <w:r w:rsidR="00392FF8" w:rsidRPr="00FB5668">
        <w:rPr>
          <w:lang w:val="fr-CA"/>
        </w:rPr>
        <w:t>2024</w:t>
      </w:r>
      <w:r w:rsidR="00392FF8" w:rsidRPr="00FB5668">
        <w:rPr>
          <w:lang w:val="fr-CA"/>
        </w:rPr>
        <w:br/>
        <w:t>En ligne, 3-</w:t>
      </w:r>
      <w:r w:rsidRPr="00FB5668">
        <w:rPr>
          <w:color w:val="000000"/>
          <w:lang w:val="fr-CA"/>
        </w:rPr>
        <w:t>6 décembre </w:t>
      </w:r>
      <w:r w:rsidR="00392FF8" w:rsidRPr="00FB5668">
        <w:rPr>
          <w:color w:val="000000"/>
          <w:lang w:val="fr-CA"/>
        </w:rPr>
        <w:t xml:space="preserve">2024 </w:t>
      </w:r>
      <w:r w:rsidR="00392FF8" w:rsidRPr="00FB5668">
        <w:rPr>
          <w:color w:val="000000"/>
          <w:lang w:val="fr-CA"/>
        </w:rPr>
        <w:br/>
      </w:r>
      <w:r w:rsidR="00392FF8" w:rsidRPr="00FB5668">
        <w:rPr>
          <w:lang w:val="fr-CA"/>
        </w:rPr>
        <w:t xml:space="preserve">Rome, </w:t>
      </w:r>
      <w:r w:rsidR="00392FF8" w:rsidRPr="00FB5668">
        <w:rPr>
          <w:color w:val="000000"/>
          <w:lang w:val="fr-CA"/>
        </w:rPr>
        <w:t>25</w:t>
      </w:r>
      <w:r w:rsidR="00392FF8" w:rsidRPr="00FB5668">
        <w:rPr>
          <w:lang w:val="fr-CA"/>
        </w:rPr>
        <w:t>-</w:t>
      </w:r>
      <w:r w:rsidRPr="00FB5668">
        <w:rPr>
          <w:color w:val="000000"/>
          <w:lang w:val="fr-CA"/>
        </w:rPr>
        <w:t>27 février </w:t>
      </w:r>
      <w:r w:rsidR="00392FF8" w:rsidRPr="00FB5668">
        <w:rPr>
          <w:color w:val="000000"/>
          <w:lang w:val="fr-CA"/>
        </w:rPr>
        <w:t>2025</w:t>
      </w:r>
    </w:p>
    <w:p w:rsidR="00A96B21" w:rsidRPr="00FB5668" w:rsidRDefault="00520000" w:rsidP="00A96B21">
      <w:pPr>
        <w:pStyle w:val="Cornernotation-Item"/>
        <w:rPr>
          <w:b w:val="0"/>
          <w:bCs w:val="0"/>
          <w:lang w:val="fr-CA"/>
        </w:rPr>
      </w:pPr>
      <w:r w:rsidRPr="00FB5668">
        <w:rPr>
          <w:b w:val="0"/>
          <w:bCs w:val="0"/>
          <w:lang w:val="fr-CA"/>
        </w:rPr>
        <w:t>Point 16 de l’ordre du jour</w:t>
      </w:r>
    </w:p>
    <w:p w:rsidR="00A96B21" w:rsidRPr="00FB5668" w:rsidRDefault="00520000" w:rsidP="00F62CB6">
      <w:pPr>
        <w:pStyle w:val="Cornernotation-Item"/>
        <w:ind w:right="4398"/>
        <w:rPr>
          <w:lang w:val="fr-CA"/>
        </w:rPr>
      </w:pPr>
      <w:r w:rsidRPr="00FB5668">
        <w:rPr>
          <w:lang w:val="fr-CA"/>
        </w:rPr>
        <w:t>Adoption du rapport</w:t>
      </w:r>
    </w:p>
    <w:bookmarkEnd w:id="0"/>
    <w:p w:rsidR="00A96B21" w:rsidRPr="00FB5668" w:rsidRDefault="009E63C6" w:rsidP="00131910">
      <w:pPr>
        <w:pStyle w:val="CBDTitle"/>
        <w:rPr>
          <w:lang w:val="fr-CA"/>
        </w:rPr>
      </w:pPr>
      <w:sdt>
        <w:sdtPr>
          <w:rPr>
            <w:lang w:val="fr-CA"/>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212F2F" w:rsidRPr="00FB5668">
            <w:rPr>
              <w:lang w:val="fr-CA"/>
            </w:rPr>
            <w:t>Projet de rapport de la réunion</w:t>
          </w:r>
        </w:sdtContent>
      </w:sdt>
    </w:p>
    <w:p w:rsidR="00557370" w:rsidRPr="00FB5668" w:rsidRDefault="002B38F5" w:rsidP="002B38F5">
      <w:pPr>
        <w:pStyle w:val="CBDH1"/>
        <w:rPr>
          <w:lang w:val="fr-CA"/>
        </w:rPr>
      </w:pPr>
      <w:r w:rsidRPr="00FB5668">
        <w:rPr>
          <w:lang w:val="fr-CA"/>
        </w:rPr>
        <w:t>I.</w:t>
      </w:r>
      <w:r w:rsidRPr="00FB5668">
        <w:rPr>
          <w:lang w:val="fr-CA"/>
        </w:rPr>
        <w:tab/>
        <w:t>Introduction</w:t>
      </w:r>
    </w:p>
    <w:p w:rsidR="002B38F5" w:rsidRPr="00FB5668" w:rsidRDefault="002B38F5" w:rsidP="002B38F5">
      <w:pPr>
        <w:pStyle w:val="CBDH2"/>
        <w:rPr>
          <w:lang w:val="fr-CA"/>
        </w:rPr>
      </w:pPr>
      <w:r w:rsidRPr="00FB5668">
        <w:rPr>
          <w:lang w:val="fr-CA"/>
        </w:rPr>
        <w:t>A.</w:t>
      </w:r>
      <w:r w:rsidRPr="00FB5668">
        <w:rPr>
          <w:lang w:val="fr-CA"/>
        </w:rPr>
        <w:tab/>
        <w:t>Contexte</w:t>
      </w:r>
    </w:p>
    <w:p w:rsidR="005E4A59" w:rsidRPr="00FB5668" w:rsidRDefault="006B49C8" w:rsidP="00A02EDB">
      <w:pPr>
        <w:pStyle w:val="CBDNormalNumber"/>
        <w:rPr>
          <w:lang w:val="fr-CA"/>
        </w:rPr>
      </w:pPr>
      <w:r w:rsidRPr="00FB5668">
        <w:rPr>
          <w:lang w:val="fr-CA"/>
        </w:rPr>
        <w:t xml:space="preserve">La onzième réunion de la Conférence des Parties siégeant en tant que réunion des Parties au Protocole de Cartagena sur la prévention des risques biotechnologiques s’est tenue parallèlement à la seizième réunion de la Conférence des Parties à la Convention sur la diversité biologique et à la cinquième réunion de la Conférence des Parties siégeant en tant que réunion des Parties au Protocole de Nagoya sur l’accès aux ressources génétiques et le partage juste et équitable des avantages découlant de leur utilisation. La onzième réunion a débuté à Cali, en Colombie, le 21 octobre 2024 et a dû être suspendue le 2 novembre 2024 au matin, en l'absence du quorum requis, avant que tous les points aient pu être examinés en séance plénière. En conséquence, une première réunion de reprise s'est tenue en ligne, dans le cadre d'une procédure d'approbation tacite, du 3 au 6 décembre 2024 pour examiner les décisions relatives au budget (voir le point 6 ci-dessous), et une deuxième réunion de reprise s'est tenue en </w:t>
      </w:r>
      <w:proofErr w:type="spellStart"/>
      <w:r w:rsidRPr="00FB5668">
        <w:rPr>
          <w:lang w:val="fr-CA"/>
        </w:rPr>
        <w:t>présentiel</w:t>
      </w:r>
      <w:proofErr w:type="spellEnd"/>
      <w:r w:rsidRPr="00FB5668">
        <w:rPr>
          <w:lang w:val="fr-CA"/>
        </w:rPr>
        <w:t xml:space="preserve"> à Rome du 25 au 27 février 2025 pour examiner tous les points restants (voir les poin</w:t>
      </w:r>
      <w:r w:rsidR="00117D3A">
        <w:rPr>
          <w:lang w:val="fr-CA"/>
        </w:rPr>
        <w:t>ts 1 à 3 et 15 à 17 ci-dessous)</w:t>
      </w:r>
      <w:r w:rsidR="004217C1">
        <w:rPr>
          <w:lang w:val="fr-CA"/>
        </w:rPr>
        <w:t>.</w:t>
      </w:r>
      <w:r w:rsidRPr="00FB5668">
        <w:rPr>
          <w:lang w:val="fr-CA"/>
        </w:rPr>
        <w:t xml:space="preserve"> </w:t>
      </w:r>
    </w:p>
    <w:p w:rsidR="00557370" w:rsidRPr="00FB5668" w:rsidRDefault="005E4A59" w:rsidP="00A02EDB">
      <w:pPr>
        <w:pStyle w:val="CBDNormalNumber"/>
        <w:rPr>
          <w:lang w:val="fr-CA"/>
        </w:rPr>
      </w:pPr>
      <w:r w:rsidRPr="00FB5668">
        <w:rPr>
          <w:lang w:val="fr-CA"/>
        </w:rPr>
        <w:t xml:space="preserve">La onzième réunion a été précédée d’une cérémonie d’ouverture le 20 octobre, comprenant une présentation culturelle et des déclarations du Président colombien, Gustavo Petro </w:t>
      </w:r>
      <w:proofErr w:type="spellStart"/>
      <w:r w:rsidRPr="00FB5668">
        <w:rPr>
          <w:lang w:val="fr-CA"/>
        </w:rPr>
        <w:t>Urrego</w:t>
      </w:r>
      <w:proofErr w:type="spellEnd"/>
      <w:r w:rsidRPr="00FB5668">
        <w:rPr>
          <w:lang w:val="fr-CA"/>
        </w:rPr>
        <w:t xml:space="preserve">, du Secrétaire général des Nations Unies, António </w:t>
      </w:r>
      <w:proofErr w:type="spellStart"/>
      <w:r w:rsidRPr="00FB5668">
        <w:rPr>
          <w:lang w:val="fr-CA"/>
        </w:rPr>
        <w:t>Guterres</w:t>
      </w:r>
      <w:proofErr w:type="spellEnd"/>
      <w:r w:rsidRPr="00FB5668">
        <w:rPr>
          <w:lang w:val="fr-CA"/>
        </w:rPr>
        <w:t xml:space="preserve">, du Ministre de l’écologie et de l’environnement de la Chine et Président de la quinzième réunion de la Conférence des Parties à la Convention, </w:t>
      </w:r>
      <w:proofErr w:type="spellStart"/>
      <w:r w:rsidRPr="00FB5668">
        <w:rPr>
          <w:lang w:val="fr-CA"/>
        </w:rPr>
        <w:t>Runqiu</w:t>
      </w:r>
      <w:proofErr w:type="spellEnd"/>
      <w:r w:rsidRPr="00FB5668">
        <w:rPr>
          <w:lang w:val="fr-CA"/>
        </w:rPr>
        <w:t xml:space="preserve"> Huang, de la Ministre colombienne de l’environnement et du développement durable, Maria Susana </w:t>
      </w:r>
      <w:proofErr w:type="spellStart"/>
      <w:r w:rsidRPr="00FB5668">
        <w:rPr>
          <w:lang w:val="fr-CA"/>
        </w:rPr>
        <w:t>Muhamad</w:t>
      </w:r>
      <w:proofErr w:type="spellEnd"/>
      <w:r w:rsidRPr="00FB5668">
        <w:rPr>
          <w:lang w:val="fr-CA"/>
        </w:rPr>
        <w:t xml:space="preserve"> González, de la Gouverneure du département de Valle </w:t>
      </w:r>
      <w:proofErr w:type="spellStart"/>
      <w:r w:rsidRPr="00FB5668">
        <w:rPr>
          <w:lang w:val="fr-CA"/>
        </w:rPr>
        <w:t>del</w:t>
      </w:r>
      <w:proofErr w:type="spellEnd"/>
      <w:r w:rsidRPr="00FB5668">
        <w:rPr>
          <w:lang w:val="fr-CA"/>
        </w:rPr>
        <w:t xml:space="preserve"> Cauca, </w:t>
      </w:r>
      <w:proofErr w:type="spellStart"/>
      <w:r w:rsidRPr="00FB5668">
        <w:rPr>
          <w:lang w:val="fr-CA"/>
        </w:rPr>
        <w:t>Dilian</w:t>
      </w:r>
      <w:proofErr w:type="spellEnd"/>
      <w:r w:rsidRPr="00FB5668">
        <w:rPr>
          <w:lang w:val="fr-CA"/>
        </w:rPr>
        <w:t xml:space="preserve"> </w:t>
      </w:r>
      <w:proofErr w:type="spellStart"/>
      <w:r w:rsidRPr="00FB5668">
        <w:rPr>
          <w:lang w:val="fr-CA"/>
        </w:rPr>
        <w:t>Francisca</w:t>
      </w:r>
      <w:proofErr w:type="spellEnd"/>
      <w:r w:rsidRPr="00FB5668">
        <w:rPr>
          <w:lang w:val="fr-CA"/>
        </w:rPr>
        <w:t xml:space="preserve"> </w:t>
      </w:r>
      <w:proofErr w:type="spellStart"/>
      <w:r w:rsidRPr="00FB5668">
        <w:rPr>
          <w:lang w:val="fr-CA"/>
        </w:rPr>
        <w:t>Toro</w:t>
      </w:r>
      <w:proofErr w:type="spellEnd"/>
      <w:r w:rsidRPr="00FB5668">
        <w:rPr>
          <w:lang w:val="fr-CA"/>
        </w:rPr>
        <w:t xml:space="preserve"> Torres, et du Maire de Cali, </w:t>
      </w:r>
      <w:proofErr w:type="spellStart"/>
      <w:r w:rsidRPr="00FB5668">
        <w:rPr>
          <w:lang w:val="fr-CA"/>
        </w:rPr>
        <w:t>Álvaro</w:t>
      </w:r>
      <w:proofErr w:type="spellEnd"/>
      <w:r w:rsidRPr="00FB5668">
        <w:rPr>
          <w:lang w:val="fr-CA"/>
        </w:rPr>
        <w:t xml:space="preserve"> Alejandro Eder </w:t>
      </w:r>
      <w:proofErr w:type="spellStart"/>
      <w:r w:rsidRPr="00FB5668">
        <w:rPr>
          <w:lang w:val="fr-CA"/>
        </w:rPr>
        <w:t>Garcés</w:t>
      </w:r>
      <w:proofErr w:type="spellEnd"/>
      <w:r w:rsidRPr="00FB5668">
        <w:rPr>
          <w:lang w:val="fr-CA"/>
        </w:rPr>
        <w:t>.</w:t>
      </w:r>
    </w:p>
    <w:p w:rsidR="002B38F5" w:rsidRPr="00FB5668" w:rsidRDefault="002B38F5" w:rsidP="002B38F5">
      <w:pPr>
        <w:pStyle w:val="CBDH2"/>
        <w:rPr>
          <w:lang w:val="fr-CA"/>
        </w:rPr>
      </w:pPr>
      <w:r w:rsidRPr="00FB5668">
        <w:rPr>
          <w:lang w:val="fr-CA"/>
        </w:rPr>
        <w:t>B.</w:t>
      </w:r>
      <w:r w:rsidRPr="00FB5668">
        <w:rPr>
          <w:lang w:val="fr-CA"/>
        </w:rPr>
        <w:tab/>
        <w:t>Participation</w:t>
      </w:r>
    </w:p>
    <w:p w:rsidR="002B38F5" w:rsidRPr="00FB5668" w:rsidRDefault="00A02EDB" w:rsidP="00A02EDB">
      <w:pPr>
        <w:pStyle w:val="CBDNormalNumber"/>
        <w:rPr>
          <w:lang w:val="fr-CA"/>
        </w:rPr>
      </w:pPr>
      <w:r w:rsidRPr="00FB5668">
        <w:rPr>
          <w:lang w:val="fr-CA"/>
        </w:rPr>
        <w:t>[à compléter]</w:t>
      </w:r>
    </w:p>
    <w:p w:rsidR="00997CD4" w:rsidRPr="00FB5668" w:rsidRDefault="00997CD4" w:rsidP="001038CE">
      <w:pPr>
        <w:pStyle w:val="CBDH1"/>
        <w:rPr>
          <w:lang w:val="fr-CA"/>
        </w:rPr>
      </w:pPr>
      <w:r w:rsidRPr="00FB5668">
        <w:rPr>
          <w:lang w:val="fr-CA"/>
        </w:rPr>
        <w:lastRenderedPageBreak/>
        <w:t>II.</w:t>
      </w:r>
      <w:r w:rsidRPr="00FB5668">
        <w:rPr>
          <w:lang w:val="fr-CA"/>
        </w:rPr>
        <w:tab/>
        <w:t>Travaux</w:t>
      </w:r>
    </w:p>
    <w:p w:rsidR="00557370" w:rsidRPr="00FB5668" w:rsidRDefault="004E26AC" w:rsidP="006F791E">
      <w:pPr>
        <w:pStyle w:val="CBDAgendaItem"/>
        <w:rPr>
          <w:lang w:val="fr-CA"/>
        </w:rPr>
      </w:pPr>
      <w:r w:rsidRPr="00FB5668">
        <w:rPr>
          <w:lang w:val="fr-CA"/>
        </w:rPr>
        <w:t xml:space="preserve">Point 1 </w:t>
      </w:r>
      <w:r w:rsidRPr="00FB5668">
        <w:rPr>
          <w:lang w:val="fr-CA"/>
        </w:rPr>
        <w:br/>
        <w:t>Ouverture de la réunion</w:t>
      </w:r>
    </w:p>
    <w:p w:rsidR="005E4A59" w:rsidRPr="00FB5668" w:rsidRDefault="00392FF8" w:rsidP="006B49C8">
      <w:pPr>
        <w:pStyle w:val="CBDNormalNumber"/>
        <w:spacing w:before="0"/>
        <w:rPr>
          <w:lang w:val="fr-CA"/>
        </w:rPr>
      </w:pPr>
      <w:r w:rsidRPr="00FB5668">
        <w:rPr>
          <w:lang w:val="fr-CA"/>
        </w:rPr>
        <w:t>La première séance plénière s’est tenue conjointement avec celles de la Conférence des Parties à la Convention et de la Conférence des Parties siégeant en tant que réunion des Parties au Protocole de Nagoya, le 21 octobre </w:t>
      </w:r>
      <w:r w:rsidRPr="00FB5668">
        <w:rPr>
          <w:rFonts w:asciiTheme="majorBidi" w:hAnsiTheme="majorBidi" w:cstheme="majorBidi"/>
          <w:lang w:val="fr-CA"/>
        </w:rPr>
        <w:t>2024.</w:t>
      </w:r>
    </w:p>
    <w:p w:rsidR="00557370" w:rsidRPr="00FB5668" w:rsidRDefault="005E4A59" w:rsidP="0043420D">
      <w:pPr>
        <w:pStyle w:val="CBDNormalNumber"/>
        <w:rPr>
          <w:lang w:val="fr-CA"/>
        </w:rPr>
      </w:pPr>
      <w:r w:rsidRPr="00FB5668">
        <w:rPr>
          <w:lang w:val="fr-CA"/>
        </w:rPr>
        <w:t>Le président de la quinzième réunion de la Conférence des Parties à la Convention a déclaré les réunions ouvertes à 9 h 30 et a prononcé son allocution d’ouverture.</w:t>
      </w:r>
    </w:p>
    <w:p w:rsidR="000C4370" w:rsidRPr="00FB5668" w:rsidRDefault="00CC060D" w:rsidP="00A02EDB">
      <w:pPr>
        <w:pStyle w:val="CBDNormalNumber"/>
        <w:rPr>
          <w:lang w:val="fr-CA"/>
        </w:rPr>
      </w:pPr>
      <w:r w:rsidRPr="00FB5668">
        <w:rPr>
          <w:lang w:val="fr-CA"/>
        </w:rPr>
        <w:t xml:space="preserve">La Secrétaire exécutive de la </w:t>
      </w:r>
      <w:r w:rsidRPr="00FB5668">
        <w:rPr>
          <w:rFonts w:asciiTheme="majorBidi" w:hAnsiTheme="majorBidi" w:cstheme="majorBidi"/>
          <w:lang w:val="fr-CA"/>
        </w:rPr>
        <w:t xml:space="preserve">Convention, Astrid </w:t>
      </w:r>
      <w:proofErr w:type="spellStart"/>
      <w:r w:rsidRPr="00FB5668">
        <w:rPr>
          <w:rFonts w:asciiTheme="majorBidi" w:hAnsiTheme="majorBidi" w:cstheme="majorBidi"/>
          <w:lang w:val="fr-CA"/>
        </w:rPr>
        <w:t>Schomaker</w:t>
      </w:r>
      <w:proofErr w:type="spellEnd"/>
      <w:r w:rsidRPr="00FB5668">
        <w:rPr>
          <w:rFonts w:asciiTheme="majorBidi" w:hAnsiTheme="majorBidi" w:cstheme="majorBidi"/>
          <w:lang w:val="fr-CA"/>
        </w:rPr>
        <w:t>, et la future Présidente de la seizième réunion de la Conférence des Parties à la Convention, la Ministre colombienne de l'environnement et du développement durable ont également prononcé des discours d'ouverture</w:t>
      </w:r>
      <w:r w:rsidRPr="00FB5668">
        <w:rPr>
          <w:rStyle w:val="FootnoteReference"/>
          <w:rFonts w:asciiTheme="majorBidi" w:hAnsiTheme="majorBidi" w:cstheme="majorBidi"/>
          <w:lang w:val="fr-CA"/>
        </w:rPr>
        <w:footnoteReference w:id="2"/>
      </w:r>
      <w:r w:rsidRPr="00FB5668">
        <w:rPr>
          <w:rFonts w:asciiTheme="majorBidi" w:hAnsiTheme="majorBidi" w:cstheme="majorBidi"/>
          <w:lang w:val="fr-CA"/>
        </w:rPr>
        <w:t>.</w:t>
      </w:r>
    </w:p>
    <w:p w:rsidR="00D41006" w:rsidRPr="00FB5668" w:rsidRDefault="00D41006" w:rsidP="00D41006">
      <w:pPr>
        <w:pStyle w:val="CBDNormalNumber"/>
        <w:numPr>
          <w:ilvl w:val="0"/>
          <w:numId w:val="0"/>
        </w:numPr>
        <w:ind w:left="567"/>
        <w:rPr>
          <w:lang w:val="fr-CA"/>
        </w:rPr>
      </w:pPr>
      <w:r w:rsidRPr="00FB5668">
        <w:rPr>
          <w:i/>
          <w:lang w:val="fr-CA"/>
        </w:rPr>
        <w:t>Reprise de la réunion</w:t>
      </w:r>
      <w:r w:rsidRPr="00FB5668">
        <w:rPr>
          <w:lang w:val="fr-CA"/>
        </w:rPr>
        <w:t xml:space="preserve"> </w:t>
      </w:r>
    </w:p>
    <w:p w:rsidR="00D41006" w:rsidRPr="00FB5668" w:rsidRDefault="00D41006" w:rsidP="00A02EDB">
      <w:pPr>
        <w:pStyle w:val="CBDNormalNumber"/>
        <w:rPr>
          <w:lang w:val="fr-CA"/>
        </w:rPr>
      </w:pPr>
      <w:r w:rsidRPr="00FB5668">
        <w:rPr>
          <w:lang w:val="fr-CA"/>
        </w:rPr>
        <w:t xml:space="preserve">La </w:t>
      </w:r>
      <w:r w:rsidR="001B58EC" w:rsidRPr="00FB5668">
        <w:rPr>
          <w:lang w:val="fr-CA"/>
        </w:rPr>
        <w:t>présidente de la onzième réunion de la Conférence des Parties siégeant en tant que réunion des Parties au Protocole, la ministre de l’Environnement et du Développement durable de la Colombie</w:t>
      </w:r>
      <w:r w:rsidR="00F67BC1" w:rsidRPr="00FB5668">
        <w:rPr>
          <w:lang w:val="fr-CA"/>
        </w:rPr>
        <w:t>,</w:t>
      </w:r>
      <w:r w:rsidR="00F67BC1" w:rsidRPr="00FB5668">
        <w:rPr>
          <w:rStyle w:val="FootnoteReference"/>
          <w:lang w:val="fr-CA"/>
        </w:rPr>
        <w:footnoteReference w:id="3"/>
      </w:r>
      <w:r w:rsidR="00F67BC1" w:rsidRPr="00FB5668">
        <w:rPr>
          <w:lang w:val="fr-CA"/>
        </w:rPr>
        <w:t xml:space="preserve"> a ouvert la deu</w:t>
      </w:r>
      <w:r w:rsidR="001B58EC" w:rsidRPr="00FB5668">
        <w:rPr>
          <w:lang w:val="fr-CA"/>
        </w:rPr>
        <w:t>xième repri</w:t>
      </w:r>
      <w:r w:rsidR="00F67BC1" w:rsidRPr="00FB5668">
        <w:rPr>
          <w:lang w:val="fr-CA"/>
        </w:rPr>
        <w:t>se de la réu</w:t>
      </w:r>
      <w:r w:rsidR="001B58EC" w:rsidRPr="00FB5668">
        <w:rPr>
          <w:lang w:val="fr-CA"/>
        </w:rPr>
        <w:t>nion à 10 h 10, le 25 févri</w:t>
      </w:r>
      <w:r w:rsidR="00496944" w:rsidRPr="00FB5668">
        <w:rPr>
          <w:lang w:val="fr-CA"/>
        </w:rPr>
        <w:t>e</w:t>
      </w:r>
      <w:r w:rsidR="001B58EC" w:rsidRPr="00FB5668">
        <w:rPr>
          <w:lang w:val="fr-CA"/>
        </w:rPr>
        <w:t>r 2025, lors de la septième séance plénière.</w:t>
      </w:r>
      <w:r w:rsidR="00F67BC1" w:rsidRPr="00FB5668">
        <w:rPr>
          <w:rStyle w:val="FootnoteReference"/>
          <w:lang w:val="fr-CA"/>
        </w:rPr>
        <w:footnoteReference w:id="4"/>
      </w:r>
    </w:p>
    <w:p w:rsidR="001B58EC" w:rsidRPr="00FB5668" w:rsidRDefault="00F67BC1" w:rsidP="00A02EDB">
      <w:pPr>
        <w:pStyle w:val="CBDNormalNumber"/>
        <w:rPr>
          <w:lang w:val="fr-CA"/>
        </w:rPr>
      </w:pPr>
      <w:r w:rsidRPr="00FB5668">
        <w:rPr>
          <w:lang w:val="fr-CA"/>
        </w:rPr>
        <w:t xml:space="preserve">L’allocution liminaire a été prononcée par la présidente, Secrétaire exécutive de la Convention et directrice exécutive du Programme des Nations Unies pour l’environnement, Elizabeth </w:t>
      </w:r>
      <w:proofErr w:type="spellStart"/>
      <w:r w:rsidRPr="00FB5668">
        <w:rPr>
          <w:lang w:val="fr-CA"/>
        </w:rPr>
        <w:t>Mrema</w:t>
      </w:r>
      <w:proofErr w:type="spellEnd"/>
      <w:r w:rsidRPr="00FB5668">
        <w:rPr>
          <w:lang w:val="fr-CA"/>
        </w:rPr>
        <w:t>, au nom du Secrétaire général.</w:t>
      </w:r>
      <w:r w:rsidRPr="00FB5668">
        <w:rPr>
          <w:rStyle w:val="FootnoteReference"/>
          <w:rFonts w:asciiTheme="majorBidi" w:hAnsiTheme="majorBidi" w:cstheme="majorBidi"/>
          <w:lang w:val="fr-CA"/>
        </w:rPr>
        <w:footnoteReference w:id="5"/>
      </w:r>
      <w:r w:rsidRPr="00FB5668">
        <w:rPr>
          <w:lang w:val="fr-CA"/>
        </w:rPr>
        <w:t xml:space="preserve"> </w:t>
      </w:r>
    </w:p>
    <w:p w:rsidR="00557370" w:rsidRPr="00FB5668" w:rsidRDefault="00CD3E49" w:rsidP="006F791E">
      <w:pPr>
        <w:pStyle w:val="CBDAgendaItem"/>
        <w:rPr>
          <w:lang w:val="fr-CA"/>
        </w:rPr>
      </w:pPr>
      <w:r w:rsidRPr="00FB5668">
        <w:rPr>
          <w:lang w:val="fr-CA"/>
        </w:rPr>
        <w:t xml:space="preserve">Point 2 </w:t>
      </w:r>
      <w:r w:rsidRPr="00FB5668">
        <w:rPr>
          <w:lang w:val="fr-CA"/>
        </w:rPr>
        <w:br/>
        <w:t>Questions d'organisation</w:t>
      </w:r>
    </w:p>
    <w:p w:rsidR="00DE75A6" w:rsidRPr="00FB5668" w:rsidRDefault="00005AFF" w:rsidP="00A26CD4">
      <w:pPr>
        <w:pStyle w:val="CBDNormalNumber"/>
        <w:rPr>
          <w:lang w:val="fr-CA"/>
        </w:rPr>
      </w:pPr>
      <w:r w:rsidRPr="00FB5668">
        <w:rPr>
          <w:lang w:val="fr-CA"/>
        </w:rPr>
        <w:t>La Conférence des Parties siégeant en tant que réunion des Parties au Protocole a examiné le point 2 de l’ordre du jour à sa première séance plénière. Elle était saisie de l'ordre du jour provisoire</w:t>
      </w:r>
      <w:r w:rsidRPr="00FB5668">
        <w:rPr>
          <w:rStyle w:val="FootnoteReference"/>
          <w:lang w:val="fr-CA"/>
        </w:rPr>
        <w:footnoteReference w:id="6"/>
      </w:r>
      <w:r w:rsidRPr="00FB5668">
        <w:rPr>
          <w:lang w:val="fr-CA"/>
        </w:rPr>
        <w:t>, de l'ordre du jour provisoire annoté</w:t>
      </w:r>
      <w:r w:rsidRPr="00FB5668">
        <w:rPr>
          <w:rStyle w:val="FootnoteReference"/>
          <w:lang w:val="fr-CA"/>
        </w:rPr>
        <w:footnoteReference w:id="7"/>
      </w:r>
      <w:r w:rsidRPr="00FB5668">
        <w:rPr>
          <w:lang w:val="fr-CA"/>
        </w:rPr>
        <w:t xml:space="preserve"> et d'une proposition d'organisation des travaux</w:t>
      </w:r>
      <w:r w:rsidRPr="00FB5668">
        <w:rPr>
          <w:rStyle w:val="FootnoteReference"/>
          <w:lang w:val="fr-CA"/>
        </w:rPr>
        <w:footnoteReference w:id="8"/>
      </w:r>
      <w:r w:rsidRPr="00FB5668">
        <w:rPr>
          <w:lang w:val="fr-CA"/>
        </w:rPr>
        <w:t>. Un document d’information sur les procédures d’élection aux postes de vice-présidents de la Conférence des Parties à la Convention et de présidents des organes subsidiaires intergouvernementaux a également été publié dans le cadre de l’examen du point 2</w:t>
      </w:r>
      <w:r w:rsidRPr="00FB5668">
        <w:rPr>
          <w:rStyle w:val="FootnoteReference"/>
          <w:lang w:val="fr-CA"/>
        </w:rPr>
        <w:footnoteReference w:id="9"/>
      </w:r>
      <w:r w:rsidRPr="00FB5668">
        <w:rPr>
          <w:lang w:val="fr-CA"/>
        </w:rPr>
        <w:t>.</w:t>
      </w:r>
    </w:p>
    <w:p w:rsidR="005D01EB" w:rsidRPr="00FB5668" w:rsidRDefault="005D01EB" w:rsidP="005D01EB">
      <w:pPr>
        <w:pStyle w:val="Heading2"/>
        <w:numPr>
          <w:ilvl w:val="0"/>
          <w:numId w:val="0"/>
        </w:numPr>
        <w:suppressLineNumbers/>
        <w:suppressAutoHyphens/>
        <w:ind w:left="567"/>
        <w:rPr>
          <w:rFonts w:asciiTheme="majorBidi" w:hAnsiTheme="majorBidi"/>
          <w:b w:val="0"/>
          <w:bCs/>
          <w:i/>
          <w:iCs/>
          <w:snapToGrid w:val="0"/>
          <w:kern w:val="22"/>
          <w:sz w:val="22"/>
          <w:szCs w:val="22"/>
          <w:lang w:val="fr-CA"/>
        </w:rPr>
      </w:pPr>
      <w:r w:rsidRPr="00FB5668">
        <w:rPr>
          <w:rFonts w:asciiTheme="majorBidi" w:hAnsiTheme="majorBidi"/>
          <w:b w:val="0"/>
          <w:bCs/>
          <w:i/>
          <w:iCs/>
          <w:snapToGrid w:val="0"/>
          <w:kern w:val="22"/>
          <w:sz w:val="22"/>
          <w:szCs w:val="22"/>
          <w:lang w:val="fr-CA"/>
        </w:rPr>
        <w:t>Élection du président</w:t>
      </w:r>
    </w:p>
    <w:p w:rsidR="005D01EB" w:rsidRPr="00FB5668" w:rsidRDefault="005E4A59" w:rsidP="00A26CD4">
      <w:pPr>
        <w:pStyle w:val="CBDNormalNumber"/>
        <w:rPr>
          <w:lang w:val="fr-CA"/>
        </w:rPr>
      </w:pPr>
      <w:r w:rsidRPr="00FB5668">
        <w:rPr>
          <w:lang w:val="fr-CA"/>
        </w:rPr>
        <w:t xml:space="preserve">Conformément au paragraphe 3 de l’article 29 du Protocole de Cartagena, le Bureau de la Conférence des Parties remplit également les fonctions de Bureau de la Conférence des Parties siégeant en tant que réunion des Parties au Protocole. En conséquence, la Ministre de l’environnement et du développement durable de Colombie, qui avait été élue présidente de la seizième réunion de la Conférence des Parties à la Convention, a également exercé les fonctions de présidente de la onzième réunion de la </w:t>
      </w:r>
      <w:bookmarkStart w:id="1" w:name="_Hlk530379052"/>
      <w:r w:rsidRPr="00FB5668">
        <w:rPr>
          <w:lang w:val="fr-CA"/>
        </w:rPr>
        <w:t>Conférence des Parties siégeant en tant que réunion des Parties au Protocole de Cartagena</w:t>
      </w:r>
      <w:bookmarkEnd w:id="1"/>
      <w:r w:rsidRPr="00FB5668">
        <w:rPr>
          <w:lang w:val="fr-CA"/>
        </w:rPr>
        <w:t>.</w:t>
      </w:r>
    </w:p>
    <w:p w:rsidR="00392FF8" w:rsidRPr="00FB5668" w:rsidRDefault="00392FF8" w:rsidP="001038CE">
      <w:pPr>
        <w:pStyle w:val="Para1"/>
        <w:keepNext/>
        <w:tabs>
          <w:tab w:val="clear" w:pos="624"/>
        </w:tabs>
        <w:ind w:left="561"/>
        <w:rPr>
          <w:i/>
          <w:iCs/>
          <w:kern w:val="22"/>
          <w:lang w:val="fr-CA"/>
        </w:rPr>
      </w:pPr>
      <w:r w:rsidRPr="00FB5668">
        <w:rPr>
          <w:i/>
          <w:iCs/>
          <w:kern w:val="22"/>
          <w:lang w:val="fr-CA"/>
        </w:rPr>
        <w:lastRenderedPageBreak/>
        <w:t>Élection des membres remplaçants du Bureau</w:t>
      </w:r>
    </w:p>
    <w:p w:rsidR="00557370" w:rsidRPr="00FB5668" w:rsidRDefault="00D40086" w:rsidP="00B62CC6">
      <w:pPr>
        <w:pStyle w:val="CBDNormalNumber"/>
        <w:rPr>
          <w:lang w:val="fr-CA"/>
        </w:rPr>
      </w:pPr>
      <w:bookmarkStart w:id="2" w:name="_Hlk182205766"/>
      <w:r w:rsidRPr="00FB5668">
        <w:rPr>
          <w:lang w:val="fr-CA"/>
        </w:rPr>
        <w:t xml:space="preserve">Conformément à l'article 21 du règlement intérieur des réunions de la Conférence des Parties à la Convention, qui s'applique avec les modifications qui s’imposent en vertu du Protocole, dix membres du Bureau ont été élus par la Conférence des Parties à la Convention à sa quinzième réunion, pour un mandat se terminant à la clôture de la seizième réunion. </w:t>
      </w:r>
      <w:bookmarkEnd w:id="2"/>
      <w:r w:rsidRPr="00FB5668">
        <w:rPr>
          <w:snapToGrid w:val="0"/>
          <w:kern w:val="22"/>
          <w:lang w:val="fr-CA"/>
        </w:rPr>
        <w:t>Ensuite, un membre du Bureau a été remplacé par la Partie concernée.</w:t>
      </w:r>
      <w:r w:rsidRPr="00FB5668">
        <w:rPr>
          <w:lang w:val="fr-CA"/>
        </w:rPr>
        <w:t xml:space="preserve"> Tous les pays représentés étant Parties au Protocole de Cartagena, le Bureau de la onzième réunion de la Conférence des Parties siégeant en tant que réunion des Parties au Protocole était composé, outre la Présidente, des membres suivants :</w:t>
      </w:r>
    </w:p>
    <w:p w:rsidR="006077F3" w:rsidRPr="00FB5668" w:rsidRDefault="006077F3" w:rsidP="006077F3">
      <w:pPr>
        <w:pStyle w:val="CBDNormalNumber"/>
        <w:numPr>
          <w:ilvl w:val="0"/>
          <w:numId w:val="0"/>
        </w:numPr>
        <w:tabs>
          <w:tab w:val="clear" w:pos="567"/>
        </w:tabs>
        <w:ind w:left="1134"/>
        <w:rPr>
          <w:lang w:val="fr-CA"/>
        </w:rPr>
      </w:pPr>
      <w:proofErr w:type="spellStart"/>
      <w:r w:rsidRPr="00FB5668">
        <w:rPr>
          <w:lang w:val="fr-CA"/>
        </w:rPr>
        <w:t>Khangeziwe</w:t>
      </w:r>
      <w:proofErr w:type="spellEnd"/>
      <w:r w:rsidRPr="00FB5668">
        <w:rPr>
          <w:lang w:val="fr-CA"/>
        </w:rPr>
        <w:t xml:space="preserve"> </w:t>
      </w:r>
      <w:proofErr w:type="spellStart"/>
      <w:r w:rsidRPr="00FB5668">
        <w:rPr>
          <w:lang w:val="fr-CA"/>
        </w:rPr>
        <w:t>Mabuza</w:t>
      </w:r>
      <w:proofErr w:type="spellEnd"/>
      <w:r w:rsidRPr="00FB5668">
        <w:rPr>
          <w:lang w:val="fr-CA"/>
        </w:rPr>
        <w:t xml:space="preserve"> (</w:t>
      </w:r>
      <w:proofErr w:type="spellStart"/>
      <w:r w:rsidRPr="00FB5668">
        <w:rPr>
          <w:lang w:val="fr-CA"/>
        </w:rPr>
        <w:t>Eswatini</w:t>
      </w:r>
      <w:proofErr w:type="spellEnd"/>
      <w:r w:rsidRPr="00FB5668">
        <w:rPr>
          <w:lang w:val="fr-CA"/>
        </w:rPr>
        <w:t xml:space="preserve">) </w:t>
      </w:r>
    </w:p>
    <w:p w:rsidR="006077F3" w:rsidRPr="00FB5668" w:rsidRDefault="006077F3" w:rsidP="006077F3">
      <w:pPr>
        <w:pStyle w:val="CBDNormalNumber"/>
        <w:numPr>
          <w:ilvl w:val="0"/>
          <w:numId w:val="0"/>
        </w:numPr>
        <w:tabs>
          <w:tab w:val="clear" w:pos="567"/>
        </w:tabs>
        <w:ind w:left="1134"/>
        <w:rPr>
          <w:lang w:val="fr-CA"/>
        </w:rPr>
      </w:pPr>
      <w:proofErr w:type="spellStart"/>
      <w:r w:rsidRPr="00FB5668">
        <w:rPr>
          <w:lang w:val="fr-CA"/>
        </w:rPr>
        <w:t>Abderahmane</w:t>
      </w:r>
      <w:proofErr w:type="spellEnd"/>
      <w:r w:rsidRPr="00FB5668">
        <w:rPr>
          <w:lang w:val="fr-CA"/>
        </w:rPr>
        <w:t xml:space="preserve"> </w:t>
      </w:r>
      <w:proofErr w:type="spellStart"/>
      <w:r w:rsidRPr="00FB5668">
        <w:rPr>
          <w:lang w:val="fr-CA"/>
        </w:rPr>
        <w:t>Zino</w:t>
      </w:r>
      <w:proofErr w:type="spellEnd"/>
      <w:r w:rsidRPr="00FB5668">
        <w:rPr>
          <w:lang w:val="fr-CA"/>
        </w:rPr>
        <w:t xml:space="preserve"> </w:t>
      </w:r>
      <w:proofErr w:type="spellStart"/>
      <w:r w:rsidRPr="00FB5668">
        <w:rPr>
          <w:lang w:val="fr-CA"/>
        </w:rPr>
        <w:t>Izourar</w:t>
      </w:r>
      <w:proofErr w:type="spellEnd"/>
      <w:r w:rsidRPr="00FB5668">
        <w:rPr>
          <w:lang w:val="fr-CA"/>
        </w:rPr>
        <w:t xml:space="preserve"> (Algérie)</w:t>
      </w:r>
    </w:p>
    <w:p w:rsidR="006077F3" w:rsidRPr="00FB5668" w:rsidRDefault="006077F3" w:rsidP="006077F3">
      <w:pPr>
        <w:pStyle w:val="CBDNormalNumber"/>
        <w:numPr>
          <w:ilvl w:val="0"/>
          <w:numId w:val="0"/>
        </w:numPr>
        <w:tabs>
          <w:tab w:val="clear" w:pos="567"/>
        </w:tabs>
        <w:ind w:left="1134"/>
        <w:rPr>
          <w:lang w:val="fr-CA"/>
        </w:rPr>
      </w:pPr>
      <w:proofErr w:type="spellStart"/>
      <w:r w:rsidRPr="00FB5668">
        <w:rPr>
          <w:lang w:val="fr-CA"/>
        </w:rPr>
        <w:t>Krishneel</w:t>
      </w:r>
      <w:proofErr w:type="spellEnd"/>
      <w:r w:rsidRPr="00FB5668">
        <w:rPr>
          <w:lang w:val="fr-CA"/>
        </w:rPr>
        <w:t xml:space="preserve"> </w:t>
      </w:r>
      <w:proofErr w:type="spellStart"/>
      <w:r w:rsidRPr="00FB5668">
        <w:rPr>
          <w:lang w:val="fr-CA"/>
        </w:rPr>
        <w:t>Nand</w:t>
      </w:r>
      <w:proofErr w:type="spellEnd"/>
      <w:r w:rsidRPr="00FB5668">
        <w:rPr>
          <w:lang w:val="fr-CA"/>
        </w:rPr>
        <w:t xml:space="preserve"> (Fidji)</w:t>
      </w:r>
    </w:p>
    <w:p w:rsidR="006077F3" w:rsidRPr="00FB5668" w:rsidRDefault="006077F3" w:rsidP="006077F3">
      <w:pPr>
        <w:pStyle w:val="CBDNormalNumber"/>
        <w:numPr>
          <w:ilvl w:val="0"/>
          <w:numId w:val="0"/>
        </w:numPr>
        <w:tabs>
          <w:tab w:val="clear" w:pos="567"/>
        </w:tabs>
        <w:ind w:left="1134"/>
        <w:rPr>
          <w:lang w:val="fr-CA"/>
        </w:rPr>
      </w:pPr>
      <w:proofErr w:type="spellStart"/>
      <w:r w:rsidRPr="00FB5668">
        <w:rPr>
          <w:lang w:val="fr-CA"/>
        </w:rPr>
        <w:t>Somaly</w:t>
      </w:r>
      <w:proofErr w:type="spellEnd"/>
      <w:r w:rsidRPr="00FB5668">
        <w:rPr>
          <w:lang w:val="fr-CA"/>
        </w:rPr>
        <w:t xml:space="preserve"> Chan (Cambodge)</w:t>
      </w:r>
    </w:p>
    <w:p w:rsidR="006077F3" w:rsidRPr="00FB5668" w:rsidRDefault="006077F3" w:rsidP="006077F3">
      <w:pPr>
        <w:pStyle w:val="CBDNormalNumber"/>
        <w:numPr>
          <w:ilvl w:val="0"/>
          <w:numId w:val="0"/>
        </w:numPr>
        <w:tabs>
          <w:tab w:val="clear" w:pos="567"/>
        </w:tabs>
        <w:ind w:left="1134"/>
        <w:rPr>
          <w:lang w:val="fr-CA"/>
        </w:rPr>
      </w:pPr>
      <w:proofErr w:type="spellStart"/>
      <w:r w:rsidRPr="00FB5668">
        <w:rPr>
          <w:lang w:val="fr-CA"/>
        </w:rPr>
        <w:t>Teona</w:t>
      </w:r>
      <w:proofErr w:type="spellEnd"/>
      <w:r w:rsidRPr="00FB5668">
        <w:rPr>
          <w:lang w:val="fr-CA"/>
        </w:rPr>
        <w:t xml:space="preserve"> </w:t>
      </w:r>
      <w:proofErr w:type="spellStart"/>
      <w:r w:rsidRPr="00FB5668">
        <w:rPr>
          <w:lang w:val="fr-CA"/>
        </w:rPr>
        <w:t>Karchava</w:t>
      </w:r>
      <w:proofErr w:type="spellEnd"/>
      <w:r w:rsidRPr="00FB5668">
        <w:rPr>
          <w:lang w:val="fr-CA"/>
        </w:rPr>
        <w:t xml:space="preserve"> (Géorgie)</w:t>
      </w:r>
    </w:p>
    <w:p w:rsidR="006077F3" w:rsidRPr="00FB5668" w:rsidRDefault="006077F3" w:rsidP="006077F3">
      <w:pPr>
        <w:pStyle w:val="CBDNormalNumber"/>
        <w:numPr>
          <w:ilvl w:val="0"/>
          <w:numId w:val="0"/>
        </w:numPr>
        <w:tabs>
          <w:tab w:val="clear" w:pos="567"/>
        </w:tabs>
        <w:ind w:left="1134"/>
        <w:rPr>
          <w:lang w:val="fr-CA"/>
        </w:rPr>
      </w:pPr>
      <w:r w:rsidRPr="00FB5668">
        <w:rPr>
          <w:lang w:val="fr-CA"/>
        </w:rPr>
        <w:t xml:space="preserve">Angela </w:t>
      </w:r>
      <w:proofErr w:type="spellStart"/>
      <w:r w:rsidRPr="00FB5668">
        <w:rPr>
          <w:lang w:val="fr-CA"/>
        </w:rPr>
        <w:t>Lozan</w:t>
      </w:r>
      <w:proofErr w:type="spellEnd"/>
      <w:r w:rsidRPr="00FB5668">
        <w:rPr>
          <w:lang w:val="fr-CA"/>
        </w:rPr>
        <w:t xml:space="preserve"> (République de Moldova)</w:t>
      </w:r>
    </w:p>
    <w:p w:rsidR="006077F3" w:rsidRPr="00FB5668" w:rsidRDefault="006077F3" w:rsidP="006077F3">
      <w:pPr>
        <w:pStyle w:val="CBDNormalNumber"/>
        <w:numPr>
          <w:ilvl w:val="0"/>
          <w:numId w:val="0"/>
        </w:numPr>
        <w:tabs>
          <w:tab w:val="clear" w:pos="567"/>
        </w:tabs>
        <w:ind w:left="1134"/>
        <w:rPr>
          <w:lang w:val="fr-CA"/>
        </w:rPr>
      </w:pPr>
      <w:r w:rsidRPr="00FB5668">
        <w:rPr>
          <w:lang w:val="fr-CA"/>
        </w:rPr>
        <w:t xml:space="preserve">Gillian </w:t>
      </w:r>
      <w:proofErr w:type="spellStart"/>
      <w:r w:rsidRPr="00FB5668">
        <w:rPr>
          <w:lang w:val="fr-CA"/>
        </w:rPr>
        <w:t>Guthrie</w:t>
      </w:r>
      <w:proofErr w:type="spellEnd"/>
      <w:r w:rsidRPr="00FB5668">
        <w:rPr>
          <w:lang w:val="fr-CA"/>
        </w:rPr>
        <w:t xml:space="preserve"> (Jamaïque)</w:t>
      </w:r>
    </w:p>
    <w:p w:rsidR="006077F3" w:rsidRPr="00FB5668" w:rsidRDefault="006077F3" w:rsidP="006077F3">
      <w:pPr>
        <w:pStyle w:val="CBDNormalNumber"/>
        <w:numPr>
          <w:ilvl w:val="0"/>
          <w:numId w:val="0"/>
        </w:numPr>
        <w:tabs>
          <w:tab w:val="clear" w:pos="567"/>
        </w:tabs>
        <w:ind w:left="1134"/>
        <w:rPr>
          <w:lang w:val="fr-CA"/>
        </w:rPr>
      </w:pPr>
      <w:r w:rsidRPr="00FB5668">
        <w:rPr>
          <w:lang w:val="fr-CA"/>
        </w:rPr>
        <w:t xml:space="preserve">Maria Teresa </w:t>
      </w:r>
      <w:proofErr w:type="spellStart"/>
      <w:r w:rsidRPr="00FB5668">
        <w:rPr>
          <w:lang w:val="fr-CA"/>
        </w:rPr>
        <w:t>Becerra</w:t>
      </w:r>
      <w:proofErr w:type="spellEnd"/>
      <w:r w:rsidRPr="00FB5668">
        <w:rPr>
          <w:lang w:val="fr-CA"/>
        </w:rPr>
        <w:t xml:space="preserve"> </w:t>
      </w:r>
      <w:proofErr w:type="spellStart"/>
      <w:r w:rsidRPr="00FB5668">
        <w:rPr>
          <w:lang w:val="fr-CA"/>
        </w:rPr>
        <w:t>Ramírez</w:t>
      </w:r>
      <w:proofErr w:type="spellEnd"/>
      <w:r w:rsidRPr="00FB5668">
        <w:rPr>
          <w:lang w:val="fr-CA"/>
        </w:rPr>
        <w:t xml:space="preserve"> (Colombie)</w:t>
      </w:r>
    </w:p>
    <w:p w:rsidR="006077F3" w:rsidRPr="00FB5668" w:rsidRDefault="006077F3" w:rsidP="006077F3">
      <w:pPr>
        <w:pStyle w:val="CBDNormalNumber"/>
        <w:numPr>
          <w:ilvl w:val="0"/>
          <w:numId w:val="0"/>
        </w:numPr>
        <w:tabs>
          <w:tab w:val="clear" w:pos="567"/>
        </w:tabs>
        <w:ind w:left="1134"/>
        <w:rPr>
          <w:lang w:val="fr-CA"/>
        </w:rPr>
      </w:pPr>
      <w:proofErr w:type="spellStart"/>
      <w:r w:rsidRPr="00FB5668">
        <w:rPr>
          <w:lang w:val="fr-CA"/>
        </w:rPr>
        <w:t>Eric</w:t>
      </w:r>
      <w:proofErr w:type="spellEnd"/>
      <w:r w:rsidRPr="00FB5668">
        <w:rPr>
          <w:lang w:val="fr-CA"/>
        </w:rPr>
        <w:t xml:space="preserve"> </w:t>
      </w:r>
      <w:proofErr w:type="spellStart"/>
      <w:r w:rsidRPr="00FB5668">
        <w:rPr>
          <w:lang w:val="fr-CA"/>
        </w:rPr>
        <w:t>Schauls</w:t>
      </w:r>
      <w:proofErr w:type="spellEnd"/>
      <w:r w:rsidRPr="00FB5668">
        <w:rPr>
          <w:lang w:val="fr-CA"/>
        </w:rPr>
        <w:t xml:space="preserve"> (Luxembourg)</w:t>
      </w:r>
    </w:p>
    <w:p w:rsidR="006077F3" w:rsidRPr="00FB5668" w:rsidRDefault="006077F3" w:rsidP="006077F3">
      <w:pPr>
        <w:pStyle w:val="CBDNormalNumber"/>
        <w:numPr>
          <w:ilvl w:val="0"/>
          <w:numId w:val="0"/>
        </w:numPr>
        <w:tabs>
          <w:tab w:val="clear" w:pos="567"/>
        </w:tabs>
        <w:ind w:left="1134"/>
        <w:rPr>
          <w:lang w:val="fr-CA"/>
        </w:rPr>
      </w:pPr>
      <w:r w:rsidRPr="00FB5668">
        <w:rPr>
          <w:lang w:val="fr-CA"/>
        </w:rPr>
        <w:t xml:space="preserve">Norbert </w:t>
      </w:r>
      <w:proofErr w:type="spellStart"/>
      <w:r w:rsidRPr="00FB5668">
        <w:rPr>
          <w:lang w:val="fr-CA"/>
        </w:rPr>
        <w:t>Bärlocher</w:t>
      </w:r>
      <w:proofErr w:type="spellEnd"/>
      <w:r w:rsidRPr="00FB5668">
        <w:rPr>
          <w:lang w:val="fr-CA"/>
        </w:rPr>
        <w:t xml:space="preserve"> (Suisse)</w:t>
      </w:r>
    </w:p>
    <w:p w:rsidR="004A6F38" w:rsidRPr="00FB5668" w:rsidRDefault="00171C84" w:rsidP="00532C83">
      <w:pPr>
        <w:pStyle w:val="CBDNormalNumber"/>
        <w:rPr>
          <w:lang w:val="fr-CA"/>
        </w:rPr>
      </w:pPr>
      <w:r w:rsidRPr="00FB5668">
        <w:rPr>
          <w:lang w:val="fr-CA"/>
        </w:rPr>
        <w:t>La Conférence des Parties siégeant en tant que réunion des Parties au Protocole a décidé que M</w:t>
      </w:r>
      <w:r w:rsidRPr="00FB5668">
        <w:rPr>
          <w:vertAlign w:val="superscript"/>
          <w:lang w:val="fr-CA"/>
        </w:rPr>
        <w:t>me</w:t>
      </w:r>
      <w:r w:rsidRPr="00FB5668">
        <w:rPr>
          <w:lang w:val="fr-CA"/>
        </w:rPr>
        <w:t xml:space="preserve"> Chan serait la rapporteuse de la réunion, comme proposé par le Bureau.</w:t>
      </w:r>
    </w:p>
    <w:p w:rsidR="00A0088F" w:rsidRPr="00FB5668" w:rsidRDefault="00266D7B" w:rsidP="00A0088F">
      <w:pPr>
        <w:pStyle w:val="CBDNormalNumber"/>
        <w:tabs>
          <w:tab w:val="clear" w:pos="567"/>
          <w:tab w:val="clear" w:pos="1701"/>
          <w:tab w:val="clear" w:pos="2268"/>
        </w:tabs>
        <w:rPr>
          <w:lang w:val="fr-CA"/>
        </w:rPr>
      </w:pPr>
      <w:bookmarkStart w:id="3" w:name="_Hlk182203834"/>
      <w:r w:rsidRPr="00FB5668">
        <w:rPr>
          <w:lang w:val="fr-CA"/>
        </w:rPr>
        <w:t xml:space="preserve">À sa troisième séance plénière, le 30 octobre, conformément à l'article 21 de son règlement intérieur, la Conférence des Parties à la Convention a élu les représentants ci-après pour siéger en tant que membres du Bureau pour un mandat prenant effet à la clôture de sa seizième réunion, et, par conséquent, en tant que membres du Bureau de la Conférence des Parties siégeant en tant que réunion des Parties au Protocole à la clôture de sa onzième réunion : </w:t>
      </w:r>
    </w:p>
    <w:p w:rsidR="00A0088F" w:rsidRPr="00FB5668" w:rsidRDefault="00A0088F" w:rsidP="00A0088F">
      <w:pPr>
        <w:pStyle w:val="CBDNormalNumber"/>
        <w:numPr>
          <w:ilvl w:val="0"/>
          <w:numId w:val="0"/>
        </w:numPr>
        <w:tabs>
          <w:tab w:val="clear" w:pos="567"/>
        </w:tabs>
        <w:ind w:left="1134"/>
        <w:rPr>
          <w:lang w:val="fr-CA"/>
        </w:rPr>
      </w:pPr>
      <w:r w:rsidRPr="00FB5668">
        <w:rPr>
          <w:lang w:val="fr-CA"/>
        </w:rPr>
        <w:t xml:space="preserve">Joséphine Thérèse Babette </w:t>
      </w:r>
      <w:proofErr w:type="spellStart"/>
      <w:r w:rsidRPr="00FB5668">
        <w:rPr>
          <w:lang w:val="fr-CA"/>
        </w:rPr>
        <w:t>Beyala</w:t>
      </w:r>
      <w:proofErr w:type="spellEnd"/>
      <w:r w:rsidRPr="00FB5668">
        <w:rPr>
          <w:lang w:val="fr-CA"/>
        </w:rPr>
        <w:t xml:space="preserve"> </w:t>
      </w:r>
      <w:proofErr w:type="spellStart"/>
      <w:r w:rsidRPr="00FB5668">
        <w:rPr>
          <w:lang w:val="fr-CA"/>
        </w:rPr>
        <w:t>Epse</w:t>
      </w:r>
      <w:proofErr w:type="spellEnd"/>
      <w:r w:rsidRPr="00FB5668">
        <w:rPr>
          <w:lang w:val="fr-CA"/>
        </w:rPr>
        <w:t xml:space="preserve"> </w:t>
      </w:r>
      <w:proofErr w:type="spellStart"/>
      <w:r w:rsidRPr="00FB5668">
        <w:rPr>
          <w:lang w:val="fr-CA"/>
        </w:rPr>
        <w:t>Eloundou</w:t>
      </w:r>
      <w:proofErr w:type="spellEnd"/>
      <w:r w:rsidRPr="00FB5668">
        <w:rPr>
          <w:lang w:val="fr-CA"/>
        </w:rPr>
        <w:t xml:space="preserve"> (Cameroun) </w:t>
      </w:r>
    </w:p>
    <w:p w:rsidR="00A0088F" w:rsidRPr="00FB5668" w:rsidRDefault="00A0088F" w:rsidP="00A0088F">
      <w:pPr>
        <w:pStyle w:val="CBDNormalNumber"/>
        <w:numPr>
          <w:ilvl w:val="0"/>
          <w:numId w:val="0"/>
        </w:numPr>
        <w:tabs>
          <w:tab w:val="clear" w:pos="567"/>
        </w:tabs>
        <w:ind w:left="1134"/>
        <w:rPr>
          <w:lang w:val="fr-CA"/>
        </w:rPr>
      </w:pPr>
      <w:r w:rsidRPr="00FB5668">
        <w:rPr>
          <w:lang w:val="fr-CA"/>
        </w:rPr>
        <w:t xml:space="preserve">Jonas Komi </w:t>
      </w:r>
      <w:proofErr w:type="spellStart"/>
      <w:r w:rsidRPr="00FB5668">
        <w:rPr>
          <w:lang w:val="fr-CA"/>
        </w:rPr>
        <w:t>Anthé</w:t>
      </w:r>
      <w:proofErr w:type="spellEnd"/>
      <w:r w:rsidRPr="00FB5668">
        <w:rPr>
          <w:lang w:val="fr-CA"/>
        </w:rPr>
        <w:t xml:space="preserve"> (Togo)</w:t>
      </w:r>
    </w:p>
    <w:p w:rsidR="00A0088F" w:rsidRPr="00FB5668" w:rsidRDefault="00A0088F" w:rsidP="00A0088F">
      <w:pPr>
        <w:pStyle w:val="CBDNormalNumber"/>
        <w:numPr>
          <w:ilvl w:val="0"/>
          <w:numId w:val="0"/>
        </w:numPr>
        <w:tabs>
          <w:tab w:val="clear" w:pos="567"/>
        </w:tabs>
        <w:ind w:left="1134"/>
        <w:rPr>
          <w:lang w:val="fr-CA"/>
        </w:rPr>
      </w:pPr>
      <w:r w:rsidRPr="00FB5668">
        <w:rPr>
          <w:lang w:val="fr-CA"/>
        </w:rPr>
        <w:t xml:space="preserve">Bilal </w:t>
      </w:r>
      <w:proofErr w:type="spellStart"/>
      <w:r w:rsidRPr="00FB5668">
        <w:rPr>
          <w:lang w:val="fr-CA"/>
        </w:rPr>
        <w:t>Qteshat</w:t>
      </w:r>
      <w:proofErr w:type="spellEnd"/>
      <w:r w:rsidRPr="00FB5668">
        <w:rPr>
          <w:lang w:val="fr-CA"/>
        </w:rPr>
        <w:t xml:space="preserve"> (Jordanie)</w:t>
      </w:r>
    </w:p>
    <w:p w:rsidR="00A0088F" w:rsidRPr="00FB5668" w:rsidRDefault="00A0088F" w:rsidP="00A0088F">
      <w:pPr>
        <w:pStyle w:val="CBDNormalNumber"/>
        <w:numPr>
          <w:ilvl w:val="0"/>
          <w:numId w:val="0"/>
        </w:numPr>
        <w:tabs>
          <w:tab w:val="clear" w:pos="567"/>
        </w:tabs>
        <w:ind w:left="1134"/>
        <w:rPr>
          <w:lang w:val="fr-CA"/>
        </w:rPr>
      </w:pPr>
      <w:proofErr w:type="spellStart"/>
      <w:r w:rsidRPr="00FB5668">
        <w:rPr>
          <w:lang w:val="fr-CA"/>
        </w:rPr>
        <w:t>Illam</w:t>
      </w:r>
      <w:proofErr w:type="spellEnd"/>
      <w:r w:rsidRPr="00FB5668">
        <w:rPr>
          <w:lang w:val="fr-CA"/>
        </w:rPr>
        <w:t xml:space="preserve"> </w:t>
      </w:r>
      <w:proofErr w:type="spellStart"/>
      <w:r w:rsidRPr="00FB5668">
        <w:rPr>
          <w:lang w:val="fr-CA"/>
        </w:rPr>
        <w:t>Atho</w:t>
      </w:r>
      <w:proofErr w:type="spellEnd"/>
      <w:r w:rsidRPr="00FB5668">
        <w:rPr>
          <w:lang w:val="fr-CA"/>
        </w:rPr>
        <w:t xml:space="preserve"> Mohamed (Maldives)</w:t>
      </w:r>
    </w:p>
    <w:p w:rsidR="00A0088F" w:rsidRPr="00FB5668" w:rsidRDefault="00A0088F" w:rsidP="00A0088F">
      <w:pPr>
        <w:pStyle w:val="CBDNormalNumber"/>
        <w:numPr>
          <w:ilvl w:val="0"/>
          <w:numId w:val="0"/>
        </w:numPr>
        <w:tabs>
          <w:tab w:val="clear" w:pos="567"/>
        </w:tabs>
        <w:ind w:left="1134"/>
        <w:rPr>
          <w:lang w:val="fr-CA"/>
        </w:rPr>
      </w:pPr>
      <w:proofErr w:type="spellStart"/>
      <w:r w:rsidRPr="00FB5668">
        <w:rPr>
          <w:lang w:val="fr-CA"/>
        </w:rPr>
        <w:t>Adla</w:t>
      </w:r>
      <w:proofErr w:type="spellEnd"/>
      <w:r w:rsidRPr="00FB5668">
        <w:rPr>
          <w:lang w:val="fr-CA"/>
        </w:rPr>
        <w:t xml:space="preserve"> </w:t>
      </w:r>
      <w:proofErr w:type="spellStart"/>
      <w:r w:rsidRPr="00FB5668">
        <w:rPr>
          <w:lang w:val="fr-CA"/>
        </w:rPr>
        <w:t>Kahrić</w:t>
      </w:r>
      <w:proofErr w:type="spellEnd"/>
      <w:r w:rsidRPr="00FB5668">
        <w:rPr>
          <w:lang w:val="fr-CA"/>
        </w:rPr>
        <w:t xml:space="preserve"> (Bosnie-Herzégovine)</w:t>
      </w:r>
    </w:p>
    <w:p w:rsidR="00A0088F" w:rsidRPr="00FB5668" w:rsidRDefault="00A0088F" w:rsidP="00A0088F">
      <w:pPr>
        <w:pStyle w:val="CBDNormalNumber"/>
        <w:numPr>
          <w:ilvl w:val="0"/>
          <w:numId w:val="0"/>
        </w:numPr>
        <w:tabs>
          <w:tab w:val="clear" w:pos="567"/>
        </w:tabs>
        <w:ind w:left="1134"/>
        <w:rPr>
          <w:lang w:val="fr-CA"/>
        </w:rPr>
      </w:pPr>
      <w:proofErr w:type="spellStart"/>
      <w:r w:rsidRPr="00FB5668">
        <w:rPr>
          <w:lang w:val="fr-CA"/>
        </w:rPr>
        <w:t>Jakhongir</w:t>
      </w:r>
      <w:proofErr w:type="spellEnd"/>
      <w:r w:rsidRPr="00FB5668">
        <w:rPr>
          <w:lang w:val="fr-CA"/>
        </w:rPr>
        <w:t xml:space="preserve"> </w:t>
      </w:r>
      <w:proofErr w:type="spellStart"/>
      <w:r w:rsidRPr="00FB5668">
        <w:rPr>
          <w:lang w:val="fr-CA"/>
        </w:rPr>
        <w:t>Talipov</w:t>
      </w:r>
      <w:proofErr w:type="spellEnd"/>
      <w:r w:rsidRPr="00FB5668">
        <w:rPr>
          <w:lang w:val="fr-CA"/>
        </w:rPr>
        <w:t xml:space="preserve"> (Ouzbékistan)</w:t>
      </w:r>
    </w:p>
    <w:p w:rsidR="00A0088F" w:rsidRPr="00FB5668" w:rsidRDefault="00A0088F" w:rsidP="00A0088F">
      <w:pPr>
        <w:pStyle w:val="CBDNormalNumber"/>
        <w:numPr>
          <w:ilvl w:val="0"/>
          <w:numId w:val="0"/>
        </w:numPr>
        <w:tabs>
          <w:tab w:val="clear" w:pos="567"/>
        </w:tabs>
        <w:ind w:left="1134"/>
        <w:rPr>
          <w:lang w:val="fr-CA"/>
        </w:rPr>
      </w:pPr>
      <w:proofErr w:type="spellStart"/>
      <w:r w:rsidRPr="00FB5668">
        <w:rPr>
          <w:lang w:val="fr-CA"/>
        </w:rPr>
        <w:t>Corina</w:t>
      </w:r>
      <w:proofErr w:type="spellEnd"/>
      <w:r w:rsidRPr="00FB5668">
        <w:rPr>
          <w:lang w:val="fr-CA"/>
        </w:rPr>
        <w:t xml:space="preserve"> </w:t>
      </w:r>
      <w:proofErr w:type="spellStart"/>
      <w:r w:rsidRPr="00FB5668">
        <w:rPr>
          <w:lang w:val="fr-CA"/>
        </w:rPr>
        <w:t>Sarli</w:t>
      </w:r>
      <w:proofErr w:type="spellEnd"/>
      <w:r w:rsidRPr="00FB5668">
        <w:rPr>
          <w:lang w:val="fr-CA"/>
        </w:rPr>
        <w:t xml:space="preserve"> (Argentine)</w:t>
      </w:r>
    </w:p>
    <w:p w:rsidR="00A0088F" w:rsidRPr="00FB5668" w:rsidRDefault="00A0088F" w:rsidP="00A0088F">
      <w:pPr>
        <w:pStyle w:val="CBDNormalNumber"/>
        <w:numPr>
          <w:ilvl w:val="0"/>
          <w:numId w:val="0"/>
        </w:numPr>
        <w:tabs>
          <w:tab w:val="clear" w:pos="567"/>
        </w:tabs>
        <w:ind w:left="1134"/>
        <w:rPr>
          <w:lang w:val="fr-CA"/>
        </w:rPr>
      </w:pPr>
      <w:r w:rsidRPr="00FB5668">
        <w:rPr>
          <w:lang w:val="fr-CA"/>
        </w:rPr>
        <w:t xml:space="preserve">Gillian </w:t>
      </w:r>
      <w:proofErr w:type="spellStart"/>
      <w:r w:rsidRPr="00FB5668">
        <w:rPr>
          <w:lang w:val="fr-CA"/>
        </w:rPr>
        <w:t>Guthrie</w:t>
      </w:r>
      <w:proofErr w:type="spellEnd"/>
      <w:r w:rsidRPr="00FB5668">
        <w:rPr>
          <w:lang w:val="fr-CA"/>
        </w:rPr>
        <w:t xml:space="preserve"> (Jamaïque)</w:t>
      </w:r>
    </w:p>
    <w:p w:rsidR="00A0088F" w:rsidRPr="00FB5668" w:rsidRDefault="00A0088F" w:rsidP="00A0088F">
      <w:pPr>
        <w:pStyle w:val="CBDNormalNumber"/>
        <w:numPr>
          <w:ilvl w:val="0"/>
          <w:numId w:val="0"/>
        </w:numPr>
        <w:tabs>
          <w:tab w:val="clear" w:pos="567"/>
        </w:tabs>
        <w:ind w:left="1134"/>
        <w:rPr>
          <w:lang w:val="fr-CA"/>
        </w:rPr>
      </w:pPr>
      <w:proofErr w:type="spellStart"/>
      <w:r w:rsidRPr="00FB5668">
        <w:rPr>
          <w:lang w:val="fr-CA"/>
        </w:rPr>
        <w:t>Gaute</w:t>
      </w:r>
      <w:proofErr w:type="spellEnd"/>
      <w:r w:rsidRPr="00FB5668">
        <w:rPr>
          <w:lang w:val="fr-CA"/>
        </w:rPr>
        <w:t xml:space="preserve"> </w:t>
      </w:r>
      <w:proofErr w:type="spellStart"/>
      <w:r w:rsidRPr="00FB5668">
        <w:rPr>
          <w:lang w:val="fr-CA"/>
        </w:rPr>
        <w:t>Hanssen</w:t>
      </w:r>
      <w:proofErr w:type="spellEnd"/>
      <w:r w:rsidRPr="00FB5668">
        <w:rPr>
          <w:lang w:val="fr-CA"/>
        </w:rPr>
        <w:t xml:space="preserve"> (Norvège)</w:t>
      </w:r>
    </w:p>
    <w:p w:rsidR="00A0088F" w:rsidRPr="00FB5668" w:rsidRDefault="00A0088F" w:rsidP="00A0088F">
      <w:pPr>
        <w:pStyle w:val="CBDNormalNumber"/>
        <w:numPr>
          <w:ilvl w:val="0"/>
          <w:numId w:val="0"/>
        </w:numPr>
        <w:tabs>
          <w:tab w:val="clear" w:pos="567"/>
        </w:tabs>
        <w:ind w:left="1134"/>
        <w:rPr>
          <w:lang w:val="fr-CA"/>
        </w:rPr>
      </w:pPr>
      <w:proofErr w:type="spellStart"/>
      <w:r w:rsidRPr="00FB5668">
        <w:rPr>
          <w:lang w:val="fr-CA"/>
        </w:rPr>
        <w:t>Eric</w:t>
      </w:r>
      <w:proofErr w:type="spellEnd"/>
      <w:r w:rsidRPr="00FB5668">
        <w:rPr>
          <w:lang w:val="fr-CA"/>
        </w:rPr>
        <w:t xml:space="preserve"> </w:t>
      </w:r>
      <w:proofErr w:type="spellStart"/>
      <w:r w:rsidRPr="00FB5668">
        <w:rPr>
          <w:lang w:val="fr-CA"/>
        </w:rPr>
        <w:t>Schauls</w:t>
      </w:r>
      <w:proofErr w:type="spellEnd"/>
      <w:r w:rsidRPr="00FB5668">
        <w:rPr>
          <w:lang w:val="fr-CA"/>
        </w:rPr>
        <w:t xml:space="preserve"> (Luxembourg)</w:t>
      </w:r>
    </w:p>
    <w:bookmarkEnd w:id="3"/>
    <w:p w:rsidR="003703DE" w:rsidRPr="00FB5668" w:rsidRDefault="00BC5E15" w:rsidP="00A0088F">
      <w:pPr>
        <w:pStyle w:val="CBDNormalNumber"/>
        <w:rPr>
          <w:lang w:val="fr-CA"/>
        </w:rPr>
      </w:pPr>
      <w:r w:rsidRPr="00FB5668">
        <w:rPr>
          <w:lang w:val="fr-CA"/>
        </w:rPr>
        <w:t xml:space="preserve">À sa quatrième séance plénière, le 31 octobre, conformément au paragraphe 3 de l’article 29 du Protocole, la Conférence des Parties siégeant en tant que réunion des Parties au Protocole a élu Gerardo </w:t>
      </w:r>
      <w:proofErr w:type="spellStart"/>
      <w:r w:rsidRPr="00FB5668">
        <w:rPr>
          <w:lang w:val="fr-CA"/>
        </w:rPr>
        <w:t>Evia</w:t>
      </w:r>
      <w:proofErr w:type="spellEnd"/>
      <w:r w:rsidRPr="00FB5668">
        <w:rPr>
          <w:lang w:val="fr-CA"/>
        </w:rPr>
        <w:t xml:space="preserve"> (Uruguay) pour siéger en tant que membre du Bureau du Protocole de Cartagena, remplaçant ainsi </w:t>
      </w:r>
      <w:proofErr w:type="spellStart"/>
      <w:r w:rsidRPr="00FB5668">
        <w:rPr>
          <w:lang w:val="fr-CA"/>
        </w:rPr>
        <w:t>Corina</w:t>
      </w:r>
      <w:proofErr w:type="spellEnd"/>
      <w:r w:rsidRPr="00FB5668">
        <w:rPr>
          <w:lang w:val="fr-CA"/>
        </w:rPr>
        <w:t xml:space="preserve"> </w:t>
      </w:r>
      <w:proofErr w:type="spellStart"/>
      <w:r w:rsidRPr="00FB5668">
        <w:rPr>
          <w:lang w:val="fr-CA"/>
        </w:rPr>
        <w:t>Sarli</w:t>
      </w:r>
      <w:proofErr w:type="spellEnd"/>
      <w:r w:rsidRPr="00FB5668">
        <w:rPr>
          <w:lang w:val="fr-CA"/>
        </w:rPr>
        <w:t xml:space="preserve"> (Argentine), l’Argentine n’étant pas Partie au Protocole. </w:t>
      </w:r>
    </w:p>
    <w:p w:rsidR="00557370" w:rsidRPr="00FB5668" w:rsidRDefault="00557370" w:rsidP="004A6F38">
      <w:pPr>
        <w:pStyle w:val="Heading2"/>
        <w:numPr>
          <w:ilvl w:val="0"/>
          <w:numId w:val="0"/>
        </w:numPr>
        <w:suppressLineNumbers/>
        <w:suppressAutoHyphens/>
        <w:ind w:left="567"/>
        <w:rPr>
          <w:rFonts w:asciiTheme="majorBidi" w:hAnsiTheme="majorBidi"/>
          <w:b w:val="0"/>
          <w:bCs/>
          <w:i/>
          <w:iCs/>
          <w:snapToGrid w:val="0"/>
          <w:kern w:val="22"/>
          <w:sz w:val="22"/>
          <w:szCs w:val="22"/>
          <w:lang w:val="fr-CA"/>
        </w:rPr>
      </w:pPr>
      <w:r w:rsidRPr="00FB5668">
        <w:rPr>
          <w:rFonts w:asciiTheme="majorBidi" w:hAnsiTheme="majorBidi"/>
          <w:b w:val="0"/>
          <w:bCs/>
          <w:i/>
          <w:iCs/>
          <w:snapToGrid w:val="0"/>
          <w:kern w:val="22"/>
          <w:sz w:val="22"/>
          <w:szCs w:val="22"/>
          <w:lang w:val="fr-CA"/>
        </w:rPr>
        <w:lastRenderedPageBreak/>
        <w:t>Adoption de l’ordre du jour</w:t>
      </w:r>
    </w:p>
    <w:p w:rsidR="00D970D6" w:rsidRPr="00FB5668" w:rsidRDefault="00B056FB" w:rsidP="00D970D6">
      <w:pPr>
        <w:pStyle w:val="CBDNormalNumber"/>
        <w:rPr>
          <w:lang w:val="fr-CA"/>
        </w:rPr>
      </w:pPr>
      <w:r w:rsidRPr="00FB5668">
        <w:rPr>
          <w:lang w:val="fr-CA"/>
        </w:rPr>
        <w:t>À sa première séance plénière, la Conférence des Parties siégeant en tant que réunion des Parties au Protocole a adopté l’ordre du jour suivant sur la base de l’ordre du jour provisoire établi par le Secrétariat en consultation avec le Bureau :</w:t>
      </w:r>
    </w:p>
    <w:p w:rsidR="00F038D6" w:rsidRPr="00FB5668" w:rsidRDefault="00A26CD4" w:rsidP="00A26CD4">
      <w:pPr>
        <w:pStyle w:val="CBDNormalNoNumber"/>
        <w:rPr>
          <w:lang w:val="fr-CA"/>
        </w:rPr>
      </w:pPr>
      <w:r w:rsidRPr="00FB5668">
        <w:rPr>
          <w:lang w:val="fr-CA"/>
        </w:rPr>
        <w:tab/>
        <w:t>1.</w:t>
      </w:r>
      <w:r w:rsidRPr="00FB5668">
        <w:rPr>
          <w:lang w:val="fr-CA"/>
        </w:rPr>
        <w:tab/>
        <w:t>Ouverture de la réunion.</w:t>
      </w:r>
    </w:p>
    <w:p w:rsidR="00F038D6" w:rsidRPr="00FB5668" w:rsidRDefault="00A26CD4" w:rsidP="00A26CD4">
      <w:pPr>
        <w:pStyle w:val="CBDNormalNoNumber"/>
        <w:rPr>
          <w:lang w:val="fr-CA"/>
        </w:rPr>
      </w:pPr>
      <w:r w:rsidRPr="00FB5668">
        <w:rPr>
          <w:lang w:val="fr-CA"/>
        </w:rPr>
        <w:tab/>
        <w:t>2.</w:t>
      </w:r>
      <w:r w:rsidRPr="00FB5668">
        <w:rPr>
          <w:lang w:val="fr-CA"/>
        </w:rPr>
        <w:tab/>
        <w:t>Questions d'organisation.</w:t>
      </w:r>
    </w:p>
    <w:p w:rsidR="00F038D6" w:rsidRPr="00FB5668" w:rsidRDefault="00A26CD4" w:rsidP="00A26CD4">
      <w:pPr>
        <w:pStyle w:val="CBDNormalNoNumber"/>
        <w:ind w:left="1701" w:hanging="1134"/>
        <w:rPr>
          <w:lang w:val="fr-CA"/>
        </w:rPr>
      </w:pPr>
      <w:r w:rsidRPr="00FB5668">
        <w:rPr>
          <w:lang w:val="fr-CA"/>
        </w:rPr>
        <w:tab/>
        <w:t>3.</w:t>
      </w:r>
      <w:r w:rsidRPr="00FB5668">
        <w:rPr>
          <w:lang w:val="fr-CA"/>
        </w:rPr>
        <w:tab/>
        <w:t>Rapport sur les pouvoirs des représentants à la onzième réunion de la Conférence des Parties siégeant en tant que réunion des Parties au Protocole de Cartagena.</w:t>
      </w:r>
    </w:p>
    <w:p w:rsidR="00F038D6" w:rsidRPr="00FB5668" w:rsidRDefault="00A26CD4" w:rsidP="00A26CD4">
      <w:pPr>
        <w:pStyle w:val="CBDNormalNoNumber"/>
        <w:ind w:left="1701" w:hanging="1134"/>
        <w:rPr>
          <w:lang w:val="fr-CA"/>
        </w:rPr>
      </w:pPr>
      <w:r w:rsidRPr="00FB5668">
        <w:rPr>
          <w:lang w:val="fr-CA"/>
        </w:rPr>
        <w:tab/>
        <w:t>4.</w:t>
      </w:r>
      <w:r w:rsidRPr="00FB5668">
        <w:rPr>
          <w:lang w:val="fr-CA"/>
        </w:rPr>
        <w:tab/>
        <w:t>Rapports des organes subsidiaires.</w:t>
      </w:r>
    </w:p>
    <w:p w:rsidR="00F038D6" w:rsidRPr="00FB5668" w:rsidRDefault="00A26CD4" w:rsidP="00A26CD4">
      <w:pPr>
        <w:pStyle w:val="CBDNormalNoNumber"/>
        <w:ind w:left="1701" w:hanging="1134"/>
        <w:rPr>
          <w:lang w:val="fr-CA"/>
        </w:rPr>
      </w:pPr>
      <w:r w:rsidRPr="00FB5668">
        <w:rPr>
          <w:lang w:val="fr-CA"/>
        </w:rPr>
        <w:tab/>
        <w:t>5.</w:t>
      </w:r>
      <w:r w:rsidRPr="00FB5668">
        <w:rPr>
          <w:lang w:val="fr-CA"/>
        </w:rPr>
        <w:tab/>
        <w:t>Rapport du Comité chargé du respect des obligations.</w:t>
      </w:r>
    </w:p>
    <w:p w:rsidR="00F038D6" w:rsidRPr="00FB5668" w:rsidRDefault="00A26CD4" w:rsidP="00A26CD4">
      <w:pPr>
        <w:pStyle w:val="CBDNormalNoNumber"/>
        <w:ind w:left="1701" w:hanging="1134"/>
        <w:rPr>
          <w:lang w:val="fr-CA"/>
        </w:rPr>
      </w:pPr>
      <w:r w:rsidRPr="00FB5668">
        <w:rPr>
          <w:lang w:val="fr-CA"/>
        </w:rPr>
        <w:tab/>
        <w:t>6.</w:t>
      </w:r>
      <w:r w:rsidRPr="00FB5668">
        <w:rPr>
          <w:lang w:val="fr-CA"/>
        </w:rPr>
        <w:tab/>
        <w:t>Administration du Protocole et budget des fonds d'affectation spéciale.</w:t>
      </w:r>
    </w:p>
    <w:p w:rsidR="00F038D6" w:rsidRPr="00FB5668" w:rsidRDefault="00A26CD4" w:rsidP="00A26CD4">
      <w:pPr>
        <w:pStyle w:val="CBDNormalNoNumber"/>
        <w:ind w:left="1701" w:hanging="1134"/>
        <w:rPr>
          <w:lang w:val="fr-CA"/>
        </w:rPr>
      </w:pPr>
      <w:r w:rsidRPr="00FB5668">
        <w:rPr>
          <w:lang w:val="fr-CA"/>
        </w:rPr>
        <w:tab/>
        <w:t>7.</w:t>
      </w:r>
      <w:r w:rsidRPr="00FB5668">
        <w:rPr>
          <w:lang w:val="fr-CA"/>
        </w:rPr>
        <w:tab/>
        <w:t xml:space="preserve">Questions relatives au mécanisme de financement et aux ressources financières. </w:t>
      </w:r>
    </w:p>
    <w:p w:rsidR="00F038D6" w:rsidRPr="00FB5668" w:rsidRDefault="00A26CD4" w:rsidP="00A26CD4">
      <w:pPr>
        <w:pStyle w:val="CBDNormalNoNumber"/>
        <w:ind w:left="1701" w:hanging="1134"/>
        <w:rPr>
          <w:lang w:val="fr-CA"/>
        </w:rPr>
      </w:pPr>
      <w:r w:rsidRPr="00FB5668">
        <w:rPr>
          <w:lang w:val="fr-CA"/>
        </w:rPr>
        <w:tab/>
        <w:t>8.</w:t>
      </w:r>
      <w:r w:rsidRPr="00FB5668">
        <w:rPr>
          <w:lang w:val="fr-CA"/>
        </w:rPr>
        <w:tab/>
        <w:t>Fonctionnement et activités du Centre d’échange pour la prévention des risques biotechnologiques.</w:t>
      </w:r>
    </w:p>
    <w:p w:rsidR="00F038D6" w:rsidRPr="00FB5668" w:rsidRDefault="00A26CD4" w:rsidP="00A26CD4">
      <w:pPr>
        <w:pStyle w:val="CBDNormalNoNumber"/>
        <w:ind w:left="1701" w:hanging="1134"/>
        <w:rPr>
          <w:lang w:val="fr-CA"/>
        </w:rPr>
      </w:pPr>
      <w:r w:rsidRPr="00FB5668">
        <w:rPr>
          <w:lang w:val="fr-CA"/>
        </w:rPr>
        <w:tab/>
        <w:t>9.</w:t>
      </w:r>
      <w:r w:rsidRPr="00FB5668">
        <w:rPr>
          <w:lang w:val="fr-CA"/>
        </w:rPr>
        <w:tab/>
        <w:t>Coopération avec des organisations internationales, des organismes créés en vertu d’autres conventions, et des initiatives.</w:t>
      </w:r>
    </w:p>
    <w:p w:rsidR="00F038D6" w:rsidRPr="00FB5668" w:rsidRDefault="00A26CD4" w:rsidP="00A26CD4">
      <w:pPr>
        <w:pStyle w:val="CBDNormalNoNumber"/>
        <w:ind w:left="1701" w:hanging="1134"/>
        <w:rPr>
          <w:lang w:val="fr-CA"/>
        </w:rPr>
      </w:pPr>
      <w:r w:rsidRPr="00FB5668">
        <w:rPr>
          <w:lang w:val="fr-CA"/>
        </w:rPr>
        <w:tab/>
        <w:t>10.</w:t>
      </w:r>
      <w:r w:rsidRPr="00FB5668">
        <w:rPr>
          <w:lang w:val="fr-CA"/>
        </w:rPr>
        <w:tab/>
        <w:t>Examen de l’efficacité des processus relevant de la Convention et de ses Protocoles.</w:t>
      </w:r>
    </w:p>
    <w:p w:rsidR="00F038D6" w:rsidRPr="00FB5668" w:rsidRDefault="00A26CD4" w:rsidP="00A26CD4">
      <w:pPr>
        <w:pStyle w:val="CBDNormalNoNumber"/>
        <w:ind w:left="1701" w:hanging="1134"/>
        <w:rPr>
          <w:lang w:val="fr-CA"/>
        </w:rPr>
      </w:pPr>
      <w:r w:rsidRPr="00FB5668">
        <w:rPr>
          <w:lang w:val="fr-CA"/>
        </w:rPr>
        <w:tab/>
        <w:t>11.</w:t>
      </w:r>
      <w:r w:rsidRPr="00FB5668">
        <w:rPr>
          <w:lang w:val="fr-CA"/>
        </w:rPr>
        <w:tab/>
        <w:t>Évaluation des risques et gestion des risques.</w:t>
      </w:r>
    </w:p>
    <w:p w:rsidR="00F038D6" w:rsidRPr="00FB5668" w:rsidRDefault="00A26CD4" w:rsidP="00A26CD4">
      <w:pPr>
        <w:pStyle w:val="CBDNormalNoNumber"/>
        <w:ind w:left="1701" w:hanging="1134"/>
        <w:rPr>
          <w:lang w:val="fr-CA"/>
        </w:rPr>
      </w:pPr>
      <w:r w:rsidRPr="00FB5668">
        <w:rPr>
          <w:lang w:val="fr-CA"/>
        </w:rPr>
        <w:tab/>
        <w:t>12.</w:t>
      </w:r>
      <w:r w:rsidRPr="00FB5668">
        <w:rPr>
          <w:lang w:val="fr-CA"/>
        </w:rPr>
        <w:tab/>
        <w:t>Détection et identification des organismes vivants modifiés.</w:t>
      </w:r>
    </w:p>
    <w:p w:rsidR="00F038D6" w:rsidRPr="00FB5668" w:rsidRDefault="00A26CD4" w:rsidP="00A26CD4">
      <w:pPr>
        <w:pStyle w:val="CBDNormalNoNumber"/>
        <w:ind w:left="1701" w:hanging="1134"/>
        <w:rPr>
          <w:lang w:val="fr-CA"/>
        </w:rPr>
      </w:pPr>
      <w:r w:rsidRPr="00FB5668">
        <w:rPr>
          <w:lang w:val="fr-CA"/>
        </w:rPr>
        <w:tab/>
        <w:t>13.</w:t>
      </w:r>
      <w:r w:rsidRPr="00FB5668">
        <w:rPr>
          <w:lang w:val="fr-CA"/>
        </w:rPr>
        <w:tab/>
        <w:t>Considérations socio-économiques.</w:t>
      </w:r>
    </w:p>
    <w:p w:rsidR="00F038D6" w:rsidRPr="00FB5668" w:rsidRDefault="00A26CD4" w:rsidP="00A26CD4">
      <w:pPr>
        <w:pStyle w:val="CBDNormalNoNumber"/>
        <w:ind w:left="1701" w:hanging="1134"/>
        <w:rPr>
          <w:lang w:val="fr-CA"/>
        </w:rPr>
      </w:pPr>
      <w:r w:rsidRPr="00FB5668">
        <w:rPr>
          <w:lang w:val="fr-CA"/>
        </w:rPr>
        <w:tab/>
        <w:t>14.</w:t>
      </w:r>
      <w:r w:rsidRPr="00FB5668">
        <w:rPr>
          <w:lang w:val="fr-CA"/>
        </w:rPr>
        <w:tab/>
        <w:t>Protocole additionnel de Nagoya-Kuala Lumpur sur la responsabilité et la réparation.</w:t>
      </w:r>
    </w:p>
    <w:p w:rsidR="00F038D6" w:rsidRPr="00FB5668" w:rsidRDefault="00A26CD4" w:rsidP="00A26CD4">
      <w:pPr>
        <w:pStyle w:val="CBDNormalNoNumber"/>
        <w:ind w:left="1701" w:hanging="1134"/>
        <w:rPr>
          <w:lang w:val="fr-CA"/>
        </w:rPr>
      </w:pPr>
      <w:r w:rsidRPr="00FB5668">
        <w:rPr>
          <w:lang w:val="fr-CA"/>
        </w:rPr>
        <w:tab/>
        <w:t>15.</w:t>
      </w:r>
      <w:r w:rsidRPr="00FB5668">
        <w:rPr>
          <w:lang w:val="fr-CA"/>
        </w:rPr>
        <w:tab/>
        <w:t>Questions diverses.</w:t>
      </w:r>
    </w:p>
    <w:p w:rsidR="00F038D6" w:rsidRPr="00FB5668" w:rsidRDefault="00A26CD4" w:rsidP="00A26CD4">
      <w:pPr>
        <w:pStyle w:val="CBDNormalNoNumber"/>
        <w:ind w:left="1701" w:hanging="1134"/>
        <w:rPr>
          <w:lang w:val="fr-CA"/>
        </w:rPr>
      </w:pPr>
      <w:r w:rsidRPr="00FB5668">
        <w:rPr>
          <w:lang w:val="fr-CA"/>
        </w:rPr>
        <w:tab/>
        <w:t>16.</w:t>
      </w:r>
      <w:r w:rsidRPr="00FB5668">
        <w:rPr>
          <w:lang w:val="fr-CA"/>
        </w:rPr>
        <w:tab/>
        <w:t>Adoption du rapport.</w:t>
      </w:r>
    </w:p>
    <w:p w:rsidR="00DC44CE" w:rsidRPr="00FB5668" w:rsidRDefault="00A26CD4" w:rsidP="00A26CD4">
      <w:pPr>
        <w:pStyle w:val="CBDNormalNoNumber"/>
        <w:ind w:left="1701" w:hanging="1134"/>
        <w:rPr>
          <w:lang w:val="fr-CA"/>
        </w:rPr>
      </w:pPr>
      <w:r w:rsidRPr="00FB5668">
        <w:rPr>
          <w:lang w:val="fr-CA"/>
        </w:rPr>
        <w:tab/>
        <w:t>17.</w:t>
      </w:r>
      <w:r w:rsidRPr="00FB5668">
        <w:rPr>
          <w:lang w:val="fr-CA"/>
        </w:rPr>
        <w:tab/>
        <w:t>Clôture de la réunion.</w:t>
      </w:r>
    </w:p>
    <w:p w:rsidR="00A01C93" w:rsidRPr="00FB5668" w:rsidRDefault="00A01C93" w:rsidP="007F7E8B">
      <w:pPr>
        <w:pStyle w:val="Para1"/>
        <w:ind w:left="562"/>
        <w:rPr>
          <w:i/>
          <w:iCs/>
          <w:lang w:val="fr-CA"/>
        </w:rPr>
      </w:pPr>
      <w:r w:rsidRPr="00FB5668">
        <w:rPr>
          <w:i/>
          <w:iCs/>
          <w:lang w:val="fr-CA"/>
        </w:rPr>
        <w:t>Organisation des travaux</w:t>
      </w:r>
    </w:p>
    <w:p w:rsidR="00EB1A67" w:rsidRPr="00FB5668" w:rsidRDefault="00A01C93" w:rsidP="0093532A">
      <w:pPr>
        <w:pStyle w:val="CBDNormalNumber"/>
        <w:rPr>
          <w:rFonts w:eastAsia="Batang"/>
          <w:lang w:val="fr-CA" w:eastAsia="ja-JP"/>
        </w:rPr>
      </w:pPr>
      <w:r w:rsidRPr="00FB5668">
        <w:rPr>
          <w:lang w:val="fr-CA"/>
        </w:rPr>
        <w:t xml:space="preserve">À sa première séance plénière, la Conférence des Parties siégeant en tant que réunion des Parties au Protocole a décidé d’organiser ses travaux comme indiqué à l’annexe III de la proposition d’organisation des travaux. </w:t>
      </w:r>
      <w:r w:rsidRPr="00FB5668">
        <w:rPr>
          <w:rFonts w:asciiTheme="majorBidi" w:hAnsiTheme="majorBidi" w:cstheme="majorBidi"/>
          <w:color w:val="000000" w:themeColor="text1"/>
          <w:lang w:val="fr-CA"/>
        </w:rPr>
        <w:t xml:space="preserve">Elle a donc décidé de créer deux groupes de travail :  </w:t>
      </w:r>
      <w:r w:rsidRPr="00FB5668">
        <w:rPr>
          <w:lang w:val="fr-CA"/>
        </w:rPr>
        <w:t xml:space="preserve">le Groupe de travail I, présidé par </w:t>
      </w:r>
      <w:proofErr w:type="spellStart"/>
      <w:r w:rsidRPr="00FB5668">
        <w:rPr>
          <w:lang w:val="fr-CA"/>
        </w:rPr>
        <w:t>Charlotta</w:t>
      </w:r>
      <w:proofErr w:type="spellEnd"/>
      <w:r w:rsidRPr="00FB5668">
        <w:rPr>
          <w:lang w:val="fr-CA"/>
        </w:rPr>
        <w:t xml:space="preserve"> </w:t>
      </w:r>
      <w:proofErr w:type="spellStart"/>
      <w:r w:rsidRPr="00FB5668">
        <w:rPr>
          <w:lang w:val="fr-CA"/>
        </w:rPr>
        <w:t>Sörqvist</w:t>
      </w:r>
      <w:proofErr w:type="spellEnd"/>
      <w:r w:rsidRPr="00FB5668">
        <w:rPr>
          <w:lang w:val="fr-CA"/>
        </w:rPr>
        <w:t xml:space="preserve"> (Suède), et le Groupe de travail II, présidé par </w:t>
      </w:r>
      <w:proofErr w:type="spellStart"/>
      <w:r w:rsidRPr="00FB5668">
        <w:rPr>
          <w:lang w:val="fr-CA"/>
        </w:rPr>
        <w:t>Hesiquio</w:t>
      </w:r>
      <w:proofErr w:type="spellEnd"/>
      <w:r w:rsidRPr="00FB5668">
        <w:rPr>
          <w:lang w:val="fr-CA"/>
        </w:rPr>
        <w:t xml:space="preserve"> </w:t>
      </w:r>
      <w:proofErr w:type="spellStart"/>
      <w:r w:rsidRPr="00FB5668">
        <w:rPr>
          <w:lang w:val="fr-CA"/>
        </w:rPr>
        <w:t>Benítez</w:t>
      </w:r>
      <w:proofErr w:type="spellEnd"/>
      <w:r w:rsidRPr="00FB5668">
        <w:rPr>
          <w:lang w:val="fr-CA"/>
        </w:rPr>
        <w:t xml:space="preserve"> </w:t>
      </w:r>
      <w:proofErr w:type="spellStart"/>
      <w:r w:rsidRPr="00FB5668">
        <w:rPr>
          <w:lang w:val="fr-CA"/>
        </w:rPr>
        <w:t>Díaz</w:t>
      </w:r>
      <w:proofErr w:type="spellEnd"/>
      <w:r w:rsidRPr="00FB5668">
        <w:rPr>
          <w:lang w:val="fr-CA"/>
        </w:rPr>
        <w:t xml:space="preserve"> (Mexique).</w:t>
      </w:r>
    </w:p>
    <w:p w:rsidR="008270BA" w:rsidRPr="00FB5668" w:rsidRDefault="008270BA" w:rsidP="008270BA">
      <w:pPr>
        <w:pStyle w:val="CBDNormalNoNumber"/>
        <w:keepNext/>
        <w:rPr>
          <w:i/>
          <w:iCs/>
          <w:snapToGrid w:val="0"/>
          <w:lang w:val="fr-CA"/>
        </w:rPr>
      </w:pPr>
      <w:r w:rsidRPr="00FB5668">
        <w:rPr>
          <w:i/>
          <w:iCs/>
          <w:snapToGrid w:val="0"/>
          <w:lang w:val="fr-CA"/>
        </w:rPr>
        <w:t>Travaux des groupes de travail de session</w:t>
      </w:r>
    </w:p>
    <w:p w:rsidR="00BB00D8" w:rsidRPr="00FB5668" w:rsidRDefault="00BB00D8" w:rsidP="00474A1A">
      <w:pPr>
        <w:pStyle w:val="CBDNormalNumber"/>
        <w:rPr>
          <w:lang w:val="fr-CA"/>
        </w:rPr>
      </w:pPr>
      <w:r w:rsidRPr="00FB5668">
        <w:rPr>
          <w:lang w:val="fr-CA"/>
        </w:rPr>
        <w:t>Le Groupe de travail I a siégé six fois entre le 21 octobre et le 1</w:t>
      </w:r>
      <w:r w:rsidRPr="00FB5668">
        <w:rPr>
          <w:vertAlign w:val="superscript"/>
          <w:lang w:val="fr-CA"/>
        </w:rPr>
        <w:t>er</w:t>
      </w:r>
      <w:r w:rsidRPr="00FB5668">
        <w:rPr>
          <w:lang w:val="fr-CA"/>
        </w:rPr>
        <w:t> novembre 2024 et a adopté son rapport</w:t>
      </w:r>
      <w:r w:rsidRPr="00FB5668">
        <w:rPr>
          <w:rStyle w:val="FootnoteReference"/>
          <w:lang w:val="fr-CA"/>
        </w:rPr>
        <w:footnoteReference w:id="10"/>
      </w:r>
      <w:r w:rsidRPr="00FB5668">
        <w:rPr>
          <w:lang w:val="fr-CA"/>
        </w:rPr>
        <w:t xml:space="preserve"> le 1</w:t>
      </w:r>
      <w:r w:rsidRPr="00FB5668">
        <w:rPr>
          <w:vertAlign w:val="superscript"/>
          <w:lang w:val="fr-CA"/>
        </w:rPr>
        <w:t>er</w:t>
      </w:r>
      <w:r w:rsidRPr="00FB5668">
        <w:rPr>
          <w:lang w:val="fr-CA"/>
        </w:rPr>
        <w:t> novembre 2024.</w:t>
      </w:r>
    </w:p>
    <w:p w:rsidR="00BB00D8" w:rsidRPr="00FB5668" w:rsidRDefault="00BB00D8" w:rsidP="00474A1A">
      <w:pPr>
        <w:pStyle w:val="CBDNormalNumber"/>
        <w:rPr>
          <w:lang w:val="fr-CA"/>
        </w:rPr>
      </w:pPr>
      <w:r w:rsidRPr="00FB5668">
        <w:rPr>
          <w:lang w:val="fr-CA"/>
        </w:rPr>
        <w:t>Le Groupe de travail II a siégé douze fois entre le 21 octobre et le 1</w:t>
      </w:r>
      <w:r w:rsidRPr="00FB5668">
        <w:rPr>
          <w:vertAlign w:val="superscript"/>
          <w:lang w:val="fr-CA"/>
        </w:rPr>
        <w:t>er</w:t>
      </w:r>
      <w:r w:rsidRPr="00FB5668">
        <w:rPr>
          <w:lang w:val="fr-CA"/>
        </w:rPr>
        <w:t> novembre 2024 et a adopté son rapport</w:t>
      </w:r>
      <w:r w:rsidRPr="00FB5668">
        <w:rPr>
          <w:rStyle w:val="FootnoteReference"/>
          <w:lang w:val="fr-CA"/>
        </w:rPr>
        <w:footnoteReference w:id="11"/>
      </w:r>
      <w:r w:rsidRPr="00FB5668">
        <w:rPr>
          <w:lang w:val="fr-CA"/>
        </w:rPr>
        <w:t xml:space="preserve"> le 1</w:t>
      </w:r>
      <w:r w:rsidRPr="00FB5668">
        <w:rPr>
          <w:vertAlign w:val="superscript"/>
          <w:lang w:val="fr-CA"/>
        </w:rPr>
        <w:t>er</w:t>
      </w:r>
      <w:r w:rsidRPr="00FB5668">
        <w:rPr>
          <w:lang w:val="fr-CA"/>
        </w:rPr>
        <w:t> novembre 2024.</w:t>
      </w:r>
    </w:p>
    <w:p w:rsidR="004D225E" w:rsidRPr="00FB5668" w:rsidRDefault="004D225E" w:rsidP="004D225E">
      <w:pPr>
        <w:pStyle w:val="CBDNormalNumber"/>
        <w:keepNext/>
        <w:numPr>
          <w:ilvl w:val="0"/>
          <w:numId w:val="0"/>
        </w:numPr>
        <w:ind w:left="567"/>
        <w:rPr>
          <w:rFonts w:eastAsia="Batang"/>
          <w:i/>
          <w:iCs/>
          <w:lang w:val="fr-CA" w:eastAsia="ja-JP"/>
        </w:rPr>
      </w:pPr>
      <w:r w:rsidRPr="00FB5668">
        <w:rPr>
          <w:rFonts w:eastAsia="Batang"/>
          <w:i/>
          <w:iCs/>
          <w:lang w:val="fr-CA"/>
        </w:rPr>
        <w:lastRenderedPageBreak/>
        <w:t>Première séance de bilan</w:t>
      </w:r>
    </w:p>
    <w:p w:rsidR="004D225E" w:rsidRPr="00FB5668" w:rsidRDefault="004D225E" w:rsidP="006B49C8">
      <w:pPr>
        <w:pStyle w:val="CBDNormalNumber"/>
        <w:spacing w:before="0"/>
        <w:rPr>
          <w:rFonts w:eastAsia="Batang"/>
          <w:lang w:val="fr-CA" w:eastAsia="ja-JP"/>
        </w:rPr>
      </w:pPr>
      <w:r w:rsidRPr="00FB5668">
        <w:rPr>
          <w:lang w:val="fr-CA"/>
        </w:rPr>
        <w:t>La deuxième séance plénière de la Conférence des Parties siégeant en tant que réunion des Parties au Protocole, le 25 octobre, a servi en partie de séance de bilan, tenue conjointement avec la Conférence des Parties à la Convention et la Conférence des Parties siégeant en tant que réunion des Parties au Protocole de Nagoya. Au cours de cette séance de bilan, les présidents du Groupe de travail I, du Groupe de travail II et du groupe de contact sur les questions budgétaires ont présenté des rapports sur les progrès réalisés à ce jour.</w:t>
      </w:r>
      <w:r w:rsidRPr="00FB5668">
        <w:rPr>
          <w:rFonts w:eastAsia="Batang"/>
          <w:lang w:val="fr-CA"/>
        </w:rPr>
        <w:t xml:space="preserve"> </w:t>
      </w:r>
    </w:p>
    <w:p w:rsidR="00E668E6" w:rsidRPr="00FB5668" w:rsidRDefault="00E668E6" w:rsidP="00351C22">
      <w:pPr>
        <w:pStyle w:val="CBDNormalNumber"/>
        <w:rPr>
          <w:lang w:val="fr-CA"/>
        </w:rPr>
      </w:pPr>
      <w:r w:rsidRPr="00FB5668">
        <w:rPr>
          <w:lang w:val="fr-CA"/>
        </w:rPr>
        <w:t>Des déclarations ont été faites par les représentants des Parties suivantes : Fidji (au nom des petits États insulaires en développement du Pacifique Parties au Protocole représentés à la réunion) et République démocratique populaire lao</w:t>
      </w:r>
      <w:r w:rsidRPr="00FB5668">
        <w:rPr>
          <w:rFonts w:ascii="Segoe UI" w:hAnsi="Segoe UI" w:cs="Segoe UI"/>
          <w:sz w:val="18"/>
          <w:szCs w:val="18"/>
          <w:lang w:val="fr-CA"/>
        </w:rPr>
        <w:t xml:space="preserve"> </w:t>
      </w:r>
      <w:r w:rsidRPr="00FB5668">
        <w:rPr>
          <w:lang w:val="fr-CA"/>
        </w:rPr>
        <w:t xml:space="preserve">(au nom des États membres de l'Association des nations de l'Asie du </w:t>
      </w:r>
      <w:proofErr w:type="spellStart"/>
      <w:r w:rsidRPr="00FB5668">
        <w:rPr>
          <w:lang w:val="fr-CA"/>
        </w:rPr>
        <w:t>Sud-Est</w:t>
      </w:r>
      <w:proofErr w:type="spellEnd"/>
      <w:r w:rsidRPr="00FB5668">
        <w:rPr>
          <w:lang w:val="fr-CA"/>
        </w:rPr>
        <w:t xml:space="preserve"> représentés à la réunion). </w:t>
      </w:r>
    </w:p>
    <w:p w:rsidR="00E668E6" w:rsidRPr="00FB5668" w:rsidRDefault="00E668E6" w:rsidP="00E668E6">
      <w:pPr>
        <w:pStyle w:val="CBDNormalNumber"/>
        <w:rPr>
          <w:lang w:val="fr-CA"/>
        </w:rPr>
      </w:pPr>
      <w:r w:rsidRPr="00FB5668">
        <w:rPr>
          <w:lang w:val="fr-CA"/>
        </w:rPr>
        <w:t>Une déclaration a également été faite par un représentant de la non Partie suivante : Fédération de Russie [également au nom de l’Afrique du Sud, du Brésil, de la Chine, de l’Égypte, des Émirats arabes unis, de l’Éthiopie, de l’Inde et de l’Iran (République islamique d')].</w:t>
      </w:r>
    </w:p>
    <w:p w:rsidR="004D225E" w:rsidRPr="00FB5668" w:rsidRDefault="004D225E" w:rsidP="004D225E">
      <w:pPr>
        <w:pStyle w:val="CBDNormalNumber"/>
        <w:keepNext/>
        <w:numPr>
          <w:ilvl w:val="0"/>
          <w:numId w:val="0"/>
        </w:numPr>
        <w:ind w:left="567"/>
        <w:rPr>
          <w:rFonts w:eastAsia="Batang"/>
          <w:i/>
          <w:iCs/>
          <w:lang w:val="fr-CA" w:eastAsia="ja-JP"/>
        </w:rPr>
      </w:pPr>
      <w:r w:rsidRPr="00FB5668">
        <w:rPr>
          <w:rFonts w:eastAsia="Batang"/>
          <w:i/>
          <w:iCs/>
          <w:lang w:val="fr-CA"/>
        </w:rPr>
        <w:t>Deuxième séance de bilan</w:t>
      </w:r>
    </w:p>
    <w:p w:rsidR="006905B0" w:rsidRPr="00FB5668" w:rsidRDefault="006905B0" w:rsidP="006905B0">
      <w:pPr>
        <w:pStyle w:val="CBDNormalNumber"/>
        <w:rPr>
          <w:rFonts w:eastAsia="Batang"/>
          <w:lang w:val="fr-CA" w:eastAsia="ja-JP"/>
        </w:rPr>
      </w:pPr>
      <w:r w:rsidRPr="00FB5668">
        <w:rPr>
          <w:lang w:val="fr-CA"/>
        </w:rPr>
        <w:t>La troisième séance plénière de la Conférence des Parties siégeant en tant que réunion des Parties au Protocole de Cartagena a servi en partie de deuxième séance de bilan, tenue conjointement avec la Conférence des Parties à la Convention et la Conférence des Parties siégeant en tant que réunion des Parties au Protocole de Nagoya. Au cours de cette séance de bilan, les représentants ont entendu un rapport de la Présidente sur les résultats du débat de haut niveau, ainsi que des rapports sur les progrès réalisés à cette date, présentés par les présidents du Groupe de travail I, du Groupe de travail II et du groupe de contact sur les questions budgétaires.</w:t>
      </w:r>
      <w:r w:rsidRPr="00FB5668">
        <w:rPr>
          <w:rFonts w:eastAsia="Batang"/>
          <w:lang w:val="fr-CA"/>
        </w:rPr>
        <w:t xml:space="preserve"> </w:t>
      </w:r>
    </w:p>
    <w:p w:rsidR="006905B0" w:rsidRPr="00FB5668" w:rsidRDefault="006905B0" w:rsidP="006905B0">
      <w:pPr>
        <w:pStyle w:val="CBDNormalNumber"/>
        <w:rPr>
          <w:rFonts w:eastAsia="Batang"/>
          <w:lang w:val="fr-CA" w:eastAsia="ja-JP"/>
        </w:rPr>
      </w:pPr>
      <w:r w:rsidRPr="00FB5668">
        <w:rPr>
          <w:lang w:val="fr-CA"/>
        </w:rPr>
        <w:t>Une déclaration a été faite par un représentant de l’État plurinational de Bolivie [au nom d’Antigua-et-Barbuda, du Brésil, de Cuba, de l’Équateur, des Fidji, du Guatemala, d’Haïti, des Îles Cook, des Îles Marshall, des îles Salomon, de l’Inde, de l’Indonésie, de Kiribati, de Malaisie, de la Micronésie (États fédérés de), de Nauru, des Palaos, des Philippines, de la République dominicaine, des Tonga, de Vanuatu, du Venezuela (République bolivarienne du) et des États africains]</w:t>
      </w:r>
      <w:r w:rsidRPr="00FB5668">
        <w:rPr>
          <w:rStyle w:val="FootnoteReference"/>
          <w:lang w:val="fr-CA"/>
        </w:rPr>
        <w:footnoteReference w:id="12"/>
      </w:r>
      <w:r w:rsidRPr="00FB5668">
        <w:rPr>
          <w:lang w:val="fr-CA"/>
        </w:rPr>
        <w:t>.</w:t>
      </w:r>
    </w:p>
    <w:p w:rsidR="008270BA" w:rsidRPr="00FB5668" w:rsidRDefault="00592CD5" w:rsidP="008270BA">
      <w:pPr>
        <w:pStyle w:val="CBDNormalNoNumber"/>
        <w:keepNext/>
        <w:rPr>
          <w:i/>
          <w:iCs/>
          <w:snapToGrid w:val="0"/>
          <w:lang w:val="fr-CA"/>
        </w:rPr>
      </w:pPr>
      <w:r w:rsidRPr="00FB5668">
        <w:rPr>
          <w:i/>
          <w:iCs/>
          <w:snapToGrid w:val="0"/>
          <w:lang w:val="fr-CA"/>
        </w:rPr>
        <w:t>Première reprise de la réunion</w:t>
      </w:r>
    </w:p>
    <w:p w:rsidR="006B234D" w:rsidRPr="00FB5668" w:rsidRDefault="00C86BCF" w:rsidP="006B234D">
      <w:pPr>
        <w:pStyle w:val="CBDNormalNumber"/>
        <w:rPr>
          <w:snapToGrid w:val="0"/>
          <w:lang w:val="fr-CA"/>
        </w:rPr>
      </w:pPr>
      <w:r w:rsidRPr="00FB5668">
        <w:rPr>
          <w:snapToGrid w:val="0"/>
          <w:lang w:val="fr-CA"/>
        </w:rPr>
        <w:t>Avant la première reprise de la réunion, le Secrétariat a publié une communication liminaire de la Présidente</w:t>
      </w:r>
      <w:r w:rsidRPr="00FB5668">
        <w:rPr>
          <w:rStyle w:val="FootnoteReference"/>
          <w:snapToGrid w:val="0"/>
          <w:lang w:val="fr-CA"/>
        </w:rPr>
        <w:footnoteReference w:id="13"/>
      </w:r>
      <w:r w:rsidRPr="00FB5668">
        <w:rPr>
          <w:snapToGrid w:val="0"/>
          <w:lang w:val="fr-CA"/>
        </w:rPr>
        <w:t xml:space="preserve"> et une note de scénario</w:t>
      </w:r>
      <w:r w:rsidRPr="00FB5668">
        <w:rPr>
          <w:rStyle w:val="FootnoteReference"/>
          <w:snapToGrid w:val="0"/>
          <w:lang w:val="fr-CA"/>
        </w:rPr>
        <w:footnoteReference w:id="14"/>
      </w:r>
      <w:r w:rsidRPr="00FB5668">
        <w:rPr>
          <w:snapToGrid w:val="0"/>
          <w:lang w:val="fr-CA"/>
        </w:rPr>
        <w:t xml:space="preserve"> en vue de l'adoption, selon la procédure d'approbation tacite, de deux projets décision relatifs au budget</w:t>
      </w:r>
      <w:r w:rsidRPr="00FB5668">
        <w:rPr>
          <w:rStyle w:val="FootnoteReference"/>
          <w:snapToGrid w:val="0"/>
          <w:lang w:val="fr-CA"/>
        </w:rPr>
        <w:footnoteReference w:id="15"/>
      </w:r>
      <w:r w:rsidRPr="00FB5668">
        <w:rPr>
          <w:snapToGrid w:val="0"/>
          <w:lang w:val="fr-CA"/>
        </w:rPr>
        <w:t>. Le résultat des procédures d'approbation tacite est décrit au point 6 ci-dessous</w:t>
      </w:r>
      <w:r w:rsidRPr="00FB5668">
        <w:rPr>
          <w:lang w:val="fr-CA"/>
        </w:rPr>
        <w:t>.</w:t>
      </w:r>
    </w:p>
    <w:p w:rsidR="000F7F8A" w:rsidRPr="00FB5668" w:rsidRDefault="00E04367" w:rsidP="000F7F8A">
      <w:pPr>
        <w:pStyle w:val="CBDNormalNumber"/>
        <w:numPr>
          <w:ilvl w:val="0"/>
          <w:numId w:val="0"/>
        </w:numPr>
        <w:ind w:left="567"/>
        <w:rPr>
          <w:i/>
          <w:iCs/>
          <w:snapToGrid w:val="0"/>
          <w:lang w:val="fr-CA"/>
        </w:rPr>
      </w:pPr>
      <w:r w:rsidRPr="00FB5668">
        <w:rPr>
          <w:i/>
          <w:iCs/>
          <w:snapToGrid w:val="0"/>
          <w:lang w:val="fr-CA"/>
        </w:rPr>
        <w:t xml:space="preserve">Deuxième reprise de la réunion </w:t>
      </w:r>
    </w:p>
    <w:p w:rsidR="00035500" w:rsidRPr="00FB5668" w:rsidRDefault="002A740C" w:rsidP="00035500">
      <w:pPr>
        <w:pStyle w:val="CBDNormalNumber"/>
        <w:rPr>
          <w:lang w:val="fr-CA"/>
        </w:rPr>
      </w:pPr>
      <w:r w:rsidRPr="00FB5668">
        <w:rPr>
          <w:lang w:val="fr-CA"/>
        </w:rPr>
        <w:t xml:space="preserve">À sa septième séance plénière, la Conférence des Parties siégeant en tant que réunion des Parties au Protocole était saisie </w:t>
      </w:r>
      <w:bookmarkStart w:id="4" w:name="_Hlk190684020"/>
      <w:r w:rsidRPr="00FB5668">
        <w:rPr>
          <w:lang w:val="fr-CA"/>
        </w:rPr>
        <w:t>d'un ordre du jour provisoire annoté pour tous les points en suspens</w:t>
      </w:r>
      <w:r w:rsidRPr="00FB5668">
        <w:rPr>
          <w:rStyle w:val="FootnoteReference"/>
          <w:lang w:val="fr-CA"/>
        </w:rPr>
        <w:footnoteReference w:id="16"/>
      </w:r>
      <w:r w:rsidRPr="00FB5668">
        <w:rPr>
          <w:lang w:val="fr-CA"/>
        </w:rPr>
        <w:t>, d'une proposition d'organisation des travaux et d'une note de scénario</w:t>
      </w:r>
      <w:bookmarkEnd w:id="4"/>
      <w:r w:rsidRPr="00FB5668">
        <w:rPr>
          <w:lang w:val="fr-CA"/>
        </w:rPr>
        <w:t>,</w:t>
      </w:r>
      <w:r w:rsidRPr="00FB5668">
        <w:rPr>
          <w:rStyle w:val="FootnoteReference"/>
          <w:lang w:val="fr-CA"/>
        </w:rPr>
        <w:footnoteReference w:id="17"/>
      </w:r>
      <w:r w:rsidRPr="00FB5668">
        <w:rPr>
          <w:lang w:val="fr-CA"/>
        </w:rPr>
        <w:t xml:space="preserve"> ayant chacune été élaborée par le Secrétariat en </w:t>
      </w:r>
      <w:r w:rsidRPr="00FB5668">
        <w:rPr>
          <w:rFonts w:asciiTheme="majorBidi" w:hAnsiTheme="majorBidi" w:cstheme="majorBidi"/>
          <w:color w:val="000000" w:themeColor="text1"/>
          <w:lang w:val="fr-CA"/>
        </w:rPr>
        <w:t>consultation avec le Bureau.</w:t>
      </w:r>
    </w:p>
    <w:p w:rsidR="00035500" w:rsidRPr="00FB5668" w:rsidRDefault="00035500" w:rsidP="00035500">
      <w:pPr>
        <w:pStyle w:val="CBDNormalNumber"/>
        <w:rPr>
          <w:lang w:val="fr-CA"/>
        </w:rPr>
      </w:pPr>
      <w:r w:rsidRPr="00FB5668">
        <w:rPr>
          <w:rFonts w:asciiTheme="majorBidi" w:hAnsiTheme="majorBidi" w:cstheme="majorBidi"/>
          <w:color w:val="000000" w:themeColor="text1"/>
          <w:lang w:val="fr-CA"/>
        </w:rPr>
        <w:lastRenderedPageBreak/>
        <w:t xml:space="preserve">La </w:t>
      </w:r>
      <w:proofErr w:type="spellStart"/>
      <w:r w:rsidRPr="00FB5668">
        <w:rPr>
          <w:rFonts w:asciiTheme="majorBidi" w:hAnsiTheme="majorBidi" w:cstheme="majorBidi"/>
          <w:color w:val="000000" w:themeColor="text1"/>
          <w:lang w:val="fr-CA"/>
        </w:rPr>
        <w:t>Conference</w:t>
      </w:r>
      <w:proofErr w:type="spellEnd"/>
      <w:r w:rsidRPr="00FB5668">
        <w:rPr>
          <w:rFonts w:asciiTheme="majorBidi" w:hAnsiTheme="majorBidi" w:cstheme="majorBidi"/>
          <w:color w:val="000000" w:themeColor="text1"/>
          <w:lang w:val="fr-CA"/>
        </w:rPr>
        <w:t xml:space="preserve"> des Parties siégeant en tant que réunion des Parties au Protocole a approuvé la proposition de note de scénario, figurant à la section II du document CBD/CP/MOP/11/1/</w:t>
      </w:r>
      <w:proofErr w:type="spellStart"/>
      <w:r w:rsidRPr="00FB5668">
        <w:rPr>
          <w:rFonts w:asciiTheme="majorBidi" w:hAnsiTheme="majorBidi" w:cstheme="majorBidi"/>
          <w:color w:val="000000" w:themeColor="text1"/>
          <w:lang w:val="fr-CA"/>
        </w:rPr>
        <w:t>Add</w:t>
      </w:r>
      <w:proofErr w:type="spellEnd"/>
      <w:r w:rsidRPr="00FB5668">
        <w:rPr>
          <w:rFonts w:asciiTheme="majorBidi" w:hAnsiTheme="majorBidi" w:cstheme="majorBidi"/>
          <w:color w:val="000000" w:themeColor="text1"/>
          <w:lang w:val="fr-CA"/>
        </w:rPr>
        <w:t>.5, et la proposition d'organisation des travaux, figurant à l'annexe du même document.</w:t>
      </w:r>
    </w:p>
    <w:p w:rsidR="00A321E7" w:rsidRPr="00FB5668" w:rsidRDefault="00A321E7" w:rsidP="00A26CD4">
      <w:pPr>
        <w:pStyle w:val="CBDNormalNumber"/>
        <w:rPr>
          <w:lang w:val="fr-CA"/>
        </w:rPr>
      </w:pPr>
      <w:r w:rsidRPr="00FB5668">
        <w:rPr>
          <w:lang w:val="fr-CA"/>
        </w:rPr>
        <w:t>[à compléter]</w:t>
      </w:r>
    </w:p>
    <w:p w:rsidR="00557370" w:rsidRPr="00FB5668" w:rsidRDefault="00512CE8" w:rsidP="006F791E">
      <w:pPr>
        <w:pStyle w:val="CBDAgendaItem"/>
        <w:rPr>
          <w:lang w:val="fr-CA"/>
        </w:rPr>
      </w:pPr>
      <w:r w:rsidRPr="00FB5668">
        <w:rPr>
          <w:lang w:val="fr-CA"/>
        </w:rPr>
        <w:t xml:space="preserve">Point 3 </w:t>
      </w:r>
      <w:r w:rsidRPr="00FB5668">
        <w:rPr>
          <w:lang w:val="fr-CA"/>
        </w:rPr>
        <w:br/>
        <w:t>Rapport sur les pouvoirs des représentants à la onzième réunion de la Conférence des Parties siégeant en tant que réunion des Parties au Protocole de Cartagena</w:t>
      </w:r>
    </w:p>
    <w:p w:rsidR="002530CE" w:rsidRPr="00FB5668" w:rsidRDefault="00A53A16" w:rsidP="002530CE">
      <w:pPr>
        <w:pStyle w:val="CBDNormalNumber"/>
        <w:rPr>
          <w:lang w:val="fr-CA"/>
        </w:rPr>
      </w:pPr>
      <w:bookmarkStart w:id="7" w:name="_Hlk180682308"/>
      <w:r w:rsidRPr="00FB5668">
        <w:rPr>
          <w:lang w:val="fr-CA"/>
        </w:rPr>
        <w:t>À sa première séance plénière, la Conférence des Parties siégeant en tant que réunion des Parties au Protocole a noté que, conformément au règlement intérieur applicable aux réunions des Parties, le Bureau avait examiné la liste des observateurs admis à la réunion</w:t>
      </w:r>
      <w:r w:rsidRPr="00FB5668">
        <w:rPr>
          <w:rStyle w:val="FootnoteReference"/>
          <w:lang w:val="fr-CA"/>
        </w:rPr>
        <w:footnoteReference w:id="18"/>
      </w:r>
      <w:r w:rsidRPr="00FB5668">
        <w:rPr>
          <w:lang w:val="fr-CA"/>
        </w:rPr>
        <w:t xml:space="preserve"> et qu’il examinerait les pouvoirs des représentants et en rendrait compte à une session ultérieure. La Conférence a également noté que le Bureau avait désigné M</w:t>
      </w:r>
      <w:r w:rsidRPr="00FB5668">
        <w:rPr>
          <w:vertAlign w:val="superscript"/>
          <w:lang w:val="fr-CA"/>
        </w:rPr>
        <w:t>me</w:t>
      </w:r>
      <w:r w:rsidRPr="00FB5668">
        <w:rPr>
          <w:lang w:val="fr-CA"/>
        </w:rPr>
        <w:t xml:space="preserve"> </w:t>
      </w:r>
      <w:proofErr w:type="spellStart"/>
      <w:r w:rsidRPr="00FB5668">
        <w:rPr>
          <w:lang w:val="fr-CA"/>
        </w:rPr>
        <w:t>Mabuza</w:t>
      </w:r>
      <w:proofErr w:type="spellEnd"/>
      <w:r w:rsidRPr="00FB5668">
        <w:rPr>
          <w:lang w:val="fr-CA"/>
        </w:rPr>
        <w:t xml:space="preserve"> comme représentante pour l’examen des pouvoirs.</w:t>
      </w:r>
    </w:p>
    <w:p w:rsidR="00B106AD" w:rsidRPr="00FB5668" w:rsidRDefault="000A285D" w:rsidP="00B106AD">
      <w:pPr>
        <w:pStyle w:val="CBDNormalNumber"/>
        <w:rPr>
          <w:lang w:val="fr-CA" w:eastAsia="en-CA"/>
        </w:rPr>
      </w:pPr>
      <w:r w:rsidRPr="00FB5668">
        <w:rPr>
          <w:lang w:val="fr-CA"/>
        </w:rPr>
        <w:t>À la deuxième séance plénière, M</w:t>
      </w:r>
      <w:r w:rsidRPr="00FB5668">
        <w:rPr>
          <w:vertAlign w:val="superscript"/>
          <w:lang w:val="fr-CA"/>
        </w:rPr>
        <w:t>me</w:t>
      </w:r>
      <w:r w:rsidRPr="00FB5668">
        <w:rPr>
          <w:lang w:val="fr-CA"/>
        </w:rPr>
        <w:t xml:space="preserve"> </w:t>
      </w:r>
      <w:proofErr w:type="spellStart"/>
      <w:r w:rsidRPr="00FB5668">
        <w:rPr>
          <w:lang w:val="fr-CA"/>
        </w:rPr>
        <w:t>Mabuza</w:t>
      </w:r>
      <w:proofErr w:type="spellEnd"/>
      <w:r w:rsidRPr="00FB5668">
        <w:rPr>
          <w:lang w:val="fr-CA"/>
        </w:rPr>
        <w:t xml:space="preserve"> a rapporté que 151 Parties au Protocole étaient inscrites comme participant à la réunion. Les représentants de 108 Parties inscrites avaient soumis des pouvoirs en conformité complète avec l’article 18 du règlement intérieur, tandis que les représentants d’une Partie inscrite avaient soumis des pouvoirs qui n’étaient pas entièrement conformes. Les représentants de 42 Parties inscrites n’avaient pas encore soumis leurs pouvoirs.</w:t>
      </w:r>
    </w:p>
    <w:p w:rsidR="006905B0" w:rsidRPr="00FB5668" w:rsidRDefault="006905B0" w:rsidP="006905B0">
      <w:pPr>
        <w:pStyle w:val="CBDNormalNumber"/>
        <w:rPr>
          <w:lang w:val="fr-CA" w:eastAsia="en-CA"/>
        </w:rPr>
      </w:pPr>
      <w:bookmarkStart w:id="8" w:name="_Hlk181295818"/>
      <w:r w:rsidRPr="00FB5668">
        <w:rPr>
          <w:lang w:val="fr-CA"/>
        </w:rPr>
        <w:t>À la troisième séance plénière, M</w:t>
      </w:r>
      <w:r w:rsidRPr="00FB5668">
        <w:rPr>
          <w:vertAlign w:val="superscript"/>
          <w:lang w:val="fr-CA"/>
        </w:rPr>
        <w:t>me</w:t>
      </w:r>
      <w:r w:rsidRPr="00FB5668">
        <w:rPr>
          <w:lang w:val="fr-CA"/>
        </w:rPr>
        <w:t xml:space="preserve"> </w:t>
      </w:r>
      <w:proofErr w:type="spellStart"/>
      <w:r w:rsidRPr="00FB5668">
        <w:rPr>
          <w:lang w:val="fr-CA"/>
        </w:rPr>
        <w:t>Mabuza</w:t>
      </w:r>
      <w:proofErr w:type="spellEnd"/>
      <w:r w:rsidRPr="00FB5668">
        <w:rPr>
          <w:lang w:val="fr-CA"/>
        </w:rPr>
        <w:t xml:space="preserve"> a rapporté que 155 Parties au Protocole étaient inscrites comme participant à la réunion. Les représentants de 115 Parties inscrites avaient soumis des pouvoirs en conformité complète avec l’article 18 du règlement intérieur, tandis que les représentants d’une Partie inscrite avaient soumis des pouvoirs qui n’étaient pas entièrement conformes. Les représentants de 39 Parties inscrites n’avaient pas encore soumis leurs pouvoirs.</w:t>
      </w:r>
    </w:p>
    <w:p w:rsidR="00DD77E2" w:rsidRPr="00FB5668" w:rsidRDefault="00DD77E2" w:rsidP="00DD77E2">
      <w:pPr>
        <w:pStyle w:val="CBDNormalNumber"/>
        <w:rPr>
          <w:lang w:val="fr-CA" w:eastAsia="en-CA"/>
        </w:rPr>
      </w:pPr>
      <w:bookmarkStart w:id="9" w:name="_Hlk181299492"/>
      <w:bookmarkEnd w:id="8"/>
      <w:r w:rsidRPr="00FB5668">
        <w:rPr>
          <w:lang w:val="fr-CA"/>
        </w:rPr>
        <w:t xml:space="preserve">À la quatrième séance plénière, la Présidente a informé les délégués que le rapport sur les pouvoirs avait été publié en tant que document d’information </w:t>
      </w:r>
      <w:r w:rsidRPr="00FB5668">
        <w:rPr>
          <w:rFonts w:eastAsia="MS Mincho"/>
          <w:lang w:val="fr-CA"/>
        </w:rPr>
        <w:t>CBD/CP/MOP/11/INF/6.</w:t>
      </w:r>
      <w:r w:rsidRPr="00FB5668">
        <w:rPr>
          <w:lang w:val="fr-CA"/>
        </w:rPr>
        <w:t xml:space="preserve"> De plus, les représentants du Tadjikistan avaient soumis des pouvoirs entièrement conformes, portant le nombre de Parties qui avaient soumis des pouvoirs en conformité complète avec l’article 18 du règlement intérieur à 116 pour la onzième réunion de la Conférence des Parties siégeant en tant que réunion des Parties au Protocole. </w:t>
      </w:r>
    </w:p>
    <w:p w:rsidR="00DD77E2" w:rsidRPr="00FB5668" w:rsidRDefault="00DD77E2" w:rsidP="00DD77E2">
      <w:pPr>
        <w:pStyle w:val="CBDNormalNumber"/>
        <w:rPr>
          <w:lang w:val="fr-CA" w:eastAsia="en-CA"/>
        </w:rPr>
      </w:pPr>
      <w:r w:rsidRPr="00FB5668">
        <w:rPr>
          <w:lang w:val="fr-CA"/>
        </w:rPr>
        <w:t>La Conférence des Parties siégeant en tant que réunion des Parties au Protocole a pris note du rapport sur les pouvoirs et l’a approuvé</w:t>
      </w:r>
      <w:r w:rsidRPr="00FB5668">
        <w:rPr>
          <w:rStyle w:val="FootnoteReference"/>
          <w:rFonts w:eastAsia="MS Mincho"/>
          <w:lang w:val="fr-CA"/>
        </w:rPr>
        <w:footnoteReference w:id="19"/>
      </w:r>
      <w:r w:rsidRPr="00FB5668">
        <w:rPr>
          <w:lang w:val="fr-CA"/>
        </w:rPr>
        <w:t>.</w:t>
      </w:r>
    </w:p>
    <w:bookmarkEnd w:id="7"/>
    <w:bookmarkEnd w:id="9"/>
    <w:p w:rsidR="00BC4CAC" w:rsidRPr="00FB5668" w:rsidRDefault="00574CA3" w:rsidP="00BC4CAC">
      <w:pPr>
        <w:pStyle w:val="CBDNormalNoNumber"/>
        <w:keepNext/>
        <w:rPr>
          <w:i/>
          <w:iCs/>
          <w:snapToGrid w:val="0"/>
          <w:lang w:val="fr-CA"/>
        </w:rPr>
      </w:pPr>
      <w:r w:rsidRPr="00FB5668">
        <w:rPr>
          <w:i/>
          <w:iCs/>
          <w:snapToGrid w:val="0"/>
          <w:lang w:val="fr-CA"/>
        </w:rPr>
        <w:t>Deuxième reprise de la réunion</w:t>
      </w:r>
    </w:p>
    <w:p w:rsidR="007B4840" w:rsidRPr="00FB5668" w:rsidRDefault="007B4840" w:rsidP="00842669">
      <w:pPr>
        <w:pStyle w:val="CBDNormalNumber"/>
        <w:rPr>
          <w:lang w:val="fr-CA"/>
        </w:rPr>
      </w:pPr>
      <w:r w:rsidRPr="00FB5668">
        <w:rPr>
          <w:lang w:val="fr-CA"/>
        </w:rPr>
        <w:t xml:space="preserve">À la </w:t>
      </w:r>
      <w:r w:rsidR="00883435" w:rsidRPr="00FB5668">
        <w:rPr>
          <w:lang w:val="fr-CA"/>
        </w:rPr>
        <w:t>huitième</w:t>
      </w:r>
      <w:r w:rsidRPr="00FB5668">
        <w:rPr>
          <w:lang w:val="fr-CA"/>
        </w:rPr>
        <w:t xml:space="preserve"> séance plénière, </w:t>
      </w:r>
      <w:r w:rsidR="00883435" w:rsidRPr="00FB5668">
        <w:rPr>
          <w:lang w:val="fr-CA"/>
        </w:rPr>
        <w:t>le 26 février 2025,</w:t>
      </w:r>
      <w:r w:rsidRPr="00FB5668">
        <w:rPr>
          <w:lang w:val="fr-CA"/>
        </w:rPr>
        <w:t xml:space="preserve"> </w:t>
      </w:r>
      <w:r w:rsidR="00883435" w:rsidRPr="00FB5668">
        <w:rPr>
          <w:rFonts w:eastAsia="MS Mincho"/>
          <w:noProof/>
          <w:lang w:val="fr-CA" w:eastAsia="en-CA"/>
        </w:rPr>
        <w:t>Mme Mabuza</w:t>
      </w:r>
      <w:r w:rsidR="00883435" w:rsidRPr="00FB5668">
        <w:rPr>
          <w:lang w:val="fr-CA"/>
        </w:rPr>
        <w:t xml:space="preserve"> </w:t>
      </w:r>
      <w:r w:rsidRPr="00FB5668">
        <w:rPr>
          <w:lang w:val="fr-CA"/>
        </w:rPr>
        <w:t>a informé la Conférence des Parties siégeant en tant que réunion des Pa</w:t>
      </w:r>
      <w:r w:rsidR="00883435" w:rsidRPr="00FB5668">
        <w:rPr>
          <w:lang w:val="fr-CA"/>
        </w:rPr>
        <w:t xml:space="preserve">rties au Protocole que 136 Parties </w:t>
      </w:r>
      <w:r w:rsidRPr="00FB5668">
        <w:rPr>
          <w:lang w:val="fr-CA"/>
        </w:rPr>
        <w:t xml:space="preserve">ont été </w:t>
      </w:r>
      <w:r w:rsidR="00883435" w:rsidRPr="00FB5668">
        <w:rPr>
          <w:lang w:val="fr-CA"/>
        </w:rPr>
        <w:t>inscrites</w:t>
      </w:r>
      <w:r w:rsidRPr="00FB5668">
        <w:rPr>
          <w:lang w:val="fr-CA"/>
        </w:rPr>
        <w:t xml:space="preserve"> comme participant à la deuxième reprise de</w:t>
      </w:r>
      <w:r w:rsidR="00883435" w:rsidRPr="00FB5668">
        <w:rPr>
          <w:lang w:val="fr-CA"/>
        </w:rPr>
        <w:t xml:space="preserve"> la réunion. Les représentants de 117 Parties inscrites avaient présenté leurs pouvoirs dans le plein respect de l’article 18 du règlement intérieur, tandis que 19 Parties inscrites n’avaient pas encore présenté leurs pouvoirs. Le rapport sur les pouvoirs pour la deuxième reprise de la réunion a été publié en tant que document d’information sous la cote </w:t>
      </w:r>
      <w:hyperlink r:id="rId14" w:history="1">
        <w:r w:rsidR="00883435" w:rsidRPr="00FB5668">
          <w:rPr>
            <w:rStyle w:val="Hyperlink"/>
            <w:rFonts w:eastAsia="MS Mincho"/>
            <w:lang w:val="fr-CA" w:eastAsia="en-CA"/>
          </w:rPr>
          <w:t>CBD/CP/MOP/11/INF/7</w:t>
        </w:r>
      </w:hyperlink>
      <w:r w:rsidR="00883435" w:rsidRPr="00FB5668">
        <w:rPr>
          <w:lang w:val="fr-CA"/>
        </w:rPr>
        <w:t>.</w:t>
      </w:r>
    </w:p>
    <w:p w:rsidR="00BC4CAC" w:rsidRPr="00FB5668" w:rsidRDefault="00883435" w:rsidP="00842669">
      <w:pPr>
        <w:pStyle w:val="CBDNormalNumber"/>
        <w:rPr>
          <w:lang w:val="fr-CA"/>
        </w:rPr>
      </w:pPr>
      <w:r w:rsidRPr="00FB5668">
        <w:rPr>
          <w:lang w:val="fr-CA" w:eastAsia="en-CA"/>
        </w:rPr>
        <w:t>La Conférence des Parties siégeant en tant que réunion des Parties au Protocole a pris note du rapport sur les pouvoirs et l’a approuvé</w:t>
      </w:r>
      <w:r w:rsidRPr="00FB5668">
        <w:rPr>
          <w:rFonts w:eastAsia="MS Mincho"/>
          <w:lang w:val="fr-CA" w:eastAsia="en-CA"/>
        </w:rPr>
        <w:t>.</w:t>
      </w:r>
    </w:p>
    <w:p w:rsidR="00557370" w:rsidRPr="00FB5668" w:rsidRDefault="001E1D93" w:rsidP="006F791E">
      <w:pPr>
        <w:pStyle w:val="CBDAgendaItem"/>
        <w:rPr>
          <w:lang w:val="fr-CA"/>
        </w:rPr>
      </w:pPr>
      <w:r w:rsidRPr="00FB5668">
        <w:rPr>
          <w:lang w:val="fr-CA"/>
        </w:rPr>
        <w:lastRenderedPageBreak/>
        <w:t xml:space="preserve">Point 4 </w:t>
      </w:r>
      <w:r w:rsidRPr="00FB5668">
        <w:rPr>
          <w:lang w:val="fr-CA"/>
        </w:rPr>
        <w:br/>
        <w:t>Rapports des organes subsidiaires</w:t>
      </w:r>
    </w:p>
    <w:p w:rsidR="00557370" w:rsidRPr="00FB5668" w:rsidRDefault="005A116F" w:rsidP="004B5D31">
      <w:pPr>
        <w:pStyle w:val="CBDNormalNumber"/>
        <w:rPr>
          <w:lang w:val="fr-CA"/>
        </w:rPr>
      </w:pPr>
      <w:r w:rsidRPr="00FB5668">
        <w:rPr>
          <w:lang w:val="fr-CA"/>
        </w:rPr>
        <w:t>La Conférence des Parties siégeant en tant que réunion des Parties au Protocole a examiné le point 4 de l’ordre du jour à sa première séance plénière.</w:t>
      </w:r>
      <w:r w:rsidRPr="00FB5668">
        <w:rPr>
          <w:kern w:val="22"/>
          <w:lang w:val="fr-CA"/>
        </w:rPr>
        <w:t xml:space="preserve"> Elle était saisie des rapports suivants sur les travaux intersessions entrepris par divers organes depuis sa dixième réunion : </w:t>
      </w:r>
      <w:r w:rsidRPr="00FB5668">
        <w:rPr>
          <w:lang w:val="fr-CA"/>
        </w:rPr>
        <w:t>le rapport de l’Organe subsidiaire chargé de fournir des avis scientifiques, techniques et technologiques sur sa vingt-sixième réunion</w:t>
      </w:r>
      <w:r w:rsidRPr="00FB5668">
        <w:rPr>
          <w:rStyle w:val="FootnoteReference"/>
          <w:rFonts w:asciiTheme="majorBidi" w:hAnsiTheme="majorBidi" w:cstheme="majorBidi"/>
          <w:lang w:val="fr-CA"/>
        </w:rPr>
        <w:footnoteReference w:id="20"/>
      </w:r>
      <w:r w:rsidRPr="00FB5668">
        <w:rPr>
          <w:lang w:val="fr-CA"/>
        </w:rPr>
        <w:t xml:space="preserve"> et les rapports de l’Organe subsidiaire chargé de l’application sur ses quatrième et cinquième réunions</w:t>
      </w:r>
      <w:r w:rsidRPr="00FB5668">
        <w:rPr>
          <w:rStyle w:val="FootnoteReference"/>
          <w:snapToGrid w:val="0"/>
          <w:kern w:val="22"/>
          <w:lang w:val="fr-CA"/>
        </w:rPr>
        <w:footnoteReference w:id="21"/>
      </w:r>
      <w:r w:rsidRPr="00FB5668">
        <w:rPr>
          <w:lang w:val="fr-CA"/>
        </w:rPr>
        <w:t>.</w:t>
      </w:r>
      <w:r w:rsidRPr="00FB5668">
        <w:rPr>
          <w:snapToGrid w:val="0"/>
          <w:kern w:val="22"/>
          <w:lang w:val="fr-CA"/>
        </w:rPr>
        <w:t xml:space="preserve"> </w:t>
      </w:r>
    </w:p>
    <w:p w:rsidR="00AF0F14" w:rsidRPr="00FB5668" w:rsidRDefault="00AF0F14" w:rsidP="00AF0F14">
      <w:pPr>
        <w:pStyle w:val="CBDNormalNumber"/>
        <w:rPr>
          <w:lang w:val="fr-CA"/>
        </w:rPr>
      </w:pPr>
      <w:bookmarkStart w:id="10" w:name="_Hlk180682783"/>
      <w:r w:rsidRPr="00FB5668">
        <w:rPr>
          <w:lang w:val="fr-CA"/>
        </w:rPr>
        <w:t>La Conférence des Parties siégeant en tant que réunion des Parties au Protocole a entendu les rapports oraux de la présidente de l’Organe subsidiaire chargé de fournir des avis scientifiques, techniques et technologiques et du président de l’Organe subsidiaire chargé de l’application.</w:t>
      </w:r>
    </w:p>
    <w:p w:rsidR="00AF0F14" w:rsidRPr="00FB5668" w:rsidRDefault="00AF0F14" w:rsidP="00AF0F14">
      <w:pPr>
        <w:pStyle w:val="CBDNormalNumber"/>
        <w:rPr>
          <w:lang w:val="fr-CA"/>
        </w:rPr>
      </w:pPr>
      <w:r w:rsidRPr="00FB5668">
        <w:rPr>
          <w:lang w:val="fr-CA"/>
        </w:rPr>
        <w:t>Des déclarations ont été faites par les représentants des Parties suivantes : République démocratique du Congo et Égypte (en sa qualité de rapporteur de la cinquième réunion de l’Organe subsidiaire chargé de l’application).</w:t>
      </w:r>
    </w:p>
    <w:p w:rsidR="00AF0F14" w:rsidRPr="00FB5668" w:rsidRDefault="00AF0F14" w:rsidP="00AF0F14">
      <w:pPr>
        <w:pStyle w:val="CBDNormalNumber"/>
        <w:rPr>
          <w:lang w:val="fr-CA"/>
        </w:rPr>
      </w:pPr>
      <w:r w:rsidRPr="00FB5668">
        <w:rPr>
          <w:lang w:val="fr-CA"/>
        </w:rPr>
        <w:t>La Conférence des Parties siégeant en tant que réunion des Parties au Protocole a pris note des informations fournies et a décidé d’examiner les recommandations des organes subsidiaires au sein des groupes de travail, au titre des points pertinents de l’ordre du jour.</w:t>
      </w:r>
      <w:bookmarkEnd w:id="10"/>
    </w:p>
    <w:p w:rsidR="00557370" w:rsidRPr="00FB5668" w:rsidRDefault="001E1D93" w:rsidP="006F791E">
      <w:pPr>
        <w:pStyle w:val="CBDAgendaItem"/>
        <w:rPr>
          <w:lang w:val="fr-CA"/>
        </w:rPr>
      </w:pPr>
      <w:r w:rsidRPr="00FB5668">
        <w:rPr>
          <w:lang w:val="fr-CA"/>
        </w:rPr>
        <w:t xml:space="preserve">Point 5 </w:t>
      </w:r>
      <w:r w:rsidRPr="00FB5668">
        <w:rPr>
          <w:lang w:val="fr-CA"/>
        </w:rPr>
        <w:br/>
        <w:t>Rapport du Comité chargé du respect des obligations</w:t>
      </w:r>
    </w:p>
    <w:p w:rsidR="008674DE" w:rsidRPr="00FB5668" w:rsidRDefault="00B10462" w:rsidP="00976893">
      <w:pPr>
        <w:pStyle w:val="CBDNormalNumber"/>
        <w:rPr>
          <w:rFonts w:asciiTheme="majorBidi" w:eastAsia="MS Mincho" w:hAnsiTheme="majorBidi" w:cstheme="majorBidi"/>
          <w:color w:val="000000"/>
          <w:kern w:val="22"/>
          <w:lang w:val="fr-CA"/>
        </w:rPr>
      </w:pPr>
      <w:r w:rsidRPr="00FB5668">
        <w:rPr>
          <w:lang w:val="fr-CA"/>
        </w:rPr>
        <w:t>La Conférence des Parties siégeant en tant que réunion des Parties au Protocole a examiné le point 5 de l’ordre du jour à sa première séance plénière. Elle était saisie d'un projet de décision</w:t>
      </w:r>
      <w:r w:rsidRPr="00FB5668">
        <w:rPr>
          <w:rStyle w:val="FootnoteReference"/>
          <w:lang w:val="fr-CA"/>
        </w:rPr>
        <w:footnoteReference w:id="22"/>
      </w:r>
      <w:r w:rsidRPr="00FB5668">
        <w:rPr>
          <w:lang w:val="fr-CA"/>
        </w:rPr>
        <w:t xml:space="preserve"> et du rapport </w:t>
      </w:r>
      <w:r w:rsidRPr="00FB5668">
        <w:rPr>
          <w:rFonts w:asciiTheme="majorBidi" w:eastAsia="MS Mincho" w:hAnsiTheme="majorBidi" w:cstheme="majorBidi"/>
          <w:color w:val="000000"/>
          <w:kern w:val="22"/>
          <w:lang w:val="fr-CA"/>
        </w:rPr>
        <w:t xml:space="preserve">du </w:t>
      </w:r>
      <w:r w:rsidRPr="00FB5668">
        <w:rPr>
          <w:lang w:val="fr-CA"/>
        </w:rPr>
        <w:t xml:space="preserve">Comité chargé du respect des obligations </w:t>
      </w:r>
      <w:r w:rsidRPr="00FB5668">
        <w:rPr>
          <w:rFonts w:asciiTheme="majorBidi" w:eastAsia="MS Mincho" w:hAnsiTheme="majorBidi" w:cstheme="majorBidi"/>
          <w:color w:val="000000"/>
          <w:kern w:val="22"/>
          <w:lang w:val="fr-CA"/>
        </w:rPr>
        <w:t>sur les travaux de ses dix-huitième et dix-neuvième réunions</w:t>
      </w:r>
      <w:r w:rsidRPr="00FB5668">
        <w:rPr>
          <w:rStyle w:val="FootnoteReference"/>
          <w:rFonts w:asciiTheme="majorBidi" w:eastAsia="MS Mincho" w:hAnsiTheme="majorBidi" w:cstheme="majorBidi"/>
          <w:color w:val="000000"/>
          <w:kern w:val="22"/>
          <w:lang w:val="fr-CA"/>
        </w:rPr>
        <w:footnoteReference w:id="23"/>
      </w:r>
      <w:r w:rsidRPr="00FB5668">
        <w:rPr>
          <w:rFonts w:asciiTheme="majorBidi" w:eastAsia="MS Mincho" w:hAnsiTheme="majorBidi" w:cstheme="majorBidi"/>
          <w:color w:val="000000"/>
          <w:kern w:val="22"/>
          <w:lang w:val="fr-CA"/>
        </w:rPr>
        <w:t xml:space="preserve">. </w:t>
      </w:r>
      <w:r w:rsidRPr="00FB5668">
        <w:rPr>
          <w:lang w:val="fr-CA"/>
        </w:rPr>
        <w:t>Un document d'information sur les activités entreprises par le Comité concernant l'obligation de soumettre des rapports nationaux menant à la recommandation de mise en garde des Parties individuelles a également été publié en relation avec le point 5</w:t>
      </w:r>
      <w:r w:rsidRPr="00FB5668">
        <w:rPr>
          <w:rStyle w:val="FootnoteReference"/>
          <w:lang w:val="fr-CA"/>
        </w:rPr>
        <w:footnoteReference w:id="24"/>
      </w:r>
      <w:r w:rsidRPr="00FB5668">
        <w:rPr>
          <w:rFonts w:asciiTheme="majorBidi" w:hAnsiTheme="majorBidi" w:cstheme="majorBidi"/>
          <w:lang w:val="fr-CA"/>
        </w:rPr>
        <w:t>.</w:t>
      </w:r>
    </w:p>
    <w:p w:rsidR="002A0866" w:rsidRPr="00FB5668" w:rsidRDefault="002A0866" w:rsidP="00976893">
      <w:pPr>
        <w:pStyle w:val="CBDNormalNumber"/>
        <w:rPr>
          <w:rFonts w:asciiTheme="majorBidi" w:eastAsia="MS Mincho" w:hAnsiTheme="majorBidi" w:cstheme="majorBidi"/>
          <w:color w:val="000000"/>
          <w:kern w:val="22"/>
          <w:lang w:val="fr-CA"/>
        </w:rPr>
      </w:pPr>
      <w:r w:rsidRPr="00FB5668">
        <w:rPr>
          <w:rFonts w:asciiTheme="majorBidi" w:eastAsia="MS Mincho" w:hAnsiTheme="majorBidi" w:cstheme="majorBidi"/>
          <w:color w:val="000000"/>
          <w:kern w:val="22"/>
          <w:lang w:val="fr-CA"/>
        </w:rPr>
        <w:t xml:space="preserve">Le Président du Comité chargé du respect des obligations, </w:t>
      </w:r>
      <w:proofErr w:type="spellStart"/>
      <w:r w:rsidRPr="00FB5668">
        <w:rPr>
          <w:lang w:val="fr-CA"/>
        </w:rPr>
        <w:t>Rigobert</w:t>
      </w:r>
      <w:proofErr w:type="spellEnd"/>
      <w:r w:rsidRPr="00FB5668">
        <w:rPr>
          <w:lang w:val="fr-CA"/>
        </w:rPr>
        <w:t xml:space="preserve"> </w:t>
      </w:r>
      <w:proofErr w:type="spellStart"/>
      <w:r w:rsidRPr="00FB5668">
        <w:rPr>
          <w:lang w:val="fr-CA"/>
        </w:rPr>
        <w:t>Ntep</w:t>
      </w:r>
      <w:proofErr w:type="spellEnd"/>
      <w:r w:rsidRPr="00FB5668">
        <w:rPr>
          <w:lang w:val="fr-CA"/>
        </w:rPr>
        <w:t xml:space="preserve"> (Cameroun), </w:t>
      </w:r>
      <w:r w:rsidRPr="00FB5668">
        <w:rPr>
          <w:rFonts w:asciiTheme="majorBidi" w:eastAsia="MS Mincho" w:hAnsiTheme="majorBidi" w:cstheme="majorBidi"/>
          <w:color w:val="000000"/>
          <w:kern w:val="22"/>
          <w:lang w:val="fr-CA"/>
        </w:rPr>
        <w:t>a présenté le rapport du Comité.</w:t>
      </w:r>
    </w:p>
    <w:p w:rsidR="002A0866" w:rsidRPr="00FB5668" w:rsidRDefault="002A0866" w:rsidP="00976893">
      <w:pPr>
        <w:pStyle w:val="CBDNormalNumber"/>
        <w:rPr>
          <w:rFonts w:asciiTheme="majorBidi" w:eastAsia="MS Mincho" w:hAnsiTheme="majorBidi" w:cstheme="majorBidi"/>
          <w:color w:val="000000"/>
          <w:kern w:val="22"/>
          <w:lang w:val="fr-CA"/>
        </w:rPr>
      </w:pPr>
      <w:r w:rsidRPr="00FB5668">
        <w:rPr>
          <w:rFonts w:asciiTheme="majorBidi" w:eastAsia="MS Mincho" w:hAnsiTheme="majorBidi" w:cstheme="majorBidi"/>
          <w:color w:val="000000"/>
          <w:kern w:val="22"/>
          <w:lang w:val="fr-CA"/>
        </w:rPr>
        <w:t>Des déclarations ont été faites par les représentants des Parties suivantes : Brésil, Colombie, Égypte, Norvège, Nouvelle-Zélande et Union européenne et ses États membres.</w:t>
      </w:r>
    </w:p>
    <w:p w:rsidR="00F24143" w:rsidRPr="00FB5668" w:rsidRDefault="00F24143" w:rsidP="00F24143">
      <w:pPr>
        <w:pStyle w:val="CBDNormalNumber"/>
        <w:rPr>
          <w:rFonts w:asciiTheme="majorBidi" w:eastAsia="MS Mincho" w:hAnsiTheme="majorBidi" w:cstheme="majorBidi"/>
          <w:color w:val="000000"/>
          <w:kern w:val="22"/>
          <w:lang w:val="fr-CA"/>
        </w:rPr>
      </w:pPr>
      <w:r w:rsidRPr="00FB5668">
        <w:rPr>
          <w:rFonts w:asciiTheme="majorBidi" w:eastAsia="MS Mincho" w:hAnsiTheme="majorBidi" w:cstheme="majorBidi"/>
          <w:color w:val="000000"/>
          <w:kern w:val="22"/>
          <w:lang w:val="fr-CA"/>
        </w:rPr>
        <w:t>Conformément à l’organisation des travaux, les questions de fond découlant du rapport ont été renvoyées au Groupe de travail II pour examen.</w:t>
      </w:r>
    </w:p>
    <w:p w:rsidR="00F24143" w:rsidRPr="00FB5668" w:rsidRDefault="002B1FC9" w:rsidP="00F24143">
      <w:pPr>
        <w:pStyle w:val="CBDNormalNumber"/>
        <w:rPr>
          <w:rFonts w:asciiTheme="majorBidi" w:eastAsia="MS Mincho" w:hAnsiTheme="majorBidi" w:cstheme="majorBidi"/>
          <w:color w:val="000000"/>
          <w:kern w:val="22"/>
          <w:lang w:val="fr-CA"/>
        </w:rPr>
      </w:pPr>
      <w:r w:rsidRPr="00FB5668">
        <w:rPr>
          <w:lang w:val="fr-CA"/>
        </w:rPr>
        <w:t xml:space="preserve">La Conférence des Parties siégeant en tant que réunion des Parties au Protocole a décidé de prolonger de deux années supplémentaires le mandat des cinq membres du Comité chargé du respect des obligations énumérés au tableau A de l'annexe à la notification </w:t>
      </w:r>
      <w:hyperlink r:id="rId15" w:history="1">
        <w:r w:rsidRPr="00FB5668">
          <w:rPr>
            <w:rStyle w:val="Hyperlink"/>
            <w:lang w:val="fr-CA"/>
          </w:rPr>
          <w:t>N° 2024-092</w:t>
        </w:r>
      </w:hyperlink>
      <w:r w:rsidRPr="00FB5668">
        <w:rPr>
          <w:lang w:val="fr-CA"/>
        </w:rPr>
        <w:t xml:space="preserve"> du 12 septembre 2024 publiée par le Secrétariat en relation avec la nomination et l'élection des membres du Comité. Elle a également décidé d'organiser des élections lors d'une séance ultérieure pour les dix membres dont le mandat prendrait fin le 31 décembre 2024, comme indiqué dans le tableau B de l'annexe à la notification</w:t>
      </w:r>
      <w:r w:rsidRPr="00FB5668">
        <w:rPr>
          <w:rFonts w:asciiTheme="majorBidi" w:eastAsia="MS Mincho" w:hAnsiTheme="majorBidi" w:cstheme="majorBidi"/>
          <w:color w:val="000000"/>
          <w:kern w:val="22"/>
          <w:lang w:val="fr-CA"/>
        </w:rPr>
        <w:t>.</w:t>
      </w:r>
    </w:p>
    <w:p w:rsidR="00A90D3F" w:rsidRPr="00FB5668" w:rsidRDefault="00A90D3F" w:rsidP="00F24143">
      <w:pPr>
        <w:pStyle w:val="CBDNormalNumber"/>
        <w:rPr>
          <w:rFonts w:asciiTheme="majorBidi" w:eastAsia="MS Mincho" w:hAnsiTheme="majorBidi" w:cstheme="majorBidi"/>
          <w:color w:val="000000"/>
          <w:kern w:val="22"/>
          <w:lang w:val="fr-CA"/>
        </w:rPr>
      </w:pPr>
      <w:r w:rsidRPr="00FB5668">
        <w:rPr>
          <w:rFonts w:asciiTheme="majorBidi" w:eastAsia="MS Mincho" w:hAnsiTheme="majorBidi" w:cstheme="majorBidi"/>
          <w:color w:val="000000"/>
          <w:kern w:val="22"/>
          <w:lang w:val="fr-CA"/>
        </w:rPr>
        <w:t xml:space="preserve">À sa quatrième séance plénière, la Conférence des Parties siégeant en tant que réunion des Parties au Protocole a élu les membres ci-après du Comité chargé du respect des obligations pour un mandat de quatre ans </w:t>
      </w:r>
      <w:r w:rsidRPr="00FB5668">
        <w:rPr>
          <w:lang w:val="fr-CA"/>
        </w:rPr>
        <w:t>prenant effet au 1</w:t>
      </w:r>
      <w:r w:rsidRPr="00FB5668">
        <w:rPr>
          <w:vertAlign w:val="superscript"/>
          <w:lang w:val="fr-CA"/>
        </w:rPr>
        <w:t>er</w:t>
      </w:r>
      <w:r w:rsidRPr="00FB5668">
        <w:rPr>
          <w:lang w:val="fr-CA"/>
        </w:rPr>
        <w:t xml:space="preserve"> janvier 2025 </w:t>
      </w:r>
      <w:r w:rsidRPr="00FB5668">
        <w:rPr>
          <w:rFonts w:asciiTheme="majorBidi" w:eastAsia="MS Mincho" w:hAnsiTheme="majorBidi" w:cstheme="majorBidi"/>
          <w:color w:val="000000"/>
          <w:kern w:val="22"/>
          <w:lang w:val="fr-CA"/>
        </w:rPr>
        <w:t>:</w:t>
      </w:r>
    </w:p>
    <w:p w:rsidR="006D050E" w:rsidRPr="00FB5668" w:rsidRDefault="006D050E" w:rsidP="00CD6B94">
      <w:pPr>
        <w:tabs>
          <w:tab w:val="clear" w:pos="567"/>
          <w:tab w:val="clear" w:pos="1134"/>
          <w:tab w:val="clear" w:pos="1701"/>
          <w:tab w:val="clear" w:pos="2268"/>
        </w:tabs>
        <w:spacing w:after="120"/>
        <w:ind w:left="1166"/>
        <w:rPr>
          <w:lang w:val="fr-CA"/>
        </w:rPr>
      </w:pPr>
      <w:proofErr w:type="spellStart"/>
      <w:r w:rsidRPr="00FB5668">
        <w:rPr>
          <w:lang w:val="fr-CA"/>
        </w:rPr>
        <w:lastRenderedPageBreak/>
        <w:t>Rigobert</w:t>
      </w:r>
      <w:proofErr w:type="spellEnd"/>
      <w:r w:rsidRPr="00FB5668">
        <w:rPr>
          <w:lang w:val="fr-CA"/>
        </w:rPr>
        <w:t xml:space="preserve"> </w:t>
      </w:r>
      <w:proofErr w:type="spellStart"/>
      <w:r w:rsidRPr="00FB5668">
        <w:rPr>
          <w:lang w:val="fr-CA"/>
        </w:rPr>
        <w:t>Ntep</w:t>
      </w:r>
      <w:proofErr w:type="spellEnd"/>
      <w:r w:rsidRPr="00FB5668">
        <w:rPr>
          <w:lang w:val="fr-CA"/>
        </w:rPr>
        <w:t xml:space="preserve"> (Cameroun)</w:t>
      </w:r>
    </w:p>
    <w:p w:rsidR="006D050E" w:rsidRPr="00FB5668" w:rsidRDefault="006D050E" w:rsidP="00CD6B94">
      <w:pPr>
        <w:tabs>
          <w:tab w:val="clear" w:pos="567"/>
          <w:tab w:val="clear" w:pos="1134"/>
          <w:tab w:val="clear" w:pos="1701"/>
          <w:tab w:val="clear" w:pos="2268"/>
        </w:tabs>
        <w:spacing w:after="120"/>
        <w:ind w:left="1166"/>
        <w:rPr>
          <w:lang w:val="fr-CA"/>
        </w:rPr>
      </w:pPr>
      <w:proofErr w:type="spellStart"/>
      <w:r w:rsidRPr="00FB5668">
        <w:rPr>
          <w:lang w:val="fr-CA"/>
        </w:rPr>
        <w:t>Dorington</w:t>
      </w:r>
      <w:proofErr w:type="spellEnd"/>
      <w:r w:rsidRPr="00FB5668">
        <w:rPr>
          <w:lang w:val="fr-CA"/>
        </w:rPr>
        <w:t xml:space="preserve"> O. </w:t>
      </w:r>
      <w:proofErr w:type="spellStart"/>
      <w:r w:rsidRPr="00FB5668">
        <w:rPr>
          <w:lang w:val="fr-CA"/>
        </w:rPr>
        <w:t>Ogoyi</w:t>
      </w:r>
      <w:proofErr w:type="spellEnd"/>
      <w:r w:rsidRPr="00FB5668">
        <w:rPr>
          <w:lang w:val="fr-CA"/>
        </w:rPr>
        <w:t xml:space="preserve"> (Kenya)</w:t>
      </w:r>
    </w:p>
    <w:p w:rsidR="00A90D3F" w:rsidRPr="00FB5668" w:rsidRDefault="00A90D3F" w:rsidP="003703DE">
      <w:pPr>
        <w:tabs>
          <w:tab w:val="clear" w:pos="567"/>
          <w:tab w:val="clear" w:pos="1134"/>
          <w:tab w:val="clear" w:pos="1701"/>
          <w:tab w:val="clear" w:pos="2268"/>
        </w:tabs>
        <w:spacing w:after="120"/>
        <w:ind w:left="1166"/>
        <w:rPr>
          <w:lang w:val="fr-CA"/>
        </w:rPr>
      </w:pPr>
      <w:r w:rsidRPr="00FB5668">
        <w:rPr>
          <w:lang w:val="fr-CA"/>
        </w:rPr>
        <w:t>Yousef Saleh al-</w:t>
      </w:r>
      <w:proofErr w:type="spellStart"/>
      <w:r w:rsidRPr="00FB5668">
        <w:rPr>
          <w:lang w:val="fr-CA"/>
        </w:rPr>
        <w:t>Hafedh</w:t>
      </w:r>
      <w:proofErr w:type="spellEnd"/>
      <w:r w:rsidRPr="00FB5668">
        <w:rPr>
          <w:lang w:val="fr-CA"/>
        </w:rPr>
        <w:t xml:space="preserve"> (Arabie saoudite)</w:t>
      </w:r>
    </w:p>
    <w:p w:rsidR="00A90D3F" w:rsidRPr="00FB5668" w:rsidRDefault="00A90D3F" w:rsidP="003703DE">
      <w:pPr>
        <w:tabs>
          <w:tab w:val="clear" w:pos="567"/>
          <w:tab w:val="clear" w:pos="1134"/>
          <w:tab w:val="clear" w:pos="1701"/>
          <w:tab w:val="clear" w:pos="2268"/>
        </w:tabs>
        <w:spacing w:after="120"/>
        <w:ind w:left="1166"/>
        <w:rPr>
          <w:lang w:val="fr-CA"/>
        </w:rPr>
      </w:pPr>
      <w:r w:rsidRPr="00FB5668">
        <w:rPr>
          <w:lang w:val="fr-CA"/>
        </w:rPr>
        <w:t>Yan Liu (Chine)</w:t>
      </w:r>
    </w:p>
    <w:p w:rsidR="00AB3F3C" w:rsidRPr="00FB5668" w:rsidRDefault="00AB3F3C" w:rsidP="00AB3F3C">
      <w:pPr>
        <w:tabs>
          <w:tab w:val="clear" w:pos="567"/>
          <w:tab w:val="clear" w:pos="1134"/>
          <w:tab w:val="clear" w:pos="1701"/>
          <w:tab w:val="clear" w:pos="2268"/>
        </w:tabs>
        <w:spacing w:after="120"/>
        <w:ind w:left="1166"/>
        <w:rPr>
          <w:lang w:val="fr-CA"/>
        </w:rPr>
      </w:pPr>
      <w:proofErr w:type="spellStart"/>
      <w:r w:rsidRPr="00FB5668">
        <w:rPr>
          <w:lang w:val="fr-CA"/>
        </w:rPr>
        <w:t>Hana</w:t>
      </w:r>
      <w:proofErr w:type="spellEnd"/>
      <w:r w:rsidRPr="00FB5668">
        <w:rPr>
          <w:lang w:val="fr-CA"/>
        </w:rPr>
        <w:t xml:space="preserve"> </w:t>
      </w:r>
      <w:proofErr w:type="spellStart"/>
      <w:r w:rsidRPr="00FB5668">
        <w:rPr>
          <w:lang w:val="fr-CA"/>
        </w:rPr>
        <w:t>Jiráková</w:t>
      </w:r>
      <w:proofErr w:type="spellEnd"/>
      <w:r w:rsidRPr="00FB5668">
        <w:rPr>
          <w:lang w:val="fr-CA"/>
        </w:rPr>
        <w:t xml:space="preserve"> (République tchèque)</w:t>
      </w:r>
    </w:p>
    <w:p w:rsidR="00AB3F3C" w:rsidRPr="00FB5668" w:rsidRDefault="00AB3F3C" w:rsidP="00AB3F3C">
      <w:pPr>
        <w:tabs>
          <w:tab w:val="clear" w:pos="567"/>
          <w:tab w:val="clear" w:pos="1134"/>
          <w:tab w:val="clear" w:pos="1701"/>
          <w:tab w:val="clear" w:pos="2268"/>
        </w:tabs>
        <w:spacing w:after="120"/>
        <w:ind w:left="1166"/>
        <w:rPr>
          <w:lang w:val="fr-CA"/>
        </w:rPr>
      </w:pPr>
      <w:proofErr w:type="spellStart"/>
      <w:r w:rsidRPr="00FB5668">
        <w:rPr>
          <w:lang w:val="fr-CA"/>
        </w:rPr>
        <w:t>Klodiana</w:t>
      </w:r>
      <w:proofErr w:type="spellEnd"/>
      <w:r w:rsidRPr="00FB5668">
        <w:rPr>
          <w:lang w:val="fr-CA"/>
        </w:rPr>
        <w:t xml:space="preserve"> </w:t>
      </w:r>
      <w:proofErr w:type="spellStart"/>
      <w:r w:rsidRPr="00FB5668">
        <w:rPr>
          <w:lang w:val="fr-CA"/>
        </w:rPr>
        <w:t>Marika</w:t>
      </w:r>
      <w:proofErr w:type="spellEnd"/>
      <w:r w:rsidRPr="00FB5668">
        <w:rPr>
          <w:lang w:val="fr-CA"/>
        </w:rPr>
        <w:t xml:space="preserve"> (Albanie)</w:t>
      </w:r>
    </w:p>
    <w:p w:rsidR="00A90D3F" w:rsidRPr="00FB5668" w:rsidRDefault="00A90D3F" w:rsidP="003703DE">
      <w:pPr>
        <w:tabs>
          <w:tab w:val="clear" w:pos="567"/>
          <w:tab w:val="clear" w:pos="1134"/>
          <w:tab w:val="clear" w:pos="1701"/>
          <w:tab w:val="clear" w:pos="2268"/>
        </w:tabs>
        <w:spacing w:after="120"/>
        <w:ind w:left="1166"/>
        <w:rPr>
          <w:lang w:val="fr-CA"/>
        </w:rPr>
      </w:pPr>
      <w:proofErr w:type="spellStart"/>
      <w:r w:rsidRPr="00FB5668">
        <w:rPr>
          <w:lang w:val="fr-CA"/>
        </w:rPr>
        <w:t>Alejandra</w:t>
      </w:r>
      <w:proofErr w:type="spellEnd"/>
      <w:r w:rsidRPr="00FB5668">
        <w:rPr>
          <w:lang w:val="fr-CA"/>
        </w:rPr>
        <w:t xml:space="preserve"> Ferenczi (Uruguay)</w:t>
      </w:r>
    </w:p>
    <w:p w:rsidR="00A90D3F" w:rsidRPr="00FB5668" w:rsidRDefault="00A90D3F" w:rsidP="003703DE">
      <w:pPr>
        <w:tabs>
          <w:tab w:val="clear" w:pos="567"/>
          <w:tab w:val="clear" w:pos="1134"/>
          <w:tab w:val="clear" w:pos="1701"/>
          <w:tab w:val="clear" w:pos="2268"/>
        </w:tabs>
        <w:spacing w:after="120"/>
        <w:ind w:left="1166"/>
        <w:rPr>
          <w:lang w:val="fr-CA"/>
        </w:rPr>
      </w:pPr>
      <w:r w:rsidRPr="00FB5668">
        <w:rPr>
          <w:lang w:val="fr-CA"/>
        </w:rPr>
        <w:t>Daniel Lewis (Grenade)</w:t>
      </w:r>
    </w:p>
    <w:p w:rsidR="00A90D3F" w:rsidRPr="00FB5668" w:rsidRDefault="00A90D3F" w:rsidP="003703DE">
      <w:pPr>
        <w:tabs>
          <w:tab w:val="clear" w:pos="567"/>
          <w:tab w:val="clear" w:pos="1134"/>
          <w:tab w:val="clear" w:pos="1701"/>
          <w:tab w:val="clear" w:pos="2268"/>
        </w:tabs>
        <w:spacing w:after="120"/>
        <w:ind w:left="1166"/>
        <w:rPr>
          <w:lang w:val="fr-CA"/>
        </w:rPr>
      </w:pPr>
      <w:r w:rsidRPr="00FB5668">
        <w:rPr>
          <w:lang w:val="fr-CA"/>
        </w:rPr>
        <w:t xml:space="preserve">Andreas </w:t>
      </w:r>
      <w:proofErr w:type="spellStart"/>
      <w:r w:rsidRPr="00FB5668">
        <w:rPr>
          <w:lang w:val="fr-CA"/>
        </w:rPr>
        <w:t>Heissenberger</w:t>
      </w:r>
      <w:proofErr w:type="spellEnd"/>
      <w:r w:rsidRPr="00FB5668">
        <w:rPr>
          <w:lang w:val="fr-CA"/>
        </w:rPr>
        <w:t xml:space="preserve"> (Autriche)</w:t>
      </w:r>
    </w:p>
    <w:p w:rsidR="00A90D3F" w:rsidRPr="00FB5668" w:rsidRDefault="00A90D3F" w:rsidP="003703DE">
      <w:pPr>
        <w:tabs>
          <w:tab w:val="clear" w:pos="567"/>
          <w:tab w:val="clear" w:pos="1134"/>
          <w:tab w:val="clear" w:pos="1701"/>
          <w:tab w:val="clear" w:pos="2268"/>
        </w:tabs>
        <w:spacing w:after="120"/>
        <w:ind w:left="1166"/>
        <w:rPr>
          <w:lang w:val="fr-CA"/>
        </w:rPr>
      </w:pPr>
      <w:r w:rsidRPr="00FB5668">
        <w:rPr>
          <w:lang w:val="fr-CA"/>
        </w:rPr>
        <w:t xml:space="preserve">Casper </w:t>
      </w:r>
      <w:proofErr w:type="spellStart"/>
      <w:r w:rsidRPr="00FB5668">
        <w:rPr>
          <w:lang w:val="fr-CA"/>
        </w:rPr>
        <w:t>Linnestad</w:t>
      </w:r>
      <w:proofErr w:type="spellEnd"/>
      <w:r w:rsidRPr="00FB5668">
        <w:rPr>
          <w:lang w:val="fr-CA"/>
        </w:rPr>
        <w:t xml:space="preserve"> (Norvège)</w:t>
      </w:r>
    </w:p>
    <w:p w:rsidR="00416C76" w:rsidRPr="00FB5668" w:rsidRDefault="00416C76" w:rsidP="00416C76">
      <w:pPr>
        <w:pStyle w:val="CBDNormalNumber"/>
        <w:spacing w:before="0"/>
        <w:rPr>
          <w:lang w:val="fr-CA"/>
        </w:rPr>
      </w:pPr>
      <w:r w:rsidRPr="00FB5668">
        <w:rPr>
          <w:lang w:val="fr-CA"/>
        </w:rPr>
        <w:t xml:space="preserve">À sa deuxième session, le 22 octobre, le Groupe de travail II a examiné le point 5 de l'ordre du jour. </w:t>
      </w:r>
    </w:p>
    <w:p w:rsidR="00416C76" w:rsidRPr="00FB5668" w:rsidRDefault="00416C76" w:rsidP="00416C76">
      <w:pPr>
        <w:pStyle w:val="CBDNormalNumber"/>
        <w:spacing w:before="0"/>
        <w:rPr>
          <w:lang w:val="fr-CA"/>
        </w:rPr>
      </w:pPr>
      <w:r w:rsidRPr="00FB5668">
        <w:rPr>
          <w:lang w:val="fr-CA"/>
        </w:rPr>
        <w:t xml:space="preserve">Le Président du Comité chargé du respect des obligations a rendu compte des travaux du Comité à ses dix-huitième et dix-neuvième réunions. </w:t>
      </w:r>
    </w:p>
    <w:p w:rsidR="00416C76" w:rsidRPr="00FB5668" w:rsidRDefault="00416C76" w:rsidP="00416C76">
      <w:pPr>
        <w:pStyle w:val="CBDNormalNumber"/>
        <w:spacing w:before="0"/>
        <w:rPr>
          <w:lang w:val="fr-CA"/>
        </w:rPr>
      </w:pPr>
      <w:r w:rsidRPr="00FB5668">
        <w:rPr>
          <w:lang w:val="fr-CA"/>
        </w:rPr>
        <w:t>Des déclarations ont été faites par les représentants des Parties suivantes : Brésil, Égypte, Équateur, Gabon, Inde, Japon, Maroc, Norvège, Nouvelle-Zélande, Panama, Paraguay, Pérou, République de Moldova, Royaume-Uni de Grande-Bretagne et d'Irlande du Nord, Union européenne et ses États membres et Uruguay.</w:t>
      </w:r>
    </w:p>
    <w:p w:rsidR="00416C76" w:rsidRPr="00FB5668" w:rsidRDefault="00416C76" w:rsidP="00416C76">
      <w:pPr>
        <w:pStyle w:val="CBDNormalNumber"/>
        <w:spacing w:before="0"/>
        <w:rPr>
          <w:lang w:val="fr-CA"/>
        </w:rPr>
      </w:pPr>
      <w:r w:rsidRPr="00FB5668">
        <w:rPr>
          <w:lang w:val="fr-CA"/>
        </w:rPr>
        <w:t>Le président a créé un groupe des amis de la présidence, sous la direction de M. </w:t>
      </w:r>
      <w:proofErr w:type="spellStart"/>
      <w:r w:rsidRPr="00FB5668">
        <w:rPr>
          <w:lang w:val="fr-CA"/>
        </w:rPr>
        <w:t>Linnestad</w:t>
      </w:r>
      <w:proofErr w:type="spellEnd"/>
      <w:r w:rsidRPr="00FB5668">
        <w:rPr>
          <w:lang w:val="fr-CA"/>
        </w:rPr>
        <w:t>, pour régler les questions en suspens. Le Groupe de travail II a décidé que le président préparerait un projet de décision révisé aux fins d'examen par le Groupe, en tenant compte des résultats des discussions du groupe des amis de la présidence.</w:t>
      </w:r>
    </w:p>
    <w:p w:rsidR="00416C76" w:rsidRPr="00FB5668" w:rsidRDefault="00416C76" w:rsidP="00416C76">
      <w:pPr>
        <w:pStyle w:val="CBDNormalNumber"/>
        <w:spacing w:before="0"/>
        <w:rPr>
          <w:u w:color="000000"/>
          <w:lang w:val="fr-CA"/>
        </w:rPr>
      </w:pPr>
      <w:r w:rsidRPr="00FB5668">
        <w:rPr>
          <w:u w:color="000000"/>
          <w:lang w:val="fr-CA"/>
        </w:rPr>
        <w:t>À sa septième séance, le 28 octobre, le Groupe de travail II a examiné un projet de décision révisé soumis par le président suite aux discussions menées par le groupe des amis de la présidence, et a décidé de le soumettre pour examen en</w:t>
      </w:r>
      <w:r w:rsidRPr="00FB5668">
        <w:rPr>
          <w:rFonts w:eastAsia="Calibri"/>
          <w:u w:color="000000"/>
          <w:lang w:val="fr-CA"/>
        </w:rPr>
        <w:t xml:space="preserve"> séance plénière sous la cote CBD/CP/MOP/11/L.7</w:t>
      </w:r>
      <w:r w:rsidRPr="00FB5668">
        <w:rPr>
          <w:u w:color="000000"/>
          <w:lang w:val="fr-CA"/>
        </w:rPr>
        <w:t xml:space="preserve">. </w:t>
      </w:r>
    </w:p>
    <w:p w:rsidR="00F8641C" w:rsidRPr="00FB5668" w:rsidRDefault="00F8641C" w:rsidP="00F8641C">
      <w:pPr>
        <w:pStyle w:val="CBDNormalNumber"/>
        <w:rPr>
          <w:snapToGrid w:val="0"/>
          <w:lang w:val="fr-CA" w:eastAsia="en-CA"/>
        </w:rPr>
      </w:pPr>
      <w:r w:rsidRPr="00FB5668">
        <w:rPr>
          <w:lang w:val="fr-CA"/>
        </w:rPr>
        <w:t>À sa troisième séance plénière, la Conférence des Parties siégeant en tant que réunion des Parties au Protocole a examiné le projet de décision CBD/CP/MOP/11/L.7, présenté par le président du Groupe de travail II.</w:t>
      </w:r>
    </w:p>
    <w:p w:rsidR="00642A26" w:rsidRPr="00FB5668" w:rsidRDefault="006D57E9" w:rsidP="00416C76">
      <w:pPr>
        <w:pStyle w:val="CBDNormalNumber"/>
        <w:spacing w:before="0"/>
        <w:rPr>
          <w:u w:color="000000"/>
          <w:lang w:val="fr-CA"/>
        </w:rPr>
      </w:pPr>
      <w:r w:rsidRPr="00FB5668">
        <w:rPr>
          <w:lang w:val="fr-CA"/>
        </w:rPr>
        <w:t>La Conférence des Parties siégeant en tant que réunion des Parties au Protocole a adopté le</w:t>
      </w:r>
      <w:r w:rsidR="004362D4" w:rsidRPr="00FB5668">
        <w:rPr>
          <w:lang w:val="fr-CA"/>
        </w:rPr>
        <w:t> </w:t>
      </w:r>
      <w:r w:rsidRPr="00FB5668">
        <w:rPr>
          <w:lang w:val="fr-CA"/>
        </w:rPr>
        <w:t xml:space="preserve">projet de décision, tel que modifié oralement dans la version espagnole, en tant que </w:t>
      </w:r>
      <w:r w:rsidR="004362D4" w:rsidRPr="00FB5668">
        <w:rPr>
          <w:lang w:val="fr-CA"/>
        </w:rPr>
        <w:br/>
      </w:r>
      <w:r w:rsidRPr="00FB5668">
        <w:rPr>
          <w:lang w:val="fr-CA"/>
        </w:rPr>
        <w:t>décision</w:t>
      </w:r>
      <w:r w:rsidR="004362D4" w:rsidRPr="00FB5668">
        <w:rPr>
          <w:lang w:val="fr-CA"/>
        </w:rPr>
        <w:t> </w:t>
      </w:r>
      <w:hyperlink r:id="rId16" w:history="1">
        <w:r w:rsidRPr="00FB5668">
          <w:rPr>
            <w:rStyle w:val="Hyperlink"/>
            <w:lang w:val="fr-CA"/>
          </w:rPr>
          <w:t>CP-11/1</w:t>
        </w:r>
      </w:hyperlink>
      <w:r w:rsidRPr="00FB5668">
        <w:rPr>
          <w:lang w:val="fr-CA"/>
        </w:rPr>
        <w:t>.</w:t>
      </w:r>
    </w:p>
    <w:p w:rsidR="00557370" w:rsidRPr="00FB5668" w:rsidRDefault="001E1D93" w:rsidP="006F791E">
      <w:pPr>
        <w:pStyle w:val="CBDAgendaItem"/>
        <w:rPr>
          <w:rFonts w:ascii="Times New Roman Bold" w:hAnsi="Times New Roman Bold" w:hint="eastAsia"/>
          <w:lang w:val="fr-CA"/>
        </w:rPr>
      </w:pPr>
      <w:r w:rsidRPr="00FB5668">
        <w:rPr>
          <w:rFonts w:ascii="Times New Roman Bold" w:hAnsi="Times New Roman Bold"/>
          <w:lang w:val="fr-CA"/>
        </w:rPr>
        <w:t xml:space="preserve">Point 6 </w:t>
      </w:r>
      <w:r w:rsidRPr="00FB5668">
        <w:rPr>
          <w:rFonts w:ascii="Times New Roman Bold" w:hAnsi="Times New Roman Bold"/>
          <w:lang w:val="fr-CA"/>
        </w:rPr>
        <w:br/>
      </w:r>
      <w:r w:rsidRPr="00FB5668">
        <w:rPr>
          <w:lang w:val="fr-CA"/>
        </w:rPr>
        <w:t>Administration du Protocole et budget des fonds d’affectation spéciale</w:t>
      </w:r>
      <w:r w:rsidRPr="00FB5668">
        <w:rPr>
          <w:rFonts w:ascii="Times New Roman Bold" w:hAnsi="Times New Roman Bold"/>
          <w:lang w:val="fr-CA"/>
        </w:rPr>
        <w:t xml:space="preserve"> </w:t>
      </w:r>
    </w:p>
    <w:p w:rsidR="00D03E7D" w:rsidRPr="00FB5668" w:rsidRDefault="00B10462" w:rsidP="006F0978">
      <w:pPr>
        <w:pStyle w:val="CBDNormalNumber"/>
        <w:rPr>
          <w:rFonts w:asciiTheme="majorBidi" w:eastAsia="MS Mincho" w:hAnsiTheme="majorBidi" w:cstheme="majorBidi"/>
          <w:color w:val="000000"/>
          <w:kern w:val="22"/>
          <w:lang w:val="fr-CA"/>
        </w:rPr>
      </w:pPr>
      <w:r w:rsidRPr="00FB5668">
        <w:rPr>
          <w:lang w:val="fr-CA"/>
        </w:rPr>
        <w:t>La Conférence des Parties siégeant en tant que réunion des Parties au Protocole a examiné le point 6 de l’ordre du jour à sa première séance plénière. Elle était saisie d'un projet de décision</w:t>
      </w:r>
      <w:r w:rsidRPr="00FB5668">
        <w:rPr>
          <w:rStyle w:val="FootnoteReference"/>
          <w:snapToGrid w:val="0"/>
          <w:lang w:val="fr-CA"/>
        </w:rPr>
        <w:footnoteReference w:id="25"/>
      </w:r>
      <w:r w:rsidRPr="00FB5668">
        <w:rPr>
          <w:snapToGrid w:val="0"/>
          <w:lang w:val="fr-CA"/>
        </w:rPr>
        <w:t xml:space="preserve"> et de notes du Secrétariat sur l'administration de la Convention et de ses Protocoles</w:t>
      </w:r>
      <w:r w:rsidRPr="00FB5668">
        <w:rPr>
          <w:lang w:val="fr-CA"/>
        </w:rPr>
        <w:t xml:space="preserve"> </w:t>
      </w:r>
      <w:r w:rsidRPr="00FB5668">
        <w:rPr>
          <w:snapToGrid w:val="0"/>
          <w:lang w:val="fr-CA"/>
        </w:rPr>
        <w:t>pour l'exercice biennal 2023-2024</w:t>
      </w:r>
      <w:r w:rsidRPr="00FB5668">
        <w:rPr>
          <w:rStyle w:val="FootnoteReference"/>
          <w:snapToGrid w:val="0"/>
          <w:lang w:val="fr-CA"/>
        </w:rPr>
        <w:footnoteReference w:id="26"/>
      </w:r>
      <w:r w:rsidRPr="00FB5668">
        <w:rPr>
          <w:snapToGrid w:val="0"/>
          <w:lang w:val="fr-CA"/>
        </w:rPr>
        <w:t>, le projet de budget des programmes de travail de la Convention et de ses Protocoles pour l'exercice biennal 2025-2026</w:t>
      </w:r>
      <w:r w:rsidRPr="00FB5668">
        <w:rPr>
          <w:rStyle w:val="FootnoteReference"/>
          <w:snapToGrid w:val="0"/>
          <w:lang w:val="fr-CA"/>
        </w:rPr>
        <w:footnoteReference w:id="27"/>
      </w:r>
      <w:r w:rsidRPr="00FB5668">
        <w:rPr>
          <w:snapToGrid w:val="0"/>
          <w:lang w:val="fr-CA"/>
        </w:rPr>
        <w:t>,</w:t>
      </w:r>
      <w:r w:rsidRPr="00FB5668">
        <w:rPr>
          <w:rFonts w:asciiTheme="majorBidi" w:eastAsia="MS Mincho" w:hAnsiTheme="majorBidi" w:cstheme="majorBidi"/>
          <w:color w:val="000000"/>
          <w:kern w:val="22"/>
          <w:lang w:val="fr-CA"/>
        </w:rPr>
        <w:t xml:space="preserve"> </w:t>
      </w:r>
      <w:r w:rsidRPr="00FB5668">
        <w:rPr>
          <w:lang w:val="fr-CA"/>
        </w:rPr>
        <w:t xml:space="preserve">les exigences relatives au fonds d’affectation </w:t>
      </w:r>
      <w:r w:rsidRPr="00FB5668">
        <w:rPr>
          <w:lang w:val="fr-CA"/>
        </w:rPr>
        <w:lastRenderedPageBreak/>
        <w:t>spéciale concernant les contributions volontaires supplémentaires à l’appui d’activités approuvées</w:t>
      </w:r>
      <w:r w:rsidRPr="00FB5668">
        <w:rPr>
          <w:rStyle w:val="FootnoteReference"/>
          <w:rFonts w:asciiTheme="majorBidi" w:eastAsia="MS Mincho" w:hAnsiTheme="majorBidi" w:cstheme="majorBidi"/>
          <w:color w:val="000000"/>
          <w:kern w:val="22"/>
          <w:lang w:val="fr-CA"/>
        </w:rPr>
        <w:footnoteReference w:id="28"/>
      </w:r>
      <w:r w:rsidRPr="00FB5668">
        <w:rPr>
          <w:rFonts w:asciiTheme="majorBidi" w:eastAsia="MS Mincho" w:hAnsiTheme="majorBidi" w:cstheme="majorBidi"/>
          <w:color w:val="000000"/>
          <w:kern w:val="22"/>
          <w:lang w:val="fr-CA"/>
        </w:rPr>
        <w:t xml:space="preserve"> </w:t>
      </w:r>
      <w:r w:rsidRPr="00FB5668">
        <w:rPr>
          <w:lang w:val="fr-CA"/>
        </w:rPr>
        <w:t>et l’examen fonctionnel du Secrétariat</w:t>
      </w:r>
      <w:r w:rsidRPr="00FB5668">
        <w:rPr>
          <w:rStyle w:val="FootnoteReference"/>
          <w:rFonts w:asciiTheme="majorBidi" w:eastAsia="MS Mincho" w:hAnsiTheme="majorBidi" w:cstheme="majorBidi"/>
          <w:color w:val="000000"/>
          <w:kern w:val="22"/>
          <w:lang w:val="fr-CA"/>
        </w:rPr>
        <w:footnoteReference w:id="29"/>
      </w:r>
      <w:r w:rsidRPr="00FB5668">
        <w:rPr>
          <w:rFonts w:asciiTheme="majorBidi" w:eastAsia="MS Mincho" w:hAnsiTheme="majorBidi" w:cstheme="majorBidi"/>
          <w:color w:val="000000"/>
          <w:kern w:val="22"/>
          <w:lang w:val="fr-CA"/>
        </w:rPr>
        <w:t>.</w:t>
      </w:r>
    </w:p>
    <w:p w:rsidR="00A53A16" w:rsidRPr="00FB5668" w:rsidRDefault="00A53A16" w:rsidP="00A53A16">
      <w:pPr>
        <w:pStyle w:val="CBDNormalNumber"/>
        <w:rPr>
          <w:rFonts w:asciiTheme="majorBidi" w:eastAsia="MS Mincho" w:hAnsiTheme="majorBidi" w:cstheme="majorBidi"/>
          <w:color w:val="000000"/>
          <w:kern w:val="22"/>
          <w:lang w:val="fr-CA"/>
        </w:rPr>
      </w:pPr>
      <w:bookmarkStart w:id="11" w:name="_Hlk180685264"/>
      <w:r w:rsidRPr="00FB5668">
        <w:rPr>
          <w:rFonts w:asciiTheme="majorBidi" w:eastAsia="MS Mincho" w:hAnsiTheme="majorBidi" w:cstheme="majorBidi"/>
          <w:color w:val="000000"/>
          <w:kern w:val="22"/>
          <w:lang w:val="fr-CA"/>
        </w:rPr>
        <w:t>La Secrétaire exécutive a rendu compte des activités du Secrétariat et a présenté le projet de budget des programmes de travail de la Convention et de ses Protocoles pour l’exercice biennal 2025 2026.</w:t>
      </w:r>
    </w:p>
    <w:p w:rsidR="00A53A16" w:rsidRPr="00FB5668" w:rsidRDefault="00A53A16" w:rsidP="00A53A16">
      <w:pPr>
        <w:pStyle w:val="CBDNormalNumber"/>
        <w:rPr>
          <w:rFonts w:asciiTheme="majorBidi" w:eastAsia="MS Mincho" w:hAnsiTheme="majorBidi" w:cstheme="majorBidi"/>
          <w:color w:val="000000"/>
          <w:kern w:val="22"/>
          <w:lang w:val="fr-CA"/>
        </w:rPr>
      </w:pPr>
      <w:r w:rsidRPr="00FB5668">
        <w:rPr>
          <w:rFonts w:asciiTheme="majorBidi" w:eastAsia="MS Mincho" w:hAnsiTheme="majorBidi" w:cstheme="majorBidi"/>
          <w:color w:val="000000"/>
          <w:kern w:val="22"/>
          <w:lang w:val="fr-CA"/>
        </w:rPr>
        <w:t xml:space="preserve">La </w:t>
      </w:r>
      <w:bookmarkStart w:id="12" w:name="_Hlk180685168"/>
      <w:r w:rsidRPr="00FB5668">
        <w:rPr>
          <w:rFonts w:asciiTheme="majorBidi" w:eastAsia="MS Mincho" w:hAnsiTheme="majorBidi" w:cstheme="majorBidi"/>
          <w:color w:val="000000"/>
          <w:kern w:val="22"/>
          <w:lang w:val="fr-CA"/>
        </w:rPr>
        <w:t>Conférence des Parties à la Convention siégeant en tant que réunion des Parties aux Protocoles</w:t>
      </w:r>
      <w:bookmarkEnd w:id="12"/>
      <w:r w:rsidRPr="00FB5668">
        <w:rPr>
          <w:rFonts w:asciiTheme="majorBidi" w:eastAsia="MS Mincho" w:hAnsiTheme="majorBidi" w:cstheme="majorBidi"/>
          <w:color w:val="000000"/>
          <w:kern w:val="22"/>
          <w:lang w:val="fr-CA"/>
        </w:rPr>
        <w:t xml:space="preserve">, a créé un groupe de contact sur le budget, présidé par Charles </w:t>
      </w:r>
      <w:proofErr w:type="spellStart"/>
      <w:r w:rsidRPr="00FB5668">
        <w:rPr>
          <w:rFonts w:asciiTheme="majorBidi" w:eastAsia="MS Mincho" w:hAnsiTheme="majorBidi" w:cstheme="majorBidi"/>
          <w:color w:val="000000"/>
          <w:kern w:val="22"/>
          <w:lang w:val="fr-CA"/>
        </w:rPr>
        <w:t>Gbedemah</w:t>
      </w:r>
      <w:proofErr w:type="spellEnd"/>
      <w:r w:rsidRPr="00FB5668">
        <w:rPr>
          <w:rFonts w:asciiTheme="majorBidi" w:eastAsia="MS Mincho" w:hAnsiTheme="majorBidi" w:cstheme="majorBidi"/>
          <w:color w:val="000000"/>
          <w:kern w:val="22"/>
          <w:lang w:val="fr-CA"/>
        </w:rPr>
        <w:t xml:space="preserve"> (Ghana), chargé d’examiner en détail le projet de budget pour l’exercice biennal 2025 2026. </w:t>
      </w:r>
    </w:p>
    <w:p w:rsidR="002D202F" w:rsidRPr="00FB5668" w:rsidRDefault="002D202F" w:rsidP="002D202F">
      <w:pPr>
        <w:pStyle w:val="CBDNormalNumber"/>
        <w:rPr>
          <w:lang w:val="fr-CA"/>
        </w:rPr>
      </w:pPr>
      <w:bookmarkStart w:id="13" w:name="_Hlk182076840"/>
      <w:r w:rsidRPr="00FB5668">
        <w:rPr>
          <w:lang w:val="fr-CA"/>
        </w:rPr>
        <w:t>À sa cinquième séance plénière, le 1</w:t>
      </w:r>
      <w:r w:rsidRPr="00FB5668">
        <w:rPr>
          <w:vertAlign w:val="superscript"/>
          <w:lang w:val="fr-CA"/>
        </w:rPr>
        <w:t>er</w:t>
      </w:r>
      <w:r w:rsidRPr="00FB5668">
        <w:rPr>
          <w:lang w:val="fr-CA"/>
        </w:rPr>
        <w:t xml:space="preserve"> novembre, la Conférence des Parties à la Convention, siégeant en tant que réunion des Parties aux Protocoles, a écouté un rapport du président du groupe de contact sur les questions budgétaires, également en sa qualité de facilitateur du groupe des amis de la présidence.</w:t>
      </w:r>
    </w:p>
    <w:p w:rsidR="0080647C" w:rsidRPr="00FB5668" w:rsidRDefault="0080647C" w:rsidP="0080647C">
      <w:pPr>
        <w:pStyle w:val="CBDNormalNumber"/>
        <w:rPr>
          <w:lang w:val="fr-CA"/>
        </w:rPr>
      </w:pPr>
      <w:r w:rsidRPr="00FB5668">
        <w:rPr>
          <w:lang w:val="fr-CA"/>
        </w:rPr>
        <w:t>Toutefois, en raison de la perte du quorum, les discussions ont dû être suspendues avant d'être achevées (voir le point 17 ci-dessous).</w:t>
      </w:r>
    </w:p>
    <w:bookmarkEnd w:id="13"/>
    <w:p w:rsidR="00AB02D2" w:rsidRPr="00FB5668" w:rsidRDefault="008B6928" w:rsidP="00A53A16">
      <w:pPr>
        <w:pStyle w:val="CBDNormalNumber"/>
        <w:rPr>
          <w:rFonts w:asciiTheme="majorBidi" w:eastAsia="MS Mincho" w:hAnsiTheme="majorBidi" w:cstheme="majorBidi"/>
          <w:color w:val="000000"/>
          <w:kern w:val="22"/>
          <w:lang w:val="fr-CA"/>
        </w:rPr>
      </w:pPr>
      <w:r w:rsidRPr="00FB5668">
        <w:rPr>
          <w:rFonts w:asciiTheme="majorBidi" w:eastAsia="MS Mincho" w:hAnsiTheme="majorBidi" w:cstheme="majorBidi"/>
          <w:color w:val="000000"/>
          <w:kern w:val="22"/>
          <w:lang w:val="fr-CA"/>
        </w:rPr>
        <w:t xml:space="preserve">Du 3 au 6 décembre 2024, la Conférence des Parties siégeant en tant que réunion des Parties au Protocole a tenu sa sixième séance plénière, par le biais d'une reprise de réunion en ligne, pour examiner l'adoption selon une procédure d'approbation tacite des projets de décision </w:t>
      </w:r>
      <w:hyperlink r:id="rId17" w:history="1">
        <w:r w:rsidRPr="00FB5668">
          <w:rPr>
            <w:rStyle w:val="Hyperlink"/>
            <w:rFonts w:asciiTheme="majorBidi" w:eastAsia="MS Mincho" w:hAnsiTheme="majorBidi" w:cstheme="majorBidi"/>
            <w:kern w:val="22"/>
            <w:lang w:val="fr-CA"/>
          </w:rPr>
          <w:t>CBD/CP/MOP/11/L.12/</w:t>
        </w:r>
        <w:proofErr w:type="spellStart"/>
        <w:r w:rsidRPr="00FB5668">
          <w:rPr>
            <w:rStyle w:val="Hyperlink"/>
            <w:rFonts w:asciiTheme="majorBidi" w:eastAsia="MS Mincho" w:hAnsiTheme="majorBidi" w:cstheme="majorBidi"/>
            <w:kern w:val="22"/>
            <w:lang w:val="fr-CA"/>
          </w:rPr>
          <w:t>Rev</w:t>
        </w:r>
        <w:proofErr w:type="spellEnd"/>
        <w:r w:rsidRPr="00FB5668">
          <w:rPr>
            <w:rStyle w:val="Hyperlink"/>
            <w:rFonts w:asciiTheme="majorBidi" w:eastAsia="MS Mincho" w:hAnsiTheme="majorBidi" w:cstheme="majorBidi"/>
            <w:kern w:val="22"/>
            <w:lang w:val="fr-CA"/>
          </w:rPr>
          <w:t>.1</w:t>
        </w:r>
      </w:hyperlink>
      <w:r w:rsidRPr="00FB5668">
        <w:rPr>
          <w:rFonts w:asciiTheme="majorBidi" w:eastAsia="MS Mincho" w:hAnsiTheme="majorBidi" w:cstheme="majorBidi"/>
          <w:color w:val="000000"/>
          <w:kern w:val="22"/>
          <w:lang w:val="fr-CA"/>
        </w:rPr>
        <w:t xml:space="preserve"> et </w:t>
      </w:r>
      <w:hyperlink r:id="rId18" w:history="1">
        <w:r w:rsidRPr="00FB5668">
          <w:rPr>
            <w:rStyle w:val="Hyperlink"/>
            <w:rFonts w:asciiTheme="majorBidi" w:eastAsia="MS Mincho" w:hAnsiTheme="majorBidi" w:cstheme="majorBidi"/>
            <w:kern w:val="22"/>
            <w:lang w:val="fr-CA"/>
          </w:rPr>
          <w:t>CBD/CP/MOP/11/L.13</w:t>
        </w:r>
      </w:hyperlink>
      <w:r w:rsidRPr="00FB5668">
        <w:rPr>
          <w:rFonts w:asciiTheme="majorBidi" w:eastAsia="MS Mincho" w:hAnsiTheme="majorBidi" w:cstheme="majorBidi"/>
          <w:color w:val="000000"/>
          <w:kern w:val="22"/>
          <w:lang w:val="fr-CA"/>
        </w:rPr>
        <w:t>, présentés par la Présidente.</w:t>
      </w:r>
    </w:p>
    <w:p w:rsidR="009776DD" w:rsidRPr="00FB5668" w:rsidRDefault="009776DD" w:rsidP="00A53A16">
      <w:pPr>
        <w:pStyle w:val="CBDNormalNumber"/>
        <w:rPr>
          <w:rFonts w:asciiTheme="majorBidi" w:eastAsia="MS Mincho" w:hAnsiTheme="majorBidi" w:cstheme="majorBidi"/>
          <w:color w:val="000000"/>
          <w:kern w:val="22"/>
          <w:lang w:val="fr-CA"/>
        </w:rPr>
      </w:pPr>
      <w:r w:rsidRPr="00FB5668">
        <w:rPr>
          <w:lang w:val="fr-CA"/>
        </w:rPr>
        <w:t xml:space="preserve">La procédure d'approbation tacite s'étant achevée le 6 décembre sans que les Parties ne soulèvent d'objections pendant la période prévue pour rompre le silence, la Présidente a publié une communication de clôture informant les Parties que les deux projets de décision étaient considérés comme adoptés, en tant que décisions </w:t>
      </w:r>
      <w:hyperlink r:id="rId19" w:history="1">
        <w:r w:rsidRPr="00FB5668">
          <w:rPr>
            <w:rStyle w:val="Hyperlink"/>
            <w:lang w:val="fr-CA"/>
          </w:rPr>
          <w:t>11/11</w:t>
        </w:r>
      </w:hyperlink>
      <w:r w:rsidRPr="00FB5668">
        <w:rPr>
          <w:lang w:val="fr-CA"/>
        </w:rPr>
        <w:t xml:space="preserve"> et </w:t>
      </w:r>
      <w:hyperlink r:id="rId20" w:history="1">
        <w:r w:rsidRPr="00FB5668">
          <w:rPr>
            <w:rStyle w:val="Hyperlink"/>
            <w:lang w:val="fr-CA"/>
          </w:rPr>
          <w:t>11/12</w:t>
        </w:r>
      </w:hyperlink>
      <w:r w:rsidRPr="00FB5668">
        <w:rPr>
          <w:lang w:val="fr-CA"/>
        </w:rPr>
        <w:t>, respectivement.</w:t>
      </w:r>
    </w:p>
    <w:p w:rsidR="0051003B" w:rsidRPr="00FB5668" w:rsidRDefault="0051003B" w:rsidP="0051003B">
      <w:pPr>
        <w:pStyle w:val="CBDAgendaItem"/>
        <w:rPr>
          <w:lang w:val="fr-CA"/>
        </w:rPr>
      </w:pPr>
      <w:bookmarkStart w:id="14" w:name="_Hlk180940375"/>
      <w:bookmarkEnd w:id="11"/>
      <w:r w:rsidRPr="00FB5668">
        <w:rPr>
          <w:lang w:val="fr-CA"/>
        </w:rPr>
        <w:t xml:space="preserve">Point 7 </w:t>
      </w:r>
      <w:r w:rsidRPr="00FB5668">
        <w:rPr>
          <w:lang w:val="fr-CA"/>
        </w:rPr>
        <w:br/>
        <w:t>Questions relatives au mécanisme de financement et aux ressources financières</w:t>
      </w:r>
    </w:p>
    <w:p w:rsidR="000363D0" w:rsidRPr="00FB5668" w:rsidRDefault="000363D0" w:rsidP="000363D0">
      <w:pPr>
        <w:pStyle w:val="CBDNormalNumber"/>
        <w:spacing w:before="0"/>
        <w:rPr>
          <w:lang w:val="fr-CA"/>
        </w:rPr>
      </w:pPr>
      <w:r w:rsidRPr="00FB5668">
        <w:rPr>
          <w:lang w:val="fr-CA"/>
        </w:rPr>
        <w:t>À sa deuxième séance, le 22 octobre, le Groupe de travail I a examiné le point 7 de l'ordre du jour. Il était saisi d'un projet de décision</w:t>
      </w:r>
      <w:r w:rsidRPr="00FB5668">
        <w:rPr>
          <w:rStyle w:val="FootnoteReference"/>
          <w:lang w:val="fr-CA"/>
        </w:rPr>
        <w:footnoteReference w:id="30"/>
      </w:r>
      <w:r w:rsidRPr="00FB5668">
        <w:rPr>
          <w:lang w:val="fr-CA"/>
        </w:rPr>
        <w:t xml:space="preserve"> et d'une note du Secrétariat sur le mécanisme de financement et les ressources financières</w:t>
      </w:r>
      <w:r w:rsidRPr="00FB5668">
        <w:rPr>
          <w:rStyle w:val="FootnoteReference"/>
          <w:lang w:val="fr-CA"/>
        </w:rPr>
        <w:footnoteReference w:id="31"/>
      </w:r>
      <w:r w:rsidRPr="00FB5668">
        <w:rPr>
          <w:lang w:val="fr-CA"/>
        </w:rPr>
        <w:t>.</w:t>
      </w:r>
    </w:p>
    <w:p w:rsidR="000363D0" w:rsidRPr="00FB5668" w:rsidRDefault="000363D0" w:rsidP="000363D0">
      <w:pPr>
        <w:pStyle w:val="CBDNormalNumber"/>
        <w:spacing w:before="0"/>
        <w:rPr>
          <w:lang w:val="fr-CA"/>
        </w:rPr>
      </w:pPr>
      <w:r w:rsidRPr="00FB5668">
        <w:rPr>
          <w:lang w:val="fr-CA"/>
        </w:rPr>
        <w:t>Des déclarations ont été faites par les représentants des Parties suivantes : Afrique du Sud, Brésil, Burkina Faso, Burundi, Côte d’Ivoire, Gabon, Guatemala, Japon, Malawi, Norvège, République démocratique du Congo, République démocratique populaire lao, Suisse, Union européenne et ses États membres, et Zimbabwe (au nom des États d'Afrique).</w:t>
      </w:r>
    </w:p>
    <w:p w:rsidR="000363D0" w:rsidRPr="00FB5668" w:rsidRDefault="000363D0" w:rsidP="000363D0">
      <w:pPr>
        <w:pStyle w:val="CBDNormalNumber"/>
        <w:spacing w:before="0"/>
        <w:rPr>
          <w:lang w:val="fr-CA"/>
        </w:rPr>
      </w:pPr>
      <w:r w:rsidRPr="00FB5668">
        <w:rPr>
          <w:lang w:val="fr-CA"/>
        </w:rPr>
        <w:t>Le Groupe de travail I a décidé que la présidente préparerait un projet de décision révisé aux fins d'examen.</w:t>
      </w:r>
    </w:p>
    <w:p w:rsidR="000363D0" w:rsidRPr="00FB5668" w:rsidRDefault="000363D0" w:rsidP="000363D0">
      <w:pPr>
        <w:pStyle w:val="CBDNormalNumber"/>
        <w:spacing w:before="0"/>
        <w:rPr>
          <w:lang w:val="fr-CA"/>
        </w:rPr>
      </w:pPr>
      <w:r w:rsidRPr="00FB5668">
        <w:rPr>
          <w:lang w:val="fr-CA"/>
        </w:rPr>
        <w:t xml:space="preserve">À sa troisième séance, le 25 octobre, le Groupe de travail I a examiné un projet de décision révisé présenté par la présidente. </w:t>
      </w:r>
    </w:p>
    <w:p w:rsidR="000363D0" w:rsidRPr="00FB5668" w:rsidRDefault="000363D0" w:rsidP="000363D0">
      <w:pPr>
        <w:pStyle w:val="CBDNormalNumber"/>
        <w:spacing w:before="0"/>
        <w:rPr>
          <w:lang w:val="fr-CA"/>
        </w:rPr>
      </w:pPr>
      <w:r w:rsidRPr="00FB5668">
        <w:rPr>
          <w:lang w:val="fr-CA"/>
        </w:rPr>
        <w:t>Des déclarations ont été faites par les représentants des Parties suivantes : Afrique du Sud, Brésil, Burkina Faso, Chine, Japon, Malawi, Norvège, République unie de Tanzanie, Royaume-Uni, Suriname, Suisse, Union européenne et ses États membres et Zimbabwe.</w:t>
      </w:r>
    </w:p>
    <w:p w:rsidR="000363D0" w:rsidRPr="00FB5668" w:rsidRDefault="000363D0" w:rsidP="000363D0">
      <w:pPr>
        <w:pStyle w:val="CBDNormalNumber"/>
        <w:spacing w:before="0"/>
        <w:rPr>
          <w:lang w:val="fr-CA"/>
        </w:rPr>
      </w:pPr>
      <w:r w:rsidRPr="00FB5668">
        <w:rPr>
          <w:lang w:val="fr-CA"/>
        </w:rPr>
        <w:t xml:space="preserve">Le Groupe de travail I a approuvé le projet de décision révisé, à l'exception de l'alinéa 1 d), et a décidé qu'un petit groupe, constitué de représentants des Parties intéressées et sous la direction </w:t>
      </w:r>
      <w:r w:rsidRPr="00FB5668">
        <w:rPr>
          <w:lang w:val="fr-CA"/>
        </w:rPr>
        <w:lastRenderedPageBreak/>
        <w:t xml:space="preserve">de </w:t>
      </w:r>
      <w:proofErr w:type="spellStart"/>
      <w:r w:rsidRPr="00FB5668">
        <w:rPr>
          <w:lang w:val="fr-CA"/>
        </w:rPr>
        <w:t>Niklaus</w:t>
      </w:r>
      <w:proofErr w:type="spellEnd"/>
      <w:r w:rsidRPr="00FB5668">
        <w:rPr>
          <w:lang w:val="fr-CA"/>
        </w:rPr>
        <w:t xml:space="preserve"> Wagner (Suisse), tenterait de régler les questions en suspens dans ce paragraphe, en particulier en ce qui concerne les fonds cantonnés.</w:t>
      </w:r>
    </w:p>
    <w:p w:rsidR="000363D0" w:rsidRPr="00FB5668" w:rsidRDefault="000363D0" w:rsidP="000363D0">
      <w:pPr>
        <w:pStyle w:val="CBDNormalNumber"/>
        <w:spacing w:before="0"/>
        <w:rPr>
          <w:lang w:val="fr-CA"/>
        </w:rPr>
      </w:pPr>
      <w:r w:rsidRPr="00FB5668">
        <w:rPr>
          <w:lang w:val="fr-CA"/>
        </w:rPr>
        <w:t>À sa cinquième séance, le 31 octobre, le Groupe de travail I a examiné un projet de décision révisé supplémentaire suite aux discussions du petit groupe.</w:t>
      </w:r>
    </w:p>
    <w:p w:rsidR="000363D0" w:rsidRPr="00FB5668" w:rsidRDefault="000363D0" w:rsidP="000363D0">
      <w:pPr>
        <w:pStyle w:val="CBDNormalNumber"/>
        <w:spacing w:before="0"/>
        <w:rPr>
          <w:lang w:val="fr-CA"/>
        </w:rPr>
      </w:pPr>
      <w:r w:rsidRPr="00FB5668">
        <w:rPr>
          <w:lang w:val="fr-CA"/>
        </w:rPr>
        <w:t>Des déclarations ont été faites par les représentants des Parties suivantes : Afrique du Sud, Brésil, Burkina Faso, Norvège, République démocratique du Congo, Suisse, Royaume-Uni et Zimbabwe (au nom des États d'Afrique).</w:t>
      </w:r>
    </w:p>
    <w:p w:rsidR="000363D0" w:rsidRPr="00FB5668" w:rsidRDefault="000363D0" w:rsidP="000363D0">
      <w:pPr>
        <w:pStyle w:val="CBDNormalNumber"/>
        <w:spacing w:before="0"/>
        <w:rPr>
          <w:lang w:val="fr-CA"/>
        </w:rPr>
      </w:pPr>
      <w:r w:rsidRPr="00FB5668">
        <w:rPr>
          <w:lang w:val="fr-CA"/>
        </w:rPr>
        <w:t>Le Groupe de travail I a approuvé le projet de décision révisé supplémentaire, tel que modifié oralement, et a décidé de le soumettre pour examen en séance plénière sous la cote CBD/CP/MOP/11/L.8.</w:t>
      </w:r>
    </w:p>
    <w:p w:rsidR="00660948" w:rsidRPr="00FB5668" w:rsidRDefault="0051003B" w:rsidP="0051003B">
      <w:pPr>
        <w:pStyle w:val="CBDNormalNumber"/>
        <w:rPr>
          <w:snapToGrid w:val="0"/>
          <w:lang w:val="fr-CA" w:eastAsia="en-CA"/>
        </w:rPr>
      </w:pPr>
      <w:r w:rsidRPr="00FB5668">
        <w:rPr>
          <w:lang w:val="fr-CA"/>
        </w:rPr>
        <w:t>À sa cinquième séance plénière, la Conférence des Parties siégeant en tant que réunion des Parties au Protocole a examiné le projet de décision CBD/CP/MOP/11/L.8, présenté par la présidente du Groupe de travail I.</w:t>
      </w:r>
    </w:p>
    <w:p w:rsidR="00660948" w:rsidRPr="00FB5668" w:rsidRDefault="00660948" w:rsidP="0051003B">
      <w:pPr>
        <w:pStyle w:val="CBDNormalNumber"/>
        <w:rPr>
          <w:snapToGrid w:val="0"/>
          <w:lang w:val="fr-CA" w:eastAsia="en-CA"/>
        </w:rPr>
      </w:pPr>
      <w:r w:rsidRPr="00FB5668">
        <w:rPr>
          <w:lang w:val="fr-CA"/>
        </w:rPr>
        <w:t>Le représentant du Secrétariat a présenté des modifications orales au projet de décision.</w:t>
      </w:r>
    </w:p>
    <w:p w:rsidR="0051003B" w:rsidRPr="00FB5668" w:rsidRDefault="00660948" w:rsidP="0051003B">
      <w:pPr>
        <w:pStyle w:val="CBDNormalNumber"/>
        <w:rPr>
          <w:snapToGrid w:val="0"/>
          <w:lang w:val="fr-CA" w:eastAsia="en-CA"/>
        </w:rPr>
      </w:pPr>
      <w:r w:rsidRPr="00FB5668">
        <w:rPr>
          <w:lang w:val="fr-CA"/>
        </w:rPr>
        <w:t xml:space="preserve">La Conférence des Parties siégeant en tant que réunion des Parties au Protocole a adopté le projet de décision, tel que modifié oralement, en tant que décision </w:t>
      </w:r>
      <w:hyperlink r:id="rId21" w:history="1">
        <w:r w:rsidRPr="00FB5668">
          <w:rPr>
            <w:rStyle w:val="Hyperlink"/>
            <w:lang w:val="fr-CA"/>
          </w:rPr>
          <w:t>CP-11/2</w:t>
        </w:r>
      </w:hyperlink>
      <w:r w:rsidRPr="00FB5668">
        <w:rPr>
          <w:lang w:val="fr-CA"/>
        </w:rPr>
        <w:t>.</w:t>
      </w:r>
    </w:p>
    <w:p w:rsidR="0088588B" w:rsidRPr="00FB5668" w:rsidRDefault="0088588B" w:rsidP="0088588B">
      <w:pPr>
        <w:pStyle w:val="CBDAgendaItem"/>
        <w:rPr>
          <w:lang w:val="fr-CA"/>
        </w:rPr>
      </w:pPr>
      <w:r w:rsidRPr="00FB5668">
        <w:rPr>
          <w:lang w:val="fr-CA"/>
        </w:rPr>
        <w:t xml:space="preserve">Point 8 </w:t>
      </w:r>
      <w:r w:rsidRPr="00FB5668">
        <w:rPr>
          <w:lang w:val="fr-CA"/>
        </w:rPr>
        <w:br/>
        <w:t>Fonctionnement et activités du Centre d’échange pour la prévention des risques biotechnologiques</w:t>
      </w:r>
    </w:p>
    <w:p w:rsidR="00F36999" w:rsidRPr="00FB5668" w:rsidRDefault="00F36999" w:rsidP="00F36999">
      <w:pPr>
        <w:pStyle w:val="CBDNormalNumber"/>
        <w:spacing w:before="0"/>
        <w:rPr>
          <w:lang w:val="fr-CA"/>
        </w:rPr>
      </w:pPr>
      <w:r w:rsidRPr="00FB5668">
        <w:rPr>
          <w:lang w:val="fr-CA"/>
        </w:rPr>
        <w:t>À sa deuxième séance, le Groupe de travail II a examiné le point 8 de l'ordre du jour. Il était saisi d'un projet de décision</w:t>
      </w:r>
      <w:r w:rsidRPr="00FB5668">
        <w:rPr>
          <w:rStyle w:val="FootnoteReference"/>
          <w:lang w:val="fr-CA"/>
        </w:rPr>
        <w:footnoteReference w:id="32"/>
      </w:r>
      <w:r w:rsidRPr="00FB5668">
        <w:rPr>
          <w:lang w:val="fr-CA"/>
        </w:rPr>
        <w:t xml:space="preserve"> et d'une note du Secrétariat sur le fonctionnement et les activités du Centre d’échange pour la prévention des risques biotechnologiques</w:t>
      </w:r>
      <w:r w:rsidRPr="00FB5668">
        <w:rPr>
          <w:rStyle w:val="FootnoteReference"/>
          <w:lang w:val="fr-CA"/>
        </w:rPr>
        <w:footnoteReference w:id="33"/>
      </w:r>
      <w:r w:rsidRPr="00FB5668">
        <w:rPr>
          <w:lang w:val="fr-CA"/>
        </w:rPr>
        <w:t>.</w:t>
      </w:r>
    </w:p>
    <w:p w:rsidR="00F36999" w:rsidRPr="00FB5668" w:rsidRDefault="00F36999" w:rsidP="00F36999">
      <w:pPr>
        <w:pStyle w:val="CBDNormalNumber"/>
        <w:spacing w:before="0"/>
        <w:rPr>
          <w:lang w:val="fr-CA"/>
        </w:rPr>
      </w:pPr>
      <w:r w:rsidRPr="00FB5668">
        <w:rPr>
          <w:lang w:val="fr-CA"/>
        </w:rPr>
        <w:t>Des déclarations ont été faites par les représentants des Parties suivantes : Afrique du Sud, Brésil, Burkina Faso, Côte d’Ivoire, Gabon, Guatemala, Inde, Malaisie, République de Moldova, République dominicaine, Tunisie, Union européenne et ses États membres et Uruguay.</w:t>
      </w:r>
    </w:p>
    <w:p w:rsidR="00F36999" w:rsidRPr="00FB5668" w:rsidRDefault="00F36999" w:rsidP="00F36999">
      <w:pPr>
        <w:pStyle w:val="CBDNormalNumber"/>
        <w:spacing w:before="0"/>
        <w:rPr>
          <w:lang w:val="fr-CA"/>
        </w:rPr>
      </w:pPr>
      <w:r w:rsidRPr="00FB5668">
        <w:rPr>
          <w:lang w:val="fr-CA"/>
        </w:rPr>
        <w:t xml:space="preserve">Le Groupe de travail II a décidé que le président préparerait un projet de décision révisé aux fins d'examen, en tenant compte des points de vue exprimés. </w:t>
      </w:r>
    </w:p>
    <w:p w:rsidR="00F36999" w:rsidRPr="00FB5668" w:rsidRDefault="00F36999" w:rsidP="00F36999">
      <w:pPr>
        <w:pStyle w:val="CBDNormalNumber"/>
        <w:spacing w:before="0"/>
        <w:rPr>
          <w:rFonts w:asciiTheme="majorBidi" w:hAnsiTheme="majorBidi" w:cstheme="majorBidi"/>
          <w:lang w:val="fr-CA"/>
        </w:rPr>
      </w:pPr>
      <w:r w:rsidRPr="00FB5668">
        <w:rPr>
          <w:rFonts w:asciiTheme="majorBidi" w:hAnsiTheme="majorBidi" w:cstheme="majorBidi"/>
          <w:lang w:val="fr-CA"/>
        </w:rPr>
        <w:t>À sa sixième séance, le 25 octobre, le Groupe de travail II a examiné un projet de décision révisé présenté par le président.</w:t>
      </w:r>
    </w:p>
    <w:p w:rsidR="00F36999" w:rsidRPr="00FB5668" w:rsidRDefault="00F36999" w:rsidP="00F36999">
      <w:pPr>
        <w:pStyle w:val="CBDNormalNumber"/>
        <w:spacing w:before="0"/>
        <w:rPr>
          <w:rFonts w:asciiTheme="majorBidi" w:hAnsiTheme="majorBidi" w:cstheme="majorBidi"/>
          <w:lang w:val="fr-CA"/>
        </w:rPr>
      </w:pPr>
      <w:r w:rsidRPr="00FB5668">
        <w:rPr>
          <w:lang w:val="fr-CA"/>
        </w:rPr>
        <w:t>Des déclarations ont été faites par les représentants des Parties suivantes : Brésil et Union européenne et ses États membres.</w:t>
      </w:r>
    </w:p>
    <w:p w:rsidR="00F36999" w:rsidRPr="00FB5668" w:rsidRDefault="00F36999" w:rsidP="00F36999">
      <w:pPr>
        <w:pStyle w:val="CBDNormalNumber"/>
        <w:spacing w:before="0"/>
        <w:rPr>
          <w:rFonts w:asciiTheme="majorBidi" w:hAnsiTheme="majorBidi" w:cstheme="majorBidi"/>
          <w:lang w:val="fr-CA"/>
        </w:rPr>
      </w:pPr>
      <w:r w:rsidRPr="00FB5668">
        <w:rPr>
          <w:lang w:val="fr-CA"/>
        </w:rPr>
        <w:t>Le Groupe de travail II a approuvé le projet de décision révisé, tel que modifié oralement, et a décidé de le soumettre pour examen en séance plénière sous la cote CBD/CP/MOP/11/L.2.</w:t>
      </w:r>
    </w:p>
    <w:p w:rsidR="0088588B" w:rsidRPr="00FB5668" w:rsidRDefault="0088588B" w:rsidP="0088588B">
      <w:pPr>
        <w:pStyle w:val="CBDNormalNumber"/>
        <w:rPr>
          <w:snapToGrid w:val="0"/>
          <w:lang w:val="fr-CA" w:eastAsia="en-CA"/>
        </w:rPr>
      </w:pPr>
      <w:r w:rsidRPr="00FB5668">
        <w:rPr>
          <w:lang w:val="fr-CA"/>
        </w:rPr>
        <w:t xml:space="preserve">Lors de sa deuxième séance plénière, la Conférence des Parties siégeant en tant que réunion des Parties au Protocole a examiné le projet de décision CBD/CP/MOP/11/L.2, présenté par le président du Groupe de travail II, et l’a adopté en tant que décision </w:t>
      </w:r>
      <w:hyperlink r:id="rId22" w:history="1">
        <w:r w:rsidRPr="00FB5668">
          <w:rPr>
            <w:rStyle w:val="Hyperlink"/>
            <w:lang w:val="fr-CA"/>
          </w:rPr>
          <w:t>CP-11/3</w:t>
        </w:r>
      </w:hyperlink>
      <w:r w:rsidRPr="00FB5668">
        <w:rPr>
          <w:lang w:val="fr-CA"/>
        </w:rPr>
        <w:t xml:space="preserve">. </w:t>
      </w:r>
    </w:p>
    <w:p w:rsidR="004A085B" w:rsidRPr="00FB5668" w:rsidRDefault="004A085B" w:rsidP="004A085B">
      <w:pPr>
        <w:pStyle w:val="CBDAgendaItem"/>
        <w:rPr>
          <w:lang w:val="fr-CA"/>
        </w:rPr>
      </w:pPr>
      <w:r w:rsidRPr="00FB5668">
        <w:rPr>
          <w:lang w:val="fr-CA"/>
        </w:rPr>
        <w:lastRenderedPageBreak/>
        <w:t xml:space="preserve">Point 9 </w:t>
      </w:r>
      <w:r w:rsidRPr="00FB5668">
        <w:rPr>
          <w:lang w:val="fr-CA"/>
        </w:rPr>
        <w:br/>
        <w:t xml:space="preserve">Coopération avec des organisations internationales, </w:t>
      </w:r>
      <w:r w:rsidRPr="00FB5668">
        <w:rPr>
          <w:lang w:val="fr-CA"/>
        </w:rPr>
        <w:br/>
        <w:t>des organismes créés en vertu d’autres conventions, et des initiatives</w:t>
      </w:r>
    </w:p>
    <w:p w:rsidR="00FD13CC" w:rsidRPr="00FB5668" w:rsidRDefault="00FD13CC" w:rsidP="00B75CA2">
      <w:pPr>
        <w:pStyle w:val="CBDNormalNumber"/>
        <w:rPr>
          <w:u w:color="000000"/>
          <w:lang w:val="fr-CA"/>
        </w:rPr>
      </w:pPr>
      <w:r w:rsidRPr="00FB5668">
        <w:rPr>
          <w:lang w:val="fr-CA"/>
        </w:rPr>
        <w:t>À sa deuxième séance, le Groupe de travail II a examiné le point 9 de l'ordre du jour.</w:t>
      </w:r>
      <w:r w:rsidRPr="00FB5668">
        <w:rPr>
          <w:u w:color="000000"/>
          <w:lang w:val="fr-CA"/>
        </w:rPr>
        <w:t xml:space="preserve"> Il était saisi d'une note du Secrétariat sur la </w:t>
      </w:r>
      <w:r w:rsidRPr="00FB5668">
        <w:rPr>
          <w:lang w:val="fr-CA"/>
        </w:rPr>
        <w:t>coopération</w:t>
      </w:r>
      <w:r w:rsidRPr="00FB5668">
        <w:rPr>
          <w:u w:color="000000"/>
          <w:lang w:val="fr-CA"/>
        </w:rPr>
        <w:t xml:space="preserve"> avec des organisations internationales, </w:t>
      </w:r>
      <w:r w:rsidRPr="00FB5668">
        <w:rPr>
          <w:lang w:val="fr-CA"/>
        </w:rPr>
        <w:t>des organismes créés en vertu d’autres conventions, et des initiatives</w:t>
      </w:r>
      <w:r w:rsidRPr="00FB5668">
        <w:rPr>
          <w:u w:color="000000"/>
          <w:vertAlign w:val="superscript"/>
          <w:lang w:val="fr-CA"/>
        </w:rPr>
        <w:footnoteReference w:id="34"/>
      </w:r>
      <w:r w:rsidRPr="00FB5668">
        <w:rPr>
          <w:u w:color="000000"/>
          <w:lang w:val="fr-CA"/>
        </w:rPr>
        <w:t xml:space="preserve">. </w:t>
      </w:r>
    </w:p>
    <w:p w:rsidR="00FD13CC" w:rsidRPr="00FB5668" w:rsidRDefault="00FD13CC" w:rsidP="00842669">
      <w:pPr>
        <w:pStyle w:val="CBDNormalNumber"/>
        <w:rPr>
          <w:u w:color="000000"/>
          <w:lang w:val="fr-CA"/>
        </w:rPr>
      </w:pPr>
      <w:r w:rsidRPr="00FB5668">
        <w:rPr>
          <w:u w:color="000000"/>
          <w:lang w:val="fr-CA"/>
        </w:rPr>
        <w:t>Des déclarations ont été faites par des représentants de l'</w:t>
      </w:r>
      <w:r w:rsidRPr="00FB5668">
        <w:rPr>
          <w:lang w:val="fr-CA"/>
        </w:rPr>
        <w:t>Union internationale pour la conservation de la nature et de l'Institut interaméricain de coopération pour l’agriculture.</w:t>
      </w:r>
    </w:p>
    <w:p w:rsidR="00FD13CC" w:rsidRPr="00FB5668" w:rsidRDefault="00FD13CC" w:rsidP="00842669">
      <w:pPr>
        <w:pStyle w:val="CBDNormalNumber"/>
        <w:rPr>
          <w:color w:val="000000" w:themeColor="text1"/>
          <w:lang w:val="fr-CA"/>
        </w:rPr>
      </w:pPr>
      <w:r w:rsidRPr="00FB5668">
        <w:rPr>
          <w:snapToGrid w:val="0"/>
          <w:lang w:val="fr-CA"/>
        </w:rPr>
        <w:t xml:space="preserve">Le Groupe de travail II a pris note des informations figurant dans le document </w:t>
      </w:r>
      <w:r w:rsidRPr="00FB5668">
        <w:rPr>
          <w:lang w:val="fr-CA"/>
        </w:rPr>
        <w:t>CBD/CP/MOP/11/8/</w:t>
      </w:r>
      <w:proofErr w:type="spellStart"/>
      <w:r w:rsidRPr="00FB5668">
        <w:rPr>
          <w:lang w:val="fr-CA"/>
        </w:rPr>
        <w:t>Rev</w:t>
      </w:r>
      <w:proofErr w:type="spellEnd"/>
      <w:r w:rsidRPr="00FB5668">
        <w:rPr>
          <w:lang w:val="fr-CA"/>
        </w:rPr>
        <w:t>.1</w:t>
      </w:r>
      <w:r w:rsidRPr="00FB5668">
        <w:rPr>
          <w:snapToGrid w:val="0"/>
          <w:lang w:val="fr-CA"/>
        </w:rPr>
        <w:t>.</w:t>
      </w:r>
    </w:p>
    <w:p w:rsidR="0088588B" w:rsidRPr="00FB5668" w:rsidRDefault="0088588B" w:rsidP="0088588B">
      <w:pPr>
        <w:pStyle w:val="CBDAgendaItem"/>
        <w:rPr>
          <w:lang w:val="fr-CA"/>
        </w:rPr>
      </w:pPr>
      <w:r w:rsidRPr="00FB5668">
        <w:rPr>
          <w:lang w:val="fr-CA"/>
        </w:rPr>
        <w:t xml:space="preserve">Point 10 </w:t>
      </w:r>
      <w:r w:rsidRPr="00FB5668">
        <w:rPr>
          <w:lang w:val="fr-CA"/>
        </w:rPr>
        <w:br/>
        <w:t>Examen de l'efficacité des processus établis au titre de la Convention et de ses Protocoles</w:t>
      </w:r>
    </w:p>
    <w:p w:rsidR="006A2906" w:rsidRPr="00FB5668" w:rsidRDefault="006A2906" w:rsidP="00B75CA2">
      <w:pPr>
        <w:pStyle w:val="CBDNormalNumber"/>
        <w:rPr>
          <w:lang w:val="fr-CA"/>
        </w:rPr>
      </w:pPr>
      <w:bookmarkStart w:id="15" w:name="_Hlk181974712"/>
      <w:r w:rsidRPr="00FB5668">
        <w:rPr>
          <w:lang w:val="fr-CA"/>
        </w:rPr>
        <w:t>À sa troisième séance, le Groupe de travail I a examiné le point 10 de l'ordre du jour en liaison avec le point 27 de l'ordre du jour de la seizième réunion de la Conférence des Parties à la Convention et le point 12 de l'ordre du jour de la cinquième réunion de la Conférence des Parties siégeant en tant que réunion des Parties au Protocole de Nagoya. Il était saisi de trois projets de décision : un premier projet sur les options propres à améliorer davantage l'efficacité des processus dans le cadre de la Convention et de ses Protocoles, un deuxième sur les procédures relatives à la tenue de réunions virtuelles et hybrides, et un troisième sur une procédure relative à la prévention et la gestion des conflits d'intérêts au sein des groupes d'experts</w:t>
      </w:r>
      <w:r w:rsidRPr="00FB5668">
        <w:rPr>
          <w:rStyle w:val="FootnoteReference"/>
          <w:lang w:val="fr-CA"/>
        </w:rPr>
        <w:footnoteReference w:id="35"/>
      </w:r>
      <w:r w:rsidRPr="00FB5668">
        <w:rPr>
          <w:lang w:val="fr-CA"/>
        </w:rPr>
        <w:t>.</w:t>
      </w:r>
    </w:p>
    <w:p w:rsidR="006A2906" w:rsidRPr="00FB5668" w:rsidRDefault="006A2906" w:rsidP="00474A1A">
      <w:pPr>
        <w:pStyle w:val="CBDNormalNumber"/>
        <w:rPr>
          <w:lang w:val="fr-CA"/>
        </w:rPr>
      </w:pPr>
      <w:r w:rsidRPr="00FB5668">
        <w:rPr>
          <w:lang w:val="fr-CA"/>
        </w:rPr>
        <w:t xml:space="preserve">La présidente a créé un groupe des amis de la présidence, sous la direction de Joaquín </w:t>
      </w:r>
      <w:proofErr w:type="spellStart"/>
      <w:r w:rsidRPr="00FB5668">
        <w:rPr>
          <w:lang w:val="fr-CA"/>
        </w:rPr>
        <w:t>Salzberg</w:t>
      </w:r>
      <w:proofErr w:type="spellEnd"/>
      <w:r w:rsidRPr="00FB5668">
        <w:rPr>
          <w:lang w:val="fr-CA"/>
        </w:rPr>
        <w:t xml:space="preserve"> (Argentine), ayant pour mandat de mener des discussions et de parvenir à un accord sur les deux premiers projets de décision.</w:t>
      </w:r>
    </w:p>
    <w:p w:rsidR="002D202F" w:rsidRPr="00FB5668" w:rsidRDefault="002D202F" w:rsidP="00060C68">
      <w:pPr>
        <w:pStyle w:val="CBDNormalNumber"/>
        <w:keepNext/>
        <w:numPr>
          <w:ilvl w:val="0"/>
          <w:numId w:val="0"/>
        </w:numPr>
        <w:spacing w:before="240"/>
        <w:ind w:left="567"/>
        <w:jc w:val="left"/>
        <w:rPr>
          <w:rFonts w:asciiTheme="majorBidi" w:eastAsia="MS Mincho" w:hAnsiTheme="majorBidi" w:cstheme="majorBidi"/>
          <w:i/>
          <w:iCs/>
          <w:color w:val="000000"/>
          <w:kern w:val="22"/>
          <w:lang w:val="fr-CA"/>
        </w:rPr>
      </w:pPr>
      <w:r w:rsidRPr="00FB5668">
        <w:rPr>
          <w:rFonts w:asciiTheme="majorBidi" w:eastAsia="MS Mincho" w:hAnsiTheme="majorBidi" w:cstheme="majorBidi"/>
          <w:i/>
          <w:iCs/>
          <w:color w:val="000000"/>
          <w:kern w:val="22"/>
          <w:lang w:val="fr-CA"/>
        </w:rPr>
        <w:t>Options propres à améliorer davantage l'efficacité des processus dans le cadre de la Convention et de ses Protocoles</w:t>
      </w:r>
    </w:p>
    <w:p w:rsidR="000F1F57" w:rsidRPr="00FB5668" w:rsidRDefault="000F1F57" w:rsidP="000F1F57">
      <w:pPr>
        <w:pStyle w:val="CBDNormalNumber"/>
        <w:spacing w:before="0"/>
        <w:rPr>
          <w:lang w:val="fr-CA"/>
        </w:rPr>
      </w:pPr>
      <w:bookmarkStart w:id="16" w:name="_Hlk182075790"/>
      <w:r w:rsidRPr="00FB5668">
        <w:rPr>
          <w:lang w:val="fr-CA"/>
        </w:rPr>
        <w:t>À sa cinquième session, le Groupe de travail I a examiné un projet de décision soumis par la présidente suite aux discussions du groupe des amis de la présidence.</w:t>
      </w:r>
    </w:p>
    <w:p w:rsidR="000F1F57" w:rsidRPr="00FB5668" w:rsidRDefault="000F1F57" w:rsidP="000F1F57">
      <w:pPr>
        <w:pStyle w:val="CBDNormalNumber"/>
        <w:spacing w:before="0"/>
        <w:rPr>
          <w:lang w:val="fr-CA"/>
        </w:rPr>
      </w:pPr>
      <w:r w:rsidRPr="00FB5668">
        <w:rPr>
          <w:lang w:val="fr-CA"/>
        </w:rPr>
        <w:t>Des déclarations ont été faites par les représentants des Parties suivantes : Brésil, Royaume-Uni, Union européenne et ses États membres.</w:t>
      </w:r>
    </w:p>
    <w:p w:rsidR="004631EB" w:rsidRPr="00FB5668" w:rsidRDefault="004631EB" w:rsidP="000F1F57">
      <w:pPr>
        <w:pStyle w:val="CBDNormalNumber"/>
        <w:spacing w:before="0"/>
        <w:rPr>
          <w:lang w:val="fr-CA"/>
        </w:rPr>
      </w:pPr>
      <w:r w:rsidRPr="00FB5668">
        <w:rPr>
          <w:lang w:val="fr-CA"/>
        </w:rPr>
        <w:t xml:space="preserve">Une déclaration a également été faite par un représentant de la non-Partie suivante : Fédération de Russie </w:t>
      </w:r>
    </w:p>
    <w:p w:rsidR="000F1F57" w:rsidRPr="00FB5668" w:rsidRDefault="000F1F57" w:rsidP="000F1F57">
      <w:pPr>
        <w:pStyle w:val="CBDNormalNumber"/>
        <w:spacing w:before="0"/>
        <w:rPr>
          <w:lang w:val="fr-CA"/>
        </w:rPr>
      </w:pPr>
      <w:r w:rsidRPr="00FB5668">
        <w:rPr>
          <w:bCs/>
          <w:lang w:val="fr-CA"/>
        </w:rPr>
        <w:t xml:space="preserve">Le Groupe de travail I a approuvé le projet de décision </w:t>
      </w:r>
      <w:r w:rsidRPr="00FB5668">
        <w:rPr>
          <w:lang w:val="fr-CA"/>
        </w:rPr>
        <w:t xml:space="preserve">et a décidé de le soumettre pour examen en séance plénière sous la cote </w:t>
      </w:r>
      <w:r w:rsidRPr="00FB5668">
        <w:rPr>
          <w:rFonts w:asciiTheme="majorBidi" w:hAnsiTheme="majorBidi" w:cstheme="majorBidi"/>
          <w:lang w:val="fr-CA"/>
        </w:rPr>
        <w:t>CBD/CP/MOP/11/L.10.</w:t>
      </w:r>
    </w:p>
    <w:p w:rsidR="002D202F" w:rsidRPr="00FB5668" w:rsidRDefault="002D202F" w:rsidP="002D202F">
      <w:pPr>
        <w:pStyle w:val="CBDNormalNumber"/>
        <w:rPr>
          <w:snapToGrid w:val="0"/>
          <w:lang w:val="fr-CA" w:eastAsia="en-CA"/>
        </w:rPr>
      </w:pPr>
      <w:r w:rsidRPr="00FB5668">
        <w:rPr>
          <w:lang w:val="fr-CA"/>
        </w:rPr>
        <w:t xml:space="preserve">À sa cinquième séance plénière, la Conférence des Parties siégeant en tant que réunion des Parties au Protocole a examiné le projet de décision CBD/CP/MOP/11/L.10, présenté par la présidente du Groupe de travail I, et l’a adopté en tant que décision </w:t>
      </w:r>
      <w:hyperlink r:id="rId23" w:history="1">
        <w:r w:rsidRPr="00FB5668">
          <w:rPr>
            <w:rStyle w:val="Hyperlink"/>
            <w:lang w:val="fr-CA"/>
          </w:rPr>
          <w:t>CP-11/5</w:t>
        </w:r>
      </w:hyperlink>
      <w:r w:rsidRPr="00FB5668">
        <w:rPr>
          <w:lang w:val="fr-CA"/>
        </w:rPr>
        <w:t>.</w:t>
      </w:r>
    </w:p>
    <w:p w:rsidR="002D202F" w:rsidRPr="00FB5668" w:rsidRDefault="002D202F" w:rsidP="00060C68">
      <w:pPr>
        <w:pStyle w:val="CBDNormalNumber"/>
        <w:keepNext/>
        <w:numPr>
          <w:ilvl w:val="0"/>
          <w:numId w:val="0"/>
        </w:numPr>
        <w:spacing w:before="240"/>
        <w:ind w:left="567"/>
        <w:jc w:val="left"/>
        <w:rPr>
          <w:rFonts w:asciiTheme="majorBidi" w:eastAsia="MS Mincho" w:hAnsiTheme="majorBidi" w:cstheme="majorBidi"/>
          <w:i/>
          <w:iCs/>
          <w:color w:val="000000"/>
          <w:kern w:val="22"/>
          <w:lang w:val="fr-CA"/>
        </w:rPr>
      </w:pPr>
      <w:r w:rsidRPr="00FB5668">
        <w:rPr>
          <w:rFonts w:asciiTheme="majorBidi" w:eastAsia="MS Mincho" w:hAnsiTheme="majorBidi" w:cstheme="majorBidi"/>
          <w:i/>
          <w:iCs/>
          <w:color w:val="000000"/>
          <w:kern w:val="22"/>
          <w:lang w:val="fr-CA"/>
        </w:rPr>
        <w:t>Procédures relatives à la tenue de réunions virtuelles et hybrides</w:t>
      </w:r>
    </w:p>
    <w:p w:rsidR="00C81CDF" w:rsidRPr="00FB5668" w:rsidRDefault="00C81CDF" w:rsidP="00C81CDF">
      <w:pPr>
        <w:pStyle w:val="CBDNormalNumber"/>
        <w:spacing w:before="0"/>
        <w:rPr>
          <w:lang w:val="fr-CA"/>
        </w:rPr>
      </w:pPr>
      <w:r w:rsidRPr="00FB5668">
        <w:rPr>
          <w:lang w:val="fr-CA"/>
        </w:rPr>
        <w:t>À sa cinquième session, le Groupe de travail I a examiné un projet de décision soumis par la présidente suite aux discussions du groupe des amis de la présidence.</w:t>
      </w:r>
    </w:p>
    <w:p w:rsidR="00C81CDF" w:rsidRPr="00FB5668" w:rsidRDefault="00C81CDF" w:rsidP="00C81CDF">
      <w:pPr>
        <w:pStyle w:val="CBDNormalNumber"/>
        <w:spacing w:before="0"/>
        <w:rPr>
          <w:lang w:val="fr-CA"/>
        </w:rPr>
      </w:pPr>
      <w:r w:rsidRPr="00FB5668">
        <w:rPr>
          <w:lang w:val="fr-CA"/>
        </w:rPr>
        <w:t>Une déclaration a été faite par un représentant de la non-Partie suivante : Argentine.</w:t>
      </w:r>
    </w:p>
    <w:p w:rsidR="00C81CDF" w:rsidRPr="00FB5668" w:rsidRDefault="00C81CDF" w:rsidP="00C81CDF">
      <w:pPr>
        <w:pStyle w:val="CBDNormalNumber"/>
        <w:spacing w:before="0"/>
        <w:rPr>
          <w:lang w:val="fr-CA"/>
        </w:rPr>
      </w:pPr>
      <w:r w:rsidRPr="00FB5668">
        <w:rPr>
          <w:bCs/>
          <w:lang w:val="fr-CA"/>
        </w:rPr>
        <w:lastRenderedPageBreak/>
        <w:t>Le Groupe de travail I a approuvé le projet de décision et a décidé de le soumettre pour examen en séance plénière sous la cote</w:t>
      </w:r>
      <w:r w:rsidRPr="00FB5668">
        <w:rPr>
          <w:lang w:val="fr-CA"/>
        </w:rPr>
        <w:t xml:space="preserve"> </w:t>
      </w:r>
      <w:r w:rsidRPr="00FB5668">
        <w:rPr>
          <w:rFonts w:asciiTheme="majorBidi" w:hAnsiTheme="majorBidi" w:cstheme="majorBidi"/>
          <w:lang w:val="fr-CA"/>
        </w:rPr>
        <w:t>CBD/CP/MOP/11/L.9.</w:t>
      </w:r>
    </w:p>
    <w:p w:rsidR="002D202F" w:rsidRPr="00FB5668" w:rsidRDefault="002D202F" w:rsidP="002D202F">
      <w:pPr>
        <w:pStyle w:val="CBDNormalNumber"/>
        <w:rPr>
          <w:snapToGrid w:val="0"/>
          <w:lang w:val="fr-CA" w:eastAsia="en-CA"/>
        </w:rPr>
      </w:pPr>
      <w:r w:rsidRPr="00FB5668">
        <w:rPr>
          <w:lang w:val="fr-CA"/>
        </w:rPr>
        <w:t xml:space="preserve">À sa cinquième séance plénière, la Conférence des Parties siégeant en tant que réunion des Parties au Protocole a examiné le projet de décision CBD/CP/MOP/11/L.9, présenté par la présidente du Groupe de </w:t>
      </w:r>
      <w:proofErr w:type="spellStart"/>
      <w:r w:rsidRPr="00FB5668">
        <w:rPr>
          <w:lang w:val="fr-CA"/>
        </w:rPr>
        <w:t>travail°I</w:t>
      </w:r>
      <w:proofErr w:type="spellEnd"/>
      <w:r w:rsidRPr="00FB5668">
        <w:rPr>
          <w:lang w:val="fr-CA"/>
        </w:rPr>
        <w:t>, et l’a adopté en tant que décision</w:t>
      </w:r>
      <w:r w:rsidR="00E50417" w:rsidRPr="00FB5668">
        <w:rPr>
          <w:lang w:val="fr-CA"/>
        </w:rPr>
        <w:t xml:space="preserve"> </w:t>
      </w:r>
      <w:hyperlink r:id="rId24" w:history="1">
        <w:r w:rsidRPr="00FB5668">
          <w:rPr>
            <w:rStyle w:val="Hyperlink"/>
            <w:lang w:val="fr-CA"/>
          </w:rPr>
          <w:t>CP-11/4</w:t>
        </w:r>
      </w:hyperlink>
      <w:r w:rsidRPr="00FB5668">
        <w:rPr>
          <w:lang w:val="fr-CA"/>
        </w:rPr>
        <w:t>.</w:t>
      </w:r>
    </w:p>
    <w:p w:rsidR="002D202F" w:rsidRPr="00FB5668" w:rsidRDefault="002D202F" w:rsidP="00060C68">
      <w:pPr>
        <w:pStyle w:val="CBDNormalNumber"/>
        <w:keepNext/>
        <w:numPr>
          <w:ilvl w:val="0"/>
          <w:numId w:val="0"/>
        </w:numPr>
        <w:spacing w:before="240"/>
        <w:ind w:left="567"/>
        <w:jc w:val="left"/>
        <w:rPr>
          <w:rFonts w:asciiTheme="majorBidi" w:eastAsia="MS Mincho" w:hAnsiTheme="majorBidi" w:cstheme="majorBidi"/>
          <w:i/>
          <w:iCs/>
          <w:color w:val="000000"/>
          <w:kern w:val="22"/>
          <w:lang w:val="fr-CA"/>
        </w:rPr>
      </w:pPr>
      <w:r w:rsidRPr="00FB5668">
        <w:rPr>
          <w:rFonts w:asciiTheme="majorBidi" w:eastAsia="MS Mincho" w:hAnsiTheme="majorBidi" w:cstheme="majorBidi"/>
          <w:i/>
          <w:iCs/>
          <w:color w:val="000000"/>
          <w:kern w:val="22"/>
          <w:lang w:val="fr-CA"/>
        </w:rPr>
        <w:t>Procédure relative à la prévention et la gestion des conflits d'intérêts au sein des groupes d'experts</w:t>
      </w:r>
    </w:p>
    <w:p w:rsidR="00252AE4" w:rsidRPr="00FB5668" w:rsidRDefault="00252AE4" w:rsidP="00252AE4">
      <w:pPr>
        <w:pStyle w:val="CBDNormalNumber"/>
        <w:spacing w:before="0"/>
        <w:rPr>
          <w:lang w:val="fr-CA"/>
        </w:rPr>
      </w:pPr>
      <w:r w:rsidRPr="00FB5668">
        <w:rPr>
          <w:lang w:val="fr-CA"/>
        </w:rPr>
        <w:t>En ce qui concerne le troisième projet de décision, le Groupe de travail I est convenu que la présidente élaborerait un projet de décision révisé et le soumettrait au Groupe pour examen.</w:t>
      </w:r>
    </w:p>
    <w:p w:rsidR="00252AE4" w:rsidRPr="00FB5668" w:rsidRDefault="00252AE4" w:rsidP="00252AE4">
      <w:pPr>
        <w:pStyle w:val="CBDNormalNumber"/>
        <w:spacing w:before="0"/>
        <w:rPr>
          <w:lang w:val="fr-CA"/>
        </w:rPr>
      </w:pPr>
      <w:r w:rsidRPr="00FB5668">
        <w:rPr>
          <w:lang w:val="fr-CA"/>
        </w:rPr>
        <w:t>À sa cinquième séance, le Groupe de travail I a examiné un projet de décision soumis par la présidente.</w:t>
      </w:r>
    </w:p>
    <w:p w:rsidR="00252AE4" w:rsidRPr="00FB5668" w:rsidRDefault="00252AE4" w:rsidP="00252AE4">
      <w:pPr>
        <w:pStyle w:val="CBDNormalNumber"/>
        <w:spacing w:before="0"/>
        <w:rPr>
          <w:lang w:val="fr-CA"/>
        </w:rPr>
      </w:pPr>
      <w:r w:rsidRPr="00FB5668">
        <w:rPr>
          <w:lang w:val="fr-CA"/>
        </w:rPr>
        <w:t>Des déclarations ont été faites par des représentants des Parties suivantes : Bolivie (État plurinational de), Brésil, Guatemala, Norvège, République démocratique du Congo, République unie de Tanzanie et Union européenne et ses États membres.</w:t>
      </w:r>
    </w:p>
    <w:p w:rsidR="00993FF5" w:rsidRPr="00FB5668" w:rsidRDefault="00993FF5" w:rsidP="00252AE4">
      <w:pPr>
        <w:pStyle w:val="CBDNormalNumber"/>
        <w:spacing w:before="0"/>
        <w:rPr>
          <w:lang w:val="fr-CA"/>
        </w:rPr>
      </w:pPr>
      <w:r w:rsidRPr="00FB5668">
        <w:rPr>
          <w:lang w:val="fr-CA"/>
        </w:rPr>
        <w:t>Les représentants des non-Parties suivantes ont également fait des déclarations : Argentine et Canada.</w:t>
      </w:r>
    </w:p>
    <w:p w:rsidR="00252AE4" w:rsidRPr="00FB5668" w:rsidRDefault="00252AE4" w:rsidP="00252AE4">
      <w:pPr>
        <w:pStyle w:val="CBDNormalNumber"/>
        <w:spacing w:before="0"/>
        <w:rPr>
          <w:lang w:val="fr-CA"/>
        </w:rPr>
      </w:pPr>
      <w:r w:rsidRPr="00FB5668">
        <w:rPr>
          <w:bCs/>
          <w:lang w:val="fr-CA"/>
        </w:rPr>
        <w:t>Le Groupe de travail I a approuvé le projet de décision et a décidé de le soumettre pour examen en séance plénière sous la cote</w:t>
      </w:r>
      <w:r w:rsidRPr="00FB5668">
        <w:rPr>
          <w:lang w:val="fr-CA"/>
        </w:rPr>
        <w:t xml:space="preserve"> </w:t>
      </w:r>
      <w:r w:rsidRPr="00FB5668">
        <w:rPr>
          <w:rFonts w:asciiTheme="majorBidi" w:hAnsiTheme="majorBidi" w:cstheme="majorBidi"/>
          <w:lang w:val="fr-CA"/>
        </w:rPr>
        <w:t>CBD/CP/MOP/11/L.11.</w:t>
      </w:r>
    </w:p>
    <w:p w:rsidR="002D202F" w:rsidRPr="00FB5668" w:rsidRDefault="002D202F" w:rsidP="002D202F">
      <w:pPr>
        <w:pStyle w:val="CBDNormalNumber"/>
        <w:rPr>
          <w:snapToGrid w:val="0"/>
          <w:lang w:val="fr-CA" w:eastAsia="en-CA"/>
        </w:rPr>
      </w:pPr>
      <w:r w:rsidRPr="00FB5668">
        <w:rPr>
          <w:lang w:val="fr-CA"/>
        </w:rPr>
        <w:t xml:space="preserve">À sa cinquième séance plénière, la Conférence des Parties siégeant en tant que réunion des Parties au Protocole a examiné le projet de décision CBD/CP/MOP/11/L.11, soumis par la présidente du Groupe de travail I, et l’a adopté en tant que décision </w:t>
      </w:r>
      <w:hyperlink r:id="rId25" w:history="1">
        <w:r w:rsidRPr="00FB5668">
          <w:rPr>
            <w:rStyle w:val="Hyperlink"/>
            <w:lang w:val="fr-CA"/>
          </w:rPr>
          <w:t>CP-11/6</w:t>
        </w:r>
      </w:hyperlink>
      <w:r w:rsidRPr="00FB5668">
        <w:rPr>
          <w:lang w:val="fr-CA"/>
        </w:rPr>
        <w:t>.</w:t>
      </w:r>
    </w:p>
    <w:p w:rsidR="00620D2D" w:rsidRPr="00FB5668" w:rsidRDefault="00620D2D" w:rsidP="00620D2D">
      <w:pPr>
        <w:pStyle w:val="CBDAgendaItem"/>
        <w:rPr>
          <w:lang w:val="fr-CA"/>
        </w:rPr>
      </w:pPr>
      <w:bookmarkStart w:id="17" w:name="_Hlk180940739"/>
      <w:bookmarkEnd w:id="15"/>
      <w:bookmarkEnd w:id="16"/>
      <w:r w:rsidRPr="00FB5668">
        <w:rPr>
          <w:lang w:val="fr-CA"/>
        </w:rPr>
        <w:t xml:space="preserve">Point 11 </w:t>
      </w:r>
      <w:r w:rsidRPr="00FB5668">
        <w:rPr>
          <w:lang w:val="fr-CA"/>
        </w:rPr>
        <w:br/>
        <w:t>Évaluation des risques et gestion des risques</w:t>
      </w:r>
    </w:p>
    <w:p w:rsidR="000D4E61" w:rsidRPr="00FB5668" w:rsidRDefault="000D4E61" w:rsidP="00080541">
      <w:pPr>
        <w:pStyle w:val="CBDNormalNumber"/>
        <w:rPr>
          <w:lang w:val="fr-CA"/>
        </w:rPr>
      </w:pPr>
      <w:r w:rsidRPr="00FB5668">
        <w:rPr>
          <w:lang w:val="fr-CA"/>
        </w:rPr>
        <w:t>À sa deuxième séance, le Groupe de travail II a examiné le point 11 de l'ordre du jour. Il était saisi d’un projet de décision</w:t>
      </w:r>
      <w:r w:rsidRPr="00FB5668">
        <w:rPr>
          <w:rStyle w:val="FootnoteReference"/>
          <w:lang w:val="fr-CA"/>
        </w:rPr>
        <w:footnoteReference w:id="36"/>
      </w:r>
      <w:r w:rsidRPr="00FB5668">
        <w:rPr>
          <w:lang w:val="fr-CA"/>
        </w:rPr>
        <w:t xml:space="preserve"> et d’une note du Secrétariat sur des documents d’orientation facultatives supplémentaires à l’appui de l’évaluation des risques au cas par cas des organismes vivants modifiés issus du forçage génétique</w:t>
      </w:r>
      <w:r w:rsidRPr="00FB5668">
        <w:rPr>
          <w:rStyle w:val="FootnoteReference"/>
          <w:lang w:val="fr-CA"/>
        </w:rPr>
        <w:footnoteReference w:id="37"/>
      </w:r>
      <w:r w:rsidRPr="00FB5668">
        <w:rPr>
          <w:lang w:val="fr-CA"/>
        </w:rPr>
        <w:t>.</w:t>
      </w:r>
    </w:p>
    <w:p w:rsidR="000D4E61" w:rsidRPr="00FB5668" w:rsidRDefault="000D4E61" w:rsidP="00B67283">
      <w:pPr>
        <w:pStyle w:val="CBDNormalNumber"/>
        <w:rPr>
          <w:lang w:val="fr-CA"/>
        </w:rPr>
      </w:pPr>
      <w:r w:rsidRPr="00FB5668">
        <w:rPr>
          <w:lang w:val="fr-CA"/>
        </w:rPr>
        <w:t>Des déclarations ont été faites par les représentants des Parties suivantes : Brésil, Burkina Faso, Colombie, Égypte, Équateur, Inde, Kenya, Malawi (au nom des États d'Afrique), Norvège, Nouvelle-Zélande, Ouganda, Panama, Rwanda, Suriname, Union européenne et ses États membres, et Zambie.</w:t>
      </w:r>
    </w:p>
    <w:p w:rsidR="000D4E61" w:rsidRPr="00FB5668" w:rsidRDefault="000D4E61" w:rsidP="00B67283">
      <w:pPr>
        <w:pStyle w:val="CBDNormalNumber"/>
        <w:rPr>
          <w:lang w:val="fr-CA"/>
        </w:rPr>
      </w:pPr>
      <w:r w:rsidRPr="00FB5668">
        <w:rPr>
          <w:lang w:val="fr-CA"/>
        </w:rPr>
        <w:t xml:space="preserve">Le Groupe de travail II est convenu d’établir un groupe de contact, coprésidé par </w:t>
      </w:r>
      <w:proofErr w:type="spellStart"/>
      <w:r w:rsidRPr="00FB5668">
        <w:rPr>
          <w:lang w:val="fr-CA"/>
        </w:rPr>
        <w:t>Marja</w:t>
      </w:r>
      <w:proofErr w:type="spellEnd"/>
      <w:r w:rsidRPr="00FB5668">
        <w:rPr>
          <w:lang w:val="fr-CA"/>
        </w:rPr>
        <w:t xml:space="preserve"> </w:t>
      </w:r>
      <w:proofErr w:type="spellStart"/>
      <w:r w:rsidRPr="00FB5668">
        <w:rPr>
          <w:lang w:val="fr-CA"/>
        </w:rPr>
        <w:t>Ruohonen</w:t>
      </w:r>
      <w:proofErr w:type="spellEnd"/>
      <w:r w:rsidRPr="00FB5668">
        <w:rPr>
          <w:lang w:val="fr-CA"/>
        </w:rPr>
        <w:t>-</w:t>
      </w:r>
      <w:proofErr w:type="spellStart"/>
      <w:r w:rsidRPr="00FB5668">
        <w:rPr>
          <w:lang w:val="fr-CA"/>
        </w:rPr>
        <w:t>Lehto</w:t>
      </w:r>
      <w:proofErr w:type="spellEnd"/>
      <w:r w:rsidRPr="00FB5668">
        <w:rPr>
          <w:lang w:val="fr-CA"/>
        </w:rPr>
        <w:t xml:space="preserve"> (Finlande) et Martha </w:t>
      </w:r>
      <w:proofErr w:type="spellStart"/>
      <w:r w:rsidRPr="00FB5668">
        <w:rPr>
          <w:lang w:val="fr-CA"/>
        </w:rPr>
        <w:t>Kandawa</w:t>
      </w:r>
      <w:proofErr w:type="spellEnd"/>
      <w:r w:rsidRPr="00FB5668">
        <w:rPr>
          <w:lang w:val="fr-CA"/>
        </w:rPr>
        <w:t xml:space="preserve">-Schulz (Namibie), qui serait chargé de résoudre les divergences de vues sur la question de l’élaboration de documents d’orientation à l’appui des évaluations des risques au cas par cas pour les poissons vivants modifiés, en se concentrant sur les paragraphes 7 à 10 et 15 c) à 15 f) du projet de décision et sur l’annexe au projet de décision, ainsi que, si le temps le permet, de se pencher sur les libellés figurant entre crochets dans le texte. </w:t>
      </w:r>
    </w:p>
    <w:p w:rsidR="000D4E61" w:rsidRPr="00FB5668" w:rsidRDefault="000D4E61" w:rsidP="00B67283">
      <w:pPr>
        <w:pStyle w:val="CBDNormalNumber"/>
        <w:rPr>
          <w:lang w:val="fr-CA"/>
        </w:rPr>
      </w:pPr>
      <w:r w:rsidRPr="00FB5668">
        <w:rPr>
          <w:lang w:val="fr-CA"/>
        </w:rPr>
        <w:t>À sa septième séance, le Groupe de travail II a examiné le projet de décision révisé soumis par le président à la suite d’une discussion tenue au sein du groupe de contact.</w:t>
      </w:r>
    </w:p>
    <w:p w:rsidR="000D4E61" w:rsidRPr="00FB5668" w:rsidRDefault="000D4E61" w:rsidP="00B67283">
      <w:pPr>
        <w:pStyle w:val="CBDNormalNumber"/>
        <w:rPr>
          <w:lang w:val="fr-CA"/>
        </w:rPr>
      </w:pPr>
      <w:r w:rsidRPr="00FB5668">
        <w:rPr>
          <w:lang w:val="fr-CA"/>
        </w:rPr>
        <w:t>Le Groupe de travail II a approuvé le projet de décision révisé et a décidé de le soumettre pour examen en séance plénière sous la cote CBD/CP/MOP/11/L.6.</w:t>
      </w:r>
    </w:p>
    <w:p w:rsidR="006D6C59" w:rsidRPr="00FB5668" w:rsidRDefault="007F53D7" w:rsidP="00B67283">
      <w:pPr>
        <w:pStyle w:val="CBDNormalNumber"/>
        <w:rPr>
          <w:lang w:val="fr-CA"/>
        </w:rPr>
      </w:pPr>
      <w:r w:rsidRPr="00FB5668">
        <w:rPr>
          <w:lang w:val="fr-CA"/>
        </w:rPr>
        <w:lastRenderedPageBreak/>
        <w:t xml:space="preserve">À sa troisième séance plénière, la Conférence des Parties siégeant en tant que réunion des Parties au Protocole a examiné le projet de décision CBD/CP/MOP/11/L.6, soumis par le président du Groupe de travail II, et l'a adopté en tant que décision </w:t>
      </w:r>
      <w:hyperlink r:id="rId26" w:history="1">
        <w:r w:rsidRPr="00FB5668">
          <w:rPr>
            <w:rStyle w:val="Hyperlink"/>
            <w:lang w:val="fr-CA"/>
          </w:rPr>
          <w:t>CP-11/7</w:t>
        </w:r>
      </w:hyperlink>
      <w:r w:rsidRPr="00FB5668">
        <w:rPr>
          <w:lang w:val="fr-CA"/>
        </w:rPr>
        <w:t>.</w:t>
      </w:r>
    </w:p>
    <w:p w:rsidR="00620D2D" w:rsidRPr="00FB5668" w:rsidRDefault="00620D2D" w:rsidP="00620D2D">
      <w:pPr>
        <w:pStyle w:val="CBDAgendaItem"/>
        <w:rPr>
          <w:lang w:val="fr-CA"/>
        </w:rPr>
      </w:pPr>
      <w:r w:rsidRPr="00FB5668">
        <w:rPr>
          <w:lang w:val="fr-CA"/>
        </w:rPr>
        <w:t xml:space="preserve">Point 12 </w:t>
      </w:r>
      <w:r w:rsidRPr="00FB5668">
        <w:rPr>
          <w:lang w:val="fr-CA"/>
        </w:rPr>
        <w:br/>
        <w:t>Détection et identification des organismes vivants modifiés</w:t>
      </w:r>
    </w:p>
    <w:p w:rsidR="006839F0" w:rsidRPr="00FB5668" w:rsidRDefault="006839F0" w:rsidP="006839F0">
      <w:pPr>
        <w:pStyle w:val="CBDNormalNumber"/>
        <w:spacing w:before="0"/>
        <w:rPr>
          <w:lang w:val="fr-CA"/>
        </w:rPr>
      </w:pPr>
      <w:r w:rsidRPr="00FB5668">
        <w:rPr>
          <w:lang w:val="fr-CA"/>
        </w:rPr>
        <w:t>À sa deuxième séance, le Groupe de travail II a examiné le point 12 de l'ordre du jour. Il était saisi d'un projet de décision</w:t>
      </w:r>
      <w:r w:rsidRPr="00FB5668">
        <w:rPr>
          <w:rStyle w:val="FootnoteReference"/>
          <w:lang w:val="fr-CA"/>
        </w:rPr>
        <w:footnoteReference w:id="38"/>
      </w:r>
      <w:r w:rsidRPr="00FB5668">
        <w:rPr>
          <w:lang w:val="fr-CA"/>
        </w:rPr>
        <w:t xml:space="preserve">. </w:t>
      </w:r>
    </w:p>
    <w:p w:rsidR="006839F0" w:rsidRPr="00FB5668" w:rsidRDefault="006839F0" w:rsidP="006839F0">
      <w:pPr>
        <w:pStyle w:val="CBDNormalNumber"/>
        <w:spacing w:before="0"/>
        <w:rPr>
          <w:lang w:val="fr-CA"/>
        </w:rPr>
      </w:pPr>
      <w:r w:rsidRPr="00FB5668">
        <w:rPr>
          <w:lang w:val="fr-CA"/>
        </w:rPr>
        <w:t>Le Groupe de travail II est convenu que le président élaborerait un projet de décision révisé, avec l’aide du Secrétariat et en menant des consultations informelles avec les Parties, le cas échéant, et le soumettrait au Groupe pour examen.</w:t>
      </w:r>
    </w:p>
    <w:p w:rsidR="006839F0" w:rsidRPr="00FB5668" w:rsidRDefault="006839F0" w:rsidP="006839F0">
      <w:pPr>
        <w:pStyle w:val="CBDNormalNumber"/>
        <w:spacing w:before="0"/>
        <w:rPr>
          <w:rFonts w:asciiTheme="majorBidi" w:hAnsiTheme="majorBidi" w:cstheme="majorBidi"/>
          <w:lang w:val="fr-CA"/>
        </w:rPr>
      </w:pPr>
      <w:r w:rsidRPr="00FB5668">
        <w:rPr>
          <w:lang w:val="fr-CA"/>
        </w:rPr>
        <w:t>À sa sixième séance, le Groupe de travail II a examiné un projet de décision soumis par le président.</w:t>
      </w:r>
    </w:p>
    <w:p w:rsidR="006839F0" w:rsidRPr="00FB5668" w:rsidRDefault="006839F0" w:rsidP="006839F0">
      <w:pPr>
        <w:pStyle w:val="CBDNormalNumber"/>
        <w:spacing w:before="0"/>
        <w:rPr>
          <w:lang w:val="fr-CA"/>
        </w:rPr>
      </w:pPr>
      <w:r w:rsidRPr="00FB5668">
        <w:rPr>
          <w:lang w:val="fr-CA"/>
        </w:rPr>
        <w:t>115.</w:t>
      </w:r>
      <w:r w:rsidRPr="00FB5668">
        <w:rPr>
          <w:lang w:val="fr-CA"/>
        </w:rPr>
        <w:tab/>
        <w:t xml:space="preserve"> Des déclarations ont été faites par des représentants des Parties suivantes : Brésil, Cameroun, Colombie, Costa Rica, Guatemala, Inde, Kenya, Malaisie, Malawi, Mexique, Norvège, Nouvelle-Zélande, Ouganda, Panama, Paraguay, Pérou, République de Moldova, Royaume-Uni, Union européenne et ses États membres et Uruguay. </w:t>
      </w:r>
    </w:p>
    <w:p w:rsidR="006839F0" w:rsidRPr="00FB5668" w:rsidRDefault="006839F0" w:rsidP="006839F0">
      <w:pPr>
        <w:pStyle w:val="CBDNormalNumber"/>
        <w:spacing w:before="0"/>
        <w:rPr>
          <w:lang w:val="fr-CA"/>
        </w:rPr>
      </w:pPr>
      <w:r w:rsidRPr="00FB5668">
        <w:rPr>
          <w:lang w:val="fr-CA"/>
        </w:rPr>
        <w:t xml:space="preserve">À sa septième séance, le Groupe de travail II a poursuivi son examen du projet de décision révisé. </w:t>
      </w:r>
    </w:p>
    <w:p w:rsidR="006839F0" w:rsidRPr="00FB5668" w:rsidRDefault="006839F0" w:rsidP="006839F0">
      <w:pPr>
        <w:pStyle w:val="CBDNormalNumber"/>
        <w:spacing w:before="0"/>
        <w:rPr>
          <w:lang w:val="fr-CA"/>
        </w:rPr>
      </w:pPr>
      <w:r w:rsidRPr="00FB5668">
        <w:rPr>
          <w:lang w:val="fr-CA"/>
        </w:rPr>
        <w:t>Des déclarations ont été faites par des représentants des Parties suivantes : Brésil, Colombie, Inde, Rwanda, Togo, Union européenne et ses États membres et Uruguay.</w:t>
      </w:r>
    </w:p>
    <w:p w:rsidR="006D6C59" w:rsidRPr="00FB5668" w:rsidRDefault="006839F0" w:rsidP="006839F0">
      <w:pPr>
        <w:pStyle w:val="CBDNormalNumber"/>
        <w:spacing w:before="0"/>
        <w:rPr>
          <w:lang w:val="fr-CA"/>
        </w:rPr>
      </w:pPr>
      <w:r w:rsidRPr="00FB5668">
        <w:rPr>
          <w:lang w:val="fr-CA"/>
        </w:rPr>
        <w:t>Le Groupe de travail II a approuvé le projet de décision révisé, tel que modifié oralement, et a décidé de le soumettre pour examen en séance plénière sous la cote CBD/CP/MOP/11/L.5.</w:t>
      </w:r>
    </w:p>
    <w:p w:rsidR="00FA3B06" w:rsidRPr="00FB5668" w:rsidRDefault="00AE4F18" w:rsidP="006839F0">
      <w:pPr>
        <w:pStyle w:val="CBDNormalNumber"/>
        <w:spacing w:before="0"/>
        <w:rPr>
          <w:lang w:val="fr-CA"/>
        </w:rPr>
      </w:pPr>
      <w:r w:rsidRPr="00FB5668">
        <w:rPr>
          <w:lang w:val="fr-CA"/>
        </w:rPr>
        <w:t xml:space="preserve">À sa troisième séance plénière, la Conférence des Parties siégeant en tant que réunion des Parties au Protocole a examiné le projet de décision CBD/CP/MOP/11/L.5, soumis par le président du Groupe de travail II, et l'a adopté en tant que décision </w:t>
      </w:r>
      <w:hyperlink r:id="rId27" w:history="1">
        <w:r w:rsidRPr="00FB5668">
          <w:rPr>
            <w:rStyle w:val="Hyperlink"/>
            <w:lang w:val="fr-CA"/>
          </w:rPr>
          <w:t>CP-11/8</w:t>
        </w:r>
      </w:hyperlink>
      <w:r w:rsidRPr="00FB5668">
        <w:rPr>
          <w:lang w:val="fr-CA"/>
        </w:rPr>
        <w:t>.</w:t>
      </w:r>
    </w:p>
    <w:p w:rsidR="00125A40" w:rsidRPr="00FB5668" w:rsidRDefault="00125A40" w:rsidP="00125A40">
      <w:pPr>
        <w:pStyle w:val="CBDAgendaItem"/>
        <w:rPr>
          <w:lang w:val="fr-CA"/>
        </w:rPr>
      </w:pPr>
      <w:r w:rsidRPr="00FB5668">
        <w:rPr>
          <w:lang w:val="fr-CA"/>
        </w:rPr>
        <w:t xml:space="preserve">Point 13 </w:t>
      </w:r>
      <w:r w:rsidRPr="00FB5668">
        <w:rPr>
          <w:lang w:val="fr-CA"/>
        </w:rPr>
        <w:br/>
        <w:t>Considérations socio-économiques</w:t>
      </w:r>
    </w:p>
    <w:p w:rsidR="00022AA4" w:rsidRPr="00FB5668" w:rsidRDefault="00022AA4" w:rsidP="00022AA4">
      <w:pPr>
        <w:pStyle w:val="CBDNormalNumber"/>
        <w:spacing w:before="0"/>
        <w:rPr>
          <w:lang w:val="fr-CA"/>
        </w:rPr>
      </w:pPr>
      <w:r w:rsidRPr="00FB5668">
        <w:rPr>
          <w:lang w:val="fr-CA"/>
        </w:rPr>
        <w:t>À sa troisième session, le 23 octobre, le Groupe de travail II a examiné le point 13 de l'ordre du jour. Il était saisi d'un projet de décision</w:t>
      </w:r>
      <w:r w:rsidRPr="00FB5668">
        <w:rPr>
          <w:rStyle w:val="FootnoteReference"/>
          <w:lang w:val="fr-CA"/>
        </w:rPr>
        <w:footnoteReference w:id="39"/>
      </w:r>
      <w:r w:rsidRPr="00FB5668">
        <w:rPr>
          <w:lang w:val="fr-CA"/>
        </w:rPr>
        <w:t xml:space="preserve"> et d'une note du Secrétariat sur les considérations socio-économiques</w:t>
      </w:r>
      <w:r w:rsidRPr="00FB5668">
        <w:rPr>
          <w:rStyle w:val="FootnoteReference"/>
          <w:lang w:val="fr-CA"/>
        </w:rPr>
        <w:footnoteReference w:id="40"/>
      </w:r>
      <w:r w:rsidRPr="00FB5668">
        <w:rPr>
          <w:lang w:val="fr-CA"/>
        </w:rPr>
        <w:t xml:space="preserve">. </w:t>
      </w:r>
    </w:p>
    <w:p w:rsidR="00022AA4" w:rsidRPr="00FB5668" w:rsidRDefault="00022AA4" w:rsidP="00022AA4">
      <w:pPr>
        <w:pStyle w:val="CBDNormalNumber"/>
        <w:spacing w:before="0"/>
        <w:rPr>
          <w:lang w:val="fr-CA"/>
        </w:rPr>
      </w:pPr>
      <w:r w:rsidRPr="00FB5668">
        <w:rPr>
          <w:lang w:val="fr-CA"/>
        </w:rPr>
        <w:t>Des déclarations ont été faites par des représentants des Parties suivantes : Afrique du Sud, Inde, Malaisie, Malawi, Norvège, Ouganda, République de Moldova, Union européenne et ses États membres et Zimbabwe (au nom des États d’Afrique).</w:t>
      </w:r>
    </w:p>
    <w:p w:rsidR="00022AA4" w:rsidRPr="00FB5668" w:rsidRDefault="00022AA4" w:rsidP="00022AA4">
      <w:pPr>
        <w:pStyle w:val="CBDNormalNumber"/>
        <w:spacing w:before="0"/>
        <w:rPr>
          <w:lang w:val="fr-CA"/>
        </w:rPr>
      </w:pPr>
      <w:r w:rsidRPr="00FB5668">
        <w:rPr>
          <w:lang w:val="fr-CA"/>
        </w:rPr>
        <w:t>Le Groupe de travail II est convenu que le président élaborerait un projet de décision révisé qu’il soumettrait au Groupe pour examen, avec l’appui du Secrétariat.</w:t>
      </w:r>
    </w:p>
    <w:p w:rsidR="00022AA4" w:rsidRPr="00FB5668" w:rsidRDefault="00022AA4" w:rsidP="00022AA4">
      <w:pPr>
        <w:pStyle w:val="CBDNormalNumber"/>
        <w:spacing w:before="0"/>
        <w:rPr>
          <w:rFonts w:asciiTheme="majorBidi" w:hAnsiTheme="majorBidi" w:cstheme="majorBidi"/>
          <w:lang w:val="fr-CA"/>
        </w:rPr>
      </w:pPr>
      <w:r w:rsidRPr="00FB5668">
        <w:rPr>
          <w:rFonts w:asciiTheme="majorBidi" w:hAnsiTheme="majorBidi" w:cstheme="majorBidi"/>
          <w:lang w:val="fr-CA"/>
        </w:rPr>
        <w:t>À sa sixième séance, le Groupe de travail II a examiné le projet de décision révisé présenté par le président.</w:t>
      </w:r>
    </w:p>
    <w:p w:rsidR="00022AA4" w:rsidRPr="00FB5668" w:rsidRDefault="00022AA4" w:rsidP="00022AA4">
      <w:pPr>
        <w:pStyle w:val="CBDNormalNumber"/>
        <w:spacing w:before="0"/>
        <w:rPr>
          <w:lang w:val="fr-CA"/>
        </w:rPr>
      </w:pPr>
      <w:r w:rsidRPr="00FB5668">
        <w:rPr>
          <w:lang w:val="fr-CA"/>
        </w:rPr>
        <w:t>Le Groupe de travail II a approuvé le projet de décision révisé et a décidé de le soumettre pour examen en séance plénière sous la cote CBD/CP/MOP/11/L.3.</w:t>
      </w:r>
    </w:p>
    <w:p w:rsidR="00FA3B06" w:rsidRPr="00FB5668" w:rsidRDefault="00125A40" w:rsidP="00125A40">
      <w:pPr>
        <w:pStyle w:val="CBDNormalNumber"/>
        <w:rPr>
          <w:snapToGrid w:val="0"/>
          <w:lang w:val="fr-CA" w:eastAsia="en-CA"/>
        </w:rPr>
      </w:pPr>
      <w:r w:rsidRPr="00FB5668">
        <w:rPr>
          <w:lang w:val="fr-CA"/>
        </w:rPr>
        <w:lastRenderedPageBreak/>
        <w:t xml:space="preserve">À sa deuxième séance plénière, la Conférence des Parties siégeant en tant que réunion des Parties au Protocole a examiné le projet de décision CBD/CP/MOP/11/L.3, présenté par le président du Groupe de travail II, et l’a adopté en tant que décision </w:t>
      </w:r>
      <w:hyperlink r:id="rId28" w:history="1">
        <w:r w:rsidRPr="00FB5668">
          <w:rPr>
            <w:rStyle w:val="Hyperlink"/>
            <w:lang w:val="fr-CA"/>
          </w:rPr>
          <w:t>CP-11/9</w:t>
        </w:r>
      </w:hyperlink>
      <w:r w:rsidRPr="00FB5668">
        <w:rPr>
          <w:lang w:val="fr-CA"/>
        </w:rPr>
        <w:t>.</w:t>
      </w:r>
    </w:p>
    <w:bookmarkEnd w:id="17"/>
    <w:p w:rsidR="00125A40" w:rsidRPr="00FB5668" w:rsidRDefault="00125A40" w:rsidP="004B0886">
      <w:pPr>
        <w:pStyle w:val="CBDAgendaItem"/>
        <w:rPr>
          <w:lang w:val="fr-CA"/>
        </w:rPr>
      </w:pPr>
      <w:r w:rsidRPr="00FB5668">
        <w:rPr>
          <w:lang w:val="fr-CA"/>
        </w:rPr>
        <w:t xml:space="preserve">Point 14 </w:t>
      </w:r>
      <w:r w:rsidRPr="00FB5668">
        <w:rPr>
          <w:lang w:val="fr-CA"/>
        </w:rPr>
        <w:br/>
        <w:t>Protocole additionnel de Nagoya - Kuala Lumpur sur la responsabilité et la réparation</w:t>
      </w:r>
    </w:p>
    <w:p w:rsidR="001F3A26" w:rsidRPr="00FB5668" w:rsidRDefault="001F3A26" w:rsidP="001F3A26">
      <w:pPr>
        <w:pStyle w:val="CBDNormalNumber"/>
        <w:spacing w:before="0"/>
        <w:rPr>
          <w:lang w:val="fr-CA"/>
        </w:rPr>
      </w:pPr>
      <w:r w:rsidRPr="00FB5668">
        <w:rPr>
          <w:lang w:val="fr-CA"/>
        </w:rPr>
        <w:t>À sa troisième séance, le Groupe de travail II a examiné le point 14 de l'ordre du jour. Il était saisi d'un projet de décision</w:t>
      </w:r>
      <w:r w:rsidRPr="00FB5668">
        <w:rPr>
          <w:rStyle w:val="FootnoteReference"/>
          <w:lang w:val="fr-CA"/>
        </w:rPr>
        <w:footnoteReference w:id="41"/>
      </w:r>
      <w:r w:rsidRPr="00FB5668">
        <w:rPr>
          <w:lang w:val="fr-CA"/>
        </w:rPr>
        <w:t xml:space="preserve"> et d'une note du Secrétariat sur le Protocole additionnel de Nagoya - Kuala Lumpur sur la responsabilité et la réparation</w:t>
      </w:r>
      <w:r w:rsidRPr="00FB5668">
        <w:rPr>
          <w:rStyle w:val="FootnoteReference"/>
          <w:lang w:val="fr-CA"/>
        </w:rPr>
        <w:footnoteReference w:id="42"/>
      </w:r>
      <w:r w:rsidRPr="00FB5668">
        <w:rPr>
          <w:lang w:val="fr-CA"/>
        </w:rPr>
        <w:t xml:space="preserve">. </w:t>
      </w:r>
    </w:p>
    <w:p w:rsidR="001F3A26" w:rsidRPr="00FB5668" w:rsidRDefault="001F3A26" w:rsidP="001F3A26">
      <w:pPr>
        <w:pStyle w:val="CBDNormalNumber"/>
        <w:spacing w:before="0"/>
        <w:rPr>
          <w:lang w:val="fr-CA"/>
        </w:rPr>
      </w:pPr>
      <w:r w:rsidRPr="00FB5668">
        <w:rPr>
          <w:lang w:val="fr-CA"/>
        </w:rPr>
        <w:t>Des déclarations ont été faites par les Parties suivantes : Inde, Malawi (au nom des États d’Afrique), Ouganda, République centrafricaine, République de Moldova et Union européenne et ses États membres.</w:t>
      </w:r>
    </w:p>
    <w:p w:rsidR="001F3A26" w:rsidRPr="00FB5668" w:rsidRDefault="001F3A26" w:rsidP="001F3A26">
      <w:pPr>
        <w:pStyle w:val="CBDNormalNumber"/>
        <w:spacing w:before="0"/>
        <w:rPr>
          <w:lang w:val="fr-CA"/>
        </w:rPr>
      </w:pPr>
      <w:r w:rsidRPr="00FB5668">
        <w:rPr>
          <w:lang w:val="fr-CA"/>
        </w:rPr>
        <w:t>Le Groupe de travail II est convenu que le président élaborerait un projet de décision révisé, avec l’appui du Secrétariat, qu’il soumettrait au Groupe pour examen, lors d'une séance ultérieure.</w:t>
      </w:r>
    </w:p>
    <w:p w:rsidR="001F3A26" w:rsidRPr="00FB5668" w:rsidRDefault="001F3A26" w:rsidP="001F3A26">
      <w:pPr>
        <w:pStyle w:val="CBDNormalNumber"/>
        <w:spacing w:before="0"/>
        <w:rPr>
          <w:rFonts w:asciiTheme="majorBidi" w:hAnsiTheme="majorBidi" w:cstheme="majorBidi"/>
          <w:lang w:val="fr-CA"/>
        </w:rPr>
      </w:pPr>
      <w:r w:rsidRPr="00FB5668">
        <w:rPr>
          <w:rFonts w:asciiTheme="majorBidi" w:hAnsiTheme="majorBidi" w:cstheme="majorBidi"/>
          <w:lang w:val="fr-CA"/>
        </w:rPr>
        <w:t>À sa sixième séance, le Groupe de travail II a examiné le projet de décision révisé présenté par le président.</w:t>
      </w:r>
    </w:p>
    <w:p w:rsidR="001F3A26" w:rsidRPr="00FB5668" w:rsidRDefault="001F3A26" w:rsidP="001F3A26">
      <w:pPr>
        <w:pStyle w:val="CBDNormalNumber"/>
        <w:spacing w:before="0"/>
        <w:rPr>
          <w:lang w:val="fr-CA"/>
        </w:rPr>
      </w:pPr>
      <w:r w:rsidRPr="00FB5668">
        <w:rPr>
          <w:lang w:val="fr-CA"/>
        </w:rPr>
        <w:t>Des déclarations ont été faites par des représentants des Parties suivantes : Japon, Nouvelle-Zélande et Union européenne et ses États membres.</w:t>
      </w:r>
    </w:p>
    <w:p w:rsidR="001F3A26" w:rsidRPr="00FB5668" w:rsidRDefault="001F3A26" w:rsidP="001F3A26">
      <w:pPr>
        <w:pStyle w:val="CBDNormalNumber"/>
        <w:rPr>
          <w:snapToGrid w:val="0"/>
          <w:lang w:val="fr-CA" w:eastAsia="en-CA"/>
        </w:rPr>
      </w:pPr>
      <w:r w:rsidRPr="00FB5668">
        <w:rPr>
          <w:lang w:val="fr-CA"/>
        </w:rPr>
        <w:t>Le Groupe de travail II a approuvé le projet de décision révisé, tel que modifié oralement, et a décidé de le soumettre pour examen en séance plénière sous la cote CBD/CP/MOP/11/L.4.</w:t>
      </w:r>
    </w:p>
    <w:p w:rsidR="00125A40" w:rsidRPr="00FB5668" w:rsidRDefault="00125A40" w:rsidP="001F3A26">
      <w:pPr>
        <w:pStyle w:val="CBDNormalNumber"/>
        <w:rPr>
          <w:snapToGrid w:val="0"/>
          <w:lang w:val="fr-CA" w:eastAsia="en-CA"/>
        </w:rPr>
      </w:pPr>
      <w:r w:rsidRPr="00FB5668">
        <w:rPr>
          <w:lang w:val="fr-CA"/>
        </w:rPr>
        <w:t>À sa deuxième séance plénière, la Conférence des Parties siégeant en tant que réunion des Parties au Protocole a examiné le projet de décision CBD/CP/MOP/11/L.4, présenté par le président du Groupe de travail II, et l'a adopté en tant que décision </w:t>
      </w:r>
      <w:hyperlink r:id="rId29" w:history="1">
        <w:r w:rsidRPr="00FB5668">
          <w:rPr>
            <w:rStyle w:val="Hyperlink"/>
            <w:lang w:val="fr-CA"/>
          </w:rPr>
          <w:t>CP-11/10</w:t>
        </w:r>
      </w:hyperlink>
      <w:r w:rsidRPr="00FB5668">
        <w:rPr>
          <w:lang w:val="fr-CA"/>
        </w:rPr>
        <w:t xml:space="preserve">. </w:t>
      </w:r>
    </w:p>
    <w:p w:rsidR="00557370" w:rsidRPr="00FB5668" w:rsidRDefault="00C45D2D" w:rsidP="006F791E">
      <w:pPr>
        <w:pStyle w:val="CBDAgendaItem"/>
        <w:rPr>
          <w:lang w:val="fr-CA"/>
        </w:rPr>
      </w:pPr>
      <w:r w:rsidRPr="00FB5668">
        <w:rPr>
          <w:lang w:val="fr-CA"/>
        </w:rPr>
        <w:t xml:space="preserve">Point 15 </w:t>
      </w:r>
      <w:r w:rsidRPr="00FB5668">
        <w:rPr>
          <w:lang w:val="fr-CA"/>
        </w:rPr>
        <w:br/>
        <w:t>Questions diverses</w:t>
      </w:r>
    </w:p>
    <w:bookmarkEnd w:id="14"/>
    <w:p w:rsidR="00557370" w:rsidRPr="00FB5668" w:rsidRDefault="00E5364D" w:rsidP="00D34738">
      <w:pPr>
        <w:pStyle w:val="CBDNormalNumber"/>
        <w:rPr>
          <w:lang w:val="fr-CA"/>
        </w:rPr>
      </w:pPr>
      <w:r w:rsidRPr="00FB5668">
        <w:rPr>
          <w:snapToGrid w:val="0"/>
          <w:lang w:val="fr-CA"/>
        </w:rPr>
        <w:t>[à compléter]</w:t>
      </w:r>
    </w:p>
    <w:p w:rsidR="00557370" w:rsidRPr="00FB5668" w:rsidRDefault="00C45D2D" w:rsidP="006F791E">
      <w:pPr>
        <w:pStyle w:val="CBDAgendaItem"/>
        <w:rPr>
          <w:lang w:val="fr-CA"/>
        </w:rPr>
      </w:pPr>
      <w:r w:rsidRPr="00FB5668">
        <w:rPr>
          <w:lang w:val="fr-CA"/>
        </w:rPr>
        <w:t xml:space="preserve">Point 16 </w:t>
      </w:r>
      <w:r w:rsidRPr="00FB5668">
        <w:rPr>
          <w:lang w:val="fr-CA"/>
        </w:rPr>
        <w:br/>
        <w:t>Adoption du rapport</w:t>
      </w:r>
    </w:p>
    <w:p w:rsidR="00E5364D" w:rsidRPr="00FB5668" w:rsidRDefault="00E5364D" w:rsidP="00E5364D">
      <w:pPr>
        <w:pStyle w:val="CBDNormalNumber"/>
        <w:rPr>
          <w:snapToGrid w:val="0"/>
          <w:lang w:val="fr-CA"/>
        </w:rPr>
      </w:pPr>
      <w:r w:rsidRPr="00FB5668">
        <w:rPr>
          <w:snapToGrid w:val="0"/>
          <w:lang w:val="fr-CA"/>
        </w:rPr>
        <w:t>[à compléter]</w:t>
      </w:r>
    </w:p>
    <w:p w:rsidR="00557370" w:rsidRPr="00FB5668" w:rsidRDefault="00C45D2D" w:rsidP="006F791E">
      <w:pPr>
        <w:pStyle w:val="CBDAgendaItem"/>
        <w:rPr>
          <w:lang w:val="fr-CA"/>
        </w:rPr>
      </w:pPr>
      <w:r w:rsidRPr="00FB5668">
        <w:rPr>
          <w:lang w:val="fr-CA"/>
        </w:rPr>
        <w:t>Point 17</w:t>
      </w:r>
      <w:r w:rsidRPr="00FB5668">
        <w:rPr>
          <w:lang w:val="fr-CA"/>
        </w:rPr>
        <w:br/>
        <w:t>Clôture de la réunion</w:t>
      </w:r>
    </w:p>
    <w:p w:rsidR="00F31B9D" w:rsidRPr="00FB5668" w:rsidRDefault="00F31B9D" w:rsidP="00842669">
      <w:pPr>
        <w:pStyle w:val="CBDNormalNumber"/>
        <w:rPr>
          <w:lang w:val="fr-CA"/>
        </w:rPr>
      </w:pPr>
      <w:bookmarkStart w:id="18" w:name="_Hlk182078196"/>
      <w:r w:rsidRPr="00FB5668">
        <w:rPr>
          <w:lang w:val="fr-CA"/>
        </w:rPr>
        <w:t>À la cinquième séance plénière, un appel nominal a été effectué à la demande d'un représentant du Panama pour vérifier le nombre de Parties présentes et déterminer si des décisions pouvaient encore être prises conformément à l'article 30 du règlement intérieur. En l'absence de quorum, la Présidente a proposé de suspendre la réunion.</w:t>
      </w:r>
    </w:p>
    <w:p w:rsidR="00F31B9D" w:rsidRPr="00FB5668" w:rsidRDefault="00B05A6D" w:rsidP="00842669">
      <w:pPr>
        <w:pStyle w:val="CBDNormalNumber"/>
        <w:rPr>
          <w:lang w:val="fr-CA"/>
        </w:rPr>
      </w:pPr>
      <w:r w:rsidRPr="00FB5668">
        <w:rPr>
          <w:lang w:val="fr-CA"/>
        </w:rPr>
        <w:t>La Présidente a suspendu la réunion à 8 h 30 le 2 novembre 2024.</w:t>
      </w:r>
    </w:p>
    <w:bookmarkEnd w:id="18"/>
    <w:p w:rsidR="00557370" w:rsidRPr="00FB5668" w:rsidRDefault="00CB13BF" w:rsidP="00127F29">
      <w:pPr>
        <w:pStyle w:val="CBDNormalNumber"/>
        <w:rPr>
          <w:lang w:val="fr-CA"/>
        </w:rPr>
      </w:pPr>
      <w:r w:rsidRPr="00FB5668">
        <w:rPr>
          <w:lang w:val="fr-CA"/>
        </w:rPr>
        <w:t>[à compléter]</w:t>
      </w:r>
    </w:p>
    <w:p w:rsidR="00557370" w:rsidRPr="00FB5668" w:rsidRDefault="00557370" w:rsidP="00D9044B">
      <w:pPr>
        <w:pStyle w:val="StylePara1Before0pt"/>
        <w:numPr>
          <w:ilvl w:val="0"/>
          <w:numId w:val="0"/>
        </w:numPr>
        <w:suppressLineNumbers/>
        <w:suppressAutoHyphens/>
        <w:rPr>
          <w:kern w:val="22"/>
          <w:sz w:val="22"/>
          <w:szCs w:val="22"/>
          <w:lang w:val="fr-CA"/>
        </w:rPr>
      </w:pPr>
    </w:p>
    <w:p w:rsidR="002B559C" w:rsidRPr="00FB5668" w:rsidRDefault="00557370" w:rsidP="00191C16">
      <w:pPr>
        <w:suppressLineNumbers/>
        <w:suppressAutoHyphens/>
        <w:jc w:val="center"/>
        <w:rPr>
          <w:lang w:val="fr-CA"/>
        </w:rPr>
      </w:pPr>
      <w:r w:rsidRPr="00FB5668">
        <w:rPr>
          <w:kern w:val="22"/>
          <w:lang w:val="fr-CA"/>
        </w:rPr>
        <w:t>__________</w:t>
      </w:r>
    </w:p>
    <w:sectPr w:rsidR="002B559C" w:rsidRPr="00FB5668" w:rsidSect="004B552A">
      <w:headerReference w:type="even" r:id="rId30"/>
      <w:headerReference w:type="default" r:id="rId31"/>
      <w:footerReference w:type="even" r:id="rId32"/>
      <w:footerReference w:type="default" r:id="rId33"/>
      <w:headerReference w:type="first" r:id="rId34"/>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0297" w:rsidRPr="00AA1338" w:rsidRDefault="00030297" w:rsidP="00A96B21">
      <w:r w:rsidRPr="00AA1338">
        <w:separator/>
      </w:r>
    </w:p>
  </w:endnote>
  <w:endnote w:type="continuationSeparator" w:id="0">
    <w:p w:rsidR="00030297" w:rsidRPr="00AA1338" w:rsidRDefault="00030297" w:rsidP="00A96B21">
      <w:r w:rsidRPr="00AA1338">
        <w:continuationSeparator/>
      </w:r>
    </w:p>
  </w:endnote>
  <w:endnote w:type="continuationNotice" w:id="1">
    <w:p w:rsidR="00030297" w:rsidRPr="00AA1338" w:rsidRDefault="00030297"/>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notTrueType/>
    <w:pitch w:val="variable"/>
    <w:sig w:usb0="01000001" w:usb1="00000000" w:usb2="00000000" w:usb3="00000000" w:csb0="00010000"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2B559C" w:rsidRPr="00AA1338" w:rsidRDefault="009E63C6">
            <w:pPr>
              <w:pStyle w:val="Footer"/>
            </w:pPr>
            <w:r w:rsidRPr="009E63C6">
              <w:rPr>
                <w:szCs w:val="20"/>
              </w:rPr>
              <w:fldChar w:fldCharType="begin"/>
            </w:r>
            <w:r w:rsidR="002B559C">
              <w:rPr>
                <w:noProof/>
                <w:szCs w:val="20"/>
              </w:rPr>
              <w:instrText xml:space="preserve"> PAGE </w:instrText>
            </w:r>
            <w:r>
              <w:fldChar w:fldCharType="separate"/>
            </w:r>
            <w:r w:rsidR="00117D3A">
              <w:rPr>
                <w:noProof/>
                <w:szCs w:val="20"/>
              </w:rPr>
              <w:t>2</w:t>
            </w:r>
            <w:r>
              <w:fldChar w:fldCharType="end"/>
            </w:r>
            <w:r w:rsidR="002B559C">
              <w:rPr>
                <w:szCs w:val="20"/>
              </w:rPr>
              <w:t>/</w:t>
            </w:r>
            <w:r w:rsidRPr="009E63C6">
              <w:rPr>
                <w:szCs w:val="20"/>
              </w:rPr>
              <w:fldChar w:fldCharType="begin"/>
            </w:r>
            <w:r w:rsidR="002B559C">
              <w:rPr>
                <w:noProof/>
                <w:szCs w:val="20"/>
              </w:rPr>
              <w:instrText xml:space="preserve"> NUMPAGES  </w:instrText>
            </w:r>
            <w:r>
              <w:fldChar w:fldCharType="separate"/>
            </w:r>
            <w:r w:rsidR="00117D3A">
              <w:rPr>
                <w:noProof/>
                <w:szCs w:val="20"/>
              </w:rPr>
              <w:t>14</w:t>
            </w:r>
            <w: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2B559C" w:rsidRPr="00AA1338" w:rsidRDefault="009E63C6" w:rsidP="002B559C">
            <w:pPr>
              <w:pStyle w:val="Footer"/>
              <w:jc w:val="right"/>
            </w:pPr>
            <w:r w:rsidRPr="009E63C6">
              <w:rPr>
                <w:szCs w:val="20"/>
              </w:rPr>
              <w:fldChar w:fldCharType="begin"/>
            </w:r>
            <w:r w:rsidR="002B559C">
              <w:rPr>
                <w:noProof/>
                <w:szCs w:val="20"/>
              </w:rPr>
              <w:instrText xml:space="preserve"> PAGE </w:instrText>
            </w:r>
            <w:r>
              <w:fldChar w:fldCharType="separate"/>
            </w:r>
            <w:r w:rsidR="00117D3A">
              <w:rPr>
                <w:noProof/>
                <w:szCs w:val="20"/>
              </w:rPr>
              <w:t>13</w:t>
            </w:r>
            <w:r>
              <w:fldChar w:fldCharType="end"/>
            </w:r>
            <w:r w:rsidR="002B559C">
              <w:rPr>
                <w:szCs w:val="20"/>
              </w:rPr>
              <w:t>/</w:t>
            </w:r>
            <w:r w:rsidRPr="009E63C6">
              <w:rPr>
                <w:szCs w:val="20"/>
              </w:rPr>
              <w:fldChar w:fldCharType="begin"/>
            </w:r>
            <w:r w:rsidR="002B559C">
              <w:rPr>
                <w:noProof/>
                <w:szCs w:val="20"/>
              </w:rPr>
              <w:instrText xml:space="preserve"> NUMPAGES  </w:instrText>
            </w:r>
            <w:r>
              <w:fldChar w:fldCharType="separate"/>
            </w:r>
            <w:r w:rsidR="00117D3A">
              <w:rPr>
                <w:noProof/>
                <w:szCs w:val="20"/>
              </w:rPr>
              <w:t>13</w:t>
            </w:r>
            <w: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0297" w:rsidRPr="00AA1338" w:rsidRDefault="00030297" w:rsidP="00A96B21">
      <w:r w:rsidRPr="00AA1338">
        <w:separator/>
      </w:r>
    </w:p>
  </w:footnote>
  <w:footnote w:type="continuationSeparator" w:id="0">
    <w:p w:rsidR="00030297" w:rsidRPr="00AA1338" w:rsidRDefault="00030297" w:rsidP="00A96B21">
      <w:r w:rsidRPr="00AA1338">
        <w:continuationSeparator/>
      </w:r>
    </w:p>
  </w:footnote>
  <w:footnote w:type="continuationNotice" w:id="1">
    <w:p w:rsidR="00030297" w:rsidRPr="00AA1338" w:rsidRDefault="00030297"/>
  </w:footnote>
  <w:footnote w:id="2">
    <w:p w:rsidR="005E4A59" w:rsidRPr="00FB5668" w:rsidRDefault="005E4A59">
      <w:pPr>
        <w:pStyle w:val="FootnoteText"/>
        <w:rPr>
          <w:lang w:val="fr-CA"/>
        </w:rPr>
      </w:pPr>
      <w:r w:rsidRPr="00FB5668">
        <w:rPr>
          <w:rStyle w:val="FootnoteReference"/>
          <w:lang w:val="fr-CA"/>
        </w:rPr>
        <w:footnoteRef/>
      </w:r>
      <w:r w:rsidRPr="00FB5668">
        <w:rPr>
          <w:lang w:val="fr-CA"/>
        </w:rPr>
        <w:t xml:space="preserve"> Voir CBD/COP/16/13, par. xx, pour un résumé des remarques et déclarations d’ouverture.</w:t>
      </w:r>
    </w:p>
  </w:footnote>
  <w:footnote w:id="3">
    <w:p w:rsidR="00F67BC1" w:rsidRPr="00FB5668" w:rsidRDefault="00F67BC1" w:rsidP="00F67BC1">
      <w:pPr>
        <w:pStyle w:val="FootnoteText"/>
        <w:rPr>
          <w:lang w:val="fr-CA"/>
        </w:rPr>
      </w:pPr>
      <w:r w:rsidRPr="00FB5668">
        <w:rPr>
          <w:rStyle w:val="FootnoteReference"/>
          <w:lang w:val="fr-CA"/>
        </w:rPr>
        <w:footnoteRef/>
      </w:r>
      <w:r w:rsidRPr="00FB5668">
        <w:rPr>
          <w:lang w:val="fr-CA"/>
        </w:rPr>
        <w:t xml:space="preserve"> </w:t>
      </w:r>
      <w:r w:rsidR="00496944" w:rsidRPr="00FB5668">
        <w:rPr>
          <w:lang w:val="fr-CA"/>
        </w:rPr>
        <w:t>Voir « Élection de la présidence », au point 2 de l’ordre du jour</w:t>
      </w:r>
      <w:r w:rsidRPr="00FB5668">
        <w:rPr>
          <w:lang w:val="fr-CA"/>
        </w:rPr>
        <w:t>.</w:t>
      </w:r>
    </w:p>
  </w:footnote>
  <w:footnote w:id="4">
    <w:p w:rsidR="00F67BC1" w:rsidRPr="00FB5668" w:rsidRDefault="00F67BC1" w:rsidP="00F67BC1">
      <w:pPr>
        <w:pStyle w:val="FootnoteText"/>
        <w:rPr>
          <w:lang w:val="fr-CA"/>
        </w:rPr>
      </w:pPr>
      <w:r w:rsidRPr="00FB5668">
        <w:rPr>
          <w:rStyle w:val="FootnoteReference"/>
          <w:lang w:val="fr-CA"/>
        </w:rPr>
        <w:footnoteRef/>
      </w:r>
      <w:r w:rsidRPr="00FB5668">
        <w:rPr>
          <w:lang w:val="fr-CA"/>
        </w:rPr>
        <w:t xml:space="preserve"> </w:t>
      </w:r>
      <w:r w:rsidR="00496944" w:rsidRPr="00FB5668">
        <w:rPr>
          <w:lang w:val="fr-CA"/>
        </w:rPr>
        <w:t>La première reprise de la réunion, à la sixième séance plénière, s’est déroulée en ligne dans le cadre d’une procédure d’approbation tacite, du 3 au 6 décembre 2024 (voir le point 6 de l’ordre du jour).</w:t>
      </w:r>
    </w:p>
  </w:footnote>
  <w:footnote w:id="5">
    <w:p w:rsidR="00F67BC1" w:rsidRPr="00FB5668" w:rsidRDefault="00F67BC1" w:rsidP="00F67BC1">
      <w:pPr>
        <w:pStyle w:val="FootnoteText"/>
        <w:rPr>
          <w:lang w:val="fr-CA"/>
        </w:rPr>
      </w:pPr>
      <w:r w:rsidRPr="00FB5668">
        <w:rPr>
          <w:rStyle w:val="FootnoteReference"/>
          <w:lang w:val="fr-CA"/>
        </w:rPr>
        <w:footnoteRef/>
      </w:r>
      <w:r w:rsidRPr="00FB5668">
        <w:rPr>
          <w:lang w:val="fr-CA"/>
        </w:rPr>
        <w:t xml:space="preserve"> Les paragraphes xx-xx du document CBD/COP/16/13, offrent un résumé de l’allocution luminaire de la deuxième reprise de la réunion. </w:t>
      </w:r>
    </w:p>
  </w:footnote>
  <w:footnote w:id="6">
    <w:p w:rsidR="00045A72" w:rsidRPr="00FB5668" w:rsidRDefault="00045A72" w:rsidP="00EF6CBE">
      <w:pPr>
        <w:pStyle w:val="FootnoteText"/>
        <w:rPr>
          <w:lang w:val="fr-CA"/>
        </w:rPr>
      </w:pPr>
      <w:r w:rsidRPr="00FB5668">
        <w:rPr>
          <w:rStyle w:val="FootnoteReference"/>
          <w:lang w:val="fr-CA"/>
        </w:rPr>
        <w:footnoteRef/>
      </w:r>
      <w:r w:rsidRPr="00FB5668">
        <w:rPr>
          <w:lang w:val="fr-CA"/>
        </w:rPr>
        <w:t xml:space="preserve"> CBD/CP/MOP/11/1.</w:t>
      </w:r>
    </w:p>
  </w:footnote>
  <w:footnote w:id="7">
    <w:p w:rsidR="00045A72" w:rsidRPr="00FB5668" w:rsidRDefault="00045A72" w:rsidP="00586722">
      <w:pPr>
        <w:pStyle w:val="FootnoteText"/>
        <w:rPr>
          <w:lang w:val="fr-CA"/>
        </w:rPr>
      </w:pPr>
      <w:r w:rsidRPr="00FB5668">
        <w:rPr>
          <w:rStyle w:val="FootnoteReference"/>
          <w:lang w:val="fr-CA"/>
        </w:rPr>
        <w:footnoteRef/>
      </w:r>
      <w:r w:rsidRPr="00FB5668">
        <w:rPr>
          <w:lang w:val="fr-CA"/>
        </w:rPr>
        <w:t xml:space="preserve"> CBD/CP/MOP/11/1/</w:t>
      </w:r>
      <w:proofErr w:type="spellStart"/>
      <w:r w:rsidRPr="00FB5668">
        <w:rPr>
          <w:lang w:val="fr-CA"/>
        </w:rPr>
        <w:t>Add</w:t>
      </w:r>
      <w:proofErr w:type="spellEnd"/>
      <w:r w:rsidRPr="00FB5668">
        <w:rPr>
          <w:lang w:val="fr-CA"/>
        </w:rPr>
        <w:t>.1.</w:t>
      </w:r>
    </w:p>
  </w:footnote>
  <w:footnote w:id="8">
    <w:p w:rsidR="00045A72" w:rsidRPr="00FB5668" w:rsidRDefault="00045A72" w:rsidP="00045A72">
      <w:pPr>
        <w:pStyle w:val="FootnoteText"/>
        <w:rPr>
          <w:lang w:val="fr-CA"/>
        </w:rPr>
      </w:pPr>
      <w:r w:rsidRPr="00FB5668">
        <w:rPr>
          <w:rStyle w:val="FootnoteReference"/>
          <w:lang w:val="fr-CA"/>
        </w:rPr>
        <w:footnoteRef/>
      </w:r>
      <w:r w:rsidRPr="00FB5668">
        <w:rPr>
          <w:lang w:val="fr-CA"/>
        </w:rPr>
        <w:t xml:space="preserve"> CBD/CP/MOP/11/1/</w:t>
      </w:r>
      <w:proofErr w:type="spellStart"/>
      <w:r w:rsidRPr="00FB5668">
        <w:rPr>
          <w:lang w:val="fr-CA"/>
        </w:rPr>
        <w:t>Add</w:t>
      </w:r>
      <w:proofErr w:type="spellEnd"/>
      <w:r w:rsidRPr="00FB5668">
        <w:rPr>
          <w:lang w:val="fr-CA"/>
        </w:rPr>
        <w:t>.2.</w:t>
      </w:r>
    </w:p>
  </w:footnote>
  <w:footnote w:id="9">
    <w:p w:rsidR="00045A72" w:rsidRPr="00FB5668" w:rsidRDefault="00045A72" w:rsidP="00045A72">
      <w:pPr>
        <w:pStyle w:val="FootnoteText"/>
        <w:rPr>
          <w:lang w:val="fr-CA"/>
        </w:rPr>
      </w:pPr>
      <w:r w:rsidRPr="00FB5668">
        <w:rPr>
          <w:rStyle w:val="FootnoteReference"/>
          <w:lang w:val="fr-CA"/>
        </w:rPr>
        <w:footnoteRef/>
      </w:r>
      <w:r w:rsidRPr="00FB5668">
        <w:rPr>
          <w:lang w:val="fr-CA"/>
        </w:rPr>
        <w:t xml:space="preserve"> CBD/CP/MOP/11/INF/4.</w:t>
      </w:r>
    </w:p>
  </w:footnote>
  <w:footnote w:id="10">
    <w:p w:rsidR="00BB00D8" w:rsidRPr="00FB5668" w:rsidRDefault="00BB00D8" w:rsidP="00BB00D8">
      <w:pPr>
        <w:pStyle w:val="FootnoteText"/>
        <w:rPr>
          <w:lang w:val="fr-CA"/>
        </w:rPr>
      </w:pPr>
      <w:r w:rsidRPr="00FB5668">
        <w:rPr>
          <w:rStyle w:val="FootnoteReference"/>
          <w:lang w:val="fr-CA"/>
        </w:rPr>
        <w:footnoteRef/>
      </w:r>
      <w:r w:rsidRPr="00FB5668">
        <w:rPr>
          <w:lang w:val="fr-CA"/>
        </w:rPr>
        <w:t xml:space="preserve"> CBD/CP/MOP/11/WGI/L.1.</w:t>
      </w:r>
    </w:p>
  </w:footnote>
  <w:footnote w:id="11">
    <w:p w:rsidR="00BB00D8" w:rsidRPr="00FB5668" w:rsidRDefault="00BB00D8" w:rsidP="00BB00D8">
      <w:pPr>
        <w:pStyle w:val="FootnoteText"/>
        <w:rPr>
          <w:lang w:val="fr-CA"/>
        </w:rPr>
      </w:pPr>
      <w:r w:rsidRPr="00FB5668">
        <w:rPr>
          <w:rStyle w:val="FootnoteReference"/>
          <w:lang w:val="fr-CA"/>
        </w:rPr>
        <w:footnoteRef/>
      </w:r>
      <w:r w:rsidRPr="00FB5668">
        <w:rPr>
          <w:lang w:val="fr-CA"/>
        </w:rPr>
        <w:t xml:space="preserve"> CBD/CP/MOP/11/WGII/L.1.</w:t>
      </w:r>
    </w:p>
  </w:footnote>
  <w:footnote w:id="12">
    <w:p w:rsidR="009F02FB" w:rsidRPr="00FB5668" w:rsidRDefault="009F02FB" w:rsidP="009F02FB">
      <w:pPr>
        <w:pStyle w:val="FootnoteText"/>
        <w:rPr>
          <w:lang w:val="fr-CA"/>
        </w:rPr>
      </w:pPr>
      <w:r w:rsidRPr="00FB5668">
        <w:rPr>
          <w:rStyle w:val="FootnoteReference"/>
          <w:lang w:val="fr-CA"/>
        </w:rPr>
        <w:footnoteRef/>
      </w:r>
      <w:r w:rsidRPr="00FB5668">
        <w:rPr>
          <w:lang w:val="fr-CA"/>
        </w:rPr>
        <w:t xml:space="preserve"> Les Îles Cook, Haïti, la Micronésie (États fédérés de), le Vanuatu et certains États africains ne sont pas Parties au Protocole de Cartagena.</w:t>
      </w:r>
    </w:p>
  </w:footnote>
  <w:footnote w:id="13">
    <w:p w:rsidR="00C86BCF" w:rsidRPr="00FB5668" w:rsidRDefault="00C86BCF" w:rsidP="00C86BCF">
      <w:pPr>
        <w:pStyle w:val="FootnoteText"/>
        <w:rPr>
          <w:lang w:val="fr-CA"/>
        </w:rPr>
      </w:pPr>
      <w:r w:rsidRPr="00FB5668">
        <w:rPr>
          <w:rStyle w:val="FootnoteReference"/>
          <w:lang w:val="fr-CA"/>
        </w:rPr>
        <w:footnoteRef/>
      </w:r>
      <w:r w:rsidRPr="00FB5668">
        <w:rPr>
          <w:lang w:val="fr-CA"/>
        </w:rPr>
        <w:t xml:space="preserve"> Disponible à l'adresse </w:t>
      </w:r>
      <w:hyperlink r:id="rId1" w:history="1">
        <w:r w:rsidRPr="00FB5668">
          <w:rPr>
            <w:rStyle w:val="Hyperlink"/>
            <w:lang w:val="fr-CA"/>
          </w:rPr>
          <w:t>www.cbd.int/meetings/CP-MOP-11-R1</w:t>
        </w:r>
      </w:hyperlink>
      <w:r w:rsidRPr="00FB5668">
        <w:rPr>
          <w:lang w:val="fr-CA"/>
        </w:rPr>
        <w:t>, avec tous les documents relatifs à la reprise de la réunion en ligne.</w:t>
      </w:r>
    </w:p>
  </w:footnote>
  <w:footnote w:id="14">
    <w:p w:rsidR="00C86BCF" w:rsidRPr="00FB5668" w:rsidRDefault="00C86BCF" w:rsidP="00C86BCF">
      <w:pPr>
        <w:pStyle w:val="FootnoteText"/>
        <w:rPr>
          <w:lang w:val="fr-CA"/>
        </w:rPr>
      </w:pPr>
      <w:r w:rsidRPr="00FB5668">
        <w:rPr>
          <w:rStyle w:val="FootnoteReference"/>
          <w:lang w:val="fr-CA"/>
        </w:rPr>
        <w:footnoteRef/>
      </w:r>
      <w:r w:rsidRPr="00FB5668">
        <w:rPr>
          <w:lang w:val="fr-CA"/>
        </w:rPr>
        <w:t xml:space="preserve"> </w:t>
      </w:r>
      <w:hyperlink r:id="rId2" w:history="1">
        <w:r w:rsidRPr="00FB5668">
          <w:rPr>
            <w:rStyle w:val="Hyperlink"/>
            <w:lang w:val="fr-CA"/>
          </w:rPr>
          <w:t>CBD/CP/MOP/11/1/</w:t>
        </w:r>
        <w:proofErr w:type="spellStart"/>
        <w:r w:rsidRPr="00FB5668">
          <w:rPr>
            <w:rStyle w:val="Hyperlink"/>
            <w:lang w:val="fr-CA"/>
          </w:rPr>
          <w:t>Add</w:t>
        </w:r>
        <w:proofErr w:type="spellEnd"/>
        <w:r w:rsidRPr="00FB5668">
          <w:rPr>
            <w:rStyle w:val="Hyperlink"/>
            <w:lang w:val="fr-CA"/>
          </w:rPr>
          <w:t>.3</w:t>
        </w:r>
      </w:hyperlink>
      <w:r w:rsidRPr="00FB5668">
        <w:rPr>
          <w:lang w:val="fr-CA"/>
        </w:rPr>
        <w:t>.</w:t>
      </w:r>
    </w:p>
  </w:footnote>
  <w:footnote w:id="15">
    <w:p w:rsidR="00C86BCF" w:rsidRPr="00FB5668" w:rsidRDefault="00C86BCF" w:rsidP="00C86BCF">
      <w:pPr>
        <w:pStyle w:val="FootnoteText"/>
        <w:rPr>
          <w:lang w:val="fr-CA"/>
        </w:rPr>
      </w:pPr>
      <w:r w:rsidRPr="00FB5668">
        <w:rPr>
          <w:rStyle w:val="FootnoteReference"/>
          <w:lang w:val="fr-CA"/>
        </w:rPr>
        <w:footnoteRef/>
      </w:r>
      <w:r w:rsidRPr="00FB5668">
        <w:rPr>
          <w:lang w:val="fr-CA"/>
        </w:rPr>
        <w:t xml:space="preserve"> </w:t>
      </w:r>
      <w:hyperlink r:id="rId3" w:history="1">
        <w:r w:rsidRPr="00FB5668">
          <w:rPr>
            <w:rStyle w:val="Hyperlink"/>
            <w:lang w:val="fr-CA"/>
          </w:rPr>
          <w:t>CBD/CP/MOP/11/L.12/</w:t>
        </w:r>
        <w:proofErr w:type="spellStart"/>
        <w:r w:rsidRPr="00FB5668">
          <w:rPr>
            <w:rStyle w:val="Hyperlink"/>
            <w:lang w:val="fr-CA"/>
          </w:rPr>
          <w:t>Rev</w:t>
        </w:r>
        <w:proofErr w:type="spellEnd"/>
        <w:r w:rsidRPr="00FB5668">
          <w:rPr>
            <w:rStyle w:val="Hyperlink"/>
            <w:lang w:val="fr-CA"/>
          </w:rPr>
          <w:t>.1</w:t>
        </w:r>
      </w:hyperlink>
      <w:r w:rsidRPr="00FB5668">
        <w:rPr>
          <w:lang w:val="fr-CA"/>
        </w:rPr>
        <w:t xml:space="preserve"> et </w:t>
      </w:r>
      <w:hyperlink r:id="rId4" w:history="1">
        <w:r w:rsidRPr="00FB5668">
          <w:rPr>
            <w:rStyle w:val="Hyperlink"/>
            <w:lang w:val="fr-CA"/>
          </w:rPr>
          <w:t>CBD/CP/MOP/11/L.13</w:t>
        </w:r>
      </w:hyperlink>
      <w:r w:rsidRPr="00FB5668">
        <w:rPr>
          <w:lang w:val="fr-CA"/>
        </w:rPr>
        <w:t>.</w:t>
      </w:r>
    </w:p>
  </w:footnote>
  <w:footnote w:id="16">
    <w:p w:rsidR="00035500" w:rsidRPr="00FB5668" w:rsidRDefault="00035500" w:rsidP="00035500">
      <w:pPr>
        <w:pStyle w:val="FootnoteText"/>
        <w:rPr>
          <w:lang w:val="fr-CA"/>
        </w:rPr>
      </w:pPr>
      <w:r w:rsidRPr="00FB5668">
        <w:rPr>
          <w:rStyle w:val="FootnoteReference"/>
          <w:lang w:val="fr-CA"/>
        </w:rPr>
        <w:footnoteRef/>
      </w:r>
      <w:r w:rsidRPr="00FB5668">
        <w:rPr>
          <w:lang w:val="fr-CA"/>
        </w:rPr>
        <w:t xml:space="preserve"> </w:t>
      </w:r>
      <w:bookmarkStart w:id="5" w:name="_Hlk190684059"/>
      <w:r w:rsidR="009E63C6" w:rsidRPr="00FB5668">
        <w:rPr>
          <w:lang w:val="fr-CA"/>
        </w:rPr>
        <w:fldChar w:fldCharType="begin"/>
      </w:r>
      <w:r w:rsidRPr="00FB5668">
        <w:rPr>
          <w:lang w:val="fr-CA"/>
        </w:rPr>
        <w:instrText>HYPERLINK "https://www.cbd.int/documents/CBD/COP/16/1/ADD4"</w:instrText>
      </w:r>
      <w:r w:rsidR="009E63C6" w:rsidRPr="00FB5668">
        <w:rPr>
          <w:lang w:val="fr-CA"/>
        </w:rPr>
        <w:fldChar w:fldCharType="separate"/>
      </w:r>
      <w:r w:rsidRPr="00FB5668">
        <w:rPr>
          <w:rStyle w:val="Hyperlink"/>
          <w:lang w:val="fr-CA"/>
        </w:rPr>
        <w:t>CBD/CP/MOP/11/1/</w:t>
      </w:r>
      <w:proofErr w:type="spellStart"/>
      <w:r w:rsidRPr="00FB5668">
        <w:rPr>
          <w:rStyle w:val="Hyperlink"/>
          <w:lang w:val="fr-CA"/>
        </w:rPr>
        <w:t>Add</w:t>
      </w:r>
      <w:proofErr w:type="spellEnd"/>
      <w:r w:rsidRPr="00FB5668">
        <w:rPr>
          <w:rStyle w:val="Hyperlink"/>
          <w:lang w:val="fr-CA"/>
        </w:rPr>
        <w:t>.4</w:t>
      </w:r>
      <w:r w:rsidR="009E63C6" w:rsidRPr="00FB5668">
        <w:rPr>
          <w:lang w:val="fr-CA"/>
        </w:rPr>
        <w:fldChar w:fldCharType="end"/>
      </w:r>
      <w:r w:rsidRPr="00FB5668">
        <w:rPr>
          <w:lang w:val="fr-CA"/>
        </w:rPr>
        <w:t>.</w:t>
      </w:r>
      <w:bookmarkEnd w:id="5"/>
    </w:p>
  </w:footnote>
  <w:footnote w:id="17">
    <w:p w:rsidR="00035500" w:rsidRPr="00FB5668" w:rsidRDefault="00035500" w:rsidP="00035500">
      <w:pPr>
        <w:pStyle w:val="FootnoteText"/>
        <w:rPr>
          <w:lang w:val="fr-CA"/>
        </w:rPr>
      </w:pPr>
      <w:r w:rsidRPr="00FB5668">
        <w:rPr>
          <w:rStyle w:val="FootnoteReference"/>
          <w:lang w:val="fr-CA"/>
        </w:rPr>
        <w:footnoteRef/>
      </w:r>
      <w:r w:rsidRPr="00FB5668">
        <w:rPr>
          <w:lang w:val="fr-CA"/>
        </w:rPr>
        <w:t xml:space="preserve"> </w:t>
      </w:r>
      <w:bookmarkStart w:id="6" w:name="_Hlk190684050"/>
      <w:r w:rsidR="009E63C6" w:rsidRPr="00FB5668">
        <w:rPr>
          <w:lang w:val="fr-CA"/>
        </w:rPr>
        <w:fldChar w:fldCharType="begin"/>
      </w:r>
      <w:r w:rsidRPr="00FB5668">
        <w:rPr>
          <w:lang w:val="fr-CA"/>
        </w:rPr>
        <w:instrText>HYPERLINK "https://www.cbd.int/documents/CBD/COP/16/1/ADD5"</w:instrText>
      </w:r>
      <w:r w:rsidR="009E63C6" w:rsidRPr="00FB5668">
        <w:rPr>
          <w:lang w:val="fr-CA"/>
        </w:rPr>
        <w:fldChar w:fldCharType="separate"/>
      </w:r>
      <w:r w:rsidRPr="00FB5668">
        <w:rPr>
          <w:rStyle w:val="Hyperlink"/>
          <w:lang w:val="fr-CA"/>
        </w:rPr>
        <w:t>CBD/CP/MOP/11/1/</w:t>
      </w:r>
      <w:proofErr w:type="spellStart"/>
      <w:r w:rsidRPr="00FB5668">
        <w:rPr>
          <w:rStyle w:val="Hyperlink"/>
          <w:lang w:val="fr-CA"/>
        </w:rPr>
        <w:t>Add</w:t>
      </w:r>
      <w:proofErr w:type="spellEnd"/>
      <w:r w:rsidRPr="00FB5668">
        <w:rPr>
          <w:rStyle w:val="Hyperlink"/>
          <w:lang w:val="fr-CA"/>
        </w:rPr>
        <w:t>.5</w:t>
      </w:r>
      <w:r w:rsidR="009E63C6" w:rsidRPr="00FB5668">
        <w:rPr>
          <w:lang w:val="fr-CA"/>
        </w:rPr>
        <w:fldChar w:fldCharType="end"/>
      </w:r>
      <w:r w:rsidRPr="00FB5668">
        <w:rPr>
          <w:lang w:val="fr-CA"/>
        </w:rPr>
        <w:t>.</w:t>
      </w:r>
      <w:bookmarkEnd w:id="6"/>
    </w:p>
  </w:footnote>
  <w:footnote w:id="18">
    <w:p w:rsidR="00A53A16" w:rsidRPr="00FB5668" w:rsidRDefault="00A53A16" w:rsidP="00A53A16">
      <w:pPr>
        <w:pStyle w:val="FootnoteText"/>
        <w:rPr>
          <w:lang w:val="fr-CA"/>
        </w:rPr>
      </w:pPr>
      <w:r w:rsidRPr="00FB5668">
        <w:rPr>
          <w:rStyle w:val="FootnoteReference"/>
          <w:lang w:val="fr-CA"/>
        </w:rPr>
        <w:footnoteRef/>
      </w:r>
      <w:r w:rsidRPr="00FB5668">
        <w:rPr>
          <w:lang w:val="fr-CA"/>
        </w:rPr>
        <w:t xml:space="preserve"> </w:t>
      </w:r>
      <w:hyperlink r:id="rId5" w:history="1">
        <w:r w:rsidRPr="00FB5668">
          <w:rPr>
            <w:rStyle w:val="Hyperlink"/>
            <w:lang w:val="fr-CA"/>
          </w:rPr>
          <w:t>CBD/CP/MOP/11/INF/5</w:t>
        </w:r>
      </w:hyperlink>
      <w:r w:rsidRPr="00FB5668">
        <w:rPr>
          <w:lang w:val="fr-CA"/>
        </w:rPr>
        <w:t>, annexe.</w:t>
      </w:r>
    </w:p>
  </w:footnote>
  <w:footnote w:id="19">
    <w:p w:rsidR="001C71E0" w:rsidRPr="00FB5668" w:rsidRDefault="001C71E0" w:rsidP="001C71E0">
      <w:pPr>
        <w:pStyle w:val="FootnoteText"/>
        <w:rPr>
          <w:lang w:val="fr-CA"/>
        </w:rPr>
      </w:pPr>
      <w:r w:rsidRPr="00FB5668">
        <w:rPr>
          <w:rStyle w:val="FootnoteReference"/>
          <w:lang w:val="fr-CA"/>
        </w:rPr>
        <w:footnoteRef/>
      </w:r>
      <w:r w:rsidRPr="00FB5668">
        <w:rPr>
          <w:lang w:val="fr-CA"/>
        </w:rPr>
        <w:t xml:space="preserve"> La République bolivarienne du Venezuela a soumis des pouvoirs après la publication du rapport sur les pouvoirs et un rapport révisé (</w:t>
      </w:r>
      <w:hyperlink r:id="rId6" w:history="1">
        <w:r w:rsidRPr="00FB5668">
          <w:rPr>
            <w:rStyle w:val="Hyperlink"/>
            <w:lang w:val="fr-CA"/>
          </w:rPr>
          <w:t>CBD/CP/MOP/11/INF/6/</w:t>
        </w:r>
        <w:proofErr w:type="spellStart"/>
        <w:r w:rsidRPr="00FB5668">
          <w:rPr>
            <w:rStyle w:val="Hyperlink"/>
            <w:lang w:val="fr-CA"/>
          </w:rPr>
          <w:t>Rev</w:t>
        </w:r>
        <w:proofErr w:type="spellEnd"/>
        <w:r w:rsidRPr="00FB5668">
          <w:rPr>
            <w:rStyle w:val="Hyperlink"/>
            <w:lang w:val="fr-CA"/>
          </w:rPr>
          <w:t>.1</w:t>
        </w:r>
      </w:hyperlink>
      <w:r w:rsidRPr="00FB5668">
        <w:rPr>
          <w:lang w:val="fr-CA"/>
        </w:rPr>
        <w:t>) a été publié avec des données actualisées le 26 novembre.</w:t>
      </w:r>
    </w:p>
  </w:footnote>
  <w:footnote w:id="20">
    <w:p w:rsidR="00DF3BD1" w:rsidRPr="00FB5668" w:rsidRDefault="00DF3BD1" w:rsidP="00DF3BD1">
      <w:pPr>
        <w:pStyle w:val="FootnoteText"/>
        <w:rPr>
          <w:lang w:val="fr-CA"/>
        </w:rPr>
      </w:pPr>
      <w:r w:rsidRPr="00FB5668">
        <w:rPr>
          <w:rStyle w:val="FootnoteReference"/>
          <w:lang w:val="fr-CA"/>
        </w:rPr>
        <w:footnoteRef/>
      </w:r>
      <w:r w:rsidRPr="00FB5668">
        <w:rPr>
          <w:lang w:val="fr-CA"/>
        </w:rPr>
        <w:t xml:space="preserve"> </w:t>
      </w:r>
      <w:r w:rsidRPr="00FB5668">
        <w:rPr>
          <w:rFonts w:asciiTheme="majorBidi" w:hAnsiTheme="majorBidi" w:cstheme="majorBidi"/>
          <w:lang w:val="fr-CA"/>
        </w:rPr>
        <w:t>CBD/SBSTTA/26/9.</w:t>
      </w:r>
    </w:p>
  </w:footnote>
  <w:footnote w:id="21">
    <w:p w:rsidR="0070457B" w:rsidRPr="00FB5668" w:rsidRDefault="0070457B">
      <w:pPr>
        <w:pStyle w:val="FootnoteText"/>
        <w:rPr>
          <w:lang w:val="fr-CA"/>
        </w:rPr>
      </w:pPr>
      <w:r w:rsidRPr="00FB5668">
        <w:rPr>
          <w:rStyle w:val="FootnoteReference"/>
          <w:lang w:val="fr-CA"/>
        </w:rPr>
        <w:footnoteRef/>
      </w:r>
      <w:r w:rsidRPr="00FB5668">
        <w:rPr>
          <w:lang w:val="fr-CA"/>
        </w:rPr>
        <w:t xml:space="preserve"> </w:t>
      </w:r>
      <w:r w:rsidRPr="00FB5668">
        <w:rPr>
          <w:snapToGrid w:val="0"/>
          <w:kern w:val="22"/>
          <w:szCs w:val="22"/>
          <w:lang w:val="fr-CA"/>
        </w:rPr>
        <w:t xml:space="preserve">CBD/SBI/4/17 et </w:t>
      </w:r>
      <w:r w:rsidRPr="00FB5668">
        <w:rPr>
          <w:rFonts w:asciiTheme="majorBidi" w:hAnsiTheme="majorBidi" w:cstheme="majorBidi"/>
          <w:lang w:val="fr-CA"/>
        </w:rPr>
        <w:t>CBD/SBI/5/4, respectivement.</w:t>
      </w:r>
    </w:p>
  </w:footnote>
  <w:footnote w:id="22">
    <w:p w:rsidR="00207B7C" w:rsidRPr="00FB5668" w:rsidRDefault="00207B7C">
      <w:pPr>
        <w:pStyle w:val="FootnoteText"/>
        <w:rPr>
          <w:lang w:val="fr-CA"/>
        </w:rPr>
      </w:pPr>
      <w:r w:rsidRPr="00FB5668">
        <w:rPr>
          <w:rStyle w:val="FootnoteReference"/>
          <w:lang w:val="fr-CA"/>
        </w:rPr>
        <w:footnoteRef/>
      </w:r>
      <w:r w:rsidRPr="00FB5668">
        <w:rPr>
          <w:lang w:val="fr-CA"/>
        </w:rPr>
        <w:t xml:space="preserve"> CBD/CP/MOP/11/2, point 5.</w:t>
      </w:r>
    </w:p>
  </w:footnote>
  <w:footnote w:id="23">
    <w:p w:rsidR="004E0973" w:rsidRPr="00FB5668" w:rsidRDefault="004E0973">
      <w:pPr>
        <w:pStyle w:val="FootnoteText"/>
        <w:rPr>
          <w:lang w:val="fr-CA"/>
        </w:rPr>
      </w:pPr>
      <w:r w:rsidRPr="00FB5668">
        <w:rPr>
          <w:rStyle w:val="FootnoteReference"/>
          <w:lang w:val="fr-CA"/>
        </w:rPr>
        <w:footnoteRef/>
      </w:r>
      <w:r w:rsidRPr="00FB5668">
        <w:rPr>
          <w:lang w:val="fr-CA"/>
        </w:rPr>
        <w:t xml:space="preserve"> </w:t>
      </w:r>
      <w:r w:rsidRPr="00FB5668">
        <w:rPr>
          <w:rFonts w:asciiTheme="majorBidi" w:eastAsia="MS Mincho" w:hAnsiTheme="majorBidi" w:cstheme="majorBidi"/>
          <w:color w:val="000000" w:themeColor="text1"/>
          <w:lang w:val="fr-CA"/>
        </w:rPr>
        <w:t>CBD/CP/MOP/11/3.</w:t>
      </w:r>
    </w:p>
  </w:footnote>
  <w:footnote w:id="24">
    <w:p w:rsidR="008B291B" w:rsidRPr="00FB5668" w:rsidRDefault="008B291B" w:rsidP="008B291B">
      <w:pPr>
        <w:pStyle w:val="FootnoteText"/>
        <w:rPr>
          <w:lang w:val="fr-CA"/>
        </w:rPr>
      </w:pPr>
      <w:r w:rsidRPr="00FB5668">
        <w:rPr>
          <w:rStyle w:val="FootnoteReference"/>
          <w:lang w:val="fr-CA"/>
        </w:rPr>
        <w:footnoteRef/>
      </w:r>
      <w:r w:rsidRPr="00FB5668">
        <w:rPr>
          <w:lang w:val="fr-CA"/>
        </w:rPr>
        <w:t xml:space="preserve"> </w:t>
      </w:r>
      <w:hyperlink r:id="rId7" w:history="1">
        <w:r w:rsidRPr="00FB5668">
          <w:rPr>
            <w:rStyle w:val="Hyperlink"/>
            <w:lang w:val="fr-CA"/>
          </w:rPr>
          <w:t>CBD/CP/MOP/11/INF/2</w:t>
        </w:r>
      </w:hyperlink>
      <w:r w:rsidRPr="00FB5668">
        <w:rPr>
          <w:lang w:val="fr-CA"/>
        </w:rPr>
        <w:t>.</w:t>
      </w:r>
    </w:p>
  </w:footnote>
  <w:footnote w:id="25">
    <w:p w:rsidR="00BF4643" w:rsidRPr="00FB5668" w:rsidRDefault="00BF4643">
      <w:pPr>
        <w:pStyle w:val="FootnoteText"/>
        <w:rPr>
          <w:lang w:val="fr-CA"/>
        </w:rPr>
      </w:pPr>
      <w:r w:rsidRPr="00FB5668">
        <w:rPr>
          <w:rStyle w:val="FootnoteReference"/>
          <w:lang w:val="fr-CA"/>
        </w:rPr>
        <w:footnoteRef/>
      </w:r>
      <w:r w:rsidRPr="00FB5668">
        <w:rPr>
          <w:lang w:val="fr-CA"/>
        </w:rPr>
        <w:t xml:space="preserve"> </w:t>
      </w:r>
      <w:r w:rsidRPr="00FB5668">
        <w:rPr>
          <w:snapToGrid w:val="0"/>
          <w:lang w:val="fr-CA"/>
        </w:rPr>
        <w:t>CBD/COP/16/4/</w:t>
      </w:r>
      <w:proofErr w:type="spellStart"/>
      <w:r w:rsidRPr="00FB5668">
        <w:rPr>
          <w:snapToGrid w:val="0"/>
          <w:lang w:val="fr-CA"/>
        </w:rPr>
        <w:t>Add</w:t>
      </w:r>
      <w:proofErr w:type="spellEnd"/>
      <w:r w:rsidRPr="00FB5668">
        <w:rPr>
          <w:snapToGrid w:val="0"/>
          <w:lang w:val="fr-CA"/>
        </w:rPr>
        <w:t>.1, point 7.</w:t>
      </w:r>
    </w:p>
  </w:footnote>
  <w:footnote w:id="26">
    <w:p w:rsidR="007E2135" w:rsidRPr="00FB5668" w:rsidRDefault="007E2135">
      <w:pPr>
        <w:pStyle w:val="FootnoteText"/>
        <w:rPr>
          <w:lang w:val="fr-CA"/>
        </w:rPr>
      </w:pPr>
      <w:r w:rsidRPr="00FB5668">
        <w:rPr>
          <w:rStyle w:val="FootnoteReference"/>
          <w:lang w:val="fr-CA"/>
        </w:rPr>
        <w:footnoteRef/>
      </w:r>
      <w:r w:rsidRPr="00FB5668">
        <w:rPr>
          <w:lang w:val="fr-CA"/>
        </w:rPr>
        <w:t xml:space="preserve"> </w:t>
      </w:r>
      <w:r w:rsidRPr="00FB5668">
        <w:rPr>
          <w:snapToGrid w:val="0"/>
          <w:lang w:val="fr-CA"/>
        </w:rPr>
        <w:t>CBD/CP/MOP/11/4.</w:t>
      </w:r>
    </w:p>
  </w:footnote>
  <w:footnote w:id="27">
    <w:p w:rsidR="007E2135" w:rsidRPr="00FB5668" w:rsidRDefault="007E2135">
      <w:pPr>
        <w:pStyle w:val="FootnoteText"/>
        <w:rPr>
          <w:lang w:val="fr-CA"/>
        </w:rPr>
      </w:pPr>
      <w:r w:rsidRPr="00FB5668">
        <w:rPr>
          <w:rStyle w:val="FootnoteReference"/>
          <w:lang w:val="fr-CA"/>
        </w:rPr>
        <w:footnoteRef/>
      </w:r>
      <w:r w:rsidRPr="00FB5668">
        <w:rPr>
          <w:lang w:val="fr-CA"/>
        </w:rPr>
        <w:t xml:space="preserve"> </w:t>
      </w:r>
      <w:r w:rsidRPr="00FB5668">
        <w:rPr>
          <w:snapToGrid w:val="0"/>
          <w:lang w:val="fr-CA"/>
        </w:rPr>
        <w:t>CBD/CP/MOP/11/5.</w:t>
      </w:r>
    </w:p>
  </w:footnote>
  <w:footnote w:id="28">
    <w:p w:rsidR="006F0978" w:rsidRPr="00FB5668" w:rsidRDefault="006F0978" w:rsidP="006F0978">
      <w:pPr>
        <w:pStyle w:val="FootnoteText"/>
        <w:rPr>
          <w:lang w:val="fr-CA"/>
        </w:rPr>
      </w:pPr>
      <w:r w:rsidRPr="00FB5668">
        <w:rPr>
          <w:rStyle w:val="FootnoteReference"/>
          <w:lang w:val="fr-CA"/>
        </w:rPr>
        <w:footnoteRef/>
      </w:r>
      <w:r w:rsidRPr="00FB5668">
        <w:rPr>
          <w:lang w:val="fr-CA"/>
        </w:rPr>
        <w:t xml:space="preserve"> CBD/CP/MOP/11/5/</w:t>
      </w:r>
      <w:proofErr w:type="spellStart"/>
      <w:r w:rsidRPr="00FB5668">
        <w:rPr>
          <w:lang w:val="fr-CA"/>
        </w:rPr>
        <w:t>Add</w:t>
      </w:r>
      <w:proofErr w:type="spellEnd"/>
      <w:r w:rsidRPr="00FB5668">
        <w:rPr>
          <w:lang w:val="fr-CA"/>
        </w:rPr>
        <w:t>.1.</w:t>
      </w:r>
    </w:p>
  </w:footnote>
  <w:footnote w:id="29">
    <w:p w:rsidR="005177C0" w:rsidRPr="00FB5668" w:rsidRDefault="005177C0">
      <w:pPr>
        <w:pStyle w:val="FootnoteText"/>
        <w:rPr>
          <w:lang w:val="fr-CA"/>
        </w:rPr>
      </w:pPr>
      <w:r w:rsidRPr="00FB5668">
        <w:rPr>
          <w:rStyle w:val="FootnoteReference"/>
          <w:lang w:val="fr-CA"/>
        </w:rPr>
        <w:footnoteRef/>
      </w:r>
      <w:r w:rsidRPr="00FB5668">
        <w:rPr>
          <w:lang w:val="fr-CA"/>
        </w:rPr>
        <w:t xml:space="preserve"> </w:t>
      </w:r>
      <w:r w:rsidRPr="00FB5668">
        <w:rPr>
          <w:rFonts w:asciiTheme="majorBidi" w:eastAsia="MS Mincho" w:hAnsiTheme="majorBidi" w:cstheme="majorBidi"/>
          <w:color w:val="000000"/>
          <w:kern w:val="22"/>
          <w:lang w:val="fr-CA"/>
        </w:rPr>
        <w:t>CBD/CP/MOP/11/5/</w:t>
      </w:r>
      <w:proofErr w:type="spellStart"/>
      <w:r w:rsidRPr="00FB5668">
        <w:rPr>
          <w:rFonts w:asciiTheme="majorBidi" w:eastAsia="MS Mincho" w:hAnsiTheme="majorBidi" w:cstheme="majorBidi"/>
          <w:color w:val="000000"/>
          <w:kern w:val="22"/>
          <w:lang w:val="fr-CA"/>
        </w:rPr>
        <w:t>Add</w:t>
      </w:r>
      <w:proofErr w:type="spellEnd"/>
      <w:r w:rsidRPr="00FB5668">
        <w:rPr>
          <w:rFonts w:asciiTheme="majorBidi" w:eastAsia="MS Mincho" w:hAnsiTheme="majorBidi" w:cstheme="majorBidi"/>
          <w:color w:val="000000"/>
          <w:kern w:val="22"/>
          <w:lang w:val="fr-CA"/>
        </w:rPr>
        <w:t>.2.</w:t>
      </w:r>
    </w:p>
  </w:footnote>
  <w:footnote w:id="30">
    <w:p w:rsidR="000D47B5" w:rsidRPr="00FB5668" w:rsidRDefault="000D47B5">
      <w:pPr>
        <w:pStyle w:val="FootnoteText"/>
        <w:rPr>
          <w:lang w:val="fr-CA"/>
        </w:rPr>
      </w:pPr>
      <w:r w:rsidRPr="00FB5668">
        <w:rPr>
          <w:rStyle w:val="FootnoteReference"/>
          <w:lang w:val="fr-CA"/>
        </w:rPr>
        <w:footnoteRef/>
      </w:r>
      <w:r w:rsidRPr="00FB5668">
        <w:rPr>
          <w:lang w:val="fr-CA"/>
        </w:rPr>
        <w:t xml:space="preserve"> CBD/CP/MOP/11/2, point 7.</w:t>
      </w:r>
    </w:p>
  </w:footnote>
  <w:footnote w:id="31">
    <w:p w:rsidR="000363D0" w:rsidRPr="00FB5668" w:rsidRDefault="000363D0" w:rsidP="000363D0">
      <w:pPr>
        <w:pStyle w:val="FootnoteText"/>
        <w:rPr>
          <w:lang w:val="fr-CA"/>
        </w:rPr>
      </w:pPr>
      <w:r w:rsidRPr="00FB5668">
        <w:rPr>
          <w:rStyle w:val="FootnoteReference"/>
          <w:lang w:val="fr-CA"/>
        </w:rPr>
        <w:footnoteRef/>
      </w:r>
      <w:r w:rsidRPr="00FB5668">
        <w:rPr>
          <w:lang w:val="fr-CA"/>
        </w:rPr>
        <w:t xml:space="preserve"> CBD/CP/MOP/11/6.</w:t>
      </w:r>
    </w:p>
  </w:footnote>
  <w:footnote w:id="32">
    <w:p w:rsidR="00740991" w:rsidRPr="00FB5668" w:rsidRDefault="00740991">
      <w:pPr>
        <w:pStyle w:val="FootnoteText"/>
        <w:rPr>
          <w:lang w:val="fr-CA"/>
        </w:rPr>
      </w:pPr>
      <w:r w:rsidRPr="00FB5668">
        <w:rPr>
          <w:rStyle w:val="FootnoteReference"/>
          <w:lang w:val="fr-CA"/>
        </w:rPr>
        <w:footnoteRef/>
      </w:r>
      <w:r w:rsidRPr="00FB5668">
        <w:rPr>
          <w:lang w:val="fr-CA"/>
        </w:rPr>
        <w:t xml:space="preserve"> CBD/CP/MOP/11/2, point 8.</w:t>
      </w:r>
    </w:p>
  </w:footnote>
  <w:footnote w:id="33">
    <w:p w:rsidR="007A6DE7" w:rsidRPr="00FB5668" w:rsidRDefault="007A6DE7" w:rsidP="007A6DE7">
      <w:pPr>
        <w:pStyle w:val="FootnoteText"/>
        <w:rPr>
          <w:lang w:val="fr-CA"/>
        </w:rPr>
      </w:pPr>
      <w:r w:rsidRPr="00FB5668">
        <w:rPr>
          <w:rStyle w:val="FootnoteReference"/>
          <w:lang w:val="fr-CA"/>
        </w:rPr>
        <w:footnoteRef/>
      </w:r>
      <w:r w:rsidRPr="00FB5668">
        <w:rPr>
          <w:lang w:val="fr-CA"/>
        </w:rPr>
        <w:t xml:space="preserve"> CBD/CP/MOP/11/7.</w:t>
      </w:r>
    </w:p>
  </w:footnote>
  <w:footnote w:id="34">
    <w:p w:rsidR="00FD13CC" w:rsidRPr="00FB5668" w:rsidRDefault="00FD13CC" w:rsidP="00FD13CC">
      <w:pPr>
        <w:pStyle w:val="FootnoteText"/>
        <w:rPr>
          <w:lang w:val="fr-CA"/>
        </w:rPr>
      </w:pPr>
      <w:r w:rsidRPr="00FB5668">
        <w:rPr>
          <w:rStyle w:val="FootnoteReference"/>
          <w:lang w:val="fr-CA"/>
        </w:rPr>
        <w:footnoteRef/>
      </w:r>
      <w:r w:rsidRPr="00FB5668">
        <w:rPr>
          <w:lang w:val="fr-CA"/>
        </w:rPr>
        <w:t xml:space="preserve"> CBD/CP/MOP/11/8/</w:t>
      </w:r>
      <w:proofErr w:type="spellStart"/>
      <w:r w:rsidRPr="00FB5668">
        <w:rPr>
          <w:lang w:val="fr-CA"/>
        </w:rPr>
        <w:t>Rev</w:t>
      </w:r>
      <w:proofErr w:type="spellEnd"/>
      <w:r w:rsidRPr="00FB5668">
        <w:rPr>
          <w:lang w:val="fr-CA"/>
        </w:rPr>
        <w:t>.1.</w:t>
      </w:r>
    </w:p>
  </w:footnote>
  <w:footnote w:id="35">
    <w:p w:rsidR="00F65A81" w:rsidRPr="00FB5668" w:rsidRDefault="00F65A81">
      <w:pPr>
        <w:pStyle w:val="FootnoteText"/>
        <w:rPr>
          <w:lang w:val="fr-CA"/>
        </w:rPr>
      </w:pPr>
      <w:r w:rsidRPr="00FB5668">
        <w:rPr>
          <w:rStyle w:val="FootnoteReference"/>
          <w:lang w:val="fr-CA"/>
        </w:rPr>
        <w:footnoteRef/>
      </w:r>
      <w:r w:rsidRPr="00FB5668">
        <w:rPr>
          <w:lang w:val="fr-CA"/>
        </w:rPr>
        <w:t xml:space="preserve"> CBD/CP/MOP/11/2, point 10.</w:t>
      </w:r>
    </w:p>
  </w:footnote>
  <w:footnote w:id="36">
    <w:p w:rsidR="008249AA" w:rsidRPr="00FB5668" w:rsidRDefault="008249AA">
      <w:pPr>
        <w:pStyle w:val="FootnoteText"/>
        <w:rPr>
          <w:lang w:val="fr-CA"/>
        </w:rPr>
      </w:pPr>
      <w:r w:rsidRPr="00FB5668">
        <w:rPr>
          <w:rStyle w:val="FootnoteReference"/>
          <w:lang w:val="fr-CA"/>
        </w:rPr>
        <w:footnoteRef/>
      </w:r>
      <w:r w:rsidRPr="00FB5668">
        <w:rPr>
          <w:lang w:val="fr-CA"/>
        </w:rPr>
        <w:t xml:space="preserve"> CBD/CP/MOP/11/2, point 11.</w:t>
      </w:r>
    </w:p>
  </w:footnote>
  <w:footnote w:id="37">
    <w:p w:rsidR="000D4E61" w:rsidRPr="00FB5668" w:rsidRDefault="000D4E61" w:rsidP="000D4E61">
      <w:pPr>
        <w:pStyle w:val="FootnoteText"/>
        <w:rPr>
          <w:lang w:val="fr-CA"/>
        </w:rPr>
      </w:pPr>
      <w:r w:rsidRPr="00FB5668">
        <w:rPr>
          <w:rStyle w:val="FootnoteReference"/>
          <w:lang w:val="fr-CA"/>
        </w:rPr>
        <w:footnoteRef/>
      </w:r>
      <w:r w:rsidRPr="00FB5668">
        <w:rPr>
          <w:lang w:val="fr-CA"/>
        </w:rPr>
        <w:t xml:space="preserve"> CBD/CP/MOP/11/9.</w:t>
      </w:r>
    </w:p>
  </w:footnote>
  <w:footnote w:id="38">
    <w:p w:rsidR="00883C50" w:rsidRPr="00FB5668" w:rsidRDefault="00883C50">
      <w:pPr>
        <w:pStyle w:val="FootnoteText"/>
        <w:rPr>
          <w:lang w:val="fr-CA"/>
        </w:rPr>
      </w:pPr>
      <w:r w:rsidRPr="00FB5668">
        <w:rPr>
          <w:rStyle w:val="FootnoteReference"/>
          <w:lang w:val="fr-CA"/>
        </w:rPr>
        <w:footnoteRef/>
      </w:r>
      <w:r w:rsidRPr="00FB5668">
        <w:rPr>
          <w:lang w:val="fr-CA"/>
        </w:rPr>
        <w:t xml:space="preserve"> CBD/CP/MOP/11/2, point 12.</w:t>
      </w:r>
    </w:p>
  </w:footnote>
  <w:footnote w:id="39">
    <w:p w:rsidR="002550B1" w:rsidRPr="00FB5668" w:rsidRDefault="002550B1">
      <w:pPr>
        <w:pStyle w:val="FootnoteText"/>
        <w:rPr>
          <w:lang w:val="fr-CA"/>
        </w:rPr>
      </w:pPr>
      <w:r w:rsidRPr="00FB5668">
        <w:rPr>
          <w:rStyle w:val="FootnoteReference"/>
          <w:lang w:val="fr-CA"/>
        </w:rPr>
        <w:footnoteRef/>
      </w:r>
      <w:r w:rsidRPr="00FB5668">
        <w:rPr>
          <w:lang w:val="fr-CA"/>
        </w:rPr>
        <w:t xml:space="preserve"> CBD/CP/MOP/11/2, point 13.</w:t>
      </w:r>
    </w:p>
  </w:footnote>
  <w:footnote w:id="40">
    <w:p w:rsidR="00022AA4" w:rsidRPr="00FB5668" w:rsidRDefault="00022AA4" w:rsidP="00022AA4">
      <w:pPr>
        <w:pStyle w:val="FootnoteText"/>
        <w:rPr>
          <w:lang w:val="fr-CA"/>
        </w:rPr>
      </w:pPr>
      <w:r w:rsidRPr="00FB5668">
        <w:rPr>
          <w:rStyle w:val="FootnoteReference"/>
          <w:lang w:val="fr-CA"/>
        </w:rPr>
        <w:footnoteRef/>
      </w:r>
      <w:r w:rsidRPr="00FB5668">
        <w:rPr>
          <w:lang w:val="fr-CA"/>
        </w:rPr>
        <w:t xml:space="preserve"> CBD/CP/MOP/11/10.</w:t>
      </w:r>
    </w:p>
  </w:footnote>
  <w:footnote w:id="41">
    <w:p w:rsidR="00D40F99" w:rsidRPr="00FB5668" w:rsidRDefault="00D40F99">
      <w:pPr>
        <w:pStyle w:val="FootnoteText"/>
        <w:rPr>
          <w:lang w:val="fr-CA"/>
        </w:rPr>
      </w:pPr>
      <w:r w:rsidRPr="00FB5668">
        <w:rPr>
          <w:rStyle w:val="FootnoteReference"/>
          <w:lang w:val="fr-CA"/>
        </w:rPr>
        <w:footnoteRef/>
      </w:r>
      <w:r w:rsidRPr="00FB5668">
        <w:rPr>
          <w:lang w:val="fr-CA"/>
        </w:rPr>
        <w:t xml:space="preserve"> CBD/CP/MOP/11/2, point 14.</w:t>
      </w:r>
    </w:p>
  </w:footnote>
  <w:footnote w:id="42">
    <w:p w:rsidR="001F3A26" w:rsidRPr="00FB5668" w:rsidRDefault="001F3A26" w:rsidP="001F3A26">
      <w:pPr>
        <w:pStyle w:val="FootnoteText"/>
        <w:rPr>
          <w:lang w:val="fr-CA"/>
        </w:rPr>
      </w:pPr>
      <w:r w:rsidRPr="00FB5668">
        <w:rPr>
          <w:rStyle w:val="FootnoteReference"/>
          <w:lang w:val="fr-CA"/>
        </w:rPr>
        <w:footnoteRef/>
      </w:r>
      <w:r w:rsidRPr="00FB5668">
        <w:rPr>
          <w:lang w:val="fr-CA"/>
        </w:rPr>
        <w:t xml:space="preserve"> CBD/CP/MOP/11/11.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19" w:name="_Hlk137802784"/>
  <w:bookmarkStart w:id="20" w:name="_Hlk137802785"/>
  <w:p w:rsidR="002B559C" w:rsidRPr="00AA1338" w:rsidRDefault="009E63C6"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115329" w:rsidRPr="00AA1338">
          <w:rPr>
            <w:sz w:val="20"/>
            <w:szCs w:val="20"/>
          </w:rPr>
          <w:t>CBD/CP/MOP/11/L.1/Rev.1</w:t>
        </w:r>
      </w:sdtContent>
    </w:sdt>
    <w:bookmarkEnd w:id="19"/>
    <w:bookmarkEnd w:id="20"/>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2B559C" w:rsidRPr="00AA1338" w:rsidRDefault="00115329" w:rsidP="002B559C">
        <w:pPr>
          <w:pBdr>
            <w:bottom w:val="single" w:sz="4" w:space="1" w:color="auto"/>
          </w:pBdr>
          <w:spacing w:after="240"/>
          <w:jc w:val="right"/>
          <w:rPr>
            <w:sz w:val="20"/>
            <w:szCs w:val="20"/>
          </w:rPr>
        </w:pPr>
        <w:r>
          <w:rPr>
            <w:sz w:val="20"/>
            <w:szCs w:val="20"/>
          </w:rPr>
          <w:t>CBD/CP/MOP/11/L.1/Rev.1</w:t>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52A" w:rsidRPr="00AA1338" w:rsidRDefault="004B552A" w:rsidP="004B552A">
    <w:pPr>
      <w:pStyle w:val="Header"/>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4B621F"/>
    <w:multiLevelType w:val="hybridMultilevel"/>
    <w:tmpl w:val="F2C04E5A"/>
    <w:lvl w:ilvl="0" w:tplc="0C0C000F">
      <w:start w:val="1"/>
      <w:numFmt w:val="decimal"/>
      <w:lvlText w:val="%1."/>
      <w:lvlJc w:val="left"/>
      <w:pPr>
        <w:ind w:left="1342" w:hanging="360"/>
      </w:pPr>
    </w:lvl>
    <w:lvl w:ilvl="1" w:tplc="0C0C0019" w:tentative="1">
      <w:start w:val="1"/>
      <w:numFmt w:val="lowerLetter"/>
      <w:lvlText w:val="%2."/>
      <w:lvlJc w:val="left"/>
      <w:pPr>
        <w:ind w:left="2062" w:hanging="360"/>
      </w:pPr>
    </w:lvl>
    <w:lvl w:ilvl="2" w:tplc="0C0C001B" w:tentative="1">
      <w:start w:val="1"/>
      <w:numFmt w:val="lowerRoman"/>
      <w:lvlText w:val="%3."/>
      <w:lvlJc w:val="right"/>
      <w:pPr>
        <w:ind w:left="2782" w:hanging="180"/>
      </w:pPr>
    </w:lvl>
    <w:lvl w:ilvl="3" w:tplc="0C0C000F" w:tentative="1">
      <w:start w:val="1"/>
      <w:numFmt w:val="decimal"/>
      <w:lvlText w:val="%4."/>
      <w:lvlJc w:val="left"/>
      <w:pPr>
        <w:ind w:left="3502" w:hanging="360"/>
      </w:pPr>
    </w:lvl>
    <w:lvl w:ilvl="4" w:tplc="0C0C0019" w:tentative="1">
      <w:start w:val="1"/>
      <w:numFmt w:val="lowerLetter"/>
      <w:lvlText w:val="%5."/>
      <w:lvlJc w:val="left"/>
      <w:pPr>
        <w:ind w:left="4222" w:hanging="360"/>
      </w:pPr>
    </w:lvl>
    <w:lvl w:ilvl="5" w:tplc="0C0C001B" w:tentative="1">
      <w:start w:val="1"/>
      <w:numFmt w:val="lowerRoman"/>
      <w:lvlText w:val="%6."/>
      <w:lvlJc w:val="right"/>
      <w:pPr>
        <w:ind w:left="4942" w:hanging="180"/>
      </w:pPr>
    </w:lvl>
    <w:lvl w:ilvl="6" w:tplc="0C0C000F" w:tentative="1">
      <w:start w:val="1"/>
      <w:numFmt w:val="decimal"/>
      <w:lvlText w:val="%7."/>
      <w:lvlJc w:val="left"/>
      <w:pPr>
        <w:ind w:left="5662" w:hanging="360"/>
      </w:pPr>
    </w:lvl>
    <w:lvl w:ilvl="7" w:tplc="0C0C0019" w:tentative="1">
      <w:start w:val="1"/>
      <w:numFmt w:val="lowerLetter"/>
      <w:lvlText w:val="%8."/>
      <w:lvlJc w:val="left"/>
      <w:pPr>
        <w:ind w:left="6382" w:hanging="360"/>
      </w:pPr>
    </w:lvl>
    <w:lvl w:ilvl="8" w:tplc="0C0C001B" w:tentative="1">
      <w:start w:val="1"/>
      <w:numFmt w:val="lowerRoman"/>
      <w:lvlText w:val="%9."/>
      <w:lvlJc w:val="right"/>
      <w:pPr>
        <w:ind w:left="7102" w:hanging="180"/>
      </w:pPr>
    </w:lvl>
  </w:abstractNum>
  <w:abstractNum w:abstractNumId="1">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nsid w:val="52402AAA"/>
    <w:multiLevelType w:val="singleLevel"/>
    <w:tmpl w:val="9EFE0B9E"/>
    <w:lvl w:ilvl="0">
      <w:start w:val="1"/>
      <w:numFmt w:val="lowerLetter"/>
      <w:lvlRestart w:val="0"/>
      <w:pStyle w:val="Para2"/>
      <w:lvlText w:val="(%1)"/>
      <w:lvlJc w:val="left"/>
      <w:pPr>
        <w:tabs>
          <w:tab w:val="num" w:pos="1080"/>
        </w:tabs>
        <w:ind w:firstLine="720"/>
      </w:pPr>
      <w:rPr>
        <w:rFonts w:cs="Times New Roman" w:hint="default"/>
        <w:b w:val="0"/>
        <w:i w:val="0"/>
      </w:rPr>
    </w:lvl>
  </w:abstractNum>
  <w:abstractNum w:abstractNumId="5">
    <w:nsid w:val="5D943BEE"/>
    <w:multiLevelType w:val="multilevel"/>
    <w:tmpl w:val="222A08B4"/>
    <w:numStyleLink w:val="ListCBD"/>
  </w:abstractNum>
  <w:abstractNum w:abstractNumId="6">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8"/>
  </w:num>
  <w:num w:numId="2">
    <w:abstractNumId w:val="1"/>
  </w:num>
  <w:num w:numId="3">
    <w:abstractNumId w:val="3"/>
  </w:num>
  <w:num w:numId="4">
    <w:abstractNumId w:val="7"/>
  </w:num>
  <w:num w:numId="5">
    <w:abstractNumId w:val="2"/>
  </w:num>
  <w:num w:numId="6">
    <w:abstractNumId w:val="6"/>
  </w:num>
  <w:num w:numId="7">
    <w:abstractNumId w:val="5"/>
  </w:num>
  <w:num w:numId="8">
    <w:abstractNumId w:val="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
    <w:abstractNumId w:val="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abstractNumId w:val="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
    <w:abstractNumId w:val="4"/>
  </w:num>
  <w:num w:numId="12">
    <w:abstractNumId w:val="0"/>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attachedTemplate r:id="rId1"/>
  <w:doNotTrackFormatting/>
  <w:defaultTabStop w:val="720"/>
  <w:hyphenationZone w:val="425"/>
  <w:evenAndOddHeaders/>
  <w:characterSpacingControl w:val="doNotCompress"/>
  <w:hdrShapeDefaults>
    <o:shapedefaults v:ext="edit" spidmax="8194"/>
  </w:hdrShapeDefaults>
  <w:footnotePr>
    <w:footnote w:id="-1"/>
    <w:footnote w:id="0"/>
    <w:footnote w:id="1"/>
  </w:footnotePr>
  <w:endnotePr>
    <w:endnote w:id="-1"/>
    <w:endnote w:id="0"/>
    <w:endnote w:id="1"/>
  </w:endnotePr>
  <w:compat/>
  <w:rsids>
    <w:rsidRoot w:val="00C859D1"/>
    <w:rsid w:val="000001F8"/>
    <w:rsid w:val="000008AD"/>
    <w:rsid w:val="000009D1"/>
    <w:rsid w:val="00000B1F"/>
    <w:rsid w:val="00000FDC"/>
    <w:rsid w:val="000011AB"/>
    <w:rsid w:val="00001250"/>
    <w:rsid w:val="00002B05"/>
    <w:rsid w:val="00003E20"/>
    <w:rsid w:val="00004DAA"/>
    <w:rsid w:val="00005AFF"/>
    <w:rsid w:val="00005BCE"/>
    <w:rsid w:val="000103F2"/>
    <w:rsid w:val="00010727"/>
    <w:rsid w:val="00010881"/>
    <w:rsid w:val="00011450"/>
    <w:rsid w:val="00012DE3"/>
    <w:rsid w:val="00013DB2"/>
    <w:rsid w:val="00014A86"/>
    <w:rsid w:val="00016AA5"/>
    <w:rsid w:val="00016B57"/>
    <w:rsid w:val="000174F9"/>
    <w:rsid w:val="00017B5D"/>
    <w:rsid w:val="00020E2E"/>
    <w:rsid w:val="00022AA4"/>
    <w:rsid w:val="0002373F"/>
    <w:rsid w:val="000243FD"/>
    <w:rsid w:val="0002491C"/>
    <w:rsid w:val="00024982"/>
    <w:rsid w:val="00025E82"/>
    <w:rsid w:val="000301D9"/>
    <w:rsid w:val="00030297"/>
    <w:rsid w:val="00030465"/>
    <w:rsid w:val="00030AC4"/>
    <w:rsid w:val="0003203C"/>
    <w:rsid w:val="00033DB3"/>
    <w:rsid w:val="00034A4C"/>
    <w:rsid w:val="00035500"/>
    <w:rsid w:val="000363D0"/>
    <w:rsid w:val="00040598"/>
    <w:rsid w:val="00040D0B"/>
    <w:rsid w:val="0004115E"/>
    <w:rsid w:val="00042345"/>
    <w:rsid w:val="0004334E"/>
    <w:rsid w:val="00043CF0"/>
    <w:rsid w:val="00043E83"/>
    <w:rsid w:val="000448CB"/>
    <w:rsid w:val="000456E7"/>
    <w:rsid w:val="00045A72"/>
    <w:rsid w:val="00047D4D"/>
    <w:rsid w:val="00051B37"/>
    <w:rsid w:val="00051B8E"/>
    <w:rsid w:val="0005487B"/>
    <w:rsid w:val="000579E1"/>
    <w:rsid w:val="00057A92"/>
    <w:rsid w:val="00060111"/>
    <w:rsid w:val="00060BCD"/>
    <w:rsid w:val="00060C68"/>
    <w:rsid w:val="00062CC1"/>
    <w:rsid w:val="00064EBA"/>
    <w:rsid w:val="00064F64"/>
    <w:rsid w:val="00065326"/>
    <w:rsid w:val="0006532F"/>
    <w:rsid w:val="0006715F"/>
    <w:rsid w:val="00067189"/>
    <w:rsid w:val="000709B6"/>
    <w:rsid w:val="00070EAC"/>
    <w:rsid w:val="0007149A"/>
    <w:rsid w:val="000714E6"/>
    <w:rsid w:val="0007157A"/>
    <w:rsid w:val="00074C6C"/>
    <w:rsid w:val="00075B94"/>
    <w:rsid w:val="00076608"/>
    <w:rsid w:val="00076AD4"/>
    <w:rsid w:val="00080541"/>
    <w:rsid w:val="000824B8"/>
    <w:rsid w:val="000830F6"/>
    <w:rsid w:val="00083650"/>
    <w:rsid w:val="00083FD2"/>
    <w:rsid w:val="00084964"/>
    <w:rsid w:val="00086066"/>
    <w:rsid w:val="0008720D"/>
    <w:rsid w:val="00090089"/>
    <w:rsid w:val="000903A7"/>
    <w:rsid w:val="00092A78"/>
    <w:rsid w:val="00093ADA"/>
    <w:rsid w:val="000944AD"/>
    <w:rsid w:val="000953AE"/>
    <w:rsid w:val="00095616"/>
    <w:rsid w:val="00096D69"/>
    <w:rsid w:val="00096E44"/>
    <w:rsid w:val="000976E3"/>
    <w:rsid w:val="000A0B73"/>
    <w:rsid w:val="000A0CE9"/>
    <w:rsid w:val="000A1BC6"/>
    <w:rsid w:val="000A1ECB"/>
    <w:rsid w:val="000A2701"/>
    <w:rsid w:val="000A285D"/>
    <w:rsid w:val="000A2D7F"/>
    <w:rsid w:val="000A3C84"/>
    <w:rsid w:val="000A3F7A"/>
    <w:rsid w:val="000A3FCC"/>
    <w:rsid w:val="000A422E"/>
    <w:rsid w:val="000A435E"/>
    <w:rsid w:val="000A4D75"/>
    <w:rsid w:val="000A5A1E"/>
    <w:rsid w:val="000A5DC5"/>
    <w:rsid w:val="000A62CB"/>
    <w:rsid w:val="000A66C2"/>
    <w:rsid w:val="000A7BAC"/>
    <w:rsid w:val="000B13D5"/>
    <w:rsid w:val="000B433B"/>
    <w:rsid w:val="000B4DFE"/>
    <w:rsid w:val="000B4E83"/>
    <w:rsid w:val="000B5D52"/>
    <w:rsid w:val="000B6714"/>
    <w:rsid w:val="000B69D1"/>
    <w:rsid w:val="000B734B"/>
    <w:rsid w:val="000C180C"/>
    <w:rsid w:val="000C25A0"/>
    <w:rsid w:val="000C25A5"/>
    <w:rsid w:val="000C25DE"/>
    <w:rsid w:val="000C2759"/>
    <w:rsid w:val="000C34E1"/>
    <w:rsid w:val="000C4370"/>
    <w:rsid w:val="000C54F7"/>
    <w:rsid w:val="000C74F9"/>
    <w:rsid w:val="000D16A5"/>
    <w:rsid w:val="000D47B5"/>
    <w:rsid w:val="000D4E61"/>
    <w:rsid w:val="000D4F1B"/>
    <w:rsid w:val="000D648B"/>
    <w:rsid w:val="000D6591"/>
    <w:rsid w:val="000D6B03"/>
    <w:rsid w:val="000D6E91"/>
    <w:rsid w:val="000E1404"/>
    <w:rsid w:val="000E1810"/>
    <w:rsid w:val="000E3CF8"/>
    <w:rsid w:val="000E4CCD"/>
    <w:rsid w:val="000E4D43"/>
    <w:rsid w:val="000E7539"/>
    <w:rsid w:val="000E7BA0"/>
    <w:rsid w:val="000E7F83"/>
    <w:rsid w:val="000F054D"/>
    <w:rsid w:val="000F0E94"/>
    <w:rsid w:val="000F16F9"/>
    <w:rsid w:val="000F1F57"/>
    <w:rsid w:val="000F3090"/>
    <w:rsid w:val="000F5346"/>
    <w:rsid w:val="000F55B7"/>
    <w:rsid w:val="000F5F1C"/>
    <w:rsid w:val="000F6361"/>
    <w:rsid w:val="000F6FBB"/>
    <w:rsid w:val="000F70FA"/>
    <w:rsid w:val="000F7213"/>
    <w:rsid w:val="000F773B"/>
    <w:rsid w:val="000F7F8A"/>
    <w:rsid w:val="00102F79"/>
    <w:rsid w:val="001038CE"/>
    <w:rsid w:val="00103ED5"/>
    <w:rsid w:val="00105E1E"/>
    <w:rsid w:val="00106AD0"/>
    <w:rsid w:val="00112162"/>
    <w:rsid w:val="00112CC6"/>
    <w:rsid w:val="00113BD7"/>
    <w:rsid w:val="0011497F"/>
    <w:rsid w:val="00114EA8"/>
    <w:rsid w:val="00115329"/>
    <w:rsid w:val="00116307"/>
    <w:rsid w:val="0011702E"/>
    <w:rsid w:val="001173F7"/>
    <w:rsid w:val="001179B7"/>
    <w:rsid w:val="00117D3A"/>
    <w:rsid w:val="0012068A"/>
    <w:rsid w:val="00122024"/>
    <w:rsid w:val="00123376"/>
    <w:rsid w:val="001233FE"/>
    <w:rsid w:val="00123463"/>
    <w:rsid w:val="00123FEF"/>
    <w:rsid w:val="001244A2"/>
    <w:rsid w:val="00124F20"/>
    <w:rsid w:val="00125160"/>
    <w:rsid w:val="00125A40"/>
    <w:rsid w:val="001264D5"/>
    <w:rsid w:val="00126B99"/>
    <w:rsid w:val="001274B6"/>
    <w:rsid w:val="00127EE6"/>
    <w:rsid w:val="00127F29"/>
    <w:rsid w:val="00131910"/>
    <w:rsid w:val="00132581"/>
    <w:rsid w:val="00132C81"/>
    <w:rsid w:val="001332FA"/>
    <w:rsid w:val="001346B3"/>
    <w:rsid w:val="00136F8A"/>
    <w:rsid w:val="00137121"/>
    <w:rsid w:val="00140021"/>
    <w:rsid w:val="0014075A"/>
    <w:rsid w:val="00143C7A"/>
    <w:rsid w:val="0014784B"/>
    <w:rsid w:val="001478D9"/>
    <w:rsid w:val="00147CE6"/>
    <w:rsid w:val="00147DF8"/>
    <w:rsid w:val="00151C26"/>
    <w:rsid w:val="00152821"/>
    <w:rsid w:val="00153EAE"/>
    <w:rsid w:val="0015441A"/>
    <w:rsid w:val="00154D76"/>
    <w:rsid w:val="001558EC"/>
    <w:rsid w:val="00155DD1"/>
    <w:rsid w:val="0015660B"/>
    <w:rsid w:val="00156EBD"/>
    <w:rsid w:val="00157F6F"/>
    <w:rsid w:val="00162592"/>
    <w:rsid w:val="001632C7"/>
    <w:rsid w:val="001633F8"/>
    <w:rsid w:val="00163993"/>
    <w:rsid w:val="00163D1D"/>
    <w:rsid w:val="00164246"/>
    <w:rsid w:val="00165881"/>
    <w:rsid w:val="00167F60"/>
    <w:rsid w:val="00171C6C"/>
    <w:rsid w:val="00171C84"/>
    <w:rsid w:val="001723F2"/>
    <w:rsid w:val="001729CC"/>
    <w:rsid w:val="00173260"/>
    <w:rsid w:val="001736CA"/>
    <w:rsid w:val="00174869"/>
    <w:rsid w:val="00174920"/>
    <w:rsid w:val="00174C69"/>
    <w:rsid w:val="00174DC4"/>
    <w:rsid w:val="00175744"/>
    <w:rsid w:val="0017633A"/>
    <w:rsid w:val="00176EF3"/>
    <w:rsid w:val="0017742C"/>
    <w:rsid w:val="00182866"/>
    <w:rsid w:val="0018355D"/>
    <w:rsid w:val="00183BB7"/>
    <w:rsid w:val="001842F0"/>
    <w:rsid w:val="00184909"/>
    <w:rsid w:val="00185D1B"/>
    <w:rsid w:val="00187E36"/>
    <w:rsid w:val="00191171"/>
    <w:rsid w:val="001919AF"/>
    <w:rsid w:val="00191B8B"/>
    <w:rsid w:val="00191C16"/>
    <w:rsid w:val="00193052"/>
    <w:rsid w:val="00193CB8"/>
    <w:rsid w:val="00195FE4"/>
    <w:rsid w:val="0019772A"/>
    <w:rsid w:val="00197820"/>
    <w:rsid w:val="001A0034"/>
    <w:rsid w:val="001A04BF"/>
    <w:rsid w:val="001A11CB"/>
    <w:rsid w:val="001A1719"/>
    <w:rsid w:val="001A1A04"/>
    <w:rsid w:val="001A2205"/>
    <w:rsid w:val="001A2449"/>
    <w:rsid w:val="001A2565"/>
    <w:rsid w:val="001A34E6"/>
    <w:rsid w:val="001A6DD6"/>
    <w:rsid w:val="001A7813"/>
    <w:rsid w:val="001B0424"/>
    <w:rsid w:val="001B0530"/>
    <w:rsid w:val="001B138C"/>
    <w:rsid w:val="001B153E"/>
    <w:rsid w:val="001B19A3"/>
    <w:rsid w:val="001B272B"/>
    <w:rsid w:val="001B27F1"/>
    <w:rsid w:val="001B4D7A"/>
    <w:rsid w:val="001B58EC"/>
    <w:rsid w:val="001B619A"/>
    <w:rsid w:val="001B78BD"/>
    <w:rsid w:val="001B7F63"/>
    <w:rsid w:val="001C1AE5"/>
    <w:rsid w:val="001C1D8A"/>
    <w:rsid w:val="001C1EF4"/>
    <w:rsid w:val="001C320F"/>
    <w:rsid w:val="001C3225"/>
    <w:rsid w:val="001C40F9"/>
    <w:rsid w:val="001C5985"/>
    <w:rsid w:val="001C5E3D"/>
    <w:rsid w:val="001C60C8"/>
    <w:rsid w:val="001C6824"/>
    <w:rsid w:val="001C6B05"/>
    <w:rsid w:val="001C71E0"/>
    <w:rsid w:val="001D2459"/>
    <w:rsid w:val="001D2D16"/>
    <w:rsid w:val="001D2DD0"/>
    <w:rsid w:val="001D56DB"/>
    <w:rsid w:val="001D7BB9"/>
    <w:rsid w:val="001E1D93"/>
    <w:rsid w:val="001E2F4B"/>
    <w:rsid w:val="001E389B"/>
    <w:rsid w:val="001E3E90"/>
    <w:rsid w:val="001E448E"/>
    <w:rsid w:val="001E4566"/>
    <w:rsid w:val="001E6A05"/>
    <w:rsid w:val="001F0248"/>
    <w:rsid w:val="001F079B"/>
    <w:rsid w:val="001F08B5"/>
    <w:rsid w:val="001F1A75"/>
    <w:rsid w:val="001F209D"/>
    <w:rsid w:val="001F2A1A"/>
    <w:rsid w:val="001F2EA3"/>
    <w:rsid w:val="001F3A26"/>
    <w:rsid w:val="001F3F0A"/>
    <w:rsid w:val="001F3F92"/>
    <w:rsid w:val="001F762D"/>
    <w:rsid w:val="002009BD"/>
    <w:rsid w:val="00200A51"/>
    <w:rsid w:val="00200D17"/>
    <w:rsid w:val="00201CC1"/>
    <w:rsid w:val="00202BFD"/>
    <w:rsid w:val="0020331A"/>
    <w:rsid w:val="002039C1"/>
    <w:rsid w:val="00204E8B"/>
    <w:rsid w:val="00207736"/>
    <w:rsid w:val="00207B7C"/>
    <w:rsid w:val="002102C5"/>
    <w:rsid w:val="00211F68"/>
    <w:rsid w:val="0021219F"/>
    <w:rsid w:val="0021241E"/>
    <w:rsid w:val="00212F2F"/>
    <w:rsid w:val="002133DA"/>
    <w:rsid w:val="0021344F"/>
    <w:rsid w:val="00213780"/>
    <w:rsid w:val="0021408A"/>
    <w:rsid w:val="0021488E"/>
    <w:rsid w:val="00214B5F"/>
    <w:rsid w:val="00214C3A"/>
    <w:rsid w:val="00214D12"/>
    <w:rsid w:val="00215857"/>
    <w:rsid w:val="00215B99"/>
    <w:rsid w:val="00215FC5"/>
    <w:rsid w:val="002170D6"/>
    <w:rsid w:val="00217796"/>
    <w:rsid w:val="00221DFE"/>
    <w:rsid w:val="002259F5"/>
    <w:rsid w:val="00226A4A"/>
    <w:rsid w:val="0023094B"/>
    <w:rsid w:val="00233AEC"/>
    <w:rsid w:val="00233E34"/>
    <w:rsid w:val="00234D17"/>
    <w:rsid w:val="0023543A"/>
    <w:rsid w:val="002355ED"/>
    <w:rsid w:val="00235A6A"/>
    <w:rsid w:val="00236944"/>
    <w:rsid w:val="002437BA"/>
    <w:rsid w:val="0024417F"/>
    <w:rsid w:val="002446C9"/>
    <w:rsid w:val="00244774"/>
    <w:rsid w:val="00244F30"/>
    <w:rsid w:val="00245947"/>
    <w:rsid w:val="002468E0"/>
    <w:rsid w:val="002472F9"/>
    <w:rsid w:val="00247DC6"/>
    <w:rsid w:val="0025062E"/>
    <w:rsid w:val="00252AE4"/>
    <w:rsid w:val="002530CE"/>
    <w:rsid w:val="00253A54"/>
    <w:rsid w:val="002550B1"/>
    <w:rsid w:val="002559A4"/>
    <w:rsid w:val="00256861"/>
    <w:rsid w:val="002572A4"/>
    <w:rsid w:val="00257B18"/>
    <w:rsid w:val="00260381"/>
    <w:rsid w:val="00260D9F"/>
    <w:rsid w:val="00260E0B"/>
    <w:rsid w:val="002619BD"/>
    <w:rsid w:val="00262BA1"/>
    <w:rsid w:val="002630BF"/>
    <w:rsid w:val="002639D4"/>
    <w:rsid w:val="00264248"/>
    <w:rsid w:val="002656B1"/>
    <w:rsid w:val="002659D5"/>
    <w:rsid w:val="002659EE"/>
    <w:rsid w:val="00265D46"/>
    <w:rsid w:val="002667D4"/>
    <w:rsid w:val="00266D7B"/>
    <w:rsid w:val="00267369"/>
    <w:rsid w:val="00272C63"/>
    <w:rsid w:val="00275921"/>
    <w:rsid w:val="00277657"/>
    <w:rsid w:val="002807DC"/>
    <w:rsid w:val="0028086E"/>
    <w:rsid w:val="00281878"/>
    <w:rsid w:val="00282024"/>
    <w:rsid w:val="00283009"/>
    <w:rsid w:val="00285780"/>
    <w:rsid w:val="0028646E"/>
    <w:rsid w:val="00287378"/>
    <w:rsid w:val="00287B32"/>
    <w:rsid w:val="0029008A"/>
    <w:rsid w:val="00290BAF"/>
    <w:rsid w:val="00291781"/>
    <w:rsid w:val="00291D23"/>
    <w:rsid w:val="0029297A"/>
    <w:rsid w:val="00292B1E"/>
    <w:rsid w:val="00293CC8"/>
    <w:rsid w:val="002958CC"/>
    <w:rsid w:val="0029718A"/>
    <w:rsid w:val="00297255"/>
    <w:rsid w:val="002A0866"/>
    <w:rsid w:val="002A2A23"/>
    <w:rsid w:val="002A458C"/>
    <w:rsid w:val="002A529C"/>
    <w:rsid w:val="002A54F4"/>
    <w:rsid w:val="002A5A2B"/>
    <w:rsid w:val="002A5F62"/>
    <w:rsid w:val="002A740C"/>
    <w:rsid w:val="002A7E1F"/>
    <w:rsid w:val="002B00CA"/>
    <w:rsid w:val="002B015D"/>
    <w:rsid w:val="002B0E50"/>
    <w:rsid w:val="002B15CF"/>
    <w:rsid w:val="002B161A"/>
    <w:rsid w:val="002B1D2E"/>
    <w:rsid w:val="002B1FC9"/>
    <w:rsid w:val="002B2047"/>
    <w:rsid w:val="002B2996"/>
    <w:rsid w:val="002B2DDE"/>
    <w:rsid w:val="002B382D"/>
    <w:rsid w:val="002B38F5"/>
    <w:rsid w:val="002B4709"/>
    <w:rsid w:val="002B559C"/>
    <w:rsid w:val="002B6ED1"/>
    <w:rsid w:val="002B714B"/>
    <w:rsid w:val="002B7BE1"/>
    <w:rsid w:val="002C019E"/>
    <w:rsid w:val="002C0AB0"/>
    <w:rsid w:val="002C1B10"/>
    <w:rsid w:val="002C273F"/>
    <w:rsid w:val="002C2FE5"/>
    <w:rsid w:val="002C4809"/>
    <w:rsid w:val="002C4EF1"/>
    <w:rsid w:val="002C589A"/>
    <w:rsid w:val="002C5984"/>
    <w:rsid w:val="002C656B"/>
    <w:rsid w:val="002C65CC"/>
    <w:rsid w:val="002C7190"/>
    <w:rsid w:val="002D1876"/>
    <w:rsid w:val="002D1A51"/>
    <w:rsid w:val="002D202F"/>
    <w:rsid w:val="002D21D8"/>
    <w:rsid w:val="002D2790"/>
    <w:rsid w:val="002D27D9"/>
    <w:rsid w:val="002D402A"/>
    <w:rsid w:val="002D42D0"/>
    <w:rsid w:val="002D5579"/>
    <w:rsid w:val="002D561A"/>
    <w:rsid w:val="002D6803"/>
    <w:rsid w:val="002D69EF"/>
    <w:rsid w:val="002D6AAF"/>
    <w:rsid w:val="002D70BE"/>
    <w:rsid w:val="002D7EA8"/>
    <w:rsid w:val="002E0734"/>
    <w:rsid w:val="002E0B5E"/>
    <w:rsid w:val="002E23E8"/>
    <w:rsid w:val="002E72E5"/>
    <w:rsid w:val="002F1038"/>
    <w:rsid w:val="002F2308"/>
    <w:rsid w:val="002F3486"/>
    <w:rsid w:val="002F3E86"/>
    <w:rsid w:val="002F44FD"/>
    <w:rsid w:val="002F50DF"/>
    <w:rsid w:val="002F61C8"/>
    <w:rsid w:val="002F6C61"/>
    <w:rsid w:val="002F76E7"/>
    <w:rsid w:val="003002F4"/>
    <w:rsid w:val="0030044E"/>
    <w:rsid w:val="00300817"/>
    <w:rsid w:val="00300CC1"/>
    <w:rsid w:val="00302775"/>
    <w:rsid w:val="003031E2"/>
    <w:rsid w:val="00304C20"/>
    <w:rsid w:val="00304FF9"/>
    <w:rsid w:val="003057C1"/>
    <w:rsid w:val="00305E28"/>
    <w:rsid w:val="0030684B"/>
    <w:rsid w:val="00306E1A"/>
    <w:rsid w:val="00310410"/>
    <w:rsid w:val="00310608"/>
    <w:rsid w:val="003106D1"/>
    <w:rsid w:val="003127EC"/>
    <w:rsid w:val="00313FE3"/>
    <w:rsid w:val="003152EB"/>
    <w:rsid w:val="00316781"/>
    <w:rsid w:val="00316C1D"/>
    <w:rsid w:val="003171D4"/>
    <w:rsid w:val="003200AB"/>
    <w:rsid w:val="00320549"/>
    <w:rsid w:val="00320A08"/>
    <w:rsid w:val="0032130D"/>
    <w:rsid w:val="00323F22"/>
    <w:rsid w:val="003242BD"/>
    <w:rsid w:val="00325671"/>
    <w:rsid w:val="003263D5"/>
    <w:rsid w:val="0032775F"/>
    <w:rsid w:val="00330DEA"/>
    <w:rsid w:val="00331B4F"/>
    <w:rsid w:val="003334F2"/>
    <w:rsid w:val="00334413"/>
    <w:rsid w:val="0033445F"/>
    <w:rsid w:val="003349E4"/>
    <w:rsid w:val="00336C3F"/>
    <w:rsid w:val="00336E6E"/>
    <w:rsid w:val="0033711F"/>
    <w:rsid w:val="0033718E"/>
    <w:rsid w:val="0034007E"/>
    <w:rsid w:val="003405AD"/>
    <w:rsid w:val="00342119"/>
    <w:rsid w:val="00342651"/>
    <w:rsid w:val="0034273A"/>
    <w:rsid w:val="00342B37"/>
    <w:rsid w:val="0034322D"/>
    <w:rsid w:val="00344A6A"/>
    <w:rsid w:val="00344C6A"/>
    <w:rsid w:val="0034625E"/>
    <w:rsid w:val="003476A9"/>
    <w:rsid w:val="00347F25"/>
    <w:rsid w:val="00350E21"/>
    <w:rsid w:val="0035127C"/>
    <w:rsid w:val="00351372"/>
    <w:rsid w:val="00351C22"/>
    <w:rsid w:val="00352E75"/>
    <w:rsid w:val="0035318C"/>
    <w:rsid w:val="003532C4"/>
    <w:rsid w:val="0035381A"/>
    <w:rsid w:val="00353FDA"/>
    <w:rsid w:val="00354FA1"/>
    <w:rsid w:val="00355F9F"/>
    <w:rsid w:val="00356047"/>
    <w:rsid w:val="00356924"/>
    <w:rsid w:val="00356A53"/>
    <w:rsid w:val="00356C27"/>
    <w:rsid w:val="00357198"/>
    <w:rsid w:val="00360382"/>
    <w:rsid w:val="00361661"/>
    <w:rsid w:val="00362FB6"/>
    <w:rsid w:val="00364AA7"/>
    <w:rsid w:val="00366543"/>
    <w:rsid w:val="00366A66"/>
    <w:rsid w:val="00367AB2"/>
    <w:rsid w:val="00367D4D"/>
    <w:rsid w:val="00367F3C"/>
    <w:rsid w:val="003703DE"/>
    <w:rsid w:val="00370E99"/>
    <w:rsid w:val="00371C42"/>
    <w:rsid w:val="00372EE7"/>
    <w:rsid w:val="00373FA5"/>
    <w:rsid w:val="0037543C"/>
    <w:rsid w:val="00376A8A"/>
    <w:rsid w:val="00377528"/>
    <w:rsid w:val="003817A9"/>
    <w:rsid w:val="00382290"/>
    <w:rsid w:val="00382596"/>
    <w:rsid w:val="00383F78"/>
    <w:rsid w:val="00386EC3"/>
    <w:rsid w:val="00386FCD"/>
    <w:rsid w:val="003873D4"/>
    <w:rsid w:val="00390537"/>
    <w:rsid w:val="0039062E"/>
    <w:rsid w:val="003907C7"/>
    <w:rsid w:val="00390872"/>
    <w:rsid w:val="00390EE6"/>
    <w:rsid w:val="00390F6D"/>
    <w:rsid w:val="0039118D"/>
    <w:rsid w:val="00391489"/>
    <w:rsid w:val="0039181E"/>
    <w:rsid w:val="0039204A"/>
    <w:rsid w:val="00392785"/>
    <w:rsid w:val="00392FF8"/>
    <w:rsid w:val="003932C1"/>
    <w:rsid w:val="00394B8B"/>
    <w:rsid w:val="00394E70"/>
    <w:rsid w:val="00395884"/>
    <w:rsid w:val="00395D70"/>
    <w:rsid w:val="00396327"/>
    <w:rsid w:val="003A0B9E"/>
    <w:rsid w:val="003A10B3"/>
    <w:rsid w:val="003A1D18"/>
    <w:rsid w:val="003A39B0"/>
    <w:rsid w:val="003A3DDD"/>
    <w:rsid w:val="003A53C3"/>
    <w:rsid w:val="003A53FD"/>
    <w:rsid w:val="003A5F76"/>
    <w:rsid w:val="003A668C"/>
    <w:rsid w:val="003A6925"/>
    <w:rsid w:val="003A6A94"/>
    <w:rsid w:val="003B0604"/>
    <w:rsid w:val="003B10AB"/>
    <w:rsid w:val="003B26FD"/>
    <w:rsid w:val="003B3573"/>
    <w:rsid w:val="003B4857"/>
    <w:rsid w:val="003B6212"/>
    <w:rsid w:val="003B6BF3"/>
    <w:rsid w:val="003B736C"/>
    <w:rsid w:val="003C002D"/>
    <w:rsid w:val="003C079A"/>
    <w:rsid w:val="003C0A75"/>
    <w:rsid w:val="003C0F0A"/>
    <w:rsid w:val="003C1BEA"/>
    <w:rsid w:val="003C2C3B"/>
    <w:rsid w:val="003C4451"/>
    <w:rsid w:val="003C4A68"/>
    <w:rsid w:val="003C4D97"/>
    <w:rsid w:val="003C4FA7"/>
    <w:rsid w:val="003C51D3"/>
    <w:rsid w:val="003C6E20"/>
    <w:rsid w:val="003C6F10"/>
    <w:rsid w:val="003C75C5"/>
    <w:rsid w:val="003D03B9"/>
    <w:rsid w:val="003D04E7"/>
    <w:rsid w:val="003D069E"/>
    <w:rsid w:val="003D1870"/>
    <w:rsid w:val="003D22D7"/>
    <w:rsid w:val="003D240E"/>
    <w:rsid w:val="003D359A"/>
    <w:rsid w:val="003D3A68"/>
    <w:rsid w:val="003D3E92"/>
    <w:rsid w:val="003D62DE"/>
    <w:rsid w:val="003D6731"/>
    <w:rsid w:val="003D6FE8"/>
    <w:rsid w:val="003D748F"/>
    <w:rsid w:val="003D7DB4"/>
    <w:rsid w:val="003E3210"/>
    <w:rsid w:val="003E44D0"/>
    <w:rsid w:val="003E44D7"/>
    <w:rsid w:val="003E5517"/>
    <w:rsid w:val="003E5C01"/>
    <w:rsid w:val="003E6A9F"/>
    <w:rsid w:val="003E717B"/>
    <w:rsid w:val="003F0082"/>
    <w:rsid w:val="003F0B34"/>
    <w:rsid w:val="003F428E"/>
    <w:rsid w:val="003F4885"/>
    <w:rsid w:val="003F4A35"/>
    <w:rsid w:val="003F6858"/>
    <w:rsid w:val="003F69A1"/>
    <w:rsid w:val="003F6F72"/>
    <w:rsid w:val="003F77F3"/>
    <w:rsid w:val="003F7C9F"/>
    <w:rsid w:val="00400010"/>
    <w:rsid w:val="00402040"/>
    <w:rsid w:val="00402798"/>
    <w:rsid w:val="00404B5C"/>
    <w:rsid w:val="00404DB0"/>
    <w:rsid w:val="00406035"/>
    <w:rsid w:val="004063FA"/>
    <w:rsid w:val="00414F8C"/>
    <w:rsid w:val="00415323"/>
    <w:rsid w:val="00416906"/>
    <w:rsid w:val="00416C76"/>
    <w:rsid w:val="00417524"/>
    <w:rsid w:val="00420EDD"/>
    <w:rsid w:val="00421456"/>
    <w:rsid w:val="004217C1"/>
    <w:rsid w:val="00423B16"/>
    <w:rsid w:val="00424B2A"/>
    <w:rsid w:val="00425F19"/>
    <w:rsid w:val="004268A5"/>
    <w:rsid w:val="0042712B"/>
    <w:rsid w:val="00430A2B"/>
    <w:rsid w:val="00430A75"/>
    <w:rsid w:val="00431A9C"/>
    <w:rsid w:val="00432050"/>
    <w:rsid w:val="004335E2"/>
    <w:rsid w:val="004338B9"/>
    <w:rsid w:val="0043420D"/>
    <w:rsid w:val="00435A96"/>
    <w:rsid w:val="00435E81"/>
    <w:rsid w:val="004362D4"/>
    <w:rsid w:val="0043718E"/>
    <w:rsid w:val="004372B3"/>
    <w:rsid w:val="00437ED1"/>
    <w:rsid w:val="00441E5C"/>
    <w:rsid w:val="00442C4B"/>
    <w:rsid w:val="0044363C"/>
    <w:rsid w:val="00445062"/>
    <w:rsid w:val="00445AE3"/>
    <w:rsid w:val="00445BEA"/>
    <w:rsid w:val="004462F2"/>
    <w:rsid w:val="004470B8"/>
    <w:rsid w:val="004476FB"/>
    <w:rsid w:val="004517F8"/>
    <w:rsid w:val="00451DFE"/>
    <w:rsid w:val="004521A0"/>
    <w:rsid w:val="004526FA"/>
    <w:rsid w:val="004566F3"/>
    <w:rsid w:val="00456AE4"/>
    <w:rsid w:val="004570B9"/>
    <w:rsid w:val="00460D9A"/>
    <w:rsid w:val="004616CB"/>
    <w:rsid w:val="004631EB"/>
    <w:rsid w:val="00463779"/>
    <w:rsid w:val="00463BFB"/>
    <w:rsid w:val="00466E54"/>
    <w:rsid w:val="004701EE"/>
    <w:rsid w:val="00470496"/>
    <w:rsid w:val="00470634"/>
    <w:rsid w:val="00471154"/>
    <w:rsid w:val="00471CB8"/>
    <w:rsid w:val="00473709"/>
    <w:rsid w:val="00473903"/>
    <w:rsid w:val="00473A27"/>
    <w:rsid w:val="00474A1A"/>
    <w:rsid w:val="00476E03"/>
    <w:rsid w:val="00477D2C"/>
    <w:rsid w:val="00480D97"/>
    <w:rsid w:val="00481567"/>
    <w:rsid w:val="0048219F"/>
    <w:rsid w:val="00482682"/>
    <w:rsid w:val="00483A69"/>
    <w:rsid w:val="00484381"/>
    <w:rsid w:val="0048440F"/>
    <w:rsid w:val="0048497B"/>
    <w:rsid w:val="00484CBD"/>
    <w:rsid w:val="00485887"/>
    <w:rsid w:val="00486FCE"/>
    <w:rsid w:val="004875E9"/>
    <w:rsid w:val="0049232B"/>
    <w:rsid w:val="0049344D"/>
    <w:rsid w:val="00494706"/>
    <w:rsid w:val="00494B79"/>
    <w:rsid w:val="00494F66"/>
    <w:rsid w:val="0049593E"/>
    <w:rsid w:val="004962F7"/>
    <w:rsid w:val="00496479"/>
    <w:rsid w:val="00496944"/>
    <w:rsid w:val="00496C71"/>
    <w:rsid w:val="00497538"/>
    <w:rsid w:val="0049771C"/>
    <w:rsid w:val="00497D9A"/>
    <w:rsid w:val="004A0193"/>
    <w:rsid w:val="004A01E6"/>
    <w:rsid w:val="004A085B"/>
    <w:rsid w:val="004A118C"/>
    <w:rsid w:val="004A1A8D"/>
    <w:rsid w:val="004A279C"/>
    <w:rsid w:val="004A2A2D"/>
    <w:rsid w:val="004A4653"/>
    <w:rsid w:val="004A515C"/>
    <w:rsid w:val="004A5870"/>
    <w:rsid w:val="004A5928"/>
    <w:rsid w:val="004A5E02"/>
    <w:rsid w:val="004A6F38"/>
    <w:rsid w:val="004A734C"/>
    <w:rsid w:val="004A77AF"/>
    <w:rsid w:val="004B0886"/>
    <w:rsid w:val="004B20E9"/>
    <w:rsid w:val="004B23A6"/>
    <w:rsid w:val="004B2B90"/>
    <w:rsid w:val="004B3A3D"/>
    <w:rsid w:val="004B3E10"/>
    <w:rsid w:val="004B4247"/>
    <w:rsid w:val="004B4EE2"/>
    <w:rsid w:val="004B5462"/>
    <w:rsid w:val="004B552A"/>
    <w:rsid w:val="004B59E1"/>
    <w:rsid w:val="004B5D31"/>
    <w:rsid w:val="004B7AAB"/>
    <w:rsid w:val="004B7E53"/>
    <w:rsid w:val="004C204E"/>
    <w:rsid w:val="004C28CE"/>
    <w:rsid w:val="004C2B98"/>
    <w:rsid w:val="004C460B"/>
    <w:rsid w:val="004C6AB1"/>
    <w:rsid w:val="004C6E0C"/>
    <w:rsid w:val="004C7B8A"/>
    <w:rsid w:val="004D225E"/>
    <w:rsid w:val="004D3DA1"/>
    <w:rsid w:val="004D3E0D"/>
    <w:rsid w:val="004D488B"/>
    <w:rsid w:val="004D4AA4"/>
    <w:rsid w:val="004D5EEA"/>
    <w:rsid w:val="004D7069"/>
    <w:rsid w:val="004D77BE"/>
    <w:rsid w:val="004E0973"/>
    <w:rsid w:val="004E1939"/>
    <w:rsid w:val="004E1BBC"/>
    <w:rsid w:val="004E1F47"/>
    <w:rsid w:val="004E26AC"/>
    <w:rsid w:val="004E2F25"/>
    <w:rsid w:val="004E4C24"/>
    <w:rsid w:val="004E5C77"/>
    <w:rsid w:val="004E65D4"/>
    <w:rsid w:val="004E7055"/>
    <w:rsid w:val="004E71D9"/>
    <w:rsid w:val="004F01C4"/>
    <w:rsid w:val="004F044F"/>
    <w:rsid w:val="004F1455"/>
    <w:rsid w:val="004F15BE"/>
    <w:rsid w:val="004F34C0"/>
    <w:rsid w:val="004F37F0"/>
    <w:rsid w:val="004F422E"/>
    <w:rsid w:val="004F5285"/>
    <w:rsid w:val="004F67D2"/>
    <w:rsid w:val="004F7087"/>
    <w:rsid w:val="004F71F6"/>
    <w:rsid w:val="0050239C"/>
    <w:rsid w:val="00503C95"/>
    <w:rsid w:val="00503C98"/>
    <w:rsid w:val="00503F74"/>
    <w:rsid w:val="0050474C"/>
    <w:rsid w:val="00504A35"/>
    <w:rsid w:val="00505E79"/>
    <w:rsid w:val="00505EC7"/>
    <w:rsid w:val="005068CC"/>
    <w:rsid w:val="00506914"/>
    <w:rsid w:val="00507DDD"/>
    <w:rsid w:val="0051003B"/>
    <w:rsid w:val="00510BE9"/>
    <w:rsid w:val="00511150"/>
    <w:rsid w:val="00511B45"/>
    <w:rsid w:val="00512136"/>
    <w:rsid w:val="00512CE8"/>
    <w:rsid w:val="00512EE5"/>
    <w:rsid w:val="00513D7B"/>
    <w:rsid w:val="005151A0"/>
    <w:rsid w:val="005156B1"/>
    <w:rsid w:val="00515745"/>
    <w:rsid w:val="00516BBC"/>
    <w:rsid w:val="00516ED7"/>
    <w:rsid w:val="005177C0"/>
    <w:rsid w:val="00520000"/>
    <w:rsid w:val="00520467"/>
    <w:rsid w:val="00520598"/>
    <w:rsid w:val="0052089A"/>
    <w:rsid w:val="0052139A"/>
    <w:rsid w:val="00522669"/>
    <w:rsid w:val="00522961"/>
    <w:rsid w:val="005230A0"/>
    <w:rsid w:val="00523669"/>
    <w:rsid w:val="005236AD"/>
    <w:rsid w:val="00523E07"/>
    <w:rsid w:val="005247E2"/>
    <w:rsid w:val="005259A0"/>
    <w:rsid w:val="00526550"/>
    <w:rsid w:val="005304C9"/>
    <w:rsid w:val="00531721"/>
    <w:rsid w:val="0053275D"/>
    <w:rsid w:val="00532A76"/>
    <w:rsid w:val="00532C83"/>
    <w:rsid w:val="00533165"/>
    <w:rsid w:val="005357D7"/>
    <w:rsid w:val="00535E0D"/>
    <w:rsid w:val="00535E0F"/>
    <w:rsid w:val="00535E8A"/>
    <w:rsid w:val="005364D9"/>
    <w:rsid w:val="00537248"/>
    <w:rsid w:val="00537419"/>
    <w:rsid w:val="00541AA8"/>
    <w:rsid w:val="00545117"/>
    <w:rsid w:val="00546525"/>
    <w:rsid w:val="00546A24"/>
    <w:rsid w:val="00547C8B"/>
    <w:rsid w:val="00550394"/>
    <w:rsid w:val="00551650"/>
    <w:rsid w:val="00552E57"/>
    <w:rsid w:val="00553515"/>
    <w:rsid w:val="00553DC5"/>
    <w:rsid w:val="0055617E"/>
    <w:rsid w:val="00556CF2"/>
    <w:rsid w:val="00557370"/>
    <w:rsid w:val="00557A5E"/>
    <w:rsid w:val="00561F0C"/>
    <w:rsid w:val="0056265D"/>
    <w:rsid w:val="00562F74"/>
    <w:rsid w:val="00563AC9"/>
    <w:rsid w:val="00564BF7"/>
    <w:rsid w:val="00564DB2"/>
    <w:rsid w:val="00564E9F"/>
    <w:rsid w:val="00564FEE"/>
    <w:rsid w:val="00565270"/>
    <w:rsid w:val="005655B4"/>
    <w:rsid w:val="0056750E"/>
    <w:rsid w:val="00567941"/>
    <w:rsid w:val="00570913"/>
    <w:rsid w:val="0057103F"/>
    <w:rsid w:val="00571172"/>
    <w:rsid w:val="00572E1A"/>
    <w:rsid w:val="00573FBD"/>
    <w:rsid w:val="00574CA3"/>
    <w:rsid w:val="00575A16"/>
    <w:rsid w:val="005769CE"/>
    <w:rsid w:val="005779EB"/>
    <w:rsid w:val="00580DCF"/>
    <w:rsid w:val="00580F2D"/>
    <w:rsid w:val="00581804"/>
    <w:rsid w:val="00584E4F"/>
    <w:rsid w:val="005852BD"/>
    <w:rsid w:val="00586722"/>
    <w:rsid w:val="00586D77"/>
    <w:rsid w:val="00587309"/>
    <w:rsid w:val="00590B00"/>
    <w:rsid w:val="0059131D"/>
    <w:rsid w:val="0059159D"/>
    <w:rsid w:val="00592CD5"/>
    <w:rsid w:val="005930E9"/>
    <w:rsid w:val="00593470"/>
    <w:rsid w:val="00593933"/>
    <w:rsid w:val="00594B4E"/>
    <w:rsid w:val="0059523D"/>
    <w:rsid w:val="00596821"/>
    <w:rsid w:val="00596EE4"/>
    <w:rsid w:val="005A0118"/>
    <w:rsid w:val="005A05C8"/>
    <w:rsid w:val="005A089C"/>
    <w:rsid w:val="005A0B25"/>
    <w:rsid w:val="005A116F"/>
    <w:rsid w:val="005A1F8C"/>
    <w:rsid w:val="005A206E"/>
    <w:rsid w:val="005A209C"/>
    <w:rsid w:val="005A3209"/>
    <w:rsid w:val="005A3C23"/>
    <w:rsid w:val="005A4CF5"/>
    <w:rsid w:val="005A56EB"/>
    <w:rsid w:val="005A60E8"/>
    <w:rsid w:val="005B1CCB"/>
    <w:rsid w:val="005B1F83"/>
    <w:rsid w:val="005B22F5"/>
    <w:rsid w:val="005B3385"/>
    <w:rsid w:val="005B4E4B"/>
    <w:rsid w:val="005B54E4"/>
    <w:rsid w:val="005B7E5E"/>
    <w:rsid w:val="005C0045"/>
    <w:rsid w:val="005C20DB"/>
    <w:rsid w:val="005C26FD"/>
    <w:rsid w:val="005C291A"/>
    <w:rsid w:val="005C337C"/>
    <w:rsid w:val="005C4A83"/>
    <w:rsid w:val="005C4D7E"/>
    <w:rsid w:val="005C694D"/>
    <w:rsid w:val="005C6F0C"/>
    <w:rsid w:val="005D01EB"/>
    <w:rsid w:val="005D0398"/>
    <w:rsid w:val="005D0B8B"/>
    <w:rsid w:val="005D2CD5"/>
    <w:rsid w:val="005D5039"/>
    <w:rsid w:val="005D551F"/>
    <w:rsid w:val="005E0329"/>
    <w:rsid w:val="005E05A9"/>
    <w:rsid w:val="005E17F3"/>
    <w:rsid w:val="005E2605"/>
    <w:rsid w:val="005E30AC"/>
    <w:rsid w:val="005E3308"/>
    <w:rsid w:val="005E44DA"/>
    <w:rsid w:val="005E4A59"/>
    <w:rsid w:val="005E6457"/>
    <w:rsid w:val="005E6703"/>
    <w:rsid w:val="005E6B9C"/>
    <w:rsid w:val="005F004F"/>
    <w:rsid w:val="005F1066"/>
    <w:rsid w:val="005F12BA"/>
    <w:rsid w:val="005F26EF"/>
    <w:rsid w:val="005F3251"/>
    <w:rsid w:val="005F4E87"/>
    <w:rsid w:val="005F5F00"/>
    <w:rsid w:val="005F6331"/>
    <w:rsid w:val="005F6573"/>
    <w:rsid w:val="005F6883"/>
    <w:rsid w:val="005F6A00"/>
    <w:rsid w:val="005F73BA"/>
    <w:rsid w:val="006024A7"/>
    <w:rsid w:val="006031EF"/>
    <w:rsid w:val="00603DFD"/>
    <w:rsid w:val="00603F8B"/>
    <w:rsid w:val="00605200"/>
    <w:rsid w:val="006077F3"/>
    <w:rsid w:val="00610C79"/>
    <w:rsid w:val="006123EF"/>
    <w:rsid w:val="0061367A"/>
    <w:rsid w:val="006143F6"/>
    <w:rsid w:val="00614F60"/>
    <w:rsid w:val="00615138"/>
    <w:rsid w:val="00616159"/>
    <w:rsid w:val="00616B9C"/>
    <w:rsid w:val="00617168"/>
    <w:rsid w:val="00617E25"/>
    <w:rsid w:val="00620CD7"/>
    <w:rsid w:val="00620D2D"/>
    <w:rsid w:val="00621920"/>
    <w:rsid w:val="00622057"/>
    <w:rsid w:val="00622D03"/>
    <w:rsid w:val="006236F9"/>
    <w:rsid w:val="006240F3"/>
    <w:rsid w:val="006246CB"/>
    <w:rsid w:val="00624784"/>
    <w:rsid w:val="006256A6"/>
    <w:rsid w:val="00625C9B"/>
    <w:rsid w:val="006265BB"/>
    <w:rsid w:val="00627404"/>
    <w:rsid w:val="006305AE"/>
    <w:rsid w:val="006306BA"/>
    <w:rsid w:val="006314DB"/>
    <w:rsid w:val="00631EE7"/>
    <w:rsid w:val="0063251F"/>
    <w:rsid w:val="0063335D"/>
    <w:rsid w:val="00637608"/>
    <w:rsid w:val="00637962"/>
    <w:rsid w:val="006418D5"/>
    <w:rsid w:val="006419E5"/>
    <w:rsid w:val="00642413"/>
    <w:rsid w:val="00642A26"/>
    <w:rsid w:val="00643E3D"/>
    <w:rsid w:val="006443BD"/>
    <w:rsid w:val="00644AD7"/>
    <w:rsid w:val="0064552E"/>
    <w:rsid w:val="0064559A"/>
    <w:rsid w:val="006456F1"/>
    <w:rsid w:val="00650039"/>
    <w:rsid w:val="006523B3"/>
    <w:rsid w:val="0065526C"/>
    <w:rsid w:val="00655BD3"/>
    <w:rsid w:val="00655D19"/>
    <w:rsid w:val="00657ED6"/>
    <w:rsid w:val="00660948"/>
    <w:rsid w:val="0066179A"/>
    <w:rsid w:val="00661BF2"/>
    <w:rsid w:val="00661C36"/>
    <w:rsid w:val="00663D2C"/>
    <w:rsid w:val="0066402B"/>
    <w:rsid w:val="00665474"/>
    <w:rsid w:val="00666286"/>
    <w:rsid w:val="00666782"/>
    <w:rsid w:val="006667CD"/>
    <w:rsid w:val="00666E24"/>
    <w:rsid w:val="006709B5"/>
    <w:rsid w:val="00670C74"/>
    <w:rsid w:val="00671289"/>
    <w:rsid w:val="006720BE"/>
    <w:rsid w:val="0067368A"/>
    <w:rsid w:val="00675221"/>
    <w:rsid w:val="00675373"/>
    <w:rsid w:val="006759C1"/>
    <w:rsid w:val="00675F55"/>
    <w:rsid w:val="0067600B"/>
    <w:rsid w:val="0067671B"/>
    <w:rsid w:val="006800DF"/>
    <w:rsid w:val="00680593"/>
    <w:rsid w:val="00680FB6"/>
    <w:rsid w:val="0068175F"/>
    <w:rsid w:val="006826F9"/>
    <w:rsid w:val="0068292C"/>
    <w:rsid w:val="00682E81"/>
    <w:rsid w:val="0068334D"/>
    <w:rsid w:val="006839F0"/>
    <w:rsid w:val="00684117"/>
    <w:rsid w:val="00684AAF"/>
    <w:rsid w:val="00684CF0"/>
    <w:rsid w:val="00684E3A"/>
    <w:rsid w:val="00685DFD"/>
    <w:rsid w:val="0068687A"/>
    <w:rsid w:val="00687670"/>
    <w:rsid w:val="006905B0"/>
    <w:rsid w:val="0069082E"/>
    <w:rsid w:val="00690B67"/>
    <w:rsid w:val="00690F39"/>
    <w:rsid w:val="00691611"/>
    <w:rsid w:val="00691CFA"/>
    <w:rsid w:val="00694C51"/>
    <w:rsid w:val="006954EA"/>
    <w:rsid w:val="00696A42"/>
    <w:rsid w:val="006A1264"/>
    <w:rsid w:val="006A13A8"/>
    <w:rsid w:val="006A1C71"/>
    <w:rsid w:val="006A24E7"/>
    <w:rsid w:val="006A25D9"/>
    <w:rsid w:val="006A2906"/>
    <w:rsid w:val="006A2EB7"/>
    <w:rsid w:val="006A3C15"/>
    <w:rsid w:val="006A4402"/>
    <w:rsid w:val="006A5260"/>
    <w:rsid w:val="006A6489"/>
    <w:rsid w:val="006A6821"/>
    <w:rsid w:val="006A6C73"/>
    <w:rsid w:val="006A75CD"/>
    <w:rsid w:val="006B040D"/>
    <w:rsid w:val="006B058A"/>
    <w:rsid w:val="006B0911"/>
    <w:rsid w:val="006B0F6D"/>
    <w:rsid w:val="006B12B2"/>
    <w:rsid w:val="006B17C1"/>
    <w:rsid w:val="006B234D"/>
    <w:rsid w:val="006B293D"/>
    <w:rsid w:val="006B30B9"/>
    <w:rsid w:val="006B32A8"/>
    <w:rsid w:val="006B3324"/>
    <w:rsid w:val="006B49C8"/>
    <w:rsid w:val="006B50B3"/>
    <w:rsid w:val="006B5209"/>
    <w:rsid w:val="006B5368"/>
    <w:rsid w:val="006B604A"/>
    <w:rsid w:val="006B673C"/>
    <w:rsid w:val="006B723A"/>
    <w:rsid w:val="006C0D76"/>
    <w:rsid w:val="006C0F84"/>
    <w:rsid w:val="006C12B1"/>
    <w:rsid w:val="006C13BA"/>
    <w:rsid w:val="006C41E6"/>
    <w:rsid w:val="006D0150"/>
    <w:rsid w:val="006D050E"/>
    <w:rsid w:val="006D05A6"/>
    <w:rsid w:val="006D06EC"/>
    <w:rsid w:val="006D1FC0"/>
    <w:rsid w:val="006D2225"/>
    <w:rsid w:val="006D253B"/>
    <w:rsid w:val="006D29BB"/>
    <w:rsid w:val="006D3402"/>
    <w:rsid w:val="006D45E0"/>
    <w:rsid w:val="006D4817"/>
    <w:rsid w:val="006D4E67"/>
    <w:rsid w:val="006D57A3"/>
    <w:rsid w:val="006D57E9"/>
    <w:rsid w:val="006D6C59"/>
    <w:rsid w:val="006D752D"/>
    <w:rsid w:val="006E02DD"/>
    <w:rsid w:val="006E0832"/>
    <w:rsid w:val="006E0C34"/>
    <w:rsid w:val="006E1286"/>
    <w:rsid w:val="006E32DA"/>
    <w:rsid w:val="006E4489"/>
    <w:rsid w:val="006E44B4"/>
    <w:rsid w:val="006E5EBE"/>
    <w:rsid w:val="006E71FA"/>
    <w:rsid w:val="006E7820"/>
    <w:rsid w:val="006F0978"/>
    <w:rsid w:val="006F11C3"/>
    <w:rsid w:val="006F22B0"/>
    <w:rsid w:val="006F3B36"/>
    <w:rsid w:val="006F40D4"/>
    <w:rsid w:val="006F5712"/>
    <w:rsid w:val="006F5DDC"/>
    <w:rsid w:val="006F7367"/>
    <w:rsid w:val="006F791E"/>
    <w:rsid w:val="006F7F9D"/>
    <w:rsid w:val="00700727"/>
    <w:rsid w:val="007008FC"/>
    <w:rsid w:val="00700A64"/>
    <w:rsid w:val="00700DF9"/>
    <w:rsid w:val="00703450"/>
    <w:rsid w:val="007037D8"/>
    <w:rsid w:val="007040FA"/>
    <w:rsid w:val="0070457B"/>
    <w:rsid w:val="00705BE1"/>
    <w:rsid w:val="007067C5"/>
    <w:rsid w:val="00706B7F"/>
    <w:rsid w:val="00707845"/>
    <w:rsid w:val="00707FE7"/>
    <w:rsid w:val="00710C3A"/>
    <w:rsid w:val="007119DC"/>
    <w:rsid w:val="00711B73"/>
    <w:rsid w:val="0071333C"/>
    <w:rsid w:val="007140A9"/>
    <w:rsid w:val="00715BAD"/>
    <w:rsid w:val="00715BD2"/>
    <w:rsid w:val="00715F12"/>
    <w:rsid w:val="007161D8"/>
    <w:rsid w:val="007165A2"/>
    <w:rsid w:val="00716EED"/>
    <w:rsid w:val="00717823"/>
    <w:rsid w:val="00720B14"/>
    <w:rsid w:val="00720C98"/>
    <w:rsid w:val="00721649"/>
    <w:rsid w:val="007227C5"/>
    <w:rsid w:val="00722CB6"/>
    <w:rsid w:val="00722E81"/>
    <w:rsid w:val="00723C08"/>
    <w:rsid w:val="007244A4"/>
    <w:rsid w:val="00726568"/>
    <w:rsid w:val="00726736"/>
    <w:rsid w:val="007300CB"/>
    <w:rsid w:val="00730751"/>
    <w:rsid w:val="0073107A"/>
    <w:rsid w:val="00731B58"/>
    <w:rsid w:val="00733754"/>
    <w:rsid w:val="00733940"/>
    <w:rsid w:val="00735005"/>
    <w:rsid w:val="00736694"/>
    <w:rsid w:val="00736DCA"/>
    <w:rsid w:val="007379BE"/>
    <w:rsid w:val="00737A96"/>
    <w:rsid w:val="00740534"/>
    <w:rsid w:val="00740991"/>
    <w:rsid w:val="00740E50"/>
    <w:rsid w:val="0074200E"/>
    <w:rsid w:val="00742AC8"/>
    <w:rsid w:val="0074412F"/>
    <w:rsid w:val="00745147"/>
    <w:rsid w:val="00746721"/>
    <w:rsid w:val="00746C94"/>
    <w:rsid w:val="00753156"/>
    <w:rsid w:val="00753BAC"/>
    <w:rsid w:val="00754166"/>
    <w:rsid w:val="00754214"/>
    <w:rsid w:val="007544E8"/>
    <w:rsid w:val="0075458F"/>
    <w:rsid w:val="00754801"/>
    <w:rsid w:val="007553C1"/>
    <w:rsid w:val="00755C10"/>
    <w:rsid w:val="00755D74"/>
    <w:rsid w:val="007605DD"/>
    <w:rsid w:val="00761BBE"/>
    <w:rsid w:val="00764EAD"/>
    <w:rsid w:val="007659D7"/>
    <w:rsid w:val="00765A58"/>
    <w:rsid w:val="0076668C"/>
    <w:rsid w:val="00766756"/>
    <w:rsid w:val="007668D6"/>
    <w:rsid w:val="007671BA"/>
    <w:rsid w:val="0076734A"/>
    <w:rsid w:val="00767F72"/>
    <w:rsid w:val="00770822"/>
    <w:rsid w:val="007731F3"/>
    <w:rsid w:val="00774673"/>
    <w:rsid w:val="007751E8"/>
    <w:rsid w:val="00776848"/>
    <w:rsid w:val="0078196D"/>
    <w:rsid w:val="00782D7B"/>
    <w:rsid w:val="00783751"/>
    <w:rsid w:val="0078500E"/>
    <w:rsid w:val="007853F5"/>
    <w:rsid w:val="0078682D"/>
    <w:rsid w:val="00786865"/>
    <w:rsid w:val="00786C61"/>
    <w:rsid w:val="00791F0E"/>
    <w:rsid w:val="00793F47"/>
    <w:rsid w:val="00794029"/>
    <w:rsid w:val="007956C4"/>
    <w:rsid w:val="00796045"/>
    <w:rsid w:val="007A04DA"/>
    <w:rsid w:val="007A0F38"/>
    <w:rsid w:val="007A0FC7"/>
    <w:rsid w:val="007A2787"/>
    <w:rsid w:val="007A2895"/>
    <w:rsid w:val="007A51BA"/>
    <w:rsid w:val="007A58E6"/>
    <w:rsid w:val="007A62D0"/>
    <w:rsid w:val="007A6DE7"/>
    <w:rsid w:val="007A7247"/>
    <w:rsid w:val="007A7EBD"/>
    <w:rsid w:val="007A7ED7"/>
    <w:rsid w:val="007B0359"/>
    <w:rsid w:val="007B1B95"/>
    <w:rsid w:val="007B4273"/>
    <w:rsid w:val="007B4341"/>
    <w:rsid w:val="007B4840"/>
    <w:rsid w:val="007B5061"/>
    <w:rsid w:val="007B55D5"/>
    <w:rsid w:val="007B58CE"/>
    <w:rsid w:val="007B60F1"/>
    <w:rsid w:val="007B6395"/>
    <w:rsid w:val="007C1056"/>
    <w:rsid w:val="007C234F"/>
    <w:rsid w:val="007C40EA"/>
    <w:rsid w:val="007C4292"/>
    <w:rsid w:val="007C4A5D"/>
    <w:rsid w:val="007C4D34"/>
    <w:rsid w:val="007C5764"/>
    <w:rsid w:val="007C65DA"/>
    <w:rsid w:val="007C77BC"/>
    <w:rsid w:val="007D0624"/>
    <w:rsid w:val="007D2021"/>
    <w:rsid w:val="007D22B3"/>
    <w:rsid w:val="007D23A7"/>
    <w:rsid w:val="007D2B41"/>
    <w:rsid w:val="007D4E7F"/>
    <w:rsid w:val="007D5AC9"/>
    <w:rsid w:val="007E1020"/>
    <w:rsid w:val="007E12C0"/>
    <w:rsid w:val="007E1698"/>
    <w:rsid w:val="007E1DB9"/>
    <w:rsid w:val="007E1F85"/>
    <w:rsid w:val="007E2135"/>
    <w:rsid w:val="007E2342"/>
    <w:rsid w:val="007E2863"/>
    <w:rsid w:val="007E29D9"/>
    <w:rsid w:val="007E32C8"/>
    <w:rsid w:val="007E518E"/>
    <w:rsid w:val="007E593C"/>
    <w:rsid w:val="007F0EC9"/>
    <w:rsid w:val="007F103B"/>
    <w:rsid w:val="007F2922"/>
    <w:rsid w:val="007F4236"/>
    <w:rsid w:val="007F4656"/>
    <w:rsid w:val="007F53D7"/>
    <w:rsid w:val="007F5725"/>
    <w:rsid w:val="007F6452"/>
    <w:rsid w:val="007F6BFD"/>
    <w:rsid w:val="007F7E8B"/>
    <w:rsid w:val="0080009F"/>
    <w:rsid w:val="0080049C"/>
    <w:rsid w:val="00800A4D"/>
    <w:rsid w:val="008014D7"/>
    <w:rsid w:val="00803510"/>
    <w:rsid w:val="008047B0"/>
    <w:rsid w:val="00804BA8"/>
    <w:rsid w:val="00805292"/>
    <w:rsid w:val="00805689"/>
    <w:rsid w:val="008060B6"/>
    <w:rsid w:val="0080647C"/>
    <w:rsid w:val="00806BDD"/>
    <w:rsid w:val="008079B4"/>
    <w:rsid w:val="00810EE4"/>
    <w:rsid w:val="00812EE8"/>
    <w:rsid w:val="00814249"/>
    <w:rsid w:val="0081493B"/>
    <w:rsid w:val="00814D5C"/>
    <w:rsid w:val="00814E04"/>
    <w:rsid w:val="0081553B"/>
    <w:rsid w:val="00816F6C"/>
    <w:rsid w:val="00816FD4"/>
    <w:rsid w:val="00821AFC"/>
    <w:rsid w:val="00821B9B"/>
    <w:rsid w:val="0082394F"/>
    <w:rsid w:val="00823A9A"/>
    <w:rsid w:val="00823B7B"/>
    <w:rsid w:val="0082433B"/>
    <w:rsid w:val="008249AA"/>
    <w:rsid w:val="00824D08"/>
    <w:rsid w:val="00824DDE"/>
    <w:rsid w:val="008270BA"/>
    <w:rsid w:val="00827AC0"/>
    <w:rsid w:val="00830B8C"/>
    <w:rsid w:val="008313B7"/>
    <w:rsid w:val="00836ECA"/>
    <w:rsid w:val="00842669"/>
    <w:rsid w:val="00844946"/>
    <w:rsid w:val="0084573E"/>
    <w:rsid w:val="00846FDA"/>
    <w:rsid w:val="008478BD"/>
    <w:rsid w:val="008479B9"/>
    <w:rsid w:val="00847DE7"/>
    <w:rsid w:val="00850BB6"/>
    <w:rsid w:val="00850FFE"/>
    <w:rsid w:val="00852C29"/>
    <w:rsid w:val="008554BE"/>
    <w:rsid w:val="00856078"/>
    <w:rsid w:val="0085638E"/>
    <w:rsid w:val="00856C81"/>
    <w:rsid w:val="00856F2F"/>
    <w:rsid w:val="008570CA"/>
    <w:rsid w:val="0086247D"/>
    <w:rsid w:val="00862B5F"/>
    <w:rsid w:val="0086338D"/>
    <w:rsid w:val="00863A09"/>
    <w:rsid w:val="00863B45"/>
    <w:rsid w:val="0086425D"/>
    <w:rsid w:val="0086560A"/>
    <w:rsid w:val="00866DB0"/>
    <w:rsid w:val="008674DE"/>
    <w:rsid w:val="00867986"/>
    <w:rsid w:val="008679F5"/>
    <w:rsid w:val="00870135"/>
    <w:rsid w:val="00870957"/>
    <w:rsid w:val="00870F6E"/>
    <w:rsid w:val="00872012"/>
    <w:rsid w:val="0087307E"/>
    <w:rsid w:val="00873936"/>
    <w:rsid w:val="00874541"/>
    <w:rsid w:val="00874738"/>
    <w:rsid w:val="008766BE"/>
    <w:rsid w:val="00877DEA"/>
    <w:rsid w:val="00880330"/>
    <w:rsid w:val="00881F97"/>
    <w:rsid w:val="00882967"/>
    <w:rsid w:val="00882C67"/>
    <w:rsid w:val="00883435"/>
    <w:rsid w:val="00883C50"/>
    <w:rsid w:val="0088500C"/>
    <w:rsid w:val="0088588B"/>
    <w:rsid w:val="008858F5"/>
    <w:rsid w:val="00886772"/>
    <w:rsid w:val="008873DB"/>
    <w:rsid w:val="00887524"/>
    <w:rsid w:val="008875DE"/>
    <w:rsid w:val="00887C17"/>
    <w:rsid w:val="00887E79"/>
    <w:rsid w:val="00891219"/>
    <w:rsid w:val="00891FD0"/>
    <w:rsid w:val="00892CEB"/>
    <w:rsid w:val="00892F93"/>
    <w:rsid w:val="00894B1E"/>
    <w:rsid w:val="008953EE"/>
    <w:rsid w:val="008964A7"/>
    <w:rsid w:val="00897B0D"/>
    <w:rsid w:val="008A136C"/>
    <w:rsid w:val="008A1B55"/>
    <w:rsid w:val="008A1B72"/>
    <w:rsid w:val="008A257E"/>
    <w:rsid w:val="008A325F"/>
    <w:rsid w:val="008A3FF1"/>
    <w:rsid w:val="008A5EED"/>
    <w:rsid w:val="008A6251"/>
    <w:rsid w:val="008A6614"/>
    <w:rsid w:val="008A68D6"/>
    <w:rsid w:val="008A6D9B"/>
    <w:rsid w:val="008A6FA5"/>
    <w:rsid w:val="008A7AD3"/>
    <w:rsid w:val="008B0CA5"/>
    <w:rsid w:val="008B0CD3"/>
    <w:rsid w:val="008B0D6A"/>
    <w:rsid w:val="008B291B"/>
    <w:rsid w:val="008B32A3"/>
    <w:rsid w:val="008B36B0"/>
    <w:rsid w:val="008B36C3"/>
    <w:rsid w:val="008B3A0D"/>
    <w:rsid w:val="008B6068"/>
    <w:rsid w:val="008B6928"/>
    <w:rsid w:val="008C0F7B"/>
    <w:rsid w:val="008C2603"/>
    <w:rsid w:val="008C2CDA"/>
    <w:rsid w:val="008C3705"/>
    <w:rsid w:val="008C39FA"/>
    <w:rsid w:val="008C4AA8"/>
    <w:rsid w:val="008C5693"/>
    <w:rsid w:val="008C5F3C"/>
    <w:rsid w:val="008C77CB"/>
    <w:rsid w:val="008C7EAE"/>
    <w:rsid w:val="008D0427"/>
    <w:rsid w:val="008D2345"/>
    <w:rsid w:val="008D2EBD"/>
    <w:rsid w:val="008D3488"/>
    <w:rsid w:val="008D3914"/>
    <w:rsid w:val="008D3B62"/>
    <w:rsid w:val="008D4B8E"/>
    <w:rsid w:val="008D651F"/>
    <w:rsid w:val="008D701B"/>
    <w:rsid w:val="008D7F3C"/>
    <w:rsid w:val="008E0581"/>
    <w:rsid w:val="008E1477"/>
    <w:rsid w:val="008E18D3"/>
    <w:rsid w:val="008E1F4C"/>
    <w:rsid w:val="008E257B"/>
    <w:rsid w:val="008E3361"/>
    <w:rsid w:val="008E3EDB"/>
    <w:rsid w:val="008E42D8"/>
    <w:rsid w:val="008E530C"/>
    <w:rsid w:val="008E616A"/>
    <w:rsid w:val="008E662F"/>
    <w:rsid w:val="008E70DC"/>
    <w:rsid w:val="008F2FCE"/>
    <w:rsid w:val="008F42EB"/>
    <w:rsid w:val="008F4E3F"/>
    <w:rsid w:val="008F70F7"/>
    <w:rsid w:val="008F7427"/>
    <w:rsid w:val="008F7965"/>
    <w:rsid w:val="009006FC"/>
    <w:rsid w:val="009021F3"/>
    <w:rsid w:val="00903066"/>
    <w:rsid w:val="009037F9"/>
    <w:rsid w:val="0090555D"/>
    <w:rsid w:val="00905BEB"/>
    <w:rsid w:val="00907398"/>
    <w:rsid w:val="00907C1A"/>
    <w:rsid w:val="009107B3"/>
    <w:rsid w:val="00910A70"/>
    <w:rsid w:val="009148CF"/>
    <w:rsid w:val="00914F4A"/>
    <w:rsid w:val="00914FFF"/>
    <w:rsid w:val="009159EE"/>
    <w:rsid w:val="00917091"/>
    <w:rsid w:val="00917222"/>
    <w:rsid w:val="00920B95"/>
    <w:rsid w:val="00921320"/>
    <w:rsid w:val="00921865"/>
    <w:rsid w:val="00922554"/>
    <w:rsid w:val="00923238"/>
    <w:rsid w:val="00923746"/>
    <w:rsid w:val="00923A0F"/>
    <w:rsid w:val="00924B82"/>
    <w:rsid w:val="00924D62"/>
    <w:rsid w:val="00925B1C"/>
    <w:rsid w:val="0093460F"/>
    <w:rsid w:val="0093532A"/>
    <w:rsid w:val="00935461"/>
    <w:rsid w:val="009371E1"/>
    <w:rsid w:val="00940B92"/>
    <w:rsid w:val="009427DA"/>
    <w:rsid w:val="00943622"/>
    <w:rsid w:val="009463B3"/>
    <w:rsid w:val="00946D00"/>
    <w:rsid w:val="00946EE1"/>
    <w:rsid w:val="009475F0"/>
    <w:rsid w:val="009477EA"/>
    <w:rsid w:val="0095089E"/>
    <w:rsid w:val="0095137B"/>
    <w:rsid w:val="009515B8"/>
    <w:rsid w:val="00951657"/>
    <w:rsid w:val="00953794"/>
    <w:rsid w:val="00953E4C"/>
    <w:rsid w:val="0095460B"/>
    <w:rsid w:val="00956177"/>
    <w:rsid w:val="00956408"/>
    <w:rsid w:val="00957A5C"/>
    <w:rsid w:val="00961919"/>
    <w:rsid w:val="0096246A"/>
    <w:rsid w:val="00962667"/>
    <w:rsid w:val="0096319C"/>
    <w:rsid w:val="00964CBC"/>
    <w:rsid w:val="009659FA"/>
    <w:rsid w:val="00970731"/>
    <w:rsid w:val="0097150A"/>
    <w:rsid w:val="0097184F"/>
    <w:rsid w:val="00971F76"/>
    <w:rsid w:val="00972E1F"/>
    <w:rsid w:val="00973D94"/>
    <w:rsid w:val="00976893"/>
    <w:rsid w:val="00976E5A"/>
    <w:rsid w:val="00976F92"/>
    <w:rsid w:val="009770D6"/>
    <w:rsid w:val="009776DD"/>
    <w:rsid w:val="00977AE9"/>
    <w:rsid w:val="00980541"/>
    <w:rsid w:val="009805ED"/>
    <w:rsid w:val="00981307"/>
    <w:rsid w:val="009813DA"/>
    <w:rsid w:val="00981686"/>
    <w:rsid w:val="00981C20"/>
    <w:rsid w:val="009831DC"/>
    <w:rsid w:val="00983C93"/>
    <w:rsid w:val="009858AF"/>
    <w:rsid w:val="009863D2"/>
    <w:rsid w:val="00986A4D"/>
    <w:rsid w:val="00987DD3"/>
    <w:rsid w:val="009911AD"/>
    <w:rsid w:val="00991D9E"/>
    <w:rsid w:val="00992C49"/>
    <w:rsid w:val="00992F32"/>
    <w:rsid w:val="00993FF5"/>
    <w:rsid w:val="009940F0"/>
    <w:rsid w:val="0099552F"/>
    <w:rsid w:val="00995DDC"/>
    <w:rsid w:val="00996709"/>
    <w:rsid w:val="00996865"/>
    <w:rsid w:val="00996A46"/>
    <w:rsid w:val="00997AB1"/>
    <w:rsid w:val="00997C02"/>
    <w:rsid w:val="00997CD4"/>
    <w:rsid w:val="009A4A6E"/>
    <w:rsid w:val="009A5033"/>
    <w:rsid w:val="009A6B1B"/>
    <w:rsid w:val="009A73DC"/>
    <w:rsid w:val="009A745E"/>
    <w:rsid w:val="009B16DA"/>
    <w:rsid w:val="009B2D88"/>
    <w:rsid w:val="009B3353"/>
    <w:rsid w:val="009B3FFD"/>
    <w:rsid w:val="009B50F5"/>
    <w:rsid w:val="009C0E85"/>
    <w:rsid w:val="009C10B9"/>
    <w:rsid w:val="009C1114"/>
    <w:rsid w:val="009C1D0C"/>
    <w:rsid w:val="009C1EFA"/>
    <w:rsid w:val="009C1F59"/>
    <w:rsid w:val="009C3137"/>
    <w:rsid w:val="009C3C25"/>
    <w:rsid w:val="009C4230"/>
    <w:rsid w:val="009C52F1"/>
    <w:rsid w:val="009C574E"/>
    <w:rsid w:val="009D0329"/>
    <w:rsid w:val="009D1593"/>
    <w:rsid w:val="009D2B6D"/>
    <w:rsid w:val="009D4FC8"/>
    <w:rsid w:val="009D6407"/>
    <w:rsid w:val="009D7597"/>
    <w:rsid w:val="009E0252"/>
    <w:rsid w:val="009E1D8E"/>
    <w:rsid w:val="009E22AB"/>
    <w:rsid w:val="009E2BF2"/>
    <w:rsid w:val="009E3565"/>
    <w:rsid w:val="009E3B01"/>
    <w:rsid w:val="009E4185"/>
    <w:rsid w:val="009E4980"/>
    <w:rsid w:val="009E5626"/>
    <w:rsid w:val="009E5687"/>
    <w:rsid w:val="009E6006"/>
    <w:rsid w:val="009E63C6"/>
    <w:rsid w:val="009E649F"/>
    <w:rsid w:val="009E77C6"/>
    <w:rsid w:val="009E7855"/>
    <w:rsid w:val="009E7EFF"/>
    <w:rsid w:val="009F02B6"/>
    <w:rsid w:val="009F02FB"/>
    <w:rsid w:val="009F08DB"/>
    <w:rsid w:val="009F288C"/>
    <w:rsid w:val="009F2C9B"/>
    <w:rsid w:val="009F34FA"/>
    <w:rsid w:val="009F40F5"/>
    <w:rsid w:val="009F6EB3"/>
    <w:rsid w:val="00A0088F"/>
    <w:rsid w:val="00A01C93"/>
    <w:rsid w:val="00A026BF"/>
    <w:rsid w:val="00A02EDB"/>
    <w:rsid w:val="00A030B1"/>
    <w:rsid w:val="00A03CBE"/>
    <w:rsid w:val="00A05E10"/>
    <w:rsid w:val="00A05F16"/>
    <w:rsid w:val="00A06BE5"/>
    <w:rsid w:val="00A07D19"/>
    <w:rsid w:val="00A07F9D"/>
    <w:rsid w:val="00A10099"/>
    <w:rsid w:val="00A10913"/>
    <w:rsid w:val="00A1130E"/>
    <w:rsid w:val="00A13C10"/>
    <w:rsid w:val="00A16916"/>
    <w:rsid w:val="00A16DAC"/>
    <w:rsid w:val="00A1781B"/>
    <w:rsid w:val="00A205E1"/>
    <w:rsid w:val="00A23275"/>
    <w:rsid w:val="00A24D38"/>
    <w:rsid w:val="00A26550"/>
    <w:rsid w:val="00A26CD4"/>
    <w:rsid w:val="00A2733F"/>
    <w:rsid w:val="00A2746D"/>
    <w:rsid w:val="00A279DB"/>
    <w:rsid w:val="00A321E7"/>
    <w:rsid w:val="00A33221"/>
    <w:rsid w:val="00A3390B"/>
    <w:rsid w:val="00A33BB0"/>
    <w:rsid w:val="00A342DB"/>
    <w:rsid w:val="00A35248"/>
    <w:rsid w:val="00A35754"/>
    <w:rsid w:val="00A358D2"/>
    <w:rsid w:val="00A36493"/>
    <w:rsid w:val="00A36DEC"/>
    <w:rsid w:val="00A37031"/>
    <w:rsid w:val="00A37228"/>
    <w:rsid w:val="00A40DE2"/>
    <w:rsid w:val="00A41059"/>
    <w:rsid w:val="00A422A1"/>
    <w:rsid w:val="00A4240B"/>
    <w:rsid w:val="00A424C2"/>
    <w:rsid w:val="00A425D5"/>
    <w:rsid w:val="00A4393B"/>
    <w:rsid w:val="00A4589F"/>
    <w:rsid w:val="00A46726"/>
    <w:rsid w:val="00A477F6"/>
    <w:rsid w:val="00A507D4"/>
    <w:rsid w:val="00A5086A"/>
    <w:rsid w:val="00A50D48"/>
    <w:rsid w:val="00A5239D"/>
    <w:rsid w:val="00A528C1"/>
    <w:rsid w:val="00A53231"/>
    <w:rsid w:val="00A53739"/>
    <w:rsid w:val="00A53A16"/>
    <w:rsid w:val="00A54FA0"/>
    <w:rsid w:val="00A557F8"/>
    <w:rsid w:val="00A568B6"/>
    <w:rsid w:val="00A57087"/>
    <w:rsid w:val="00A6216A"/>
    <w:rsid w:val="00A621B9"/>
    <w:rsid w:val="00A62573"/>
    <w:rsid w:val="00A625AC"/>
    <w:rsid w:val="00A629DB"/>
    <w:rsid w:val="00A63265"/>
    <w:rsid w:val="00A6375D"/>
    <w:rsid w:val="00A642D6"/>
    <w:rsid w:val="00A67AC8"/>
    <w:rsid w:val="00A71471"/>
    <w:rsid w:val="00A7162F"/>
    <w:rsid w:val="00A71F8E"/>
    <w:rsid w:val="00A72A3E"/>
    <w:rsid w:val="00A73860"/>
    <w:rsid w:val="00A74CD7"/>
    <w:rsid w:val="00A764BB"/>
    <w:rsid w:val="00A80623"/>
    <w:rsid w:val="00A80A0D"/>
    <w:rsid w:val="00A8203F"/>
    <w:rsid w:val="00A82E84"/>
    <w:rsid w:val="00A83C37"/>
    <w:rsid w:val="00A8433D"/>
    <w:rsid w:val="00A86F28"/>
    <w:rsid w:val="00A873DE"/>
    <w:rsid w:val="00A90C66"/>
    <w:rsid w:val="00A90D3F"/>
    <w:rsid w:val="00A90DFD"/>
    <w:rsid w:val="00A91499"/>
    <w:rsid w:val="00A9376D"/>
    <w:rsid w:val="00A939E4"/>
    <w:rsid w:val="00A943B1"/>
    <w:rsid w:val="00A94AA9"/>
    <w:rsid w:val="00A94C7D"/>
    <w:rsid w:val="00A94EBA"/>
    <w:rsid w:val="00A955DA"/>
    <w:rsid w:val="00A9690D"/>
    <w:rsid w:val="00A96B21"/>
    <w:rsid w:val="00A97C9E"/>
    <w:rsid w:val="00AA1338"/>
    <w:rsid w:val="00AA1D92"/>
    <w:rsid w:val="00AA28F3"/>
    <w:rsid w:val="00AA2CD5"/>
    <w:rsid w:val="00AA3525"/>
    <w:rsid w:val="00AA3A3E"/>
    <w:rsid w:val="00AA3AE9"/>
    <w:rsid w:val="00AA4288"/>
    <w:rsid w:val="00AA4395"/>
    <w:rsid w:val="00AA46D0"/>
    <w:rsid w:val="00AA53F3"/>
    <w:rsid w:val="00AA5F2B"/>
    <w:rsid w:val="00AA643B"/>
    <w:rsid w:val="00AA67E0"/>
    <w:rsid w:val="00AA6BAA"/>
    <w:rsid w:val="00AA6F70"/>
    <w:rsid w:val="00AA77F2"/>
    <w:rsid w:val="00AB01AD"/>
    <w:rsid w:val="00AB02D2"/>
    <w:rsid w:val="00AB0490"/>
    <w:rsid w:val="00AB1332"/>
    <w:rsid w:val="00AB24E2"/>
    <w:rsid w:val="00AB3D6C"/>
    <w:rsid w:val="00AB3F3C"/>
    <w:rsid w:val="00AB5602"/>
    <w:rsid w:val="00AB5B5E"/>
    <w:rsid w:val="00AB7967"/>
    <w:rsid w:val="00AB7AE4"/>
    <w:rsid w:val="00AC03CF"/>
    <w:rsid w:val="00AC06F3"/>
    <w:rsid w:val="00AC1F1A"/>
    <w:rsid w:val="00AC3431"/>
    <w:rsid w:val="00AC3651"/>
    <w:rsid w:val="00AC43EA"/>
    <w:rsid w:val="00AC47D7"/>
    <w:rsid w:val="00AC6E09"/>
    <w:rsid w:val="00AC7192"/>
    <w:rsid w:val="00AC7B52"/>
    <w:rsid w:val="00AD27E2"/>
    <w:rsid w:val="00AD4023"/>
    <w:rsid w:val="00AD435A"/>
    <w:rsid w:val="00AD4C0F"/>
    <w:rsid w:val="00AD5455"/>
    <w:rsid w:val="00AD5599"/>
    <w:rsid w:val="00AD78B4"/>
    <w:rsid w:val="00AD7C0F"/>
    <w:rsid w:val="00AE083D"/>
    <w:rsid w:val="00AE196C"/>
    <w:rsid w:val="00AE1A95"/>
    <w:rsid w:val="00AE2E80"/>
    <w:rsid w:val="00AE3082"/>
    <w:rsid w:val="00AE380A"/>
    <w:rsid w:val="00AE3870"/>
    <w:rsid w:val="00AE4F18"/>
    <w:rsid w:val="00AE5682"/>
    <w:rsid w:val="00AE5EAE"/>
    <w:rsid w:val="00AE6940"/>
    <w:rsid w:val="00AE6ED5"/>
    <w:rsid w:val="00AE6FAD"/>
    <w:rsid w:val="00AE76B5"/>
    <w:rsid w:val="00AF0F14"/>
    <w:rsid w:val="00AF1638"/>
    <w:rsid w:val="00AF1C96"/>
    <w:rsid w:val="00AF28AC"/>
    <w:rsid w:val="00AF39A8"/>
    <w:rsid w:val="00AF3B7A"/>
    <w:rsid w:val="00AF5A58"/>
    <w:rsid w:val="00AF60BB"/>
    <w:rsid w:val="00AF6C68"/>
    <w:rsid w:val="00AF6E06"/>
    <w:rsid w:val="00B01052"/>
    <w:rsid w:val="00B010F8"/>
    <w:rsid w:val="00B01AA0"/>
    <w:rsid w:val="00B0220B"/>
    <w:rsid w:val="00B0243D"/>
    <w:rsid w:val="00B026B0"/>
    <w:rsid w:val="00B041C0"/>
    <w:rsid w:val="00B04350"/>
    <w:rsid w:val="00B05615"/>
    <w:rsid w:val="00B056FB"/>
    <w:rsid w:val="00B05A6D"/>
    <w:rsid w:val="00B0653D"/>
    <w:rsid w:val="00B06F33"/>
    <w:rsid w:val="00B07FD5"/>
    <w:rsid w:val="00B10462"/>
    <w:rsid w:val="00B105E8"/>
    <w:rsid w:val="00B106AD"/>
    <w:rsid w:val="00B10F5E"/>
    <w:rsid w:val="00B10FEE"/>
    <w:rsid w:val="00B116AF"/>
    <w:rsid w:val="00B12B28"/>
    <w:rsid w:val="00B130B5"/>
    <w:rsid w:val="00B134E6"/>
    <w:rsid w:val="00B15572"/>
    <w:rsid w:val="00B20A9F"/>
    <w:rsid w:val="00B22258"/>
    <w:rsid w:val="00B24E8B"/>
    <w:rsid w:val="00B25654"/>
    <w:rsid w:val="00B26352"/>
    <w:rsid w:val="00B270E2"/>
    <w:rsid w:val="00B27E1C"/>
    <w:rsid w:val="00B31260"/>
    <w:rsid w:val="00B31F68"/>
    <w:rsid w:val="00B320AA"/>
    <w:rsid w:val="00B33C17"/>
    <w:rsid w:val="00B3566E"/>
    <w:rsid w:val="00B36089"/>
    <w:rsid w:val="00B36214"/>
    <w:rsid w:val="00B36EA9"/>
    <w:rsid w:val="00B37EBF"/>
    <w:rsid w:val="00B447CA"/>
    <w:rsid w:val="00B45054"/>
    <w:rsid w:val="00B46256"/>
    <w:rsid w:val="00B47289"/>
    <w:rsid w:val="00B47764"/>
    <w:rsid w:val="00B47A84"/>
    <w:rsid w:val="00B47AAD"/>
    <w:rsid w:val="00B47B5C"/>
    <w:rsid w:val="00B511B7"/>
    <w:rsid w:val="00B54646"/>
    <w:rsid w:val="00B55710"/>
    <w:rsid w:val="00B55D9E"/>
    <w:rsid w:val="00B57BFB"/>
    <w:rsid w:val="00B60676"/>
    <w:rsid w:val="00B60858"/>
    <w:rsid w:val="00B60F60"/>
    <w:rsid w:val="00B62CC6"/>
    <w:rsid w:val="00B64533"/>
    <w:rsid w:val="00B6555D"/>
    <w:rsid w:val="00B67283"/>
    <w:rsid w:val="00B6753E"/>
    <w:rsid w:val="00B67571"/>
    <w:rsid w:val="00B67AE3"/>
    <w:rsid w:val="00B67AF0"/>
    <w:rsid w:val="00B67FE3"/>
    <w:rsid w:val="00B7061B"/>
    <w:rsid w:val="00B70B11"/>
    <w:rsid w:val="00B71215"/>
    <w:rsid w:val="00B72655"/>
    <w:rsid w:val="00B728A8"/>
    <w:rsid w:val="00B7298E"/>
    <w:rsid w:val="00B72DAE"/>
    <w:rsid w:val="00B72F16"/>
    <w:rsid w:val="00B74AEC"/>
    <w:rsid w:val="00B75CA2"/>
    <w:rsid w:val="00B775E9"/>
    <w:rsid w:val="00B80230"/>
    <w:rsid w:val="00B8190D"/>
    <w:rsid w:val="00B81A38"/>
    <w:rsid w:val="00B82127"/>
    <w:rsid w:val="00B82767"/>
    <w:rsid w:val="00B84A49"/>
    <w:rsid w:val="00B84DDD"/>
    <w:rsid w:val="00B86EEC"/>
    <w:rsid w:val="00B871CB"/>
    <w:rsid w:val="00B87232"/>
    <w:rsid w:val="00B93350"/>
    <w:rsid w:val="00B9405D"/>
    <w:rsid w:val="00B951A5"/>
    <w:rsid w:val="00B95801"/>
    <w:rsid w:val="00B95A6D"/>
    <w:rsid w:val="00B95A7F"/>
    <w:rsid w:val="00BA41D0"/>
    <w:rsid w:val="00BA4481"/>
    <w:rsid w:val="00BA4BF5"/>
    <w:rsid w:val="00BB00D8"/>
    <w:rsid w:val="00BB0672"/>
    <w:rsid w:val="00BB0AFD"/>
    <w:rsid w:val="00BB10F5"/>
    <w:rsid w:val="00BB2B33"/>
    <w:rsid w:val="00BB2C5C"/>
    <w:rsid w:val="00BB4FBD"/>
    <w:rsid w:val="00BC264E"/>
    <w:rsid w:val="00BC38D7"/>
    <w:rsid w:val="00BC4029"/>
    <w:rsid w:val="00BC4CAC"/>
    <w:rsid w:val="00BC533D"/>
    <w:rsid w:val="00BC5AD7"/>
    <w:rsid w:val="00BC5DCA"/>
    <w:rsid w:val="00BC5E15"/>
    <w:rsid w:val="00BC5F52"/>
    <w:rsid w:val="00BC67C9"/>
    <w:rsid w:val="00BC7971"/>
    <w:rsid w:val="00BD1BCB"/>
    <w:rsid w:val="00BD26BF"/>
    <w:rsid w:val="00BD2736"/>
    <w:rsid w:val="00BD2BC1"/>
    <w:rsid w:val="00BD3937"/>
    <w:rsid w:val="00BD4199"/>
    <w:rsid w:val="00BD41A3"/>
    <w:rsid w:val="00BD4806"/>
    <w:rsid w:val="00BD53EE"/>
    <w:rsid w:val="00BD59C7"/>
    <w:rsid w:val="00BD696A"/>
    <w:rsid w:val="00BD6AF0"/>
    <w:rsid w:val="00BD7B97"/>
    <w:rsid w:val="00BE0106"/>
    <w:rsid w:val="00BE0554"/>
    <w:rsid w:val="00BE0AAD"/>
    <w:rsid w:val="00BE3ACE"/>
    <w:rsid w:val="00BE3E9D"/>
    <w:rsid w:val="00BE4891"/>
    <w:rsid w:val="00BE5195"/>
    <w:rsid w:val="00BE7663"/>
    <w:rsid w:val="00BF172F"/>
    <w:rsid w:val="00BF178A"/>
    <w:rsid w:val="00BF19E6"/>
    <w:rsid w:val="00BF1E0E"/>
    <w:rsid w:val="00BF4440"/>
    <w:rsid w:val="00BF4643"/>
    <w:rsid w:val="00BF5251"/>
    <w:rsid w:val="00BF60B0"/>
    <w:rsid w:val="00BF678C"/>
    <w:rsid w:val="00BF6C5C"/>
    <w:rsid w:val="00BF6D4C"/>
    <w:rsid w:val="00BF6F3C"/>
    <w:rsid w:val="00BF702F"/>
    <w:rsid w:val="00C000B7"/>
    <w:rsid w:val="00C0180E"/>
    <w:rsid w:val="00C0257E"/>
    <w:rsid w:val="00C0297F"/>
    <w:rsid w:val="00C041AC"/>
    <w:rsid w:val="00C0437C"/>
    <w:rsid w:val="00C04501"/>
    <w:rsid w:val="00C05B19"/>
    <w:rsid w:val="00C063B4"/>
    <w:rsid w:val="00C06F7F"/>
    <w:rsid w:val="00C104BD"/>
    <w:rsid w:val="00C105B0"/>
    <w:rsid w:val="00C10904"/>
    <w:rsid w:val="00C112DF"/>
    <w:rsid w:val="00C11525"/>
    <w:rsid w:val="00C12958"/>
    <w:rsid w:val="00C1297F"/>
    <w:rsid w:val="00C12BAE"/>
    <w:rsid w:val="00C13845"/>
    <w:rsid w:val="00C1612D"/>
    <w:rsid w:val="00C171E2"/>
    <w:rsid w:val="00C1788F"/>
    <w:rsid w:val="00C20855"/>
    <w:rsid w:val="00C20EB3"/>
    <w:rsid w:val="00C21D7F"/>
    <w:rsid w:val="00C222BF"/>
    <w:rsid w:val="00C22E29"/>
    <w:rsid w:val="00C22F67"/>
    <w:rsid w:val="00C2354A"/>
    <w:rsid w:val="00C239BE"/>
    <w:rsid w:val="00C239DB"/>
    <w:rsid w:val="00C23B05"/>
    <w:rsid w:val="00C23D7E"/>
    <w:rsid w:val="00C24E84"/>
    <w:rsid w:val="00C25CD5"/>
    <w:rsid w:val="00C262DF"/>
    <w:rsid w:val="00C32940"/>
    <w:rsid w:val="00C338C3"/>
    <w:rsid w:val="00C33A95"/>
    <w:rsid w:val="00C379EE"/>
    <w:rsid w:val="00C40B76"/>
    <w:rsid w:val="00C40B94"/>
    <w:rsid w:val="00C4242C"/>
    <w:rsid w:val="00C426BE"/>
    <w:rsid w:val="00C42CC8"/>
    <w:rsid w:val="00C43204"/>
    <w:rsid w:val="00C43384"/>
    <w:rsid w:val="00C436E8"/>
    <w:rsid w:val="00C44476"/>
    <w:rsid w:val="00C44BDD"/>
    <w:rsid w:val="00C45655"/>
    <w:rsid w:val="00C45D2D"/>
    <w:rsid w:val="00C466D3"/>
    <w:rsid w:val="00C4707A"/>
    <w:rsid w:val="00C47791"/>
    <w:rsid w:val="00C50B95"/>
    <w:rsid w:val="00C511E9"/>
    <w:rsid w:val="00C517B1"/>
    <w:rsid w:val="00C51BE6"/>
    <w:rsid w:val="00C51DAC"/>
    <w:rsid w:val="00C524D6"/>
    <w:rsid w:val="00C53351"/>
    <w:rsid w:val="00C53B22"/>
    <w:rsid w:val="00C53F3F"/>
    <w:rsid w:val="00C54134"/>
    <w:rsid w:val="00C5491B"/>
    <w:rsid w:val="00C554A6"/>
    <w:rsid w:val="00C55C4A"/>
    <w:rsid w:val="00C56081"/>
    <w:rsid w:val="00C5753F"/>
    <w:rsid w:val="00C57A4C"/>
    <w:rsid w:val="00C605D9"/>
    <w:rsid w:val="00C612C5"/>
    <w:rsid w:val="00C6197B"/>
    <w:rsid w:val="00C61ABC"/>
    <w:rsid w:val="00C6277D"/>
    <w:rsid w:val="00C62B2D"/>
    <w:rsid w:val="00C6393E"/>
    <w:rsid w:val="00C65944"/>
    <w:rsid w:val="00C664D3"/>
    <w:rsid w:val="00C66ACF"/>
    <w:rsid w:val="00C70DA3"/>
    <w:rsid w:val="00C710BC"/>
    <w:rsid w:val="00C72499"/>
    <w:rsid w:val="00C72E07"/>
    <w:rsid w:val="00C747A5"/>
    <w:rsid w:val="00C75BDE"/>
    <w:rsid w:val="00C77FF8"/>
    <w:rsid w:val="00C8007F"/>
    <w:rsid w:val="00C8021B"/>
    <w:rsid w:val="00C804DB"/>
    <w:rsid w:val="00C80A6D"/>
    <w:rsid w:val="00C80C1C"/>
    <w:rsid w:val="00C80D80"/>
    <w:rsid w:val="00C817A9"/>
    <w:rsid w:val="00C81CDF"/>
    <w:rsid w:val="00C8255F"/>
    <w:rsid w:val="00C842AE"/>
    <w:rsid w:val="00C84634"/>
    <w:rsid w:val="00C84F2D"/>
    <w:rsid w:val="00C859D1"/>
    <w:rsid w:val="00C85ABF"/>
    <w:rsid w:val="00C86BCF"/>
    <w:rsid w:val="00C86C76"/>
    <w:rsid w:val="00C87308"/>
    <w:rsid w:val="00C87A9C"/>
    <w:rsid w:val="00C90669"/>
    <w:rsid w:val="00C9367D"/>
    <w:rsid w:val="00C93828"/>
    <w:rsid w:val="00C94BD9"/>
    <w:rsid w:val="00C955A1"/>
    <w:rsid w:val="00C966AD"/>
    <w:rsid w:val="00C97B30"/>
    <w:rsid w:val="00CA0A1F"/>
    <w:rsid w:val="00CA1215"/>
    <w:rsid w:val="00CA1483"/>
    <w:rsid w:val="00CA1583"/>
    <w:rsid w:val="00CA1A6E"/>
    <w:rsid w:val="00CA1B65"/>
    <w:rsid w:val="00CA1DB0"/>
    <w:rsid w:val="00CA2DED"/>
    <w:rsid w:val="00CA6929"/>
    <w:rsid w:val="00CB02BC"/>
    <w:rsid w:val="00CB0AD8"/>
    <w:rsid w:val="00CB101D"/>
    <w:rsid w:val="00CB13BF"/>
    <w:rsid w:val="00CB1C46"/>
    <w:rsid w:val="00CB3F41"/>
    <w:rsid w:val="00CB446F"/>
    <w:rsid w:val="00CB4A0D"/>
    <w:rsid w:val="00CB4FEB"/>
    <w:rsid w:val="00CB51FD"/>
    <w:rsid w:val="00CB5C78"/>
    <w:rsid w:val="00CB60CE"/>
    <w:rsid w:val="00CB6448"/>
    <w:rsid w:val="00CB66C2"/>
    <w:rsid w:val="00CB7717"/>
    <w:rsid w:val="00CB7CBF"/>
    <w:rsid w:val="00CC060D"/>
    <w:rsid w:val="00CC086F"/>
    <w:rsid w:val="00CC0BB1"/>
    <w:rsid w:val="00CC0D6D"/>
    <w:rsid w:val="00CC0E72"/>
    <w:rsid w:val="00CC1798"/>
    <w:rsid w:val="00CC2570"/>
    <w:rsid w:val="00CC275A"/>
    <w:rsid w:val="00CC42EE"/>
    <w:rsid w:val="00CC4899"/>
    <w:rsid w:val="00CC5071"/>
    <w:rsid w:val="00CC5C11"/>
    <w:rsid w:val="00CC7B72"/>
    <w:rsid w:val="00CD07C8"/>
    <w:rsid w:val="00CD3E49"/>
    <w:rsid w:val="00CD4BD5"/>
    <w:rsid w:val="00CD5806"/>
    <w:rsid w:val="00CD5EAB"/>
    <w:rsid w:val="00CD68C7"/>
    <w:rsid w:val="00CD6B94"/>
    <w:rsid w:val="00CE041A"/>
    <w:rsid w:val="00CE13D9"/>
    <w:rsid w:val="00CE1E90"/>
    <w:rsid w:val="00CE228B"/>
    <w:rsid w:val="00CE266A"/>
    <w:rsid w:val="00CE3DCE"/>
    <w:rsid w:val="00CE4E30"/>
    <w:rsid w:val="00CE4FA9"/>
    <w:rsid w:val="00CE54EA"/>
    <w:rsid w:val="00CE7460"/>
    <w:rsid w:val="00CF02B2"/>
    <w:rsid w:val="00CF1AD7"/>
    <w:rsid w:val="00CF1ADD"/>
    <w:rsid w:val="00CF2117"/>
    <w:rsid w:val="00CF55E9"/>
    <w:rsid w:val="00CF5BCC"/>
    <w:rsid w:val="00CF5EE7"/>
    <w:rsid w:val="00CF6A56"/>
    <w:rsid w:val="00CF70AB"/>
    <w:rsid w:val="00CF7A69"/>
    <w:rsid w:val="00D0022B"/>
    <w:rsid w:val="00D0086A"/>
    <w:rsid w:val="00D03E7D"/>
    <w:rsid w:val="00D045EB"/>
    <w:rsid w:val="00D0520A"/>
    <w:rsid w:val="00D061A0"/>
    <w:rsid w:val="00D075F4"/>
    <w:rsid w:val="00D0790A"/>
    <w:rsid w:val="00D10B51"/>
    <w:rsid w:val="00D134DF"/>
    <w:rsid w:val="00D153CC"/>
    <w:rsid w:val="00D154E8"/>
    <w:rsid w:val="00D15693"/>
    <w:rsid w:val="00D163F5"/>
    <w:rsid w:val="00D168C4"/>
    <w:rsid w:val="00D16B95"/>
    <w:rsid w:val="00D17ABE"/>
    <w:rsid w:val="00D2010E"/>
    <w:rsid w:val="00D21433"/>
    <w:rsid w:val="00D21F5C"/>
    <w:rsid w:val="00D2253D"/>
    <w:rsid w:val="00D226DA"/>
    <w:rsid w:val="00D22C36"/>
    <w:rsid w:val="00D22FD9"/>
    <w:rsid w:val="00D2302E"/>
    <w:rsid w:val="00D23E1D"/>
    <w:rsid w:val="00D24095"/>
    <w:rsid w:val="00D245F9"/>
    <w:rsid w:val="00D27D29"/>
    <w:rsid w:val="00D27EFB"/>
    <w:rsid w:val="00D3059B"/>
    <w:rsid w:val="00D30C33"/>
    <w:rsid w:val="00D31087"/>
    <w:rsid w:val="00D311D8"/>
    <w:rsid w:val="00D31A20"/>
    <w:rsid w:val="00D31EF2"/>
    <w:rsid w:val="00D328D3"/>
    <w:rsid w:val="00D328F2"/>
    <w:rsid w:val="00D332D5"/>
    <w:rsid w:val="00D3405F"/>
    <w:rsid w:val="00D34738"/>
    <w:rsid w:val="00D353E8"/>
    <w:rsid w:val="00D36AEB"/>
    <w:rsid w:val="00D375D7"/>
    <w:rsid w:val="00D37EAA"/>
    <w:rsid w:val="00D40086"/>
    <w:rsid w:val="00D40177"/>
    <w:rsid w:val="00D40F95"/>
    <w:rsid w:val="00D40F99"/>
    <w:rsid w:val="00D41006"/>
    <w:rsid w:val="00D41B4A"/>
    <w:rsid w:val="00D41D03"/>
    <w:rsid w:val="00D42311"/>
    <w:rsid w:val="00D442BA"/>
    <w:rsid w:val="00D47013"/>
    <w:rsid w:val="00D47BEE"/>
    <w:rsid w:val="00D5080E"/>
    <w:rsid w:val="00D509EC"/>
    <w:rsid w:val="00D5120D"/>
    <w:rsid w:val="00D52234"/>
    <w:rsid w:val="00D53403"/>
    <w:rsid w:val="00D537BC"/>
    <w:rsid w:val="00D53AD6"/>
    <w:rsid w:val="00D53C08"/>
    <w:rsid w:val="00D540A8"/>
    <w:rsid w:val="00D5530E"/>
    <w:rsid w:val="00D57EFA"/>
    <w:rsid w:val="00D60046"/>
    <w:rsid w:val="00D6066F"/>
    <w:rsid w:val="00D60E14"/>
    <w:rsid w:val="00D61FF8"/>
    <w:rsid w:val="00D623A0"/>
    <w:rsid w:val="00D6276C"/>
    <w:rsid w:val="00D6374C"/>
    <w:rsid w:val="00D64106"/>
    <w:rsid w:val="00D64F35"/>
    <w:rsid w:val="00D65551"/>
    <w:rsid w:val="00D65CF6"/>
    <w:rsid w:val="00D66CA9"/>
    <w:rsid w:val="00D71FD3"/>
    <w:rsid w:val="00D71FFB"/>
    <w:rsid w:val="00D7350A"/>
    <w:rsid w:val="00D74663"/>
    <w:rsid w:val="00D751FA"/>
    <w:rsid w:val="00D75E8B"/>
    <w:rsid w:val="00D7633E"/>
    <w:rsid w:val="00D7694D"/>
    <w:rsid w:val="00D773A9"/>
    <w:rsid w:val="00D82DFB"/>
    <w:rsid w:val="00D8501A"/>
    <w:rsid w:val="00D86B08"/>
    <w:rsid w:val="00D86CE3"/>
    <w:rsid w:val="00D87063"/>
    <w:rsid w:val="00D902B7"/>
    <w:rsid w:val="00D9044B"/>
    <w:rsid w:val="00D92206"/>
    <w:rsid w:val="00D938BB"/>
    <w:rsid w:val="00D96375"/>
    <w:rsid w:val="00D970D6"/>
    <w:rsid w:val="00D97F39"/>
    <w:rsid w:val="00DA0487"/>
    <w:rsid w:val="00DA06C7"/>
    <w:rsid w:val="00DA077E"/>
    <w:rsid w:val="00DA1CB7"/>
    <w:rsid w:val="00DA2858"/>
    <w:rsid w:val="00DA57E0"/>
    <w:rsid w:val="00DA5F4A"/>
    <w:rsid w:val="00DA6AA6"/>
    <w:rsid w:val="00DB0040"/>
    <w:rsid w:val="00DB03F5"/>
    <w:rsid w:val="00DB1015"/>
    <w:rsid w:val="00DB1075"/>
    <w:rsid w:val="00DB16A2"/>
    <w:rsid w:val="00DB38BF"/>
    <w:rsid w:val="00DB4120"/>
    <w:rsid w:val="00DB4AB7"/>
    <w:rsid w:val="00DB5463"/>
    <w:rsid w:val="00DB7058"/>
    <w:rsid w:val="00DC092E"/>
    <w:rsid w:val="00DC1A17"/>
    <w:rsid w:val="00DC42F3"/>
    <w:rsid w:val="00DC44CE"/>
    <w:rsid w:val="00DC4E81"/>
    <w:rsid w:val="00DC5470"/>
    <w:rsid w:val="00DC7153"/>
    <w:rsid w:val="00DD18BD"/>
    <w:rsid w:val="00DD2333"/>
    <w:rsid w:val="00DD3751"/>
    <w:rsid w:val="00DD4810"/>
    <w:rsid w:val="00DD5C0D"/>
    <w:rsid w:val="00DD6C07"/>
    <w:rsid w:val="00DD716A"/>
    <w:rsid w:val="00DD77E2"/>
    <w:rsid w:val="00DE02D5"/>
    <w:rsid w:val="00DE0FD1"/>
    <w:rsid w:val="00DE1558"/>
    <w:rsid w:val="00DE161B"/>
    <w:rsid w:val="00DE263F"/>
    <w:rsid w:val="00DE2DA6"/>
    <w:rsid w:val="00DE41B6"/>
    <w:rsid w:val="00DE5C7E"/>
    <w:rsid w:val="00DE5F51"/>
    <w:rsid w:val="00DE75A1"/>
    <w:rsid w:val="00DE75A6"/>
    <w:rsid w:val="00DE76A8"/>
    <w:rsid w:val="00DF047C"/>
    <w:rsid w:val="00DF21EE"/>
    <w:rsid w:val="00DF3BD1"/>
    <w:rsid w:val="00DF4E24"/>
    <w:rsid w:val="00DF56F0"/>
    <w:rsid w:val="00DF5D07"/>
    <w:rsid w:val="00DF61CC"/>
    <w:rsid w:val="00DF6EFB"/>
    <w:rsid w:val="00DF7AA4"/>
    <w:rsid w:val="00E008E0"/>
    <w:rsid w:val="00E018B3"/>
    <w:rsid w:val="00E03400"/>
    <w:rsid w:val="00E04367"/>
    <w:rsid w:val="00E050CC"/>
    <w:rsid w:val="00E0573A"/>
    <w:rsid w:val="00E05CEC"/>
    <w:rsid w:val="00E05D6E"/>
    <w:rsid w:val="00E060BD"/>
    <w:rsid w:val="00E100A2"/>
    <w:rsid w:val="00E10F6B"/>
    <w:rsid w:val="00E114C9"/>
    <w:rsid w:val="00E11827"/>
    <w:rsid w:val="00E12AFF"/>
    <w:rsid w:val="00E13C94"/>
    <w:rsid w:val="00E13F00"/>
    <w:rsid w:val="00E1597C"/>
    <w:rsid w:val="00E15DB0"/>
    <w:rsid w:val="00E1724A"/>
    <w:rsid w:val="00E17AA8"/>
    <w:rsid w:val="00E20922"/>
    <w:rsid w:val="00E20CD2"/>
    <w:rsid w:val="00E22EFB"/>
    <w:rsid w:val="00E22F2B"/>
    <w:rsid w:val="00E242F3"/>
    <w:rsid w:val="00E248CE"/>
    <w:rsid w:val="00E26291"/>
    <w:rsid w:val="00E27242"/>
    <w:rsid w:val="00E3243A"/>
    <w:rsid w:val="00E33564"/>
    <w:rsid w:val="00E34CD6"/>
    <w:rsid w:val="00E40694"/>
    <w:rsid w:val="00E409B1"/>
    <w:rsid w:val="00E42465"/>
    <w:rsid w:val="00E42861"/>
    <w:rsid w:val="00E434D2"/>
    <w:rsid w:val="00E438E6"/>
    <w:rsid w:val="00E44A51"/>
    <w:rsid w:val="00E45599"/>
    <w:rsid w:val="00E47039"/>
    <w:rsid w:val="00E50417"/>
    <w:rsid w:val="00E50A27"/>
    <w:rsid w:val="00E52C4F"/>
    <w:rsid w:val="00E5364D"/>
    <w:rsid w:val="00E5645C"/>
    <w:rsid w:val="00E564C2"/>
    <w:rsid w:val="00E6036F"/>
    <w:rsid w:val="00E60902"/>
    <w:rsid w:val="00E61C34"/>
    <w:rsid w:val="00E64439"/>
    <w:rsid w:val="00E6453B"/>
    <w:rsid w:val="00E653F7"/>
    <w:rsid w:val="00E668E6"/>
    <w:rsid w:val="00E67E90"/>
    <w:rsid w:val="00E7090B"/>
    <w:rsid w:val="00E72690"/>
    <w:rsid w:val="00E72699"/>
    <w:rsid w:val="00E75FBE"/>
    <w:rsid w:val="00E765A9"/>
    <w:rsid w:val="00E80646"/>
    <w:rsid w:val="00E815FC"/>
    <w:rsid w:val="00E81F63"/>
    <w:rsid w:val="00E823DC"/>
    <w:rsid w:val="00E82544"/>
    <w:rsid w:val="00E84BAD"/>
    <w:rsid w:val="00E86401"/>
    <w:rsid w:val="00E90C7C"/>
    <w:rsid w:val="00E90DA6"/>
    <w:rsid w:val="00E9372B"/>
    <w:rsid w:val="00E93EE7"/>
    <w:rsid w:val="00E94A15"/>
    <w:rsid w:val="00E97E7A"/>
    <w:rsid w:val="00EA0C1D"/>
    <w:rsid w:val="00EA0E91"/>
    <w:rsid w:val="00EA3DE8"/>
    <w:rsid w:val="00EA4F98"/>
    <w:rsid w:val="00EA5CCD"/>
    <w:rsid w:val="00EA5DEC"/>
    <w:rsid w:val="00EA60FE"/>
    <w:rsid w:val="00EA7642"/>
    <w:rsid w:val="00EB1A67"/>
    <w:rsid w:val="00EB1EB2"/>
    <w:rsid w:val="00EB2C52"/>
    <w:rsid w:val="00EB33DC"/>
    <w:rsid w:val="00EB3E6F"/>
    <w:rsid w:val="00EB4343"/>
    <w:rsid w:val="00EB4AC8"/>
    <w:rsid w:val="00EC05CA"/>
    <w:rsid w:val="00EC11A7"/>
    <w:rsid w:val="00EC2124"/>
    <w:rsid w:val="00EC27CD"/>
    <w:rsid w:val="00EC2DEF"/>
    <w:rsid w:val="00EC3289"/>
    <w:rsid w:val="00EC6F1B"/>
    <w:rsid w:val="00EC6FDB"/>
    <w:rsid w:val="00EC7601"/>
    <w:rsid w:val="00ED14F3"/>
    <w:rsid w:val="00ED1A19"/>
    <w:rsid w:val="00ED1F10"/>
    <w:rsid w:val="00ED2610"/>
    <w:rsid w:val="00ED3288"/>
    <w:rsid w:val="00ED337B"/>
    <w:rsid w:val="00ED3849"/>
    <w:rsid w:val="00ED4A0D"/>
    <w:rsid w:val="00ED4D08"/>
    <w:rsid w:val="00ED564A"/>
    <w:rsid w:val="00ED64F3"/>
    <w:rsid w:val="00EE1573"/>
    <w:rsid w:val="00EE1BD0"/>
    <w:rsid w:val="00EE265B"/>
    <w:rsid w:val="00EE2FF8"/>
    <w:rsid w:val="00EE53C2"/>
    <w:rsid w:val="00EE6354"/>
    <w:rsid w:val="00EE7338"/>
    <w:rsid w:val="00EF00C3"/>
    <w:rsid w:val="00EF090C"/>
    <w:rsid w:val="00EF0CF3"/>
    <w:rsid w:val="00EF0FD9"/>
    <w:rsid w:val="00EF499A"/>
    <w:rsid w:val="00EF5F74"/>
    <w:rsid w:val="00EF6ABD"/>
    <w:rsid w:val="00EF6CBE"/>
    <w:rsid w:val="00F00343"/>
    <w:rsid w:val="00F00C4B"/>
    <w:rsid w:val="00F00D80"/>
    <w:rsid w:val="00F01432"/>
    <w:rsid w:val="00F02AE4"/>
    <w:rsid w:val="00F038D6"/>
    <w:rsid w:val="00F03C79"/>
    <w:rsid w:val="00F06D0B"/>
    <w:rsid w:val="00F07E9E"/>
    <w:rsid w:val="00F107D0"/>
    <w:rsid w:val="00F108E7"/>
    <w:rsid w:val="00F10CBD"/>
    <w:rsid w:val="00F115FF"/>
    <w:rsid w:val="00F12115"/>
    <w:rsid w:val="00F1345E"/>
    <w:rsid w:val="00F13DE2"/>
    <w:rsid w:val="00F14826"/>
    <w:rsid w:val="00F17CFB"/>
    <w:rsid w:val="00F17D17"/>
    <w:rsid w:val="00F2052B"/>
    <w:rsid w:val="00F22823"/>
    <w:rsid w:val="00F2406B"/>
    <w:rsid w:val="00F24143"/>
    <w:rsid w:val="00F242CE"/>
    <w:rsid w:val="00F243FF"/>
    <w:rsid w:val="00F24B8A"/>
    <w:rsid w:val="00F258FB"/>
    <w:rsid w:val="00F302E7"/>
    <w:rsid w:val="00F3062F"/>
    <w:rsid w:val="00F31B9D"/>
    <w:rsid w:val="00F32445"/>
    <w:rsid w:val="00F33162"/>
    <w:rsid w:val="00F33247"/>
    <w:rsid w:val="00F349B8"/>
    <w:rsid w:val="00F35366"/>
    <w:rsid w:val="00F364B6"/>
    <w:rsid w:val="00F36999"/>
    <w:rsid w:val="00F371DF"/>
    <w:rsid w:val="00F3789D"/>
    <w:rsid w:val="00F37DC6"/>
    <w:rsid w:val="00F40B09"/>
    <w:rsid w:val="00F41639"/>
    <w:rsid w:val="00F417A1"/>
    <w:rsid w:val="00F42664"/>
    <w:rsid w:val="00F42BE7"/>
    <w:rsid w:val="00F442FC"/>
    <w:rsid w:val="00F467CC"/>
    <w:rsid w:val="00F46ABF"/>
    <w:rsid w:val="00F505B7"/>
    <w:rsid w:val="00F50F9F"/>
    <w:rsid w:val="00F511EB"/>
    <w:rsid w:val="00F513B0"/>
    <w:rsid w:val="00F5421F"/>
    <w:rsid w:val="00F5561A"/>
    <w:rsid w:val="00F55BC9"/>
    <w:rsid w:val="00F55CF8"/>
    <w:rsid w:val="00F57145"/>
    <w:rsid w:val="00F57405"/>
    <w:rsid w:val="00F57AC7"/>
    <w:rsid w:val="00F6167F"/>
    <w:rsid w:val="00F61A2E"/>
    <w:rsid w:val="00F62325"/>
    <w:rsid w:val="00F62CB6"/>
    <w:rsid w:val="00F63366"/>
    <w:rsid w:val="00F6557E"/>
    <w:rsid w:val="00F65851"/>
    <w:rsid w:val="00F65A81"/>
    <w:rsid w:val="00F65CDB"/>
    <w:rsid w:val="00F67A45"/>
    <w:rsid w:val="00F67BC1"/>
    <w:rsid w:val="00F70309"/>
    <w:rsid w:val="00F70BE9"/>
    <w:rsid w:val="00F70C83"/>
    <w:rsid w:val="00F7126F"/>
    <w:rsid w:val="00F726AF"/>
    <w:rsid w:val="00F72A69"/>
    <w:rsid w:val="00F72B7C"/>
    <w:rsid w:val="00F72FE5"/>
    <w:rsid w:val="00F732DB"/>
    <w:rsid w:val="00F73AED"/>
    <w:rsid w:val="00F73EDE"/>
    <w:rsid w:val="00F74D17"/>
    <w:rsid w:val="00F75DD1"/>
    <w:rsid w:val="00F770F3"/>
    <w:rsid w:val="00F77480"/>
    <w:rsid w:val="00F811ED"/>
    <w:rsid w:val="00F81253"/>
    <w:rsid w:val="00F81709"/>
    <w:rsid w:val="00F81ACB"/>
    <w:rsid w:val="00F82ED5"/>
    <w:rsid w:val="00F835CC"/>
    <w:rsid w:val="00F83C0F"/>
    <w:rsid w:val="00F841F5"/>
    <w:rsid w:val="00F845B2"/>
    <w:rsid w:val="00F84E6F"/>
    <w:rsid w:val="00F853AF"/>
    <w:rsid w:val="00F863E3"/>
    <w:rsid w:val="00F8641C"/>
    <w:rsid w:val="00F91415"/>
    <w:rsid w:val="00F91714"/>
    <w:rsid w:val="00F91A57"/>
    <w:rsid w:val="00F924B3"/>
    <w:rsid w:val="00F932BA"/>
    <w:rsid w:val="00F94C37"/>
    <w:rsid w:val="00F96ACA"/>
    <w:rsid w:val="00F9771B"/>
    <w:rsid w:val="00F97751"/>
    <w:rsid w:val="00FA03E7"/>
    <w:rsid w:val="00FA062B"/>
    <w:rsid w:val="00FA0D5C"/>
    <w:rsid w:val="00FA11B2"/>
    <w:rsid w:val="00FA18C9"/>
    <w:rsid w:val="00FA3B06"/>
    <w:rsid w:val="00FA571B"/>
    <w:rsid w:val="00FA59B4"/>
    <w:rsid w:val="00FA62B7"/>
    <w:rsid w:val="00FA66F9"/>
    <w:rsid w:val="00FA7BF3"/>
    <w:rsid w:val="00FB1DB8"/>
    <w:rsid w:val="00FB35E3"/>
    <w:rsid w:val="00FB4C9F"/>
    <w:rsid w:val="00FB5512"/>
    <w:rsid w:val="00FB5668"/>
    <w:rsid w:val="00FB5B12"/>
    <w:rsid w:val="00FB5CC9"/>
    <w:rsid w:val="00FB645E"/>
    <w:rsid w:val="00FB70C0"/>
    <w:rsid w:val="00FC11AD"/>
    <w:rsid w:val="00FC3455"/>
    <w:rsid w:val="00FC468E"/>
    <w:rsid w:val="00FC6220"/>
    <w:rsid w:val="00FC705C"/>
    <w:rsid w:val="00FC73ED"/>
    <w:rsid w:val="00FC7AF4"/>
    <w:rsid w:val="00FC7CA3"/>
    <w:rsid w:val="00FD08EB"/>
    <w:rsid w:val="00FD0B1C"/>
    <w:rsid w:val="00FD13CC"/>
    <w:rsid w:val="00FD4287"/>
    <w:rsid w:val="00FD5073"/>
    <w:rsid w:val="00FD74CC"/>
    <w:rsid w:val="00FE1011"/>
    <w:rsid w:val="00FE165D"/>
    <w:rsid w:val="00FE2882"/>
    <w:rsid w:val="00FE3749"/>
    <w:rsid w:val="00FE45D0"/>
    <w:rsid w:val="00FE488D"/>
    <w:rsid w:val="00FE60D2"/>
    <w:rsid w:val="00FE6B1B"/>
    <w:rsid w:val="00FE713A"/>
    <w:rsid w:val="00FE7175"/>
    <w:rsid w:val="00FE7255"/>
    <w:rsid w:val="00FE75F3"/>
    <w:rsid w:val="00FE76BF"/>
    <w:rsid w:val="00FF09CD"/>
    <w:rsid w:val="00FF0D76"/>
    <w:rsid w:val="00FF0E7B"/>
    <w:rsid w:val="00FF115B"/>
    <w:rsid w:val="00FF217A"/>
    <w:rsid w:val="00FF2372"/>
    <w:rsid w:val="00FF3777"/>
    <w:rsid w:val="6DC3CCE5"/>
    <w:rsid w:val="70495286"/>
    <w:rsid w:val="7214FBA6"/>
  </w:rsids>
  <m:mathPr>
    <m:mathFont m:val="Cambria Math"/>
    <m:brkBin m:val="before"/>
    <m:brkBinSub m:val="--"/>
    <m:smallFrac m:val="off"/>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fr-FR" w:eastAsia="fr-F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qFormat="1"/>
    <w:lsdException w:name="header" w:uiPriority="0"/>
    <w:lsdException w:name="caption" w:uiPriority="35" w:qFormat="1"/>
    <w:lsdException w:name="footnote reference" w:qFormat="1"/>
    <w:lsdException w:name="page number"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338"/>
    <w:pPr>
      <w:tabs>
        <w:tab w:val="left" w:pos="567"/>
        <w:tab w:val="left" w:pos="1134"/>
        <w:tab w:val="left" w:pos="1701"/>
        <w:tab w:val="left" w:pos="2268"/>
      </w:tabs>
      <w:spacing w:after="0" w:line="240" w:lineRule="auto"/>
      <w:jc w:val="both"/>
    </w:pPr>
    <w:rPr>
      <w:rFonts w:ascii="Times New Roman" w:eastAsia="SimSun" w:hAnsi="Times New Roman" w:cs="Times New Roman"/>
      <w:kern w:val="0"/>
    </w:rPr>
  </w:style>
  <w:style w:type="paragraph" w:styleId="Heading1">
    <w:name w:val="heading 1"/>
    <w:basedOn w:val="Normal"/>
    <w:next w:val="Heading2"/>
    <w:link w:val="Heading1Char"/>
    <w:uiPriority w:val="9"/>
    <w:qFormat/>
    <w:rsid w:val="00AA1338"/>
    <w:pPr>
      <w:keepNext/>
      <w:keepLines/>
      <w:numPr>
        <w:numId w:val="6"/>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AA1338"/>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A1338"/>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A1338"/>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A1338"/>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semiHidden/>
    <w:rsid w:val="00AA1338"/>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A1338"/>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A1338"/>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A1338"/>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A1338"/>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A1338"/>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semiHidden/>
    <w:rsid w:val="00AA1338"/>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rPr>
  </w:style>
  <w:style w:type="character" w:customStyle="1" w:styleId="Heading1Char">
    <w:name w:val="Heading 1 Char"/>
    <w:basedOn w:val="DefaultParagraphFont"/>
    <w:link w:val="Heading1"/>
    <w:uiPriority w:val="9"/>
    <w:rsid w:val="00AA1338"/>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ascii="Calibri" w:eastAsiaTheme="minorEastAsia" w:hAnsi="Calibri"/>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rsid w:val="00A96B21"/>
    <w:pPr>
      <w:spacing w:after="0" w:line="240" w:lineRule="auto"/>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AA1338"/>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A1338"/>
    <w:rPr>
      <w:rFonts w:ascii="Times New Roman" w:eastAsia="SimSun" w:hAnsi="Times New Roman" w:cs="Times New Roman"/>
      <w:kern w:val="0"/>
      <w:sz w:val="18"/>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AA1338"/>
    <w:rPr>
      <w:vertAlign w:val="superscript"/>
    </w:rPr>
  </w:style>
  <w:style w:type="paragraph" w:customStyle="1" w:styleId="Footnote">
    <w:name w:val="Footnote"/>
    <w:basedOn w:val="FootnoteText"/>
    <w:qFormat/>
    <w:rsid w:val="00AA1338"/>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rPr>
  </w:style>
  <w:style w:type="paragraph" w:customStyle="1" w:styleId="Para1">
    <w:name w:val="Para 1"/>
    <w:basedOn w:val="Normal"/>
    <w:qFormat/>
    <w:rsid w:val="007A7247"/>
    <w:pPr>
      <w:tabs>
        <w:tab w:val="num" w:pos="624"/>
      </w:tabs>
      <w:spacing w:before="120" w:after="120"/>
      <w:ind w:left="1248"/>
    </w:pPr>
  </w:style>
  <w:style w:type="character" w:customStyle="1" w:styleId="Heading2Char">
    <w:name w:val="Heading 2 Char"/>
    <w:basedOn w:val="DefaultParagraphFont"/>
    <w:link w:val="Heading2"/>
    <w:uiPriority w:val="9"/>
    <w:rsid w:val="00AA1338"/>
    <w:rPr>
      <w:rFonts w:ascii="Times New Roman Bold" w:eastAsiaTheme="majorEastAsia" w:hAnsi="Times New Roman Bold" w:cstheme="majorBidi"/>
      <w:b/>
      <w:kern w:val="0"/>
      <w:sz w:val="24"/>
      <w:szCs w:val="26"/>
    </w:rPr>
  </w:style>
  <w:style w:type="character" w:styleId="PlaceholderText">
    <w:name w:val="Placeholder Text"/>
    <w:basedOn w:val="DefaultParagraphFont"/>
    <w:uiPriority w:val="99"/>
    <w:semiHidden/>
    <w:rsid w:val="00995DDC"/>
    <w:rPr>
      <w:color w:val="808080"/>
    </w:rPr>
  </w:style>
  <w:style w:type="paragraph" w:styleId="Footer">
    <w:name w:val="footer"/>
    <w:basedOn w:val="Normal"/>
    <w:link w:val="FooterChar"/>
    <w:uiPriority w:val="99"/>
    <w:rsid w:val="00AA1338"/>
    <w:pPr>
      <w:tabs>
        <w:tab w:val="center" w:pos="4680"/>
        <w:tab w:val="right" w:pos="9360"/>
      </w:tabs>
    </w:pPr>
    <w:rPr>
      <w:sz w:val="20"/>
    </w:rPr>
  </w:style>
  <w:style w:type="character" w:customStyle="1" w:styleId="FooterChar">
    <w:name w:val="Footer Char"/>
    <w:basedOn w:val="DefaultParagraphFont"/>
    <w:link w:val="Footer"/>
    <w:uiPriority w:val="99"/>
    <w:rsid w:val="00AA1338"/>
    <w:rPr>
      <w:rFonts w:ascii="Times New Roman" w:eastAsia="SimSun" w:hAnsi="Times New Roman" w:cs="Times New Roman"/>
      <w:kern w:val="0"/>
      <w:sz w:val="20"/>
    </w:rPr>
  </w:style>
  <w:style w:type="character" w:customStyle="1" w:styleId="Heading3Char">
    <w:name w:val="Heading 3 Char"/>
    <w:basedOn w:val="DefaultParagraphFont"/>
    <w:link w:val="Heading3"/>
    <w:uiPriority w:val="9"/>
    <w:rsid w:val="00AA1338"/>
    <w:rPr>
      <w:rFonts w:ascii="Times New Roman" w:eastAsiaTheme="majorEastAsia" w:hAnsi="Times New Roman" w:cs="Times New Roman"/>
      <w:b/>
      <w:bCs/>
      <w:kern w:val="0"/>
    </w:rPr>
  </w:style>
  <w:style w:type="paragraph" w:customStyle="1" w:styleId="Para20">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AA1338"/>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AA1338"/>
    <w:rPr>
      <w:rFonts w:ascii="Times New Roman" w:eastAsiaTheme="majorEastAsia" w:hAnsi="Times New Roman" w:cs="Times New Roman"/>
      <w:b/>
      <w:bCs/>
      <w:kern w:val="0"/>
    </w:rPr>
  </w:style>
  <w:style w:type="character" w:customStyle="1" w:styleId="Heading5Char">
    <w:name w:val="Heading 5 Char"/>
    <w:basedOn w:val="DefaultParagraphFont"/>
    <w:link w:val="Heading5"/>
    <w:uiPriority w:val="9"/>
    <w:rsid w:val="00AA1338"/>
    <w:rPr>
      <w:rFonts w:ascii="Times New Roman" w:eastAsiaTheme="majorEastAsia" w:hAnsi="Times New Roman" w:cs="Times New Roman"/>
      <w:i/>
      <w:iCs/>
      <w:kern w:val="0"/>
    </w:rPr>
  </w:style>
  <w:style w:type="character" w:styleId="CommentReference">
    <w:name w:val="annotation reference"/>
    <w:basedOn w:val="DefaultParagraphFont"/>
    <w:uiPriority w:val="99"/>
    <w:unhideWhenUsed/>
    <w:rsid w:val="00AA1338"/>
    <w:rPr>
      <w:sz w:val="16"/>
      <w:szCs w:val="16"/>
    </w:rPr>
  </w:style>
  <w:style w:type="paragraph" w:styleId="CommentText">
    <w:name w:val="annotation text"/>
    <w:basedOn w:val="Normal"/>
    <w:link w:val="CommentTextChar"/>
    <w:uiPriority w:val="99"/>
    <w:rsid w:val="00AA1338"/>
    <w:rPr>
      <w:sz w:val="20"/>
      <w:szCs w:val="20"/>
    </w:rPr>
  </w:style>
  <w:style w:type="character" w:customStyle="1" w:styleId="CommentTextChar">
    <w:name w:val="Comment Text Char"/>
    <w:basedOn w:val="DefaultParagraphFont"/>
    <w:link w:val="CommentText"/>
    <w:uiPriority w:val="99"/>
    <w:rsid w:val="00AA1338"/>
    <w:rPr>
      <w:rFonts w:ascii="Times New Roman" w:eastAsia="SimSun" w:hAnsi="Times New Roman" w:cs="Times New Roman"/>
      <w:kern w:val="0"/>
      <w:sz w:val="20"/>
      <w:szCs w:val="20"/>
    </w:rPr>
  </w:style>
  <w:style w:type="paragraph" w:styleId="CommentSubject">
    <w:name w:val="annotation subject"/>
    <w:basedOn w:val="CommentText"/>
    <w:next w:val="CommentText"/>
    <w:link w:val="CommentSubjectChar"/>
    <w:uiPriority w:val="99"/>
    <w:semiHidden/>
    <w:unhideWhenUsed/>
    <w:rsid w:val="00AA1338"/>
    <w:rPr>
      <w:b/>
      <w:bCs/>
    </w:rPr>
  </w:style>
  <w:style w:type="character" w:customStyle="1" w:styleId="CommentSubjectChar">
    <w:name w:val="Comment Subject Char"/>
    <w:basedOn w:val="CommentTextChar"/>
    <w:link w:val="CommentSubject"/>
    <w:uiPriority w:val="99"/>
    <w:semiHidden/>
    <w:rsid w:val="00AA1338"/>
    <w:rPr>
      <w:rFonts w:ascii="Times New Roman" w:eastAsia="SimSun" w:hAnsi="Times New Roman" w:cs="Times New Roman"/>
      <w:b/>
      <w:bCs/>
      <w:kern w:val="0"/>
      <w:sz w:val="20"/>
      <w:szCs w:val="20"/>
    </w:rPr>
  </w:style>
  <w:style w:type="paragraph" w:styleId="Revision">
    <w:name w:val="Revision"/>
    <w:hidden/>
    <w:uiPriority w:val="99"/>
    <w:semiHidden/>
    <w:rsid w:val="00AA1338"/>
    <w:pPr>
      <w:spacing w:after="0" w:line="240" w:lineRule="auto"/>
    </w:pPr>
    <w:rPr>
      <w:rFonts w:ascii="Simplified Arabic" w:eastAsia="Times New Roman" w:hAnsi="Simplified Arabic" w:cs="Simplified Arabic"/>
      <w:noProof/>
      <w:kern w:val="0"/>
      <w:sz w:val="24"/>
      <w:szCs w:val="24"/>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rPr>
  </w:style>
  <w:style w:type="paragraph" w:customStyle="1" w:styleId="paragraph">
    <w:name w:val="paragraph"/>
    <w:basedOn w:val="Normal"/>
    <w:rsid w:val="00557370"/>
    <w:pPr>
      <w:spacing w:before="100" w:beforeAutospacing="1" w:after="100" w:afterAutospacing="1"/>
      <w:jc w:val="left"/>
    </w:pPr>
    <w:rPr>
      <w:sz w:val="24"/>
    </w:rPr>
  </w:style>
  <w:style w:type="character" w:styleId="Hyperlink">
    <w:name w:val="Hyperlink"/>
    <w:basedOn w:val="DefaultParagraphFont"/>
    <w:uiPriority w:val="99"/>
    <w:unhideWhenUsed/>
    <w:rsid w:val="00AA1338"/>
    <w:rPr>
      <w:rFonts w:ascii="Times New Roman" w:hAnsi="Times New Roman"/>
      <w:color w:val="0563C1" w:themeColor="hyperlink"/>
      <w:u w:val="single"/>
    </w:rPr>
  </w:style>
  <w:style w:type="character" w:customStyle="1"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semiHidden/>
    <w:unhideWhenUsed/>
    <w:rsid w:val="00051B37"/>
    <w:rPr>
      <w:color w:val="954F72" w:themeColor="followedHyperlink"/>
      <w:u w:val="single"/>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uiPriority w:val="99"/>
    <w:semiHidden/>
    <w:rsid w:val="00435E81"/>
    <w:rPr>
      <w:rFonts w:ascii="Times New Roman" w:eastAsia="SimSun" w:hAnsi="Times New Roman" w:cs="Times New Roman"/>
      <w:kern w:val="0"/>
    </w:rPr>
  </w:style>
  <w:style w:type="paragraph" w:styleId="ListParagraph">
    <w:name w:val="List Paragraph"/>
    <w:basedOn w:val="Normal"/>
    <w:uiPriority w:val="34"/>
    <w:qFormat/>
    <w:rsid w:val="00AA1338"/>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SimSun" w:hAnsi="Times New Roman" w:cs="Times New Roman"/>
      <w:snapToGrid w:val="0"/>
      <w:kern w:val="0"/>
      <w:szCs w:val="18"/>
    </w:rPr>
  </w:style>
  <w:style w:type="paragraph" w:styleId="Header">
    <w:name w:val="header"/>
    <w:basedOn w:val="Normal"/>
    <w:link w:val="HeaderChar"/>
    <w:rsid w:val="00AA1338"/>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A1338"/>
    <w:rPr>
      <w:rFonts w:ascii="Times New Roman" w:eastAsia="SimSun" w:hAnsi="Times New Roman" w:cs="Times New Roman"/>
      <w:kern w:val="0"/>
      <w:sz w:val="20"/>
    </w:rPr>
  </w:style>
  <w:style w:type="character" w:customStyle="1" w:styleId="Heading6Char">
    <w:name w:val="Heading 6 Char"/>
    <w:basedOn w:val="DefaultParagraphFont"/>
    <w:link w:val="Heading6"/>
    <w:semiHidden/>
    <w:rsid w:val="00AA1338"/>
    <w:rPr>
      <w:rFonts w:ascii="Times New Roman" w:eastAsia="SimSun" w:hAnsi="Times New Roman" w:cs="Times New Roman"/>
      <w:bCs/>
      <w:kern w:val="0"/>
      <w:sz w:val="24"/>
    </w:rPr>
  </w:style>
  <w:style w:type="character" w:customStyle="1" w:styleId="Heading7Char">
    <w:name w:val="Heading 7 Char"/>
    <w:basedOn w:val="DefaultParagraphFont"/>
    <w:link w:val="Heading7"/>
    <w:semiHidden/>
    <w:rsid w:val="00AA1338"/>
    <w:rPr>
      <w:rFonts w:ascii="Times New Roman" w:eastAsia="SimSun" w:hAnsi="Times New Roman" w:cs="Times New Roman"/>
      <w:b/>
      <w:snapToGrid w:val="0"/>
      <w:kern w:val="0"/>
      <w:u w:val="single"/>
    </w:rPr>
  </w:style>
  <w:style w:type="character" w:customStyle="1" w:styleId="Heading8Char">
    <w:name w:val="Heading 8 Char"/>
    <w:basedOn w:val="DefaultParagraphFont"/>
    <w:link w:val="Heading8"/>
    <w:semiHidden/>
    <w:rsid w:val="00AA1338"/>
    <w:rPr>
      <w:rFonts w:ascii="Times New Roman" w:eastAsia="SimSun" w:hAnsi="Times New Roman" w:cs="Times New Roman"/>
      <w:b/>
      <w:snapToGrid w:val="0"/>
      <w:kern w:val="0"/>
      <w:u w:val="single"/>
    </w:rPr>
  </w:style>
  <w:style w:type="character" w:customStyle="1" w:styleId="Heading9Char">
    <w:name w:val="Heading 9 Char"/>
    <w:basedOn w:val="DefaultParagraphFont"/>
    <w:link w:val="Heading9"/>
    <w:semiHidden/>
    <w:rsid w:val="00AA1338"/>
    <w:rPr>
      <w:rFonts w:ascii="Times New Roman" w:eastAsia="SimSun" w:hAnsi="Times New Roman" w:cs="Times New Roman"/>
      <w:snapToGrid w:val="0"/>
      <w:kern w:val="0"/>
      <w:u w:val="single"/>
    </w:rPr>
  </w:style>
  <w:style w:type="paragraph" w:customStyle="1" w:styleId="DarkList-Accent31">
    <w:name w:val="Dark List - Accent 31"/>
    <w:hidden/>
    <w:uiPriority w:val="99"/>
    <w:semiHidden/>
    <w:rsid w:val="00AA1338"/>
    <w:pPr>
      <w:spacing w:after="0" w:line="240" w:lineRule="auto"/>
    </w:pPr>
    <w:rPr>
      <w:rFonts w:ascii="Times New Roman" w:eastAsia="SimSun" w:hAnsi="Times New Roman" w:cs="Times New Roman"/>
      <w:kern w:val="0"/>
    </w:rPr>
  </w:style>
  <w:style w:type="paragraph" w:customStyle="1" w:styleId="CBDNormalNoNumber">
    <w:name w:val="CBD_Normal_NoNumber"/>
    <w:basedOn w:val="CBDNormal"/>
    <w:qFormat/>
    <w:rsid w:val="00AA1338"/>
    <w:pPr>
      <w:spacing w:after="120"/>
      <w:ind w:left="567"/>
    </w:pPr>
  </w:style>
  <w:style w:type="paragraph" w:customStyle="1" w:styleId="ABSymbol">
    <w:name w:val="AB_Symbol"/>
    <w:basedOn w:val="Normal"/>
    <w:qFormat/>
    <w:rsid w:val="00AA133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A1338"/>
    <w:pPr>
      <w:numPr>
        <w:numId w:val="7"/>
      </w:numPr>
      <w:tabs>
        <w:tab w:val="left" w:pos="3969"/>
      </w:tabs>
      <w:spacing w:before="120" w:after="120"/>
    </w:pPr>
  </w:style>
  <w:style w:type="paragraph" w:customStyle="1" w:styleId="AFCorNotNormal">
    <w:name w:val="AF_CorNotNormal"/>
    <w:basedOn w:val="Normal"/>
    <w:unhideWhenUsed/>
    <w:rsid w:val="002B38F5"/>
  </w:style>
  <w:style w:type="paragraph" w:customStyle="1" w:styleId="AEDistrNormal">
    <w:name w:val="AE_DistrNormal"/>
    <w:basedOn w:val="Normal"/>
    <w:unhideWhenUsed/>
    <w:rsid w:val="00AA1338"/>
    <w:pPr>
      <w:jc w:val="left"/>
    </w:pPr>
  </w:style>
  <w:style w:type="paragraph" w:customStyle="1" w:styleId="AASmallLogo">
    <w:name w:val="AA_SmallLogo"/>
    <w:basedOn w:val="AEDistrNormal"/>
    <w:unhideWhenUsed/>
    <w:rsid w:val="00AA1338"/>
    <w:pPr>
      <w:spacing w:before="40"/>
    </w:pPr>
    <w:rPr>
      <w:sz w:val="4"/>
    </w:rPr>
  </w:style>
  <w:style w:type="paragraph" w:customStyle="1" w:styleId="ACLargeLogo">
    <w:name w:val="AC_LargeLogo"/>
    <w:basedOn w:val="AFCorNNormal"/>
    <w:next w:val="AISpacer"/>
    <w:unhideWhenUsed/>
    <w:rsid w:val="00AA1338"/>
    <w:pPr>
      <w:spacing w:before="120"/>
      <w:contextualSpacing/>
    </w:pPr>
    <w:rPr>
      <w:sz w:val="8"/>
    </w:rPr>
  </w:style>
  <w:style w:type="paragraph" w:customStyle="1" w:styleId="CBDNormal">
    <w:name w:val="CBD_Normal"/>
    <w:unhideWhenUsed/>
    <w:qFormat/>
    <w:rsid w:val="00AA1338"/>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rPr>
  </w:style>
  <w:style w:type="paragraph" w:styleId="List">
    <w:name w:val="List"/>
    <w:basedOn w:val="Normal"/>
    <w:semiHidden/>
    <w:rsid w:val="00AA1338"/>
    <w:pPr>
      <w:contextualSpacing/>
    </w:pPr>
  </w:style>
  <w:style w:type="numbering" w:customStyle="1" w:styleId="ListCBD">
    <w:name w:val="ListCBD"/>
    <w:basedOn w:val="NoList"/>
    <w:uiPriority w:val="99"/>
    <w:rsid w:val="00AA1338"/>
    <w:pPr>
      <w:numPr>
        <w:numId w:val="5"/>
      </w:numPr>
    </w:pPr>
  </w:style>
  <w:style w:type="numbering" w:customStyle="1" w:styleId="CBDHeadings">
    <w:name w:val="CBD_Headings"/>
    <w:basedOn w:val="ListCBD"/>
    <w:uiPriority w:val="99"/>
    <w:rsid w:val="00AA1338"/>
    <w:pPr>
      <w:numPr>
        <w:numId w:val="6"/>
      </w:numPr>
    </w:pPr>
  </w:style>
  <w:style w:type="paragraph" w:customStyle="1" w:styleId="AISpacer">
    <w:name w:val="AI_Spacer"/>
    <w:next w:val="Normal"/>
    <w:unhideWhenUsed/>
    <w:qFormat/>
    <w:rsid w:val="00AA1338"/>
    <w:pPr>
      <w:spacing w:after="0" w:line="240" w:lineRule="auto"/>
    </w:pPr>
    <w:rPr>
      <w:rFonts w:ascii="Times New Roman" w:eastAsia="SimSun" w:hAnsi="Times New Roman" w:cs="Times New Roman"/>
      <w:kern w:val="0"/>
      <w:sz w:val="2"/>
    </w:rPr>
  </w:style>
  <w:style w:type="paragraph" w:customStyle="1" w:styleId="AEDistrNormal6pt">
    <w:name w:val="AE_DistrNormal6pt"/>
    <w:basedOn w:val="AEDistrNormal"/>
    <w:next w:val="AFCorNNormal"/>
    <w:unhideWhenUsed/>
    <w:qFormat/>
    <w:rsid w:val="00AA1338"/>
    <w:pPr>
      <w:spacing w:before="120"/>
    </w:pPr>
  </w:style>
  <w:style w:type="paragraph" w:customStyle="1" w:styleId="AFCorNotBold">
    <w:name w:val="AF_CorNotBold"/>
    <w:basedOn w:val="AFCorNotNormal"/>
    <w:next w:val="AFCorNotNormal"/>
    <w:unhideWhenUsed/>
    <w:qFormat/>
    <w:rsid w:val="002B38F5"/>
    <w:rPr>
      <w:b/>
    </w:rPr>
  </w:style>
  <w:style w:type="paragraph" w:customStyle="1" w:styleId="AFCorNot12Bold">
    <w:name w:val="AF_CorNot12Bold"/>
    <w:basedOn w:val="AFCorNotNormal"/>
    <w:next w:val="AFCorNotNormal"/>
    <w:unhideWhenUsed/>
    <w:qFormat/>
    <w:rsid w:val="002B38F5"/>
    <w:pPr>
      <w:jc w:val="left"/>
    </w:pPr>
    <w:rPr>
      <w:b/>
      <w:sz w:val="24"/>
    </w:rPr>
  </w:style>
  <w:style w:type="paragraph" w:customStyle="1" w:styleId="CBDAgendaItem">
    <w:name w:val="CBD_AgendaItem"/>
    <w:basedOn w:val="Normal"/>
    <w:qFormat/>
    <w:rsid w:val="00AA1338"/>
    <w:pPr>
      <w:keepNext/>
      <w:keepLines/>
      <w:spacing w:before="240" w:after="120"/>
      <w:jc w:val="left"/>
    </w:pPr>
    <w:rPr>
      <w:b/>
      <w:sz w:val="24"/>
    </w:rPr>
  </w:style>
  <w:style w:type="paragraph" w:customStyle="1" w:styleId="CBDDesicionText">
    <w:name w:val="CBD_DesicionText"/>
    <w:basedOn w:val="CBDNormal"/>
    <w:qFormat/>
    <w:rsid w:val="00AA1338"/>
    <w:pPr>
      <w:spacing w:after="120"/>
      <w:ind w:left="567" w:firstLine="567"/>
    </w:pPr>
  </w:style>
  <w:style w:type="paragraph" w:customStyle="1" w:styleId="CBDDesicionAnnex">
    <w:name w:val="CBD_DesicionAnnex"/>
    <w:basedOn w:val="CBDNormal"/>
    <w:next w:val="CBDDesicionText"/>
    <w:qFormat/>
    <w:rsid w:val="00AA1338"/>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AA1338"/>
    <w:pPr>
      <w:keepNext/>
      <w:keepLines/>
      <w:spacing w:after="240"/>
      <w:jc w:val="left"/>
    </w:pPr>
    <w:rPr>
      <w:b/>
      <w:sz w:val="28"/>
    </w:rPr>
  </w:style>
  <w:style w:type="paragraph" w:customStyle="1" w:styleId="CBDSubTitle">
    <w:name w:val="CBD_SubTitle"/>
    <w:basedOn w:val="CBDNormal"/>
    <w:qFormat/>
    <w:rsid w:val="00AA1338"/>
    <w:pPr>
      <w:keepNext/>
      <w:keepLines/>
      <w:spacing w:before="240" w:after="240"/>
      <w:ind w:left="567"/>
      <w:jc w:val="left"/>
    </w:pPr>
    <w:rPr>
      <w:b/>
    </w:rPr>
  </w:style>
  <w:style w:type="paragraph" w:customStyle="1" w:styleId="CBDTitle">
    <w:name w:val="CBD_Title"/>
    <w:basedOn w:val="CBDNormal"/>
    <w:next w:val="CBDSubTitle"/>
    <w:qFormat/>
    <w:rsid w:val="00AA1338"/>
    <w:pPr>
      <w:keepNext/>
      <w:keepLines/>
      <w:spacing w:before="240" w:after="240"/>
      <w:ind w:left="567"/>
      <w:jc w:val="left"/>
    </w:pPr>
    <w:rPr>
      <w:b/>
      <w:sz w:val="28"/>
    </w:rPr>
  </w:style>
  <w:style w:type="paragraph" w:customStyle="1" w:styleId="AENormal">
    <w:name w:val="AE_Normal"/>
    <w:basedOn w:val="Normal"/>
    <w:rsid w:val="00AA1338"/>
  </w:style>
  <w:style w:type="paragraph" w:customStyle="1" w:styleId="CBDH1">
    <w:name w:val="CBD_H1"/>
    <w:basedOn w:val="CBDNormal"/>
    <w:qFormat/>
    <w:rsid w:val="00AA1338"/>
    <w:pPr>
      <w:keepNext/>
      <w:keepLines/>
      <w:spacing w:before="240" w:after="120"/>
      <w:ind w:left="567" w:hanging="567"/>
      <w:jc w:val="left"/>
      <w:outlineLvl w:val="0"/>
    </w:pPr>
    <w:rPr>
      <w:b/>
      <w:sz w:val="28"/>
    </w:rPr>
  </w:style>
  <w:style w:type="paragraph" w:customStyle="1" w:styleId="CBDH2">
    <w:name w:val="CBD_H2"/>
    <w:basedOn w:val="CBDNormalNumber"/>
    <w:qFormat/>
    <w:rsid w:val="00AA1338"/>
    <w:pPr>
      <w:keepNext/>
      <w:keepLines/>
      <w:numPr>
        <w:numId w:val="0"/>
      </w:numPr>
      <w:ind w:left="567" w:hanging="567"/>
    </w:pPr>
    <w:rPr>
      <w:b/>
      <w:sz w:val="24"/>
    </w:rPr>
  </w:style>
  <w:style w:type="paragraph" w:customStyle="1" w:styleId="CBDFootnoteText">
    <w:name w:val="CBD_Footnote_Text"/>
    <w:basedOn w:val="CBDNormal"/>
    <w:qFormat/>
    <w:rsid w:val="00AA1338"/>
    <w:pPr>
      <w:jc w:val="left"/>
    </w:pPr>
    <w:rPr>
      <w:sz w:val="18"/>
    </w:rPr>
  </w:style>
  <w:style w:type="paragraph" w:customStyle="1" w:styleId="CBDFooter">
    <w:name w:val="CBD_Footer"/>
    <w:basedOn w:val="CBDNormal"/>
    <w:qFormat/>
    <w:rsid w:val="00AA1338"/>
    <w:rPr>
      <w:sz w:val="20"/>
    </w:rPr>
  </w:style>
  <w:style w:type="paragraph" w:customStyle="1" w:styleId="CBDHeader">
    <w:name w:val="CBD_Header"/>
    <w:basedOn w:val="CBDNormal"/>
    <w:next w:val="CBDFooter"/>
    <w:qFormat/>
    <w:rsid w:val="00AA1338"/>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A1338"/>
    <w:pPr>
      <w:keepNext/>
      <w:keepLines/>
      <w:spacing w:before="120" w:after="120"/>
      <w:ind w:left="567" w:hanging="567"/>
      <w:jc w:val="left"/>
    </w:pPr>
    <w:rPr>
      <w:b/>
    </w:rPr>
  </w:style>
  <w:style w:type="paragraph" w:customStyle="1" w:styleId="CBDH4">
    <w:name w:val="CBD_H4"/>
    <w:basedOn w:val="CBDNormal"/>
    <w:rsid w:val="00AA1338"/>
    <w:pPr>
      <w:keepNext/>
      <w:keepLines/>
      <w:spacing w:before="120" w:after="120"/>
      <w:ind w:left="567" w:hanging="567"/>
      <w:jc w:val="left"/>
    </w:pPr>
    <w:rPr>
      <w:b/>
    </w:rPr>
  </w:style>
  <w:style w:type="paragraph" w:customStyle="1" w:styleId="CBDH5">
    <w:name w:val="CBD_H5"/>
    <w:basedOn w:val="CBDNormal"/>
    <w:qFormat/>
    <w:rsid w:val="00AA1338"/>
    <w:pPr>
      <w:keepNext/>
      <w:keepLines/>
      <w:spacing w:before="120" w:after="120"/>
      <w:ind w:left="567" w:hanging="567"/>
      <w:jc w:val="left"/>
    </w:pPr>
    <w:rPr>
      <w:i/>
    </w:rPr>
  </w:style>
  <w:style w:type="paragraph" w:customStyle="1" w:styleId="CBDTableNormal">
    <w:name w:val="CBD_TableNormal"/>
    <w:basedOn w:val="CBDNormal"/>
    <w:qFormat/>
    <w:rsid w:val="00AA1338"/>
    <w:pPr>
      <w:spacing w:before="40" w:after="80"/>
      <w:jc w:val="left"/>
    </w:pPr>
    <w:rPr>
      <w:sz w:val="20"/>
    </w:rPr>
  </w:style>
  <w:style w:type="paragraph" w:customStyle="1" w:styleId="CBDTableTitle">
    <w:name w:val="CBD_TableTitle"/>
    <w:basedOn w:val="CBDNormal"/>
    <w:qFormat/>
    <w:rsid w:val="00AA1338"/>
    <w:pPr>
      <w:keepNext/>
      <w:keepLines/>
      <w:spacing w:before="120" w:after="60"/>
      <w:ind w:left="567"/>
      <w:jc w:val="left"/>
    </w:pPr>
    <w:rPr>
      <w:b/>
    </w:rPr>
  </w:style>
  <w:style w:type="paragraph" w:customStyle="1" w:styleId="CBDFigureTitle">
    <w:name w:val="CBD_FigureTitle"/>
    <w:basedOn w:val="CBDNormal"/>
    <w:next w:val="CBDNormalNoNumber"/>
    <w:qFormat/>
    <w:rsid w:val="00AA1338"/>
    <w:pPr>
      <w:keepNext/>
      <w:keepLines/>
      <w:spacing w:before="120" w:after="60"/>
      <w:ind w:left="567"/>
      <w:jc w:val="left"/>
    </w:pPr>
    <w:rPr>
      <w:b/>
    </w:rPr>
  </w:style>
  <w:style w:type="paragraph" w:styleId="BalloonText">
    <w:name w:val="Balloon Text"/>
    <w:basedOn w:val="Normal"/>
    <w:link w:val="BalloonTextChar"/>
    <w:uiPriority w:val="99"/>
    <w:semiHidden/>
    <w:unhideWhenUsed/>
    <w:rsid w:val="002B38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38F5"/>
    <w:rPr>
      <w:rFonts w:ascii="Segoe UI" w:eastAsia="SimSun" w:hAnsi="Segoe UI" w:cs="Segoe UI"/>
      <w:kern w:val="0"/>
      <w:sz w:val="18"/>
      <w:szCs w:val="18"/>
    </w:rPr>
  </w:style>
  <w:style w:type="paragraph" w:styleId="Bibliography">
    <w:name w:val="Bibliography"/>
    <w:basedOn w:val="Normal"/>
    <w:next w:val="Normal"/>
    <w:uiPriority w:val="37"/>
    <w:semiHidden/>
    <w:unhideWhenUsed/>
    <w:rsid w:val="002B38F5"/>
  </w:style>
  <w:style w:type="paragraph" w:styleId="BlockText">
    <w:name w:val="Block Text"/>
    <w:basedOn w:val="Normal"/>
    <w:uiPriority w:val="99"/>
    <w:semiHidden/>
    <w:unhideWhenUsed/>
    <w:rsid w:val="002B38F5"/>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2B38F5"/>
    <w:pPr>
      <w:spacing w:after="120" w:line="480" w:lineRule="auto"/>
    </w:pPr>
  </w:style>
  <w:style w:type="character" w:customStyle="1" w:styleId="BodyText2Char">
    <w:name w:val="Body Text 2 Char"/>
    <w:basedOn w:val="DefaultParagraphFont"/>
    <w:link w:val="BodyText2"/>
    <w:uiPriority w:val="99"/>
    <w:semiHidden/>
    <w:rsid w:val="002B38F5"/>
    <w:rPr>
      <w:rFonts w:ascii="Times New Roman" w:eastAsia="SimSun" w:hAnsi="Times New Roman" w:cs="Times New Roman"/>
      <w:kern w:val="0"/>
    </w:rPr>
  </w:style>
  <w:style w:type="paragraph" w:styleId="BodyText3">
    <w:name w:val="Body Text 3"/>
    <w:basedOn w:val="Normal"/>
    <w:link w:val="BodyText3Char"/>
    <w:uiPriority w:val="99"/>
    <w:semiHidden/>
    <w:unhideWhenUsed/>
    <w:rsid w:val="002B38F5"/>
    <w:pPr>
      <w:spacing w:after="120"/>
    </w:pPr>
    <w:rPr>
      <w:sz w:val="16"/>
      <w:szCs w:val="16"/>
    </w:rPr>
  </w:style>
  <w:style w:type="character" w:customStyle="1" w:styleId="BodyText3Char">
    <w:name w:val="Body Text 3 Char"/>
    <w:basedOn w:val="DefaultParagraphFont"/>
    <w:link w:val="BodyText3"/>
    <w:uiPriority w:val="99"/>
    <w:semiHidden/>
    <w:rsid w:val="002B38F5"/>
    <w:rPr>
      <w:rFonts w:ascii="Times New Roman" w:eastAsia="SimSun" w:hAnsi="Times New Roman" w:cs="Times New Roman"/>
      <w:kern w:val="0"/>
      <w:sz w:val="16"/>
      <w:szCs w:val="16"/>
    </w:rPr>
  </w:style>
  <w:style w:type="paragraph" w:styleId="BodyTextFirstIndent">
    <w:name w:val="Body Text First Indent"/>
    <w:basedOn w:val="BodyText"/>
    <w:link w:val="BodyTextFirstIndentChar"/>
    <w:uiPriority w:val="99"/>
    <w:semiHidden/>
    <w:unhideWhenUsed/>
    <w:rsid w:val="002B38F5"/>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2B38F5"/>
    <w:rPr>
      <w:rFonts w:ascii="Times New Roman" w:eastAsia="SimSun" w:hAnsi="Times New Roman" w:cs="Times New Roman"/>
      <w:kern w:val="0"/>
    </w:rPr>
  </w:style>
  <w:style w:type="paragraph" w:styleId="BodyTextFirstIndent2">
    <w:name w:val="Body Text First Indent 2"/>
    <w:basedOn w:val="BodyTextIndent"/>
    <w:link w:val="BodyTextFirstIndent2Char"/>
    <w:uiPriority w:val="99"/>
    <w:semiHidden/>
    <w:unhideWhenUsed/>
    <w:rsid w:val="002B38F5"/>
    <w:pPr>
      <w:spacing w:after="0"/>
      <w:ind w:firstLine="360"/>
    </w:pPr>
  </w:style>
  <w:style w:type="character" w:customStyle="1" w:styleId="BodyTextFirstIndent2Char">
    <w:name w:val="Body Text First Indent 2 Char"/>
    <w:basedOn w:val="BodyTextIndentChar"/>
    <w:link w:val="BodyTextFirstIndent2"/>
    <w:uiPriority w:val="99"/>
    <w:semiHidden/>
    <w:rsid w:val="002B38F5"/>
    <w:rPr>
      <w:rFonts w:ascii="Times New Roman" w:eastAsia="SimSun" w:hAnsi="Times New Roman" w:cs="Times New Roman"/>
      <w:kern w:val="0"/>
    </w:rPr>
  </w:style>
  <w:style w:type="paragraph" w:styleId="BodyTextIndent2">
    <w:name w:val="Body Text Indent 2"/>
    <w:basedOn w:val="Normal"/>
    <w:link w:val="BodyTextIndent2Char"/>
    <w:uiPriority w:val="99"/>
    <w:semiHidden/>
    <w:unhideWhenUsed/>
    <w:rsid w:val="002B38F5"/>
    <w:pPr>
      <w:spacing w:after="120" w:line="480" w:lineRule="auto"/>
      <w:ind w:left="360"/>
    </w:pPr>
  </w:style>
  <w:style w:type="character" w:customStyle="1" w:styleId="BodyTextIndent2Char">
    <w:name w:val="Body Text Indent 2 Char"/>
    <w:basedOn w:val="DefaultParagraphFont"/>
    <w:link w:val="BodyTextIndent2"/>
    <w:uiPriority w:val="99"/>
    <w:semiHidden/>
    <w:rsid w:val="002B38F5"/>
    <w:rPr>
      <w:rFonts w:ascii="Times New Roman" w:eastAsia="SimSun" w:hAnsi="Times New Roman" w:cs="Times New Roman"/>
      <w:kern w:val="0"/>
    </w:rPr>
  </w:style>
  <w:style w:type="paragraph" w:styleId="BodyTextIndent3">
    <w:name w:val="Body Text Indent 3"/>
    <w:basedOn w:val="Normal"/>
    <w:link w:val="BodyTextIndent3Char"/>
    <w:uiPriority w:val="99"/>
    <w:semiHidden/>
    <w:unhideWhenUsed/>
    <w:rsid w:val="002B38F5"/>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B38F5"/>
    <w:rPr>
      <w:rFonts w:ascii="Times New Roman" w:eastAsia="SimSun" w:hAnsi="Times New Roman" w:cs="Times New Roman"/>
      <w:kern w:val="0"/>
      <w:sz w:val="16"/>
      <w:szCs w:val="16"/>
    </w:rPr>
  </w:style>
  <w:style w:type="character" w:styleId="BookTitle">
    <w:name w:val="Book Title"/>
    <w:basedOn w:val="DefaultParagraphFont"/>
    <w:uiPriority w:val="33"/>
    <w:qFormat/>
    <w:rsid w:val="002B38F5"/>
    <w:rPr>
      <w:b/>
      <w:bCs/>
      <w:i/>
      <w:iCs/>
      <w:spacing w:val="5"/>
    </w:rPr>
  </w:style>
  <w:style w:type="paragraph" w:styleId="Caption">
    <w:name w:val="caption"/>
    <w:basedOn w:val="Normal"/>
    <w:next w:val="Normal"/>
    <w:uiPriority w:val="35"/>
    <w:semiHidden/>
    <w:unhideWhenUsed/>
    <w:qFormat/>
    <w:rsid w:val="002B38F5"/>
    <w:pPr>
      <w:spacing w:after="200"/>
    </w:pPr>
    <w:rPr>
      <w:i/>
      <w:iCs/>
      <w:color w:val="44546A" w:themeColor="text2"/>
      <w:sz w:val="18"/>
      <w:szCs w:val="18"/>
    </w:rPr>
  </w:style>
  <w:style w:type="paragraph" w:styleId="Closing">
    <w:name w:val="Closing"/>
    <w:basedOn w:val="Normal"/>
    <w:link w:val="ClosingChar"/>
    <w:uiPriority w:val="99"/>
    <w:semiHidden/>
    <w:unhideWhenUsed/>
    <w:rsid w:val="002B38F5"/>
    <w:pPr>
      <w:ind w:left="4320"/>
    </w:pPr>
  </w:style>
  <w:style w:type="character" w:customStyle="1" w:styleId="ClosingChar">
    <w:name w:val="Closing Char"/>
    <w:basedOn w:val="DefaultParagraphFont"/>
    <w:link w:val="Closing"/>
    <w:uiPriority w:val="99"/>
    <w:semiHidden/>
    <w:rsid w:val="002B38F5"/>
    <w:rPr>
      <w:rFonts w:ascii="Times New Roman" w:eastAsia="SimSun" w:hAnsi="Times New Roman" w:cs="Times New Roman"/>
      <w:kern w:val="0"/>
    </w:rPr>
  </w:style>
  <w:style w:type="table" w:styleId="ColorfulGrid">
    <w:name w:val="Colorful Grid"/>
    <w:basedOn w:val="TableNormal"/>
    <w:uiPriority w:val="73"/>
    <w:semiHidden/>
    <w:unhideWhenUsed/>
    <w:rsid w:val="002B38F5"/>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tblPr/>
      <w:tcPr>
        <w:shd w:val="clear" w:color="auto" w:fill="999999" w:themeFill="text1" w:themeFillTint="66"/>
      </w:tcPr>
    </w:tblStylePr>
    <w:tblStylePr w:type="lastRow">
      <w:tblPr/>
      <w:tcPr>
        <w:shd w:val="clear" w:color="auto" w:fill="999999" w:themeFill="text1" w:themeFillTint="66"/>
      </w:tcPr>
    </w:tblStylePr>
    <w:tblStylePr w:type="firstCol">
      <w:tblPr/>
      <w:tcPr>
        <w:shd w:val="clear" w:color="auto" w:fill="000000" w:themeFill="text1" w:themeFillShade="BF"/>
      </w:tcPr>
    </w:tblStylePr>
    <w:tblStylePr w:type="lastCol">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B38F5"/>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tblPr/>
      <w:tcPr>
        <w:shd w:val="clear" w:color="auto" w:fill="B4C6E7" w:themeFill="accent1" w:themeFillTint="66"/>
      </w:tcPr>
    </w:tblStylePr>
    <w:tblStylePr w:type="lastRow">
      <w:tblPr/>
      <w:tcPr>
        <w:shd w:val="clear" w:color="auto" w:fill="B4C6E7" w:themeFill="accent1" w:themeFillTint="66"/>
      </w:tcPr>
    </w:tblStylePr>
    <w:tblStylePr w:type="firstCol">
      <w:tblPr/>
      <w:tcPr>
        <w:shd w:val="clear" w:color="auto" w:fill="2F5496" w:themeFill="accent1" w:themeFillShade="BF"/>
      </w:tcPr>
    </w:tblStylePr>
    <w:tblStylePr w:type="lastCol">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2B38F5"/>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tblPr/>
      <w:tcPr>
        <w:shd w:val="clear" w:color="auto" w:fill="F7CAAC" w:themeFill="accent2" w:themeFillTint="66"/>
      </w:tcPr>
    </w:tblStylePr>
    <w:tblStylePr w:type="lastRow">
      <w:tblPr/>
      <w:tcPr>
        <w:shd w:val="clear" w:color="auto" w:fill="F7CAAC" w:themeFill="accent2" w:themeFillTint="66"/>
      </w:tcPr>
    </w:tblStylePr>
    <w:tblStylePr w:type="firstCol">
      <w:tblPr/>
      <w:tcPr>
        <w:shd w:val="clear" w:color="auto" w:fill="C45911" w:themeFill="accent2" w:themeFillShade="BF"/>
      </w:tcPr>
    </w:tblStylePr>
    <w:tblStylePr w:type="lastCol">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2B38F5"/>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tblPr/>
      <w:tcPr>
        <w:shd w:val="clear" w:color="auto" w:fill="DBDBDB" w:themeFill="accent3" w:themeFillTint="66"/>
      </w:tcPr>
    </w:tblStylePr>
    <w:tblStylePr w:type="lastRow">
      <w:tblPr/>
      <w:tcPr>
        <w:shd w:val="clear" w:color="auto" w:fill="DBDBDB" w:themeFill="accent3" w:themeFillTint="66"/>
      </w:tcPr>
    </w:tblStylePr>
    <w:tblStylePr w:type="firstCol">
      <w:tblPr/>
      <w:tcPr>
        <w:shd w:val="clear" w:color="auto" w:fill="7B7B7B" w:themeFill="accent3" w:themeFillShade="BF"/>
      </w:tcPr>
    </w:tblStylePr>
    <w:tblStylePr w:type="lastCol">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2B38F5"/>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tblPr/>
      <w:tcPr>
        <w:shd w:val="clear" w:color="auto" w:fill="FFE599" w:themeFill="accent4" w:themeFillTint="66"/>
      </w:tcPr>
    </w:tblStylePr>
    <w:tblStylePr w:type="lastRow">
      <w:tblPr/>
      <w:tcPr>
        <w:shd w:val="clear" w:color="auto" w:fill="FFE599" w:themeFill="accent4" w:themeFillTint="66"/>
      </w:tcPr>
    </w:tblStylePr>
    <w:tblStylePr w:type="firstCol">
      <w:tblPr/>
      <w:tcPr>
        <w:shd w:val="clear" w:color="auto" w:fill="BF8F00" w:themeFill="accent4" w:themeFillShade="BF"/>
      </w:tcPr>
    </w:tblStylePr>
    <w:tblStylePr w:type="lastCol">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2B38F5"/>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tblPr/>
      <w:tcPr>
        <w:shd w:val="clear" w:color="auto" w:fill="BDD6EE" w:themeFill="accent5" w:themeFillTint="66"/>
      </w:tcPr>
    </w:tblStylePr>
    <w:tblStylePr w:type="lastRow">
      <w:tblPr/>
      <w:tcPr>
        <w:shd w:val="clear" w:color="auto" w:fill="BDD6EE" w:themeFill="accent5" w:themeFillTint="66"/>
      </w:tcPr>
    </w:tblStylePr>
    <w:tblStylePr w:type="firstCol">
      <w:tblPr/>
      <w:tcPr>
        <w:shd w:val="clear" w:color="auto" w:fill="2E74B5" w:themeFill="accent5" w:themeFillShade="BF"/>
      </w:tcPr>
    </w:tblStylePr>
    <w:tblStylePr w:type="lastCol">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2B38F5"/>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tblPr/>
      <w:tcPr>
        <w:shd w:val="clear" w:color="auto" w:fill="C5E0B3" w:themeFill="accent6" w:themeFillTint="66"/>
      </w:tcPr>
    </w:tblStylePr>
    <w:tblStylePr w:type="lastRow">
      <w:tblPr/>
      <w:tcPr>
        <w:shd w:val="clear" w:color="auto" w:fill="C5E0B3" w:themeFill="accent6" w:themeFillTint="66"/>
      </w:tcPr>
    </w:tblStylePr>
    <w:tblStylePr w:type="firstCol">
      <w:tblPr/>
      <w:tcPr>
        <w:shd w:val="clear" w:color="auto" w:fill="538135" w:themeFill="accent6" w:themeFillShade="BF"/>
      </w:tcPr>
    </w:tblStylePr>
    <w:tblStylePr w:type="lastCol">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2B38F5"/>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B38F5"/>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2B38F5"/>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DF2EA" w:themeFill="accent2"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2B38F5"/>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6F6F6" w:themeFill="accent3" w:themeFillTint="19"/>
    </w:tcPr>
    <w:tblStylePr w:type="firstRow">
      <w:tblPr/>
      <w:tcPr>
        <w:tcBorders>
          <w:bottom w:val="single" w:sz="12" w:space="0" w:color="FFFFFF" w:themeColor="background1"/>
        </w:tcBorders>
        <w:shd w:val="clear" w:color="auto" w:fill="CC9900" w:themeFill="accent4"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2B38F5"/>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FF8E6" w:themeFill="accent4" w:themeFillTint="19"/>
    </w:tcPr>
    <w:tblStylePr w:type="firstRow">
      <w:tblPr/>
      <w:tcPr>
        <w:tcBorders>
          <w:bottom w:val="single" w:sz="12" w:space="0" w:color="FFFFFF" w:themeColor="background1"/>
        </w:tcBorders>
        <w:shd w:val="clear" w:color="auto" w:fill="848484" w:themeFill="accent3"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2B38F5"/>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EF5FB" w:themeFill="accent5" w:themeFillTint="19"/>
    </w:tcPr>
    <w:tblStylePr w:type="firstRow">
      <w:tblPr/>
      <w:tcPr>
        <w:tcBorders>
          <w:bottom w:val="single" w:sz="12" w:space="0" w:color="FFFFFF" w:themeColor="background1"/>
        </w:tcBorders>
        <w:shd w:val="clear" w:color="auto" w:fill="598A38" w:themeFill="accent6"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2B38F5"/>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0F7EC" w:themeFill="accent6" w:themeFillTint="19"/>
    </w:tcPr>
    <w:tblStylePr w:type="firstRow">
      <w:tblPr/>
      <w:tcPr>
        <w:tcBorders>
          <w:bottom w:val="single" w:sz="12" w:space="0" w:color="FFFFFF" w:themeColor="background1"/>
        </w:tcBorders>
        <w:shd w:val="clear" w:color="auto" w:fill="317CC1" w:themeFill="accent5"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2B38F5"/>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000000" w:themeFill="text1" w:themeFillShade="99"/>
      </w:tcPr>
    </w:tblStylePr>
    <w:tblStylePr w:type="firstCol">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style>
  <w:style w:type="table" w:styleId="ColorfulShading-Accent1">
    <w:name w:val="Colorful Shading Accent 1"/>
    <w:basedOn w:val="TableNormal"/>
    <w:uiPriority w:val="71"/>
    <w:semiHidden/>
    <w:unhideWhenUsed/>
    <w:rsid w:val="002B38F5"/>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1" w:themeFillTint="19"/>
    </w:tcPr>
    <w:tblStylePr w:type="firstRow">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264378" w:themeFill="accent1" w:themeFillShade="99"/>
      </w:tcPr>
    </w:tblStylePr>
    <w:tblStylePr w:type="firstCol">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style>
  <w:style w:type="table" w:styleId="ColorfulShading-Accent2">
    <w:name w:val="Colorful Shading Accent 2"/>
    <w:basedOn w:val="TableNormal"/>
    <w:uiPriority w:val="71"/>
    <w:semiHidden/>
    <w:unhideWhenUsed/>
    <w:rsid w:val="002B38F5"/>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F2EA" w:themeFill="accent2" w:themeFillTint="19"/>
    </w:tcPr>
    <w:tblStylePr w:type="firstRow">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9D470D" w:themeFill="accent2" w:themeFillShade="99"/>
      </w:tcPr>
    </w:tblStylePr>
    <w:tblStylePr w:type="firstCol">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style>
  <w:style w:type="table" w:styleId="ColorfulShading-Accent3">
    <w:name w:val="Colorful Shading Accent 3"/>
    <w:basedOn w:val="TableNormal"/>
    <w:uiPriority w:val="71"/>
    <w:semiHidden/>
    <w:unhideWhenUsed/>
    <w:rsid w:val="002B38F5"/>
    <w:pPr>
      <w:spacing w:after="0" w:line="240" w:lineRule="auto"/>
    </w:pPr>
    <w:rPr>
      <w:color w:val="000000" w:themeColor="text1"/>
    </w:rPr>
    <w:tblPr>
      <w:tblStyleRowBandSize w:val="1"/>
      <w:tblStyleColBandSize w:val="1"/>
      <w:tblInd w:w="0" w:type="dxa"/>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6F6F6" w:themeFill="accent3" w:themeFillTint="19"/>
    </w:tcPr>
    <w:tblStylePr w:type="firstRow">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636363" w:themeFill="accent3" w:themeFillShade="99"/>
      </w:tcPr>
    </w:tblStylePr>
    <w:tblStylePr w:type="firstCol">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2B38F5"/>
    <w:pPr>
      <w:spacing w:after="0" w:line="240" w:lineRule="auto"/>
    </w:pPr>
    <w:rPr>
      <w:color w:val="000000" w:themeColor="text1"/>
    </w:rPr>
    <w:tblPr>
      <w:tblStyleRowBandSize w:val="1"/>
      <w:tblStyleColBandSize w:val="1"/>
      <w:tblInd w:w="0" w:type="dxa"/>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8E6" w:themeFill="accent4" w:themeFillTint="19"/>
    </w:tcPr>
    <w:tblStylePr w:type="firstRow">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997300" w:themeFill="accent4" w:themeFillShade="99"/>
      </w:tcPr>
    </w:tblStylePr>
    <w:tblStylePr w:type="firstCol">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style>
  <w:style w:type="table" w:styleId="ColorfulShading-Accent5">
    <w:name w:val="Colorful Shading Accent 5"/>
    <w:basedOn w:val="TableNormal"/>
    <w:uiPriority w:val="71"/>
    <w:semiHidden/>
    <w:unhideWhenUsed/>
    <w:rsid w:val="002B38F5"/>
    <w:pPr>
      <w:spacing w:after="0" w:line="240" w:lineRule="auto"/>
    </w:pPr>
    <w:rPr>
      <w:color w:val="000000" w:themeColor="text1"/>
    </w:rPr>
    <w:tblPr>
      <w:tblStyleRowBandSize w:val="1"/>
      <w:tblStyleColBandSize w:val="1"/>
      <w:tblInd w:w="0" w:type="dxa"/>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EF5FB" w:themeFill="accent5" w:themeFillTint="19"/>
    </w:tcPr>
    <w:tblStylePr w:type="firstRow">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255D91" w:themeFill="accent5" w:themeFillShade="99"/>
      </w:tcPr>
    </w:tblStylePr>
    <w:tblStylePr w:type="firstCol">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style>
  <w:style w:type="table" w:styleId="ColorfulShading-Accent6">
    <w:name w:val="Colorful Shading Accent 6"/>
    <w:basedOn w:val="TableNormal"/>
    <w:uiPriority w:val="71"/>
    <w:semiHidden/>
    <w:unhideWhenUsed/>
    <w:rsid w:val="002B38F5"/>
    <w:pPr>
      <w:spacing w:after="0" w:line="240" w:lineRule="auto"/>
    </w:pPr>
    <w:rPr>
      <w:color w:val="000000" w:themeColor="text1"/>
    </w:rPr>
    <w:tblPr>
      <w:tblStyleRowBandSize w:val="1"/>
      <w:tblStyleColBandSize w:val="1"/>
      <w:tblInd w:w="0" w:type="dxa"/>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0F7EC" w:themeFill="accent6" w:themeFillTint="19"/>
    </w:tcPr>
    <w:tblStylePr w:type="firstRow">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43672A" w:themeFill="accent6" w:themeFillShade="99"/>
      </w:tcPr>
    </w:tblStylePr>
    <w:tblStylePr w:type="firstCol">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style>
  <w:style w:type="table" w:styleId="DarkList">
    <w:name w:val="Dark List"/>
    <w:basedOn w:val="TableNormal"/>
    <w:uiPriority w:val="70"/>
    <w:semiHidden/>
    <w:unhideWhenUsed/>
    <w:rsid w:val="002B38F5"/>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B38F5"/>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472C4" w:themeFill="accent1"/>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2B38F5"/>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ED7D31" w:themeFill="accent2"/>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2B38F5"/>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A5A5A5" w:themeFill="accent3"/>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2B38F5"/>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FC000" w:themeFill="accent4"/>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2B38F5"/>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5B9BD5" w:themeFill="accent5"/>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2B38F5"/>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70AD47" w:themeFill="accent6"/>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2B38F5"/>
  </w:style>
  <w:style w:type="character" w:customStyle="1" w:styleId="DateChar">
    <w:name w:val="Date Char"/>
    <w:basedOn w:val="DefaultParagraphFont"/>
    <w:link w:val="Date"/>
    <w:uiPriority w:val="99"/>
    <w:semiHidden/>
    <w:rsid w:val="002B38F5"/>
    <w:rPr>
      <w:rFonts w:ascii="Times New Roman" w:eastAsia="SimSun" w:hAnsi="Times New Roman" w:cs="Times New Roman"/>
      <w:kern w:val="0"/>
    </w:rPr>
  </w:style>
  <w:style w:type="paragraph" w:styleId="DocumentMap">
    <w:name w:val="Document Map"/>
    <w:basedOn w:val="Normal"/>
    <w:link w:val="DocumentMapChar"/>
    <w:uiPriority w:val="99"/>
    <w:semiHidden/>
    <w:unhideWhenUsed/>
    <w:rsid w:val="002B38F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B38F5"/>
    <w:rPr>
      <w:rFonts w:ascii="Segoe UI" w:eastAsia="SimSun" w:hAnsi="Segoe UI" w:cs="Segoe UI"/>
      <w:kern w:val="0"/>
      <w:sz w:val="16"/>
      <w:szCs w:val="16"/>
    </w:rPr>
  </w:style>
  <w:style w:type="paragraph" w:styleId="E-mailSignature">
    <w:name w:val="E-mail Signature"/>
    <w:basedOn w:val="Normal"/>
    <w:link w:val="E-mailSignatureChar"/>
    <w:uiPriority w:val="99"/>
    <w:semiHidden/>
    <w:unhideWhenUsed/>
    <w:rsid w:val="002B38F5"/>
  </w:style>
  <w:style w:type="character" w:customStyle="1" w:styleId="E-mailSignatureChar">
    <w:name w:val="E-mail Signature Char"/>
    <w:basedOn w:val="DefaultParagraphFont"/>
    <w:link w:val="E-mailSignature"/>
    <w:uiPriority w:val="99"/>
    <w:semiHidden/>
    <w:rsid w:val="002B38F5"/>
    <w:rPr>
      <w:rFonts w:ascii="Times New Roman" w:eastAsia="SimSun" w:hAnsi="Times New Roman" w:cs="Times New Roman"/>
      <w:kern w:val="0"/>
    </w:rPr>
  </w:style>
  <w:style w:type="character" w:styleId="Emphasis">
    <w:name w:val="Emphasis"/>
    <w:basedOn w:val="DefaultParagraphFont"/>
    <w:uiPriority w:val="20"/>
    <w:qFormat/>
    <w:rsid w:val="002B38F5"/>
    <w:rPr>
      <w:i/>
      <w:iCs/>
    </w:rPr>
  </w:style>
  <w:style w:type="character" w:styleId="EndnoteReference">
    <w:name w:val="endnote reference"/>
    <w:basedOn w:val="DefaultParagraphFont"/>
    <w:uiPriority w:val="99"/>
    <w:semiHidden/>
    <w:unhideWhenUsed/>
    <w:rsid w:val="002B38F5"/>
    <w:rPr>
      <w:vertAlign w:val="superscript"/>
    </w:rPr>
  </w:style>
  <w:style w:type="paragraph" w:styleId="EndnoteText">
    <w:name w:val="endnote text"/>
    <w:basedOn w:val="Normal"/>
    <w:link w:val="EndnoteTextChar"/>
    <w:uiPriority w:val="99"/>
    <w:semiHidden/>
    <w:unhideWhenUsed/>
    <w:rsid w:val="002B38F5"/>
    <w:rPr>
      <w:sz w:val="20"/>
      <w:szCs w:val="20"/>
    </w:rPr>
  </w:style>
  <w:style w:type="character" w:customStyle="1" w:styleId="EndnoteTextChar">
    <w:name w:val="Endnote Text Char"/>
    <w:basedOn w:val="DefaultParagraphFont"/>
    <w:link w:val="EndnoteText"/>
    <w:uiPriority w:val="99"/>
    <w:semiHidden/>
    <w:rsid w:val="002B38F5"/>
    <w:rPr>
      <w:rFonts w:ascii="Times New Roman" w:eastAsia="SimSun" w:hAnsi="Times New Roman" w:cs="Times New Roman"/>
      <w:kern w:val="0"/>
      <w:sz w:val="20"/>
      <w:szCs w:val="20"/>
    </w:rPr>
  </w:style>
  <w:style w:type="paragraph" w:styleId="EnvelopeAddress">
    <w:name w:val="envelope address"/>
    <w:basedOn w:val="Normal"/>
    <w:uiPriority w:val="99"/>
    <w:semiHidden/>
    <w:unhideWhenUsed/>
    <w:rsid w:val="002B38F5"/>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B38F5"/>
    <w:rPr>
      <w:rFonts w:asciiTheme="majorHAnsi" w:eastAsiaTheme="majorEastAsia" w:hAnsiTheme="majorHAnsi" w:cstheme="majorBidi"/>
      <w:sz w:val="20"/>
      <w:szCs w:val="20"/>
    </w:rPr>
  </w:style>
  <w:style w:type="table" w:customStyle="1" w:styleId="GridTable1Light">
    <w:name w:val="Grid Table 1 Light"/>
    <w:basedOn w:val="TableNormal"/>
    <w:uiPriority w:val="46"/>
    <w:rsid w:val="002B38F5"/>
    <w:pPr>
      <w:spacing w:after="0" w:line="240" w:lineRule="auto"/>
    </w:pPr>
    <w:rPr>
      <w:rFonts w:ascii="Calibri" w:hAnsi="Calibri"/>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tblPr/>
      <w:tcPr>
        <w:tcBorders>
          <w:bottom w:val="single" w:sz="12" w:space="0" w:color="666666" w:themeColor="text1" w:themeTint="99"/>
        </w:tcBorders>
      </w:tcPr>
    </w:tblStylePr>
    <w:tblStylePr w:type="lastRow">
      <w:tblPr/>
      <w:tcPr>
        <w:tcBorders>
          <w:top w:val="double" w:sz="2" w:space="0" w:color="666666" w:themeColor="text1" w:themeTint="99"/>
        </w:tcBorders>
      </w:tcPr>
    </w:tblStylePr>
  </w:style>
  <w:style w:type="table" w:customStyle="1" w:styleId="GridTable1LightAccent1">
    <w:name w:val="Grid Table 1 Light Accent 1"/>
    <w:basedOn w:val="TableNormal"/>
    <w:uiPriority w:val="46"/>
    <w:rsid w:val="002B38F5"/>
    <w:pPr>
      <w:spacing w:after="0" w:line="240" w:lineRule="auto"/>
    </w:pPr>
    <w:rPr>
      <w:rFonts w:ascii="Calibri" w:hAnsi="Calibri"/>
    </w:r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tblPr/>
      <w:tcPr>
        <w:tcBorders>
          <w:bottom w:val="single" w:sz="12" w:space="0" w:color="8EAADB" w:themeColor="accent1" w:themeTint="99"/>
        </w:tcBorders>
      </w:tcPr>
    </w:tblStylePr>
    <w:tblStylePr w:type="lastRow">
      <w:tblPr/>
      <w:tcPr>
        <w:tcBorders>
          <w:top w:val="double" w:sz="2" w:space="0" w:color="8EAADB" w:themeColor="accent1" w:themeTint="99"/>
        </w:tcBorders>
      </w:tcPr>
    </w:tblStylePr>
  </w:style>
  <w:style w:type="table" w:customStyle="1" w:styleId="GridTable1LightAccent2">
    <w:name w:val="Grid Table 1 Light Accent 2"/>
    <w:basedOn w:val="TableNormal"/>
    <w:uiPriority w:val="46"/>
    <w:rsid w:val="002B38F5"/>
    <w:pPr>
      <w:spacing w:after="0" w:line="240" w:lineRule="auto"/>
    </w:pPr>
    <w:rPr>
      <w:rFonts w:ascii="Calibri" w:hAnsi="Calibri"/>
    </w:rPr>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tblPr/>
      <w:tcPr>
        <w:tcBorders>
          <w:bottom w:val="single" w:sz="12" w:space="0" w:color="F4B083" w:themeColor="accent2" w:themeTint="99"/>
        </w:tcBorders>
      </w:tcPr>
    </w:tblStylePr>
    <w:tblStylePr w:type="lastRow">
      <w:tblPr/>
      <w:tcPr>
        <w:tcBorders>
          <w:top w:val="double" w:sz="2" w:space="0" w:color="F4B083" w:themeColor="accent2" w:themeTint="99"/>
        </w:tcBorders>
      </w:tcPr>
    </w:tblStylePr>
  </w:style>
  <w:style w:type="table" w:customStyle="1" w:styleId="GridTable1LightAccent3">
    <w:name w:val="Grid Table 1 Light Accent 3"/>
    <w:basedOn w:val="TableNormal"/>
    <w:uiPriority w:val="46"/>
    <w:rsid w:val="002B38F5"/>
    <w:pPr>
      <w:spacing w:after="0" w:line="240" w:lineRule="auto"/>
    </w:pPr>
    <w:rPr>
      <w:rFonts w:ascii="Calibri" w:hAnsi="Calibri"/>
    </w:rPr>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tblPr/>
      <w:tcPr>
        <w:tcBorders>
          <w:bottom w:val="single" w:sz="12" w:space="0" w:color="C9C9C9" w:themeColor="accent3" w:themeTint="99"/>
        </w:tcBorders>
      </w:tcPr>
    </w:tblStylePr>
    <w:tblStylePr w:type="lastRow">
      <w:tblPr/>
      <w:tcPr>
        <w:tcBorders>
          <w:top w:val="double" w:sz="2" w:space="0" w:color="C9C9C9" w:themeColor="accent3" w:themeTint="99"/>
        </w:tcBorders>
      </w:tcPr>
    </w:tblStylePr>
  </w:style>
  <w:style w:type="table" w:customStyle="1" w:styleId="GridTable1LightAccent4">
    <w:name w:val="Grid Table 1 Light Accent 4"/>
    <w:basedOn w:val="TableNormal"/>
    <w:uiPriority w:val="46"/>
    <w:rsid w:val="002B38F5"/>
    <w:pPr>
      <w:spacing w:after="0" w:line="240" w:lineRule="auto"/>
    </w:pPr>
    <w:rPr>
      <w:rFonts w:ascii="Calibri" w:hAnsi="Calibri"/>
    </w:r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tblPr/>
      <w:tcPr>
        <w:tcBorders>
          <w:bottom w:val="single" w:sz="12" w:space="0" w:color="FFD966" w:themeColor="accent4" w:themeTint="99"/>
        </w:tcBorders>
      </w:tcPr>
    </w:tblStylePr>
    <w:tblStylePr w:type="lastRow">
      <w:tblPr/>
      <w:tcPr>
        <w:tcBorders>
          <w:top w:val="double" w:sz="2" w:space="0" w:color="FFD966" w:themeColor="accent4" w:themeTint="99"/>
        </w:tcBorders>
      </w:tcPr>
    </w:tblStylePr>
  </w:style>
  <w:style w:type="table" w:customStyle="1" w:styleId="GridTable1LightAccent5">
    <w:name w:val="Grid Table 1 Light Accent 5"/>
    <w:basedOn w:val="TableNormal"/>
    <w:uiPriority w:val="46"/>
    <w:rsid w:val="002B38F5"/>
    <w:pPr>
      <w:spacing w:after="0" w:line="240" w:lineRule="auto"/>
    </w:pPr>
    <w:rPr>
      <w:rFonts w:ascii="Calibri" w:hAnsi="Calibri"/>
    </w:rPr>
    <w:tblPr>
      <w:tblStyleRowBandSize w:val="1"/>
      <w:tblStyleColBandSize w:val="1"/>
      <w:tblInd w:w="0" w:type="dxa"/>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CellMar>
        <w:top w:w="0" w:type="dxa"/>
        <w:left w:w="108" w:type="dxa"/>
        <w:bottom w:w="0" w:type="dxa"/>
        <w:right w:w="108" w:type="dxa"/>
      </w:tblCellMar>
    </w:tblPr>
    <w:tblStylePr w:type="firstRow">
      <w:tblPr/>
      <w:tcPr>
        <w:tcBorders>
          <w:bottom w:val="single" w:sz="12" w:space="0" w:color="9CC2E5" w:themeColor="accent5" w:themeTint="99"/>
        </w:tcBorders>
      </w:tcPr>
    </w:tblStylePr>
    <w:tblStylePr w:type="lastRow">
      <w:tblPr/>
      <w:tcPr>
        <w:tcBorders>
          <w:top w:val="double" w:sz="2" w:space="0" w:color="9CC2E5" w:themeColor="accent5" w:themeTint="99"/>
        </w:tcBorders>
      </w:tcPr>
    </w:tblStylePr>
  </w:style>
  <w:style w:type="table" w:customStyle="1" w:styleId="GridTable1LightAccent6">
    <w:name w:val="Grid Table 1 Light Accent 6"/>
    <w:basedOn w:val="TableNormal"/>
    <w:uiPriority w:val="46"/>
    <w:rsid w:val="002B38F5"/>
    <w:pPr>
      <w:spacing w:after="0" w:line="240" w:lineRule="auto"/>
    </w:pPr>
    <w:rPr>
      <w:rFonts w:ascii="Calibri" w:hAnsi="Calibri"/>
    </w:rPr>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tblPr/>
      <w:tcPr>
        <w:tcBorders>
          <w:bottom w:val="single" w:sz="12" w:space="0" w:color="A8D08D" w:themeColor="accent6" w:themeTint="99"/>
        </w:tcBorders>
      </w:tcPr>
    </w:tblStylePr>
    <w:tblStylePr w:type="lastRow">
      <w:tblPr/>
      <w:tcPr>
        <w:tcBorders>
          <w:top w:val="double" w:sz="2" w:space="0" w:color="A8D08D" w:themeColor="accent6" w:themeTint="99"/>
        </w:tcBorders>
      </w:tcPr>
    </w:tblStylePr>
  </w:style>
  <w:style w:type="table" w:customStyle="1" w:styleId="GridTable2">
    <w:name w:val="Grid Table 2"/>
    <w:basedOn w:val="TableNormal"/>
    <w:uiPriority w:val="47"/>
    <w:rsid w:val="002B38F5"/>
    <w:pPr>
      <w:spacing w:after="0" w:line="240" w:lineRule="auto"/>
    </w:pPr>
    <w:rPr>
      <w:rFonts w:ascii="Calibri" w:hAnsi="Calibri"/>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tblPr/>
      <w:tcPr>
        <w:tcBorders>
          <w:top w:val="nil"/>
          <w:bottom w:val="single" w:sz="12" w:space="0" w:color="666666" w:themeColor="text1" w:themeTint="99"/>
          <w:insideH w:val="nil"/>
          <w:insideV w:val="nil"/>
        </w:tcBorders>
        <w:shd w:val="clear" w:color="auto" w:fill="FFFFFF" w:themeFill="background1"/>
      </w:tcPr>
    </w:tblStylePr>
    <w:tblStylePr w:type="lastRow">
      <w:tblPr/>
      <w:tcPr>
        <w:tcBorders>
          <w:top w:val="double" w:sz="2" w:space="0" w:color="666666" w:themeColor="text1" w:themeTint="99"/>
          <w:bottom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eNormal"/>
    <w:uiPriority w:val="47"/>
    <w:rsid w:val="002B38F5"/>
    <w:pPr>
      <w:spacing w:after="0" w:line="240" w:lineRule="auto"/>
    </w:pPr>
    <w:rPr>
      <w:rFonts w:ascii="Calibri" w:hAnsi="Calibri"/>
    </w:rPr>
    <w:tblPr>
      <w:tblStyleRowBandSize w:val="1"/>
      <w:tblStyleColBandSize w:val="1"/>
      <w:tblInd w:w="0" w:type="dxa"/>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CellMar>
        <w:top w:w="0" w:type="dxa"/>
        <w:left w:w="108" w:type="dxa"/>
        <w:bottom w:w="0" w:type="dxa"/>
        <w:right w:w="108" w:type="dxa"/>
      </w:tblCellMar>
    </w:tblPr>
    <w:tblStylePr w:type="firstRow">
      <w:tblPr/>
      <w:tcPr>
        <w:tcBorders>
          <w:top w:val="nil"/>
          <w:bottom w:val="single" w:sz="12" w:space="0" w:color="8EAADB" w:themeColor="accent1" w:themeTint="99"/>
          <w:insideH w:val="nil"/>
          <w:insideV w:val="nil"/>
        </w:tcBorders>
        <w:shd w:val="clear" w:color="auto" w:fill="FFFFFF" w:themeFill="background1"/>
      </w:tcPr>
    </w:tblStylePr>
    <w:tblStylePr w:type="lastRow">
      <w:tblPr/>
      <w:tcPr>
        <w:tcBorders>
          <w:top w:val="double" w:sz="2" w:space="0" w:color="8EAADB" w:themeColor="accent1" w:themeTint="99"/>
          <w:bottom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
    <w:name w:val="Grid Table 2 Accent 2"/>
    <w:basedOn w:val="TableNormal"/>
    <w:uiPriority w:val="47"/>
    <w:rsid w:val="002B38F5"/>
    <w:pPr>
      <w:spacing w:after="0" w:line="240" w:lineRule="auto"/>
    </w:pPr>
    <w:rPr>
      <w:rFonts w:ascii="Calibri" w:hAnsi="Calibri"/>
    </w:rPr>
    <w:tblPr>
      <w:tblStyleRowBandSize w:val="1"/>
      <w:tblStyleColBandSize w:val="1"/>
      <w:tblInd w:w="0" w:type="dxa"/>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CellMar>
        <w:top w:w="0" w:type="dxa"/>
        <w:left w:w="108" w:type="dxa"/>
        <w:bottom w:w="0" w:type="dxa"/>
        <w:right w:w="108" w:type="dxa"/>
      </w:tblCellMar>
    </w:tblPr>
    <w:tblStylePr w:type="firstRow">
      <w:tblPr/>
      <w:tcPr>
        <w:tcBorders>
          <w:top w:val="nil"/>
          <w:bottom w:val="single" w:sz="12" w:space="0" w:color="F4B083" w:themeColor="accent2" w:themeTint="99"/>
          <w:insideH w:val="nil"/>
          <w:insideV w:val="nil"/>
        </w:tcBorders>
        <w:shd w:val="clear" w:color="auto" w:fill="FFFFFF" w:themeFill="background1"/>
      </w:tcPr>
    </w:tblStylePr>
    <w:tblStylePr w:type="lastRow">
      <w:tblPr/>
      <w:tcPr>
        <w:tcBorders>
          <w:top w:val="double" w:sz="2" w:space="0" w:color="F4B083" w:themeColor="accent2" w:themeTint="99"/>
          <w:bottom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
    <w:name w:val="Grid Table 2 Accent 3"/>
    <w:basedOn w:val="TableNormal"/>
    <w:uiPriority w:val="47"/>
    <w:rsid w:val="002B38F5"/>
    <w:pPr>
      <w:spacing w:after="0" w:line="240" w:lineRule="auto"/>
    </w:pPr>
    <w:rPr>
      <w:rFonts w:ascii="Calibri" w:hAnsi="Calibri"/>
    </w:r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tblPr/>
      <w:tcPr>
        <w:tcBorders>
          <w:top w:val="nil"/>
          <w:bottom w:val="single" w:sz="12" w:space="0" w:color="C9C9C9" w:themeColor="accent3" w:themeTint="99"/>
          <w:insideH w:val="nil"/>
          <w:insideV w:val="nil"/>
        </w:tcBorders>
        <w:shd w:val="clear" w:color="auto" w:fill="FFFFFF" w:themeFill="background1"/>
      </w:tcPr>
    </w:tblStylePr>
    <w:tblStylePr w:type="lastRow">
      <w:tblPr/>
      <w:tcPr>
        <w:tcBorders>
          <w:top w:val="double" w:sz="2" w:space="0" w:color="C9C9C9" w:themeColor="accent3" w:themeTint="99"/>
          <w:bottom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
    <w:name w:val="Grid Table 2 Accent 4"/>
    <w:basedOn w:val="TableNormal"/>
    <w:uiPriority w:val="47"/>
    <w:rsid w:val="002B38F5"/>
    <w:pPr>
      <w:spacing w:after="0" w:line="240" w:lineRule="auto"/>
    </w:pPr>
    <w:rPr>
      <w:rFonts w:ascii="Calibri" w:hAnsi="Calibri"/>
    </w:rPr>
    <w:tblPr>
      <w:tblStyleRowBandSize w:val="1"/>
      <w:tblStyleColBandSize w:val="1"/>
      <w:tblInd w:w="0" w:type="dxa"/>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CellMar>
        <w:top w:w="0" w:type="dxa"/>
        <w:left w:w="108" w:type="dxa"/>
        <w:bottom w:w="0" w:type="dxa"/>
        <w:right w:w="108" w:type="dxa"/>
      </w:tblCellMar>
    </w:tblPr>
    <w:tblStylePr w:type="firstRow">
      <w:tblPr/>
      <w:tcPr>
        <w:tcBorders>
          <w:top w:val="nil"/>
          <w:bottom w:val="single" w:sz="12" w:space="0" w:color="FFD966" w:themeColor="accent4" w:themeTint="99"/>
          <w:insideH w:val="nil"/>
          <w:insideV w:val="nil"/>
        </w:tcBorders>
        <w:shd w:val="clear" w:color="auto" w:fill="FFFFFF" w:themeFill="background1"/>
      </w:tcPr>
    </w:tblStylePr>
    <w:tblStylePr w:type="lastRow">
      <w:tblPr/>
      <w:tcPr>
        <w:tcBorders>
          <w:top w:val="double" w:sz="2" w:space="0" w:color="FFD966" w:themeColor="accent4" w:themeTint="99"/>
          <w:bottom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
    <w:name w:val="Grid Table 2 Accent 5"/>
    <w:basedOn w:val="TableNormal"/>
    <w:uiPriority w:val="47"/>
    <w:rsid w:val="002B38F5"/>
    <w:pPr>
      <w:spacing w:after="0" w:line="240" w:lineRule="auto"/>
    </w:pPr>
    <w:rPr>
      <w:rFonts w:ascii="Calibri" w:hAnsi="Calibri"/>
    </w:rPr>
    <w:tblPr>
      <w:tblStyleRowBandSize w:val="1"/>
      <w:tblStyleColBandSize w:val="1"/>
      <w:tblInd w:w="0" w:type="dxa"/>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CellMar>
        <w:top w:w="0" w:type="dxa"/>
        <w:left w:w="108" w:type="dxa"/>
        <w:bottom w:w="0" w:type="dxa"/>
        <w:right w:w="108" w:type="dxa"/>
      </w:tblCellMar>
    </w:tblPr>
    <w:tblStylePr w:type="firstRow">
      <w:tblPr/>
      <w:tcPr>
        <w:tcBorders>
          <w:top w:val="nil"/>
          <w:bottom w:val="single" w:sz="12" w:space="0" w:color="9CC2E5" w:themeColor="accent5" w:themeTint="99"/>
          <w:insideH w:val="nil"/>
          <w:insideV w:val="nil"/>
        </w:tcBorders>
        <w:shd w:val="clear" w:color="auto" w:fill="FFFFFF" w:themeFill="background1"/>
      </w:tcPr>
    </w:tblStylePr>
    <w:tblStylePr w:type="lastRow">
      <w:tblPr/>
      <w:tcPr>
        <w:tcBorders>
          <w:top w:val="double" w:sz="2" w:space="0" w:color="9CC2E5" w:themeColor="accent5" w:themeTint="99"/>
          <w:bottom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
    <w:name w:val="Grid Table 2 Accent 6"/>
    <w:basedOn w:val="TableNormal"/>
    <w:uiPriority w:val="47"/>
    <w:rsid w:val="002B38F5"/>
    <w:pPr>
      <w:spacing w:after="0" w:line="240" w:lineRule="auto"/>
    </w:pPr>
    <w:rPr>
      <w:rFonts w:ascii="Calibri" w:hAnsi="Calibri"/>
    </w:rPr>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tblPr/>
      <w:tcPr>
        <w:tcBorders>
          <w:top w:val="nil"/>
          <w:bottom w:val="single" w:sz="12" w:space="0" w:color="A8D08D" w:themeColor="accent6" w:themeTint="99"/>
          <w:insideH w:val="nil"/>
          <w:insideV w:val="nil"/>
        </w:tcBorders>
        <w:shd w:val="clear" w:color="auto" w:fill="FFFFFF" w:themeFill="background1"/>
      </w:tcPr>
    </w:tblStylePr>
    <w:tblStylePr w:type="lastRow">
      <w:tblPr/>
      <w:tcPr>
        <w:tcBorders>
          <w:top w:val="double" w:sz="2" w:space="0" w:color="A8D08D" w:themeColor="accent6" w:themeTint="99"/>
          <w:bottom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
    <w:name w:val="Grid Table 3"/>
    <w:basedOn w:val="TableNormal"/>
    <w:uiPriority w:val="48"/>
    <w:rsid w:val="002B38F5"/>
    <w:pPr>
      <w:spacing w:after="0" w:line="240" w:lineRule="auto"/>
    </w:pPr>
    <w:rPr>
      <w:rFonts w:ascii="Calibri" w:hAnsi="Calibri"/>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eNormal"/>
    <w:uiPriority w:val="48"/>
    <w:rsid w:val="002B38F5"/>
    <w:pPr>
      <w:spacing w:after="0" w:line="240" w:lineRule="auto"/>
    </w:pPr>
    <w:rPr>
      <w:rFonts w:ascii="Calibri" w:hAnsi="Calibri"/>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
    <w:name w:val="Grid Table 3 Accent 2"/>
    <w:basedOn w:val="TableNormal"/>
    <w:uiPriority w:val="48"/>
    <w:rsid w:val="002B38F5"/>
    <w:pPr>
      <w:spacing w:after="0" w:line="240" w:lineRule="auto"/>
    </w:pPr>
    <w:rPr>
      <w:rFonts w:ascii="Calibri" w:hAnsi="Calibri"/>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
    <w:name w:val="Grid Table 3 Accent 3"/>
    <w:basedOn w:val="TableNormal"/>
    <w:uiPriority w:val="48"/>
    <w:rsid w:val="002B38F5"/>
    <w:pPr>
      <w:spacing w:after="0" w:line="240" w:lineRule="auto"/>
    </w:pPr>
    <w:rPr>
      <w:rFonts w:ascii="Calibri" w:hAnsi="Calibri"/>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
    <w:name w:val="Grid Table 3 Accent 4"/>
    <w:basedOn w:val="TableNormal"/>
    <w:uiPriority w:val="48"/>
    <w:rsid w:val="002B38F5"/>
    <w:pPr>
      <w:spacing w:after="0" w:line="240" w:lineRule="auto"/>
    </w:pPr>
    <w:rPr>
      <w:rFonts w:ascii="Calibri" w:hAnsi="Calibri"/>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
    <w:name w:val="Grid Table 3 Accent 5"/>
    <w:basedOn w:val="TableNormal"/>
    <w:uiPriority w:val="48"/>
    <w:rsid w:val="002B38F5"/>
    <w:pPr>
      <w:spacing w:after="0" w:line="240" w:lineRule="auto"/>
    </w:pPr>
    <w:rPr>
      <w:rFonts w:ascii="Calibri" w:hAnsi="Calibri"/>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
    <w:name w:val="Grid Table 3 Accent 6"/>
    <w:basedOn w:val="TableNormal"/>
    <w:uiPriority w:val="48"/>
    <w:rsid w:val="002B38F5"/>
    <w:pPr>
      <w:spacing w:after="0" w:line="240" w:lineRule="auto"/>
    </w:pPr>
    <w:rPr>
      <w:rFonts w:ascii="Calibri" w:hAnsi="Calibri"/>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
    <w:name w:val="Grid Table 4"/>
    <w:basedOn w:val="TableNormal"/>
    <w:uiPriority w:val="49"/>
    <w:rsid w:val="002B38F5"/>
    <w:pPr>
      <w:spacing w:after="0" w:line="240" w:lineRule="auto"/>
    </w:pPr>
    <w:rPr>
      <w:rFonts w:ascii="Calibri" w:hAnsi="Calibri"/>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tblPr/>
      <w:tcPr>
        <w:tcBorders>
          <w:top w:val="double" w:sz="4" w:space="0" w:color="000000" w:themeColor="text1"/>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eNormal"/>
    <w:uiPriority w:val="49"/>
    <w:rsid w:val="002B38F5"/>
    <w:pPr>
      <w:spacing w:after="0" w:line="240" w:lineRule="auto"/>
    </w:pPr>
    <w:rPr>
      <w:rFonts w:ascii="Calibri" w:hAnsi="Calibri"/>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tblPr/>
      <w:tcPr>
        <w:tcBorders>
          <w:top w:val="double" w:sz="4" w:space="0" w:color="4472C4" w:themeColor="accent1"/>
        </w:tcBorders>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
    <w:name w:val="Grid Table 4 Accent 2"/>
    <w:basedOn w:val="TableNormal"/>
    <w:uiPriority w:val="49"/>
    <w:rsid w:val="002B38F5"/>
    <w:pPr>
      <w:spacing w:after="0" w:line="240" w:lineRule="auto"/>
    </w:pPr>
    <w:rPr>
      <w:rFonts w:ascii="Calibri" w:hAnsi="Calibri"/>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tblPr/>
      <w:tcPr>
        <w:tcBorders>
          <w:top w:val="double" w:sz="4" w:space="0" w:color="ED7D31" w:themeColor="accent2"/>
        </w:tcBorders>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
    <w:name w:val="Grid Table 4 Accent 3"/>
    <w:basedOn w:val="TableNormal"/>
    <w:uiPriority w:val="49"/>
    <w:rsid w:val="002B38F5"/>
    <w:pPr>
      <w:spacing w:after="0" w:line="240" w:lineRule="auto"/>
    </w:pPr>
    <w:rPr>
      <w:rFonts w:ascii="Calibri" w:hAnsi="Calibri"/>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tblPr/>
      <w:tcPr>
        <w:tcBorders>
          <w:top w:val="double" w:sz="4" w:space="0" w:color="A5A5A5" w:themeColor="accent3"/>
        </w:tcBorders>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
    <w:name w:val="Grid Table 4 Accent 4"/>
    <w:basedOn w:val="TableNormal"/>
    <w:uiPriority w:val="49"/>
    <w:rsid w:val="002B38F5"/>
    <w:pPr>
      <w:spacing w:after="0" w:line="240" w:lineRule="auto"/>
    </w:pPr>
    <w:rPr>
      <w:rFonts w:ascii="Calibri" w:hAnsi="Calibri"/>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tblPr/>
      <w:tcPr>
        <w:tcBorders>
          <w:top w:val="double" w:sz="4" w:space="0" w:color="FFC000" w:themeColor="accent4"/>
        </w:tcBorders>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
    <w:name w:val="Grid Table 4 Accent 5"/>
    <w:basedOn w:val="TableNormal"/>
    <w:uiPriority w:val="49"/>
    <w:rsid w:val="002B38F5"/>
    <w:pPr>
      <w:spacing w:after="0" w:line="240" w:lineRule="auto"/>
    </w:pPr>
    <w:rPr>
      <w:rFonts w:ascii="Calibri" w:hAnsi="Calibri"/>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tblPr/>
      <w:tcPr>
        <w:tcBorders>
          <w:top w:val="double" w:sz="4" w:space="0" w:color="5B9BD5" w:themeColor="accent5"/>
        </w:tcBorders>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
    <w:name w:val="Grid Table 4 Accent 6"/>
    <w:basedOn w:val="TableNormal"/>
    <w:uiPriority w:val="49"/>
    <w:rsid w:val="002B38F5"/>
    <w:pPr>
      <w:spacing w:after="0" w:line="240" w:lineRule="auto"/>
    </w:pPr>
    <w:rPr>
      <w:rFonts w:ascii="Calibri" w:hAnsi="Calibri"/>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tblPr/>
      <w:tcPr>
        <w:tcBorders>
          <w:top w:val="double" w:sz="4" w:space="0" w:color="70AD47" w:themeColor="accent6"/>
        </w:tcBorders>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
    <w:name w:val="Grid Table 5 Dark"/>
    <w:basedOn w:val="TableNormal"/>
    <w:uiPriority w:val="50"/>
    <w:rsid w:val="002B38F5"/>
    <w:pPr>
      <w:spacing w:after="0" w:line="240" w:lineRule="auto"/>
    </w:pPr>
    <w:rPr>
      <w:rFonts w:ascii="Calibri" w:hAnsi="Calibri"/>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eNormal"/>
    <w:uiPriority w:val="50"/>
    <w:rsid w:val="002B38F5"/>
    <w:pPr>
      <w:spacing w:after="0" w:line="240" w:lineRule="auto"/>
    </w:pPr>
    <w:rPr>
      <w:rFonts w:ascii="Calibri" w:hAnsi="Calibri"/>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
    <w:name w:val="Grid Table 5 Dark Accent 2"/>
    <w:basedOn w:val="TableNormal"/>
    <w:uiPriority w:val="50"/>
    <w:rsid w:val="002B38F5"/>
    <w:pPr>
      <w:spacing w:after="0" w:line="240" w:lineRule="auto"/>
    </w:pPr>
    <w:rPr>
      <w:rFonts w:ascii="Calibri" w:hAnsi="Calibri"/>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
    <w:name w:val="Grid Table 5 Dark Accent 3"/>
    <w:basedOn w:val="TableNormal"/>
    <w:uiPriority w:val="50"/>
    <w:rsid w:val="002B38F5"/>
    <w:pPr>
      <w:spacing w:after="0" w:line="240" w:lineRule="auto"/>
    </w:pPr>
    <w:rPr>
      <w:rFonts w:ascii="Calibri" w:hAnsi="Calibri"/>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
    <w:name w:val="Grid Table 5 Dark Accent 4"/>
    <w:basedOn w:val="TableNormal"/>
    <w:uiPriority w:val="50"/>
    <w:rsid w:val="002B38F5"/>
    <w:pPr>
      <w:spacing w:after="0" w:line="240" w:lineRule="auto"/>
    </w:pPr>
    <w:rPr>
      <w:rFonts w:ascii="Calibri" w:hAnsi="Calibri"/>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
    <w:name w:val="Grid Table 5 Dark Accent 5"/>
    <w:basedOn w:val="TableNormal"/>
    <w:uiPriority w:val="50"/>
    <w:rsid w:val="002B38F5"/>
    <w:pPr>
      <w:spacing w:after="0" w:line="240" w:lineRule="auto"/>
    </w:pPr>
    <w:rPr>
      <w:rFonts w:ascii="Calibri" w:hAnsi="Calibri"/>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
    <w:name w:val="Grid Table 5 Dark Accent 6"/>
    <w:basedOn w:val="TableNormal"/>
    <w:uiPriority w:val="50"/>
    <w:rsid w:val="002B38F5"/>
    <w:pPr>
      <w:spacing w:after="0" w:line="240" w:lineRule="auto"/>
    </w:pPr>
    <w:rPr>
      <w:rFonts w:ascii="Calibri" w:hAnsi="Calibri"/>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
    <w:name w:val="Grid Table 6 Colorful"/>
    <w:basedOn w:val="TableNormal"/>
    <w:uiPriority w:val="51"/>
    <w:rsid w:val="002B38F5"/>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tblPr/>
      <w:tcPr>
        <w:tcBorders>
          <w:bottom w:val="single" w:sz="12" w:space="0" w:color="666666" w:themeColor="text1" w:themeTint="99"/>
        </w:tcBorders>
      </w:tcPr>
    </w:tblStylePr>
    <w:tblStylePr w:type="lastRow">
      <w:tblPr/>
      <w:tcPr>
        <w:tcBorders>
          <w:top w:val="doub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eNormal"/>
    <w:uiPriority w:val="51"/>
    <w:rsid w:val="002B38F5"/>
    <w:pPr>
      <w:spacing w:after="0" w:line="240" w:lineRule="auto"/>
    </w:pPr>
    <w:rPr>
      <w:color w:val="2F5496" w:themeColor="accent1" w:themeShade="BF"/>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tblPr/>
      <w:tcPr>
        <w:tcBorders>
          <w:bottom w:val="single" w:sz="12" w:space="0" w:color="8EAADB" w:themeColor="accent1" w:themeTint="99"/>
        </w:tcBorders>
      </w:tcPr>
    </w:tblStylePr>
    <w:tblStylePr w:type="lastRow">
      <w:tblPr/>
      <w:tcPr>
        <w:tcBorders>
          <w:top w:val="double" w:sz="4" w:space="0" w:color="8EAADB" w:themeColor="accent1" w:themeTint="99"/>
        </w:tcBorders>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
    <w:name w:val="Grid Table 6 Colorful Accent 2"/>
    <w:basedOn w:val="TableNormal"/>
    <w:uiPriority w:val="51"/>
    <w:rsid w:val="002B38F5"/>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tblPr/>
      <w:tcPr>
        <w:tcBorders>
          <w:bottom w:val="single" w:sz="12" w:space="0" w:color="F4B083" w:themeColor="accent2" w:themeTint="99"/>
        </w:tcBorders>
      </w:tcPr>
    </w:tblStylePr>
    <w:tblStylePr w:type="lastRow">
      <w:tblPr/>
      <w:tcPr>
        <w:tcBorders>
          <w:top w:val="double" w:sz="4" w:space="0" w:color="F4B083" w:themeColor="accent2" w:themeTint="99"/>
        </w:tcBorders>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
    <w:name w:val="Grid Table 6 Colorful Accent 3"/>
    <w:basedOn w:val="TableNormal"/>
    <w:uiPriority w:val="51"/>
    <w:rsid w:val="002B38F5"/>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tblPr/>
      <w:tcPr>
        <w:tcBorders>
          <w:bottom w:val="single" w:sz="12" w:space="0" w:color="C9C9C9" w:themeColor="accent3" w:themeTint="99"/>
        </w:tcBorders>
      </w:tcPr>
    </w:tblStylePr>
    <w:tblStylePr w:type="lastRow">
      <w:tblPr/>
      <w:tcPr>
        <w:tcBorders>
          <w:top w:val="double" w:sz="4" w:space="0" w:color="C9C9C9" w:themeColor="accent3" w:themeTint="99"/>
        </w:tcBorders>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
    <w:name w:val="Grid Table 6 Colorful Accent 4"/>
    <w:basedOn w:val="TableNormal"/>
    <w:uiPriority w:val="51"/>
    <w:rsid w:val="002B38F5"/>
    <w:pPr>
      <w:spacing w:after="0" w:line="240" w:lineRule="auto"/>
    </w:pPr>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tblPr/>
      <w:tcPr>
        <w:tcBorders>
          <w:bottom w:val="single" w:sz="12" w:space="0" w:color="FFD966" w:themeColor="accent4" w:themeTint="99"/>
        </w:tcBorders>
      </w:tcPr>
    </w:tblStylePr>
    <w:tblStylePr w:type="lastRow">
      <w:tblPr/>
      <w:tcPr>
        <w:tcBorders>
          <w:top w:val="double" w:sz="4" w:space="0" w:color="FFD966" w:themeColor="accent4" w:themeTint="99"/>
        </w:tcBorders>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
    <w:name w:val="Grid Table 6 Colorful Accent 5"/>
    <w:basedOn w:val="TableNormal"/>
    <w:uiPriority w:val="51"/>
    <w:rsid w:val="002B38F5"/>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tblPr/>
      <w:tcPr>
        <w:tcBorders>
          <w:bottom w:val="single" w:sz="12" w:space="0" w:color="9CC2E5" w:themeColor="accent5" w:themeTint="99"/>
        </w:tcBorders>
      </w:tcPr>
    </w:tblStylePr>
    <w:tblStylePr w:type="lastRow">
      <w:tblPr/>
      <w:tcPr>
        <w:tcBorders>
          <w:top w:val="double" w:sz="4" w:space="0" w:color="9CC2E5" w:themeColor="accent5" w:themeTint="99"/>
        </w:tcBorders>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
    <w:name w:val="Grid Table 6 Colorful Accent 6"/>
    <w:basedOn w:val="TableNormal"/>
    <w:uiPriority w:val="51"/>
    <w:rsid w:val="002B38F5"/>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tblPr/>
      <w:tcPr>
        <w:tcBorders>
          <w:bottom w:val="single" w:sz="12" w:space="0" w:color="A8D08D" w:themeColor="accent6" w:themeTint="99"/>
        </w:tcBorders>
      </w:tcPr>
    </w:tblStylePr>
    <w:tblStylePr w:type="lastRow">
      <w:tblPr/>
      <w:tcPr>
        <w:tcBorders>
          <w:top w:val="double" w:sz="4" w:space="0" w:color="A8D08D" w:themeColor="accent6" w:themeTint="99"/>
        </w:tcBorders>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
    <w:name w:val="Grid Table 7 Colorful"/>
    <w:basedOn w:val="TableNormal"/>
    <w:uiPriority w:val="52"/>
    <w:rsid w:val="002B38F5"/>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eNormal"/>
    <w:uiPriority w:val="52"/>
    <w:rsid w:val="002B38F5"/>
    <w:pPr>
      <w:spacing w:after="0" w:line="240" w:lineRule="auto"/>
    </w:pPr>
    <w:rPr>
      <w:color w:val="2F5496" w:themeColor="accent1" w:themeShade="BF"/>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
    <w:name w:val="Grid Table 7 Colorful Accent 2"/>
    <w:basedOn w:val="TableNormal"/>
    <w:uiPriority w:val="52"/>
    <w:rsid w:val="002B38F5"/>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
    <w:name w:val="Grid Table 7 Colorful Accent 3"/>
    <w:basedOn w:val="TableNormal"/>
    <w:uiPriority w:val="52"/>
    <w:rsid w:val="002B38F5"/>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
    <w:name w:val="Grid Table 7 Colorful Accent 4"/>
    <w:basedOn w:val="TableNormal"/>
    <w:uiPriority w:val="52"/>
    <w:rsid w:val="002B38F5"/>
    <w:pPr>
      <w:spacing w:after="0" w:line="240" w:lineRule="auto"/>
    </w:pPr>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
    <w:name w:val="Grid Table 7 Colorful Accent 5"/>
    <w:basedOn w:val="TableNormal"/>
    <w:uiPriority w:val="52"/>
    <w:rsid w:val="002B38F5"/>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
    <w:name w:val="Grid Table 7 Colorful Accent 6"/>
    <w:basedOn w:val="TableNormal"/>
    <w:uiPriority w:val="52"/>
    <w:rsid w:val="002B38F5"/>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
    <w:name w:val="Hashtag"/>
    <w:basedOn w:val="DefaultParagraphFont"/>
    <w:uiPriority w:val="99"/>
    <w:semiHidden/>
    <w:unhideWhenUsed/>
    <w:rsid w:val="002B38F5"/>
    <w:rPr>
      <w:color w:val="2B579A"/>
      <w:shd w:val="clear" w:color="auto" w:fill="E1DFDD"/>
    </w:rPr>
  </w:style>
  <w:style w:type="character" w:styleId="HTMLAcronym">
    <w:name w:val="HTML Acronym"/>
    <w:basedOn w:val="DefaultParagraphFont"/>
    <w:uiPriority w:val="99"/>
    <w:semiHidden/>
    <w:unhideWhenUsed/>
    <w:rsid w:val="002B38F5"/>
  </w:style>
  <w:style w:type="paragraph" w:styleId="HTMLAddress">
    <w:name w:val="HTML Address"/>
    <w:basedOn w:val="Normal"/>
    <w:link w:val="HTMLAddressChar"/>
    <w:uiPriority w:val="99"/>
    <w:semiHidden/>
    <w:unhideWhenUsed/>
    <w:rsid w:val="002B38F5"/>
    <w:rPr>
      <w:i/>
      <w:iCs/>
    </w:rPr>
  </w:style>
  <w:style w:type="character" w:customStyle="1" w:styleId="HTMLAddressChar">
    <w:name w:val="HTML Address Char"/>
    <w:basedOn w:val="DefaultParagraphFont"/>
    <w:link w:val="HTMLAddress"/>
    <w:uiPriority w:val="99"/>
    <w:semiHidden/>
    <w:rsid w:val="002B38F5"/>
    <w:rPr>
      <w:rFonts w:ascii="Times New Roman" w:eastAsia="SimSun" w:hAnsi="Times New Roman" w:cs="Times New Roman"/>
      <w:i/>
      <w:iCs/>
      <w:kern w:val="0"/>
    </w:rPr>
  </w:style>
  <w:style w:type="character" w:styleId="HTMLCite">
    <w:name w:val="HTML Cite"/>
    <w:basedOn w:val="DefaultParagraphFont"/>
    <w:uiPriority w:val="99"/>
    <w:semiHidden/>
    <w:unhideWhenUsed/>
    <w:rsid w:val="002B38F5"/>
    <w:rPr>
      <w:i/>
      <w:iCs/>
    </w:rPr>
  </w:style>
  <w:style w:type="character" w:styleId="HTMLCode">
    <w:name w:val="HTML Code"/>
    <w:basedOn w:val="DefaultParagraphFont"/>
    <w:uiPriority w:val="99"/>
    <w:semiHidden/>
    <w:unhideWhenUsed/>
    <w:rsid w:val="002B38F5"/>
    <w:rPr>
      <w:rFonts w:ascii="Consolas" w:hAnsi="Consolas"/>
      <w:sz w:val="20"/>
      <w:szCs w:val="20"/>
    </w:rPr>
  </w:style>
  <w:style w:type="character" w:styleId="HTMLDefinition">
    <w:name w:val="HTML Definition"/>
    <w:basedOn w:val="DefaultParagraphFont"/>
    <w:uiPriority w:val="99"/>
    <w:semiHidden/>
    <w:unhideWhenUsed/>
    <w:rsid w:val="002B38F5"/>
    <w:rPr>
      <w:i/>
      <w:iCs/>
    </w:rPr>
  </w:style>
  <w:style w:type="character" w:styleId="HTMLKeyboard">
    <w:name w:val="HTML Keyboard"/>
    <w:basedOn w:val="DefaultParagraphFont"/>
    <w:uiPriority w:val="99"/>
    <w:semiHidden/>
    <w:unhideWhenUsed/>
    <w:rsid w:val="002B38F5"/>
    <w:rPr>
      <w:rFonts w:ascii="Consolas" w:hAnsi="Consolas"/>
      <w:sz w:val="20"/>
      <w:szCs w:val="20"/>
    </w:rPr>
  </w:style>
  <w:style w:type="paragraph" w:styleId="HTMLPreformatted">
    <w:name w:val="HTML Preformatted"/>
    <w:basedOn w:val="Normal"/>
    <w:link w:val="HTMLPreformattedChar"/>
    <w:uiPriority w:val="99"/>
    <w:semiHidden/>
    <w:unhideWhenUsed/>
    <w:rsid w:val="002B38F5"/>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B38F5"/>
    <w:rPr>
      <w:rFonts w:ascii="Consolas" w:eastAsia="SimSun" w:hAnsi="Consolas" w:cs="Times New Roman"/>
      <w:kern w:val="0"/>
      <w:sz w:val="20"/>
      <w:szCs w:val="20"/>
    </w:rPr>
  </w:style>
  <w:style w:type="character" w:styleId="HTMLSample">
    <w:name w:val="HTML Sample"/>
    <w:basedOn w:val="DefaultParagraphFont"/>
    <w:uiPriority w:val="99"/>
    <w:semiHidden/>
    <w:unhideWhenUsed/>
    <w:rsid w:val="002B38F5"/>
    <w:rPr>
      <w:rFonts w:ascii="Consolas" w:hAnsi="Consolas"/>
      <w:sz w:val="24"/>
      <w:szCs w:val="24"/>
    </w:rPr>
  </w:style>
  <w:style w:type="character" w:styleId="HTMLTypewriter">
    <w:name w:val="HTML Typewriter"/>
    <w:basedOn w:val="DefaultParagraphFont"/>
    <w:uiPriority w:val="99"/>
    <w:semiHidden/>
    <w:unhideWhenUsed/>
    <w:rsid w:val="002B38F5"/>
    <w:rPr>
      <w:rFonts w:ascii="Consolas" w:hAnsi="Consolas"/>
      <w:sz w:val="20"/>
      <w:szCs w:val="20"/>
    </w:rPr>
  </w:style>
  <w:style w:type="character" w:styleId="HTMLVariable">
    <w:name w:val="HTML Variable"/>
    <w:basedOn w:val="DefaultParagraphFont"/>
    <w:uiPriority w:val="99"/>
    <w:semiHidden/>
    <w:unhideWhenUsed/>
    <w:rsid w:val="002B38F5"/>
    <w:rPr>
      <w:i/>
      <w:iCs/>
    </w:rPr>
  </w:style>
  <w:style w:type="paragraph" w:styleId="Index1">
    <w:name w:val="index 1"/>
    <w:basedOn w:val="Normal"/>
    <w:next w:val="Normal"/>
    <w:autoRedefine/>
    <w:uiPriority w:val="99"/>
    <w:semiHidden/>
    <w:unhideWhenUsed/>
    <w:rsid w:val="002B38F5"/>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2B38F5"/>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2B38F5"/>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2B38F5"/>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2B38F5"/>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2B38F5"/>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2B38F5"/>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2B38F5"/>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2B38F5"/>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2B38F5"/>
    <w:rPr>
      <w:rFonts w:asciiTheme="majorHAnsi" w:eastAsiaTheme="majorEastAsia" w:hAnsiTheme="majorHAnsi" w:cstheme="majorBidi"/>
      <w:b/>
      <w:bCs/>
    </w:rPr>
  </w:style>
  <w:style w:type="character" w:styleId="IntenseEmphasis">
    <w:name w:val="Intense Emphasis"/>
    <w:basedOn w:val="DefaultParagraphFont"/>
    <w:uiPriority w:val="21"/>
    <w:qFormat/>
    <w:rsid w:val="002B38F5"/>
    <w:rPr>
      <w:i/>
      <w:iCs/>
      <w:color w:val="4472C4" w:themeColor="accent1"/>
    </w:rPr>
  </w:style>
  <w:style w:type="paragraph" w:styleId="IntenseQuote">
    <w:name w:val="Intense Quote"/>
    <w:basedOn w:val="Normal"/>
    <w:next w:val="Normal"/>
    <w:link w:val="IntenseQuoteChar"/>
    <w:uiPriority w:val="30"/>
    <w:qFormat/>
    <w:rsid w:val="002B38F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B38F5"/>
    <w:rPr>
      <w:rFonts w:ascii="Times New Roman" w:eastAsia="SimSun" w:hAnsi="Times New Roman" w:cs="Times New Roman"/>
      <w:i/>
      <w:iCs/>
      <w:color w:val="4472C4" w:themeColor="accent1"/>
      <w:kern w:val="0"/>
    </w:rPr>
  </w:style>
  <w:style w:type="character" w:styleId="IntenseReference">
    <w:name w:val="Intense Reference"/>
    <w:basedOn w:val="DefaultParagraphFont"/>
    <w:uiPriority w:val="32"/>
    <w:qFormat/>
    <w:rsid w:val="002B38F5"/>
    <w:rPr>
      <w:b/>
      <w:bCs/>
      <w:smallCaps/>
      <w:color w:val="4472C4" w:themeColor="accent1"/>
      <w:spacing w:val="5"/>
    </w:rPr>
  </w:style>
  <w:style w:type="table" w:styleId="LightGrid">
    <w:name w:val="Light Grid"/>
    <w:basedOn w:val="TableNormal"/>
    <w:uiPriority w:val="62"/>
    <w:semiHidden/>
    <w:unhideWhenUsed/>
    <w:rsid w:val="002B38F5"/>
    <w:pPr>
      <w:spacing w:after="0" w:line="240" w:lineRule="auto"/>
    </w:pPr>
    <w:rPr>
      <w:rFonts w:ascii="Calibri" w:hAnsi="Calibri"/>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lastCol">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B38F5"/>
    <w:pPr>
      <w:spacing w:after="0" w:line="240" w:lineRule="auto"/>
    </w:pPr>
    <w:rPr>
      <w:rFonts w:ascii="Calibri" w:hAnsi="Calibri"/>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blStylePr w:type="firstRow">
      <w:pPr>
        <w:spacing w:before="0" w:after="0" w:line="240" w:lineRule="auto"/>
      </w:p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lastCol">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2B38F5"/>
    <w:pPr>
      <w:spacing w:after="0" w:line="240" w:lineRule="auto"/>
    </w:pPr>
    <w:rPr>
      <w:rFonts w:ascii="Calibri" w:hAnsi="Calibri"/>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lastCol">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2B38F5"/>
    <w:pPr>
      <w:spacing w:after="0" w:line="240" w:lineRule="auto"/>
    </w:pPr>
    <w:rPr>
      <w:rFonts w:ascii="Calibri" w:hAnsi="Calibri"/>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0" w:after="0" w:line="240" w:lineRule="auto"/>
      </w:p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lastCol">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2B38F5"/>
    <w:pPr>
      <w:spacing w:after="0" w:line="240" w:lineRule="auto"/>
    </w:pPr>
    <w:rPr>
      <w:rFonts w:ascii="Calibri" w:hAnsi="Calibri"/>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blStylePr w:type="firstRow">
      <w:pPr>
        <w:spacing w:before="0" w:after="0" w:line="240" w:lineRule="auto"/>
      </w:p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lastCol">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2B38F5"/>
    <w:pPr>
      <w:spacing w:after="0" w:line="240" w:lineRule="auto"/>
    </w:pPr>
    <w:rPr>
      <w:rFonts w:ascii="Calibri" w:hAnsi="Calibri"/>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blStylePr w:type="firstRow">
      <w:pPr>
        <w:spacing w:before="0" w:after="0" w:line="240" w:lineRule="auto"/>
      </w:p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lastCol">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2B38F5"/>
    <w:pPr>
      <w:spacing w:after="0" w:line="240" w:lineRule="auto"/>
    </w:pPr>
    <w:rPr>
      <w:rFonts w:ascii="Calibri" w:hAnsi="Calibri"/>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lastCol">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2B38F5"/>
    <w:pPr>
      <w:spacing w:after="0" w:line="240" w:lineRule="auto"/>
    </w:pPr>
    <w:rPr>
      <w:rFonts w:ascii="Calibri" w:hAnsi="Calibri"/>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tblPr/>
      <w:tcPr>
        <w:shd w:val="clear" w:color="auto" w:fill="000000" w:themeFill="text1"/>
      </w:tcPr>
    </w:tblStylePr>
    <w:tblStylePr w:type="lastRow">
      <w:pPr>
        <w:spacing w:before="0" w:after="0" w:line="240" w:lineRule="auto"/>
      </w:p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B38F5"/>
    <w:pPr>
      <w:spacing w:after="0" w:line="240" w:lineRule="auto"/>
    </w:pPr>
    <w:rPr>
      <w:rFonts w:ascii="Calibri" w:hAnsi="Calibri"/>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pPr>
        <w:spacing w:before="0" w:after="0" w:line="240" w:lineRule="auto"/>
      </w:pPr>
      <w:tblPr/>
      <w:tcPr>
        <w:shd w:val="clear" w:color="auto" w:fill="4472C4" w:themeFill="accent1"/>
      </w:tcPr>
    </w:tblStylePr>
    <w:tblStylePr w:type="lastRow">
      <w:pPr>
        <w:spacing w:before="0" w:after="0" w:line="240" w:lineRule="auto"/>
      </w:p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2B38F5"/>
    <w:pPr>
      <w:spacing w:after="0" w:line="240" w:lineRule="auto"/>
    </w:pPr>
    <w:rPr>
      <w:rFonts w:ascii="Calibri" w:hAnsi="Calibri"/>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tblPr/>
      <w:tcPr>
        <w:shd w:val="clear" w:color="auto" w:fill="ED7D31" w:themeFill="accent2"/>
      </w:tcPr>
    </w:tblStylePr>
    <w:tblStylePr w:type="lastRow">
      <w:pPr>
        <w:spacing w:before="0" w:after="0" w:line="240" w:lineRule="auto"/>
      </w:p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2B38F5"/>
    <w:pPr>
      <w:spacing w:after="0" w:line="240" w:lineRule="auto"/>
    </w:pPr>
    <w:rPr>
      <w:rFonts w:ascii="Calibri" w:hAnsi="Calibri"/>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tblPr/>
      <w:tcPr>
        <w:shd w:val="clear" w:color="auto" w:fill="A5A5A5" w:themeFill="accent3"/>
      </w:tcPr>
    </w:tblStylePr>
    <w:tblStylePr w:type="lastRow">
      <w:pPr>
        <w:spacing w:before="0" w:after="0" w:line="240" w:lineRule="auto"/>
      </w:p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2B38F5"/>
    <w:pPr>
      <w:spacing w:after="0" w:line="240" w:lineRule="auto"/>
    </w:pPr>
    <w:rPr>
      <w:rFonts w:ascii="Calibri" w:hAnsi="Calibri"/>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pPr>
        <w:spacing w:before="0" w:after="0" w:line="240" w:lineRule="auto"/>
      </w:pPr>
      <w:tblPr/>
      <w:tcPr>
        <w:shd w:val="clear" w:color="auto" w:fill="FFC000" w:themeFill="accent4"/>
      </w:tcPr>
    </w:tblStylePr>
    <w:tblStylePr w:type="lastRow">
      <w:pPr>
        <w:spacing w:before="0" w:after="0" w:line="240" w:lineRule="auto"/>
      </w:p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2B38F5"/>
    <w:pPr>
      <w:spacing w:after="0" w:line="240" w:lineRule="auto"/>
    </w:pPr>
    <w:rPr>
      <w:rFonts w:ascii="Calibri" w:hAnsi="Calibri"/>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pPr>
        <w:spacing w:before="0" w:after="0" w:line="240" w:lineRule="auto"/>
      </w:pPr>
      <w:tblPr/>
      <w:tcPr>
        <w:shd w:val="clear" w:color="auto" w:fill="5B9BD5" w:themeFill="accent5"/>
      </w:tcPr>
    </w:tblStylePr>
    <w:tblStylePr w:type="lastRow">
      <w:pPr>
        <w:spacing w:before="0" w:after="0" w:line="240" w:lineRule="auto"/>
      </w:p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2B38F5"/>
    <w:pPr>
      <w:spacing w:after="0" w:line="240" w:lineRule="auto"/>
    </w:pPr>
    <w:rPr>
      <w:rFonts w:ascii="Calibri" w:hAnsi="Calibri"/>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tblPr/>
      <w:tcPr>
        <w:shd w:val="clear" w:color="auto" w:fill="70AD47" w:themeFill="accent6"/>
      </w:tcPr>
    </w:tblStylePr>
    <w:tblStylePr w:type="lastRow">
      <w:pPr>
        <w:spacing w:before="0" w:after="0" w:line="240" w:lineRule="auto"/>
      </w:p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2B38F5"/>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tblPr/>
      <w:tcPr>
        <w:tcBorders>
          <w:top w:val="single" w:sz="8" w:space="0" w:color="000000" w:themeColor="text1"/>
          <w:left w:val="nil"/>
          <w:bottom w:val="single" w:sz="8" w:space="0" w:color="000000" w:themeColor="text1"/>
          <w:right w:val="nil"/>
          <w:insideH w:val="nil"/>
          <w:insideV w:val="nil"/>
        </w:tcBorders>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B38F5"/>
    <w:pPr>
      <w:spacing w:after="0" w:line="240" w:lineRule="auto"/>
    </w:pPr>
    <w:rPr>
      <w:color w:val="2F5496" w:themeColor="accent1" w:themeShade="BF"/>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pPr>
        <w:spacing w:before="0" w:after="0" w:line="240" w:lineRule="auto"/>
      </w:p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tblPr/>
      <w:tcPr>
        <w:tcBorders>
          <w:top w:val="single" w:sz="8" w:space="0" w:color="4472C4" w:themeColor="accent1"/>
          <w:left w:val="nil"/>
          <w:bottom w:val="single" w:sz="8" w:space="0" w:color="4472C4" w:themeColor="accent1"/>
          <w:right w:val="nil"/>
          <w:insideH w:val="nil"/>
          <w:insideV w:val="nil"/>
        </w:tcBorders>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2B38F5"/>
    <w:pPr>
      <w:spacing w:after="0" w:line="240" w:lineRule="auto"/>
    </w:pPr>
    <w:rPr>
      <w:color w:val="C45911" w:themeColor="accent2" w:themeShade="BF"/>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2B38F5"/>
    <w:pPr>
      <w:spacing w:after="0" w:line="240" w:lineRule="auto"/>
    </w:pPr>
    <w:rPr>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tblPr/>
      <w:tcPr>
        <w:tcBorders>
          <w:top w:val="single" w:sz="8" w:space="0" w:color="A5A5A5" w:themeColor="accent3"/>
          <w:left w:val="nil"/>
          <w:bottom w:val="single" w:sz="8" w:space="0" w:color="A5A5A5" w:themeColor="accent3"/>
          <w:right w:val="nil"/>
          <w:insideH w:val="nil"/>
          <w:insideV w:val="nil"/>
        </w:tcBorders>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2B38F5"/>
    <w:pPr>
      <w:spacing w:after="0" w:line="240" w:lineRule="auto"/>
    </w:pPr>
    <w:rPr>
      <w:color w:val="BF8F00" w:themeColor="accent4" w:themeShade="BF"/>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tblPr/>
      <w:tcPr>
        <w:tcBorders>
          <w:top w:val="single" w:sz="8" w:space="0" w:color="FFC000" w:themeColor="accent4"/>
          <w:left w:val="nil"/>
          <w:bottom w:val="single" w:sz="8" w:space="0" w:color="FFC000" w:themeColor="accent4"/>
          <w:right w:val="nil"/>
          <w:insideH w:val="nil"/>
          <w:insideV w:val="nil"/>
        </w:tcBorders>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2B38F5"/>
    <w:pPr>
      <w:spacing w:after="0" w:line="240" w:lineRule="auto"/>
    </w:pPr>
    <w:rPr>
      <w:color w:val="2E74B5" w:themeColor="accent5" w:themeShade="BF"/>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pPr>
        <w:spacing w:before="0" w:after="0" w:line="240" w:lineRule="auto"/>
      </w:p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tblPr/>
      <w:tcPr>
        <w:tcBorders>
          <w:top w:val="single" w:sz="8" w:space="0" w:color="5B9BD5" w:themeColor="accent5"/>
          <w:left w:val="nil"/>
          <w:bottom w:val="single" w:sz="8" w:space="0" w:color="5B9BD5" w:themeColor="accent5"/>
          <w:right w:val="nil"/>
          <w:insideH w:val="nil"/>
          <w:insideV w:val="nil"/>
        </w:tcBorders>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2B38F5"/>
    <w:pPr>
      <w:spacing w:after="0" w:line="240" w:lineRule="auto"/>
    </w:pPr>
    <w:rPr>
      <w:color w:val="538135" w:themeColor="accent6" w:themeShade="BF"/>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tblPr/>
      <w:tcPr>
        <w:tcBorders>
          <w:top w:val="single" w:sz="8" w:space="0" w:color="70AD47" w:themeColor="accent6"/>
          <w:left w:val="nil"/>
          <w:bottom w:val="single" w:sz="8" w:space="0" w:color="70AD47" w:themeColor="accent6"/>
          <w:right w:val="nil"/>
          <w:insideH w:val="nil"/>
          <w:insideV w:val="nil"/>
        </w:tcBorders>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2B38F5"/>
  </w:style>
  <w:style w:type="paragraph" w:styleId="List2">
    <w:name w:val="List 2"/>
    <w:basedOn w:val="Normal"/>
    <w:uiPriority w:val="99"/>
    <w:semiHidden/>
    <w:unhideWhenUsed/>
    <w:rsid w:val="002B38F5"/>
    <w:pPr>
      <w:ind w:left="720" w:hanging="360"/>
      <w:contextualSpacing/>
    </w:pPr>
  </w:style>
  <w:style w:type="paragraph" w:styleId="List3">
    <w:name w:val="List 3"/>
    <w:basedOn w:val="Normal"/>
    <w:uiPriority w:val="99"/>
    <w:semiHidden/>
    <w:unhideWhenUsed/>
    <w:rsid w:val="002B38F5"/>
    <w:pPr>
      <w:ind w:left="1080" w:hanging="360"/>
      <w:contextualSpacing/>
    </w:pPr>
  </w:style>
  <w:style w:type="paragraph" w:styleId="List4">
    <w:name w:val="List 4"/>
    <w:basedOn w:val="Normal"/>
    <w:uiPriority w:val="99"/>
    <w:semiHidden/>
    <w:unhideWhenUsed/>
    <w:rsid w:val="002B38F5"/>
    <w:pPr>
      <w:ind w:left="1440" w:hanging="360"/>
      <w:contextualSpacing/>
    </w:pPr>
  </w:style>
  <w:style w:type="paragraph" w:styleId="List5">
    <w:name w:val="List 5"/>
    <w:basedOn w:val="Normal"/>
    <w:uiPriority w:val="99"/>
    <w:semiHidden/>
    <w:unhideWhenUsed/>
    <w:rsid w:val="002B38F5"/>
    <w:pPr>
      <w:ind w:left="1800" w:hanging="360"/>
      <w:contextualSpacing/>
    </w:pPr>
  </w:style>
  <w:style w:type="paragraph" w:styleId="ListBullet">
    <w:name w:val="List Bullet"/>
    <w:basedOn w:val="Normal"/>
    <w:uiPriority w:val="99"/>
    <w:semiHidden/>
    <w:unhideWhenUsed/>
    <w:rsid w:val="002B38F5"/>
    <w:pPr>
      <w:tabs>
        <w:tab w:val="num" w:pos="360"/>
      </w:tabs>
      <w:ind w:left="360" w:hanging="360"/>
      <w:contextualSpacing/>
    </w:pPr>
  </w:style>
  <w:style w:type="paragraph" w:styleId="ListBullet2">
    <w:name w:val="List Bullet 2"/>
    <w:basedOn w:val="Normal"/>
    <w:uiPriority w:val="99"/>
    <w:semiHidden/>
    <w:unhideWhenUsed/>
    <w:rsid w:val="002B38F5"/>
    <w:pPr>
      <w:tabs>
        <w:tab w:val="num" w:pos="643"/>
      </w:tabs>
      <w:ind w:left="643" w:hanging="360"/>
      <w:contextualSpacing/>
    </w:pPr>
  </w:style>
  <w:style w:type="paragraph" w:styleId="ListBullet3">
    <w:name w:val="List Bullet 3"/>
    <w:basedOn w:val="Normal"/>
    <w:uiPriority w:val="99"/>
    <w:semiHidden/>
    <w:unhideWhenUsed/>
    <w:rsid w:val="002B38F5"/>
    <w:pPr>
      <w:tabs>
        <w:tab w:val="num" w:pos="926"/>
      </w:tabs>
      <w:ind w:left="926" w:hanging="360"/>
      <w:contextualSpacing/>
    </w:pPr>
  </w:style>
  <w:style w:type="paragraph" w:styleId="ListBullet4">
    <w:name w:val="List Bullet 4"/>
    <w:basedOn w:val="Normal"/>
    <w:uiPriority w:val="99"/>
    <w:semiHidden/>
    <w:unhideWhenUsed/>
    <w:rsid w:val="002B38F5"/>
    <w:pPr>
      <w:tabs>
        <w:tab w:val="num" w:pos="1209"/>
      </w:tabs>
      <w:ind w:left="1209" w:hanging="360"/>
      <w:contextualSpacing/>
    </w:pPr>
  </w:style>
  <w:style w:type="paragraph" w:styleId="ListBullet5">
    <w:name w:val="List Bullet 5"/>
    <w:basedOn w:val="Normal"/>
    <w:uiPriority w:val="99"/>
    <w:semiHidden/>
    <w:unhideWhenUsed/>
    <w:rsid w:val="002B38F5"/>
    <w:pPr>
      <w:tabs>
        <w:tab w:val="num" w:pos="1492"/>
      </w:tabs>
      <w:ind w:left="1492" w:hanging="360"/>
      <w:contextualSpacing/>
    </w:pPr>
  </w:style>
  <w:style w:type="paragraph" w:styleId="ListContinue">
    <w:name w:val="List Continue"/>
    <w:basedOn w:val="Normal"/>
    <w:uiPriority w:val="99"/>
    <w:semiHidden/>
    <w:unhideWhenUsed/>
    <w:rsid w:val="002B38F5"/>
    <w:pPr>
      <w:spacing w:after="120"/>
      <w:ind w:left="360"/>
      <w:contextualSpacing/>
    </w:pPr>
  </w:style>
  <w:style w:type="paragraph" w:styleId="ListContinue2">
    <w:name w:val="List Continue 2"/>
    <w:basedOn w:val="Normal"/>
    <w:uiPriority w:val="99"/>
    <w:semiHidden/>
    <w:unhideWhenUsed/>
    <w:rsid w:val="002B38F5"/>
    <w:pPr>
      <w:spacing w:after="120"/>
      <w:ind w:left="720"/>
      <w:contextualSpacing/>
    </w:pPr>
  </w:style>
  <w:style w:type="paragraph" w:styleId="ListContinue3">
    <w:name w:val="List Continue 3"/>
    <w:basedOn w:val="Normal"/>
    <w:uiPriority w:val="99"/>
    <w:semiHidden/>
    <w:unhideWhenUsed/>
    <w:rsid w:val="002B38F5"/>
    <w:pPr>
      <w:spacing w:after="120"/>
      <w:ind w:left="1080"/>
      <w:contextualSpacing/>
    </w:pPr>
  </w:style>
  <w:style w:type="paragraph" w:styleId="ListContinue4">
    <w:name w:val="List Continue 4"/>
    <w:basedOn w:val="Normal"/>
    <w:uiPriority w:val="99"/>
    <w:semiHidden/>
    <w:unhideWhenUsed/>
    <w:rsid w:val="002B38F5"/>
    <w:pPr>
      <w:spacing w:after="120"/>
      <w:ind w:left="1440"/>
      <w:contextualSpacing/>
    </w:pPr>
  </w:style>
  <w:style w:type="paragraph" w:styleId="ListContinue5">
    <w:name w:val="List Continue 5"/>
    <w:basedOn w:val="Normal"/>
    <w:uiPriority w:val="99"/>
    <w:semiHidden/>
    <w:unhideWhenUsed/>
    <w:rsid w:val="002B38F5"/>
    <w:pPr>
      <w:spacing w:after="120"/>
      <w:ind w:left="1800"/>
      <w:contextualSpacing/>
    </w:pPr>
  </w:style>
  <w:style w:type="paragraph" w:styleId="ListNumber">
    <w:name w:val="List Number"/>
    <w:basedOn w:val="Normal"/>
    <w:uiPriority w:val="99"/>
    <w:semiHidden/>
    <w:unhideWhenUsed/>
    <w:rsid w:val="002B38F5"/>
    <w:pPr>
      <w:tabs>
        <w:tab w:val="num" w:pos="360"/>
      </w:tabs>
      <w:ind w:left="360" w:hanging="360"/>
      <w:contextualSpacing/>
    </w:pPr>
  </w:style>
  <w:style w:type="paragraph" w:styleId="ListNumber2">
    <w:name w:val="List Number 2"/>
    <w:basedOn w:val="Normal"/>
    <w:uiPriority w:val="99"/>
    <w:semiHidden/>
    <w:unhideWhenUsed/>
    <w:rsid w:val="002B38F5"/>
    <w:pPr>
      <w:tabs>
        <w:tab w:val="num" w:pos="643"/>
      </w:tabs>
      <w:ind w:left="643" w:hanging="360"/>
      <w:contextualSpacing/>
    </w:pPr>
  </w:style>
  <w:style w:type="paragraph" w:styleId="ListNumber3">
    <w:name w:val="List Number 3"/>
    <w:basedOn w:val="Normal"/>
    <w:uiPriority w:val="99"/>
    <w:semiHidden/>
    <w:unhideWhenUsed/>
    <w:rsid w:val="002B38F5"/>
    <w:pPr>
      <w:tabs>
        <w:tab w:val="num" w:pos="926"/>
      </w:tabs>
      <w:ind w:left="926" w:hanging="360"/>
      <w:contextualSpacing/>
    </w:pPr>
  </w:style>
  <w:style w:type="paragraph" w:styleId="ListNumber4">
    <w:name w:val="List Number 4"/>
    <w:basedOn w:val="Normal"/>
    <w:uiPriority w:val="99"/>
    <w:semiHidden/>
    <w:unhideWhenUsed/>
    <w:rsid w:val="002B38F5"/>
    <w:pPr>
      <w:tabs>
        <w:tab w:val="num" w:pos="1209"/>
      </w:tabs>
      <w:ind w:left="1209" w:hanging="360"/>
      <w:contextualSpacing/>
    </w:pPr>
  </w:style>
  <w:style w:type="paragraph" w:styleId="ListNumber5">
    <w:name w:val="List Number 5"/>
    <w:basedOn w:val="Normal"/>
    <w:uiPriority w:val="99"/>
    <w:semiHidden/>
    <w:unhideWhenUsed/>
    <w:rsid w:val="002B38F5"/>
    <w:pPr>
      <w:tabs>
        <w:tab w:val="num" w:pos="1800"/>
      </w:tabs>
      <w:ind w:left="1800" w:hanging="360"/>
      <w:contextualSpacing/>
    </w:pPr>
  </w:style>
  <w:style w:type="table" w:customStyle="1" w:styleId="ListTable1Light">
    <w:name w:val="List Table 1 Light"/>
    <w:basedOn w:val="TableNormal"/>
    <w:uiPriority w:val="46"/>
    <w:rsid w:val="002B38F5"/>
    <w:pPr>
      <w:spacing w:after="0" w:line="240" w:lineRule="auto"/>
    </w:pPr>
    <w:rPr>
      <w:rFonts w:ascii="Calibri" w:hAnsi="Calibri"/>
    </w:rPr>
    <w:tblPr>
      <w:tblStyleRowBandSize w:val="1"/>
      <w:tblStyleColBandSize w:val="1"/>
      <w:tblInd w:w="0" w:type="dxa"/>
      <w:tblCellMar>
        <w:top w:w="0" w:type="dxa"/>
        <w:left w:w="108" w:type="dxa"/>
        <w:bottom w:w="0" w:type="dxa"/>
        <w:right w:w="108" w:type="dxa"/>
      </w:tblCellMar>
    </w:tblPr>
    <w:tblStylePr w:type="firstRow">
      <w:tblPr/>
      <w:tcPr>
        <w:tcBorders>
          <w:bottom w:val="single" w:sz="4" w:space="0" w:color="666666" w:themeColor="text1" w:themeTint="99"/>
        </w:tcBorders>
      </w:tcPr>
    </w:tblStylePr>
    <w:tblStylePr w:type="lastRow">
      <w:tblPr/>
      <w:tcPr>
        <w:tcBorders>
          <w:top w:val="sing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eNormal"/>
    <w:uiPriority w:val="46"/>
    <w:rsid w:val="002B38F5"/>
    <w:pPr>
      <w:spacing w:after="0" w:line="240" w:lineRule="auto"/>
    </w:pPr>
    <w:rPr>
      <w:rFonts w:ascii="Calibri" w:hAnsi="Calibri"/>
    </w:rPr>
    <w:tblPr>
      <w:tblStyleRowBandSize w:val="1"/>
      <w:tblStyleColBandSize w:val="1"/>
      <w:tblInd w:w="0" w:type="dxa"/>
      <w:tblCellMar>
        <w:top w:w="0" w:type="dxa"/>
        <w:left w:w="108" w:type="dxa"/>
        <w:bottom w:w="0" w:type="dxa"/>
        <w:right w:w="108" w:type="dxa"/>
      </w:tblCellMar>
    </w:tblPr>
    <w:tblStylePr w:type="firstRow">
      <w:tblPr/>
      <w:tcPr>
        <w:tcBorders>
          <w:bottom w:val="single" w:sz="4" w:space="0" w:color="8EAADB" w:themeColor="accent1" w:themeTint="99"/>
        </w:tcBorders>
      </w:tcPr>
    </w:tblStylePr>
    <w:tblStylePr w:type="lastRow">
      <w:tblPr/>
      <w:tcPr>
        <w:tcBorders>
          <w:top w:val="single" w:sz="4" w:space="0" w:color="8EAADB" w:themeColor="accent1" w:themeTint="99"/>
        </w:tcBorders>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
    <w:name w:val="List Table 1 Light Accent 2"/>
    <w:basedOn w:val="TableNormal"/>
    <w:uiPriority w:val="46"/>
    <w:rsid w:val="002B38F5"/>
    <w:pPr>
      <w:spacing w:after="0" w:line="240" w:lineRule="auto"/>
    </w:pPr>
    <w:rPr>
      <w:rFonts w:ascii="Calibri" w:hAnsi="Calibri"/>
    </w:rPr>
    <w:tblPr>
      <w:tblStyleRowBandSize w:val="1"/>
      <w:tblStyleColBandSize w:val="1"/>
      <w:tblInd w:w="0" w:type="dxa"/>
      <w:tblCellMar>
        <w:top w:w="0" w:type="dxa"/>
        <w:left w:w="108" w:type="dxa"/>
        <w:bottom w:w="0" w:type="dxa"/>
        <w:right w:w="108" w:type="dxa"/>
      </w:tblCellMar>
    </w:tblPr>
    <w:tblStylePr w:type="firstRow">
      <w:tblPr/>
      <w:tcPr>
        <w:tcBorders>
          <w:bottom w:val="single" w:sz="4" w:space="0" w:color="F4B083" w:themeColor="accent2" w:themeTint="99"/>
        </w:tcBorders>
      </w:tcPr>
    </w:tblStylePr>
    <w:tblStylePr w:type="lastRow">
      <w:tblPr/>
      <w:tcPr>
        <w:tcBorders>
          <w:top w:val="single" w:sz="4" w:space="0" w:color="F4B083" w:themeColor="accent2" w:themeTint="99"/>
        </w:tcBorders>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
    <w:name w:val="List Table 1 Light Accent 3"/>
    <w:basedOn w:val="TableNormal"/>
    <w:uiPriority w:val="46"/>
    <w:rsid w:val="002B38F5"/>
    <w:pPr>
      <w:spacing w:after="0" w:line="240" w:lineRule="auto"/>
    </w:pPr>
    <w:rPr>
      <w:rFonts w:ascii="Calibri" w:hAnsi="Calibri"/>
    </w:rPr>
    <w:tblPr>
      <w:tblStyleRowBandSize w:val="1"/>
      <w:tblStyleColBandSize w:val="1"/>
      <w:tblInd w:w="0" w:type="dxa"/>
      <w:tblCellMar>
        <w:top w:w="0" w:type="dxa"/>
        <w:left w:w="108" w:type="dxa"/>
        <w:bottom w:w="0" w:type="dxa"/>
        <w:right w:w="108" w:type="dxa"/>
      </w:tblCellMar>
    </w:tblPr>
    <w:tblStylePr w:type="firstRow">
      <w:tblPr/>
      <w:tcPr>
        <w:tcBorders>
          <w:bottom w:val="single" w:sz="4" w:space="0" w:color="C9C9C9" w:themeColor="accent3" w:themeTint="99"/>
        </w:tcBorders>
      </w:tcPr>
    </w:tblStylePr>
    <w:tblStylePr w:type="lastRow">
      <w:tblPr/>
      <w:tcPr>
        <w:tcBorders>
          <w:top w:val="single" w:sz="4" w:space="0" w:color="C9C9C9" w:themeColor="accent3" w:themeTint="99"/>
        </w:tcBorders>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
    <w:name w:val="List Table 1 Light Accent 4"/>
    <w:basedOn w:val="TableNormal"/>
    <w:uiPriority w:val="46"/>
    <w:rsid w:val="002B38F5"/>
    <w:pPr>
      <w:spacing w:after="0" w:line="240" w:lineRule="auto"/>
    </w:pPr>
    <w:rPr>
      <w:rFonts w:ascii="Calibri" w:hAnsi="Calibri"/>
    </w:rPr>
    <w:tblPr>
      <w:tblStyleRowBandSize w:val="1"/>
      <w:tblStyleColBandSize w:val="1"/>
      <w:tblInd w:w="0" w:type="dxa"/>
      <w:tblCellMar>
        <w:top w:w="0" w:type="dxa"/>
        <w:left w:w="108" w:type="dxa"/>
        <w:bottom w:w="0" w:type="dxa"/>
        <w:right w:w="108" w:type="dxa"/>
      </w:tblCellMar>
    </w:tblPr>
    <w:tblStylePr w:type="firstRow">
      <w:tblPr/>
      <w:tcPr>
        <w:tcBorders>
          <w:bottom w:val="single" w:sz="4" w:space="0" w:color="FFD966" w:themeColor="accent4" w:themeTint="99"/>
        </w:tcBorders>
      </w:tcPr>
    </w:tblStylePr>
    <w:tblStylePr w:type="lastRow">
      <w:tblPr/>
      <w:tcPr>
        <w:tcBorders>
          <w:top w:val="single" w:sz="4" w:space="0" w:color="FFD966" w:themeColor="accent4" w:themeTint="99"/>
        </w:tcBorders>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
    <w:name w:val="List Table 1 Light Accent 5"/>
    <w:basedOn w:val="TableNormal"/>
    <w:uiPriority w:val="46"/>
    <w:rsid w:val="002B38F5"/>
    <w:pPr>
      <w:spacing w:after="0" w:line="240" w:lineRule="auto"/>
    </w:pPr>
    <w:rPr>
      <w:rFonts w:ascii="Calibri" w:hAnsi="Calibri"/>
    </w:rPr>
    <w:tblPr>
      <w:tblStyleRowBandSize w:val="1"/>
      <w:tblStyleColBandSize w:val="1"/>
      <w:tblInd w:w="0" w:type="dxa"/>
      <w:tblCellMar>
        <w:top w:w="0" w:type="dxa"/>
        <w:left w:w="108" w:type="dxa"/>
        <w:bottom w:w="0" w:type="dxa"/>
        <w:right w:w="108" w:type="dxa"/>
      </w:tblCellMar>
    </w:tblPr>
    <w:tblStylePr w:type="firstRow">
      <w:tblPr/>
      <w:tcPr>
        <w:tcBorders>
          <w:bottom w:val="single" w:sz="4" w:space="0" w:color="9CC2E5" w:themeColor="accent5" w:themeTint="99"/>
        </w:tcBorders>
      </w:tcPr>
    </w:tblStylePr>
    <w:tblStylePr w:type="lastRow">
      <w:tblPr/>
      <w:tcPr>
        <w:tcBorders>
          <w:top w:val="single" w:sz="4" w:space="0" w:color="9CC2E5" w:themeColor="accent5" w:themeTint="99"/>
        </w:tcBorders>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
    <w:name w:val="List Table 1 Light Accent 6"/>
    <w:basedOn w:val="TableNormal"/>
    <w:uiPriority w:val="46"/>
    <w:rsid w:val="002B38F5"/>
    <w:pPr>
      <w:spacing w:after="0" w:line="240" w:lineRule="auto"/>
    </w:pPr>
    <w:rPr>
      <w:rFonts w:ascii="Calibri" w:hAnsi="Calibri"/>
    </w:rPr>
    <w:tblPr>
      <w:tblStyleRowBandSize w:val="1"/>
      <w:tblStyleColBandSize w:val="1"/>
      <w:tblInd w:w="0" w:type="dxa"/>
      <w:tblCellMar>
        <w:top w:w="0" w:type="dxa"/>
        <w:left w:w="108" w:type="dxa"/>
        <w:bottom w:w="0" w:type="dxa"/>
        <w:right w:w="108" w:type="dxa"/>
      </w:tblCellMar>
    </w:tblPr>
    <w:tblStylePr w:type="firstRow">
      <w:tblPr/>
      <w:tcPr>
        <w:tcBorders>
          <w:bottom w:val="single" w:sz="4" w:space="0" w:color="A8D08D" w:themeColor="accent6" w:themeTint="99"/>
        </w:tcBorders>
      </w:tcPr>
    </w:tblStylePr>
    <w:tblStylePr w:type="lastRow">
      <w:tblPr/>
      <w:tcPr>
        <w:tcBorders>
          <w:top w:val="single" w:sz="4" w:space="0" w:color="A8D08D" w:themeColor="accent6" w:themeTint="99"/>
        </w:tcBorders>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
    <w:name w:val="List Table 2"/>
    <w:basedOn w:val="TableNormal"/>
    <w:uiPriority w:val="47"/>
    <w:rsid w:val="002B38F5"/>
    <w:pPr>
      <w:spacing w:after="0" w:line="240" w:lineRule="auto"/>
    </w:pPr>
    <w:rPr>
      <w:rFonts w:ascii="Calibri" w:hAnsi="Calibri"/>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eNormal"/>
    <w:uiPriority w:val="47"/>
    <w:rsid w:val="002B38F5"/>
    <w:pPr>
      <w:spacing w:after="0" w:line="240" w:lineRule="auto"/>
    </w:pPr>
    <w:rPr>
      <w:rFonts w:ascii="Calibri" w:hAnsi="Calibri"/>
    </w:rPr>
    <w:tblPr>
      <w:tblStyleRowBandSize w:val="1"/>
      <w:tblStyleColBandSize w:val="1"/>
      <w:tblInd w:w="0" w:type="dxa"/>
      <w:tblBorders>
        <w:top w:val="single" w:sz="4" w:space="0" w:color="8EAADB" w:themeColor="accent1" w:themeTint="99"/>
        <w:bottom w:val="single" w:sz="4" w:space="0" w:color="8EAADB" w:themeColor="accent1" w:themeTint="99"/>
        <w:insideH w:val="single" w:sz="4" w:space="0" w:color="8EAADB" w:themeColor="accent1" w:themeTint="99"/>
      </w:tblBorders>
      <w:tblCellMar>
        <w:top w:w="0" w:type="dxa"/>
        <w:left w:w="108" w:type="dxa"/>
        <w:bottom w:w="0" w:type="dxa"/>
        <w:right w:w="108" w:type="dxa"/>
      </w:tblCellMar>
    </w:tbl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
    <w:name w:val="List Table 2 Accent 2"/>
    <w:basedOn w:val="TableNormal"/>
    <w:uiPriority w:val="47"/>
    <w:rsid w:val="002B38F5"/>
    <w:pPr>
      <w:spacing w:after="0" w:line="240" w:lineRule="auto"/>
    </w:pPr>
    <w:rPr>
      <w:rFonts w:ascii="Calibri" w:hAnsi="Calibri"/>
    </w:rPr>
    <w:tblPr>
      <w:tblStyleRowBandSize w:val="1"/>
      <w:tblStyleColBandSize w:val="1"/>
      <w:tblInd w:w="0" w:type="dxa"/>
      <w:tblBorders>
        <w:top w:val="single" w:sz="4" w:space="0" w:color="F4B083" w:themeColor="accent2" w:themeTint="99"/>
        <w:bottom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
    <w:name w:val="List Table 2 Accent 3"/>
    <w:basedOn w:val="TableNormal"/>
    <w:uiPriority w:val="47"/>
    <w:rsid w:val="002B38F5"/>
    <w:pPr>
      <w:spacing w:after="0" w:line="240" w:lineRule="auto"/>
    </w:pPr>
    <w:rPr>
      <w:rFonts w:ascii="Calibri" w:hAnsi="Calibri"/>
    </w:rPr>
    <w:tblPr>
      <w:tblStyleRowBandSize w:val="1"/>
      <w:tblStyleColBandSize w:val="1"/>
      <w:tblInd w:w="0" w:type="dxa"/>
      <w:tblBorders>
        <w:top w:val="single" w:sz="4" w:space="0" w:color="C9C9C9" w:themeColor="accent3" w:themeTint="99"/>
        <w:bottom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
    <w:name w:val="List Table 2 Accent 4"/>
    <w:basedOn w:val="TableNormal"/>
    <w:uiPriority w:val="47"/>
    <w:rsid w:val="002B38F5"/>
    <w:pPr>
      <w:spacing w:after="0" w:line="240" w:lineRule="auto"/>
    </w:pPr>
    <w:rPr>
      <w:rFonts w:ascii="Calibri" w:hAnsi="Calibri"/>
    </w:rPr>
    <w:tblPr>
      <w:tblStyleRowBandSize w:val="1"/>
      <w:tblStyleColBandSize w:val="1"/>
      <w:tblInd w:w="0" w:type="dxa"/>
      <w:tblBorders>
        <w:top w:val="single" w:sz="4" w:space="0" w:color="FFD966" w:themeColor="accent4" w:themeTint="99"/>
        <w:bottom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
    <w:name w:val="List Table 2 Accent 5"/>
    <w:basedOn w:val="TableNormal"/>
    <w:uiPriority w:val="47"/>
    <w:rsid w:val="002B38F5"/>
    <w:pPr>
      <w:spacing w:after="0" w:line="240" w:lineRule="auto"/>
    </w:pPr>
    <w:rPr>
      <w:rFonts w:ascii="Calibri" w:hAnsi="Calibri"/>
    </w:rPr>
    <w:tblPr>
      <w:tblStyleRowBandSize w:val="1"/>
      <w:tblStyleColBandSize w:val="1"/>
      <w:tblInd w:w="0" w:type="dxa"/>
      <w:tblBorders>
        <w:top w:val="single" w:sz="4" w:space="0" w:color="9CC2E5" w:themeColor="accent5" w:themeTint="99"/>
        <w:bottom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
    <w:name w:val="List Table 2 Accent 6"/>
    <w:basedOn w:val="TableNormal"/>
    <w:uiPriority w:val="47"/>
    <w:rsid w:val="002B38F5"/>
    <w:pPr>
      <w:spacing w:after="0" w:line="240" w:lineRule="auto"/>
    </w:pPr>
    <w:rPr>
      <w:rFonts w:ascii="Calibri" w:hAnsi="Calibri"/>
    </w:rPr>
    <w:tblPr>
      <w:tblStyleRowBandSize w:val="1"/>
      <w:tblStyleColBandSize w:val="1"/>
      <w:tblInd w:w="0" w:type="dxa"/>
      <w:tblBorders>
        <w:top w:val="single" w:sz="4" w:space="0" w:color="A8D08D" w:themeColor="accent6" w:themeTint="99"/>
        <w:bottom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
    <w:name w:val="List Table 3"/>
    <w:basedOn w:val="TableNormal"/>
    <w:uiPriority w:val="48"/>
    <w:rsid w:val="002B38F5"/>
    <w:pPr>
      <w:spacing w:after="0" w:line="240" w:lineRule="auto"/>
    </w:pPr>
    <w:rPr>
      <w:rFonts w:ascii="Calibri" w:hAnsi="Calibri"/>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tblPr/>
      <w:tcPr>
        <w:shd w:val="clear" w:color="auto" w:fill="000000" w:themeFill="text1"/>
      </w:tcPr>
    </w:tblStylePr>
    <w:tblStylePr w:type="lastRow">
      <w:tblPr/>
      <w:tcPr>
        <w:tcBorders>
          <w:top w:val="double" w:sz="4" w:space="0" w:color="000000" w:themeColor="text1"/>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eNormal"/>
    <w:uiPriority w:val="48"/>
    <w:rsid w:val="002B38F5"/>
    <w:pPr>
      <w:spacing w:after="0" w:line="240" w:lineRule="auto"/>
    </w:pPr>
    <w:rPr>
      <w:rFonts w:ascii="Calibri" w:hAnsi="Calibri"/>
    </w:r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tblPr/>
      <w:tcPr>
        <w:shd w:val="clear" w:color="auto" w:fill="4472C4" w:themeFill="accent1"/>
      </w:tcPr>
    </w:tblStylePr>
    <w:tblStylePr w:type="lastRow">
      <w:tblPr/>
      <w:tcPr>
        <w:tcBorders>
          <w:top w:val="double" w:sz="4" w:space="0" w:color="4472C4" w:themeColor="accent1"/>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
    <w:name w:val="List Table 3 Accent 2"/>
    <w:basedOn w:val="TableNormal"/>
    <w:uiPriority w:val="48"/>
    <w:rsid w:val="002B38F5"/>
    <w:pPr>
      <w:spacing w:after="0" w:line="240" w:lineRule="auto"/>
    </w:pPr>
    <w:rPr>
      <w:rFonts w:ascii="Calibri" w:hAnsi="Calibri"/>
    </w:rPr>
    <w:tblPr>
      <w:tblStyleRowBandSize w:val="1"/>
      <w:tblStyleColBandSize w:val="1"/>
      <w:tblInd w:w="0" w:type="dxa"/>
      <w:tblBorders>
        <w:top w:val="single" w:sz="4" w:space="0" w:color="ED7D31" w:themeColor="accent2"/>
        <w:left w:val="single" w:sz="4" w:space="0" w:color="ED7D31" w:themeColor="accent2"/>
        <w:bottom w:val="single" w:sz="4" w:space="0" w:color="ED7D31" w:themeColor="accent2"/>
        <w:right w:val="single" w:sz="4" w:space="0" w:color="ED7D31" w:themeColor="accent2"/>
      </w:tblBorders>
      <w:tblCellMar>
        <w:top w:w="0" w:type="dxa"/>
        <w:left w:w="108" w:type="dxa"/>
        <w:bottom w:w="0" w:type="dxa"/>
        <w:right w:w="108" w:type="dxa"/>
      </w:tblCellMar>
    </w:tblPr>
    <w:tblStylePr w:type="firstRow">
      <w:tblPr/>
      <w:tcPr>
        <w:shd w:val="clear" w:color="auto" w:fill="ED7D31" w:themeFill="accent2"/>
      </w:tcPr>
    </w:tblStylePr>
    <w:tblStylePr w:type="lastRow">
      <w:tblPr/>
      <w:tcPr>
        <w:tcBorders>
          <w:top w:val="double" w:sz="4" w:space="0" w:color="ED7D31" w:themeColor="accent2"/>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
    <w:name w:val="List Table 3 Accent 3"/>
    <w:basedOn w:val="TableNormal"/>
    <w:uiPriority w:val="48"/>
    <w:rsid w:val="002B38F5"/>
    <w:pPr>
      <w:spacing w:after="0" w:line="240" w:lineRule="auto"/>
    </w:pPr>
    <w:rPr>
      <w:rFonts w:ascii="Calibri" w:hAnsi="Calibri"/>
    </w:rPr>
    <w:tblPr>
      <w:tblStyleRowBandSize w:val="1"/>
      <w:tblStyleColBandSize w:val="1"/>
      <w:tblInd w:w="0" w:type="dxa"/>
      <w:tblBorders>
        <w:top w:val="single" w:sz="4" w:space="0" w:color="A5A5A5" w:themeColor="accent3"/>
        <w:left w:val="single" w:sz="4" w:space="0" w:color="A5A5A5" w:themeColor="accent3"/>
        <w:bottom w:val="single" w:sz="4" w:space="0" w:color="A5A5A5" w:themeColor="accent3"/>
        <w:right w:val="single" w:sz="4" w:space="0" w:color="A5A5A5" w:themeColor="accent3"/>
      </w:tblBorders>
      <w:tblCellMar>
        <w:top w:w="0" w:type="dxa"/>
        <w:left w:w="108" w:type="dxa"/>
        <w:bottom w:w="0" w:type="dxa"/>
        <w:right w:w="108" w:type="dxa"/>
      </w:tblCellMar>
    </w:tblPr>
    <w:tblStylePr w:type="firstRow">
      <w:tblPr/>
      <w:tcPr>
        <w:shd w:val="clear" w:color="auto" w:fill="A5A5A5" w:themeFill="accent3"/>
      </w:tcPr>
    </w:tblStylePr>
    <w:tblStylePr w:type="lastRow">
      <w:tblPr/>
      <w:tcPr>
        <w:tcBorders>
          <w:top w:val="double" w:sz="4" w:space="0" w:color="A5A5A5" w:themeColor="accent3"/>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
    <w:name w:val="List Table 3 Accent 4"/>
    <w:basedOn w:val="TableNormal"/>
    <w:uiPriority w:val="48"/>
    <w:rsid w:val="002B38F5"/>
    <w:pPr>
      <w:spacing w:after="0" w:line="240" w:lineRule="auto"/>
    </w:pPr>
    <w:rPr>
      <w:rFonts w:ascii="Calibri" w:hAnsi="Calibri"/>
    </w:rPr>
    <w:tblPr>
      <w:tblStyleRowBandSize w:val="1"/>
      <w:tblStyleColBandSize w:val="1"/>
      <w:tblInd w:w="0" w:type="dxa"/>
      <w:tblBorders>
        <w:top w:val="single" w:sz="4" w:space="0" w:color="FFC000" w:themeColor="accent4"/>
        <w:left w:val="single" w:sz="4" w:space="0" w:color="FFC000" w:themeColor="accent4"/>
        <w:bottom w:val="single" w:sz="4" w:space="0" w:color="FFC000" w:themeColor="accent4"/>
        <w:right w:val="single" w:sz="4" w:space="0" w:color="FFC000" w:themeColor="accent4"/>
      </w:tblBorders>
      <w:tblCellMar>
        <w:top w:w="0" w:type="dxa"/>
        <w:left w:w="108" w:type="dxa"/>
        <w:bottom w:w="0" w:type="dxa"/>
        <w:right w:w="108" w:type="dxa"/>
      </w:tblCellMar>
    </w:tblPr>
    <w:tblStylePr w:type="firstRow">
      <w:tblPr/>
      <w:tcPr>
        <w:shd w:val="clear" w:color="auto" w:fill="FFC000" w:themeFill="accent4"/>
      </w:tcPr>
    </w:tblStylePr>
    <w:tblStylePr w:type="lastRow">
      <w:tblPr/>
      <w:tcPr>
        <w:tcBorders>
          <w:top w:val="double" w:sz="4" w:space="0" w:color="FFC000" w:themeColor="accent4"/>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
    <w:name w:val="List Table 3 Accent 5"/>
    <w:basedOn w:val="TableNormal"/>
    <w:uiPriority w:val="48"/>
    <w:rsid w:val="002B38F5"/>
    <w:pPr>
      <w:spacing w:after="0" w:line="240" w:lineRule="auto"/>
    </w:pPr>
    <w:rPr>
      <w:rFonts w:ascii="Calibri" w:hAnsi="Calibri"/>
    </w:r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tblBorders>
      <w:tblCellMar>
        <w:top w:w="0" w:type="dxa"/>
        <w:left w:w="108" w:type="dxa"/>
        <w:bottom w:w="0" w:type="dxa"/>
        <w:right w:w="108" w:type="dxa"/>
      </w:tblCellMar>
    </w:tblPr>
    <w:tblStylePr w:type="firstRow">
      <w:tblPr/>
      <w:tcPr>
        <w:shd w:val="clear" w:color="auto" w:fill="5B9BD5" w:themeFill="accent5"/>
      </w:tcPr>
    </w:tblStylePr>
    <w:tblStylePr w:type="lastRow">
      <w:tblPr/>
      <w:tcPr>
        <w:tcBorders>
          <w:top w:val="double" w:sz="4" w:space="0" w:color="5B9BD5" w:themeColor="accent5"/>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
    <w:name w:val="List Table 3 Accent 6"/>
    <w:basedOn w:val="TableNormal"/>
    <w:uiPriority w:val="48"/>
    <w:rsid w:val="002B38F5"/>
    <w:pPr>
      <w:spacing w:after="0" w:line="240" w:lineRule="auto"/>
    </w:pPr>
    <w:rPr>
      <w:rFonts w:ascii="Calibri" w:hAnsi="Calibri"/>
    </w:r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tblBorders>
      <w:tblCellMar>
        <w:top w:w="0" w:type="dxa"/>
        <w:left w:w="108" w:type="dxa"/>
        <w:bottom w:w="0" w:type="dxa"/>
        <w:right w:w="108" w:type="dxa"/>
      </w:tblCellMar>
    </w:tblPr>
    <w:tblStylePr w:type="firstRow">
      <w:tblPr/>
      <w:tcPr>
        <w:shd w:val="clear" w:color="auto" w:fill="70AD47" w:themeFill="accent6"/>
      </w:tcPr>
    </w:tblStylePr>
    <w:tblStylePr w:type="lastRow">
      <w:tblPr/>
      <w:tcPr>
        <w:tcBorders>
          <w:top w:val="double" w:sz="4" w:space="0" w:color="70AD47" w:themeColor="accent6"/>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
    <w:name w:val="List Table 4"/>
    <w:basedOn w:val="TableNormal"/>
    <w:uiPriority w:val="49"/>
    <w:rsid w:val="002B38F5"/>
    <w:pPr>
      <w:spacing w:after="0" w:line="240" w:lineRule="auto"/>
    </w:pPr>
    <w:rPr>
      <w:rFonts w:ascii="Calibri" w:hAnsi="Calibri"/>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tblPr/>
      <w:tcPr>
        <w:tcBorders>
          <w:top w:val="doub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eNormal"/>
    <w:uiPriority w:val="49"/>
    <w:rsid w:val="002B38F5"/>
    <w:pPr>
      <w:spacing w:after="0" w:line="240" w:lineRule="auto"/>
    </w:pPr>
    <w:rPr>
      <w:rFonts w:ascii="Calibri" w:hAnsi="Calibri"/>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CellMar>
        <w:top w:w="0" w:type="dxa"/>
        <w:left w:w="108" w:type="dxa"/>
        <w:bottom w:w="0" w:type="dxa"/>
        <w:right w:w="108" w:type="dxa"/>
      </w:tblCellMar>
    </w:tblPr>
    <w:tblStylePr w:type="firstRow">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tblPr/>
      <w:tcPr>
        <w:tcBorders>
          <w:top w:val="double" w:sz="4" w:space="0" w:color="8EAADB" w:themeColor="accent1" w:themeTint="99"/>
        </w:tcBorders>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
    <w:name w:val="List Table 4 Accent 2"/>
    <w:basedOn w:val="TableNormal"/>
    <w:uiPriority w:val="49"/>
    <w:rsid w:val="002B38F5"/>
    <w:pPr>
      <w:spacing w:after="0" w:line="240" w:lineRule="auto"/>
    </w:pPr>
    <w:rPr>
      <w:rFonts w:ascii="Calibri" w:hAnsi="Calibri"/>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tblPr/>
      <w:tcPr>
        <w:tcBorders>
          <w:top w:val="double" w:sz="4" w:space="0" w:color="F4B083" w:themeColor="accent2" w:themeTint="99"/>
        </w:tcBorders>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
    <w:name w:val="List Table 4 Accent 3"/>
    <w:basedOn w:val="TableNormal"/>
    <w:uiPriority w:val="49"/>
    <w:rsid w:val="002B38F5"/>
    <w:pPr>
      <w:spacing w:after="0" w:line="240" w:lineRule="auto"/>
    </w:pPr>
    <w:rPr>
      <w:rFonts w:ascii="Calibri" w:hAnsi="Calibri"/>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tblPr/>
      <w:tcPr>
        <w:tcBorders>
          <w:top w:val="double" w:sz="4" w:space="0" w:color="C9C9C9" w:themeColor="accent3" w:themeTint="99"/>
        </w:tcBorders>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
    <w:name w:val="List Table 4 Accent 4"/>
    <w:basedOn w:val="TableNormal"/>
    <w:uiPriority w:val="49"/>
    <w:rsid w:val="002B38F5"/>
    <w:pPr>
      <w:spacing w:after="0" w:line="240" w:lineRule="auto"/>
    </w:pPr>
    <w:rPr>
      <w:rFonts w:ascii="Calibri" w:hAnsi="Calibri"/>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tblPr/>
      <w:tcPr>
        <w:tcBorders>
          <w:top w:val="double" w:sz="4" w:space="0" w:color="FFD966" w:themeColor="accent4" w:themeTint="99"/>
        </w:tcBorders>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
    <w:name w:val="List Table 4 Accent 5"/>
    <w:basedOn w:val="TableNormal"/>
    <w:uiPriority w:val="49"/>
    <w:rsid w:val="002B38F5"/>
    <w:pPr>
      <w:spacing w:after="0" w:line="240" w:lineRule="auto"/>
    </w:pPr>
    <w:rPr>
      <w:rFonts w:ascii="Calibri" w:hAnsi="Calibri"/>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firstRow">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tblPr/>
      <w:tcPr>
        <w:tcBorders>
          <w:top w:val="double" w:sz="4" w:space="0" w:color="9CC2E5" w:themeColor="accent5" w:themeTint="99"/>
        </w:tcBorders>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
    <w:name w:val="List Table 4 Accent 6"/>
    <w:basedOn w:val="TableNormal"/>
    <w:uiPriority w:val="49"/>
    <w:rsid w:val="002B38F5"/>
    <w:pPr>
      <w:spacing w:after="0" w:line="240" w:lineRule="auto"/>
    </w:pPr>
    <w:rPr>
      <w:rFonts w:ascii="Calibri" w:hAnsi="Calibri"/>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tblPr/>
      <w:tcPr>
        <w:tcBorders>
          <w:top w:val="double" w:sz="4" w:space="0" w:color="A8D08D" w:themeColor="accent6" w:themeTint="99"/>
        </w:tcBorders>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
    <w:name w:val="List Table 5 Dark"/>
    <w:basedOn w:val="TableNormal"/>
    <w:uiPriority w:val="50"/>
    <w:rsid w:val="002B38F5"/>
    <w:pPr>
      <w:spacing w:after="0" w:line="240" w:lineRule="auto"/>
    </w:pPr>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eNormal"/>
    <w:uiPriority w:val="50"/>
    <w:rsid w:val="002B38F5"/>
    <w:pPr>
      <w:spacing w:after="0" w:line="240" w:lineRule="auto"/>
    </w:pPr>
    <w:rPr>
      <w:color w:val="FFFFFF" w:themeColor="background1"/>
    </w:rPr>
    <w:tblPr>
      <w:tblStyleRowBandSize w:val="1"/>
      <w:tblStyleColBandSize w:val="1"/>
      <w:tblInd w:w="0" w:type="dxa"/>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CellMar>
        <w:top w:w="0" w:type="dxa"/>
        <w:left w:w="108" w:type="dxa"/>
        <w:bottom w:w="0" w:type="dxa"/>
        <w:right w:w="108" w:type="dxa"/>
      </w:tblCellMar>
    </w:tblPr>
    <w:tcPr>
      <w:shd w:val="clear" w:color="auto" w:fill="4472C4" w:themeFill="accent1"/>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eNormal"/>
    <w:uiPriority w:val="50"/>
    <w:rsid w:val="002B38F5"/>
    <w:pPr>
      <w:spacing w:after="0" w:line="240" w:lineRule="auto"/>
    </w:pPr>
    <w:rPr>
      <w:color w:val="FFFFFF" w:themeColor="background1"/>
    </w:rPr>
    <w:tblPr>
      <w:tblStyleRowBandSize w:val="1"/>
      <w:tblStyleColBandSize w:val="1"/>
      <w:tblInd w:w="0" w:type="dxa"/>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CellMar>
        <w:top w:w="0" w:type="dxa"/>
        <w:left w:w="108" w:type="dxa"/>
        <w:bottom w:w="0" w:type="dxa"/>
        <w:right w:w="108" w:type="dxa"/>
      </w:tblCellMar>
    </w:tblPr>
    <w:tcPr>
      <w:shd w:val="clear" w:color="auto" w:fill="ED7D31" w:themeFill="accent2"/>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eNormal"/>
    <w:uiPriority w:val="50"/>
    <w:rsid w:val="002B38F5"/>
    <w:pPr>
      <w:spacing w:after="0" w:line="240" w:lineRule="auto"/>
    </w:pPr>
    <w:rPr>
      <w:color w:val="FFFFFF" w:themeColor="background1"/>
    </w:rPr>
    <w:tblPr>
      <w:tblStyleRowBandSize w:val="1"/>
      <w:tblStyleColBandSize w:val="1"/>
      <w:tblInd w:w="0" w:type="dxa"/>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CellMar>
        <w:top w:w="0" w:type="dxa"/>
        <w:left w:w="108" w:type="dxa"/>
        <w:bottom w:w="0" w:type="dxa"/>
        <w:right w:w="108" w:type="dxa"/>
      </w:tblCellMar>
    </w:tblPr>
    <w:tcPr>
      <w:shd w:val="clear" w:color="auto" w:fill="A5A5A5" w:themeFill="accent3"/>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eNormal"/>
    <w:uiPriority w:val="50"/>
    <w:rsid w:val="002B38F5"/>
    <w:pPr>
      <w:spacing w:after="0" w:line="240" w:lineRule="auto"/>
    </w:pPr>
    <w:rPr>
      <w:color w:val="FFFFFF" w:themeColor="background1"/>
    </w:rPr>
    <w:tblPr>
      <w:tblStyleRowBandSize w:val="1"/>
      <w:tblStyleColBandSize w:val="1"/>
      <w:tblInd w:w="0" w:type="dxa"/>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CellMar>
        <w:top w:w="0" w:type="dxa"/>
        <w:left w:w="108" w:type="dxa"/>
        <w:bottom w:w="0" w:type="dxa"/>
        <w:right w:w="108" w:type="dxa"/>
      </w:tblCellMar>
    </w:tblPr>
    <w:tcPr>
      <w:shd w:val="clear" w:color="auto" w:fill="FFC000" w:themeFill="accent4"/>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eNormal"/>
    <w:uiPriority w:val="50"/>
    <w:rsid w:val="002B38F5"/>
    <w:pPr>
      <w:spacing w:after="0" w:line="240" w:lineRule="auto"/>
    </w:pPr>
    <w:rPr>
      <w:color w:val="FFFFFF" w:themeColor="background1"/>
    </w:rPr>
    <w:tblPr>
      <w:tblStyleRowBandSize w:val="1"/>
      <w:tblStyleColBandSize w:val="1"/>
      <w:tblInd w:w="0" w:type="dxa"/>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CellMar>
        <w:top w:w="0" w:type="dxa"/>
        <w:left w:w="108" w:type="dxa"/>
        <w:bottom w:w="0" w:type="dxa"/>
        <w:right w:w="108" w:type="dxa"/>
      </w:tblCellMar>
    </w:tblPr>
    <w:tcPr>
      <w:shd w:val="clear" w:color="auto" w:fill="5B9BD5" w:themeFill="accent5"/>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eNormal"/>
    <w:uiPriority w:val="50"/>
    <w:rsid w:val="002B38F5"/>
    <w:pPr>
      <w:spacing w:after="0" w:line="240" w:lineRule="auto"/>
    </w:pPr>
    <w:rPr>
      <w:color w:val="FFFFFF" w:themeColor="background1"/>
    </w:rPr>
    <w:tblPr>
      <w:tblStyleRowBandSize w:val="1"/>
      <w:tblStyleColBandSize w:val="1"/>
      <w:tblInd w:w="0" w:type="dxa"/>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CellMar>
        <w:top w:w="0" w:type="dxa"/>
        <w:left w:w="108" w:type="dxa"/>
        <w:bottom w:w="0" w:type="dxa"/>
        <w:right w:w="108" w:type="dxa"/>
      </w:tblCellMar>
    </w:tblPr>
    <w:tcPr>
      <w:shd w:val="clear" w:color="auto" w:fill="70AD47" w:themeFill="accent6"/>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eNormal"/>
    <w:uiPriority w:val="51"/>
    <w:rsid w:val="002B38F5"/>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tblPr/>
      <w:tcPr>
        <w:tcBorders>
          <w:bottom w:val="single" w:sz="4" w:space="0" w:color="000000" w:themeColor="text1"/>
        </w:tcBorders>
      </w:tcPr>
    </w:tblStylePr>
    <w:tblStylePr w:type="lastRow">
      <w:tblPr/>
      <w:tcPr>
        <w:tcBorders>
          <w:top w:val="double" w:sz="4" w:space="0" w:color="000000" w:themeColor="text1"/>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eNormal"/>
    <w:uiPriority w:val="51"/>
    <w:rsid w:val="002B38F5"/>
    <w:pPr>
      <w:spacing w:after="0" w:line="240" w:lineRule="auto"/>
    </w:pPr>
    <w:rPr>
      <w:color w:val="2F5496" w:themeColor="accent1" w:themeShade="BF"/>
    </w:r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tblPr/>
      <w:tcPr>
        <w:tcBorders>
          <w:bottom w:val="single" w:sz="4" w:space="0" w:color="4472C4" w:themeColor="accent1"/>
        </w:tcBorders>
      </w:tcPr>
    </w:tblStylePr>
    <w:tblStylePr w:type="lastRow">
      <w:tblPr/>
      <w:tcPr>
        <w:tcBorders>
          <w:top w:val="double" w:sz="4" w:space="0" w:color="4472C4" w:themeColor="accent1"/>
        </w:tcBorders>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
    <w:name w:val="List Table 6 Colorful Accent 2"/>
    <w:basedOn w:val="TableNormal"/>
    <w:uiPriority w:val="51"/>
    <w:rsid w:val="002B38F5"/>
    <w:pPr>
      <w:spacing w:after="0" w:line="240" w:lineRule="auto"/>
    </w:pPr>
    <w:rPr>
      <w:color w:val="C45911" w:themeColor="accent2" w:themeShade="BF"/>
    </w:rPr>
    <w:tblPr>
      <w:tblStyleRowBandSize w:val="1"/>
      <w:tblStyleColBandSize w:val="1"/>
      <w:tblInd w:w="0" w:type="dxa"/>
      <w:tblBorders>
        <w:top w:val="single" w:sz="4" w:space="0" w:color="ED7D31" w:themeColor="accent2"/>
        <w:bottom w:val="single" w:sz="4" w:space="0" w:color="ED7D31" w:themeColor="accent2"/>
      </w:tblBorders>
      <w:tblCellMar>
        <w:top w:w="0" w:type="dxa"/>
        <w:left w:w="108" w:type="dxa"/>
        <w:bottom w:w="0" w:type="dxa"/>
        <w:right w:w="108" w:type="dxa"/>
      </w:tblCellMar>
    </w:tblPr>
    <w:tblStylePr w:type="firstRow">
      <w:tblPr/>
      <w:tcPr>
        <w:tcBorders>
          <w:bottom w:val="single" w:sz="4" w:space="0" w:color="ED7D31" w:themeColor="accent2"/>
        </w:tcBorders>
      </w:tcPr>
    </w:tblStylePr>
    <w:tblStylePr w:type="lastRow">
      <w:tblPr/>
      <w:tcPr>
        <w:tcBorders>
          <w:top w:val="double" w:sz="4" w:space="0" w:color="ED7D31" w:themeColor="accent2"/>
        </w:tcBorders>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
    <w:name w:val="List Table 6 Colorful Accent 3"/>
    <w:basedOn w:val="TableNormal"/>
    <w:uiPriority w:val="51"/>
    <w:rsid w:val="002B38F5"/>
    <w:pPr>
      <w:spacing w:after="0" w:line="240" w:lineRule="auto"/>
    </w:pPr>
    <w:rPr>
      <w:color w:val="7B7B7B" w:themeColor="accent3" w:themeShade="BF"/>
    </w:rPr>
    <w:tblPr>
      <w:tblStyleRowBandSize w:val="1"/>
      <w:tblStyleColBandSize w:val="1"/>
      <w:tblInd w:w="0" w:type="dxa"/>
      <w:tblBorders>
        <w:top w:val="single" w:sz="4" w:space="0" w:color="A5A5A5" w:themeColor="accent3"/>
        <w:bottom w:val="single" w:sz="4" w:space="0" w:color="A5A5A5" w:themeColor="accent3"/>
      </w:tblBorders>
      <w:tblCellMar>
        <w:top w:w="0" w:type="dxa"/>
        <w:left w:w="108" w:type="dxa"/>
        <w:bottom w:w="0" w:type="dxa"/>
        <w:right w:w="108" w:type="dxa"/>
      </w:tblCellMar>
    </w:tblPr>
    <w:tblStylePr w:type="firstRow">
      <w:tblPr/>
      <w:tcPr>
        <w:tcBorders>
          <w:bottom w:val="single" w:sz="4" w:space="0" w:color="A5A5A5" w:themeColor="accent3"/>
        </w:tcBorders>
      </w:tcPr>
    </w:tblStylePr>
    <w:tblStylePr w:type="lastRow">
      <w:tblPr/>
      <w:tcPr>
        <w:tcBorders>
          <w:top w:val="double" w:sz="4" w:space="0" w:color="A5A5A5" w:themeColor="accent3"/>
        </w:tcBorders>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
    <w:name w:val="List Table 6 Colorful Accent 4"/>
    <w:basedOn w:val="TableNormal"/>
    <w:uiPriority w:val="51"/>
    <w:rsid w:val="002B38F5"/>
    <w:pPr>
      <w:spacing w:after="0" w:line="240" w:lineRule="auto"/>
    </w:pPr>
    <w:rPr>
      <w:color w:val="BF8F00" w:themeColor="accent4" w:themeShade="BF"/>
    </w:rPr>
    <w:tblPr>
      <w:tblStyleRowBandSize w:val="1"/>
      <w:tblStyleColBandSize w:val="1"/>
      <w:tblInd w:w="0" w:type="dxa"/>
      <w:tblBorders>
        <w:top w:val="single" w:sz="4" w:space="0" w:color="FFC000" w:themeColor="accent4"/>
        <w:bottom w:val="single" w:sz="4" w:space="0" w:color="FFC000" w:themeColor="accent4"/>
      </w:tblBorders>
      <w:tblCellMar>
        <w:top w:w="0" w:type="dxa"/>
        <w:left w:w="108" w:type="dxa"/>
        <w:bottom w:w="0" w:type="dxa"/>
        <w:right w:w="108" w:type="dxa"/>
      </w:tblCellMar>
    </w:tblPr>
    <w:tblStylePr w:type="firstRow">
      <w:tblPr/>
      <w:tcPr>
        <w:tcBorders>
          <w:bottom w:val="single" w:sz="4" w:space="0" w:color="FFC000" w:themeColor="accent4"/>
        </w:tcBorders>
      </w:tcPr>
    </w:tblStylePr>
    <w:tblStylePr w:type="lastRow">
      <w:tblPr/>
      <w:tcPr>
        <w:tcBorders>
          <w:top w:val="double" w:sz="4" w:space="0" w:color="FFC000" w:themeColor="accent4"/>
        </w:tcBorders>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
    <w:name w:val="List Table 6 Colorful Accent 5"/>
    <w:basedOn w:val="TableNormal"/>
    <w:uiPriority w:val="51"/>
    <w:rsid w:val="002B38F5"/>
    <w:pPr>
      <w:spacing w:after="0" w:line="240" w:lineRule="auto"/>
    </w:pPr>
    <w:rPr>
      <w:color w:val="2E74B5" w:themeColor="accent5" w:themeShade="BF"/>
    </w:rPr>
    <w:tblPr>
      <w:tblStyleRowBandSize w:val="1"/>
      <w:tblStyleColBandSize w:val="1"/>
      <w:tblInd w:w="0" w:type="dxa"/>
      <w:tblBorders>
        <w:top w:val="single" w:sz="4" w:space="0" w:color="5B9BD5" w:themeColor="accent5"/>
        <w:bottom w:val="single" w:sz="4" w:space="0" w:color="5B9BD5" w:themeColor="accent5"/>
      </w:tblBorders>
      <w:tblCellMar>
        <w:top w:w="0" w:type="dxa"/>
        <w:left w:w="108" w:type="dxa"/>
        <w:bottom w:w="0" w:type="dxa"/>
        <w:right w:w="108" w:type="dxa"/>
      </w:tblCellMar>
    </w:tblPr>
    <w:tblStylePr w:type="firstRow">
      <w:tblPr/>
      <w:tcPr>
        <w:tcBorders>
          <w:bottom w:val="single" w:sz="4" w:space="0" w:color="5B9BD5" w:themeColor="accent5"/>
        </w:tcBorders>
      </w:tcPr>
    </w:tblStylePr>
    <w:tblStylePr w:type="lastRow">
      <w:tblPr/>
      <w:tcPr>
        <w:tcBorders>
          <w:top w:val="double" w:sz="4" w:space="0" w:color="5B9BD5" w:themeColor="accent5"/>
        </w:tcBorders>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
    <w:name w:val="List Table 6 Colorful Accent 6"/>
    <w:basedOn w:val="TableNormal"/>
    <w:uiPriority w:val="51"/>
    <w:rsid w:val="002B38F5"/>
    <w:pPr>
      <w:spacing w:after="0" w:line="240" w:lineRule="auto"/>
    </w:pPr>
    <w:rPr>
      <w:color w:val="538135" w:themeColor="accent6" w:themeShade="BF"/>
    </w:rPr>
    <w:tblPr>
      <w:tblStyleRowBandSize w:val="1"/>
      <w:tblStyleColBandSize w:val="1"/>
      <w:tblInd w:w="0" w:type="dxa"/>
      <w:tblBorders>
        <w:top w:val="single" w:sz="4" w:space="0" w:color="70AD47" w:themeColor="accent6"/>
        <w:bottom w:val="single" w:sz="4" w:space="0" w:color="70AD47" w:themeColor="accent6"/>
      </w:tblBorders>
      <w:tblCellMar>
        <w:top w:w="0" w:type="dxa"/>
        <w:left w:w="108" w:type="dxa"/>
        <w:bottom w:w="0" w:type="dxa"/>
        <w:right w:w="108" w:type="dxa"/>
      </w:tblCellMar>
    </w:tblPr>
    <w:tblStylePr w:type="firstRow">
      <w:tblPr/>
      <w:tcPr>
        <w:tcBorders>
          <w:bottom w:val="single" w:sz="4" w:space="0" w:color="70AD47" w:themeColor="accent6"/>
        </w:tcBorders>
      </w:tcPr>
    </w:tblStylePr>
    <w:tblStylePr w:type="lastRow">
      <w:tblPr/>
      <w:tcPr>
        <w:tcBorders>
          <w:top w:val="double" w:sz="4" w:space="0" w:color="70AD47" w:themeColor="accent6"/>
        </w:tcBorders>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
    <w:name w:val="List Table 7 Colorful"/>
    <w:basedOn w:val="TableNormal"/>
    <w:uiPriority w:val="52"/>
    <w:rsid w:val="002B38F5"/>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tblPr/>
      <w:tcPr>
        <w:tcBorders>
          <w:bottom w:val="single" w:sz="4" w:space="0" w:color="000000" w:themeColor="text1"/>
        </w:tcBorders>
        <w:shd w:val="clear" w:color="auto" w:fill="FFFFFF" w:themeFill="background1"/>
      </w:tcPr>
    </w:tblStylePr>
    <w:tblStylePr w:type="lastRow">
      <w:tblPr/>
      <w:tcPr>
        <w:tcBorders>
          <w:top w:val="single" w:sz="4" w:space="0" w:color="000000" w:themeColor="text1"/>
        </w:tcBorders>
        <w:shd w:val="clear" w:color="auto" w:fill="FFFFFF" w:themeFill="background1"/>
      </w:tcPr>
    </w:tblStylePr>
    <w:tblStylePr w:type="firstCol">
      <w:pPr>
        <w:jc w:val="right"/>
      </w:pPr>
      <w:tblPr/>
      <w:tcPr>
        <w:tcBorders>
          <w:right w:val="single" w:sz="4" w:space="0" w:color="000000" w:themeColor="text1"/>
        </w:tcBorders>
        <w:shd w:val="clear" w:color="auto" w:fill="FFFFFF" w:themeFill="background1"/>
      </w:tcPr>
    </w:tblStylePr>
    <w:tblStylePr w:type="lastCol">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eNormal"/>
    <w:uiPriority w:val="52"/>
    <w:rsid w:val="002B38F5"/>
    <w:pPr>
      <w:spacing w:after="0" w:line="240" w:lineRule="auto"/>
    </w:pPr>
    <w:rPr>
      <w:color w:val="2F5496" w:themeColor="accent1" w:themeShade="BF"/>
    </w:rPr>
    <w:tblPr>
      <w:tblStyleRowBandSize w:val="1"/>
      <w:tblStyleColBandSize w:val="1"/>
      <w:tblInd w:w="0" w:type="dxa"/>
      <w:tblCellMar>
        <w:top w:w="0" w:type="dxa"/>
        <w:left w:w="108" w:type="dxa"/>
        <w:bottom w:w="0" w:type="dxa"/>
        <w:right w:w="108" w:type="dxa"/>
      </w:tblCellMar>
    </w:tblPr>
    <w:tblStylePr w:type="firstRow">
      <w:tblPr/>
      <w:tcPr>
        <w:tcBorders>
          <w:bottom w:val="single" w:sz="4" w:space="0" w:color="4472C4" w:themeColor="accent1"/>
        </w:tcBorders>
        <w:shd w:val="clear" w:color="auto" w:fill="FFFFFF" w:themeFill="background1"/>
      </w:tcPr>
    </w:tblStylePr>
    <w:tblStylePr w:type="lastRow">
      <w:tblPr/>
      <w:tcPr>
        <w:tcBorders>
          <w:top w:val="single" w:sz="4" w:space="0" w:color="4472C4" w:themeColor="accent1"/>
        </w:tcBorders>
        <w:shd w:val="clear" w:color="auto" w:fill="FFFFFF" w:themeFill="background1"/>
      </w:tcPr>
    </w:tblStylePr>
    <w:tblStylePr w:type="firstCol">
      <w:pPr>
        <w:jc w:val="right"/>
      </w:pPr>
      <w:tblPr/>
      <w:tcPr>
        <w:tcBorders>
          <w:right w:val="single" w:sz="4" w:space="0" w:color="4472C4" w:themeColor="accent1"/>
        </w:tcBorders>
        <w:shd w:val="clear" w:color="auto" w:fill="FFFFFF" w:themeFill="background1"/>
      </w:tcPr>
    </w:tblStylePr>
    <w:tblStylePr w:type="lastCol">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eNormal"/>
    <w:uiPriority w:val="52"/>
    <w:rsid w:val="002B38F5"/>
    <w:pPr>
      <w:spacing w:after="0" w:line="240" w:lineRule="auto"/>
    </w:pPr>
    <w:rPr>
      <w:color w:val="C45911" w:themeColor="accent2" w:themeShade="BF"/>
    </w:rPr>
    <w:tblPr>
      <w:tblStyleRowBandSize w:val="1"/>
      <w:tblStyleColBandSize w:val="1"/>
      <w:tblInd w:w="0" w:type="dxa"/>
      <w:tblCellMar>
        <w:top w:w="0" w:type="dxa"/>
        <w:left w:w="108" w:type="dxa"/>
        <w:bottom w:w="0" w:type="dxa"/>
        <w:right w:w="108" w:type="dxa"/>
      </w:tblCellMar>
    </w:tblPr>
    <w:tblStylePr w:type="firstRow">
      <w:tblPr/>
      <w:tcPr>
        <w:tcBorders>
          <w:bottom w:val="single" w:sz="4" w:space="0" w:color="ED7D31" w:themeColor="accent2"/>
        </w:tcBorders>
        <w:shd w:val="clear" w:color="auto" w:fill="FFFFFF" w:themeFill="background1"/>
      </w:tcPr>
    </w:tblStylePr>
    <w:tblStylePr w:type="lastRow">
      <w:tblPr/>
      <w:tcPr>
        <w:tcBorders>
          <w:top w:val="single" w:sz="4" w:space="0" w:color="ED7D31" w:themeColor="accent2"/>
        </w:tcBorders>
        <w:shd w:val="clear" w:color="auto" w:fill="FFFFFF" w:themeFill="background1"/>
      </w:tcPr>
    </w:tblStylePr>
    <w:tblStylePr w:type="firstCol">
      <w:pPr>
        <w:jc w:val="right"/>
      </w:pPr>
      <w:tblPr/>
      <w:tcPr>
        <w:tcBorders>
          <w:right w:val="single" w:sz="4" w:space="0" w:color="ED7D31" w:themeColor="accent2"/>
        </w:tcBorders>
        <w:shd w:val="clear" w:color="auto" w:fill="FFFFFF" w:themeFill="background1"/>
      </w:tcPr>
    </w:tblStylePr>
    <w:tblStylePr w:type="lastCol">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eNormal"/>
    <w:uiPriority w:val="52"/>
    <w:rsid w:val="002B38F5"/>
    <w:pPr>
      <w:spacing w:after="0" w:line="240" w:lineRule="auto"/>
    </w:pPr>
    <w:rPr>
      <w:color w:val="7B7B7B" w:themeColor="accent3" w:themeShade="BF"/>
    </w:rPr>
    <w:tblPr>
      <w:tblStyleRowBandSize w:val="1"/>
      <w:tblStyleColBandSize w:val="1"/>
      <w:tblInd w:w="0" w:type="dxa"/>
      <w:tblCellMar>
        <w:top w:w="0" w:type="dxa"/>
        <w:left w:w="108" w:type="dxa"/>
        <w:bottom w:w="0" w:type="dxa"/>
        <w:right w:w="108" w:type="dxa"/>
      </w:tblCellMar>
    </w:tblPr>
    <w:tblStylePr w:type="firstRow">
      <w:tblPr/>
      <w:tcPr>
        <w:tcBorders>
          <w:bottom w:val="single" w:sz="4" w:space="0" w:color="A5A5A5" w:themeColor="accent3"/>
        </w:tcBorders>
        <w:shd w:val="clear" w:color="auto" w:fill="FFFFFF" w:themeFill="background1"/>
      </w:tcPr>
    </w:tblStylePr>
    <w:tblStylePr w:type="lastRow">
      <w:tblPr/>
      <w:tcPr>
        <w:tcBorders>
          <w:top w:val="single" w:sz="4" w:space="0" w:color="A5A5A5" w:themeColor="accent3"/>
        </w:tcBorders>
        <w:shd w:val="clear" w:color="auto" w:fill="FFFFFF" w:themeFill="background1"/>
      </w:tcPr>
    </w:tblStylePr>
    <w:tblStylePr w:type="firstCol">
      <w:pPr>
        <w:jc w:val="right"/>
      </w:pPr>
      <w:tblPr/>
      <w:tcPr>
        <w:tcBorders>
          <w:right w:val="single" w:sz="4" w:space="0" w:color="A5A5A5" w:themeColor="accent3"/>
        </w:tcBorders>
        <w:shd w:val="clear" w:color="auto" w:fill="FFFFFF" w:themeFill="background1"/>
      </w:tcPr>
    </w:tblStylePr>
    <w:tblStylePr w:type="lastCol">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eNormal"/>
    <w:uiPriority w:val="52"/>
    <w:rsid w:val="002B38F5"/>
    <w:pPr>
      <w:spacing w:after="0" w:line="240" w:lineRule="auto"/>
    </w:pPr>
    <w:rPr>
      <w:color w:val="BF8F00" w:themeColor="accent4" w:themeShade="BF"/>
    </w:rPr>
    <w:tblPr>
      <w:tblStyleRowBandSize w:val="1"/>
      <w:tblStyleColBandSize w:val="1"/>
      <w:tblInd w:w="0" w:type="dxa"/>
      <w:tblCellMar>
        <w:top w:w="0" w:type="dxa"/>
        <w:left w:w="108" w:type="dxa"/>
        <w:bottom w:w="0" w:type="dxa"/>
        <w:right w:w="108" w:type="dxa"/>
      </w:tblCellMar>
    </w:tblPr>
    <w:tblStylePr w:type="firstRow">
      <w:tblPr/>
      <w:tcPr>
        <w:tcBorders>
          <w:bottom w:val="single" w:sz="4" w:space="0" w:color="FFC000" w:themeColor="accent4"/>
        </w:tcBorders>
        <w:shd w:val="clear" w:color="auto" w:fill="FFFFFF" w:themeFill="background1"/>
      </w:tcPr>
    </w:tblStylePr>
    <w:tblStylePr w:type="lastRow">
      <w:tblPr/>
      <w:tcPr>
        <w:tcBorders>
          <w:top w:val="single" w:sz="4" w:space="0" w:color="FFC000" w:themeColor="accent4"/>
        </w:tcBorders>
        <w:shd w:val="clear" w:color="auto" w:fill="FFFFFF" w:themeFill="background1"/>
      </w:tcPr>
    </w:tblStylePr>
    <w:tblStylePr w:type="firstCol">
      <w:pPr>
        <w:jc w:val="right"/>
      </w:pPr>
      <w:tblPr/>
      <w:tcPr>
        <w:tcBorders>
          <w:right w:val="single" w:sz="4" w:space="0" w:color="FFC000" w:themeColor="accent4"/>
        </w:tcBorders>
        <w:shd w:val="clear" w:color="auto" w:fill="FFFFFF" w:themeFill="background1"/>
      </w:tcPr>
    </w:tblStylePr>
    <w:tblStylePr w:type="lastCol">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eNormal"/>
    <w:uiPriority w:val="52"/>
    <w:rsid w:val="002B38F5"/>
    <w:pPr>
      <w:spacing w:after="0" w:line="240" w:lineRule="auto"/>
    </w:pPr>
    <w:rPr>
      <w:color w:val="2E74B5" w:themeColor="accent5" w:themeShade="BF"/>
    </w:rPr>
    <w:tblPr>
      <w:tblStyleRowBandSize w:val="1"/>
      <w:tblStyleColBandSize w:val="1"/>
      <w:tblInd w:w="0" w:type="dxa"/>
      <w:tblCellMar>
        <w:top w:w="0" w:type="dxa"/>
        <w:left w:w="108" w:type="dxa"/>
        <w:bottom w:w="0" w:type="dxa"/>
        <w:right w:w="108" w:type="dxa"/>
      </w:tblCellMar>
    </w:tblPr>
    <w:tblStylePr w:type="firstRow">
      <w:tblPr/>
      <w:tcPr>
        <w:tcBorders>
          <w:bottom w:val="single" w:sz="4" w:space="0" w:color="5B9BD5" w:themeColor="accent5"/>
        </w:tcBorders>
        <w:shd w:val="clear" w:color="auto" w:fill="FFFFFF" w:themeFill="background1"/>
      </w:tcPr>
    </w:tblStylePr>
    <w:tblStylePr w:type="lastRow">
      <w:tblPr/>
      <w:tcPr>
        <w:tcBorders>
          <w:top w:val="single" w:sz="4" w:space="0" w:color="5B9BD5" w:themeColor="accent5"/>
        </w:tcBorders>
        <w:shd w:val="clear" w:color="auto" w:fill="FFFFFF" w:themeFill="background1"/>
      </w:tcPr>
    </w:tblStylePr>
    <w:tblStylePr w:type="firstCol">
      <w:pPr>
        <w:jc w:val="right"/>
      </w:pPr>
      <w:tblPr/>
      <w:tcPr>
        <w:tcBorders>
          <w:right w:val="single" w:sz="4" w:space="0" w:color="5B9BD5" w:themeColor="accent5"/>
        </w:tcBorders>
        <w:shd w:val="clear" w:color="auto" w:fill="FFFFFF" w:themeFill="background1"/>
      </w:tcPr>
    </w:tblStylePr>
    <w:tblStylePr w:type="lastCol">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eNormal"/>
    <w:uiPriority w:val="52"/>
    <w:rsid w:val="002B38F5"/>
    <w:pPr>
      <w:spacing w:after="0" w:line="240" w:lineRule="auto"/>
    </w:pPr>
    <w:rPr>
      <w:color w:val="538135" w:themeColor="accent6" w:themeShade="BF"/>
    </w:rPr>
    <w:tblPr>
      <w:tblStyleRowBandSize w:val="1"/>
      <w:tblStyleColBandSize w:val="1"/>
      <w:tblInd w:w="0" w:type="dxa"/>
      <w:tblCellMar>
        <w:top w:w="0" w:type="dxa"/>
        <w:left w:w="108" w:type="dxa"/>
        <w:bottom w:w="0" w:type="dxa"/>
        <w:right w:w="108" w:type="dxa"/>
      </w:tblCellMar>
    </w:tblPr>
    <w:tblStylePr w:type="firstRow">
      <w:tblPr/>
      <w:tcPr>
        <w:tcBorders>
          <w:bottom w:val="single" w:sz="4" w:space="0" w:color="70AD47" w:themeColor="accent6"/>
        </w:tcBorders>
        <w:shd w:val="clear" w:color="auto" w:fill="FFFFFF" w:themeFill="background1"/>
      </w:tcPr>
    </w:tblStylePr>
    <w:tblStylePr w:type="lastRow">
      <w:tblPr/>
      <w:tcPr>
        <w:tcBorders>
          <w:top w:val="single" w:sz="4" w:space="0" w:color="70AD47" w:themeColor="accent6"/>
        </w:tcBorders>
        <w:shd w:val="clear" w:color="auto" w:fill="FFFFFF" w:themeFill="background1"/>
      </w:tcPr>
    </w:tblStylePr>
    <w:tblStylePr w:type="firstCol">
      <w:pPr>
        <w:jc w:val="right"/>
      </w:pPr>
      <w:tblPr/>
      <w:tcPr>
        <w:tcBorders>
          <w:right w:val="single" w:sz="4" w:space="0" w:color="70AD47" w:themeColor="accent6"/>
        </w:tcBorders>
        <w:shd w:val="clear" w:color="auto" w:fill="FFFFFF" w:themeFill="background1"/>
      </w:tcPr>
    </w:tblStylePr>
    <w:tblStylePr w:type="lastCol">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B38F5"/>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rPr>
  </w:style>
  <w:style w:type="character" w:customStyle="1" w:styleId="MacroTextChar">
    <w:name w:val="Macro Text Char"/>
    <w:basedOn w:val="DefaultParagraphFont"/>
    <w:link w:val="MacroText"/>
    <w:uiPriority w:val="99"/>
    <w:semiHidden/>
    <w:rsid w:val="002B38F5"/>
    <w:rPr>
      <w:rFonts w:ascii="Consolas" w:eastAsia="SimSun" w:hAnsi="Consolas" w:cs="Times New Roman"/>
      <w:kern w:val="0"/>
      <w:sz w:val="20"/>
      <w:szCs w:val="20"/>
    </w:rPr>
  </w:style>
  <w:style w:type="table" w:styleId="MediumGrid1">
    <w:name w:val="Medium Grid 1"/>
    <w:basedOn w:val="TableNormal"/>
    <w:uiPriority w:val="67"/>
    <w:semiHidden/>
    <w:unhideWhenUsed/>
    <w:rsid w:val="002B38F5"/>
    <w:pPr>
      <w:spacing w:after="0" w:line="240" w:lineRule="auto"/>
    </w:pPr>
    <w:rPr>
      <w:rFonts w:ascii="Calibri" w:hAnsi="Calibri"/>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lastRow">
      <w:tblPr/>
      <w:tcPr>
        <w:tcBorders>
          <w:top w:val="single" w:sz="18" w:space="0" w:color="404040" w:themeColor="text1" w:themeTint="BF"/>
        </w:tcBorders>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B38F5"/>
    <w:pPr>
      <w:spacing w:after="0" w:line="240" w:lineRule="auto"/>
    </w:pPr>
    <w:rPr>
      <w:rFonts w:ascii="Calibri" w:hAnsi="Calibri"/>
    </w:r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CellMar>
        <w:top w:w="0" w:type="dxa"/>
        <w:left w:w="108" w:type="dxa"/>
        <w:bottom w:w="0" w:type="dxa"/>
        <w:right w:w="108" w:type="dxa"/>
      </w:tblCellMar>
    </w:tblPr>
    <w:tcPr>
      <w:shd w:val="clear" w:color="auto" w:fill="D0DBF0" w:themeFill="accent1" w:themeFillTint="3F"/>
    </w:tcPr>
    <w:tblStylePr w:type="lastRow">
      <w:tblPr/>
      <w:tcPr>
        <w:tcBorders>
          <w:top w:val="single" w:sz="18" w:space="0" w:color="7295D2" w:themeColor="accent1" w:themeTint="BF"/>
        </w:tcBorders>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2B38F5"/>
    <w:pPr>
      <w:spacing w:after="0" w:line="240" w:lineRule="auto"/>
    </w:pPr>
    <w:rPr>
      <w:rFonts w:ascii="Calibri" w:hAnsi="Calibri"/>
    </w:r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lastRow">
      <w:tblPr/>
      <w:tcPr>
        <w:tcBorders>
          <w:top w:val="single" w:sz="18" w:space="0" w:color="F19D64" w:themeColor="accent2" w:themeTint="BF"/>
        </w:tcBorders>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2B38F5"/>
    <w:pPr>
      <w:spacing w:after="0" w:line="240" w:lineRule="auto"/>
    </w:pPr>
    <w:rPr>
      <w:rFonts w:ascii="Calibri" w:hAnsi="Calibri"/>
    </w:r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lastRow">
      <w:tblPr/>
      <w:tcPr>
        <w:tcBorders>
          <w:top w:val="single" w:sz="18" w:space="0" w:color="BBBBBB" w:themeColor="accent3" w:themeTint="BF"/>
        </w:tcBorders>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2B38F5"/>
    <w:pPr>
      <w:spacing w:after="0" w:line="240" w:lineRule="auto"/>
    </w:pPr>
    <w:rPr>
      <w:rFonts w:ascii="Calibri" w:hAnsi="Calibri"/>
    </w:r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lastRow">
      <w:tblPr/>
      <w:tcPr>
        <w:tcBorders>
          <w:top w:val="single" w:sz="18" w:space="0" w:color="FFCF40" w:themeColor="accent4" w:themeTint="BF"/>
        </w:tcBorders>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2B38F5"/>
    <w:pPr>
      <w:spacing w:after="0" w:line="240" w:lineRule="auto"/>
    </w:pPr>
    <w:rPr>
      <w:rFonts w:ascii="Calibri" w:hAnsi="Calibri"/>
    </w:r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CellMar>
        <w:top w:w="0" w:type="dxa"/>
        <w:left w:w="108" w:type="dxa"/>
        <w:bottom w:w="0" w:type="dxa"/>
        <w:right w:w="108" w:type="dxa"/>
      </w:tblCellMar>
    </w:tblPr>
    <w:tcPr>
      <w:shd w:val="clear" w:color="auto" w:fill="D6E6F4" w:themeFill="accent5" w:themeFillTint="3F"/>
    </w:tcPr>
    <w:tblStylePr w:type="lastRow">
      <w:tblPr/>
      <w:tcPr>
        <w:tcBorders>
          <w:top w:val="single" w:sz="18" w:space="0" w:color="84B3DF" w:themeColor="accent5" w:themeTint="BF"/>
        </w:tcBorders>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2B38F5"/>
    <w:pPr>
      <w:spacing w:after="0" w:line="240" w:lineRule="auto"/>
    </w:pPr>
    <w:rPr>
      <w:rFonts w:ascii="Calibri" w:hAnsi="Calibri"/>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lastRow">
      <w:tblPr/>
      <w:tcPr>
        <w:tcBorders>
          <w:top w:val="single" w:sz="18" w:space="0" w:color="93C571" w:themeColor="accent6" w:themeTint="BF"/>
        </w:tcBorders>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cPr>
      <w:shd w:val="clear" w:color="auto" w:fill="D0DBF0" w:themeFill="accent1" w:themeFillTint="3F"/>
    </w:tcPr>
    <w:tblStylePr w:type="firstRow">
      <w:tblPr/>
      <w:tcPr>
        <w:shd w:val="clear" w:color="auto" w:fill="ECF1F9" w:themeFill="accen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cPr>
      <w:shd w:val="clear" w:color="auto" w:fill="FADECB" w:themeFill="accent2" w:themeFillTint="3F"/>
    </w:tcPr>
    <w:tblStylePr w:type="firstRow">
      <w:tblPr/>
      <w:tcPr>
        <w:shd w:val="clear" w:color="auto" w:fill="FDF2EA" w:themeFill="accent2"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cPr>
      <w:shd w:val="clear" w:color="auto" w:fill="E8E8E8" w:themeFill="accent3" w:themeFillTint="3F"/>
    </w:tcPr>
    <w:tblStylePr w:type="firstRow">
      <w:tblPr/>
      <w:tcPr>
        <w:shd w:val="clear" w:color="auto" w:fill="F6F6F6" w:themeFill="accent3"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cPr>
      <w:shd w:val="clear" w:color="auto" w:fill="FFEFC0" w:themeFill="accent4" w:themeFillTint="3F"/>
    </w:tcPr>
    <w:tblStylePr w:type="firstRow">
      <w:tblPr/>
      <w:tcPr>
        <w:shd w:val="clear" w:color="auto" w:fill="FFF8E6" w:themeFill="accent4"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cPr>
      <w:shd w:val="clear" w:color="auto" w:fill="D6E6F4" w:themeFill="accent5" w:themeFillTint="3F"/>
    </w:tcPr>
    <w:tblStylePr w:type="firstRow">
      <w:tblPr/>
      <w:tcPr>
        <w:shd w:val="clear" w:color="auto" w:fill="EEF5FB" w:themeFill="accent5"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cPr>
      <w:shd w:val="clear" w:color="auto" w:fill="DBEBD0" w:themeFill="accent6" w:themeFillTint="3F"/>
    </w:tcPr>
    <w:tblStylePr w:type="firstRow">
      <w:tblPr/>
      <w:tcPr>
        <w:shd w:val="clear" w:color="auto" w:fill="F0F7EC" w:themeFill="accent6"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B38F5"/>
    <w:pPr>
      <w:spacing w:after="0" w:line="240" w:lineRule="auto"/>
    </w:pPr>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B38F5"/>
    <w:pPr>
      <w:spacing w:after="0" w:line="240" w:lineRule="auto"/>
    </w:pPr>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2B38F5"/>
    <w:pPr>
      <w:spacing w:after="0" w:line="240" w:lineRule="auto"/>
    </w:pPr>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ADECB" w:themeFill="accent2"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2B38F5"/>
    <w:pPr>
      <w:spacing w:after="0" w:line="240" w:lineRule="auto"/>
    </w:pPr>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8E8E8" w:themeFill="accent3"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2B38F5"/>
    <w:pPr>
      <w:spacing w:after="0" w:line="240" w:lineRule="auto"/>
    </w:pPr>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FEFC0" w:themeFill="accent4"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2B38F5"/>
    <w:pPr>
      <w:spacing w:after="0" w:line="240" w:lineRule="auto"/>
    </w:pPr>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5"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2B38F5"/>
    <w:pPr>
      <w:spacing w:after="0" w:line="240" w:lineRule="auto"/>
    </w:pPr>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BEBD0" w:themeFill="accent6"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2B38F5"/>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tblPr/>
      <w:tcPr>
        <w:tcBorders>
          <w:top w:val="nil"/>
          <w:bottom w:val="single" w:sz="8" w:space="0" w:color="000000" w:themeColor="text1"/>
        </w:tcBorders>
      </w:tcPr>
    </w:tblStylePr>
    <w:tblStylePr w:type="lastRow">
      <w:tblPr/>
      <w:tcPr>
        <w:tcBorders>
          <w:top w:val="single" w:sz="8" w:space="0" w:color="000000" w:themeColor="text1"/>
          <w:bottom w:val="single" w:sz="8" w:space="0" w:color="000000" w:themeColor="text1"/>
        </w:tcBorders>
      </w:tcPr>
    </w:tblStylePr>
    <w:tblStylePr w:type="lastCol">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B38F5"/>
    <w:pPr>
      <w:spacing w:after="0" w:line="240" w:lineRule="auto"/>
    </w:pPr>
    <w:rPr>
      <w:color w:val="000000" w:themeColor="text1"/>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tblPr/>
      <w:tcPr>
        <w:tcBorders>
          <w:top w:val="nil"/>
          <w:bottom w:val="single" w:sz="8" w:space="0" w:color="4472C4" w:themeColor="accent1"/>
        </w:tcBorders>
      </w:tcPr>
    </w:tblStylePr>
    <w:tblStylePr w:type="lastRow">
      <w:tblPr/>
      <w:tcPr>
        <w:tcBorders>
          <w:top w:val="single" w:sz="8" w:space="0" w:color="4472C4" w:themeColor="accent1"/>
          <w:bottom w:val="single" w:sz="8" w:space="0" w:color="4472C4" w:themeColor="accent1"/>
        </w:tcBorders>
      </w:tcPr>
    </w:tblStylePr>
    <w:tblStylePr w:type="lastCol">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2B38F5"/>
    <w:pPr>
      <w:spacing w:after="0" w:line="240" w:lineRule="auto"/>
    </w:pPr>
    <w:rPr>
      <w:color w:val="000000" w:themeColor="text1"/>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tblPr/>
      <w:tcPr>
        <w:tcBorders>
          <w:top w:val="nil"/>
          <w:bottom w:val="single" w:sz="8" w:space="0" w:color="ED7D31" w:themeColor="accent2"/>
        </w:tcBorders>
      </w:tcPr>
    </w:tblStylePr>
    <w:tblStylePr w:type="lastRow">
      <w:tblPr/>
      <w:tcPr>
        <w:tcBorders>
          <w:top w:val="single" w:sz="8" w:space="0" w:color="ED7D31" w:themeColor="accent2"/>
          <w:bottom w:val="single" w:sz="8" w:space="0" w:color="ED7D31" w:themeColor="accent2"/>
        </w:tcBorders>
      </w:tcPr>
    </w:tblStylePr>
    <w:tblStylePr w:type="lastCol">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2B38F5"/>
    <w:pPr>
      <w:spacing w:after="0" w:line="240" w:lineRule="auto"/>
    </w:pPr>
    <w:rPr>
      <w:color w:val="000000" w:themeColor="text1"/>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tblPr/>
      <w:tcPr>
        <w:tcBorders>
          <w:top w:val="nil"/>
          <w:bottom w:val="single" w:sz="8" w:space="0" w:color="A5A5A5" w:themeColor="accent3"/>
        </w:tcBorders>
      </w:tcPr>
    </w:tblStylePr>
    <w:tblStylePr w:type="lastRow">
      <w:tblPr/>
      <w:tcPr>
        <w:tcBorders>
          <w:top w:val="single" w:sz="8" w:space="0" w:color="A5A5A5" w:themeColor="accent3"/>
          <w:bottom w:val="single" w:sz="8" w:space="0" w:color="A5A5A5" w:themeColor="accent3"/>
        </w:tcBorders>
      </w:tcPr>
    </w:tblStylePr>
    <w:tblStylePr w:type="lastCol">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2B38F5"/>
    <w:pPr>
      <w:spacing w:after="0" w:line="240" w:lineRule="auto"/>
    </w:pPr>
    <w:rPr>
      <w:color w:val="000000" w:themeColor="text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tblPr/>
      <w:tcPr>
        <w:tcBorders>
          <w:top w:val="nil"/>
          <w:bottom w:val="single" w:sz="8" w:space="0" w:color="FFC000" w:themeColor="accent4"/>
        </w:tcBorders>
      </w:tcPr>
    </w:tblStylePr>
    <w:tblStylePr w:type="lastRow">
      <w:tblPr/>
      <w:tcPr>
        <w:tcBorders>
          <w:top w:val="single" w:sz="8" w:space="0" w:color="FFC000" w:themeColor="accent4"/>
          <w:bottom w:val="single" w:sz="8" w:space="0" w:color="FFC000" w:themeColor="accent4"/>
        </w:tcBorders>
      </w:tcPr>
    </w:tblStylePr>
    <w:tblStylePr w:type="lastCol">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2B38F5"/>
    <w:pPr>
      <w:spacing w:after="0" w:line="240" w:lineRule="auto"/>
    </w:pPr>
    <w:rPr>
      <w:color w:val="000000" w:themeColor="text1"/>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tblPr/>
      <w:tcPr>
        <w:tcBorders>
          <w:top w:val="nil"/>
          <w:bottom w:val="single" w:sz="8" w:space="0" w:color="5B9BD5" w:themeColor="accent5"/>
        </w:tcBorders>
      </w:tcPr>
    </w:tblStylePr>
    <w:tblStylePr w:type="lastRow">
      <w:tblPr/>
      <w:tcPr>
        <w:tcBorders>
          <w:top w:val="single" w:sz="8" w:space="0" w:color="5B9BD5" w:themeColor="accent5"/>
          <w:bottom w:val="single" w:sz="8" w:space="0" w:color="5B9BD5" w:themeColor="accent5"/>
        </w:tcBorders>
      </w:tcPr>
    </w:tblStylePr>
    <w:tblStylePr w:type="lastCol">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2B38F5"/>
    <w:pPr>
      <w:spacing w:after="0" w:line="240" w:lineRule="auto"/>
    </w:pPr>
    <w:rPr>
      <w:color w:val="000000" w:themeColor="text1"/>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tblPr/>
      <w:tcPr>
        <w:tcBorders>
          <w:top w:val="nil"/>
          <w:bottom w:val="single" w:sz="8" w:space="0" w:color="70AD47" w:themeColor="accent6"/>
        </w:tcBorders>
      </w:tcPr>
    </w:tblStylePr>
    <w:tblStylePr w:type="lastRow">
      <w:tblPr/>
      <w:tcPr>
        <w:tcBorders>
          <w:top w:val="single" w:sz="8" w:space="0" w:color="70AD47" w:themeColor="accent6"/>
          <w:bottom w:val="single" w:sz="8" w:space="0" w:color="70AD47" w:themeColor="accent6"/>
        </w:tcBorders>
      </w:tcPr>
    </w:tblStylePr>
    <w:tblStylePr w:type="lastCol">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B38F5"/>
    <w:pPr>
      <w:spacing w:after="0" w:line="240" w:lineRule="auto"/>
    </w:pPr>
    <w:rPr>
      <w:rFonts w:ascii="Calibri" w:hAnsi="Calibri"/>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B38F5"/>
    <w:pPr>
      <w:spacing w:after="0" w:line="240" w:lineRule="auto"/>
    </w:pPr>
    <w:rPr>
      <w:rFonts w:ascii="Calibri" w:hAnsi="Calibri"/>
    </w:r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CellMar>
        <w:top w:w="0" w:type="dxa"/>
        <w:left w:w="108" w:type="dxa"/>
        <w:bottom w:w="0" w:type="dxa"/>
        <w:right w:w="108" w:type="dxa"/>
      </w:tblCellMar>
    </w:tblPr>
    <w:tblStylePr w:type="firstRow">
      <w:pPr>
        <w:spacing w:before="0" w:after="0" w:line="240" w:lineRule="auto"/>
      </w:p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B38F5"/>
    <w:pPr>
      <w:spacing w:after="0" w:line="240" w:lineRule="auto"/>
    </w:pPr>
    <w:rPr>
      <w:rFonts w:ascii="Calibri" w:hAnsi="Calibri"/>
    </w:r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B38F5"/>
    <w:pPr>
      <w:spacing w:after="0" w:line="240" w:lineRule="auto"/>
    </w:pPr>
    <w:rPr>
      <w:rFonts w:ascii="Calibri" w:hAnsi="Calibri"/>
    </w:r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CellMar>
        <w:top w:w="0" w:type="dxa"/>
        <w:left w:w="108" w:type="dxa"/>
        <w:bottom w:w="0" w:type="dxa"/>
        <w:right w:w="108" w:type="dxa"/>
      </w:tblCellMar>
    </w:tblPr>
    <w:tblStylePr w:type="firstRow">
      <w:pPr>
        <w:spacing w:before="0" w:after="0" w:line="240" w:lineRule="auto"/>
      </w:p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B38F5"/>
    <w:pPr>
      <w:spacing w:after="0" w:line="240" w:lineRule="auto"/>
    </w:pPr>
    <w:rPr>
      <w:rFonts w:ascii="Calibri" w:hAnsi="Calibri"/>
    </w:r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CellMar>
        <w:top w:w="0" w:type="dxa"/>
        <w:left w:w="108" w:type="dxa"/>
        <w:bottom w:w="0" w:type="dxa"/>
        <w:right w:w="108" w:type="dxa"/>
      </w:tblCellMar>
    </w:tblPr>
    <w:tblStylePr w:type="firstRow">
      <w:pPr>
        <w:spacing w:before="0" w:after="0" w:line="240" w:lineRule="auto"/>
      </w:p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B38F5"/>
    <w:pPr>
      <w:spacing w:after="0" w:line="240" w:lineRule="auto"/>
    </w:pPr>
    <w:rPr>
      <w:rFonts w:ascii="Calibri" w:hAnsi="Calibri"/>
    </w:r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CellMar>
        <w:top w:w="0" w:type="dxa"/>
        <w:left w:w="108" w:type="dxa"/>
        <w:bottom w:w="0" w:type="dxa"/>
        <w:right w:w="108" w:type="dxa"/>
      </w:tblCellMar>
    </w:tblPr>
    <w:tblStylePr w:type="firstRow">
      <w:pPr>
        <w:spacing w:before="0" w:after="0" w:line="240" w:lineRule="auto"/>
      </w:p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B38F5"/>
    <w:pPr>
      <w:spacing w:after="0" w:line="240" w:lineRule="auto"/>
    </w:pPr>
    <w:rPr>
      <w:rFonts w:ascii="Calibri" w:hAnsi="Calibri"/>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B38F5"/>
    <w:pPr>
      <w:spacing w:after="0" w:line="240" w:lineRule="auto"/>
    </w:pPr>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000000" w:themeFill="text1"/>
      </w:tcPr>
    </w:tblStylePr>
    <w:tblStylePr w:type="lastCol">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B38F5"/>
    <w:pPr>
      <w:spacing w:after="0" w:line="240" w:lineRule="auto"/>
    </w:pPr>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4472C4" w:themeFill="accent1"/>
      </w:tcPr>
    </w:tblStylePr>
    <w:tblStylePr w:type="lastCol">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B38F5"/>
    <w:pPr>
      <w:spacing w:after="0" w:line="240" w:lineRule="auto"/>
    </w:pPr>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ED7D31" w:themeFill="accent2"/>
      </w:tcPr>
    </w:tblStylePr>
    <w:tblStylePr w:type="lastCol">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B38F5"/>
    <w:pPr>
      <w:spacing w:after="0" w:line="240" w:lineRule="auto"/>
    </w:pPr>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A5A5A5" w:themeFill="accent3"/>
      </w:tcPr>
    </w:tblStylePr>
    <w:tblStylePr w:type="lastCol">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B38F5"/>
    <w:pPr>
      <w:spacing w:after="0" w:line="240" w:lineRule="auto"/>
    </w:pPr>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FFC000" w:themeFill="accent4"/>
      </w:tcPr>
    </w:tblStylePr>
    <w:tblStylePr w:type="lastCol">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B38F5"/>
    <w:pPr>
      <w:spacing w:after="0" w:line="240" w:lineRule="auto"/>
    </w:pPr>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5B9BD5" w:themeFill="accent5"/>
      </w:tcPr>
    </w:tblStylePr>
    <w:tblStylePr w:type="lastCol">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B38F5"/>
    <w:pPr>
      <w:spacing w:after="0" w:line="240" w:lineRule="auto"/>
    </w:pPr>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70AD47" w:themeFill="accent6"/>
      </w:tcPr>
    </w:tblStylePr>
    <w:tblStylePr w:type="lastCol">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2B38F5"/>
    <w:rPr>
      <w:color w:val="2B579A"/>
      <w:shd w:val="clear" w:color="auto" w:fill="E1DFDD"/>
    </w:rPr>
  </w:style>
  <w:style w:type="paragraph" w:styleId="MessageHeader">
    <w:name w:val="Message Header"/>
    <w:basedOn w:val="Normal"/>
    <w:link w:val="MessageHeaderChar"/>
    <w:uiPriority w:val="99"/>
    <w:semiHidden/>
    <w:unhideWhenUsed/>
    <w:rsid w:val="002B38F5"/>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B38F5"/>
    <w:rPr>
      <w:rFonts w:asciiTheme="majorHAnsi" w:eastAsiaTheme="majorEastAsia" w:hAnsiTheme="majorHAnsi" w:cstheme="majorBidi"/>
      <w:kern w:val="0"/>
      <w:sz w:val="24"/>
      <w:szCs w:val="24"/>
      <w:shd w:val="pct20" w:color="auto" w:fill="auto"/>
    </w:rPr>
  </w:style>
  <w:style w:type="paragraph" w:styleId="NoSpacing">
    <w:name w:val="No Spacing"/>
    <w:uiPriority w:val="1"/>
    <w:qFormat/>
    <w:rsid w:val="002B38F5"/>
    <w:pPr>
      <w:tabs>
        <w:tab w:val="left" w:pos="567"/>
        <w:tab w:val="left" w:pos="1134"/>
        <w:tab w:val="left" w:pos="1701"/>
        <w:tab w:val="left" w:pos="2268"/>
      </w:tabs>
      <w:spacing w:after="0" w:line="240" w:lineRule="auto"/>
      <w:jc w:val="both"/>
    </w:pPr>
    <w:rPr>
      <w:rFonts w:ascii="Times New Roman" w:eastAsia="SimSun" w:hAnsi="Times New Roman" w:cs="Times New Roman"/>
      <w:kern w:val="0"/>
    </w:rPr>
  </w:style>
  <w:style w:type="paragraph" w:styleId="NormalWeb">
    <w:name w:val="Normal (Web)"/>
    <w:basedOn w:val="Normal"/>
    <w:uiPriority w:val="99"/>
    <w:semiHidden/>
    <w:unhideWhenUsed/>
    <w:rsid w:val="002B38F5"/>
    <w:rPr>
      <w:sz w:val="24"/>
      <w:szCs w:val="24"/>
    </w:rPr>
  </w:style>
  <w:style w:type="paragraph" w:styleId="NormalIndent">
    <w:name w:val="Normal Indent"/>
    <w:basedOn w:val="Normal"/>
    <w:uiPriority w:val="99"/>
    <w:semiHidden/>
    <w:unhideWhenUsed/>
    <w:rsid w:val="002B38F5"/>
    <w:pPr>
      <w:ind w:left="720"/>
    </w:pPr>
  </w:style>
  <w:style w:type="paragraph" w:styleId="NoteHeading">
    <w:name w:val="Note Heading"/>
    <w:basedOn w:val="Normal"/>
    <w:next w:val="Normal"/>
    <w:link w:val="NoteHeadingChar"/>
    <w:uiPriority w:val="99"/>
    <w:semiHidden/>
    <w:unhideWhenUsed/>
    <w:rsid w:val="002B38F5"/>
  </w:style>
  <w:style w:type="character" w:customStyle="1" w:styleId="NoteHeadingChar">
    <w:name w:val="Note Heading Char"/>
    <w:basedOn w:val="DefaultParagraphFont"/>
    <w:link w:val="NoteHeading"/>
    <w:uiPriority w:val="99"/>
    <w:semiHidden/>
    <w:rsid w:val="002B38F5"/>
    <w:rPr>
      <w:rFonts w:ascii="Times New Roman" w:eastAsia="SimSun" w:hAnsi="Times New Roman" w:cs="Times New Roman"/>
      <w:kern w:val="0"/>
    </w:rPr>
  </w:style>
  <w:style w:type="table" w:customStyle="1" w:styleId="PlainTable1">
    <w:name w:val="Plain Table 1"/>
    <w:basedOn w:val="TableNormal"/>
    <w:uiPriority w:val="41"/>
    <w:rsid w:val="002B38F5"/>
    <w:pPr>
      <w:spacing w:after="0" w:line="240" w:lineRule="auto"/>
    </w:pPr>
    <w:rPr>
      <w:rFonts w:ascii="Calibri" w:hAnsi="Calibri"/>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lastRow">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2B38F5"/>
    <w:pPr>
      <w:spacing w:after="0" w:line="240" w:lineRule="auto"/>
    </w:pPr>
    <w:rPr>
      <w:rFonts w:ascii="Calibri" w:hAnsi="Calibri"/>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tblPr/>
      <w:tcPr>
        <w:tcBorders>
          <w:bottom w:val="single" w:sz="4" w:space="0" w:color="7F7F7F" w:themeColor="text1" w:themeTint="80"/>
        </w:tcBorders>
      </w:tcPr>
    </w:tblStylePr>
    <w:tblStylePr w:type="lastRow">
      <w:tblPr/>
      <w:tcPr>
        <w:tcBorders>
          <w:top w:val="single" w:sz="4" w:space="0" w:color="7F7F7F" w:themeColor="text1" w:themeTint="80"/>
        </w:tcBorders>
      </w:tc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Normal"/>
    <w:uiPriority w:val="43"/>
    <w:rsid w:val="002B38F5"/>
    <w:pPr>
      <w:spacing w:after="0" w:line="240" w:lineRule="auto"/>
    </w:pPr>
    <w:rPr>
      <w:rFonts w:ascii="Calibri" w:hAnsi="Calibri"/>
    </w:rPr>
    <w:tblPr>
      <w:tblStyleRowBandSize w:val="1"/>
      <w:tblStyleColBandSize w:val="1"/>
      <w:tblInd w:w="0" w:type="dxa"/>
      <w:tblCellMar>
        <w:top w:w="0" w:type="dxa"/>
        <w:left w:w="108" w:type="dxa"/>
        <w:bottom w:w="0" w:type="dxa"/>
        <w:right w:w="108" w:type="dxa"/>
      </w:tblCellMar>
    </w:tblPr>
    <w:tblStylePr w:type="firstRow">
      <w:tblPr/>
      <w:tcPr>
        <w:tcBorders>
          <w:bottom w:val="single" w:sz="4" w:space="0" w:color="7F7F7F" w:themeColor="text1" w:themeTint="80"/>
        </w:tcBorders>
      </w:tcPr>
    </w:tblStylePr>
    <w:tblStylePr w:type="lastRow">
      <w:tblPr/>
      <w:tcPr>
        <w:tcBorders>
          <w:top w:val="nil"/>
        </w:tcBorders>
      </w:tcPr>
    </w:tblStylePr>
    <w:tblStylePr w:type="firstCol">
      <w:tblPr/>
      <w:tcPr>
        <w:tcBorders>
          <w:right w:val="single" w:sz="4" w:space="0" w:color="7F7F7F" w:themeColor="text1" w:themeTint="80"/>
        </w:tcBorders>
      </w:tcPr>
    </w:tblStylePr>
    <w:tblStylePr w:type="lastCol">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Normal"/>
    <w:uiPriority w:val="44"/>
    <w:rsid w:val="002B38F5"/>
    <w:pPr>
      <w:spacing w:after="0" w:line="240" w:lineRule="auto"/>
    </w:pPr>
    <w:rPr>
      <w:rFonts w:ascii="Calibri" w:hAnsi="Calibri"/>
    </w:rPr>
    <w:tblPr>
      <w:tblStyleRowBandSize w:val="1"/>
      <w:tblStyleColBandSize w:val="1"/>
      <w:tblInd w:w="0" w:type="dxa"/>
      <w:tblCellMar>
        <w:top w:w="0" w:type="dxa"/>
        <w:left w:w="108" w:type="dxa"/>
        <w:bottom w:w="0" w:type="dxa"/>
        <w:right w:w="108" w:type="dxa"/>
      </w:tblCellMar>
    </w:tbl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Normal"/>
    <w:uiPriority w:val="45"/>
    <w:rsid w:val="002B38F5"/>
    <w:pPr>
      <w:spacing w:after="0" w:line="240" w:lineRule="auto"/>
    </w:pPr>
    <w:rPr>
      <w:rFonts w:ascii="Calibri" w:hAnsi="Calibri"/>
    </w:rPr>
    <w:tblPr>
      <w:tblStyleRowBandSize w:val="1"/>
      <w:tblStyleColBandSize w:val="1"/>
      <w:tblInd w:w="0" w:type="dxa"/>
      <w:tblCellMar>
        <w:top w:w="0" w:type="dxa"/>
        <w:left w:w="108" w:type="dxa"/>
        <w:bottom w:w="0" w:type="dxa"/>
        <w:right w:w="108" w:type="dxa"/>
      </w:tblCellMar>
    </w:tblPr>
    <w:tblStylePr w:type="firstRow">
      <w:tblPr/>
      <w:tcPr>
        <w:tcBorders>
          <w:bottom w:val="single" w:sz="4" w:space="0" w:color="7F7F7F" w:themeColor="text1" w:themeTint="80"/>
        </w:tcBorders>
        <w:shd w:val="clear" w:color="auto" w:fill="FFFFFF" w:themeFill="background1"/>
      </w:tcPr>
    </w:tblStylePr>
    <w:tblStylePr w:type="lastRow">
      <w:tblPr/>
      <w:tcPr>
        <w:tcBorders>
          <w:top w:val="single" w:sz="4" w:space="0" w:color="7F7F7F" w:themeColor="text1" w:themeTint="80"/>
        </w:tcBorders>
        <w:shd w:val="clear" w:color="auto" w:fill="FFFFFF" w:themeFill="background1"/>
      </w:tcPr>
    </w:tblStylePr>
    <w:tblStylePr w:type="firstCol">
      <w:pPr>
        <w:jc w:val="right"/>
      </w:pPr>
      <w:tblPr/>
      <w:tcPr>
        <w:tcBorders>
          <w:right w:val="single" w:sz="4" w:space="0" w:color="7F7F7F" w:themeColor="text1" w:themeTint="80"/>
        </w:tcBorders>
        <w:shd w:val="clear" w:color="auto" w:fill="FFFFFF" w:themeFill="background1"/>
      </w:tcPr>
    </w:tblStylePr>
    <w:tblStylePr w:type="lastCol">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B38F5"/>
    <w:rPr>
      <w:rFonts w:ascii="Consolas" w:hAnsi="Consolas"/>
      <w:sz w:val="21"/>
      <w:szCs w:val="21"/>
    </w:rPr>
  </w:style>
  <w:style w:type="character" w:customStyle="1" w:styleId="PlainTextChar">
    <w:name w:val="Plain Text Char"/>
    <w:basedOn w:val="DefaultParagraphFont"/>
    <w:link w:val="PlainText"/>
    <w:uiPriority w:val="99"/>
    <w:semiHidden/>
    <w:rsid w:val="002B38F5"/>
    <w:rPr>
      <w:rFonts w:ascii="Consolas" w:eastAsia="SimSun" w:hAnsi="Consolas" w:cs="Times New Roman"/>
      <w:kern w:val="0"/>
      <w:sz w:val="21"/>
      <w:szCs w:val="21"/>
    </w:rPr>
  </w:style>
  <w:style w:type="paragraph" w:styleId="Quote">
    <w:name w:val="Quote"/>
    <w:basedOn w:val="Normal"/>
    <w:next w:val="Normal"/>
    <w:link w:val="QuoteChar"/>
    <w:uiPriority w:val="29"/>
    <w:qFormat/>
    <w:rsid w:val="002B38F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B38F5"/>
    <w:rPr>
      <w:rFonts w:ascii="Times New Roman" w:eastAsia="SimSun" w:hAnsi="Times New Roman" w:cs="Times New Roman"/>
      <w:i/>
      <w:iCs/>
      <w:color w:val="404040" w:themeColor="text1" w:themeTint="BF"/>
      <w:kern w:val="0"/>
    </w:rPr>
  </w:style>
  <w:style w:type="paragraph" w:styleId="Salutation">
    <w:name w:val="Salutation"/>
    <w:basedOn w:val="Normal"/>
    <w:next w:val="Normal"/>
    <w:link w:val="SalutationChar"/>
    <w:uiPriority w:val="99"/>
    <w:semiHidden/>
    <w:unhideWhenUsed/>
    <w:rsid w:val="002B38F5"/>
  </w:style>
  <w:style w:type="character" w:customStyle="1" w:styleId="SalutationChar">
    <w:name w:val="Salutation Char"/>
    <w:basedOn w:val="DefaultParagraphFont"/>
    <w:link w:val="Salutation"/>
    <w:uiPriority w:val="99"/>
    <w:semiHidden/>
    <w:rsid w:val="002B38F5"/>
    <w:rPr>
      <w:rFonts w:ascii="Times New Roman" w:eastAsia="SimSun" w:hAnsi="Times New Roman" w:cs="Times New Roman"/>
      <w:kern w:val="0"/>
    </w:rPr>
  </w:style>
  <w:style w:type="paragraph" w:styleId="Signature">
    <w:name w:val="Signature"/>
    <w:basedOn w:val="Normal"/>
    <w:link w:val="SignatureChar"/>
    <w:uiPriority w:val="99"/>
    <w:semiHidden/>
    <w:unhideWhenUsed/>
    <w:rsid w:val="002B38F5"/>
    <w:pPr>
      <w:ind w:left="4320"/>
    </w:pPr>
  </w:style>
  <w:style w:type="character" w:customStyle="1" w:styleId="SignatureChar">
    <w:name w:val="Signature Char"/>
    <w:basedOn w:val="DefaultParagraphFont"/>
    <w:link w:val="Signature"/>
    <w:uiPriority w:val="99"/>
    <w:semiHidden/>
    <w:rsid w:val="002B38F5"/>
    <w:rPr>
      <w:rFonts w:ascii="Times New Roman" w:eastAsia="SimSun" w:hAnsi="Times New Roman" w:cs="Times New Roman"/>
      <w:kern w:val="0"/>
    </w:rPr>
  </w:style>
  <w:style w:type="character" w:customStyle="1" w:styleId="SmartHyperlink">
    <w:name w:val="Smart Hyperlink"/>
    <w:basedOn w:val="DefaultParagraphFont"/>
    <w:uiPriority w:val="99"/>
    <w:semiHidden/>
    <w:unhideWhenUsed/>
    <w:rsid w:val="002B38F5"/>
    <w:rPr>
      <w:u w:val="dotted"/>
    </w:rPr>
  </w:style>
  <w:style w:type="character" w:customStyle="1" w:styleId="SmartLink">
    <w:name w:val="Smart Link"/>
    <w:basedOn w:val="DefaultParagraphFont"/>
    <w:uiPriority w:val="99"/>
    <w:semiHidden/>
    <w:unhideWhenUsed/>
    <w:rsid w:val="002B38F5"/>
    <w:rPr>
      <w:color w:val="0000FF"/>
      <w:u w:val="single"/>
      <w:shd w:val="clear" w:color="auto" w:fill="F3F2F1"/>
    </w:rPr>
  </w:style>
  <w:style w:type="character" w:styleId="Strong">
    <w:name w:val="Strong"/>
    <w:basedOn w:val="DefaultParagraphFont"/>
    <w:uiPriority w:val="22"/>
    <w:qFormat/>
    <w:rsid w:val="002B38F5"/>
    <w:rPr>
      <w:b/>
      <w:bCs/>
    </w:rPr>
  </w:style>
  <w:style w:type="character" w:styleId="SubtleEmphasis">
    <w:name w:val="Subtle Emphasis"/>
    <w:basedOn w:val="DefaultParagraphFont"/>
    <w:uiPriority w:val="19"/>
    <w:qFormat/>
    <w:rsid w:val="002B38F5"/>
    <w:rPr>
      <w:i/>
      <w:iCs/>
      <w:color w:val="404040" w:themeColor="text1" w:themeTint="BF"/>
    </w:rPr>
  </w:style>
  <w:style w:type="character" w:styleId="SubtleReference">
    <w:name w:val="Subtle Reference"/>
    <w:basedOn w:val="DefaultParagraphFont"/>
    <w:uiPriority w:val="31"/>
    <w:qFormat/>
    <w:rsid w:val="002B38F5"/>
    <w:rPr>
      <w:smallCaps/>
      <w:color w:val="5A5A5A" w:themeColor="text1" w:themeTint="A5"/>
    </w:rPr>
  </w:style>
  <w:style w:type="table" w:styleId="Table3Deffects1">
    <w:name w:val="Table 3D effects 1"/>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Ind w:w="0" w:type="dxa"/>
      <w:tblCellMar>
        <w:top w:w="0" w:type="dxa"/>
        <w:left w:w="108" w:type="dxa"/>
        <w:bottom w:w="0" w:type="dxa"/>
        <w:right w:w="108" w:type="dxa"/>
      </w:tblCellMar>
    </w:tblPr>
    <w:tcPr>
      <w:shd w:val="solid" w:color="C0C0C0" w:fill="FFFFFF"/>
    </w:tc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StyleRowBandSize w:val="1"/>
      <w:tblInd w:w="0" w:type="dxa"/>
      <w:tblCellMar>
        <w:top w:w="0" w:type="dxa"/>
        <w:left w:w="108" w:type="dxa"/>
        <w:bottom w:w="0" w:type="dxa"/>
        <w:right w:w="108" w:type="dxa"/>
      </w:tblCellMar>
    </w:tblPr>
    <w:tcPr>
      <w:shd w:val="solid" w:color="C0C0C0" w:fill="FFFFFF"/>
    </w:tc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StyleRowBandSize w:val="1"/>
      <w:tblStyleColBandSize w:val="1"/>
      <w:tblInd w:w="0" w:type="dxa"/>
      <w:tblCellMar>
        <w:top w:w="0" w:type="dxa"/>
        <w:left w:w="108" w:type="dxa"/>
        <w:bottom w:w="0" w:type="dxa"/>
        <w:right w:w="108" w:type="dxa"/>
      </w:tblCellMar>
    </w:tbl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shd w:val="solid" w:color="C0C0C0" w:fill="FFFFFF"/>
      </w:tcPr>
    </w:tblStylePr>
    <w:tblStylePr w:type="neCell">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38F5"/>
    <w:pPr>
      <w:tabs>
        <w:tab w:val="left" w:pos="567"/>
        <w:tab w:val="left" w:pos="1134"/>
        <w:tab w:val="left" w:pos="1701"/>
        <w:tab w:val="left" w:pos="2268"/>
      </w:tabs>
      <w:spacing w:after="0" w:line="240" w:lineRule="auto"/>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tblPr/>
      <w:tcPr>
        <w:tcBorders>
          <w:tl2br w:val="none" w:sz="0" w:space="0" w:color="auto"/>
          <w:tr2bl w:val="none" w:sz="0" w:space="0" w:color="auto"/>
        </w:tcBorders>
      </w:tcPr>
    </w:tblStylePr>
    <w:tblStylePr w:type="nw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38F5"/>
    <w:pPr>
      <w:tabs>
        <w:tab w:val="left" w:pos="567"/>
        <w:tab w:val="left" w:pos="1134"/>
        <w:tab w:val="left" w:pos="1701"/>
        <w:tab w:val="left" w:pos="2268"/>
      </w:tabs>
      <w:spacing w:after="0" w:line="240" w:lineRule="auto"/>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tblPr/>
      <w:tcPr>
        <w:tcBorders>
          <w:tl2br w:val="none" w:sz="0" w:space="0" w:color="auto"/>
          <w:tr2bl w:val="none" w:sz="0" w:space="0" w:color="auto"/>
        </w:tcBorders>
        <w:shd w:val="solid" w:color="000000" w:fill="FFFFFF"/>
      </w:tcPr>
    </w:tblStylePr>
    <w:tblStylePr w:type="firstCol">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tblPr/>
      <w:tcPr>
        <w:tcBorders>
          <w:bottom w:val="single" w:sz="12" w:space="0" w:color="000000"/>
          <w:tl2br w:val="none" w:sz="0" w:space="0" w:color="auto"/>
          <w:tr2bl w:val="none" w:sz="0" w:space="0" w:color="auto"/>
        </w:tcBorders>
        <w:shd w:val="solid" w:color="800000" w:fill="FFFFFF"/>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tblPr/>
      <w:tcPr>
        <w:tcBorders>
          <w:bottom w:val="double" w:sz="6"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StyleColBandSize w:val="1"/>
      <w:tblInd w:w="0" w:type="dxa"/>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80" w:fill="FFFFFF"/>
      </w:tcPr>
    </w:tblStylePr>
    <w:tblStylePr w:type="lastRow">
      <w:tblPr/>
      <w:tcPr>
        <w:tcBorders>
          <w:top w:val="single" w:sz="6" w:space="0" w:color="000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StyleColBandSize w:val="1"/>
      <w:tblInd w:w="0" w:type="dxa"/>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styleId="TableColumns5">
    <w:name w:val="Table Columns 5"/>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808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style>
  <w:style w:type="table" w:styleId="TableContemporary">
    <w:name w:val="Table Contemporary"/>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op w:val="single" w:sz="6" w:space="0" w:color="000000"/>
          <w:tl2br w:val="none" w:sz="0" w:space="0" w:color="auto"/>
          <w:tr2bl w:val="none" w:sz="0" w:space="0" w:color="auto"/>
        </w:tcBorders>
        <w:shd w:val="pct30" w:color="FFFF00" w:fill="FFFFFF"/>
      </w:tcPr>
    </w:tblStylePr>
    <w:tblStylePr w:type="lastCol">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customStyle="1" w:styleId="GridTableLight">
    <w:name w:val="Grid Table Light"/>
    <w:basedOn w:val="TableNormal"/>
    <w:uiPriority w:val="40"/>
    <w:rsid w:val="002B38F5"/>
    <w:pPr>
      <w:spacing w:after="0" w:line="240" w:lineRule="auto"/>
    </w:pPr>
    <w:rPr>
      <w:rFonts w:ascii="Calibri" w:hAnsi="Calibri"/>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eList1">
    <w:name w:val="Table List 1"/>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StyleRowBandSize w:val="2"/>
      <w:tblInd w:w="0" w:type="dxa"/>
      <w:tblBorders>
        <w:bottom w:val="single" w:sz="12" w:space="0" w:color="80808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tblPr/>
      <w:tcPr>
        <w:tcBorders>
          <w:bottom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tblPr/>
      <w:tcPr>
        <w:tcBorders>
          <w:bottom w:val="single" w:sz="12" w:space="0" w:color="008000"/>
          <w:tl2br w:val="none" w:sz="0" w:space="0" w:color="auto"/>
          <w:tr2bl w:val="none" w:sz="0" w:space="0" w:color="auto"/>
        </w:tcBorders>
        <w:shd w:val="solid" w:color="C0C0C0" w:fill="FFFFFF"/>
      </w:tcPr>
    </w:tblStylePr>
    <w:tblStylePr w:type="lastRow">
      <w:tblPr/>
      <w:tcPr>
        <w:tcBorders>
          <w:top w:val="single" w:sz="12" w:space="0" w:color="008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solid" w:color="FFFF0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B38F5"/>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2B38F5"/>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Ind w:w="0" w:type="dxa"/>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6" w:space="0" w:color="000000"/>
          <w:tl2br w:val="none" w:sz="0" w:space="0" w:color="auto"/>
          <w:tr2bl w:val="none" w:sz="0" w:space="0" w:color="auto"/>
        </w:tcBorders>
      </w:tcPr>
    </w:tblStylePr>
    <w:tblStylePr w:type="neCell">
      <w:tblPr/>
      <w:tcPr>
        <w:tcBorders>
          <w:left w:val="none" w:sz="0" w:space="0" w:color="auto"/>
          <w:tl2br w:val="none" w:sz="0" w:space="0" w:color="auto"/>
          <w:tr2bl w:val="none" w:sz="0" w:space="0" w:color="auto"/>
        </w:tcBorders>
      </w:tcPr>
    </w:tblStylePr>
    <w:tblStylePr w:type="swCell">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B38F5"/>
    <w:pPr>
      <w:spacing w:before="120"/>
    </w:pPr>
    <w:rPr>
      <w:rFonts w:asciiTheme="majorHAnsi" w:eastAsiaTheme="majorEastAsia" w:hAnsiTheme="majorHAnsi" w:cstheme="majorBidi"/>
      <w:b/>
      <w:bCs/>
      <w:sz w:val="24"/>
      <w:szCs w:val="24"/>
    </w:rPr>
  </w:style>
  <w:style w:type="paragraph" w:styleId="TOC1">
    <w:name w:val="toc 1"/>
    <w:basedOn w:val="CBDNormal"/>
    <w:next w:val="Normal"/>
    <w:autoRedefine/>
    <w:uiPriority w:val="39"/>
    <w:unhideWhenUsed/>
    <w:rsid w:val="00AA133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A133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A133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A133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A133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A133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A133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A133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A133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OCHeading">
    <w:name w:val="TOC Heading"/>
    <w:basedOn w:val="Heading1"/>
    <w:next w:val="Normal"/>
    <w:uiPriority w:val="39"/>
    <w:semiHidden/>
    <w:unhideWhenUsed/>
    <w:qFormat/>
    <w:rsid w:val="002B38F5"/>
    <w:pPr>
      <w:numPr>
        <w:numId w:val="0"/>
      </w:numPr>
      <w:tabs>
        <w:tab w:val="left" w:pos="567"/>
      </w:tabs>
      <w:spacing w:after="0"/>
      <w:jc w:val="both"/>
      <w:outlineLvl w:val="9"/>
    </w:pPr>
    <w:rPr>
      <w:rFonts w:asciiTheme="majorHAnsi" w:hAnsiTheme="majorHAnsi"/>
      <w:b w:val="0"/>
      <w:bCs w:val="0"/>
      <w:color w:val="2F5496" w:themeColor="accent1" w:themeShade="BF"/>
      <w:kern w:val="0"/>
      <w:sz w:val="32"/>
    </w:rPr>
  </w:style>
  <w:style w:type="paragraph" w:customStyle="1" w:styleId="xl53">
    <w:name w:val="xl53"/>
    <w:basedOn w:val="Normal"/>
    <w:rsid w:val="003703DE"/>
    <w:pPr>
      <w:pBdr>
        <w:left w:val="single" w:sz="8" w:space="0" w:color="auto"/>
        <w:right w:val="single" w:sz="8" w:space="0" w:color="auto"/>
      </w:pBdr>
      <w:tabs>
        <w:tab w:val="clear" w:pos="567"/>
        <w:tab w:val="clear" w:pos="1134"/>
        <w:tab w:val="clear" w:pos="1701"/>
        <w:tab w:val="clear" w:pos="2268"/>
      </w:tabs>
      <w:spacing w:before="100" w:beforeAutospacing="1" w:after="100" w:afterAutospacing="1"/>
    </w:pPr>
    <w:rPr>
      <w:rFonts w:eastAsia="Arial Unicode MS" w:cs="Angsana New"/>
    </w:rPr>
  </w:style>
  <w:style w:type="character" w:customStyle="1" w:styleId="Para1Char1">
    <w:name w:val="Para1 Char1"/>
    <w:rsid w:val="003703DE"/>
    <w:rPr>
      <w:snapToGrid w:val="0"/>
      <w:kern w:val="22"/>
      <w:sz w:val="22"/>
      <w:szCs w:val="22"/>
    </w:rPr>
  </w:style>
  <w:style w:type="paragraph" w:customStyle="1" w:styleId="Para2">
    <w:name w:val="Para2"/>
    <w:basedOn w:val="Normal"/>
    <w:rsid w:val="00A0088F"/>
    <w:pPr>
      <w:numPr>
        <w:numId w:val="11"/>
      </w:numPr>
      <w:tabs>
        <w:tab w:val="clear" w:pos="567"/>
        <w:tab w:val="clear" w:pos="1134"/>
        <w:tab w:val="clear" w:pos="1701"/>
        <w:tab w:val="clear" w:pos="2268"/>
      </w:tabs>
      <w:autoSpaceDE w:val="0"/>
      <w:autoSpaceDN w:val="0"/>
      <w:spacing w:before="120" w:after="120"/>
    </w:pPr>
    <w:rPr>
      <w:rFonts w:eastAsia="Times New Roman"/>
      <w:szCs w:val="18"/>
    </w:rPr>
  </w:style>
  <w:style w:type="paragraph" w:customStyle="1" w:styleId="AFCorNNormal">
    <w:name w:val="AF_CorNNormal"/>
    <w:basedOn w:val="Normal"/>
    <w:unhideWhenUsed/>
    <w:rsid w:val="00AA1338"/>
    <w:pPr>
      <w:jc w:val="left"/>
    </w:pPr>
  </w:style>
  <w:style w:type="paragraph" w:customStyle="1" w:styleId="AFCorNBold">
    <w:name w:val="AF_CorNBold"/>
    <w:basedOn w:val="AFCorNNormal"/>
    <w:next w:val="AFCorNNormal"/>
    <w:unhideWhenUsed/>
    <w:qFormat/>
    <w:rsid w:val="00AA1338"/>
    <w:rPr>
      <w:b/>
    </w:rPr>
  </w:style>
  <w:style w:type="paragraph" w:customStyle="1" w:styleId="AFCorN12Bold">
    <w:name w:val="AF_CorN12Bold"/>
    <w:basedOn w:val="AFCorNNormal"/>
    <w:next w:val="AFCorNNormal"/>
    <w:unhideWhenUsed/>
    <w:qFormat/>
    <w:rsid w:val="00AA1338"/>
    <w:rPr>
      <w:b/>
      <w:sz w:val="24"/>
    </w:rPr>
  </w:style>
</w:styles>
</file>

<file path=word/webSettings.xml><?xml version="1.0" encoding="utf-8"?>
<w:webSettings xmlns:r="http://schemas.openxmlformats.org/officeDocument/2006/relationships" xmlns:w="http://schemas.openxmlformats.org/wordprocessingml/2006/main">
  <w:divs>
    <w:div w:id="813259416">
      <w:bodyDiv w:val="1"/>
      <w:marLeft w:val="0"/>
      <w:marRight w:val="0"/>
      <w:marTop w:val="0"/>
      <w:marBottom w:val="0"/>
      <w:divBdr>
        <w:top w:val="none" w:sz="0" w:space="0" w:color="auto"/>
        <w:left w:val="none" w:sz="0" w:space="0" w:color="auto"/>
        <w:bottom w:val="none" w:sz="0" w:space="0" w:color="auto"/>
        <w:right w:val="none" w:sz="0" w:space="0" w:color="auto"/>
      </w:divBdr>
    </w:div>
    <w:div w:id="1586526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uments/CBD/CP/MOP/11/L13" TargetMode="External"/><Relationship Id="rId26" Type="http://schemas.openxmlformats.org/officeDocument/2006/relationships/hyperlink" Target="https://www.cbd.int/decisions/mop/?m=cp-mop-11" TargetMode="External"/><Relationship Id="rId3" Type="http://schemas.openxmlformats.org/officeDocument/2006/relationships/customXml" Target="../customXml/item3.xml"/><Relationship Id="rId21" Type="http://schemas.openxmlformats.org/officeDocument/2006/relationships/hyperlink" Target="https://www.cbd.int/decisions/mop/?m=cp-mop-11" TargetMode="External"/><Relationship Id="rId34"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CP/MOP/11/L12/REV1" TargetMode="External"/><Relationship Id="rId25" Type="http://schemas.openxmlformats.org/officeDocument/2006/relationships/hyperlink" Target="https://www.cbd.int/decisions/mop/?m=cp-mop-11"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hyperlink" Target="https://www.cbd.int/decisions/mop/?m=cp-mop-11" TargetMode="External"/><Relationship Id="rId29" Type="http://schemas.openxmlformats.org/officeDocument/2006/relationships/hyperlink" Target="https://www.cbd.int/decisions/mop/?m=cp-mop-1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ecisions/mop/?m=cp-mop-11"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notifications/2024/ntf-2024-092-abs-bs-en.pdf" TargetMode="External"/><Relationship Id="rId23" Type="http://schemas.openxmlformats.org/officeDocument/2006/relationships/hyperlink" Target="https://www.cbd.int/decisions/mop/?m=cp-mop-11" TargetMode="External"/><Relationship Id="rId28" Type="http://schemas.openxmlformats.org/officeDocument/2006/relationships/hyperlink" Target="https://www.cbd.int/decisions/mop/?m=cp-mop-11" TargetMode="External"/><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ecisions/mop/?m=cp-mop-11"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uments/CBD/CP/MOP/11/INF/7" TargetMode="External"/><Relationship Id="rId22" Type="http://schemas.openxmlformats.org/officeDocument/2006/relationships/hyperlink" Target="https://www.cbd.int/decisions/mop/?m=cp-mop-11" TargetMode="External"/><Relationship Id="rId27" Type="http://schemas.openxmlformats.org/officeDocument/2006/relationships/hyperlink" Target="https://www.cbd.int/decisions/mop/?m=cp-mop-11" TargetMode="External"/><Relationship Id="rId30" Type="http://schemas.openxmlformats.org/officeDocument/2006/relationships/header" Target="header1.xm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P/MOP/11/L12/REV1" TargetMode="External"/><Relationship Id="rId7" Type="http://schemas.openxmlformats.org/officeDocument/2006/relationships/hyperlink" Target="https://www.cbd.int/documents/CBD/CP/MOP/11/INF/2" TargetMode="External"/><Relationship Id="rId2" Type="http://schemas.openxmlformats.org/officeDocument/2006/relationships/hyperlink" Target="https://www.cbd.int/documents/CBD/CP/MOP/11/1/ADD3" TargetMode="External"/><Relationship Id="rId1" Type="http://schemas.openxmlformats.org/officeDocument/2006/relationships/hyperlink" Target="https://www.cbd.int/meetings/CP-MOP-11-R1" TargetMode="External"/><Relationship Id="rId6" Type="http://schemas.openxmlformats.org/officeDocument/2006/relationships/hyperlink" Target="https://www.cbd.int/documents/CBD/CP/MOP/11/INF/6/REV1" TargetMode="External"/><Relationship Id="rId5" Type="http://schemas.openxmlformats.org/officeDocument/2006/relationships/hyperlink" Target="https://www.cbd.int/documents/CBD/CP/MOP/11/INF/5" TargetMode="External"/><Relationship Id="rId4" Type="http://schemas.openxmlformats.org/officeDocument/2006/relationships/hyperlink" Target="https://www.cbd.int/documents/CBD/CP/MOP/11/L1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notTrueType/>
    <w:pitch w:val="variable"/>
    <w:sig w:usb0="01000001" w:usb1="00000000" w:usb2="00000000" w:usb3="00000000" w:csb0="00010000"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hyphenationZone w:val="425"/>
  <w:characterSpacingControl w:val="doNotCompress"/>
  <w:compat>
    <w:useFELayout/>
  </w:compat>
  <w:rsids>
    <w:rsidRoot w:val="002619BD"/>
    <w:rsid w:val="00020E2E"/>
    <w:rsid w:val="0002343F"/>
    <w:rsid w:val="00040D0B"/>
    <w:rsid w:val="00054754"/>
    <w:rsid w:val="00084331"/>
    <w:rsid w:val="00090089"/>
    <w:rsid w:val="000B2F24"/>
    <w:rsid w:val="000B434F"/>
    <w:rsid w:val="00112CC6"/>
    <w:rsid w:val="001305D0"/>
    <w:rsid w:val="001A5340"/>
    <w:rsid w:val="001B0D3A"/>
    <w:rsid w:val="001B5E85"/>
    <w:rsid w:val="001C1AE5"/>
    <w:rsid w:val="001D5F7F"/>
    <w:rsid w:val="001D79EB"/>
    <w:rsid w:val="001E269D"/>
    <w:rsid w:val="002039C1"/>
    <w:rsid w:val="00221DFE"/>
    <w:rsid w:val="002619BD"/>
    <w:rsid w:val="0027168F"/>
    <w:rsid w:val="0028646E"/>
    <w:rsid w:val="002C3D9A"/>
    <w:rsid w:val="002C7190"/>
    <w:rsid w:val="002E7C52"/>
    <w:rsid w:val="002F1BC0"/>
    <w:rsid w:val="002F1C76"/>
    <w:rsid w:val="003002F4"/>
    <w:rsid w:val="003242BD"/>
    <w:rsid w:val="00334413"/>
    <w:rsid w:val="00375B43"/>
    <w:rsid w:val="0037652D"/>
    <w:rsid w:val="003A39B0"/>
    <w:rsid w:val="003D5E70"/>
    <w:rsid w:val="003D6731"/>
    <w:rsid w:val="003E7DC4"/>
    <w:rsid w:val="00413AA6"/>
    <w:rsid w:val="00445AE3"/>
    <w:rsid w:val="00445BEA"/>
    <w:rsid w:val="004E4E80"/>
    <w:rsid w:val="004F7087"/>
    <w:rsid w:val="00503FAB"/>
    <w:rsid w:val="005053BE"/>
    <w:rsid w:val="005357D7"/>
    <w:rsid w:val="00565C0B"/>
    <w:rsid w:val="00582E19"/>
    <w:rsid w:val="005A0CF3"/>
    <w:rsid w:val="005F1066"/>
    <w:rsid w:val="005F38C4"/>
    <w:rsid w:val="005F6A00"/>
    <w:rsid w:val="00604043"/>
    <w:rsid w:val="00637962"/>
    <w:rsid w:val="006443BD"/>
    <w:rsid w:val="0068367C"/>
    <w:rsid w:val="006B5209"/>
    <w:rsid w:val="006D78D3"/>
    <w:rsid w:val="007068E8"/>
    <w:rsid w:val="00715F12"/>
    <w:rsid w:val="00720C98"/>
    <w:rsid w:val="00780BDB"/>
    <w:rsid w:val="007936B9"/>
    <w:rsid w:val="007960BB"/>
    <w:rsid w:val="007C4D34"/>
    <w:rsid w:val="007E4C1B"/>
    <w:rsid w:val="00820765"/>
    <w:rsid w:val="00821AFC"/>
    <w:rsid w:val="0084050F"/>
    <w:rsid w:val="00852C29"/>
    <w:rsid w:val="00854B9B"/>
    <w:rsid w:val="00880330"/>
    <w:rsid w:val="008D2345"/>
    <w:rsid w:val="008D68C6"/>
    <w:rsid w:val="008E20A6"/>
    <w:rsid w:val="008E70DC"/>
    <w:rsid w:val="00921223"/>
    <w:rsid w:val="009406B9"/>
    <w:rsid w:val="00986547"/>
    <w:rsid w:val="009960AE"/>
    <w:rsid w:val="009B302D"/>
    <w:rsid w:val="009D06BB"/>
    <w:rsid w:val="00A105AD"/>
    <w:rsid w:val="00A11D7A"/>
    <w:rsid w:val="00A25885"/>
    <w:rsid w:val="00A548A1"/>
    <w:rsid w:val="00A9376D"/>
    <w:rsid w:val="00A93DEB"/>
    <w:rsid w:val="00A94AA9"/>
    <w:rsid w:val="00A97C9E"/>
    <w:rsid w:val="00AA67E0"/>
    <w:rsid w:val="00B01052"/>
    <w:rsid w:val="00B0243D"/>
    <w:rsid w:val="00B54646"/>
    <w:rsid w:val="00B6753E"/>
    <w:rsid w:val="00B84D7A"/>
    <w:rsid w:val="00B85BB8"/>
    <w:rsid w:val="00BA5015"/>
    <w:rsid w:val="00BB10F5"/>
    <w:rsid w:val="00BC28E5"/>
    <w:rsid w:val="00BC2940"/>
    <w:rsid w:val="00BF0A09"/>
    <w:rsid w:val="00BF2A1F"/>
    <w:rsid w:val="00C06F7F"/>
    <w:rsid w:val="00C43384"/>
    <w:rsid w:val="00C436E8"/>
    <w:rsid w:val="00C50B95"/>
    <w:rsid w:val="00C86C76"/>
    <w:rsid w:val="00CF2117"/>
    <w:rsid w:val="00D01E81"/>
    <w:rsid w:val="00D134DF"/>
    <w:rsid w:val="00D154E8"/>
    <w:rsid w:val="00D30C33"/>
    <w:rsid w:val="00D3691B"/>
    <w:rsid w:val="00D91C65"/>
    <w:rsid w:val="00DA3BB5"/>
    <w:rsid w:val="00DB16A2"/>
    <w:rsid w:val="00DC1683"/>
    <w:rsid w:val="00DF0E72"/>
    <w:rsid w:val="00DF21EE"/>
    <w:rsid w:val="00DF6DCA"/>
    <w:rsid w:val="00E13158"/>
    <w:rsid w:val="00E13C94"/>
    <w:rsid w:val="00E44A51"/>
    <w:rsid w:val="00E64439"/>
    <w:rsid w:val="00EA1CF5"/>
    <w:rsid w:val="00F01432"/>
    <w:rsid w:val="00F05EFA"/>
    <w:rsid w:val="00F40B09"/>
    <w:rsid w:val="00F52C84"/>
    <w:rsid w:val="00F72A69"/>
    <w:rsid w:val="00FA571B"/>
    <w:rsid w:val="00FC468E"/>
  </w:rsids>
  <m:mathPr>
    <m:mathFont m:val="Cambria Math"/>
    <m:brkBin m:val="before"/>
    <m:brkBinSub m:val="--"/>
    <m:smallFrac m:val="off"/>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22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1223"/>
    <w:rPr>
      <w:color w:val="808080"/>
    </w:rPr>
  </w:style>
  <w:style w:type="paragraph" w:customStyle="1" w:styleId="AD39C39C7681420C907D52FDE3C9DD40">
    <w:name w:val="AD39C39C7681420C907D52FDE3C9DD40"/>
    <w:rsid w:val="00921223"/>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4B2DF830-CD0D-4D58-8030-0CA1926BD8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29D5C288-AC4B-4EF9-9B5E-F4C5BC6204B2}">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10</TotalTime>
  <Pages>14</Pages>
  <Words>6042</Words>
  <Characters>33232</Characters>
  <Application>Microsoft Office Word</Application>
  <DocSecurity>0</DocSecurity>
  <Lines>276</Lines>
  <Paragraphs>78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Projet de rapport de la réunion</vt:lpstr>
      <vt:lpstr>Projet de rapport de la réunion</vt:lpstr>
    </vt:vector>
  </TitlesOfParts>
  <Company/>
  <LinksUpToDate>false</LinksUpToDate>
  <CharactersWithSpaces>39196</CharactersWithSpaces>
  <SharedDoc>false</SharedDoc>
  <HLinks>
    <vt:vector size="144" baseType="variant">
      <vt:variant>
        <vt:i4>7405681</vt:i4>
      </vt:variant>
      <vt:variant>
        <vt:i4>42</vt:i4>
      </vt:variant>
      <vt:variant>
        <vt:i4>0</vt:i4>
      </vt:variant>
      <vt:variant>
        <vt:i4>5</vt:i4>
      </vt:variant>
      <vt:variant>
        <vt:lpwstr>https://www.cbd.int/decisions/mop/?m=cp-mop-11</vt:lpwstr>
      </vt:variant>
      <vt:variant>
        <vt:lpwstr/>
      </vt:variant>
      <vt:variant>
        <vt:i4>7405681</vt:i4>
      </vt:variant>
      <vt:variant>
        <vt:i4>39</vt:i4>
      </vt:variant>
      <vt:variant>
        <vt:i4>0</vt:i4>
      </vt:variant>
      <vt:variant>
        <vt:i4>5</vt:i4>
      </vt:variant>
      <vt:variant>
        <vt:lpwstr>https://www.cbd.int/decisions/mop/?m=cp-mop-11</vt:lpwstr>
      </vt:variant>
      <vt:variant>
        <vt:lpwstr/>
      </vt:variant>
      <vt:variant>
        <vt:i4>7405681</vt:i4>
      </vt:variant>
      <vt:variant>
        <vt:i4>36</vt:i4>
      </vt:variant>
      <vt:variant>
        <vt:i4>0</vt:i4>
      </vt:variant>
      <vt:variant>
        <vt:i4>5</vt:i4>
      </vt:variant>
      <vt:variant>
        <vt:lpwstr>https://www.cbd.int/decisions/mop/?m=cp-mop-11</vt:lpwstr>
      </vt:variant>
      <vt:variant>
        <vt:lpwstr/>
      </vt:variant>
      <vt:variant>
        <vt:i4>7405681</vt:i4>
      </vt:variant>
      <vt:variant>
        <vt:i4>33</vt:i4>
      </vt:variant>
      <vt:variant>
        <vt:i4>0</vt:i4>
      </vt:variant>
      <vt:variant>
        <vt:i4>5</vt:i4>
      </vt:variant>
      <vt:variant>
        <vt:lpwstr>https://www.cbd.int/decisions/mop/?m=cp-mop-11</vt:lpwstr>
      </vt:variant>
      <vt:variant>
        <vt:lpwstr/>
      </vt:variant>
      <vt:variant>
        <vt:i4>7405681</vt:i4>
      </vt:variant>
      <vt:variant>
        <vt:i4>30</vt:i4>
      </vt:variant>
      <vt:variant>
        <vt:i4>0</vt:i4>
      </vt:variant>
      <vt:variant>
        <vt:i4>5</vt:i4>
      </vt:variant>
      <vt:variant>
        <vt:lpwstr>https://www.cbd.int/decisions/mop/?m=cp-mop-11</vt:lpwstr>
      </vt:variant>
      <vt:variant>
        <vt:lpwstr/>
      </vt:variant>
      <vt:variant>
        <vt:i4>7405681</vt:i4>
      </vt:variant>
      <vt:variant>
        <vt:i4>27</vt:i4>
      </vt:variant>
      <vt:variant>
        <vt:i4>0</vt:i4>
      </vt:variant>
      <vt:variant>
        <vt:i4>5</vt:i4>
      </vt:variant>
      <vt:variant>
        <vt:lpwstr>https://www.cbd.int/decisions/mop/?m=cp-mop-11</vt:lpwstr>
      </vt:variant>
      <vt:variant>
        <vt:lpwstr/>
      </vt:variant>
      <vt:variant>
        <vt:i4>7405681</vt:i4>
      </vt:variant>
      <vt:variant>
        <vt:i4>24</vt:i4>
      </vt:variant>
      <vt:variant>
        <vt:i4>0</vt:i4>
      </vt:variant>
      <vt:variant>
        <vt:i4>5</vt:i4>
      </vt:variant>
      <vt:variant>
        <vt:lpwstr>https://www.cbd.int/decisions/mop/?m=cp-mop-11</vt:lpwstr>
      </vt:variant>
      <vt:variant>
        <vt:lpwstr/>
      </vt:variant>
      <vt:variant>
        <vt:i4>7405681</vt:i4>
      </vt:variant>
      <vt:variant>
        <vt:i4>21</vt:i4>
      </vt:variant>
      <vt:variant>
        <vt:i4>0</vt:i4>
      </vt:variant>
      <vt:variant>
        <vt:i4>5</vt:i4>
      </vt:variant>
      <vt:variant>
        <vt:lpwstr>https://www.cbd.int/decisions/mop/?m=cp-mop-11</vt:lpwstr>
      </vt:variant>
      <vt:variant>
        <vt:lpwstr/>
      </vt:variant>
      <vt:variant>
        <vt:i4>7405681</vt:i4>
      </vt:variant>
      <vt:variant>
        <vt:i4>18</vt:i4>
      </vt:variant>
      <vt:variant>
        <vt:i4>0</vt:i4>
      </vt:variant>
      <vt:variant>
        <vt:i4>5</vt:i4>
      </vt:variant>
      <vt:variant>
        <vt:lpwstr>https://www.cbd.int/decisions/mop/?m=cp-mop-11</vt:lpwstr>
      </vt:variant>
      <vt:variant>
        <vt:lpwstr/>
      </vt:variant>
      <vt:variant>
        <vt:i4>7405681</vt:i4>
      </vt:variant>
      <vt:variant>
        <vt:i4>15</vt:i4>
      </vt:variant>
      <vt:variant>
        <vt:i4>0</vt:i4>
      </vt:variant>
      <vt:variant>
        <vt:i4>5</vt:i4>
      </vt:variant>
      <vt:variant>
        <vt:lpwstr>https://www.cbd.int/decisions/mop/?m=cp-mop-11</vt:lpwstr>
      </vt:variant>
      <vt:variant>
        <vt:lpwstr/>
      </vt:variant>
      <vt:variant>
        <vt:i4>7405681</vt:i4>
      </vt:variant>
      <vt:variant>
        <vt:i4>12</vt:i4>
      </vt:variant>
      <vt:variant>
        <vt:i4>0</vt:i4>
      </vt:variant>
      <vt:variant>
        <vt:i4>5</vt:i4>
      </vt:variant>
      <vt:variant>
        <vt:lpwstr>https://www.cbd.int/decisions/mop/?m=cp-mop-11</vt:lpwstr>
      </vt:variant>
      <vt:variant>
        <vt:lpwstr/>
      </vt:variant>
      <vt:variant>
        <vt:i4>7209083</vt:i4>
      </vt:variant>
      <vt:variant>
        <vt:i4>9</vt:i4>
      </vt:variant>
      <vt:variant>
        <vt:i4>0</vt:i4>
      </vt:variant>
      <vt:variant>
        <vt:i4>5</vt:i4>
      </vt:variant>
      <vt:variant>
        <vt:lpwstr>https://www.cbd.int/documents/CBD/CP/MOP/11/L13</vt:lpwstr>
      </vt:variant>
      <vt:variant>
        <vt:lpwstr/>
      </vt:variant>
      <vt:variant>
        <vt:i4>1376333</vt:i4>
      </vt:variant>
      <vt:variant>
        <vt:i4>6</vt:i4>
      </vt:variant>
      <vt:variant>
        <vt:i4>0</vt:i4>
      </vt:variant>
      <vt:variant>
        <vt:i4>5</vt:i4>
      </vt:variant>
      <vt:variant>
        <vt:lpwstr>https://www.cbd.int/documents/CBD/CP/MOP/11/L12/REV1</vt:lpwstr>
      </vt:variant>
      <vt:variant>
        <vt:lpwstr/>
      </vt:variant>
      <vt:variant>
        <vt:i4>7405681</vt:i4>
      </vt:variant>
      <vt:variant>
        <vt:i4>3</vt:i4>
      </vt:variant>
      <vt:variant>
        <vt:i4>0</vt:i4>
      </vt:variant>
      <vt:variant>
        <vt:i4>5</vt:i4>
      </vt:variant>
      <vt:variant>
        <vt:lpwstr>https://www.cbd.int/decisions/mop/?m=cp-mop-11</vt:lpwstr>
      </vt:variant>
      <vt:variant>
        <vt:lpwstr/>
      </vt:variant>
      <vt:variant>
        <vt:i4>327705</vt:i4>
      </vt:variant>
      <vt:variant>
        <vt:i4>0</vt:i4>
      </vt:variant>
      <vt:variant>
        <vt:i4>0</vt:i4>
      </vt:variant>
      <vt:variant>
        <vt:i4>5</vt:i4>
      </vt:variant>
      <vt:variant>
        <vt:lpwstr>https://www.cbd.int/doc/notifications/2024/ntf-2024-092-abs-bs-en.pdf</vt:lpwstr>
      </vt:variant>
      <vt:variant>
        <vt:lpwstr/>
      </vt:variant>
      <vt:variant>
        <vt:i4>1966104</vt:i4>
      </vt:variant>
      <vt:variant>
        <vt:i4>24</vt:i4>
      </vt:variant>
      <vt:variant>
        <vt:i4>0</vt:i4>
      </vt:variant>
      <vt:variant>
        <vt:i4>5</vt:i4>
      </vt:variant>
      <vt:variant>
        <vt:lpwstr>https://www.cbd.int/documents/CBD/CP/MOP/11/INF/2</vt:lpwstr>
      </vt:variant>
      <vt:variant>
        <vt:lpwstr/>
      </vt:variant>
      <vt:variant>
        <vt:i4>6619178</vt:i4>
      </vt:variant>
      <vt:variant>
        <vt:i4>21</vt:i4>
      </vt:variant>
      <vt:variant>
        <vt:i4>0</vt:i4>
      </vt:variant>
      <vt:variant>
        <vt:i4>5</vt:i4>
      </vt:variant>
      <vt:variant>
        <vt:lpwstr>https://www.cbd.int/documents/CBD/CP/MOP/11/INF/6/REV1</vt:lpwstr>
      </vt:variant>
      <vt:variant>
        <vt:lpwstr/>
      </vt:variant>
      <vt:variant>
        <vt:i4>1966104</vt:i4>
      </vt:variant>
      <vt:variant>
        <vt:i4>18</vt:i4>
      </vt:variant>
      <vt:variant>
        <vt:i4>0</vt:i4>
      </vt:variant>
      <vt:variant>
        <vt:i4>5</vt:i4>
      </vt:variant>
      <vt:variant>
        <vt:lpwstr>https://www.cbd.int/documents/CBD/CP/MOP/11/INF/5</vt:lpwstr>
      </vt:variant>
      <vt:variant>
        <vt:lpwstr/>
      </vt:variant>
      <vt:variant>
        <vt:i4>7209068</vt:i4>
      </vt:variant>
      <vt:variant>
        <vt:i4>15</vt:i4>
      </vt:variant>
      <vt:variant>
        <vt:i4>0</vt:i4>
      </vt:variant>
      <vt:variant>
        <vt:i4>5</vt:i4>
      </vt:variant>
      <vt:variant>
        <vt:lpwstr>https://www.cbd.int/documents/CBD/COP/16/1/ADD5</vt:lpwstr>
      </vt:variant>
      <vt:variant>
        <vt:lpwstr/>
      </vt:variant>
      <vt:variant>
        <vt:i4>7209068</vt:i4>
      </vt:variant>
      <vt:variant>
        <vt:i4>12</vt:i4>
      </vt:variant>
      <vt:variant>
        <vt:i4>0</vt:i4>
      </vt:variant>
      <vt:variant>
        <vt:i4>5</vt:i4>
      </vt:variant>
      <vt:variant>
        <vt:lpwstr>https://www.cbd.int/documents/CBD/COP/16/1/ADD4</vt:lpwstr>
      </vt:variant>
      <vt:variant>
        <vt:lpwstr/>
      </vt:variant>
      <vt:variant>
        <vt:i4>7209083</vt:i4>
      </vt:variant>
      <vt:variant>
        <vt:i4>9</vt:i4>
      </vt:variant>
      <vt:variant>
        <vt:i4>0</vt:i4>
      </vt:variant>
      <vt:variant>
        <vt:i4>5</vt:i4>
      </vt:variant>
      <vt:variant>
        <vt:lpwstr>https://www.cbd.int/documents/CBD/CP/MOP/11/L13</vt:lpwstr>
      </vt:variant>
      <vt:variant>
        <vt:lpwstr/>
      </vt:variant>
      <vt:variant>
        <vt:i4>1376333</vt:i4>
      </vt:variant>
      <vt:variant>
        <vt:i4>6</vt:i4>
      </vt:variant>
      <vt:variant>
        <vt:i4>0</vt:i4>
      </vt:variant>
      <vt:variant>
        <vt:i4>5</vt:i4>
      </vt:variant>
      <vt:variant>
        <vt:lpwstr>https://www.cbd.int/documents/CBD/CP/MOP/11/L12/REV1</vt:lpwstr>
      </vt:variant>
      <vt:variant>
        <vt:lpwstr/>
      </vt:variant>
      <vt:variant>
        <vt:i4>2555939</vt:i4>
      </vt:variant>
      <vt:variant>
        <vt:i4>3</vt:i4>
      </vt:variant>
      <vt:variant>
        <vt:i4>0</vt:i4>
      </vt:variant>
      <vt:variant>
        <vt:i4>5</vt:i4>
      </vt:variant>
      <vt:variant>
        <vt:lpwstr>https://www.cbd.int/documents/CBD/CP/MOP/11/1/ADD3</vt:lpwstr>
      </vt:variant>
      <vt:variant>
        <vt:lpwstr/>
      </vt:variant>
      <vt:variant>
        <vt:i4>393218</vt:i4>
      </vt:variant>
      <vt:variant>
        <vt:i4>0</vt:i4>
      </vt:variant>
      <vt:variant>
        <vt:i4>0</vt:i4>
      </vt:variant>
      <vt:variant>
        <vt:i4>5</vt:i4>
      </vt:variant>
      <vt:variant>
        <vt:lpwstr>https://www.cbd.int/meetings/CP-MOP-11-R1</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rapport de la réunion</dc:title>
  <dc:subject>CBD/CP/MOP/11/L.1/Rev.1</dc:subject>
  <dc:creator>Secretariat of the Convention on Biological Diversity</dc:creator>
  <cp:keywords>Conference of the Parties serving as the meeting of the Parties to the Cartagena Protocol on Biosafety</cp:keywords>
  <cp:lastModifiedBy>BUBIC</cp:lastModifiedBy>
  <cp:revision>7</cp:revision>
  <cp:lastPrinted>2024-08-30T22:52:00Z</cp:lastPrinted>
  <dcterms:created xsi:type="dcterms:W3CDTF">2025-02-26T22:00:00Z</dcterms:created>
  <dcterms:modified xsi:type="dcterms:W3CDTF">2025-02-26T22:15:00Z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