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5B18B3" w:rsidRPr="006B7008" w14:paraId="586B8006" w14:textId="77777777" w:rsidTr="00B60E5F">
        <w:trPr>
          <w:trHeight w:val="851"/>
        </w:trPr>
        <w:tc>
          <w:tcPr>
            <w:tcW w:w="465" w:type="pct"/>
            <w:tcBorders>
              <w:bottom w:val="single" w:sz="8" w:space="0" w:color="auto"/>
            </w:tcBorders>
            <w:vAlign w:val="bottom"/>
          </w:tcPr>
          <w:p w14:paraId="67EF272B" w14:textId="77777777" w:rsidR="005B18B3" w:rsidRPr="006B7008" w:rsidRDefault="005B18B3" w:rsidP="00B60E5F">
            <w:pPr>
              <w:spacing w:after="120"/>
              <w:rPr>
                <w:lang w:val="es-UY"/>
              </w:rPr>
            </w:pPr>
            <w:bookmarkStart w:id="0" w:name="_Hlk137651738"/>
            <w:r w:rsidRPr="006B7008">
              <w:rPr>
                <w:noProof/>
                <w:lang w:val="en-US"/>
              </w:rPr>
              <w:drawing>
                <wp:inline distT="0" distB="0" distL="0" distR="0" wp14:anchorId="02775137" wp14:editId="36736400">
                  <wp:extent cx="476494" cy="403200"/>
                  <wp:effectExtent l="0" t="0" r="6350" b="3810"/>
                  <wp:docPr id="1"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CBE99C0" w14:textId="77777777" w:rsidR="005B18B3" w:rsidRPr="006B7008" w:rsidRDefault="005B18B3" w:rsidP="00B60E5F">
            <w:pPr>
              <w:spacing w:after="120"/>
              <w:rPr>
                <w:lang w:val="es-UY"/>
              </w:rPr>
            </w:pPr>
            <w:r w:rsidRPr="006B7008">
              <w:rPr>
                <w:noProof/>
                <w:lang w:val="en-US"/>
              </w:rPr>
              <w:drawing>
                <wp:inline distT="0" distB="0" distL="0" distR="0" wp14:anchorId="03D0369D" wp14:editId="65CBCAA6">
                  <wp:extent cx="611015" cy="349151"/>
                  <wp:effectExtent l="0" t="0" r="0" b="0"/>
                  <wp:docPr id="2" name="Imagen 2"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171D41A1" w14:textId="22A05DA9" w:rsidR="005B18B3" w:rsidRPr="006B7008" w:rsidRDefault="005B18B3" w:rsidP="00184909">
            <w:pPr>
              <w:spacing w:after="120"/>
              <w:ind w:left="2021"/>
              <w:jc w:val="right"/>
              <w:rPr>
                <w:szCs w:val="22"/>
                <w:lang w:val="es-UY"/>
              </w:rPr>
            </w:pPr>
            <w:proofErr w:type="spellStart"/>
            <w:r w:rsidRPr="006B7008">
              <w:rPr>
                <w:sz w:val="40"/>
                <w:lang w:val="es-UY"/>
              </w:rPr>
              <w:t>CBD</w:t>
            </w:r>
            <w:proofErr w:type="spellEnd"/>
            <w:r w:rsidRPr="006B7008">
              <w:rPr>
                <w:lang w:val="es-UY"/>
              </w:rPr>
              <w:t>/</w:t>
            </w:r>
            <w:proofErr w:type="spellStart"/>
            <w:r w:rsidRPr="006B7008">
              <w:rPr>
                <w:lang w:val="es-UY"/>
              </w:rPr>
              <w:t>CP</w:t>
            </w:r>
            <w:proofErr w:type="spellEnd"/>
            <w:r w:rsidRPr="006B7008">
              <w:rPr>
                <w:lang w:val="es-UY"/>
              </w:rPr>
              <w:t>/</w:t>
            </w:r>
            <w:proofErr w:type="spellStart"/>
            <w:r w:rsidRPr="006B7008">
              <w:rPr>
                <w:lang w:val="es-UY"/>
              </w:rPr>
              <w:t>MOP</w:t>
            </w:r>
            <w:proofErr w:type="spellEnd"/>
            <w:r w:rsidRPr="006B7008">
              <w:rPr>
                <w:lang w:val="es-UY"/>
              </w:rPr>
              <w:t>/11/8</w:t>
            </w:r>
            <w:r w:rsidR="001B5682">
              <w:rPr>
                <w:lang w:val="es-UY"/>
              </w:rPr>
              <w:t>/Rev.1</w:t>
            </w:r>
          </w:p>
        </w:tc>
      </w:tr>
      <w:tr w:rsidR="005B18B3" w:rsidRPr="006B7008" w14:paraId="3C6B7BC0" w14:textId="77777777" w:rsidTr="00B60E5F">
        <w:tc>
          <w:tcPr>
            <w:tcW w:w="2297" w:type="pct"/>
            <w:gridSpan w:val="2"/>
            <w:tcBorders>
              <w:top w:val="single" w:sz="8" w:space="0" w:color="auto"/>
              <w:bottom w:val="single" w:sz="12" w:space="0" w:color="auto"/>
            </w:tcBorders>
          </w:tcPr>
          <w:p w14:paraId="2F1B4B69" w14:textId="77777777" w:rsidR="005B18B3" w:rsidRPr="006B7008" w:rsidRDefault="005B18B3" w:rsidP="00B60E5F">
            <w:pPr>
              <w:pStyle w:val="Cornernotation"/>
              <w:suppressLineNumbers/>
              <w:suppressAutoHyphens/>
              <w:spacing w:before="120" w:after="120"/>
              <w:ind w:left="0" w:right="0" w:firstLine="0"/>
              <w:rPr>
                <w:lang w:val="es-UY"/>
              </w:rPr>
            </w:pPr>
            <w:r w:rsidRPr="006B7008">
              <w:rPr>
                <w:noProof/>
                <w:lang w:val="en-US"/>
              </w:rPr>
              <w:drawing>
                <wp:inline distT="0" distB="0" distL="0" distR="0" wp14:anchorId="562A2330" wp14:editId="2994BCF5">
                  <wp:extent cx="2901948" cy="1066892"/>
                  <wp:effectExtent l="0" t="0" r="0" b="0"/>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4528BDD5" w14:textId="77777777" w:rsidR="005B18B3" w:rsidRPr="006B7008" w:rsidRDefault="005B18B3" w:rsidP="008C4AA7">
            <w:pPr>
              <w:ind w:left="2584"/>
              <w:rPr>
                <w:sz w:val="22"/>
                <w:szCs w:val="22"/>
                <w:lang w:val="es-UY"/>
              </w:rPr>
            </w:pPr>
            <w:proofErr w:type="spellStart"/>
            <w:r w:rsidRPr="006B7008">
              <w:rPr>
                <w:sz w:val="22"/>
                <w:lang w:val="es-UY"/>
              </w:rPr>
              <w:t>Distr</w:t>
            </w:r>
            <w:proofErr w:type="spellEnd"/>
            <w:r w:rsidRPr="006B7008">
              <w:rPr>
                <w:sz w:val="22"/>
                <w:lang w:val="es-UY"/>
              </w:rPr>
              <w:t>. general</w:t>
            </w:r>
          </w:p>
          <w:p w14:paraId="4707612E" w14:textId="06F08435" w:rsidR="005B18B3" w:rsidRPr="00984466" w:rsidRDefault="005B18B3" w:rsidP="008C4AA7">
            <w:pPr>
              <w:ind w:left="2584"/>
              <w:rPr>
                <w:sz w:val="22"/>
                <w:szCs w:val="22"/>
                <w:lang w:val="es-UY"/>
              </w:rPr>
            </w:pPr>
            <w:r w:rsidRPr="00984466">
              <w:rPr>
                <w:sz w:val="22"/>
                <w:szCs w:val="22"/>
                <w:lang w:val="es-UY"/>
              </w:rPr>
              <w:t>2</w:t>
            </w:r>
            <w:r w:rsidR="00240685" w:rsidRPr="00984466">
              <w:rPr>
                <w:sz w:val="22"/>
                <w:szCs w:val="22"/>
                <w:lang w:val="es-UY"/>
              </w:rPr>
              <w:t xml:space="preserve">0 </w:t>
            </w:r>
            <w:r w:rsidRPr="00984466">
              <w:rPr>
                <w:sz w:val="22"/>
                <w:szCs w:val="22"/>
                <w:lang w:val="es-UY"/>
              </w:rPr>
              <w:t xml:space="preserve">de </w:t>
            </w:r>
            <w:r w:rsidR="00240685" w:rsidRPr="00984466">
              <w:rPr>
                <w:sz w:val="22"/>
                <w:szCs w:val="22"/>
                <w:lang w:val="es-UY"/>
              </w:rPr>
              <w:t>septiembre</w:t>
            </w:r>
            <w:r w:rsidRPr="00984466">
              <w:rPr>
                <w:sz w:val="22"/>
                <w:szCs w:val="22"/>
                <w:lang w:val="es-UY"/>
              </w:rPr>
              <w:t xml:space="preserve"> de 2024</w:t>
            </w:r>
          </w:p>
          <w:p w14:paraId="01280286" w14:textId="77777777" w:rsidR="005B18B3" w:rsidRPr="006B7008" w:rsidRDefault="005B18B3" w:rsidP="008C4AA7">
            <w:pPr>
              <w:ind w:left="2584"/>
              <w:rPr>
                <w:sz w:val="22"/>
                <w:lang w:val="es-UY"/>
              </w:rPr>
            </w:pPr>
            <w:r w:rsidRPr="006B7008">
              <w:rPr>
                <w:sz w:val="22"/>
                <w:lang w:val="es-UY"/>
              </w:rPr>
              <w:t>Español</w:t>
            </w:r>
          </w:p>
          <w:p w14:paraId="76F575DD" w14:textId="77777777" w:rsidR="005B18B3" w:rsidRPr="006B7008" w:rsidRDefault="005B18B3" w:rsidP="008C4AA7">
            <w:pPr>
              <w:ind w:left="2584"/>
              <w:rPr>
                <w:sz w:val="22"/>
                <w:szCs w:val="22"/>
                <w:lang w:val="es-UY"/>
              </w:rPr>
            </w:pPr>
            <w:r w:rsidRPr="006B7008">
              <w:rPr>
                <w:sz w:val="22"/>
                <w:lang w:val="es-UY"/>
              </w:rPr>
              <w:t>Original: inglés</w:t>
            </w:r>
          </w:p>
          <w:p w14:paraId="41B79F6A" w14:textId="77777777" w:rsidR="005B18B3" w:rsidRPr="006B7008" w:rsidRDefault="005B18B3" w:rsidP="00B60E5F">
            <w:pPr>
              <w:rPr>
                <w:lang w:val="es-UY"/>
              </w:rPr>
            </w:pPr>
          </w:p>
        </w:tc>
      </w:tr>
      <w:bookmarkEnd w:id="0"/>
    </w:tbl>
    <w:p w14:paraId="22565FB8" w14:textId="77777777" w:rsidR="00A43334" w:rsidRPr="006B7008" w:rsidRDefault="00A43334" w:rsidP="00A43334">
      <w:pPr>
        <w:pStyle w:val="AISpacer"/>
        <w:rPr>
          <w:lang w:val="es-UY"/>
        </w:rP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B66854" w14:paraId="48C23B2A" w14:textId="77777777" w:rsidTr="78AA0592">
        <w:trPr>
          <w:trHeight w:val="57"/>
        </w:trPr>
        <w:tc>
          <w:tcPr>
            <w:tcW w:w="5244" w:type="dxa"/>
            <w:shd w:val="clear" w:color="auto" w:fill="auto"/>
          </w:tcPr>
          <w:p w14:paraId="4E8CBA4F" w14:textId="0CE7EDA1" w:rsidR="00A43334" w:rsidRPr="006B7008" w:rsidRDefault="00A43334" w:rsidP="00A43334">
            <w:pPr>
              <w:pStyle w:val="AFCorNot12Bold"/>
              <w:rPr>
                <w:lang w:val="es-UY"/>
              </w:rPr>
            </w:pPr>
            <w:r w:rsidRPr="006B7008">
              <w:rPr>
                <w:lang w:val="es-UY"/>
              </w:rPr>
              <w:t>Conferencia de las Partes en el Convenio sobre la Diversidad Biológica que actúa como reunión de las Partes en el Protocolo de Cartagena sobre Seguridad de la Biotecnología</w:t>
            </w:r>
          </w:p>
          <w:p w14:paraId="1D719D76" w14:textId="77777777" w:rsidR="00A43334" w:rsidRDefault="00B66854" w:rsidP="00D1697D">
            <w:pPr>
              <w:pStyle w:val="AFCorNotBold"/>
              <w:jc w:val="left"/>
              <w:rPr>
                <w:lang w:val="es-UY"/>
              </w:rPr>
            </w:pPr>
            <w:r>
              <w:rPr>
                <w:lang w:val="es-UY"/>
              </w:rPr>
              <w:t>11ª reunión</w:t>
            </w:r>
          </w:p>
          <w:p w14:paraId="71D73F10" w14:textId="77777777" w:rsidR="00B66854" w:rsidRDefault="00B66854" w:rsidP="00D2262D">
            <w:pPr>
              <w:pStyle w:val="AFCorNotNormal"/>
              <w:rPr>
                <w:lang w:val="es-UY"/>
              </w:rPr>
            </w:pPr>
            <w:r>
              <w:rPr>
                <w:lang w:val="es-UY"/>
              </w:rPr>
              <w:t xml:space="preserve">Cali (Colombia), 21 de octubre a 1 de </w:t>
            </w:r>
            <w:bookmarkStart w:id="1" w:name="_GoBack"/>
            <w:r>
              <w:rPr>
                <w:lang w:val="es-UY"/>
              </w:rPr>
              <w:t xml:space="preserve">noviembre </w:t>
            </w:r>
            <w:bookmarkEnd w:id="1"/>
            <w:r>
              <w:rPr>
                <w:lang w:val="es-UY"/>
              </w:rPr>
              <w:t>de 2024</w:t>
            </w:r>
          </w:p>
          <w:p w14:paraId="71666924" w14:textId="77777777" w:rsidR="00B66854" w:rsidRDefault="00B66854" w:rsidP="00D2262D">
            <w:pPr>
              <w:pStyle w:val="AFCorNotNormal"/>
            </w:pPr>
            <w:r>
              <w:rPr>
                <w:lang w:val="es-UY"/>
              </w:rPr>
              <w:t>Tema 9 del programa provisional</w:t>
            </w:r>
            <w:r w:rsidRPr="00D1697D">
              <w:rPr>
                <w:rStyle w:val="FootnoteReference"/>
              </w:rPr>
              <w:footnoteReference w:customMarkFollows="1" w:id="2"/>
              <w:t>*</w:t>
            </w:r>
          </w:p>
          <w:p w14:paraId="4FDBE5B4" w14:textId="2425B73F" w:rsidR="00B66854" w:rsidRPr="00B66854" w:rsidRDefault="00B66854" w:rsidP="00D2262D">
            <w:pPr>
              <w:jc w:val="left"/>
              <w:rPr>
                <w:lang w:val="es-UY"/>
              </w:rPr>
            </w:pPr>
            <w:r>
              <w:rPr>
                <w:b/>
                <w:bCs/>
                <w:lang w:val="es-UY"/>
              </w:rPr>
              <w:t xml:space="preserve">Cooperación con organizaciones internacionales, organismos creados en virtud de otros convenios e iniciativas </w:t>
            </w:r>
          </w:p>
        </w:tc>
        <w:tc>
          <w:tcPr>
            <w:tcW w:w="5238" w:type="dxa"/>
            <w:shd w:val="clear" w:color="auto" w:fill="auto"/>
          </w:tcPr>
          <w:p w14:paraId="4208055B" w14:textId="77777777" w:rsidR="00A43334" w:rsidRPr="00D2262D" w:rsidRDefault="00A43334" w:rsidP="00A43334">
            <w:pPr>
              <w:jc w:val="left"/>
              <w:rPr>
                <w:lang w:val="es-MX"/>
              </w:rPr>
            </w:pPr>
          </w:p>
        </w:tc>
      </w:tr>
    </w:tbl>
    <w:p w14:paraId="789EAF47" w14:textId="13A7418F" w:rsidR="00A96B21" w:rsidRPr="006B7008" w:rsidRDefault="00CD6AF3" w:rsidP="00D1697D">
      <w:pPr>
        <w:pStyle w:val="CBDTitle"/>
        <w:rPr>
          <w:lang w:val="es-UY"/>
        </w:rPr>
      </w:pPr>
      <w:sdt>
        <w:sdtPr>
          <w:rPr>
            <w:lang w:val="es-UY"/>
          </w:rPr>
          <w:alias w:val="Title"/>
          <w:tag w:val=""/>
          <w:id w:val="-1975355689"/>
          <w:placeholder>
            <w:docPart w:val="975885B057CA40459063BBDD6984C203"/>
          </w:placeholder>
          <w:dataBinding w:prefixMappings="xmlns:ns0='http://purl.org/dc/elements/1.1/' xmlns:ns1='http://schemas.openxmlformats.org/package/2006/metadata/core-properties' " w:xpath="/ns1:coreProperties[1]/ns0:title[1]" w:storeItemID="{6C3C8BC8-F283-45AE-878A-BAB7291924A1}"/>
          <w:text/>
        </w:sdtPr>
        <w:sdtEndPr/>
        <w:sdtContent>
          <w:r w:rsidR="005B18B3" w:rsidRPr="006B7008">
            <w:rPr>
              <w:lang w:val="es-UY"/>
            </w:rPr>
            <w:t>Cooperación con organizaciones internacionales, organismos creados en virtud de otros convenios e iniciativas</w:t>
          </w:r>
        </w:sdtContent>
      </w:sdt>
    </w:p>
    <w:p w14:paraId="7AB73CC3" w14:textId="77777777" w:rsidR="00A96B21" w:rsidRPr="006B7008" w:rsidRDefault="00A96B21" w:rsidP="00A43334">
      <w:pPr>
        <w:pStyle w:val="CBDSubTitle"/>
        <w:rPr>
          <w:lang w:val="es-UY"/>
        </w:rPr>
      </w:pPr>
      <w:r w:rsidRPr="006B7008">
        <w:rPr>
          <w:lang w:val="es-UY"/>
        </w:rPr>
        <w:t>Nota de la Secretaría</w:t>
      </w:r>
    </w:p>
    <w:p w14:paraId="62A2FC59" w14:textId="56EA7BF0" w:rsidR="00FA18C9" w:rsidRPr="006B7008" w:rsidRDefault="00A43334" w:rsidP="00D1697D">
      <w:pPr>
        <w:pStyle w:val="CBDH1"/>
        <w:rPr>
          <w:lang w:val="es-UY"/>
        </w:rPr>
      </w:pPr>
      <w:r w:rsidRPr="006B7008">
        <w:rPr>
          <w:lang w:val="es-UY"/>
        </w:rPr>
        <w:t>I.</w:t>
      </w:r>
      <w:r w:rsidRPr="006B7008">
        <w:rPr>
          <w:lang w:val="es-UY"/>
        </w:rPr>
        <w:tab/>
        <w:t>Introducción</w:t>
      </w:r>
    </w:p>
    <w:p w14:paraId="2B2A5FDA" w14:textId="2EE662B1" w:rsidR="00F82296" w:rsidRPr="006B7008" w:rsidRDefault="00F82296" w:rsidP="00D1697D">
      <w:pPr>
        <w:pStyle w:val="CBDNormalNumber"/>
        <w:rPr>
          <w:lang w:val="es-UY"/>
        </w:rPr>
      </w:pPr>
      <w:r w:rsidRPr="006B7008">
        <w:rPr>
          <w:lang w:val="es-UY"/>
        </w:rPr>
        <w:t>La Secretaría sigue cooperando con otras organizaciones, organismos establecidos en virtud de otros convenios e iniciativas pertinentes que contribuyen a la labor realizada en el marco del Protocolo de Cartagena sobre Seguridad de la Biotecnología. En la presente nota se ofrece un resumen de las medidas adoptadas por la Secretaría a este respecto con el objetivo de crear sinergias entre programas relacionados con la seguridad de la biotecnología en general y de garantizar la aplicación efectiva del Protocolo en particular.</w:t>
      </w:r>
    </w:p>
    <w:p w14:paraId="53EA623A" w14:textId="4393338A" w:rsidR="00F37CCF" w:rsidRPr="006B7008" w:rsidRDefault="00F329E8" w:rsidP="00D1697D">
      <w:pPr>
        <w:pStyle w:val="CBDNormalNumber"/>
        <w:rPr>
          <w:lang w:val="es-UY"/>
        </w:rPr>
      </w:pPr>
      <w:r>
        <w:rPr>
          <w:lang w:val="es-UY"/>
        </w:rPr>
        <w:t>La meta</w:t>
      </w:r>
      <w:r w:rsidR="00F82296" w:rsidRPr="006B7008">
        <w:rPr>
          <w:lang w:val="es-UY"/>
        </w:rPr>
        <w:t xml:space="preserve"> B.4 del Plan de Aplicación para el Protocolo de Cartagena sobre Seguridad de la Biotecnología</w:t>
      </w:r>
      <w:r w:rsidR="001500C4" w:rsidRPr="006B7008">
        <w:rPr>
          <w:rStyle w:val="FootnoteReference"/>
          <w:kern w:val="22"/>
          <w:lang w:val="es-UY"/>
        </w:rPr>
        <w:footnoteReference w:id="3"/>
      </w:r>
      <w:r w:rsidR="00F82296" w:rsidRPr="006B7008">
        <w:rPr>
          <w:lang w:val="es-UY"/>
        </w:rPr>
        <w:t xml:space="preserve">, que fue adoptado por la Conferencia de las Partes que actúa como reunión de las Partes en el Protocolo en su décima reunión, incluye, como parte del </w:t>
      </w:r>
      <w:r w:rsidR="003F2D01">
        <w:rPr>
          <w:lang w:val="es-UY"/>
        </w:rPr>
        <w:t>“</w:t>
      </w:r>
      <w:r w:rsidR="00F82296" w:rsidRPr="006B7008">
        <w:rPr>
          <w:lang w:val="es-UY"/>
        </w:rPr>
        <w:t>entorno propicio</w:t>
      </w:r>
      <w:r w:rsidR="003F2D01">
        <w:rPr>
          <w:lang w:val="es-UY"/>
        </w:rPr>
        <w:t>”</w:t>
      </w:r>
      <w:r w:rsidR="003F2D01" w:rsidRPr="006B7008">
        <w:rPr>
          <w:lang w:val="es-UY"/>
        </w:rPr>
        <w:t xml:space="preserve">, </w:t>
      </w:r>
      <w:r w:rsidR="00F82296" w:rsidRPr="006B7008">
        <w:rPr>
          <w:lang w:val="es-UY"/>
        </w:rPr>
        <w:t>elementos específicos, incluidos indicadores concretos, destinados a garantizar que las Partes intensifiquen la cooperación y la coordinación en materia de seguridad de la biotecnología en los planos nacional, regional e internacional.</w:t>
      </w:r>
    </w:p>
    <w:p w14:paraId="3B0FFF2F" w14:textId="5F56A26A" w:rsidR="00D3059B" w:rsidRPr="006B7008" w:rsidRDefault="00F82296" w:rsidP="00D1697D">
      <w:pPr>
        <w:pStyle w:val="CBDH1"/>
        <w:tabs>
          <w:tab w:val="clear" w:pos="2835"/>
          <w:tab w:val="clear" w:pos="3402"/>
        </w:tabs>
        <w:rPr>
          <w:szCs w:val="28"/>
          <w:lang w:val="es-UY"/>
        </w:rPr>
      </w:pPr>
      <w:r w:rsidRPr="006B7008">
        <w:rPr>
          <w:lang w:val="es-UY"/>
        </w:rPr>
        <w:t>II.</w:t>
      </w:r>
      <w:r w:rsidRPr="006B7008">
        <w:rPr>
          <w:lang w:val="es-UY"/>
        </w:rPr>
        <w:tab/>
        <w:t>Reseña de las actividades de cooperación en curso</w:t>
      </w:r>
    </w:p>
    <w:p w14:paraId="581FCD93" w14:textId="15306E22" w:rsidR="00F82296" w:rsidRPr="006B7008" w:rsidRDefault="008E5B81" w:rsidP="00D1697D">
      <w:pPr>
        <w:pStyle w:val="CBDH2"/>
        <w:numPr>
          <w:ilvl w:val="0"/>
          <w:numId w:val="0"/>
        </w:numPr>
        <w:ind w:left="567" w:hanging="567"/>
        <w:rPr>
          <w:lang w:val="es-UY"/>
        </w:rPr>
      </w:pPr>
      <w:r w:rsidRPr="006B7008">
        <w:rPr>
          <w:lang w:val="es-UY"/>
        </w:rPr>
        <w:t>A.</w:t>
      </w:r>
      <w:r w:rsidRPr="006B7008">
        <w:rPr>
          <w:lang w:val="es-UY"/>
        </w:rPr>
        <w:tab/>
        <w:t>Iniciativa Aduanas Verdes</w:t>
      </w:r>
    </w:p>
    <w:p w14:paraId="2CF97A66" w14:textId="176FFFB0" w:rsidR="00C42374" w:rsidRPr="006B7008" w:rsidRDefault="004C4F71" w:rsidP="00D1697D">
      <w:pPr>
        <w:pStyle w:val="CBDNormalNumber"/>
        <w:rPr>
          <w:lang w:val="es-UY"/>
        </w:rPr>
      </w:pPr>
      <w:r w:rsidRPr="006B7008">
        <w:rPr>
          <w:lang w:val="es-UY"/>
        </w:rPr>
        <w:t xml:space="preserve">La Secretaría ha seguido colaborando como asociado participante en la Iniciativa Aduanas Verdes. El objetivo de la Iniciativa es mejorar la capacidad de las aduanas y otras autoridades de control fronterizo pertinentes para supervisar y facilitar el comercio legal y detectar y prevenir el </w:t>
      </w:r>
      <w:r w:rsidRPr="006B7008">
        <w:rPr>
          <w:lang w:val="es-UY"/>
        </w:rPr>
        <w:lastRenderedPageBreak/>
        <w:t>comercio ilegal de bienes y productos básicos ambientalmente sensibles cubiertos por convenios relacionados con el comercio y acuerdos medioambientales multilaterales.</w:t>
      </w:r>
    </w:p>
    <w:p w14:paraId="79D96348" w14:textId="6D6F4463" w:rsidR="00C42374" w:rsidRPr="006B7008" w:rsidRDefault="00C42374" w:rsidP="00D1697D">
      <w:pPr>
        <w:pStyle w:val="CBDNormalNumber"/>
        <w:rPr>
          <w:lang w:val="es-UY"/>
        </w:rPr>
      </w:pPr>
      <w:r w:rsidRPr="006B7008">
        <w:rPr>
          <w:lang w:val="es-UY"/>
        </w:rPr>
        <w:t>Durante el intervalo entre períodos de sesiones, la Secretaría participó en las reuniones de coordinación 17</w:t>
      </w:r>
      <w:r w:rsidRPr="006B7008">
        <w:rPr>
          <w:vertAlign w:val="superscript"/>
          <w:lang w:val="es-UY"/>
        </w:rPr>
        <w:t>a</w:t>
      </w:r>
      <w:r w:rsidRPr="006B7008">
        <w:rPr>
          <w:lang w:val="es-UY"/>
        </w:rPr>
        <w:t xml:space="preserve"> y 18</w:t>
      </w:r>
      <w:r w:rsidRPr="006B7008">
        <w:rPr>
          <w:vertAlign w:val="superscript"/>
          <w:lang w:val="es-UY"/>
        </w:rPr>
        <w:t>a</w:t>
      </w:r>
      <w:r w:rsidRPr="006B7008">
        <w:rPr>
          <w:lang w:val="es-UY"/>
        </w:rPr>
        <w:t xml:space="preserve"> de los asociados de la Iniciativa Aduanas Verdes. En cada reunión, los asociados de la Iniciativa de Aduanas Verdes compartieron una descripción general de las actividades pertinentes realizadas desde la reunión anterior y de las previstas para el año siguiente, con miras a coordinar las actividades de creación de capacidad e identificar oportunidades de colaboración. Los asociados también debatieron la traducción al árabe, chino y ruso de la </w:t>
      </w:r>
      <w:r w:rsidRPr="006B7008">
        <w:rPr>
          <w:i/>
          <w:iCs/>
          <w:lang w:val="es-UY"/>
        </w:rPr>
        <w:t>Guía de Aduanas Verdes para acuerdos multilaterales sobre el medioambiente</w:t>
      </w:r>
      <w:r w:rsidRPr="006B7008">
        <w:rPr>
          <w:lang w:val="es-UY"/>
        </w:rPr>
        <w:t xml:space="preserve">, así como iniciativas para la movilización de recursos y la mejora de la visibilidad y el impacto de la labor de la Iniciativa. </w:t>
      </w:r>
    </w:p>
    <w:p w14:paraId="4D56F1A4" w14:textId="6533E8A1" w:rsidR="00F82296" w:rsidRPr="006B7008" w:rsidRDefault="008E5B81" w:rsidP="00D1697D">
      <w:pPr>
        <w:pStyle w:val="CBDH2"/>
        <w:numPr>
          <w:ilvl w:val="0"/>
          <w:numId w:val="0"/>
        </w:numPr>
        <w:ind w:left="567" w:hanging="567"/>
        <w:jc w:val="left"/>
        <w:rPr>
          <w:b w:val="0"/>
          <w:bCs/>
          <w:szCs w:val="24"/>
          <w:lang w:val="es-UY"/>
        </w:rPr>
      </w:pPr>
      <w:r w:rsidRPr="006B7008">
        <w:rPr>
          <w:lang w:val="es-UY"/>
        </w:rPr>
        <w:t>B.</w:t>
      </w:r>
      <w:r w:rsidRPr="006B7008">
        <w:rPr>
          <w:lang w:val="es-UY"/>
        </w:rPr>
        <w:tab/>
        <w:t>Cooperación con la Organización Mundial del Comercio</w:t>
      </w:r>
    </w:p>
    <w:p w14:paraId="6C138F9A" w14:textId="012D1C77" w:rsidR="00F82296" w:rsidRPr="006B7008" w:rsidRDefault="00F82296" w:rsidP="00D1697D">
      <w:pPr>
        <w:pStyle w:val="CBDNormalNumber"/>
        <w:rPr>
          <w:lang w:val="es-UY"/>
        </w:rPr>
      </w:pPr>
      <w:r w:rsidRPr="006B7008">
        <w:rPr>
          <w:lang w:val="es-UY"/>
        </w:rPr>
        <w:t xml:space="preserve">La Secretaría ha continuado la coordinación y cooperación con la Organización Mundial del Comercio (OMC) y </w:t>
      </w:r>
      <w:r w:rsidR="00D630B5">
        <w:rPr>
          <w:lang w:val="es-UY"/>
        </w:rPr>
        <w:t>ha seguido</w:t>
      </w:r>
      <w:r w:rsidR="00D630B5" w:rsidRPr="006B7008">
        <w:rPr>
          <w:lang w:val="es-UY"/>
        </w:rPr>
        <w:t xml:space="preserve"> </w:t>
      </w:r>
      <w:r w:rsidRPr="006B7008">
        <w:rPr>
          <w:lang w:val="es-UY"/>
        </w:rPr>
        <w:t xml:space="preserve">las deliberaciones y negociaciones en los comités establecidos en el marco de dicha organización, en particular mediante la coordinación con el personal de la Secretaría de la OMC. Se proporcionó información al Comité de Comercio y Medio Ambiente de la OMC relativa a las decisiones pertinentes de la Conferencia de las Partes en el Convenio sobre la Diversidad Biológica y de la Conferencia de las Partes que actúa como reunión de las Partes en el Protocolo de Cartagena. La Secretaría asiste en calidad de observador a las sesiones ordinarias de dicho </w:t>
      </w:r>
      <w:r w:rsidR="0020413A" w:rsidRPr="006B7008">
        <w:rPr>
          <w:lang w:val="es-UY"/>
        </w:rPr>
        <w:t>C</w:t>
      </w:r>
      <w:r w:rsidRPr="006B7008">
        <w:rPr>
          <w:lang w:val="es-UY"/>
        </w:rPr>
        <w:t xml:space="preserve">omité. </w:t>
      </w:r>
    </w:p>
    <w:p w14:paraId="7AF95F74" w14:textId="28B9DB08" w:rsidR="00F82296" w:rsidRPr="006B7008" w:rsidRDefault="008E5B81" w:rsidP="00D1697D">
      <w:pPr>
        <w:pStyle w:val="CBDH2"/>
        <w:numPr>
          <w:ilvl w:val="0"/>
          <w:numId w:val="0"/>
        </w:numPr>
        <w:ind w:left="567" w:hanging="567"/>
        <w:jc w:val="left"/>
        <w:rPr>
          <w:b w:val="0"/>
          <w:bCs/>
          <w:szCs w:val="24"/>
          <w:lang w:val="es-UY"/>
        </w:rPr>
      </w:pPr>
      <w:r w:rsidRPr="006B7008">
        <w:rPr>
          <w:lang w:val="es-UY"/>
        </w:rPr>
        <w:t>C.</w:t>
      </w:r>
      <w:r w:rsidRPr="006B7008">
        <w:rPr>
          <w:lang w:val="es-UY"/>
        </w:rPr>
        <w:tab/>
        <w:t>Grupo de Trabajo sobre Armonización de la Vigilancia Normativa en materia de Biotecnología de la Organización para la Cooperación y el Desarrollo Económicos</w:t>
      </w:r>
    </w:p>
    <w:p w14:paraId="777282CD" w14:textId="3AA9A0DA" w:rsidR="00F82296" w:rsidRPr="006B7008" w:rsidRDefault="6E2B097A" w:rsidP="00D1697D">
      <w:pPr>
        <w:pStyle w:val="CBDNormalNumber"/>
        <w:rPr>
          <w:lang w:val="es-UY"/>
        </w:rPr>
      </w:pPr>
      <w:r w:rsidRPr="006B7008">
        <w:rPr>
          <w:lang w:val="es-UY"/>
        </w:rPr>
        <w:t xml:space="preserve">La Secretaría </w:t>
      </w:r>
      <w:r w:rsidR="008C7F89">
        <w:rPr>
          <w:lang w:val="es-UY"/>
        </w:rPr>
        <w:t>siguió</w:t>
      </w:r>
      <w:r w:rsidRPr="006B7008">
        <w:rPr>
          <w:lang w:val="es-UY"/>
        </w:rPr>
        <w:t xml:space="preserve"> colaborando con el Grupo de Trabajo sobre Armonización de la Vigilancia Normativa en materia de Biotecnología de la Organización para la Cooperación y el Desarrollo Económicos y participó en sus reuniones 37</w:t>
      </w:r>
      <w:r w:rsidRPr="006B7008">
        <w:rPr>
          <w:vertAlign w:val="superscript"/>
          <w:lang w:val="es-UY"/>
        </w:rPr>
        <w:t>a</w:t>
      </w:r>
      <w:r w:rsidRPr="006B7008">
        <w:rPr>
          <w:lang w:val="es-UY"/>
        </w:rPr>
        <w:t xml:space="preserve"> y 38</w:t>
      </w:r>
      <w:r w:rsidRPr="006B7008">
        <w:rPr>
          <w:vertAlign w:val="superscript"/>
          <w:lang w:val="es-UY"/>
        </w:rPr>
        <w:t>a</w:t>
      </w:r>
      <w:r w:rsidRPr="006B7008">
        <w:rPr>
          <w:lang w:val="es-UY"/>
        </w:rPr>
        <w:t>. De este modo, la Secretaría pudo contribuir a los debates sobre temas de interés para el Protocolo de Cartagena, y renovar la solicitud de asistencia destinada al desarrollo de identificadores únicos para animales vivos y microorganismos modificados, que se está estudiando actualmente. El Grupo de Trabajo sobre Armonización de la Vigilancia Normativa en materia de Biotecnología adoptó en su 37</w:t>
      </w:r>
      <w:r w:rsidRPr="006B7008">
        <w:rPr>
          <w:vertAlign w:val="superscript"/>
          <w:lang w:val="es-UY"/>
        </w:rPr>
        <w:t>a</w:t>
      </w:r>
      <w:r w:rsidRPr="006B7008">
        <w:rPr>
          <w:lang w:val="es-UY"/>
        </w:rPr>
        <w:t xml:space="preserve"> reunión el documento de consenso sobre consideraciones medioambientales para la evaluación del riesgo/la seguridad de la liberación de plantas transgénicas</w:t>
      </w:r>
      <w:r w:rsidR="00830579" w:rsidRPr="006B7008">
        <w:rPr>
          <w:rStyle w:val="FootnoteReference"/>
          <w:lang w:val="es-UY"/>
        </w:rPr>
        <w:footnoteReference w:id="4"/>
      </w:r>
      <w:r w:rsidRPr="006B7008">
        <w:rPr>
          <w:lang w:val="es-UY"/>
        </w:rPr>
        <w:t>, que ahora está disponible como recurso en la biblioteca del Centro de Intercambio de Información sobre Seguridad de la Biotecnología.</w:t>
      </w:r>
    </w:p>
    <w:p w14:paraId="7B115085" w14:textId="2C9BFDE4" w:rsidR="00F37CCF" w:rsidRPr="006B7008" w:rsidRDefault="00F37CCF" w:rsidP="00D1697D">
      <w:pPr>
        <w:pStyle w:val="CBDH2"/>
        <w:numPr>
          <w:ilvl w:val="0"/>
          <w:numId w:val="0"/>
        </w:numPr>
        <w:ind w:left="567" w:hanging="567"/>
        <w:jc w:val="left"/>
        <w:rPr>
          <w:b w:val="0"/>
          <w:bCs/>
          <w:szCs w:val="24"/>
          <w:lang w:val="es-UY"/>
        </w:rPr>
      </w:pPr>
      <w:r w:rsidRPr="006B7008">
        <w:rPr>
          <w:lang w:val="es-UY"/>
        </w:rPr>
        <w:t>D.</w:t>
      </w:r>
      <w:r w:rsidRPr="006B7008">
        <w:rPr>
          <w:lang w:val="es-UY"/>
        </w:rPr>
        <w:tab/>
        <w:t>Cooperación con la Convención de Aarhus sobre el acceso a la información y la participación del público</w:t>
      </w:r>
    </w:p>
    <w:p w14:paraId="624B069C" w14:textId="440E5D97" w:rsidR="00F37CCF" w:rsidRPr="006B7008" w:rsidRDefault="00F37CCF" w:rsidP="00D1697D">
      <w:pPr>
        <w:pStyle w:val="CBDNormalNumber"/>
        <w:rPr>
          <w:lang w:val="es-UY"/>
        </w:rPr>
      </w:pPr>
      <w:r w:rsidRPr="006B7008">
        <w:rPr>
          <w:lang w:val="es-UY"/>
        </w:rPr>
        <w:t>La Secretaría del Convenio sobre la Diversidad Biológica ha seguido colaborando con la Secretaría de la Convención sobre el Acceso a la Información, la Participación del Público en la Toma de Decisiones y el Acceso a la Justicia en Asuntos Ambientales (Convenio de Aarhus).</w:t>
      </w:r>
    </w:p>
    <w:p w14:paraId="73497818" w14:textId="188C97B3" w:rsidR="00F37CCF" w:rsidRPr="006B7008" w:rsidRDefault="00F37CCF" w:rsidP="00D1697D">
      <w:pPr>
        <w:pStyle w:val="CBDNormalNumber"/>
        <w:rPr>
          <w:rStyle w:val="s1"/>
          <w:rFonts w:asciiTheme="majorBidi" w:hAnsiTheme="majorBidi" w:cstheme="majorBidi"/>
          <w:sz w:val="22"/>
          <w:szCs w:val="22"/>
          <w:lang w:val="es-UY"/>
        </w:rPr>
      </w:pPr>
      <w:r w:rsidRPr="006B7008">
        <w:rPr>
          <w:rStyle w:val="s1"/>
          <w:rFonts w:ascii="Times New Roman" w:hAnsi="Times New Roman"/>
          <w:sz w:val="22"/>
          <w:szCs w:val="22"/>
          <w:lang w:val="es-UY"/>
        </w:rPr>
        <w:t>La</w:t>
      </w:r>
      <w:r w:rsidRPr="006B7008">
        <w:rPr>
          <w:lang w:val="es-UY"/>
        </w:rPr>
        <w:t xml:space="preserve"> Secretaría </w:t>
      </w:r>
      <w:r w:rsidRPr="006B7008">
        <w:rPr>
          <w:rStyle w:val="s1"/>
          <w:rFonts w:ascii="Times New Roman" w:hAnsi="Times New Roman"/>
          <w:sz w:val="22"/>
          <w:szCs w:val="22"/>
          <w:lang w:val="es-UY"/>
        </w:rPr>
        <w:t>coorganizó en Ginebra la cuarta mesa redonda conjunta de ambos convenios sobre concienciación pública, educación, acceso a la información, participación del público y acceso a la justicia en relación con los organismos vivos modificados y los organismos modificados genéticamente, los días 11 y 12 de diciembre de 2023</w:t>
      </w:r>
      <w:r w:rsidRPr="006B7008">
        <w:rPr>
          <w:rStyle w:val="FootnoteReference"/>
          <w:rFonts w:asciiTheme="majorBidi" w:hAnsiTheme="majorBidi" w:cstheme="majorBidi"/>
          <w:color w:val="000000"/>
          <w:lang w:val="es-UY"/>
        </w:rPr>
        <w:footnoteReference w:id="5"/>
      </w:r>
      <w:r w:rsidR="00D630B5" w:rsidRPr="006B7008">
        <w:rPr>
          <w:lang w:val="es-UY"/>
        </w:rPr>
        <w:t>.</w:t>
      </w:r>
      <w:r w:rsidRPr="006B7008">
        <w:rPr>
          <w:rStyle w:val="s1"/>
          <w:rFonts w:asciiTheme="majorBidi" w:hAnsiTheme="majorBidi"/>
          <w:sz w:val="22"/>
          <w:szCs w:val="22"/>
          <w:lang w:val="es-UY"/>
        </w:rPr>
        <w:t xml:space="preserve"> </w:t>
      </w:r>
    </w:p>
    <w:p w14:paraId="2E935C23" w14:textId="5072D1D5" w:rsidR="00F37CCF" w:rsidRPr="006B7008" w:rsidRDefault="00F37CCF" w:rsidP="00D1697D">
      <w:pPr>
        <w:pStyle w:val="CBDH2"/>
        <w:numPr>
          <w:ilvl w:val="0"/>
          <w:numId w:val="0"/>
        </w:numPr>
        <w:ind w:left="567" w:hanging="567"/>
        <w:jc w:val="left"/>
        <w:rPr>
          <w:bCs/>
          <w:szCs w:val="24"/>
          <w:lang w:val="es-UY"/>
        </w:rPr>
      </w:pPr>
      <w:r w:rsidRPr="006B7008">
        <w:rPr>
          <w:lang w:val="es-UY"/>
        </w:rPr>
        <w:t>E.</w:t>
      </w:r>
      <w:r w:rsidRPr="006B7008">
        <w:rPr>
          <w:lang w:val="es-UY"/>
        </w:rPr>
        <w:tab/>
        <w:t>Cooperación con el Programa de las Naciones Unidas para el Medio Ambiente en relación con el Centro de Intercambio de Información sobre Seguridad de la Biotecnología</w:t>
      </w:r>
    </w:p>
    <w:p w14:paraId="66428813" w14:textId="429DCB8F" w:rsidR="00F37CCF" w:rsidRPr="006B7008" w:rsidRDefault="00F37CCF" w:rsidP="00D1697D">
      <w:pPr>
        <w:pStyle w:val="CBDNormalNumber"/>
        <w:rPr>
          <w:b/>
          <w:bCs/>
          <w:lang w:val="es-UY"/>
        </w:rPr>
      </w:pPr>
      <w:r w:rsidRPr="006B7008">
        <w:rPr>
          <w:lang w:val="es-UY"/>
        </w:rPr>
        <w:t xml:space="preserve">La Secretaría colaboró estrechamente con el proyecto del Programa de las Naciones Unidas para el Medio Ambiente (PNUMA) y el Fondo para el Medio Ambiente Mundial destinado a crear capacidad para la participación efectiva en el Centro de Intercambio de Información sobre Seguridad de la Biotecnología (fase III), prestando asistencia en las actividades de formación dirigidas a los asesores regionales y a los puntos focales nacionales de dicho Centro. </w:t>
      </w:r>
    </w:p>
    <w:p w14:paraId="216B272F" w14:textId="6D107DB0" w:rsidR="00F37CCF" w:rsidRPr="006B7008" w:rsidRDefault="00F37CCF" w:rsidP="00D1697D">
      <w:pPr>
        <w:pStyle w:val="CBDNormalNumber"/>
        <w:rPr>
          <w:b/>
          <w:bCs/>
          <w:lang w:val="es-UY"/>
        </w:rPr>
      </w:pPr>
      <w:r w:rsidRPr="006B7008">
        <w:rPr>
          <w:lang w:val="es-UY"/>
        </w:rPr>
        <w:t>La Secretaría también colaboró con el PNUMA para acoger y organizar dos talleres regionales de formación acerca del Centro de Intercambio de Información sobre Seguridad de la Biotecnología, uno en Ankara, para la región de Europa central y oriental, y otro en Auckland (Nueva Zeland</w:t>
      </w:r>
      <w:r w:rsidR="004D7B92">
        <w:rPr>
          <w:lang w:val="es-UY"/>
        </w:rPr>
        <w:t>i</w:t>
      </w:r>
      <w:r w:rsidRPr="006B7008">
        <w:rPr>
          <w:lang w:val="es-UY"/>
        </w:rPr>
        <w:t>a), para la región del Pacífico.</w:t>
      </w:r>
    </w:p>
    <w:p w14:paraId="29C89BE3" w14:textId="7E606433" w:rsidR="00F82296" w:rsidRPr="006B7008" w:rsidRDefault="00F37CCF" w:rsidP="00D1697D">
      <w:pPr>
        <w:pStyle w:val="CBDH2"/>
        <w:numPr>
          <w:ilvl w:val="0"/>
          <w:numId w:val="0"/>
        </w:numPr>
        <w:ind w:left="567" w:hanging="567"/>
        <w:rPr>
          <w:bCs/>
          <w:szCs w:val="24"/>
          <w:lang w:val="es-UY"/>
        </w:rPr>
      </w:pPr>
      <w:r w:rsidRPr="006B7008">
        <w:rPr>
          <w:lang w:val="es-UY"/>
        </w:rPr>
        <w:t>F.</w:t>
      </w:r>
      <w:r w:rsidRPr="006B7008">
        <w:rPr>
          <w:lang w:val="es-UY"/>
        </w:rPr>
        <w:tab/>
        <w:t>Otras actividades de cooperación en cuestiones técnicas y científicas</w:t>
      </w:r>
    </w:p>
    <w:p w14:paraId="4C5383F9" w14:textId="5F295363" w:rsidR="00F82296" w:rsidRPr="006B7008" w:rsidRDefault="00F82296" w:rsidP="00D1697D">
      <w:pPr>
        <w:pStyle w:val="CBDNormalNumber"/>
        <w:rPr>
          <w:b/>
          <w:bCs/>
          <w:lang w:val="es-UY"/>
        </w:rPr>
      </w:pPr>
      <w:r w:rsidRPr="006B7008">
        <w:rPr>
          <w:lang w:val="es-UY"/>
        </w:rPr>
        <w:t>La Secretaría ha seguido colaborando con organizaciones pertinentes en sus iniciativas para facilitar la creación de capacidad y la cooperación técnica entre las Partes en el contexto de la evaluación de riesgos, la biología sintética y la detección e identificación de organismos vivos modificados.</w:t>
      </w:r>
    </w:p>
    <w:p w14:paraId="1F714505" w14:textId="1592F19E" w:rsidR="00F82296" w:rsidRPr="006B7008" w:rsidRDefault="00024D52" w:rsidP="00D1697D">
      <w:pPr>
        <w:pStyle w:val="CBDNormalNumber"/>
        <w:rPr>
          <w:lang w:val="es-UY"/>
        </w:rPr>
      </w:pPr>
      <w:r w:rsidRPr="006B7008">
        <w:rPr>
          <w:lang w:val="es-UY"/>
        </w:rPr>
        <w:t xml:space="preserve">La Secretaría organizó un taller mundial presencial con el tema </w:t>
      </w:r>
      <w:r w:rsidR="00E11ED2">
        <w:rPr>
          <w:lang w:val="es-UY"/>
        </w:rPr>
        <w:t>“</w:t>
      </w:r>
      <w:r w:rsidRPr="006B7008">
        <w:rPr>
          <w:lang w:val="es-UY"/>
        </w:rPr>
        <w:t>Avances en la evaluación de riesgos: veinte años de teoría y práctica</w:t>
      </w:r>
      <w:r w:rsidR="00E11ED2">
        <w:rPr>
          <w:lang w:val="es-UY"/>
        </w:rPr>
        <w:t>”</w:t>
      </w:r>
      <w:r w:rsidR="00E11ED2" w:rsidRPr="006B7008">
        <w:rPr>
          <w:lang w:val="es-UY"/>
        </w:rPr>
        <w:t xml:space="preserve">, </w:t>
      </w:r>
      <w:r w:rsidRPr="006B7008">
        <w:rPr>
          <w:lang w:val="es-UY"/>
        </w:rPr>
        <w:t>en Montreal, Canadá, los días 30 y 31 de octubre de 2023. Los participantes en el taller estudiaron el avance de las prácticas relacionadas con la evaluación del riesgo y gestión del riesgo de organismos vivos modificados, con el fin de garantizar el uso seguro y responsable de dichos organismos de forma que se proteja la salud humana y el medio ambiente.</w:t>
      </w:r>
    </w:p>
    <w:p w14:paraId="3CA757FB" w14:textId="76A5D489" w:rsidR="00F82296" w:rsidRPr="006B7008" w:rsidRDefault="00F82296" w:rsidP="00D1697D">
      <w:pPr>
        <w:pStyle w:val="CBDNormalNumber"/>
        <w:rPr>
          <w:lang w:val="es-UY"/>
        </w:rPr>
      </w:pPr>
      <w:r w:rsidRPr="006B7008">
        <w:rPr>
          <w:lang w:val="es-UY"/>
        </w:rPr>
        <w:t>El taller contó con la presencia de 43 participantes y sirvió de plataforma para que expertos e interesados de todo el mundo se reunieran e intercambiaran conocimientos, experiencias y buenas prácticas. El taller se centró en mejorar la comprensión de los marcos normativos, las metodologías y los procesos de toma de decisiones en torno a la evaluación del riesgo de los organismos vivos modificados, así como en examinar los nuevos retos y las posibles soluciones</w:t>
      </w:r>
      <w:r w:rsidR="00D76317" w:rsidRPr="006B7008">
        <w:rPr>
          <w:rStyle w:val="FootnoteReference"/>
          <w:kern w:val="22"/>
          <w:lang w:val="es-UY"/>
        </w:rPr>
        <w:footnoteReference w:id="6"/>
      </w:r>
      <w:r w:rsidRPr="006B7008">
        <w:rPr>
          <w:lang w:val="es-UY"/>
        </w:rPr>
        <w:t>.</w:t>
      </w:r>
    </w:p>
    <w:p w14:paraId="5FAD8C55" w14:textId="152A09FC" w:rsidR="00F82296" w:rsidRPr="006B7008" w:rsidRDefault="00F82296" w:rsidP="001B5682">
      <w:pPr>
        <w:pStyle w:val="CBDNormalNumber"/>
        <w:rPr>
          <w:b/>
          <w:bCs/>
          <w:lang w:val="es-UY"/>
        </w:rPr>
      </w:pPr>
      <w:r w:rsidRPr="006B7008">
        <w:rPr>
          <w:lang w:val="es-UY"/>
        </w:rPr>
        <w:t xml:space="preserve">La Secretaría también colaboró con el Instituto Federal para la Evaluación del Riesgo, la Oficina Federal de Protección del Consumidor y Seguridad Alimentaria y el Ministerio Federal de Alimentación y Agricultura de Alemania, el Instituto Julius </w:t>
      </w:r>
      <w:proofErr w:type="spellStart"/>
      <w:r w:rsidRPr="006B7008">
        <w:rPr>
          <w:lang w:val="es-UY"/>
        </w:rPr>
        <w:t>Kühn</w:t>
      </w:r>
      <w:proofErr w:type="spellEnd"/>
      <w:r w:rsidRPr="006B7008">
        <w:rPr>
          <w:lang w:val="es-UY"/>
        </w:rPr>
        <w:t xml:space="preserve"> y el Centro Común de Investigación de la Comisión Europea para convocar la Conferencia Internacional sobre Análisis de </w:t>
      </w:r>
      <w:proofErr w:type="spellStart"/>
      <w:r w:rsidRPr="006B7008">
        <w:rPr>
          <w:lang w:val="es-UY"/>
        </w:rPr>
        <w:t>OGM</w:t>
      </w:r>
      <w:proofErr w:type="spellEnd"/>
      <w:r w:rsidRPr="006B7008">
        <w:rPr>
          <w:lang w:val="es-UY"/>
        </w:rPr>
        <w:t xml:space="preserve"> y Nuevas Técnicas Genómicas en Berlín, del 14 al 16 de marzo de 2023. </w:t>
      </w:r>
      <w:r w:rsidR="001B5682" w:rsidRPr="001B5682">
        <w:rPr>
          <w:lang w:val="es-UY"/>
        </w:rPr>
        <w:t xml:space="preserve">Un total de 463 participantes de 55 países asistieron a la conferencia, de los cuales 270 asistieron a distancia. De ese total, el Gobierno de Alemania apoyó generosamente la participación de 17 participantes de 17 Partes, que asistieron en persona, así como de 3 participantes de 3 Partes, que </w:t>
      </w:r>
      <w:r w:rsidR="001B5682">
        <w:rPr>
          <w:lang w:val="es-UY"/>
        </w:rPr>
        <w:t>lo hicieron</w:t>
      </w:r>
      <w:r w:rsidR="001B5682" w:rsidRPr="001B5682">
        <w:rPr>
          <w:lang w:val="es-UY"/>
        </w:rPr>
        <w:t xml:space="preserve"> a distancia.</w:t>
      </w:r>
      <w:r w:rsidRPr="006B7008">
        <w:rPr>
          <w:lang w:val="es-UY"/>
        </w:rPr>
        <w:t xml:space="preserve"> Esta conferencia permitió a los expertos recibir información sobre los últimos avances en el campo de la detección e identificación de organismos vivos modificados, facilitó debates técnicos con base científica sobre dichos avances y brindó la oportunidad de establecer contactos para la colaboración internacional.</w:t>
      </w:r>
    </w:p>
    <w:p w14:paraId="5EF435A2" w14:textId="414C01F5" w:rsidR="00F82296" w:rsidRPr="006B7008" w:rsidRDefault="00F82296" w:rsidP="00D1697D">
      <w:pPr>
        <w:pStyle w:val="CBDNormalNumber"/>
        <w:rPr>
          <w:b/>
          <w:bCs/>
          <w:lang w:val="es-UY"/>
        </w:rPr>
      </w:pPr>
      <w:r w:rsidRPr="006B7008">
        <w:rPr>
          <w:lang w:val="es-UY"/>
        </w:rPr>
        <w:t xml:space="preserve">La Secretaría, la Organización de las Naciones Unidas para la Alimentación y la Agricultura (FAO) y la Organización para la Cooperación y el Desarrollo Económicos han seguido colaborando para lograr una mayor armonización, según procediera, de la información presentada a través del Centro de Intercambio de Información sobre Seguridad de la Biotecnología, la Plataforma de alimentos GM de la FAO y la base de datos de productos </w:t>
      </w:r>
      <w:proofErr w:type="spellStart"/>
      <w:r w:rsidRPr="006B7008">
        <w:rPr>
          <w:lang w:val="es-UY"/>
        </w:rPr>
        <w:t>BioTrack</w:t>
      </w:r>
      <w:proofErr w:type="spellEnd"/>
      <w:r w:rsidRPr="006B7008">
        <w:rPr>
          <w:lang w:val="es-UY"/>
        </w:rPr>
        <w:t xml:space="preserve"> de la Organización para la Cooperación y el Desarrollo Económicos. Además, la Secretaría ha estado en contacto con la Oficina Federal de Protección del Consumidor y Seguridad Alimentaria y el instituto de investigación </w:t>
      </w:r>
      <w:proofErr w:type="spellStart"/>
      <w:r w:rsidRPr="006B7008">
        <w:rPr>
          <w:lang w:val="es-UY"/>
        </w:rPr>
        <w:t>Wageningen</w:t>
      </w:r>
      <w:proofErr w:type="spellEnd"/>
      <w:r w:rsidRPr="006B7008">
        <w:rPr>
          <w:lang w:val="es-UY"/>
        </w:rPr>
        <w:t xml:space="preserve"> </w:t>
      </w:r>
      <w:proofErr w:type="spellStart"/>
      <w:r w:rsidRPr="006B7008">
        <w:rPr>
          <w:lang w:val="es-UY"/>
        </w:rPr>
        <w:t>Food</w:t>
      </w:r>
      <w:proofErr w:type="spellEnd"/>
      <w:r w:rsidRPr="006B7008">
        <w:rPr>
          <w:lang w:val="es-UY"/>
        </w:rPr>
        <w:t xml:space="preserve"> Safety </w:t>
      </w:r>
      <w:proofErr w:type="spellStart"/>
      <w:r w:rsidRPr="006B7008">
        <w:rPr>
          <w:lang w:val="es-UY"/>
        </w:rPr>
        <w:t>Research</w:t>
      </w:r>
      <w:proofErr w:type="spellEnd"/>
      <w:r w:rsidRPr="006B7008">
        <w:rPr>
          <w:lang w:val="es-UY"/>
        </w:rPr>
        <w:t xml:space="preserve"> con el objetivo de reforzar los vínculos entre la Iniciativa Europea sobre </w:t>
      </w:r>
      <w:proofErr w:type="spellStart"/>
      <w:r w:rsidRPr="006B7008">
        <w:rPr>
          <w:lang w:val="es-UY"/>
        </w:rPr>
        <w:t>OGM</w:t>
      </w:r>
      <w:proofErr w:type="spellEnd"/>
      <w:r w:rsidRPr="006B7008">
        <w:rPr>
          <w:lang w:val="es-UY"/>
        </w:rPr>
        <w:t xml:space="preserve"> para un Sistema de Base de Datos Unificado y el Centro de Intercambio de Información sobre Seguridad de la Biotecnología.</w:t>
      </w:r>
    </w:p>
    <w:p w14:paraId="2B7980A5" w14:textId="155EF698" w:rsidR="00F82296" w:rsidRPr="006B7008" w:rsidRDefault="00F82296" w:rsidP="00D1697D">
      <w:pPr>
        <w:pStyle w:val="CBDNormalNumber"/>
        <w:rPr>
          <w:b/>
          <w:bCs/>
          <w:lang w:val="es-UY"/>
        </w:rPr>
      </w:pPr>
      <w:r w:rsidRPr="006B7008">
        <w:rPr>
          <w:lang w:val="es-UY"/>
        </w:rPr>
        <w:t xml:space="preserve">La Secretaría ha seguido cooperando también con el Centro Internacional de Ingeniería Genética y Biotecnología. En respuesta a la decisión </w:t>
      </w:r>
      <w:hyperlink r:id="rId14" w:history="1">
        <w:r w:rsidRPr="006B7008">
          <w:rPr>
            <w:rStyle w:val="Hyperlink"/>
            <w:lang w:val="es-UY"/>
          </w:rPr>
          <w:t>CP-10/10</w:t>
        </w:r>
      </w:hyperlink>
      <w:r w:rsidRPr="006B7008">
        <w:rPr>
          <w:lang w:val="es-UY"/>
        </w:rPr>
        <w:t>, la Secretaría encargó la preparación de un esbozo detallado de materiales de orientación adicionales sobre la evaluación del riesgo de los</w:t>
      </w:r>
      <w:r w:rsidR="0020413A" w:rsidRPr="006B7008">
        <w:rPr>
          <w:lang w:val="es-UY"/>
        </w:rPr>
        <w:t xml:space="preserve"> </w:t>
      </w:r>
      <w:r w:rsidRPr="006B7008">
        <w:rPr>
          <w:lang w:val="es-UY"/>
        </w:rPr>
        <w:t>organismos vivos modificados que contengan impulsores genéticos modificados, que fue examinado por el Foro en Línea de Composición Abierta sobre Evaluación del Riesgo y sirvió de base para la elaboración de los materiales de orientación voluntarios adicionales por el Grupo Especial de Expertos Técnicos sobre Evaluación del Riesgo.</w:t>
      </w:r>
    </w:p>
    <w:p w14:paraId="687D7807" w14:textId="087CA8E7" w:rsidR="00F82296" w:rsidRPr="006B7008" w:rsidRDefault="00B629AE" w:rsidP="00D1697D">
      <w:pPr>
        <w:pStyle w:val="CBDNormalNumber"/>
        <w:rPr>
          <w:b/>
          <w:bCs/>
          <w:lang w:val="es-UY"/>
        </w:rPr>
      </w:pPr>
      <w:r w:rsidRPr="006B7008">
        <w:rPr>
          <w:lang w:val="es-UY"/>
        </w:rPr>
        <w:t>La Secretaría prosiguió además su colaboración con la Organización Mundial de la Salud en el marco del Grupo de Trabajo de las Naciones Unidas sobre los Riesgos Biológicos. El mandato del Grupo ha sido prorrogado por el Secretario General de las Naciones Unidas, y la Secretaría participó en las reuniones de coordinación del mismo. El Grupo ha seguido trabajando de acuerdo con su mandato, debatiendo, entre otros temas, sobre una plataforma digital de intercambio de información y conocimientos, un programa de intercambio de personal y la elaboración de procedimientos operativos normalizados para medidas de respuesta a escala de todo el sistema ante un acontecimiento biológico deliberado.</w:t>
      </w:r>
    </w:p>
    <w:p w14:paraId="3D22EB2D" w14:textId="486FBA68" w:rsidR="00F82296" w:rsidRPr="006B7008" w:rsidRDefault="00F82296" w:rsidP="00D1697D">
      <w:pPr>
        <w:pStyle w:val="CBDH1"/>
        <w:rPr>
          <w:bCs/>
          <w:lang w:val="es-UY"/>
        </w:rPr>
      </w:pPr>
      <w:r w:rsidRPr="006B7008">
        <w:rPr>
          <w:b w:val="0"/>
          <w:lang w:val="es-UY"/>
        </w:rPr>
        <w:t>III.</w:t>
      </w:r>
      <w:r w:rsidRPr="006B7008">
        <w:rPr>
          <w:lang w:val="es-UY"/>
        </w:rPr>
        <w:tab/>
        <w:t>Conclusiones</w:t>
      </w:r>
    </w:p>
    <w:p w14:paraId="3DFBACB9" w14:textId="1BF3D964" w:rsidR="00F82296" w:rsidRPr="006B7008" w:rsidRDefault="00F82296" w:rsidP="00D1697D">
      <w:pPr>
        <w:pStyle w:val="CBDNormalNumber"/>
        <w:rPr>
          <w:lang w:val="es-UY"/>
        </w:rPr>
      </w:pPr>
      <w:r w:rsidRPr="006B7008">
        <w:rPr>
          <w:lang w:val="es-UY"/>
        </w:rPr>
        <w:t xml:space="preserve">La cooperación con organizaciones internacionales, organismos creados en virtud de otros convenios e iniciativas, incluidas entidades </w:t>
      </w:r>
      <w:r w:rsidR="00E11ED2">
        <w:rPr>
          <w:lang w:val="es-UY"/>
        </w:rPr>
        <w:t>pertinentes</w:t>
      </w:r>
      <w:r w:rsidR="00E11ED2" w:rsidRPr="006B7008">
        <w:rPr>
          <w:lang w:val="es-UY"/>
        </w:rPr>
        <w:t xml:space="preserve"> </w:t>
      </w:r>
      <w:r w:rsidRPr="006B7008">
        <w:rPr>
          <w:lang w:val="es-UY"/>
        </w:rPr>
        <w:t>a escala nacional y regional, sigue siendo un elemento clave en la aplicación del Protocolo de Cartagena y en la labor de la Secretaría. La participación continua de la Secretaría en actividades de cooperación dependerá de la disponibilidad de recursos.</w:t>
      </w:r>
    </w:p>
    <w:p w14:paraId="1EE4A9E5" w14:textId="454F223E" w:rsidR="00F82296" w:rsidRPr="006B7008" w:rsidRDefault="00F82296" w:rsidP="00D1697D">
      <w:pPr>
        <w:pStyle w:val="CBDNormalNumber"/>
        <w:rPr>
          <w:lang w:val="es-UY"/>
        </w:rPr>
      </w:pPr>
      <w:r w:rsidRPr="006B7008">
        <w:rPr>
          <w:lang w:val="es-UY"/>
        </w:rPr>
        <w:t>Se invita a la Conferencia de las Partes que actúa como reunión de las Partes en el Protocolo de Cartagena a tomar nota del presente informe.</w:t>
      </w:r>
    </w:p>
    <w:p w14:paraId="676F2B99" w14:textId="77777777" w:rsidR="008E5B81" w:rsidRPr="006B7008" w:rsidRDefault="008E5B81" w:rsidP="6B2FD0FB">
      <w:pPr>
        <w:pStyle w:val="Para1"/>
        <w:ind w:left="0"/>
        <w:jc w:val="center"/>
        <w:rPr>
          <w:lang w:val="es-UY"/>
        </w:rPr>
      </w:pPr>
      <w:r w:rsidRPr="006B7008">
        <w:rPr>
          <w:lang w:val="es-UY"/>
        </w:rPr>
        <w:t xml:space="preserve"> _________</w:t>
      </w:r>
    </w:p>
    <w:p w14:paraId="6A9839FA" w14:textId="18F9F8CE" w:rsidR="002B559C" w:rsidRPr="006B7008" w:rsidRDefault="002B559C" w:rsidP="00294414">
      <w:pPr>
        <w:pStyle w:val="Para1"/>
        <w:ind w:left="0"/>
        <w:rPr>
          <w:lang w:val="es-UY"/>
        </w:rPr>
      </w:pPr>
    </w:p>
    <w:sectPr w:rsidR="002B559C" w:rsidRPr="006B7008" w:rsidSect="009C6F0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6A90D3" w14:textId="77777777" w:rsidR="00CD6AF3" w:rsidRPr="00A43334" w:rsidRDefault="00CD6AF3" w:rsidP="00A96B21">
      <w:r w:rsidRPr="00A43334">
        <w:separator/>
      </w:r>
    </w:p>
  </w:endnote>
  <w:endnote w:type="continuationSeparator" w:id="0">
    <w:p w14:paraId="0DFC618B" w14:textId="77777777" w:rsidR="00CD6AF3" w:rsidRPr="00A43334" w:rsidRDefault="00CD6AF3" w:rsidP="00A96B21">
      <w:r w:rsidRPr="00A43334">
        <w:continuationSeparator/>
      </w:r>
    </w:p>
  </w:endnote>
  <w:endnote w:type="continuationNotice" w:id="1">
    <w:p w14:paraId="1F65C82A" w14:textId="77777777" w:rsidR="00CD6AF3" w:rsidRDefault="00CD6A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3BF0C" w14:textId="1E28C868" w:rsidR="002B559C" w:rsidRPr="009A5C30" w:rsidRDefault="009A5C30" w:rsidP="009A5C30">
    <w:pPr>
      <w:pStyle w:val="Footer"/>
    </w:pPr>
    <w:r>
      <w:fldChar w:fldCharType="begin"/>
    </w:r>
    <w:r>
      <w:instrText xml:space="preserve"> PAGE </w:instrText>
    </w:r>
    <w:r>
      <w:fldChar w:fldCharType="separate"/>
    </w:r>
    <w:r w:rsidR="00984466">
      <w:rPr>
        <w:noProof/>
      </w:rPr>
      <w:t>4</w:t>
    </w:r>
    <w:r>
      <w:fldChar w:fldCharType="end"/>
    </w:r>
    <w:r>
      <w:t>/</w:t>
    </w:r>
    <w:fldSimple w:instr="NUMPAGES \* MERGEFORMAT">
      <w:r w:rsidR="00984466">
        <w:rPr>
          <w:noProof/>
        </w:rPr>
        <w:t>4</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91056" w14:textId="77CD9D2A" w:rsidR="002B559C" w:rsidRPr="009A5C30" w:rsidRDefault="009A5C30" w:rsidP="009A5C30">
    <w:pPr>
      <w:pStyle w:val="Footer"/>
      <w:jc w:val="right"/>
    </w:pPr>
    <w:r>
      <w:fldChar w:fldCharType="begin"/>
    </w:r>
    <w:r>
      <w:instrText xml:space="preserve"> PAGE \* MERGEFORMAT </w:instrText>
    </w:r>
    <w:r>
      <w:fldChar w:fldCharType="separate"/>
    </w:r>
    <w:r w:rsidR="001B5682">
      <w:rPr>
        <w:noProof/>
      </w:rPr>
      <w:t>3</w:t>
    </w:r>
    <w:r>
      <w:fldChar w:fldCharType="end"/>
    </w:r>
    <w:r>
      <w:t>/</w:t>
    </w:r>
    <w:fldSimple w:instr="NUMPAGES \* MERGEFORMAT">
      <w:r w:rsidR="001B5682">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4D0C4" w14:textId="77777777" w:rsidR="00CD6AF3" w:rsidRPr="00A43334" w:rsidRDefault="00CD6AF3" w:rsidP="00A96B21">
      <w:r w:rsidRPr="00A43334">
        <w:separator/>
      </w:r>
    </w:p>
  </w:footnote>
  <w:footnote w:type="continuationSeparator" w:id="0">
    <w:p w14:paraId="1659F804" w14:textId="77777777" w:rsidR="00CD6AF3" w:rsidRPr="00A43334" w:rsidRDefault="00CD6AF3" w:rsidP="00A96B21">
      <w:r w:rsidRPr="00A43334">
        <w:continuationSeparator/>
      </w:r>
    </w:p>
  </w:footnote>
  <w:footnote w:type="continuationNotice" w:id="1">
    <w:p w14:paraId="69BB081D" w14:textId="77777777" w:rsidR="00CD6AF3" w:rsidRDefault="00CD6AF3"/>
  </w:footnote>
  <w:footnote w:id="2">
    <w:p w14:paraId="6D3CC42C" w14:textId="77777777" w:rsidR="00B66854" w:rsidRPr="001B5682" w:rsidRDefault="00B66854" w:rsidP="00B66854">
      <w:pPr>
        <w:pStyle w:val="FootnoteText"/>
        <w:rPr>
          <w:lang w:val="es-MX"/>
        </w:rPr>
      </w:pPr>
      <w:r w:rsidRPr="0046701D">
        <w:rPr>
          <w:rStyle w:val="FootnoteReference"/>
        </w:rPr>
        <w:t>*</w:t>
      </w:r>
      <w:r w:rsidRPr="0046701D">
        <w:t xml:space="preserve"> </w:t>
      </w:r>
      <w:r w:rsidRPr="001B5682">
        <w:rPr>
          <w:lang w:val="es-MX"/>
        </w:rPr>
        <w:t>CBD/CP/MOP/11/1.</w:t>
      </w:r>
    </w:p>
  </w:footnote>
  <w:footnote w:id="3">
    <w:p w14:paraId="55B40462" w14:textId="0D3DD7B7" w:rsidR="001500C4" w:rsidRPr="00D1697D" w:rsidRDefault="001500C4">
      <w:pPr>
        <w:pStyle w:val="FootnoteText"/>
      </w:pPr>
      <w:r>
        <w:rPr>
          <w:rStyle w:val="FootnoteReference"/>
        </w:rPr>
        <w:footnoteRef/>
      </w:r>
      <w:r>
        <w:t xml:space="preserve"> Decisión </w:t>
      </w:r>
      <w:hyperlink r:id="rId1" w:history="1">
        <w:r>
          <w:rPr>
            <w:rStyle w:val="Hyperlink"/>
            <w:u w:val="none"/>
          </w:rPr>
          <w:t>CP-10/3</w:t>
        </w:r>
      </w:hyperlink>
      <w:r>
        <w:t>, anexo.</w:t>
      </w:r>
    </w:p>
  </w:footnote>
  <w:footnote w:id="4">
    <w:p w14:paraId="350497B0" w14:textId="74E78C72" w:rsidR="00830579" w:rsidRPr="0046701D" w:rsidRDefault="00830579" w:rsidP="00830579">
      <w:pPr>
        <w:pStyle w:val="FootnoteText"/>
      </w:pPr>
      <w:r>
        <w:rPr>
          <w:rStyle w:val="FootnoteReference"/>
        </w:rPr>
        <w:footnoteRef/>
      </w:r>
      <w:r>
        <w:t xml:space="preserve"> </w:t>
      </w:r>
      <w:proofErr w:type="spellStart"/>
      <w:r>
        <w:t>ENV</w:t>
      </w:r>
      <w:proofErr w:type="spellEnd"/>
      <w:r>
        <w:t>/</w:t>
      </w:r>
      <w:proofErr w:type="spellStart"/>
      <w:r>
        <w:t>CBC</w:t>
      </w:r>
      <w:proofErr w:type="spellEnd"/>
      <w:r>
        <w:t>/</w:t>
      </w:r>
      <w:proofErr w:type="gramStart"/>
      <w:r>
        <w:t>MONO(</w:t>
      </w:r>
      <w:proofErr w:type="gramEnd"/>
      <w:r>
        <w:t xml:space="preserve">2023)30. Disponible en </w:t>
      </w:r>
      <w:hyperlink r:id="rId2" w:history="1">
        <w:r>
          <w:rPr>
            <w:rStyle w:val="Hyperlink"/>
          </w:rPr>
          <w:t>https://one.oecd.org/document/ENV/CBC/MONO(2023)30/en/pdf</w:t>
        </w:r>
      </w:hyperlink>
      <w:r>
        <w:t xml:space="preserve">. </w:t>
      </w:r>
    </w:p>
  </w:footnote>
  <w:footnote w:id="5">
    <w:p w14:paraId="26CAE73B" w14:textId="643D13F3" w:rsidR="00F37CCF" w:rsidRPr="0046701D" w:rsidRDefault="00F37CCF" w:rsidP="00F37CCF">
      <w:pPr>
        <w:pStyle w:val="FootnoteText"/>
        <w:rPr>
          <w:rFonts w:asciiTheme="majorBidi" w:hAnsiTheme="majorBidi" w:cstheme="majorBidi"/>
        </w:rPr>
      </w:pPr>
      <w:r>
        <w:rPr>
          <w:rStyle w:val="FootnoteReference"/>
          <w:rFonts w:asciiTheme="majorBidi" w:hAnsiTheme="majorBidi" w:cstheme="majorBidi"/>
        </w:rPr>
        <w:footnoteRef/>
      </w:r>
      <w:r>
        <w:rPr>
          <w:rFonts w:asciiTheme="majorBidi" w:hAnsiTheme="majorBidi"/>
        </w:rPr>
        <w:t xml:space="preserve"> Véase </w:t>
      </w:r>
      <w:hyperlink r:id="rId3" w:history="1">
        <w:proofErr w:type="spellStart"/>
        <w:r>
          <w:rPr>
            <w:rStyle w:val="Hyperlink"/>
            <w:rFonts w:asciiTheme="majorBidi" w:hAnsiTheme="majorBidi"/>
          </w:rPr>
          <w:t>ECE</w:t>
        </w:r>
        <w:proofErr w:type="spellEnd"/>
        <w:r>
          <w:rPr>
            <w:rStyle w:val="Hyperlink"/>
            <w:rFonts w:asciiTheme="majorBidi" w:hAnsiTheme="majorBidi"/>
          </w:rPr>
          <w:t>/</w:t>
        </w:r>
        <w:proofErr w:type="spellStart"/>
        <w:r>
          <w:rPr>
            <w:rStyle w:val="Hyperlink"/>
            <w:rFonts w:asciiTheme="majorBidi" w:hAnsiTheme="majorBidi"/>
          </w:rPr>
          <w:t>MP.PP</w:t>
        </w:r>
        <w:proofErr w:type="spellEnd"/>
        <w:r>
          <w:rPr>
            <w:rStyle w:val="Hyperlink"/>
            <w:rFonts w:asciiTheme="majorBidi" w:hAnsiTheme="majorBidi"/>
          </w:rPr>
          <w:t>/WG.1/2024/6</w:t>
        </w:r>
      </w:hyperlink>
      <w:r>
        <w:rPr>
          <w:rFonts w:asciiTheme="majorBidi" w:hAnsiTheme="majorBidi"/>
          <w:color w:val="000000"/>
          <w:shd w:val="clear" w:color="auto" w:fill="FFFFFF"/>
        </w:rPr>
        <w:t>.</w:t>
      </w:r>
    </w:p>
  </w:footnote>
  <w:footnote w:id="6">
    <w:p w14:paraId="22D2922E" w14:textId="16333A8E" w:rsidR="00D76317" w:rsidRPr="00D76317" w:rsidRDefault="00D76317">
      <w:pPr>
        <w:pStyle w:val="FootnoteText"/>
      </w:pPr>
      <w:r>
        <w:rPr>
          <w:rStyle w:val="FootnoteReference"/>
        </w:rPr>
        <w:footnoteRef/>
      </w:r>
      <w:r>
        <w:t xml:space="preserve"> Véase </w:t>
      </w:r>
      <w:hyperlink r:id="rId4" w:history="1">
        <w:proofErr w:type="spellStart"/>
        <w:r>
          <w:rPr>
            <w:rStyle w:val="Hyperlink"/>
          </w:rPr>
          <w:t>CBD</w:t>
        </w:r>
        <w:proofErr w:type="spellEnd"/>
        <w:r>
          <w:rPr>
            <w:rStyle w:val="Hyperlink"/>
          </w:rPr>
          <w:t>/</w:t>
        </w:r>
        <w:proofErr w:type="spellStart"/>
        <w:r>
          <w:rPr>
            <w:rStyle w:val="Hyperlink"/>
          </w:rPr>
          <w:t>CP</w:t>
        </w:r>
        <w:proofErr w:type="spellEnd"/>
        <w:r>
          <w:rPr>
            <w:rStyle w:val="Hyperlink"/>
          </w:rPr>
          <w:t>/RA/</w:t>
        </w:r>
        <w:proofErr w:type="spellStart"/>
        <w:r>
          <w:rPr>
            <w:rStyle w:val="Hyperlink"/>
          </w:rPr>
          <w:t>OM</w:t>
        </w:r>
        <w:proofErr w:type="spellEnd"/>
        <w:r>
          <w:rPr>
            <w:rStyle w:val="Hyperlink"/>
          </w:rPr>
          <w:t>/2023/1/2</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101DC" w14:textId="20F5AB4B" w:rsidR="002B559C" w:rsidRPr="005B18B3" w:rsidRDefault="005B18B3" w:rsidP="005B18B3">
    <w:pPr>
      <w:pStyle w:val="Header"/>
    </w:pPr>
    <w:proofErr w:type="spellStart"/>
    <w:r w:rsidRPr="005B18B3">
      <w:rPr>
        <w:sz w:val="20"/>
        <w:szCs w:val="20"/>
      </w:rPr>
      <w:t>CBD</w:t>
    </w:r>
    <w:proofErr w:type="spellEnd"/>
    <w:r w:rsidRPr="005B18B3">
      <w:rPr>
        <w:sz w:val="20"/>
        <w:szCs w:val="20"/>
      </w:rPr>
      <w:t>/</w:t>
    </w:r>
    <w:proofErr w:type="spellStart"/>
    <w:r w:rsidRPr="005B18B3">
      <w:rPr>
        <w:sz w:val="20"/>
        <w:szCs w:val="20"/>
      </w:rPr>
      <w:t>CP</w:t>
    </w:r>
    <w:proofErr w:type="spellEnd"/>
    <w:r w:rsidRPr="005B18B3">
      <w:rPr>
        <w:sz w:val="20"/>
        <w:szCs w:val="20"/>
      </w:rPr>
      <w:t>/</w:t>
    </w:r>
    <w:proofErr w:type="spellStart"/>
    <w:r w:rsidRPr="005B18B3">
      <w:rPr>
        <w:sz w:val="20"/>
        <w:szCs w:val="20"/>
      </w:rPr>
      <w:t>MOP</w:t>
    </w:r>
    <w:proofErr w:type="spellEnd"/>
    <w:r w:rsidRPr="005B18B3">
      <w:rPr>
        <w:sz w:val="20"/>
        <w:szCs w:val="20"/>
      </w:rPr>
      <w:t>/11/</w:t>
    </w:r>
    <w:r w:rsidR="001B5682">
      <w:rPr>
        <w:sz w:val="20"/>
        <w:szCs w:val="20"/>
      </w:rPr>
      <w:t>8/Rev.1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5D543" w14:textId="72FA2844" w:rsidR="002B559C" w:rsidRPr="009A5C30" w:rsidRDefault="005B18B3" w:rsidP="009A5C30">
    <w:pPr>
      <w:pStyle w:val="Header"/>
      <w:jc w:val="right"/>
    </w:pPr>
    <w:proofErr w:type="spellStart"/>
    <w:r w:rsidRPr="005B18B3">
      <w:rPr>
        <w:sz w:val="20"/>
        <w:szCs w:val="20"/>
      </w:rPr>
      <w:t>CBD</w:t>
    </w:r>
    <w:proofErr w:type="spellEnd"/>
    <w:r w:rsidRPr="005B18B3">
      <w:rPr>
        <w:sz w:val="20"/>
        <w:szCs w:val="20"/>
      </w:rPr>
      <w:t>/</w:t>
    </w:r>
    <w:proofErr w:type="spellStart"/>
    <w:r w:rsidRPr="005B18B3">
      <w:rPr>
        <w:sz w:val="20"/>
        <w:szCs w:val="20"/>
      </w:rPr>
      <w:t>CP</w:t>
    </w:r>
    <w:proofErr w:type="spellEnd"/>
    <w:r w:rsidRPr="005B18B3">
      <w:rPr>
        <w:sz w:val="20"/>
        <w:szCs w:val="20"/>
      </w:rPr>
      <w:t>/</w:t>
    </w:r>
    <w:proofErr w:type="spellStart"/>
    <w:r w:rsidRPr="005B18B3">
      <w:rPr>
        <w:sz w:val="20"/>
        <w:szCs w:val="20"/>
      </w:rPr>
      <w:t>MOP</w:t>
    </w:r>
    <w:proofErr w:type="spellEnd"/>
    <w:r w:rsidRPr="005B18B3">
      <w:rPr>
        <w:sz w:val="20"/>
        <w:szCs w:val="20"/>
      </w:rPr>
      <w:t>/11/8</w:t>
    </w:r>
    <w:r w:rsidR="001B5682">
      <w:rPr>
        <w:sz w:val="20"/>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D7F89" w14:textId="77777777" w:rsidR="009C6F06" w:rsidRDefault="009C6F06" w:rsidP="009C6F06">
    <w:pPr>
      <w:pStyle w:val="Header"/>
      <w:pBdr>
        <w:bottom w:val="none" w:sz="0" w:space="0" w:color="auto"/>
      </w:pBdr>
    </w:pPr>
  </w:p>
</w:hdr>
</file>

<file path=word/intelligence2.xml><?xml version="1.0" encoding="utf-8"?>
<int2:intelligence xmlns:int2="http://schemas.microsoft.com/office/intelligence/2020/intelligence" xmlns:oel="http://schemas.microsoft.com/office/2019/extlst">
  <int2:observations>
    <int2:textHash int2:hashCode="II26vNnBMW+eZi" int2:id="yqlmZDt3">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D511DDE"/>
    <w:multiLevelType w:val="hybridMultilevel"/>
    <w:tmpl w:val="CC0C5D04"/>
    <w:lvl w:ilvl="0" w:tplc="FD6488BE">
      <w:start w:val="1"/>
      <w:numFmt w:val="decimal"/>
      <w:lvlText w:val="%1."/>
      <w:lvlJc w:val="left"/>
      <w:pPr>
        <w:ind w:left="1440" w:hanging="360"/>
      </w:pPr>
      <w:rPr>
        <w:b w:val="0"/>
        <w:bCs w:val="0"/>
        <w:i w:val="0"/>
        <w:iCs/>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CC721C"/>
    <w:multiLevelType w:val="hybridMultilevel"/>
    <w:tmpl w:val="5B72B272"/>
    <w:lvl w:ilvl="0" w:tplc="7668EDDA">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4E880595"/>
    <w:multiLevelType w:val="multilevel"/>
    <w:tmpl w:val="222A08B4"/>
    <w:numStyleLink w:val="ListCBD"/>
  </w:abstractNum>
  <w:abstractNum w:abstractNumId="35" w15:restartNumberingAfterBreak="0">
    <w:nsid w:val="52A66A9D"/>
    <w:multiLevelType w:val="multilevel"/>
    <w:tmpl w:val="222A08B4"/>
    <w:numStyleLink w:val="ListCBD"/>
  </w:abstractNum>
  <w:abstractNum w:abstractNumId="3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5D943BEE"/>
    <w:multiLevelType w:val="multilevel"/>
    <w:tmpl w:val="222A08B4"/>
    <w:numStyleLink w:val="ListCBD"/>
  </w:abstractNum>
  <w:abstractNum w:abstractNumId="4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8B70991"/>
    <w:multiLevelType w:val="multilevel"/>
    <w:tmpl w:val="222A08B4"/>
    <w:numStyleLink w:val="ListCBD"/>
  </w:abstractNum>
  <w:abstractNum w:abstractNumId="4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EE23244"/>
    <w:multiLevelType w:val="multilevel"/>
    <w:tmpl w:val="B3C03A2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360"/>
        </w:tabs>
        <w:ind w:left="36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E2B1C7A"/>
    <w:multiLevelType w:val="hybridMultilevel"/>
    <w:tmpl w:val="DA9E9EB0"/>
    <w:lvl w:ilvl="0" w:tplc="4C9A087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44"/>
  </w:num>
  <w:num w:numId="3">
    <w:abstractNumId w:val="48"/>
  </w:num>
  <w:num w:numId="4">
    <w:abstractNumId w:val="22"/>
  </w:num>
  <w:num w:numId="5">
    <w:abstractNumId w:val="23"/>
  </w:num>
  <w:num w:numId="6">
    <w:abstractNumId w:val="23"/>
  </w:num>
  <w:num w:numId="7">
    <w:abstractNumId w:val="25"/>
  </w:num>
  <w:num w:numId="8">
    <w:abstractNumId w:val="39"/>
  </w:num>
  <w:num w:numId="9">
    <w:abstractNumId w:val="43"/>
  </w:num>
  <w:num w:numId="10">
    <w:abstractNumId w:val="42"/>
  </w:num>
  <w:num w:numId="11">
    <w:abstractNumId w:val="36"/>
  </w:num>
  <w:num w:numId="12">
    <w:abstractNumId w:val="24"/>
  </w:num>
  <w:num w:numId="13">
    <w:abstractNumId w:val="24"/>
    <w:lvlOverride w:ilvl="0">
      <w:startOverride w:val="1"/>
    </w:lvlOverride>
  </w:num>
  <w:num w:numId="14">
    <w:abstractNumId w:val="41"/>
  </w:num>
  <w:num w:numId="15">
    <w:abstractNumId w:val="41"/>
    <w:lvlOverride w:ilvl="0">
      <w:startOverride w:val="1"/>
    </w:lvlOverride>
  </w:num>
  <w:num w:numId="16">
    <w:abstractNumId w:val="44"/>
    <w:lvlOverride w:ilvl="0">
      <w:startOverride w:val="1"/>
    </w:lvlOverride>
  </w:num>
  <w:num w:numId="17">
    <w:abstractNumId w:val="41"/>
    <w:lvlOverride w:ilvl="0">
      <w:startOverride w:val="1"/>
    </w:lvlOverride>
  </w:num>
  <w:num w:numId="18">
    <w:abstractNumId w:val="49"/>
  </w:num>
  <w:num w:numId="19">
    <w:abstractNumId w:val="44"/>
    <w:lvlOverride w:ilvl="0">
      <w:startOverride w:val="1"/>
    </w:lvlOverride>
  </w:num>
  <w:num w:numId="20">
    <w:abstractNumId w:val="44"/>
    <w:lvlOverride w:ilvl="0">
      <w:startOverride w:val="1"/>
    </w:lvlOverride>
  </w:num>
  <w:num w:numId="21">
    <w:abstractNumId w:val="14"/>
  </w:num>
  <w:num w:numId="22">
    <w:abstractNumId w:val="47"/>
  </w:num>
  <w:num w:numId="23">
    <w:abstractNumId w:val="29"/>
  </w:num>
  <w:num w:numId="24">
    <w:abstractNumId w:val="11"/>
  </w:num>
  <w:num w:numId="25">
    <w:abstractNumId w:val="19"/>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35"/>
  </w:num>
  <w:num w:numId="37">
    <w:abstractNumId w:val="38"/>
  </w:num>
  <w:num w:numId="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16"/>
  </w:num>
  <w:num w:numId="41">
    <w:abstractNumId w:val="34"/>
  </w:num>
  <w:num w:numId="42">
    <w:abstractNumId w:val="30"/>
  </w:num>
  <w:num w:numId="43">
    <w:abstractNumId w:val="18"/>
  </w:num>
  <w:num w:numId="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num>
  <w:num w:numId="46">
    <w:abstractNumId w:val="10"/>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num>
  <w:num w:numId="50">
    <w:abstractNumId w:val="26"/>
  </w:num>
  <w:num w:numId="51">
    <w:abstractNumId w:val="26"/>
    <w:lvlOverride w:ilvl="0">
      <w:startOverride w:val="1"/>
    </w:lvlOverride>
  </w:num>
  <w:num w:numId="52">
    <w:abstractNumId w:val="26"/>
    <w:lvlOverride w:ilvl="0">
      <w:startOverride w:val="1"/>
    </w:lvlOverride>
  </w:num>
  <w:num w:numId="53">
    <w:abstractNumId w:val="26"/>
    <w:lvlOverride w:ilvl="0">
      <w:startOverride w:val="1"/>
    </w:lvlOverride>
  </w:num>
  <w:num w:numId="54">
    <w:abstractNumId w:val="28"/>
  </w:num>
  <w:num w:numId="55">
    <w:abstractNumId w:val="37"/>
  </w:num>
  <w:num w:numId="56">
    <w:abstractNumId w:val="31"/>
  </w:num>
  <w:num w:numId="57">
    <w:abstractNumId w:val="45"/>
  </w:num>
  <w:num w:numId="58">
    <w:abstractNumId w:val="27"/>
  </w:num>
  <w:num w:numId="59">
    <w:abstractNumId w:val="17"/>
  </w:num>
  <w:num w:numId="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num>
  <w:num w:numId="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0"/>
  </w:num>
  <w:num w:numId="67">
    <w:abstractNumId w:val="8"/>
  </w:num>
  <w:num w:numId="68">
    <w:abstractNumId w:val="3"/>
  </w:num>
  <w:num w:numId="69">
    <w:abstractNumId w:val="2"/>
  </w:num>
  <w:num w:numId="70">
    <w:abstractNumId w:val="1"/>
  </w:num>
  <w:num w:numId="71">
    <w:abstractNumId w:val="0"/>
  </w:num>
  <w:num w:numId="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1"/>
  </w:num>
  <w:num w:numId="74">
    <w:abstractNumId w:val="46"/>
  </w:num>
  <w:num w:numId="75">
    <w:abstractNumId w:val="40"/>
  </w:num>
  <w:num w:numId="76">
    <w:abstractNumId w:val="50"/>
  </w:num>
  <w:num w:numId="77">
    <w:abstractNumId w:val="15"/>
  </w:num>
  <w:num w:numId="78">
    <w:abstractNumId w:val="40"/>
  </w:num>
  <w:num w:numId="79">
    <w:abstractNumId w:val="40"/>
  </w:num>
  <w:num w:numId="80">
    <w:abstractNumId w:val="40"/>
  </w:num>
  <w:num w:numId="81">
    <w:abstractNumId w:val="40"/>
  </w:num>
  <w:num w:numId="82">
    <w:abstractNumId w:val="40"/>
  </w:num>
  <w:num w:numId="83">
    <w:abstractNumId w:val="40"/>
  </w:num>
  <w:num w:numId="84">
    <w:abstractNumId w:val="40"/>
  </w:num>
  <w:num w:numId="85">
    <w:abstractNumId w:val="40"/>
  </w:num>
  <w:num w:numId="86">
    <w:abstractNumId w:val="40"/>
  </w:num>
  <w:num w:numId="87">
    <w:abstractNumId w:val="40"/>
  </w:num>
  <w:num w:numId="88">
    <w:abstractNumId w:val="40"/>
  </w:num>
  <w:num w:numId="89">
    <w:abstractNumId w:val="40"/>
  </w:num>
  <w:num w:numId="90">
    <w:abstractNumId w:val="40"/>
  </w:num>
  <w:num w:numId="91">
    <w:abstractNumId w:val="40"/>
  </w:num>
  <w:num w:numId="92">
    <w:abstractNumId w:val="40"/>
  </w:num>
  <w:num w:numId="93">
    <w:abstractNumId w:val="40"/>
  </w:num>
  <w:num w:numId="94">
    <w:abstractNumId w:val="40"/>
  </w:num>
  <w:num w:numId="95">
    <w:abstractNumId w:val="40"/>
  </w:num>
  <w:num w:numId="96">
    <w:abstractNumId w:val="40"/>
  </w:num>
  <w:num w:numId="97">
    <w:abstractNumId w:val="40"/>
  </w:num>
  <w:num w:numId="98">
    <w:abstractNumId w:val="40"/>
  </w:num>
  <w:num w:numId="99">
    <w:abstractNumId w:val="40"/>
  </w:num>
  <w:num w:numId="100">
    <w:abstractNumId w:val="40"/>
  </w:num>
  <w:num w:numId="101">
    <w:abstractNumId w:val="40"/>
  </w:num>
  <w:num w:numId="102">
    <w:abstractNumId w:val="4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F4D"/>
    <w:rsid w:val="00005F61"/>
    <w:rsid w:val="00021867"/>
    <w:rsid w:val="00023589"/>
    <w:rsid w:val="00024D52"/>
    <w:rsid w:val="0002611A"/>
    <w:rsid w:val="00040598"/>
    <w:rsid w:val="000476BF"/>
    <w:rsid w:val="00055453"/>
    <w:rsid w:val="00055471"/>
    <w:rsid w:val="00061EAE"/>
    <w:rsid w:val="000878BB"/>
    <w:rsid w:val="00090740"/>
    <w:rsid w:val="000A2AAA"/>
    <w:rsid w:val="000A5B31"/>
    <w:rsid w:val="000A5CDB"/>
    <w:rsid w:val="000A7225"/>
    <w:rsid w:val="000A7D03"/>
    <w:rsid w:val="000B4980"/>
    <w:rsid w:val="000C069E"/>
    <w:rsid w:val="000C4219"/>
    <w:rsid w:val="000D13F0"/>
    <w:rsid w:val="000E1D47"/>
    <w:rsid w:val="000E31F9"/>
    <w:rsid w:val="000E5429"/>
    <w:rsid w:val="000F069C"/>
    <w:rsid w:val="000F1A26"/>
    <w:rsid w:val="000F2DD2"/>
    <w:rsid w:val="000F6465"/>
    <w:rsid w:val="001040DE"/>
    <w:rsid w:val="001117FC"/>
    <w:rsid w:val="001231E2"/>
    <w:rsid w:val="001250E2"/>
    <w:rsid w:val="00132581"/>
    <w:rsid w:val="00137402"/>
    <w:rsid w:val="001402F1"/>
    <w:rsid w:val="00145876"/>
    <w:rsid w:val="001500C4"/>
    <w:rsid w:val="00151C5F"/>
    <w:rsid w:val="00156778"/>
    <w:rsid w:val="00156E11"/>
    <w:rsid w:val="00160303"/>
    <w:rsid w:val="0016191C"/>
    <w:rsid w:val="00162CF1"/>
    <w:rsid w:val="0016642E"/>
    <w:rsid w:val="0016661D"/>
    <w:rsid w:val="00172211"/>
    <w:rsid w:val="00184909"/>
    <w:rsid w:val="001A2C99"/>
    <w:rsid w:val="001B5682"/>
    <w:rsid w:val="001C3BB9"/>
    <w:rsid w:val="001C3F11"/>
    <w:rsid w:val="001D1F38"/>
    <w:rsid w:val="001D2FD8"/>
    <w:rsid w:val="001D50E4"/>
    <w:rsid w:val="001D7501"/>
    <w:rsid w:val="001E38FD"/>
    <w:rsid w:val="001E403E"/>
    <w:rsid w:val="001E6754"/>
    <w:rsid w:val="001F0CBD"/>
    <w:rsid w:val="001F4AEC"/>
    <w:rsid w:val="0020413A"/>
    <w:rsid w:val="002104A9"/>
    <w:rsid w:val="00216379"/>
    <w:rsid w:val="002316A0"/>
    <w:rsid w:val="00240685"/>
    <w:rsid w:val="0025423E"/>
    <w:rsid w:val="00254997"/>
    <w:rsid w:val="00256A1A"/>
    <w:rsid w:val="00256FBD"/>
    <w:rsid w:val="00264414"/>
    <w:rsid w:val="00264588"/>
    <w:rsid w:val="002674BA"/>
    <w:rsid w:val="002719B7"/>
    <w:rsid w:val="00271EEB"/>
    <w:rsid w:val="00275DB1"/>
    <w:rsid w:val="00286093"/>
    <w:rsid w:val="002861DF"/>
    <w:rsid w:val="0028771C"/>
    <w:rsid w:val="00290297"/>
    <w:rsid w:val="00291230"/>
    <w:rsid w:val="00294414"/>
    <w:rsid w:val="002A00FF"/>
    <w:rsid w:val="002A14AC"/>
    <w:rsid w:val="002B00CA"/>
    <w:rsid w:val="002B269E"/>
    <w:rsid w:val="002B3F27"/>
    <w:rsid w:val="002B53A3"/>
    <w:rsid w:val="002B559C"/>
    <w:rsid w:val="002C2038"/>
    <w:rsid w:val="002C3155"/>
    <w:rsid w:val="002C575F"/>
    <w:rsid w:val="002D333E"/>
    <w:rsid w:val="002E7735"/>
    <w:rsid w:val="002F009D"/>
    <w:rsid w:val="002F1767"/>
    <w:rsid w:val="002F6A5C"/>
    <w:rsid w:val="00303E94"/>
    <w:rsid w:val="00306FBB"/>
    <w:rsid w:val="00307BA1"/>
    <w:rsid w:val="00310608"/>
    <w:rsid w:val="00310C44"/>
    <w:rsid w:val="0031246F"/>
    <w:rsid w:val="0031301A"/>
    <w:rsid w:val="00323F22"/>
    <w:rsid w:val="00324854"/>
    <w:rsid w:val="003300B1"/>
    <w:rsid w:val="003349A0"/>
    <w:rsid w:val="00334B37"/>
    <w:rsid w:val="00335057"/>
    <w:rsid w:val="003354C2"/>
    <w:rsid w:val="00336E6C"/>
    <w:rsid w:val="0033715E"/>
    <w:rsid w:val="003476A9"/>
    <w:rsid w:val="00351AC5"/>
    <w:rsid w:val="0035668A"/>
    <w:rsid w:val="003617C3"/>
    <w:rsid w:val="00362BB9"/>
    <w:rsid w:val="00373A97"/>
    <w:rsid w:val="003A7AF0"/>
    <w:rsid w:val="003B336B"/>
    <w:rsid w:val="003B6BDA"/>
    <w:rsid w:val="003C110C"/>
    <w:rsid w:val="003C6F10"/>
    <w:rsid w:val="003D03FF"/>
    <w:rsid w:val="003D2CC0"/>
    <w:rsid w:val="003D3DE9"/>
    <w:rsid w:val="003D521A"/>
    <w:rsid w:val="003D5283"/>
    <w:rsid w:val="003F1655"/>
    <w:rsid w:val="003F29EB"/>
    <w:rsid w:val="003F2D01"/>
    <w:rsid w:val="003F7CB6"/>
    <w:rsid w:val="004000D4"/>
    <w:rsid w:val="00400577"/>
    <w:rsid w:val="004069AA"/>
    <w:rsid w:val="0041385D"/>
    <w:rsid w:val="004176DC"/>
    <w:rsid w:val="0042015F"/>
    <w:rsid w:val="00420DD3"/>
    <w:rsid w:val="004269B3"/>
    <w:rsid w:val="00434B83"/>
    <w:rsid w:val="00434B92"/>
    <w:rsid w:val="00441498"/>
    <w:rsid w:val="004521FE"/>
    <w:rsid w:val="0046701D"/>
    <w:rsid w:val="004701EE"/>
    <w:rsid w:val="004703A8"/>
    <w:rsid w:val="00480237"/>
    <w:rsid w:val="00480A8D"/>
    <w:rsid w:val="00483E8E"/>
    <w:rsid w:val="004875CE"/>
    <w:rsid w:val="00490EF2"/>
    <w:rsid w:val="0049279D"/>
    <w:rsid w:val="00493C6B"/>
    <w:rsid w:val="004A006F"/>
    <w:rsid w:val="004A03D9"/>
    <w:rsid w:val="004A2A2D"/>
    <w:rsid w:val="004A609F"/>
    <w:rsid w:val="004B4BF2"/>
    <w:rsid w:val="004B5673"/>
    <w:rsid w:val="004B6262"/>
    <w:rsid w:val="004C1569"/>
    <w:rsid w:val="004C4F71"/>
    <w:rsid w:val="004C7369"/>
    <w:rsid w:val="004D085E"/>
    <w:rsid w:val="004D6ABB"/>
    <w:rsid w:val="004D7441"/>
    <w:rsid w:val="004D7B92"/>
    <w:rsid w:val="004D7F70"/>
    <w:rsid w:val="004E51F0"/>
    <w:rsid w:val="004E541E"/>
    <w:rsid w:val="004E6BE7"/>
    <w:rsid w:val="004E743B"/>
    <w:rsid w:val="004F0248"/>
    <w:rsid w:val="00501F17"/>
    <w:rsid w:val="00504B67"/>
    <w:rsid w:val="005079B9"/>
    <w:rsid w:val="00512543"/>
    <w:rsid w:val="005132CE"/>
    <w:rsid w:val="005140CE"/>
    <w:rsid w:val="00515E30"/>
    <w:rsid w:val="005171D2"/>
    <w:rsid w:val="00524519"/>
    <w:rsid w:val="00525802"/>
    <w:rsid w:val="005267E1"/>
    <w:rsid w:val="00535864"/>
    <w:rsid w:val="00535953"/>
    <w:rsid w:val="00537248"/>
    <w:rsid w:val="00541FAE"/>
    <w:rsid w:val="00542077"/>
    <w:rsid w:val="00542876"/>
    <w:rsid w:val="005450B5"/>
    <w:rsid w:val="00550C8D"/>
    <w:rsid w:val="00551CDE"/>
    <w:rsid w:val="00552F97"/>
    <w:rsid w:val="00556C91"/>
    <w:rsid w:val="00563E8A"/>
    <w:rsid w:val="00563EDF"/>
    <w:rsid w:val="00565E3E"/>
    <w:rsid w:val="00571D0D"/>
    <w:rsid w:val="00581A1E"/>
    <w:rsid w:val="00587100"/>
    <w:rsid w:val="00593921"/>
    <w:rsid w:val="005A12A4"/>
    <w:rsid w:val="005A206E"/>
    <w:rsid w:val="005A65BC"/>
    <w:rsid w:val="005A6E03"/>
    <w:rsid w:val="005B18B3"/>
    <w:rsid w:val="005B6A1D"/>
    <w:rsid w:val="005C0058"/>
    <w:rsid w:val="005C33B8"/>
    <w:rsid w:val="005C8BF4"/>
    <w:rsid w:val="005D73C8"/>
    <w:rsid w:val="005E2605"/>
    <w:rsid w:val="005E3E69"/>
    <w:rsid w:val="005E78D8"/>
    <w:rsid w:val="005F4282"/>
    <w:rsid w:val="005F4E6F"/>
    <w:rsid w:val="005F69B3"/>
    <w:rsid w:val="00601759"/>
    <w:rsid w:val="00602CFB"/>
    <w:rsid w:val="006030DC"/>
    <w:rsid w:val="00604FE6"/>
    <w:rsid w:val="00610019"/>
    <w:rsid w:val="00627220"/>
    <w:rsid w:val="00627C87"/>
    <w:rsid w:val="00637D82"/>
    <w:rsid w:val="00647604"/>
    <w:rsid w:val="00657ED6"/>
    <w:rsid w:val="006614DC"/>
    <w:rsid w:val="006650EE"/>
    <w:rsid w:val="00666198"/>
    <w:rsid w:val="00670999"/>
    <w:rsid w:val="006710C5"/>
    <w:rsid w:val="00671121"/>
    <w:rsid w:val="00680EFE"/>
    <w:rsid w:val="006821A8"/>
    <w:rsid w:val="006860F5"/>
    <w:rsid w:val="006A4A02"/>
    <w:rsid w:val="006B293D"/>
    <w:rsid w:val="006B7008"/>
    <w:rsid w:val="006C0A76"/>
    <w:rsid w:val="006C43F6"/>
    <w:rsid w:val="006D04C7"/>
    <w:rsid w:val="006D10C3"/>
    <w:rsid w:val="006D3338"/>
    <w:rsid w:val="006E0F87"/>
    <w:rsid w:val="006E41AA"/>
    <w:rsid w:val="006F40AE"/>
    <w:rsid w:val="006F4736"/>
    <w:rsid w:val="006F6C3D"/>
    <w:rsid w:val="006F767E"/>
    <w:rsid w:val="00713526"/>
    <w:rsid w:val="00715D53"/>
    <w:rsid w:val="0071624E"/>
    <w:rsid w:val="00724AE8"/>
    <w:rsid w:val="00735596"/>
    <w:rsid w:val="007459C6"/>
    <w:rsid w:val="00752EAF"/>
    <w:rsid w:val="0076622F"/>
    <w:rsid w:val="00767009"/>
    <w:rsid w:val="00774560"/>
    <w:rsid w:val="00787F9D"/>
    <w:rsid w:val="007A3B2C"/>
    <w:rsid w:val="007A45C3"/>
    <w:rsid w:val="007A7A12"/>
    <w:rsid w:val="007B194F"/>
    <w:rsid w:val="007B40BE"/>
    <w:rsid w:val="007B629A"/>
    <w:rsid w:val="007B6660"/>
    <w:rsid w:val="007C77BC"/>
    <w:rsid w:val="007D166A"/>
    <w:rsid w:val="007E1C0F"/>
    <w:rsid w:val="007E4FD6"/>
    <w:rsid w:val="007E6773"/>
    <w:rsid w:val="007F056C"/>
    <w:rsid w:val="007F28CC"/>
    <w:rsid w:val="007F4B80"/>
    <w:rsid w:val="007F7D4F"/>
    <w:rsid w:val="008015DC"/>
    <w:rsid w:val="008040D0"/>
    <w:rsid w:val="00807484"/>
    <w:rsid w:val="00816954"/>
    <w:rsid w:val="0082005E"/>
    <w:rsid w:val="00820AA2"/>
    <w:rsid w:val="00823921"/>
    <w:rsid w:val="00826408"/>
    <w:rsid w:val="00830579"/>
    <w:rsid w:val="008312DC"/>
    <w:rsid w:val="00840F4D"/>
    <w:rsid w:val="008440C5"/>
    <w:rsid w:val="008458D3"/>
    <w:rsid w:val="0084758B"/>
    <w:rsid w:val="00852A2A"/>
    <w:rsid w:val="00856168"/>
    <w:rsid w:val="00857404"/>
    <w:rsid w:val="00863392"/>
    <w:rsid w:val="008637BA"/>
    <w:rsid w:val="00865E2F"/>
    <w:rsid w:val="00867FCC"/>
    <w:rsid w:val="00874541"/>
    <w:rsid w:val="00877B8B"/>
    <w:rsid w:val="008807B5"/>
    <w:rsid w:val="00886F12"/>
    <w:rsid w:val="00886F17"/>
    <w:rsid w:val="00890188"/>
    <w:rsid w:val="0089157B"/>
    <w:rsid w:val="00891E33"/>
    <w:rsid w:val="008A2AF0"/>
    <w:rsid w:val="008A5109"/>
    <w:rsid w:val="008B0A05"/>
    <w:rsid w:val="008B47D4"/>
    <w:rsid w:val="008C09A1"/>
    <w:rsid w:val="008C201C"/>
    <w:rsid w:val="008C5896"/>
    <w:rsid w:val="008C7F89"/>
    <w:rsid w:val="008D3219"/>
    <w:rsid w:val="008D3EA6"/>
    <w:rsid w:val="008E0581"/>
    <w:rsid w:val="008E2DF9"/>
    <w:rsid w:val="008E5B81"/>
    <w:rsid w:val="008F14E7"/>
    <w:rsid w:val="008F181F"/>
    <w:rsid w:val="008F1C83"/>
    <w:rsid w:val="008F2EEF"/>
    <w:rsid w:val="008F3900"/>
    <w:rsid w:val="009056CC"/>
    <w:rsid w:val="00907828"/>
    <w:rsid w:val="009107AF"/>
    <w:rsid w:val="00912A45"/>
    <w:rsid w:val="0092787F"/>
    <w:rsid w:val="0093106F"/>
    <w:rsid w:val="00934047"/>
    <w:rsid w:val="00935461"/>
    <w:rsid w:val="009408FA"/>
    <w:rsid w:val="00941643"/>
    <w:rsid w:val="009434FC"/>
    <w:rsid w:val="009459E3"/>
    <w:rsid w:val="009469BF"/>
    <w:rsid w:val="00953C0B"/>
    <w:rsid w:val="00960871"/>
    <w:rsid w:val="00964C6C"/>
    <w:rsid w:val="00967BC3"/>
    <w:rsid w:val="00984466"/>
    <w:rsid w:val="00995DDC"/>
    <w:rsid w:val="009A1DEE"/>
    <w:rsid w:val="009A4A14"/>
    <w:rsid w:val="009A5C30"/>
    <w:rsid w:val="009A65EE"/>
    <w:rsid w:val="009B648B"/>
    <w:rsid w:val="009C1114"/>
    <w:rsid w:val="009C3B97"/>
    <w:rsid w:val="009C54DD"/>
    <w:rsid w:val="009C6F06"/>
    <w:rsid w:val="009D41AC"/>
    <w:rsid w:val="009D5A20"/>
    <w:rsid w:val="009D7C0F"/>
    <w:rsid w:val="009E1775"/>
    <w:rsid w:val="009E3B01"/>
    <w:rsid w:val="009F2DB9"/>
    <w:rsid w:val="009F4D52"/>
    <w:rsid w:val="00A00DC5"/>
    <w:rsid w:val="00A01281"/>
    <w:rsid w:val="00A15200"/>
    <w:rsid w:val="00A16100"/>
    <w:rsid w:val="00A1734E"/>
    <w:rsid w:val="00A17F5A"/>
    <w:rsid w:val="00A213AC"/>
    <w:rsid w:val="00A358E9"/>
    <w:rsid w:val="00A40CD6"/>
    <w:rsid w:val="00A43334"/>
    <w:rsid w:val="00A45046"/>
    <w:rsid w:val="00A45D04"/>
    <w:rsid w:val="00A51B18"/>
    <w:rsid w:val="00A54FA0"/>
    <w:rsid w:val="00A611FD"/>
    <w:rsid w:val="00A61B7F"/>
    <w:rsid w:val="00A66E7C"/>
    <w:rsid w:val="00A6747D"/>
    <w:rsid w:val="00A75726"/>
    <w:rsid w:val="00A77653"/>
    <w:rsid w:val="00A77778"/>
    <w:rsid w:val="00A91573"/>
    <w:rsid w:val="00A94756"/>
    <w:rsid w:val="00A96B21"/>
    <w:rsid w:val="00AA0D4E"/>
    <w:rsid w:val="00AA582E"/>
    <w:rsid w:val="00AA75AC"/>
    <w:rsid w:val="00AB0D37"/>
    <w:rsid w:val="00AB1D4D"/>
    <w:rsid w:val="00AB55F1"/>
    <w:rsid w:val="00AB5D80"/>
    <w:rsid w:val="00AC17F5"/>
    <w:rsid w:val="00AD6283"/>
    <w:rsid w:val="00AE1A95"/>
    <w:rsid w:val="00AE6BB8"/>
    <w:rsid w:val="00B01052"/>
    <w:rsid w:val="00B10045"/>
    <w:rsid w:val="00B11A95"/>
    <w:rsid w:val="00B2221B"/>
    <w:rsid w:val="00B22262"/>
    <w:rsid w:val="00B2353B"/>
    <w:rsid w:val="00B32B96"/>
    <w:rsid w:val="00B34C97"/>
    <w:rsid w:val="00B35600"/>
    <w:rsid w:val="00B36EA9"/>
    <w:rsid w:val="00B36F22"/>
    <w:rsid w:val="00B3703E"/>
    <w:rsid w:val="00B37316"/>
    <w:rsid w:val="00B432FB"/>
    <w:rsid w:val="00B474A1"/>
    <w:rsid w:val="00B55E91"/>
    <w:rsid w:val="00B629AE"/>
    <w:rsid w:val="00B66854"/>
    <w:rsid w:val="00B66EFC"/>
    <w:rsid w:val="00B67EF4"/>
    <w:rsid w:val="00B72367"/>
    <w:rsid w:val="00B87081"/>
    <w:rsid w:val="00B917A4"/>
    <w:rsid w:val="00BB0531"/>
    <w:rsid w:val="00BC22B1"/>
    <w:rsid w:val="00BC7B7A"/>
    <w:rsid w:val="00BD343A"/>
    <w:rsid w:val="00BD44C5"/>
    <w:rsid w:val="00BD5099"/>
    <w:rsid w:val="00BD70A3"/>
    <w:rsid w:val="00BE43CE"/>
    <w:rsid w:val="00BF110A"/>
    <w:rsid w:val="00BF1FB3"/>
    <w:rsid w:val="00BF5245"/>
    <w:rsid w:val="00BF66F7"/>
    <w:rsid w:val="00C06BCF"/>
    <w:rsid w:val="00C07A03"/>
    <w:rsid w:val="00C12F55"/>
    <w:rsid w:val="00C2354A"/>
    <w:rsid w:val="00C25A9A"/>
    <w:rsid w:val="00C3104B"/>
    <w:rsid w:val="00C4166B"/>
    <w:rsid w:val="00C42374"/>
    <w:rsid w:val="00C60F26"/>
    <w:rsid w:val="00C71484"/>
    <w:rsid w:val="00C74E91"/>
    <w:rsid w:val="00C76747"/>
    <w:rsid w:val="00C95A1A"/>
    <w:rsid w:val="00CB0B81"/>
    <w:rsid w:val="00CB358C"/>
    <w:rsid w:val="00CB44A6"/>
    <w:rsid w:val="00CC1692"/>
    <w:rsid w:val="00CC5B6B"/>
    <w:rsid w:val="00CD223C"/>
    <w:rsid w:val="00CD467A"/>
    <w:rsid w:val="00CD50CA"/>
    <w:rsid w:val="00CD606D"/>
    <w:rsid w:val="00CD6AF3"/>
    <w:rsid w:val="00CE1DDF"/>
    <w:rsid w:val="00CE2FBB"/>
    <w:rsid w:val="00CE35B9"/>
    <w:rsid w:val="00CE3E7C"/>
    <w:rsid w:val="00CF70AB"/>
    <w:rsid w:val="00D05C44"/>
    <w:rsid w:val="00D0645C"/>
    <w:rsid w:val="00D11EF8"/>
    <w:rsid w:val="00D12374"/>
    <w:rsid w:val="00D13532"/>
    <w:rsid w:val="00D14221"/>
    <w:rsid w:val="00D1659D"/>
    <w:rsid w:val="00D1697D"/>
    <w:rsid w:val="00D210D2"/>
    <w:rsid w:val="00D21BDC"/>
    <w:rsid w:val="00D2262D"/>
    <w:rsid w:val="00D3059B"/>
    <w:rsid w:val="00D334CA"/>
    <w:rsid w:val="00D439EA"/>
    <w:rsid w:val="00D46DBF"/>
    <w:rsid w:val="00D51832"/>
    <w:rsid w:val="00D56DA6"/>
    <w:rsid w:val="00D60046"/>
    <w:rsid w:val="00D630B5"/>
    <w:rsid w:val="00D71FFB"/>
    <w:rsid w:val="00D73533"/>
    <w:rsid w:val="00D76317"/>
    <w:rsid w:val="00D775A4"/>
    <w:rsid w:val="00D82B59"/>
    <w:rsid w:val="00D84350"/>
    <w:rsid w:val="00D90414"/>
    <w:rsid w:val="00D917E2"/>
    <w:rsid w:val="00D92B97"/>
    <w:rsid w:val="00D92CB7"/>
    <w:rsid w:val="00D97E26"/>
    <w:rsid w:val="00DA1A86"/>
    <w:rsid w:val="00DA68C7"/>
    <w:rsid w:val="00DB23D4"/>
    <w:rsid w:val="00DB5177"/>
    <w:rsid w:val="00DB5251"/>
    <w:rsid w:val="00DB58EC"/>
    <w:rsid w:val="00DB65D3"/>
    <w:rsid w:val="00DB6D98"/>
    <w:rsid w:val="00DC087F"/>
    <w:rsid w:val="00DC0DA0"/>
    <w:rsid w:val="00DC14E1"/>
    <w:rsid w:val="00DC1E24"/>
    <w:rsid w:val="00DC2100"/>
    <w:rsid w:val="00DC5158"/>
    <w:rsid w:val="00DC7A90"/>
    <w:rsid w:val="00DD3A60"/>
    <w:rsid w:val="00DE36B1"/>
    <w:rsid w:val="00DE4810"/>
    <w:rsid w:val="00DE67A2"/>
    <w:rsid w:val="00DE7574"/>
    <w:rsid w:val="00DF0A8C"/>
    <w:rsid w:val="00DF21EE"/>
    <w:rsid w:val="00DF2393"/>
    <w:rsid w:val="00DF5A89"/>
    <w:rsid w:val="00E11ED2"/>
    <w:rsid w:val="00E1597C"/>
    <w:rsid w:val="00E20B0D"/>
    <w:rsid w:val="00E228D0"/>
    <w:rsid w:val="00E25DF0"/>
    <w:rsid w:val="00E32358"/>
    <w:rsid w:val="00E32D37"/>
    <w:rsid w:val="00E37344"/>
    <w:rsid w:val="00E42B47"/>
    <w:rsid w:val="00E44ED7"/>
    <w:rsid w:val="00E5147E"/>
    <w:rsid w:val="00E5399E"/>
    <w:rsid w:val="00E53B3F"/>
    <w:rsid w:val="00E54A8D"/>
    <w:rsid w:val="00E5751C"/>
    <w:rsid w:val="00E66BAC"/>
    <w:rsid w:val="00E66E66"/>
    <w:rsid w:val="00E67250"/>
    <w:rsid w:val="00E73E46"/>
    <w:rsid w:val="00E7543A"/>
    <w:rsid w:val="00E77975"/>
    <w:rsid w:val="00E8069F"/>
    <w:rsid w:val="00E87862"/>
    <w:rsid w:val="00E91F34"/>
    <w:rsid w:val="00E92A5D"/>
    <w:rsid w:val="00EA1910"/>
    <w:rsid w:val="00EA1C4C"/>
    <w:rsid w:val="00EA2DAE"/>
    <w:rsid w:val="00EB78F4"/>
    <w:rsid w:val="00EC19F3"/>
    <w:rsid w:val="00EC7495"/>
    <w:rsid w:val="00ED146F"/>
    <w:rsid w:val="00ED3849"/>
    <w:rsid w:val="00EE4807"/>
    <w:rsid w:val="00EE6140"/>
    <w:rsid w:val="00EF25D2"/>
    <w:rsid w:val="00EF35BA"/>
    <w:rsid w:val="00F22E4F"/>
    <w:rsid w:val="00F258FB"/>
    <w:rsid w:val="00F25B12"/>
    <w:rsid w:val="00F276FC"/>
    <w:rsid w:val="00F329E8"/>
    <w:rsid w:val="00F37CCF"/>
    <w:rsid w:val="00F42B65"/>
    <w:rsid w:val="00F50694"/>
    <w:rsid w:val="00F678D3"/>
    <w:rsid w:val="00F7280E"/>
    <w:rsid w:val="00F75F90"/>
    <w:rsid w:val="00F82296"/>
    <w:rsid w:val="00F829D8"/>
    <w:rsid w:val="00F82EE7"/>
    <w:rsid w:val="00F84167"/>
    <w:rsid w:val="00F872A0"/>
    <w:rsid w:val="00F91946"/>
    <w:rsid w:val="00F93F33"/>
    <w:rsid w:val="00F95B5E"/>
    <w:rsid w:val="00FA18C9"/>
    <w:rsid w:val="00FA33C2"/>
    <w:rsid w:val="00FA5000"/>
    <w:rsid w:val="00FA63B0"/>
    <w:rsid w:val="00FA6B46"/>
    <w:rsid w:val="00FB4487"/>
    <w:rsid w:val="00FB659E"/>
    <w:rsid w:val="00FC688F"/>
    <w:rsid w:val="00FC7191"/>
    <w:rsid w:val="00FD2FAD"/>
    <w:rsid w:val="00FD475B"/>
    <w:rsid w:val="00FE3C62"/>
    <w:rsid w:val="00FE797A"/>
    <w:rsid w:val="00FF344C"/>
    <w:rsid w:val="00FF5706"/>
    <w:rsid w:val="0493D3BF"/>
    <w:rsid w:val="08282665"/>
    <w:rsid w:val="0C003428"/>
    <w:rsid w:val="0E361719"/>
    <w:rsid w:val="187F4518"/>
    <w:rsid w:val="1A0F67B7"/>
    <w:rsid w:val="1AE50CAB"/>
    <w:rsid w:val="1B7380AA"/>
    <w:rsid w:val="1DC4EBA6"/>
    <w:rsid w:val="1E24D9BC"/>
    <w:rsid w:val="22CB5966"/>
    <w:rsid w:val="24DAAF6D"/>
    <w:rsid w:val="2EEE4FEA"/>
    <w:rsid w:val="30714BBA"/>
    <w:rsid w:val="316ED903"/>
    <w:rsid w:val="3185FDDD"/>
    <w:rsid w:val="33E8102D"/>
    <w:rsid w:val="343057C5"/>
    <w:rsid w:val="3620EA47"/>
    <w:rsid w:val="3674A8E5"/>
    <w:rsid w:val="369B2E04"/>
    <w:rsid w:val="3C93C766"/>
    <w:rsid w:val="3D0838A5"/>
    <w:rsid w:val="3E5B86D8"/>
    <w:rsid w:val="42E0A0AF"/>
    <w:rsid w:val="4A79F447"/>
    <w:rsid w:val="4B331025"/>
    <w:rsid w:val="4F177FF0"/>
    <w:rsid w:val="50A077A2"/>
    <w:rsid w:val="513103E8"/>
    <w:rsid w:val="52CFFD8D"/>
    <w:rsid w:val="5741CA6C"/>
    <w:rsid w:val="5855B930"/>
    <w:rsid w:val="59A48792"/>
    <w:rsid w:val="5BA13DDD"/>
    <w:rsid w:val="5D9F3526"/>
    <w:rsid w:val="5FB0FD49"/>
    <w:rsid w:val="600B85B6"/>
    <w:rsid w:val="600EA7DB"/>
    <w:rsid w:val="61124189"/>
    <w:rsid w:val="61B2402E"/>
    <w:rsid w:val="62946970"/>
    <w:rsid w:val="648A0E26"/>
    <w:rsid w:val="64F216BF"/>
    <w:rsid w:val="67F453C1"/>
    <w:rsid w:val="6B2FD0FB"/>
    <w:rsid w:val="6DFF447D"/>
    <w:rsid w:val="6E2B097A"/>
    <w:rsid w:val="7021BB75"/>
    <w:rsid w:val="7069E8F1"/>
    <w:rsid w:val="7807313E"/>
    <w:rsid w:val="781B5C80"/>
    <w:rsid w:val="78AA0592"/>
    <w:rsid w:val="7A0756DF"/>
    <w:rsid w:val="7C0D716A"/>
    <w:rsid w:val="7CD5226E"/>
    <w:rsid w:val="7FA1AE7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DD474D"/>
  <w15:chartTrackingRefBased/>
  <w15:docId w15:val="{AB7FCD0C-6CA3-A045-AF56-1F60ED609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A43334"/>
    <w:pPr>
      <w:keepNext/>
      <w:keepLines/>
      <w:numPr>
        <w:numId w:val="5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5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5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5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5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2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2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2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2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s-ES"/>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s-ES"/>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A43334"/>
    <w:pPr>
      <w:jc w:val="left"/>
    </w:pPr>
    <w:rPr>
      <w:sz w:val="18"/>
      <w:szCs w:val="20"/>
    </w:rPr>
  </w:style>
  <w:style w:type="character" w:customStyle="1" w:styleId="FootnoteTextChar">
    <w:name w:val="Footnote Text Char"/>
    <w:basedOn w:val="DefaultParagraphFont"/>
    <w:link w:val="FootnoteText"/>
    <w:uiPriority w:val="99"/>
    <w:semiHidden/>
    <w:rsid w:val="00A43334"/>
    <w:rPr>
      <w:rFonts w:ascii="Times New Roman" w:eastAsia="SimSun" w:hAnsi="Times New Roman" w:cs="Times New Roman"/>
      <w:kern w:val="0"/>
      <w:sz w:val="18"/>
      <w:szCs w:val="20"/>
      <w:lang w:val="es-ES"/>
      <w14:ligatures w14:val="none"/>
    </w:rPr>
  </w:style>
  <w:style w:type="character" w:styleId="FootnoteReference">
    <w:name w:val="footnote reference"/>
    <w:basedOn w:val="DefaultParagraphFont"/>
    <w:uiPriority w:val="99"/>
    <w:semiHidden/>
    <w:unhideWhenUsed/>
    <w:rsid w:val="00A43334"/>
    <w:rPr>
      <w:vertAlign w:val="superscript"/>
      <w:lang w:val="es-ES"/>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lang w:val="es-ES"/>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s-ES"/>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s-ES"/>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s-E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s-ES"/>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s-ES"/>
      <w14:ligatures w14:val="none"/>
    </w:rPr>
  </w:style>
  <w:style w:type="character" w:styleId="CommentReference">
    <w:name w:val="annotation reference"/>
    <w:basedOn w:val="DefaultParagraphFont"/>
    <w:uiPriority w:val="99"/>
    <w:semiHidden/>
    <w:unhideWhenUsed/>
    <w:rsid w:val="00A43334"/>
    <w:rPr>
      <w:sz w:val="16"/>
      <w:szCs w:val="16"/>
      <w:lang w:val="es-ES"/>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s-ES"/>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s-ES"/>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s-ES"/>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s-ES"/>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s-ES"/>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D3EA6"/>
    <w:pPr>
      <w:numPr>
        <w:numId w:val="78"/>
      </w:numPr>
      <w:tabs>
        <w:tab w:val="left" w:pos="567"/>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39"/>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57"/>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s-ES"/>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spacing w:before="120"/>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s-ES"/>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s-ES"/>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s-ES"/>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s-ES"/>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s-ES"/>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s-ES"/>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s-ES"/>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s-ES"/>
      <w14:ligatures w14:val="none"/>
    </w:rPr>
  </w:style>
  <w:style w:type="character" w:styleId="BookTitle">
    <w:name w:val="Book Title"/>
    <w:basedOn w:val="DefaultParagraphFont"/>
    <w:uiPriority w:val="33"/>
    <w:qFormat/>
    <w:rsid w:val="00A43334"/>
    <w:rPr>
      <w:b/>
      <w:bCs/>
      <w:i/>
      <w:iCs/>
      <w:spacing w:val="5"/>
      <w:lang w:val="es-ES"/>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s-ES"/>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s-ES"/>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s-ES"/>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s-ES"/>
      <w14:ligatures w14:val="none"/>
    </w:rPr>
  </w:style>
  <w:style w:type="character" w:styleId="Emphasis">
    <w:name w:val="Emphasis"/>
    <w:basedOn w:val="DefaultParagraphFont"/>
    <w:uiPriority w:val="20"/>
    <w:qFormat/>
    <w:rsid w:val="00A43334"/>
    <w:rPr>
      <w:i/>
      <w:iCs/>
      <w:lang w:val="es-ES"/>
    </w:rPr>
  </w:style>
  <w:style w:type="character" w:styleId="EndnoteReference">
    <w:name w:val="endnote reference"/>
    <w:basedOn w:val="DefaultParagraphFont"/>
    <w:uiPriority w:val="99"/>
    <w:semiHidden/>
    <w:unhideWhenUsed/>
    <w:rsid w:val="00A43334"/>
    <w:rPr>
      <w:vertAlign w:val="superscript"/>
      <w:lang w:val="es-ES"/>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s-ES"/>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s-ES"/>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A43334"/>
    <w:rPr>
      <w:color w:val="2B579A"/>
      <w:shd w:val="clear" w:color="auto" w:fill="E1DFDD"/>
      <w:lang w:val="es-ES"/>
    </w:rPr>
  </w:style>
  <w:style w:type="character" w:styleId="HTMLAcronym">
    <w:name w:val="HTML Acronym"/>
    <w:basedOn w:val="DefaultParagraphFont"/>
    <w:uiPriority w:val="99"/>
    <w:semiHidden/>
    <w:unhideWhenUsed/>
    <w:rsid w:val="00A43334"/>
    <w:rPr>
      <w:lang w:val="es-ES"/>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s-ES"/>
      <w14:ligatures w14:val="none"/>
    </w:rPr>
  </w:style>
  <w:style w:type="character" w:styleId="HTMLCite">
    <w:name w:val="HTML Cite"/>
    <w:basedOn w:val="DefaultParagraphFont"/>
    <w:uiPriority w:val="99"/>
    <w:semiHidden/>
    <w:unhideWhenUsed/>
    <w:rsid w:val="00A43334"/>
    <w:rPr>
      <w:i/>
      <w:iCs/>
      <w:lang w:val="es-ES"/>
    </w:rPr>
  </w:style>
  <w:style w:type="character" w:styleId="HTMLCode">
    <w:name w:val="HTML Code"/>
    <w:basedOn w:val="DefaultParagraphFont"/>
    <w:uiPriority w:val="99"/>
    <w:semiHidden/>
    <w:unhideWhenUsed/>
    <w:rsid w:val="00A43334"/>
    <w:rPr>
      <w:rFonts w:ascii="Consolas" w:hAnsi="Consolas"/>
      <w:sz w:val="20"/>
      <w:szCs w:val="20"/>
      <w:lang w:val="es-ES"/>
    </w:rPr>
  </w:style>
  <w:style w:type="character" w:styleId="HTMLDefinition">
    <w:name w:val="HTML Definition"/>
    <w:basedOn w:val="DefaultParagraphFont"/>
    <w:uiPriority w:val="99"/>
    <w:semiHidden/>
    <w:unhideWhenUsed/>
    <w:rsid w:val="00A43334"/>
    <w:rPr>
      <w:i/>
      <w:iCs/>
      <w:lang w:val="es-ES"/>
    </w:rPr>
  </w:style>
  <w:style w:type="character" w:styleId="HTMLKeyboard">
    <w:name w:val="HTML Keyboard"/>
    <w:basedOn w:val="DefaultParagraphFont"/>
    <w:uiPriority w:val="99"/>
    <w:semiHidden/>
    <w:unhideWhenUsed/>
    <w:rsid w:val="00A43334"/>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s-ES"/>
      <w14:ligatures w14:val="none"/>
    </w:rPr>
  </w:style>
  <w:style w:type="character" w:styleId="HTMLSample">
    <w:name w:val="HTML Sample"/>
    <w:basedOn w:val="DefaultParagraphFont"/>
    <w:uiPriority w:val="99"/>
    <w:semiHidden/>
    <w:unhideWhenUsed/>
    <w:rsid w:val="00A43334"/>
    <w:rPr>
      <w:rFonts w:ascii="Consolas" w:hAnsi="Consolas"/>
      <w:sz w:val="24"/>
      <w:szCs w:val="24"/>
      <w:lang w:val="es-ES"/>
    </w:rPr>
  </w:style>
  <w:style w:type="character" w:styleId="HTMLTypewriter">
    <w:name w:val="HTML Typewriter"/>
    <w:basedOn w:val="DefaultParagraphFont"/>
    <w:uiPriority w:val="99"/>
    <w:semiHidden/>
    <w:unhideWhenUsed/>
    <w:rsid w:val="00A43334"/>
    <w:rPr>
      <w:rFonts w:ascii="Consolas" w:hAnsi="Consolas"/>
      <w:sz w:val="20"/>
      <w:szCs w:val="20"/>
      <w:lang w:val="es-ES"/>
    </w:rPr>
  </w:style>
  <w:style w:type="character" w:styleId="HTMLVariable">
    <w:name w:val="HTML Variable"/>
    <w:basedOn w:val="DefaultParagraphFont"/>
    <w:uiPriority w:val="99"/>
    <w:semiHidden/>
    <w:unhideWhenUsed/>
    <w:rsid w:val="00A43334"/>
    <w:rPr>
      <w:i/>
      <w:iCs/>
      <w:lang w:val="es-ES"/>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s-ES"/>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s-ES"/>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s-ES"/>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s-ES"/>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6"/>
      </w:numPr>
      <w:contextualSpacing/>
    </w:pPr>
  </w:style>
  <w:style w:type="paragraph" w:styleId="ListBullet2">
    <w:name w:val="List Bullet 2"/>
    <w:basedOn w:val="Normal"/>
    <w:uiPriority w:val="99"/>
    <w:semiHidden/>
    <w:unhideWhenUsed/>
    <w:rsid w:val="00A43334"/>
    <w:pPr>
      <w:numPr>
        <w:numId w:val="27"/>
      </w:numPr>
      <w:contextualSpacing/>
    </w:pPr>
  </w:style>
  <w:style w:type="paragraph" w:styleId="ListBullet3">
    <w:name w:val="List Bullet 3"/>
    <w:basedOn w:val="Normal"/>
    <w:uiPriority w:val="99"/>
    <w:semiHidden/>
    <w:unhideWhenUsed/>
    <w:rsid w:val="00A43334"/>
    <w:pPr>
      <w:numPr>
        <w:numId w:val="28"/>
      </w:numPr>
      <w:contextualSpacing/>
    </w:pPr>
  </w:style>
  <w:style w:type="paragraph" w:styleId="ListBullet4">
    <w:name w:val="List Bullet 4"/>
    <w:basedOn w:val="Normal"/>
    <w:uiPriority w:val="99"/>
    <w:semiHidden/>
    <w:unhideWhenUsed/>
    <w:rsid w:val="00A43334"/>
    <w:pPr>
      <w:numPr>
        <w:numId w:val="29"/>
      </w:numPr>
      <w:contextualSpacing/>
    </w:pPr>
  </w:style>
  <w:style w:type="paragraph" w:styleId="ListBullet5">
    <w:name w:val="List Bullet 5"/>
    <w:basedOn w:val="Normal"/>
    <w:uiPriority w:val="99"/>
    <w:semiHidden/>
    <w:unhideWhenUsed/>
    <w:rsid w:val="00A43334"/>
    <w:pPr>
      <w:numPr>
        <w:numId w:val="30"/>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67"/>
      </w:numPr>
      <w:contextualSpacing/>
    </w:pPr>
  </w:style>
  <w:style w:type="paragraph" w:styleId="ListNumber2">
    <w:name w:val="List Number 2"/>
    <w:basedOn w:val="Normal"/>
    <w:uiPriority w:val="99"/>
    <w:semiHidden/>
    <w:unhideWhenUsed/>
    <w:rsid w:val="00A43334"/>
    <w:pPr>
      <w:numPr>
        <w:numId w:val="68"/>
      </w:numPr>
      <w:contextualSpacing/>
    </w:pPr>
  </w:style>
  <w:style w:type="paragraph" w:styleId="ListNumber3">
    <w:name w:val="List Number 3"/>
    <w:basedOn w:val="Normal"/>
    <w:uiPriority w:val="99"/>
    <w:semiHidden/>
    <w:unhideWhenUsed/>
    <w:rsid w:val="00A43334"/>
    <w:pPr>
      <w:numPr>
        <w:numId w:val="69"/>
      </w:numPr>
      <w:contextualSpacing/>
    </w:pPr>
  </w:style>
  <w:style w:type="paragraph" w:styleId="ListNumber4">
    <w:name w:val="List Number 4"/>
    <w:basedOn w:val="Normal"/>
    <w:uiPriority w:val="99"/>
    <w:semiHidden/>
    <w:unhideWhenUsed/>
    <w:rsid w:val="00A43334"/>
    <w:pPr>
      <w:numPr>
        <w:numId w:val="70"/>
      </w:numPr>
      <w:contextualSpacing/>
    </w:pPr>
  </w:style>
  <w:style w:type="paragraph" w:styleId="ListNumber5">
    <w:name w:val="List Number 5"/>
    <w:basedOn w:val="Normal"/>
    <w:uiPriority w:val="99"/>
    <w:semiHidden/>
    <w:unhideWhenUsed/>
    <w:rsid w:val="00A43334"/>
    <w:pPr>
      <w:numPr>
        <w:numId w:val="71"/>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s-ES"/>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43334"/>
    <w:rPr>
      <w:color w:val="2B579A"/>
      <w:shd w:val="clear" w:color="auto" w:fill="E1DFDD"/>
      <w:lang w:val="es-ES"/>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s-ES"/>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s-ES"/>
      <w14:ligatures w14:val="none"/>
    </w:rPr>
  </w:style>
  <w:style w:type="character" w:styleId="PageNumber">
    <w:name w:val="page number"/>
    <w:basedOn w:val="DefaultParagraphFont"/>
    <w:uiPriority w:val="99"/>
    <w:semiHidden/>
    <w:unhideWhenUsed/>
    <w:rsid w:val="00A43334"/>
    <w:rPr>
      <w:lang w:val="es-ES"/>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s-ES"/>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s-ES"/>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s-ES"/>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s-ES"/>
      <w14:ligatures w14:val="none"/>
    </w:rPr>
  </w:style>
  <w:style w:type="character" w:customStyle="1" w:styleId="SmartHyperlink">
    <w:name w:val="Smart Hyperlink"/>
    <w:basedOn w:val="DefaultParagraphFont"/>
    <w:uiPriority w:val="99"/>
    <w:semiHidden/>
    <w:unhideWhenUsed/>
    <w:rsid w:val="00A43334"/>
    <w:rPr>
      <w:u w:val="dotted"/>
      <w:lang w:val="es-ES"/>
    </w:rPr>
  </w:style>
  <w:style w:type="character" w:customStyle="1" w:styleId="SmartLink">
    <w:name w:val="Smart Link"/>
    <w:basedOn w:val="DefaultParagraphFont"/>
    <w:uiPriority w:val="99"/>
    <w:semiHidden/>
    <w:unhideWhenUsed/>
    <w:rsid w:val="00A43334"/>
    <w:rPr>
      <w:color w:val="0000FF"/>
      <w:u w:val="single"/>
      <w:shd w:val="clear" w:color="auto" w:fill="F3F2F1"/>
      <w:lang w:val="es-ES"/>
    </w:rPr>
  </w:style>
  <w:style w:type="character" w:styleId="Strong">
    <w:name w:val="Strong"/>
    <w:basedOn w:val="DefaultParagraphFont"/>
    <w:uiPriority w:val="22"/>
    <w:qFormat/>
    <w:rsid w:val="00A43334"/>
    <w:rPr>
      <w:b/>
      <w:bCs/>
      <w:lang w:val="es-ES"/>
    </w:rPr>
  </w:style>
  <w:style w:type="character" w:styleId="SubtleEmphasis">
    <w:name w:val="Subtle Emphasis"/>
    <w:basedOn w:val="DefaultParagraphFont"/>
    <w:uiPriority w:val="19"/>
    <w:qFormat/>
    <w:rsid w:val="00A43334"/>
    <w:rPr>
      <w:i/>
      <w:iCs/>
      <w:color w:val="404040" w:themeColor="text1" w:themeTint="BF"/>
      <w:lang w:val="es-ES"/>
    </w:rPr>
  </w:style>
  <w:style w:type="character" w:styleId="SubtleReference">
    <w:name w:val="Subtle Reference"/>
    <w:basedOn w:val="DefaultParagraphFont"/>
    <w:uiPriority w:val="31"/>
    <w:qFormat/>
    <w:rsid w:val="00A43334"/>
    <w:rPr>
      <w:smallCaps/>
      <w:color w:val="5A5A5A" w:themeColor="text1" w:themeTint="A5"/>
      <w:lang w:val="es-ES"/>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UnresolvedMention">
    <w:name w:val="Unresolved Mention"/>
    <w:basedOn w:val="DefaultParagraphFont"/>
    <w:uiPriority w:val="99"/>
    <w:semiHidden/>
    <w:unhideWhenUsed/>
    <w:rsid w:val="00A43334"/>
    <w:rPr>
      <w:color w:val="605E5C"/>
      <w:shd w:val="clear" w:color="auto" w:fill="E1DFDD"/>
      <w:lang w:val="es-ES"/>
    </w:rPr>
  </w:style>
  <w:style w:type="paragraph" w:customStyle="1" w:styleId="Para10">
    <w:name w:val="Para1"/>
    <w:basedOn w:val="Normal"/>
    <w:link w:val="Para1Char1"/>
    <w:rsid w:val="00F82296"/>
    <w:pPr>
      <w:tabs>
        <w:tab w:val="clear" w:pos="567"/>
        <w:tab w:val="clear" w:pos="1134"/>
        <w:tab w:val="clear" w:pos="1701"/>
        <w:tab w:val="clear" w:pos="2268"/>
      </w:tabs>
      <w:spacing w:after="120"/>
    </w:pPr>
    <w:rPr>
      <w:rFonts w:eastAsia="MS Mincho" w:cs="Angsana New"/>
      <w:snapToGrid w:val="0"/>
      <w:szCs w:val="18"/>
    </w:rPr>
  </w:style>
  <w:style w:type="character" w:customStyle="1" w:styleId="Para1Char1">
    <w:name w:val="Para1 Char1"/>
    <w:link w:val="Para10"/>
    <w:rsid w:val="00F82296"/>
    <w:rPr>
      <w:rFonts w:ascii="Times New Roman" w:eastAsia="MS Mincho" w:hAnsi="Times New Roman" w:cs="Angsana New"/>
      <w:snapToGrid w:val="0"/>
      <w:kern w:val="0"/>
      <w:szCs w:val="18"/>
      <w:lang w:val="es-ES"/>
      <w14:ligatures w14:val="none"/>
    </w:rPr>
  </w:style>
  <w:style w:type="paragraph" w:customStyle="1" w:styleId="Para30">
    <w:name w:val="Para3"/>
    <w:basedOn w:val="Normal"/>
    <w:rsid w:val="00F82296"/>
    <w:pPr>
      <w:tabs>
        <w:tab w:val="clear" w:pos="567"/>
        <w:tab w:val="clear" w:pos="1134"/>
        <w:tab w:val="clear" w:pos="1701"/>
        <w:tab w:val="clear" w:pos="2268"/>
        <w:tab w:val="num" w:pos="1440"/>
        <w:tab w:val="left" w:pos="1980"/>
      </w:tabs>
      <w:spacing w:before="80" w:after="80"/>
      <w:ind w:left="1440" w:hanging="360"/>
    </w:pPr>
    <w:rPr>
      <w:rFonts w:eastAsia="Times New Roman"/>
      <w:szCs w:val="20"/>
    </w:rPr>
  </w:style>
  <w:style w:type="paragraph" w:customStyle="1" w:styleId="Para4">
    <w:name w:val="Para4"/>
    <w:basedOn w:val="Para30"/>
    <w:rsid w:val="00F82296"/>
    <w:pPr>
      <w:tabs>
        <w:tab w:val="clear" w:pos="1440"/>
        <w:tab w:val="clear" w:pos="1980"/>
        <w:tab w:val="left" w:pos="2552"/>
        <w:tab w:val="num" w:pos="2880"/>
      </w:tabs>
      <w:ind w:left="2880"/>
    </w:pPr>
  </w:style>
  <w:style w:type="paragraph" w:customStyle="1" w:styleId="p1">
    <w:name w:val="p1"/>
    <w:basedOn w:val="Normal"/>
    <w:rsid w:val="0016191C"/>
    <w:pPr>
      <w:shd w:val="clear" w:color="auto" w:fill="FFFFFF"/>
      <w:tabs>
        <w:tab w:val="clear" w:pos="567"/>
        <w:tab w:val="clear" w:pos="1134"/>
        <w:tab w:val="clear" w:pos="1701"/>
        <w:tab w:val="clear" w:pos="2268"/>
      </w:tabs>
      <w:jc w:val="left"/>
    </w:pPr>
    <w:rPr>
      <w:rFonts w:ascii="Helvetica" w:eastAsiaTheme="minorEastAsia" w:hAnsi="Helvetica"/>
      <w:color w:val="0000EE"/>
      <w:sz w:val="18"/>
      <w:szCs w:val="18"/>
    </w:rPr>
  </w:style>
  <w:style w:type="paragraph" w:customStyle="1" w:styleId="p2">
    <w:name w:val="p2"/>
    <w:basedOn w:val="Normal"/>
    <w:rsid w:val="0016191C"/>
    <w:pPr>
      <w:shd w:val="clear" w:color="auto" w:fill="FFFFFF"/>
      <w:tabs>
        <w:tab w:val="clear" w:pos="567"/>
        <w:tab w:val="clear" w:pos="1134"/>
        <w:tab w:val="clear" w:pos="1701"/>
        <w:tab w:val="clear" w:pos="2268"/>
      </w:tabs>
      <w:jc w:val="left"/>
    </w:pPr>
    <w:rPr>
      <w:rFonts w:ascii="Helvetica" w:eastAsiaTheme="minorEastAsia" w:hAnsi="Helvetica"/>
      <w:color w:val="000000"/>
      <w:sz w:val="18"/>
      <w:szCs w:val="18"/>
    </w:rPr>
  </w:style>
  <w:style w:type="character" w:customStyle="1" w:styleId="s1">
    <w:name w:val="s1"/>
    <w:basedOn w:val="DefaultParagraphFont"/>
    <w:rsid w:val="0016191C"/>
    <w:rPr>
      <w:rFonts w:ascii="Helvetica" w:hAnsi="Helvetica" w:hint="default"/>
      <w:b w:val="0"/>
      <w:bCs w:val="0"/>
      <w:i w:val="0"/>
      <w:iCs w:val="0"/>
      <w:color w:val="000000"/>
      <w:sz w:val="18"/>
      <w:szCs w:val="18"/>
    </w:rPr>
  </w:style>
  <w:style w:type="character" w:customStyle="1" w:styleId="s2">
    <w:name w:val="s2"/>
    <w:basedOn w:val="DefaultParagraphFont"/>
    <w:rsid w:val="0016191C"/>
    <w:rPr>
      <w:rFonts w:ascii="Helvetica" w:hAnsi="Helvetica" w:hint="default"/>
      <w:b w:val="0"/>
      <w:bCs w:val="0"/>
      <w:i w:val="0"/>
      <w:iCs w:val="0"/>
      <w:color w:val="0000EE"/>
      <w:sz w:val="18"/>
      <w:szCs w:val="18"/>
      <w:u w:val="single"/>
    </w:rPr>
  </w:style>
  <w:style w:type="character" w:customStyle="1" w:styleId="s3">
    <w:name w:val="s3"/>
    <w:basedOn w:val="DefaultParagraphFont"/>
    <w:rsid w:val="0016191C"/>
    <w:rPr>
      <w:rFonts w:ascii="Helvetica" w:hAnsi="Helvetica" w:hint="default"/>
      <w:b w:val="0"/>
      <w:bCs w:val="0"/>
      <w:i w:val="0"/>
      <w:iCs w:val="0"/>
      <w:sz w:val="18"/>
      <w:szCs w:val="18"/>
    </w:rPr>
  </w:style>
  <w:style w:type="character" w:customStyle="1" w:styleId="eop">
    <w:name w:val="eop"/>
    <w:basedOn w:val="DefaultParagraphFont"/>
    <w:rsid w:val="00682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168003">
      <w:bodyDiv w:val="1"/>
      <w:marLeft w:val="0"/>
      <w:marRight w:val="0"/>
      <w:marTop w:val="0"/>
      <w:marBottom w:val="0"/>
      <w:divBdr>
        <w:top w:val="none" w:sz="0" w:space="0" w:color="auto"/>
        <w:left w:val="none" w:sz="0" w:space="0" w:color="auto"/>
        <w:bottom w:val="none" w:sz="0" w:space="0" w:color="auto"/>
        <w:right w:val="none" w:sz="0" w:space="0" w:color="auto"/>
      </w:divBdr>
      <w:divsChild>
        <w:div w:id="9372988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s.pdf" TargetMode="External"/><Relationship Id="rId22" Type="http://schemas.openxmlformats.org/officeDocument/2006/relationships/theme" Target="theme/theme1.xml"/><Relationship Id="rId27"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3" Type="http://schemas.openxmlformats.org/officeDocument/2006/relationships/hyperlink" Target="https://unece.org/sites/default/files/2024-06/ECE.MP_.PP_.WG_.1.2024.6.E.pdf" TargetMode="External"/><Relationship Id="rId2" Type="http://schemas.openxmlformats.org/officeDocument/2006/relationships/hyperlink" Target="https://one.oecd.org/document/ENV/CBC/MONO(2023)30/en/pdf" TargetMode="External"/><Relationship Id="rId1" Type="http://schemas.openxmlformats.org/officeDocument/2006/relationships/hyperlink" Target="https://www.cbd.int/doc/decisions/cp-mop-10/cp-mop-10-dec-03-es.pdf" TargetMode="External"/><Relationship Id="rId4" Type="http://schemas.openxmlformats.org/officeDocument/2006/relationships/hyperlink" Target="https://www.cbd.int/documents/CBD/CP/RA/OM/2023/1/2" TargetMode="External"/></Relationships>
</file>

<file path=word/documenttasks/documenttasks1.xml><?xml version="1.0" encoding="utf-8"?>
<t:Tasks xmlns:t="http://schemas.microsoft.com/office/tasks/2019/documenttasks" xmlns:oel="http://schemas.microsoft.com/office/2019/extlst">
  <t:Task id="{1BE6FDE5-580E-41EC-9F7F-BD90C32F803F}">
    <t:Anchor>
      <t:Comment id="1722803388"/>
    </t:Anchor>
    <t:History>
      <t:Event id="{67E04B2D-237D-4B37-B1AE-0D5DE3B5BCAE}" time="2024-06-20T13:56:32.068Z">
        <t:Attribution userId="S::melissa.willey@un.org::fef176b2-600c-404c-b8c2-d64ff2363a93" userProvider="AD" userName="Melissa Willey"/>
        <t:Anchor>
          <t:Comment id="1722803388"/>
        </t:Anchor>
        <t:Create/>
      </t:Event>
      <t:Event id="{1C2F8CF4-B583-4214-A4FB-572532F06725}" time="2024-06-20T13:56:32.068Z">
        <t:Attribution userId="S::melissa.willey@un.org::fef176b2-600c-404c-b8c2-d64ff2363a93" userProvider="AD" userName="Melissa Willey"/>
        <t:Anchor>
          <t:Comment id="1722803388"/>
        </t:Anchor>
        <t:Assign userId="S::ulrika.nilsson@un.org::2fe16696-65d9-4ee1-a73a-6d286ec5184a" userProvider="AD" userName="Ulrika Nilsson"/>
      </t:Event>
      <t:Event id="{5AEE73B7-8F0B-4CD3-9308-24231F1FCDD6}" time="2024-06-20T13:56:32.068Z">
        <t:Attribution userId="S::melissa.willey@un.org::fef176b2-600c-404c-b8c2-d64ff2363a93" userProvider="AD" userName="Melissa Willey"/>
        <t:Anchor>
          <t:Comment id="1722803388"/>
        </t:Anchor>
        <t:SetTitle title="This reference to IICA is just hanging here without any text. @Ulrika Nilsson do you have anything you can add?"/>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75885B057CA40459063BBDD6984C203"/>
        <w:category>
          <w:name w:val="General"/>
          <w:gallery w:val="placeholder"/>
        </w:category>
        <w:types>
          <w:type w:val="bbPlcHdr"/>
        </w:types>
        <w:behaviors>
          <w:behavior w:val="content"/>
        </w:behaviors>
        <w:guid w:val="{987B7911-5507-4B5E-85ED-E8F1921BD33A}"/>
      </w:docPartPr>
      <w:docPartBody>
        <w:p w:rsidR="003D1EA3" w:rsidRDefault="00303E94">
          <w:pPr>
            <w:pStyle w:val="975885B057CA40459063BBDD6984C20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7E0"/>
    <w:rsid w:val="000A3432"/>
    <w:rsid w:val="00163E6F"/>
    <w:rsid w:val="001D2FD8"/>
    <w:rsid w:val="001E6754"/>
    <w:rsid w:val="001F5AC4"/>
    <w:rsid w:val="00303E94"/>
    <w:rsid w:val="0032099E"/>
    <w:rsid w:val="003354C2"/>
    <w:rsid w:val="0039415A"/>
    <w:rsid w:val="003D1EA3"/>
    <w:rsid w:val="00483E8E"/>
    <w:rsid w:val="004A03D9"/>
    <w:rsid w:val="004C1F2C"/>
    <w:rsid w:val="00563E8A"/>
    <w:rsid w:val="00587100"/>
    <w:rsid w:val="005978A9"/>
    <w:rsid w:val="006854FC"/>
    <w:rsid w:val="006B626E"/>
    <w:rsid w:val="00724AE8"/>
    <w:rsid w:val="00767009"/>
    <w:rsid w:val="00786608"/>
    <w:rsid w:val="007C0E93"/>
    <w:rsid w:val="00867FCC"/>
    <w:rsid w:val="008A17E0"/>
    <w:rsid w:val="008C6A53"/>
    <w:rsid w:val="008D1BC5"/>
    <w:rsid w:val="008D3219"/>
    <w:rsid w:val="008F181F"/>
    <w:rsid w:val="009A7E75"/>
    <w:rsid w:val="00A01281"/>
    <w:rsid w:val="00A02892"/>
    <w:rsid w:val="00A213AC"/>
    <w:rsid w:val="00B01052"/>
    <w:rsid w:val="00B11A95"/>
    <w:rsid w:val="00B212E3"/>
    <w:rsid w:val="00BC1170"/>
    <w:rsid w:val="00BD0EC6"/>
    <w:rsid w:val="00DB5177"/>
    <w:rsid w:val="00DC1E24"/>
    <w:rsid w:val="00DE2CB3"/>
    <w:rsid w:val="00DF21EE"/>
    <w:rsid w:val="00E968FE"/>
    <w:rsid w:val="00F074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75885B057CA40459063BBDD6984C203">
    <w:name w:val="975885B057CA40459063BBDD6984C2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96319-B409-4B66-90BE-01ECF1D7B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44099AB-BE24-485E-B3FF-0DC8B67479D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2664452-EA18-4263-ACA2-C8474E46D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1751</Words>
  <Characters>9986</Characters>
  <Application>Microsoft Office Word</Application>
  <DocSecurity>0</DocSecurity>
  <Lines>83</Lines>
  <Paragraphs>23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Cooperación con organizaciones internacionales, organismos creados en virtud de otros convenios e iniciativas</vt:lpstr>
      <vt:lpstr>Cooperation with international organizations, bodies established under other conventions, and initiatives</vt:lpstr>
    </vt:vector>
  </TitlesOfParts>
  <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organizaciones internacionales, organismos creados en virtud de otros convenios e iniciativas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Rosario </cp:lastModifiedBy>
  <cp:revision>7</cp:revision>
  <cp:lastPrinted>2024-08-20T20:06:00Z</cp:lastPrinted>
  <dcterms:created xsi:type="dcterms:W3CDTF">2024-09-06T10:39:00Z</dcterms:created>
  <dcterms:modified xsi:type="dcterms:W3CDTF">2024-10-07T19:54:00Z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