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5546" w14:textId="77777777" w:rsidR="00366DD9" w:rsidRPr="00FA1E77" w:rsidRDefault="00366DD9" w:rsidP="00FA1E77">
      <w:pPr>
        <w:suppressLineNumbers/>
        <w:suppressAutoHyphens/>
        <w:rPr>
          <w:kern w:val="22"/>
        </w:rPr>
      </w:pPr>
    </w:p>
    <w:tbl>
      <w:tblPr>
        <w:tblStyle w:val="TableGrid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157A" w:rsidRPr="00510EF6" w14:paraId="0A50E8E1" w14:textId="77777777" w:rsidTr="0063040B">
        <w:trPr>
          <w:trHeight w:val="851"/>
        </w:trPr>
        <w:tc>
          <w:tcPr>
            <w:tcW w:w="976" w:type="dxa"/>
          </w:tcPr>
          <w:p w14:paraId="7BC0B1A2" w14:textId="77777777" w:rsidR="00B4157A" w:rsidRPr="00510EF6" w:rsidRDefault="00B4157A">
            <w:pPr>
              <w:suppressLineNumbers/>
              <w:suppressAutoHyphens/>
              <w:rPr>
                <w:kern w:val="22"/>
              </w:rPr>
            </w:pPr>
            <w:bookmarkStart w:id="0" w:name="_Hlk505247837"/>
            <w:r w:rsidRPr="00FA1E77">
              <w:rPr>
                <w:noProof/>
                <w:kern w:val="22"/>
              </w:rPr>
              <w:drawing>
                <wp:anchor distT="0" distB="0" distL="114300" distR="114300" simplePos="0" relativeHeight="251658241" behindDoc="0" locked="0" layoutInCell="1" allowOverlap="1" wp14:anchorId="5D02C7E5" wp14:editId="4EBB72F5">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2A6B8B24" w14:textId="77777777" w:rsidR="00B4157A" w:rsidRPr="00510EF6" w:rsidRDefault="00B4157A">
            <w:pPr>
              <w:suppressLineNumbers/>
              <w:suppressAutoHyphens/>
              <w:rPr>
                <w:kern w:val="22"/>
              </w:rPr>
            </w:pPr>
            <w:r w:rsidRPr="00FA1E77">
              <w:rPr>
                <w:noProof/>
              </w:rPr>
              <w:drawing>
                <wp:anchor distT="0" distB="0" distL="114300" distR="114300" simplePos="0" relativeHeight="251658240" behindDoc="0" locked="0" layoutInCell="1" allowOverlap="1" wp14:anchorId="083607E2" wp14:editId="1BD92BA4">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7AC59E25" w14:textId="77777777" w:rsidR="00B4157A" w:rsidRPr="00510EF6" w:rsidRDefault="00B4157A">
            <w:pPr>
              <w:suppressLineNumbers/>
              <w:suppressAutoHyphens/>
              <w:jc w:val="right"/>
              <w:rPr>
                <w:rFonts w:ascii="Arial" w:hAnsi="Arial" w:cs="Arial"/>
                <w:b/>
                <w:kern w:val="22"/>
                <w:sz w:val="32"/>
                <w:szCs w:val="32"/>
              </w:rPr>
            </w:pPr>
            <w:r w:rsidRPr="00510EF6">
              <w:rPr>
                <w:rFonts w:ascii="Arial" w:hAnsi="Arial" w:cs="Arial"/>
                <w:b/>
                <w:kern w:val="22"/>
                <w:sz w:val="32"/>
                <w:szCs w:val="32"/>
              </w:rPr>
              <w:t>CBD</w:t>
            </w:r>
          </w:p>
        </w:tc>
      </w:tr>
    </w:tbl>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2"/>
        <w:gridCol w:w="5323"/>
      </w:tblGrid>
      <w:tr w:rsidR="00C9161D" w:rsidRPr="00510EF6" w14:paraId="7F91CA98" w14:textId="77777777" w:rsidTr="00FA1E77">
        <w:tc>
          <w:tcPr>
            <w:tcW w:w="4742" w:type="dxa"/>
            <w:tcBorders>
              <w:top w:val="single" w:sz="12" w:space="0" w:color="auto"/>
              <w:bottom w:val="single" w:sz="36" w:space="0" w:color="auto"/>
            </w:tcBorders>
            <w:vAlign w:val="center"/>
          </w:tcPr>
          <w:bookmarkEnd w:id="0"/>
          <w:p w14:paraId="5F528349" w14:textId="77777777" w:rsidR="00C9161D" w:rsidRPr="00510EF6" w:rsidRDefault="00C9161D" w:rsidP="00FA1E77">
            <w:pPr>
              <w:suppressLineNumbers/>
              <w:suppressAutoHyphens/>
              <w:kinsoku w:val="0"/>
              <w:overflowPunct w:val="0"/>
              <w:autoSpaceDE w:val="0"/>
              <w:autoSpaceDN w:val="0"/>
              <w:rPr>
                <w:snapToGrid w:val="0"/>
                <w:kern w:val="22"/>
              </w:rPr>
            </w:pPr>
            <w:r w:rsidRPr="00FA1E77">
              <w:rPr>
                <w:noProof/>
                <w:snapToGrid w:val="0"/>
                <w:kern w:val="22"/>
              </w:rPr>
              <w:drawing>
                <wp:inline distT="0" distB="0" distL="0" distR="0" wp14:anchorId="411E553A" wp14:editId="43B85D7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tcBorders>
              <w:top w:val="single" w:sz="12" w:space="0" w:color="auto"/>
              <w:bottom w:val="single" w:sz="36" w:space="0" w:color="auto"/>
            </w:tcBorders>
          </w:tcPr>
          <w:p w14:paraId="7B8367F3" w14:textId="77777777" w:rsidR="00C9161D" w:rsidRPr="00510EF6" w:rsidRDefault="00C9161D" w:rsidP="00FA1E77">
            <w:pPr>
              <w:suppressLineNumbers/>
              <w:suppressAutoHyphens/>
              <w:kinsoku w:val="0"/>
              <w:overflowPunct w:val="0"/>
              <w:autoSpaceDE w:val="0"/>
              <w:autoSpaceDN w:val="0"/>
              <w:ind w:left="1952"/>
              <w:rPr>
                <w:snapToGrid w:val="0"/>
                <w:kern w:val="22"/>
                <w:szCs w:val="22"/>
              </w:rPr>
            </w:pPr>
            <w:r w:rsidRPr="00510EF6">
              <w:rPr>
                <w:snapToGrid w:val="0"/>
                <w:kern w:val="22"/>
                <w:szCs w:val="22"/>
              </w:rPr>
              <w:t>Distr.</w:t>
            </w:r>
          </w:p>
          <w:p w14:paraId="7B37CCB6" w14:textId="398676D4" w:rsidR="00C9161D" w:rsidRPr="00510EF6" w:rsidRDefault="00172AF6" w:rsidP="00FA1E77">
            <w:pPr>
              <w:suppressLineNumbers/>
              <w:suppressAutoHyphens/>
              <w:kinsoku w:val="0"/>
              <w:overflowPunct w:val="0"/>
              <w:autoSpaceDE w:val="0"/>
              <w:autoSpaceDN w:val="0"/>
              <w:ind w:left="1952"/>
              <w:rPr>
                <w:snapToGrid w:val="0"/>
                <w:kern w:val="22"/>
                <w:szCs w:val="22"/>
              </w:rPr>
            </w:pPr>
            <w:r w:rsidRPr="00510EF6">
              <w:rPr>
                <w:caps/>
                <w:snapToGrid w:val="0"/>
                <w:kern w:val="22"/>
                <w:szCs w:val="22"/>
              </w:rPr>
              <w:t>GENERAL</w:t>
            </w:r>
          </w:p>
          <w:p w14:paraId="26B550A3" w14:textId="77777777" w:rsidR="00C9161D" w:rsidRPr="00510EF6" w:rsidRDefault="00C9161D" w:rsidP="00FA1E77">
            <w:pPr>
              <w:suppressLineNumbers/>
              <w:suppressAutoHyphens/>
              <w:kinsoku w:val="0"/>
              <w:overflowPunct w:val="0"/>
              <w:autoSpaceDE w:val="0"/>
              <w:autoSpaceDN w:val="0"/>
              <w:ind w:left="1952"/>
              <w:rPr>
                <w:snapToGrid w:val="0"/>
                <w:kern w:val="22"/>
                <w:szCs w:val="22"/>
              </w:rPr>
            </w:pPr>
          </w:p>
          <w:p w14:paraId="14E3540F" w14:textId="174EDDCC" w:rsidR="00C9161D" w:rsidRPr="00510EF6" w:rsidRDefault="008F5494" w:rsidP="00FA1E77">
            <w:pPr>
              <w:suppressLineNumbers/>
              <w:suppressAutoHyphens/>
              <w:ind w:left="1952"/>
              <w:rPr>
                <w:snapToGrid w:val="0"/>
                <w:kern w:val="22"/>
                <w:szCs w:val="22"/>
              </w:rPr>
            </w:pPr>
            <w:r w:rsidRPr="00FA1E77">
              <w:rPr>
                <w:snapToGrid w:val="0"/>
                <w:kern w:val="22"/>
                <w:szCs w:val="22"/>
              </w:rPr>
              <w:t>CBD/CP/</w:t>
            </w:r>
            <w:r w:rsidR="000D5A7E" w:rsidRPr="00FA1E77">
              <w:rPr>
                <w:snapToGrid w:val="0"/>
                <w:kern w:val="22"/>
                <w:szCs w:val="22"/>
              </w:rPr>
              <w:t>CC/17/3</w:t>
            </w:r>
          </w:p>
          <w:p w14:paraId="701C8AEE" w14:textId="70016EFF" w:rsidR="00C9161D" w:rsidRPr="00510EF6" w:rsidRDefault="00851966" w:rsidP="00FA1E77">
            <w:pPr>
              <w:suppressLineNumbers/>
              <w:suppressAutoHyphens/>
              <w:kinsoku w:val="0"/>
              <w:overflowPunct w:val="0"/>
              <w:autoSpaceDE w:val="0"/>
              <w:autoSpaceDN w:val="0"/>
              <w:ind w:left="1952"/>
              <w:rPr>
                <w:snapToGrid w:val="0"/>
                <w:kern w:val="22"/>
                <w:szCs w:val="22"/>
              </w:rPr>
            </w:pPr>
            <w:r w:rsidRPr="00FA1E77">
              <w:rPr>
                <w:snapToGrid w:val="0"/>
                <w:kern w:val="22"/>
                <w:szCs w:val="22"/>
              </w:rPr>
              <w:t>16 March 2020</w:t>
            </w:r>
          </w:p>
          <w:p w14:paraId="120AB13E" w14:textId="77777777" w:rsidR="00C9161D" w:rsidRPr="00510EF6" w:rsidRDefault="00C9161D" w:rsidP="00FA1E77">
            <w:pPr>
              <w:suppressLineNumbers/>
              <w:suppressAutoHyphens/>
              <w:kinsoku w:val="0"/>
              <w:overflowPunct w:val="0"/>
              <w:autoSpaceDE w:val="0"/>
              <w:autoSpaceDN w:val="0"/>
              <w:ind w:left="1952"/>
              <w:rPr>
                <w:snapToGrid w:val="0"/>
                <w:kern w:val="22"/>
                <w:szCs w:val="22"/>
              </w:rPr>
            </w:pPr>
          </w:p>
          <w:p w14:paraId="3F3E56D7" w14:textId="77777777" w:rsidR="00C9161D" w:rsidRPr="00510EF6" w:rsidRDefault="00C9161D" w:rsidP="00FA1E77">
            <w:pPr>
              <w:suppressLineNumbers/>
              <w:suppressAutoHyphens/>
              <w:kinsoku w:val="0"/>
              <w:overflowPunct w:val="0"/>
              <w:autoSpaceDE w:val="0"/>
              <w:autoSpaceDN w:val="0"/>
              <w:ind w:left="1952"/>
              <w:rPr>
                <w:snapToGrid w:val="0"/>
                <w:kern w:val="22"/>
                <w:szCs w:val="22"/>
              </w:rPr>
            </w:pPr>
            <w:r w:rsidRPr="00510EF6">
              <w:rPr>
                <w:snapToGrid w:val="0"/>
                <w:kern w:val="22"/>
                <w:szCs w:val="22"/>
              </w:rPr>
              <w:t>ENGLISH</w:t>
            </w:r>
            <w:r w:rsidR="00172AF6" w:rsidRPr="00510EF6">
              <w:rPr>
                <w:snapToGrid w:val="0"/>
                <w:kern w:val="22"/>
                <w:szCs w:val="22"/>
              </w:rPr>
              <w:t xml:space="preserve"> ONLY</w:t>
            </w:r>
          </w:p>
          <w:p w14:paraId="55963C3D" w14:textId="77777777" w:rsidR="00C9161D" w:rsidRPr="00510EF6" w:rsidRDefault="00C9161D" w:rsidP="00FA1E77">
            <w:pPr>
              <w:suppressLineNumbers/>
              <w:suppressAutoHyphens/>
              <w:kinsoku w:val="0"/>
              <w:overflowPunct w:val="0"/>
              <w:autoSpaceDE w:val="0"/>
              <w:autoSpaceDN w:val="0"/>
              <w:rPr>
                <w:snapToGrid w:val="0"/>
                <w:kern w:val="22"/>
              </w:rPr>
            </w:pPr>
          </w:p>
        </w:tc>
      </w:tr>
    </w:tbl>
    <w:p w14:paraId="171632A4" w14:textId="77777777" w:rsidR="000D09CE" w:rsidRPr="00510EF6" w:rsidRDefault="000D09CE" w:rsidP="00FA1E77">
      <w:pPr>
        <w:pStyle w:val="Cornernotation"/>
        <w:suppressLineNumbers/>
        <w:suppressAutoHyphens/>
        <w:kinsoku w:val="0"/>
        <w:overflowPunct w:val="0"/>
        <w:autoSpaceDE w:val="0"/>
        <w:autoSpaceDN w:val="0"/>
        <w:ind w:left="284" w:right="4682" w:hanging="283"/>
        <w:rPr>
          <w:snapToGrid w:val="0"/>
          <w:kern w:val="22"/>
          <w:szCs w:val="22"/>
        </w:rPr>
      </w:pPr>
      <w:r w:rsidRPr="00510EF6">
        <w:rPr>
          <w:snapToGrid w:val="0"/>
          <w:kern w:val="22"/>
          <w:szCs w:val="22"/>
        </w:rPr>
        <w:t>COMPLIANCE COMMITTEE UNDER THE CARTAGENA PROTOCOL ON BIOSAFETY</w:t>
      </w:r>
    </w:p>
    <w:p w14:paraId="49A17626" w14:textId="5324E1B5" w:rsidR="000D09CE" w:rsidRPr="00510EF6" w:rsidRDefault="00564C27" w:rsidP="00FA1E77">
      <w:pPr>
        <w:pStyle w:val="Cornernotation"/>
        <w:suppressLineNumbers/>
        <w:suppressAutoHyphens/>
        <w:kinsoku w:val="0"/>
        <w:overflowPunct w:val="0"/>
        <w:autoSpaceDE w:val="0"/>
        <w:autoSpaceDN w:val="0"/>
        <w:ind w:left="0" w:firstLine="0"/>
        <w:rPr>
          <w:snapToGrid w:val="0"/>
          <w:kern w:val="22"/>
          <w:szCs w:val="22"/>
        </w:rPr>
      </w:pPr>
      <w:r w:rsidRPr="00510EF6">
        <w:rPr>
          <w:snapToGrid w:val="0"/>
          <w:kern w:val="22"/>
          <w:szCs w:val="22"/>
        </w:rPr>
        <w:t>Seven</w:t>
      </w:r>
      <w:r w:rsidR="000D09CE" w:rsidRPr="00510EF6">
        <w:rPr>
          <w:snapToGrid w:val="0"/>
          <w:kern w:val="22"/>
          <w:szCs w:val="22"/>
        </w:rPr>
        <w:t>teenth meeting</w:t>
      </w:r>
    </w:p>
    <w:p w14:paraId="523E6EF6" w14:textId="479FA55D" w:rsidR="000D09CE" w:rsidRPr="00510EF6" w:rsidRDefault="008659E5" w:rsidP="00FA1E77">
      <w:pPr>
        <w:pStyle w:val="Cornernotation"/>
        <w:suppressLineNumbers/>
        <w:suppressAutoHyphens/>
        <w:kinsoku w:val="0"/>
        <w:overflowPunct w:val="0"/>
        <w:autoSpaceDE w:val="0"/>
        <w:autoSpaceDN w:val="0"/>
        <w:ind w:left="0" w:right="3548" w:firstLine="0"/>
        <w:rPr>
          <w:snapToGrid w:val="0"/>
          <w:kern w:val="22"/>
          <w:szCs w:val="22"/>
        </w:rPr>
      </w:pPr>
      <w:r w:rsidRPr="00510EF6">
        <w:rPr>
          <w:snapToGrid w:val="0"/>
          <w:kern w:val="22"/>
          <w:szCs w:val="22"/>
        </w:rPr>
        <w:t>Online</w:t>
      </w:r>
      <w:r w:rsidR="000D09CE" w:rsidRPr="00510EF6">
        <w:rPr>
          <w:snapToGrid w:val="0"/>
          <w:kern w:val="22"/>
          <w:szCs w:val="22"/>
        </w:rPr>
        <w:t xml:space="preserve">, </w:t>
      </w:r>
      <w:r w:rsidR="008B6BA9" w:rsidRPr="00510EF6">
        <w:rPr>
          <w:snapToGrid w:val="0"/>
          <w:kern w:val="22"/>
          <w:szCs w:val="22"/>
        </w:rPr>
        <w:t>15</w:t>
      </w:r>
      <w:r w:rsidR="000D3B5E" w:rsidRPr="00510EF6">
        <w:rPr>
          <w:snapToGrid w:val="0"/>
          <w:kern w:val="22"/>
          <w:szCs w:val="22"/>
        </w:rPr>
        <w:t>-</w:t>
      </w:r>
      <w:r w:rsidR="008B6BA9" w:rsidRPr="00510EF6">
        <w:rPr>
          <w:snapToGrid w:val="0"/>
          <w:kern w:val="22"/>
          <w:szCs w:val="22"/>
        </w:rPr>
        <w:t>17</w:t>
      </w:r>
      <w:r w:rsidR="000D3B5E" w:rsidRPr="00510EF6">
        <w:rPr>
          <w:snapToGrid w:val="0"/>
          <w:kern w:val="22"/>
          <w:szCs w:val="22"/>
        </w:rPr>
        <w:t xml:space="preserve"> </w:t>
      </w:r>
      <w:r w:rsidR="009C494D" w:rsidRPr="00510EF6">
        <w:rPr>
          <w:snapToGrid w:val="0"/>
          <w:kern w:val="22"/>
          <w:szCs w:val="22"/>
        </w:rPr>
        <w:t>April</w:t>
      </w:r>
      <w:r w:rsidR="000D09CE" w:rsidRPr="00510EF6">
        <w:rPr>
          <w:snapToGrid w:val="0"/>
          <w:kern w:val="22"/>
          <w:szCs w:val="22"/>
        </w:rPr>
        <w:t xml:space="preserve"> </w:t>
      </w:r>
      <w:r w:rsidR="008B6BA9" w:rsidRPr="00510EF6">
        <w:rPr>
          <w:snapToGrid w:val="0"/>
          <w:kern w:val="22"/>
          <w:szCs w:val="22"/>
        </w:rPr>
        <w:t>2020</w:t>
      </w:r>
    </w:p>
    <w:p w14:paraId="2AA1DD39" w14:textId="77777777" w:rsidR="005B3DCF" w:rsidRPr="00510EF6" w:rsidRDefault="005B3DCF" w:rsidP="00FA1E77">
      <w:pPr>
        <w:pStyle w:val="Cornernotation"/>
        <w:suppressLineNumbers/>
        <w:suppressAutoHyphens/>
        <w:kinsoku w:val="0"/>
        <w:overflowPunct w:val="0"/>
        <w:autoSpaceDE w:val="0"/>
        <w:autoSpaceDN w:val="0"/>
        <w:ind w:left="0" w:right="3548" w:firstLine="0"/>
        <w:rPr>
          <w:snapToGrid w:val="0"/>
          <w:kern w:val="22"/>
          <w:szCs w:val="22"/>
        </w:rPr>
      </w:pPr>
      <w:bookmarkStart w:id="1" w:name="_GoBack"/>
      <w:bookmarkEnd w:id="1"/>
    </w:p>
    <w:p w14:paraId="4033C76E" w14:textId="522C916E" w:rsidR="00176CEE" w:rsidRPr="00510EF6" w:rsidRDefault="006A2AF4" w:rsidP="00FA1E77">
      <w:pPr>
        <w:suppressLineNumbers/>
        <w:suppressAutoHyphens/>
        <w:kinsoku w:val="0"/>
        <w:overflowPunct w:val="0"/>
        <w:autoSpaceDE w:val="0"/>
        <w:autoSpaceDN w:val="0"/>
        <w:spacing w:before="120" w:after="240"/>
        <w:jc w:val="center"/>
        <w:rPr>
          <w:b/>
          <w:caps/>
          <w:snapToGrid w:val="0"/>
          <w:kern w:val="22"/>
          <w:szCs w:val="22"/>
        </w:rPr>
      </w:pPr>
      <w:sdt>
        <w:sdtPr>
          <w:rPr>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C24E2" w:rsidRPr="00FA1E77">
            <w:rPr>
              <w:b/>
              <w:bCs/>
              <w:caps/>
              <w:snapToGrid w:val="0"/>
              <w:kern w:val="22"/>
              <w:szCs w:val="22"/>
            </w:rPr>
            <w:t>Fourth assessment and review of the Cartagena Protocol and final evaluation of the Strategic Plan for the Cartagena Protocol for the period 2011-2020: input by the Compliance Committee</w:t>
          </w:r>
        </w:sdtContent>
      </w:sdt>
      <w:r w:rsidR="00105372" w:rsidRPr="00510EF6">
        <w:rPr>
          <w:b/>
          <w:caps/>
          <w:snapToGrid w:val="0"/>
          <w:kern w:val="22"/>
          <w:szCs w:val="22"/>
        </w:rPr>
        <w:t xml:space="preserve"> </w:t>
      </w:r>
    </w:p>
    <w:p w14:paraId="2871D311" w14:textId="77777777" w:rsidR="003B71B5" w:rsidRPr="00510EF6" w:rsidRDefault="003B71B5">
      <w:pPr>
        <w:pStyle w:val="HEADING"/>
        <w:keepNext w:val="0"/>
        <w:suppressLineNumbers/>
        <w:suppressAutoHyphens/>
        <w:spacing w:before="120"/>
        <w:rPr>
          <w:b w:val="0"/>
          <w:i/>
          <w:caps w:val="0"/>
          <w:snapToGrid w:val="0"/>
          <w:kern w:val="22"/>
          <w:szCs w:val="22"/>
        </w:rPr>
      </w:pPr>
      <w:r w:rsidRPr="00510EF6">
        <w:rPr>
          <w:b w:val="0"/>
          <w:i/>
          <w:caps w:val="0"/>
          <w:snapToGrid w:val="0"/>
          <w:kern w:val="22"/>
          <w:szCs w:val="22"/>
        </w:rPr>
        <w:t>Note by the Executive Secretary</w:t>
      </w:r>
    </w:p>
    <w:p w14:paraId="31BAF617" w14:textId="77777777" w:rsidR="003B71B5" w:rsidRPr="00510EF6" w:rsidRDefault="003B71B5">
      <w:pPr>
        <w:pStyle w:val="Heading1"/>
        <w:keepNext w:val="0"/>
        <w:suppressLineNumbers/>
        <w:tabs>
          <w:tab w:val="clear" w:pos="720"/>
          <w:tab w:val="left" w:pos="426"/>
        </w:tabs>
        <w:suppressAutoHyphens/>
        <w:spacing w:before="120"/>
        <w:rPr>
          <w:snapToGrid w:val="0"/>
          <w:kern w:val="22"/>
          <w:szCs w:val="22"/>
        </w:rPr>
      </w:pPr>
      <w:r w:rsidRPr="00510EF6">
        <w:rPr>
          <w:snapToGrid w:val="0"/>
          <w:kern w:val="22"/>
          <w:szCs w:val="22"/>
        </w:rPr>
        <w:t>I.</w:t>
      </w:r>
      <w:r w:rsidRPr="00510EF6">
        <w:rPr>
          <w:snapToGrid w:val="0"/>
          <w:kern w:val="22"/>
          <w:szCs w:val="22"/>
        </w:rPr>
        <w:tab/>
        <w:t>INTRODUCTION</w:t>
      </w:r>
    </w:p>
    <w:p w14:paraId="0FCDCA4C" w14:textId="6AA48255" w:rsidR="001E0298" w:rsidRPr="00510EF6" w:rsidRDefault="001E0298" w:rsidP="00FA1E77">
      <w:pPr>
        <w:pStyle w:val="Para1"/>
        <w:numPr>
          <w:ilvl w:val="0"/>
          <w:numId w:val="17"/>
        </w:numPr>
        <w:suppressLineNumbers/>
        <w:tabs>
          <w:tab w:val="clear" w:pos="644"/>
        </w:tabs>
        <w:suppressAutoHyphens/>
        <w:ind w:left="0"/>
        <w:rPr>
          <w:snapToGrid/>
          <w:kern w:val="22"/>
          <w:szCs w:val="22"/>
        </w:rPr>
      </w:pPr>
      <w:r w:rsidRPr="00510EF6">
        <w:rPr>
          <w:kern w:val="22"/>
          <w:szCs w:val="22"/>
        </w:rPr>
        <w:t>Article 35 of the Cartagena Protocol requires the Conference of the Parties serving as the meeting of the Parties to the Cartagena Protocol to undertake a periodic evaluation of the effectiveness of the Protocol.</w:t>
      </w:r>
    </w:p>
    <w:p w14:paraId="671FB6ED" w14:textId="6FA4D471" w:rsidR="00C11CEE" w:rsidRPr="00510EF6" w:rsidRDefault="001E0298" w:rsidP="00FA1E77">
      <w:pPr>
        <w:pStyle w:val="Para1"/>
        <w:numPr>
          <w:ilvl w:val="0"/>
          <w:numId w:val="17"/>
        </w:numPr>
        <w:suppressLineNumbers/>
        <w:tabs>
          <w:tab w:val="clear" w:pos="644"/>
        </w:tabs>
        <w:suppressAutoHyphens/>
        <w:ind w:left="0"/>
        <w:rPr>
          <w:snapToGrid/>
          <w:kern w:val="22"/>
          <w:szCs w:val="22"/>
        </w:rPr>
      </w:pPr>
      <w:r w:rsidRPr="00510EF6">
        <w:rPr>
          <w:snapToGrid/>
          <w:kern w:val="22"/>
          <w:szCs w:val="22"/>
        </w:rPr>
        <w:t xml:space="preserve">Through decision </w:t>
      </w:r>
      <w:hyperlink r:id="rId15" w:history="1">
        <w:r w:rsidRPr="00FA1E77">
          <w:rPr>
            <w:rStyle w:val="Hyperlink"/>
            <w:sz w:val="22"/>
          </w:rPr>
          <w:t>BS-V/16</w:t>
        </w:r>
      </w:hyperlink>
      <w:r w:rsidRPr="00510EF6">
        <w:rPr>
          <w:snapToGrid/>
          <w:kern w:val="22"/>
          <w:szCs w:val="22"/>
        </w:rPr>
        <w:t xml:space="preserve">, the </w:t>
      </w:r>
      <w:r w:rsidR="00946611" w:rsidRPr="00510EF6">
        <w:rPr>
          <w:kern w:val="22"/>
          <w:szCs w:val="22"/>
        </w:rPr>
        <w:t>Conference of the Parties serving as the meeting of the Parties to the Protocol</w:t>
      </w:r>
      <w:r w:rsidR="00946611" w:rsidRPr="00510EF6" w:rsidDel="00946611">
        <w:rPr>
          <w:snapToGrid/>
          <w:kern w:val="22"/>
          <w:szCs w:val="22"/>
        </w:rPr>
        <w:t xml:space="preserve"> </w:t>
      </w:r>
      <w:r w:rsidRPr="00510EF6">
        <w:rPr>
          <w:snapToGrid/>
          <w:kern w:val="22"/>
          <w:szCs w:val="22"/>
        </w:rPr>
        <w:t>adopted the Strategic Plan for the Cartagena Protocol on Biosafety for the Period 2011-2020</w:t>
      </w:r>
      <w:r w:rsidR="00C11CEE" w:rsidRPr="00510EF6">
        <w:rPr>
          <w:snapToGrid/>
          <w:kern w:val="22"/>
          <w:szCs w:val="22"/>
        </w:rPr>
        <w:t xml:space="preserve"> </w:t>
      </w:r>
      <w:r w:rsidR="00563E58" w:rsidRPr="00510EF6">
        <w:rPr>
          <w:snapToGrid/>
          <w:kern w:val="22"/>
          <w:szCs w:val="22"/>
        </w:rPr>
        <w:t xml:space="preserve">(Strategic Plan) </w:t>
      </w:r>
      <w:r w:rsidR="00C11CEE" w:rsidRPr="00510EF6">
        <w:rPr>
          <w:snapToGrid/>
          <w:kern w:val="22"/>
          <w:szCs w:val="22"/>
        </w:rPr>
        <w:t>and decided that a mid-term evaluation of the Strategic Plan</w:t>
      </w:r>
      <w:r w:rsidR="005136F5" w:rsidRPr="00510EF6">
        <w:rPr>
          <w:snapToGrid/>
          <w:kern w:val="22"/>
          <w:szCs w:val="22"/>
        </w:rPr>
        <w:t xml:space="preserve"> </w:t>
      </w:r>
      <w:r w:rsidR="00C11CEE" w:rsidRPr="00510EF6">
        <w:rPr>
          <w:snapToGrid/>
          <w:kern w:val="22"/>
          <w:szCs w:val="22"/>
        </w:rPr>
        <w:t>would be conducted in conjunction with the third assessment and review of the Protocol</w:t>
      </w:r>
      <w:r w:rsidRPr="00510EF6">
        <w:rPr>
          <w:snapToGrid/>
          <w:kern w:val="22"/>
          <w:szCs w:val="22"/>
        </w:rPr>
        <w:t>.</w:t>
      </w:r>
    </w:p>
    <w:p w14:paraId="006D242D" w14:textId="4DB4F4D1" w:rsidR="001E0298" w:rsidRPr="00510EF6" w:rsidRDefault="001E0298" w:rsidP="00FA1E77">
      <w:pPr>
        <w:numPr>
          <w:ilvl w:val="0"/>
          <w:numId w:val="17"/>
        </w:numPr>
        <w:suppressLineNumbers/>
        <w:tabs>
          <w:tab w:val="clear" w:pos="644"/>
        </w:tabs>
        <w:suppressAutoHyphens/>
        <w:spacing w:before="120" w:after="120"/>
        <w:ind w:left="0"/>
        <w:rPr>
          <w:kern w:val="22"/>
          <w:szCs w:val="22"/>
        </w:rPr>
      </w:pPr>
      <w:r w:rsidRPr="00510EF6">
        <w:rPr>
          <w:kern w:val="22"/>
          <w:szCs w:val="22"/>
        </w:rPr>
        <w:t xml:space="preserve">The third assessment and review </w:t>
      </w:r>
      <w:r w:rsidR="003B29CD" w:rsidRPr="00510EF6">
        <w:rPr>
          <w:kern w:val="22"/>
          <w:szCs w:val="22"/>
        </w:rPr>
        <w:t xml:space="preserve">of the Protocol and mid-term evaluation </w:t>
      </w:r>
      <w:r w:rsidRPr="00510EF6">
        <w:rPr>
          <w:kern w:val="22"/>
          <w:szCs w:val="22"/>
        </w:rPr>
        <w:t xml:space="preserve">of the Strategic Plan for the Cartagena Protocol </w:t>
      </w:r>
      <w:r w:rsidR="006F69D8" w:rsidRPr="00510EF6">
        <w:rPr>
          <w:kern w:val="22"/>
          <w:szCs w:val="22"/>
        </w:rPr>
        <w:t>was</w:t>
      </w:r>
      <w:r w:rsidR="003B29CD" w:rsidRPr="00510EF6">
        <w:rPr>
          <w:kern w:val="22"/>
          <w:szCs w:val="22"/>
        </w:rPr>
        <w:t xml:space="preserve"> conducted in 2016</w:t>
      </w:r>
      <w:r w:rsidR="00246397" w:rsidRPr="00510EF6">
        <w:rPr>
          <w:kern w:val="22"/>
          <w:szCs w:val="22"/>
        </w:rPr>
        <w:t>,</w:t>
      </w:r>
      <w:r w:rsidR="003B29CD" w:rsidRPr="00510EF6">
        <w:rPr>
          <w:kern w:val="22"/>
          <w:szCs w:val="22"/>
        </w:rPr>
        <w:t xml:space="preserve"> </w:t>
      </w:r>
      <w:r w:rsidR="00B2553E" w:rsidRPr="00510EF6">
        <w:rPr>
          <w:kern w:val="22"/>
          <w:szCs w:val="22"/>
        </w:rPr>
        <w:t>and the outcome of this process w</w:t>
      </w:r>
      <w:r w:rsidR="00E06FD2" w:rsidRPr="00510EF6">
        <w:rPr>
          <w:kern w:val="22"/>
          <w:szCs w:val="22"/>
        </w:rPr>
        <w:t>as</w:t>
      </w:r>
      <w:r w:rsidR="00B2553E" w:rsidRPr="00510EF6">
        <w:rPr>
          <w:kern w:val="22"/>
          <w:szCs w:val="22"/>
        </w:rPr>
        <w:t xml:space="preserve"> </w:t>
      </w:r>
      <w:r w:rsidR="00242EF3" w:rsidRPr="00510EF6">
        <w:rPr>
          <w:kern w:val="22"/>
          <w:szCs w:val="22"/>
        </w:rPr>
        <w:t>reflected in</w:t>
      </w:r>
      <w:r w:rsidR="004464B8" w:rsidRPr="00510EF6">
        <w:rPr>
          <w:kern w:val="22"/>
          <w:szCs w:val="22"/>
        </w:rPr>
        <w:t xml:space="preserve"> decision </w:t>
      </w:r>
      <w:hyperlink r:id="rId16" w:history="1">
        <w:r w:rsidR="003B29CD" w:rsidRPr="00FA1E77">
          <w:rPr>
            <w:rStyle w:val="Hyperlink"/>
            <w:sz w:val="22"/>
          </w:rPr>
          <w:t>CP-VIII/15</w:t>
        </w:r>
      </w:hyperlink>
      <w:r w:rsidRPr="00510EF6">
        <w:rPr>
          <w:kern w:val="22"/>
          <w:szCs w:val="22"/>
        </w:rPr>
        <w:t>.</w:t>
      </w:r>
    </w:p>
    <w:p w14:paraId="0A3497A2" w14:textId="762E28E8" w:rsidR="008A5768" w:rsidRPr="00510EF6" w:rsidRDefault="001E0298" w:rsidP="00FA1E77">
      <w:pPr>
        <w:numPr>
          <w:ilvl w:val="0"/>
          <w:numId w:val="17"/>
        </w:numPr>
        <w:suppressLineNumbers/>
        <w:tabs>
          <w:tab w:val="clear" w:pos="644"/>
        </w:tabs>
        <w:suppressAutoHyphens/>
        <w:spacing w:before="120" w:after="120"/>
        <w:ind w:left="0"/>
        <w:rPr>
          <w:kern w:val="22"/>
          <w:szCs w:val="22"/>
        </w:rPr>
      </w:pPr>
      <w:r w:rsidRPr="00510EF6">
        <w:rPr>
          <w:kern w:val="22"/>
          <w:szCs w:val="22"/>
        </w:rPr>
        <w:t xml:space="preserve">In its decision </w:t>
      </w:r>
      <w:hyperlink r:id="rId17" w:history="1">
        <w:r w:rsidRPr="00510EF6">
          <w:rPr>
            <w:rStyle w:val="Hyperlink"/>
            <w:kern w:val="22"/>
            <w:sz w:val="22"/>
            <w:szCs w:val="22"/>
          </w:rPr>
          <w:t>CP-9/6</w:t>
        </w:r>
      </w:hyperlink>
      <w:r w:rsidRPr="00510EF6">
        <w:rPr>
          <w:kern w:val="22"/>
          <w:szCs w:val="22"/>
        </w:rPr>
        <w:t xml:space="preserve">, the </w:t>
      </w:r>
      <w:r w:rsidR="00CB5F6D" w:rsidRPr="00510EF6">
        <w:rPr>
          <w:kern w:val="22"/>
          <w:szCs w:val="22"/>
        </w:rPr>
        <w:t>Conference of the Parties serving as the meeting of the Parties to the Protocol</w:t>
      </w:r>
      <w:r w:rsidR="00CB5F6D" w:rsidRPr="00510EF6" w:rsidDel="00CB5F6D">
        <w:rPr>
          <w:kern w:val="22"/>
          <w:szCs w:val="22"/>
        </w:rPr>
        <w:t xml:space="preserve"> </w:t>
      </w:r>
      <w:r w:rsidRPr="00510EF6">
        <w:rPr>
          <w:kern w:val="22"/>
          <w:szCs w:val="22"/>
        </w:rPr>
        <w:t xml:space="preserve">decided that the fourth assessment and review of the Cartagena Protocol would be combined with the final evaluation of the Strategic Plan. The </w:t>
      </w:r>
      <w:r w:rsidR="00CB5F6D" w:rsidRPr="00510EF6">
        <w:rPr>
          <w:kern w:val="22"/>
          <w:szCs w:val="22"/>
        </w:rPr>
        <w:t>Conference of the Parties serving as the meeting of the Parties to the Protocol</w:t>
      </w:r>
      <w:r w:rsidR="00CB5F6D" w:rsidRPr="00510EF6" w:rsidDel="00CB5F6D">
        <w:rPr>
          <w:kern w:val="22"/>
          <w:szCs w:val="22"/>
        </w:rPr>
        <w:t xml:space="preserve"> </w:t>
      </w:r>
      <w:r w:rsidRPr="00510EF6">
        <w:rPr>
          <w:kern w:val="22"/>
          <w:szCs w:val="22"/>
        </w:rPr>
        <w:t>requested the Executive Secretary to analyse and synthesize information on the implementation of the Protocol</w:t>
      </w:r>
      <w:r w:rsidR="00B2553E" w:rsidRPr="00510EF6">
        <w:rPr>
          <w:kern w:val="22"/>
          <w:szCs w:val="22"/>
        </w:rPr>
        <w:t xml:space="preserve"> using</w:t>
      </w:r>
      <w:r w:rsidR="00E575A4" w:rsidRPr="00510EF6">
        <w:rPr>
          <w:kern w:val="22"/>
          <w:szCs w:val="22"/>
        </w:rPr>
        <w:t>,</w:t>
      </w:r>
      <w:r w:rsidR="00B2553E" w:rsidRPr="00510EF6">
        <w:rPr>
          <w:kern w:val="22"/>
          <w:szCs w:val="22"/>
        </w:rPr>
        <w:t xml:space="preserve"> </w:t>
      </w:r>
      <w:r w:rsidR="003D0FA2" w:rsidRPr="00510EF6">
        <w:rPr>
          <w:kern w:val="22"/>
          <w:szCs w:val="22"/>
        </w:rPr>
        <w:t>among other things</w:t>
      </w:r>
      <w:r w:rsidR="00B2553E" w:rsidRPr="00FA1E77">
        <w:rPr>
          <w:i/>
          <w:iCs/>
          <w:kern w:val="22"/>
          <w:szCs w:val="22"/>
        </w:rPr>
        <w:t xml:space="preserve">, </w:t>
      </w:r>
      <w:r w:rsidR="00B2553E" w:rsidRPr="00FA1E77">
        <w:rPr>
          <w:kern w:val="22"/>
          <w:szCs w:val="22"/>
        </w:rPr>
        <w:t xml:space="preserve">the fourth national reports as a primary source, the Biosafety Clearing-House and experience from capacity-building projects and the Compliance Committee, </w:t>
      </w:r>
      <w:r w:rsidR="00E575A4" w:rsidRPr="00FA1E77">
        <w:rPr>
          <w:kern w:val="22"/>
          <w:szCs w:val="22"/>
        </w:rPr>
        <w:t>where</w:t>
      </w:r>
      <w:r w:rsidR="00B2553E" w:rsidRPr="00FA1E77">
        <w:rPr>
          <w:kern w:val="22"/>
          <w:szCs w:val="22"/>
        </w:rPr>
        <w:t xml:space="preserve"> appropriate</w:t>
      </w:r>
      <w:r w:rsidR="00E575A4" w:rsidRPr="00FA1E77">
        <w:rPr>
          <w:kern w:val="22"/>
          <w:szCs w:val="22"/>
        </w:rPr>
        <w:t>,</w:t>
      </w:r>
      <w:r w:rsidR="00074313" w:rsidRPr="00FA1E77">
        <w:rPr>
          <w:kern w:val="22"/>
          <w:szCs w:val="22"/>
        </w:rPr>
        <w:t xml:space="preserve"> </w:t>
      </w:r>
      <w:r w:rsidRPr="00FA1E77">
        <w:rPr>
          <w:kern w:val="22"/>
          <w:szCs w:val="22"/>
        </w:rPr>
        <w:t>and</w:t>
      </w:r>
      <w:r w:rsidRPr="00510EF6">
        <w:rPr>
          <w:kern w:val="22"/>
          <w:szCs w:val="22"/>
        </w:rPr>
        <w:t xml:space="preserve"> make this information available to the Liaison Group and, as appropriate, the Compliance Committee.</w:t>
      </w:r>
    </w:p>
    <w:p w14:paraId="76118B97" w14:textId="52C7B24B" w:rsidR="001E0298" w:rsidRPr="00510EF6" w:rsidRDefault="00F732E4" w:rsidP="00FA1E77">
      <w:pPr>
        <w:numPr>
          <w:ilvl w:val="0"/>
          <w:numId w:val="17"/>
        </w:numPr>
        <w:suppressLineNumbers/>
        <w:tabs>
          <w:tab w:val="clear" w:pos="644"/>
        </w:tabs>
        <w:suppressAutoHyphens/>
        <w:spacing w:before="120" w:after="120"/>
        <w:ind w:left="0"/>
        <w:rPr>
          <w:kern w:val="22"/>
          <w:szCs w:val="22"/>
        </w:rPr>
      </w:pPr>
      <w:r w:rsidRPr="00510EF6">
        <w:rPr>
          <w:kern w:val="22"/>
          <w:szCs w:val="22"/>
        </w:rPr>
        <w:t>T</w:t>
      </w:r>
      <w:r w:rsidR="001E0298" w:rsidRPr="00510EF6">
        <w:rPr>
          <w:kern w:val="22"/>
          <w:szCs w:val="22"/>
        </w:rPr>
        <w:t xml:space="preserve">he </w:t>
      </w:r>
      <w:r w:rsidR="00FA046A" w:rsidRPr="00510EF6">
        <w:rPr>
          <w:kern w:val="22"/>
          <w:szCs w:val="22"/>
        </w:rPr>
        <w:t>Conference of the Parties serving as the meeting of the Parties to the Protocol</w:t>
      </w:r>
      <w:r w:rsidR="00FA046A" w:rsidRPr="00510EF6" w:rsidDel="00FA046A">
        <w:rPr>
          <w:kern w:val="22"/>
          <w:szCs w:val="22"/>
        </w:rPr>
        <w:t xml:space="preserve"> </w:t>
      </w:r>
      <w:r w:rsidR="001E0298" w:rsidRPr="00510EF6">
        <w:rPr>
          <w:kern w:val="22"/>
          <w:szCs w:val="22"/>
        </w:rPr>
        <w:t>requested the Liaison Group and the Compliance Committee, working in a complementary and non-duplicative manner, to contribute to the fourth assessment and review of the Protocol and the final evaluation of the Strategic Plan and to submit their conclusions for consideration by the Subsidiary Body on Implementation</w:t>
      </w:r>
      <w:r w:rsidR="00B2553E" w:rsidRPr="00510EF6">
        <w:rPr>
          <w:kern w:val="22"/>
          <w:szCs w:val="22"/>
        </w:rPr>
        <w:t>,</w:t>
      </w:r>
      <w:r w:rsidR="001E0298" w:rsidRPr="00510EF6">
        <w:rPr>
          <w:kern w:val="22"/>
          <w:szCs w:val="22"/>
        </w:rPr>
        <w:t xml:space="preserve"> at its third meeting.</w:t>
      </w:r>
    </w:p>
    <w:p w14:paraId="5A7E8100" w14:textId="520FD9D0" w:rsidR="00AF70AD" w:rsidRPr="00510EF6" w:rsidRDefault="00C22A5A" w:rsidP="00FA1E77">
      <w:pPr>
        <w:numPr>
          <w:ilvl w:val="0"/>
          <w:numId w:val="17"/>
        </w:numPr>
        <w:suppressLineNumbers/>
        <w:tabs>
          <w:tab w:val="clear" w:pos="644"/>
        </w:tabs>
        <w:suppressAutoHyphens/>
        <w:spacing w:before="120" w:after="120"/>
        <w:ind w:left="0"/>
        <w:rPr>
          <w:kern w:val="22"/>
          <w:szCs w:val="22"/>
        </w:rPr>
      </w:pPr>
      <w:r w:rsidRPr="00510EF6">
        <w:rPr>
          <w:kern w:val="22"/>
          <w:szCs w:val="22"/>
        </w:rPr>
        <w:t xml:space="preserve">The Compliance Committee at its </w:t>
      </w:r>
      <w:r w:rsidR="008A5768" w:rsidRPr="00510EF6">
        <w:rPr>
          <w:kern w:val="22"/>
          <w:szCs w:val="22"/>
        </w:rPr>
        <w:t>sixteenth</w:t>
      </w:r>
      <w:r w:rsidRPr="00510EF6">
        <w:rPr>
          <w:kern w:val="22"/>
          <w:szCs w:val="22"/>
        </w:rPr>
        <w:t xml:space="preserve"> meeting</w:t>
      </w:r>
      <w:r w:rsidR="008A5768" w:rsidRPr="00510EF6">
        <w:rPr>
          <w:kern w:val="22"/>
          <w:szCs w:val="22"/>
        </w:rPr>
        <w:t xml:space="preserve">, </w:t>
      </w:r>
      <w:r w:rsidRPr="00510EF6">
        <w:rPr>
          <w:kern w:val="22"/>
          <w:szCs w:val="22"/>
        </w:rPr>
        <w:t xml:space="preserve">held </w:t>
      </w:r>
      <w:r w:rsidR="008A5768" w:rsidRPr="00510EF6">
        <w:rPr>
          <w:kern w:val="22"/>
          <w:szCs w:val="22"/>
        </w:rPr>
        <w:t>from 29 to 31 May 2019</w:t>
      </w:r>
      <w:r w:rsidRPr="00510EF6">
        <w:rPr>
          <w:kern w:val="22"/>
          <w:szCs w:val="22"/>
        </w:rPr>
        <w:t xml:space="preserve">, </w:t>
      </w:r>
      <w:r w:rsidR="00B2553E" w:rsidRPr="00510EF6">
        <w:rPr>
          <w:kern w:val="22"/>
          <w:szCs w:val="22"/>
        </w:rPr>
        <w:t>decided</w:t>
      </w:r>
      <w:r w:rsidR="00AF70AD" w:rsidRPr="00510EF6">
        <w:rPr>
          <w:kern w:val="22"/>
          <w:szCs w:val="22"/>
        </w:rPr>
        <w:t xml:space="preserve"> that the scope of its input</w:t>
      </w:r>
      <w:r w:rsidR="008D3A28" w:rsidRPr="00510EF6">
        <w:rPr>
          <w:kern w:val="22"/>
          <w:szCs w:val="22"/>
        </w:rPr>
        <w:t xml:space="preserve"> to</w:t>
      </w:r>
      <w:r w:rsidR="00AF70AD" w:rsidRPr="00510EF6">
        <w:rPr>
          <w:kern w:val="22"/>
          <w:szCs w:val="22"/>
        </w:rPr>
        <w:t xml:space="preserve"> </w:t>
      </w:r>
      <w:r w:rsidR="00995D7D" w:rsidRPr="00510EF6">
        <w:rPr>
          <w:kern w:val="22"/>
          <w:szCs w:val="22"/>
        </w:rPr>
        <w:t xml:space="preserve">the fourth assessment and review of the Protocol and the final evaluation of the Strategic Plan </w:t>
      </w:r>
      <w:r w:rsidR="00AF70AD" w:rsidRPr="00510EF6">
        <w:rPr>
          <w:kern w:val="22"/>
          <w:szCs w:val="22"/>
        </w:rPr>
        <w:t xml:space="preserve">would focus on </w:t>
      </w:r>
      <w:r w:rsidR="00074313" w:rsidRPr="00510EF6">
        <w:rPr>
          <w:kern w:val="22"/>
          <w:szCs w:val="22"/>
        </w:rPr>
        <w:t>o</w:t>
      </w:r>
      <w:r w:rsidR="00AF70AD" w:rsidRPr="00510EF6">
        <w:rPr>
          <w:kern w:val="22"/>
          <w:szCs w:val="22"/>
        </w:rPr>
        <w:t xml:space="preserve">perational </w:t>
      </w:r>
      <w:r w:rsidR="00074313" w:rsidRPr="00510EF6">
        <w:rPr>
          <w:kern w:val="22"/>
          <w:szCs w:val="22"/>
        </w:rPr>
        <w:t>o</w:t>
      </w:r>
      <w:r w:rsidR="00AF70AD" w:rsidRPr="00510EF6">
        <w:rPr>
          <w:kern w:val="22"/>
          <w:szCs w:val="22"/>
        </w:rPr>
        <w:t>bjective 3.1 of the Strategic Plan</w:t>
      </w:r>
      <w:r w:rsidR="00937BBF" w:rsidRPr="00510EF6">
        <w:rPr>
          <w:kern w:val="22"/>
          <w:szCs w:val="22"/>
        </w:rPr>
        <w:t>, related to compliance,</w:t>
      </w:r>
      <w:r w:rsidR="00AF70AD" w:rsidRPr="00510EF6">
        <w:rPr>
          <w:kern w:val="22"/>
          <w:szCs w:val="22"/>
        </w:rPr>
        <w:t xml:space="preserve"> and </w:t>
      </w:r>
      <w:r w:rsidR="00624462" w:rsidRPr="00510EF6">
        <w:rPr>
          <w:kern w:val="22"/>
          <w:szCs w:val="22"/>
        </w:rPr>
        <w:t xml:space="preserve">on </w:t>
      </w:r>
      <w:r w:rsidR="00AF70AD" w:rsidRPr="00510EF6">
        <w:rPr>
          <w:kern w:val="22"/>
          <w:szCs w:val="22"/>
        </w:rPr>
        <w:t>the experience</w:t>
      </w:r>
      <w:r w:rsidR="00284DC2" w:rsidRPr="00510EF6">
        <w:rPr>
          <w:kern w:val="22"/>
          <w:szCs w:val="22"/>
        </w:rPr>
        <w:t xml:space="preserve"> </w:t>
      </w:r>
      <w:r w:rsidR="00AF70AD" w:rsidRPr="00510EF6">
        <w:rPr>
          <w:kern w:val="22"/>
          <w:szCs w:val="22"/>
        </w:rPr>
        <w:t>the Committee had gained in implementing its supportive role of assisting Parties in complying with their obligations.</w:t>
      </w:r>
    </w:p>
    <w:p w14:paraId="1A00774A" w14:textId="09EEE512" w:rsidR="003B71B5" w:rsidRPr="00510EF6" w:rsidRDefault="00AF70AD" w:rsidP="00FA1E77">
      <w:pPr>
        <w:numPr>
          <w:ilvl w:val="0"/>
          <w:numId w:val="17"/>
        </w:numPr>
        <w:suppressLineNumbers/>
        <w:tabs>
          <w:tab w:val="clear" w:pos="644"/>
        </w:tabs>
        <w:suppressAutoHyphens/>
        <w:spacing w:before="120" w:after="120"/>
        <w:ind w:left="0"/>
        <w:rPr>
          <w:kern w:val="22"/>
          <w:szCs w:val="22"/>
        </w:rPr>
      </w:pPr>
      <w:r w:rsidRPr="00510EF6">
        <w:rPr>
          <w:kern w:val="22"/>
          <w:szCs w:val="22"/>
        </w:rPr>
        <w:lastRenderedPageBreak/>
        <w:t>Th</w:t>
      </w:r>
      <w:r w:rsidR="00822F39" w:rsidRPr="00510EF6">
        <w:rPr>
          <w:kern w:val="22"/>
          <w:szCs w:val="22"/>
        </w:rPr>
        <w:t>e</w:t>
      </w:r>
      <w:r w:rsidRPr="00510EF6">
        <w:rPr>
          <w:kern w:val="22"/>
          <w:szCs w:val="22"/>
        </w:rPr>
        <w:t xml:space="preserve"> </w:t>
      </w:r>
      <w:r w:rsidR="00E465C7" w:rsidRPr="00510EF6">
        <w:rPr>
          <w:kern w:val="22"/>
          <w:szCs w:val="22"/>
        </w:rPr>
        <w:t>present note</w:t>
      </w:r>
      <w:r w:rsidRPr="00510EF6">
        <w:rPr>
          <w:kern w:val="22"/>
          <w:szCs w:val="22"/>
        </w:rPr>
        <w:t xml:space="preserve"> provides</w:t>
      </w:r>
      <w:r w:rsidR="00B15B38" w:rsidRPr="00510EF6">
        <w:rPr>
          <w:kern w:val="22"/>
          <w:szCs w:val="22"/>
        </w:rPr>
        <w:t xml:space="preserve">, in </w:t>
      </w:r>
      <w:r w:rsidR="001B1A71" w:rsidRPr="00510EF6">
        <w:rPr>
          <w:kern w:val="22"/>
          <w:szCs w:val="22"/>
        </w:rPr>
        <w:t>s</w:t>
      </w:r>
      <w:r w:rsidR="00B15B38" w:rsidRPr="00510EF6">
        <w:rPr>
          <w:kern w:val="22"/>
          <w:szCs w:val="22"/>
        </w:rPr>
        <w:t>ection II</w:t>
      </w:r>
      <w:r w:rsidR="00FD4096" w:rsidRPr="00510EF6">
        <w:rPr>
          <w:kern w:val="22"/>
          <w:szCs w:val="22"/>
        </w:rPr>
        <w:t>,</w:t>
      </w:r>
      <w:r w:rsidRPr="00510EF6">
        <w:rPr>
          <w:kern w:val="22"/>
          <w:szCs w:val="22"/>
        </w:rPr>
        <w:t xml:space="preserve"> </w:t>
      </w:r>
      <w:r w:rsidR="002B2099" w:rsidRPr="00510EF6">
        <w:rPr>
          <w:kern w:val="22"/>
          <w:szCs w:val="22"/>
        </w:rPr>
        <w:t>a</w:t>
      </w:r>
      <w:r w:rsidRPr="00510EF6">
        <w:rPr>
          <w:kern w:val="22"/>
          <w:szCs w:val="22"/>
        </w:rPr>
        <w:t xml:space="preserve"> </w:t>
      </w:r>
      <w:r w:rsidR="002B2099" w:rsidRPr="00510EF6">
        <w:rPr>
          <w:kern w:val="22"/>
          <w:szCs w:val="22"/>
        </w:rPr>
        <w:t xml:space="preserve">summary of </w:t>
      </w:r>
      <w:r w:rsidR="00954BE8" w:rsidRPr="00510EF6">
        <w:rPr>
          <w:kern w:val="22"/>
          <w:szCs w:val="22"/>
        </w:rPr>
        <w:t>information related to the implementation of the Protocol</w:t>
      </w:r>
      <w:r w:rsidR="005C375A" w:rsidRPr="00510EF6">
        <w:rPr>
          <w:kern w:val="22"/>
          <w:szCs w:val="22"/>
        </w:rPr>
        <w:t xml:space="preserve"> concerning</w:t>
      </w:r>
      <w:r w:rsidR="00954BE8" w:rsidRPr="00510EF6">
        <w:rPr>
          <w:kern w:val="22"/>
          <w:szCs w:val="22"/>
        </w:rPr>
        <w:t xml:space="preserve"> </w:t>
      </w:r>
      <w:r w:rsidR="002B2099" w:rsidRPr="00510EF6">
        <w:rPr>
          <w:kern w:val="22"/>
          <w:szCs w:val="22"/>
        </w:rPr>
        <w:t xml:space="preserve">progress made towards achieving operational objective 3.1 </w:t>
      </w:r>
      <w:r w:rsidRPr="00510EF6">
        <w:rPr>
          <w:kern w:val="22"/>
          <w:szCs w:val="22"/>
        </w:rPr>
        <w:t>of the Strategic Plan</w:t>
      </w:r>
      <w:r w:rsidR="00E465C7" w:rsidRPr="00510EF6">
        <w:rPr>
          <w:kern w:val="22"/>
          <w:szCs w:val="22"/>
        </w:rPr>
        <w:t>,</w:t>
      </w:r>
      <w:r w:rsidR="00B02F5B" w:rsidRPr="00510EF6">
        <w:rPr>
          <w:kern w:val="22"/>
          <w:szCs w:val="22"/>
        </w:rPr>
        <w:t xml:space="preserve"> </w:t>
      </w:r>
      <w:r w:rsidR="00021B2D" w:rsidRPr="00510EF6">
        <w:rPr>
          <w:kern w:val="22"/>
          <w:szCs w:val="22"/>
        </w:rPr>
        <w:t>including</w:t>
      </w:r>
      <w:r w:rsidR="008410EC" w:rsidRPr="00510EF6">
        <w:rPr>
          <w:kern w:val="22"/>
          <w:szCs w:val="22"/>
        </w:rPr>
        <w:t xml:space="preserve"> a</w:t>
      </w:r>
      <w:r w:rsidR="00AD03EC" w:rsidRPr="00510EF6">
        <w:rPr>
          <w:kern w:val="22"/>
          <w:szCs w:val="22"/>
        </w:rPr>
        <w:t xml:space="preserve"> summary of the activities and experience of </w:t>
      </w:r>
      <w:r w:rsidR="00CE7A31" w:rsidRPr="00510EF6">
        <w:rPr>
          <w:kern w:val="22"/>
          <w:szCs w:val="22"/>
        </w:rPr>
        <w:t xml:space="preserve">the Committee in supporting Parties </w:t>
      </w:r>
      <w:r w:rsidR="008410EC" w:rsidRPr="00510EF6">
        <w:rPr>
          <w:kern w:val="22"/>
          <w:szCs w:val="22"/>
        </w:rPr>
        <w:t>in this regard</w:t>
      </w:r>
      <w:r w:rsidR="00A401A2" w:rsidRPr="00510EF6">
        <w:rPr>
          <w:kern w:val="22"/>
          <w:szCs w:val="22"/>
        </w:rPr>
        <w:t xml:space="preserve">. Section </w:t>
      </w:r>
      <w:r w:rsidR="0095360D" w:rsidRPr="00510EF6">
        <w:rPr>
          <w:kern w:val="22"/>
          <w:szCs w:val="22"/>
        </w:rPr>
        <w:t>I</w:t>
      </w:r>
      <w:r w:rsidR="00A401A2" w:rsidRPr="00510EF6">
        <w:rPr>
          <w:kern w:val="22"/>
          <w:szCs w:val="22"/>
        </w:rPr>
        <w:t xml:space="preserve">II provides </w:t>
      </w:r>
      <w:r w:rsidR="00A81A79" w:rsidRPr="00510EF6">
        <w:rPr>
          <w:kern w:val="22"/>
          <w:szCs w:val="22"/>
        </w:rPr>
        <w:t xml:space="preserve">some conclusions and </w:t>
      </w:r>
      <w:r w:rsidR="00D17FB3" w:rsidRPr="00510EF6">
        <w:rPr>
          <w:kern w:val="22"/>
          <w:szCs w:val="22"/>
        </w:rPr>
        <w:t xml:space="preserve">suggestions for the </w:t>
      </w:r>
      <w:r w:rsidR="00A81A79" w:rsidRPr="00510EF6">
        <w:rPr>
          <w:kern w:val="22"/>
          <w:szCs w:val="22"/>
        </w:rPr>
        <w:t>consideration</w:t>
      </w:r>
      <w:r w:rsidR="00D17FB3" w:rsidRPr="00510EF6">
        <w:rPr>
          <w:kern w:val="22"/>
          <w:szCs w:val="22"/>
        </w:rPr>
        <w:t xml:space="preserve"> of the</w:t>
      </w:r>
      <w:r w:rsidR="0095360D" w:rsidRPr="00510EF6">
        <w:rPr>
          <w:kern w:val="22"/>
          <w:szCs w:val="22"/>
        </w:rPr>
        <w:t xml:space="preserve"> Committee.</w:t>
      </w:r>
    </w:p>
    <w:p w14:paraId="487B39F7" w14:textId="26C9D570" w:rsidR="009C6FB2" w:rsidRPr="00510EF6" w:rsidRDefault="009C6FB2" w:rsidP="00FA1E77">
      <w:pPr>
        <w:numPr>
          <w:ilvl w:val="0"/>
          <w:numId w:val="17"/>
        </w:numPr>
        <w:suppressLineNumbers/>
        <w:tabs>
          <w:tab w:val="clear" w:pos="644"/>
        </w:tabs>
        <w:suppressAutoHyphens/>
        <w:spacing w:before="120" w:after="120"/>
        <w:ind w:left="0"/>
        <w:rPr>
          <w:kern w:val="22"/>
          <w:szCs w:val="22"/>
        </w:rPr>
      </w:pPr>
      <w:r w:rsidRPr="00510EF6">
        <w:rPr>
          <w:kern w:val="22"/>
          <w:szCs w:val="22"/>
        </w:rPr>
        <w:t>Document CBD/SBI/3/3/Add.1 provides the full analysis of information on the implementation of the Cartagena Protocol on Biosafety on the basis of a review of progress towards achieving the operational objectives of the Strategic Plan for the Cartagena Protocol. The document is made available to the Committee as an information document.</w:t>
      </w:r>
    </w:p>
    <w:p w14:paraId="2695FB44" w14:textId="0743FCB3" w:rsidR="007E502D" w:rsidRPr="00FA1E77" w:rsidRDefault="007E502D" w:rsidP="00FA1E77">
      <w:pPr>
        <w:pStyle w:val="Heading1"/>
        <w:suppressLineNumbers/>
        <w:tabs>
          <w:tab w:val="clear" w:pos="720"/>
          <w:tab w:val="left" w:pos="426"/>
        </w:tabs>
        <w:suppressAutoHyphens/>
        <w:spacing w:before="120"/>
        <w:ind w:left="1418" w:hanging="567"/>
        <w:jc w:val="left"/>
        <w:rPr>
          <w:rFonts w:ascii="Times New Roman Bold" w:hAnsi="Times New Roman Bold"/>
          <w:snapToGrid w:val="0"/>
          <w:kern w:val="22"/>
          <w:szCs w:val="22"/>
        </w:rPr>
      </w:pPr>
      <w:r w:rsidRPr="00FA1E77">
        <w:rPr>
          <w:rFonts w:ascii="Times New Roman Bold" w:hAnsi="Times New Roman Bold"/>
          <w:snapToGrid w:val="0"/>
          <w:kern w:val="22"/>
          <w:szCs w:val="22"/>
        </w:rPr>
        <w:t>II.</w:t>
      </w:r>
      <w:r w:rsidRPr="00FA1E77">
        <w:rPr>
          <w:rFonts w:ascii="Times New Roman Bold" w:hAnsi="Times New Roman Bold"/>
          <w:snapToGrid w:val="0"/>
          <w:kern w:val="22"/>
          <w:szCs w:val="22"/>
        </w:rPr>
        <w:tab/>
      </w:r>
      <w:r w:rsidR="00623727" w:rsidRPr="00FA1E77">
        <w:rPr>
          <w:rFonts w:ascii="Times New Roman Bold" w:hAnsi="Times New Roman Bold"/>
          <w:snapToGrid w:val="0"/>
          <w:kern w:val="22"/>
          <w:szCs w:val="22"/>
        </w:rPr>
        <w:t>P</w:t>
      </w:r>
      <w:r w:rsidR="00C76F45" w:rsidRPr="00FA1E77">
        <w:rPr>
          <w:rFonts w:ascii="Times New Roman Bold" w:hAnsi="Times New Roman Bold"/>
          <w:snapToGrid w:val="0"/>
          <w:kern w:val="22"/>
          <w:szCs w:val="22"/>
        </w:rPr>
        <w:t xml:space="preserve">rogress made towards achieving operational objective 3.1 of the </w:t>
      </w:r>
      <w:r w:rsidR="00623727" w:rsidRPr="00FA1E77">
        <w:rPr>
          <w:rFonts w:ascii="Times New Roman Bold" w:hAnsi="Times New Roman Bold"/>
          <w:snapToGrid w:val="0"/>
          <w:kern w:val="22"/>
          <w:szCs w:val="22"/>
        </w:rPr>
        <w:t>S</w:t>
      </w:r>
      <w:r w:rsidR="00C76F45" w:rsidRPr="00FA1E77">
        <w:rPr>
          <w:rFonts w:ascii="Times New Roman Bold" w:hAnsi="Times New Roman Bold"/>
          <w:snapToGrid w:val="0"/>
          <w:kern w:val="22"/>
          <w:szCs w:val="22"/>
        </w:rPr>
        <w:t xml:space="preserve">trategic </w:t>
      </w:r>
      <w:r w:rsidR="00623727" w:rsidRPr="00FA1E77">
        <w:rPr>
          <w:rFonts w:ascii="Times New Roman Bold" w:hAnsi="Times New Roman Bold"/>
          <w:snapToGrid w:val="0"/>
          <w:kern w:val="22"/>
          <w:szCs w:val="22"/>
        </w:rPr>
        <w:t>P</w:t>
      </w:r>
      <w:r w:rsidR="00C76F45" w:rsidRPr="00FA1E77">
        <w:rPr>
          <w:rFonts w:ascii="Times New Roman Bold" w:hAnsi="Times New Roman Bold"/>
          <w:snapToGrid w:val="0"/>
          <w:kern w:val="22"/>
          <w:szCs w:val="22"/>
        </w:rPr>
        <w:t xml:space="preserve">lan for the </w:t>
      </w:r>
      <w:r w:rsidR="00623727" w:rsidRPr="00FA1E77">
        <w:rPr>
          <w:rFonts w:ascii="Times New Roman Bold" w:hAnsi="Times New Roman Bold"/>
          <w:snapToGrid w:val="0"/>
          <w:kern w:val="22"/>
          <w:szCs w:val="22"/>
        </w:rPr>
        <w:t>C</w:t>
      </w:r>
      <w:r w:rsidR="00C76F45" w:rsidRPr="00FA1E77">
        <w:rPr>
          <w:rFonts w:ascii="Times New Roman Bold" w:hAnsi="Times New Roman Bold"/>
          <w:snapToGrid w:val="0"/>
          <w:kern w:val="22"/>
          <w:szCs w:val="22"/>
        </w:rPr>
        <w:t xml:space="preserve">artagena </w:t>
      </w:r>
      <w:r w:rsidR="00623727" w:rsidRPr="00FA1E77">
        <w:rPr>
          <w:rFonts w:ascii="Times New Roman Bold" w:hAnsi="Times New Roman Bold"/>
          <w:snapToGrid w:val="0"/>
          <w:kern w:val="22"/>
          <w:szCs w:val="22"/>
        </w:rPr>
        <w:t>P</w:t>
      </w:r>
      <w:r w:rsidR="00C76F45" w:rsidRPr="00FA1E77">
        <w:rPr>
          <w:rFonts w:ascii="Times New Roman Bold" w:hAnsi="Times New Roman Bold"/>
          <w:snapToGrid w:val="0"/>
          <w:kern w:val="22"/>
          <w:szCs w:val="22"/>
        </w:rPr>
        <w:t xml:space="preserve">rotocol on </w:t>
      </w:r>
      <w:r w:rsidR="00623727" w:rsidRPr="00FA1E77">
        <w:rPr>
          <w:rFonts w:ascii="Times New Roman Bold" w:hAnsi="Times New Roman Bold"/>
          <w:snapToGrid w:val="0"/>
          <w:kern w:val="22"/>
          <w:szCs w:val="22"/>
        </w:rPr>
        <w:t>B</w:t>
      </w:r>
      <w:r w:rsidR="00C76F45" w:rsidRPr="00FA1E77">
        <w:rPr>
          <w:rFonts w:ascii="Times New Roman Bold" w:hAnsi="Times New Roman Bold"/>
          <w:snapToGrid w:val="0"/>
          <w:kern w:val="22"/>
          <w:szCs w:val="22"/>
        </w:rPr>
        <w:t>iosafety</w:t>
      </w:r>
    </w:p>
    <w:p w14:paraId="48DC6CBC" w14:textId="27962B05" w:rsidR="005405C4" w:rsidRPr="00510EF6" w:rsidRDefault="00C76F45" w:rsidP="00FA1E77">
      <w:pPr>
        <w:numPr>
          <w:ilvl w:val="0"/>
          <w:numId w:val="17"/>
        </w:numPr>
        <w:suppressLineNumbers/>
        <w:tabs>
          <w:tab w:val="clear" w:pos="644"/>
        </w:tabs>
        <w:suppressAutoHyphens/>
        <w:spacing w:before="120" w:after="120"/>
        <w:ind w:left="0"/>
        <w:rPr>
          <w:kern w:val="22"/>
          <w:szCs w:val="22"/>
        </w:rPr>
      </w:pPr>
      <w:r w:rsidRPr="00510EF6">
        <w:rPr>
          <w:kern w:val="22"/>
          <w:szCs w:val="22"/>
        </w:rPr>
        <w:t>This section provides</w:t>
      </w:r>
      <w:r w:rsidR="00DA2AF4" w:rsidRPr="00510EF6">
        <w:rPr>
          <w:kern w:val="22"/>
          <w:szCs w:val="22"/>
        </w:rPr>
        <w:t xml:space="preserve">, in subsection </w:t>
      </w:r>
      <w:r w:rsidR="00CD286F" w:rsidRPr="00510EF6">
        <w:rPr>
          <w:kern w:val="22"/>
          <w:szCs w:val="22"/>
        </w:rPr>
        <w:t>A</w:t>
      </w:r>
      <w:r w:rsidR="00DA2AF4" w:rsidRPr="00510EF6">
        <w:rPr>
          <w:kern w:val="22"/>
          <w:szCs w:val="22"/>
        </w:rPr>
        <w:t>,</w:t>
      </w:r>
      <w:r w:rsidRPr="00510EF6">
        <w:rPr>
          <w:kern w:val="22"/>
          <w:szCs w:val="22"/>
        </w:rPr>
        <w:t xml:space="preserve"> </w:t>
      </w:r>
      <w:r w:rsidR="00775BA9" w:rsidRPr="00510EF6">
        <w:rPr>
          <w:kern w:val="22"/>
          <w:szCs w:val="22"/>
        </w:rPr>
        <w:t>information on</w:t>
      </w:r>
      <w:r w:rsidR="005B29AF" w:rsidRPr="00510EF6">
        <w:rPr>
          <w:kern w:val="22"/>
          <w:szCs w:val="22"/>
        </w:rPr>
        <w:t xml:space="preserve"> methodologic</w:t>
      </w:r>
      <w:r w:rsidR="003403FD" w:rsidRPr="00510EF6">
        <w:rPr>
          <w:kern w:val="22"/>
          <w:szCs w:val="22"/>
        </w:rPr>
        <w:t>al</w:t>
      </w:r>
      <w:r w:rsidR="005B29AF" w:rsidRPr="00510EF6">
        <w:rPr>
          <w:kern w:val="22"/>
          <w:szCs w:val="22"/>
        </w:rPr>
        <w:t xml:space="preserve"> aspects </w:t>
      </w:r>
      <w:r w:rsidR="00775BA9" w:rsidRPr="00510EF6">
        <w:rPr>
          <w:kern w:val="22"/>
          <w:szCs w:val="22"/>
        </w:rPr>
        <w:t xml:space="preserve">concerning the </w:t>
      </w:r>
      <w:r w:rsidR="00921174" w:rsidRPr="00510EF6">
        <w:rPr>
          <w:kern w:val="22"/>
          <w:szCs w:val="22"/>
        </w:rPr>
        <w:t>analysis of information for the fourth assessment and review of the Protocol and final evaluation of the Strategic Plan</w:t>
      </w:r>
      <w:r w:rsidR="00775BA9" w:rsidRPr="00510EF6">
        <w:rPr>
          <w:kern w:val="22"/>
          <w:szCs w:val="22"/>
        </w:rPr>
        <w:t xml:space="preserve"> and</w:t>
      </w:r>
      <w:r w:rsidR="006F0586" w:rsidRPr="00510EF6">
        <w:rPr>
          <w:kern w:val="22"/>
          <w:szCs w:val="22"/>
        </w:rPr>
        <w:t>,</w:t>
      </w:r>
      <w:r w:rsidR="00775BA9" w:rsidRPr="00510EF6">
        <w:rPr>
          <w:kern w:val="22"/>
          <w:szCs w:val="22"/>
        </w:rPr>
        <w:t xml:space="preserve"> in subsection </w:t>
      </w:r>
      <w:r w:rsidR="00CD286F" w:rsidRPr="00510EF6">
        <w:rPr>
          <w:kern w:val="22"/>
          <w:szCs w:val="22"/>
        </w:rPr>
        <w:t>B</w:t>
      </w:r>
      <w:r w:rsidR="006F0586" w:rsidRPr="00510EF6">
        <w:rPr>
          <w:kern w:val="22"/>
          <w:szCs w:val="22"/>
        </w:rPr>
        <w:t>,</w:t>
      </w:r>
      <w:r w:rsidR="00775BA9" w:rsidRPr="00510EF6">
        <w:rPr>
          <w:kern w:val="22"/>
          <w:szCs w:val="22"/>
        </w:rPr>
        <w:t xml:space="preserve"> a </w:t>
      </w:r>
      <w:r w:rsidRPr="00510EF6">
        <w:rPr>
          <w:kern w:val="22"/>
          <w:szCs w:val="22"/>
        </w:rPr>
        <w:t>summary of progress made towards achieving operational objective 3.1 of the Strategic Plan</w:t>
      </w:r>
      <w:r w:rsidR="006F0586" w:rsidRPr="00510EF6">
        <w:rPr>
          <w:kern w:val="22"/>
          <w:szCs w:val="22"/>
        </w:rPr>
        <w:t>,</w:t>
      </w:r>
      <w:r w:rsidR="005B29AF" w:rsidRPr="00510EF6">
        <w:rPr>
          <w:kern w:val="22"/>
          <w:szCs w:val="22"/>
        </w:rPr>
        <w:t xml:space="preserve"> </w:t>
      </w:r>
      <w:r w:rsidR="00775BA9" w:rsidRPr="00510EF6">
        <w:rPr>
          <w:kern w:val="22"/>
          <w:szCs w:val="22"/>
        </w:rPr>
        <w:t>including a</w:t>
      </w:r>
      <w:r w:rsidR="00BB7D3C" w:rsidRPr="00510EF6">
        <w:rPr>
          <w:kern w:val="22"/>
          <w:szCs w:val="22"/>
        </w:rPr>
        <w:t xml:space="preserve"> summary of the activities and experience of the Committee in supporting Parties in this regard.</w:t>
      </w:r>
      <w:r w:rsidR="005E62E0" w:rsidRPr="00FA1E77">
        <w:rPr>
          <w:rStyle w:val="FootnoteReference"/>
          <w:kern w:val="22"/>
          <w:sz w:val="22"/>
          <w:szCs w:val="22"/>
          <w:u w:val="none"/>
          <w:vertAlign w:val="superscript"/>
        </w:rPr>
        <w:footnoteReference w:id="2"/>
      </w:r>
    </w:p>
    <w:p w14:paraId="39749C56" w14:textId="019D7D9D" w:rsidR="00647FD5" w:rsidRPr="00FA1E77" w:rsidRDefault="00F91D6D" w:rsidP="00FA1E77">
      <w:pPr>
        <w:pStyle w:val="Heading2"/>
        <w:suppressLineNumbers/>
        <w:tabs>
          <w:tab w:val="clear" w:pos="720"/>
          <w:tab w:val="left" w:pos="426"/>
        </w:tabs>
        <w:suppressAutoHyphens/>
        <w:rPr>
          <w:b w:val="0"/>
          <w:bCs w:val="0"/>
          <w:kern w:val="22"/>
          <w:szCs w:val="22"/>
        </w:rPr>
      </w:pPr>
      <w:r w:rsidRPr="00FA1E77">
        <w:rPr>
          <w:i w:val="0"/>
          <w:iCs w:val="0"/>
          <w:kern w:val="22"/>
          <w:szCs w:val="22"/>
        </w:rPr>
        <w:t>A.</w:t>
      </w:r>
      <w:r w:rsidRPr="00FA1E77">
        <w:rPr>
          <w:i w:val="0"/>
          <w:iCs w:val="0"/>
          <w:kern w:val="22"/>
          <w:szCs w:val="22"/>
        </w:rPr>
        <w:tab/>
      </w:r>
      <w:r w:rsidR="00647FD5" w:rsidRPr="00FA1E77">
        <w:rPr>
          <w:i w:val="0"/>
          <w:iCs w:val="0"/>
          <w:kern w:val="22"/>
          <w:szCs w:val="22"/>
        </w:rPr>
        <w:t>Methodological aspects</w:t>
      </w:r>
    </w:p>
    <w:p w14:paraId="343D8933" w14:textId="7A6522DB" w:rsidR="00233FC5" w:rsidRPr="00510EF6" w:rsidRDefault="009434F2" w:rsidP="00FA1E77">
      <w:pPr>
        <w:numPr>
          <w:ilvl w:val="0"/>
          <w:numId w:val="17"/>
        </w:numPr>
        <w:suppressLineNumbers/>
        <w:tabs>
          <w:tab w:val="clear" w:pos="644"/>
        </w:tabs>
        <w:suppressAutoHyphens/>
        <w:spacing w:before="120" w:after="120"/>
        <w:ind w:left="0"/>
        <w:rPr>
          <w:i/>
          <w:iCs/>
          <w:kern w:val="22"/>
          <w:szCs w:val="22"/>
        </w:rPr>
      </w:pPr>
      <w:r w:rsidRPr="00510EF6">
        <w:rPr>
          <w:kern w:val="22"/>
          <w:szCs w:val="22"/>
        </w:rPr>
        <w:t xml:space="preserve">Operational </w:t>
      </w:r>
      <w:r w:rsidR="001C3A72" w:rsidRPr="00510EF6">
        <w:rPr>
          <w:kern w:val="22"/>
          <w:szCs w:val="22"/>
        </w:rPr>
        <w:t>o</w:t>
      </w:r>
      <w:r w:rsidRPr="00510EF6">
        <w:rPr>
          <w:kern w:val="22"/>
          <w:szCs w:val="22"/>
        </w:rPr>
        <w:t>bjective 3.1. of the Strategic Plan relates to compliance with the Protocol and aims at strengthening mechanisms for achieving compliance.</w:t>
      </w:r>
    </w:p>
    <w:p w14:paraId="53B91E61" w14:textId="14F72F10" w:rsidR="00A641B3" w:rsidRPr="00510EF6" w:rsidRDefault="009434F2" w:rsidP="00FA1E77">
      <w:pPr>
        <w:numPr>
          <w:ilvl w:val="0"/>
          <w:numId w:val="17"/>
        </w:numPr>
        <w:suppressLineNumbers/>
        <w:tabs>
          <w:tab w:val="clear" w:pos="644"/>
        </w:tabs>
        <w:suppressAutoHyphens/>
        <w:spacing w:before="120" w:after="120"/>
        <w:ind w:left="0"/>
        <w:rPr>
          <w:i/>
          <w:iCs/>
          <w:kern w:val="22"/>
          <w:szCs w:val="22"/>
        </w:rPr>
      </w:pPr>
      <w:r w:rsidRPr="00510EF6">
        <w:rPr>
          <w:kern w:val="22"/>
          <w:szCs w:val="22"/>
        </w:rPr>
        <w:t xml:space="preserve">The outcomes </w:t>
      </w:r>
      <w:r w:rsidR="003E78B7" w:rsidRPr="00510EF6">
        <w:rPr>
          <w:kern w:val="22"/>
          <w:szCs w:val="22"/>
        </w:rPr>
        <w:t xml:space="preserve">of the operational objective </w:t>
      </w:r>
      <w:r w:rsidR="002A7C04" w:rsidRPr="00510EF6">
        <w:rPr>
          <w:kern w:val="22"/>
          <w:szCs w:val="22"/>
        </w:rPr>
        <w:t>comprise</w:t>
      </w:r>
      <w:r w:rsidR="001B1F32" w:rsidRPr="00510EF6">
        <w:rPr>
          <w:kern w:val="22"/>
          <w:szCs w:val="22"/>
        </w:rPr>
        <w:t xml:space="preserve"> the following</w:t>
      </w:r>
      <w:r w:rsidR="006F0586" w:rsidRPr="00510EF6">
        <w:rPr>
          <w:kern w:val="22"/>
          <w:szCs w:val="22"/>
        </w:rPr>
        <w:t>:</w:t>
      </w:r>
    </w:p>
    <w:p w14:paraId="15AA4014" w14:textId="69D523E5" w:rsidR="00A641B3" w:rsidRPr="00FA1E77" w:rsidRDefault="00F37B66" w:rsidP="00FA1E77">
      <w:pPr>
        <w:pStyle w:val="ListParagraph"/>
        <w:numPr>
          <w:ilvl w:val="0"/>
          <w:numId w:val="38"/>
        </w:numPr>
        <w:suppressLineNumbers/>
        <w:suppressAutoHyphens/>
        <w:spacing w:before="120" w:after="120"/>
        <w:ind w:left="0" w:firstLine="720"/>
        <w:jc w:val="both"/>
        <w:rPr>
          <w:kern w:val="22"/>
          <w:sz w:val="22"/>
          <w:szCs w:val="22"/>
          <w:lang w:val="en-GB"/>
        </w:rPr>
      </w:pPr>
      <w:r w:rsidRPr="00FA1E77">
        <w:rPr>
          <w:kern w:val="22"/>
          <w:sz w:val="22"/>
          <w:szCs w:val="22"/>
          <w:lang w:val="en-GB"/>
        </w:rPr>
        <w:t>Each Party fully implements its obligations and regularly monitors the implementation of its obligations under the Protocol;</w:t>
      </w:r>
    </w:p>
    <w:p w14:paraId="3A4068A9" w14:textId="30CEF30A" w:rsidR="00A641B3" w:rsidRPr="00FA1E77" w:rsidRDefault="00F37B66" w:rsidP="00FA1E77">
      <w:pPr>
        <w:pStyle w:val="ListParagraph"/>
        <w:numPr>
          <w:ilvl w:val="0"/>
          <w:numId w:val="38"/>
        </w:numPr>
        <w:suppressLineNumbers/>
        <w:suppressAutoHyphens/>
        <w:spacing w:before="120" w:after="120"/>
        <w:ind w:left="0" w:firstLine="720"/>
        <w:jc w:val="both"/>
        <w:rPr>
          <w:spacing w:val="-2"/>
          <w:kern w:val="22"/>
          <w:sz w:val="22"/>
          <w:szCs w:val="22"/>
          <w:lang w:val="en-GB"/>
        </w:rPr>
      </w:pPr>
      <w:r w:rsidRPr="00FA1E77">
        <w:rPr>
          <w:spacing w:val="-2"/>
          <w:kern w:val="22"/>
          <w:sz w:val="22"/>
          <w:szCs w:val="22"/>
          <w:lang w:val="en-GB"/>
        </w:rPr>
        <w:t>Improved reporting by Parties</w:t>
      </w:r>
      <w:r w:rsidR="007959D5" w:rsidRPr="00FA1E77">
        <w:rPr>
          <w:spacing w:val="-2"/>
          <w:kern w:val="22"/>
          <w:sz w:val="22"/>
          <w:szCs w:val="22"/>
          <w:lang w:val="en-GB"/>
        </w:rPr>
        <w:t>,</w:t>
      </w:r>
      <w:r w:rsidRPr="00FA1E77">
        <w:rPr>
          <w:spacing w:val="-2"/>
          <w:kern w:val="22"/>
          <w:sz w:val="22"/>
          <w:szCs w:val="22"/>
          <w:lang w:val="en-GB"/>
        </w:rPr>
        <w:t xml:space="preserve"> including by submitting complete and timely national reports;</w:t>
      </w:r>
    </w:p>
    <w:p w14:paraId="02F07C80" w14:textId="0E4EA139" w:rsidR="00A641B3" w:rsidRPr="00FA1E77" w:rsidRDefault="002A7C04" w:rsidP="00FA1E77">
      <w:pPr>
        <w:pStyle w:val="ListParagraph"/>
        <w:numPr>
          <w:ilvl w:val="0"/>
          <w:numId w:val="38"/>
        </w:numPr>
        <w:suppressLineNumbers/>
        <w:suppressAutoHyphens/>
        <w:spacing w:before="120" w:after="120"/>
        <w:ind w:left="0" w:firstLine="720"/>
        <w:jc w:val="both"/>
        <w:rPr>
          <w:kern w:val="22"/>
          <w:sz w:val="22"/>
          <w:szCs w:val="22"/>
          <w:lang w:val="en-GB"/>
        </w:rPr>
      </w:pPr>
      <w:r w:rsidRPr="00FA1E77">
        <w:rPr>
          <w:kern w:val="22"/>
          <w:sz w:val="22"/>
          <w:szCs w:val="22"/>
          <w:lang w:val="en-GB"/>
        </w:rPr>
        <w:t>All Parties able to enforce their regulatory frameworks and decisions;</w:t>
      </w:r>
    </w:p>
    <w:p w14:paraId="0F6AC2EC" w14:textId="798BD255" w:rsidR="00A641B3" w:rsidRPr="00FA1E77" w:rsidRDefault="00F37B66" w:rsidP="00FA1E77">
      <w:pPr>
        <w:pStyle w:val="ListParagraph"/>
        <w:numPr>
          <w:ilvl w:val="0"/>
          <w:numId w:val="38"/>
        </w:numPr>
        <w:suppressLineNumbers/>
        <w:suppressAutoHyphens/>
        <w:spacing w:before="120" w:after="120"/>
        <w:ind w:left="0" w:firstLine="720"/>
        <w:jc w:val="both"/>
        <w:rPr>
          <w:kern w:val="22"/>
          <w:sz w:val="22"/>
          <w:szCs w:val="22"/>
          <w:lang w:val="en-GB"/>
        </w:rPr>
      </w:pPr>
      <w:r w:rsidRPr="00FA1E77">
        <w:rPr>
          <w:kern w:val="22"/>
          <w:sz w:val="22"/>
          <w:szCs w:val="22"/>
          <w:lang w:val="en-GB"/>
        </w:rPr>
        <w:t>Sufficient financial resources are allocated to compliance;</w:t>
      </w:r>
    </w:p>
    <w:p w14:paraId="46CA378D" w14:textId="041103CA" w:rsidR="00A641B3" w:rsidRPr="00FA1E77" w:rsidRDefault="00F37B66" w:rsidP="00FA1E77">
      <w:pPr>
        <w:pStyle w:val="ListParagraph"/>
        <w:numPr>
          <w:ilvl w:val="0"/>
          <w:numId w:val="38"/>
        </w:numPr>
        <w:suppressLineNumbers/>
        <w:suppressAutoHyphens/>
        <w:spacing w:before="120" w:after="120"/>
        <w:ind w:left="0" w:firstLine="720"/>
        <w:jc w:val="both"/>
        <w:rPr>
          <w:kern w:val="22"/>
          <w:sz w:val="22"/>
          <w:szCs w:val="22"/>
          <w:lang w:val="en-GB"/>
        </w:rPr>
      </w:pPr>
      <w:r w:rsidRPr="00FA1E77">
        <w:rPr>
          <w:kern w:val="22"/>
          <w:sz w:val="22"/>
          <w:szCs w:val="22"/>
          <w:lang w:val="en-GB"/>
        </w:rPr>
        <w:t>The Committee is able to thoroughly review the implementation of obligations by Parties and to propose appropriate measures;</w:t>
      </w:r>
    </w:p>
    <w:p w14:paraId="36317B81" w14:textId="1BCB0812" w:rsidR="00C526DF" w:rsidRPr="00FA1E77" w:rsidRDefault="00F37B66" w:rsidP="00FA1E77">
      <w:pPr>
        <w:pStyle w:val="ListParagraph"/>
        <w:numPr>
          <w:ilvl w:val="0"/>
          <w:numId w:val="38"/>
        </w:numPr>
        <w:suppressLineNumbers/>
        <w:suppressAutoHyphens/>
        <w:spacing w:before="120" w:after="120"/>
        <w:ind w:left="0" w:firstLine="720"/>
        <w:jc w:val="both"/>
        <w:rPr>
          <w:kern w:val="22"/>
          <w:sz w:val="22"/>
          <w:szCs w:val="22"/>
          <w:lang w:val="en-GB"/>
        </w:rPr>
      </w:pPr>
      <w:r w:rsidRPr="00FA1E77">
        <w:rPr>
          <w:kern w:val="22"/>
          <w:sz w:val="22"/>
          <w:szCs w:val="22"/>
          <w:lang w:val="en-GB"/>
        </w:rPr>
        <w:t>Supportive role of the Compliance Committee is improved.</w:t>
      </w:r>
    </w:p>
    <w:p w14:paraId="5726B25F" w14:textId="678267FA" w:rsidR="00DB0731" w:rsidRPr="00510EF6" w:rsidRDefault="00D1343C" w:rsidP="00FA1E77">
      <w:pPr>
        <w:numPr>
          <w:ilvl w:val="0"/>
          <w:numId w:val="17"/>
        </w:numPr>
        <w:suppressLineNumbers/>
        <w:tabs>
          <w:tab w:val="clear" w:pos="644"/>
        </w:tabs>
        <w:suppressAutoHyphens/>
        <w:spacing w:before="120" w:after="120"/>
        <w:ind w:left="0"/>
        <w:rPr>
          <w:i/>
          <w:iCs/>
          <w:kern w:val="22"/>
          <w:szCs w:val="22"/>
        </w:rPr>
      </w:pPr>
      <w:r w:rsidRPr="00510EF6">
        <w:rPr>
          <w:kern w:val="22"/>
          <w:szCs w:val="22"/>
        </w:rPr>
        <w:t xml:space="preserve">Eight indicators are provided for </w:t>
      </w:r>
      <w:r w:rsidR="00293C66" w:rsidRPr="00510EF6">
        <w:rPr>
          <w:kern w:val="22"/>
          <w:szCs w:val="22"/>
        </w:rPr>
        <w:t>o</w:t>
      </w:r>
      <w:r w:rsidRPr="00510EF6">
        <w:rPr>
          <w:kern w:val="22"/>
          <w:szCs w:val="22"/>
        </w:rPr>
        <w:t xml:space="preserve">perational </w:t>
      </w:r>
      <w:r w:rsidR="00293C66" w:rsidRPr="00510EF6">
        <w:rPr>
          <w:kern w:val="22"/>
          <w:szCs w:val="22"/>
        </w:rPr>
        <w:t>o</w:t>
      </w:r>
      <w:r w:rsidRPr="00510EF6">
        <w:rPr>
          <w:kern w:val="22"/>
          <w:szCs w:val="22"/>
        </w:rPr>
        <w:t xml:space="preserve">bjective 3.1. </w:t>
      </w:r>
      <w:r w:rsidR="004D36C7" w:rsidRPr="00510EF6">
        <w:rPr>
          <w:kern w:val="22"/>
          <w:szCs w:val="22"/>
        </w:rPr>
        <w:t>For each of these indicators</w:t>
      </w:r>
      <w:r w:rsidR="00A641B3" w:rsidRPr="00510EF6">
        <w:rPr>
          <w:kern w:val="22"/>
          <w:szCs w:val="22"/>
        </w:rPr>
        <w:t>,</w:t>
      </w:r>
      <w:r w:rsidR="00382570" w:rsidRPr="00510EF6">
        <w:rPr>
          <w:kern w:val="22"/>
          <w:szCs w:val="22"/>
        </w:rPr>
        <w:t xml:space="preserve"> a description of progress since the baselin</w:t>
      </w:r>
      <w:r w:rsidR="00293C66" w:rsidRPr="00510EF6">
        <w:rPr>
          <w:kern w:val="22"/>
          <w:szCs w:val="22"/>
        </w:rPr>
        <w:t>e</w:t>
      </w:r>
      <w:r w:rsidR="00DF233B" w:rsidRPr="00FA1E77">
        <w:rPr>
          <w:rStyle w:val="FootnoteReference"/>
          <w:kern w:val="22"/>
          <w:sz w:val="22"/>
          <w:szCs w:val="22"/>
          <w:u w:val="none"/>
          <w:vertAlign w:val="superscript"/>
        </w:rPr>
        <w:footnoteReference w:id="3"/>
      </w:r>
      <w:r w:rsidR="00382570" w:rsidRPr="00510EF6">
        <w:rPr>
          <w:kern w:val="22"/>
          <w:szCs w:val="22"/>
        </w:rPr>
        <w:t xml:space="preserve"> is provided in CBD/SBI/3/3/Add.1. These descriptions are based on </w:t>
      </w:r>
      <w:r w:rsidR="009F5F64" w:rsidRPr="00510EF6">
        <w:rPr>
          <w:kern w:val="22"/>
          <w:szCs w:val="22"/>
        </w:rPr>
        <w:t>i</w:t>
      </w:r>
      <w:r w:rsidR="00382570" w:rsidRPr="00510EF6">
        <w:rPr>
          <w:kern w:val="22"/>
          <w:szCs w:val="22"/>
        </w:rPr>
        <w:t>nformation provided in</w:t>
      </w:r>
      <w:r w:rsidR="009F5F64" w:rsidRPr="00510EF6">
        <w:rPr>
          <w:kern w:val="22"/>
          <w:szCs w:val="22"/>
        </w:rPr>
        <w:t>,</w:t>
      </w:r>
      <w:r w:rsidR="004D36C7" w:rsidRPr="00510EF6">
        <w:rPr>
          <w:kern w:val="22"/>
          <w:szCs w:val="22"/>
        </w:rPr>
        <w:t xml:space="preserve"> </w:t>
      </w:r>
      <w:r w:rsidR="009F5F64" w:rsidRPr="00510EF6">
        <w:rPr>
          <w:kern w:val="22"/>
          <w:szCs w:val="22"/>
        </w:rPr>
        <w:t xml:space="preserve">primarily, </w:t>
      </w:r>
      <w:r w:rsidR="004D36C7" w:rsidRPr="00510EF6">
        <w:rPr>
          <w:kern w:val="22"/>
          <w:szCs w:val="22"/>
        </w:rPr>
        <w:t>the fourth national reports</w:t>
      </w:r>
      <w:r w:rsidR="009F5F64" w:rsidRPr="00510EF6">
        <w:rPr>
          <w:kern w:val="22"/>
          <w:szCs w:val="22"/>
        </w:rPr>
        <w:t xml:space="preserve"> and</w:t>
      </w:r>
      <w:r w:rsidR="004D36C7" w:rsidRPr="00510EF6">
        <w:rPr>
          <w:kern w:val="22"/>
          <w:szCs w:val="22"/>
        </w:rPr>
        <w:t xml:space="preserve"> the </w:t>
      </w:r>
      <w:r w:rsidR="006F00D8" w:rsidRPr="00510EF6">
        <w:rPr>
          <w:kern w:val="22"/>
          <w:szCs w:val="22"/>
        </w:rPr>
        <w:t>Biosafety Clearing-House (</w:t>
      </w:r>
      <w:r w:rsidR="004D36C7" w:rsidRPr="00510EF6">
        <w:rPr>
          <w:kern w:val="22"/>
          <w:szCs w:val="22"/>
        </w:rPr>
        <w:t>BCH</w:t>
      </w:r>
      <w:r w:rsidR="006F00D8" w:rsidRPr="00510EF6">
        <w:rPr>
          <w:kern w:val="22"/>
          <w:szCs w:val="22"/>
        </w:rPr>
        <w:t>)</w:t>
      </w:r>
      <w:r w:rsidR="00B25F8C" w:rsidRPr="00510EF6">
        <w:rPr>
          <w:kern w:val="22"/>
          <w:szCs w:val="22"/>
        </w:rPr>
        <w:t xml:space="preserve">, as well as experience </w:t>
      </w:r>
      <w:r w:rsidR="00FA5102" w:rsidRPr="00510EF6">
        <w:rPr>
          <w:kern w:val="22"/>
          <w:szCs w:val="22"/>
        </w:rPr>
        <w:t xml:space="preserve">of </w:t>
      </w:r>
      <w:r w:rsidR="00B25F8C" w:rsidRPr="00510EF6">
        <w:rPr>
          <w:kern w:val="22"/>
          <w:szCs w:val="22"/>
        </w:rPr>
        <w:t>the Compliance Committee</w:t>
      </w:r>
      <w:r w:rsidR="009F5F64" w:rsidRPr="00510EF6">
        <w:rPr>
          <w:kern w:val="22"/>
          <w:szCs w:val="22"/>
        </w:rPr>
        <w:t>.</w:t>
      </w:r>
      <w:r w:rsidR="004D36C7" w:rsidRPr="00510EF6">
        <w:rPr>
          <w:kern w:val="22"/>
          <w:szCs w:val="22"/>
        </w:rPr>
        <w:t xml:space="preserve"> The sources of information consulted for each indicator</w:t>
      </w:r>
      <w:r w:rsidR="00BC0348" w:rsidRPr="00510EF6">
        <w:rPr>
          <w:kern w:val="22"/>
          <w:szCs w:val="22"/>
        </w:rPr>
        <w:t xml:space="preserve"> </w:t>
      </w:r>
      <w:r w:rsidR="004D36C7" w:rsidRPr="00510EF6">
        <w:rPr>
          <w:kern w:val="22"/>
          <w:szCs w:val="22"/>
        </w:rPr>
        <w:t>are provided in the matrix on sources of information.</w:t>
      </w:r>
      <w:r w:rsidR="004D36C7" w:rsidRPr="00FA1E77">
        <w:rPr>
          <w:rStyle w:val="FootnoteReference"/>
          <w:kern w:val="22"/>
          <w:sz w:val="22"/>
          <w:szCs w:val="22"/>
          <w:u w:val="none"/>
          <w:vertAlign w:val="superscript"/>
        </w:rPr>
        <w:footnoteReference w:id="4"/>
      </w:r>
    </w:p>
    <w:p w14:paraId="239A519C" w14:textId="71FC0567" w:rsidR="00703B39" w:rsidRPr="00510EF6" w:rsidRDefault="00703B39" w:rsidP="00FA1E77">
      <w:pPr>
        <w:numPr>
          <w:ilvl w:val="0"/>
          <w:numId w:val="17"/>
        </w:numPr>
        <w:suppressLineNumbers/>
        <w:tabs>
          <w:tab w:val="clear" w:pos="644"/>
        </w:tabs>
        <w:suppressAutoHyphens/>
        <w:spacing w:before="120" w:after="120"/>
        <w:ind w:left="0"/>
        <w:rPr>
          <w:i/>
          <w:iCs/>
          <w:kern w:val="22"/>
          <w:szCs w:val="22"/>
        </w:rPr>
      </w:pPr>
      <w:r w:rsidRPr="00510EF6">
        <w:rPr>
          <w:snapToGrid w:val="0"/>
          <w:kern w:val="22"/>
          <w:szCs w:val="22"/>
        </w:rPr>
        <w:lastRenderedPageBreak/>
        <w:t xml:space="preserve">Where information is presented that has been obtained </w:t>
      </w:r>
      <w:r w:rsidR="00551AB6" w:rsidRPr="00510EF6">
        <w:rPr>
          <w:snapToGrid w:val="0"/>
          <w:kern w:val="22"/>
          <w:szCs w:val="22"/>
        </w:rPr>
        <w:t>from</w:t>
      </w:r>
      <w:r w:rsidRPr="00510EF6">
        <w:rPr>
          <w:snapToGrid w:val="0"/>
          <w:kern w:val="22"/>
          <w:szCs w:val="22"/>
        </w:rPr>
        <w:t xml:space="preserve"> the fourth national reports, the information is based only on the </w:t>
      </w:r>
      <w:r w:rsidR="009703D9" w:rsidRPr="00510EF6">
        <w:rPr>
          <w:snapToGrid w:val="0"/>
          <w:kern w:val="22"/>
          <w:szCs w:val="22"/>
        </w:rPr>
        <w:t xml:space="preserve">fourth </w:t>
      </w:r>
      <w:r w:rsidRPr="00510EF6">
        <w:rPr>
          <w:snapToGrid w:val="0"/>
          <w:kern w:val="22"/>
          <w:szCs w:val="22"/>
        </w:rPr>
        <w:t xml:space="preserve">national reports </w:t>
      </w:r>
      <w:r w:rsidR="009703D9" w:rsidRPr="00510EF6">
        <w:rPr>
          <w:snapToGrid w:val="0"/>
          <w:kern w:val="22"/>
          <w:szCs w:val="22"/>
        </w:rPr>
        <w:t xml:space="preserve">submitted by 15 January 2020 </w:t>
      </w:r>
      <w:r w:rsidRPr="00510EF6">
        <w:rPr>
          <w:snapToGrid w:val="0"/>
          <w:kern w:val="22"/>
          <w:szCs w:val="22"/>
        </w:rPr>
        <w:t>of those Parties that also provided related information at the baseline.</w:t>
      </w:r>
      <w:r w:rsidRPr="00FA1E77">
        <w:rPr>
          <w:rStyle w:val="FootnoteReference"/>
          <w:snapToGrid w:val="0"/>
          <w:kern w:val="22"/>
          <w:sz w:val="22"/>
          <w:szCs w:val="22"/>
          <w:u w:val="none"/>
          <w:vertAlign w:val="superscript"/>
        </w:rPr>
        <w:footnoteReference w:id="5"/>
      </w:r>
      <w:r w:rsidRPr="00510EF6">
        <w:rPr>
          <w:snapToGrid w:val="0"/>
          <w:kern w:val="22"/>
          <w:szCs w:val="22"/>
        </w:rPr>
        <w:t xml:space="preserve"> This approach is intended to enable a </w:t>
      </w:r>
      <w:r w:rsidR="0037267D" w:rsidRPr="00510EF6">
        <w:rPr>
          <w:snapToGrid w:val="0"/>
          <w:kern w:val="22"/>
          <w:szCs w:val="22"/>
        </w:rPr>
        <w:t xml:space="preserve">consistent and comparable </w:t>
      </w:r>
      <w:r w:rsidRPr="00510EF6">
        <w:rPr>
          <w:snapToGrid w:val="0"/>
          <w:kern w:val="22"/>
          <w:szCs w:val="22"/>
        </w:rPr>
        <w:t xml:space="preserve">review of progress </w:t>
      </w:r>
      <w:r w:rsidR="0037267D" w:rsidRPr="00510EF6">
        <w:rPr>
          <w:snapToGrid w:val="0"/>
          <w:kern w:val="22"/>
          <w:szCs w:val="22"/>
        </w:rPr>
        <w:t>over time</w:t>
      </w:r>
      <w:r w:rsidRPr="00510EF6">
        <w:rPr>
          <w:snapToGrid w:val="0"/>
          <w:kern w:val="22"/>
          <w:szCs w:val="22"/>
        </w:rPr>
        <w:t xml:space="preserve"> and follows the approach taken for the third assessment and review of the Protocol and mid-term evaluation of the Strategic Plan.</w:t>
      </w:r>
      <w:r w:rsidRPr="00FA1E77">
        <w:rPr>
          <w:rStyle w:val="FootnoteReference"/>
          <w:snapToGrid w:val="0"/>
          <w:kern w:val="22"/>
          <w:sz w:val="22"/>
          <w:szCs w:val="22"/>
          <w:u w:val="none"/>
          <w:vertAlign w:val="superscript"/>
        </w:rPr>
        <w:footnoteReference w:id="6"/>
      </w:r>
      <w:r w:rsidRPr="00510EF6">
        <w:rPr>
          <w:snapToGrid w:val="0"/>
          <w:kern w:val="22"/>
          <w:szCs w:val="22"/>
        </w:rPr>
        <w:t xml:space="preserve"> More information on methodological issues is provided in </w:t>
      </w:r>
      <w:r w:rsidRPr="00510EF6">
        <w:rPr>
          <w:kern w:val="22"/>
          <w:szCs w:val="22"/>
        </w:rPr>
        <w:t xml:space="preserve">CBD/SBI/3/3/Add.1, </w:t>
      </w:r>
      <w:r w:rsidR="000B33C4" w:rsidRPr="00510EF6">
        <w:rPr>
          <w:kern w:val="22"/>
          <w:szCs w:val="22"/>
        </w:rPr>
        <w:t>s</w:t>
      </w:r>
      <w:r w:rsidRPr="00510EF6">
        <w:rPr>
          <w:kern w:val="22"/>
          <w:szCs w:val="22"/>
        </w:rPr>
        <w:t>ection</w:t>
      </w:r>
      <w:r w:rsidR="00310EA2" w:rsidRPr="00510EF6">
        <w:rPr>
          <w:kern w:val="22"/>
          <w:szCs w:val="22"/>
        </w:rPr>
        <w:t> </w:t>
      </w:r>
      <w:r w:rsidRPr="00510EF6">
        <w:rPr>
          <w:kern w:val="22"/>
          <w:szCs w:val="22"/>
        </w:rPr>
        <w:t>II.</w:t>
      </w:r>
    </w:p>
    <w:p w14:paraId="65A80B62" w14:textId="0B4E9B56" w:rsidR="008F6E5B" w:rsidRPr="00510EF6" w:rsidRDefault="002008F1" w:rsidP="00FA1E77">
      <w:pPr>
        <w:numPr>
          <w:ilvl w:val="0"/>
          <w:numId w:val="17"/>
        </w:numPr>
        <w:suppressLineNumbers/>
        <w:tabs>
          <w:tab w:val="clear" w:pos="644"/>
        </w:tabs>
        <w:suppressAutoHyphens/>
        <w:spacing w:before="120" w:after="120"/>
        <w:ind w:left="0"/>
        <w:rPr>
          <w:szCs w:val="22"/>
        </w:rPr>
      </w:pPr>
      <w:r w:rsidRPr="00FA1E77">
        <w:rPr>
          <w:szCs w:val="22"/>
        </w:rPr>
        <w:t xml:space="preserve">The </w:t>
      </w:r>
      <w:r w:rsidR="00723C85" w:rsidRPr="00510EF6">
        <w:rPr>
          <w:szCs w:val="22"/>
        </w:rPr>
        <w:t xml:space="preserve">presentation of the </w:t>
      </w:r>
      <w:r w:rsidRPr="00FA1E77">
        <w:rPr>
          <w:szCs w:val="22"/>
        </w:rPr>
        <w:t>i</w:t>
      </w:r>
      <w:r w:rsidR="00E5462E" w:rsidRPr="00FA1E77">
        <w:rPr>
          <w:szCs w:val="22"/>
        </w:rPr>
        <w:t xml:space="preserve">nformation </w:t>
      </w:r>
      <w:r w:rsidR="00E575A4" w:rsidRPr="00FA1E77">
        <w:rPr>
          <w:szCs w:val="22"/>
        </w:rPr>
        <w:t xml:space="preserve">below </w:t>
      </w:r>
      <w:r w:rsidR="00E5462E" w:rsidRPr="00FA1E77">
        <w:rPr>
          <w:szCs w:val="22"/>
        </w:rPr>
        <w:t>has follow</w:t>
      </w:r>
      <w:r w:rsidR="00723C85" w:rsidRPr="00510EF6">
        <w:rPr>
          <w:szCs w:val="22"/>
        </w:rPr>
        <w:t>ed</w:t>
      </w:r>
      <w:r w:rsidR="00E5462E" w:rsidRPr="00FA1E77">
        <w:rPr>
          <w:szCs w:val="22"/>
        </w:rPr>
        <w:t xml:space="preserve"> as much as possible </w:t>
      </w:r>
      <w:r w:rsidRPr="00FA1E77">
        <w:rPr>
          <w:szCs w:val="22"/>
        </w:rPr>
        <w:t xml:space="preserve">the </w:t>
      </w:r>
      <w:r w:rsidR="00803A65" w:rsidRPr="00FA1E77">
        <w:rPr>
          <w:szCs w:val="22"/>
        </w:rPr>
        <w:t>areas of work on which the Committee has focused</w:t>
      </w:r>
      <w:r w:rsidR="00D206EC" w:rsidRPr="00FA1E77">
        <w:rPr>
          <w:szCs w:val="22"/>
        </w:rPr>
        <w:t>, with the following sequence</w:t>
      </w:r>
      <w:r w:rsidR="00653779" w:rsidRPr="00FA1E77">
        <w:rPr>
          <w:szCs w:val="22"/>
        </w:rPr>
        <w:t>:</w:t>
      </w:r>
      <w:r w:rsidR="004D52C6" w:rsidRPr="00FA1E77">
        <w:rPr>
          <w:szCs w:val="22"/>
        </w:rPr>
        <w:t xml:space="preserve"> </w:t>
      </w:r>
      <w:r w:rsidR="00D6405B" w:rsidRPr="00FA1E77">
        <w:rPr>
          <w:szCs w:val="22"/>
        </w:rPr>
        <w:t>(</w:t>
      </w:r>
      <w:r w:rsidR="00AB45D7" w:rsidRPr="00510EF6">
        <w:rPr>
          <w:szCs w:val="22"/>
        </w:rPr>
        <w:t>a</w:t>
      </w:r>
      <w:r w:rsidR="00D6405B" w:rsidRPr="00FA1E77">
        <w:rPr>
          <w:szCs w:val="22"/>
        </w:rPr>
        <w:t>)</w:t>
      </w:r>
      <w:r w:rsidR="004D52C6" w:rsidRPr="00510EF6">
        <w:rPr>
          <w:szCs w:val="22"/>
        </w:rPr>
        <w:t xml:space="preserve"> </w:t>
      </w:r>
      <w:r w:rsidR="00C92940" w:rsidRPr="00510EF6">
        <w:rPr>
          <w:szCs w:val="22"/>
        </w:rPr>
        <w:t>n</w:t>
      </w:r>
      <w:r w:rsidR="004D52C6" w:rsidRPr="00FA1E77">
        <w:rPr>
          <w:szCs w:val="22"/>
        </w:rPr>
        <w:t xml:space="preserve">ational reporting (indicator 3.1.7); </w:t>
      </w:r>
      <w:r w:rsidR="00D6405B" w:rsidRPr="00FA1E77">
        <w:rPr>
          <w:szCs w:val="22"/>
        </w:rPr>
        <w:t>(</w:t>
      </w:r>
      <w:r w:rsidR="00C92940" w:rsidRPr="00510EF6">
        <w:rPr>
          <w:szCs w:val="22"/>
        </w:rPr>
        <w:t>b</w:t>
      </w:r>
      <w:r w:rsidR="00D6405B" w:rsidRPr="00FA1E77">
        <w:rPr>
          <w:szCs w:val="22"/>
        </w:rPr>
        <w:t>)</w:t>
      </w:r>
      <w:r w:rsidR="00C92940" w:rsidRPr="00510EF6">
        <w:rPr>
          <w:szCs w:val="22"/>
        </w:rPr>
        <w:t> </w:t>
      </w:r>
      <w:r w:rsidR="00C92940" w:rsidRPr="00510EF6">
        <w:rPr>
          <w:snapToGrid w:val="0"/>
          <w:szCs w:val="22"/>
        </w:rPr>
        <w:t>n</w:t>
      </w:r>
      <w:r w:rsidR="004D52C6" w:rsidRPr="00FA1E77">
        <w:rPr>
          <w:snapToGrid w:val="0"/>
          <w:szCs w:val="22"/>
        </w:rPr>
        <w:t xml:space="preserve">ational legal, </w:t>
      </w:r>
      <w:r w:rsidR="004D52C6" w:rsidRPr="00FA1E77">
        <w:rPr>
          <w:snapToGrid w:val="0"/>
          <w:kern w:val="22"/>
          <w:szCs w:val="22"/>
        </w:rPr>
        <w:t>administrative</w:t>
      </w:r>
      <w:r w:rsidR="004D52C6" w:rsidRPr="00FA1E77">
        <w:rPr>
          <w:snapToGrid w:val="0"/>
          <w:szCs w:val="22"/>
        </w:rPr>
        <w:t xml:space="preserve"> and other measures to implement the Protocol (indicator 3.1.2)</w:t>
      </w:r>
      <w:r w:rsidR="004D52C6" w:rsidRPr="00510EF6">
        <w:rPr>
          <w:szCs w:val="22"/>
        </w:rPr>
        <w:t xml:space="preserve">; </w:t>
      </w:r>
      <w:r w:rsidR="00D6405B" w:rsidRPr="00FA1E77">
        <w:rPr>
          <w:szCs w:val="22"/>
        </w:rPr>
        <w:t>(</w:t>
      </w:r>
      <w:r w:rsidR="00C92940" w:rsidRPr="00510EF6">
        <w:rPr>
          <w:szCs w:val="22"/>
        </w:rPr>
        <w:t>c</w:t>
      </w:r>
      <w:r w:rsidR="00D6405B" w:rsidRPr="00FA1E77">
        <w:rPr>
          <w:szCs w:val="22"/>
        </w:rPr>
        <w:t>) </w:t>
      </w:r>
      <w:r w:rsidR="00723C85" w:rsidRPr="00510EF6">
        <w:rPr>
          <w:snapToGrid w:val="0"/>
          <w:szCs w:val="22"/>
        </w:rPr>
        <w:t>s</w:t>
      </w:r>
      <w:r w:rsidR="004D52C6" w:rsidRPr="00FA1E77">
        <w:rPr>
          <w:snapToGrid w:val="0"/>
          <w:szCs w:val="22"/>
        </w:rPr>
        <w:t xml:space="preserve">ystems in place for handling requests including for advance informed agreement (indicator 3.1.4); </w:t>
      </w:r>
      <w:r w:rsidR="00D6405B" w:rsidRPr="00FA1E77">
        <w:rPr>
          <w:snapToGrid w:val="0"/>
          <w:szCs w:val="22"/>
        </w:rPr>
        <w:t>(</w:t>
      </w:r>
      <w:r w:rsidR="00723C85" w:rsidRPr="00510EF6">
        <w:rPr>
          <w:snapToGrid w:val="0"/>
          <w:szCs w:val="22"/>
        </w:rPr>
        <w:t>d</w:t>
      </w:r>
      <w:r w:rsidR="00D6405B" w:rsidRPr="00FA1E77">
        <w:rPr>
          <w:snapToGrid w:val="0"/>
          <w:szCs w:val="22"/>
        </w:rPr>
        <w:t>) </w:t>
      </w:r>
      <w:r w:rsidR="00723C85" w:rsidRPr="00510EF6">
        <w:rPr>
          <w:snapToGrid w:val="0"/>
          <w:szCs w:val="22"/>
        </w:rPr>
        <w:t>m</w:t>
      </w:r>
      <w:r w:rsidR="004D52C6" w:rsidRPr="00FA1E77">
        <w:rPr>
          <w:snapToGrid w:val="0"/>
          <w:szCs w:val="22"/>
        </w:rPr>
        <w:t xml:space="preserve">onitoring and enforcement system in place (indicator 3.1.6); </w:t>
      </w:r>
      <w:r w:rsidR="00BD05C1" w:rsidRPr="00FA1E77">
        <w:rPr>
          <w:snapToGrid w:val="0"/>
          <w:szCs w:val="22"/>
        </w:rPr>
        <w:t>(</w:t>
      </w:r>
      <w:r w:rsidR="00723C85" w:rsidRPr="00510EF6">
        <w:rPr>
          <w:snapToGrid w:val="0"/>
          <w:szCs w:val="22"/>
        </w:rPr>
        <w:t>e</w:t>
      </w:r>
      <w:r w:rsidR="00BD05C1" w:rsidRPr="00FA1E77">
        <w:rPr>
          <w:snapToGrid w:val="0"/>
          <w:szCs w:val="22"/>
        </w:rPr>
        <w:t>) </w:t>
      </w:r>
      <w:r w:rsidR="00723C85" w:rsidRPr="00510EF6">
        <w:rPr>
          <w:snapToGrid w:val="0"/>
          <w:szCs w:val="22"/>
        </w:rPr>
        <w:t>d</w:t>
      </w:r>
      <w:r w:rsidR="004D52C6" w:rsidRPr="00FA1E77">
        <w:rPr>
          <w:snapToGrid w:val="0"/>
          <w:szCs w:val="22"/>
        </w:rPr>
        <w:t xml:space="preserve">esignation of national focal points (indicator 3.1.3); </w:t>
      </w:r>
      <w:r w:rsidR="00BD05C1" w:rsidRPr="00FA1E77">
        <w:rPr>
          <w:snapToGrid w:val="0"/>
          <w:szCs w:val="22"/>
        </w:rPr>
        <w:t>(</w:t>
      </w:r>
      <w:r w:rsidR="00723C85" w:rsidRPr="00510EF6">
        <w:rPr>
          <w:snapToGrid w:val="0"/>
          <w:szCs w:val="22"/>
        </w:rPr>
        <w:t>f</w:t>
      </w:r>
      <w:r w:rsidR="00BD05C1" w:rsidRPr="00FA1E77">
        <w:rPr>
          <w:snapToGrid w:val="0"/>
          <w:szCs w:val="22"/>
        </w:rPr>
        <w:t>) </w:t>
      </w:r>
      <w:r w:rsidR="00723C85" w:rsidRPr="00510EF6">
        <w:rPr>
          <w:snapToGrid w:val="0"/>
          <w:szCs w:val="22"/>
        </w:rPr>
        <w:t>s</w:t>
      </w:r>
      <w:r w:rsidR="004D52C6" w:rsidRPr="00FA1E77">
        <w:rPr>
          <w:snapToGrid w:val="0"/>
          <w:szCs w:val="22"/>
        </w:rPr>
        <w:t xml:space="preserve">ubmission of mandatory information to the BCH (3.1.5); </w:t>
      </w:r>
      <w:r w:rsidR="00BD05C1" w:rsidRPr="00FA1E77">
        <w:rPr>
          <w:snapToGrid w:val="0"/>
          <w:szCs w:val="22"/>
        </w:rPr>
        <w:t>(</w:t>
      </w:r>
      <w:r w:rsidR="00723C85" w:rsidRPr="00510EF6">
        <w:rPr>
          <w:snapToGrid w:val="0"/>
          <w:szCs w:val="22"/>
        </w:rPr>
        <w:t>g</w:t>
      </w:r>
      <w:r w:rsidR="00BD05C1" w:rsidRPr="00FA1E77">
        <w:rPr>
          <w:snapToGrid w:val="0"/>
          <w:szCs w:val="22"/>
        </w:rPr>
        <w:t>) </w:t>
      </w:r>
      <w:r w:rsidR="00723C85" w:rsidRPr="00510EF6">
        <w:rPr>
          <w:snapToGrid w:val="0"/>
          <w:szCs w:val="22"/>
        </w:rPr>
        <w:t>a</w:t>
      </w:r>
      <w:r w:rsidR="004D52C6" w:rsidRPr="00FA1E77">
        <w:rPr>
          <w:snapToGrid w:val="0"/>
          <w:szCs w:val="22"/>
        </w:rPr>
        <w:t>ccess to financial resources (indicator 3.1.8)</w:t>
      </w:r>
      <w:r w:rsidR="0031469B" w:rsidRPr="00FA1E77">
        <w:rPr>
          <w:snapToGrid w:val="0"/>
          <w:szCs w:val="22"/>
        </w:rPr>
        <w:t>, and</w:t>
      </w:r>
      <w:r w:rsidR="00B13A20" w:rsidRPr="00FA1E77">
        <w:rPr>
          <w:snapToGrid w:val="0"/>
          <w:szCs w:val="22"/>
        </w:rPr>
        <w:t xml:space="preserve">; </w:t>
      </w:r>
      <w:r w:rsidR="00BD05C1" w:rsidRPr="00FA1E77">
        <w:rPr>
          <w:snapToGrid w:val="0"/>
          <w:szCs w:val="22"/>
        </w:rPr>
        <w:t>(</w:t>
      </w:r>
      <w:r w:rsidR="00723C85" w:rsidRPr="00510EF6">
        <w:rPr>
          <w:snapToGrid w:val="0"/>
          <w:szCs w:val="22"/>
        </w:rPr>
        <w:t>h</w:t>
      </w:r>
      <w:r w:rsidR="00BD05C1" w:rsidRPr="00FA1E77">
        <w:rPr>
          <w:snapToGrid w:val="0"/>
          <w:szCs w:val="22"/>
        </w:rPr>
        <w:t>) </w:t>
      </w:r>
      <w:r w:rsidR="00723C85" w:rsidRPr="00510EF6">
        <w:rPr>
          <w:snapToGrid w:val="0"/>
          <w:szCs w:val="22"/>
        </w:rPr>
        <w:t>a</w:t>
      </w:r>
      <w:r w:rsidR="00B13A20" w:rsidRPr="00FA1E77">
        <w:rPr>
          <w:snapToGrid w:val="0"/>
          <w:szCs w:val="22"/>
        </w:rPr>
        <w:t>ddressing non-compliance (indicator 3.1.1).</w:t>
      </w:r>
      <w:r w:rsidR="00A641B3" w:rsidRPr="00FA1E77">
        <w:rPr>
          <w:rStyle w:val="FootnoteReference"/>
          <w:kern w:val="22"/>
          <w:sz w:val="22"/>
          <w:szCs w:val="22"/>
          <w:u w:val="none"/>
          <w:vertAlign w:val="superscript"/>
        </w:rPr>
        <w:footnoteReference w:id="7"/>
      </w:r>
    </w:p>
    <w:p w14:paraId="61C6E57A" w14:textId="2FC5B28E" w:rsidR="00F50B92" w:rsidRPr="00FA1E77" w:rsidRDefault="00F50B92" w:rsidP="00FA1E77">
      <w:pPr>
        <w:pStyle w:val="Heading2"/>
        <w:numPr>
          <w:ilvl w:val="0"/>
          <w:numId w:val="39"/>
        </w:numPr>
        <w:suppressLineNumbers/>
        <w:suppressAutoHyphens/>
        <w:ind w:left="1418"/>
        <w:jc w:val="left"/>
        <w:rPr>
          <w:b w:val="0"/>
          <w:bCs w:val="0"/>
          <w:kern w:val="22"/>
          <w:szCs w:val="22"/>
        </w:rPr>
      </w:pPr>
      <w:r w:rsidRPr="00FA1E77">
        <w:rPr>
          <w:i w:val="0"/>
          <w:iCs w:val="0"/>
          <w:kern w:val="22"/>
          <w:szCs w:val="22"/>
        </w:rPr>
        <w:t>Summary of progress made towards achieving operational objective 3.1</w:t>
      </w:r>
      <w:r w:rsidR="00BC4869" w:rsidRPr="00FA1E77">
        <w:rPr>
          <w:i w:val="0"/>
          <w:iCs w:val="0"/>
          <w:kern w:val="22"/>
          <w:szCs w:val="22"/>
        </w:rPr>
        <w:t xml:space="preserve"> of the Strategic Plan</w:t>
      </w:r>
    </w:p>
    <w:p w14:paraId="2749EB30" w14:textId="4C29A92C" w:rsidR="007B1CE0" w:rsidRPr="00FA1E77" w:rsidRDefault="00F91D6D" w:rsidP="00FA1E77">
      <w:pPr>
        <w:pStyle w:val="Heading3"/>
        <w:suppressLineNumbers/>
        <w:tabs>
          <w:tab w:val="clear" w:pos="567"/>
        </w:tabs>
        <w:suppressAutoHyphens/>
        <w:ind w:left="1418" w:hanging="567"/>
        <w:jc w:val="left"/>
        <w:rPr>
          <w:i w:val="0"/>
          <w:iCs w:val="0"/>
          <w:snapToGrid w:val="0"/>
          <w:kern w:val="22"/>
          <w:szCs w:val="22"/>
        </w:rPr>
      </w:pPr>
      <w:r w:rsidRPr="00FA1E77">
        <w:rPr>
          <w:i w:val="0"/>
          <w:iCs w:val="0"/>
          <w:snapToGrid w:val="0"/>
          <w:kern w:val="22"/>
          <w:szCs w:val="22"/>
        </w:rPr>
        <w:t>1.</w:t>
      </w:r>
      <w:r w:rsidRPr="00FA1E77">
        <w:rPr>
          <w:i w:val="0"/>
          <w:iCs w:val="0"/>
          <w:snapToGrid w:val="0"/>
          <w:kern w:val="22"/>
          <w:szCs w:val="22"/>
        </w:rPr>
        <w:tab/>
      </w:r>
      <w:r w:rsidR="007B1CE0" w:rsidRPr="00FA1E77">
        <w:rPr>
          <w:snapToGrid w:val="0"/>
          <w:kern w:val="22"/>
          <w:szCs w:val="22"/>
        </w:rPr>
        <w:t>National reporting</w:t>
      </w:r>
      <w:r w:rsidR="00087E82" w:rsidRPr="00FA1E77">
        <w:rPr>
          <w:snapToGrid w:val="0"/>
          <w:kern w:val="22"/>
          <w:szCs w:val="22"/>
        </w:rPr>
        <w:t>:</w:t>
      </w:r>
      <w:r w:rsidR="005761F6" w:rsidRPr="00FA1E77">
        <w:rPr>
          <w:kern w:val="22"/>
          <w:szCs w:val="22"/>
        </w:rPr>
        <w:t xml:space="preserve"> indicator 3.1.7 (Number of national reports received under each reporting cycle)</w:t>
      </w:r>
    </w:p>
    <w:p w14:paraId="637F22CD" w14:textId="2458BF9C" w:rsidR="005103DA" w:rsidRPr="00FA1E77" w:rsidRDefault="00722A6D"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 xml:space="preserve">Fourth national reports were due on 1 October 2019. </w:t>
      </w:r>
      <w:r w:rsidR="00175DA8" w:rsidRPr="00FA1E77">
        <w:rPr>
          <w:snapToGrid w:val="0"/>
          <w:kern w:val="22"/>
          <w:szCs w:val="22"/>
        </w:rPr>
        <w:t xml:space="preserve">As of 15 January 2020, </w:t>
      </w:r>
      <w:r w:rsidR="00175DA8" w:rsidRPr="00FA1E77">
        <w:rPr>
          <w:iCs/>
          <w:snapToGrid w:val="0"/>
          <w:kern w:val="22"/>
          <w:szCs w:val="22"/>
        </w:rPr>
        <w:t>99 Parties had submitted their complete fourth national report out of 171 Parties to the Protocol that had an obligation to do so. This represents a submission rate of 58</w:t>
      </w:r>
      <w:r w:rsidR="00B32378" w:rsidRPr="00FA1E77">
        <w:rPr>
          <w:iCs/>
          <w:snapToGrid w:val="0"/>
          <w:kern w:val="22"/>
          <w:szCs w:val="22"/>
        </w:rPr>
        <w:t xml:space="preserve"> per cent</w:t>
      </w:r>
      <w:r w:rsidR="00175DA8" w:rsidRPr="00FA1E77">
        <w:rPr>
          <w:iCs/>
          <w:snapToGrid w:val="0"/>
          <w:kern w:val="22"/>
          <w:szCs w:val="22"/>
        </w:rPr>
        <w:t xml:space="preserve">. </w:t>
      </w:r>
      <w:r w:rsidR="00116934" w:rsidRPr="00FA1E77">
        <w:rPr>
          <w:iCs/>
          <w:snapToGrid w:val="0"/>
          <w:kern w:val="22"/>
          <w:szCs w:val="22"/>
        </w:rPr>
        <w:t xml:space="preserve">Submission rates of previous national reports, at a similar point in time following the deadline for submission of the respective </w:t>
      </w:r>
      <w:r w:rsidR="009F1B08" w:rsidRPr="00FA1E77">
        <w:rPr>
          <w:iCs/>
          <w:snapToGrid w:val="0"/>
          <w:kern w:val="22"/>
          <w:szCs w:val="22"/>
        </w:rPr>
        <w:t xml:space="preserve">national </w:t>
      </w:r>
      <w:r w:rsidR="00116934" w:rsidRPr="00FA1E77">
        <w:rPr>
          <w:iCs/>
          <w:snapToGrid w:val="0"/>
          <w:kern w:val="22"/>
          <w:szCs w:val="22"/>
        </w:rPr>
        <w:t xml:space="preserve">report </w:t>
      </w:r>
      <w:r w:rsidR="0099414C" w:rsidRPr="00FA1E77">
        <w:rPr>
          <w:iCs/>
          <w:snapToGrid w:val="0"/>
          <w:kern w:val="22"/>
          <w:szCs w:val="22"/>
        </w:rPr>
        <w:t>were</w:t>
      </w:r>
      <w:r w:rsidR="00116934" w:rsidRPr="00FA1E77">
        <w:rPr>
          <w:iCs/>
          <w:snapToGrid w:val="0"/>
          <w:kern w:val="22"/>
          <w:szCs w:val="22"/>
        </w:rPr>
        <w:t xml:space="preserve"> as follows: third national report: 62</w:t>
      </w:r>
      <w:r w:rsidR="00A85349" w:rsidRPr="00FA1E77">
        <w:rPr>
          <w:iCs/>
          <w:snapToGrid w:val="0"/>
          <w:kern w:val="22"/>
          <w:szCs w:val="22"/>
        </w:rPr>
        <w:t xml:space="preserve"> per cent</w:t>
      </w:r>
      <w:r w:rsidR="00116934" w:rsidRPr="00FA1E77">
        <w:rPr>
          <w:iCs/>
          <w:snapToGrid w:val="0"/>
          <w:kern w:val="22"/>
          <w:szCs w:val="22"/>
        </w:rPr>
        <w:t>; second national report: 89</w:t>
      </w:r>
      <w:r w:rsidR="00B32378" w:rsidRPr="00FA1E77">
        <w:rPr>
          <w:iCs/>
          <w:snapToGrid w:val="0"/>
          <w:kern w:val="22"/>
          <w:szCs w:val="22"/>
        </w:rPr>
        <w:t xml:space="preserve"> </w:t>
      </w:r>
      <w:r w:rsidR="00A85349" w:rsidRPr="00FA1E77">
        <w:rPr>
          <w:iCs/>
          <w:snapToGrid w:val="0"/>
          <w:kern w:val="22"/>
          <w:szCs w:val="22"/>
        </w:rPr>
        <w:t>per cent</w:t>
      </w:r>
      <w:r w:rsidR="00116934" w:rsidRPr="00FA1E77">
        <w:rPr>
          <w:iCs/>
          <w:snapToGrid w:val="0"/>
          <w:kern w:val="22"/>
          <w:szCs w:val="22"/>
        </w:rPr>
        <w:t>; first national report: 35</w:t>
      </w:r>
      <w:r w:rsidR="00A85349" w:rsidRPr="00FA1E77">
        <w:rPr>
          <w:iCs/>
          <w:snapToGrid w:val="0"/>
          <w:kern w:val="22"/>
          <w:szCs w:val="22"/>
        </w:rPr>
        <w:t xml:space="preserve"> per cent</w:t>
      </w:r>
      <w:r w:rsidR="00116934" w:rsidRPr="00FA1E77">
        <w:rPr>
          <w:iCs/>
          <w:snapToGrid w:val="0"/>
          <w:kern w:val="22"/>
          <w:szCs w:val="22"/>
        </w:rPr>
        <w:t>; interim national report: 37</w:t>
      </w:r>
      <w:r w:rsidR="00A85349" w:rsidRPr="00FA1E77">
        <w:rPr>
          <w:iCs/>
          <w:snapToGrid w:val="0"/>
          <w:kern w:val="22"/>
          <w:szCs w:val="22"/>
        </w:rPr>
        <w:t xml:space="preserve"> per cent</w:t>
      </w:r>
      <w:r w:rsidR="00116934" w:rsidRPr="00FA1E77">
        <w:rPr>
          <w:iCs/>
          <w:snapToGrid w:val="0"/>
          <w:kern w:val="22"/>
          <w:szCs w:val="22"/>
        </w:rPr>
        <w:t>.</w:t>
      </w:r>
      <w:r w:rsidR="00116934" w:rsidRPr="00FA1E77">
        <w:rPr>
          <w:snapToGrid w:val="0"/>
          <w:kern w:val="22"/>
          <w:szCs w:val="22"/>
        </w:rPr>
        <w:t xml:space="preserve"> Further information on the reporting rate, including f</w:t>
      </w:r>
      <w:r w:rsidR="00DF079C" w:rsidRPr="00510EF6">
        <w:rPr>
          <w:snapToGrid w:val="0"/>
          <w:kern w:val="22"/>
          <w:szCs w:val="22"/>
        </w:rPr>
        <w:t xml:space="preserve">actors that may have affected the submission rates of the respective national reports is provided </w:t>
      </w:r>
      <w:r w:rsidR="0092077C" w:rsidRPr="00510EF6">
        <w:rPr>
          <w:snapToGrid w:val="0"/>
          <w:kern w:val="22"/>
          <w:szCs w:val="22"/>
        </w:rPr>
        <w:t>in document CBD/CP/CC/17/2.</w:t>
      </w:r>
    </w:p>
    <w:p w14:paraId="3B789525" w14:textId="243E340B" w:rsidR="005103DA" w:rsidRPr="00FA1E77" w:rsidRDefault="00E7067D"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Pursuant to</w:t>
      </w:r>
      <w:r w:rsidR="00182C9E" w:rsidRPr="00FA1E77">
        <w:rPr>
          <w:snapToGrid w:val="0"/>
          <w:kern w:val="22"/>
          <w:szCs w:val="22"/>
        </w:rPr>
        <w:t xml:space="preserve"> decision BS-V/1, which enabled the Committee to consider taking measures in respect of Parties that </w:t>
      </w:r>
      <w:r w:rsidR="008F272D" w:rsidRPr="00510EF6">
        <w:rPr>
          <w:snapToGrid w:val="0"/>
          <w:kern w:val="22"/>
          <w:szCs w:val="22"/>
        </w:rPr>
        <w:t>had</w:t>
      </w:r>
      <w:r w:rsidR="008F272D" w:rsidRPr="00FA1E77">
        <w:rPr>
          <w:snapToGrid w:val="0"/>
          <w:kern w:val="22"/>
          <w:szCs w:val="22"/>
        </w:rPr>
        <w:t xml:space="preserve"> </w:t>
      </w:r>
      <w:r w:rsidR="00182C9E" w:rsidRPr="00FA1E77">
        <w:rPr>
          <w:snapToGrid w:val="0"/>
          <w:kern w:val="22"/>
          <w:szCs w:val="22"/>
        </w:rPr>
        <w:t xml:space="preserve">not submitted a national report, </w:t>
      </w:r>
      <w:r w:rsidR="00175DA8" w:rsidRPr="00FA1E77">
        <w:rPr>
          <w:snapToGrid w:val="0"/>
          <w:kern w:val="22"/>
          <w:szCs w:val="22"/>
        </w:rPr>
        <w:t xml:space="preserve">the Committee has </w:t>
      </w:r>
      <w:r w:rsidR="008771A4" w:rsidRPr="00FA1E77">
        <w:rPr>
          <w:snapToGrid w:val="0"/>
          <w:kern w:val="22"/>
          <w:szCs w:val="22"/>
        </w:rPr>
        <w:t>followed</w:t>
      </w:r>
      <w:r w:rsidR="00FA0768" w:rsidRPr="00510EF6">
        <w:rPr>
          <w:snapToGrid w:val="0"/>
          <w:kern w:val="22"/>
          <w:szCs w:val="22"/>
        </w:rPr>
        <w:t xml:space="preserve"> </w:t>
      </w:r>
      <w:r w:rsidR="008771A4" w:rsidRPr="00FA1E77">
        <w:rPr>
          <w:snapToGrid w:val="0"/>
          <w:kern w:val="22"/>
          <w:szCs w:val="22"/>
        </w:rPr>
        <w:t>up with</w:t>
      </w:r>
      <w:r w:rsidR="00175DA8" w:rsidRPr="00FA1E77">
        <w:rPr>
          <w:snapToGrid w:val="0"/>
          <w:kern w:val="22"/>
          <w:szCs w:val="22"/>
        </w:rPr>
        <w:t xml:space="preserve"> Parties </w:t>
      </w:r>
      <w:r w:rsidR="008771A4" w:rsidRPr="00FA1E77">
        <w:rPr>
          <w:snapToGrid w:val="0"/>
          <w:kern w:val="22"/>
          <w:szCs w:val="22"/>
        </w:rPr>
        <w:t xml:space="preserve">that </w:t>
      </w:r>
      <w:r w:rsidR="00FA0768" w:rsidRPr="00510EF6">
        <w:rPr>
          <w:snapToGrid w:val="0"/>
          <w:kern w:val="22"/>
          <w:szCs w:val="22"/>
        </w:rPr>
        <w:t>have</w:t>
      </w:r>
      <w:r w:rsidR="00FA0768" w:rsidRPr="00FA1E77">
        <w:rPr>
          <w:snapToGrid w:val="0"/>
          <w:kern w:val="22"/>
          <w:szCs w:val="22"/>
        </w:rPr>
        <w:t xml:space="preserve"> </w:t>
      </w:r>
      <w:r w:rsidR="008771A4" w:rsidRPr="00FA1E77">
        <w:rPr>
          <w:snapToGrid w:val="0"/>
          <w:kern w:val="22"/>
          <w:szCs w:val="22"/>
        </w:rPr>
        <w:t xml:space="preserve">not complied with their reporting obligation. </w:t>
      </w:r>
      <w:r w:rsidR="00182C9E" w:rsidRPr="00FA1E77">
        <w:rPr>
          <w:snapToGrid w:val="0"/>
          <w:kern w:val="22"/>
          <w:szCs w:val="22"/>
        </w:rPr>
        <w:t xml:space="preserve">Following the submission deadline </w:t>
      </w:r>
      <w:r w:rsidR="00AB5DA4" w:rsidRPr="00FA1E77">
        <w:rPr>
          <w:snapToGrid w:val="0"/>
          <w:kern w:val="22"/>
          <w:szCs w:val="22"/>
        </w:rPr>
        <w:t xml:space="preserve">for </w:t>
      </w:r>
      <w:r w:rsidR="0064542B" w:rsidRPr="00FA1E77">
        <w:rPr>
          <w:snapToGrid w:val="0"/>
          <w:kern w:val="22"/>
          <w:szCs w:val="22"/>
        </w:rPr>
        <w:t>the</w:t>
      </w:r>
      <w:r w:rsidR="000F0FF8" w:rsidRPr="00FA1E77">
        <w:rPr>
          <w:snapToGrid w:val="0"/>
          <w:kern w:val="22"/>
          <w:szCs w:val="22"/>
        </w:rPr>
        <w:t xml:space="preserve"> </w:t>
      </w:r>
      <w:r w:rsidR="00182C9E" w:rsidRPr="00FA1E77">
        <w:rPr>
          <w:snapToGrid w:val="0"/>
          <w:kern w:val="22"/>
          <w:szCs w:val="22"/>
        </w:rPr>
        <w:t>second national report</w:t>
      </w:r>
      <w:r w:rsidR="00097E4A" w:rsidRPr="00FA1E77">
        <w:rPr>
          <w:snapToGrid w:val="0"/>
          <w:kern w:val="22"/>
          <w:szCs w:val="22"/>
        </w:rPr>
        <w:t xml:space="preserve"> (September 2011)</w:t>
      </w:r>
      <w:r w:rsidR="00182C9E" w:rsidRPr="00FA1E77">
        <w:rPr>
          <w:snapToGrid w:val="0"/>
          <w:kern w:val="22"/>
          <w:szCs w:val="22"/>
        </w:rPr>
        <w:t xml:space="preserve">, the Committee </w:t>
      </w:r>
      <w:r w:rsidR="003A1780" w:rsidRPr="00FA1E77">
        <w:rPr>
          <w:snapToGrid w:val="0"/>
          <w:kern w:val="22"/>
          <w:szCs w:val="22"/>
        </w:rPr>
        <w:t>contacted those</w:t>
      </w:r>
      <w:r w:rsidR="00182C9E" w:rsidRPr="00FA1E77">
        <w:rPr>
          <w:snapToGrid w:val="0"/>
          <w:kern w:val="22"/>
          <w:szCs w:val="22"/>
        </w:rPr>
        <w:t xml:space="preserve"> Parties that had not submitted a second national report at various instances, </w:t>
      </w:r>
      <w:r w:rsidR="001F7EE6" w:rsidRPr="00FA1E77">
        <w:rPr>
          <w:snapToGrid w:val="0"/>
          <w:kern w:val="22"/>
          <w:szCs w:val="22"/>
        </w:rPr>
        <w:t xml:space="preserve">primarily </w:t>
      </w:r>
      <w:r w:rsidR="00182C9E" w:rsidRPr="00FA1E77">
        <w:rPr>
          <w:snapToGrid w:val="0"/>
          <w:kern w:val="22"/>
          <w:szCs w:val="22"/>
        </w:rPr>
        <w:t xml:space="preserve">by way of communications from the Chair of the Committee. </w:t>
      </w:r>
      <w:r w:rsidR="0010482C" w:rsidRPr="00FA1E77">
        <w:rPr>
          <w:snapToGrid w:val="0"/>
          <w:kern w:val="22"/>
          <w:szCs w:val="22"/>
        </w:rPr>
        <w:t xml:space="preserve">Individual members of the Committee also </w:t>
      </w:r>
      <w:r w:rsidR="002D7DDA" w:rsidRPr="00FA1E77">
        <w:rPr>
          <w:snapToGrid w:val="0"/>
          <w:kern w:val="22"/>
          <w:szCs w:val="22"/>
        </w:rPr>
        <w:t xml:space="preserve">informally </w:t>
      </w:r>
      <w:r w:rsidR="0010482C" w:rsidRPr="00FA1E77">
        <w:rPr>
          <w:snapToGrid w:val="0"/>
          <w:kern w:val="22"/>
          <w:szCs w:val="22"/>
        </w:rPr>
        <w:t>followed</w:t>
      </w:r>
      <w:r w:rsidR="00FA0768" w:rsidRPr="00510EF6">
        <w:rPr>
          <w:snapToGrid w:val="0"/>
          <w:kern w:val="22"/>
          <w:szCs w:val="22"/>
        </w:rPr>
        <w:t xml:space="preserve"> </w:t>
      </w:r>
      <w:r w:rsidR="0010482C" w:rsidRPr="00FA1E77">
        <w:rPr>
          <w:snapToGrid w:val="0"/>
          <w:kern w:val="22"/>
          <w:szCs w:val="22"/>
        </w:rPr>
        <w:t>up with Parties concerned in their respective region.</w:t>
      </w:r>
      <w:r w:rsidR="008C6C9A" w:rsidRPr="00FA1E77">
        <w:rPr>
          <w:rStyle w:val="FootnoteReference"/>
          <w:snapToGrid w:val="0"/>
          <w:kern w:val="22"/>
          <w:sz w:val="22"/>
          <w:szCs w:val="22"/>
          <w:u w:val="none"/>
          <w:vertAlign w:val="superscript"/>
        </w:rPr>
        <w:footnoteReference w:id="8"/>
      </w:r>
      <w:r w:rsidR="00AD13C4" w:rsidRPr="00FA1E77">
        <w:rPr>
          <w:snapToGrid w:val="0"/>
          <w:kern w:val="22"/>
          <w:szCs w:val="22"/>
        </w:rPr>
        <w:t xml:space="preserve"> </w:t>
      </w:r>
      <w:r w:rsidR="0010482C" w:rsidRPr="00FA1E77">
        <w:rPr>
          <w:snapToGrid w:val="0"/>
          <w:kern w:val="22"/>
          <w:szCs w:val="22"/>
        </w:rPr>
        <w:t>By May 2015</w:t>
      </w:r>
      <w:r w:rsidR="001F7EE6" w:rsidRPr="00FA1E77">
        <w:rPr>
          <w:snapToGrid w:val="0"/>
          <w:kern w:val="22"/>
          <w:szCs w:val="22"/>
        </w:rPr>
        <w:t xml:space="preserve">, </w:t>
      </w:r>
      <w:r w:rsidR="002D23D3" w:rsidRPr="00FA1E77">
        <w:rPr>
          <w:snapToGrid w:val="0"/>
          <w:kern w:val="22"/>
          <w:szCs w:val="22"/>
        </w:rPr>
        <w:t xml:space="preserve">the submission rate had </w:t>
      </w:r>
      <w:r w:rsidR="00AC1DB3" w:rsidRPr="00FA1E77">
        <w:rPr>
          <w:snapToGrid w:val="0"/>
          <w:kern w:val="22"/>
          <w:szCs w:val="22"/>
        </w:rPr>
        <w:t xml:space="preserve">increased to </w:t>
      </w:r>
      <w:r w:rsidR="002D23D3" w:rsidRPr="00FA1E77">
        <w:rPr>
          <w:snapToGrid w:val="0"/>
          <w:kern w:val="22"/>
          <w:szCs w:val="22"/>
        </w:rPr>
        <w:t>95</w:t>
      </w:r>
      <w:r w:rsidR="00A85349" w:rsidRPr="00FA1E77">
        <w:rPr>
          <w:iCs/>
          <w:snapToGrid w:val="0"/>
          <w:kern w:val="22"/>
          <w:szCs w:val="22"/>
        </w:rPr>
        <w:t xml:space="preserve"> per cent</w:t>
      </w:r>
      <w:r w:rsidR="002D23D3" w:rsidRPr="00FA1E77">
        <w:rPr>
          <w:snapToGrid w:val="0"/>
          <w:kern w:val="22"/>
          <w:szCs w:val="22"/>
        </w:rPr>
        <w:t xml:space="preserve"> (153 of the 161 Parties </w:t>
      </w:r>
      <w:r w:rsidR="00FF7933" w:rsidRPr="00510EF6">
        <w:rPr>
          <w:snapToGrid w:val="0"/>
          <w:kern w:val="22"/>
          <w:szCs w:val="22"/>
        </w:rPr>
        <w:t xml:space="preserve">had </w:t>
      </w:r>
      <w:r w:rsidR="002D23D3" w:rsidRPr="00FA1E77">
        <w:rPr>
          <w:snapToGrid w:val="0"/>
          <w:kern w:val="22"/>
          <w:szCs w:val="22"/>
        </w:rPr>
        <w:t>submitted their second national report)</w:t>
      </w:r>
      <w:r w:rsidR="00AC1DB3" w:rsidRPr="00FA1E77">
        <w:rPr>
          <w:snapToGrid w:val="0"/>
          <w:kern w:val="22"/>
          <w:szCs w:val="22"/>
        </w:rPr>
        <w:t xml:space="preserve"> and has remained unchanged t</w:t>
      </w:r>
      <w:r w:rsidR="002D23D3" w:rsidRPr="00FA1E77">
        <w:rPr>
          <w:snapToGrid w:val="0"/>
          <w:kern w:val="22"/>
          <w:szCs w:val="22"/>
        </w:rPr>
        <w:t>o date</w:t>
      </w:r>
      <w:r w:rsidR="00857BD3" w:rsidRPr="00FA1E77">
        <w:rPr>
          <w:snapToGrid w:val="0"/>
          <w:kern w:val="22"/>
          <w:szCs w:val="22"/>
        </w:rPr>
        <w:t>.</w:t>
      </w:r>
    </w:p>
    <w:p w14:paraId="4FBF1C64" w14:textId="7A06286E" w:rsidR="005103DA" w:rsidRPr="00FA1E77" w:rsidRDefault="003A1780"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 xml:space="preserve">At its thirteenth meeting, </w:t>
      </w:r>
      <w:r w:rsidR="002E6B15" w:rsidRPr="00FA1E77">
        <w:rPr>
          <w:snapToGrid w:val="0"/>
          <w:kern w:val="22"/>
          <w:szCs w:val="22"/>
        </w:rPr>
        <w:t>the Committee reviewed compliance by Parties with their reporting obligation on the basis of a review of the submission of third national reports</w:t>
      </w:r>
      <w:r w:rsidR="009016DF" w:rsidRPr="00FA1E77">
        <w:rPr>
          <w:snapToGrid w:val="0"/>
          <w:kern w:val="22"/>
          <w:szCs w:val="22"/>
        </w:rPr>
        <w:t>, which were due in October 2015</w:t>
      </w:r>
      <w:r w:rsidR="002E6B15" w:rsidRPr="00FA1E77">
        <w:rPr>
          <w:snapToGrid w:val="0"/>
          <w:kern w:val="22"/>
          <w:szCs w:val="22"/>
        </w:rPr>
        <w:t>. T</w:t>
      </w:r>
      <w:r w:rsidR="009E2A55" w:rsidRPr="00FA1E77">
        <w:rPr>
          <w:snapToGrid w:val="0"/>
          <w:kern w:val="22"/>
          <w:szCs w:val="22"/>
        </w:rPr>
        <w:t xml:space="preserve">he Committee </w:t>
      </w:r>
      <w:r w:rsidR="002E6B15" w:rsidRPr="00FA1E77">
        <w:rPr>
          <w:snapToGrid w:val="0"/>
          <w:kern w:val="22"/>
          <w:szCs w:val="22"/>
        </w:rPr>
        <w:t>requested the Secretariat to follow</w:t>
      </w:r>
      <w:r w:rsidR="00D335FE" w:rsidRPr="00510EF6">
        <w:rPr>
          <w:snapToGrid w:val="0"/>
          <w:kern w:val="22"/>
          <w:szCs w:val="22"/>
        </w:rPr>
        <w:t xml:space="preserve"> </w:t>
      </w:r>
      <w:r w:rsidR="002E6B15" w:rsidRPr="00FA1E77">
        <w:rPr>
          <w:snapToGrid w:val="0"/>
          <w:kern w:val="22"/>
          <w:szCs w:val="22"/>
        </w:rPr>
        <w:t xml:space="preserve">up with Parties that had not submitted their third national report. </w:t>
      </w:r>
      <w:r w:rsidR="009E2A55" w:rsidRPr="00FA1E77">
        <w:rPr>
          <w:snapToGrid w:val="0"/>
          <w:kern w:val="22"/>
          <w:szCs w:val="22"/>
        </w:rPr>
        <w:t xml:space="preserve">In addition, in respect of </w:t>
      </w:r>
      <w:r w:rsidR="001F316A" w:rsidRPr="00FA1E77">
        <w:rPr>
          <w:snapToGrid w:val="0"/>
          <w:kern w:val="22"/>
          <w:szCs w:val="22"/>
        </w:rPr>
        <w:t>three</w:t>
      </w:r>
      <w:r w:rsidR="009E2A55" w:rsidRPr="00FA1E77">
        <w:rPr>
          <w:snapToGrid w:val="0"/>
          <w:kern w:val="22"/>
          <w:szCs w:val="22"/>
        </w:rPr>
        <w:t xml:space="preserve"> Parties that had not submitted their third national report</w:t>
      </w:r>
      <w:r w:rsidR="007B71FD" w:rsidRPr="00FA1E77">
        <w:rPr>
          <w:snapToGrid w:val="0"/>
          <w:kern w:val="22"/>
          <w:szCs w:val="22"/>
        </w:rPr>
        <w:t xml:space="preserve"> that </w:t>
      </w:r>
      <w:r w:rsidR="007B71FD" w:rsidRPr="00FA1E77">
        <w:rPr>
          <w:snapToGrid w:val="0"/>
          <w:kern w:val="22"/>
          <w:szCs w:val="22"/>
        </w:rPr>
        <w:lastRenderedPageBreak/>
        <w:t>had</w:t>
      </w:r>
      <w:r w:rsidR="002E6B15" w:rsidRPr="00FA1E77">
        <w:rPr>
          <w:snapToGrid w:val="0"/>
          <w:kern w:val="22"/>
          <w:szCs w:val="22"/>
        </w:rPr>
        <w:t xml:space="preserve"> also not submitted any previous national report, </w:t>
      </w:r>
      <w:r w:rsidR="009E2A55" w:rsidRPr="00FA1E77">
        <w:rPr>
          <w:snapToGrid w:val="0"/>
          <w:kern w:val="22"/>
          <w:szCs w:val="22"/>
        </w:rPr>
        <w:t xml:space="preserve">the Committee </w:t>
      </w:r>
      <w:r w:rsidR="0062225F" w:rsidRPr="00510EF6">
        <w:rPr>
          <w:snapToGrid w:val="0"/>
          <w:kern w:val="22"/>
          <w:szCs w:val="22"/>
        </w:rPr>
        <w:t xml:space="preserve">at its eighth meeting </w:t>
      </w:r>
      <w:r w:rsidR="009E2A55" w:rsidRPr="00FA1E77">
        <w:rPr>
          <w:snapToGrid w:val="0"/>
          <w:kern w:val="22"/>
          <w:szCs w:val="22"/>
        </w:rPr>
        <w:t xml:space="preserve">recommended </w:t>
      </w:r>
      <w:r w:rsidR="0062225F" w:rsidRPr="00510EF6">
        <w:rPr>
          <w:snapToGrid w:val="0"/>
          <w:kern w:val="22"/>
          <w:szCs w:val="22"/>
        </w:rPr>
        <w:t xml:space="preserve">that </w:t>
      </w:r>
      <w:r w:rsidR="009E2A55" w:rsidRPr="00FA1E77">
        <w:rPr>
          <w:snapToGrid w:val="0"/>
          <w:kern w:val="22"/>
          <w:szCs w:val="22"/>
        </w:rPr>
        <w:t xml:space="preserve">the </w:t>
      </w:r>
      <w:r w:rsidR="00D628E8" w:rsidRPr="00FA1E77">
        <w:rPr>
          <w:snapToGrid w:val="0"/>
          <w:kern w:val="22"/>
          <w:szCs w:val="22"/>
        </w:rPr>
        <w:t>Conference of the Parties serving as the meeting of the Parties to the Protocol</w:t>
      </w:r>
      <w:r w:rsidR="009E2A55" w:rsidRPr="00FA1E77">
        <w:rPr>
          <w:snapToGrid w:val="0"/>
          <w:kern w:val="22"/>
          <w:szCs w:val="22"/>
        </w:rPr>
        <w:t xml:space="preserve"> caution those </w:t>
      </w:r>
      <w:r w:rsidR="00924BCD" w:rsidRPr="00FA1E77">
        <w:rPr>
          <w:snapToGrid w:val="0"/>
          <w:kern w:val="22"/>
          <w:szCs w:val="22"/>
        </w:rPr>
        <w:t>P</w:t>
      </w:r>
      <w:r w:rsidR="009E2A55" w:rsidRPr="00FA1E77">
        <w:rPr>
          <w:snapToGrid w:val="0"/>
          <w:kern w:val="22"/>
          <w:szCs w:val="22"/>
        </w:rPr>
        <w:t>arties</w:t>
      </w:r>
      <w:r w:rsidR="002E6B15" w:rsidRPr="00FA1E77">
        <w:rPr>
          <w:snapToGrid w:val="0"/>
          <w:kern w:val="22"/>
          <w:szCs w:val="22"/>
        </w:rPr>
        <w:t xml:space="preserve"> for failure to comply with their reporting obligation, in accordance with section VI, paragraph 3(b)</w:t>
      </w:r>
      <w:r w:rsidR="00D26EE7" w:rsidRPr="00510EF6">
        <w:rPr>
          <w:snapToGrid w:val="0"/>
          <w:kern w:val="22"/>
          <w:szCs w:val="22"/>
        </w:rPr>
        <w:t>,</w:t>
      </w:r>
      <w:r w:rsidR="002E6B15" w:rsidRPr="00FA1E77">
        <w:rPr>
          <w:snapToGrid w:val="0"/>
          <w:kern w:val="22"/>
          <w:szCs w:val="22"/>
        </w:rPr>
        <w:t xml:space="preserve"> of the procedures and mechanisms on compliance</w:t>
      </w:r>
      <w:r w:rsidR="00AD13C4" w:rsidRPr="00FA1E77">
        <w:rPr>
          <w:snapToGrid w:val="0"/>
          <w:kern w:val="22"/>
          <w:szCs w:val="22"/>
        </w:rPr>
        <w:t xml:space="preserve"> (decision BS-I/7, </w:t>
      </w:r>
      <w:r w:rsidR="00C160A4" w:rsidRPr="00FA1E77">
        <w:rPr>
          <w:snapToGrid w:val="0"/>
          <w:kern w:val="22"/>
          <w:szCs w:val="22"/>
        </w:rPr>
        <w:t>a</w:t>
      </w:r>
      <w:r w:rsidR="00AD13C4" w:rsidRPr="00FA1E77">
        <w:rPr>
          <w:snapToGrid w:val="0"/>
          <w:kern w:val="22"/>
          <w:szCs w:val="22"/>
        </w:rPr>
        <w:t>nnex)</w:t>
      </w:r>
      <w:r w:rsidR="002E6B15" w:rsidRPr="00FA1E77">
        <w:rPr>
          <w:snapToGrid w:val="0"/>
          <w:kern w:val="22"/>
          <w:szCs w:val="22"/>
        </w:rPr>
        <w:t>.</w:t>
      </w:r>
      <w:r w:rsidR="002E6B15" w:rsidRPr="00FA1E77">
        <w:rPr>
          <w:rStyle w:val="FootnoteReference"/>
          <w:snapToGrid w:val="0"/>
          <w:kern w:val="22"/>
          <w:sz w:val="22"/>
          <w:szCs w:val="22"/>
          <w:u w:val="none"/>
          <w:vertAlign w:val="superscript"/>
        </w:rPr>
        <w:footnoteReference w:id="9"/>
      </w:r>
      <w:r w:rsidR="002E6B15" w:rsidRPr="00FA1E77">
        <w:rPr>
          <w:snapToGrid w:val="0"/>
          <w:kern w:val="22"/>
          <w:szCs w:val="22"/>
        </w:rPr>
        <w:t xml:space="preserve"> </w:t>
      </w:r>
      <w:r w:rsidR="00924BCD" w:rsidRPr="00FA1E77">
        <w:rPr>
          <w:snapToGrid w:val="0"/>
          <w:kern w:val="22"/>
          <w:szCs w:val="22"/>
        </w:rPr>
        <w:t xml:space="preserve">By the time the </w:t>
      </w:r>
      <w:r w:rsidR="00873F6D" w:rsidRPr="00510EF6">
        <w:rPr>
          <w:kern w:val="22"/>
          <w:szCs w:val="22"/>
        </w:rPr>
        <w:t>Conference of the Parties serving as the meeting of the Parties to the Protocol</w:t>
      </w:r>
      <w:r w:rsidR="00873F6D" w:rsidRPr="00FA1E77" w:rsidDel="00873F6D">
        <w:rPr>
          <w:snapToGrid w:val="0"/>
          <w:kern w:val="22"/>
          <w:szCs w:val="22"/>
        </w:rPr>
        <w:t xml:space="preserve"> </w:t>
      </w:r>
      <w:r w:rsidR="00924BCD" w:rsidRPr="00FA1E77">
        <w:rPr>
          <w:snapToGrid w:val="0"/>
          <w:kern w:val="22"/>
          <w:szCs w:val="22"/>
        </w:rPr>
        <w:t xml:space="preserve">considered the issue, two of these Parties had submitted their third national report. The </w:t>
      </w:r>
      <w:r w:rsidR="001D4DDD" w:rsidRPr="00510EF6">
        <w:rPr>
          <w:kern w:val="22"/>
          <w:szCs w:val="22"/>
        </w:rPr>
        <w:t>Conference of the Parties serving as the meeting of the Parties to the Protocol</w:t>
      </w:r>
      <w:r w:rsidR="001D4DDD" w:rsidRPr="00FA1E77" w:rsidDel="001D4DDD">
        <w:rPr>
          <w:snapToGrid w:val="0"/>
          <w:kern w:val="22"/>
          <w:szCs w:val="22"/>
        </w:rPr>
        <w:t xml:space="preserve"> </w:t>
      </w:r>
      <w:r w:rsidR="00924BCD" w:rsidRPr="00FA1E77">
        <w:rPr>
          <w:snapToGrid w:val="0"/>
          <w:kern w:val="22"/>
          <w:szCs w:val="22"/>
        </w:rPr>
        <w:t>did not issue the caution to the remaining Party (Marshall Islands).</w:t>
      </w:r>
    </w:p>
    <w:p w14:paraId="42CE1101" w14:textId="079CF049" w:rsidR="005103DA" w:rsidRPr="00FA1E77" w:rsidRDefault="001F316A"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 xml:space="preserve">At its fourteenth meeting, the Committee </w:t>
      </w:r>
      <w:r w:rsidR="001B4953" w:rsidRPr="00FA1E77">
        <w:rPr>
          <w:snapToGrid w:val="0"/>
          <w:kern w:val="22"/>
          <w:szCs w:val="22"/>
        </w:rPr>
        <w:t>stated</w:t>
      </w:r>
      <w:r w:rsidRPr="00FA1E77">
        <w:rPr>
          <w:snapToGrid w:val="0"/>
          <w:kern w:val="22"/>
          <w:szCs w:val="22"/>
        </w:rPr>
        <w:t xml:space="preserve"> that the caution, although it had not been taken up by the </w:t>
      </w:r>
      <w:r w:rsidR="001D4DDD" w:rsidRPr="00510EF6">
        <w:rPr>
          <w:kern w:val="22"/>
          <w:szCs w:val="22"/>
        </w:rPr>
        <w:t>Conference of the Parties serving as the meeting of the Parties to the Protocol</w:t>
      </w:r>
      <w:r w:rsidRPr="00FA1E77">
        <w:rPr>
          <w:snapToGrid w:val="0"/>
          <w:kern w:val="22"/>
          <w:szCs w:val="22"/>
        </w:rPr>
        <w:t>, had nevertheless been very useful and had likely encouraged two of the Parties concerned to submit their third national report.</w:t>
      </w:r>
      <w:r w:rsidR="004B3417" w:rsidRPr="00FA1E77">
        <w:rPr>
          <w:snapToGrid w:val="0"/>
          <w:kern w:val="22"/>
          <w:szCs w:val="22"/>
        </w:rPr>
        <w:t xml:space="preserve"> The Committee agreed that informal follow-up with the </w:t>
      </w:r>
      <w:r w:rsidR="00B06B2E" w:rsidRPr="00FA1E77">
        <w:rPr>
          <w:snapToGrid w:val="0"/>
          <w:kern w:val="22"/>
          <w:szCs w:val="22"/>
        </w:rPr>
        <w:t xml:space="preserve">Marshall Islands </w:t>
      </w:r>
      <w:r w:rsidR="004B3417" w:rsidRPr="00FA1E77">
        <w:rPr>
          <w:snapToGrid w:val="0"/>
          <w:kern w:val="22"/>
          <w:szCs w:val="22"/>
        </w:rPr>
        <w:t>could be bene</w:t>
      </w:r>
      <w:r w:rsidR="00A221A5" w:rsidRPr="00FA1E77">
        <w:rPr>
          <w:snapToGrid w:val="0"/>
          <w:kern w:val="22"/>
          <w:szCs w:val="22"/>
        </w:rPr>
        <w:t>f</w:t>
      </w:r>
      <w:r w:rsidR="004B3417" w:rsidRPr="00FA1E77">
        <w:rPr>
          <w:snapToGrid w:val="0"/>
          <w:kern w:val="22"/>
          <w:szCs w:val="22"/>
        </w:rPr>
        <w:t>i</w:t>
      </w:r>
      <w:r w:rsidR="00A221A5" w:rsidRPr="00FA1E77">
        <w:rPr>
          <w:snapToGrid w:val="0"/>
          <w:kern w:val="22"/>
          <w:szCs w:val="22"/>
        </w:rPr>
        <w:t>ci</w:t>
      </w:r>
      <w:r w:rsidR="004B3417" w:rsidRPr="00FA1E77">
        <w:rPr>
          <w:snapToGrid w:val="0"/>
          <w:kern w:val="22"/>
          <w:szCs w:val="22"/>
        </w:rPr>
        <w:t>al.</w:t>
      </w:r>
    </w:p>
    <w:p w14:paraId="0E9EFD4A" w14:textId="78D2CFD4" w:rsidR="005103DA" w:rsidRPr="00FA1E77" w:rsidRDefault="00924BCD"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In addition, t</w:t>
      </w:r>
      <w:r w:rsidR="00374C5D" w:rsidRPr="00FA1E77">
        <w:rPr>
          <w:snapToGrid w:val="0"/>
          <w:kern w:val="22"/>
          <w:szCs w:val="22"/>
        </w:rPr>
        <w:t xml:space="preserve">he Committee decided that its Chair would send a letter to the Ministry of Foreign Affairs of </w:t>
      </w:r>
      <w:r w:rsidR="00E1292F" w:rsidRPr="00FA1E77">
        <w:rPr>
          <w:snapToGrid w:val="0"/>
          <w:kern w:val="22"/>
          <w:szCs w:val="22"/>
        </w:rPr>
        <w:t xml:space="preserve">three </w:t>
      </w:r>
      <w:r w:rsidR="00374C5D" w:rsidRPr="00FA1E77">
        <w:rPr>
          <w:snapToGrid w:val="0"/>
          <w:kern w:val="22"/>
          <w:szCs w:val="22"/>
        </w:rPr>
        <w:t xml:space="preserve">Parties </w:t>
      </w:r>
      <w:r w:rsidR="00B06B2E" w:rsidRPr="00FA1E77">
        <w:rPr>
          <w:snapToGrid w:val="0"/>
          <w:kern w:val="22"/>
          <w:szCs w:val="22"/>
        </w:rPr>
        <w:t xml:space="preserve">(Greece, Montenegro, Turkmenistan) </w:t>
      </w:r>
      <w:r w:rsidR="00374C5D" w:rsidRPr="00FA1E77">
        <w:rPr>
          <w:snapToGrid w:val="0"/>
          <w:kern w:val="22"/>
          <w:szCs w:val="22"/>
        </w:rPr>
        <w:t xml:space="preserve">that had not submitted a third </w:t>
      </w:r>
      <w:r w:rsidR="0021190D" w:rsidRPr="00510EF6">
        <w:rPr>
          <w:snapToGrid w:val="0"/>
          <w:kern w:val="22"/>
          <w:szCs w:val="22"/>
        </w:rPr>
        <w:t>or</w:t>
      </w:r>
      <w:r w:rsidR="0021190D" w:rsidRPr="00FA1E77">
        <w:rPr>
          <w:snapToGrid w:val="0"/>
          <w:kern w:val="22"/>
          <w:szCs w:val="22"/>
        </w:rPr>
        <w:t xml:space="preserve"> </w:t>
      </w:r>
      <w:r w:rsidR="00374C5D" w:rsidRPr="00FA1E77">
        <w:rPr>
          <w:snapToGrid w:val="0"/>
          <w:kern w:val="22"/>
          <w:szCs w:val="22"/>
        </w:rPr>
        <w:t xml:space="preserve">a second national </w:t>
      </w:r>
      <w:r w:rsidR="00E1292F" w:rsidRPr="00FA1E77">
        <w:rPr>
          <w:snapToGrid w:val="0"/>
          <w:kern w:val="22"/>
          <w:szCs w:val="22"/>
        </w:rPr>
        <w:t xml:space="preserve">report as a follow-up </w:t>
      </w:r>
      <w:r w:rsidR="0021190D" w:rsidRPr="00510EF6">
        <w:rPr>
          <w:snapToGrid w:val="0"/>
          <w:kern w:val="22"/>
          <w:szCs w:val="22"/>
        </w:rPr>
        <w:t>to</w:t>
      </w:r>
      <w:r w:rsidR="0021190D" w:rsidRPr="00FA1E77">
        <w:rPr>
          <w:snapToGrid w:val="0"/>
          <w:kern w:val="22"/>
          <w:szCs w:val="22"/>
        </w:rPr>
        <w:t xml:space="preserve"> </w:t>
      </w:r>
      <w:r w:rsidR="00E1292F" w:rsidRPr="00FA1E77">
        <w:rPr>
          <w:snapToGrid w:val="0"/>
          <w:kern w:val="22"/>
          <w:szCs w:val="22"/>
        </w:rPr>
        <w:t xml:space="preserve">previous communications addressed </w:t>
      </w:r>
      <w:r w:rsidR="007B71FD" w:rsidRPr="00FA1E77">
        <w:rPr>
          <w:snapToGrid w:val="0"/>
          <w:kern w:val="22"/>
          <w:szCs w:val="22"/>
        </w:rPr>
        <w:t xml:space="preserve">to </w:t>
      </w:r>
      <w:r w:rsidR="00E1292F" w:rsidRPr="00FA1E77">
        <w:rPr>
          <w:snapToGrid w:val="0"/>
          <w:kern w:val="22"/>
          <w:szCs w:val="22"/>
        </w:rPr>
        <w:t>the national focal points of these Parties</w:t>
      </w:r>
      <w:r w:rsidR="00104874" w:rsidRPr="00FA1E77">
        <w:rPr>
          <w:snapToGrid w:val="0"/>
          <w:kern w:val="22"/>
          <w:szCs w:val="22"/>
        </w:rPr>
        <w:t>. It furthermore</w:t>
      </w:r>
      <w:r w:rsidR="00E1292F" w:rsidRPr="00FA1E77">
        <w:rPr>
          <w:snapToGrid w:val="0"/>
          <w:kern w:val="22"/>
          <w:szCs w:val="22"/>
        </w:rPr>
        <w:t xml:space="preserve"> decided that the Chair would send a letter to the national focal points of those Parties that had not submitted their third national report reminding them of their obligation to do so.</w:t>
      </w:r>
    </w:p>
    <w:p w14:paraId="0D638486" w14:textId="79CBB9B7" w:rsidR="005103DA" w:rsidRPr="00FA1E77" w:rsidRDefault="00B9108C"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 xml:space="preserve">At its </w:t>
      </w:r>
      <w:r w:rsidR="007C34C5" w:rsidRPr="00FA1E77">
        <w:rPr>
          <w:snapToGrid w:val="0"/>
          <w:kern w:val="22"/>
          <w:szCs w:val="22"/>
        </w:rPr>
        <w:t>fif</w:t>
      </w:r>
      <w:r w:rsidRPr="00FA1E77">
        <w:rPr>
          <w:snapToGrid w:val="0"/>
          <w:kern w:val="22"/>
          <w:szCs w:val="22"/>
        </w:rPr>
        <w:t>teenth meeting</w:t>
      </w:r>
      <w:r w:rsidR="007C34C5" w:rsidRPr="00FA1E77">
        <w:rPr>
          <w:snapToGrid w:val="0"/>
          <w:kern w:val="22"/>
          <w:szCs w:val="22"/>
        </w:rPr>
        <w:t>, the Committee decided that its Chair would send a follow-up letter to those 23 Parties that had still not submitted their third national report.</w:t>
      </w:r>
      <w:r w:rsidR="007C34C5" w:rsidRPr="00FA1E77">
        <w:rPr>
          <w:rStyle w:val="FootnoteReference"/>
          <w:snapToGrid w:val="0"/>
          <w:kern w:val="22"/>
          <w:sz w:val="22"/>
          <w:szCs w:val="22"/>
          <w:u w:val="none"/>
          <w:vertAlign w:val="superscript"/>
        </w:rPr>
        <w:footnoteReference w:id="10"/>
      </w:r>
      <w:r w:rsidR="00E3398D" w:rsidRPr="00FA1E77">
        <w:rPr>
          <w:snapToGrid w:val="0"/>
          <w:kern w:val="22"/>
          <w:szCs w:val="22"/>
        </w:rPr>
        <w:t xml:space="preserve"> The Committee also decided to recommend to the </w:t>
      </w:r>
      <w:r w:rsidR="001D4DDD" w:rsidRPr="00510EF6">
        <w:rPr>
          <w:kern w:val="22"/>
          <w:szCs w:val="22"/>
        </w:rPr>
        <w:t>Conference of the Parties serving as the meeting of the Parties to the Protocol</w:t>
      </w:r>
      <w:r w:rsidR="00E3398D" w:rsidRPr="00FA1E77">
        <w:rPr>
          <w:snapToGrid w:val="0"/>
          <w:kern w:val="22"/>
          <w:szCs w:val="22"/>
        </w:rPr>
        <w:t xml:space="preserve">, at its ninth meeting, </w:t>
      </w:r>
      <w:r w:rsidR="006A5F8F" w:rsidRPr="00FA1E77">
        <w:rPr>
          <w:snapToGrid w:val="0"/>
          <w:kern w:val="22"/>
          <w:szCs w:val="22"/>
        </w:rPr>
        <w:t xml:space="preserve">that it </w:t>
      </w:r>
      <w:r w:rsidR="00E3398D" w:rsidRPr="00FA1E77">
        <w:rPr>
          <w:snapToGrid w:val="0"/>
          <w:kern w:val="22"/>
          <w:szCs w:val="22"/>
        </w:rPr>
        <w:t xml:space="preserve">issue a caution to Greece, the Marshall Islands, Montenegro and Turkmenistan for failure to submit multiple national reports. By the time the </w:t>
      </w:r>
      <w:r w:rsidR="001D4DDD" w:rsidRPr="00510EF6">
        <w:rPr>
          <w:kern w:val="22"/>
          <w:szCs w:val="22"/>
        </w:rPr>
        <w:t>Conference of the Parties serving as the meeting of the Parties to the Protocol</w:t>
      </w:r>
      <w:r w:rsidR="001D4DDD" w:rsidRPr="00FA1E77" w:rsidDel="001D4DDD">
        <w:rPr>
          <w:snapToGrid w:val="0"/>
          <w:kern w:val="22"/>
          <w:szCs w:val="22"/>
        </w:rPr>
        <w:t xml:space="preserve"> </w:t>
      </w:r>
      <w:r w:rsidR="00E3398D" w:rsidRPr="00FA1E77">
        <w:rPr>
          <w:snapToGrid w:val="0"/>
          <w:kern w:val="22"/>
          <w:szCs w:val="22"/>
        </w:rPr>
        <w:t xml:space="preserve">considered the issue, three of these Parties had submitted their third national report. The </w:t>
      </w:r>
      <w:r w:rsidR="001D4DDD" w:rsidRPr="00510EF6">
        <w:rPr>
          <w:kern w:val="22"/>
          <w:szCs w:val="22"/>
        </w:rPr>
        <w:t>Conference of the Parties serving as the meeting of the Parties to the Protocol</w:t>
      </w:r>
      <w:r w:rsidR="001D4DDD" w:rsidRPr="00FA1E77" w:rsidDel="001D4DDD">
        <w:rPr>
          <w:snapToGrid w:val="0"/>
          <w:kern w:val="22"/>
          <w:szCs w:val="22"/>
        </w:rPr>
        <w:t xml:space="preserve"> </w:t>
      </w:r>
      <w:r w:rsidR="00E3398D" w:rsidRPr="00FA1E77">
        <w:rPr>
          <w:snapToGrid w:val="0"/>
          <w:kern w:val="22"/>
          <w:szCs w:val="22"/>
        </w:rPr>
        <w:t>did not issue the caution to the remaining Party (Montenegro).</w:t>
      </w:r>
    </w:p>
    <w:p w14:paraId="6E11AC11" w14:textId="30346248" w:rsidR="005103DA" w:rsidRPr="00FA1E77" w:rsidRDefault="00732295" w:rsidP="00FA1E77">
      <w:pPr>
        <w:numPr>
          <w:ilvl w:val="0"/>
          <w:numId w:val="17"/>
        </w:numPr>
        <w:suppressLineNumbers/>
        <w:tabs>
          <w:tab w:val="clear" w:pos="644"/>
        </w:tabs>
        <w:suppressAutoHyphens/>
        <w:spacing w:before="120" w:after="120"/>
        <w:ind w:left="0"/>
        <w:rPr>
          <w:snapToGrid w:val="0"/>
          <w:kern w:val="22"/>
          <w:szCs w:val="22"/>
        </w:rPr>
      </w:pPr>
      <w:r w:rsidRPr="00510EF6">
        <w:rPr>
          <w:snapToGrid w:val="0"/>
          <w:kern w:val="22"/>
          <w:szCs w:val="22"/>
        </w:rPr>
        <w:t>By the</w:t>
      </w:r>
      <w:r w:rsidR="00D14364" w:rsidRPr="00FA1E77">
        <w:rPr>
          <w:snapToGrid w:val="0"/>
          <w:kern w:val="22"/>
          <w:szCs w:val="22"/>
        </w:rPr>
        <w:t xml:space="preserve"> sixteenth meeting</w:t>
      </w:r>
      <w:r w:rsidRPr="00510EF6">
        <w:rPr>
          <w:snapToGrid w:val="0"/>
          <w:kern w:val="22"/>
          <w:szCs w:val="22"/>
        </w:rPr>
        <w:t xml:space="preserve"> of the Committee</w:t>
      </w:r>
      <w:r w:rsidR="00D14364" w:rsidRPr="00FA1E77">
        <w:rPr>
          <w:snapToGrid w:val="0"/>
          <w:kern w:val="22"/>
          <w:szCs w:val="22"/>
        </w:rPr>
        <w:t>, a total of 17 third national reports were outstanding. The Committee decided to consider the matter at its seventeenth meeting in the context of the review of compliance by Parties with their obligation to submit a fourth national report.</w:t>
      </w:r>
      <w:r w:rsidR="00A87268" w:rsidRPr="00FA1E77">
        <w:rPr>
          <w:rStyle w:val="FootnoteReference"/>
          <w:snapToGrid w:val="0"/>
          <w:kern w:val="22"/>
          <w:sz w:val="22"/>
          <w:szCs w:val="22"/>
          <w:u w:val="none"/>
          <w:vertAlign w:val="superscript"/>
        </w:rPr>
        <w:footnoteReference w:id="11"/>
      </w:r>
      <w:r w:rsidR="00D14364" w:rsidRPr="00FA1E77">
        <w:rPr>
          <w:snapToGrid w:val="0"/>
          <w:kern w:val="22"/>
          <w:szCs w:val="22"/>
          <w:vertAlign w:val="superscript"/>
        </w:rPr>
        <w:t xml:space="preserve"> </w:t>
      </w:r>
      <w:r w:rsidR="00D14364" w:rsidRPr="00FA1E77">
        <w:rPr>
          <w:snapToGrid w:val="0"/>
          <w:kern w:val="22"/>
          <w:szCs w:val="22"/>
        </w:rPr>
        <w:t xml:space="preserve">Furthermore, the Committee decided that its Chair </w:t>
      </w:r>
      <w:r w:rsidR="001B4953" w:rsidRPr="00FA1E77">
        <w:rPr>
          <w:snapToGrid w:val="0"/>
          <w:kern w:val="22"/>
          <w:szCs w:val="22"/>
        </w:rPr>
        <w:t xml:space="preserve">would </w:t>
      </w:r>
      <w:r w:rsidR="00D14364" w:rsidRPr="00FA1E77">
        <w:rPr>
          <w:snapToGrid w:val="0"/>
          <w:kern w:val="22"/>
          <w:szCs w:val="22"/>
        </w:rPr>
        <w:t xml:space="preserve">send a letter </w:t>
      </w:r>
      <w:r w:rsidR="001B4953" w:rsidRPr="00FA1E77">
        <w:rPr>
          <w:snapToGrid w:val="0"/>
          <w:kern w:val="22"/>
          <w:szCs w:val="22"/>
        </w:rPr>
        <w:t xml:space="preserve">to </w:t>
      </w:r>
      <w:r w:rsidR="00D14364" w:rsidRPr="00FA1E77">
        <w:rPr>
          <w:snapToGrid w:val="0"/>
          <w:kern w:val="22"/>
          <w:szCs w:val="22"/>
        </w:rPr>
        <w:t xml:space="preserve">the national focal point of Montenegro, informing the country of the outcome of the ninth meeting </w:t>
      </w:r>
      <w:r w:rsidR="001B4953" w:rsidRPr="00FA1E77">
        <w:rPr>
          <w:snapToGrid w:val="0"/>
          <w:kern w:val="22"/>
          <w:szCs w:val="22"/>
        </w:rPr>
        <w:t xml:space="preserve">of the </w:t>
      </w:r>
      <w:r w:rsidR="001D06DA" w:rsidRPr="00510EF6">
        <w:rPr>
          <w:kern w:val="22"/>
          <w:szCs w:val="22"/>
        </w:rPr>
        <w:t>Conference of the Parties serving as the meeting of the Parties to the Protocol</w:t>
      </w:r>
      <w:r w:rsidR="00D14364" w:rsidRPr="00FA1E77">
        <w:rPr>
          <w:snapToGrid w:val="0"/>
          <w:kern w:val="22"/>
          <w:szCs w:val="22"/>
        </w:rPr>
        <w:t xml:space="preserve">. The Committee also decided that its members from the Central and Eastern European </w:t>
      </w:r>
      <w:r w:rsidR="00D153D7" w:rsidRPr="00510EF6">
        <w:rPr>
          <w:snapToGrid w:val="0"/>
          <w:kern w:val="22"/>
          <w:szCs w:val="22"/>
        </w:rPr>
        <w:t>r</w:t>
      </w:r>
      <w:r w:rsidR="00D14364" w:rsidRPr="00FA1E77">
        <w:rPr>
          <w:snapToGrid w:val="0"/>
          <w:kern w:val="22"/>
          <w:szCs w:val="22"/>
        </w:rPr>
        <w:t xml:space="preserve">egional </w:t>
      </w:r>
      <w:r w:rsidR="00D153D7" w:rsidRPr="00510EF6">
        <w:rPr>
          <w:snapToGrid w:val="0"/>
          <w:kern w:val="22"/>
          <w:szCs w:val="22"/>
        </w:rPr>
        <w:t>g</w:t>
      </w:r>
      <w:r w:rsidR="00D14364" w:rsidRPr="00FA1E77">
        <w:rPr>
          <w:snapToGrid w:val="0"/>
          <w:kern w:val="22"/>
          <w:szCs w:val="22"/>
        </w:rPr>
        <w:t>roup would follow</w:t>
      </w:r>
      <w:r w:rsidR="00D153D7" w:rsidRPr="00510EF6">
        <w:rPr>
          <w:snapToGrid w:val="0"/>
          <w:kern w:val="22"/>
          <w:szCs w:val="22"/>
        </w:rPr>
        <w:t xml:space="preserve"> </w:t>
      </w:r>
      <w:r w:rsidR="00D14364" w:rsidRPr="00FA1E77">
        <w:rPr>
          <w:snapToGrid w:val="0"/>
          <w:kern w:val="22"/>
          <w:szCs w:val="22"/>
        </w:rPr>
        <w:t>up closely with Montenegro.</w:t>
      </w:r>
    </w:p>
    <w:p w14:paraId="69AE0521" w14:textId="3B4908D3" w:rsidR="005103DA" w:rsidRPr="00FA1E77" w:rsidRDefault="007B71FD"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Following the Committee’s sixteenth meeting</w:t>
      </w:r>
      <w:r w:rsidR="00681544" w:rsidRPr="00FA1E77">
        <w:rPr>
          <w:snapToGrid w:val="0"/>
          <w:kern w:val="22"/>
          <w:szCs w:val="22"/>
        </w:rPr>
        <w:t xml:space="preserve">, </w:t>
      </w:r>
      <w:r w:rsidR="0090011C" w:rsidRPr="00FA1E77">
        <w:rPr>
          <w:snapToGrid w:val="0"/>
          <w:kern w:val="22"/>
          <w:szCs w:val="22"/>
        </w:rPr>
        <w:t xml:space="preserve">two </w:t>
      </w:r>
      <w:r w:rsidR="00681544" w:rsidRPr="00FA1E77">
        <w:rPr>
          <w:snapToGrid w:val="0"/>
          <w:kern w:val="22"/>
          <w:szCs w:val="22"/>
        </w:rPr>
        <w:t>further third national report</w:t>
      </w:r>
      <w:r w:rsidR="0090011C" w:rsidRPr="00FA1E77">
        <w:rPr>
          <w:snapToGrid w:val="0"/>
          <w:kern w:val="22"/>
          <w:szCs w:val="22"/>
        </w:rPr>
        <w:t>s</w:t>
      </w:r>
      <w:r w:rsidR="00681544" w:rsidRPr="00FA1E77">
        <w:rPr>
          <w:snapToGrid w:val="0"/>
          <w:kern w:val="22"/>
          <w:szCs w:val="22"/>
        </w:rPr>
        <w:t xml:space="preserve"> </w:t>
      </w:r>
      <w:r w:rsidR="0090011C" w:rsidRPr="00FA1E77">
        <w:rPr>
          <w:snapToGrid w:val="0"/>
          <w:kern w:val="22"/>
          <w:szCs w:val="22"/>
        </w:rPr>
        <w:t xml:space="preserve">were </w:t>
      </w:r>
      <w:r w:rsidR="00681544" w:rsidRPr="00FA1E77">
        <w:rPr>
          <w:snapToGrid w:val="0"/>
          <w:kern w:val="22"/>
          <w:szCs w:val="22"/>
        </w:rPr>
        <w:t xml:space="preserve">submitted, bringing the total number of Parties having submitted their third national report to </w:t>
      </w:r>
      <w:r w:rsidR="001E5E49" w:rsidRPr="00FA1E77">
        <w:rPr>
          <w:snapToGrid w:val="0"/>
          <w:kern w:val="22"/>
          <w:szCs w:val="22"/>
        </w:rPr>
        <w:t>157</w:t>
      </w:r>
      <w:r w:rsidR="00681544" w:rsidRPr="00FA1E77">
        <w:rPr>
          <w:snapToGrid w:val="0"/>
          <w:kern w:val="22"/>
          <w:szCs w:val="22"/>
        </w:rPr>
        <w:t>, which constitutes a submission rate of 92</w:t>
      </w:r>
      <w:r w:rsidR="00B06E8A" w:rsidRPr="00FA1E77">
        <w:rPr>
          <w:iCs/>
          <w:snapToGrid w:val="0"/>
          <w:kern w:val="22"/>
          <w:szCs w:val="22"/>
        </w:rPr>
        <w:t xml:space="preserve"> per cent</w:t>
      </w:r>
      <w:r w:rsidR="00681544" w:rsidRPr="00FA1E77">
        <w:rPr>
          <w:snapToGrid w:val="0"/>
          <w:kern w:val="22"/>
          <w:szCs w:val="22"/>
        </w:rPr>
        <w:t>.</w:t>
      </w:r>
    </w:p>
    <w:p w14:paraId="24BCFD11" w14:textId="0223014A" w:rsidR="00F52DE0" w:rsidRPr="00FA1E77" w:rsidRDefault="001A5408"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 xml:space="preserve">An overview of the various follow-up actions and measures taken by the Committee on </w:t>
      </w:r>
      <w:r w:rsidR="00FD7F1C" w:rsidRPr="00FA1E77">
        <w:rPr>
          <w:snapToGrid w:val="0"/>
          <w:kern w:val="22"/>
          <w:szCs w:val="22"/>
        </w:rPr>
        <w:t xml:space="preserve">compliance by Parties with their reporting obligation </w:t>
      </w:r>
      <w:r w:rsidR="00681544" w:rsidRPr="00FA1E77">
        <w:rPr>
          <w:snapToGrid w:val="0"/>
          <w:kern w:val="22"/>
          <w:szCs w:val="22"/>
        </w:rPr>
        <w:t>was prepared for its fifteenth meeting (CBD/CP/CC/15/INF/2).</w:t>
      </w:r>
    </w:p>
    <w:p w14:paraId="0CEDEE23" w14:textId="08FB3D36" w:rsidR="00B36BAF" w:rsidRPr="00FA1E77" w:rsidRDefault="00E75FD9" w:rsidP="00FA1E77">
      <w:pPr>
        <w:numPr>
          <w:ilvl w:val="0"/>
          <w:numId w:val="17"/>
        </w:numPr>
        <w:suppressLineNumbers/>
        <w:tabs>
          <w:tab w:val="clear" w:pos="644"/>
        </w:tabs>
        <w:suppressAutoHyphens/>
        <w:spacing w:before="120" w:after="120"/>
        <w:ind w:left="0"/>
        <w:rPr>
          <w:snapToGrid w:val="0"/>
          <w:kern w:val="22"/>
          <w:szCs w:val="22"/>
        </w:rPr>
      </w:pPr>
      <w:r w:rsidRPr="00FA1E77">
        <w:rPr>
          <w:snapToGrid w:val="0"/>
          <w:kern w:val="22"/>
          <w:szCs w:val="22"/>
        </w:rPr>
        <w:t>While the continuous efforts of the Committee to support Parties in relation to their reporting obligation has likely contributed to the high</w:t>
      </w:r>
      <w:r w:rsidR="007516DA" w:rsidRPr="00FA1E77">
        <w:rPr>
          <w:snapToGrid w:val="0"/>
          <w:kern w:val="22"/>
          <w:szCs w:val="22"/>
        </w:rPr>
        <w:t xml:space="preserve"> number </w:t>
      </w:r>
      <w:r w:rsidRPr="00FA1E77">
        <w:rPr>
          <w:snapToGrid w:val="0"/>
          <w:kern w:val="22"/>
          <w:szCs w:val="22"/>
        </w:rPr>
        <w:t>of third national reports</w:t>
      </w:r>
      <w:r w:rsidR="007516DA" w:rsidRPr="00FA1E77">
        <w:rPr>
          <w:snapToGrid w:val="0"/>
          <w:kern w:val="22"/>
          <w:szCs w:val="22"/>
        </w:rPr>
        <w:t xml:space="preserve"> that have now been submitted</w:t>
      </w:r>
      <w:r w:rsidRPr="00FA1E77">
        <w:rPr>
          <w:snapToGrid w:val="0"/>
          <w:kern w:val="22"/>
          <w:szCs w:val="22"/>
        </w:rPr>
        <w:t xml:space="preserve">, the timeliness of the submission of the third and fourth national reports </w:t>
      </w:r>
      <w:r w:rsidR="00806E47" w:rsidRPr="00FA1E77">
        <w:rPr>
          <w:snapToGrid w:val="0"/>
          <w:kern w:val="22"/>
          <w:szCs w:val="22"/>
        </w:rPr>
        <w:t>remains a challenge</w:t>
      </w:r>
      <w:r w:rsidR="00D826C3" w:rsidRPr="00FA1E77">
        <w:rPr>
          <w:snapToGrid w:val="0"/>
          <w:kern w:val="22"/>
          <w:szCs w:val="22"/>
        </w:rPr>
        <w:t>.</w:t>
      </w:r>
      <w:r w:rsidR="00E3445D" w:rsidRPr="00FA1E77">
        <w:rPr>
          <w:rStyle w:val="FootnoteReference"/>
          <w:snapToGrid w:val="0"/>
          <w:kern w:val="22"/>
          <w:sz w:val="22"/>
          <w:szCs w:val="22"/>
          <w:u w:val="none"/>
          <w:vertAlign w:val="superscript"/>
        </w:rPr>
        <w:footnoteReference w:id="12"/>
      </w:r>
    </w:p>
    <w:p w14:paraId="19CC9E4A" w14:textId="361EB009" w:rsidR="00F52DE0" w:rsidRPr="00FA1E77" w:rsidRDefault="001D06DA" w:rsidP="00FA1E77">
      <w:pPr>
        <w:pStyle w:val="Heading3"/>
        <w:suppressLineNumbers/>
        <w:tabs>
          <w:tab w:val="clear" w:pos="567"/>
        </w:tabs>
        <w:suppressAutoHyphens/>
        <w:ind w:left="1276" w:hanging="567"/>
        <w:jc w:val="left"/>
        <w:rPr>
          <w:i w:val="0"/>
          <w:iCs w:val="0"/>
          <w:snapToGrid w:val="0"/>
          <w:kern w:val="22"/>
          <w:szCs w:val="22"/>
        </w:rPr>
      </w:pPr>
      <w:r w:rsidRPr="00FA1E77">
        <w:rPr>
          <w:snapToGrid w:val="0"/>
          <w:kern w:val="22"/>
          <w:szCs w:val="22"/>
        </w:rPr>
        <w:lastRenderedPageBreak/>
        <w:t>2.</w:t>
      </w:r>
      <w:r w:rsidRPr="00FA1E77">
        <w:rPr>
          <w:snapToGrid w:val="0"/>
          <w:kern w:val="22"/>
          <w:szCs w:val="22"/>
        </w:rPr>
        <w:tab/>
      </w:r>
      <w:r w:rsidR="00F52DE0" w:rsidRPr="00FA1E77">
        <w:rPr>
          <w:snapToGrid w:val="0"/>
          <w:kern w:val="22"/>
          <w:szCs w:val="22"/>
        </w:rPr>
        <w:t>National legal, administrative and other measures to implement the Protocol</w:t>
      </w:r>
      <w:r w:rsidR="00B67D21" w:rsidRPr="00FA1E77">
        <w:rPr>
          <w:snapToGrid w:val="0"/>
          <w:kern w:val="22"/>
          <w:szCs w:val="22"/>
        </w:rPr>
        <w:t>: indicator 3.1.2 (Number of Parties having approved and functional national legal, administrative and other measures to implement the Protocol)</w:t>
      </w:r>
    </w:p>
    <w:p w14:paraId="48A17CE0" w14:textId="7FACF176" w:rsidR="005103DA" w:rsidRPr="00510EF6" w:rsidRDefault="00F52DE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A total of 55</w:t>
      </w:r>
      <w:r w:rsidR="005B54D1" w:rsidRPr="00FA1E77">
        <w:rPr>
          <w:iCs/>
          <w:snapToGrid w:val="0"/>
          <w:kern w:val="22"/>
          <w:szCs w:val="22"/>
        </w:rPr>
        <w:t xml:space="preserve"> per cent</w:t>
      </w:r>
      <w:r w:rsidRPr="00510EF6">
        <w:rPr>
          <w:iCs/>
          <w:snapToGrid w:val="0"/>
          <w:kern w:val="22"/>
          <w:szCs w:val="22"/>
        </w:rPr>
        <w:t xml:space="preserve"> of Parties (51 Parties) reported that measures to implement the Protocol are fully in place, an increase of 8</w:t>
      </w:r>
      <w:r w:rsidR="005B54D1" w:rsidRPr="00FA1E77">
        <w:rPr>
          <w:iCs/>
          <w:snapToGrid w:val="0"/>
          <w:kern w:val="22"/>
          <w:szCs w:val="22"/>
        </w:rPr>
        <w:t xml:space="preserve"> per cent</w:t>
      </w:r>
      <w:r w:rsidRPr="00510EF6">
        <w:rPr>
          <w:iCs/>
          <w:snapToGrid w:val="0"/>
          <w:kern w:val="22"/>
          <w:szCs w:val="22"/>
        </w:rPr>
        <w:t xml:space="preserve"> from the baseline.</w:t>
      </w:r>
      <w:r w:rsidR="00FA7560" w:rsidRPr="00FA1E77">
        <w:rPr>
          <w:rStyle w:val="FootnoteReference"/>
          <w:iCs/>
          <w:snapToGrid w:val="0"/>
          <w:kern w:val="22"/>
          <w:sz w:val="22"/>
          <w:szCs w:val="22"/>
          <w:u w:val="none"/>
          <w:vertAlign w:val="superscript"/>
        </w:rPr>
        <w:footnoteReference w:id="13"/>
      </w:r>
      <w:r w:rsidRPr="00510EF6">
        <w:rPr>
          <w:iCs/>
          <w:snapToGrid w:val="0"/>
          <w:kern w:val="22"/>
          <w:szCs w:val="22"/>
        </w:rPr>
        <w:t xml:space="preserve"> A total of 39</w:t>
      </w:r>
      <w:r w:rsidR="005B54D1" w:rsidRPr="00FA1E77">
        <w:rPr>
          <w:iCs/>
          <w:snapToGrid w:val="0"/>
          <w:kern w:val="22"/>
          <w:szCs w:val="22"/>
        </w:rPr>
        <w:t xml:space="preserve"> per cent</w:t>
      </w:r>
      <w:r w:rsidRPr="00510EF6">
        <w:rPr>
          <w:iCs/>
          <w:snapToGrid w:val="0"/>
          <w:kern w:val="22"/>
          <w:szCs w:val="22"/>
        </w:rPr>
        <w:t xml:space="preserve"> of Parties (38 Parties) reported that national measures are partially in place, a decrease of 1</w:t>
      </w:r>
      <w:r w:rsidR="005B54D1" w:rsidRPr="00FA1E77">
        <w:rPr>
          <w:iCs/>
          <w:snapToGrid w:val="0"/>
          <w:kern w:val="22"/>
          <w:szCs w:val="22"/>
        </w:rPr>
        <w:t xml:space="preserve"> per cent</w:t>
      </w:r>
      <w:r w:rsidRPr="00510EF6">
        <w:rPr>
          <w:iCs/>
          <w:snapToGrid w:val="0"/>
          <w:kern w:val="22"/>
          <w:szCs w:val="22"/>
        </w:rPr>
        <w:t xml:space="preserve"> from the baseline. One Party</w:t>
      </w:r>
      <w:r w:rsidR="00117E03" w:rsidRPr="00510EF6">
        <w:rPr>
          <w:iCs/>
          <w:snapToGrid w:val="0"/>
          <w:kern w:val="22"/>
          <w:szCs w:val="22"/>
        </w:rPr>
        <w:t xml:space="preserve"> </w:t>
      </w:r>
      <w:r w:rsidRPr="00510EF6">
        <w:rPr>
          <w:iCs/>
          <w:snapToGrid w:val="0"/>
          <w:kern w:val="22"/>
          <w:szCs w:val="22"/>
        </w:rPr>
        <w:t xml:space="preserve">reported that only temporary measures </w:t>
      </w:r>
      <w:r w:rsidR="00397663" w:rsidRPr="00510EF6">
        <w:rPr>
          <w:iCs/>
          <w:snapToGrid w:val="0"/>
          <w:kern w:val="22"/>
          <w:szCs w:val="22"/>
        </w:rPr>
        <w:t xml:space="preserve">had </w:t>
      </w:r>
      <w:r w:rsidRPr="00510EF6">
        <w:rPr>
          <w:iCs/>
          <w:snapToGrid w:val="0"/>
          <w:kern w:val="22"/>
          <w:szCs w:val="22"/>
        </w:rPr>
        <w:t xml:space="preserve">been introduced, a decrease of </w:t>
      </w:r>
      <w:r w:rsidR="00A34F93" w:rsidRPr="00510EF6">
        <w:rPr>
          <w:iCs/>
          <w:snapToGrid w:val="0"/>
          <w:kern w:val="22"/>
          <w:szCs w:val="22"/>
        </w:rPr>
        <w:t xml:space="preserve">two </w:t>
      </w:r>
      <w:r w:rsidRPr="00510EF6">
        <w:rPr>
          <w:iCs/>
          <w:snapToGrid w:val="0"/>
          <w:kern w:val="22"/>
          <w:szCs w:val="22"/>
        </w:rPr>
        <w:t xml:space="preserve">Parties since the baseline. Five Parties reported that only draft measures </w:t>
      </w:r>
      <w:r w:rsidR="00397663" w:rsidRPr="00510EF6">
        <w:rPr>
          <w:iCs/>
          <w:snapToGrid w:val="0"/>
          <w:kern w:val="22"/>
          <w:szCs w:val="22"/>
        </w:rPr>
        <w:t xml:space="preserve">had </w:t>
      </w:r>
      <w:r w:rsidRPr="00510EF6">
        <w:rPr>
          <w:iCs/>
          <w:snapToGrid w:val="0"/>
          <w:kern w:val="22"/>
          <w:szCs w:val="22"/>
        </w:rPr>
        <w:t xml:space="preserve">been taken, a decrease of </w:t>
      </w:r>
      <w:r w:rsidR="00397663" w:rsidRPr="00510EF6">
        <w:rPr>
          <w:iCs/>
          <w:snapToGrid w:val="0"/>
          <w:kern w:val="22"/>
          <w:szCs w:val="22"/>
        </w:rPr>
        <w:t>one</w:t>
      </w:r>
      <w:r w:rsidRPr="00510EF6">
        <w:rPr>
          <w:iCs/>
          <w:snapToGrid w:val="0"/>
          <w:kern w:val="22"/>
          <w:szCs w:val="22"/>
        </w:rPr>
        <w:t xml:space="preserve"> Party </w:t>
      </w:r>
      <w:r w:rsidR="00117E03" w:rsidRPr="00510EF6">
        <w:rPr>
          <w:iCs/>
          <w:snapToGrid w:val="0"/>
          <w:kern w:val="22"/>
          <w:szCs w:val="22"/>
        </w:rPr>
        <w:t>from the baseline</w:t>
      </w:r>
      <w:r w:rsidRPr="00510EF6">
        <w:rPr>
          <w:iCs/>
          <w:snapToGrid w:val="0"/>
          <w:kern w:val="22"/>
          <w:szCs w:val="22"/>
        </w:rPr>
        <w:t xml:space="preserve">. </w:t>
      </w:r>
      <w:r w:rsidR="00190DCE" w:rsidRPr="00510EF6">
        <w:rPr>
          <w:iCs/>
          <w:snapToGrid w:val="0"/>
          <w:kern w:val="22"/>
          <w:szCs w:val="22"/>
        </w:rPr>
        <w:t xml:space="preserve">The number of Parties reporting that no measures have been taken has decreased from </w:t>
      </w:r>
      <w:r w:rsidR="00397663" w:rsidRPr="00510EF6">
        <w:rPr>
          <w:iCs/>
          <w:snapToGrid w:val="0"/>
          <w:kern w:val="22"/>
          <w:szCs w:val="22"/>
        </w:rPr>
        <w:t>three</w:t>
      </w:r>
      <w:r w:rsidR="00190DCE" w:rsidRPr="00510EF6">
        <w:rPr>
          <w:iCs/>
          <w:snapToGrid w:val="0"/>
          <w:kern w:val="22"/>
          <w:szCs w:val="22"/>
        </w:rPr>
        <w:t xml:space="preserve"> Parties at the baseline to zero Parties </w:t>
      </w:r>
      <w:r w:rsidR="00830790" w:rsidRPr="00510EF6">
        <w:rPr>
          <w:iCs/>
          <w:snapToGrid w:val="0"/>
          <w:kern w:val="22"/>
          <w:szCs w:val="22"/>
        </w:rPr>
        <w:t>currently</w:t>
      </w:r>
      <w:r w:rsidR="00190DCE" w:rsidRPr="00510EF6">
        <w:rPr>
          <w:iCs/>
          <w:snapToGrid w:val="0"/>
          <w:kern w:val="22"/>
          <w:szCs w:val="22"/>
        </w:rPr>
        <w:t>.</w:t>
      </w:r>
    </w:p>
    <w:p w14:paraId="0D1EFA12" w14:textId="58C01569" w:rsidR="005103DA" w:rsidRPr="00510EF6" w:rsidRDefault="00F52DE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A total of 58</w:t>
      </w:r>
      <w:r w:rsidR="00F22F54" w:rsidRPr="00FA1E77">
        <w:rPr>
          <w:iCs/>
          <w:snapToGrid w:val="0"/>
          <w:kern w:val="22"/>
          <w:szCs w:val="22"/>
        </w:rPr>
        <w:t xml:space="preserve"> per cent</w:t>
      </w:r>
      <w:r w:rsidRPr="00510EF6">
        <w:rPr>
          <w:iCs/>
          <w:snapToGrid w:val="0"/>
          <w:kern w:val="22"/>
          <w:szCs w:val="22"/>
        </w:rPr>
        <w:t xml:space="preserve"> of Parties (53 Parties) reported having established a mechanism for budget allocations for the operation of national biosafety measures, </w:t>
      </w:r>
      <w:r w:rsidR="00594181" w:rsidRPr="00510EF6">
        <w:rPr>
          <w:iCs/>
          <w:snapToGrid w:val="0"/>
          <w:kern w:val="22"/>
          <w:szCs w:val="22"/>
        </w:rPr>
        <w:t xml:space="preserve">while </w:t>
      </w:r>
      <w:r w:rsidRPr="00510EF6">
        <w:rPr>
          <w:iCs/>
          <w:snapToGrid w:val="0"/>
          <w:kern w:val="22"/>
          <w:szCs w:val="22"/>
        </w:rPr>
        <w:t>23</w:t>
      </w:r>
      <w:r w:rsidR="00F22F54" w:rsidRPr="00FA1E77">
        <w:rPr>
          <w:iCs/>
          <w:snapToGrid w:val="0"/>
          <w:kern w:val="22"/>
          <w:szCs w:val="22"/>
        </w:rPr>
        <w:t xml:space="preserve"> per cent</w:t>
      </w:r>
      <w:r w:rsidRPr="00510EF6">
        <w:rPr>
          <w:iCs/>
          <w:snapToGrid w:val="0"/>
          <w:kern w:val="22"/>
          <w:szCs w:val="22"/>
        </w:rPr>
        <w:t xml:space="preserve"> of Parties (21 Parties) reported that such a mechanism had been established to some extent. Considered together, </w:t>
      </w:r>
      <w:r w:rsidR="00117E03" w:rsidRPr="00510EF6">
        <w:rPr>
          <w:iCs/>
          <w:snapToGrid w:val="0"/>
          <w:kern w:val="22"/>
          <w:szCs w:val="22"/>
        </w:rPr>
        <w:t>this constitutes</w:t>
      </w:r>
      <w:r w:rsidRPr="00510EF6">
        <w:rPr>
          <w:iCs/>
          <w:snapToGrid w:val="0"/>
          <w:kern w:val="22"/>
          <w:szCs w:val="22"/>
        </w:rPr>
        <w:t xml:space="preserve"> an increase of 13</w:t>
      </w:r>
      <w:r w:rsidR="008E24C4" w:rsidRPr="00FA1E77">
        <w:rPr>
          <w:iCs/>
          <w:snapToGrid w:val="0"/>
          <w:kern w:val="22"/>
          <w:szCs w:val="22"/>
        </w:rPr>
        <w:t xml:space="preserve"> per cent</w:t>
      </w:r>
      <w:r w:rsidRPr="00510EF6">
        <w:rPr>
          <w:iCs/>
          <w:snapToGrid w:val="0"/>
          <w:kern w:val="22"/>
          <w:szCs w:val="22"/>
        </w:rPr>
        <w:t xml:space="preserve"> from the baseline</w:t>
      </w:r>
      <w:r w:rsidR="00594181" w:rsidRPr="00510EF6">
        <w:rPr>
          <w:iCs/>
          <w:snapToGrid w:val="0"/>
          <w:kern w:val="22"/>
          <w:szCs w:val="22"/>
        </w:rPr>
        <w:t xml:space="preserve">, which is mainly attributable to Parties within the Asia </w:t>
      </w:r>
      <w:r w:rsidR="00466CE2" w:rsidRPr="00510EF6">
        <w:rPr>
          <w:iCs/>
          <w:snapToGrid w:val="0"/>
          <w:kern w:val="22"/>
          <w:szCs w:val="22"/>
        </w:rPr>
        <w:t xml:space="preserve">and the </w:t>
      </w:r>
      <w:r w:rsidR="00594181" w:rsidRPr="00510EF6">
        <w:rPr>
          <w:iCs/>
          <w:snapToGrid w:val="0"/>
          <w:kern w:val="22"/>
          <w:szCs w:val="22"/>
        </w:rPr>
        <w:t>Pacific, C</w:t>
      </w:r>
      <w:r w:rsidR="00C9065C" w:rsidRPr="00510EF6">
        <w:rPr>
          <w:iCs/>
          <w:snapToGrid w:val="0"/>
          <w:kern w:val="22"/>
          <w:szCs w:val="22"/>
        </w:rPr>
        <w:t xml:space="preserve">entral and </w:t>
      </w:r>
      <w:r w:rsidR="00594181" w:rsidRPr="00510EF6">
        <w:rPr>
          <w:iCs/>
          <w:snapToGrid w:val="0"/>
          <w:kern w:val="22"/>
          <w:szCs w:val="22"/>
        </w:rPr>
        <w:t>E</w:t>
      </w:r>
      <w:r w:rsidR="00C9065C" w:rsidRPr="00510EF6">
        <w:rPr>
          <w:iCs/>
          <w:snapToGrid w:val="0"/>
          <w:kern w:val="22"/>
          <w:szCs w:val="22"/>
        </w:rPr>
        <w:t xml:space="preserve">astern </w:t>
      </w:r>
      <w:r w:rsidR="00594181" w:rsidRPr="00510EF6">
        <w:rPr>
          <w:iCs/>
          <w:snapToGrid w:val="0"/>
          <w:kern w:val="22"/>
          <w:szCs w:val="22"/>
        </w:rPr>
        <w:t>E</w:t>
      </w:r>
      <w:r w:rsidR="00C9065C" w:rsidRPr="00510EF6">
        <w:rPr>
          <w:iCs/>
          <w:snapToGrid w:val="0"/>
          <w:kern w:val="22"/>
          <w:szCs w:val="22"/>
        </w:rPr>
        <w:t>urope</w:t>
      </w:r>
      <w:r w:rsidR="00854CF6" w:rsidRPr="00510EF6">
        <w:rPr>
          <w:iCs/>
          <w:snapToGrid w:val="0"/>
          <w:kern w:val="22"/>
          <w:szCs w:val="22"/>
        </w:rPr>
        <w:t>,</w:t>
      </w:r>
      <w:r w:rsidR="00594181" w:rsidRPr="00510EF6">
        <w:rPr>
          <w:iCs/>
          <w:snapToGrid w:val="0"/>
          <w:kern w:val="22"/>
          <w:szCs w:val="22"/>
        </w:rPr>
        <w:t xml:space="preserve"> and Africa.</w:t>
      </w:r>
    </w:p>
    <w:p w14:paraId="3AC0E161" w14:textId="16742EA0" w:rsidR="005103DA" w:rsidRPr="00510EF6" w:rsidRDefault="00F52DE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A total of 94</w:t>
      </w:r>
      <w:r w:rsidR="008E24C4" w:rsidRPr="00FA1E77">
        <w:rPr>
          <w:iCs/>
          <w:snapToGrid w:val="0"/>
          <w:kern w:val="22"/>
          <w:szCs w:val="22"/>
        </w:rPr>
        <w:t xml:space="preserve"> per cent</w:t>
      </w:r>
      <w:r w:rsidRPr="00510EF6">
        <w:rPr>
          <w:iCs/>
          <w:snapToGrid w:val="0"/>
          <w:kern w:val="22"/>
          <w:szCs w:val="22"/>
        </w:rPr>
        <w:t xml:space="preserve"> of Parties (87 Parties) reported having permanent staff to administer functions directly related to biosafety, an increase of 8</w:t>
      </w:r>
      <w:r w:rsidR="008E24C4" w:rsidRPr="00FA1E77">
        <w:rPr>
          <w:iCs/>
          <w:snapToGrid w:val="0"/>
          <w:kern w:val="22"/>
          <w:szCs w:val="22"/>
        </w:rPr>
        <w:t xml:space="preserve"> per cent</w:t>
      </w:r>
      <w:r w:rsidR="00A535FC" w:rsidRPr="00510EF6">
        <w:rPr>
          <w:iCs/>
          <w:snapToGrid w:val="0"/>
          <w:kern w:val="22"/>
          <w:szCs w:val="22"/>
        </w:rPr>
        <w:t xml:space="preserve"> from the baseline. A</w:t>
      </w:r>
      <w:r w:rsidRPr="00510EF6">
        <w:rPr>
          <w:iCs/>
          <w:snapToGrid w:val="0"/>
          <w:kern w:val="22"/>
          <w:szCs w:val="22"/>
        </w:rPr>
        <w:t xml:space="preserve"> total of 47</w:t>
      </w:r>
      <w:r w:rsidR="00AA3426" w:rsidRPr="00FA1E77">
        <w:rPr>
          <w:iCs/>
          <w:snapToGrid w:val="0"/>
          <w:kern w:val="22"/>
          <w:szCs w:val="22"/>
        </w:rPr>
        <w:t xml:space="preserve"> per cent</w:t>
      </w:r>
      <w:r w:rsidRPr="00510EF6">
        <w:rPr>
          <w:iCs/>
          <w:snapToGrid w:val="0"/>
          <w:kern w:val="22"/>
          <w:szCs w:val="22"/>
        </w:rPr>
        <w:t xml:space="preserve"> of Parties reported that the number of staff was adequate.</w:t>
      </w:r>
      <w:r w:rsidRPr="00FA1E77">
        <w:rPr>
          <w:rStyle w:val="FootnoteReference"/>
          <w:iCs/>
          <w:snapToGrid w:val="0"/>
          <w:kern w:val="22"/>
          <w:sz w:val="22"/>
          <w:szCs w:val="22"/>
          <w:u w:val="none"/>
          <w:vertAlign w:val="superscript"/>
        </w:rPr>
        <w:footnoteReference w:id="14"/>
      </w:r>
    </w:p>
    <w:p w14:paraId="2FC32446" w14:textId="4F782F36" w:rsidR="005103DA" w:rsidRPr="00510EF6" w:rsidRDefault="00F52DE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 xml:space="preserve">Several Parties indicated in their free-text contributions that legal instruments </w:t>
      </w:r>
      <w:r w:rsidR="00720523" w:rsidRPr="00510EF6">
        <w:rPr>
          <w:iCs/>
          <w:snapToGrid w:val="0"/>
          <w:kern w:val="22"/>
          <w:szCs w:val="22"/>
        </w:rPr>
        <w:t xml:space="preserve">were </w:t>
      </w:r>
      <w:r w:rsidRPr="00510EF6">
        <w:rPr>
          <w:iCs/>
          <w:snapToGrid w:val="0"/>
          <w:kern w:val="22"/>
          <w:szCs w:val="22"/>
        </w:rPr>
        <w:t xml:space="preserve">being developed or </w:t>
      </w:r>
      <w:r w:rsidR="00720523" w:rsidRPr="00510EF6">
        <w:rPr>
          <w:iCs/>
          <w:snapToGrid w:val="0"/>
          <w:kern w:val="22"/>
          <w:szCs w:val="22"/>
        </w:rPr>
        <w:t>w</w:t>
      </w:r>
      <w:r w:rsidR="00120941" w:rsidRPr="00510EF6">
        <w:rPr>
          <w:iCs/>
          <w:snapToGrid w:val="0"/>
          <w:kern w:val="22"/>
          <w:szCs w:val="22"/>
        </w:rPr>
        <w:t>ere</w:t>
      </w:r>
      <w:r w:rsidR="00720523" w:rsidRPr="00510EF6">
        <w:rPr>
          <w:iCs/>
          <w:snapToGrid w:val="0"/>
          <w:kern w:val="22"/>
          <w:szCs w:val="22"/>
        </w:rPr>
        <w:t xml:space="preserve"> </w:t>
      </w:r>
      <w:r w:rsidRPr="00510EF6">
        <w:rPr>
          <w:iCs/>
          <w:snapToGrid w:val="0"/>
          <w:kern w:val="22"/>
          <w:szCs w:val="22"/>
        </w:rPr>
        <w:t>pending adoption. Some of these Parties indicated that the adoption of these instruments is expected to have beneficial effects on the institutional structures and availability of resources. A number of Parties indicated that the lack of resources and capacities ha</w:t>
      </w:r>
      <w:r w:rsidR="00120941" w:rsidRPr="00510EF6">
        <w:rPr>
          <w:iCs/>
          <w:snapToGrid w:val="0"/>
          <w:kern w:val="22"/>
          <w:szCs w:val="22"/>
        </w:rPr>
        <w:t>d</w:t>
      </w:r>
      <w:r w:rsidRPr="00510EF6">
        <w:rPr>
          <w:iCs/>
          <w:snapToGrid w:val="0"/>
          <w:kern w:val="22"/>
          <w:szCs w:val="22"/>
        </w:rPr>
        <w:t xml:space="preserve"> negatively affected the implementation of the Protocol.</w:t>
      </w:r>
    </w:p>
    <w:p w14:paraId="39CA258B" w14:textId="223DDB24" w:rsidR="005103DA" w:rsidRPr="00510EF6" w:rsidRDefault="00C142A6"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Following decision BS-V/1</w:t>
      </w:r>
      <w:r w:rsidR="00742210" w:rsidRPr="00510EF6">
        <w:rPr>
          <w:iCs/>
          <w:snapToGrid w:val="0"/>
          <w:kern w:val="22"/>
          <w:szCs w:val="22"/>
        </w:rPr>
        <w:t>, the Committee has increasingly followed up with Parties that reported not having taken any legal, administrative or other measures to implement the Protocol, or hav</w:t>
      </w:r>
      <w:r w:rsidR="00FE6AF5" w:rsidRPr="00510EF6">
        <w:rPr>
          <w:iCs/>
          <w:snapToGrid w:val="0"/>
          <w:kern w:val="22"/>
          <w:szCs w:val="22"/>
        </w:rPr>
        <w:t>ing</w:t>
      </w:r>
      <w:r w:rsidR="00742210" w:rsidRPr="00510EF6">
        <w:rPr>
          <w:iCs/>
          <w:snapToGrid w:val="0"/>
          <w:kern w:val="22"/>
          <w:szCs w:val="22"/>
        </w:rPr>
        <w:t xml:space="preserve"> only taken draft or temporary measures.</w:t>
      </w:r>
    </w:p>
    <w:p w14:paraId="741F5967" w14:textId="02A48E9F" w:rsidR="005103DA" w:rsidRPr="00510EF6" w:rsidRDefault="00CF648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A</w:t>
      </w:r>
      <w:r w:rsidR="00742210" w:rsidRPr="00510EF6">
        <w:rPr>
          <w:iCs/>
          <w:snapToGrid w:val="0"/>
          <w:kern w:val="22"/>
          <w:szCs w:val="22"/>
        </w:rPr>
        <w:t xml:space="preserve">t its fourteenth meeting, </w:t>
      </w:r>
      <w:r w:rsidRPr="00510EF6">
        <w:rPr>
          <w:iCs/>
          <w:snapToGrid w:val="0"/>
          <w:kern w:val="22"/>
          <w:szCs w:val="22"/>
        </w:rPr>
        <w:t xml:space="preserve">the Committee </w:t>
      </w:r>
      <w:r w:rsidR="00742210" w:rsidRPr="00510EF6">
        <w:rPr>
          <w:iCs/>
          <w:snapToGrid w:val="0"/>
          <w:kern w:val="22"/>
          <w:szCs w:val="22"/>
        </w:rPr>
        <w:t xml:space="preserve">considered compliance on the basis of third national reports with a focus on priority areas identified by the </w:t>
      </w:r>
      <w:r w:rsidR="00C71537" w:rsidRPr="00510EF6">
        <w:rPr>
          <w:iCs/>
          <w:snapToGrid w:val="0"/>
          <w:kern w:val="22"/>
          <w:szCs w:val="22"/>
        </w:rPr>
        <w:t>Conference of the Parties serving as the meeting of the Parties to the Protocol</w:t>
      </w:r>
      <w:r w:rsidR="00742210" w:rsidRPr="00510EF6">
        <w:rPr>
          <w:iCs/>
          <w:snapToGrid w:val="0"/>
          <w:kern w:val="22"/>
          <w:szCs w:val="22"/>
        </w:rPr>
        <w:t>. In this context, the Committee considered, among other</w:t>
      </w:r>
      <w:r w:rsidR="000B0E14" w:rsidRPr="00510EF6">
        <w:rPr>
          <w:iCs/>
          <w:snapToGrid w:val="0"/>
          <w:kern w:val="22"/>
          <w:szCs w:val="22"/>
        </w:rPr>
        <w:t xml:space="preserve"> thing</w:t>
      </w:r>
      <w:r w:rsidR="00742210" w:rsidRPr="00510EF6">
        <w:rPr>
          <w:iCs/>
          <w:snapToGrid w:val="0"/>
          <w:kern w:val="22"/>
          <w:szCs w:val="22"/>
        </w:rPr>
        <w:t>s, compliance by Parties with their obligation to take the necessary legal, administrative and other measures to implement the Protocol</w:t>
      </w:r>
      <w:r w:rsidR="0065490C" w:rsidRPr="00510EF6">
        <w:rPr>
          <w:iCs/>
          <w:snapToGrid w:val="0"/>
          <w:kern w:val="22"/>
          <w:szCs w:val="22"/>
        </w:rPr>
        <w:t xml:space="preserve">, </w:t>
      </w:r>
      <w:r w:rsidR="004C4BF2" w:rsidRPr="00510EF6">
        <w:rPr>
          <w:iCs/>
          <w:snapToGrid w:val="0"/>
          <w:kern w:val="22"/>
          <w:szCs w:val="22"/>
        </w:rPr>
        <w:t>in accordance with Article 2, paragraph 1, of the Protocol</w:t>
      </w:r>
      <w:r w:rsidR="00742210" w:rsidRPr="00510EF6">
        <w:rPr>
          <w:iCs/>
          <w:snapToGrid w:val="0"/>
          <w:kern w:val="22"/>
          <w:szCs w:val="22"/>
        </w:rPr>
        <w:t>.</w:t>
      </w:r>
      <w:r w:rsidR="00742210" w:rsidRPr="00FA1E77">
        <w:rPr>
          <w:rStyle w:val="FootnoteReference"/>
          <w:iCs/>
          <w:snapToGrid w:val="0"/>
          <w:kern w:val="22"/>
          <w:sz w:val="22"/>
          <w:szCs w:val="22"/>
          <w:u w:val="none"/>
          <w:vertAlign w:val="superscript"/>
        </w:rPr>
        <w:footnoteReference w:id="15"/>
      </w:r>
      <w:r w:rsidR="00742210" w:rsidRPr="00510EF6">
        <w:rPr>
          <w:iCs/>
          <w:snapToGrid w:val="0"/>
          <w:kern w:val="22"/>
          <w:szCs w:val="22"/>
        </w:rPr>
        <w:t xml:space="preserve"> In this context, the Committee requested the Secretariat to contact those Parties that </w:t>
      </w:r>
      <w:r w:rsidR="00050A73" w:rsidRPr="00510EF6">
        <w:rPr>
          <w:iCs/>
          <w:snapToGrid w:val="0"/>
          <w:kern w:val="22"/>
          <w:szCs w:val="22"/>
        </w:rPr>
        <w:t xml:space="preserve">had </w:t>
      </w:r>
      <w:r w:rsidR="00742210" w:rsidRPr="00510EF6">
        <w:rPr>
          <w:iCs/>
          <w:snapToGrid w:val="0"/>
          <w:kern w:val="22"/>
          <w:szCs w:val="22"/>
        </w:rPr>
        <w:t>reported not having taken any measures to implement the Protocol, or having taken only temporary or draft measures for the implementation of the Protocol</w:t>
      </w:r>
      <w:r w:rsidR="00050A73" w:rsidRPr="00510EF6">
        <w:rPr>
          <w:iCs/>
          <w:snapToGrid w:val="0"/>
          <w:kern w:val="22"/>
          <w:szCs w:val="22"/>
        </w:rPr>
        <w:t>,</w:t>
      </w:r>
      <w:r w:rsidR="00742210" w:rsidRPr="00510EF6">
        <w:rPr>
          <w:iCs/>
          <w:snapToGrid w:val="0"/>
          <w:kern w:val="22"/>
          <w:szCs w:val="22"/>
        </w:rPr>
        <w:t xml:space="preserve"> and collect information on the challenges they were facing in this regard.</w:t>
      </w:r>
    </w:p>
    <w:p w14:paraId="67E4D666" w14:textId="7E001764" w:rsidR="005103DA" w:rsidRPr="00510EF6" w:rsidRDefault="0074221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 xml:space="preserve">At its </w:t>
      </w:r>
      <w:r w:rsidR="004C4BF2" w:rsidRPr="00510EF6">
        <w:rPr>
          <w:iCs/>
          <w:snapToGrid w:val="0"/>
          <w:kern w:val="22"/>
          <w:szCs w:val="22"/>
        </w:rPr>
        <w:t>fifteenth</w:t>
      </w:r>
      <w:r w:rsidRPr="00510EF6">
        <w:rPr>
          <w:iCs/>
          <w:snapToGrid w:val="0"/>
          <w:kern w:val="22"/>
          <w:szCs w:val="22"/>
        </w:rPr>
        <w:t xml:space="preserve"> meeting, the Committee considered the information </w:t>
      </w:r>
      <w:r w:rsidR="004C4BF2" w:rsidRPr="00510EF6">
        <w:rPr>
          <w:iCs/>
          <w:snapToGrid w:val="0"/>
          <w:kern w:val="22"/>
          <w:szCs w:val="22"/>
        </w:rPr>
        <w:t xml:space="preserve">provided by Parties on their challenges </w:t>
      </w:r>
      <w:r w:rsidRPr="00510EF6">
        <w:rPr>
          <w:iCs/>
          <w:snapToGrid w:val="0"/>
          <w:kern w:val="22"/>
          <w:szCs w:val="22"/>
        </w:rPr>
        <w:t>and noted that lack of political will is a key challenge to implementation. It also recognized that the availability of financial resources for the implementation of the Protocol was an ongoing challenge for many Parties and discussed the possibility of donors being urged to provide voluntary funds to enable the Committee to facilitate compliance in cases where financial resources were needed.</w:t>
      </w:r>
      <w:r w:rsidR="004C4BF2" w:rsidRPr="00FA1E77">
        <w:rPr>
          <w:rStyle w:val="FootnoteReference"/>
          <w:iCs/>
          <w:snapToGrid w:val="0"/>
          <w:kern w:val="22"/>
          <w:sz w:val="22"/>
          <w:szCs w:val="22"/>
          <w:u w:val="none"/>
          <w:vertAlign w:val="superscript"/>
        </w:rPr>
        <w:footnoteReference w:id="16"/>
      </w:r>
    </w:p>
    <w:p w14:paraId="15665EC3" w14:textId="5A815E24" w:rsidR="005103DA" w:rsidRPr="00510EF6" w:rsidRDefault="00742210"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lastRenderedPageBreak/>
        <w:t xml:space="preserve">The Committee decided that its Chair would contact those </w:t>
      </w:r>
      <w:r w:rsidR="0019748D" w:rsidRPr="00510EF6">
        <w:rPr>
          <w:iCs/>
          <w:snapToGrid w:val="0"/>
          <w:kern w:val="22"/>
          <w:szCs w:val="22"/>
        </w:rPr>
        <w:t>Parties that had</w:t>
      </w:r>
      <w:r w:rsidRPr="00510EF6">
        <w:rPr>
          <w:iCs/>
          <w:snapToGrid w:val="0"/>
          <w:kern w:val="22"/>
          <w:szCs w:val="22"/>
        </w:rPr>
        <w:t xml:space="preserve"> reported not having taken any measures, or only having taken draft or temporary measures for the implementation of the Protocol</w:t>
      </w:r>
      <w:r w:rsidR="00D8636D" w:rsidRPr="00510EF6">
        <w:rPr>
          <w:iCs/>
          <w:snapToGrid w:val="0"/>
          <w:kern w:val="22"/>
          <w:szCs w:val="22"/>
        </w:rPr>
        <w:t>,</w:t>
      </w:r>
      <w:r w:rsidRPr="00510EF6">
        <w:rPr>
          <w:iCs/>
          <w:snapToGrid w:val="0"/>
          <w:kern w:val="22"/>
          <w:szCs w:val="22"/>
        </w:rPr>
        <w:t xml:space="preserve"> and request those Parties to develop a compliance action plan in accordance with </w:t>
      </w:r>
      <w:r w:rsidR="004F7FE9" w:rsidRPr="00510EF6">
        <w:rPr>
          <w:iCs/>
          <w:snapToGrid w:val="0"/>
          <w:kern w:val="22"/>
          <w:szCs w:val="22"/>
        </w:rPr>
        <w:t>s</w:t>
      </w:r>
      <w:r w:rsidRPr="00510EF6">
        <w:rPr>
          <w:iCs/>
          <w:snapToGrid w:val="0"/>
          <w:kern w:val="22"/>
          <w:szCs w:val="22"/>
        </w:rPr>
        <w:t>ection VI, paragraph 1(c) of the procedures and mechanisms on compliance (decision BS-1/7, annex).</w:t>
      </w:r>
      <w:r w:rsidRPr="00FA1E77">
        <w:rPr>
          <w:rStyle w:val="FootnoteReference"/>
          <w:iCs/>
          <w:snapToGrid w:val="0"/>
          <w:kern w:val="22"/>
          <w:sz w:val="22"/>
          <w:szCs w:val="22"/>
          <w:u w:val="none"/>
          <w:vertAlign w:val="superscript"/>
        </w:rPr>
        <w:footnoteReference w:id="17"/>
      </w:r>
      <w:r w:rsidRPr="00510EF6">
        <w:rPr>
          <w:iCs/>
          <w:snapToGrid w:val="0"/>
          <w:kern w:val="22"/>
          <w:szCs w:val="22"/>
        </w:rPr>
        <w:t xml:space="preserve"> </w:t>
      </w:r>
      <w:r w:rsidR="0019748D" w:rsidRPr="00510EF6">
        <w:rPr>
          <w:iCs/>
          <w:snapToGrid w:val="0"/>
          <w:kern w:val="22"/>
          <w:szCs w:val="22"/>
        </w:rPr>
        <w:t xml:space="preserve">Following the meeting, the Chair of the Committee requested </w:t>
      </w:r>
      <w:r w:rsidR="007E7DA7" w:rsidRPr="00510EF6">
        <w:rPr>
          <w:iCs/>
          <w:snapToGrid w:val="0"/>
          <w:kern w:val="22"/>
          <w:szCs w:val="22"/>
        </w:rPr>
        <w:t>25</w:t>
      </w:r>
      <w:r w:rsidR="0019748D" w:rsidRPr="00510EF6">
        <w:rPr>
          <w:iCs/>
          <w:snapToGrid w:val="0"/>
          <w:kern w:val="22"/>
          <w:szCs w:val="22"/>
        </w:rPr>
        <w:t xml:space="preserve"> Parties to develop a compliance action plan.</w:t>
      </w:r>
    </w:p>
    <w:p w14:paraId="2F0414F2" w14:textId="5E0DEE3A" w:rsidR="00B51CE7" w:rsidRPr="00510EF6" w:rsidRDefault="0019748D" w:rsidP="00FA1E77">
      <w:pPr>
        <w:numPr>
          <w:ilvl w:val="0"/>
          <w:numId w:val="17"/>
        </w:numPr>
        <w:suppressLineNumbers/>
        <w:tabs>
          <w:tab w:val="clear" w:pos="644"/>
        </w:tabs>
        <w:suppressAutoHyphens/>
        <w:spacing w:before="120" w:after="120"/>
        <w:ind w:left="0"/>
        <w:rPr>
          <w:iCs/>
          <w:snapToGrid w:val="0"/>
          <w:kern w:val="22"/>
          <w:szCs w:val="22"/>
        </w:rPr>
      </w:pPr>
      <w:r w:rsidRPr="00510EF6">
        <w:rPr>
          <w:iCs/>
          <w:snapToGrid w:val="0"/>
          <w:kern w:val="22"/>
          <w:szCs w:val="22"/>
        </w:rPr>
        <w:t>At its sixteenth meeting, the Committee considered an update on progress made in this regard</w:t>
      </w:r>
      <w:r w:rsidR="00412E72" w:rsidRPr="00510EF6">
        <w:rPr>
          <w:iCs/>
          <w:snapToGrid w:val="0"/>
          <w:kern w:val="22"/>
          <w:szCs w:val="22"/>
        </w:rPr>
        <w:t>. It welcomed</w:t>
      </w:r>
      <w:r w:rsidRPr="00510EF6">
        <w:rPr>
          <w:iCs/>
          <w:snapToGrid w:val="0"/>
          <w:kern w:val="22"/>
          <w:szCs w:val="22"/>
        </w:rPr>
        <w:t xml:space="preserve"> the submission of compliance action plans by four Parties, recognizing that the submission of the compliance action plan in itself represented an important commitment to addressing non-compliance. </w:t>
      </w:r>
      <w:r w:rsidR="007F2D34" w:rsidRPr="00510EF6">
        <w:rPr>
          <w:iCs/>
          <w:snapToGrid w:val="0"/>
          <w:kern w:val="22"/>
          <w:szCs w:val="22"/>
        </w:rPr>
        <w:t xml:space="preserve">The Committee also welcomed the response provided by one Party informing the Committee that the necessary measures for the implementation of the Protocol had recently been adopted. </w:t>
      </w:r>
      <w:r w:rsidRPr="00510EF6">
        <w:rPr>
          <w:iCs/>
          <w:snapToGrid w:val="0"/>
          <w:kern w:val="22"/>
          <w:szCs w:val="22"/>
        </w:rPr>
        <w:t>The Committee expressed concern that the majority of the Parties</w:t>
      </w:r>
      <w:r w:rsidR="007F2D34" w:rsidRPr="00510EF6">
        <w:rPr>
          <w:iCs/>
          <w:snapToGrid w:val="0"/>
          <w:kern w:val="22"/>
          <w:szCs w:val="22"/>
        </w:rPr>
        <w:t xml:space="preserve"> had neither submitted a compliance action plan nor informed the Committee of their having taken the measures to implement the Protocol.</w:t>
      </w:r>
      <w:r w:rsidR="00D42981" w:rsidRPr="00FA1E77">
        <w:rPr>
          <w:rStyle w:val="FootnoteReference"/>
          <w:iCs/>
          <w:snapToGrid w:val="0"/>
          <w:kern w:val="22"/>
          <w:sz w:val="22"/>
          <w:szCs w:val="22"/>
          <w:u w:val="none"/>
          <w:vertAlign w:val="superscript"/>
        </w:rPr>
        <w:footnoteReference w:id="18"/>
      </w:r>
      <w:r w:rsidR="007F2D34" w:rsidRPr="00510EF6">
        <w:rPr>
          <w:iCs/>
          <w:snapToGrid w:val="0"/>
          <w:kern w:val="22"/>
          <w:szCs w:val="22"/>
        </w:rPr>
        <w:t xml:space="preserve"> </w:t>
      </w:r>
      <w:r w:rsidR="00D42981" w:rsidRPr="00510EF6">
        <w:rPr>
          <w:iCs/>
          <w:snapToGrid w:val="0"/>
          <w:kern w:val="22"/>
          <w:szCs w:val="22"/>
        </w:rPr>
        <w:t>The Committee decided that its Chair would send letters to the Parties that had submitted a compliance action plan, thanking them and indicating that the Secretariat would follow</w:t>
      </w:r>
      <w:r w:rsidR="00C90B62" w:rsidRPr="00510EF6">
        <w:rPr>
          <w:iCs/>
          <w:snapToGrid w:val="0"/>
          <w:kern w:val="22"/>
          <w:szCs w:val="22"/>
        </w:rPr>
        <w:t xml:space="preserve"> </w:t>
      </w:r>
      <w:r w:rsidR="00D42981" w:rsidRPr="00510EF6">
        <w:rPr>
          <w:iCs/>
          <w:snapToGrid w:val="0"/>
          <w:kern w:val="22"/>
          <w:szCs w:val="22"/>
        </w:rPr>
        <w:t>up on the progress o</w:t>
      </w:r>
      <w:r w:rsidR="009E0E0A" w:rsidRPr="00510EF6">
        <w:rPr>
          <w:iCs/>
          <w:snapToGrid w:val="0"/>
          <w:kern w:val="22"/>
          <w:szCs w:val="22"/>
        </w:rPr>
        <w:t>f</w:t>
      </w:r>
      <w:r w:rsidR="00D42981" w:rsidRPr="00510EF6">
        <w:rPr>
          <w:iCs/>
          <w:snapToGrid w:val="0"/>
          <w:kern w:val="22"/>
          <w:szCs w:val="22"/>
        </w:rPr>
        <w:t xml:space="preserve"> the activities outlined in the compliance action plan. The Committee decided that its Chair would also send letters to those Parties that had not submitted their compliance action plan and urge them to do so as soon as possible. More information on the current status of this matter is provided in CBD/CP/CC/17/5.</w:t>
      </w:r>
    </w:p>
    <w:p w14:paraId="6077FF09" w14:textId="53DD2168" w:rsidR="001A4D1B" w:rsidRPr="00FA1E77" w:rsidRDefault="00327F4B" w:rsidP="00FA1E77">
      <w:pPr>
        <w:pStyle w:val="Heading3"/>
        <w:suppressLineNumbers/>
        <w:tabs>
          <w:tab w:val="clear" w:pos="567"/>
        </w:tabs>
        <w:suppressAutoHyphens/>
        <w:ind w:left="1559" w:hanging="567"/>
        <w:jc w:val="left"/>
        <w:rPr>
          <w:i w:val="0"/>
          <w:iCs w:val="0"/>
          <w:snapToGrid w:val="0"/>
          <w:kern w:val="22"/>
          <w:szCs w:val="22"/>
        </w:rPr>
      </w:pPr>
      <w:r w:rsidRPr="00FA1E77">
        <w:rPr>
          <w:snapToGrid w:val="0"/>
          <w:kern w:val="22"/>
          <w:szCs w:val="22"/>
        </w:rPr>
        <w:t>3.</w:t>
      </w:r>
      <w:r w:rsidRPr="00FA1E77">
        <w:rPr>
          <w:snapToGrid w:val="0"/>
          <w:kern w:val="22"/>
          <w:szCs w:val="22"/>
        </w:rPr>
        <w:tab/>
      </w:r>
      <w:r w:rsidR="000E1624" w:rsidRPr="00FA1E77">
        <w:rPr>
          <w:snapToGrid w:val="0"/>
          <w:kern w:val="22"/>
          <w:szCs w:val="22"/>
        </w:rPr>
        <w:t>Systems in place for handling requests</w:t>
      </w:r>
      <w:r w:rsidR="00E70816" w:rsidRPr="00FA1E77">
        <w:rPr>
          <w:snapToGrid w:val="0"/>
          <w:kern w:val="22"/>
          <w:szCs w:val="22"/>
        </w:rPr>
        <w:t>,</w:t>
      </w:r>
      <w:r w:rsidR="000E1624" w:rsidRPr="00FA1E77">
        <w:rPr>
          <w:snapToGrid w:val="0"/>
          <w:kern w:val="22"/>
          <w:szCs w:val="22"/>
        </w:rPr>
        <w:t xml:space="preserve"> including for advance informed agreement</w:t>
      </w:r>
      <w:r w:rsidR="007E1DE3" w:rsidRPr="00FA1E77">
        <w:rPr>
          <w:snapToGrid w:val="0"/>
          <w:kern w:val="22"/>
          <w:szCs w:val="22"/>
        </w:rPr>
        <w:t>:</w:t>
      </w:r>
      <w:r w:rsidR="007E1DE3" w:rsidRPr="00FA1E77">
        <w:rPr>
          <w:kern w:val="22"/>
          <w:szCs w:val="22"/>
        </w:rPr>
        <w:t xml:space="preserve"> </w:t>
      </w:r>
      <w:r w:rsidR="007E1DE3" w:rsidRPr="00FA1E77">
        <w:rPr>
          <w:snapToGrid w:val="0"/>
          <w:kern w:val="22"/>
          <w:szCs w:val="22"/>
        </w:rPr>
        <w:t>indicator 3.1.4 (Number of Parties having in place a system for handling requests including for Advance Informed Agreement)</w:t>
      </w:r>
    </w:p>
    <w:p w14:paraId="7263024F" w14:textId="31307FEC" w:rsidR="009A5AA0" w:rsidRPr="00FA1E77" w:rsidRDefault="009A5AA0"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A total of </w:t>
      </w:r>
      <w:r w:rsidR="0039156E" w:rsidRPr="00FA1E77">
        <w:rPr>
          <w:snapToGrid w:val="0"/>
          <w:kern w:val="22"/>
          <w:sz w:val="22"/>
          <w:szCs w:val="22"/>
          <w:lang w:val="en-GB"/>
        </w:rPr>
        <w:t>66</w:t>
      </w:r>
      <w:r w:rsidR="00C83D22" w:rsidRPr="00FA1E77">
        <w:rPr>
          <w:iCs/>
          <w:snapToGrid w:val="0"/>
          <w:kern w:val="22"/>
          <w:sz w:val="22"/>
          <w:szCs w:val="22"/>
          <w:lang w:val="en-GB"/>
        </w:rPr>
        <w:t xml:space="preserve"> per cent</w:t>
      </w:r>
      <w:r w:rsidR="0039156E" w:rsidRPr="00FA1E77">
        <w:rPr>
          <w:snapToGrid w:val="0"/>
          <w:kern w:val="22"/>
          <w:sz w:val="22"/>
          <w:szCs w:val="22"/>
          <w:lang w:val="en-GB"/>
        </w:rPr>
        <w:t xml:space="preserve"> of Parties (61 Parties) reported having established legal requirements for exporters under their domestic framework to notify in writing the competent national authority of the Party of import prior to the intentional transboundary movement of an LMO that falls within the scope of the</w:t>
      </w:r>
      <w:r w:rsidR="0039156E" w:rsidRPr="00FA1E77">
        <w:rPr>
          <w:bCs/>
          <w:kern w:val="22"/>
          <w:sz w:val="22"/>
          <w:szCs w:val="22"/>
          <w:lang w:val="en-GB"/>
        </w:rPr>
        <w:t xml:space="preserve"> </w:t>
      </w:r>
      <w:r w:rsidR="0039156E" w:rsidRPr="00FA1E77">
        <w:rPr>
          <w:bCs/>
          <w:snapToGrid w:val="0"/>
          <w:kern w:val="22"/>
          <w:sz w:val="22"/>
          <w:szCs w:val="22"/>
          <w:lang w:val="en-GB"/>
        </w:rPr>
        <w:t xml:space="preserve">advance informed agreement </w:t>
      </w:r>
      <w:r w:rsidR="0039156E" w:rsidRPr="00FA1E77">
        <w:rPr>
          <w:snapToGrid w:val="0"/>
          <w:kern w:val="22"/>
          <w:sz w:val="22"/>
          <w:szCs w:val="22"/>
          <w:lang w:val="en-GB"/>
        </w:rPr>
        <w:t>(AIA) procedure. In addition, 10</w:t>
      </w:r>
      <w:r w:rsidR="00C83D22" w:rsidRPr="00FA1E77">
        <w:rPr>
          <w:iCs/>
          <w:snapToGrid w:val="0"/>
          <w:kern w:val="22"/>
          <w:sz w:val="22"/>
          <w:szCs w:val="22"/>
          <w:lang w:val="en-GB"/>
        </w:rPr>
        <w:t xml:space="preserve"> per cent</w:t>
      </w:r>
      <w:r w:rsidR="0039156E" w:rsidRPr="00FA1E77">
        <w:rPr>
          <w:snapToGrid w:val="0"/>
          <w:kern w:val="22"/>
          <w:sz w:val="22"/>
          <w:szCs w:val="22"/>
          <w:lang w:val="en-GB"/>
        </w:rPr>
        <w:t xml:space="preserve"> of Parties (9 Parties) reported having established such legal requirements for exporters to some extent.</w:t>
      </w:r>
      <w:r w:rsidR="0039156E" w:rsidRPr="00FA1E77">
        <w:rPr>
          <w:rStyle w:val="FootnoteReference"/>
          <w:snapToGrid w:val="0"/>
          <w:kern w:val="22"/>
          <w:sz w:val="22"/>
          <w:szCs w:val="22"/>
          <w:u w:val="none"/>
          <w:vertAlign w:val="superscript"/>
          <w:lang w:val="en-GB"/>
        </w:rPr>
        <w:footnoteReference w:id="19"/>
      </w:r>
      <w:r w:rsidR="0039156E" w:rsidRPr="00FA1E77">
        <w:rPr>
          <w:snapToGrid w:val="0"/>
          <w:kern w:val="22"/>
          <w:sz w:val="22"/>
          <w:szCs w:val="22"/>
          <w:lang w:val="en-GB"/>
        </w:rPr>
        <w:t xml:space="preserve"> Taken together, 76</w:t>
      </w:r>
      <w:r w:rsidR="00670508" w:rsidRPr="00FA1E77">
        <w:rPr>
          <w:iCs/>
          <w:snapToGrid w:val="0"/>
          <w:kern w:val="22"/>
          <w:sz w:val="22"/>
          <w:szCs w:val="22"/>
          <w:lang w:val="en-GB"/>
        </w:rPr>
        <w:t xml:space="preserve"> per cent</w:t>
      </w:r>
      <w:r w:rsidR="0039156E" w:rsidRPr="00FA1E77">
        <w:rPr>
          <w:snapToGrid w:val="0"/>
          <w:kern w:val="22"/>
          <w:sz w:val="22"/>
          <w:szCs w:val="22"/>
          <w:lang w:val="en-GB"/>
        </w:rPr>
        <w:t xml:space="preserve"> of Parties </w:t>
      </w:r>
      <w:r w:rsidR="00337006" w:rsidRPr="00FA1E77">
        <w:rPr>
          <w:snapToGrid w:val="0"/>
          <w:kern w:val="22"/>
          <w:sz w:val="22"/>
          <w:szCs w:val="22"/>
          <w:lang w:val="en-GB"/>
        </w:rPr>
        <w:t>(70</w:t>
      </w:r>
      <w:r w:rsidR="00670508" w:rsidRPr="00FA1E77">
        <w:rPr>
          <w:snapToGrid w:val="0"/>
          <w:kern w:val="22"/>
          <w:sz w:val="22"/>
          <w:szCs w:val="22"/>
          <w:lang w:val="en-GB"/>
        </w:rPr>
        <w:t> </w:t>
      </w:r>
      <w:r w:rsidR="00337006" w:rsidRPr="00FA1E77">
        <w:rPr>
          <w:snapToGrid w:val="0"/>
          <w:kern w:val="22"/>
          <w:sz w:val="22"/>
          <w:szCs w:val="22"/>
          <w:lang w:val="en-GB"/>
        </w:rPr>
        <w:t xml:space="preserve">Parties) </w:t>
      </w:r>
      <w:r w:rsidR="0039156E" w:rsidRPr="00FA1E77">
        <w:rPr>
          <w:snapToGrid w:val="0"/>
          <w:kern w:val="22"/>
          <w:sz w:val="22"/>
          <w:szCs w:val="22"/>
          <w:lang w:val="en-GB"/>
        </w:rPr>
        <w:t>reported having established such legal requirements, an increase of 14</w:t>
      </w:r>
      <w:r w:rsidR="00670508" w:rsidRPr="00FA1E77">
        <w:rPr>
          <w:iCs/>
          <w:snapToGrid w:val="0"/>
          <w:kern w:val="22"/>
          <w:sz w:val="22"/>
          <w:szCs w:val="22"/>
          <w:lang w:val="en-GB"/>
        </w:rPr>
        <w:t xml:space="preserve"> per cent</w:t>
      </w:r>
      <w:r w:rsidR="0039156E" w:rsidRPr="00FA1E77">
        <w:rPr>
          <w:snapToGrid w:val="0"/>
          <w:kern w:val="22"/>
          <w:sz w:val="22"/>
          <w:szCs w:val="22"/>
          <w:lang w:val="en-GB"/>
        </w:rPr>
        <w:t xml:space="preserve"> from the baseline</w:t>
      </w:r>
      <w:r w:rsidRPr="00FA1E77">
        <w:rPr>
          <w:snapToGrid w:val="0"/>
          <w:kern w:val="22"/>
          <w:sz w:val="22"/>
          <w:szCs w:val="22"/>
          <w:lang w:val="en-GB"/>
        </w:rPr>
        <w:t>.</w:t>
      </w:r>
      <w:r w:rsidR="00B73603" w:rsidRPr="00FA1E77">
        <w:rPr>
          <w:rStyle w:val="FootnoteReference"/>
          <w:snapToGrid w:val="0"/>
          <w:kern w:val="22"/>
          <w:sz w:val="22"/>
          <w:szCs w:val="22"/>
          <w:u w:val="none"/>
          <w:vertAlign w:val="superscript"/>
          <w:lang w:val="en-GB"/>
        </w:rPr>
        <w:footnoteReference w:id="20"/>
      </w:r>
    </w:p>
    <w:p w14:paraId="0BF2DA2D" w14:textId="26EF8A97" w:rsidR="0039156E" w:rsidRPr="00FA1E77" w:rsidRDefault="0039156E"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 21</w:t>
      </w:r>
      <w:r w:rsidR="003D77A4" w:rsidRPr="00FA1E77">
        <w:rPr>
          <w:snapToGrid w:val="0"/>
          <w:kern w:val="22"/>
          <w:sz w:val="22"/>
          <w:szCs w:val="22"/>
          <w:lang w:val="en-GB"/>
        </w:rPr>
        <w:t xml:space="preserve"> per cent </w:t>
      </w:r>
      <w:r w:rsidRPr="00FA1E77">
        <w:rPr>
          <w:snapToGrid w:val="0"/>
          <w:kern w:val="22"/>
          <w:sz w:val="22"/>
          <w:szCs w:val="22"/>
          <w:lang w:val="en-GB"/>
        </w:rPr>
        <w:t>of Parties (19 Parties) reported having received a notification regarding the intentional transboundary movements of LMOs for intentional introduction into the environment, which is a decrease of 13</w:t>
      </w:r>
      <w:r w:rsidR="002D2D13" w:rsidRPr="00FA1E77">
        <w:rPr>
          <w:iCs/>
          <w:snapToGrid w:val="0"/>
          <w:kern w:val="22"/>
          <w:sz w:val="22"/>
          <w:szCs w:val="22"/>
          <w:lang w:val="en-GB"/>
        </w:rPr>
        <w:t xml:space="preserve"> per cent</w:t>
      </w:r>
      <w:r w:rsidRPr="00FA1E77">
        <w:rPr>
          <w:snapToGrid w:val="0"/>
          <w:kern w:val="22"/>
          <w:sz w:val="22"/>
          <w:szCs w:val="22"/>
          <w:lang w:val="en-GB"/>
        </w:rPr>
        <w:t xml:space="preserve"> from the baseline.</w:t>
      </w:r>
      <w:r w:rsidRPr="00FA1E77">
        <w:rPr>
          <w:rStyle w:val="FootnoteReference"/>
          <w:snapToGrid w:val="0"/>
          <w:kern w:val="22"/>
          <w:sz w:val="22"/>
          <w:szCs w:val="22"/>
          <w:u w:val="none"/>
          <w:vertAlign w:val="superscript"/>
          <w:lang w:val="en-GB"/>
        </w:rPr>
        <w:footnoteReference w:id="21"/>
      </w:r>
      <w:r w:rsidRPr="00FA1E77">
        <w:rPr>
          <w:snapToGrid w:val="0"/>
          <w:kern w:val="22"/>
          <w:sz w:val="22"/>
          <w:szCs w:val="22"/>
          <w:lang w:val="en-GB"/>
        </w:rPr>
        <w:t xml:space="preserve"> A total of 19</w:t>
      </w:r>
      <w:r w:rsidR="002D2D13" w:rsidRPr="00FA1E77">
        <w:rPr>
          <w:iCs/>
          <w:snapToGrid w:val="0"/>
          <w:kern w:val="22"/>
          <w:sz w:val="22"/>
          <w:szCs w:val="22"/>
          <w:lang w:val="en-GB"/>
        </w:rPr>
        <w:t xml:space="preserve"> per cent</w:t>
      </w:r>
      <w:r w:rsidRPr="00FA1E77">
        <w:rPr>
          <w:snapToGrid w:val="0"/>
          <w:kern w:val="22"/>
          <w:sz w:val="22"/>
          <w:szCs w:val="22"/>
          <w:lang w:val="en-GB"/>
        </w:rPr>
        <w:t xml:space="preserve"> of Parties (15 Parties) reported having taken decisions in response to the notification regarding intentional transboundary movements of LMOs for intentional introduction during this reporting cycle, a decrease of 14</w:t>
      </w:r>
      <w:r w:rsidR="002D2D13" w:rsidRPr="00FA1E77">
        <w:rPr>
          <w:iCs/>
          <w:snapToGrid w:val="0"/>
          <w:kern w:val="22"/>
          <w:sz w:val="22"/>
          <w:szCs w:val="22"/>
          <w:lang w:val="en-GB"/>
        </w:rPr>
        <w:t xml:space="preserve"> per cent</w:t>
      </w:r>
      <w:r w:rsidRPr="00FA1E77">
        <w:rPr>
          <w:snapToGrid w:val="0"/>
          <w:kern w:val="22"/>
          <w:sz w:val="22"/>
          <w:szCs w:val="22"/>
          <w:lang w:val="en-GB"/>
        </w:rPr>
        <w:t>.</w:t>
      </w:r>
      <w:r w:rsidR="00A845A6" w:rsidRPr="00FA1E77">
        <w:rPr>
          <w:snapToGrid w:val="0"/>
          <w:kern w:val="22"/>
          <w:sz w:val="22"/>
          <w:szCs w:val="22"/>
          <w:lang w:val="en-GB"/>
        </w:rPr>
        <w:t xml:space="preserve"> </w:t>
      </w:r>
      <w:r w:rsidR="00DF4A91" w:rsidRPr="00510EF6">
        <w:rPr>
          <w:snapToGrid w:val="0"/>
          <w:kern w:val="22"/>
          <w:sz w:val="22"/>
          <w:szCs w:val="22"/>
          <w:lang w:val="en-GB"/>
        </w:rPr>
        <w:t>A total of 10</w:t>
      </w:r>
      <w:r w:rsidR="00DF4A91" w:rsidRPr="00FA1E77">
        <w:rPr>
          <w:snapToGrid w:val="0"/>
          <w:kern w:val="22"/>
          <w:sz w:val="22"/>
          <w:szCs w:val="22"/>
          <w:lang w:val="en-GB"/>
        </w:rPr>
        <w:t xml:space="preserve"> </w:t>
      </w:r>
      <w:r w:rsidR="000601A5" w:rsidRPr="00FA1E77">
        <w:rPr>
          <w:snapToGrid w:val="0"/>
          <w:kern w:val="22"/>
          <w:sz w:val="22"/>
          <w:szCs w:val="22"/>
          <w:lang w:val="en-GB"/>
        </w:rPr>
        <w:t xml:space="preserve">of these Parties reported that national measures to implement the Protocol </w:t>
      </w:r>
      <w:r w:rsidR="00DF4A91" w:rsidRPr="00510EF6">
        <w:rPr>
          <w:snapToGrid w:val="0"/>
          <w:kern w:val="22"/>
          <w:sz w:val="22"/>
          <w:szCs w:val="22"/>
          <w:lang w:val="en-GB"/>
        </w:rPr>
        <w:t>were</w:t>
      </w:r>
      <w:r w:rsidR="00DF4A91" w:rsidRPr="00FA1E77">
        <w:rPr>
          <w:snapToGrid w:val="0"/>
          <w:kern w:val="22"/>
          <w:sz w:val="22"/>
          <w:szCs w:val="22"/>
          <w:lang w:val="en-GB"/>
        </w:rPr>
        <w:t xml:space="preserve"> </w:t>
      </w:r>
      <w:r w:rsidR="000601A5" w:rsidRPr="00FA1E77">
        <w:rPr>
          <w:snapToGrid w:val="0"/>
          <w:kern w:val="22"/>
          <w:sz w:val="22"/>
          <w:szCs w:val="22"/>
          <w:lang w:val="en-GB"/>
        </w:rPr>
        <w:t xml:space="preserve">fully in place, while </w:t>
      </w:r>
      <w:r w:rsidR="00DF4A91" w:rsidRPr="00510EF6">
        <w:rPr>
          <w:snapToGrid w:val="0"/>
          <w:kern w:val="22"/>
          <w:sz w:val="22"/>
          <w:szCs w:val="22"/>
          <w:lang w:val="en-GB"/>
        </w:rPr>
        <w:t>5</w:t>
      </w:r>
      <w:r w:rsidR="00A845A6" w:rsidRPr="00FA1E77">
        <w:rPr>
          <w:snapToGrid w:val="0"/>
          <w:kern w:val="22"/>
          <w:sz w:val="22"/>
          <w:szCs w:val="22"/>
          <w:lang w:val="en-GB"/>
        </w:rPr>
        <w:t xml:space="preserve"> reported that national measures to implement the Protocol </w:t>
      </w:r>
      <w:r w:rsidR="00DF4A91" w:rsidRPr="00510EF6">
        <w:rPr>
          <w:snapToGrid w:val="0"/>
          <w:kern w:val="22"/>
          <w:sz w:val="22"/>
          <w:szCs w:val="22"/>
          <w:lang w:val="en-GB"/>
        </w:rPr>
        <w:t>were</w:t>
      </w:r>
      <w:r w:rsidR="00DF4A91" w:rsidRPr="00FA1E77">
        <w:rPr>
          <w:snapToGrid w:val="0"/>
          <w:kern w:val="22"/>
          <w:sz w:val="22"/>
          <w:szCs w:val="22"/>
          <w:lang w:val="en-GB"/>
        </w:rPr>
        <w:t xml:space="preserve"> </w:t>
      </w:r>
      <w:r w:rsidR="00A845A6" w:rsidRPr="00FA1E77">
        <w:rPr>
          <w:snapToGrid w:val="0"/>
          <w:kern w:val="22"/>
          <w:sz w:val="22"/>
          <w:szCs w:val="22"/>
          <w:lang w:val="en-GB"/>
        </w:rPr>
        <w:t>partially in place.</w:t>
      </w:r>
    </w:p>
    <w:p w14:paraId="7EA8A7DE" w14:textId="2B7D7ECE" w:rsidR="0039156E" w:rsidRPr="00FA1E77" w:rsidRDefault="0039156E"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 84</w:t>
      </w:r>
      <w:r w:rsidR="0092196B" w:rsidRPr="00FA1E77">
        <w:rPr>
          <w:iCs/>
          <w:snapToGrid w:val="0"/>
          <w:kern w:val="22"/>
          <w:sz w:val="22"/>
          <w:szCs w:val="22"/>
          <w:lang w:val="en-GB"/>
        </w:rPr>
        <w:t xml:space="preserve"> per cent</w:t>
      </w:r>
      <w:r w:rsidRPr="00FA1E77">
        <w:rPr>
          <w:snapToGrid w:val="0"/>
          <w:kern w:val="22"/>
          <w:sz w:val="22"/>
          <w:szCs w:val="22"/>
          <w:lang w:val="en-GB"/>
        </w:rPr>
        <w:t xml:space="preserve"> of Parties (78 Parties) reported having laws, regulations or administrative measures for decision</w:t>
      </w:r>
      <w:r w:rsidR="00B41875" w:rsidRPr="00FA1E77">
        <w:rPr>
          <w:snapToGrid w:val="0"/>
          <w:kern w:val="22"/>
          <w:sz w:val="22"/>
          <w:szCs w:val="22"/>
          <w:lang w:val="en-GB"/>
        </w:rPr>
        <w:t>-</w:t>
      </w:r>
      <w:r w:rsidRPr="00FA1E77">
        <w:rPr>
          <w:snapToGrid w:val="0"/>
          <w:kern w:val="22"/>
          <w:sz w:val="22"/>
          <w:szCs w:val="22"/>
          <w:lang w:val="en-GB"/>
        </w:rPr>
        <w:t>making regarding domestic use</w:t>
      </w:r>
      <w:r w:rsidR="007A0C91" w:rsidRPr="00510EF6">
        <w:rPr>
          <w:snapToGrid w:val="0"/>
          <w:kern w:val="22"/>
          <w:sz w:val="22"/>
          <w:szCs w:val="22"/>
          <w:lang w:val="en-GB"/>
        </w:rPr>
        <w:t>,</w:t>
      </w:r>
      <w:r w:rsidRPr="00FA1E77">
        <w:rPr>
          <w:snapToGrid w:val="0"/>
          <w:kern w:val="22"/>
          <w:sz w:val="22"/>
          <w:szCs w:val="22"/>
          <w:lang w:val="en-GB"/>
        </w:rPr>
        <w:t xml:space="preserve"> including plac</w:t>
      </w:r>
      <w:r w:rsidR="007A0C91" w:rsidRPr="00510EF6">
        <w:rPr>
          <w:snapToGrid w:val="0"/>
          <w:kern w:val="22"/>
          <w:sz w:val="22"/>
          <w:szCs w:val="22"/>
          <w:lang w:val="en-GB"/>
        </w:rPr>
        <w:t>ement</w:t>
      </w:r>
      <w:r w:rsidRPr="00FA1E77">
        <w:rPr>
          <w:snapToGrid w:val="0"/>
          <w:kern w:val="22"/>
          <w:sz w:val="22"/>
          <w:szCs w:val="22"/>
          <w:lang w:val="en-GB"/>
        </w:rPr>
        <w:t xml:space="preserve"> </w:t>
      </w:r>
      <w:r w:rsidR="006D1DFC" w:rsidRPr="00510EF6">
        <w:rPr>
          <w:snapToGrid w:val="0"/>
          <w:kern w:val="22"/>
          <w:sz w:val="22"/>
          <w:szCs w:val="22"/>
          <w:lang w:val="en-GB"/>
        </w:rPr>
        <w:t>o</w:t>
      </w:r>
      <w:r w:rsidRPr="00FA1E77">
        <w:rPr>
          <w:snapToGrid w:val="0"/>
          <w:kern w:val="22"/>
          <w:sz w:val="22"/>
          <w:szCs w:val="22"/>
          <w:lang w:val="en-GB"/>
        </w:rPr>
        <w:t>n the market of LMOs for direct use as food, feed or for processing, which constitutes an increase of 15</w:t>
      </w:r>
      <w:r w:rsidR="00B41875" w:rsidRPr="00FA1E77">
        <w:rPr>
          <w:snapToGrid w:val="0"/>
          <w:kern w:val="22"/>
          <w:sz w:val="22"/>
          <w:szCs w:val="22"/>
          <w:lang w:val="en-GB"/>
        </w:rPr>
        <w:t xml:space="preserve"> per cent</w:t>
      </w:r>
      <w:r w:rsidRPr="00FA1E77">
        <w:rPr>
          <w:snapToGrid w:val="0"/>
          <w:kern w:val="22"/>
          <w:sz w:val="22"/>
          <w:szCs w:val="22"/>
          <w:lang w:val="en-GB"/>
        </w:rPr>
        <w:t xml:space="preserve"> from the baseline.</w:t>
      </w:r>
      <w:r w:rsidR="005E1F57" w:rsidRPr="00FA1E77">
        <w:rPr>
          <w:rStyle w:val="FootnoteReference"/>
          <w:snapToGrid w:val="0"/>
          <w:kern w:val="22"/>
          <w:sz w:val="22"/>
          <w:szCs w:val="22"/>
          <w:u w:val="none"/>
          <w:vertAlign w:val="superscript"/>
          <w:lang w:val="en-GB"/>
        </w:rPr>
        <w:footnoteReference w:id="22"/>
      </w:r>
    </w:p>
    <w:p w14:paraId="273CE058" w14:textId="3CECC25E" w:rsidR="0039156E" w:rsidRPr="00FA1E77" w:rsidRDefault="0018260A"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w:t>
      </w:r>
      <w:r w:rsidR="0039156E" w:rsidRPr="00FA1E77">
        <w:rPr>
          <w:snapToGrid w:val="0"/>
          <w:kern w:val="22"/>
          <w:sz w:val="22"/>
          <w:szCs w:val="22"/>
          <w:lang w:val="en-GB"/>
        </w:rPr>
        <w:t xml:space="preserve"> total of </w:t>
      </w:r>
      <w:r w:rsidRPr="00FA1E77">
        <w:rPr>
          <w:snapToGrid w:val="0"/>
          <w:kern w:val="22"/>
          <w:sz w:val="22"/>
          <w:szCs w:val="22"/>
          <w:lang w:val="en-GB"/>
        </w:rPr>
        <w:t>70</w:t>
      </w:r>
      <w:r w:rsidR="00F65DCA" w:rsidRPr="00FA1E77">
        <w:rPr>
          <w:snapToGrid w:val="0"/>
          <w:kern w:val="22"/>
          <w:sz w:val="22"/>
          <w:szCs w:val="22"/>
          <w:lang w:val="en-GB"/>
        </w:rPr>
        <w:t xml:space="preserve"> per cent</w:t>
      </w:r>
      <w:r w:rsidR="0039156E" w:rsidRPr="00FA1E77">
        <w:rPr>
          <w:snapToGrid w:val="0"/>
          <w:kern w:val="22"/>
          <w:sz w:val="22"/>
          <w:szCs w:val="22"/>
          <w:lang w:val="en-GB"/>
        </w:rPr>
        <w:t xml:space="preserve"> of Parties (</w:t>
      </w:r>
      <w:r w:rsidRPr="00FA1E77">
        <w:rPr>
          <w:snapToGrid w:val="0"/>
          <w:kern w:val="22"/>
          <w:sz w:val="22"/>
          <w:szCs w:val="22"/>
          <w:lang w:val="en-GB"/>
        </w:rPr>
        <w:t xml:space="preserve">21 </w:t>
      </w:r>
      <w:r w:rsidR="0039156E" w:rsidRPr="00FA1E77">
        <w:rPr>
          <w:snapToGrid w:val="0"/>
          <w:kern w:val="22"/>
          <w:sz w:val="22"/>
          <w:szCs w:val="22"/>
          <w:lang w:val="en-GB"/>
        </w:rPr>
        <w:t xml:space="preserve">Parties) reported having taken decisions regarding domestic use, including </w:t>
      </w:r>
      <w:r w:rsidR="00EA6E4A" w:rsidRPr="00510EF6">
        <w:rPr>
          <w:snapToGrid w:val="0"/>
          <w:kern w:val="22"/>
          <w:sz w:val="22"/>
          <w:szCs w:val="22"/>
          <w:lang w:val="en-GB"/>
        </w:rPr>
        <w:t xml:space="preserve">the </w:t>
      </w:r>
      <w:r w:rsidR="0039156E" w:rsidRPr="00FA1E77">
        <w:rPr>
          <w:snapToGrid w:val="0"/>
          <w:kern w:val="22"/>
          <w:sz w:val="22"/>
          <w:szCs w:val="22"/>
          <w:lang w:val="en-GB"/>
        </w:rPr>
        <w:t>plac</w:t>
      </w:r>
      <w:r w:rsidR="00EA6E4A" w:rsidRPr="00510EF6">
        <w:rPr>
          <w:snapToGrid w:val="0"/>
          <w:kern w:val="22"/>
          <w:sz w:val="22"/>
          <w:szCs w:val="22"/>
          <w:lang w:val="en-GB"/>
        </w:rPr>
        <w:t>ement</w:t>
      </w:r>
      <w:r w:rsidR="0039156E" w:rsidRPr="00FA1E77">
        <w:rPr>
          <w:snapToGrid w:val="0"/>
          <w:kern w:val="22"/>
          <w:sz w:val="22"/>
          <w:szCs w:val="22"/>
          <w:lang w:val="en-GB"/>
        </w:rPr>
        <w:t xml:space="preserve"> on the market, of LMOs that may be subject to transboundary movement for direct use as food or feed, or for processing.</w:t>
      </w:r>
      <w:r w:rsidR="0039156E" w:rsidRPr="00FA1E77">
        <w:rPr>
          <w:rStyle w:val="FootnoteReference"/>
          <w:snapToGrid w:val="0"/>
          <w:kern w:val="22"/>
          <w:sz w:val="22"/>
          <w:szCs w:val="22"/>
          <w:u w:val="none"/>
          <w:vertAlign w:val="superscript"/>
          <w:lang w:val="en-GB"/>
        </w:rPr>
        <w:footnoteReference w:id="23"/>
      </w:r>
      <w:r w:rsidR="0039156E" w:rsidRPr="00FA1E77">
        <w:rPr>
          <w:snapToGrid w:val="0"/>
          <w:kern w:val="22"/>
          <w:sz w:val="22"/>
          <w:szCs w:val="22"/>
          <w:lang w:val="en-GB"/>
        </w:rPr>
        <w:t xml:space="preserve"> This represents a decrease of 3</w:t>
      </w:r>
      <w:r w:rsidR="006B09CC" w:rsidRPr="00FA1E77">
        <w:rPr>
          <w:snapToGrid w:val="0"/>
          <w:kern w:val="22"/>
          <w:sz w:val="22"/>
          <w:szCs w:val="22"/>
          <w:lang w:val="en-GB"/>
        </w:rPr>
        <w:t xml:space="preserve"> per cent</w:t>
      </w:r>
      <w:r w:rsidR="0039156E" w:rsidRPr="00FA1E77">
        <w:rPr>
          <w:snapToGrid w:val="0"/>
          <w:kern w:val="22"/>
          <w:sz w:val="22"/>
          <w:szCs w:val="22"/>
          <w:lang w:val="en-GB"/>
        </w:rPr>
        <w:t xml:space="preserve"> from the baseline.</w:t>
      </w:r>
      <w:r w:rsidR="00F56D98" w:rsidRPr="00FA1E77" w:rsidDel="00F56D98">
        <w:rPr>
          <w:rStyle w:val="FootnoteReference"/>
          <w:snapToGrid w:val="0"/>
          <w:kern w:val="22"/>
          <w:sz w:val="22"/>
          <w:szCs w:val="22"/>
          <w:u w:val="none"/>
          <w:lang w:val="en-GB"/>
        </w:rPr>
        <w:t xml:space="preserve"> </w:t>
      </w:r>
      <w:r w:rsidR="001E7271" w:rsidRPr="00FA1E77">
        <w:rPr>
          <w:snapToGrid w:val="0"/>
          <w:kern w:val="22"/>
          <w:sz w:val="22"/>
          <w:szCs w:val="22"/>
          <w:lang w:val="en-GB"/>
        </w:rPr>
        <w:t>All these Parties reported having in place laws, regulations or administrative measures for decision</w:t>
      </w:r>
      <w:r w:rsidR="00A6453A" w:rsidRPr="00510EF6">
        <w:rPr>
          <w:snapToGrid w:val="0"/>
          <w:kern w:val="22"/>
          <w:sz w:val="22"/>
          <w:szCs w:val="22"/>
          <w:lang w:val="en-GB"/>
        </w:rPr>
        <w:t>-</w:t>
      </w:r>
      <w:r w:rsidR="001E7271" w:rsidRPr="00FA1E77">
        <w:rPr>
          <w:snapToGrid w:val="0"/>
          <w:kern w:val="22"/>
          <w:sz w:val="22"/>
          <w:szCs w:val="22"/>
          <w:lang w:val="en-GB"/>
        </w:rPr>
        <w:t>making regarding domestic use</w:t>
      </w:r>
      <w:r w:rsidR="006431E3" w:rsidRPr="00510EF6">
        <w:rPr>
          <w:snapToGrid w:val="0"/>
          <w:kern w:val="22"/>
          <w:sz w:val="22"/>
          <w:szCs w:val="22"/>
          <w:lang w:val="en-GB"/>
        </w:rPr>
        <w:t>,</w:t>
      </w:r>
      <w:r w:rsidR="001E7271" w:rsidRPr="00FA1E77">
        <w:rPr>
          <w:snapToGrid w:val="0"/>
          <w:kern w:val="22"/>
          <w:sz w:val="22"/>
          <w:szCs w:val="22"/>
          <w:lang w:val="en-GB"/>
        </w:rPr>
        <w:t xml:space="preserve"> including plac</w:t>
      </w:r>
      <w:r w:rsidR="006431E3" w:rsidRPr="00510EF6">
        <w:rPr>
          <w:snapToGrid w:val="0"/>
          <w:kern w:val="22"/>
          <w:sz w:val="22"/>
          <w:szCs w:val="22"/>
          <w:lang w:val="en-GB"/>
        </w:rPr>
        <w:t>ement</w:t>
      </w:r>
      <w:r w:rsidR="001E7271" w:rsidRPr="00FA1E77">
        <w:rPr>
          <w:snapToGrid w:val="0"/>
          <w:kern w:val="22"/>
          <w:sz w:val="22"/>
          <w:szCs w:val="22"/>
          <w:lang w:val="en-GB"/>
        </w:rPr>
        <w:t xml:space="preserve"> on the market of LMOs for direct use as food, feed or for processing.</w:t>
      </w:r>
    </w:p>
    <w:p w14:paraId="65774AA3" w14:textId="0BD75223" w:rsidR="0039156E" w:rsidRPr="00FA1E77" w:rsidRDefault="0039156E"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 83</w:t>
      </w:r>
      <w:r w:rsidR="00D730ED" w:rsidRPr="00FA1E77">
        <w:rPr>
          <w:snapToGrid w:val="0"/>
          <w:kern w:val="22"/>
          <w:sz w:val="22"/>
          <w:szCs w:val="22"/>
          <w:lang w:val="en-GB"/>
        </w:rPr>
        <w:t xml:space="preserve"> per cent</w:t>
      </w:r>
      <w:r w:rsidRPr="00FA1E77">
        <w:rPr>
          <w:snapToGrid w:val="0"/>
          <w:kern w:val="22"/>
          <w:sz w:val="22"/>
          <w:szCs w:val="22"/>
          <w:lang w:val="en-GB"/>
        </w:rPr>
        <w:t xml:space="preserve"> of Parties (77 Parties) reported having laws, regulations or administrative measures for decision-making regarding the import of LMOs for direct use as food, feed or for processing, which constitutes an increase of 13</w:t>
      </w:r>
      <w:r w:rsidR="00D730ED" w:rsidRPr="00FA1E77">
        <w:rPr>
          <w:snapToGrid w:val="0"/>
          <w:kern w:val="22"/>
          <w:sz w:val="22"/>
          <w:szCs w:val="22"/>
          <w:lang w:val="en-GB"/>
        </w:rPr>
        <w:t xml:space="preserve"> per cent</w:t>
      </w:r>
      <w:r w:rsidRPr="00FA1E77">
        <w:rPr>
          <w:snapToGrid w:val="0"/>
          <w:kern w:val="22"/>
          <w:sz w:val="22"/>
          <w:szCs w:val="22"/>
          <w:lang w:val="en-GB"/>
        </w:rPr>
        <w:t xml:space="preserve"> from the baseline.</w:t>
      </w:r>
    </w:p>
    <w:p w14:paraId="2C7731AC" w14:textId="2AC26E5A" w:rsidR="0039156E" w:rsidRPr="00FA1E77" w:rsidRDefault="0018260A"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w:t>
      </w:r>
      <w:r w:rsidR="0039156E" w:rsidRPr="00FA1E77">
        <w:rPr>
          <w:snapToGrid w:val="0"/>
          <w:kern w:val="22"/>
          <w:sz w:val="22"/>
          <w:szCs w:val="22"/>
          <w:lang w:val="en-GB"/>
        </w:rPr>
        <w:t xml:space="preserve"> total of </w:t>
      </w:r>
      <w:r w:rsidRPr="00FA1E77">
        <w:rPr>
          <w:snapToGrid w:val="0"/>
          <w:kern w:val="22"/>
          <w:sz w:val="22"/>
          <w:szCs w:val="22"/>
          <w:lang w:val="en-GB"/>
        </w:rPr>
        <w:t>70</w:t>
      </w:r>
      <w:r w:rsidR="00D730ED" w:rsidRPr="00FA1E77">
        <w:rPr>
          <w:snapToGrid w:val="0"/>
          <w:kern w:val="22"/>
          <w:sz w:val="22"/>
          <w:szCs w:val="22"/>
          <w:lang w:val="en-GB"/>
        </w:rPr>
        <w:t xml:space="preserve"> per cent</w:t>
      </w:r>
      <w:r w:rsidR="0039156E" w:rsidRPr="00FA1E77">
        <w:rPr>
          <w:snapToGrid w:val="0"/>
          <w:kern w:val="22"/>
          <w:sz w:val="22"/>
          <w:szCs w:val="22"/>
          <w:lang w:val="en-GB"/>
        </w:rPr>
        <w:t xml:space="preserve"> of Parties (</w:t>
      </w:r>
      <w:r w:rsidRPr="00FA1E77">
        <w:rPr>
          <w:snapToGrid w:val="0"/>
          <w:kern w:val="22"/>
          <w:sz w:val="22"/>
          <w:szCs w:val="22"/>
          <w:lang w:val="en-GB"/>
        </w:rPr>
        <w:t xml:space="preserve">21 </w:t>
      </w:r>
      <w:r w:rsidR="0039156E" w:rsidRPr="00FA1E77">
        <w:rPr>
          <w:snapToGrid w:val="0"/>
          <w:kern w:val="22"/>
          <w:sz w:val="22"/>
          <w:szCs w:val="22"/>
          <w:lang w:val="en-GB"/>
        </w:rPr>
        <w:t>Parties) reported having taken decisions regarding the import of LMOs for direct use as food or feed, or for processing.</w:t>
      </w:r>
      <w:r w:rsidR="0039156E" w:rsidRPr="00FA1E77">
        <w:rPr>
          <w:rStyle w:val="FootnoteReference"/>
          <w:snapToGrid w:val="0"/>
          <w:kern w:val="22"/>
          <w:sz w:val="22"/>
          <w:szCs w:val="22"/>
          <w:u w:val="none"/>
          <w:vertAlign w:val="superscript"/>
          <w:lang w:val="en-GB"/>
        </w:rPr>
        <w:footnoteReference w:id="24"/>
      </w:r>
      <w:r w:rsidR="00561D2C" w:rsidRPr="00FA1E77">
        <w:rPr>
          <w:snapToGrid w:val="0"/>
          <w:kern w:val="22"/>
          <w:sz w:val="22"/>
          <w:szCs w:val="22"/>
          <w:lang w:val="en-GB"/>
        </w:rPr>
        <w:t xml:space="preserve"> </w:t>
      </w:r>
      <w:r w:rsidR="0039156E" w:rsidRPr="00FA1E77">
        <w:rPr>
          <w:snapToGrid w:val="0"/>
          <w:kern w:val="22"/>
          <w:sz w:val="22"/>
          <w:szCs w:val="22"/>
          <w:lang w:val="en-GB"/>
        </w:rPr>
        <w:t>This constitutes a decrease of 6</w:t>
      </w:r>
      <w:r w:rsidR="00D730ED" w:rsidRPr="00FA1E77">
        <w:rPr>
          <w:snapToGrid w:val="0"/>
          <w:kern w:val="22"/>
          <w:sz w:val="22"/>
          <w:szCs w:val="22"/>
          <w:lang w:val="en-GB"/>
        </w:rPr>
        <w:t xml:space="preserve"> per cent </w:t>
      </w:r>
      <w:r w:rsidR="0039156E" w:rsidRPr="00FA1E77">
        <w:rPr>
          <w:snapToGrid w:val="0"/>
          <w:kern w:val="22"/>
          <w:sz w:val="22"/>
          <w:szCs w:val="22"/>
          <w:lang w:val="en-GB"/>
        </w:rPr>
        <w:t xml:space="preserve">from the baseline. </w:t>
      </w:r>
      <w:r w:rsidR="00B5185F" w:rsidRPr="00FA1E77">
        <w:rPr>
          <w:snapToGrid w:val="0"/>
          <w:kern w:val="22"/>
          <w:sz w:val="22"/>
          <w:szCs w:val="22"/>
          <w:lang w:val="en-GB"/>
        </w:rPr>
        <w:t>All these Parties reported having in place laws, regulations or administrative measures for decision</w:t>
      </w:r>
      <w:r w:rsidR="005B7E40" w:rsidRPr="00FA1E77">
        <w:rPr>
          <w:snapToGrid w:val="0"/>
          <w:kern w:val="22"/>
          <w:sz w:val="22"/>
          <w:szCs w:val="22"/>
          <w:lang w:val="en-GB"/>
        </w:rPr>
        <w:noBreakHyphen/>
      </w:r>
      <w:r w:rsidR="00B5185F" w:rsidRPr="00FA1E77">
        <w:rPr>
          <w:snapToGrid w:val="0"/>
          <w:kern w:val="22"/>
          <w:sz w:val="22"/>
          <w:szCs w:val="22"/>
          <w:lang w:val="en-GB"/>
        </w:rPr>
        <w:t>making regarding the import of LMOs for direct use as food, feed or for processing.</w:t>
      </w:r>
    </w:p>
    <w:p w14:paraId="69740DEF" w14:textId="0C0758F0" w:rsidR="000E1624" w:rsidRPr="00FA1E77" w:rsidRDefault="00472FFB"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Follow-up by the Committee in this regard has only indirectly taken place through its follow-up on compliance with the obligation to take the necessary measures to implement the Protocol, in accordance with Article 2, paragraph 1. Follow-up on the submission of decisions (and risk assessment summary reports) to the BCH in this regard is summarized </w:t>
      </w:r>
      <w:r w:rsidR="00E35AA1" w:rsidRPr="00FA1E77">
        <w:rPr>
          <w:snapToGrid w:val="0"/>
          <w:kern w:val="22"/>
          <w:sz w:val="22"/>
          <w:szCs w:val="22"/>
          <w:lang w:val="en-GB"/>
        </w:rPr>
        <w:t>in subsection (</w:t>
      </w:r>
      <w:r w:rsidR="0001241C" w:rsidRPr="00FA1E77">
        <w:rPr>
          <w:snapToGrid w:val="0"/>
          <w:kern w:val="22"/>
          <w:sz w:val="22"/>
          <w:szCs w:val="22"/>
          <w:lang w:val="en-GB"/>
        </w:rPr>
        <w:t>6</w:t>
      </w:r>
      <w:r w:rsidR="00E35AA1" w:rsidRPr="00FA1E77">
        <w:rPr>
          <w:snapToGrid w:val="0"/>
          <w:kern w:val="22"/>
          <w:sz w:val="22"/>
          <w:szCs w:val="22"/>
          <w:lang w:val="en-GB"/>
        </w:rPr>
        <w:t xml:space="preserve">) </w:t>
      </w:r>
      <w:r w:rsidRPr="00FA1E77">
        <w:rPr>
          <w:snapToGrid w:val="0"/>
          <w:kern w:val="22"/>
          <w:sz w:val="22"/>
          <w:szCs w:val="22"/>
          <w:lang w:val="en-GB"/>
        </w:rPr>
        <w:t>below</w:t>
      </w:r>
      <w:r w:rsidR="00337006" w:rsidRPr="00FA1E77">
        <w:rPr>
          <w:snapToGrid w:val="0"/>
          <w:kern w:val="22"/>
          <w:sz w:val="22"/>
          <w:szCs w:val="22"/>
          <w:lang w:val="en-GB"/>
        </w:rPr>
        <w:t>.</w:t>
      </w:r>
    </w:p>
    <w:p w14:paraId="46812B44" w14:textId="5CC554D6" w:rsidR="00B419F0" w:rsidRPr="00FA1E77" w:rsidRDefault="00327F4B" w:rsidP="00FA1E77">
      <w:pPr>
        <w:pStyle w:val="Heading3"/>
        <w:suppressLineNumbers/>
        <w:tabs>
          <w:tab w:val="clear" w:pos="567"/>
          <w:tab w:val="left" w:pos="1134"/>
        </w:tabs>
        <w:suppressAutoHyphens/>
        <w:ind w:left="1134" w:right="390" w:hanging="567"/>
        <w:jc w:val="left"/>
        <w:rPr>
          <w:i w:val="0"/>
          <w:iCs w:val="0"/>
          <w:snapToGrid w:val="0"/>
          <w:kern w:val="22"/>
          <w:szCs w:val="22"/>
        </w:rPr>
      </w:pPr>
      <w:r w:rsidRPr="00FA1E77">
        <w:rPr>
          <w:snapToGrid w:val="0"/>
          <w:kern w:val="22"/>
          <w:szCs w:val="22"/>
        </w:rPr>
        <w:t>4.</w:t>
      </w:r>
      <w:r w:rsidRPr="00FA1E77">
        <w:rPr>
          <w:snapToGrid w:val="0"/>
          <w:kern w:val="22"/>
          <w:szCs w:val="22"/>
        </w:rPr>
        <w:tab/>
      </w:r>
      <w:r w:rsidR="00B419F0" w:rsidRPr="00FA1E77">
        <w:rPr>
          <w:snapToGrid w:val="0"/>
          <w:kern w:val="22"/>
          <w:szCs w:val="22"/>
        </w:rPr>
        <w:t>Monitoring and enforcement system in place</w:t>
      </w:r>
      <w:r w:rsidR="002D5025" w:rsidRPr="00FA1E77">
        <w:rPr>
          <w:snapToGrid w:val="0"/>
          <w:kern w:val="22"/>
          <w:szCs w:val="22"/>
        </w:rPr>
        <w:t>:</w:t>
      </w:r>
      <w:r w:rsidR="002D5025" w:rsidRPr="00FA1E77">
        <w:rPr>
          <w:kern w:val="22"/>
          <w:szCs w:val="22"/>
        </w:rPr>
        <w:t xml:space="preserve"> </w:t>
      </w:r>
      <w:r w:rsidR="002D5025" w:rsidRPr="00FA1E77">
        <w:rPr>
          <w:snapToGrid w:val="0"/>
          <w:kern w:val="22"/>
          <w:szCs w:val="22"/>
        </w:rPr>
        <w:t>indicator 3.1.6 (Number of Parties having in place a monitoring and enforcement system)</w:t>
      </w:r>
    </w:p>
    <w:p w14:paraId="772CFB77" w14:textId="3A285A75" w:rsidR="00B419F0" w:rsidRPr="00FA1E77" w:rsidRDefault="00B419F0"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 77</w:t>
      </w:r>
      <w:r w:rsidR="00295007" w:rsidRPr="00FA1E77">
        <w:rPr>
          <w:snapToGrid w:val="0"/>
          <w:kern w:val="22"/>
          <w:sz w:val="22"/>
          <w:szCs w:val="22"/>
          <w:lang w:val="en-GB"/>
        </w:rPr>
        <w:t xml:space="preserve"> per cent</w:t>
      </w:r>
      <w:r w:rsidRPr="00FA1E77">
        <w:rPr>
          <w:snapToGrid w:val="0"/>
          <w:kern w:val="22"/>
          <w:sz w:val="22"/>
          <w:szCs w:val="22"/>
          <w:lang w:val="en-GB"/>
        </w:rPr>
        <w:t xml:space="preserve"> of Parties (53 Parties) reported having in place a system to monitor and enforce the implementation of the Cartagena Protocol</w:t>
      </w:r>
      <w:r w:rsidR="003D4D4F" w:rsidRPr="00FA1E77">
        <w:rPr>
          <w:snapToGrid w:val="0"/>
          <w:kern w:val="22"/>
          <w:sz w:val="22"/>
          <w:szCs w:val="22"/>
          <w:lang w:val="en-GB"/>
        </w:rPr>
        <w:t>.</w:t>
      </w:r>
      <w:r w:rsidR="003D4D4F" w:rsidRPr="00FA1E77">
        <w:rPr>
          <w:rStyle w:val="FootnoteReference"/>
          <w:iCs/>
          <w:snapToGrid w:val="0"/>
          <w:kern w:val="22"/>
          <w:sz w:val="22"/>
          <w:szCs w:val="22"/>
          <w:u w:val="none"/>
          <w:vertAlign w:val="superscript"/>
          <w:lang w:val="en-GB"/>
        </w:rPr>
        <w:footnoteReference w:id="25"/>
      </w:r>
      <w:r w:rsidRPr="00FA1E77">
        <w:rPr>
          <w:snapToGrid w:val="0"/>
          <w:kern w:val="22"/>
          <w:sz w:val="22"/>
          <w:szCs w:val="22"/>
          <w:lang w:val="en-GB"/>
        </w:rPr>
        <w:t xml:space="preserve"> </w:t>
      </w:r>
      <w:r w:rsidR="003D4D4F" w:rsidRPr="00FA1E77">
        <w:rPr>
          <w:snapToGrid w:val="0"/>
          <w:kern w:val="22"/>
          <w:sz w:val="22"/>
          <w:szCs w:val="22"/>
          <w:lang w:val="en-GB"/>
        </w:rPr>
        <w:t>This constitutes</w:t>
      </w:r>
      <w:r w:rsidRPr="00FA1E77">
        <w:rPr>
          <w:snapToGrid w:val="0"/>
          <w:kern w:val="22"/>
          <w:sz w:val="22"/>
          <w:szCs w:val="22"/>
          <w:lang w:val="en-GB"/>
        </w:rPr>
        <w:t xml:space="preserve"> an increase of 7</w:t>
      </w:r>
      <w:r w:rsidR="00295007" w:rsidRPr="00FA1E77">
        <w:rPr>
          <w:snapToGrid w:val="0"/>
          <w:kern w:val="22"/>
          <w:sz w:val="22"/>
          <w:szCs w:val="22"/>
          <w:lang w:val="en-GB"/>
        </w:rPr>
        <w:t xml:space="preserve"> per cent</w:t>
      </w:r>
      <w:r w:rsidRPr="00FA1E77">
        <w:rPr>
          <w:snapToGrid w:val="0"/>
          <w:kern w:val="22"/>
          <w:sz w:val="22"/>
          <w:szCs w:val="22"/>
          <w:lang w:val="en-GB"/>
        </w:rPr>
        <w:t xml:space="preserve"> from the baseline</w:t>
      </w:r>
      <w:r w:rsidRPr="00FA1E77">
        <w:rPr>
          <w:iCs/>
          <w:snapToGrid w:val="0"/>
          <w:kern w:val="22"/>
          <w:sz w:val="22"/>
          <w:szCs w:val="22"/>
          <w:lang w:val="en-GB"/>
        </w:rPr>
        <w:t>.</w:t>
      </w:r>
      <w:r w:rsidR="003D4D4F" w:rsidRPr="00FA1E77">
        <w:rPr>
          <w:rStyle w:val="FootnoteReference"/>
          <w:iCs/>
          <w:snapToGrid w:val="0"/>
          <w:kern w:val="22"/>
          <w:sz w:val="22"/>
          <w:szCs w:val="22"/>
          <w:u w:val="none"/>
          <w:vertAlign w:val="superscript"/>
          <w:lang w:val="en-GB"/>
        </w:rPr>
        <w:footnoteReference w:id="26"/>
      </w:r>
    </w:p>
    <w:p w14:paraId="1DB0E00A" w14:textId="12227484" w:rsidR="00B51CE7" w:rsidRPr="00FA1E77" w:rsidRDefault="00327F4B" w:rsidP="00FA1E77">
      <w:pPr>
        <w:pStyle w:val="Heading3"/>
        <w:suppressLineNumbers/>
        <w:tabs>
          <w:tab w:val="clear" w:pos="567"/>
        </w:tabs>
        <w:suppressAutoHyphens/>
        <w:ind w:left="1134" w:hanging="567"/>
        <w:jc w:val="left"/>
        <w:rPr>
          <w:i w:val="0"/>
          <w:iCs w:val="0"/>
          <w:snapToGrid w:val="0"/>
          <w:kern w:val="22"/>
          <w:szCs w:val="22"/>
        </w:rPr>
      </w:pPr>
      <w:r w:rsidRPr="00FA1E77">
        <w:rPr>
          <w:snapToGrid w:val="0"/>
          <w:kern w:val="22"/>
          <w:szCs w:val="22"/>
        </w:rPr>
        <w:t>5.</w:t>
      </w:r>
      <w:r w:rsidR="00065BAF" w:rsidRPr="00FA1E77">
        <w:rPr>
          <w:snapToGrid w:val="0"/>
          <w:kern w:val="22"/>
          <w:szCs w:val="22"/>
        </w:rPr>
        <w:tab/>
      </w:r>
      <w:r w:rsidR="000640E6" w:rsidRPr="00FA1E77">
        <w:rPr>
          <w:snapToGrid w:val="0"/>
          <w:kern w:val="22"/>
          <w:szCs w:val="22"/>
        </w:rPr>
        <w:t>Designation of national focal points</w:t>
      </w:r>
      <w:r w:rsidR="002D5025" w:rsidRPr="00FA1E77">
        <w:rPr>
          <w:snapToGrid w:val="0"/>
          <w:kern w:val="22"/>
          <w:szCs w:val="22"/>
        </w:rPr>
        <w:t>:</w:t>
      </w:r>
      <w:r w:rsidR="001E5E49" w:rsidRPr="00FA1E77">
        <w:rPr>
          <w:snapToGrid w:val="0"/>
          <w:kern w:val="22"/>
          <w:szCs w:val="22"/>
        </w:rPr>
        <w:t xml:space="preserve"> </w:t>
      </w:r>
      <w:r w:rsidR="002D5025" w:rsidRPr="00FA1E77">
        <w:rPr>
          <w:snapToGrid w:val="0"/>
          <w:kern w:val="22"/>
          <w:szCs w:val="22"/>
        </w:rPr>
        <w:t>indicator 3.1.3 (Percentage of Parties that designated all national focal points)</w:t>
      </w:r>
    </w:p>
    <w:p w14:paraId="555D22FD" w14:textId="17B5A160" w:rsidR="005103DA" w:rsidRPr="00FA1E77" w:rsidRDefault="00B71898"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w:t>
      </w:r>
      <w:r w:rsidR="00B51CE7" w:rsidRPr="00FA1E77">
        <w:rPr>
          <w:snapToGrid w:val="0"/>
          <w:kern w:val="22"/>
          <w:sz w:val="22"/>
          <w:szCs w:val="22"/>
          <w:lang w:val="en-GB"/>
        </w:rPr>
        <w:t xml:space="preserve"> 98</w:t>
      </w:r>
      <w:r w:rsidR="00295007" w:rsidRPr="00FA1E77">
        <w:rPr>
          <w:snapToGrid w:val="0"/>
          <w:kern w:val="22"/>
          <w:sz w:val="22"/>
          <w:szCs w:val="22"/>
          <w:lang w:val="en-GB"/>
        </w:rPr>
        <w:t xml:space="preserve"> per cent</w:t>
      </w:r>
      <w:r w:rsidR="00B51CE7" w:rsidRPr="00FA1E77">
        <w:rPr>
          <w:snapToGrid w:val="0"/>
          <w:kern w:val="22"/>
          <w:sz w:val="22"/>
          <w:szCs w:val="22"/>
          <w:lang w:val="en-GB"/>
        </w:rPr>
        <w:t xml:space="preserve"> of all Parties to the Protocol (168</w:t>
      </w:r>
      <w:r w:rsidR="00E825E9" w:rsidRPr="00FA1E77">
        <w:rPr>
          <w:snapToGrid w:val="0"/>
          <w:kern w:val="22"/>
          <w:sz w:val="22"/>
          <w:szCs w:val="22"/>
          <w:lang w:val="en-GB"/>
        </w:rPr>
        <w:t xml:space="preserve"> out of 171</w:t>
      </w:r>
      <w:r w:rsidR="00B51CE7" w:rsidRPr="00FA1E77">
        <w:rPr>
          <w:snapToGrid w:val="0"/>
          <w:kern w:val="22"/>
          <w:sz w:val="22"/>
          <w:szCs w:val="22"/>
          <w:lang w:val="en-GB"/>
        </w:rPr>
        <w:t xml:space="preserve"> Parties) have designated their national focal point for the Cartagena Protocol</w:t>
      </w:r>
      <w:r w:rsidR="00FD09EF" w:rsidRPr="00FA1E77">
        <w:rPr>
          <w:snapToGrid w:val="0"/>
          <w:kern w:val="22"/>
          <w:sz w:val="22"/>
          <w:szCs w:val="22"/>
          <w:lang w:val="en-GB"/>
        </w:rPr>
        <w:t xml:space="preserve">. This constitutes a decrease of </w:t>
      </w:r>
      <w:r w:rsidR="004F2043" w:rsidRPr="00FA1E77">
        <w:rPr>
          <w:snapToGrid w:val="0"/>
          <w:kern w:val="22"/>
          <w:sz w:val="22"/>
          <w:szCs w:val="22"/>
          <w:lang w:val="en-GB"/>
        </w:rPr>
        <w:t>1</w:t>
      </w:r>
      <w:r w:rsidR="00295007" w:rsidRPr="00FA1E77">
        <w:rPr>
          <w:snapToGrid w:val="0"/>
          <w:kern w:val="22"/>
          <w:sz w:val="22"/>
          <w:szCs w:val="22"/>
          <w:lang w:val="en-GB"/>
        </w:rPr>
        <w:t xml:space="preserve"> per cent</w:t>
      </w:r>
      <w:r w:rsidR="004F2043" w:rsidRPr="00FA1E77">
        <w:rPr>
          <w:snapToGrid w:val="0"/>
          <w:kern w:val="22"/>
          <w:sz w:val="22"/>
          <w:szCs w:val="22"/>
          <w:lang w:val="en-GB"/>
        </w:rPr>
        <w:t xml:space="preserve"> from the baseline</w:t>
      </w:r>
      <w:r w:rsidR="00FD09EF" w:rsidRPr="00FA1E77">
        <w:rPr>
          <w:snapToGrid w:val="0"/>
          <w:kern w:val="22"/>
          <w:sz w:val="22"/>
          <w:szCs w:val="22"/>
          <w:lang w:val="en-GB"/>
        </w:rPr>
        <w:t>,</w:t>
      </w:r>
      <w:r w:rsidR="004F2043" w:rsidRPr="00FA1E77">
        <w:rPr>
          <w:snapToGrid w:val="0"/>
          <w:kern w:val="22"/>
          <w:sz w:val="22"/>
          <w:szCs w:val="22"/>
          <w:lang w:val="en-GB"/>
        </w:rPr>
        <w:t xml:space="preserve"> when 159 out of 161 Parties </w:t>
      </w:r>
      <w:r w:rsidR="00A607C1" w:rsidRPr="00FA1E77">
        <w:rPr>
          <w:snapToGrid w:val="0"/>
          <w:kern w:val="22"/>
          <w:sz w:val="22"/>
          <w:szCs w:val="22"/>
          <w:lang w:val="en-GB"/>
        </w:rPr>
        <w:t>(99</w:t>
      </w:r>
      <w:r w:rsidR="00837D0D" w:rsidRPr="00510EF6">
        <w:rPr>
          <w:snapToGrid w:val="0"/>
          <w:kern w:val="22"/>
          <w:sz w:val="22"/>
          <w:szCs w:val="22"/>
          <w:lang w:val="en-GB"/>
        </w:rPr>
        <w:t> per cent</w:t>
      </w:r>
      <w:r w:rsidR="00A607C1" w:rsidRPr="00FA1E77">
        <w:rPr>
          <w:snapToGrid w:val="0"/>
          <w:kern w:val="22"/>
          <w:sz w:val="22"/>
          <w:szCs w:val="22"/>
          <w:lang w:val="en-GB"/>
        </w:rPr>
        <w:t xml:space="preserve">) </w:t>
      </w:r>
      <w:r w:rsidR="004F2043" w:rsidRPr="00FA1E77">
        <w:rPr>
          <w:snapToGrid w:val="0"/>
          <w:kern w:val="22"/>
          <w:sz w:val="22"/>
          <w:szCs w:val="22"/>
          <w:lang w:val="en-GB"/>
        </w:rPr>
        <w:t>had done so</w:t>
      </w:r>
      <w:r w:rsidR="00B51CE7" w:rsidRPr="00FA1E77">
        <w:rPr>
          <w:snapToGrid w:val="0"/>
          <w:kern w:val="22"/>
          <w:sz w:val="22"/>
          <w:szCs w:val="22"/>
          <w:lang w:val="en-GB"/>
        </w:rPr>
        <w:t>. A total of 99</w:t>
      </w:r>
      <w:r w:rsidR="00295007" w:rsidRPr="00FA1E77">
        <w:rPr>
          <w:snapToGrid w:val="0"/>
          <w:kern w:val="22"/>
          <w:sz w:val="22"/>
          <w:szCs w:val="22"/>
          <w:lang w:val="en-GB"/>
        </w:rPr>
        <w:t xml:space="preserve"> per cent</w:t>
      </w:r>
      <w:r w:rsidR="00B51CE7" w:rsidRPr="00FA1E77">
        <w:rPr>
          <w:snapToGrid w:val="0"/>
          <w:kern w:val="22"/>
          <w:sz w:val="22"/>
          <w:szCs w:val="22"/>
          <w:lang w:val="en-GB"/>
        </w:rPr>
        <w:t xml:space="preserve"> of all Parties to the Protocol (169 Parties) have designated their focal point for the BCH</w:t>
      </w:r>
      <w:r w:rsidR="004F2043" w:rsidRPr="00FA1E77">
        <w:rPr>
          <w:snapToGrid w:val="0"/>
          <w:kern w:val="22"/>
          <w:sz w:val="22"/>
          <w:szCs w:val="22"/>
          <w:lang w:val="en-GB"/>
        </w:rPr>
        <w:t xml:space="preserve"> (no change from the baseline)</w:t>
      </w:r>
      <w:r w:rsidR="00B51CE7" w:rsidRPr="00FA1E77">
        <w:rPr>
          <w:snapToGrid w:val="0"/>
          <w:kern w:val="22"/>
          <w:sz w:val="22"/>
          <w:szCs w:val="22"/>
          <w:lang w:val="en-GB"/>
        </w:rPr>
        <w:t>.</w:t>
      </w:r>
      <w:r w:rsidR="004F2043" w:rsidRPr="00FA1E77">
        <w:rPr>
          <w:snapToGrid w:val="0"/>
          <w:kern w:val="22"/>
          <w:sz w:val="22"/>
          <w:szCs w:val="22"/>
          <w:lang w:val="en-GB"/>
        </w:rPr>
        <w:t xml:space="preserve"> A</w:t>
      </w:r>
      <w:r w:rsidR="00B51CE7" w:rsidRPr="00FA1E77">
        <w:rPr>
          <w:snapToGrid w:val="0"/>
          <w:kern w:val="22"/>
          <w:sz w:val="22"/>
          <w:szCs w:val="22"/>
          <w:lang w:val="en-GB"/>
        </w:rPr>
        <w:t xml:space="preserve"> total of 78</w:t>
      </w:r>
      <w:r w:rsidR="00295007" w:rsidRPr="00FA1E77">
        <w:rPr>
          <w:snapToGrid w:val="0"/>
          <w:kern w:val="22"/>
          <w:sz w:val="22"/>
          <w:szCs w:val="22"/>
          <w:lang w:val="en-GB"/>
        </w:rPr>
        <w:t xml:space="preserve"> per cent</w:t>
      </w:r>
      <w:r w:rsidR="00B51CE7" w:rsidRPr="00FA1E77">
        <w:rPr>
          <w:snapToGrid w:val="0"/>
          <w:kern w:val="22"/>
          <w:sz w:val="22"/>
          <w:szCs w:val="22"/>
          <w:lang w:val="en-GB"/>
        </w:rPr>
        <w:t xml:space="preserve"> of all Parties to the Protocol (133 Parties) have made available to the BCH information concerning their point of contact for receiving notifications under Article 17. This represents an increase of 34</w:t>
      </w:r>
      <w:r w:rsidR="00295007" w:rsidRPr="00FA1E77">
        <w:rPr>
          <w:snapToGrid w:val="0"/>
          <w:kern w:val="22"/>
          <w:sz w:val="22"/>
          <w:szCs w:val="22"/>
          <w:lang w:val="en-GB"/>
        </w:rPr>
        <w:t xml:space="preserve"> per cent</w:t>
      </w:r>
      <w:r w:rsidR="00B51CE7" w:rsidRPr="00FA1E77">
        <w:rPr>
          <w:snapToGrid w:val="0"/>
          <w:kern w:val="22"/>
          <w:sz w:val="22"/>
          <w:szCs w:val="22"/>
          <w:lang w:val="en-GB"/>
        </w:rPr>
        <w:t xml:space="preserve"> from the baseline when it was 44</w:t>
      </w:r>
      <w:r w:rsidR="00295007" w:rsidRPr="00FA1E77">
        <w:rPr>
          <w:snapToGrid w:val="0"/>
          <w:kern w:val="22"/>
          <w:sz w:val="22"/>
          <w:szCs w:val="22"/>
          <w:lang w:val="en-GB"/>
        </w:rPr>
        <w:t xml:space="preserve"> per cent</w:t>
      </w:r>
      <w:r w:rsidR="00B51CE7" w:rsidRPr="00FA1E77">
        <w:rPr>
          <w:snapToGrid w:val="0"/>
          <w:kern w:val="22"/>
          <w:sz w:val="22"/>
          <w:szCs w:val="22"/>
          <w:lang w:val="en-GB"/>
        </w:rPr>
        <w:t xml:space="preserve"> (71 of the 161 Parties at the time)</w:t>
      </w:r>
      <w:r w:rsidR="00B51CE7" w:rsidRPr="00FA1E77">
        <w:rPr>
          <w:iCs/>
          <w:snapToGrid w:val="0"/>
          <w:kern w:val="22"/>
          <w:sz w:val="22"/>
          <w:szCs w:val="22"/>
          <w:lang w:val="en-GB"/>
        </w:rPr>
        <w:t>.</w:t>
      </w:r>
    </w:p>
    <w:p w14:paraId="7E481D2D" w14:textId="2DFC9334" w:rsidR="005103DA" w:rsidRPr="00FA1E77" w:rsidRDefault="00B51CE7"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iCs/>
          <w:snapToGrid w:val="0"/>
          <w:kern w:val="22"/>
          <w:sz w:val="22"/>
          <w:szCs w:val="22"/>
          <w:lang w:val="en-GB"/>
        </w:rPr>
        <w:t xml:space="preserve">The Compliance Committee </w:t>
      </w:r>
      <w:r w:rsidR="00296A8A" w:rsidRPr="00FA1E77">
        <w:rPr>
          <w:iCs/>
          <w:snapToGrid w:val="0"/>
          <w:kern w:val="22"/>
          <w:sz w:val="22"/>
          <w:szCs w:val="22"/>
          <w:lang w:val="en-GB"/>
        </w:rPr>
        <w:t xml:space="preserve">has </w:t>
      </w:r>
      <w:r w:rsidRPr="00FA1E77">
        <w:rPr>
          <w:iCs/>
          <w:snapToGrid w:val="0"/>
          <w:kern w:val="22"/>
          <w:sz w:val="22"/>
          <w:szCs w:val="22"/>
          <w:lang w:val="en-GB"/>
        </w:rPr>
        <w:t>regularly review</w:t>
      </w:r>
      <w:r w:rsidR="00296A8A" w:rsidRPr="00FA1E77">
        <w:rPr>
          <w:iCs/>
          <w:snapToGrid w:val="0"/>
          <w:kern w:val="22"/>
          <w:sz w:val="22"/>
          <w:szCs w:val="22"/>
          <w:lang w:val="en-GB"/>
        </w:rPr>
        <w:t>ed</w:t>
      </w:r>
      <w:r w:rsidRPr="00FA1E77">
        <w:rPr>
          <w:iCs/>
          <w:snapToGrid w:val="0"/>
          <w:kern w:val="22"/>
          <w:sz w:val="22"/>
          <w:szCs w:val="22"/>
          <w:lang w:val="en-GB"/>
        </w:rPr>
        <w:t xml:space="preserve"> compliance by Parties </w:t>
      </w:r>
      <w:r w:rsidR="00C613B0" w:rsidRPr="00FA1E77">
        <w:rPr>
          <w:iCs/>
          <w:snapToGrid w:val="0"/>
          <w:kern w:val="22"/>
          <w:sz w:val="22"/>
          <w:szCs w:val="22"/>
          <w:lang w:val="en-GB"/>
        </w:rPr>
        <w:t>with the</w:t>
      </w:r>
      <w:r w:rsidR="00200222" w:rsidRPr="00FA1E77">
        <w:rPr>
          <w:iCs/>
          <w:snapToGrid w:val="0"/>
          <w:kern w:val="22"/>
          <w:sz w:val="22"/>
          <w:szCs w:val="22"/>
          <w:lang w:val="en-GB"/>
        </w:rPr>
        <w:t>ir</w:t>
      </w:r>
      <w:r w:rsidR="00C613B0" w:rsidRPr="00FA1E77">
        <w:rPr>
          <w:iCs/>
          <w:snapToGrid w:val="0"/>
          <w:kern w:val="22"/>
          <w:sz w:val="22"/>
          <w:szCs w:val="22"/>
          <w:lang w:val="en-GB"/>
        </w:rPr>
        <w:t xml:space="preserve"> obligation to designate national focal point</w:t>
      </w:r>
      <w:r w:rsidR="00561D2C" w:rsidRPr="00FA1E77">
        <w:rPr>
          <w:iCs/>
          <w:snapToGrid w:val="0"/>
          <w:kern w:val="22"/>
          <w:sz w:val="22"/>
          <w:szCs w:val="22"/>
          <w:lang w:val="en-GB"/>
        </w:rPr>
        <w:t>s</w:t>
      </w:r>
      <w:r w:rsidR="00FE3840" w:rsidRPr="00FA1E77">
        <w:rPr>
          <w:iCs/>
          <w:snapToGrid w:val="0"/>
          <w:kern w:val="22"/>
          <w:sz w:val="22"/>
          <w:szCs w:val="22"/>
          <w:lang w:val="en-GB"/>
        </w:rPr>
        <w:t xml:space="preserve"> pursuant to</w:t>
      </w:r>
      <w:r w:rsidR="008A6CA3" w:rsidRPr="00FA1E77">
        <w:rPr>
          <w:iCs/>
          <w:snapToGrid w:val="0"/>
          <w:kern w:val="22"/>
          <w:sz w:val="22"/>
          <w:szCs w:val="22"/>
          <w:lang w:val="en-GB"/>
        </w:rPr>
        <w:t xml:space="preserve"> </w:t>
      </w:r>
      <w:r w:rsidR="00200222" w:rsidRPr="00FA1E77">
        <w:rPr>
          <w:iCs/>
          <w:snapToGrid w:val="0"/>
          <w:kern w:val="22"/>
          <w:sz w:val="22"/>
          <w:szCs w:val="22"/>
          <w:lang w:val="en-GB"/>
        </w:rPr>
        <w:t xml:space="preserve">the Committee’s cyclical </w:t>
      </w:r>
      <w:r w:rsidR="008A6CA3" w:rsidRPr="00FA1E77">
        <w:rPr>
          <w:iCs/>
          <w:snapToGrid w:val="0"/>
          <w:kern w:val="22"/>
          <w:sz w:val="22"/>
          <w:szCs w:val="22"/>
          <w:lang w:val="en-GB"/>
        </w:rPr>
        <w:t>organization of work, agreed to at its eighth meeting</w:t>
      </w:r>
      <w:r w:rsidR="001835D1" w:rsidRPr="00FA1E77">
        <w:rPr>
          <w:iCs/>
          <w:snapToGrid w:val="0"/>
          <w:kern w:val="22"/>
          <w:sz w:val="22"/>
          <w:szCs w:val="22"/>
          <w:lang w:val="en-GB"/>
        </w:rPr>
        <w:t>, in particular in the context of its review of compliance on the basis of information in the BCH</w:t>
      </w:r>
      <w:r w:rsidR="00200222" w:rsidRPr="00FA1E77">
        <w:rPr>
          <w:iCs/>
          <w:snapToGrid w:val="0"/>
          <w:kern w:val="22"/>
          <w:sz w:val="22"/>
          <w:szCs w:val="22"/>
          <w:lang w:val="en-GB"/>
        </w:rPr>
        <w:t>.</w:t>
      </w:r>
      <w:r w:rsidR="00BC56B2" w:rsidRPr="00FA1E77">
        <w:rPr>
          <w:rStyle w:val="FootnoteReference"/>
          <w:iCs/>
          <w:snapToGrid w:val="0"/>
          <w:kern w:val="22"/>
          <w:sz w:val="22"/>
          <w:szCs w:val="22"/>
          <w:u w:val="none"/>
          <w:vertAlign w:val="superscript"/>
          <w:lang w:val="en-GB"/>
        </w:rPr>
        <w:footnoteReference w:id="27"/>
      </w:r>
      <w:r w:rsidR="00200222" w:rsidRPr="00FA1E77">
        <w:rPr>
          <w:iCs/>
          <w:snapToGrid w:val="0"/>
          <w:kern w:val="22"/>
          <w:sz w:val="22"/>
          <w:szCs w:val="22"/>
          <w:lang w:val="en-GB"/>
        </w:rPr>
        <w:t xml:space="preserve"> </w:t>
      </w:r>
      <w:r w:rsidR="00FE3840" w:rsidRPr="00FA1E77">
        <w:rPr>
          <w:iCs/>
          <w:snapToGrid w:val="0"/>
          <w:kern w:val="22"/>
          <w:sz w:val="22"/>
          <w:szCs w:val="22"/>
          <w:lang w:val="en-GB"/>
        </w:rPr>
        <w:t xml:space="preserve">The Committee has also reviewed this matter in the context of its review of general issues of compliance. </w:t>
      </w:r>
      <w:r w:rsidR="00200222" w:rsidRPr="00FA1E77">
        <w:rPr>
          <w:iCs/>
          <w:snapToGrid w:val="0"/>
          <w:kern w:val="22"/>
          <w:sz w:val="22"/>
          <w:szCs w:val="22"/>
          <w:lang w:val="en-GB"/>
        </w:rPr>
        <w:t>The Committee</w:t>
      </w:r>
      <w:r w:rsidRPr="00FA1E77">
        <w:rPr>
          <w:iCs/>
          <w:snapToGrid w:val="0"/>
          <w:kern w:val="22"/>
          <w:sz w:val="22"/>
          <w:szCs w:val="22"/>
          <w:lang w:val="en-GB"/>
        </w:rPr>
        <w:t xml:space="preserve"> has </w:t>
      </w:r>
      <w:r w:rsidR="00ED7078" w:rsidRPr="00FA1E77">
        <w:rPr>
          <w:iCs/>
          <w:snapToGrid w:val="0"/>
          <w:kern w:val="22"/>
          <w:sz w:val="22"/>
          <w:szCs w:val="22"/>
          <w:lang w:val="en-GB"/>
        </w:rPr>
        <w:t>followed-up with Parties concerned</w:t>
      </w:r>
      <w:r w:rsidR="008A6CA3" w:rsidRPr="00FA1E77">
        <w:rPr>
          <w:iCs/>
          <w:snapToGrid w:val="0"/>
          <w:kern w:val="22"/>
          <w:sz w:val="22"/>
          <w:szCs w:val="22"/>
          <w:lang w:val="en-GB"/>
        </w:rPr>
        <w:t>, in particular by mandating the Secretariat to remind Parties of their obligation to designate national focal points. The follow-up by the Committee is</w:t>
      </w:r>
      <w:r w:rsidRPr="00FA1E77">
        <w:rPr>
          <w:iCs/>
          <w:snapToGrid w:val="0"/>
          <w:kern w:val="22"/>
          <w:sz w:val="22"/>
          <w:szCs w:val="22"/>
          <w:lang w:val="en-GB"/>
        </w:rPr>
        <w:t xml:space="preserve"> likely to have contributed to </w:t>
      </w:r>
      <w:r w:rsidR="00200222" w:rsidRPr="00FA1E77">
        <w:rPr>
          <w:iCs/>
          <w:snapToGrid w:val="0"/>
          <w:kern w:val="22"/>
          <w:sz w:val="22"/>
          <w:szCs w:val="22"/>
          <w:lang w:val="en-GB"/>
        </w:rPr>
        <w:t xml:space="preserve">the consistently </w:t>
      </w:r>
      <w:r w:rsidRPr="00FA1E77">
        <w:rPr>
          <w:iCs/>
          <w:snapToGrid w:val="0"/>
          <w:kern w:val="22"/>
          <w:sz w:val="22"/>
          <w:szCs w:val="22"/>
          <w:lang w:val="en-GB"/>
        </w:rPr>
        <w:t>high levels of compliance by Parties</w:t>
      </w:r>
      <w:r w:rsidR="008A6CA3" w:rsidRPr="00FA1E77">
        <w:rPr>
          <w:iCs/>
          <w:snapToGrid w:val="0"/>
          <w:kern w:val="22"/>
          <w:sz w:val="22"/>
          <w:szCs w:val="22"/>
          <w:lang w:val="en-GB"/>
        </w:rPr>
        <w:t xml:space="preserve"> in </w:t>
      </w:r>
      <w:r w:rsidR="00FD09EF" w:rsidRPr="00FA1E77">
        <w:rPr>
          <w:iCs/>
          <w:snapToGrid w:val="0"/>
          <w:kern w:val="22"/>
          <w:sz w:val="22"/>
          <w:szCs w:val="22"/>
          <w:lang w:val="en-GB"/>
        </w:rPr>
        <w:t>this regard</w:t>
      </w:r>
      <w:r w:rsidR="008A6CA3" w:rsidRPr="00FA1E77">
        <w:rPr>
          <w:iCs/>
          <w:snapToGrid w:val="0"/>
          <w:kern w:val="22"/>
          <w:sz w:val="22"/>
          <w:szCs w:val="22"/>
          <w:lang w:val="en-GB"/>
        </w:rPr>
        <w:t>.</w:t>
      </w:r>
    </w:p>
    <w:p w14:paraId="204ED5F4" w14:textId="45D02270" w:rsidR="005103DA" w:rsidRPr="00FA1E77" w:rsidRDefault="00195100"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Most recently, the Committee reviewed this issue at its </w:t>
      </w:r>
      <w:r w:rsidR="00630F18" w:rsidRPr="00FA1E77">
        <w:rPr>
          <w:snapToGrid w:val="0"/>
          <w:kern w:val="22"/>
          <w:sz w:val="22"/>
          <w:szCs w:val="22"/>
          <w:lang w:val="en-GB"/>
        </w:rPr>
        <w:t xml:space="preserve">sixteenth </w:t>
      </w:r>
      <w:r w:rsidRPr="00FA1E77">
        <w:rPr>
          <w:snapToGrid w:val="0"/>
          <w:kern w:val="22"/>
          <w:sz w:val="22"/>
          <w:szCs w:val="22"/>
          <w:lang w:val="en-GB"/>
        </w:rPr>
        <w:t>meeting, held from 29 to 31 May 2019</w:t>
      </w:r>
      <w:r w:rsidR="00F7050E" w:rsidRPr="00FA1E77">
        <w:rPr>
          <w:snapToGrid w:val="0"/>
          <w:kern w:val="22"/>
          <w:sz w:val="22"/>
          <w:szCs w:val="22"/>
          <w:lang w:val="en-GB"/>
        </w:rPr>
        <w:t>, whe</w:t>
      </w:r>
      <w:r w:rsidR="00FD504D" w:rsidRPr="00510EF6">
        <w:rPr>
          <w:snapToGrid w:val="0"/>
          <w:kern w:val="22"/>
          <w:sz w:val="22"/>
          <w:szCs w:val="22"/>
          <w:lang w:val="en-GB"/>
        </w:rPr>
        <w:t>n</w:t>
      </w:r>
      <w:r w:rsidR="00F7050E" w:rsidRPr="00FA1E77">
        <w:rPr>
          <w:snapToGrid w:val="0"/>
          <w:kern w:val="22"/>
          <w:sz w:val="22"/>
          <w:szCs w:val="22"/>
          <w:lang w:val="en-GB"/>
        </w:rPr>
        <w:t xml:space="preserve"> it requested the Secretariat to follow</w:t>
      </w:r>
      <w:r w:rsidR="009A5E5B" w:rsidRPr="00510EF6">
        <w:rPr>
          <w:snapToGrid w:val="0"/>
          <w:kern w:val="22"/>
          <w:sz w:val="22"/>
          <w:szCs w:val="22"/>
          <w:lang w:val="en-GB"/>
        </w:rPr>
        <w:t xml:space="preserve"> </w:t>
      </w:r>
      <w:r w:rsidR="00F7050E" w:rsidRPr="00FA1E77">
        <w:rPr>
          <w:snapToGrid w:val="0"/>
          <w:kern w:val="22"/>
          <w:sz w:val="22"/>
          <w:szCs w:val="22"/>
          <w:lang w:val="en-GB"/>
        </w:rPr>
        <w:t xml:space="preserve">up with those Parties that had </w:t>
      </w:r>
      <w:r w:rsidR="00A607C1" w:rsidRPr="00FA1E77">
        <w:rPr>
          <w:snapToGrid w:val="0"/>
          <w:kern w:val="22"/>
          <w:sz w:val="22"/>
          <w:szCs w:val="22"/>
          <w:lang w:val="en-GB"/>
        </w:rPr>
        <w:t xml:space="preserve">not </w:t>
      </w:r>
      <w:r w:rsidR="00F7050E" w:rsidRPr="00FA1E77">
        <w:rPr>
          <w:snapToGrid w:val="0"/>
          <w:kern w:val="22"/>
          <w:sz w:val="22"/>
          <w:szCs w:val="22"/>
          <w:lang w:val="en-GB"/>
        </w:rPr>
        <w:t>made available to the BCH the relevant details setting out their point of contact for the purpose of receiving notifications under Article 17 of the Protocol. It also decided that its Chair would send a letter to those Parties that had not designated their national focal point for the Protocol, or for the BCH</w:t>
      </w:r>
      <w:r w:rsidR="00F7050E" w:rsidRPr="00FA1E77">
        <w:rPr>
          <w:kern w:val="22"/>
          <w:sz w:val="22"/>
          <w:szCs w:val="22"/>
          <w:lang w:val="en-GB"/>
        </w:rPr>
        <w:t>.</w:t>
      </w:r>
      <w:r w:rsidR="00F7050E" w:rsidRPr="00FA1E77">
        <w:rPr>
          <w:rStyle w:val="FootnoteReference"/>
          <w:iCs/>
          <w:snapToGrid w:val="0"/>
          <w:kern w:val="22"/>
          <w:sz w:val="22"/>
          <w:szCs w:val="22"/>
          <w:u w:val="none"/>
          <w:vertAlign w:val="superscript"/>
          <w:lang w:val="en-GB"/>
        </w:rPr>
        <w:footnoteReference w:id="28"/>
      </w:r>
    </w:p>
    <w:p w14:paraId="4F3E494D" w14:textId="30CF0BBA" w:rsidR="00B419F0" w:rsidRPr="00FA1E77" w:rsidRDefault="00956953" w:rsidP="00FA1E77">
      <w:pPr>
        <w:pStyle w:val="ListParagraph"/>
        <w:numPr>
          <w:ilvl w:val="0"/>
          <w:numId w:val="17"/>
        </w:numPr>
        <w:suppressLineNumbers/>
        <w:tabs>
          <w:tab w:val="clear" w:pos="644"/>
        </w:tabs>
        <w:suppressAutoHyphens/>
        <w:snapToGrid w:val="0"/>
        <w:spacing w:before="120" w:after="120"/>
        <w:ind w:left="0"/>
        <w:jc w:val="both"/>
        <w:rPr>
          <w:snapToGrid w:val="0"/>
          <w:spacing w:val="-6"/>
          <w:kern w:val="22"/>
          <w:sz w:val="22"/>
          <w:szCs w:val="22"/>
          <w:lang w:val="en-GB"/>
        </w:rPr>
      </w:pPr>
      <w:r w:rsidRPr="00FA1E77">
        <w:rPr>
          <w:spacing w:val="-6"/>
          <w:kern w:val="22"/>
          <w:sz w:val="22"/>
          <w:szCs w:val="22"/>
          <w:lang w:val="en-GB"/>
        </w:rPr>
        <w:t xml:space="preserve">More information on follow-up by the Committee </w:t>
      </w:r>
      <w:r w:rsidR="004B71C1" w:rsidRPr="00FA1E77">
        <w:rPr>
          <w:spacing w:val="-6"/>
          <w:kern w:val="22"/>
          <w:sz w:val="22"/>
          <w:szCs w:val="22"/>
          <w:lang w:val="en-GB"/>
        </w:rPr>
        <w:t xml:space="preserve">in this regard is provided in document CBD/CP/CC/17/4. Information on </w:t>
      </w:r>
      <w:r w:rsidRPr="00FA1E77">
        <w:rPr>
          <w:spacing w:val="-6"/>
          <w:kern w:val="22"/>
          <w:sz w:val="22"/>
          <w:szCs w:val="22"/>
          <w:lang w:val="en-GB"/>
        </w:rPr>
        <w:t xml:space="preserve">the obligation to submit information to the BCH is provided </w:t>
      </w:r>
      <w:r w:rsidR="004B71C1" w:rsidRPr="00FA1E77">
        <w:rPr>
          <w:spacing w:val="-6"/>
          <w:kern w:val="22"/>
          <w:sz w:val="22"/>
          <w:szCs w:val="22"/>
          <w:lang w:val="en-GB"/>
        </w:rPr>
        <w:t>in subsection</w:t>
      </w:r>
      <w:r w:rsidR="0054637E" w:rsidRPr="00510EF6">
        <w:rPr>
          <w:spacing w:val="-6"/>
          <w:kern w:val="22"/>
          <w:sz w:val="22"/>
          <w:szCs w:val="22"/>
          <w:lang w:val="en-GB"/>
        </w:rPr>
        <w:t> </w:t>
      </w:r>
      <w:r w:rsidR="004B71C1" w:rsidRPr="00FA1E77">
        <w:rPr>
          <w:spacing w:val="-6"/>
          <w:kern w:val="22"/>
          <w:sz w:val="22"/>
          <w:szCs w:val="22"/>
          <w:lang w:val="en-GB"/>
        </w:rPr>
        <w:t>(</w:t>
      </w:r>
      <w:r w:rsidR="00630F18" w:rsidRPr="00FA1E77">
        <w:rPr>
          <w:spacing w:val="-6"/>
          <w:kern w:val="22"/>
          <w:sz w:val="22"/>
          <w:szCs w:val="22"/>
          <w:lang w:val="en-GB"/>
        </w:rPr>
        <w:t>6</w:t>
      </w:r>
      <w:r w:rsidR="004B71C1" w:rsidRPr="00FA1E77">
        <w:rPr>
          <w:spacing w:val="-6"/>
          <w:kern w:val="22"/>
          <w:sz w:val="22"/>
          <w:szCs w:val="22"/>
          <w:lang w:val="en-GB"/>
        </w:rPr>
        <w:t xml:space="preserve">) </w:t>
      </w:r>
      <w:r w:rsidRPr="00FA1E77">
        <w:rPr>
          <w:spacing w:val="-6"/>
          <w:kern w:val="22"/>
          <w:sz w:val="22"/>
          <w:szCs w:val="22"/>
          <w:lang w:val="en-GB"/>
        </w:rPr>
        <w:t>below.</w:t>
      </w:r>
    </w:p>
    <w:p w14:paraId="1F6C0E55" w14:textId="1C0FFA70" w:rsidR="00D25343" w:rsidRPr="00FA1E77" w:rsidRDefault="00065BAF" w:rsidP="00FA1E77">
      <w:pPr>
        <w:pStyle w:val="Heading3"/>
        <w:suppressLineNumbers/>
        <w:tabs>
          <w:tab w:val="clear" w:pos="567"/>
        </w:tabs>
        <w:suppressAutoHyphens/>
        <w:ind w:left="1276" w:right="57" w:hanging="709"/>
        <w:jc w:val="left"/>
        <w:rPr>
          <w:i w:val="0"/>
          <w:iCs w:val="0"/>
          <w:snapToGrid w:val="0"/>
          <w:kern w:val="22"/>
          <w:szCs w:val="22"/>
        </w:rPr>
      </w:pPr>
      <w:r w:rsidRPr="00FA1E77">
        <w:rPr>
          <w:snapToGrid w:val="0"/>
          <w:kern w:val="22"/>
          <w:szCs w:val="22"/>
        </w:rPr>
        <w:t>6.</w:t>
      </w:r>
      <w:r w:rsidRPr="00FA1E77">
        <w:rPr>
          <w:snapToGrid w:val="0"/>
          <w:kern w:val="22"/>
          <w:szCs w:val="22"/>
        </w:rPr>
        <w:tab/>
      </w:r>
      <w:r w:rsidR="00D25343" w:rsidRPr="00FA1E77">
        <w:rPr>
          <w:snapToGrid w:val="0"/>
          <w:kern w:val="22"/>
          <w:szCs w:val="22"/>
        </w:rPr>
        <w:t>Submission of mandatory information to the BCH</w:t>
      </w:r>
      <w:r w:rsidR="00E16CE9" w:rsidRPr="00FA1E77">
        <w:rPr>
          <w:snapToGrid w:val="0"/>
          <w:kern w:val="22"/>
          <w:szCs w:val="22"/>
        </w:rPr>
        <w:t>:</w:t>
      </w:r>
      <w:r w:rsidR="00E16CE9" w:rsidRPr="00FA1E77">
        <w:rPr>
          <w:kern w:val="22"/>
          <w:szCs w:val="22"/>
        </w:rPr>
        <w:t xml:space="preserve"> </w:t>
      </w:r>
      <w:r w:rsidR="00E16CE9" w:rsidRPr="00FA1E77">
        <w:rPr>
          <w:snapToGrid w:val="0"/>
          <w:kern w:val="22"/>
          <w:szCs w:val="22"/>
        </w:rPr>
        <w:t>indicator 3.1.5 (Percentage of Parties that published all mandatory information via the BCH)</w:t>
      </w:r>
    </w:p>
    <w:p w14:paraId="04886D0B" w14:textId="7E2376BC" w:rsidR="005103DA" w:rsidRPr="00FA1E77" w:rsidRDefault="005B1FA1"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snapToGrid w:val="0"/>
          <w:kern w:val="22"/>
          <w:sz w:val="22"/>
          <w:szCs w:val="22"/>
          <w:lang w:val="en-GB"/>
        </w:rPr>
        <w:t>A total of</w:t>
      </w:r>
      <w:r w:rsidR="0023520B" w:rsidRPr="00FA1E77">
        <w:rPr>
          <w:iCs/>
          <w:snapToGrid w:val="0"/>
          <w:kern w:val="22"/>
          <w:sz w:val="22"/>
          <w:szCs w:val="22"/>
          <w:lang w:val="en-GB"/>
        </w:rPr>
        <w:t xml:space="preserve"> 78</w:t>
      </w:r>
      <w:r w:rsidR="004E75AB" w:rsidRPr="00FA1E77">
        <w:rPr>
          <w:iCs/>
          <w:snapToGrid w:val="0"/>
          <w:kern w:val="22"/>
          <w:sz w:val="22"/>
          <w:szCs w:val="22"/>
          <w:lang w:val="en-GB"/>
        </w:rPr>
        <w:t xml:space="preserve"> per cent </w:t>
      </w:r>
      <w:r w:rsidR="0023520B" w:rsidRPr="00FA1E77">
        <w:rPr>
          <w:iCs/>
          <w:snapToGrid w:val="0"/>
          <w:kern w:val="22"/>
          <w:sz w:val="22"/>
          <w:szCs w:val="22"/>
          <w:lang w:val="en-GB"/>
        </w:rPr>
        <w:t>of Parties reported that they have submitted</w:t>
      </w:r>
      <w:r w:rsidR="00A607C1" w:rsidRPr="00FA1E77">
        <w:rPr>
          <w:iCs/>
          <w:snapToGrid w:val="0"/>
          <w:kern w:val="22"/>
          <w:sz w:val="22"/>
          <w:szCs w:val="22"/>
          <w:lang w:val="en-GB"/>
        </w:rPr>
        <w:t xml:space="preserve"> to the BCH</w:t>
      </w:r>
      <w:r w:rsidR="0023520B" w:rsidRPr="00FA1E77">
        <w:rPr>
          <w:iCs/>
          <w:snapToGrid w:val="0"/>
          <w:kern w:val="22"/>
          <w:sz w:val="22"/>
          <w:szCs w:val="22"/>
          <w:lang w:val="en-GB"/>
        </w:rPr>
        <w:t xml:space="preserve"> information related to </w:t>
      </w:r>
      <w:r w:rsidR="0023520B" w:rsidRPr="00FA1E77">
        <w:rPr>
          <w:bCs/>
          <w:iCs/>
          <w:snapToGrid w:val="0"/>
          <w:kern w:val="22"/>
          <w:sz w:val="22"/>
          <w:szCs w:val="22"/>
          <w:lang w:val="en-GB"/>
        </w:rPr>
        <w:t>legislation, regulations and guidelines for implementing the Protocol, as well as information required</w:t>
      </w:r>
      <w:r w:rsidR="00C9650B" w:rsidRPr="00FA1E77">
        <w:rPr>
          <w:bCs/>
          <w:iCs/>
          <w:snapToGrid w:val="0"/>
          <w:kern w:val="22"/>
          <w:sz w:val="22"/>
          <w:szCs w:val="22"/>
          <w:lang w:val="en-GB"/>
        </w:rPr>
        <w:t xml:space="preserve"> by Parties</w:t>
      </w:r>
      <w:r w:rsidR="0023520B" w:rsidRPr="00FA1E77">
        <w:rPr>
          <w:bCs/>
          <w:iCs/>
          <w:snapToGrid w:val="0"/>
          <w:kern w:val="22"/>
          <w:sz w:val="22"/>
          <w:szCs w:val="22"/>
          <w:lang w:val="en-GB"/>
        </w:rPr>
        <w:t xml:space="preserve"> for AIA procedures, which constitutes an increase of 21</w:t>
      </w:r>
      <w:r w:rsidR="004E75AB" w:rsidRPr="00FA1E77">
        <w:rPr>
          <w:bCs/>
          <w:iCs/>
          <w:snapToGrid w:val="0"/>
          <w:kern w:val="22"/>
          <w:sz w:val="22"/>
          <w:szCs w:val="22"/>
          <w:lang w:val="en-GB"/>
        </w:rPr>
        <w:t xml:space="preserve"> per cent </w:t>
      </w:r>
      <w:r w:rsidR="0023520B" w:rsidRPr="00FA1E77">
        <w:rPr>
          <w:bCs/>
          <w:iCs/>
          <w:snapToGrid w:val="0"/>
          <w:kern w:val="22"/>
          <w:sz w:val="22"/>
          <w:szCs w:val="22"/>
          <w:lang w:val="en-GB"/>
        </w:rPr>
        <w:t>from the baseline</w:t>
      </w:r>
      <w:r w:rsidR="004C2DF1" w:rsidRPr="00FA1E77">
        <w:rPr>
          <w:bCs/>
          <w:iCs/>
          <w:snapToGrid w:val="0"/>
          <w:kern w:val="22"/>
          <w:sz w:val="22"/>
          <w:szCs w:val="22"/>
          <w:lang w:val="en-GB"/>
        </w:rPr>
        <w:t>.</w:t>
      </w:r>
      <w:r w:rsidR="0023520B" w:rsidRPr="00FA1E77">
        <w:rPr>
          <w:bCs/>
          <w:iCs/>
          <w:snapToGrid w:val="0"/>
          <w:kern w:val="22"/>
          <w:sz w:val="22"/>
          <w:szCs w:val="22"/>
          <w:lang w:val="en-GB"/>
        </w:rPr>
        <w:t xml:space="preserve"> With respect to legislation</w:t>
      </w:r>
      <w:r w:rsidR="0023520B" w:rsidRPr="00FA1E77">
        <w:rPr>
          <w:b/>
          <w:bCs/>
          <w:iCs/>
          <w:snapToGrid w:val="0"/>
          <w:kern w:val="22"/>
          <w:sz w:val="22"/>
          <w:szCs w:val="22"/>
          <w:lang w:val="en-GB"/>
        </w:rPr>
        <w:t xml:space="preserve">, </w:t>
      </w:r>
      <w:r w:rsidR="0023520B" w:rsidRPr="00FA1E77">
        <w:rPr>
          <w:bCs/>
          <w:iCs/>
          <w:snapToGrid w:val="0"/>
          <w:kern w:val="22"/>
          <w:sz w:val="22"/>
          <w:szCs w:val="22"/>
          <w:lang w:val="en-GB"/>
        </w:rPr>
        <w:t>regulations and guidelines applicable to the import of LMOs intended for direct use as food or feed, or for processing, 71</w:t>
      </w:r>
      <w:r w:rsidR="004E75AB" w:rsidRPr="00FA1E77">
        <w:rPr>
          <w:bCs/>
          <w:iCs/>
          <w:snapToGrid w:val="0"/>
          <w:kern w:val="22"/>
          <w:sz w:val="22"/>
          <w:szCs w:val="22"/>
          <w:lang w:val="en-GB"/>
        </w:rPr>
        <w:t xml:space="preserve"> per cent </w:t>
      </w:r>
      <w:r w:rsidR="0023520B" w:rsidRPr="00FA1E77">
        <w:rPr>
          <w:bCs/>
          <w:iCs/>
          <w:snapToGrid w:val="0"/>
          <w:kern w:val="22"/>
          <w:sz w:val="22"/>
          <w:szCs w:val="22"/>
          <w:lang w:val="en-GB"/>
        </w:rPr>
        <w:t>of Parties (66 Parties) reported that this information has been submitted to the BCH, an increase of 18</w:t>
      </w:r>
      <w:r w:rsidR="004E75AB"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from the baseline.</w:t>
      </w:r>
    </w:p>
    <w:p w14:paraId="3FC4287A" w14:textId="7A3D48C9" w:rsidR="005103DA" w:rsidRPr="00FA1E77" w:rsidRDefault="007B2B1A"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bCs/>
          <w:iCs/>
          <w:snapToGrid w:val="0"/>
          <w:kern w:val="22"/>
          <w:sz w:val="22"/>
          <w:szCs w:val="22"/>
          <w:lang w:val="en-GB"/>
        </w:rPr>
        <w:t>Of</w:t>
      </w:r>
      <w:r w:rsidR="0023520B" w:rsidRPr="00FA1E77">
        <w:rPr>
          <w:bCs/>
          <w:iCs/>
          <w:snapToGrid w:val="0"/>
          <w:kern w:val="22"/>
          <w:sz w:val="22"/>
          <w:szCs w:val="22"/>
          <w:lang w:val="en-GB"/>
        </w:rPr>
        <w:t xml:space="preserve"> those Parties that reported that </w:t>
      </w:r>
      <w:r w:rsidRPr="00FA1E77">
        <w:rPr>
          <w:bCs/>
          <w:iCs/>
          <w:snapToGrid w:val="0"/>
          <w:kern w:val="22"/>
          <w:sz w:val="22"/>
          <w:szCs w:val="22"/>
          <w:lang w:val="en-GB"/>
        </w:rPr>
        <w:t xml:space="preserve">information </w:t>
      </w:r>
      <w:r w:rsidRPr="00FA1E77">
        <w:rPr>
          <w:snapToGrid w:val="0"/>
          <w:kern w:val="22"/>
          <w:sz w:val="22"/>
          <w:szCs w:val="22"/>
          <w:lang w:val="en-GB"/>
        </w:rPr>
        <w:t>regarding bilateral, multilateral and regional agreements and arrangements</w:t>
      </w:r>
      <w:r w:rsidR="0023520B" w:rsidRPr="00FA1E77">
        <w:rPr>
          <w:bCs/>
          <w:iCs/>
          <w:snapToGrid w:val="0"/>
          <w:kern w:val="22"/>
          <w:sz w:val="22"/>
          <w:szCs w:val="22"/>
          <w:lang w:val="en-GB"/>
        </w:rPr>
        <w:t xml:space="preserve"> was available, 54</w:t>
      </w:r>
      <w:r w:rsidR="004E75AB" w:rsidRPr="00FA1E77">
        <w:rPr>
          <w:bCs/>
          <w:iCs/>
          <w:snapToGrid w:val="0"/>
          <w:kern w:val="22"/>
          <w:sz w:val="22"/>
          <w:szCs w:val="22"/>
          <w:lang w:val="en-GB"/>
        </w:rPr>
        <w:t xml:space="preserve"> per cent </w:t>
      </w:r>
      <w:r w:rsidR="0023520B" w:rsidRPr="00FA1E77">
        <w:rPr>
          <w:bCs/>
          <w:iCs/>
          <w:snapToGrid w:val="0"/>
          <w:kern w:val="22"/>
          <w:sz w:val="22"/>
          <w:szCs w:val="22"/>
          <w:lang w:val="en-GB"/>
        </w:rPr>
        <w:t>reported that the information had also been submitted to the BCH, an increase of 15</w:t>
      </w:r>
      <w:r w:rsidR="004E75AB" w:rsidRPr="00FA1E77">
        <w:rPr>
          <w:bCs/>
          <w:iCs/>
          <w:snapToGrid w:val="0"/>
          <w:kern w:val="22"/>
          <w:sz w:val="22"/>
          <w:szCs w:val="22"/>
          <w:lang w:val="en-GB"/>
        </w:rPr>
        <w:t xml:space="preserve"> per cent</w:t>
      </w:r>
      <w:r w:rsidRPr="00FA1E77">
        <w:rPr>
          <w:bCs/>
          <w:iCs/>
          <w:snapToGrid w:val="0"/>
          <w:kern w:val="22"/>
          <w:sz w:val="22"/>
          <w:szCs w:val="22"/>
          <w:lang w:val="en-GB"/>
        </w:rPr>
        <w:t xml:space="preserve"> from the baseline</w:t>
      </w:r>
      <w:r w:rsidR="0023520B" w:rsidRPr="00FA1E77">
        <w:rPr>
          <w:bCs/>
          <w:iCs/>
          <w:snapToGrid w:val="0"/>
          <w:kern w:val="22"/>
          <w:sz w:val="22"/>
          <w:szCs w:val="22"/>
          <w:lang w:val="en-GB"/>
        </w:rPr>
        <w:t>.</w:t>
      </w:r>
    </w:p>
    <w:p w14:paraId="1F0DEE13" w14:textId="53F604D5" w:rsidR="005103DA" w:rsidRPr="00FA1E77" w:rsidRDefault="00A740C9"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bCs/>
          <w:iCs/>
          <w:snapToGrid w:val="0"/>
          <w:kern w:val="22"/>
          <w:sz w:val="22"/>
          <w:szCs w:val="22"/>
          <w:lang w:val="en-GB"/>
        </w:rPr>
        <w:t xml:space="preserve">A total of </w:t>
      </w:r>
      <w:r w:rsidR="0023520B" w:rsidRPr="00FA1E77">
        <w:rPr>
          <w:bCs/>
          <w:iCs/>
          <w:snapToGrid w:val="0"/>
          <w:kern w:val="22"/>
          <w:sz w:val="22"/>
          <w:szCs w:val="22"/>
          <w:lang w:val="en-GB"/>
        </w:rPr>
        <w:t>16</w:t>
      </w:r>
      <w:r w:rsidR="004E75AB"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of Parties (15 Parties) reported that information </w:t>
      </w:r>
      <w:r w:rsidRPr="00FA1E77">
        <w:rPr>
          <w:bCs/>
          <w:iCs/>
          <w:snapToGrid w:val="0"/>
          <w:kern w:val="22"/>
          <w:sz w:val="22"/>
          <w:szCs w:val="22"/>
          <w:lang w:val="en-GB"/>
        </w:rPr>
        <w:t xml:space="preserve">concerning cases of illegal </w:t>
      </w:r>
      <w:r w:rsidRPr="00FA1E77">
        <w:rPr>
          <w:snapToGrid w:val="0"/>
          <w:kern w:val="22"/>
          <w:sz w:val="22"/>
          <w:szCs w:val="22"/>
          <w:lang w:val="en-GB"/>
        </w:rPr>
        <w:t>transboundary</w:t>
      </w:r>
      <w:r w:rsidRPr="00FA1E77">
        <w:rPr>
          <w:bCs/>
          <w:iCs/>
          <w:snapToGrid w:val="0"/>
          <w:kern w:val="22"/>
          <w:sz w:val="22"/>
          <w:szCs w:val="22"/>
          <w:lang w:val="en-GB"/>
        </w:rPr>
        <w:t xml:space="preserve"> movements of LMOs </w:t>
      </w:r>
      <w:r w:rsidR="0023520B" w:rsidRPr="00FA1E77">
        <w:rPr>
          <w:bCs/>
          <w:iCs/>
          <w:snapToGrid w:val="0"/>
          <w:kern w:val="22"/>
          <w:sz w:val="22"/>
          <w:szCs w:val="22"/>
          <w:lang w:val="en-GB"/>
        </w:rPr>
        <w:t xml:space="preserve">was available. </w:t>
      </w:r>
      <w:r w:rsidRPr="00FA1E77">
        <w:rPr>
          <w:bCs/>
          <w:iCs/>
          <w:snapToGrid w:val="0"/>
          <w:kern w:val="22"/>
          <w:sz w:val="22"/>
          <w:szCs w:val="22"/>
          <w:lang w:val="en-GB"/>
        </w:rPr>
        <w:t xml:space="preserve">Of these </w:t>
      </w:r>
      <w:r w:rsidR="0023520B" w:rsidRPr="00FA1E77">
        <w:rPr>
          <w:bCs/>
          <w:iCs/>
          <w:snapToGrid w:val="0"/>
          <w:kern w:val="22"/>
          <w:sz w:val="22"/>
          <w:szCs w:val="22"/>
          <w:lang w:val="en-GB"/>
        </w:rPr>
        <w:t>Parties, 33</w:t>
      </w:r>
      <w:r w:rsidR="004E75AB"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reported that the information had been submitted to the BCH, a decrease of 17</w:t>
      </w:r>
      <w:r w:rsidR="004E75AB"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from the baseline.</w:t>
      </w:r>
    </w:p>
    <w:p w14:paraId="094D448B" w14:textId="56334188" w:rsidR="005103DA" w:rsidRPr="00FA1E77" w:rsidRDefault="00DD3697"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bCs/>
          <w:iCs/>
          <w:snapToGrid w:val="0"/>
          <w:kern w:val="22"/>
          <w:sz w:val="22"/>
          <w:szCs w:val="22"/>
          <w:lang w:val="en-GB"/>
        </w:rPr>
        <w:t>A total of</w:t>
      </w:r>
      <w:r w:rsidR="0023520B" w:rsidRPr="00FA1E77">
        <w:rPr>
          <w:bCs/>
          <w:iCs/>
          <w:snapToGrid w:val="0"/>
          <w:kern w:val="22"/>
          <w:sz w:val="22"/>
          <w:szCs w:val="22"/>
          <w:lang w:val="en-GB"/>
        </w:rPr>
        <w:t xml:space="preserve"> 40</w:t>
      </w:r>
      <w:r w:rsidR="004E75AB"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of Parties reported that decisions regarding the importation of LMOs for intentional introduction into the environment were available. </w:t>
      </w:r>
      <w:r w:rsidR="00571A9E" w:rsidRPr="00FA1E77">
        <w:rPr>
          <w:bCs/>
          <w:iCs/>
          <w:snapToGrid w:val="0"/>
          <w:kern w:val="22"/>
          <w:sz w:val="22"/>
          <w:szCs w:val="22"/>
          <w:lang w:val="en-GB"/>
        </w:rPr>
        <w:t>O</w:t>
      </w:r>
      <w:r w:rsidR="0023520B" w:rsidRPr="00FA1E77">
        <w:rPr>
          <w:bCs/>
          <w:iCs/>
          <w:snapToGrid w:val="0"/>
          <w:kern w:val="22"/>
          <w:sz w:val="22"/>
          <w:szCs w:val="22"/>
          <w:lang w:val="en-GB"/>
        </w:rPr>
        <w:t>f th</w:t>
      </w:r>
      <w:r w:rsidR="00FC6131" w:rsidRPr="00FA1E77">
        <w:rPr>
          <w:bCs/>
          <w:iCs/>
          <w:snapToGrid w:val="0"/>
          <w:kern w:val="22"/>
          <w:sz w:val="22"/>
          <w:szCs w:val="22"/>
          <w:lang w:val="en-GB"/>
        </w:rPr>
        <w:t>e</w:t>
      </w:r>
      <w:r w:rsidR="0023520B" w:rsidRPr="00FA1E77">
        <w:rPr>
          <w:bCs/>
          <w:iCs/>
          <w:snapToGrid w:val="0"/>
          <w:kern w:val="22"/>
          <w:sz w:val="22"/>
          <w:szCs w:val="22"/>
          <w:lang w:val="en-GB"/>
        </w:rPr>
        <w:t>se Parties, 73</w:t>
      </w:r>
      <w:r w:rsidR="001706A9"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reported that the information had been submitted to the BCH, an increase of 19</w:t>
      </w:r>
      <w:r w:rsidR="001706A9"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from the baseline.</w:t>
      </w:r>
    </w:p>
    <w:p w14:paraId="3E965873" w14:textId="221B2A9B" w:rsidR="005103DA" w:rsidRPr="00FA1E77" w:rsidRDefault="00FC6131"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bCs/>
          <w:iCs/>
          <w:snapToGrid w:val="0"/>
          <w:kern w:val="22"/>
          <w:sz w:val="22"/>
          <w:szCs w:val="22"/>
          <w:lang w:val="en-GB"/>
        </w:rPr>
        <w:t>A total of</w:t>
      </w:r>
      <w:r w:rsidR="0023520B" w:rsidRPr="00FA1E77">
        <w:rPr>
          <w:bCs/>
          <w:iCs/>
          <w:snapToGrid w:val="0"/>
          <w:kern w:val="22"/>
          <w:sz w:val="22"/>
          <w:szCs w:val="22"/>
          <w:lang w:val="en-GB"/>
        </w:rPr>
        <w:t xml:space="preserve"> 45</w:t>
      </w:r>
      <w:r w:rsidR="001706A9"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of Parties reported that </w:t>
      </w:r>
      <w:r w:rsidRPr="00FA1E77">
        <w:rPr>
          <w:bCs/>
          <w:iCs/>
          <w:snapToGrid w:val="0"/>
          <w:kern w:val="22"/>
          <w:sz w:val="22"/>
          <w:szCs w:val="22"/>
          <w:lang w:val="en-GB"/>
        </w:rPr>
        <w:t xml:space="preserve">decisions regarding the domestic use of LMOs that may be subject to transboundary movement for direct use as food or feed, or for processing </w:t>
      </w:r>
      <w:r w:rsidR="0023520B" w:rsidRPr="00FA1E77">
        <w:rPr>
          <w:bCs/>
          <w:iCs/>
          <w:snapToGrid w:val="0"/>
          <w:kern w:val="22"/>
          <w:sz w:val="22"/>
          <w:szCs w:val="22"/>
          <w:lang w:val="en-GB"/>
        </w:rPr>
        <w:t xml:space="preserve">were available. </w:t>
      </w:r>
      <w:r w:rsidRPr="00FA1E77">
        <w:rPr>
          <w:bCs/>
          <w:iCs/>
          <w:snapToGrid w:val="0"/>
          <w:kern w:val="22"/>
          <w:sz w:val="22"/>
          <w:szCs w:val="22"/>
          <w:lang w:val="en-GB"/>
        </w:rPr>
        <w:t>O</w:t>
      </w:r>
      <w:r w:rsidR="0023520B" w:rsidRPr="00FA1E77">
        <w:rPr>
          <w:bCs/>
          <w:iCs/>
          <w:snapToGrid w:val="0"/>
          <w:kern w:val="22"/>
          <w:sz w:val="22"/>
          <w:szCs w:val="22"/>
          <w:lang w:val="en-GB"/>
        </w:rPr>
        <w:t>f th</w:t>
      </w:r>
      <w:r w:rsidRPr="00FA1E77">
        <w:rPr>
          <w:bCs/>
          <w:iCs/>
          <w:snapToGrid w:val="0"/>
          <w:kern w:val="22"/>
          <w:sz w:val="22"/>
          <w:szCs w:val="22"/>
          <w:lang w:val="en-GB"/>
        </w:rPr>
        <w:t>e</w:t>
      </w:r>
      <w:r w:rsidR="0023520B" w:rsidRPr="00FA1E77">
        <w:rPr>
          <w:bCs/>
          <w:iCs/>
          <w:snapToGrid w:val="0"/>
          <w:kern w:val="22"/>
          <w:sz w:val="22"/>
          <w:szCs w:val="22"/>
          <w:lang w:val="en-GB"/>
        </w:rPr>
        <w:t>se Parties</w:t>
      </w:r>
      <w:r w:rsidRPr="00FA1E77">
        <w:rPr>
          <w:bCs/>
          <w:iCs/>
          <w:snapToGrid w:val="0"/>
          <w:kern w:val="22"/>
          <w:sz w:val="22"/>
          <w:szCs w:val="22"/>
          <w:lang w:val="en-GB"/>
        </w:rPr>
        <w:t xml:space="preserve">, </w:t>
      </w:r>
      <w:r w:rsidR="0023520B" w:rsidRPr="00FA1E77">
        <w:rPr>
          <w:bCs/>
          <w:iCs/>
          <w:snapToGrid w:val="0"/>
          <w:kern w:val="22"/>
          <w:sz w:val="22"/>
          <w:szCs w:val="22"/>
          <w:lang w:val="en-GB"/>
        </w:rPr>
        <w:t>83</w:t>
      </w:r>
      <w:r w:rsidR="001706A9" w:rsidRPr="00FA1E77">
        <w:rPr>
          <w:bCs/>
          <w:iCs/>
          <w:snapToGrid w:val="0"/>
          <w:kern w:val="22"/>
          <w:sz w:val="22"/>
          <w:szCs w:val="22"/>
          <w:lang w:val="en-GB"/>
        </w:rPr>
        <w:t xml:space="preserve"> per cent</w:t>
      </w:r>
      <w:r w:rsidR="0023520B" w:rsidRPr="00FA1E77">
        <w:rPr>
          <w:bCs/>
          <w:iCs/>
          <w:snapToGrid w:val="0"/>
          <w:kern w:val="22"/>
          <w:sz w:val="22"/>
          <w:szCs w:val="22"/>
          <w:lang w:val="en-GB"/>
        </w:rPr>
        <w:t xml:space="preserve"> reported that the information had been submitted to the BCH, an increase of 14</w:t>
      </w:r>
      <w:r w:rsidR="00270F3E" w:rsidRPr="00510EF6">
        <w:rPr>
          <w:bCs/>
          <w:iCs/>
          <w:snapToGrid w:val="0"/>
          <w:kern w:val="22"/>
          <w:sz w:val="22"/>
          <w:szCs w:val="22"/>
          <w:lang w:val="en-GB"/>
        </w:rPr>
        <w:t> </w:t>
      </w:r>
      <w:r w:rsidR="001706A9" w:rsidRPr="00FA1E77">
        <w:rPr>
          <w:bCs/>
          <w:iCs/>
          <w:snapToGrid w:val="0"/>
          <w:kern w:val="22"/>
          <w:sz w:val="22"/>
          <w:szCs w:val="22"/>
          <w:lang w:val="en-GB"/>
        </w:rPr>
        <w:t>per cent</w:t>
      </w:r>
      <w:r w:rsidR="0023520B" w:rsidRPr="00FA1E77">
        <w:rPr>
          <w:bCs/>
          <w:iCs/>
          <w:snapToGrid w:val="0"/>
          <w:kern w:val="22"/>
          <w:sz w:val="22"/>
          <w:szCs w:val="22"/>
          <w:lang w:val="en-GB"/>
        </w:rPr>
        <w:t>.</w:t>
      </w:r>
    </w:p>
    <w:p w14:paraId="133BD441" w14:textId="3E8B8AB7" w:rsidR="005103DA" w:rsidRPr="00FA1E77" w:rsidRDefault="0023520B"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bCs/>
          <w:iCs/>
          <w:snapToGrid w:val="0"/>
          <w:kern w:val="22"/>
          <w:sz w:val="22"/>
          <w:szCs w:val="22"/>
          <w:lang w:val="en-GB"/>
        </w:rPr>
        <w:t>A total of 47</w:t>
      </w:r>
      <w:r w:rsidR="001706A9" w:rsidRPr="00FA1E77">
        <w:rPr>
          <w:bCs/>
          <w:iCs/>
          <w:snapToGrid w:val="0"/>
          <w:kern w:val="22"/>
          <w:sz w:val="22"/>
          <w:szCs w:val="22"/>
          <w:lang w:val="en-GB"/>
        </w:rPr>
        <w:t xml:space="preserve"> per cent</w:t>
      </w:r>
      <w:r w:rsidRPr="00FA1E77">
        <w:rPr>
          <w:bCs/>
          <w:iCs/>
          <w:snapToGrid w:val="0"/>
          <w:kern w:val="22"/>
          <w:sz w:val="22"/>
          <w:szCs w:val="22"/>
          <w:lang w:val="en-GB"/>
        </w:rPr>
        <w:t xml:space="preserve"> of Parties reported that </w:t>
      </w:r>
      <w:r w:rsidR="00FC6131" w:rsidRPr="00FA1E77">
        <w:rPr>
          <w:bCs/>
          <w:iCs/>
          <w:snapToGrid w:val="0"/>
          <w:kern w:val="22"/>
          <w:sz w:val="22"/>
          <w:szCs w:val="22"/>
          <w:lang w:val="en-GB"/>
        </w:rPr>
        <w:t>decisions regarding the import of LMOs intended for direct use as food or feed, or for processing that are taken under domestic regulatory frameworks (Article 11, para</w:t>
      </w:r>
      <w:r w:rsidR="00ED40DB" w:rsidRPr="00FA1E77">
        <w:rPr>
          <w:bCs/>
          <w:iCs/>
          <w:snapToGrid w:val="0"/>
          <w:kern w:val="22"/>
          <w:sz w:val="22"/>
          <w:szCs w:val="22"/>
          <w:lang w:val="en-GB"/>
        </w:rPr>
        <w:t>.</w:t>
      </w:r>
      <w:r w:rsidR="00D3488F" w:rsidRPr="00FA1E77">
        <w:rPr>
          <w:bCs/>
          <w:iCs/>
          <w:snapToGrid w:val="0"/>
          <w:kern w:val="22"/>
          <w:sz w:val="22"/>
          <w:szCs w:val="22"/>
          <w:lang w:val="en-GB"/>
        </w:rPr>
        <w:t> </w:t>
      </w:r>
      <w:r w:rsidR="00FC6131" w:rsidRPr="00FA1E77">
        <w:rPr>
          <w:bCs/>
          <w:iCs/>
          <w:snapToGrid w:val="0"/>
          <w:kern w:val="22"/>
          <w:sz w:val="22"/>
          <w:szCs w:val="22"/>
          <w:lang w:val="en-GB"/>
        </w:rPr>
        <w:t xml:space="preserve">4) or in accordance with </w:t>
      </w:r>
      <w:r w:rsidR="00D3488F" w:rsidRPr="00FA1E77">
        <w:rPr>
          <w:bCs/>
          <w:iCs/>
          <w:snapToGrid w:val="0"/>
          <w:kern w:val="22"/>
          <w:sz w:val="22"/>
          <w:szCs w:val="22"/>
          <w:lang w:val="en-GB"/>
        </w:rPr>
        <w:t>a</w:t>
      </w:r>
      <w:r w:rsidR="00FC6131" w:rsidRPr="00FA1E77">
        <w:rPr>
          <w:bCs/>
          <w:iCs/>
          <w:snapToGrid w:val="0"/>
          <w:kern w:val="22"/>
          <w:sz w:val="22"/>
          <w:szCs w:val="22"/>
          <w:lang w:val="en-GB"/>
        </w:rPr>
        <w:t xml:space="preserve">nnex III to the Protocol </w:t>
      </w:r>
      <w:r w:rsidRPr="00FA1E77">
        <w:rPr>
          <w:bCs/>
          <w:iCs/>
          <w:snapToGrid w:val="0"/>
          <w:kern w:val="22"/>
          <w:sz w:val="22"/>
          <w:szCs w:val="22"/>
          <w:lang w:val="en-GB"/>
        </w:rPr>
        <w:t xml:space="preserve">were available. </w:t>
      </w:r>
      <w:r w:rsidR="00FC6131" w:rsidRPr="00FA1E77">
        <w:rPr>
          <w:bCs/>
          <w:iCs/>
          <w:snapToGrid w:val="0"/>
          <w:kern w:val="22"/>
          <w:sz w:val="22"/>
          <w:szCs w:val="22"/>
          <w:lang w:val="en-GB"/>
        </w:rPr>
        <w:t>O</w:t>
      </w:r>
      <w:r w:rsidRPr="00FA1E77">
        <w:rPr>
          <w:bCs/>
          <w:iCs/>
          <w:snapToGrid w:val="0"/>
          <w:kern w:val="22"/>
          <w:sz w:val="22"/>
          <w:szCs w:val="22"/>
          <w:lang w:val="en-GB"/>
        </w:rPr>
        <w:t>f th</w:t>
      </w:r>
      <w:r w:rsidR="00FC6131" w:rsidRPr="00FA1E77">
        <w:rPr>
          <w:bCs/>
          <w:iCs/>
          <w:snapToGrid w:val="0"/>
          <w:kern w:val="22"/>
          <w:sz w:val="22"/>
          <w:szCs w:val="22"/>
          <w:lang w:val="en-GB"/>
        </w:rPr>
        <w:t>e</w:t>
      </w:r>
      <w:r w:rsidRPr="00FA1E77">
        <w:rPr>
          <w:bCs/>
          <w:iCs/>
          <w:snapToGrid w:val="0"/>
          <w:kern w:val="22"/>
          <w:sz w:val="22"/>
          <w:szCs w:val="22"/>
          <w:lang w:val="en-GB"/>
        </w:rPr>
        <w:t>se Parties</w:t>
      </w:r>
      <w:r w:rsidR="00FC6131" w:rsidRPr="00FA1E77">
        <w:rPr>
          <w:bCs/>
          <w:iCs/>
          <w:snapToGrid w:val="0"/>
          <w:kern w:val="22"/>
          <w:sz w:val="22"/>
          <w:szCs w:val="22"/>
          <w:lang w:val="en-GB"/>
        </w:rPr>
        <w:t>,</w:t>
      </w:r>
      <w:r w:rsidRPr="00FA1E77">
        <w:rPr>
          <w:bCs/>
          <w:iCs/>
          <w:snapToGrid w:val="0"/>
          <w:kern w:val="22"/>
          <w:sz w:val="22"/>
          <w:szCs w:val="22"/>
          <w:lang w:val="en-GB"/>
        </w:rPr>
        <w:t xml:space="preserve"> </w:t>
      </w:r>
      <w:r w:rsidR="00137304" w:rsidRPr="00FA1E77">
        <w:rPr>
          <w:bCs/>
          <w:iCs/>
          <w:snapToGrid w:val="0"/>
          <w:kern w:val="22"/>
          <w:sz w:val="22"/>
          <w:szCs w:val="22"/>
          <w:lang w:val="en-GB"/>
        </w:rPr>
        <w:t>82</w:t>
      </w:r>
      <w:r w:rsidR="001706A9" w:rsidRPr="00FA1E77">
        <w:rPr>
          <w:bCs/>
          <w:iCs/>
          <w:snapToGrid w:val="0"/>
          <w:kern w:val="22"/>
          <w:sz w:val="22"/>
          <w:szCs w:val="22"/>
          <w:lang w:val="en-GB"/>
        </w:rPr>
        <w:t xml:space="preserve"> per cent</w:t>
      </w:r>
      <w:r w:rsidRPr="00FA1E77">
        <w:rPr>
          <w:bCs/>
          <w:iCs/>
          <w:snapToGrid w:val="0"/>
          <w:kern w:val="22"/>
          <w:sz w:val="22"/>
          <w:szCs w:val="22"/>
          <w:lang w:val="en-GB"/>
        </w:rPr>
        <w:t xml:space="preserve"> reported that the information had been submitted to the BCH, an increase of 1</w:t>
      </w:r>
      <w:r w:rsidR="0094147F" w:rsidRPr="00FA1E77">
        <w:rPr>
          <w:bCs/>
          <w:iCs/>
          <w:snapToGrid w:val="0"/>
          <w:kern w:val="22"/>
          <w:sz w:val="22"/>
          <w:szCs w:val="22"/>
          <w:lang w:val="en-GB"/>
        </w:rPr>
        <w:t>5</w:t>
      </w:r>
      <w:r w:rsidR="001706A9" w:rsidRPr="00FA1E77">
        <w:rPr>
          <w:bCs/>
          <w:iCs/>
          <w:snapToGrid w:val="0"/>
          <w:kern w:val="22"/>
          <w:sz w:val="22"/>
          <w:szCs w:val="22"/>
          <w:lang w:val="en-GB"/>
        </w:rPr>
        <w:t xml:space="preserve"> per cent</w:t>
      </w:r>
      <w:r w:rsidRPr="00FA1E77">
        <w:rPr>
          <w:bCs/>
          <w:iCs/>
          <w:snapToGrid w:val="0"/>
          <w:kern w:val="22"/>
          <w:sz w:val="22"/>
          <w:szCs w:val="22"/>
          <w:lang w:val="en-GB"/>
        </w:rPr>
        <w:t>.</w:t>
      </w:r>
    </w:p>
    <w:p w14:paraId="339F24A6" w14:textId="46C4D60C" w:rsidR="005103DA" w:rsidRPr="00FA1E77" w:rsidRDefault="0023520B"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bCs/>
          <w:iCs/>
          <w:snapToGrid w:val="0"/>
          <w:spacing w:val="-2"/>
          <w:kern w:val="22"/>
          <w:sz w:val="22"/>
          <w:szCs w:val="22"/>
          <w:lang w:val="en-GB"/>
        </w:rPr>
        <w:t>A total of 55</w:t>
      </w:r>
      <w:r w:rsidR="001706A9" w:rsidRPr="00FA1E77">
        <w:rPr>
          <w:bCs/>
          <w:iCs/>
          <w:snapToGrid w:val="0"/>
          <w:spacing w:val="-2"/>
          <w:kern w:val="22"/>
          <w:sz w:val="22"/>
          <w:szCs w:val="22"/>
          <w:lang w:val="en-GB"/>
        </w:rPr>
        <w:t xml:space="preserve"> per cent</w:t>
      </w:r>
      <w:r w:rsidRPr="00FA1E77">
        <w:rPr>
          <w:bCs/>
          <w:iCs/>
          <w:snapToGrid w:val="0"/>
          <w:spacing w:val="-2"/>
          <w:kern w:val="22"/>
          <w:sz w:val="22"/>
          <w:szCs w:val="22"/>
          <w:lang w:val="en-GB"/>
        </w:rPr>
        <w:t xml:space="preserve"> of Parties reported that </w:t>
      </w:r>
      <w:r w:rsidR="003A7479" w:rsidRPr="00FA1E77">
        <w:rPr>
          <w:bCs/>
          <w:iCs/>
          <w:snapToGrid w:val="0"/>
          <w:spacing w:val="-2"/>
          <w:kern w:val="22"/>
          <w:sz w:val="22"/>
          <w:szCs w:val="22"/>
          <w:lang w:val="en-GB"/>
        </w:rPr>
        <w:t>summaries of risk assessments or environmental reviews of LMOs generated by regulatory processes and relevant information regarding products thereof</w:t>
      </w:r>
      <w:r w:rsidRPr="00FA1E77">
        <w:rPr>
          <w:bCs/>
          <w:iCs/>
          <w:snapToGrid w:val="0"/>
          <w:spacing w:val="-2"/>
          <w:kern w:val="22"/>
          <w:sz w:val="22"/>
          <w:szCs w:val="22"/>
          <w:lang w:val="en-GB"/>
        </w:rPr>
        <w:t xml:space="preserve"> were available. </w:t>
      </w:r>
      <w:r w:rsidR="003A7479" w:rsidRPr="00FA1E77">
        <w:rPr>
          <w:bCs/>
          <w:iCs/>
          <w:snapToGrid w:val="0"/>
          <w:spacing w:val="-2"/>
          <w:kern w:val="22"/>
          <w:sz w:val="22"/>
          <w:szCs w:val="22"/>
          <w:lang w:val="en-GB"/>
        </w:rPr>
        <w:t>O</w:t>
      </w:r>
      <w:r w:rsidRPr="00FA1E77">
        <w:rPr>
          <w:bCs/>
          <w:iCs/>
          <w:snapToGrid w:val="0"/>
          <w:spacing w:val="-2"/>
          <w:kern w:val="22"/>
          <w:sz w:val="22"/>
          <w:szCs w:val="22"/>
          <w:lang w:val="en-GB"/>
        </w:rPr>
        <w:t>f th</w:t>
      </w:r>
      <w:r w:rsidR="003A7479" w:rsidRPr="00FA1E77">
        <w:rPr>
          <w:bCs/>
          <w:iCs/>
          <w:snapToGrid w:val="0"/>
          <w:spacing w:val="-2"/>
          <w:kern w:val="22"/>
          <w:sz w:val="22"/>
          <w:szCs w:val="22"/>
          <w:lang w:val="en-GB"/>
        </w:rPr>
        <w:t>e</w:t>
      </w:r>
      <w:r w:rsidRPr="00FA1E77">
        <w:rPr>
          <w:bCs/>
          <w:iCs/>
          <w:snapToGrid w:val="0"/>
          <w:spacing w:val="-2"/>
          <w:kern w:val="22"/>
          <w:sz w:val="22"/>
          <w:szCs w:val="22"/>
          <w:lang w:val="en-GB"/>
        </w:rPr>
        <w:t>se Parties</w:t>
      </w:r>
      <w:r w:rsidR="003A7479" w:rsidRPr="00FA1E77">
        <w:rPr>
          <w:bCs/>
          <w:iCs/>
          <w:snapToGrid w:val="0"/>
          <w:spacing w:val="-2"/>
          <w:kern w:val="22"/>
          <w:sz w:val="22"/>
          <w:szCs w:val="22"/>
          <w:lang w:val="en-GB"/>
        </w:rPr>
        <w:t>,</w:t>
      </w:r>
      <w:r w:rsidRPr="00FA1E77">
        <w:rPr>
          <w:bCs/>
          <w:iCs/>
          <w:snapToGrid w:val="0"/>
          <w:spacing w:val="-2"/>
          <w:kern w:val="22"/>
          <w:sz w:val="22"/>
          <w:szCs w:val="22"/>
          <w:lang w:val="en-GB"/>
        </w:rPr>
        <w:t xml:space="preserve"> </w:t>
      </w:r>
      <w:r w:rsidR="0094147F" w:rsidRPr="00FA1E77">
        <w:rPr>
          <w:bCs/>
          <w:iCs/>
          <w:snapToGrid w:val="0"/>
          <w:spacing w:val="-2"/>
          <w:kern w:val="22"/>
          <w:sz w:val="22"/>
          <w:szCs w:val="22"/>
          <w:lang w:val="en-GB"/>
        </w:rPr>
        <w:t>69</w:t>
      </w:r>
      <w:r w:rsidR="001706A9" w:rsidRPr="00FA1E77">
        <w:rPr>
          <w:bCs/>
          <w:iCs/>
          <w:snapToGrid w:val="0"/>
          <w:spacing w:val="-2"/>
          <w:kern w:val="22"/>
          <w:sz w:val="22"/>
          <w:szCs w:val="22"/>
          <w:lang w:val="en-GB"/>
        </w:rPr>
        <w:t xml:space="preserve"> per cent</w:t>
      </w:r>
      <w:r w:rsidRPr="00FA1E77">
        <w:rPr>
          <w:bCs/>
          <w:iCs/>
          <w:snapToGrid w:val="0"/>
          <w:spacing w:val="-2"/>
          <w:kern w:val="22"/>
          <w:sz w:val="22"/>
          <w:szCs w:val="22"/>
          <w:lang w:val="en-GB"/>
        </w:rPr>
        <w:t xml:space="preserve"> reported that the information had been submitted to the BCH, an increase of </w:t>
      </w:r>
      <w:r w:rsidR="001F5458" w:rsidRPr="00FA1E77">
        <w:rPr>
          <w:bCs/>
          <w:iCs/>
          <w:snapToGrid w:val="0"/>
          <w:spacing w:val="-2"/>
          <w:kern w:val="22"/>
          <w:sz w:val="22"/>
          <w:szCs w:val="22"/>
          <w:lang w:val="en-GB"/>
        </w:rPr>
        <w:t>19</w:t>
      </w:r>
      <w:r w:rsidR="001706A9" w:rsidRPr="00FA1E77">
        <w:rPr>
          <w:bCs/>
          <w:iCs/>
          <w:snapToGrid w:val="0"/>
          <w:spacing w:val="-2"/>
          <w:kern w:val="22"/>
          <w:sz w:val="22"/>
          <w:szCs w:val="22"/>
          <w:lang w:val="en-GB"/>
        </w:rPr>
        <w:t xml:space="preserve"> per cent</w:t>
      </w:r>
      <w:r w:rsidRPr="00FA1E77">
        <w:rPr>
          <w:bCs/>
          <w:iCs/>
          <w:snapToGrid w:val="0"/>
          <w:spacing w:val="-2"/>
          <w:kern w:val="22"/>
          <w:sz w:val="22"/>
          <w:szCs w:val="22"/>
          <w:lang w:val="en-GB"/>
        </w:rPr>
        <w:t xml:space="preserve">. The information in the BCH at the time of preparation of </w:t>
      </w:r>
      <w:r w:rsidR="0025415E" w:rsidRPr="00FA1E77">
        <w:rPr>
          <w:bCs/>
          <w:iCs/>
          <w:snapToGrid w:val="0"/>
          <w:spacing w:val="-2"/>
          <w:kern w:val="22"/>
          <w:sz w:val="22"/>
          <w:szCs w:val="22"/>
          <w:lang w:val="en-GB"/>
        </w:rPr>
        <w:t>the present docume</w:t>
      </w:r>
      <w:r w:rsidR="004A1984" w:rsidRPr="00FA1E77">
        <w:rPr>
          <w:bCs/>
          <w:iCs/>
          <w:snapToGrid w:val="0"/>
          <w:spacing w:val="-2"/>
          <w:kern w:val="22"/>
          <w:sz w:val="22"/>
          <w:szCs w:val="22"/>
          <w:lang w:val="en-GB"/>
        </w:rPr>
        <w:t>nt</w:t>
      </w:r>
      <w:r w:rsidRPr="00FA1E77">
        <w:rPr>
          <w:bCs/>
          <w:iCs/>
          <w:snapToGrid w:val="0"/>
          <w:spacing w:val="-2"/>
          <w:kern w:val="22"/>
          <w:sz w:val="22"/>
          <w:szCs w:val="22"/>
          <w:lang w:val="en-GB"/>
        </w:rPr>
        <w:t xml:space="preserve"> showed that risk assessment summary reports </w:t>
      </w:r>
      <w:r w:rsidR="004A1984" w:rsidRPr="00FA1E77">
        <w:rPr>
          <w:bCs/>
          <w:iCs/>
          <w:snapToGrid w:val="0"/>
          <w:spacing w:val="-2"/>
          <w:kern w:val="22"/>
          <w:sz w:val="22"/>
          <w:szCs w:val="22"/>
          <w:lang w:val="en-GB"/>
        </w:rPr>
        <w:t xml:space="preserve">were </w:t>
      </w:r>
      <w:r w:rsidRPr="00FA1E77">
        <w:rPr>
          <w:bCs/>
          <w:iCs/>
          <w:snapToGrid w:val="0"/>
          <w:spacing w:val="-2"/>
          <w:kern w:val="22"/>
          <w:sz w:val="22"/>
          <w:szCs w:val="22"/>
          <w:lang w:val="en-GB"/>
        </w:rPr>
        <w:t xml:space="preserve">missing in respect of 78 decisions of a total of </w:t>
      </w:r>
      <w:r w:rsidR="004A1984" w:rsidRPr="00FA1E77">
        <w:rPr>
          <w:bCs/>
          <w:iCs/>
          <w:snapToGrid w:val="0"/>
          <w:spacing w:val="-2"/>
          <w:kern w:val="22"/>
          <w:sz w:val="22"/>
          <w:szCs w:val="22"/>
          <w:lang w:val="en-GB"/>
        </w:rPr>
        <w:t>six</w:t>
      </w:r>
      <w:r w:rsidRPr="00FA1E77">
        <w:rPr>
          <w:bCs/>
          <w:iCs/>
          <w:snapToGrid w:val="0"/>
          <w:spacing w:val="-2"/>
          <w:kern w:val="22"/>
          <w:sz w:val="22"/>
          <w:szCs w:val="22"/>
          <w:lang w:val="en-GB"/>
        </w:rPr>
        <w:t xml:space="preserve"> Parties.</w:t>
      </w:r>
      <w:r w:rsidRPr="00FA1E77">
        <w:rPr>
          <w:rStyle w:val="FootnoteReference"/>
          <w:bCs/>
          <w:iCs/>
          <w:snapToGrid w:val="0"/>
          <w:spacing w:val="-2"/>
          <w:kern w:val="22"/>
          <w:sz w:val="22"/>
          <w:szCs w:val="22"/>
          <w:u w:val="none"/>
          <w:vertAlign w:val="superscript"/>
          <w:lang w:val="en-GB"/>
        </w:rPr>
        <w:footnoteReference w:id="29"/>
      </w:r>
      <w:r w:rsidR="00956C0E" w:rsidRPr="00FA1E77">
        <w:rPr>
          <w:bCs/>
          <w:iCs/>
          <w:snapToGrid w:val="0"/>
          <w:spacing w:val="-2"/>
          <w:kern w:val="22"/>
          <w:sz w:val="22"/>
          <w:szCs w:val="22"/>
          <w:lang w:val="en-GB"/>
        </w:rPr>
        <w:t xml:space="preserve"> As of January 2020, risk assessment summary report</w:t>
      </w:r>
      <w:r w:rsidR="00522317" w:rsidRPr="00FA1E77">
        <w:rPr>
          <w:bCs/>
          <w:iCs/>
          <w:snapToGrid w:val="0"/>
          <w:spacing w:val="-2"/>
          <w:kern w:val="22"/>
          <w:sz w:val="22"/>
          <w:szCs w:val="22"/>
          <w:lang w:val="en-GB"/>
        </w:rPr>
        <w:t>s are</w:t>
      </w:r>
      <w:r w:rsidR="00956C0E" w:rsidRPr="00FA1E77">
        <w:rPr>
          <w:bCs/>
          <w:iCs/>
          <w:snapToGrid w:val="0"/>
          <w:spacing w:val="-2"/>
          <w:kern w:val="22"/>
          <w:sz w:val="22"/>
          <w:szCs w:val="22"/>
          <w:lang w:val="en-GB"/>
        </w:rPr>
        <w:t xml:space="preserve"> </w:t>
      </w:r>
      <w:r w:rsidR="00522317" w:rsidRPr="00FA1E77">
        <w:rPr>
          <w:bCs/>
          <w:iCs/>
          <w:snapToGrid w:val="0"/>
          <w:spacing w:val="-2"/>
          <w:kern w:val="22"/>
          <w:sz w:val="22"/>
          <w:szCs w:val="22"/>
          <w:lang w:val="en-GB"/>
        </w:rPr>
        <w:t>missing in</w:t>
      </w:r>
      <w:r w:rsidR="00956C0E" w:rsidRPr="00FA1E77">
        <w:rPr>
          <w:bCs/>
          <w:iCs/>
          <w:snapToGrid w:val="0"/>
          <w:spacing w:val="-2"/>
          <w:kern w:val="22"/>
          <w:sz w:val="22"/>
          <w:szCs w:val="22"/>
          <w:lang w:val="en-GB"/>
        </w:rPr>
        <w:t xml:space="preserve"> </w:t>
      </w:r>
      <w:r w:rsidR="00522317" w:rsidRPr="00FA1E77">
        <w:rPr>
          <w:bCs/>
          <w:iCs/>
          <w:snapToGrid w:val="0"/>
          <w:spacing w:val="-2"/>
          <w:kern w:val="22"/>
          <w:sz w:val="22"/>
          <w:szCs w:val="22"/>
          <w:lang w:val="en-GB"/>
        </w:rPr>
        <w:t xml:space="preserve">4 per cent of decisions requiring </w:t>
      </w:r>
      <w:r w:rsidR="00956C0E" w:rsidRPr="00FA1E77">
        <w:rPr>
          <w:bCs/>
          <w:iCs/>
          <w:snapToGrid w:val="0"/>
          <w:spacing w:val="-2"/>
          <w:kern w:val="22"/>
          <w:sz w:val="22"/>
          <w:szCs w:val="22"/>
          <w:lang w:val="en-GB"/>
        </w:rPr>
        <w:t>one.</w:t>
      </w:r>
    </w:p>
    <w:p w14:paraId="47568636" w14:textId="2991BED2" w:rsidR="005103DA" w:rsidRPr="00FA1E77" w:rsidRDefault="0023520B"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snapToGrid w:val="0"/>
          <w:kern w:val="22"/>
          <w:sz w:val="22"/>
          <w:szCs w:val="22"/>
          <w:lang w:val="en-GB"/>
        </w:rPr>
        <w:t xml:space="preserve">In their free text contributions, </w:t>
      </w:r>
      <w:r w:rsidR="006F0C81" w:rsidRPr="00FA1E77">
        <w:rPr>
          <w:snapToGrid w:val="0"/>
          <w:kern w:val="22"/>
          <w:sz w:val="22"/>
          <w:szCs w:val="22"/>
          <w:lang w:val="en-GB"/>
        </w:rPr>
        <w:t xml:space="preserve">a number of </w:t>
      </w:r>
      <w:r w:rsidRPr="00FA1E77">
        <w:rPr>
          <w:snapToGrid w:val="0"/>
          <w:kern w:val="22"/>
          <w:sz w:val="22"/>
          <w:szCs w:val="22"/>
          <w:lang w:val="en-GB"/>
        </w:rPr>
        <w:t>Parties indicated that many types of information are not available in their country and that</w:t>
      </w:r>
      <w:r w:rsidR="006C24E5" w:rsidRPr="00510EF6">
        <w:rPr>
          <w:snapToGrid w:val="0"/>
          <w:kern w:val="22"/>
          <w:sz w:val="22"/>
          <w:szCs w:val="22"/>
          <w:lang w:val="en-GB"/>
        </w:rPr>
        <w:t>,</w:t>
      </w:r>
      <w:r w:rsidRPr="00FA1E77">
        <w:rPr>
          <w:snapToGrid w:val="0"/>
          <w:kern w:val="22"/>
          <w:sz w:val="22"/>
          <w:szCs w:val="22"/>
          <w:lang w:val="en-GB"/>
        </w:rPr>
        <w:t xml:space="preserve"> for this reason</w:t>
      </w:r>
      <w:r w:rsidR="006C24E5" w:rsidRPr="00510EF6">
        <w:rPr>
          <w:snapToGrid w:val="0"/>
          <w:kern w:val="22"/>
          <w:sz w:val="22"/>
          <w:szCs w:val="22"/>
          <w:lang w:val="en-GB"/>
        </w:rPr>
        <w:t>,</w:t>
      </w:r>
      <w:r w:rsidRPr="00FA1E77">
        <w:rPr>
          <w:snapToGrid w:val="0"/>
          <w:kern w:val="22"/>
          <w:sz w:val="22"/>
          <w:szCs w:val="22"/>
          <w:lang w:val="en-GB"/>
        </w:rPr>
        <w:t xml:space="preserve"> the information ha</w:t>
      </w:r>
      <w:r w:rsidR="006C24E5" w:rsidRPr="00510EF6">
        <w:rPr>
          <w:snapToGrid w:val="0"/>
          <w:kern w:val="22"/>
          <w:sz w:val="22"/>
          <w:szCs w:val="22"/>
          <w:lang w:val="en-GB"/>
        </w:rPr>
        <w:t>d</w:t>
      </w:r>
      <w:r w:rsidRPr="00FA1E77">
        <w:rPr>
          <w:snapToGrid w:val="0"/>
          <w:kern w:val="22"/>
          <w:sz w:val="22"/>
          <w:szCs w:val="22"/>
          <w:lang w:val="en-GB"/>
        </w:rPr>
        <w:t xml:space="preserve"> not been submitted. Some Parties refer</w:t>
      </w:r>
      <w:r w:rsidR="009D5557" w:rsidRPr="00FA1E77">
        <w:rPr>
          <w:snapToGrid w:val="0"/>
          <w:kern w:val="22"/>
          <w:sz w:val="22"/>
          <w:szCs w:val="22"/>
          <w:lang w:val="en-GB"/>
        </w:rPr>
        <w:t>red</w:t>
      </w:r>
      <w:r w:rsidRPr="00FA1E77">
        <w:rPr>
          <w:snapToGrid w:val="0"/>
          <w:kern w:val="22"/>
          <w:sz w:val="22"/>
          <w:szCs w:val="22"/>
          <w:lang w:val="en-GB"/>
        </w:rPr>
        <w:t xml:space="preserve"> to the lack of capacities and resources for making certain information available.</w:t>
      </w:r>
    </w:p>
    <w:p w14:paraId="1E4D50AB" w14:textId="5752464B" w:rsidR="005103DA" w:rsidRPr="00FA1E77" w:rsidRDefault="00A139CB"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iCs/>
          <w:snapToGrid w:val="0"/>
          <w:kern w:val="22"/>
          <w:sz w:val="22"/>
          <w:szCs w:val="22"/>
          <w:lang w:val="en-GB"/>
        </w:rPr>
        <w:t>The Compliance Committee has regularly reviewed compliance by Parties with their obligation to make mandatory information available to the BCH</w:t>
      </w:r>
      <w:r w:rsidR="00B95C19" w:rsidRPr="00FA1E77">
        <w:rPr>
          <w:iCs/>
          <w:snapToGrid w:val="0"/>
          <w:kern w:val="22"/>
          <w:sz w:val="22"/>
          <w:szCs w:val="22"/>
          <w:lang w:val="en-GB"/>
        </w:rPr>
        <w:t>, under various agenda items</w:t>
      </w:r>
      <w:r w:rsidR="00653102" w:rsidRPr="00FA1E77">
        <w:rPr>
          <w:iCs/>
          <w:snapToGrid w:val="0"/>
          <w:kern w:val="22"/>
          <w:sz w:val="22"/>
          <w:szCs w:val="22"/>
          <w:lang w:val="en-GB"/>
        </w:rPr>
        <w:t xml:space="preserve"> of most of its meetings</w:t>
      </w:r>
      <w:r w:rsidR="00B95C19" w:rsidRPr="00FA1E77">
        <w:rPr>
          <w:iCs/>
          <w:snapToGrid w:val="0"/>
          <w:kern w:val="22"/>
          <w:sz w:val="22"/>
          <w:szCs w:val="22"/>
          <w:lang w:val="en-GB"/>
        </w:rPr>
        <w:t>.</w:t>
      </w:r>
    </w:p>
    <w:p w14:paraId="556DEC20" w14:textId="0A5F9A71" w:rsidR="005103DA" w:rsidRPr="00FA1E77" w:rsidRDefault="00B65392"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iCs/>
          <w:snapToGrid w:val="0"/>
          <w:kern w:val="22"/>
          <w:sz w:val="22"/>
          <w:szCs w:val="22"/>
          <w:lang w:val="en-GB"/>
        </w:rPr>
        <w:t>More specifically</w:t>
      </w:r>
      <w:r w:rsidR="001B75BE" w:rsidRPr="00FA1E77">
        <w:rPr>
          <w:iCs/>
          <w:snapToGrid w:val="0"/>
          <w:kern w:val="22"/>
          <w:sz w:val="22"/>
          <w:szCs w:val="22"/>
          <w:lang w:val="en-GB"/>
        </w:rPr>
        <w:t>,</w:t>
      </w:r>
      <w:r w:rsidR="00B95C19" w:rsidRPr="00FA1E77">
        <w:rPr>
          <w:iCs/>
          <w:snapToGrid w:val="0"/>
          <w:kern w:val="22"/>
          <w:sz w:val="22"/>
          <w:szCs w:val="22"/>
          <w:lang w:val="en-GB"/>
        </w:rPr>
        <w:t xml:space="preserve"> </w:t>
      </w:r>
      <w:r w:rsidR="00275E82" w:rsidRPr="00FA1E77">
        <w:rPr>
          <w:iCs/>
          <w:snapToGrid w:val="0"/>
          <w:kern w:val="22"/>
          <w:sz w:val="22"/>
          <w:szCs w:val="22"/>
          <w:lang w:val="en-GB"/>
        </w:rPr>
        <w:t>and in accordan</w:t>
      </w:r>
      <w:r w:rsidR="00A95682" w:rsidRPr="00FA1E77">
        <w:rPr>
          <w:iCs/>
          <w:snapToGrid w:val="0"/>
          <w:kern w:val="22"/>
          <w:sz w:val="22"/>
          <w:szCs w:val="22"/>
          <w:lang w:val="en-GB"/>
        </w:rPr>
        <w:t>c</w:t>
      </w:r>
      <w:r w:rsidR="00275E82" w:rsidRPr="00FA1E77">
        <w:rPr>
          <w:iCs/>
          <w:snapToGrid w:val="0"/>
          <w:kern w:val="22"/>
          <w:sz w:val="22"/>
          <w:szCs w:val="22"/>
          <w:lang w:val="en-GB"/>
        </w:rPr>
        <w:t>e with the Committee’s cyclical organization of work, agreed to at its eighth meeting</w:t>
      </w:r>
      <w:r w:rsidR="00A95682" w:rsidRPr="00FA1E77">
        <w:rPr>
          <w:iCs/>
          <w:snapToGrid w:val="0"/>
          <w:kern w:val="22"/>
          <w:sz w:val="22"/>
          <w:szCs w:val="22"/>
          <w:lang w:val="en-GB"/>
        </w:rPr>
        <w:t>,</w:t>
      </w:r>
      <w:r w:rsidR="00275E82" w:rsidRPr="00FA1E77">
        <w:rPr>
          <w:iCs/>
          <w:snapToGrid w:val="0"/>
          <w:kern w:val="22"/>
          <w:sz w:val="22"/>
          <w:szCs w:val="22"/>
          <w:lang w:val="en-GB"/>
        </w:rPr>
        <w:t xml:space="preserve"> the Committee </w:t>
      </w:r>
      <w:r w:rsidR="00B95C19" w:rsidRPr="00FA1E77">
        <w:rPr>
          <w:iCs/>
          <w:snapToGrid w:val="0"/>
          <w:kern w:val="22"/>
          <w:sz w:val="22"/>
          <w:szCs w:val="22"/>
          <w:lang w:val="en-GB"/>
        </w:rPr>
        <w:t>has considered this issue in the context of its review</w:t>
      </w:r>
      <w:r w:rsidR="00A139CB" w:rsidRPr="00FA1E77">
        <w:rPr>
          <w:iCs/>
          <w:snapToGrid w:val="0"/>
          <w:kern w:val="22"/>
          <w:sz w:val="22"/>
          <w:szCs w:val="22"/>
          <w:lang w:val="en-GB"/>
        </w:rPr>
        <w:t xml:space="preserve"> of consistency between information in national reports and in the BCH.</w:t>
      </w:r>
      <w:r w:rsidR="00CF27DA" w:rsidRPr="00FA1E77">
        <w:rPr>
          <w:rStyle w:val="FootnoteReference"/>
          <w:iCs/>
          <w:snapToGrid w:val="0"/>
          <w:kern w:val="22"/>
          <w:sz w:val="22"/>
          <w:szCs w:val="22"/>
          <w:u w:val="none"/>
          <w:vertAlign w:val="superscript"/>
          <w:lang w:val="en-GB"/>
        </w:rPr>
        <w:footnoteReference w:id="30"/>
      </w:r>
      <w:r w:rsidR="005B1D0F" w:rsidRPr="00FA1E77">
        <w:rPr>
          <w:iCs/>
          <w:snapToGrid w:val="0"/>
          <w:kern w:val="22"/>
          <w:sz w:val="22"/>
          <w:szCs w:val="22"/>
          <w:vertAlign w:val="superscript"/>
          <w:lang w:val="en-GB"/>
        </w:rPr>
        <w:t xml:space="preserve"> </w:t>
      </w:r>
      <w:r w:rsidR="005B1D0F" w:rsidRPr="00FA1E77">
        <w:rPr>
          <w:iCs/>
          <w:snapToGrid w:val="0"/>
          <w:kern w:val="22"/>
          <w:sz w:val="22"/>
          <w:szCs w:val="22"/>
          <w:lang w:val="en-GB"/>
        </w:rPr>
        <w:t>The Committee has also reviewed the obligation to submit certain types of information to the BCH as part of its review of completeness of information on the BCH.</w:t>
      </w:r>
      <w:r w:rsidR="005B1D0F" w:rsidRPr="00FA1E77">
        <w:rPr>
          <w:rStyle w:val="FootnoteReference"/>
          <w:iCs/>
          <w:snapToGrid w:val="0"/>
          <w:kern w:val="22"/>
          <w:sz w:val="22"/>
          <w:szCs w:val="22"/>
          <w:u w:val="none"/>
          <w:vertAlign w:val="superscript"/>
          <w:lang w:val="en-GB"/>
        </w:rPr>
        <w:footnoteReference w:id="31"/>
      </w:r>
      <w:r w:rsidR="00A139CB" w:rsidRPr="00FA1E77">
        <w:rPr>
          <w:iCs/>
          <w:snapToGrid w:val="0"/>
          <w:kern w:val="22"/>
          <w:sz w:val="22"/>
          <w:szCs w:val="22"/>
          <w:lang w:val="en-GB"/>
        </w:rPr>
        <w:t xml:space="preserve"> The Committee has initiated follow-up </w:t>
      </w:r>
      <w:r w:rsidR="00396E89" w:rsidRPr="00FA1E77">
        <w:rPr>
          <w:iCs/>
          <w:snapToGrid w:val="0"/>
          <w:kern w:val="22"/>
          <w:sz w:val="22"/>
          <w:szCs w:val="22"/>
          <w:lang w:val="en-GB"/>
        </w:rPr>
        <w:t xml:space="preserve">with </w:t>
      </w:r>
      <w:r w:rsidR="006F3EAA" w:rsidRPr="00510EF6">
        <w:rPr>
          <w:iCs/>
          <w:snapToGrid w:val="0"/>
          <w:kern w:val="22"/>
          <w:sz w:val="22"/>
          <w:szCs w:val="22"/>
          <w:lang w:val="en-GB"/>
        </w:rPr>
        <w:t xml:space="preserve">the </w:t>
      </w:r>
      <w:r w:rsidR="00396E89" w:rsidRPr="00FA1E77">
        <w:rPr>
          <w:iCs/>
          <w:snapToGrid w:val="0"/>
          <w:kern w:val="22"/>
          <w:sz w:val="22"/>
          <w:szCs w:val="22"/>
          <w:lang w:val="en-GB"/>
        </w:rPr>
        <w:t>Parties concerned</w:t>
      </w:r>
      <w:r w:rsidR="00A139CB" w:rsidRPr="00FA1E77">
        <w:rPr>
          <w:iCs/>
          <w:snapToGrid w:val="0"/>
          <w:kern w:val="22"/>
          <w:sz w:val="22"/>
          <w:szCs w:val="22"/>
          <w:lang w:val="en-GB"/>
        </w:rPr>
        <w:t>, in particular by mandating the Secretariat to remind Parties of their</w:t>
      </w:r>
      <w:r w:rsidR="00B0286D" w:rsidRPr="00FA1E77">
        <w:rPr>
          <w:iCs/>
          <w:snapToGrid w:val="0"/>
          <w:kern w:val="22"/>
          <w:sz w:val="22"/>
          <w:szCs w:val="22"/>
          <w:lang w:val="en-GB"/>
        </w:rPr>
        <w:t xml:space="preserve"> obligations in this regard</w:t>
      </w:r>
      <w:r w:rsidR="00A139CB" w:rsidRPr="00FA1E77">
        <w:rPr>
          <w:iCs/>
          <w:snapToGrid w:val="0"/>
          <w:kern w:val="22"/>
          <w:sz w:val="22"/>
          <w:szCs w:val="22"/>
          <w:lang w:val="en-GB"/>
        </w:rPr>
        <w:t>.</w:t>
      </w:r>
    </w:p>
    <w:p w14:paraId="70AF920E" w14:textId="25AB93E6" w:rsidR="005103DA" w:rsidRPr="00FA1E77" w:rsidRDefault="0023520B"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snapToGrid w:val="0"/>
          <w:kern w:val="22"/>
          <w:sz w:val="22"/>
          <w:szCs w:val="22"/>
          <w:lang w:val="en-GB"/>
        </w:rPr>
        <w:t xml:space="preserve">The Compliance Committee last reviewed consistency between information in the third national reports and the </w:t>
      </w:r>
      <w:r w:rsidR="00FE242F" w:rsidRPr="00FA1E77">
        <w:rPr>
          <w:snapToGrid w:val="0"/>
          <w:kern w:val="22"/>
          <w:sz w:val="22"/>
          <w:szCs w:val="22"/>
          <w:lang w:val="en-GB"/>
        </w:rPr>
        <w:t>B</w:t>
      </w:r>
      <w:r w:rsidRPr="00FA1E77">
        <w:rPr>
          <w:snapToGrid w:val="0"/>
          <w:kern w:val="22"/>
          <w:sz w:val="22"/>
          <w:szCs w:val="22"/>
          <w:lang w:val="en-GB"/>
        </w:rPr>
        <w:t xml:space="preserve">iosafety </w:t>
      </w:r>
      <w:r w:rsidR="00FE242F" w:rsidRPr="00FA1E77">
        <w:rPr>
          <w:snapToGrid w:val="0"/>
          <w:kern w:val="22"/>
          <w:sz w:val="22"/>
          <w:szCs w:val="22"/>
          <w:lang w:val="en-GB"/>
        </w:rPr>
        <w:t>C</w:t>
      </w:r>
      <w:r w:rsidRPr="00FA1E77">
        <w:rPr>
          <w:snapToGrid w:val="0"/>
          <w:kern w:val="22"/>
          <w:sz w:val="22"/>
          <w:szCs w:val="22"/>
          <w:lang w:val="en-GB"/>
        </w:rPr>
        <w:t>learing</w:t>
      </w:r>
      <w:r w:rsidR="00FE242F" w:rsidRPr="00FA1E77">
        <w:rPr>
          <w:snapToGrid w:val="0"/>
          <w:kern w:val="22"/>
          <w:sz w:val="22"/>
          <w:szCs w:val="22"/>
          <w:lang w:val="en-GB"/>
        </w:rPr>
        <w:t>-H</w:t>
      </w:r>
      <w:r w:rsidRPr="00FA1E77">
        <w:rPr>
          <w:snapToGrid w:val="0"/>
          <w:kern w:val="22"/>
          <w:sz w:val="22"/>
          <w:szCs w:val="22"/>
          <w:lang w:val="en-GB"/>
        </w:rPr>
        <w:t>ouse</w:t>
      </w:r>
      <w:r w:rsidR="00C914C5" w:rsidRPr="00510EF6">
        <w:rPr>
          <w:snapToGrid w:val="0"/>
          <w:kern w:val="22"/>
          <w:sz w:val="22"/>
          <w:szCs w:val="22"/>
          <w:lang w:val="en-GB"/>
        </w:rPr>
        <w:t xml:space="preserve"> at its fifteenth meeting, held from 8 to 10 May 2018</w:t>
      </w:r>
      <w:r w:rsidRPr="00FA1E77">
        <w:rPr>
          <w:snapToGrid w:val="0"/>
          <w:kern w:val="22"/>
          <w:sz w:val="22"/>
          <w:szCs w:val="22"/>
          <w:lang w:val="en-GB"/>
        </w:rPr>
        <w:t>.</w:t>
      </w:r>
      <w:r w:rsidRPr="00FA1E77">
        <w:rPr>
          <w:rStyle w:val="FootnoteReference"/>
          <w:snapToGrid w:val="0"/>
          <w:kern w:val="22"/>
          <w:sz w:val="22"/>
          <w:szCs w:val="22"/>
          <w:u w:val="none"/>
          <w:vertAlign w:val="superscript"/>
          <w:lang w:val="en-GB"/>
        </w:rPr>
        <w:footnoteReference w:id="32"/>
      </w:r>
      <w:r w:rsidRPr="00FA1E77">
        <w:rPr>
          <w:snapToGrid w:val="0"/>
          <w:kern w:val="22"/>
          <w:sz w:val="22"/>
          <w:szCs w:val="22"/>
          <w:lang w:val="en-GB"/>
        </w:rPr>
        <w:t xml:space="preserve"> In this context, </w:t>
      </w:r>
      <w:r w:rsidRPr="00FA1E77">
        <w:rPr>
          <w:kern w:val="22"/>
          <w:sz w:val="22"/>
          <w:szCs w:val="22"/>
          <w:lang w:val="en-GB"/>
        </w:rPr>
        <w:t>the Committee noted the visible progress compared to the previous review of consistency and the increasing efforts by Parties to provide detailed information in national reports, thereby facilitating the review of the data and increasing the understanding of the specific situations faced by Parties. The Committee requested the Secretariat to contact those Parties it had identified whose records on the BCH were inconsistent with the information provided in their third national report with a view to resolving the inconsistency.</w:t>
      </w:r>
      <w:r w:rsidRPr="00FA1E77">
        <w:rPr>
          <w:rStyle w:val="FootnoteReference"/>
          <w:kern w:val="22"/>
          <w:sz w:val="22"/>
          <w:szCs w:val="22"/>
          <w:u w:val="none"/>
          <w:vertAlign w:val="superscript"/>
          <w:lang w:val="en-GB"/>
        </w:rPr>
        <w:footnoteReference w:id="33"/>
      </w:r>
    </w:p>
    <w:p w14:paraId="48AC420C" w14:textId="4255AE94" w:rsidR="005103DA" w:rsidRPr="00FA1E77" w:rsidRDefault="0023520B"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kern w:val="22"/>
          <w:sz w:val="22"/>
          <w:szCs w:val="22"/>
          <w:lang w:val="en-GB"/>
        </w:rPr>
        <w:t>At its sixteenth meeting, held from 29 to 31 May 2019, the Committee reverted to this matter. A note prepared by the Executive Secretary provided a description of the follow-up activities carried out in this regard since the Committee’s fifteenth meeting and included an updated overview of inconsistencies between information in the national reports and the BCH, based on a</w:t>
      </w:r>
      <w:r w:rsidR="00101887" w:rsidRPr="00FA1E77">
        <w:rPr>
          <w:kern w:val="22"/>
          <w:sz w:val="22"/>
          <w:szCs w:val="22"/>
          <w:lang w:val="en-GB"/>
        </w:rPr>
        <w:t xml:space="preserve"> renewed </w:t>
      </w:r>
      <w:r w:rsidRPr="00FA1E77">
        <w:rPr>
          <w:kern w:val="22"/>
          <w:sz w:val="22"/>
          <w:szCs w:val="22"/>
          <w:lang w:val="en-GB"/>
        </w:rPr>
        <w:t>analysis of inconsistencies</w:t>
      </w:r>
      <w:r w:rsidR="00BB4D94" w:rsidRPr="00FA1E77">
        <w:rPr>
          <w:kern w:val="22"/>
          <w:sz w:val="22"/>
          <w:szCs w:val="22"/>
          <w:lang w:val="en-GB"/>
        </w:rPr>
        <w:t>,</w:t>
      </w:r>
      <w:r w:rsidRPr="00FA1E77">
        <w:rPr>
          <w:kern w:val="22"/>
          <w:sz w:val="22"/>
          <w:szCs w:val="22"/>
          <w:lang w:val="en-GB"/>
        </w:rPr>
        <w:t xml:space="preserve"> carried out in January and February 2019.</w:t>
      </w:r>
      <w:r w:rsidRPr="00FA1E77">
        <w:rPr>
          <w:rStyle w:val="FootnoteReference"/>
          <w:kern w:val="22"/>
          <w:sz w:val="22"/>
          <w:szCs w:val="22"/>
          <w:u w:val="none"/>
          <w:vertAlign w:val="superscript"/>
          <w:lang w:val="en-GB"/>
        </w:rPr>
        <w:footnoteReference w:id="34"/>
      </w:r>
      <w:r w:rsidRPr="00FA1E77">
        <w:rPr>
          <w:kern w:val="22"/>
          <w:sz w:val="22"/>
          <w:szCs w:val="22"/>
          <w:lang w:val="en-GB"/>
        </w:rPr>
        <w:t xml:space="preserve"> The Committee noted that </w:t>
      </w:r>
      <w:r w:rsidRPr="00FA1E77">
        <w:rPr>
          <w:iCs/>
          <w:kern w:val="22"/>
          <w:sz w:val="22"/>
          <w:szCs w:val="22"/>
          <w:lang w:val="en-GB"/>
        </w:rPr>
        <w:t xml:space="preserve">Parties, in general, appeared to be responding positively to communications from the Secretariat, and most appeared to be acting diligently to address or clarify any inconsistencies in their country records, which contributed to ensuring the completeness and accuracy of the BCH. The Committee </w:t>
      </w:r>
      <w:r w:rsidRPr="00FA1E77">
        <w:rPr>
          <w:kern w:val="22"/>
          <w:sz w:val="22"/>
          <w:szCs w:val="22"/>
          <w:lang w:val="en-GB"/>
        </w:rPr>
        <w:t>requested the Secretariat to continue following up with Parties in this regard, as necessary.</w:t>
      </w:r>
      <w:r w:rsidRPr="00FA1E77">
        <w:rPr>
          <w:rStyle w:val="FootnoteReference"/>
          <w:kern w:val="22"/>
          <w:sz w:val="22"/>
          <w:szCs w:val="22"/>
          <w:u w:val="none"/>
          <w:vertAlign w:val="superscript"/>
          <w:lang w:val="en-GB"/>
        </w:rPr>
        <w:footnoteReference w:id="35"/>
      </w:r>
    </w:p>
    <w:p w14:paraId="3FF65587" w14:textId="211AB32A" w:rsidR="005103DA" w:rsidRPr="00FA1E77" w:rsidRDefault="0023520B" w:rsidP="00FA1E77">
      <w:pPr>
        <w:pStyle w:val="ListParagraph"/>
        <w:numPr>
          <w:ilvl w:val="0"/>
          <w:numId w:val="17"/>
        </w:numPr>
        <w:suppressLineNumbers/>
        <w:tabs>
          <w:tab w:val="clear" w:pos="644"/>
        </w:tabs>
        <w:suppressAutoHyphens/>
        <w:snapToGrid w:val="0"/>
        <w:spacing w:before="120" w:after="120"/>
        <w:ind w:left="0"/>
        <w:jc w:val="both"/>
        <w:rPr>
          <w:bCs/>
          <w:iCs/>
          <w:snapToGrid w:val="0"/>
          <w:kern w:val="22"/>
          <w:sz w:val="22"/>
          <w:szCs w:val="22"/>
          <w:lang w:val="en-GB"/>
        </w:rPr>
      </w:pPr>
      <w:r w:rsidRPr="00FA1E77">
        <w:rPr>
          <w:kern w:val="22"/>
          <w:sz w:val="22"/>
          <w:szCs w:val="22"/>
          <w:lang w:val="en-GB"/>
        </w:rPr>
        <w:t xml:space="preserve">The Committee at its sixteenth meeting </w:t>
      </w:r>
      <w:r w:rsidR="00BB4D94" w:rsidRPr="00FA1E77">
        <w:rPr>
          <w:kern w:val="22"/>
          <w:sz w:val="22"/>
          <w:szCs w:val="22"/>
          <w:lang w:val="en-GB"/>
        </w:rPr>
        <w:t>also</w:t>
      </w:r>
      <w:r w:rsidRPr="00FA1E77">
        <w:rPr>
          <w:kern w:val="22"/>
          <w:sz w:val="22"/>
          <w:szCs w:val="22"/>
          <w:lang w:val="en-GB"/>
        </w:rPr>
        <w:t xml:space="preserve"> reviewed whether risk assessment reports had been made available for relevant decisions</w:t>
      </w:r>
      <w:r w:rsidR="00E83061" w:rsidRPr="00FA1E77">
        <w:rPr>
          <w:kern w:val="22"/>
          <w:sz w:val="22"/>
          <w:szCs w:val="22"/>
          <w:lang w:val="en-GB"/>
        </w:rPr>
        <w:t xml:space="preserve">, considering </w:t>
      </w:r>
      <w:r w:rsidRPr="00FA1E77">
        <w:rPr>
          <w:kern w:val="22"/>
          <w:sz w:val="22"/>
          <w:szCs w:val="22"/>
          <w:lang w:val="en-GB"/>
        </w:rPr>
        <w:t>an overview prepared by the Secretariat</w:t>
      </w:r>
      <w:r w:rsidR="001B6276" w:rsidRPr="00FA1E77">
        <w:rPr>
          <w:kern w:val="22"/>
          <w:sz w:val="22"/>
          <w:szCs w:val="22"/>
          <w:lang w:val="en-GB"/>
        </w:rPr>
        <w:t xml:space="preserve"> on the basis of information gathered</w:t>
      </w:r>
      <w:r w:rsidRPr="00FA1E77">
        <w:rPr>
          <w:kern w:val="22"/>
          <w:sz w:val="22"/>
          <w:szCs w:val="22"/>
          <w:lang w:val="en-GB"/>
        </w:rPr>
        <w:t xml:space="preserve"> in January 2019.</w:t>
      </w:r>
      <w:r w:rsidRPr="00FA1E77">
        <w:rPr>
          <w:rStyle w:val="FootnoteReference"/>
          <w:kern w:val="22"/>
          <w:sz w:val="22"/>
          <w:szCs w:val="22"/>
          <w:u w:val="none"/>
          <w:vertAlign w:val="superscript"/>
          <w:lang w:val="en-GB"/>
        </w:rPr>
        <w:footnoteReference w:id="36"/>
      </w:r>
    </w:p>
    <w:p w14:paraId="74E7662B" w14:textId="1858068F" w:rsidR="00956953" w:rsidRPr="00FA1E77" w:rsidRDefault="00D64CEE" w:rsidP="00FA1E77">
      <w:pPr>
        <w:pStyle w:val="Heading3"/>
        <w:suppressLineNumbers/>
        <w:tabs>
          <w:tab w:val="clear" w:pos="567"/>
        </w:tabs>
        <w:suppressAutoHyphens/>
        <w:ind w:left="1134" w:hanging="567"/>
        <w:jc w:val="left"/>
        <w:rPr>
          <w:i w:val="0"/>
          <w:iCs w:val="0"/>
          <w:snapToGrid w:val="0"/>
          <w:kern w:val="22"/>
          <w:szCs w:val="22"/>
        </w:rPr>
      </w:pPr>
      <w:r w:rsidRPr="00FA1E77">
        <w:rPr>
          <w:snapToGrid w:val="0"/>
          <w:kern w:val="22"/>
          <w:szCs w:val="22"/>
        </w:rPr>
        <w:t>7.</w:t>
      </w:r>
      <w:r w:rsidRPr="00FA1E77">
        <w:rPr>
          <w:snapToGrid w:val="0"/>
          <w:kern w:val="22"/>
          <w:szCs w:val="22"/>
        </w:rPr>
        <w:tab/>
      </w:r>
      <w:r w:rsidR="00B93AC6" w:rsidRPr="00FA1E77">
        <w:rPr>
          <w:snapToGrid w:val="0"/>
          <w:kern w:val="22"/>
          <w:szCs w:val="22"/>
        </w:rPr>
        <w:t>Access to financial resources</w:t>
      </w:r>
      <w:r w:rsidR="00E16CE9" w:rsidRPr="00FA1E77">
        <w:rPr>
          <w:snapToGrid w:val="0"/>
          <w:kern w:val="22"/>
          <w:szCs w:val="22"/>
        </w:rPr>
        <w:t>: indicator 3.1.8 (Number of Parties able to access financial resources to fulfil their obligations under the Protocol)</w:t>
      </w:r>
    </w:p>
    <w:p w14:paraId="5CF8880A" w14:textId="68E8E23D" w:rsidR="005103DA" w:rsidRPr="00FA1E77" w:rsidRDefault="003947E5"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 35</w:t>
      </w:r>
      <w:r w:rsidR="00C9039F" w:rsidRPr="00FA1E77">
        <w:rPr>
          <w:snapToGrid w:val="0"/>
          <w:kern w:val="22"/>
          <w:sz w:val="22"/>
          <w:szCs w:val="22"/>
          <w:lang w:val="en-GB"/>
        </w:rPr>
        <w:t xml:space="preserve"> per cent</w:t>
      </w:r>
      <w:r w:rsidRPr="00FA1E77">
        <w:rPr>
          <w:snapToGrid w:val="0"/>
          <w:kern w:val="22"/>
          <w:sz w:val="22"/>
          <w:szCs w:val="22"/>
          <w:lang w:val="en-GB"/>
        </w:rPr>
        <w:t xml:space="preserve"> of Parties (25 Parties) reported having access to predictable and reliable funding for building capacity for the effective implementation of the Protocol, while 14</w:t>
      </w:r>
      <w:r w:rsidR="00C9039F" w:rsidRPr="00FA1E77">
        <w:rPr>
          <w:snapToGrid w:val="0"/>
          <w:kern w:val="22"/>
          <w:sz w:val="22"/>
          <w:szCs w:val="22"/>
          <w:lang w:val="en-GB"/>
        </w:rPr>
        <w:t xml:space="preserve"> per cent</w:t>
      </w:r>
      <w:r w:rsidRPr="00FA1E77">
        <w:rPr>
          <w:snapToGrid w:val="0"/>
          <w:kern w:val="22"/>
          <w:sz w:val="22"/>
          <w:szCs w:val="22"/>
          <w:lang w:val="en-GB"/>
        </w:rPr>
        <w:t xml:space="preserve"> of Parties (10 Parties) reported having access to such funding to some extent. Taken together, this represents an increase of 7</w:t>
      </w:r>
      <w:r w:rsidR="00C9039F" w:rsidRPr="00FA1E77">
        <w:rPr>
          <w:snapToGrid w:val="0"/>
          <w:kern w:val="22"/>
          <w:sz w:val="22"/>
          <w:szCs w:val="22"/>
          <w:lang w:val="en-GB"/>
        </w:rPr>
        <w:t xml:space="preserve"> per cent</w:t>
      </w:r>
      <w:r w:rsidRPr="00FA1E77">
        <w:rPr>
          <w:snapToGrid w:val="0"/>
          <w:kern w:val="22"/>
          <w:sz w:val="22"/>
          <w:szCs w:val="22"/>
          <w:lang w:val="en-GB"/>
        </w:rPr>
        <w:t xml:space="preserve"> from the baseline.</w:t>
      </w:r>
      <w:r w:rsidRPr="00FA1E77">
        <w:rPr>
          <w:rStyle w:val="FootnoteReference"/>
          <w:snapToGrid w:val="0"/>
          <w:kern w:val="22"/>
          <w:sz w:val="22"/>
          <w:szCs w:val="22"/>
          <w:u w:val="none"/>
          <w:vertAlign w:val="superscript"/>
          <w:lang w:val="en-GB"/>
        </w:rPr>
        <w:footnoteReference w:id="37"/>
      </w:r>
    </w:p>
    <w:p w14:paraId="10EA1E7B" w14:textId="102CC6A6" w:rsidR="00760C4C" w:rsidRPr="00FA1E77" w:rsidRDefault="003947E5"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 total of 70</w:t>
      </w:r>
      <w:r w:rsidR="00C9039F" w:rsidRPr="00FA1E77">
        <w:rPr>
          <w:snapToGrid w:val="0"/>
          <w:kern w:val="22"/>
          <w:sz w:val="22"/>
          <w:szCs w:val="22"/>
          <w:lang w:val="en-GB"/>
        </w:rPr>
        <w:t xml:space="preserve"> per cent</w:t>
      </w:r>
      <w:r w:rsidRPr="00FA1E77">
        <w:rPr>
          <w:snapToGrid w:val="0"/>
          <w:kern w:val="22"/>
          <w:sz w:val="22"/>
          <w:szCs w:val="22"/>
          <w:lang w:val="en-GB"/>
        </w:rPr>
        <w:t xml:space="preserve"> of Parties (31 Parties) reported having mobilized funding in addition to the regular budget allocation to support the implementation of the Cartagena Protocol, which is 13 Parties less than at the baseline.</w:t>
      </w:r>
      <w:r w:rsidRPr="00FA1E77">
        <w:rPr>
          <w:rStyle w:val="FootnoteReference"/>
          <w:snapToGrid w:val="0"/>
          <w:kern w:val="22"/>
          <w:sz w:val="22"/>
          <w:szCs w:val="22"/>
          <w:u w:val="none"/>
          <w:vertAlign w:val="superscript"/>
          <w:lang w:val="en-GB"/>
        </w:rPr>
        <w:footnoteReference w:id="38"/>
      </w:r>
      <w:r w:rsidRPr="00FA1E77">
        <w:rPr>
          <w:snapToGrid w:val="0"/>
          <w:kern w:val="22"/>
          <w:sz w:val="22"/>
          <w:szCs w:val="22"/>
          <w:lang w:val="en-GB"/>
        </w:rPr>
        <w:t xml:space="preserve"> Differences are reported in the amounts received in comparison to the baseline. A decrease of 11</w:t>
      </w:r>
      <w:r w:rsidR="00C80F32" w:rsidRPr="00FA1E77">
        <w:rPr>
          <w:snapToGrid w:val="0"/>
          <w:kern w:val="22"/>
          <w:sz w:val="22"/>
          <w:szCs w:val="22"/>
          <w:lang w:val="en-GB"/>
        </w:rPr>
        <w:t xml:space="preserve"> per cent</w:t>
      </w:r>
      <w:r w:rsidRPr="00FA1E77">
        <w:rPr>
          <w:snapToGrid w:val="0"/>
          <w:kern w:val="22"/>
          <w:sz w:val="22"/>
          <w:szCs w:val="22"/>
          <w:lang w:val="en-GB"/>
        </w:rPr>
        <w:t xml:space="preserve"> is reported in amounts up to </w:t>
      </w:r>
      <w:r w:rsidR="002B61EA" w:rsidRPr="00510EF6">
        <w:rPr>
          <w:snapToGrid w:val="0"/>
          <w:kern w:val="22"/>
          <w:sz w:val="22"/>
          <w:szCs w:val="22"/>
          <w:lang w:val="en-GB"/>
        </w:rPr>
        <w:t>US$ </w:t>
      </w:r>
      <w:r w:rsidRPr="00FA1E77">
        <w:rPr>
          <w:snapToGrid w:val="0"/>
          <w:kern w:val="22"/>
          <w:sz w:val="22"/>
          <w:szCs w:val="22"/>
          <w:lang w:val="en-GB"/>
        </w:rPr>
        <w:t>50,000. A decrease of 14</w:t>
      </w:r>
      <w:r w:rsidR="00C80F32" w:rsidRPr="00FA1E77">
        <w:rPr>
          <w:snapToGrid w:val="0"/>
          <w:kern w:val="22"/>
          <w:sz w:val="22"/>
          <w:szCs w:val="22"/>
          <w:lang w:val="en-GB"/>
        </w:rPr>
        <w:t xml:space="preserve"> per cent</w:t>
      </w:r>
      <w:r w:rsidRPr="00FA1E77">
        <w:rPr>
          <w:snapToGrid w:val="0"/>
          <w:kern w:val="22"/>
          <w:sz w:val="22"/>
          <w:szCs w:val="22"/>
          <w:lang w:val="en-GB"/>
        </w:rPr>
        <w:t xml:space="preserve"> was reported in amounts received between </w:t>
      </w:r>
      <w:r w:rsidR="002B61EA" w:rsidRPr="00510EF6">
        <w:rPr>
          <w:snapToGrid w:val="0"/>
          <w:kern w:val="22"/>
          <w:sz w:val="22"/>
          <w:szCs w:val="22"/>
          <w:lang w:val="en-GB"/>
        </w:rPr>
        <w:t>US$ </w:t>
      </w:r>
      <w:r w:rsidRPr="00FA1E77">
        <w:rPr>
          <w:snapToGrid w:val="0"/>
          <w:kern w:val="22"/>
          <w:sz w:val="22"/>
          <w:szCs w:val="22"/>
          <w:lang w:val="en-GB"/>
        </w:rPr>
        <w:t xml:space="preserve">100,000 and </w:t>
      </w:r>
      <w:r w:rsidR="002B61EA" w:rsidRPr="00510EF6">
        <w:rPr>
          <w:snapToGrid w:val="0"/>
          <w:kern w:val="22"/>
          <w:sz w:val="22"/>
          <w:szCs w:val="22"/>
          <w:lang w:val="en-GB"/>
        </w:rPr>
        <w:t>US$ </w:t>
      </w:r>
      <w:r w:rsidRPr="00FA1E77">
        <w:rPr>
          <w:snapToGrid w:val="0"/>
          <w:kern w:val="22"/>
          <w:sz w:val="22"/>
          <w:szCs w:val="22"/>
          <w:lang w:val="en-GB"/>
        </w:rPr>
        <w:t>500,000. A decrease of 7</w:t>
      </w:r>
      <w:r w:rsidR="00C80F32" w:rsidRPr="00FA1E77">
        <w:rPr>
          <w:snapToGrid w:val="0"/>
          <w:kern w:val="22"/>
          <w:sz w:val="22"/>
          <w:szCs w:val="22"/>
          <w:lang w:val="en-GB"/>
        </w:rPr>
        <w:t xml:space="preserve"> per cent</w:t>
      </w:r>
      <w:r w:rsidRPr="00FA1E77">
        <w:rPr>
          <w:snapToGrid w:val="0"/>
          <w:kern w:val="22"/>
          <w:sz w:val="22"/>
          <w:szCs w:val="22"/>
          <w:lang w:val="en-GB"/>
        </w:rPr>
        <w:t xml:space="preserve"> was reported in amounts received over </w:t>
      </w:r>
      <w:r w:rsidR="0066567C" w:rsidRPr="00510EF6">
        <w:rPr>
          <w:snapToGrid w:val="0"/>
          <w:kern w:val="22"/>
          <w:sz w:val="22"/>
          <w:szCs w:val="22"/>
          <w:lang w:val="en-GB"/>
        </w:rPr>
        <w:t>US$ </w:t>
      </w:r>
      <w:r w:rsidRPr="00FA1E77">
        <w:rPr>
          <w:snapToGrid w:val="0"/>
          <w:kern w:val="22"/>
          <w:sz w:val="22"/>
          <w:szCs w:val="22"/>
          <w:lang w:val="en-GB"/>
        </w:rPr>
        <w:t>500,000. The contribution to the decrease seems to be divided relatively evenly among Parties across the regions.</w:t>
      </w:r>
    </w:p>
    <w:p w14:paraId="05692445" w14:textId="20CD94F7" w:rsidR="007F2DD6" w:rsidRPr="00FA1E77" w:rsidRDefault="00B51A41"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The Committee recognized that the availability of financial resources</w:t>
      </w:r>
      <w:r w:rsidR="00E9357E" w:rsidRPr="00FA1E77">
        <w:rPr>
          <w:snapToGrid w:val="0"/>
          <w:kern w:val="22"/>
          <w:sz w:val="22"/>
          <w:szCs w:val="22"/>
          <w:lang w:val="en-GB"/>
        </w:rPr>
        <w:t xml:space="preserve"> can contribute to compliance by Parties with their obligations under the Protocol. </w:t>
      </w:r>
      <w:r w:rsidR="0079483A" w:rsidRPr="00FA1E77">
        <w:rPr>
          <w:snapToGrid w:val="0"/>
          <w:kern w:val="22"/>
          <w:sz w:val="22"/>
          <w:szCs w:val="22"/>
          <w:lang w:val="en-GB"/>
        </w:rPr>
        <w:t>The Committee has highlighted t</w:t>
      </w:r>
      <w:r w:rsidR="00E9357E" w:rsidRPr="00FA1E77">
        <w:rPr>
          <w:snapToGrid w:val="0"/>
          <w:kern w:val="22"/>
          <w:sz w:val="22"/>
          <w:szCs w:val="22"/>
          <w:lang w:val="en-GB"/>
        </w:rPr>
        <w:t>he positive effect of</w:t>
      </w:r>
      <w:r w:rsidR="00F10562" w:rsidRPr="00FA1E77">
        <w:rPr>
          <w:snapToGrid w:val="0"/>
          <w:kern w:val="22"/>
          <w:sz w:val="22"/>
          <w:szCs w:val="22"/>
          <w:lang w:val="en-GB"/>
        </w:rPr>
        <w:t xml:space="preserve"> the timely availability of</w:t>
      </w:r>
      <w:r w:rsidR="00E9357E" w:rsidRPr="00FA1E77">
        <w:rPr>
          <w:snapToGrid w:val="0"/>
          <w:kern w:val="22"/>
          <w:sz w:val="22"/>
          <w:szCs w:val="22"/>
          <w:lang w:val="en-GB"/>
        </w:rPr>
        <w:t xml:space="preserve"> financial resources </w:t>
      </w:r>
      <w:r w:rsidR="0079483A" w:rsidRPr="00FA1E77">
        <w:rPr>
          <w:snapToGrid w:val="0"/>
          <w:kern w:val="22"/>
          <w:sz w:val="22"/>
          <w:szCs w:val="22"/>
          <w:lang w:val="en-GB"/>
        </w:rPr>
        <w:t>on compliance by Parties with their obligations</w:t>
      </w:r>
      <w:r w:rsidR="0000241F" w:rsidRPr="00510EF6">
        <w:rPr>
          <w:snapToGrid w:val="0"/>
          <w:kern w:val="22"/>
          <w:sz w:val="22"/>
          <w:szCs w:val="22"/>
          <w:lang w:val="en-GB"/>
        </w:rPr>
        <w:t>,</w:t>
      </w:r>
      <w:r w:rsidR="0079483A" w:rsidRPr="00FA1E77">
        <w:rPr>
          <w:snapToGrid w:val="0"/>
          <w:kern w:val="22"/>
          <w:sz w:val="22"/>
          <w:szCs w:val="22"/>
          <w:lang w:val="en-GB"/>
        </w:rPr>
        <w:t xml:space="preserve"> </w:t>
      </w:r>
      <w:r w:rsidR="00A41FF1" w:rsidRPr="00FA1E77">
        <w:rPr>
          <w:snapToGrid w:val="0"/>
          <w:kern w:val="22"/>
          <w:sz w:val="22"/>
          <w:szCs w:val="22"/>
          <w:lang w:val="en-GB"/>
        </w:rPr>
        <w:t>for example</w:t>
      </w:r>
      <w:r w:rsidR="00E9357E" w:rsidRPr="00FA1E77">
        <w:rPr>
          <w:snapToGrid w:val="0"/>
          <w:kern w:val="22"/>
          <w:sz w:val="22"/>
          <w:szCs w:val="22"/>
          <w:lang w:val="en-GB"/>
        </w:rPr>
        <w:t xml:space="preserve"> in the context of the obligation to submit national reports</w:t>
      </w:r>
      <w:r w:rsidR="00F10562" w:rsidRPr="00FA1E77">
        <w:rPr>
          <w:snapToGrid w:val="0"/>
          <w:kern w:val="22"/>
          <w:sz w:val="22"/>
          <w:szCs w:val="22"/>
          <w:lang w:val="en-GB"/>
        </w:rPr>
        <w:t>.</w:t>
      </w:r>
      <w:r w:rsidR="00E9357E" w:rsidRPr="00FA1E77">
        <w:rPr>
          <w:rStyle w:val="FootnoteReference"/>
          <w:snapToGrid w:val="0"/>
          <w:kern w:val="22"/>
          <w:sz w:val="22"/>
          <w:szCs w:val="22"/>
          <w:u w:val="none"/>
          <w:vertAlign w:val="superscript"/>
          <w:lang w:val="en-GB"/>
        </w:rPr>
        <w:footnoteReference w:id="39"/>
      </w:r>
    </w:p>
    <w:p w14:paraId="4B4BD364" w14:textId="52A1FEEA" w:rsidR="0062603A" w:rsidRPr="00FA1E77" w:rsidRDefault="00557F42"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T</w:t>
      </w:r>
      <w:r w:rsidR="00EC52A1" w:rsidRPr="00FA1E77">
        <w:rPr>
          <w:snapToGrid w:val="0"/>
          <w:kern w:val="22"/>
          <w:sz w:val="22"/>
          <w:szCs w:val="22"/>
          <w:lang w:val="en-GB"/>
        </w:rPr>
        <w:t>he Committee has</w:t>
      </w:r>
      <w:r w:rsidRPr="00FA1E77">
        <w:rPr>
          <w:snapToGrid w:val="0"/>
          <w:kern w:val="22"/>
          <w:sz w:val="22"/>
          <w:szCs w:val="22"/>
          <w:lang w:val="en-GB"/>
        </w:rPr>
        <w:t xml:space="preserve"> also</w:t>
      </w:r>
      <w:r w:rsidR="009879AF" w:rsidRPr="00FA1E77">
        <w:rPr>
          <w:snapToGrid w:val="0"/>
          <w:kern w:val="22"/>
          <w:sz w:val="22"/>
          <w:szCs w:val="22"/>
          <w:lang w:val="en-GB"/>
        </w:rPr>
        <w:t xml:space="preserve"> </w:t>
      </w:r>
      <w:r w:rsidRPr="00FA1E77">
        <w:rPr>
          <w:snapToGrid w:val="0"/>
          <w:kern w:val="22"/>
          <w:sz w:val="22"/>
          <w:szCs w:val="22"/>
          <w:lang w:val="en-GB"/>
        </w:rPr>
        <w:t xml:space="preserve">considered </w:t>
      </w:r>
      <w:r w:rsidR="00EC52A1" w:rsidRPr="00FA1E77">
        <w:rPr>
          <w:snapToGrid w:val="0"/>
          <w:kern w:val="22"/>
          <w:sz w:val="22"/>
          <w:szCs w:val="22"/>
          <w:lang w:val="en-GB"/>
        </w:rPr>
        <w:t xml:space="preserve">access to resources in the context of </w:t>
      </w:r>
      <w:r w:rsidRPr="00FA1E77">
        <w:rPr>
          <w:snapToGrid w:val="0"/>
          <w:kern w:val="22"/>
          <w:sz w:val="22"/>
          <w:szCs w:val="22"/>
          <w:lang w:val="en-GB"/>
        </w:rPr>
        <w:t>compliance with other obligations under the Protocol</w:t>
      </w:r>
      <w:r w:rsidR="0095724D" w:rsidRPr="00FA1E77">
        <w:rPr>
          <w:snapToGrid w:val="0"/>
          <w:kern w:val="22"/>
          <w:sz w:val="22"/>
          <w:szCs w:val="22"/>
          <w:lang w:val="en-GB"/>
        </w:rPr>
        <w:t>, for example the adoption of national measures to implement the Protocol</w:t>
      </w:r>
      <w:r w:rsidR="00EB198C" w:rsidRPr="00FA1E77">
        <w:rPr>
          <w:snapToGrid w:val="0"/>
          <w:kern w:val="22"/>
          <w:sz w:val="22"/>
          <w:szCs w:val="22"/>
          <w:lang w:val="en-GB"/>
        </w:rPr>
        <w:t>.</w:t>
      </w:r>
      <w:r w:rsidR="00DA433B" w:rsidRPr="00FA1E77">
        <w:rPr>
          <w:rStyle w:val="FootnoteReference"/>
          <w:snapToGrid w:val="0"/>
          <w:kern w:val="22"/>
          <w:sz w:val="22"/>
          <w:szCs w:val="22"/>
          <w:u w:val="none"/>
          <w:vertAlign w:val="superscript"/>
          <w:lang w:val="en-GB"/>
        </w:rPr>
        <w:footnoteReference w:id="40"/>
      </w:r>
      <w:r w:rsidR="0095724D" w:rsidRPr="00FA1E77">
        <w:rPr>
          <w:snapToGrid w:val="0"/>
          <w:kern w:val="22"/>
          <w:sz w:val="22"/>
          <w:szCs w:val="22"/>
          <w:lang w:val="en-GB"/>
        </w:rPr>
        <w:t xml:space="preserve"> At its fifteenth meeting, the Committee </w:t>
      </w:r>
      <w:r w:rsidR="0095724D" w:rsidRPr="00FA1E77">
        <w:rPr>
          <w:iCs/>
          <w:snapToGrid w:val="0"/>
          <w:kern w:val="22"/>
          <w:sz w:val="22"/>
          <w:szCs w:val="22"/>
          <w:lang w:val="en-GB"/>
        </w:rPr>
        <w:t>recognized that the availability of financial resources for the implementation of the Protocol was an ongoing challenge for many Parties and discussed the possibility of donors being urged to provide voluntary funds to enable the Committee to facilitate compliance in cases where financial resources were needed.</w:t>
      </w:r>
      <w:r w:rsidR="0095724D" w:rsidRPr="00FA1E77">
        <w:rPr>
          <w:rStyle w:val="FootnoteReference"/>
          <w:iCs/>
          <w:snapToGrid w:val="0"/>
          <w:kern w:val="22"/>
          <w:sz w:val="22"/>
          <w:szCs w:val="22"/>
          <w:u w:val="none"/>
          <w:vertAlign w:val="superscript"/>
          <w:lang w:val="en-GB"/>
        </w:rPr>
        <w:footnoteReference w:id="41"/>
      </w:r>
      <w:r w:rsidR="0095724D" w:rsidRPr="00FA1E77">
        <w:rPr>
          <w:iCs/>
          <w:snapToGrid w:val="0"/>
          <w:kern w:val="22"/>
          <w:sz w:val="22"/>
          <w:szCs w:val="22"/>
          <w:lang w:val="en-GB"/>
        </w:rPr>
        <w:t xml:space="preserve"> </w:t>
      </w:r>
      <w:r w:rsidR="00874F71" w:rsidRPr="00FA1E77">
        <w:rPr>
          <w:iCs/>
          <w:snapToGrid w:val="0"/>
          <w:kern w:val="22"/>
          <w:sz w:val="22"/>
          <w:szCs w:val="22"/>
          <w:lang w:val="en-GB"/>
        </w:rPr>
        <w:t xml:space="preserve">In this light, the Committee decided on a recommendation to the </w:t>
      </w:r>
      <w:r w:rsidR="003F3BEB" w:rsidRPr="00FA1E77">
        <w:rPr>
          <w:iCs/>
          <w:snapToGrid w:val="0"/>
          <w:kern w:val="22"/>
          <w:sz w:val="22"/>
          <w:szCs w:val="22"/>
          <w:lang w:val="en-GB"/>
        </w:rPr>
        <w:t>Conference of the Parties serving as the meeting of the Parties to the Protocol</w:t>
      </w:r>
      <w:r w:rsidR="00874F71" w:rsidRPr="00FA1E77">
        <w:rPr>
          <w:iCs/>
          <w:snapToGrid w:val="0"/>
          <w:kern w:val="22"/>
          <w:sz w:val="22"/>
          <w:szCs w:val="22"/>
          <w:lang w:val="en-GB"/>
        </w:rPr>
        <w:t xml:space="preserve">, which was reflected in decision CP-9/1, in which the </w:t>
      </w:r>
      <w:r w:rsidR="003F3BEB" w:rsidRPr="00FA1E77">
        <w:rPr>
          <w:iCs/>
          <w:snapToGrid w:val="0"/>
          <w:kern w:val="22"/>
          <w:sz w:val="22"/>
          <w:szCs w:val="22"/>
          <w:lang w:val="en-GB"/>
        </w:rPr>
        <w:t>Conference of the Parties serving as the meeting of the Parties to the Protocol</w:t>
      </w:r>
      <w:r w:rsidR="00A11825" w:rsidRPr="00FA1E77">
        <w:rPr>
          <w:iCs/>
          <w:snapToGrid w:val="0"/>
          <w:kern w:val="22"/>
          <w:sz w:val="22"/>
          <w:szCs w:val="22"/>
          <w:lang w:val="en-GB"/>
        </w:rPr>
        <w:t xml:space="preserve"> </w:t>
      </w:r>
      <w:r w:rsidR="00874F71" w:rsidRPr="00FA1E77">
        <w:rPr>
          <w:iCs/>
          <w:snapToGrid w:val="0"/>
          <w:kern w:val="22"/>
          <w:sz w:val="22"/>
          <w:szCs w:val="22"/>
          <w:lang w:val="en-GB"/>
        </w:rPr>
        <w:t>urged Parties and invited other Governments to provide voluntary funds in support of those Parties that had been requested by the Committee to develop and implement a compliance action plan. While the recommendation resulted in the inclusion of a line in the voluntary budget for the Cartagena Protocol on the implementation of compliance actions plans, to date, no funding has been made available in this regard.</w:t>
      </w:r>
      <w:r w:rsidR="00874F71" w:rsidRPr="00FA1E77">
        <w:rPr>
          <w:rStyle w:val="FootnoteReference"/>
          <w:iCs/>
          <w:snapToGrid w:val="0"/>
          <w:kern w:val="22"/>
          <w:sz w:val="22"/>
          <w:szCs w:val="22"/>
          <w:u w:val="none"/>
          <w:vertAlign w:val="superscript"/>
          <w:lang w:val="en-GB"/>
        </w:rPr>
        <w:footnoteReference w:id="42"/>
      </w:r>
    </w:p>
    <w:p w14:paraId="167702B1" w14:textId="71857720" w:rsidR="006919FB" w:rsidRPr="00FA1E77" w:rsidRDefault="002F08BD"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iCs/>
          <w:snapToGrid w:val="0"/>
          <w:kern w:val="22"/>
          <w:sz w:val="22"/>
          <w:szCs w:val="22"/>
          <w:lang w:val="en-GB"/>
        </w:rPr>
        <w:t>Furthermore, the</w:t>
      </w:r>
      <w:r w:rsidR="00EB6AC4" w:rsidRPr="00FA1E77">
        <w:rPr>
          <w:iCs/>
          <w:snapToGrid w:val="0"/>
          <w:kern w:val="22"/>
          <w:sz w:val="22"/>
          <w:szCs w:val="22"/>
          <w:lang w:val="en-GB"/>
        </w:rPr>
        <w:t xml:space="preserve"> Committee </w:t>
      </w:r>
      <w:r w:rsidR="008B3BAC" w:rsidRPr="00FA1E77">
        <w:rPr>
          <w:iCs/>
          <w:snapToGrid w:val="0"/>
          <w:kern w:val="22"/>
          <w:sz w:val="22"/>
          <w:szCs w:val="22"/>
          <w:lang w:val="en-GB"/>
        </w:rPr>
        <w:t xml:space="preserve">has made </w:t>
      </w:r>
      <w:r w:rsidR="00FE226E" w:rsidRPr="00FA1E77">
        <w:rPr>
          <w:iCs/>
          <w:snapToGrid w:val="0"/>
          <w:kern w:val="22"/>
          <w:sz w:val="22"/>
          <w:szCs w:val="22"/>
          <w:lang w:val="en-GB"/>
        </w:rPr>
        <w:t xml:space="preserve">a number of </w:t>
      </w:r>
      <w:r w:rsidR="008B3BAC" w:rsidRPr="00FA1E77">
        <w:rPr>
          <w:iCs/>
          <w:snapToGrid w:val="0"/>
          <w:kern w:val="22"/>
          <w:sz w:val="22"/>
          <w:szCs w:val="22"/>
          <w:lang w:val="en-GB"/>
        </w:rPr>
        <w:t xml:space="preserve">recommendations </w:t>
      </w:r>
      <w:r w:rsidR="007C6DFD" w:rsidRPr="00FA1E77">
        <w:rPr>
          <w:iCs/>
          <w:snapToGrid w:val="0"/>
          <w:kern w:val="22"/>
          <w:sz w:val="22"/>
          <w:szCs w:val="22"/>
          <w:lang w:val="en-GB"/>
        </w:rPr>
        <w:t>through which it sought to ensure that the</w:t>
      </w:r>
      <w:r w:rsidR="008B3BAC" w:rsidRPr="00FA1E77">
        <w:rPr>
          <w:iCs/>
          <w:snapToGrid w:val="0"/>
          <w:kern w:val="22"/>
          <w:sz w:val="22"/>
          <w:szCs w:val="22"/>
          <w:lang w:val="en-GB"/>
        </w:rPr>
        <w:t xml:space="preserve"> Global Environment Facility </w:t>
      </w:r>
      <w:r w:rsidR="007C6DFD" w:rsidRPr="00FA1E77">
        <w:rPr>
          <w:iCs/>
          <w:snapToGrid w:val="0"/>
          <w:kern w:val="22"/>
          <w:sz w:val="22"/>
          <w:szCs w:val="22"/>
          <w:lang w:val="en-GB"/>
        </w:rPr>
        <w:t xml:space="preserve">was invited </w:t>
      </w:r>
      <w:r w:rsidR="008B3BAC" w:rsidRPr="00FA1E77">
        <w:rPr>
          <w:iCs/>
          <w:snapToGrid w:val="0"/>
          <w:kern w:val="22"/>
          <w:sz w:val="22"/>
          <w:szCs w:val="22"/>
          <w:lang w:val="en-GB"/>
        </w:rPr>
        <w:t xml:space="preserve">to make funding available to assist eligible Parties in implementing the Protocol. The Committee did so </w:t>
      </w:r>
      <w:r w:rsidR="00394571" w:rsidRPr="00510EF6">
        <w:rPr>
          <w:iCs/>
          <w:snapToGrid w:val="0"/>
          <w:kern w:val="22"/>
          <w:sz w:val="22"/>
          <w:szCs w:val="22"/>
          <w:lang w:val="en-GB"/>
        </w:rPr>
        <w:t xml:space="preserve">recently, </w:t>
      </w:r>
      <w:r w:rsidR="008B3BAC" w:rsidRPr="00FA1E77">
        <w:rPr>
          <w:iCs/>
          <w:snapToGrid w:val="0"/>
          <w:kern w:val="22"/>
          <w:sz w:val="22"/>
          <w:szCs w:val="22"/>
          <w:lang w:val="en-GB"/>
        </w:rPr>
        <w:t>at its fifteenth meeting, referring to funding to assist Parties in putting in place the necessary measures to implement the Protocol</w:t>
      </w:r>
      <w:r w:rsidR="005C787E" w:rsidRPr="00510EF6">
        <w:rPr>
          <w:iCs/>
          <w:snapToGrid w:val="0"/>
          <w:kern w:val="22"/>
          <w:sz w:val="22"/>
          <w:szCs w:val="22"/>
          <w:lang w:val="en-GB"/>
        </w:rPr>
        <w:t>,</w:t>
      </w:r>
      <w:r w:rsidR="008B3BAC" w:rsidRPr="00FA1E77">
        <w:rPr>
          <w:iCs/>
          <w:snapToGrid w:val="0"/>
          <w:kern w:val="22"/>
          <w:sz w:val="22"/>
          <w:szCs w:val="22"/>
          <w:lang w:val="en-GB"/>
        </w:rPr>
        <w:t xml:space="preserve"> </w:t>
      </w:r>
      <w:r w:rsidR="00373914" w:rsidRPr="00FA1E77">
        <w:rPr>
          <w:iCs/>
          <w:snapToGrid w:val="0"/>
          <w:kern w:val="22"/>
          <w:sz w:val="22"/>
          <w:szCs w:val="22"/>
          <w:lang w:val="en-GB"/>
        </w:rPr>
        <w:t xml:space="preserve">to </w:t>
      </w:r>
      <w:r w:rsidR="008B3BAC" w:rsidRPr="00FA1E77">
        <w:rPr>
          <w:iCs/>
          <w:snapToGrid w:val="0"/>
          <w:kern w:val="22"/>
          <w:sz w:val="22"/>
          <w:szCs w:val="22"/>
          <w:lang w:val="en-GB"/>
        </w:rPr>
        <w:t>support Parties in completing their fourth national reports</w:t>
      </w:r>
      <w:r w:rsidR="005C787E" w:rsidRPr="00510EF6">
        <w:rPr>
          <w:iCs/>
          <w:snapToGrid w:val="0"/>
          <w:kern w:val="22"/>
          <w:sz w:val="22"/>
          <w:szCs w:val="22"/>
          <w:lang w:val="en-GB"/>
        </w:rPr>
        <w:t>,</w:t>
      </w:r>
      <w:r w:rsidR="008B3BAC" w:rsidRPr="00FA1E77">
        <w:rPr>
          <w:iCs/>
          <w:snapToGrid w:val="0"/>
          <w:kern w:val="22"/>
          <w:sz w:val="22"/>
          <w:szCs w:val="22"/>
          <w:lang w:val="en-GB"/>
        </w:rPr>
        <w:t xml:space="preserve"> and to support Parties in implementing compliance action plans.</w:t>
      </w:r>
      <w:r w:rsidR="000A1A85" w:rsidRPr="00FA1E77">
        <w:rPr>
          <w:rStyle w:val="FootnoteReference"/>
          <w:iCs/>
          <w:snapToGrid w:val="0"/>
          <w:kern w:val="22"/>
          <w:sz w:val="22"/>
          <w:szCs w:val="22"/>
          <w:u w:val="none"/>
          <w:vertAlign w:val="superscript"/>
          <w:lang w:val="en-GB"/>
        </w:rPr>
        <w:footnoteReference w:id="43"/>
      </w:r>
      <w:r w:rsidR="000A1A85" w:rsidRPr="00FA1E77">
        <w:rPr>
          <w:iCs/>
          <w:snapToGrid w:val="0"/>
          <w:kern w:val="22"/>
          <w:sz w:val="22"/>
          <w:szCs w:val="22"/>
          <w:lang w:val="en-GB"/>
        </w:rPr>
        <w:t xml:space="preserve"> </w:t>
      </w:r>
      <w:r w:rsidR="006919FB" w:rsidRPr="00FA1E77">
        <w:rPr>
          <w:iCs/>
          <w:snapToGrid w:val="0"/>
          <w:kern w:val="22"/>
          <w:sz w:val="22"/>
          <w:szCs w:val="22"/>
          <w:lang w:val="en-GB"/>
        </w:rPr>
        <w:t>These recommendations were reflected in decision CP-9/4 and decision 14/23, concerning the financial mechanism and resources.</w:t>
      </w:r>
    </w:p>
    <w:p w14:paraId="1CDCF3A4" w14:textId="2837EF74" w:rsidR="0025670E" w:rsidRPr="00FA1E77" w:rsidRDefault="00910D70" w:rsidP="00FA1E77">
      <w:pPr>
        <w:pStyle w:val="Heading3"/>
        <w:suppressLineNumbers/>
        <w:suppressAutoHyphens/>
        <w:ind w:left="1276" w:hanging="567"/>
        <w:jc w:val="left"/>
        <w:rPr>
          <w:i w:val="0"/>
          <w:iCs w:val="0"/>
          <w:snapToGrid w:val="0"/>
          <w:kern w:val="22"/>
          <w:szCs w:val="22"/>
        </w:rPr>
      </w:pPr>
      <w:r w:rsidRPr="00FA1E77">
        <w:rPr>
          <w:snapToGrid w:val="0"/>
          <w:kern w:val="22"/>
          <w:szCs w:val="22"/>
        </w:rPr>
        <w:t>8.</w:t>
      </w:r>
      <w:r w:rsidRPr="00FA1E77">
        <w:rPr>
          <w:snapToGrid w:val="0"/>
          <w:kern w:val="22"/>
          <w:szCs w:val="22"/>
        </w:rPr>
        <w:tab/>
      </w:r>
      <w:r w:rsidR="0025670E" w:rsidRPr="00FA1E77">
        <w:rPr>
          <w:snapToGrid w:val="0"/>
          <w:kern w:val="22"/>
          <w:szCs w:val="22"/>
        </w:rPr>
        <w:t>Addressing non-compliance</w:t>
      </w:r>
      <w:r w:rsidR="00F56D98" w:rsidRPr="00FA1E77">
        <w:rPr>
          <w:snapToGrid w:val="0"/>
          <w:kern w:val="22"/>
          <w:szCs w:val="22"/>
        </w:rPr>
        <w:t>: indicator 3.1.1 (Number of Parties that have identified and addressed their non-compliance issues)</w:t>
      </w:r>
    </w:p>
    <w:p w14:paraId="584BC227" w14:textId="04E9ED1E" w:rsidR="00E96318" w:rsidRPr="00FA1E77" w:rsidRDefault="00E96318"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While to date no receivable submissions relating to compliance, pursuant to section IV of the </w:t>
      </w:r>
      <w:r w:rsidR="00802980" w:rsidRPr="00FA1E77">
        <w:rPr>
          <w:snapToGrid w:val="0"/>
          <w:kern w:val="22"/>
          <w:sz w:val="22"/>
          <w:szCs w:val="22"/>
          <w:lang w:val="en-GB"/>
        </w:rPr>
        <w:t>p</w:t>
      </w:r>
      <w:r w:rsidRPr="00FA1E77">
        <w:rPr>
          <w:snapToGrid w:val="0"/>
          <w:kern w:val="22"/>
          <w:sz w:val="22"/>
          <w:szCs w:val="22"/>
          <w:lang w:val="en-GB"/>
        </w:rPr>
        <w:t xml:space="preserve">rocedures and </w:t>
      </w:r>
      <w:r w:rsidR="00802980" w:rsidRPr="00FA1E77">
        <w:rPr>
          <w:snapToGrid w:val="0"/>
          <w:kern w:val="22"/>
          <w:sz w:val="22"/>
          <w:szCs w:val="22"/>
          <w:lang w:val="en-GB"/>
        </w:rPr>
        <w:t>m</w:t>
      </w:r>
      <w:r w:rsidRPr="00FA1E77">
        <w:rPr>
          <w:snapToGrid w:val="0"/>
          <w:kern w:val="22"/>
          <w:sz w:val="22"/>
          <w:szCs w:val="22"/>
          <w:lang w:val="en-GB"/>
        </w:rPr>
        <w:t xml:space="preserve">echanisms on </w:t>
      </w:r>
      <w:r w:rsidR="00802980" w:rsidRPr="00FA1E77">
        <w:rPr>
          <w:snapToGrid w:val="0"/>
          <w:kern w:val="22"/>
          <w:sz w:val="22"/>
          <w:szCs w:val="22"/>
          <w:lang w:val="en-GB"/>
        </w:rPr>
        <w:t>c</w:t>
      </w:r>
      <w:r w:rsidRPr="00FA1E77">
        <w:rPr>
          <w:snapToGrid w:val="0"/>
          <w:kern w:val="22"/>
          <w:sz w:val="22"/>
          <w:szCs w:val="22"/>
          <w:lang w:val="en-GB"/>
        </w:rPr>
        <w:t>ompliance (decision BS-I/7, annex), have been made, the Committee has actively supported Parties in complying with their obligations under the Protocol</w:t>
      </w:r>
      <w:r w:rsidR="00A71F3A" w:rsidRPr="00FA1E77">
        <w:rPr>
          <w:snapToGrid w:val="0"/>
          <w:kern w:val="22"/>
          <w:sz w:val="22"/>
          <w:szCs w:val="22"/>
          <w:lang w:val="en-GB"/>
        </w:rPr>
        <w:t>, pursuant to its broad mandate to review compliance</w:t>
      </w:r>
      <w:r w:rsidR="0046446B" w:rsidRPr="00FA1E77">
        <w:rPr>
          <w:snapToGrid w:val="0"/>
          <w:kern w:val="22"/>
          <w:sz w:val="22"/>
          <w:szCs w:val="22"/>
          <w:lang w:val="en-GB"/>
        </w:rPr>
        <w:t xml:space="preserve"> by Parties</w:t>
      </w:r>
      <w:r w:rsidRPr="00FA1E77">
        <w:rPr>
          <w:snapToGrid w:val="0"/>
          <w:kern w:val="22"/>
          <w:sz w:val="22"/>
          <w:szCs w:val="22"/>
          <w:lang w:val="en-GB"/>
        </w:rPr>
        <w:t>.</w:t>
      </w:r>
    </w:p>
    <w:p w14:paraId="590C97CA" w14:textId="1D3A3F50" w:rsidR="00212EAE" w:rsidRPr="00FA1E77" w:rsidRDefault="00212EAE"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As </w:t>
      </w:r>
      <w:r w:rsidR="00475FFC" w:rsidRPr="00FA1E77">
        <w:rPr>
          <w:snapToGrid w:val="0"/>
          <w:kern w:val="22"/>
          <w:sz w:val="22"/>
          <w:szCs w:val="22"/>
          <w:lang w:val="en-GB"/>
        </w:rPr>
        <w:t xml:space="preserve">shown in the description of </w:t>
      </w:r>
      <w:r w:rsidRPr="00FA1E77">
        <w:rPr>
          <w:snapToGrid w:val="0"/>
          <w:kern w:val="22"/>
          <w:sz w:val="22"/>
          <w:szCs w:val="22"/>
          <w:lang w:val="en-GB"/>
        </w:rPr>
        <w:t>the activities of the Committee</w:t>
      </w:r>
      <w:r w:rsidR="00475FFC" w:rsidRPr="00FA1E77">
        <w:rPr>
          <w:snapToGrid w:val="0"/>
          <w:kern w:val="22"/>
          <w:sz w:val="22"/>
          <w:szCs w:val="22"/>
          <w:lang w:val="en-GB"/>
        </w:rPr>
        <w:t xml:space="preserve"> </w:t>
      </w:r>
      <w:r w:rsidR="00023820" w:rsidRPr="00FA1E77">
        <w:rPr>
          <w:snapToGrid w:val="0"/>
          <w:kern w:val="22"/>
          <w:sz w:val="22"/>
          <w:szCs w:val="22"/>
          <w:lang w:val="en-GB"/>
        </w:rPr>
        <w:t>in the subsectio</w:t>
      </w:r>
      <w:r w:rsidR="00F86B03" w:rsidRPr="00FA1E77">
        <w:rPr>
          <w:snapToGrid w:val="0"/>
          <w:kern w:val="22"/>
          <w:sz w:val="22"/>
          <w:szCs w:val="22"/>
          <w:lang w:val="en-GB"/>
        </w:rPr>
        <w:t>n</w:t>
      </w:r>
      <w:r w:rsidR="00023820" w:rsidRPr="00FA1E77">
        <w:rPr>
          <w:snapToGrid w:val="0"/>
          <w:kern w:val="22"/>
          <w:sz w:val="22"/>
          <w:szCs w:val="22"/>
          <w:lang w:val="en-GB"/>
        </w:rPr>
        <w:t xml:space="preserve">s </w:t>
      </w:r>
      <w:r w:rsidR="00475FFC" w:rsidRPr="00FA1E77">
        <w:rPr>
          <w:snapToGrid w:val="0"/>
          <w:kern w:val="22"/>
          <w:sz w:val="22"/>
          <w:szCs w:val="22"/>
          <w:lang w:val="en-GB"/>
        </w:rPr>
        <w:t>above,</w:t>
      </w:r>
      <w:r w:rsidRPr="00FA1E77">
        <w:rPr>
          <w:snapToGrid w:val="0"/>
          <w:kern w:val="22"/>
          <w:sz w:val="22"/>
          <w:szCs w:val="22"/>
          <w:lang w:val="en-GB"/>
        </w:rPr>
        <w:t xml:space="preserve"> </w:t>
      </w:r>
      <w:r w:rsidR="00475FFC" w:rsidRPr="00FA1E77">
        <w:rPr>
          <w:snapToGrid w:val="0"/>
          <w:kern w:val="22"/>
          <w:sz w:val="22"/>
          <w:szCs w:val="22"/>
          <w:lang w:val="en-GB"/>
        </w:rPr>
        <w:t xml:space="preserve">the </w:t>
      </w:r>
      <w:r w:rsidR="005602AC" w:rsidRPr="00FA1E77">
        <w:rPr>
          <w:snapToGrid w:val="0"/>
          <w:kern w:val="22"/>
          <w:sz w:val="22"/>
          <w:szCs w:val="22"/>
          <w:lang w:val="en-GB"/>
        </w:rPr>
        <w:t>Committee has, following decision BS-V/1, s</w:t>
      </w:r>
      <w:r w:rsidRPr="00FA1E77">
        <w:rPr>
          <w:snapToGrid w:val="0"/>
          <w:kern w:val="22"/>
          <w:sz w:val="22"/>
          <w:szCs w:val="22"/>
          <w:lang w:val="en-GB"/>
        </w:rPr>
        <w:t>ystematic</w:t>
      </w:r>
      <w:r w:rsidR="005602AC" w:rsidRPr="00FA1E77">
        <w:rPr>
          <w:snapToGrid w:val="0"/>
          <w:kern w:val="22"/>
          <w:sz w:val="22"/>
          <w:szCs w:val="22"/>
          <w:lang w:val="en-GB"/>
        </w:rPr>
        <w:t xml:space="preserve">ally </w:t>
      </w:r>
      <w:r w:rsidRPr="00FA1E77">
        <w:rPr>
          <w:snapToGrid w:val="0"/>
          <w:kern w:val="22"/>
          <w:sz w:val="22"/>
          <w:szCs w:val="22"/>
          <w:lang w:val="en-GB"/>
        </w:rPr>
        <w:t>review</w:t>
      </w:r>
      <w:r w:rsidR="005602AC" w:rsidRPr="00FA1E77">
        <w:rPr>
          <w:snapToGrid w:val="0"/>
          <w:kern w:val="22"/>
          <w:sz w:val="22"/>
          <w:szCs w:val="22"/>
          <w:lang w:val="en-GB"/>
        </w:rPr>
        <w:t xml:space="preserve">ed </w:t>
      </w:r>
      <w:r w:rsidRPr="00FA1E77">
        <w:rPr>
          <w:snapToGrid w:val="0"/>
          <w:kern w:val="22"/>
          <w:sz w:val="22"/>
          <w:szCs w:val="22"/>
          <w:lang w:val="en-GB"/>
        </w:rPr>
        <w:t>compliance by Parties with key obligations under the Protocol. The review and subsequent follow-up with Parties concerned has contributed to the identification by Parties of their compliance issues. For a number of obligations, it seems that the work of the Compliance Committee has contributed substantively to compliance</w:t>
      </w:r>
      <w:r w:rsidR="00502A1E" w:rsidRPr="00FA1E77">
        <w:rPr>
          <w:snapToGrid w:val="0"/>
          <w:kern w:val="22"/>
          <w:sz w:val="22"/>
          <w:szCs w:val="22"/>
          <w:lang w:val="en-GB"/>
        </w:rPr>
        <w:t xml:space="preserve"> </w:t>
      </w:r>
      <w:r w:rsidR="00217FD4" w:rsidRPr="00FA1E77">
        <w:rPr>
          <w:snapToGrid w:val="0"/>
          <w:kern w:val="22"/>
          <w:sz w:val="22"/>
          <w:szCs w:val="22"/>
          <w:lang w:val="en-GB"/>
        </w:rPr>
        <w:t xml:space="preserve">by Parties </w:t>
      </w:r>
      <w:r w:rsidR="00502A1E" w:rsidRPr="00FA1E77">
        <w:rPr>
          <w:snapToGrid w:val="0"/>
          <w:kern w:val="22"/>
          <w:sz w:val="22"/>
          <w:szCs w:val="22"/>
          <w:lang w:val="en-GB"/>
        </w:rPr>
        <w:t>with</w:t>
      </w:r>
      <w:r w:rsidRPr="00FA1E77">
        <w:rPr>
          <w:snapToGrid w:val="0"/>
          <w:kern w:val="22"/>
          <w:sz w:val="22"/>
          <w:szCs w:val="22"/>
          <w:lang w:val="en-GB"/>
        </w:rPr>
        <w:t>, for example</w:t>
      </w:r>
      <w:r w:rsidR="00502A1E" w:rsidRPr="00FA1E77">
        <w:rPr>
          <w:snapToGrid w:val="0"/>
          <w:kern w:val="22"/>
          <w:sz w:val="22"/>
          <w:szCs w:val="22"/>
          <w:lang w:val="en-GB"/>
        </w:rPr>
        <w:t>,</w:t>
      </w:r>
      <w:r w:rsidRPr="00FA1E77">
        <w:rPr>
          <w:snapToGrid w:val="0"/>
          <w:kern w:val="22"/>
          <w:sz w:val="22"/>
          <w:szCs w:val="22"/>
          <w:lang w:val="en-GB"/>
        </w:rPr>
        <w:t xml:space="preserve"> the obligation to designate focal points, the obligation to make mandatory information available to the BCH, and the</w:t>
      </w:r>
      <w:r w:rsidR="002D744F" w:rsidRPr="00FA1E77">
        <w:rPr>
          <w:snapToGrid w:val="0"/>
          <w:kern w:val="22"/>
          <w:sz w:val="22"/>
          <w:szCs w:val="22"/>
          <w:lang w:val="en-GB"/>
        </w:rPr>
        <w:t xml:space="preserve"> obligation to submit national reports</w:t>
      </w:r>
      <w:r w:rsidR="002F14BD" w:rsidRPr="00FA1E77">
        <w:rPr>
          <w:snapToGrid w:val="0"/>
          <w:kern w:val="22"/>
          <w:sz w:val="22"/>
          <w:szCs w:val="22"/>
          <w:lang w:val="en-GB"/>
        </w:rPr>
        <w:t>, as set out above.</w:t>
      </w:r>
    </w:p>
    <w:p w14:paraId="2C2268E0" w14:textId="149702DB" w:rsidR="00517D9D" w:rsidRPr="00FA1E77" w:rsidRDefault="003C060B"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While the work of the Committee has also contributed to identifying compliance issues in relation to other obligations, </w:t>
      </w:r>
      <w:r w:rsidR="00373914" w:rsidRPr="00FA1E77">
        <w:rPr>
          <w:snapToGrid w:val="0"/>
          <w:kern w:val="22"/>
          <w:sz w:val="22"/>
          <w:szCs w:val="22"/>
          <w:lang w:val="en-GB"/>
        </w:rPr>
        <w:t>such as</w:t>
      </w:r>
      <w:r w:rsidRPr="00FA1E77">
        <w:rPr>
          <w:snapToGrid w:val="0"/>
          <w:kern w:val="22"/>
          <w:sz w:val="22"/>
          <w:szCs w:val="22"/>
          <w:lang w:val="en-GB"/>
        </w:rPr>
        <w:t xml:space="preserve"> the obligation to adopt the necessary measures to implement the Protocol, progress has been less obvious</w:t>
      </w:r>
      <w:r w:rsidR="00417F32" w:rsidRPr="00FA1E77">
        <w:rPr>
          <w:snapToGrid w:val="0"/>
          <w:kern w:val="22"/>
          <w:sz w:val="22"/>
          <w:szCs w:val="22"/>
          <w:lang w:val="en-GB"/>
        </w:rPr>
        <w:t xml:space="preserve"> in addressing issues of non-compliance in this regard</w:t>
      </w:r>
      <w:r w:rsidRPr="00FA1E77">
        <w:rPr>
          <w:snapToGrid w:val="0"/>
          <w:kern w:val="22"/>
          <w:sz w:val="22"/>
          <w:szCs w:val="22"/>
          <w:lang w:val="en-GB"/>
        </w:rPr>
        <w:t xml:space="preserve">. The Committee </w:t>
      </w:r>
      <w:r w:rsidR="00345BBF" w:rsidRPr="00FA1E77">
        <w:rPr>
          <w:snapToGrid w:val="0"/>
          <w:kern w:val="22"/>
          <w:sz w:val="22"/>
          <w:szCs w:val="22"/>
          <w:lang w:val="en-GB"/>
        </w:rPr>
        <w:t xml:space="preserve">recognized </w:t>
      </w:r>
      <w:r w:rsidR="00E802EE" w:rsidRPr="00FA1E77">
        <w:rPr>
          <w:snapToGrid w:val="0"/>
          <w:kern w:val="22"/>
          <w:sz w:val="22"/>
          <w:szCs w:val="22"/>
          <w:lang w:val="en-GB"/>
        </w:rPr>
        <w:t xml:space="preserve">that </w:t>
      </w:r>
      <w:r w:rsidR="00345BBF" w:rsidRPr="00FA1E77">
        <w:rPr>
          <w:snapToGrid w:val="0"/>
          <w:kern w:val="22"/>
          <w:sz w:val="22"/>
          <w:szCs w:val="22"/>
          <w:lang w:val="en-GB"/>
        </w:rPr>
        <w:t xml:space="preserve">the lack of political will </w:t>
      </w:r>
      <w:r w:rsidR="002C4876" w:rsidRPr="00FA1E77">
        <w:rPr>
          <w:snapToGrid w:val="0"/>
          <w:kern w:val="22"/>
          <w:sz w:val="22"/>
          <w:szCs w:val="22"/>
          <w:lang w:val="en-GB"/>
        </w:rPr>
        <w:t xml:space="preserve">is </w:t>
      </w:r>
      <w:r w:rsidR="00345BBF" w:rsidRPr="00FA1E77">
        <w:rPr>
          <w:snapToGrid w:val="0"/>
          <w:kern w:val="22"/>
          <w:sz w:val="22"/>
          <w:szCs w:val="22"/>
          <w:lang w:val="en-GB"/>
        </w:rPr>
        <w:t>a</w:t>
      </w:r>
      <w:r w:rsidR="00390487" w:rsidRPr="00FA1E77">
        <w:rPr>
          <w:snapToGrid w:val="0"/>
          <w:kern w:val="22"/>
          <w:sz w:val="22"/>
          <w:szCs w:val="22"/>
          <w:lang w:val="en-GB"/>
        </w:rPr>
        <w:t xml:space="preserve"> </w:t>
      </w:r>
      <w:r w:rsidR="00345BBF" w:rsidRPr="00FA1E77">
        <w:rPr>
          <w:snapToGrid w:val="0"/>
          <w:kern w:val="22"/>
          <w:sz w:val="22"/>
          <w:szCs w:val="22"/>
          <w:lang w:val="en-GB"/>
        </w:rPr>
        <w:t>key challenge to implementation in this regard</w:t>
      </w:r>
      <w:r w:rsidR="008D47AE" w:rsidRPr="00FA1E77">
        <w:rPr>
          <w:snapToGrid w:val="0"/>
          <w:kern w:val="22"/>
          <w:sz w:val="22"/>
          <w:szCs w:val="22"/>
          <w:lang w:val="en-GB"/>
        </w:rPr>
        <w:t>.</w:t>
      </w:r>
      <w:r w:rsidR="00345BBF" w:rsidRPr="00FA1E77">
        <w:rPr>
          <w:rStyle w:val="FootnoteReference"/>
          <w:snapToGrid w:val="0"/>
          <w:kern w:val="22"/>
          <w:sz w:val="22"/>
          <w:szCs w:val="22"/>
          <w:u w:val="none"/>
          <w:vertAlign w:val="superscript"/>
          <w:lang w:val="en-GB"/>
        </w:rPr>
        <w:footnoteReference w:id="44"/>
      </w:r>
      <w:r w:rsidR="00390487" w:rsidRPr="00FA1E77">
        <w:rPr>
          <w:snapToGrid w:val="0"/>
          <w:kern w:val="22"/>
          <w:sz w:val="22"/>
          <w:szCs w:val="22"/>
          <w:lang w:val="en-GB"/>
        </w:rPr>
        <w:t xml:space="preserve"> </w:t>
      </w:r>
      <w:r w:rsidR="008D47AE" w:rsidRPr="00FA1E77">
        <w:rPr>
          <w:snapToGrid w:val="0"/>
          <w:kern w:val="22"/>
          <w:sz w:val="22"/>
          <w:szCs w:val="22"/>
          <w:lang w:val="en-GB"/>
        </w:rPr>
        <w:t xml:space="preserve">It also recognized </w:t>
      </w:r>
      <w:r w:rsidR="00390487" w:rsidRPr="00FA1E77">
        <w:rPr>
          <w:snapToGrid w:val="0"/>
          <w:kern w:val="22"/>
          <w:sz w:val="22"/>
          <w:szCs w:val="22"/>
          <w:lang w:val="en-GB"/>
        </w:rPr>
        <w:t xml:space="preserve">that the availability of financial resources for the implementation of the Protocol was an ongoing challenge for many Parties. </w:t>
      </w:r>
      <w:r w:rsidR="00A55BF5" w:rsidRPr="00FA1E77">
        <w:rPr>
          <w:snapToGrid w:val="0"/>
          <w:kern w:val="22"/>
          <w:sz w:val="22"/>
          <w:szCs w:val="22"/>
          <w:lang w:val="en-GB"/>
        </w:rPr>
        <w:t xml:space="preserve">While the Committee has recommended that specific funds be made available to support Parties in addressing identified compliance issues, these recommendations have, to date, not resulted in the availability of </w:t>
      </w:r>
      <w:r w:rsidR="00922F72" w:rsidRPr="00FA1E77">
        <w:rPr>
          <w:snapToGrid w:val="0"/>
          <w:kern w:val="22"/>
          <w:sz w:val="22"/>
          <w:szCs w:val="22"/>
          <w:lang w:val="en-GB"/>
        </w:rPr>
        <w:t xml:space="preserve">dedicated </w:t>
      </w:r>
      <w:r w:rsidR="00A55BF5" w:rsidRPr="00FA1E77">
        <w:rPr>
          <w:snapToGrid w:val="0"/>
          <w:kern w:val="22"/>
          <w:sz w:val="22"/>
          <w:szCs w:val="22"/>
          <w:lang w:val="en-GB"/>
        </w:rPr>
        <w:t>funding.</w:t>
      </w:r>
    </w:p>
    <w:p w14:paraId="188DDC86" w14:textId="45E1E983" w:rsidR="0079483A" w:rsidRPr="00FA1E77" w:rsidRDefault="0079483A" w:rsidP="00FA1E77">
      <w:pPr>
        <w:pStyle w:val="Heading1"/>
        <w:suppressLineNumbers/>
        <w:tabs>
          <w:tab w:val="clear" w:pos="720"/>
          <w:tab w:val="left" w:pos="426"/>
        </w:tabs>
        <w:suppressAutoHyphens/>
        <w:spacing w:before="120"/>
        <w:rPr>
          <w:rFonts w:ascii="Times New Roman Bold" w:hAnsi="Times New Roman Bold"/>
          <w:snapToGrid w:val="0"/>
          <w:kern w:val="22"/>
          <w:szCs w:val="22"/>
        </w:rPr>
      </w:pPr>
      <w:r w:rsidRPr="00FA1E77">
        <w:rPr>
          <w:rFonts w:ascii="Times New Roman Bold" w:hAnsi="Times New Roman Bold"/>
          <w:snapToGrid w:val="0"/>
          <w:kern w:val="22"/>
          <w:szCs w:val="22"/>
        </w:rPr>
        <w:t>III.</w:t>
      </w:r>
      <w:r w:rsidRPr="00FA1E77">
        <w:rPr>
          <w:rFonts w:ascii="Times New Roman Bold" w:hAnsi="Times New Roman Bold"/>
          <w:snapToGrid w:val="0"/>
          <w:kern w:val="22"/>
          <w:szCs w:val="22"/>
        </w:rPr>
        <w:tab/>
      </w:r>
      <w:r w:rsidR="00146060" w:rsidRPr="00FA1E77">
        <w:rPr>
          <w:rFonts w:ascii="Times New Roman Bold" w:hAnsi="Times New Roman Bold"/>
          <w:snapToGrid w:val="0"/>
          <w:kern w:val="22"/>
          <w:szCs w:val="22"/>
        </w:rPr>
        <w:t xml:space="preserve">Conclusions </w:t>
      </w:r>
      <w:r w:rsidRPr="00FA1E77">
        <w:rPr>
          <w:rFonts w:ascii="Times New Roman Bold" w:hAnsi="Times New Roman Bold"/>
          <w:snapToGrid w:val="0"/>
          <w:kern w:val="22"/>
          <w:szCs w:val="22"/>
        </w:rPr>
        <w:t xml:space="preserve">and suggestions for consideration </w:t>
      </w:r>
      <w:r w:rsidR="00B81842" w:rsidRPr="00FA1E77">
        <w:rPr>
          <w:rFonts w:ascii="Times New Roman Bold" w:hAnsi="Times New Roman Bold"/>
          <w:snapToGrid w:val="0"/>
          <w:kern w:val="22"/>
          <w:szCs w:val="22"/>
        </w:rPr>
        <w:t>by</w:t>
      </w:r>
      <w:r w:rsidRPr="00FA1E77">
        <w:rPr>
          <w:rFonts w:ascii="Times New Roman Bold" w:hAnsi="Times New Roman Bold"/>
          <w:snapToGrid w:val="0"/>
          <w:kern w:val="22"/>
          <w:szCs w:val="22"/>
        </w:rPr>
        <w:t xml:space="preserve"> the Committee</w:t>
      </w:r>
    </w:p>
    <w:p w14:paraId="49A9D6AC" w14:textId="005543D5" w:rsidR="007432FF" w:rsidRPr="00FA1E77" w:rsidRDefault="007432FF"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The Strategic Plan has enabled the Committee to review in a systematic way the progress Parties have made on a number of key obligations under the Protocol and to consider the Committee’s role in supporting Parties in this regard.</w:t>
      </w:r>
    </w:p>
    <w:p w14:paraId="3DDE68C1" w14:textId="621805AA" w:rsidR="00931CC9" w:rsidRPr="00FA1E77" w:rsidRDefault="00747AE5"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Progress </w:t>
      </w:r>
      <w:r w:rsidR="009B43CA" w:rsidRPr="00FA1E77">
        <w:rPr>
          <w:snapToGrid w:val="0"/>
          <w:kern w:val="22"/>
          <w:sz w:val="22"/>
          <w:szCs w:val="22"/>
          <w:lang w:val="en-GB"/>
        </w:rPr>
        <w:t xml:space="preserve">as compared to the baseline </w:t>
      </w:r>
      <w:r w:rsidRPr="00FA1E77">
        <w:rPr>
          <w:snapToGrid w:val="0"/>
          <w:kern w:val="22"/>
          <w:sz w:val="22"/>
          <w:szCs w:val="22"/>
          <w:lang w:val="en-GB"/>
        </w:rPr>
        <w:t>has been reported on most indicators related to operational objective 3.1</w:t>
      </w:r>
      <w:r w:rsidR="00146E8F" w:rsidRPr="00FA1E77">
        <w:rPr>
          <w:snapToGrid w:val="0"/>
          <w:kern w:val="22"/>
          <w:sz w:val="22"/>
          <w:szCs w:val="22"/>
          <w:lang w:val="en-GB"/>
        </w:rPr>
        <w:t xml:space="preserve">, although the overall level of progress on the indicators varies significantly. </w:t>
      </w:r>
      <w:r w:rsidR="00F97D4B" w:rsidRPr="00FA1E77">
        <w:rPr>
          <w:snapToGrid w:val="0"/>
          <w:kern w:val="22"/>
          <w:sz w:val="22"/>
          <w:szCs w:val="22"/>
          <w:lang w:val="en-GB"/>
        </w:rPr>
        <w:t xml:space="preserve">The overall level of compliance with </w:t>
      </w:r>
      <w:r w:rsidR="002444C8" w:rsidRPr="00FA1E77">
        <w:rPr>
          <w:snapToGrid w:val="0"/>
          <w:kern w:val="22"/>
          <w:sz w:val="22"/>
          <w:szCs w:val="22"/>
          <w:lang w:val="en-GB"/>
        </w:rPr>
        <w:t xml:space="preserve">key obligations under the Protocol </w:t>
      </w:r>
      <w:r w:rsidR="009515A6" w:rsidRPr="00FA1E77">
        <w:rPr>
          <w:snapToGrid w:val="0"/>
          <w:kern w:val="22"/>
          <w:sz w:val="22"/>
          <w:szCs w:val="22"/>
          <w:lang w:val="en-GB"/>
        </w:rPr>
        <w:t xml:space="preserve">also </w:t>
      </w:r>
      <w:r w:rsidR="002444C8" w:rsidRPr="00FA1E77">
        <w:rPr>
          <w:snapToGrid w:val="0"/>
          <w:kern w:val="22"/>
          <w:sz w:val="22"/>
          <w:szCs w:val="22"/>
          <w:lang w:val="en-GB"/>
        </w:rPr>
        <w:t xml:space="preserve">varies significant. </w:t>
      </w:r>
      <w:r w:rsidR="009A7595" w:rsidRPr="00FA1E77">
        <w:rPr>
          <w:snapToGrid w:val="0"/>
          <w:kern w:val="22"/>
          <w:sz w:val="22"/>
          <w:szCs w:val="22"/>
          <w:lang w:val="en-GB"/>
        </w:rPr>
        <w:t>Despite the progress</w:t>
      </w:r>
      <w:r w:rsidR="00146E8F" w:rsidRPr="00FA1E77">
        <w:rPr>
          <w:snapToGrid w:val="0"/>
          <w:kern w:val="22"/>
          <w:sz w:val="22"/>
          <w:szCs w:val="22"/>
          <w:lang w:val="en-GB"/>
        </w:rPr>
        <w:t xml:space="preserve"> in complying with a number of key obligations under the Protocol, the overall level of compliance with certain obligations remains low.</w:t>
      </w:r>
    </w:p>
    <w:p w14:paraId="3876F9DD" w14:textId="24959A24" w:rsidR="00A22B84" w:rsidRPr="00FA1E77" w:rsidRDefault="00A22B84"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The adoption of decision BS-V/1, in 2010, enabled the Committee to consider taking certain measures under section VI of the procedures and mechanisms on compliance (decision BS-1/7, </w:t>
      </w:r>
      <w:r w:rsidR="00A8175B" w:rsidRPr="00FA1E77">
        <w:rPr>
          <w:snapToGrid w:val="0"/>
          <w:kern w:val="22"/>
          <w:sz w:val="22"/>
          <w:szCs w:val="22"/>
          <w:lang w:val="en-GB"/>
        </w:rPr>
        <w:t>a</w:t>
      </w:r>
      <w:r w:rsidRPr="00FA1E77">
        <w:rPr>
          <w:snapToGrid w:val="0"/>
          <w:kern w:val="22"/>
          <w:sz w:val="22"/>
          <w:szCs w:val="22"/>
          <w:lang w:val="en-GB"/>
        </w:rPr>
        <w:t xml:space="preserve">nnex), if a Party fails to submit a national report or information has been received through a national report or the Secretariat, based on information from the BCH, that shows that the Party concerned is faced with difficulties complying with its obligations under the Protocol. </w:t>
      </w:r>
      <w:r w:rsidR="00881490" w:rsidRPr="00FA1E77">
        <w:rPr>
          <w:snapToGrid w:val="0"/>
          <w:kern w:val="22"/>
          <w:sz w:val="22"/>
          <w:szCs w:val="22"/>
          <w:lang w:val="en-GB"/>
        </w:rPr>
        <w:t xml:space="preserve">This has enabled the Committee to </w:t>
      </w:r>
      <w:r w:rsidRPr="00FA1E77">
        <w:rPr>
          <w:snapToGrid w:val="0"/>
          <w:kern w:val="22"/>
          <w:sz w:val="22"/>
          <w:szCs w:val="22"/>
          <w:lang w:val="en-GB"/>
        </w:rPr>
        <w:t>actively support Parties in complying with their obligations under the Protocol, throughout the implementation period of the Strategic Plan for the Cartagena Protocol.</w:t>
      </w:r>
    </w:p>
    <w:p w14:paraId="06877B5F" w14:textId="1A4722D5" w:rsidR="00747AE5" w:rsidRPr="00FA1E77" w:rsidRDefault="00A22B84"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The Committee has focused its activities mainly on a number of key obligations under the Protocol</w:t>
      </w:r>
      <w:r w:rsidR="005027D9" w:rsidRPr="00510EF6">
        <w:rPr>
          <w:snapToGrid w:val="0"/>
          <w:kern w:val="22"/>
          <w:sz w:val="22"/>
          <w:szCs w:val="22"/>
          <w:lang w:val="en-GB"/>
        </w:rPr>
        <w:t>,</w:t>
      </w:r>
      <w:r w:rsidRPr="00FA1E77">
        <w:rPr>
          <w:snapToGrid w:val="0"/>
          <w:kern w:val="22"/>
          <w:sz w:val="22"/>
          <w:szCs w:val="22"/>
          <w:lang w:val="en-GB"/>
        </w:rPr>
        <w:t xml:space="preserve"> </w:t>
      </w:r>
      <w:r w:rsidR="00747AE5" w:rsidRPr="00FA1E77">
        <w:rPr>
          <w:snapToGrid w:val="0"/>
          <w:kern w:val="22"/>
          <w:sz w:val="22"/>
          <w:szCs w:val="22"/>
          <w:lang w:val="en-GB"/>
        </w:rPr>
        <w:t>in particular</w:t>
      </w:r>
      <w:r w:rsidR="003F5202" w:rsidRPr="00FA1E77">
        <w:rPr>
          <w:snapToGrid w:val="0"/>
          <w:kern w:val="22"/>
          <w:sz w:val="22"/>
          <w:szCs w:val="22"/>
          <w:lang w:val="en-GB"/>
        </w:rPr>
        <w:t xml:space="preserve"> on</w:t>
      </w:r>
      <w:r w:rsidR="00F43AAC" w:rsidRPr="00510EF6">
        <w:rPr>
          <w:snapToGrid w:val="0"/>
          <w:kern w:val="22"/>
          <w:sz w:val="22"/>
          <w:szCs w:val="22"/>
          <w:lang w:val="en-GB"/>
        </w:rPr>
        <w:t>:</w:t>
      </w:r>
      <w:r w:rsidR="003F5202" w:rsidRPr="00FA1E77">
        <w:rPr>
          <w:snapToGrid w:val="0"/>
          <w:kern w:val="22"/>
          <w:sz w:val="22"/>
          <w:szCs w:val="22"/>
          <w:lang w:val="en-GB"/>
        </w:rPr>
        <w:t xml:space="preserve"> </w:t>
      </w:r>
      <w:r w:rsidR="00F43AAC" w:rsidRPr="00510EF6">
        <w:rPr>
          <w:snapToGrid w:val="0"/>
          <w:kern w:val="22"/>
          <w:sz w:val="22"/>
          <w:szCs w:val="22"/>
          <w:lang w:val="en-GB"/>
        </w:rPr>
        <w:t>(a)</w:t>
      </w:r>
      <w:r w:rsidR="008D572E" w:rsidRPr="00510EF6">
        <w:rPr>
          <w:snapToGrid w:val="0"/>
          <w:kern w:val="22"/>
          <w:sz w:val="22"/>
          <w:szCs w:val="22"/>
          <w:lang w:val="en-GB"/>
        </w:rPr>
        <w:t> </w:t>
      </w:r>
      <w:r w:rsidR="006C271A" w:rsidRPr="00FA1E77">
        <w:rPr>
          <w:snapToGrid w:val="0"/>
          <w:kern w:val="22"/>
          <w:sz w:val="22"/>
          <w:szCs w:val="22"/>
          <w:lang w:val="en-GB"/>
        </w:rPr>
        <w:t>compliance with</w:t>
      </w:r>
      <w:r w:rsidR="00747AE5" w:rsidRPr="00FA1E77">
        <w:rPr>
          <w:snapToGrid w:val="0"/>
          <w:kern w:val="22"/>
          <w:sz w:val="22"/>
          <w:szCs w:val="22"/>
          <w:lang w:val="en-GB"/>
        </w:rPr>
        <w:t xml:space="preserve"> the obligation to submit national reports; </w:t>
      </w:r>
      <w:r w:rsidR="00F43AAC" w:rsidRPr="00510EF6">
        <w:rPr>
          <w:snapToGrid w:val="0"/>
          <w:kern w:val="22"/>
          <w:sz w:val="22"/>
          <w:szCs w:val="22"/>
          <w:lang w:val="en-GB"/>
        </w:rPr>
        <w:t>(b)</w:t>
      </w:r>
      <w:r w:rsidR="008D572E" w:rsidRPr="00510EF6">
        <w:rPr>
          <w:snapToGrid w:val="0"/>
          <w:kern w:val="22"/>
          <w:sz w:val="22"/>
          <w:szCs w:val="22"/>
          <w:lang w:val="en-GB"/>
        </w:rPr>
        <w:t> </w:t>
      </w:r>
      <w:r w:rsidR="003B53AD" w:rsidRPr="00FA1E77">
        <w:rPr>
          <w:snapToGrid w:val="0"/>
          <w:kern w:val="22"/>
          <w:sz w:val="22"/>
          <w:szCs w:val="22"/>
          <w:lang w:val="en-GB"/>
        </w:rPr>
        <w:t xml:space="preserve">the obligation to </w:t>
      </w:r>
      <w:r w:rsidR="00747AE5" w:rsidRPr="00FA1E77">
        <w:rPr>
          <w:snapToGrid w:val="0"/>
          <w:kern w:val="22"/>
          <w:sz w:val="22"/>
          <w:szCs w:val="22"/>
          <w:lang w:val="en-GB"/>
        </w:rPr>
        <w:t xml:space="preserve">adopt the measures necessary for the implementation of the Protocol; </w:t>
      </w:r>
      <w:r w:rsidR="00F43AAC" w:rsidRPr="00510EF6">
        <w:rPr>
          <w:snapToGrid w:val="0"/>
          <w:kern w:val="22"/>
          <w:sz w:val="22"/>
          <w:szCs w:val="22"/>
          <w:lang w:val="en-GB"/>
        </w:rPr>
        <w:t>(c) </w:t>
      </w:r>
      <w:r w:rsidR="00E07F67" w:rsidRPr="00FA1E77">
        <w:rPr>
          <w:snapToGrid w:val="0"/>
          <w:kern w:val="22"/>
          <w:sz w:val="22"/>
          <w:szCs w:val="22"/>
          <w:lang w:val="en-GB"/>
        </w:rPr>
        <w:t xml:space="preserve">the obligation to designate focal points; </w:t>
      </w:r>
      <w:r w:rsidR="00747AE5" w:rsidRPr="00FA1E77">
        <w:rPr>
          <w:snapToGrid w:val="0"/>
          <w:kern w:val="22"/>
          <w:sz w:val="22"/>
          <w:szCs w:val="22"/>
          <w:lang w:val="en-GB"/>
        </w:rPr>
        <w:t xml:space="preserve">and </w:t>
      </w:r>
      <w:r w:rsidR="00F43AAC" w:rsidRPr="00510EF6">
        <w:rPr>
          <w:snapToGrid w:val="0"/>
          <w:kern w:val="22"/>
          <w:sz w:val="22"/>
          <w:szCs w:val="22"/>
          <w:lang w:val="en-GB"/>
        </w:rPr>
        <w:t>(d) </w:t>
      </w:r>
      <w:r w:rsidR="003B53AD" w:rsidRPr="00FA1E77">
        <w:rPr>
          <w:snapToGrid w:val="0"/>
          <w:kern w:val="22"/>
          <w:sz w:val="22"/>
          <w:szCs w:val="22"/>
          <w:lang w:val="en-GB"/>
        </w:rPr>
        <w:t xml:space="preserve">the obligation to </w:t>
      </w:r>
      <w:r w:rsidR="00747AE5" w:rsidRPr="00FA1E77">
        <w:rPr>
          <w:snapToGrid w:val="0"/>
          <w:kern w:val="22"/>
          <w:sz w:val="22"/>
          <w:szCs w:val="22"/>
          <w:lang w:val="en-GB"/>
        </w:rPr>
        <w:t xml:space="preserve">make </w:t>
      </w:r>
      <w:r w:rsidR="003B53AD" w:rsidRPr="00FA1E77">
        <w:rPr>
          <w:snapToGrid w:val="0"/>
          <w:kern w:val="22"/>
          <w:sz w:val="22"/>
          <w:szCs w:val="22"/>
          <w:lang w:val="en-GB"/>
        </w:rPr>
        <w:t xml:space="preserve">mandatory </w:t>
      </w:r>
      <w:r w:rsidR="00747AE5" w:rsidRPr="00FA1E77">
        <w:rPr>
          <w:snapToGrid w:val="0"/>
          <w:kern w:val="22"/>
          <w:sz w:val="22"/>
          <w:szCs w:val="22"/>
          <w:lang w:val="en-GB"/>
        </w:rPr>
        <w:t xml:space="preserve">information available to the BCH. The Committee has taken incremental measures to address compliance issues </w:t>
      </w:r>
      <w:r w:rsidR="00EE51B7" w:rsidRPr="00FA1E77">
        <w:rPr>
          <w:snapToGrid w:val="0"/>
          <w:kern w:val="22"/>
          <w:sz w:val="22"/>
          <w:szCs w:val="22"/>
          <w:lang w:val="en-GB"/>
        </w:rPr>
        <w:t>in this regard</w:t>
      </w:r>
      <w:r w:rsidR="00DD336A" w:rsidRPr="00510EF6">
        <w:rPr>
          <w:snapToGrid w:val="0"/>
          <w:kern w:val="22"/>
          <w:sz w:val="22"/>
          <w:szCs w:val="22"/>
          <w:lang w:val="en-GB"/>
        </w:rPr>
        <w:t>,</w:t>
      </w:r>
      <w:r w:rsidR="00EE51B7" w:rsidRPr="00FA1E77">
        <w:rPr>
          <w:snapToGrid w:val="0"/>
          <w:kern w:val="22"/>
          <w:sz w:val="22"/>
          <w:szCs w:val="22"/>
          <w:lang w:val="en-GB"/>
        </w:rPr>
        <w:t xml:space="preserve"> </w:t>
      </w:r>
      <w:r w:rsidR="00747AE5" w:rsidRPr="00FA1E77">
        <w:rPr>
          <w:snapToGrid w:val="0"/>
          <w:kern w:val="22"/>
          <w:sz w:val="22"/>
          <w:szCs w:val="22"/>
          <w:lang w:val="en-GB"/>
        </w:rPr>
        <w:t>and the Committee’s role in contributing to progress reported by Parties in this regard has been welcomed by the Conference of the Parties serving as the meeting of the Parties to the Protocol.</w:t>
      </w:r>
    </w:p>
    <w:p w14:paraId="2BAD8F82" w14:textId="3610115B" w:rsidR="00847C45" w:rsidRPr="00FA1E77" w:rsidRDefault="00372510"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 xml:space="preserve">The work of the Committee likely contributed to </w:t>
      </w:r>
      <w:r w:rsidR="002E0039" w:rsidRPr="00FA1E77">
        <w:rPr>
          <w:snapToGrid w:val="0"/>
          <w:kern w:val="22"/>
          <w:sz w:val="22"/>
          <w:szCs w:val="22"/>
          <w:lang w:val="en-GB"/>
        </w:rPr>
        <w:t xml:space="preserve">the </w:t>
      </w:r>
      <w:r w:rsidRPr="00FA1E77">
        <w:rPr>
          <w:snapToGrid w:val="0"/>
          <w:kern w:val="22"/>
          <w:sz w:val="22"/>
          <w:szCs w:val="22"/>
          <w:lang w:val="en-GB"/>
        </w:rPr>
        <w:t>high rates of compliance by Parties on a number of obligations under the Protocol, in particular the obligation to designate focal points, the obligation to make mandatory information available to the BCH, and, over time, the obligation to submit national reports.</w:t>
      </w:r>
    </w:p>
    <w:p w14:paraId="1EE2E6F5" w14:textId="19BC8EB8" w:rsidR="00372510" w:rsidRPr="00FA1E77" w:rsidRDefault="00847C45"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The Committee recognized that the availability of financial resources for the implementation of the Protocol was an ongoing challenge for many Parties.</w:t>
      </w:r>
      <w:r w:rsidR="00D20376" w:rsidRPr="00FA1E77">
        <w:rPr>
          <w:snapToGrid w:val="0"/>
          <w:kern w:val="22"/>
          <w:sz w:val="22"/>
          <w:szCs w:val="22"/>
          <w:lang w:val="en-GB"/>
        </w:rPr>
        <w:t xml:space="preserve"> Recommendations by the Committee to request Parties and donors to provide funding to support Parties in addressing their compliance issues have not resulted in the availability of funding for this purpose.</w:t>
      </w:r>
    </w:p>
    <w:p w14:paraId="7245E7D8" w14:textId="75E3A22E" w:rsidR="0080058A" w:rsidRPr="00FA1E77" w:rsidRDefault="008A0563"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The Committee may wish to</w:t>
      </w:r>
      <w:r w:rsidR="008C6201" w:rsidRPr="00FA1E77">
        <w:rPr>
          <w:snapToGrid w:val="0"/>
          <w:kern w:val="22"/>
          <w:sz w:val="22"/>
          <w:szCs w:val="22"/>
          <w:lang w:val="en-GB"/>
        </w:rPr>
        <w:t xml:space="preserve"> </w:t>
      </w:r>
      <w:r w:rsidR="00676A51" w:rsidRPr="00FA1E77">
        <w:rPr>
          <w:snapToGrid w:val="0"/>
          <w:kern w:val="22"/>
          <w:sz w:val="22"/>
          <w:szCs w:val="22"/>
          <w:lang w:val="en-GB"/>
        </w:rPr>
        <w:t xml:space="preserve">consider the </w:t>
      </w:r>
      <w:r w:rsidR="00676A51" w:rsidRPr="00FA1E77">
        <w:rPr>
          <w:kern w:val="22"/>
          <w:sz w:val="22"/>
          <w:szCs w:val="22"/>
          <w:lang w:val="en-GB"/>
        </w:rPr>
        <w:t xml:space="preserve">summaries of progress made towards achieving operational objective 3.1 of the Strategic Plan and the role of the Committee in supporting Parties in this regard, provided in </w:t>
      </w:r>
      <w:r w:rsidR="00242B33" w:rsidRPr="00FA1E77">
        <w:rPr>
          <w:kern w:val="22"/>
          <w:sz w:val="22"/>
          <w:szCs w:val="22"/>
          <w:lang w:val="en-GB"/>
        </w:rPr>
        <w:t>s</w:t>
      </w:r>
      <w:r w:rsidR="00676A51" w:rsidRPr="00FA1E77">
        <w:rPr>
          <w:kern w:val="22"/>
          <w:sz w:val="22"/>
          <w:szCs w:val="22"/>
          <w:lang w:val="en-GB"/>
        </w:rPr>
        <w:t xml:space="preserve">ection II, subsection B, above. </w:t>
      </w:r>
      <w:r w:rsidR="004E65B2" w:rsidRPr="00FA1E77">
        <w:rPr>
          <w:snapToGrid w:val="0"/>
          <w:kern w:val="22"/>
          <w:sz w:val="22"/>
          <w:szCs w:val="22"/>
          <w:lang w:val="en-GB"/>
        </w:rPr>
        <w:t>The Committee may wish to draw its</w:t>
      </w:r>
      <w:r w:rsidR="008C6201" w:rsidRPr="00FA1E77">
        <w:rPr>
          <w:snapToGrid w:val="0"/>
          <w:kern w:val="22"/>
          <w:sz w:val="22"/>
          <w:szCs w:val="22"/>
          <w:lang w:val="en-GB"/>
        </w:rPr>
        <w:t xml:space="preserve"> conclusions and</w:t>
      </w:r>
      <w:r w:rsidRPr="00FA1E77">
        <w:rPr>
          <w:snapToGrid w:val="0"/>
          <w:kern w:val="22"/>
          <w:sz w:val="22"/>
          <w:szCs w:val="22"/>
          <w:lang w:val="en-GB"/>
        </w:rPr>
        <w:t xml:space="preserve"> </w:t>
      </w:r>
      <w:r w:rsidR="00DB4096" w:rsidRPr="00FA1E77">
        <w:rPr>
          <w:snapToGrid w:val="0"/>
          <w:kern w:val="22"/>
          <w:sz w:val="22"/>
          <w:szCs w:val="22"/>
          <w:lang w:val="en-GB"/>
        </w:rPr>
        <w:t xml:space="preserve">request the Secretariat to transmit the </w:t>
      </w:r>
      <w:r w:rsidR="0080058A" w:rsidRPr="00FA1E77">
        <w:rPr>
          <w:snapToGrid w:val="0"/>
          <w:kern w:val="22"/>
          <w:sz w:val="22"/>
          <w:szCs w:val="22"/>
          <w:lang w:val="en-GB"/>
        </w:rPr>
        <w:t>conclusio</w:t>
      </w:r>
      <w:r w:rsidR="008D64D2" w:rsidRPr="00FA1E77">
        <w:rPr>
          <w:snapToGrid w:val="0"/>
          <w:kern w:val="22"/>
          <w:sz w:val="22"/>
          <w:szCs w:val="22"/>
          <w:lang w:val="en-GB"/>
        </w:rPr>
        <w:t>n</w:t>
      </w:r>
      <w:r w:rsidR="0080058A" w:rsidRPr="00FA1E77">
        <w:rPr>
          <w:snapToGrid w:val="0"/>
          <w:kern w:val="22"/>
          <w:sz w:val="22"/>
          <w:szCs w:val="22"/>
          <w:lang w:val="en-GB"/>
        </w:rPr>
        <w:t xml:space="preserve">s </w:t>
      </w:r>
      <w:r w:rsidR="00DB4096" w:rsidRPr="00FA1E77">
        <w:rPr>
          <w:snapToGrid w:val="0"/>
          <w:kern w:val="22"/>
          <w:sz w:val="22"/>
          <w:szCs w:val="22"/>
          <w:lang w:val="en-GB"/>
        </w:rPr>
        <w:t xml:space="preserve">for consideration by the </w:t>
      </w:r>
      <w:r w:rsidR="0080058A" w:rsidRPr="00FA1E77">
        <w:rPr>
          <w:snapToGrid w:val="0"/>
          <w:kern w:val="22"/>
          <w:sz w:val="22"/>
          <w:szCs w:val="22"/>
          <w:lang w:val="en-GB"/>
        </w:rPr>
        <w:t>Subsidiary Body on Implementation at its third meeting.</w:t>
      </w:r>
    </w:p>
    <w:p w14:paraId="6E821A03" w14:textId="6BF7C099" w:rsidR="00B41E54" w:rsidRPr="00FA1E77" w:rsidRDefault="00B41E54" w:rsidP="00FA1E77">
      <w:pPr>
        <w:pStyle w:val="ListParagraph"/>
        <w:numPr>
          <w:ilvl w:val="0"/>
          <w:numId w:val="17"/>
        </w:numPr>
        <w:suppressLineNumbers/>
        <w:tabs>
          <w:tab w:val="clear" w:pos="644"/>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In addition, the Committee may wish to recommend that the Conference of the Parties serving as the meeting of the Parties to the Cartagena Protocol, at its tenth meeting:</w:t>
      </w:r>
    </w:p>
    <w:p w14:paraId="64C9E918" w14:textId="38D1B027" w:rsidR="00AA0A16" w:rsidRPr="00FA1E77" w:rsidRDefault="00312655"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Welcome progress made by Parties in complying with their obligations under the Protocol,</w:t>
      </w:r>
      <w:r w:rsidR="00AA0A16" w:rsidRPr="00FA1E77">
        <w:rPr>
          <w:snapToGrid w:val="0"/>
          <w:kern w:val="22"/>
          <w:sz w:val="22"/>
          <w:szCs w:val="22"/>
          <w:lang w:val="en-GB"/>
        </w:rPr>
        <w:t xml:space="preserve"> including</w:t>
      </w:r>
      <w:r w:rsidR="00006DA9" w:rsidRPr="00FA1E77">
        <w:rPr>
          <w:snapToGrid w:val="0"/>
          <w:kern w:val="22"/>
          <w:sz w:val="22"/>
          <w:szCs w:val="22"/>
          <w:lang w:val="en-GB"/>
        </w:rPr>
        <w:t xml:space="preserve"> the obligations concerning</w:t>
      </w:r>
      <w:r w:rsidR="00AA0A16" w:rsidRPr="00FA1E77">
        <w:rPr>
          <w:snapToGrid w:val="0"/>
          <w:kern w:val="22"/>
          <w:sz w:val="22"/>
          <w:szCs w:val="22"/>
          <w:lang w:val="en-GB"/>
        </w:rPr>
        <w:t>: (i</w:t>
      </w:r>
      <w:r w:rsidR="001E5E49" w:rsidRPr="00FA1E77">
        <w:rPr>
          <w:snapToGrid w:val="0"/>
          <w:kern w:val="22"/>
          <w:sz w:val="22"/>
          <w:szCs w:val="22"/>
          <w:lang w:val="en-GB"/>
        </w:rPr>
        <w:t xml:space="preserve">) </w:t>
      </w:r>
      <w:r w:rsidR="00006DA9" w:rsidRPr="00FA1E77">
        <w:rPr>
          <w:snapToGrid w:val="0"/>
          <w:kern w:val="22"/>
          <w:sz w:val="22"/>
          <w:szCs w:val="22"/>
          <w:lang w:val="en-GB"/>
        </w:rPr>
        <w:t>making</w:t>
      </w:r>
      <w:r w:rsidR="001E5E49" w:rsidRPr="00FA1E77">
        <w:rPr>
          <w:snapToGrid w:val="0"/>
          <w:kern w:val="22"/>
          <w:sz w:val="22"/>
          <w:szCs w:val="22"/>
          <w:lang w:val="en-GB"/>
        </w:rPr>
        <w:t xml:space="preserve"> </w:t>
      </w:r>
      <w:r w:rsidR="00006DA9" w:rsidRPr="00FA1E77">
        <w:rPr>
          <w:snapToGrid w:val="0"/>
          <w:kern w:val="22"/>
          <w:sz w:val="22"/>
          <w:szCs w:val="22"/>
          <w:lang w:val="en-GB"/>
        </w:rPr>
        <w:t xml:space="preserve">certain </w:t>
      </w:r>
      <w:r w:rsidR="001E5E49" w:rsidRPr="00FA1E77">
        <w:rPr>
          <w:snapToGrid w:val="0"/>
          <w:kern w:val="22"/>
          <w:sz w:val="22"/>
          <w:szCs w:val="22"/>
          <w:lang w:val="en-GB"/>
        </w:rPr>
        <w:t>information available to the Biosafety Clearing</w:t>
      </w:r>
      <w:r w:rsidR="003E1732" w:rsidRPr="00FA1E77">
        <w:rPr>
          <w:snapToGrid w:val="0"/>
          <w:kern w:val="22"/>
          <w:sz w:val="22"/>
          <w:szCs w:val="22"/>
          <w:lang w:val="en-GB"/>
        </w:rPr>
        <w:noBreakHyphen/>
      </w:r>
      <w:r w:rsidR="001E5E49" w:rsidRPr="00FA1E77">
        <w:rPr>
          <w:snapToGrid w:val="0"/>
          <w:kern w:val="22"/>
          <w:sz w:val="22"/>
          <w:szCs w:val="22"/>
          <w:lang w:val="en-GB"/>
        </w:rPr>
        <w:t>House</w:t>
      </w:r>
      <w:r w:rsidR="00AE0C31" w:rsidRPr="00FA1E77">
        <w:rPr>
          <w:snapToGrid w:val="0"/>
          <w:kern w:val="22"/>
          <w:sz w:val="22"/>
          <w:szCs w:val="22"/>
          <w:lang w:val="en-GB"/>
        </w:rPr>
        <w:t>, and</w:t>
      </w:r>
      <w:r w:rsidR="008974EC" w:rsidRPr="00FA1E77">
        <w:rPr>
          <w:snapToGrid w:val="0"/>
          <w:kern w:val="22"/>
          <w:sz w:val="22"/>
          <w:szCs w:val="22"/>
          <w:lang w:val="en-GB"/>
        </w:rPr>
        <w:t xml:space="preserve">; </w:t>
      </w:r>
      <w:r w:rsidR="001E5E49" w:rsidRPr="00FA1E77">
        <w:rPr>
          <w:snapToGrid w:val="0"/>
          <w:kern w:val="22"/>
          <w:sz w:val="22"/>
          <w:szCs w:val="22"/>
          <w:lang w:val="en-GB"/>
        </w:rPr>
        <w:t xml:space="preserve">(ii) </w:t>
      </w:r>
      <w:r w:rsidR="00006DA9" w:rsidRPr="00FA1E77">
        <w:rPr>
          <w:snapToGrid w:val="0"/>
          <w:kern w:val="22"/>
          <w:sz w:val="22"/>
          <w:szCs w:val="22"/>
          <w:lang w:val="en-GB"/>
        </w:rPr>
        <w:t>the</w:t>
      </w:r>
      <w:r w:rsidR="008974EC" w:rsidRPr="00FA1E77">
        <w:rPr>
          <w:snapToGrid w:val="0"/>
          <w:kern w:val="22"/>
          <w:sz w:val="22"/>
          <w:szCs w:val="22"/>
          <w:lang w:val="en-GB"/>
        </w:rPr>
        <w:t xml:space="preserve"> designat</w:t>
      </w:r>
      <w:r w:rsidR="00006DA9" w:rsidRPr="00FA1E77">
        <w:rPr>
          <w:snapToGrid w:val="0"/>
          <w:kern w:val="22"/>
          <w:sz w:val="22"/>
          <w:szCs w:val="22"/>
          <w:lang w:val="en-GB"/>
        </w:rPr>
        <w:t>ion of</w:t>
      </w:r>
      <w:r w:rsidR="008974EC" w:rsidRPr="00FA1E77">
        <w:rPr>
          <w:snapToGrid w:val="0"/>
          <w:kern w:val="22"/>
          <w:sz w:val="22"/>
          <w:szCs w:val="22"/>
          <w:lang w:val="en-GB"/>
        </w:rPr>
        <w:t xml:space="preserve"> national focal points and competent national authorities</w:t>
      </w:r>
      <w:r w:rsidR="00824A2F" w:rsidRPr="00FA1E77">
        <w:rPr>
          <w:snapToGrid w:val="0"/>
          <w:kern w:val="22"/>
          <w:sz w:val="22"/>
          <w:szCs w:val="22"/>
          <w:lang w:val="en-GB"/>
        </w:rPr>
        <w:t>;</w:t>
      </w:r>
    </w:p>
    <w:p w14:paraId="15B55902" w14:textId="5F5FA24E" w:rsidR="00312655" w:rsidRPr="00FA1E77" w:rsidRDefault="00AA0A16"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N</w:t>
      </w:r>
      <w:r w:rsidR="00312655" w:rsidRPr="00FA1E77">
        <w:rPr>
          <w:snapToGrid w:val="0"/>
          <w:kern w:val="22"/>
          <w:sz w:val="22"/>
          <w:szCs w:val="22"/>
          <w:lang w:val="en-GB"/>
        </w:rPr>
        <w:t>ote with concern that a large number of Parties are not in full compliance with key obligations under the Protocol</w:t>
      </w:r>
      <w:r w:rsidR="00E16367" w:rsidRPr="00FA1E77">
        <w:rPr>
          <w:snapToGrid w:val="0"/>
          <w:kern w:val="22"/>
          <w:sz w:val="22"/>
          <w:szCs w:val="22"/>
          <w:lang w:val="en-GB"/>
        </w:rPr>
        <w:t>, including</w:t>
      </w:r>
      <w:r w:rsidR="003F7D3E" w:rsidRPr="00FA1E77">
        <w:rPr>
          <w:snapToGrid w:val="0"/>
          <w:kern w:val="22"/>
          <w:sz w:val="22"/>
          <w:szCs w:val="22"/>
          <w:lang w:val="en-GB"/>
        </w:rPr>
        <w:t>: (i)</w:t>
      </w:r>
      <w:r w:rsidR="00E16367" w:rsidRPr="00FA1E77">
        <w:rPr>
          <w:snapToGrid w:val="0"/>
          <w:kern w:val="22"/>
          <w:sz w:val="22"/>
          <w:szCs w:val="22"/>
          <w:lang w:val="en-GB"/>
        </w:rPr>
        <w:t xml:space="preserve"> the obligation to take the necessary legal, administrative and other measures to implement the Protocol</w:t>
      </w:r>
      <w:r w:rsidR="003F7D3E" w:rsidRPr="00FA1E77">
        <w:rPr>
          <w:snapToGrid w:val="0"/>
          <w:kern w:val="22"/>
          <w:sz w:val="22"/>
          <w:szCs w:val="22"/>
          <w:lang w:val="en-GB"/>
        </w:rPr>
        <w:t>,</w:t>
      </w:r>
      <w:r w:rsidR="006C583A" w:rsidRPr="00FA1E77">
        <w:rPr>
          <w:snapToGrid w:val="0"/>
          <w:kern w:val="22"/>
          <w:sz w:val="22"/>
          <w:szCs w:val="22"/>
          <w:lang w:val="en-GB"/>
        </w:rPr>
        <w:t xml:space="preserve"> and</w:t>
      </w:r>
      <w:r w:rsidR="003F7D3E" w:rsidRPr="00FA1E77">
        <w:rPr>
          <w:snapToGrid w:val="0"/>
          <w:kern w:val="22"/>
          <w:sz w:val="22"/>
          <w:szCs w:val="22"/>
          <w:lang w:val="en-GB"/>
        </w:rPr>
        <w:t xml:space="preserve"> (ii)</w:t>
      </w:r>
      <w:r w:rsidR="006C583A" w:rsidRPr="00FA1E77">
        <w:rPr>
          <w:snapToGrid w:val="0"/>
          <w:kern w:val="22"/>
          <w:sz w:val="22"/>
          <w:szCs w:val="22"/>
          <w:lang w:val="en-GB"/>
        </w:rPr>
        <w:t xml:space="preserve"> the obligation to submit a national report in a timely manner</w:t>
      </w:r>
      <w:r w:rsidR="00312655" w:rsidRPr="00FA1E77">
        <w:rPr>
          <w:snapToGrid w:val="0"/>
          <w:kern w:val="22"/>
          <w:sz w:val="22"/>
          <w:szCs w:val="22"/>
          <w:lang w:val="en-GB"/>
        </w:rPr>
        <w:t>;</w:t>
      </w:r>
    </w:p>
    <w:p w14:paraId="6471AC0C" w14:textId="77777777" w:rsidR="00312655" w:rsidRPr="00FA1E77" w:rsidRDefault="00312655"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Urge Parties that have not yet completely done so to put in place legal, administrative and other measures to implement their obligations under the Protocol;</w:t>
      </w:r>
    </w:p>
    <w:p w14:paraId="1AA4A23F" w14:textId="72E277E1" w:rsidR="00B41E54" w:rsidRPr="00FA1E77" w:rsidRDefault="00312655"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Also urge Parties that have not yet completely done so to make all required information available to the BCH and keep their records up-to-date, focusing in particular on information related to: (i)</w:t>
      </w:r>
      <w:r w:rsidR="007D2DC9" w:rsidRPr="00FA1E77">
        <w:rPr>
          <w:snapToGrid w:val="0"/>
          <w:kern w:val="22"/>
          <w:sz w:val="22"/>
          <w:szCs w:val="22"/>
          <w:lang w:val="en-GB"/>
        </w:rPr>
        <w:t> </w:t>
      </w:r>
      <w:r w:rsidRPr="00FA1E77">
        <w:rPr>
          <w:snapToGrid w:val="0"/>
          <w:kern w:val="22"/>
          <w:sz w:val="22"/>
          <w:szCs w:val="22"/>
          <w:lang w:val="en-GB"/>
        </w:rPr>
        <w:t xml:space="preserve">national legislation, regulation and guidelines; </w:t>
      </w:r>
      <w:r w:rsidR="002D448E" w:rsidRPr="00FA1E77">
        <w:rPr>
          <w:snapToGrid w:val="0"/>
          <w:kern w:val="22"/>
          <w:sz w:val="22"/>
          <w:szCs w:val="22"/>
          <w:lang w:val="en-GB"/>
        </w:rPr>
        <w:t xml:space="preserve">(ii) summaries of risk assessments; (iii) </w:t>
      </w:r>
      <w:r w:rsidR="006B4195" w:rsidRPr="00FA1E77">
        <w:rPr>
          <w:snapToGrid w:val="0"/>
          <w:kern w:val="22"/>
          <w:sz w:val="22"/>
          <w:szCs w:val="22"/>
          <w:lang w:val="en-GB"/>
        </w:rPr>
        <w:t>final decisions regarding the importation or release of living modified organisms; (iv) national focal points, national points of contact and competent national authorities; information on bilateral, regional or multilateral agreements or arrangements it has entered, and; (v) information concerning illegal transboundary movements of living modified organisms;</w:t>
      </w:r>
    </w:p>
    <w:p w14:paraId="6404FB7E" w14:textId="5A013DE9" w:rsidR="0031642F" w:rsidRPr="00FA1E77" w:rsidRDefault="001777D6"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Recommend that the Conference of the Parties, in adopting its guidance to the financial mechanism, with respect to support for the implementation of the Cartagena Protocol on Biosafety, invite the Global Environment Facility to make specific funding available to eligible Parties to: (i) put in place legal, administrative and other measures for the implementation of the Protocol; (ii)</w:t>
      </w:r>
      <w:r w:rsidR="00AE3766" w:rsidRPr="00FA1E77">
        <w:rPr>
          <w:snapToGrid w:val="0"/>
          <w:kern w:val="22"/>
          <w:sz w:val="22"/>
          <w:szCs w:val="22"/>
          <w:lang w:val="en-GB"/>
        </w:rPr>
        <w:t xml:space="preserve"> support eligible Parties in fulfilling their reporting obligations under the Protocol, including the submission of fifth national reports, in a timely fashion; </w:t>
      </w:r>
      <w:r w:rsidR="007712CF" w:rsidRPr="00510EF6">
        <w:rPr>
          <w:snapToGrid w:val="0"/>
          <w:kern w:val="22"/>
          <w:sz w:val="22"/>
          <w:szCs w:val="22"/>
          <w:lang w:val="en-GB"/>
        </w:rPr>
        <w:t xml:space="preserve">and </w:t>
      </w:r>
      <w:r w:rsidR="008C6201" w:rsidRPr="00FA1E77">
        <w:rPr>
          <w:snapToGrid w:val="0"/>
          <w:kern w:val="22"/>
          <w:sz w:val="22"/>
          <w:szCs w:val="22"/>
          <w:lang w:val="en-GB"/>
        </w:rPr>
        <w:t xml:space="preserve">(iii) </w:t>
      </w:r>
      <w:r w:rsidR="00AE3766" w:rsidRPr="00FA1E77">
        <w:rPr>
          <w:snapToGrid w:val="0"/>
          <w:kern w:val="22"/>
          <w:sz w:val="22"/>
          <w:szCs w:val="22"/>
          <w:lang w:val="en-GB"/>
        </w:rPr>
        <w:t>support</w:t>
      </w:r>
      <w:r w:rsidR="008C6201" w:rsidRPr="00FA1E77">
        <w:rPr>
          <w:snapToGrid w:val="0"/>
          <w:kern w:val="22"/>
          <w:sz w:val="22"/>
          <w:szCs w:val="22"/>
          <w:lang w:val="en-GB"/>
        </w:rPr>
        <w:t xml:space="preserve"> eligible</w:t>
      </w:r>
      <w:r w:rsidR="00AE3766" w:rsidRPr="00FA1E77">
        <w:rPr>
          <w:snapToGrid w:val="0"/>
          <w:kern w:val="22"/>
          <w:sz w:val="22"/>
          <w:szCs w:val="22"/>
          <w:lang w:val="en-GB"/>
        </w:rPr>
        <w:t xml:space="preserve"> Parties in implementing compliance action plans regarding </w:t>
      </w:r>
      <w:r w:rsidR="008C6201" w:rsidRPr="00FA1E77">
        <w:rPr>
          <w:snapToGrid w:val="0"/>
          <w:kern w:val="22"/>
          <w:sz w:val="22"/>
          <w:szCs w:val="22"/>
          <w:lang w:val="en-GB"/>
        </w:rPr>
        <w:t xml:space="preserve">the </w:t>
      </w:r>
      <w:r w:rsidR="00AE3766" w:rsidRPr="00FA1E77">
        <w:rPr>
          <w:snapToGrid w:val="0"/>
          <w:kern w:val="22"/>
          <w:sz w:val="22"/>
          <w:szCs w:val="22"/>
          <w:lang w:val="en-GB"/>
        </w:rPr>
        <w:t>achievement of compliance wit</w:t>
      </w:r>
      <w:r w:rsidR="008C6201" w:rsidRPr="00FA1E77">
        <w:rPr>
          <w:snapToGrid w:val="0"/>
          <w:kern w:val="22"/>
          <w:sz w:val="22"/>
          <w:szCs w:val="22"/>
          <w:lang w:val="en-GB"/>
        </w:rPr>
        <w:t>h</w:t>
      </w:r>
      <w:r w:rsidR="00AE3766" w:rsidRPr="00FA1E77">
        <w:rPr>
          <w:snapToGrid w:val="0"/>
          <w:kern w:val="22"/>
          <w:sz w:val="22"/>
          <w:szCs w:val="22"/>
          <w:lang w:val="en-GB"/>
        </w:rPr>
        <w:t xml:space="preserve"> the Protocol;</w:t>
      </w:r>
    </w:p>
    <w:p w14:paraId="2537BC58" w14:textId="77777777" w:rsidR="00F31F7F" w:rsidRPr="00FA1E77" w:rsidRDefault="00383CE7"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Welcome the Committee’s supportive role, carried out pursuant to decision BS-V/1, as a contribution to the progress reported and request the Committee to continue exercising its mandate accordingly;</w:t>
      </w:r>
    </w:p>
    <w:p w14:paraId="52DB3481" w14:textId="16743687" w:rsidR="00DC25DA" w:rsidRPr="00FA1E77" w:rsidRDefault="00F31F7F" w:rsidP="00FA1E77">
      <w:pPr>
        <w:pStyle w:val="ListParagraph"/>
        <w:numPr>
          <w:ilvl w:val="1"/>
          <w:numId w:val="17"/>
        </w:numPr>
        <w:suppressLineNumbers/>
        <w:tabs>
          <w:tab w:val="clear" w:pos="1570"/>
        </w:tabs>
        <w:suppressAutoHyphens/>
        <w:snapToGrid w:val="0"/>
        <w:spacing w:before="120" w:after="120"/>
        <w:ind w:left="0"/>
        <w:jc w:val="both"/>
        <w:rPr>
          <w:snapToGrid w:val="0"/>
          <w:kern w:val="22"/>
          <w:sz w:val="22"/>
          <w:szCs w:val="22"/>
          <w:lang w:val="en-GB"/>
        </w:rPr>
      </w:pPr>
      <w:r w:rsidRPr="00FA1E77">
        <w:rPr>
          <w:snapToGrid w:val="0"/>
          <w:kern w:val="22"/>
          <w:sz w:val="22"/>
          <w:szCs w:val="22"/>
          <w:lang w:val="en-GB"/>
        </w:rPr>
        <w:t>Request the Secretariat, as appropriate and following guidance provided by the Committee, to continue following up with Parties that have not yet fully complied with their obligations under the Protocol, and request Parties to collaborate fully in this regard</w:t>
      </w:r>
      <w:r w:rsidR="00EA651E" w:rsidRPr="00FA1E77">
        <w:rPr>
          <w:snapToGrid w:val="0"/>
          <w:kern w:val="22"/>
          <w:sz w:val="22"/>
          <w:szCs w:val="22"/>
          <w:lang w:val="en-GB"/>
        </w:rPr>
        <w:t>;</w:t>
      </w:r>
    </w:p>
    <w:p w14:paraId="60CC4C09" w14:textId="035C9DC2" w:rsidR="0079483A" w:rsidRPr="00FA1E77" w:rsidRDefault="00DC25DA" w:rsidP="00FA1E77">
      <w:pPr>
        <w:pStyle w:val="ListParagraph"/>
        <w:numPr>
          <w:ilvl w:val="1"/>
          <w:numId w:val="17"/>
        </w:numPr>
        <w:suppressLineNumbers/>
        <w:tabs>
          <w:tab w:val="clear" w:pos="1570"/>
        </w:tabs>
        <w:suppressAutoHyphens/>
        <w:snapToGrid w:val="0"/>
        <w:spacing w:before="120" w:after="120"/>
        <w:ind w:left="0"/>
        <w:jc w:val="both"/>
        <w:rPr>
          <w:kern w:val="22"/>
          <w:szCs w:val="22"/>
        </w:rPr>
      </w:pPr>
      <w:r w:rsidRPr="00FA1E77">
        <w:rPr>
          <w:snapToGrid w:val="0"/>
          <w:kern w:val="22"/>
          <w:sz w:val="22"/>
          <w:szCs w:val="22"/>
          <w:lang w:val="en-GB"/>
        </w:rPr>
        <w:t>Welcome the Committee’s input to the fourth assessment and review of the Protocol and final evaluation of the Strategic Plan for the Cartagena Protocol</w:t>
      </w:r>
      <w:r w:rsidR="00AB1BC0" w:rsidRPr="00510EF6">
        <w:rPr>
          <w:snapToGrid w:val="0"/>
          <w:kern w:val="22"/>
          <w:szCs w:val="22"/>
        </w:rPr>
        <w:t>,</w:t>
      </w:r>
      <w:r w:rsidRPr="00FA1E77">
        <w:rPr>
          <w:snapToGrid w:val="0"/>
          <w:kern w:val="22"/>
          <w:sz w:val="22"/>
          <w:szCs w:val="22"/>
          <w:lang w:val="en-GB"/>
        </w:rPr>
        <w:t xml:space="preserve"> and request the Committee to continue providing input to the fifth assessment and review and evaluation process of the follow-up to the Strategic Plan for the Cartagena Protocol, as appropriate</w:t>
      </w:r>
      <w:r w:rsidR="008C6201" w:rsidRPr="00FA1E77">
        <w:rPr>
          <w:snapToGrid w:val="0"/>
          <w:kern w:val="22"/>
          <w:sz w:val="22"/>
          <w:szCs w:val="22"/>
          <w:lang w:val="en-GB"/>
        </w:rPr>
        <w:t>.</w:t>
      </w:r>
    </w:p>
    <w:p w14:paraId="20E76CFD" w14:textId="131CBE3F" w:rsidR="00B3369F" w:rsidRPr="00FA1E77" w:rsidRDefault="000D09CE" w:rsidP="00FA1E77">
      <w:pPr>
        <w:pStyle w:val="Para1"/>
        <w:numPr>
          <w:ilvl w:val="0"/>
          <w:numId w:val="0"/>
        </w:numPr>
        <w:suppressLineNumbers/>
        <w:suppressAutoHyphens/>
        <w:kinsoku w:val="0"/>
        <w:overflowPunct w:val="0"/>
        <w:autoSpaceDE w:val="0"/>
        <w:autoSpaceDN w:val="0"/>
        <w:jc w:val="center"/>
        <w:rPr>
          <w:kern w:val="22"/>
        </w:rPr>
      </w:pPr>
      <w:r w:rsidRPr="00510EF6">
        <w:rPr>
          <w:kern w:val="22"/>
        </w:rPr>
        <w:t>__________</w:t>
      </w:r>
    </w:p>
    <w:sectPr w:rsidR="00B3369F" w:rsidRPr="00FA1E77" w:rsidSect="00AF1044">
      <w:headerReference w:type="even" r:id="rId18"/>
      <w:headerReference w:type="default" r:id="rId19"/>
      <w:footerReference w:type="even" r:id="rId20"/>
      <w:footerReference w:type="default" r:id="rId21"/>
      <w:footerReference w:type="first" r:id="rId2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CB36" w14:textId="77777777" w:rsidR="006A2AF4" w:rsidRDefault="006A2AF4" w:rsidP="00CF1848">
      <w:r>
        <w:separator/>
      </w:r>
    </w:p>
  </w:endnote>
  <w:endnote w:type="continuationSeparator" w:id="0">
    <w:p w14:paraId="6B4CA343" w14:textId="77777777" w:rsidR="006A2AF4" w:rsidRDefault="006A2AF4" w:rsidP="00CF1848">
      <w:r>
        <w:continuationSeparator/>
      </w:r>
    </w:p>
  </w:endnote>
  <w:endnote w:type="continuationNotice" w:id="1">
    <w:p w14:paraId="4D824E9F" w14:textId="77777777" w:rsidR="006A2AF4" w:rsidRDefault="006A2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9760" w14:textId="77777777" w:rsidR="00797FD0" w:rsidRDefault="00797FD0" w:rsidP="00FA1E77">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ABE4" w14:textId="77777777" w:rsidR="00797FD0" w:rsidRDefault="00797FD0" w:rsidP="00FA1E77">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29F5" w14:textId="77777777" w:rsidR="00372510" w:rsidRDefault="00372510" w:rsidP="006B13F1">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334B" w14:textId="77777777" w:rsidR="006A2AF4" w:rsidRDefault="006A2AF4" w:rsidP="00CF1848">
      <w:r>
        <w:separator/>
      </w:r>
    </w:p>
  </w:footnote>
  <w:footnote w:type="continuationSeparator" w:id="0">
    <w:p w14:paraId="4AE62BAF" w14:textId="77777777" w:rsidR="006A2AF4" w:rsidRDefault="006A2AF4" w:rsidP="00CF1848">
      <w:r>
        <w:continuationSeparator/>
      </w:r>
    </w:p>
  </w:footnote>
  <w:footnote w:type="continuationNotice" w:id="1">
    <w:p w14:paraId="17AE31A3" w14:textId="77777777" w:rsidR="006A2AF4" w:rsidRDefault="006A2AF4"/>
  </w:footnote>
  <w:footnote w:id="2">
    <w:p w14:paraId="1043CA0B" w14:textId="2F52D8F7" w:rsidR="005E62E0" w:rsidRPr="00FA1E77" w:rsidRDefault="005E62E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For a full overview of progress made on operational objective 3.1, including regional breakdowns, see CBD/SBI/3/3/Add.1, section</w:t>
      </w:r>
      <w:r w:rsidR="005A40F7" w:rsidRPr="00FA1E77">
        <w:rPr>
          <w:kern w:val="18"/>
        </w:rPr>
        <w:t> </w:t>
      </w:r>
      <w:r w:rsidRPr="00FA1E77">
        <w:rPr>
          <w:kern w:val="18"/>
        </w:rPr>
        <w:t>III, subsection J.</w:t>
      </w:r>
    </w:p>
  </w:footnote>
  <w:footnote w:id="3">
    <w:p w14:paraId="6647DFA1" w14:textId="5D242D1D"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Through decision BS-VI/15, the </w:t>
      </w:r>
      <w:r w:rsidR="006D742B" w:rsidRPr="00FA1E77">
        <w:rPr>
          <w:kern w:val="18"/>
          <w:szCs w:val="22"/>
        </w:rPr>
        <w:t xml:space="preserve">Conference of the Parties serving as the meeting of the Parties to the </w:t>
      </w:r>
      <w:r w:rsidR="00EE1A7B" w:rsidRPr="00A76E7E">
        <w:rPr>
          <w:kern w:val="18"/>
          <w:szCs w:val="22"/>
        </w:rPr>
        <w:t xml:space="preserve">Cartagena </w:t>
      </w:r>
      <w:r w:rsidR="006D742B" w:rsidRPr="00FA1E77">
        <w:rPr>
          <w:kern w:val="18"/>
          <w:szCs w:val="22"/>
        </w:rPr>
        <w:t>Protocol</w:t>
      </w:r>
      <w:r w:rsidR="006D742B" w:rsidRPr="00FA1E77" w:rsidDel="006D742B">
        <w:rPr>
          <w:kern w:val="18"/>
        </w:rPr>
        <w:t xml:space="preserve"> </w:t>
      </w:r>
      <w:r w:rsidRPr="00FA1E77">
        <w:rPr>
          <w:kern w:val="18"/>
        </w:rPr>
        <w:t>decided that the information contained in the second national reports and the analysis undertaken on the status of core elements of the Protocol would form the baseline for measuring progress in implementing the Protocol. The baseline information was supplemented by information obtained through a dedicated survey to gather information corresponding to indicators in the Strategic Plan that could not be obtained from the second national reports or though other existing mechanisms (Survey), which was carried out in 2013.</w:t>
      </w:r>
    </w:p>
  </w:footnote>
  <w:footnote w:id="4">
    <w:p w14:paraId="000BB160" w14:textId="59D31189"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u w:val="none"/>
          <w:vertAlign w:val="superscript"/>
        </w:rPr>
        <w:footnoteRef/>
      </w:r>
      <w:r w:rsidRPr="00FA1E77">
        <w:rPr>
          <w:kern w:val="18"/>
        </w:rPr>
        <w:t xml:space="preserve"> </w:t>
      </w:r>
      <w:r w:rsidRPr="00FA1E77">
        <w:rPr>
          <w:kern w:val="18"/>
          <w:szCs w:val="18"/>
        </w:rPr>
        <w:t xml:space="preserve">A matrix detailing the source of information based on which each indicator was analysed can be found at </w:t>
      </w:r>
      <w:hyperlink r:id="rId1" w:history="1">
        <w:r w:rsidR="00271C07" w:rsidRPr="00FA1E77">
          <w:rPr>
            <w:rStyle w:val="Hyperlink"/>
            <w:kern w:val="18"/>
          </w:rPr>
          <w:t>https://bch.cbd.int/protocol/issues/final_evaluation.shtml</w:t>
        </w:r>
      </w:hyperlink>
      <w:r w:rsidRPr="00FA1E77">
        <w:rPr>
          <w:snapToGrid w:val="0"/>
          <w:kern w:val="18"/>
          <w:szCs w:val="18"/>
        </w:rPr>
        <w:t>.</w:t>
      </w:r>
    </w:p>
  </w:footnote>
  <w:footnote w:id="5">
    <w:p w14:paraId="1E55944F" w14:textId="4FE39EEE"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As of 15 January 2020, 99 Parties had submitted a complete fourth national report, which represents 58</w:t>
      </w:r>
      <w:r w:rsidR="00A85755" w:rsidRPr="00FA1E77">
        <w:rPr>
          <w:kern w:val="18"/>
          <w:szCs w:val="18"/>
        </w:rPr>
        <w:t> per cent</w:t>
      </w:r>
      <w:r w:rsidRPr="00FA1E77">
        <w:rPr>
          <w:kern w:val="18"/>
          <w:szCs w:val="18"/>
        </w:rPr>
        <w:t xml:space="preserve"> of the Parties to the Protocol that had an obligation to do so. A total of 94 of these Parties had also submitted a second national report.</w:t>
      </w:r>
    </w:p>
  </w:footnote>
  <w:footnote w:id="6">
    <w:p w14:paraId="542762C8" w14:textId="0635C24A"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w:t>
      </w:r>
      <w:r w:rsidR="00C71FE8" w:rsidRPr="00FA1E77">
        <w:rPr>
          <w:kern w:val="18"/>
          <w:szCs w:val="18"/>
        </w:rPr>
        <w:t xml:space="preserve">At the cut-off date for the preparation of the </w:t>
      </w:r>
      <w:r w:rsidRPr="00FA1E77">
        <w:rPr>
          <w:kern w:val="18"/>
          <w:szCs w:val="18"/>
        </w:rPr>
        <w:t>comparative analysis of information for the third assessment and review of the Protocol and mid-term evaluation of the Strategic Plan</w:t>
      </w:r>
      <w:r w:rsidR="00C71FE8" w:rsidRPr="00FA1E77">
        <w:rPr>
          <w:kern w:val="18"/>
          <w:szCs w:val="18"/>
        </w:rPr>
        <w:t>, 105 Parties had submitted their third national report. A total of 102 of these Parties had also submitted a second national report and their reports were used for the development of the comparative analysis. See</w:t>
      </w:r>
      <w:r w:rsidRPr="00FA1E77">
        <w:rPr>
          <w:kern w:val="18"/>
          <w:szCs w:val="18"/>
        </w:rPr>
        <w:t xml:space="preserve"> UNEP/CBD/SBI/1/4.</w:t>
      </w:r>
    </w:p>
  </w:footnote>
  <w:footnote w:id="7">
    <w:p w14:paraId="62BFAA47" w14:textId="4574573E" w:rsidR="00A641B3" w:rsidRPr="00FA1E77" w:rsidRDefault="00A641B3"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The areas of work largely follow core obligations under the Protocol, in particular: the obligation to submit national reports (Article 33 of the Protocol); the obligation to take the necessary measures to implement the Protocol (Article 2(1) of the Protocol); </w:t>
      </w:r>
      <w:r w:rsidR="006B0A16" w:rsidRPr="00FA1E77">
        <w:rPr>
          <w:kern w:val="18"/>
        </w:rPr>
        <w:t xml:space="preserve">the obligation to designate </w:t>
      </w:r>
      <w:r w:rsidR="005761F6" w:rsidRPr="00FA1E77">
        <w:rPr>
          <w:kern w:val="18"/>
        </w:rPr>
        <w:t xml:space="preserve">national </w:t>
      </w:r>
      <w:r w:rsidR="006B0A16" w:rsidRPr="00FA1E77">
        <w:rPr>
          <w:kern w:val="18"/>
        </w:rPr>
        <w:t xml:space="preserve">focal points and competent national authorities (Article 19); </w:t>
      </w:r>
      <w:r w:rsidRPr="00FA1E77">
        <w:rPr>
          <w:kern w:val="18"/>
        </w:rPr>
        <w:t>the obligation to make mandatory information available to the BCH (Article 20(3) of the Protocol).</w:t>
      </w:r>
    </w:p>
  </w:footnote>
  <w:footnote w:id="8">
    <w:p w14:paraId="10AC9414" w14:textId="333ED4BB"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See for the various types of follow-up decided on by the Committee in this period, for example: CBD/CP/CC/9/4, para. 10(d); UNEP/CBD/BS/10/5, paras. 23 and 24; UNEP/CBD/BS/CC/12/5, para. 18.</w:t>
      </w:r>
    </w:p>
  </w:footnote>
  <w:footnote w:id="9">
    <w:p w14:paraId="13BCB0BE" w14:textId="57CCD0B6"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UNEP/CBD/BS/13/6, para. 11(a) and para.</w:t>
      </w:r>
      <w:r w:rsidR="00E40AC5" w:rsidRPr="00A76E7E">
        <w:t> </w:t>
      </w:r>
      <w:r w:rsidRPr="00FA1E77">
        <w:rPr>
          <w:kern w:val="18"/>
        </w:rPr>
        <w:t>12(g).</w:t>
      </w:r>
    </w:p>
  </w:footnote>
  <w:footnote w:id="10">
    <w:p w14:paraId="2BD20727" w14:textId="676FB965"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CBD/CP/CC/15/5, para.</w:t>
      </w:r>
      <w:r w:rsidR="00E40AC5" w:rsidRPr="00FA1E77">
        <w:rPr>
          <w:kern w:val="18"/>
        </w:rPr>
        <w:t> </w:t>
      </w:r>
      <w:r w:rsidRPr="00FA1E77">
        <w:rPr>
          <w:kern w:val="18"/>
        </w:rPr>
        <w:t>29.</w:t>
      </w:r>
    </w:p>
  </w:footnote>
  <w:footnote w:id="11">
    <w:p w14:paraId="1034CA1F" w14:textId="58E0B376"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CBD/CP/CC/16/7, para</w:t>
      </w:r>
      <w:r w:rsidR="00CA5053" w:rsidRPr="00FA1E77">
        <w:rPr>
          <w:kern w:val="18"/>
        </w:rPr>
        <w:t>s</w:t>
      </w:r>
      <w:r w:rsidRPr="00FA1E77">
        <w:rPr>
          <w:kern w:val="18"/>
        </w:rPr>
        <w:t>.</w:t>
      </w:r>
      <w:r w:rsidR="00E40AC5" w:rsidRPr="00FA1E77">
        <w:rPr>
          <w:kern w:val="18"/>
        </w:rPr>
        <w:t> </w:t>
      </w:r>
      <w:r w:rsidRPr="00FA1E77">
        <w:rPr>
          <w:kern w:val="18"/>
        </w:rPr>
        <w:t>27 and</w:t>
      </w:r>
      <w:r w:rsidR="00E40AC5" w:rsidRPr="00FA1E77">
        <w:rPr>
          <w:kern w:val="18"/>
        </w:rPr>
        <w:t> </w:t>
      </w:r>
      <w:r w:rsidRPr="00FA1E77">
        <w:rPr>
          <w:kern w:val="18"/>
        </w:rPr>
        <w:t>29.</w:t>
      </w:r>
    </w:p>
  </w:footnote>
  <w:footnote w:id="12">
    <w:p w14:paraId="492B6962" w14:textId="36988936"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Fourth national reports submitted beyond 15 January 2020 could not be considered in the analysis for the fourth assessment and review of the Protocol and the final evaluation of the Strategic</w:t>
      </w:r>
      <w:r w:rsidR="006D51C4" w:rsidRPr="00FA1E77">
        <w:rPr>
          <w:kern w:val="18"/>
        </w:rPr>
        <w:t> </w:t>
      </w:r>
      <w:r w:rsidRPr="00FA1E77">
        <w:rPr>
          <w:kern w:val="18"/>
        </w:rPr>
        <w:t>Plan.</w:t>
      </w:r>
    </w:p>
  </w:footnote>
  <w:footnote w:id="13">
    <w:p w14:paraId="68CF54CB" w14:textId="769D53D0" w:rsidR="00FA7560" w:rsidRPr="00FA1E77" w:rsidRDefault="00FA756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w:t>
      </w:r>
      <w:r w:rsidR="005E1F57" w:rsidRPr="00FA1E77">
        <w:rPr>
          <w:kern w:val="18"/>
        </w:rPr>
        <w:t>This increase is mainly attributable to an increase (+10</w:t>
      </w:r>
      <w:r w:rsidR="00BD631D" w:rsidRPr="00A76E7E">
        <w:rPr>
          <w:kern w:val="18"/>
        </w:rPr>
        <w:t> per cent</w:t>
      </w:r>
      <w:r w:rsidR="005E1F57" w:rsidRPr="00FA1E77">
        <w:rPr>
          <w:kern w:val="18"/>
        </w:rPr>
        <w:t>) during the third reporting cycle. A decrease (-2</w:t>
      </w:r>
      <w:r w:rsidR="00BD631D" w:rsidRPr="00A76E7E">
        <w:rPr>
          <w:kern w:val="18"/>
        </w:rPr>
        <w:t> per cent</w:t>
      </w:r>
      <w:r w:rsidR="005E1F57" w:rsidRPr="00FA1E77">
        <w:rPr>
          <w:kern w:val="18"/>
        </w:rPr>
        <w:t>) was reported in the fourth reporting cy</w:t>
      </w:r>
      <w:r w:rsidR="003D4D4F" w:rsidRPr="00FA1E77">
        <w:rPr>
          <w:kern w:val="18"/>
        </w:rPr>
        <w:t>c</w:t>
      </w:r>
      <w:r w:rsidR="005E1F57" w:rsidRPr="00FA1E77">
        <w:rPr>
          <w:kern w:val="18"/>
        </w:rPr>
        <w:t>le.</w:t>
      </w:r>
    </w:p>
  </w:footnote>
  <w:footnote w:id="14">
    <w:p w14:paraId="5CBDDB06" w14:textId="0CA54009"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This information has been obtained from question 19 of reporting format for the fourth national reports and could not be compared to information provided at the baseline, as Parties were not asked to provide this information at the time.</w:t>
      </w:r>
    </w:p>
  </w:footnote>
  <w:footnote w:id="15">
    <w:p w14:paraId="494D8622" w14:textId="3A965B48"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See CBD/CP/CC/14/3, which also provides an overview of activities carried out by the Committee following the submission of second national reports.</w:t>
      </w:r>
    </w:p>
  </w:footnote>
  <w:footnote w:id="16">
    <w:p w14:paraId="447038F6" w14:textId="211318A6"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w:t>
      </w:r>
      <w:r w:rsidRPr="00FA1E77">
        <w:rPr>
          <w:kern w:val="18"/>
          <w:szCs w:val="18"/>
        </w:rPr>
        <w:t>CBD/CP/CC/15/5, para. 27.</w:t>
      </w:r>
    </w:p>
  </w:footnote>
  <w:footnote w:id="17">
    <w:p w14:paraId="3E1F97A6" w14:textId="46EEE01B"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CBD/CP/CC/15/5, para. 32.</w:t>
      </w:r>
    </w:p>
  </w:footnote>
  <w:footnote w:id="18">
    <w:p w14:paraId="40532FAB"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CBD/CP/CC/16/7.</w:t>
      </w:r>
    </w:p>
  </w:footnote>
  <w:footnote w:id="19">
    <w:p w14:paraId="46660031" w14:textId="5B5D10A0"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w:t>
      </w:r>
      <w:r w:rsidRPr="00A76E7E">
        <w:rPr>
          <w:snapToGrid w:val="0"/>
          <w:kern w:val="18"/>
          <w:szCs w:val="18"/>
        </w:rPr>
        <w:t xml:space="preserve">It was not possible to respond </w:t>
      </w:r>
      <w:r w:rsidR="006D1DFC" w:rsidRPr="00A76E7E">
        <w:rPr>
          <w:snapToGrid w:val="0"/>
          <w:kern w:val="18"/>
          <w:szCs w:val="18"/>
        </w:rPr>
        <w:t>“</w:t>
      </w:r>
      <w:r w:rsidRPr="00A76E7E">
        <w:rPr>
          <w:snapToGrid w:val="0"/>
          <w:kern w:val="18"/>
          <w:szCs w:val="18"/>
        </w:rPr>
        <w:t>to some extent</w:t>
      </w:r>
      <w:r w:rsidR="006D1DFC" w:rsidRPr="00A76E7E">
        <w:rPr>
          <w:snapToGrid w:val="0"/>
          <w:kern w:val="18"/>
          <w:szCs w:val="18"/>
        </w:rPr>
        <w:t>”</w:t>
      </w:r>
      <w:r w:rsidRPr="00A76E7E">
        <w:rPr>
          <w:snapToGrid w:val="0"/>
          <w:kern w:val="18"/>
          <w:szCs w:val="18"/>
        </w:rPr>
        <w:t xml:space="preserve"> to the related question in the second national report. This may have affected the reported changes as compared to the baseline.</w:t>
      </w:r>
    </w:p>
  </w:footnote>
  <w:footnote w:id="20">
    <w:p w14:paraId="77A041D5" w14:textId="532D0537" w:rsidR="00B73603" w:rsidRPr="00FA1E77" w:rsidRDefault="00B73603"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w:t>
      </w:r>
      <w:r w:rsidRPr="00FA1E77">
        <w:rPr>
          <w:kern w:val="18"/>
          <w:szCs w:val="18"/>
        </w:rPr>
        <w:t>Due to rounding up of decimals, the sum of the percentages is 14</w:t>
      </w:r>
      <w:r w:rsidR="00BD631D" w:rsidRPr="00A76E7E">
        <w:rPr>
          <w:kern w:val="18"/>
          <w:szCs w:val="18"/>
        </w:rPr>
        <w:t> per cent</w:t>
      </w:r>
      <w:r w:rsidRPr="00FA1E77">
        <w:rPr>
          <w:kern w:val="18"/>
          <w:szCs w:val="18"/>
        </w:rPr>
        <w:t xml:space="preserve"> rather 15</w:t>
      </w:r>
      <w:r w:rsidR="00BD631D" w:rsidRPr="00A76E7E">
        <w:rPr>
          <w:kern w:val="18"/>
          <w:szCs w:val="18"/>
        </w:rPr>
        <w:t> per cent</w:t>
      </w:r>
      <w:r w:rsidRPr="00FA1E77">
        <w:rPr>
          <w:kern w:val="18"/>
          <w:szCs w:val="18"/>
        </w:rPr>
        <w:t>.</w:t>
      </w:r>
    </w:p>
  </w:footnote>
  <w:footnote w:id="21">
    <w:p w14:paraId="52223490"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Some of these changes may be related to the revision of the question in the format for the fourth national report, which was restricted to the reporting period, while it was open-ended in the second national report.</w:t>
      </w:r>
    </w:p>
  </w:footnote>
  <w:footnote w:id="22">
    <w:p w14:paraId="30CE52B7" w14:textId="5BD054DC" w:rsidR="005E1F57" w:rsidRPr="00FA1E77" w:rsidRDefault="005E1F57"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This increase is mainly attributable to an increase in the fourth reporting cycle (+12</w:t>
      </w:r>
      <w:r w:rsidR="00BD631D" w:rsidRPr="00A76E7E">
        <w:rPr>
          <w:kern w:val="18"/>
        </w:rPr>
        <w:t> per cent</w:t>
      </w:r>
      <w:r w:rsidRPr="00FA1E77">
        <w:rPr>
          <w:kern w:val="18"/>
        </w:rPr>
        <w:t>).</w:t>
      </w:r>
    </w:p>
  </w:footnote>
  <w:footnote w:id="23">
    <w:p w14:paraId="05474D36" w14:textId="127F747D"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w:t>
      </w:r>
      <w:r w:rsidR="00040014" w:rsidRPr="00FA1E77">
        <w:rPr>
          <w:kern w:val="18"/>
          <w:szCs w:val="18"/>
        </w:rPr>
        <w:t>In the second national reporting format, only those Parties that reported having ever taken a decision on LMOs-FFP were asked to respond to the question. For this reason, the overall number of Parties having provided information on this question is low</w:t>
      </w:r>
      <w:r w:rsidRPr="00FA1E77">
        <w:rPr>
          <w:kern w:val="18"/>
          <w:szCs w:val="18"/>
        </w:rPr>
        <w:t>.</w:t>
      </w:r>
    </w:p>
  </w:footnote>
  <w:footnote w:id="24">
    <w:p w14:paraId="426C8BB6" w14:textId="5D1F60C9"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w:t>
      </w:r>
      <w:r w:rsidR="00F408B6" w:rsidRPr="00A76E7E">
        <w:rPr>
          <w:kern w:val="18"/>
          <w:szCs w:val="18"/>
        </w:rPr>
        <w:t>Ibid</w:t>
      </w:r>
      <w:r w:rsidRPr="00FA1E77">
        <w:rPr>
          <w:kern w:val="18"/>
          <w:szCs w:val="18"/>
        </w:rPr>
        <w:t>.</w:t>
      </w:r>
    </w:p>
  </w:footnote>
  <w:footnote w:id="25">
    <w:p w14:paraId="7C47E764" w14:textId="17D0F662" w:rsidR="003D4D4F" w:rsidRPr="00FA1E77" w:rsidRDefault="003D4D4F"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Question 168 in the fourth national report is related to question 35(a) (on monitoring systems) and question 35(b) (on enforcement systems) in the Survey. For this analysis, the analyser tool on the BCH compared question 168 of the fourth national report with question 35(a) of the Survey. The total count differences between answers to question 35(a) and (b) are minimal (35(a): 61 answered </w:t>
      </w:r>
      <w:r w:rsidRPr="00FA1E77">
        <w:rPr>
          <w:i/>
          <w:kern w:val="18"/>
          <w:szCs w:val="18"/>
        </w:rPr>
        <w:t>yes</w:t>
      </w:r>
      <w:r w:rsidRPr="00FA1E77">
        <w:rPr>
          <w:kern w:val="18"/>
          <w:szCs w:val="18"/>
        </w:rPr>
        <w:t xml:space="preserve">, 46 answered </w:t>
      </w:r>
      <w:r w:rsidRPr="00FA1E77">
        <w:rPr>
          <w:i/>
          <w:kern w:val="18"/>
          <w:szCs w:val="18"/>
        </w:rPr>
        <w:t>no</w:t>
      </w:r>
      <w:r w:rsidRPr="00FA1E77">
        <w:rPr>
          <w:kern w:val="18"/>
          <w:szCs w:val="18"/>
        </w:rPr>
        <w:t xml:space="preserve">. Q35(b): 58 answered </w:t>
      </w:r>
      <w:r w:rsidRPr="00FA1E77">
        <w:rPr>
          <w:i/>
          <w:kern w:val="18"/>
          <w:szCs w:val="18"/>
        </w:rPr>
        <w:t>yes</w:t>
      </w:r>
      <w:r w:rsidRPr="00FA1E77">
        <w:rPr>
          <w:kern w:val="18"/>
          <w:szCs w:val="18"/>
        </w:rPr>
        <w:t xml:space="preserve">, 46 answered </w:t>
      </w:r>
      <w:r w:rsidRPr="00FA1E77">
        <w:rPr>
          <w:i/>
          <w:kern w:val="18"/>
          <w:szCs w:val="18"/>
        </w:rPr>
        <w:t>no</w:t>
      </w:r>
      <w:r w:rsidRPr="00FA1E77">
        <w:rPr>
          <w:kern w:val="18"/>
          <w:szCs w:val="18"/>
        </w:rPr>
        <w:t>).</w:t>
      </w:r>
    </w:p>
  </w:footnote>
  <w:footnote w:id="26">
    <w:p w14:paraId="3E84A726" w14:textId="4688CEA4" w:rsidR="003D4D4F" w:rsidRPr="00FA1E77" w:rsidRDefault="003D4D4F"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vertAlign w:val="superscript"/>
        </w:rPr>
        <w:t xml:space="preserve"> </w:t>
      </w:r>
      <w:r w:rsidRPr="00FA1E77">
        <w:rPr>
          <w:kern w:val="18"/>
        </w:rPr>
        <w:t>The increase is mainly attributable to an increase in the fourth reporting cycle (+8</w:t>
      </w:r>
      <w:r w:rsidR="00BD631D" w:rsidRPr="00A76E7E">
        <w:rPr>
          <w:kern w:val="18"/>
        </w:rPr>
        <w:t> per cent</w:t>
      </w:r>
      <w:r w:rsidRPr="00FA1E77">
        <w:rPr>
          <w:kern w:val="18"/>
        </w:rPr>
        <w:t>).</w:t>
      </w:r>
    </w:p>
  </w:footnote>
  <w:footnote w:id="27">
    <w:p w14:paraId="60742537" w14:textId="096C3688"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At its sixteenth and twelfth meeting</w:t>
      </w:r>
      <w:r w:rsidR="00DB17DE">
        <w:rPr>
          <w:kern w:val="18"/>
        </w:rPr>
        <w:t>s</w:t>
      </w:r>
      <w:r w:rsidRPr="00FA1E77">
        <w:rPr>
          <w:kern w:val="18"/>
        </w:rPr>
        <w:t>.</w:t>
      </w:r>
    </w:p>
  </w:footnote>
  <w:footnote w:id="28">
    <w:p w14:paraId="3780709C" w14:textId="1774C7CA"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CBD/CP/CC/16/7, paras. 24</w:t>
      </w:r>
      <w:r w:rsidR="002D0FBE">
        <w:rPr>
          <w:kern w:val="18"/>
        </w:rPr>
        <w:t>-</w:t>
      </w:r>
      <w:r w:rsidRPr="00FA1E77">
        <w:rPr>
          <w:kern w:val="18"/>
        </w:rPr>
        <w:t>25.</w:t>
      </w:r>
    </w:p>
  </w:footnote>
  <w:footnote w:id="29">
    <w:p w14:paraId="78DC5D68" w14:textId="762155B0"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Three of these Parties made available risk assessment summaries for the vast majority of decisions they submitted to the BCH.</w:t>
      </w:r>
    </w:p>
  </w:footnote>
  <w:footnote w:id="30">
    <w:p w14:paraId="369E9A1B" w14:textId="17A6B297"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At its fifteenth meeting and eleventh meeting</w:t>
      </w:r>
      <w:r w:rsidR="00866DBC">
        <w:rPr>
          <w:kern w:val="18"/>
        </w:rPr>
        <w:t>s</w:t>
      </w:r>
      <w:r w:rsidRPr="00FA1E77">
        <w:rPr>
          <w:kern w:val="18"/>
        </w:rPr>
        <w:t>.</w:t>
      </w:r>
    </w:p>
  </w:footnote>
  <w:footnote w:id="31">
    <w:p w14:paraId="62B470F5" w14:textId="26D55300"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At its sixteenth meeting and twelfth meeting</w:t>
      </w:r>
      <w:r w:rsidR="00866DBC">
        <w:rPr>
          <w:kern w:val="18"/>
        </w:rPr>
        <w:t>s</w:t>
      </w:r>
      <w:r w:rsidRPr="00FA1E77">
        <w:rPr>
          <w:kern w:val="18"/>
        </w:rPr>
        <w:t>. This is particularly the case for the review by the Committee of compliance by Parties to submitted to the BCH summary reports of risk assessments for relevant decisions.</w:t>
      </w:r>
    </w:p>
  </w:footnote>
  <w:footnote w:id="32">
    <w:p w14:paraId="38F848E1"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It focused on the following types of information: (a) decisions taken: (i) under Articles 7 to 10 on the intentional transboundary movement of living modified organisms (LMOs) for intentional introduction into the environment; (ii) under Article 11, paragraph 1 on LMOs approved for domestic use, including placing on the market, and that may be subject to transboundary movement for direct use as food or feed, or for processing; (b) summaries of risk assessments corresponding to the decisions referred to in subparagraph (a) above (Article 20(3)(c)); (c) bilateral, regional and multilateral agreements and arrangements (Article 14(2)); (d) notifications concerning unintentional transboundary movements (Article 17(1)); (e) illegal transboundary movements (Article 25(3)); (f) relevant laws, regulations and guidelines to implement the Protocol (Article 20(3)(a)). See CBD/CP/CC/15/2.</w:t>
      </w:r>
    </w:p>
  </w:footnote>
  <w:footnote w:id="33">
    <w:p w14:paraId="2810C15F"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CBD/CP/CC/15/5.</w:t>
      </w:r>
    </w:p>
  </w:footnote>
  <w:footnote w:id="34">
    <w:p w14:paraId="25D726FD"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CBD/CP/CC/16/4.</w:t>
      </w:r>
    </w:p>
  </w:footnote>
  <w:footnote w:id="35">
    <w:p w14:paraId="49FF8AB5"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CBD/CP/CC/16/7.</w:t>
      </w:r>
    </w:p>
  </w:footnote>
  <w:footnote w:id="36">
    <w:p w14:paraId="1E7DDAE7" w14:textId="77777777"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CBD/CP/CC/16/3.</w:t>
      </w:r>
    </w:p>
  </w:footnote>
  <w:footnote w:id="37">
    <w:p w14:paraId="55194F5B" w14:textId="60DDF573"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The related question in the Survey did not provide for the answer ‘yes, to some extent’. A total of 51</w:t>
      </w:r>
      <w:r w:rsidR="00BD631D" w:rsidRPr="00FA1E77">
        <w:rPr>
          <w:kern w:val="18"/>
          <w:szCs w:val="18"/>
        </w:rPr>
        <w:t> per cent</w:t>
      </w:r>
      <w:r w:rsidRPr="00FA1E77">
        <w:rPr>
          <w:kern w:val="18"/>
          <w:szCs w:val="18"/>
        </w:rPr>
        <w:t xml:space="preserve"> of Parties reported not to have access to such funding.</w:t>
      </w:r>
    </w:p>
  </w:footnote>
  <w:footnote w:id="38">
    <w:p w14:paraId="4706348B" w14:textId="3E1E1D6F" w:rsidR="00372510" w:rsidRPr="00FA1E77" w:rsidRDefault="00372510" w:rsidP="00FA1E77">
      <w:pPr>
        <w:pStyle w:val="FootnoteText"/>
        <w:suppressLineNumbers/>
        <w:suppressAutoHyphens/>
        <w:ind w:firstLine="0"/>
        <w:jc w:val="left"/>
        <w:rPr>
          <w:kern w:val="18"/>
          <w:szCs w:val="18"/>
        </w:rPr>
      </w:pPr>
      <w:r w:rsidRPr="00FA1E77">
        <w:rPr>
          <w:rStyle w:val="FootnoteReference"/>
          <w:kern w:val="18"/>
          <w:szCs w:val="18"/>
          <w:u w:val="none"/>
          <w:vertAlign w:val="superscript"/>
        </w:rPr>
        <w:footnoteRef/>
      </w:r>
      <w:r w:rsidRPr="00FA1E77">
        <w:rPr>
          <w:kern w:val="18"/>
          <w:szCs w:val="18"/>
        </w:rPr>
        <w:t xml:space="preserve"> Question 167 of the fourth national report allows Parties to respond that no additional funding was obtained, while the lowest possible answer to the related question 6 of the Survey was </w:t>
      </w:r>
      <w:r w:rsidR="0062052B">
        <w:rPr>
          <w:kern w:val="18"/>
          <w:szCs w:val="18"/>
        </w:rPr>
        <w:t>“</w:t>
      </w:r>
      <w:r w:rsidRPr="00FA1E77">
        <w:rPr>
          <w:kern w:val="18"/>
          <w:szCs w:val="18"/>
        </w:rPr>
        <w:t>less than 5,000</w:t>
      </w:r>
      <w:r w:rsidR="00ED0B16">
        <w:rPr>
          <w:kern w:val="18"/>
          <w:szCs w:val="18"/>
        </w:rPr>
        <w:t>”</w:t>
      </w:r>
      <w:r w:rsidRPr="00FA1E77">
        <w:rPr>
          <w:kern w:val="18"/>
          <w:szCs w:val="18"/>
        </w:rPr>
        <w:t>. The change in the drafting of the answers may have contributed to this difference.</w:t>
      </w:r>
    </w:p>
  </w:footnote>
  <w:footnote w:id="39">
    <w:p w14:paraId="72A7B0A2" w14:textId="7B1098FA"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See UNEP/CBD/BS/CC/9/4, para. 10(b). The Committee also noted that delays in accessing funding in this regard had caused difficulties for a number of Parties in fulfilling their obligations under the Protocol, for example as regards submission of their national report </w:t>
      </w:r>
      <w:r w:rsidR="00ED0B16">
        <w:rPr>
          <w:kern w:val="18"/>
        </w:rPr>
        <w:t>(</w:t>
      </w:r>
      <w:r w:rsidRPr="00FA1E77">
        <w:rPr>
          <w:kern w:val="18"/>
        </w:rPr>
        <w:t>see UNEP/CBD/BS/CC/13/6, para. 10(c)</w:t>
      </w:r>
      <w:r w:rsidR="00ED0B16">
        <w:rPr>
          <w:kern w:val="18"/>
        </w:rPr>
        <w:t>)</w:t>
      </w:r>
      <w:r w:rsidRPr="00FA1E77">
        <w:rPr>
          <w:kern w:val="18"/>
        </w:rPr>
        <w:t>.</w:t>
      </w:r>
    </w:p>
  </w:footnote>
  <w:footnote w:id="40">
    <w:p w14:paraId="199E6376" w14:textId="3A8DF7C4"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UNEP/CBD/BS/CC/10, para</w:t>
      </w:r>
      <w:r w:rsidR="0061519A" w:rsidRPr="00FA1E77">
        <w:rPr>
          <w:kern w:val="18"/>
        </w:rPr>
        <w:t>s</w:t>
      </w:r>
      <w:r w:rsidRPr="00FA1E77">
        <w:rPr>
          <w:kern w:val="18"/>
        </w:rPr>
        <w:t>. 17-19.</w:t>
      </w:r>
    </w:p>
  </w:footnote>
  <w:footnote w:id="41">
    <w:p w14:paraId="503EE10C" w14:textId="319395A3"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See CBD/CP/CC/15/5, para. 27. The Committee previously considered this issue at its tenth and eleventh meetings </w:t>
      </w:r>
      <w:r w:rsidR="00794A58">
        <w:rPr>
          <w:kern w:val="18"/>
        </w:rPr>
        <w:t>(</w:t>
      </w:r>
      <w:r w:rsidRPr="00FA1E77">
        <w:rPr>
          <w:kern w:val="18"/>
        </w:rPr>
        <w:t>see UNEP/CBD/BS/CC/10, para</w:t>
      </w:r>
      <w:r w:rsidR="00794A58">
        <w:rPr>
          <w:kern w:val="18"/>
        </w:rPr>
        <w:t>s</w:t>
      </w:r>
      <w:r w:rsidRPr="00FA1E77">
        <w:rPr>
          <w:kern w:val="18"/>
        </w:rPr>
        <w:t>. 17-19; UNEP/CBD/BS/CC/11, para</w:t>
      </w:r>
      <w:r w:rsidR="00AF2EB2" w:rsidRPr="00FA1E77">
        <w:rPr>
          <w:kern w:val="18"/>
        </w:rPr>
        <w:t>s</w:t>
      </w:r>
      <w:r w:rsidRPr="00FA1E77">
        <w:rPr>
          <w:kern w:val="18"/>
        </w:rPr>
        <w:t>. 10-19</w:t>
      </w:r>
      <w:r w:rsidR="00794A58">
        <w:rPr>
          <w:kern w:val="18"/>
        </w:rPr>
        <w:t>)</w:t>
      </w:r>
      <w:r w:rsidRPr="00FA1E77">
        <w:rPr>
          <w:kern w:val="18"/>
        </w:rPr>
        <w:t>.</w:t>
      </w:r>
    </w:p>
  </w:footnote>
  <w:footnote w:id="42">
    <w:p w14:paraId="44AA9CC8" w14:textId="10A0D4C4"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Decision 14/37, </w:t>
      </w:r>
      <w:r w:rsidR="00AE4076">
        <w:rPr>
          <w:kern w:val="18"/>
        </w:rPr>
        <w:t>t</w:t>
      </w:r>
      <w:r w:rsidRPr="00FA1E77">
        <w:rPr>
          <w:kern w:val="18"/>
        </w:rPr>
        <w:t>able 3, sect</w:t>
      </w:r>
      <w:r w:rsidR="00AE4076">
        <w:rPr>
          <w:kern w:val="18"/>
        </w:rPr>
        <w:t>.</w:t>
      </w:r>
      <w:r w:rsidRPr="00FA1E77">
        <w:rPr>
          <w:kern w:val="18"/>
        </w:rPr>
        <w:t xml:space="preserve"> B.</w:t>
      </w:r>
    </w:p>
  </w:footnote>
  <w:footnote w:id="43">
    <w:p w14:paraId="7B129429" w14:textId="3097EF5B" w:rsidR="00372510" w:rsidRPr="00FA1E77" w:rsidRDefault="00372510" w:rsidP="00FA1E77">
      <w:pPr>
        <w:pStyle w:val="FootnoteText"/>
        <w:suppressLineNumbers/>
        <w:suppressAutoHyphens/>
        <w:ind w:firstLine="0"/>
        <w:jc w:val="left"/>
        <w:rPr>
          <w:spacing w:val="-2"/>
          <w:kern w:val="18"/>
        </w:rPr>
      </w:pPr>
      <w:r w:rsidRPr="00FA1E77">
        <w:rPr>
          <w:rStyle w:val="FootnoteReference"/>
          <w:spacing w:val="-2"/>
          <w:kern w:val="18"/>
          <w:u w:val="none"/>
          <w:vertAlign w:val="superscript"/>
        </w:rPr>
        <w:footnoteRef/>
      </w:r>
      <w:r w:rsidRPr="00FA1E77">
        <w:rPr>
          <w:spacing w:val="-2"/>
          <w:kern w:val="18"/>
        </w:rPr>
        <w:t xml:space="preserve"> CBD/CP/CC/15/5, para. 33(d). The Committee recommended that the Conference of the Parties, in adopting its guidance to the financial mechanism with respect to support for the implementation of the Cartagena Protocol, invite the Global Environment Facility to make funding available to assist and support eligible Parties in putting in place measures to implement the Protocol, submit their fourth national reports and implement compliance action plans regarding the achievement of compliance with the Protocol.</w:t>
      </w:r>
    </w:p>
  </w:footnote>
  <w:footnote w:id="44">
    <w:p w14:paraId="06AEEB34" w14:textId="4FC646FB" w:rsidR="00372510" w:rsidRPr="00FA1E77" w:rsidRDefault="00372510" w:rsidP="00FA1E77">
      <w:pPr>
        <w:pStyle w:val="FootnoteText"/>
        <w:suppressLineNumbers/>
        <w:suppressAutoHyphens/>
        <w:ind w:firstLine="0"/>
        <w:jc w:val="left"/>
        <w:rPr>
          <w:kern w:val="18"/>
        </w:rPr>
      </w:pPr>
      <w:r w:rsidRPr="00FA1E77">
        <w:rPr>
          <w:rStyle w:val="FootnoteReference"/>
          <w:kern w:val="18"/>
          <w:u w:val="none"/>
          <w:vertAlign w:val="superscript"/>
        </w:rPr>
        <w:footnoteRef/>
      </w:r>
      <w:r w:rsidRPr="00FA1E77">
        <w:rPr>
          <w:kern w:val="18"/>
        </w:rPr>
        <w:t xml:space="preserve"> CBD/CP/CC/15/5, para.</w:t>
      </w:r>
      <w:r w:rsidR="00112873">
        <w:rPr>
          <w:kern w:val="18"/>
        </w:rPr>
        <w:t> </w:t>
      </w:r>
      <w:r w:rsidRPr="00FA1E77">
        <w:rPr>
          <w:kern w:val="18"/>
        </w:rPr>
        <w:t>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BEB" w14:textId="4481D49D" w:rsidR="00372510" w:rsidRPr="00FA1E77" w:rsidRDefault="000713B8" w:rsidP="00FA1E77">
    <w:pPr>
      <w:keepLines/>
      <w:suppressLineNumbers/>
      <w:suppressAutoHyphens/>
      <w:jc w:val="left"/>
      <w:rPr>
        <w:noProof/>
        <w:snapToGrid w:val="0"/>
        <w:kern w:val="22"/>
        <w:szCs w:val="22"/>
      </w:rPr>
    </w:pPr>
    <w:r w:rsidRPr="00FA1E77">
      <w:rPr>
        <w:noProof/>
        <w:snapToGrid w:val="0"/>
        <w:kern w:val="22"/>
        <w:szCs w:val="22"/>
      </w:rPr>
      <w:t>CBD/CP/CC/17/3</w:t>
    </w:r>
  </w:p>
  <w:p w14:paraId="5C45B1C8" w14:textId="77777777" w:rsidR="00372510" w:rsidRPr="00FA1E77" w:rsidRDefault="00372510" w:rsidP="00FA1E77">
    <w:pPr>
      <w:pStyle w:val="Header"/>
      <w:keepLines/>
      <w:suppressLineNumbers/>
      <w:tabs>
        <w:tab w:val="clear" w:pos="4320"/>
        <w:tab w:val="clear" w:pos="8640"/>
      </w:tabs>
      <w:suppressAutoHyphens/>
      <w:jc w:val="left"/>
      <w:rPr>
        <w:noProof/>
      </w:rPr>
    </w:pPr>
    <w:r w:rsidRPr="00FA1E77">
      <w:rPr>
        <w:noProof/>
      </w:rPr>
      <w:t xml:space="preserve">Page </w:t>
    </w:r>
    <w:r w:rsidRPr="00FA1E77">
      <w:rPr>
        <w:noProof/>
      </w:rPr>
      <w:fldChar w:fldCharType="begin"/>
    </w:r>
    <w:r w:rsidRPr="00FA1E77">
      <w:rPr>
        <w:noProof/>
      </w:rPr>
      <w:instrText xml:space="preserve"> PAGE   \* MERGEFORMAT </w:instrText>
    </w:r>
    <w:r w:rsidRPr="00FA1E77">
      <w:rPr>
        <w:noProof/>
      </w:rPr>
      <w:fldChar w:fldCharType="separate"/>
    </w:r>
    <w:r w:rsidRPr="00797FD0">
      <w:rPr>
        <w:noProof/>
      </w:rPr>
      <w:t>2</w:t>
    </w:r>
    <w:r w:rsidRPr="00FA1E77">
      <w:rPr>
        <w:noProof/>
      </w:rPr>
      <w:fldChar w:fldCharType="end"/>
    </w:r>
  </w:p>
  <w:p w14:paraId="78C23692" w14:textId="77777777" w:rsidR="00372510" w:rsidRPr="00FA1E77" w:rsidRDefault="00372510" w:rsidP="00FA1E77">
    <w:pPr>
      <w:pStyle w:val="Header"/>
      <w:keepLines/>
      <w:suppressLineNumbers/>
      <w:tabs>
        <w:tab w:val="clear" w:pos="4320"/>
        <w:tab w:val="clear" w:pos="8640"/>
      </w:tab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7111" w14:textId="1B52C77B" w:rsidR="00372510" w:rsidRPr="00FA1E77" w:rsidRDefault="000713B8" w:rsidP="00FA1E77">
    <w:pPr>
      <w:keepLines/>
      <w:suppressLineNumbers/>
      <w:suppressAutoHyphens/>
      <w:jc w:val="right"/>
      <w:rPr>
        <w:noProof/>
        <w:snapToGrid w:val="0"/>
        <w:kern w:val="22"/>
        <w:szCs w:val="22"/>
      </w:rPr>
    </w:pPr>
    <w:r w:rsidRPr="00FA1E77">
      <w:rPr>
        <w:noProof/>
        <w:snapToGrid w:val="0"/>
        <w:kern w:val="22"/>
        <w:szCs w:val="22"/>
      </w:rPr>
      <w:t>CBD/CP/CC/17/3</w:t>
    </w:r>
  </w:p>
  <w:p w14:paraId="3C164F46" w14:textId="77777777" w:rsidR="00372510" w:rsidRPr="00FA1E77" w:rsidRDefault="00372510" w:rsidP="00FA1E77">
    <w:pPr>
      <w:pStyle w:val="Header"/>
      <w:keepLines/>
      <w:suppressLineNumbers/>
      <w:tabs>
        <w:tab w:val="clear" w:pos="4320"/>
        <w:tab w:val="clear" w:pos="8640"/>
      </w:tabs>
      <w:suppressAutoHyphens/>
      <w:jc w:val="right"/>
      <w:rPr>
        <w:noProof/>
        <w:kern w:val="22"/>
      </w:rPr>
    </w:pPr>
    <w:r w:rsidRPr="00FA1E77">
      <w:rPr>
        <w:noProof/>
        <w:kern w:val="22"/>
      </w:rPr>
      <w:t xml:space="preserve">Page </w:t>
    </w:r>
    <w:r w:rsidRPr="00FA1E77">
      <w:rPr>
        <w:noProof/>
        <w:kern w:val="22"/>
      </w:rPr>
      <w:fldChar w:fldCharType="begin"/>
    </w:r>
    <w:r w:rsidRPr="00FA1E77">
      <w:rPr>
        <w:noProof/>
        <w:kern w:val="22"/>
      </w:rPr>
      <w:instrText xml:space="preserve"> PAGE   \* MERGEFORMAT </w:instrText>
    </w:r>
    <w:r w:rsidRPr="00FA1E77">
      <w:rPr>
        <w:noProof/>
        <w:kern w:val="22"/>
      </w:rPr>
      <w:fldChar w:fldCharType="separate"/>
    </w:r>
    <w:r w:rsidRPr="00FA1E77">
      <w:rPr>
        <w:noProof/>
        <w:kern w:val="22"/>
      </w:rPr>
      <w:t>1</w:t>
    </w:r>
    <w:r w:rsidRPr="00FA1E77">
      <w:rPr>
        <w:noProof/>
        <w:kern w:val="22"/>
      </w:rPr>
      <w:fldChar w:fldCharType="end"/>
    </w:r>
  </w:p>
  <w:p w14:paraId="3EEC0FD0" w14:textId="77777777" w:rsidR="00372510" w:rsidRPr="00FA1E77" w:rsidRDefault="00372510" w:rsidP="00FA1E77">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5416EF"/>
    <w:multiLevelType w:val="hybridMultilevel"/>
    <w:tmpl w:val="625E161E"/>
    <w:lvl w:ilvl="0" w:tplc="B9BCFA34">
      <w:start w:val="2"/>
      <w:numFmt w:val="lowerLetter"/>
      <w:lvlText w:val="(%1)"/>
      <w:lvlJc w:val="left"/>
      <w:pPr>
        <w:ind w:left="1570" w:hanging="360"/>
      </w:pPr>
      <w:rPr>
        <w:rFonts w:hint="default"/>
        <w:b/>
        <w:bCs/>
        <w:i w:val="0"/>
        <w:iCs w:val="0"/>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150F30"/>
    <w:multiLevelType w:val="multilevel"/>
    <w:tmpl w:val="053C0DD2"/>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start w:val="4"/>
      <w:numFmt w:val="lowerRoman"/>
      <w:lvlText w:val="(%5)"/>
      <w:lvlJc w:val="left"/>
      <w:pPr>
        <w:ind w:left="6480" w:hanging="720"/>
      </w:pPr>
      <w:rPr>
        <w:rFonts w:hint="default"/>
      </w:r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8F62D0"/>
    <w:multiLevelType w:val="hybridMultilevel"/>
    <w:tmpl w:val="90DCCE54"/>
    <w:lvl w:ilvl="0" w:tplc="606EB94E">
      <w:start w:val="22"/>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1FA661C7"/>
    <w:multiLevelType w:val="hybridMultilevel"/>
    <w:tmpl w:val="90DCCE54"/>
    <w:lvl w:ilvl="0" w:tplc="606EB94E">
      <w:start w:val="22"/>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pStyle w:val="Heading2GTI"/>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86538F"/>
    <w:multiLevelType w:val="multilevel"/>
    <w:tmpl w:val="E9D2E62C"/>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iCs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5C17B0C"/>
    <w:multiLevelType w:val="hybridMultilevel"/>
    <w:tmpl w:val="665A0640"/>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7C897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C3C2E"/>
    <w:multiLevelType w:val="hybridMultilevel"/>
    <w:tmpl w:val="7BA01628"/>
    <w:lvl w:ilvl="0" w:tplc="4718F17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BE76FB"/>
    <w:multiLevelType w:val="hybridMultilevel"/>
    <w:tmpl w:val="74463E86"/>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F6CDC"/>
    <w:multiLevelType w:val="hybridMultilevel"/>
    <w:tmpl w:val="217035A8"/>
    <w:lvl w:ilvl="0" w:tplc="80663F9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A0B34"/>
    <w:multiLevelType w:val="hybridMultilevel"/>
    <w:tmpl w:val="7C7888A8"/>
    <w:lvl w:ilvl="0" w:tplc="A1C0EE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33994"/>
    <w:multiLevelType w:val="hybridMultilevel"/>
    <w:tmpl w:val="A600ED86"/>
    <w:lvl w:ilvl="0" w:tplc="6502607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7D7A9A"/>
    <w:multiLevelType w:val="hybridMultilevel"/>
    <w:tmpl w:val="D3DC58B6"/>
    <w:lvl w:ilvl="0" w:tplc="AE464984">
      <w:start w:val="1"/>
      <w:numFmt w:val="upp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5F4956"/>
    <w:multiLevelType w:val="hybridMultilevel"/>
    <w:tmpl w:val="2AF67786"/>
    <w:lvl w:ilvl="0" w:tplc="AB28B616">
      <w:start w:val="2"/>
      <w:numFmt w:val="upperLetter"/>
      <w:lvlText w:val="%1."/>
      <w:lvlJc w:val="left"/>
      <w:pPr>
        <w:ind w:left="1930" w:hanging="360"/>
      </w:pPr>
      <w:rPr>
        <w:rFonts w:hint="default"/>
        <w:b/>
        <w:bCs/>
        <w:i w:val="0"/>
        <w:iCs w:val="0"/>
      </w:r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23" w15:restartNumberingAfterBreak="0">
    <w:nsid w:val="5909682D"/>
    <w:multiLevelType w:val="hybridMultilevel"/>
    <w:tmpl w:val="ABE621EC"/>
    <w:lvl w:ilvl="0" w:tplc="5B5E88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25" w15:restartNumberingAfterBreak="0">
    <w:nsid w:val="69390722"/>
    <w:multiLevelType w:val="hybridMultilevel"/>
    <w:tmpl w:val="85A44EE0"/>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23244"/>
    <w:multiLevelType w:val="multilevel"/>
    <w:tmpl w:val="C96CEFFE"/>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768C2C72"/>
    <w:multiLevelType w:val="hybridMultilevel"/>
    <w:tmpl w:val="A26C9E2C"/>
    <w:lvl w:ilvl="0" w:tplc="B060F738">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DF10FA"/>
    <w:multiLevelType w:val="hybridMultilevel"/>
    <w:tmpl w:val="F80EEB08"/>
    <w:lvl w:ilvl="0" w:tplc="C02ABD4E">
      <w:start w:val="22"/>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0" w15:restartNumberingAfterBreak="0">
    <w:nsid w:val="79AA2FA2"/>
    <w:multiLevelType w:val="hybridMultilevel"/>
    <w:tmpl w:val="E1EA4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E1E2D"/>
    <w:multiLevelType w:val="hybridMultilevel"/>
    <w:tmpl w:val="DD5252A6"/>
    <w:lvl w:ilvl="0" w:tplc="C8D053CA">
      <w:start w:val="2"/>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2" w15:restartNumberingAfterBreak="0">
    <w:nsid w:val="7FCE5199"/>
    <w:multiLevelType w:val="hybridMultilevel"/>
    <w:tmpl w:val="4F96B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21"/>
  </w:num>
  <w:num w:numId="5">
    <w:abstractNumId w:val="19"/>
  </w:num>
  <w:num w:numId="6">
    <w:abstractNumId w:val="2"/>
  </w:num>
  <w:num w:numId="7">
    <w:abstractNumId w:val="4"/>
  </w:num>
  <w:num w:numId="8">
    <w:abstractNumId w:val="18"/>
    <w:lvlOverride w:ilvl="0">
      <w:startOverride w:val="1"/>
    </w:lvlOverride>
  </w:num>
  <w:num w:numId="9">
    <w:abstractNumId w:val="26"/>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4"/>
  </w:num>
  <w:num w:numId="15">
    <w:abstractNumId w:val="9"/>
  </w:num>
  <w:num w:numId="16">
    <w:abstractNumId w:val="8"/>
  </w:num>
  <w:num w:numId="17">
    <w:abstractNumId w:val="27"/>
  </w:num>
  <w:num w:numId="18">
    <w:abstractNumId w:val="6"/>
  </w:num>
  <w:num w:numId="19">
    <w:abstractNumId w:val="0"/>
  </w:num>
  <w:num w:numId="20">
    <w:abstractNumId w:val="14"/>
  </w:num>
  <w:num w:numId="21">
    <w:abstractNumId w:val="30"/>
  </w:num>
  <w:num w:numId="22">
    <w:abstractNumId w:val="13"/>
  </w:num>
  <w:num w:numId="23">
    <w:abstractNumId w:val="31"/>
  </w:num>
  <w:num w:numId="24">
    <w:abstractNumId w:val="17"/>
  </w:num>
  <w:num w:numId="25">
    <w:abstractNumId w:val="3"/>
  </w:num>
  <w:num w:numId="26">
    <w:abstractNumId w:val="1"/>
  </w:num>
  <w:num w:numId="27">
    <w:abstractNumId w:val="11"/>
  </w:num>
  <w:num w:numId="28">
    <w:abstractNumId w:val="29"/>
  </w:num>
  <w:num w:numId="29">
    <w:abstractNumId w:val="7"/>
  </w:num>
  <w:num w:numId="30">
    <w:abstractNumId w:val="5"/>
  </w:num>
  <w:num w:numId="31">
    <w:abstractNumId w:val="28"/>
  </w:num>
  <w:num w:numId="32">
    <w:abstractNumId w:val="23"/>
  </w:num>
  <w:num w:numId="33">
    <w:abstractNumId w:val="12"/>
  </w:num>
  <w:num w:numId="34">
    <w:abstractNumId w:val="15"/>
  </w:num>
  <w:num w:numId="35">
    <w:abstractNumId w:val="20"/>
  </w:num>
  <w:num w:numId="36">
    <w:abstractNumId w:val="16"/>
  </w:num>
  <w:num w:numId="37">
    <w:abstractNumId w:val="32"/>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41F"/>
    <w:rsid w:val="00002A99"/>
    <w:rsid w:val="00002B31"/>
    <w:rsid w:val="0000533A"/>
    <w:rsid w:val="00006DA9"/>
    <w:rsid w:val="00012084"/>
    <w:rsid w:val="0001241C"/>
    <w:rsid w:val="000146A1"/>
    <w:rsid w:val="00015375"/>
    <w:rsid w:val="000176F2"/>
    <w:rsid w:val="00021B2D"/>
    <w:rsid w:val="00023343"/>
    <w:rsid w:val="00023820"/>
    <w:rsid w:val="00031298"/>
    <w:rsid w:val="00040014"/>
    <w:rsid w:val="00040DA8"/>
    <w:rsid w:val="000420C2"/>
    <w:rsid w:val="00042C95"/>
    <w:rsid w:val="00043DC3"/>
    <w:rsid w:val="000442EE"/>
    <w:rsid w:val="000469AC"/>
    <w:rsid w:val="0004735F"/>
    <w:rsid w:val="00050A73"/>
    <w:rsid w:val="00057B0F"/>
    <w:rsid w:val="000601A5"/>
    <w:rsid w:val="00061280"/>
    <w:rsid w:val="000623AD"/>
    <w:rsid w:val="00062499"/>
    <w:rsid w:val="000640E6"/>
    <w:rsid w:val="00065BAF"/>
    <w:rsid w:val="000713B8"/>
    <w:rsid w:val="00071DFA"/>
    <w:rsid w:val="00074313"/>
    <w:rsid w:val="000745C6"/>
    <w:rsid w:val="00074B15"/>
    <w:rsid w:val="00080FED"/>
    <w:rsid w:val="00082E75"/>
    <w:rsid w:val="00087E82"/>
    <w:rsid w:val="0009108D"/>
    <w:rsid w:val="00091887"/>
    <w:rsid w:val="00093657"/>
    <w:rsid w:val="00094340"/>
    <w:rsid w:val="000947FB"/>
    <w:rsid w:val="00097E4A"/>
    <w:rsid w:val="000A046F"/>
    <w:rsid w:val="000A0AC1"/>
    <w:rsid w:val="000A1A85"/>
    <w:rsid w:val="000A1FFF"/>
    <w:rsid w:val="000A451B"/>
    <w:rsid w:val="000A4679"/>
    <w:rsid w:val="000A5FF4"/>
    <w:rsid w:val="000A6ABF"/>
    <w:rsid w:val="000A78EE"/>
    <w:rsid w:val="000A7B23"/>
    <w:rsid w:val="000B025E"/>
    <w:rsid w:val="000B0E14"/>
    <w:rsid w:val="000B33C4"/>
    <w:rsid w:val="000B4857"/>
    <w:rsid w:val="000B5463"/>
    <w:rsid w:val="000B5FE8"/>
    <w:rsid w:val="000C0A65"/>
    <w:rsid w:val="000C2B95"/>
    <w:rsid w:val="000C35F9"/>
    <w:rsid w:val="000C5B93"/>
    <w:rsid w:val="000D04DE"/>
    <w:rsid w:val="000D0744"/>
    <w:rsid w:val="000D09CE"/>
    <w:rsid w:val="000D0B1F"/>
    <w:rsid w:val="000D0E57"/>
    <w:rsid w:val="000D1EBE"/>
    <w:rsid w:val="000D3B5E"/>
    <w:rsid w:val="000D3FF9"/>
    <w:rsid w:val="000D586D"/>
    <w:rsid w:val="000D5A7E"/>
    <w:rsid w:val="000D661F"/>
    <w:rsid w:val="000E1624"/>
    <w:rsid w:val="000E3C7A"/>
    <w:rsid w:val="000E6079"/>
    <w:rsid w:val="000E6136"/>
    <w:rsid w:val="000E673A"/>
    <w:rsid w:val="000F0FF8"/>
    <w:rsid w:val="000F266A"/>
    <w:rsid w:val="000F74F5"/>
    <w:rsid w:val="00100C8E"/>
    <w:rsid w:val="00101887"/>
    <w:rsid w:val="00102CDB"/>
    <w:rsid w:val="0010482C"/>
    <w:rsid w:val="00104874"/>
    <w:rsid w:val="00105372"/>
    <w:rsid w:val="00105B2F"/>
    <w:rsid w:val="00110D9A"/>
    <w:rsid w:val="00111E5D"/>
    <w:rsid w:val="00112209"/>
    <w:rsid w:val="00112873"/>
    <w:rsid w:val="00113607"/>
    <w:rsid w:val="001138A1"/>
    <w:rsid w:val="00114462"/>
    <w:rsid w:val="0011544E"/>
    <w:rsid w:val="00116934"/>
    <w:rsid w:val="00117DA5"/>
    <w:rsid w:val="00117E03"/>
    <w:rsid w:val="00120941"/>
    <w:rsid w:val="00121DB4"/>
    <w:rsid w:val="0012386C"/>
    <w:rsid w:val="00123CCE"/>
    <w:rsid w:val="00131E7A"/>
    <w:rsid w:val="0013497D"/>
    <w:rsid w:val="001372F4"/>
    <w:rsid w:val="00137304"/>
    <w:rsid w:val="00146060"/>
    <w:rsid w:val="001460BF"/>
    <w:rsid w:val="0014633C"/>
    <w:rsid w:val="00146E8F"/>
    <w:rsid w:val="001476FF"/>
    <w:rsid w:val="00151D48"/>
    <w:rsid w:val="001522CF"/>
    <w:rsid w:val="00154105"/>
    <w:rsid w:val="00155F40"/>
    <w:rsid w:val="00166E00"/>
    <w:rsid w:val="00166F9E"/>
    <w:rsid w:val="001706A9"/>
    <w:rsid w:val="00172AF6"/>
    <w:rsid w:val="00173A50"/>
    <w:rsid w:val="00174CE3"/>
    <w:rsid w:val="00174FE1"/>
    <w:rsid w:val="00174FE4"/>
    <w:rsid w:val="00175308"/>
    <w:rsid w:val="00175DA8"/>
    <w:rsid w:val="00176CEE"/>
    <w:rsid w:val="001777D6"/>
    <w:rsid w:val="00180C38"/>
    <w:rsid w:val="0018260A"/>
    <w:rsid w:val="00182C9E"/>
    <w:rsid w:val="001835D1"/>
    <w:rsid w:val="00187AEE"/>
    <w:rsid w:val="00187C28"/>
    <w:rsid w:val="00190726"/>
    <w:rsid w:val="00190874"/>
    <w:rsid w:val="00190DCE"/>
    <w:rsid w:val="00194614"/>
    <w:rsid w:val="00195100"/>
    <w:rsid w:val="001953FB"/>
    <w:rsid w:val="0019748D"/>
    <w:rsid w:val="001A112F"/>
    <w:rsid w:val="001A1F82"/>
    <w:rsid w:val="001A413D"/>
    <w:rsid w:val="001A4487"/>
    <w:rsid w:val="001A4721"/>
    <w:rsid w:val="001A4D1B"/>
    <w:rsid w:val="001A5408"/>
    <w:rsid w:val="001B1A71"/>
    <w:rsid w:val="001B1B6D"/>
    <w:rsid w:val="001B1F32"/>
    <w:rsid w:val="001B2410"/>
    <w:rsid w:val="001B2A5D"/>
    <w:rsid w:val="001B48F8"/>
    <w:rsid w:val="001B4953"/>
    <w:rsid w:val="001B6276"/>
    <w:rsid w:val="001B62FE"/>
    <w:rsid w:val="001B75BE"/>
    <w:rsid w:val="001C083C"/>
    <w:rsid w:val="001C3A72"/>
    <w:rsid w:val="001C4B88"/>
    <w:rsid w:val="001C5D5F"/>
    <w:rsid w:val="001C7C66"/>
    <w:rsid w:val="001D06DA"/>
    <w:rsid w:val="001D09F7"/>
    <w:rsid w:val="001D248E"/>
    <w:rsid w:val="001D4362"/>
    <w:rsid w:val="001D4724"/>
    <w:rsid w:val="001D4DDD"/>
    <w:rsid w:val="001D6C35"/>
    <w:rsid w:val="001D7F7A"/>
    <w:rsid w:val="001E0298"/>
    <w:rsid w:val="001E5E49"/>
    <w:rsid w:val="001E63D1"/>
    <w:rsid w:val="001E7271"/>
    <w:rsid w:val="001F316A"/>
    <w:rsid w:val="001F51CF"/>
    <w:rsid w:val="001F5458"/>
    <w:rsid w:val="001F5F81"/>
    <w:rsid w:val="001F642F"/>
    <w:rsid w:val="001F7EE6"/>
    <w:rsid w:val="00200222"/>
    <w:rsid w:val="002008F1"/>
    <w:rsid w:val="00201E8C"/>
    <w:rsid w:val="002020E6"/>
    <w:rsid w:val="00203904"/>
    <w:rsid w:val="00204F16"/>
    <w:rsid w:val="0021190D"/>
    <w:rsid w:val="00212183"/>
    <w:rsid w:val="00212EAE"/>
    <w:rsid w:val="00215E6E"/>
    <w:rsid w:val="00215F2F"/>
    <w:rsid w:val="00217D50"/>
    <w:rsid w:val="00217FD4"/>
    <w:rsid w:val="00220BB3"/>
    <w:rsid w:val="00220E31"/>
    <w:rsid w:val="00220EBF"/>
    <w:rsid w:val="00221353"/>
    <w:rsid w:val="00221C4F"/>
    <w:rsid w:val="00222E44"/>
    <w:rsid w:val="002252CB"/>
    <w:rsid w:val="00225FB2"/>
    <w:rsid w:val="002268AA"/>
    <w:rsid w:val="002268EA"/>
    <w:rsid w:val="00227285"/>
    <w:rsid w:val="00231A8B"/>
    <w:rsid w:val="00233FC5"/>
    <w:rsid w:val="0023520B"/>
    <w:rsid w:val="002362D7"/>
    <w:rsid w:val="00236B97"/>
    <w:rsid w:val="0023779E"/>
    <w:rsid w:val="0024028A"/>
    <w:rsid w:val="00242B33"/>
    <w:rsid w:val="00242EF3"/>
    <w:rsid w:val="00244362"/>
    <w:rsid w:val="002444C8"/>
    <w:rsid w:val="00246049"/>
    <w:rsid w:val="00246397"/>
    <w:rsid w:val="00252551"/>
    <w:rsid w:val="00252E86"/>
    <w:rsid w:val="0025415E"/>
    <w:rsid w:val="00254983"/>
    <w:rsid w:val="0025670E"/>
    <w:rsid w:val="002627DF"/>
    <w:rsid w:val="0026469C"/>
    <w:rsid w:val="00270F3E"/>
    <w:rsid w:val="00271C07"/>
    <w:rsid w:val="00274BB5"/>
    <w:rsid w:val="00275E82"/>
    <w:rsid w:val="002767C9"/>
    <w:rsid w:val="0028106A"/>
    <w:rsid w:val="00283A9A"/>
    <w:rsid w:val="0028413F"/>
    <w:rsid w:val="00284DC2"/>
    <w:rsid w:val="00287082"/>
    <w:rsid w:val="00287894"/>
    <w:rsid w:val="002913F0"/>
    <w:rsid w:val="0029286D"/>
    <w:rsid w:val="00293C66"/>
    <w:rsid w:val="00295007"/>
    <w:rsid w:val="0029518E"/>
    <w:rsid w:val="00296A8A"/>
    <w:rsid w:val="002A4672"/>
    <w:rsid w:val="002A7C04"/>
    <w:rsid w:val="002B1D39"/>
    <w:rsid w:val="002B2099"/>
    <w:rsid w:val="002B4707"/>
    <w:rsid w:val="002B61EA"/>
    <w:rsid w:val="002B64B2"/>
    <w:rsid w:val="002C1CB0"/>
    <w:rsid w:val="002C4876"/>
    <w:rsid w:val="002C790C"/>
    <w:rsid w:val="002D0FBE"/>
    <w:rsid w:val="002D23D3"/>
    <w:rsid w:val="002D2D13"/>
    <w:rsid w:val="002D448E"/>
    <w:rsid w:val="002D5025"/>
    <w:rsid w:val="002D5777"/>
    <w:rsid w:val="002D744F"/>
    <w:rsid w:val="002D7582"/>
    <w:rsid w:val="002D7DDA"/>
    <w:rsid w:val="002E0039"/>
    <w:rsid w:val="002E1F42"/>
    <w:rsid w:val="002E43D0"/>
    <w:rsid w:val="002E6461"/>
    <w:rsid w:val="002E6B15"/>
    <w:rsid w:val="002E6E90"/>
    <w:rsid w:val="002E6F8A"/>
    <w:rsid w:val="002F08BD"/>
    <w:rsid w:val="002F11D5"/>
    <w:rsid w:val="002F14BD"/>
    <w:rsid w:val="002F30CC"/>
    <w:rsid w:val="002F4355"/>
    <w:rsid w:val="00305801"/>
    <w:rsid w:val="003109F0"/>
    <w:rsid w:val="00310AED"/>
    <w:rsid w:val="00310EA2"/>
    <w:rsid w:val="00312060"/>
    <w:rsid w:val="00312655"/>
    <w:rsid w:val="0031469B"/>
    <w:rsid w:val="003147E3"/>
    <w:rsid w:val="0031559D"/>
    <w:rsid w:val="003155F0"/>
    <w:rsid w:val="0031642F"/>
    <w:rsid w:val="00320CB4"/>
    <w:rsid w:val="00322214"/>
    <w:rsid w:val="00324EFA"/>
    <w:rsid w:val="00327F4B"/>
    <w:rsid w:val="00330CE5"/>
    <w:rsid w:val="00335DEC"/>
    <w:rsid w:val="00336BAE"/>
    <w:rsid w:val="00336E67"/>
    <w:rsid w:val="00337006"/>
    <w:rsid w:val="003403FD"/>
    <w:rsid w:val="0034094D"/>
    <w:rsid w:val="00343111"/>
    <w:rsid w:val="00343149"/>
    <w:rsid w:val="00344A1D"/>
    <w:rsid w:val="00345BBF"/>
    <w:rsid w:val="00345D40"/>
    <w:rsid w:val="00351DF6"/>
    <w:rsid w:val="0035453E"/>
    <w:rsid w:val="0035610E"/>
    <w:rsid w:val="00356199"/>
    <w:rsid w:val="00357BB6"/>
    <w:rsid w:val="00357C76"/>
    <w:rsid w:val="003604D2"/>
    <w:rsid w:val="0036130D"/>
    <w:rsid w:val="00366DD9"/>
    <w:rsid w:val="00367C00"/>
    <w:rsid w:val="00372510"/>
    <w:rsid w:val="0037267D"/>
    <w:rsid w:val="00372F74"/>
    <w:rsid w:val="00373914"/>
    <w:rsid w:val="00374C5D"/>
    <w:rsid w:val="00376F44"/>
    <w:rsid w:val="003773FB"/>
    <w:rsid w:val="003803A8"/>
    <w:rsid w:val="003813CC"/>
    <w:rsid w:val="00382500"/>
    <w:rsid w:val="00382570"/>
    <w:rsid w:val="00383CE7"/>
    <w:rsid w:val="00390487"/>
    <w:rsid w:val="00390545"/>
    <w:rsid w:val="0039056F"/>
    <w:rsid w:val="0039156E"/>
    <w:rsid w:val="00394571"/>
    <w:rsid w:val="003947E5"/>
    <w:rsid w:val="00395A00"/>
    <w:rsid w:val="00396E49"/>
    <w:rsid w:val="00396E89"/>
    <w:rsid w:val="00397663"/>
    <w:rsid w:val="003A01F8"/>
    <w:rsid w:val="003A06ED"/>
    <w:rsid w:val="003A12B3"/>
    <w:rsid w:val="003A1780"/>
    <w:rsid w:val="003A2221"/>
    <w:rsid w:val="003A3C93"/>
    <w:rsid w:val="003A4A34"/>
    <w:rsid w:val="003A7479"/>
    <w:rsid w:val="003B29CD"/>
    <w:rsid w:val="003B4773"/>
    <w:rsid w:val="003B53AD"/>
    <w:rsid w:val="003B71B5"/>
    <w:rsid w:val="003C002B"/>
    <w:rsid w:val="003C060B"/>
    <w:rsid w:val="003C07F3"/>
    <w:rsid w:val="003C1EB1"/>
    <w:rsid w:val="003C38AF"/>
    <w:rsid w:val="003C4CDA"/>
    <w:rsid w:val="003C69ED"/>
    <w:rsid w:val="003C6B3E"/>
    <w:rsid w:val="003D0FA2"/>
    <w:rsid w:val="003D17C4"/>
    <w:rsid w:val="003D2018"/>
    <w:rsid w:val="003D2987"/>
    <w:rsid w:val="003D392A"/>
    <w:rsid w:val="003D3FE5"/>
    <w:rsid w:val="003D49E0"/>
    <w:rsid w:val="003D4D4F"/>
    <w:rsid w:val="003D6F17"/>
    <w:rsid w:val="003D747F"/>
    <w:rsid w:val="003D77A4"/>
    <w:rsid w:val="003E0D85"/>
    <w:rsid w:val="003E1732"/>
    <w:rsid w:val="003E22A4"/>
    <w:rsid w:val="003E25C4"/>
    <w:rsid w:val="003E2DC8"/>
    <w:rsid w:val="003E30FD"/>
    <w:rsid w:val="003E5167"/>
    <w:rsid w:val="003E5992"/>
    <w:rsid w:val="003E78B7"/>
    <w:rsid w:val="003F00FC"/>
    <w:rsid w:val="003F105F"/>
    <w:rsid w:val="003F3BEB"/>
    <w:rsid w:val="003F4004"/>
    <w:rsid w:val="003F5202"/>
    <w:rsid w:val="003F5885"/>
    <w:rsid w:val="003F7D3E"/>
    <w:rsid w:val="004007B4"/>
    <w:rsid w:val="004017E4"/>
    <w:rsid w:val="00404E16"/>
    <w:rsid w:val="004057E3"/>
    <w:rsid w:val="00406CCD"/>
    <w:rsid w:val="0040708D"/>
    <w:rsid w:val="004119DD"/>
    <w:rsid w:val="00412A8F"/>
    <w:rsid w:val="00412ADF"/>
    <w:rsid w:val="00412E72"/>
    <w:rsid w:val="00412F5B"/>
    <w:rsid w:val="00414C69"/>
    <w:rsid w:val="00415390"/>
    <w:rsid w:val="004154D1"/>
    <w:rsid w:val="0041550F"/>
    <w:rsid w:val="00415922"/>
    <w:rsid w:val="00417F32"/>
    <w:rsid w:val="00425583"/>
    <w:rsid w:val="00431AF7"/>
    <w:rsid w:val="0043357E"/>
    <w:rsid w:val="00436735"/>
    <w:rsid w:val="00436EE3"/>
    <w:rsid w:val="00437C43"/>
    <w:rsid w:val="00437FBC"/>
    <w:rsid w:val="004400F2"/>
    <w:rsid w:val="00442298"/>
    <w:rsid w:val="00445C3D"/>
    <w:rsid w:val="004464B8"/>
    <w:rsid w:val="0044661D"/>
    <w:rsid w:val="004475C2"/>
    <w:rsid w:val="00447B50"/>
    <w:rsid w:val="00450E9F"/>
    <w:rsid w:val="00451248"/>
    <w:rsid w:val="00454E47"/>
    <w:rsid w:val="004567CA"/>
    <w:rsid w:val="00456E7D"/>
    <w:rsid w:val="004627AA"/>
    <w:rsid w:val="0046446B"/>
    <w:rsid w:val="004644C2"/>
    <w:rsid w:val="00464C6A"/>
    <w:rsid w:val="004650D9"/>
    <w:rsid w:val="00466CE2"/>
    <w:rsid w:val="004676DA"/>
    <w:rsid w:val="00467B8C"/>
    <w:rsid w:val="00472FFB"/>
    <w:rsid w:val="0047418F"/>
    <w:rsid w:val="004751DA"/>
    <w:rsid w:val="00475AAE"/>
    <w:rsid w:val="00475FFC"/>
    <w:rsid w:val="00477842"/>
    <w:rsid w:val="0048434D"/>
    <w:rsid w:val="00487C4D"/>
    <w:rsid w:val="00491059"/>
    <w:rsid w:val="004A1087"/>
    <w:rsid w:val="004A1984"/>
    <w:rsid w:val="004A1F2C"/>
    <w:rsid w:val="004A38D9"/>
    <w:rsid w:val="004A5A56"/>
    <w:rsid w:val="004B3417"/>
    <w:rsid w:val="004B431E"/>
    <w:rsid w:val="004B5304"/>
    <w:rsid w:val="004B5380"/>
    <w:rsid w:val="004B58FC"/>
    <w:rsid w:val="004B6E30"/>
    <w:rsid w:val="004B71C1"/>
    <w:rsid w:val="004C04EF"/>
    <w:rsid w:val="004C2DF1"/>
    <w:rsid w:val="004C4BF2"/>
    <w:rsid w:val="004C5E8D"/>
    <w:rsid w:val="004D099C"/>
    <w:rsid w:val="004D3599"/>
    <w:rsid w:val="004D36C7"/>
    <w:rsid w:val="004D52C6"/>
    <w:rsid w:val="004D69AE"/>
    <w:rsid w:val="004D7C82"/>
    <w:rsid w:val="004E3649"/>
    <w:rsid w:val="004E64A0"/>
    <w:rsid w:val="004E65B2"/>
    <w:rsid w:val="004E75AB"/>
    <w:rsid w:val="004E7D63"/>
    <w:rsid w:val="004F13AE"/>
    <w:rsid w:val="004F2043"/>
    <w:rsid w:val="004F2243"/>
    <w:rsid w:val="004F2DAE"/>
    <w:rsid w:val="004F38EF"/>
    <w:rsid w:val="004F5D32"/>
    <w:rsid w:val="004F5EDC"/>
    <w:rsid w:val="004F6F3B"/>
    <w:rsid w:val="004F7FE9"/>
    <w:rsid w:val="005027D9"/>
    <w:rsid w:val="00502A1E"/>
    <w:rsid w:val="00506905"/>
    <w:rsid w:val="005102D2"/>
    <w:rsid w:val="005103DA"/>
    <w:rsid w:val="00510EF6"/>
    <w:rsid w:val="005132CB"/>
    <w:rsid w:val="005136F5"/>
    <w:rsid w:val="00515791"/>
    <w:rsid w:val="00516620"/>
    <w:rsid w:val="00517D9D"/>
    <w:rsid w:val="00522317"/>
    <w:rsid w:val="00524D9D"/>
    <w:rsid w:val="005267A7"/>
    <w:rsid w:val="00532836"/>
    <w:rsid w:val="00534681"/>
    <w:rsid w:val="0053620E"/>
    <w:rsid w:val="005362C8"/>
    <w:rsid w:val="005373B7"/>
    <w:rsid w:val="005405C4"/>
    <w:rsid w:val="0054503D"/>
    <w:rsid w:val="0054637E"/>
    <w:rsid w:val="005508C0"/>
    <w:rsid w:val="00550C60"/>
    <w:rsid w:val="005512EA"/>
    <w:rsid w:val="00551AB6"/>
    <w:rsid w:val="00552409"/>
    <w:rsid w:val="005530CC"/>
    <w:rsid w:val="005539B8"/>
    <w:rsid w:val="00554340"/>
    <w:rsid w:val="00555DF5"/>
    <w:rsid w:val="00557F42"/>
    <w:rsid w:val="005602AC"/>
    <w:rsid w:val="00560A6F"/>
    <w:rsid w:val="00561D2C"/>
    <w:rsid w:val="00562722"/>
    <w:rsid w:val="00563E58"/>
    <w:rsid w:val="00564C27"/>
    <w:rsid w:val="0056753D"/>
    <w:rsid w:val="00571A9E"/>
    <w:rsid w:val="0057265E"/>
    <w:rsid w:val="00574314"/>
    <w:rsid w:val="005761F6"/>
    <w:rsid w:val="00577FAF"/>
    <w:rsid w:val="005809CE"/>
    <w:rsid w:val="005833CF"/>
    <w:rsid w:val="00583CC2"/>
    <w:rsid w:val="00590D33"/>
    <w:rsid w:val="00594181"/>
    <w:rsid w:val="005968B5"/>
    <w:rsid w:val="00596FAC"/>
    <w:rsid w:val="00597DE2"/>
    <w:rsid w:val="005A3BC4"/>
    <w:rsid w:val="005A40F7"/>
    <w:rsid w:val="005A579E"/>
    <w:rsid w:val="005A5966"/>
    <w:rsid w:val="005B0EDE"/>
    <w:rsid w:val="005B1D0F"/>
    <w:rsid w:val="005B1FA1"/>
    <w:rsid w:val="005B23B7"/>
    <w:rsid w:val="005B29AF"/>
    <w:rsid w:val="005B2A82"/>
    <w:rsid w:val="005B3DCF"/>
    <w:rsid w:val="005B4CDB"/>
    <w:rsid w:val="005B54D1"/>
    <w:rsid w:val="005B7E40"/>
    <w:rsid w:val="005C0E61"/>
    <w:rsid w:val="005C160E"/>
    <w:rsid w:val="005C375A"/>
    <w:rsid w:val="005C5128"/>
    <w:rsid w:val="005C74AC"/>
    <w:rsid w:val="005C787E"/>
    <w:rsid w:val="005D19C5"/>
    <w:rsid w:val="005D4B75"/>
    <w:rsid w:val="005D5495"/>
    <w:rsid w:val="005D628F"/>
    <w:rsid w:val="005E01A0"/>
    <w:rsid w:val="005E0762"/>
    <w:rsid w:val="005E1F57"/>
    <w:rsid w:val="005E3778"/>
    <w:rsid w:val="005E4419"/>
    <w:rsid w:val="005E4910"/>
    <w:rsid w:val="005E62E0"/>
    <w:rsid w:val="005F088A"/>
    <w:rsid w:val="005F30E7"/>
    <w:rsid w:val="005F3E74"/>
    <w:rsid w:val="005F64E4"/>
    <w:rsid w:val="005F72AE"/>
    <w:rsid w:val="005F752B"/>
    <w:rsid w:val="00601E3D"/>
    <w:rsid w:val="00603FCB"/>
    <w:rsid w:val="00605C20"/>
    <w:rsid w:val="00605C51"/>
    <w:rsid w:val="00606541"/>
    <w:rsid w:val="0060708D"/>
    <w:rsid w:val="006121FC"/>
    <w:rsid w:val="00613934"/>
    <w:rsid w:val="0061519A"/>
    <w:rsid w:val="0062052B"/>
    <w:rsid w:val="0062225F"/>
    <w:rsid w:val="00623727"/>
    <w:rsid w:val="00624462"/>
    <w:rsid w:val="0062603A"/>
    <w:rsid w:val="0063025E"/>
    <w:rsid w:val="00630F18"/>
    <w:rsid w:val="0063224A"/>
    <w:rsid w:val="00632947"/>
    <w:rsid w:val="00633158"/>
    <w:rsid w:val="00633D0E"/>
    <w:rsid w:val="006431E3"/>
    <w:rsid w:val="006433FF"/>
    <w:rsid w:val="00644AB5"/>
    <w:rsid w:val="0064542B"/>
    <w:rsid w:val="00647FD5"/>
    <w:rsid w:val="00652941"/>
    <w:rsid w:val="00653102"/>
    <w:rsid w:val="00653779"/>
    <w:rsid w:val="0065490C"/>
    <w:rsid w:val="00654C33"/>
    <w:rsid w:val="006560A1"/>
    <w:rsid w:val="00660370"/>
    <w:rsid w:val="00660DBF"/>
    <w:rsid w:val="0066567C"/>
    <w:rsid w:val="00665BDA"/>
    <w:rsid w:val="0066784D"/>
    <w:rsid w:val="00667BA3"/>
    <w:rsid w:val="00670508"/>
    <w:rsid w:val="006707F9"/>
    <w:rsid w:val="006732D4"/>
    <w:rsid w:val="00674F03"/>
    <w:rsid w:val="00676A51"/>
    <w:rsid w:val="00680A46"/>
    <w:rsid w:val="00680CAF"/>
    <w:rsid w:val="00681544"/>
    <w:rsid w:val="00683684"/>
    <w:rsid w:val="00683811"/>
    <w:rsid w:val="00684445"/>
    <w:rsid w:val="00684A20"/>
    <w:rsid w:val="00686A9E"/>
    <w:rsid w:val="00687DB9"/>
    <w:rsid w:val="006919FB"/>
    <w:rsid w:val="00694713"/>
    <w:rsid w:val="0069477B"/>
    <w:rsid w:val="00694AD9"/>
    <w:rsid w:val="00695046"/>
    <w:rsid w:val="006A23EF"/>
    <w:rsid w:val="006A2AF4"/>
    <w:rsid w:val="006A3357"/>
    <w:rsid w:val="006A386A"/>
    <w:rsid w:val="006A4530"/>
    <w:rsid w:val="006A4747"/>
    <w:rsid w:val="006A5F8F"/>
    <w:rsid w:val="006A66D7"/>
    <w:rsid w:val="006B0847"/>
    <w:rsid w:val="006B09CC"/>
    <w:rsid w:val="006B0A16"/>
    <w:rsid w:val="006B13F1"/>
    <w:rsid w:val="006B4195"/>
    <w:rsid w:val="006B5D16"/>
    <w:rsid w:val="006C0691"/>
    <w:rsid w:val="006C24E2"/>
    <w:rsid w:val="006C24E5"/>
    <w:rsid w:val="006C271A"/>
    <w:rsid w:val="006C443E"/>
    <w:rsid w:val="006C583A"/>
    <w:rsid w:val="006C6F2C"/>
    <w:rsid w:val="006D089E"/>
    <w:rsid w:val="006D0F53"/>
    <w:rsid w:val="006D1DFC"/>
    <w:rsid w:val="006D1EA8"/>
    <w:rsid w:val="006D2891"/>
    <w:rsid w:val="006D3009"/>
    <w:rsid w:val="006D3887"/>
    <w:rsid w:val="006D4266"/>
    <w:rsid w:val="006D51C4"/>
    <w:rsid w:val="006D742B"/>
    <w:rsid w:val="006D74B4"/>
    <w:rsid w:val="006E0286"/>
    <w:rsid w:val="006E3551"/>
    <w:rsid w:val="006E3CB4"/>
    <w:rsid w:val="006E61F5"/>
    <w:rsid w:val="006F00D8"/>
    <w:rsid w:val="006F0586"/>
    <w:rsid w:val="006F0C81"/>
    <w:rsid w:val="006F1066"/>
    <w:rsid w:val="006F19D1"/>
    <w:rsid w:val="006F3195"/>
    <w:rsid w:val="006F31D6"/>
    <w:rsid w:val="006F3EAA"/>
    <w:rsid w:val="006F5198"/>
    <w:rsid w:val="006F5546"/>
    <w:rsid w:val="006F55EC"/>
    <w:rsid w:val="006F658C"/>
    <w:rsid w:val="006F65F3"/>
    <w:rsid w:val="006F69D8"/>
    <w:rsid w:val="006F7938"/>
    <w:rsid w:val="0070301D"/>
    <w:rsid w:val="00703B39"/>
    <w:rsid w:val="00703DB3"/>
    <w:rsid w:val="007043F0"/>
    <w:rsid w:val="007048F1"/>
    <w:rsid w:val="00711027"/>
    <w:rsid w:val="00711A5D"/>
    <w:rsid w:val="00712FDD"/>
    <w:rsid w:val="0071646D"/>
    <w:rsid w:val="00717D88"/>
    <w:rsid w:val="00720523"/>
    <w:rsid w:val="00720A1A"/>
    <w:rsid w:val="00720A87"/>
    <w:rsid w:val="007221BA"/>
    <w:rsid w:val="007229A9"/>
    <w:rsid w:val="00722A6D"/>
    <w:rsid w:val="00723C85"/>
    <w:rsid w:val="00723EE7"/>
    <w:rsid w:val="00724F22"/>
    <w:rsid w:val="007274C2"/>
    <w:rsid w:val="00727C40"/>
    <w:rsid w:val="0073032E"/>
    <w:rsid w:val="00731BC2"/>
    <w:rsid w:val="00732295"/>
    <w:rsid w:val="007326A1"/>
    <w:rsid w:val="00734D7A"/>
    <w:rsid w:val="00734DB9"/>
    <w:rsid w:val="007354EA"/>
    <w:rsid w:val="00735698"/>
    <w:rsid w:val="0073570F"/>
    <w:rsid w:val="0074048C"/>
    <w:rsid w:val="00740844"/>
    <w:rsid w:val="00741AB7"/>
    <w:rsid w:val="00742210"/>
    <w:rsid w:val="00742218"/>
    <w:rsid w:val="007432FF"/>
    <w:rsid w:val="007441CB"/>
    <w:rsid w:val="00747176"/>
    <w:rsid w:val="00747AE5"/>
    <w:rsid w:val="007516DA"/>
    <w:rsid w:val="00753116"/>
    <w:rsid w:val="00755960"/>
    <w:rsid w:val="00760C4C"/>
    <w:rsid w:val="00767677"/>
    <w:rsid w:val="007712CF"/>
    <w:rsid w:val="0077152F"/>
    <w:rsid w:val="0077518A"/>
    <w:rsid w:val="00775BA9"/>
    <w:rsid w:val="00776258"/>
    <w:rsid w:val="007809A9"/>
    <w:rsid w:val="00780CD7"/>
    <w:rsid w:val="007845F8"/>
    <w:rsid w:val="00785F8C"/>
    <w:rsid w:val="00786370"/>
    <w:rsid w:val="00787FE3"/>
    <w:rsid w:val="00792612"/>
    <w:rsid w:val="00792DC6"/>
    <w:rsid w:val="00793897"/>
    <w:rsid w:val="007942D3"/>
    <w:rsid w:val="0079483A"/>
    <w:rsid w:val="00794A58"/>
    <w:rsid w:val="007959D5"/>
    <w:rsid w:val="0079607B"/>
    <w:rsid w:val="007972AC"/>
    <w:rsid w:val="00797FD0"/>
    <w:rsid w:val="007A0C91"/>
    <w:rsid w:val="007A157D"/>
    <w:rsid w:val="007A1D6A"/>
    <w:rsid w:val="007A31B9"/>
    <w:rsid w:val="007A4D27"/>
    <w:rsid w:val="007A5180"/>
    <w:rsid w:val="007A6162"/>
    <w:rsid w:val="007A6F55"/>
    <w:rsid w:val="007A7E02"/>
    <w:rsid w:val="007B114F"/>
    <w:rsid w:val="007B1B5A"/>
    <w:rsid w:val="007B1CE0"/>
    <w:rsid w:val="007B2B1A"/>
    <w:rsid w:val="007B3FEC"/>
    <w:rsid w:val="007B6C09"/>
    <w:rsid w:val="007B71FD"/>
    <w:rsid w:val="007B74DC"/>
    <w:rsid w:val="007C0A41"/>
    <w:rsid w:val="007C34C5"/>
    <w:rsid w:val="007C6DFD"/>
    <w:rsid w:val="007C7266"/>
    <w:rsid w:val="007D03CA"/>
    <w:rsid w:val="007D11EC"/>
    <w:rsid w:val="007D132A"/>
    <w:rsid w:val="007D2DC9"/>
    <w:rsid w:val="007D2F41"/>
    <w:rsid w:val="007D4C4E"/>
    <w:rsid w:val="007D7443"/>
    <w:rsid w:val="007E09DA"/>
    <w:rsid w:val="007E0A4C"/>
    <w:rsid w:val="007E1523"/>
    <w:rsid w:val="007E1DE3"/>
    <w:rsid w:val="007E2D08"/>
    <w:rsid w:val="007E382A"/>
    <w:rsid w:val="007E4B5E"/>
    <w:rsid w:val="007E502D"/>
    <w:rsid w:val="007E6D67"/>
    <w:rsid w:val="007E6EBC"/>
    <w:rsid w:val="007E79A0"/>
    <w:rsid w:val="007E7DA7"/>
    <w:rsid w:val="007F1B5C"/>
    <w:rsid w:val="007F2D34"/>
    <w:rsid w:val="007F2DD6"/>
    <w:rsid w:val="007F3A71"/>
    <w:rsid w:val="007F6012"/>
    <w:rsid w:val="007F741B"/>
    <w:rsid w:val="0080058A"/>
    <w:rsid w:val="00802980"/>
    <w:rsid w:val="00803A65"/>
    <w:rsid w:val="00804592"/>
    <w:rsid w:val="008056AC"/>
    <w:rsid w:val="00806E47"/>
    <w:rsid w:val="00813F79"/>
    <w:rsid w:val="0081478C"/>
    <w:rsid w:val="00816691"/>
    <w:rsid w:val="00816E10"/>
    <w:rsid w:val="008170FF"/>
    <w:rsid w:val="008174D6"/>
    <w:rsid w:val="008178B6"/>
    <w:rsid w:val="00822ACA"/>
    <w:rsid w:val="00822F39"/>
    <w:rsid w:val="008233D8"/>
    <w:rsid w:val="00824A2F"/>
    <w:rsid w:val="00827E83"/>
    <w:rsid w:val="00830057"/>
    <w:rsid w:val="008302A7"/>
    <w:rsid w:val="00830790"/>
    <w:rsid w:val="00832DC7"/>
    <w:rsid w:val="00836540"/>
    <w:rsid w:val="00837234"/>
    <w:rsid w:val="00837D0D"/>
    <w:rsid w:val="008410EC"/>
    <w:rsid w:val="008441F1"/>
    <w:rsid w:val="008442B9"/>
    <w:rsid w:val="00847C45"/>
    <w:rsid w:val="0085024A"/>
    <w:rsid w:val="00851966"/>
    <w:rsid w:val="0085288A"/>
    <w:rsid w:val="00852D90"/>
    <w:rsid w:val="00853468"/>
    <w:rsid w:val="00854CF6"/>
    <w:rsid w:val="00855EDE"/>
    <w:rsid w:val="00857BD3"/>
    <w:rsid w:val="00861DE0"/>
    <w:rsid w:val="008620B3"/>
    <w:rsid w:val="0086246D"/>
    <w:rsid w:val="008659E5"/>
    <w:rsid w:val="00866DBC"/>
    <w:rsid w:val="00867319"/>
    <w:rsid w:val="008677D8"/>
    <w:rsid w:val="00871F73"/>
    <w:rsid w:val="008724E1"/>
    <w:rsid w:val="00873F6D"/>
    <w:rsid w:val="00874F71"/>
    <w:rsid w:val="00876C38"/>
    <w:rsid w:val="008771A4"/>
    <w:rsid w:val="00881490"/>
    <w:rsid w:val="00881B13"/>
    <w:rsid w:val="00883A46"/>
    <w:rsid w:val="00883A8A"/>
    <w:rsid w:val="0088431A"/>
    <w:rsid w:val="00885E6D"/>
    <w:rsid w:val="00891B28"/>
    <w:rsid w:val="0089287E"/>
    <w:rsid w:val="00894495"/>
    <w:rsid w:val="00895A38"/>
    <w:rsid w:val="00895FDB"/>
    <w:rsid w:val="008974EC"/>
    <w:rsid w:val="0089767E"/>
    <w:rsid w:val="008A0563"/>
    <w:rsid w:val="008A22E0"/>
    <w:rsid w:val="008A24D5"/>
    <w:rsid w:val="008A3167"/>
    <w:rsid w:val="008A5768"/>
    <w:rsid w:val="008A6CA3"/>
    <w:rsid w:val="008B3BAC"/>
    <w:rsid w:val="008B56C7"/>
    <w:rsid w:val="008B61EE"/>
    <w:rsid w:val="008B664B"/>
    <w:rsid w:val="008B6BA9"/>
    <w:rsid w:val="008B7FA0"/>
    <w:rsid w:val="008C2172"/>
    <w:rsid w:val="008C424F"/>
    <w:rsid w:val="008C6201"/>
    <w:rsid w:val="008C6C9A"/>
    <w:rsid w:val="008C77D0"/>
    <w:rsid w:val="008D2A85"/>
    <w:rsid w:val="008D2C70"/>
    <w:rsid w:val="008D3A28"/>
    <w:rsid w:val="008D47AE"/>
    <w:rsid w:val="008D572E"/>
    <w:rsid w:val="008D64D2"/>
    <w:rsid w:val="008E24C4"/>
    <w:rsid w:val="008E2B0D"/>
    <w:rsid w:val="008F1113"/>
    <w:rsid w:val="008F272D"/>
    <w:rsid w:val="008F5494"/>
    <w:rsid w:val="008F6BB2"/>
    <w:rsid w:val="008F6E5B"/>
    <w:rsid w:val="008F7375"/>
    <w:rsid w:val="0090011C"/>
    <w:rsid w:val="009001D9"/>
    <w:rsid w:val="009009A6"/>
    <w:rsid w:val="009016DF"/>
    <w:rsid w:val="00901AA5"/>
    <w:rsid w:val="0090226F"/>
    <w:rsid w:val="00904E56"/>
    <w:rsid w:val="00910D70"/>
    <w:rsid w:val="009110C7"/>
    <w:rsid w:val="0091174A"/>
    <w:rsid w:val="00911E98"/>
    <w:rsid w:val="00915E1F"/>
    <w:rsid w:val="00917AFB"/>
    <w:rsid w:val="0092077C"/>
    <w:rsid w:val="00921174"/>
    <w:rsid w:val="0092196B"/>
    <w:rsid w:val="00922DF1"/>
    <w:rsid w:val="00922F72"/>
    <w:rsid w:val="0092329D"/>
    <w:rsid w:val="00924BCD"/>
    <w:rsid w:val="0092606E"/>
    <w:rsid w:val="00927027"/>
    <w:rsid w:val="00931CC9"/>
    <w:rsid w:val="009323A5"/>
    <w:rsid w:val="009348EE"/>
    <w:rsid w:val="00935E38"/>
    <w:rsid w:val="00936749"/>
    <w:rsid w:val="00936B21"/>
    <w:rsid w:val="009371CD"/>
    <w:rsid w:val="00937BBF"/>
    <w:rsid w:val="0094147F"/>
    <w:rsid w:val="00941E0A"/>
    <w:rsid w:val="009434F2"/>
    <w:rsid w:val="00943A5A"/>
    <w:rsid w:val="00944DF5"/>
    <w:rsid w:val="009453E0"/>
    <w:rsid w:val="00945988"/>
    <w:rsid w:val="00946611"/>
    <w:rsid w:val="00947239"/>
    <w:rsid w:val="00947C39"/>
    <w:rsid w:val="009505C9"/>
    <w:rsid w:val="00951419"/>
    <w:rsid w:val="009515A6"/>
    <w:rsid w:val="00952C4C"/>
    <w:rsid w:val="0095360D"/>
    <w:rsid w:val="00954BE8"/>
    <w:rsid w:val="00954F82"/>
    <w:rsid w:val="00956953"/>
    <w:rsid w:val="00956C0E"/>
    <w:rsid w:val="0095724D"/>
    <w:rsid w:val="009575BC"/>
    <w:rsid w:val="00961F90"/>
    <w:rsid w:val="00962405"/>
    <w:rsid w:val="00964C8A"/>
    <w:rsid w:val="00964EF7"/>
    <w:rsid w:val="00964F74"/>
    <w:rsid w:val="009703D9"/>
    <w:rsid w:val="009735EA"/>
    <w:rsid w:val="00973D7E"/>
    <w:rsid w:val="00977F87"/>
    <w:rsid w:val="009826E6"/>
    <w:rsid w:val="009845E1"/>
    <w:rsid w:val="00984F08"/>
    <w:rsid w:val="00984FBA"/>
    <w:rsid w:val="00986DBB"/>
    <w:rsid w:val="009879AF"/>
    <w:rsid w:val="00991625"/>
    <w:rsid w:val="0099414C"/>
    <w:rsid w:val="00994DCD"/>
    <w:rsid w:val="0099577D"/>
    <w:rsid w:val="00995D7D"/>
    <w:rsid w:val="00996149"/>
    <w:rsid w:val="00996C1B"/>
    <w:rsid w:val="009A1575"/>
    <w:rsid w:val="009A33F9"/>
    <w:rsid w:val="009A5AA0"/>
    <w:rsid w:val="009A5BC3"/>
    <w:rsid w:val="009A5E5B"/>
    <w:rsid w:val="009A67CD"/>
    <w:rsid w:val="009A7595"/>
    <w:rsid w:val="009B38E6"/>
    <w:rsid w:val="009B43CA"/>
    <w:rsid w:val="009B44AE"/>
    <w:rsid w:val="009B53F2"/>
    <w:rsid w:val="009B5BCD"/>
    <w:rsid w:val="009B67E5"/>
    <w:rsid w:val="009C494D"/>
    <w:rsid w:val="009C5843"/>
    <w:rsid w:val="009C6FB2"/>
    <w:rsid w:val="009C7B29"/>
    <w:rsid w:val="009C7B80"/>
    <w:rsid w:val="009D27F3"/>
    <w:rsid w:val="009D301E"/>
    <w:rsid w:val="009D5557"/>
    <w:rsid w:val="009D57EA"/>
    <w:rsid w:val="009E0E0A"/>
    <w:rsid w:val="009E2A55"/>
    <w:rsid w:val="009E4469"/>
    <w:rsid w:val="009E4520"/>
    <w:rsid w:val="009E6AD7"/>
    <w:rsid w:val="009E7152"/>
    <w:rsid w:val="009F068F"/>
    <w:rsid w:val="009F1B08"/>
    <w:rsid w:val="009F1F4A"/>
    <w:rsid w:val="009F3080"/>
    <w:rsid w:val="009F5737"/>
    <w:rsid w:val="009F5DE0"/>
    <w:rsid w:val="009F5F64"/>
    <w:rsid w:val="00A025A3"/>
    <w:rsid w:val="00A04AA9"/>
    <w:rsid w:val="00A0717E"/>
    <w:rsid w:val="00A11825"/>
    <w:rsid w:val="00A11FC7"/>
    <w:rsid w:val="00A138AF"/>
    <w:rsid w:val="00A139CB"/>
    <w:rsid w:val="00A14C56"/>
    <w:rsid w:val="00A17454"/>
    <w:rsid w:val="00A20681"/>
    <w:rsid w:val="00A221A5"/>
    <w:rsid w:val="00A22B84"/>
    <w:rsid w:val="00A22CF6"/>
    <w:rsid w:val="00A23C2C"/>
    <w:rsid w:val="00A23C42"/>
    <w:rsid w:val="00A245D6"/>
    <w:rsid w:val="00A25B6E"/>
    <w:rsid w:val="00A31D6C"/>
    <w:rsid w:val="00A32AC3"/>
    <w:rsid w:val="00A34F93"/>
    <w:rsid w:val="00A401A2"/>
    <w:rsid w:val="00A41FF1"/>
    <w:rsid w:val="00A447E4"/>
    <w:rsid w:val="00A45D3A"/>
    <w:rsid w:val="00A50E1F"/>
    <w:rsid w:val="00A52B36"/>
    <w:rsid w:val="00A535FC"/>
    <w:rsid w:val="00A54461"/>
    <w:rsid w:val="00A55BF5"/>
    <w:rsid w:val="00A5617D"/>
    <w:rsid w:val="00A5768A"/>
    <w:rsid w:val="00A6034E"/>
    <w:rsid w:val="00A607C1"/>
    <w:rsid w:val="00A61C60"/>
    <w:rsid w:val="00A61EBE"/>
    <w:rsid w:val="00A62193"/>
    <w:rsid w:val="00A641B3"/>
    <w:rsid w:val="00A6453A"/>
    <w:rsid w:val="00A65765"/>
    <w:rsid w:val="00A66B12"/>
    <w:rsid w:val="00A71F3A"/>
    <w:rsid w:val="00A73D45"/>
    <w:rsid w:val="00A740C9"/>
    <w:rsid w:val="00A76E7E"/>
    <w:rsid w:val="00A8175B"/>
    <w:rsid w:val="00A81A79"/>
    <w:rsid w:val="00A81F00"/>
    <w:rsid w:val="00A845A6"/>
    <w:rsid w:val="00A85349"/>
    <w:rsid w:val="00A85755"/>
    <w:rsid w:val="00A87268"/>
    <w:rsid w:val="00A937D7"/>
    <w:rsid w:val="00A95682"/>
    <w:rsid w:val="00A972BA"/>
    <w:rsid w:val="00AA0A16"/>
    <w:rsid w:val="00AA3426"/>
    <w:rsid w:val="00AA3CB8"/>
    <w:rsid w:val="00AA51EF"/>
    <w:rsid w:val="00AA5C32"/>
    <w:rsid w:val="00AB1BC0"/>
    <w:rsid w:val="00AB1FAF"/>
    <w:rsid w:val="00AB435F"/>
    <w:rsid w:val="00AB45D7"/>
    <w:rsid w:val="00AB5DA4"/>
    <w:rsid w:val="00AC0E5E"/>
    <w:rsid w:val="00AC1897"/>
    <w:rsid w:val="00AC1DB3"/>
    <w:rsid w:val="00AC2437"/>
    <w:rsid w:val="00AC2499"/>
    <w:rsid w:val="00AC2D91"/>
    <w:rsid w:val="00AC59BE"/>
    <w:rsid w:val="00AD03EC"/>
    <w:rsid w:val="00AD13C4"/>
    <w:rsid w:val="00AD1417"/>
    <w:rsid w:val="00AE0C31"/>
    <w:rsid w:val="00AE0E82"/>
    <w:rsid w:val="00AE2117"/>
    <w:rsid w:val="00AE3766"/>
    <w:rsid w:val="00AE4076"/>
    <w:rsid w:val="00AF073D"/>
    <w:rsid w:val="00AF1044"/>
    <w:rsid w:val="00AF2EB2"/>
    <w:rsid w:val="00AF3B48"/>
    <w:rsid w:val="00AF464D"/>
    <w:rsid w:val="00AF70AD"/>
    <w:rsid w:val="00B0286D"/>
    <w:rsid w:val="00B02F5B"/>
    <w:rsid w:val="00B06B2E"/>
    <w:rsid w:val="00B06E8A"/>
    <w:rsid w:val="00B1013C"/>
    <w:rsid w:val="00B11532"/>
    <w:rsid w:val="00B12444"/>
    <w:rsid w:val="00B128CF"/>
    <w:rsid w:val="00B13A20"/>
    <w:rsid w:val="00B13E97"/>
    <w:rsid w:val="00B14F6A"/>
    <w:rsid w:val="00B15B38"/>
    <w:rsid w:val="00B15C17"/>
    <w:rsid w:val="00B165E6"/>
    <w:rsid w:val="00B168F1"/>
    <w:rsid w:val="00B224CD"/>
    <w:rsid w:val="00B225EF"/>
    <w:rsid w:val="00B22F17"/>
    <w:rsid w:val="00B238A2"/>
    <w:rsid w:val="00B23A7B"/>
    <w:rsid w:val="00B2553E"/>
    <w:rsid w:val="00B25F8C"/>
    <w:rsid w:val="00B26E1A"/>
    <w:rsid w:val="00B30FCC"/>
    <w:rsid w:val="00B32378"/>
    <w:rsid w:val="00B3369F"/>
    <w:rsid w:val="00B33B1A"/>
    <w:rsid w:val="00B36BAF"/>
    <w:rsid w:val="00B376CD"/>
    <w:rsid w:val="00B4157A"/>
    <w:rsid w:val="00B41875"/>
    <w:rsid w:val="00B419F0"/>
    <w:rsid w:val="00B41E54"/>
    <w:rsid w:val="00B42148"/>
    <w:rsid w:val="00B43F1D"/>
    <w:rsid w:val="00B47A81"/>
    <w:rsid w:val="00B5185F"/>
    <w:rsid w:val="00B51A41"/>
    <w:rsid w:val="00B51CE7"/>
    <w:rsid w:val="00B55AB3"/>
    <w:rsid w:val="00B56DBF"/>
    <w:rsid w:val="00B5772B"/>
    <w:rsid w:val="00B64BA6"/>
    <w:rsid w:val="00B65392"/>
    <w:rsid w:val="00B653E2"/>
    <w:rsid w:val="00B65565"/>
    <w:rsid w:val="00B67D21"/>
    <w:rsid w:val="00B71898"/>
    <w:rsid w:val="00B73603"/>
    <w:rsid w:val="00B74C2B"/>
    <w:rsid w:val="00B77F28"/>
    <w:rsid w:val="00B806CB"/>
    <w:rsid w:val="00B81842"/>
    <w:rsid w:val="00B82C8B"/>
    <w:rsid w:val="00B84503"/>
    <w:rsid w:val="00B9108C"/>
    <w:rsid w:val="00B937BD"/>
    <w:rsid w:val="00B93AC6"/>
    <w:rsid w:val="00B94CD9"/>
    <w:rsid w:val="00B95C19"/>
    <w:rsid w:val="00B96848"/>
    <w:rsid w:val="00BA0D31"/>
    <w:rsid w:val="00BA0DFE"/>
    <w:rsid w:val="00BA3266"/>
    <w:rsid w:val="00BA4E3E"/>
    <w:rsid w:val="00BA7AE4"/>
    <w:rsid w:val="00BB2310"/>
    <w:rsid w:val="00BB42EF"/>
    <w:rsid w:val="00BB478C"/>
    <w:rsid w:val="00BB4D94"/>
    <w:rsid w:val="00BB6424"/>
    <w:rsid w:val="00BB7CDE"/>
    <w:rsid w:val="00BB7D3C"/>
    <w:rsid w:val="00BC0348"/>
    <w:rsid w:val="00BC102E"/>
    <w:rsid w:val="00BC16B5"/>
    <w:rsid w:val="00BC1B7D"/>
    <w:rsid w:val="00BC2728"/>
    <w:rsid w:val="00BC4869"/>
    <w:rsid w:val="00BC56B2"/>
    <w:rsid w:val="00BC789D"/>
    <w:rsid w:val="00BC7902"/>
    <w:rsid w:val="00BD0014"/>
    <w:rsid w:val="00BD05C1"/>
    <w:rsid w:val="00BD3107"/>
    <w:rsid w:val="00BD62A0"/>
    <w:rsid w:val="00BD631D"/>
    <w:rsid w:val="00BE1177"/>
    <w:rsid w:val="00BE1528"/>
    <w:rsid w:val="00BE3340"/>
    <w:rsid w:val="00BE4372"/>
    <w:rsid w:val="00BE44B8"/>
    <w:rsid w:val="00BE5D99"/>
    <w:rsid w:val="00BE6D1B"/>
    <w:rsid w:val="00BE737E"/>
    <w:rsid w:val="00BE74CD"/>
    <w:rsid w:val="00BF0FC1"/>
    <w:rsid w:val="00BF4596"/>
    <w:rsid w:val="00BF515A"/>
    <w:rsid w:val="00BF63D3"/>
    <w:rsid w:val="00C01040"/>
    <w:rsid w:val="00C01325"/>
    <w:rsid w:val="00C018DF"/>
    <w:rsid w:val="00C042ED"/>
    <w:rsid w:val="00C04D18"/>
    <w:rsid w:val="00C06449"/>
    <w:rsid w:val="00C11CEE"/>
    <w:rsid w:val="00C136E7"/>
    <w:rsid w:val="00C138D3"/>
    <w:rsid w:val="00C142A6"/>
    <w:rsid w:val="00C160A4"/>
    <w:rsid w:val="00C22A5A"/>
    <w:rsid w:val="00C23041"/>
    <w:rsid w:val="00C26A7A"/>
    <w:rsid w:val="00C26F5B"/>
    <w:rsid w:val="00C33E23"/>
    <w:rsid w:val="00C33FF7"/>
    <w:rsid w:val="00C343C4"/>
    <w:rsid w:val="00C34848"/>
    <w:rsid w:val="00C34D53"/>
    <w:rsid w:val="00C37348"/>
    <w:rsid w:val="00C40566"/>
    <w:rsid w:val="00C40617"/>
    <w:rsid w:val="00C42543"/>
    <w:rsid w:val="00C43491"/>
    <w:rsid w:val="00C448E4"/>
    <w:rsid w:val="00C459BF"/>
    <w:rsid w:val="00C45B16"/>
    <w:rsid w:val="00C501AC"/>
    <w:rsid w:val="00C5043D"/>
    <w:rsid w:val="00C526DF"/>
    <w:rsid w:val="00C60318"/>
    <w:rsid w:val="00C613B0"/>
    <w:rsid w:val="00C62827"/>
    <w:rsid w:val="00C64873"/>
    <w:rsid w:val="00C66BF6"/>
    <w:rsid w:val="00C6797B"/>
    <w:rsid w:val="00C71537"/>
    <w:rsid w:val="00C71FE8"/>
    <w:rsid w:val="00C75DB2"/>
    <w:rsid w:val="00C75EAA"/>
    <w:rsid w:val="00C76F45"/>
    <w:rsid w:val="00C806F7"/>
    <w:rsid w:val="00C80F32"/>
    <w:rsid w:val="00C824DA"/>
    <w:rsid w:val="00C83D22"/>
    <w:rsid w:val="00C9039F"/>
    <w:rsid w:val="00C904EB"/>
    <w:rsid w:val="00C9065C"/>
    <w:rsid w:val="00C90B62"/>
    <w:rsid w:val="00C914C5"/>
    <w:rsid w:val="00C9161D"/>
    <w:rsid w:val="00C91DD8"/>
    <w:rsid w:val="00C92220"/>
    <w:rsid w:val="00C92665"/>
    <w:rsid w:val="00C92940"/>
    <w:rsid w:val="00C96403"/>
    <w:rsid w:val="00C9650B"/>
    <w:rsid w:val="00CA0250"/>
    <w:rsid w:val="00CA38A1"/>
    <w:rsid w:val="00CA4CCB"/>
    <w:rsid w:val="00CA5053"/>
    <w:rsid w:val="00CA69C8"/>
    <w:rsid w:val="00CB35D5"/>
    <w:rsid w:val="00CB4430"/>
    <w:rsid w:val="00CB5F6D"/>
    <w:rsid w:val="00CB614A"/>
    <w:rsid w:val="00CB7E1F"/>
    <w:rsid w:val="00CC0C7A"/>
    <w:rsid w:val="00CC0D9B"/>
    <w:rsid w:val="00CC1092"/>
    <w:rsid w:val="00CC2B54"/>
    <w:rsid w:val="00CC3BB3"/>
    <w:rsid w:val="00CC4855"/>
    <w:rsid w:val="00CC71BE"/>
    <w:rsid w:val="00CC7248"/>
    <w:rsid w:val="00CD286F"/>
    <w:rsid w:val="00CD3F54"/>
    <w:rsid w:val="00CD4858"/>
    <w:rsid w:val="00CE49C9"/>
    <w:rsid w:val="00CE7A31"/>
    <w:rsid w:val="00CF05EF"/>
    <w:rsid w:val="00CF1848"/>
    <w:rsid w:val="00CF27DA"/>
    <w:rsid w:val="00CF3F9B"/>
    <w:rsid w:val="00CF60DC"/>
    <w:rsid w:val="00CF6480"/>
    <w:rsid w:val="00CF6A7C"/>
    <w:rsid w:val="00CF78AE"/>
    <w:rsid w:val="00D029BF"/>
    <w:rsid w:val="00D04306"/>
    <w:rsid w:val="00D1239E"/>
    <w:rsid w:val="00D130F6"/>
    <w:rsid w:val="00D1343C"/>
    <w:rsid w:val="00D14364"/>
    <w:rsid w:val="00D14FD5"/>
    <w:rsid w:val="00D153D7"/>
    <w:rsid w:val="00D17131"/>
    <w:rsid w:val="00D17D28"/>
    <w:rsid w:val="00D17FB3"/>
    <w:rsid w:val="00D20376"/>
    <w:rsid w:val="00D206EC"/>
    <w:rsid w:val="00D232F5"/>
    <w:rsid w:val="00D25343"/>
    <w:rsid w:val="00D264B1"/>
    <w:rsid w:val="00D26E95"/>
    <w:rsid w:val="00D26EE7"/>
    <w:rsid w:val="00D27DBB"/>
    <w:rsid w:val="00D3092A"/>
    <w:rsid w:val="00D335FE"/>
    <w:rsid w:val="00D3488F"/>
    <w:rsid w:val="00D371CE"/>
    <w:rsid w:val="00D416BE"/>
    <w:rsid w:val="00D41F59"/>
    <w:rsid w:val="00D42981"/>
    <w:rsid w:val="00D42C4A"/>
    <w:rsid w:val="00D44BFF"/>
    <w:rsid w:val="00D45442"/>
    <w:rsid w:val="00D466A9"/>
    <w:rsid w:val="00D50009"/>
    <w:rsid w:val="00D51265"/>
    <w:rsid w:val="00D52921"/>
    <w:rsid w:val="00D56285"/>
    <w:rsid w:val="00D5677E"/>
    <w:rsid w:val="00D57154"/>
    <w:rsid w:val="00D574D8"/>
    <w:rsid w:val="00D6165B"/>
    <w:rsid w:val="00D6175D"/>
    <w:rsid w:val="00D628E8"/>
    <w:rsid w:val="00D6405B"/>
    <w:rsid w:val="00D64198"/>
    <w:rsid w:val="00D64CA1"/>
    <w:rsid w:val="00D64CEE"/>
    <w:rsid w:val="00D66C71"/>
    <w:rsid w:val="00D708D6"/>
    <w:rsid w:val="00D71748"/>
    <w:rsid w:val="00D7242F"/>
    <w:rsid w:val="00D730ED"/>
    <w:rsid w:val="00D733AD"/>
    <w:rsid w:val="00D73DE2"/>
    <w:rsid w:val="00D755A4"/>
    <w:rsid w:val="00D76429"/>
    <w:rsid w:val="00D76A18"/>
    <w:rsid w:val="00D826C3"/>
    <w:rsid w:val="00D83235"/>
    <w:rsid w:val="00D8636D"/>
    <w:rsid w:val="00D86E1F"/>
    <w:rsid w:val="00D9089A"/>
    <w:rsid w:val="00D912AF"/>
    <w:rsid w:val="00D929A8"/>
    <w:rsid w:val="00D93810"/>
    <w:rsid w:val="00D954CE"/>
    <w:rsid w:val="00D960DF"/>
    <w:rsid w:val="00DA125F"/>
    <w:rsid w:val="00DA2AF4"/>
    <w:rsid w:val="00DA433B"/>
    <w:rsid w:val="00DA585E"/>
    <w:rsid w:val="00DA60FD"/>
    <w:rsid w:val="00DA6592"/>
    <w:rsid w:val="00DB0731"/>
    <w:rsid w:val="00DB0946"/>
    <w:rsid w:val="00DB17DE"/>
    <w:rsid w:val="00DB3C94"/>
    <w:rsid w:val="00DB4096"/>
    <w:rsid w:val="00DB6E65"/>
    <w:rsid w:val="00DB7653"/>
    <w:rsid w:val="00DB775F"/>
    <w:rsid w:val="00DC00D5"/>
    <w:rsid w:val="00DC1C59"/>
    <w:rsid w:val="00DC25DA"/>
    <w:rsid w:val="00DC3CF2"/>
    <w:rsid w:val="00DD118C"/>
    <w:rsid w:val="00DD336A"/>
    <w:rsid w:val="00DD3697"/>
    <w:rsid w:val="00DE0A8A"/>
    <w:rsid w:val="00DE0F3D"/>
    <w:rsid w:val="00DF079C"/>
    <w:rsid w:val="00DF187C"/>
    <w:rsid w:val="00DF233B"/>
    <w:rsid w:val="00DF4A91"/>
    <w:rsid w:val="00DF6426"/>
    <w:rsid w:val="00DF7B07"/>
    <w:rsid w:val="00E0060B"/>
    <w:rsid w:val="00E00733"/>
    <w:rsid w:val="00E04A69"/>
    <w:rsid w:val="00E06FD2"/>
    <w:rsid w:val="00E07A2F"/>
    <w:rsid w:val="00E07C84"/>
    <w:rsid w:val="00E07F67"/>
    <w:rsid w:val="00E1292F"/>
    <w:rsid w:val="00E15BC5"/>
    <w:rsid w:val="00E16367"/>
    <w:rsid w:val="00E16CE9"/>
    <w:rsid w:val="00E1780E"/>
    <w:rsid w:val="00E2153E"/>
    <w:rsid w:val="00E3030C"/>
    <w:rsid w:val="00E333DD"/>
    <w:rsid w:val="00E3374B"/>
    <w:rsid w:val="00E3398D"/>
    <w:rsid w:val="00E3445D"/>
    <w:rsid w:val="00E34D54"/>
    <w:rsid w:val="00E35AA1"/>
    <w:rsid w:val="00E37234"/>
    <w:rsid w:val="00E40AC5"/>
    <w:rsid w:val="00E44D2B"/>
    <w:rsid w:val="00E45145"/>
    <w:rsid w:val="00E465C7"/>
    <w:rsid w:val="00E46730"/>
    <w:rsid w:val="00E4736A"/>
    <w:rsid w:val="00E50D65"/>
    <w:rsid w:val="00E52286"/>
    <w:rsid w:val="00E53D5D"/>
    <w:rsid w:val="00E5462E"/>
    <w:rsid w:val="00E575A4"/>
    <w:rsid w:val="00E61CFB"/>
    <w:rsid w:val="00E6246D"/>
    <w:rsid w:val="00E64168"/>
    <w:rsid w:val="00E6427D"/>
    <w:rsid w:val="00E66235"/>
    <w:rsid w:val="00E7067D"/>
    <w:rsid w:val="00E70816"/>
    <w:rsid w:val="00E72DFA"/>
    <w:rsid w:val="00E73EC4"/>
    <w:rsid w:val="00E7571D"/>
    <w:rsid w:val="00E75FD9"/>
    <w:rsid w:val="00E802EE"/>
    <w:rsid w:val="00E825E9"/>
    <w:rsid w:val="00E83061"/>
    <w:rsid w:val="00E83C24"/>
    <w:rsid w:val="00E85B9D"/>
    <w:rsid w:val="00E87E64"/>
    <w:rsid w:val="00E93014"/>
    <w:rsid w:val="00E9357E"/>
    <w:rsid w:val="00E939D5"/>
    <w:rsid w:val="00E93BBB"/>
    <w:rsid w:val="00E93BE4"/>
    <w:rsid w:val="00E958BC"/>
    <w:rsid w:val="00E96164"/>
    <w:rsid w:val="00E96318"/>
    <w:rsid w:val="00EA158A"/>
    <w:rsid w:val="00EA3454"/>
    <w:rsid w:val="00EA440D"/>
    <w:rsid w:val="00EA4A83"/>
    <w:rsid w:val="00EA651E"/>
    <w:rsid w:val="00EA6E4A"/>
    <w:rsid w:val="00EB198C"/>
    <w:rsid w:val="00EB4FB9"/>
    <w:rsid w:val="00EB6AC4"/>
    <w:rsid w:val="00EB71B5"/>
    <w:rsid w:val="00EC1596"/>
    <w:rsid w:val="00EC52A1"/>
    <w:rsid w:val="00ED0B16"/>
    <w:rsid w:val="00ED3266"/>
    <w:rsid w:val="00ED40DB"/>
    <w:rsid w:val="00ED5282"/>
    <w:rsid w:val="00ED59F4"/>
    <w:rsid w:val="00ED7078"/>
    <w:rsid w:val="00ED783C"/>
    <w:rsid w:val="00EE1719"/>
    <w:rsid w:val="00EE1A7B"/>
    <w:rsid w:val="00EE3337"/>
    <w:rsid w:val="00EE51B7"/>
    <w:rsid w:val="00EE67CA"/>
    <w:rsid w:val="00EF34F3"/>
    <w:rsid w:val="00F01B01"/>
    <w:rsid w:val="00F05C86"/>
    <w:rsid w:val="00F0721E"/>
    <w:rsid w:val="00F07382"/>
    <w:rsid w:val="00F07DBC"/>
    <w:rsid w:val="00F10562"/>
    <w:rsid w:val="00F1059F"/>
    <w:rsid w:val="00F10B30"/>
    <w:rsid w:val="00F110FC"/>
    <w:rsid w:val="00F1331A"/>
    <w:rsid w:val="00F1580C"/>
    <w:rsid w:val="00F15A67"/>
    <w:rsid w:val="00F17548"/>
    <w:rsid w:val="00F22427"/>
    <w:rsid w:val="00F22F54"/>
    <w:rsid w:val="00F27ED6"/>
    <w:rsid w:val="00F308C2"/>
    <w:rsid w:val="00F318DB"/>
    <w:rsid w:val="00F31F7F"/>
    <w:rsid w:val="00F363A8"/>
    <w:rsid w:val="00F37B66"/>
    <w:rsid w:val="00F400F5"/>
    <w:rsid w:val="00F408B6"/>
    <w:rsid w:val="00F40C2E"/>
    <w:rsid w:val="00F41D08"/>
    <w:rsid w:val="00F42519"/>
    <w:rsid w:val="00F42BBB"/>
    <w:rsid w:val="00F4317B"/>
    <w:rsid w:val="00F43AAC"/>
    <w:rsid w:val="00F4458C"/>
    <w:rsid w:val="00F45BF1"/>
    <w:rsid w:val="00F50979"/>
    <w:rsid w:val="00F50B92"/>
    <w:rsid w:val="00F5167E"/>
    <w:rsid w:val="00F52DE0"/>
    <w:rsid w:val="00F53278"/>
    <w:rsid w:val="00F53938"/>
    <w:rsid w:val="00F540E0"/>
    <w:rsid w:val="00F56D98"/>
    <w:rsid w:val="00F65DCA"/>
    <w:rsid w:val="00F6610E"/>
    <w:rsid w:val="00F66FA1"/>
    <w:rsid w:val="00F7050E"/>
    <w:rsid w:val="00F721C1"/>
    <w:rsid w:val="00F732E4"/>
    <w:rsid w:val="00F738D6"/>
    <w:rsid w:val="00F7561F"/>
    <w:rsid w:val="00F7694C"/>
    <w:rsid w:val="00F80CF6"/>
    <w:rsid w:val="00F81307"/>
    <w:rsid w:val="00F8586B"/>
    <w:rsid w:val="00F85DFB"/>
    <w:rsid w:val="00F86B03"/>
    <w:rsid w:val="00F91D6D"/>
    <w:rsid w:val="00F92CD3"/>
    <w:rsid w:val="00F94774"/>
    <w:rsid w:val="00F94E2B"/>
    <w:rsid w:val="00F95BC8"/>
    <w:rsid w:val="00F97D4B"/>
    <w:rsid w:val="00FA046A"/>
    <w:rsid w:val="00FA0768"/>
    <w:rsid w:val="00FA0CAB"/>
    <w:rsid w:val="00FA1E77"/>
    <w:rsid w:val="00FA5102"/>
    <w:rsid w:val="00FA6047"/>
    <w:rsid w:val="00FA7560"/>
    <w:rsid w:val="00FB0439"/>
    <w:rsid w:val="00FB07F8"/>
    <w:rsid w:val="00FB0A56"/>
    <w:rsid w:val="00FC07FE"/>
    <w:rsid w:val="00FC19BB"/>
    <w:rsid w:val="00FC1BEB"/>
    <w:rsid w:val="00FC2139"/>
    <w:rsid w:val="00FC53DB"/>
    <w:rsid w:val="00FC54EC"/>
    <w:rsid w:val="00FC5A11"/>
    <w:rsid w:val="00FC5A84"/>
    <w:rsid w:val="00FC6131"/>
    <w:rsid w:val="00FD09EF"/>
    <w:rsid w:val="00FD1DC5"/>
    <w:rsid w:val="00FD2BB2"/>
    <w:rsid w:val="00FD2D61"/>
    <w:rsid w:val="00FD4096"/>
    <w:rsid w:val="00FD504D"/>
    <w:rsid w:val="00FD52B1"/>
    <w:rsid w:val="00FD7E9B"/>
    <w:rsid w:val="00FD7F1C"/>
    <w:rsid w:val="00FE226E"/>
    <w:rsid w:val="00FE242F"/>
    <w:rsid w:val="00FE349C"/>
    <w:rsid w:val="00FE3840"/>
    <w:rsid w:val="00FE5B07"/>
    <w:rsid w:val="00FE6AF5"/>
    <w:rsid w:val="00FF1342"/>
    <w:rsid w:val="00FF49E7"/>
    <w:rsid w:val="00FF79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5EDAF"/>
  <w15:docId w15:val="{943567ED-7475-4B84-BDE2-F17C14F7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har"/>
    <w:basedOn w:val="Normal"/>
    <w:link w:val="BodyTextChar"/>
    <w:rsid w:val="007E09DA"/>
    <w:pPr>
      <w:spacing w:before="120" w:after="120"/>
      <w:ind w:firstLine="720"/>
    </w:pPr>
    <w:rPr>
      <w:iCs/>
    </w:rPr>
  </w:style>
  <w:style w:type="character" w:customStyle="1" w:styleId="BodyTextChar">
    <w:name w:val="Body Text Char"/>
    <w:aliases w:val=" Ch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CommentSubject">
    <w:name w:val="annotation subject"/>
    <w:basedOn w:val="CommentText"/>
    <w:next w:val="CommentText"/>
    <w:link w:val="CommentSubjectChar"/>
    <w:uiPriority w:val="99"/>
    <w:unhideWhenUsed/>
    <w:rsid w:val="00B23A7B"/>
    <w:pPr>
      <w:spacing w:after="0" w:line="240" w:lineRule="auto"/>
    </w:pPr>
    <w:rPr>
      <w:b/>
      <w:bCs/>
      <w:sz w:val="20"/>
      <w:szCs w:val="20"/>
    </w:rPr>
  </w:style>
  <w:style w:type="character" w:customStyle="1" w:styleId="CommentSubjectChar">
    <w:name w:val="Comment Subject Char"/>
    <w:basedOn w:val="CommentTextChar"/>
    <w:link w:val="CommentSubject"/>
    <w:uiPriority w:val="99"/>
    <w:rsid w:val="00B23A7B"/>
    <w:rPr>
      <w:rFonts w:ascii="Times New Roman" w:eastAsia="Times New Roman" w:hAnsi="Times New Roman" w:cs="Times New Roman"/>
      <w:b/>
      <w:bCs/>
      <w:sz w:val="20"/>
      <w:szCs w:val="20"/>
      <w:lang w:val="en-GB"/>
    </w:rPr>
  </w:style>
  <w:style w:type="paragraph" w:customStyle="1" w:styleId="Document1">
    <w:name w:val="Document 1"/>
    <w:basedOn w:val="Normal"/>
    <w:next w:val="Normal"/>
    <w:rsid w:val="003B71B5"/>
    <w:pPr>
      <w:suppressAutoHyphens/>
      <w:spacing w:after="120" w:line="240" w:lineRule="exact"/>
      <w:jc w:val="left"/>
    </w:pPr>
    <w:rPr>
      <w:sz w:val="24"/>
      <w:lang w:val="en-CA" w:eastAsia="ja-JP"/>
    </w:rPr>
  </w:style>
  <w:style w:type="paragraph" w:styleId="BodyText2">
    <w:name w:val="Body Text 2"/>
    <w:basedOn w:val="Normal"/>
    <w:link w:val="BodyText2Char"/>
    <w:rsid w:val="003B71B5"/>
    <w:pPr>
      <w:tabs>
        <w:tab w:val="left" w:pos="-1440"/>
        <w:tab w:val="left" w:pos="-720"/>
        <w:tab w:val="left" w:pos="0"/>
        <w:tab w:val="left" w:pos="720"/>
        <w:tab w:val="right" w:pos="1080"/>
        <w:tab w:val="left" w:pos="1440"/>
      </w:tabs>
      <w:suppressAutoHyphens/>
      <w:spacing w:after="120" w:line="288" w:lineRule="auto"/>
      <w:ind w:left="2160" w:hanging="2160"/>
      <w:jc w:val="left"/>
    </w:pPr>
    <w:rPr>
      <w:sz w:val="24"/>
      <w:lang w:val="en-CA" w:eastAsia="ja-JP"/>
    </w:rPr>
  </w:style>
  <w:style w:type="character" w:customStyle="1" w:styleId="BodyText2Char">
    <w:name w:val="Body Text 2 Char"/>
    <w:basedOn w:val="DefaultParagraphFont"/>
    <w:link w:val="BodyText2"/>
    <w:rsid w:val="003B71B5"/>
    <w:rPr>
      <w:rFonts w:ascii="Times New Roman" w:eastAsia="Times New Roman" w:hAnsi="Times New Roman" w:cs="Times New Roman"/>
      <w:lang w:val="en-CA" w:eastAsia="ja-JP"/>
    </w:rPr>
  </w:style>
  <w:style w:type="paragraph" w:styleId="Caption">
    <w:name w:val="caption"/>
    <w:basedOn w:val="Normal"/>
    <w:next w:val="Normal"/>
    <w:qFormat/>
    <w:rsid w:val="003B71B5"/>
    <w:pPr>
      <w:jc w:val="left"/>
    </w:pPr>
    <w:rPr>
      <w:sz w:val="24"/>
      <w:u w:val="single"/>
      <w:lang w:val="en-CA" w:eastAsia="ja-JP"/>
    </w:rPr>
  </w:style>
  <w:style w:type="paragraph" w:customStyle="1" w:styleId="Heading2-center">
    <w:name w:val="Heading 2-center"/>
    <w:basedOn w:val="Heading2"/>
    <w:rsid w:val="003B71B5"/>
    <w:pPr>
      <w:outlineLvl w:val="9"/>
    </w:pPr>
    <w:rPr>
      <w:iCs w:val="0"/>
      <w:caps/>
      <w:lang w:val="en-CA" w:eastAsia="ja-JP"/>
    </w:rPr>
  </w:style>
  <w:style w:type="paragraph" w:styleId="BodyTextIndent3">
    <w:name w:val="Body Text Indent 3"/>
    <w:basedOn w:val="Normal"/>
    <w:link w:val="BodyTextIndent3Char"/>
    <w:rsid w:val="003B71B5"/>
    <w:pPr>
      <w:spacing w:before="120" w:after="120"/>
      <w:ind w:left="720" w:right="720"/>
      <w:jc w:val="left"/>
    </w:pPr>
    <w:rPr>
      <w:bCs/>
      <w:sz w:val="24"/>
      <w:lang w:val="en-CA" w:eastAsia="ja-JP"/>
    </w:rPr>
  </w:style>
  <w:style w:type="character" w:customStyle="1" w:styleId="BodyTextIndent3Char">
    <w:name w:val="Body Text Indent 3 Char"/>
    <w:basedOn w:val="DefaultParagraphFont"/>
    <w:link w:val="BodyTextIndent3"/>
    <w:rsid w:val="003B71B5"/>
    <w:rPr>
      <w:rFonts w:ascii="Times New Roman" w:eastAsia="Times New Roman" w:hAnsi="Times New Roman" w:cs="Times New Roman"/>
      <w:bCs/>
      <w:lang w:val="en-CA" w:eastAsia="ja-JP"/>
    </w:rPr>
  </w:style>
  <w:style w:type="paragraph" w:styleId="BodyText3">
    <w:name w:val="Body Text 3"/>
    <w:basedOn w:val="Normal"/>
    <w:link w:val="BodyText3Char"/>
    <w:rsid w:val="003B71B5"/>
    <w:pPr>
      <w:spacing w:before="120" w:after="120"/>
      <w:jc w:val="left"/>
    </w:pPr>
    <w:rPr>
      <w:sz w:val="24"/>
      <w:lang w:val="en-CA" w:eastAsia="ja-JP"/>
    </w:rPr>
  </w:style>
  <w:style w:type="character" w:customStyle="1" w:styleId="BodyText3Char">
    <w:name w:val="Body Text 3 Char"/>
    <w:basedOn w:val="DefaultParagraphFont"/>
    <w:link w:val="BodyText3"/>
    <w:rsid w:val="003B71B5"/>
    <w:rPr>
      <w:rFonts w:ascii="Times New Roman" w:eastAsia="Times New Roman" w:hAnsi="Times New Roman" w:cs="Times New Roman"/>
      <w:lang w:val="en-CA" w:eastAsia="ja-JP"/>
    </w:rPr>
  </w:style>
  <w:style w:type="paragraph" w:customStyle="1" w:styleId="Heading4">
    <w:name w:val="Heading4"/>
    <w:basedOn w:val="Normal"/>
    <w:rsid w:val="003B71B5"/>
    <w:pPr>
      <w:keepNext/>
      <w:numPr>
        <w:numId w:val="15"/>
      </w:numPr>
      <w:spacing w:before="120" w:after="120"/>
      <w:jc w:val="left"/>
    </w:pPr>
    <w:rPr>
      <w:i/>
      <w:iCs/>
      <w:sz w:val="24"/>
      <w:lang w:val="en-CA" w:eastAsia="ja-JP"/>
    </w:rPr>
  </w:style>
  <w:style w:type="character" w:customStyle="1" w:styleId="underline">
    <w:name w:val="underline"/>
    <w:rsid w:val="003B71B5"/>
    <w:rPr>
      <w:rFonts w:ascii="Courier" w:hAnsi="Courier"/>
      <w:sz w:val="20"/>
      <w:u w:val="single"/>
    </w:rPr>
  </w:style>
  <w:style w:type="paragraph" w:styleId="DocumentMap">
    <w:name w:val="Document Map"/>
    <w:basedOn w:val="Normal"/>
    <w:link w:val="DocumentMapChar"/>
    <w:semiHidden/>
    <w:rsid w:val="003B71B5"/>
    <w:pPr>
      <w:shd w:val="clear" w:color="auto" w:fill="000080"/>
      <w:jc w:val="left"/>
    </w:pPr>
    <w:rPr>
      <w:rFonts w:ascii="Tahoma" w:hAnsi="Tahoma" w:cs="Tahoma"/>
      <w:sz w:val="20"/>
      <w:szCs w:val="20"/>
      <w:lang w:val="en-CA" w:eastAsia="ja-JP"/>
    </w:rPr>
  </w:style>
  <w:style w:type="character" w:customStyle="1" w:styleId="DocumentMapChar">
    <w:name w:val="Document Map Char"/>
    <w:basedOn w:val="DefaultParagraphFont"/>
    <w:link w:val="DocumentMap"/>
    <w:semiHidden/>
    <w:rsid w:val="003B71B5"/>
    <w:rPr>
      <w:rFonts w:ascii="Tahoma" w:eastAsia="Times New Roman" w:hAnsi="Tahoma" w:cs="Tahoma"/>
      <w:sz w:val="20"/>
      <w:szCs w:val="20"/>
      <w:shd w:val="clear" w:color="auto" w:fill="000080"/>
      <w:lang w:val="en-CA" w:eastAsia="ja-JP"/>
    </w:rPr>
  </w:style>
  <w:style w:type="character" w:customStyle="1" w:styleId="Hyperlink1">
    <w:name w:val="Hyperlink1"/>
    <w:rsid w:val="003B71B5"/>
    <w:rPr>
      <w:color w:val="0000FF"/>
      <w:sz w:val="18"/>
      <w:u w:val="single"/>
    </w:rPr>
  </w:style>
  <w:style w:type="paragraph" w:styleId="NormalWeb">
    <w:name w:val="Normal (Web)"/>
    <w:basedOn w:val="Normal"/>
    <w:rsid w:val="003B71B5"/>
    <w:pPr>
      <w:spacing w:before="100" w:beforeAutospacing="1" w:after="100" w:afterAutospacing="1"/>
      <w:jc w:val="left"/>
    </w:pPr>
    <w:rPr>
      <w:rFonts w:ascii="Arial Unicode MS" w:eastAsia="Arial Unicode MS" w:hAnsi="Arial Unicode MS" w:cs="Arial Unicode MS"/>
      <w:color w:val="000000"/>
      <w:sz w:val="24"/>
      <w:lang w:val="en-CA" w:eastAsia="ja-JP"/>
    </w:rPr>
  </w:style>
  <w:style w:type="character" w:customStyle="1" w:styleId="BulletList">
    <w:name w:val="Bullet List"/>
    <w:rsid w:val="003B71B5"/>
  </w:style>
  <w:style w:type="paragraph" w:customStyle="1" w:styleId="FOOTNOTETEX">
    <w:name w:val="FOOTNOTE TEX"/>
    <w:rsid w:val="003B71B5"/>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3B71B5"/>
    <w:rPr>
      <w:rFonts w:ascii="Courier New" w:hAnsi="Courier New"/>
      <w:noProof w:val="0"/>
      <w:sz w:val="20"/>
      <w:vertAlign w:val="superscript"/>
      <w:lang w:val="en-US"/>
    </w:rPr>
  </w:style>
  <w:style w:type="paragraph" w:customStyle="1" w:styleId="Style1">
    <w:name w:val="Style1"/>
    <w:basedOn w:val="BodyText2"/>
    <w:rsid w:val="003B71B5"/>
    <w:pPr>
      <w:numPr>
        <w:ilvl w:val="1"/>
        <w:numId w:val="19"/>
      </w:numPr>
      <w:tabs>
        <w:tab w:val="clear" w:pos="-1440"/>
        <w:tab w:val="clear" w:pos="-720"/>
        <w:tab w:val="clear" w:pos="0"/>
        <w:tab w:val="clear" w:pos="720"/>
      </w:tabs>
      <w:suppressAutoHyphens w:val="0"/>
      <w:spacing w:before="120" w:line="240" w:lineRule="auto"/>
    </w:pPr>
    <w:rPr>
      <w:szCs w:val="20"/>
    </w:rPr>
  </w:style>
  <w:style w:type="paragraph" w:customStyle="1" w:styleId="subhead">
    <w:name w:val="subhead"/>
    <w:basedOn w:val="Normal"/>
    <w:next w:val="Para1"/>
    <w:rsid w:val="003B71B5"/>
    <w:pPr>
      <w:spacing w:before="120" w:after="120"/>
      <w:jc w:val="center"/>
    </w:pPr>
    <w:rPr>
      <w:i/>
      <w:sz w:val="24"/>
      <w:szCs w:val="20"/>
      <w:lang w:val="en-CA" w:eastAsia="ja-JP"/>
    </w:rPr>
  </w:style>
  <w:style w:type="paragraph" w:customStyle="1" w:styleId="Heading-plain">
    <w:name w:val="Heading-plain"/>
    <w:basedOn w:val="Normal"/>
    <w:rsid w:val="003B71B5"/>
    <w:pPr>
      <w:spacing w:before="120" w:after="120"/>
      <w:jc w:val="center"/>
      <w:outlineLvl w:val="0"/>
    </w:pPr>
    <w:rPr>
      <w:i/>
      <w:iCs/>
      <w:sz w:val="24"/>
      <w:lang w:val="en-CA" w:eastAsia="ja-JP"/>
    </w:rPr>
  </w:style>
  <w:style w:type="paragraph" w:customStyle="1" w:styleId="Activity">
    <w:name w:val="Activity"/>
    <w:basedOn w:val="Para1"/>
    <w:rsid w:val="003B71B5"/>
    <w:pPr>
      <w:numPr>
        <w:numId w:val="0"/>
      </w:numPr>
      <w:autoSpaceDE w:val="0"/>
      <w:autoSpaceDN w:val="0"/>
      <w:ind w:firstLine="720"/>
      <w:jc w:val="left"/>
    </w:pPr>
    <w:rPr>
      <w:b/>
      <w:bCs/>
      <w:snapToGrid/>
      <w:sz w:val="24"/>
      <w:lang w:val="en-CA" w:eastAsia="ja-JP"/>
    </w:rPr>
  </w:style>
  <w:style w:type="paragraph" w:customStyle="1" w:styleId="bodytextnoindent">
    <w:name w:val="body text (no indent)"/>
    <w:basedOn w:val="Normal"/>
    <w:rsid w:val="003B71B5"/>
    <w:pPr>
      <w:spacing w:before="120" w:after="120"/>
      <w:jc w:val="left"/>
    </w:pPr>
    <w:rPr>
      <w:sz w:val="24"/>
      <w:lang w:val="en-CA" w:eastAsia="ja-JP"/>
    </w:rPr>
  </w:style>
  <w:style w:type="paragraph" w:styleId="BodyTextIndent2">
    <w:name w:val="Body Text Indent 2"/>
    <w:basedOn w:val="Normal"/>
    <w:link w:val="BodyTextIndent2Char"/>
    <w:rsid w:val="003B71B5"/>
    <w:pPr>
      <w:ind w:left="720"/>
      <w:jc w:val="left"/>
    </w:pPr>
    <w:rPr>
      <w:sz w:val="24"/>
      <w:lang w:val="en-CA" w:eastAsia="ja-JP"/>
    </w:rPr>
  </w:style>
  <w:style w:type="character" w:customStyle="1" w:styleId="BodyTextIndent2Char">
    <w:name w:val="Body Text Indent 2 Char"/>
    <w:basedOn w:val="DefaultParagraphFont"/>
    <w:link w:val="BodyTextIndent2"/>
    <w:rsid w:val="003B71B5"/>
    <w:rPr>
      <w:rFonts w:ascii="Times New Roman" w:eastAsia="Times New Roman" w:hAnsi="Times New Roman" w:cs="Times New Roman"/>
      <w:lang w:val="en-CA" w:eastAsia="ja-JP"/>
    </w:rPr>
  </w:style>
  <w:style w:type="paragraph" w:customStyle="1" w:styleId="Diagram">
    <w:name w:val="Diagram"/>
    <w:basedOn w:val="Normal"/>
    <w:rsid w:val="003B71B5"/>
    <w:pPr>
      <w:spacing w:before="120" w:after="120"/>
      <w:jc w:val="left"/>
    </w:pPr>
    <w:rPr>
      <w:b/>
      <w:i/>
      <w:sz w:val="24"/>
      <w:lang w:val="en-CA" w:eastAsia="ja-JP"/>
    </w:rPr>
  </w:style>
  <w:style w:type="paragraph" w:customStyle="1" w:styleId="Heading0">
    <w:name w:val="Heading"/>
    <w:basedOn w:val="Heading1"/>
    <w:next w:val="Normal"/>
    <w:rsid w:val="003B71B5"/>
    <w:pPr>
      <w:tabs>
        <w:tab w:val="clear" w:pos="720"/>
        <w:tab w:val="left" w:pos="357"/>
        <w:tab w:val="left" w:pos="2410"/>
      </w:tabs>
      <w:ind w:left="1758" w:right="357" w:hanging="318"/>
    </w:pPr>
    <w:rPr>
      <w:bCs/>
      <w:caps w:val="0"/>
      <w:sz w:val="24"/>
      <w:lang w:val="en-CA" w:eastAsia="ja-JP"/>
    </w:rPr>
  </w:style>
  <w:style w:type="paragraph" w:customStyle="1" w:styleId="Heading-plain0">
    <w:name w:val="Heading - plain"/>
    <w:basedOn w:val="Heading2"/>
    <w:next w:val="BodyText"/>
    <w:rsid w:val="003B71B5"/>
    <w:pPr>
      <w:tabs>
        <w:tab w:val="clear" w:pos="720"/>
      </w:tabs>
    </w:pPr>
    <w:rPr>
      <w:i w:val="0"/>
      <w:lang w:val="en-CA" w:eastAsia="ja-JP"/>
    </w:rPr>
  </w:style>
  <w:style w:type="paragraph" w:customStyle="1" w:styleId="Heading1centred">
    <w:name w:val="Heading 1 (centred)"/>
    <w:basedOn w:val="Heading1"/>
    <w:next w:val="Para1"/>
    <w:rsid w:val="003B71B5"/>
    <w:pPr>
      <w:numPr>
        <w:numId w:val="18"/>
      </w:numPr>
      <w:tabs>
        <w:tab w:val="clear" w:pos="720"/>
        <w:tab w:val="left" w:pos="357"/>
      </w:tabs>
      <w:ind w:left="0" w:right="403" w:firstLine="0"/>
    </w:pPr>
    <w:rPr>
      <w:sz w:val="24"/>
      <w:lang w:val="en-CA" w:eastAsia="ja-JP"/>
    </w:rPr>
  </w:style>
  <w:style w:type="paragraph" w:customStyle="1" w:styleId="Heading2GTI">
    <w:name w:val="Heading 2 (GTI)"/>
    <w:basedOn w:val="Heading5"/>
    <w:rsid w:val="003B71B5"/>
    <w:pPr>
      <w:numPr>
        <w:numId w:val="16"/>
      </w:numPr>
      <w:ind w:left="720" w:hanging="720"/>
    </w:pPr>
    <w:rPr>
      <w:bCs w:val="0"/>
      <w:i w:val="0"/>
      <w:sz w:val="24"/>
      <w:lang w:eastAsia="ja-JP"/>
    </w:rPr>
  </w:style>
  <w:style w:type="paragraph" w:customStyle="1" w:styleId="headingdecisionsectionmultiline">
    <w:name w:val="heading decision section multiline"/>
    <w:basedOn w:val="Heading-plain0"/>
    <w:rsid w:val="003B71B5"/>
    <w:pPr>
      <w:ind w:left="1724" w:right="720" w:hanging="284"/>
      <w:jc w:val="left"/>
    </w:pPr>
    <w:rPr>
      <w:b w:val="0"/>
      <w:bCs w:val="0"/>
      <w:i/>
      <w:iCs w:val="0"/>
    </w:rPr>
  </w:style>
  <w:style w:type="paragraph" w:customStyle="1" w:styleId="headingdecisionsectiononeline">
    <w:name w:val="heading decision section one line"/>
    <w:basedOn w:val="Heading-plain0"/>
    <w:rsid w:val="003B71B5"/>
    <w:rPr>
      <w:b w:val="0"/>
      <w:bCs w:val="0"/>
      <w:i/>
      <w:iCs w:val="0"/>
    </w:rPr>
  </w:style>
  <w:style w:type="paragraph" w:customStyle="1" w:styleId="Subhead1">
    <w:name w:val="Subhead1"/>
    <w:basedOn w:val="Normal"/>
    <w:rsid w:val="003B71B5"/>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lang w:val="en-CA" w:eastAsia="ja-JP"/>
    </w:rPr>
  </w:style>
  <w:style w:type="paragraph" w:customStyle="1" w:styleId="Title-secondary">
    <w:name w:val="Title - secondary"/>
    <w:basedOn w:val="Title"/>
    <w:next w:val="Heading2"/>
    <w:rsid w:val="003B71B5"/>
    <w:pPr>
      <w:keepNext/>
      <w:pBdr>
        <w:bottom w:val="none" w:sz="0" w:space="0" w:color="auto"/>
      </w:pBdr>
      <w:spacing w:before="120" w:after="120"/>
      <w:contextualSpacing w:val="0"/>
      <w:jc w:val="center"/>
      <w:outlineLvl w:val="0"/>
    </w:pPr>
    <w:rPr>
      <w:rFonts w:ascii="Times New Roman" w:eastAsia="Times New Roman" w:hAnsi="Times New Roman" w:cs="Arial"/>
      <w:b/>
      <w:bCs/>
      <w:color w:val="auto"/>
      <w:spacing w:val="0"/>
      <w:sz w:val="24"/>
      <w:szCs w:val="32"/>
      <w:lang w:val="en-CA" w:eastAsia="ja-JP"/>
    </w:rPr>
  </w:style>
  <w:style w:type="paragraph" w:customStyle="1" w:styleId="Default">
    <w:name w:val="Default"/>
    <w:rsid w:val="003B71B5"/>
    <w:pPr>
      <w:autoSpaceDE w:val="0"/>
      <w:autoSpaceDN w:val="0"/>
      <w:adjustRightInd w:val="0"/>
    </w:pPr>
    <w:rPr>
      <w:rFonts w:ascii="Times New Roman" w:eastAsia="Times New Roman" w:hAnsi="Times New Roman" w:cs="Times New Roman"/>
      <w:color w:val="000000"/>
      <w:lang w:val="en-CA" w:eastAsia="ko-KR"/>
    </w:rPr>
  </w:style>
  <w:style w:type="paragraph" w:customStyle="1" w:styleId="ColorfulList-Accent11">
    <w:name w:val="Colorful List - Accent 11"/>
    <w:basedOn w:val="Normal"/>
    <w:link w:val="ColorfulList-Accent1Char"/>
    <w:uiPriority w:val="34"/>
    <w:qFormat/>
    <w:rsid w:val="003B71B5"/>
    <w:pPr>
      <w:ind w:left="720"/>
      <w:contextualSpacing/>
      <w:jc w:val="left"/>
    </w:pPr>
    <w:rPr>
      <w:sz w:val="24"/>
      <w:lang w:val="en-US" w:eastAsia="ja-JP"/>
    </w:rPr>
  </w:style>
  <w:style w:type="paragraph" w:customStyle="1" w:styleId="Para10">
    <w:name w:val="Para 1"/>
    <w:basedOn w:val="Normal"/>
    <w:rsid w:val="003B71B5"/>
    <w:pPr>
      <w:tabs>
        <w:tab w:val="num" w:pos="644"/>
      </w:tabs>
      <w:ind w:left="284"/>
      <w:jc w:val="left"/>
    </w:pPr>
    <w:rPr>
      <w:sz w:val="24"/>
      <w:lang w:val="en-CA" w:eastAsia="ja-JP"/>
    </w:rPr>
  </w:style>
  <w:style w:type="paragraph" w:customStyle="1" w:styleId="Decision">
    <w:name w:val="Decision"/>
    <w:basedOn w:val="Heading2"/>
    <w:link w:val="DecisionChar"/>
    <w:rsid w:val="003B71B5"/>
    <w:rPr>
      <w:i w:val="0"/>
      <w:lang w:val="en-CA" w:eastAsia="ja-JP"/>
    </w:rPr>
  </w:style>
  <w:style w:type="character" w:customStyle="1" w:styleId="DecisionChar">
    <w:name w:val="Decision Char"/>
    <w:link w:val="Decision"/>
    <w:rsid w:val="003B71B5"/>
    <w:rPr>
      <w:rFonts w:ascii="Times New Roman" w:eastAsia="Times New Roman" w:hAnsi="Times New Roman" w:cs="Times New Roman"/>
      <w:b/>
      <w:bCs/>
      <w:iCs/>
      <w:sz w:val="22"/>
      <w:lang w:val="en-CA" w:eastAsia="ja-JP"/>
    </w:rPr>
  </w:style>
  <w:style w:type="paragraph" w:customStyle="1" w:styleId="Decisionmultiline">
    <w:name w:val="Decision (multiline)"/>
    <w:basedOn w:val="Decision"/>
    <w:rsid w:val="003B71B5"/>
    <w:pPr>
      <w:tabs>
        <w:tab w:val="clear" w:pos="720"/>
      </w:tabs>
      <w:ind w:left="1800" w:hanging="1260"/>
      <w:jc w:val="left"/>
    </w:pPr>
  </w:style>
  <w:style w:type="paragraph" w:customStyle="1" w:styleId="Para3nonumber">
    <w:name w:val="Para  3 (no number)"/>
    <w:basedOn w:val="Para3"/>
    <w:rsid w:val="003B71B5"/>
    <w:pPr>
      <w:numPr>
        <w:ilvl w:val="0"/>
        <w:numId w:val="0"/>
      </w:numPr>
      <w:tabs>
        <w:tab w:val="num" w:pos="360"/>
        <w:tab w:val="left" w:pos="2160"/>
      </w:tabs>
      <w:spacing w:before="120" w:after="120"/>
      <w:jc w:val="left"/>
    </w:pPr>
    <w:rPr>
      <w:sz w:val="24"/>
      <w:szCs w:val="22"/>
      <w:lang w:val="en-CA" w:eastAsia="ja-JP"/>
    </w:rPr>
  </w:style>
  <w:style w:type="character" w:customStyle="1" w:styleId="Para1Char1">
    <w:name w:val="Para1 Char1"/>
    <w:rsid w:val="003B71B5"/>
    <w:rPr>
      <w:snapToGrid w:val="0"/>
      <w:sz w:val="22"/>
      <w:szCs w:val="18"/>
      <w:lang w:val="en-GB"/>
    </w:rPr>
  </w:style>
  <w:style w:type="paragraph" w:customStyle="1" w:styleId="Para40">
    <w:name w:val="Para4"/>
    <w:basedOn w:val="Para3"/>
    <w:rsid w:val="003B71B5"/>
    <w:pPr>
      <w:numPr>
        <w:ilvl w:val="0"/>
        <w:numId w:val="0"/>
      </w:numPr>
      <w:tabs>
        <w:tab w:val="clear" w:pos="1980"/>
        <w:tab w:val="left" w:pos="2552"/>
        <w:tab w:val="num" w:pos="2880"/>
      </w:tabs>
      <w:ind w:left="2880" w:hanging="360"/>
      <w:jc w:val="left"/>
    </w:pPr>
    <w:rPr>
      <w:sz w:val="24"/>
      <w:lang w:val="en-CA" w:eastAsia="ja-JP"/>
    </w:rPr>
  </w:style>
  <w:style w:type="character" w:styleId="LineNumber">
    <w:name w:val="line number"/>
    <w:uiPriority w:val="99"/>
    <w:unhideWhenUsed/>
    <w:rsid w:val="003B71B5"/>
  </w:style>
  <w:style w:type="paragraph" w:customStyle="1" w:styleId="ColorfulShading-Accent11">
    <w:name w:val="Colorful Shading - Accent 11"/>
    <w:hidden/>
    <w:uiPriority w:val="99"/>
    <w:semiHidden/>
    <w:rsid w:val="003B71B5"/>
    <w:rPr>
      <w:rFonts w:ascii="Times New Roman" w:eastAsia="Times New Roman" w:hAnsi="Times New Roman" w:cs="Times New Roman"/>
      <w:sz w:val="22"/>
      <w:lang w:val="en-GB"/>
    </w:rPr>
  </w:style>
  <w:style w:type="character" w:styleId="UnresolvedMention">
    <w:name w:val="Unresolved Mention"/>
    <w:uiPriority w:val="99"/>
    <w:semiHidden/>
    <w:unhideWhenUsed/>
    <w:rsid w:val="003B71B5"/>
    <w:rPr>
      <w:color w:val="605E5C"/>
      <w:shd w:val="clear" w:color="auto" w:fill="E1DFDD"/>
    </w:rPr>
  </w:style>
  <w:style w:type="character" w:customStyle="1" w:styleId="ColorfulList-Accent1Char">
    <w:name w:val="Colorful List - Accent 1 Char"/>
    <w:link w:val="ColorfulList-Accent11"/>
    <w:uiPriority w:val="34"/>
    <w:locked/>
    <w:rsid w:val="003B71B5"/>
    <w:rPr>
      <w:rFonts w:ascii="Times New Roman" w:eastAsia="Times New Roman" w:hAnsi="Times New Roman" w:cs="Times New Roman"/>
      <w:lang w:val="en-US" w:eastAsia="ja-JP"/>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B71B5"/>
    <w:pPr>
      <w:spacing w:after="160" w:line="240" w:lineRule="exact"/>
      <w:jc w:val="left"/>
    </w:pPr>
    <w:rPr>
      <w:rFonts w:asciiTheme="minorHAnsi" w:eastAsiaTheme="minorEastAsia" w:hAnsiTheme="minorHAnsi" w:cstheme="minorBidi"/>
      <w:sz w:val="18"/>
      <w:u w:val="single"/>
      <w:lang w:val="fr-CA"/>
    </w:rPr>
  </w:style>
  <w:style w:type="paragraph" w:styleId="ListParagraph">
    <w:name w:val="List Paragraph"/>
    <w:basedOn w:val="Normal"/>
    <w:uiPriority w:val="34"/>
    <w:qFormat/>
    <w:rsid w:val="003B71B5"/>
    <w:pPr>
      <w:ind w:left="720"/>
      <w:jc w:val="left"/>
    </w:pPr>
    <w:rPr>
      <w:sz w:val="24"/>
      <w:lang w:val="en-CA" w:eastAsia="ja-JP"/>
    </w:rPr>
  </w:style>
  <w:style w:type="paragraph" w:styleId="Revision">
    <w:name w:val="Revision"/>
    <w:hidden/>
    <w:uiPriority w:val="99"/>
    <w:semiHidden/>
    <w:rsid w:val="003B71B5"/>
    <w:rPr>
      <w:rFonts w:ascii="Times New Roman" w:eastAsia="Times New Roman" w:hAnsi="Times New Roman" w:cs="Times New Roman"/>
      <w:lang w:val="en-CA" w:eastAsia="ja-JP"/>
    </w:rPr>
  </w:style>
  <w:style w:type="table" w:customStyle="1" w:styleId="TableGrid1">
    <w:name w:val="Table Grid1"/>
    <w:basedOn w:val="TableNormal"/>
    <w:next w:val="TableGrid"/>
    <w:uiPriority w:val="59"/>
    <w:rsid w:val="00B4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6-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mop-08/mop-08-dec-15-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ecision/mop/?id=1232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issues/final_evalua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C41"/>
    <w:rsid w:val="00167A86"/>
    <w:rsid w:val="00204ED8"/>
    <w:rsid w:val="00500A2B"/>
    <w:rsid w:val="0058288D"/>
    <w:rsid w:val="005E1DAB"/>
    <w:rsid w:val="0061507A"/>
    <w:rsid w:val="006801B3"/>
    <w:rsid w:val="00810A55"/>
    <w:rsid w:val="008657DC"/>
    <w:rsid w:val="008C6619"/>
    <w:rsid w:val="008D420E"/>
    <w:rsid w:val="0098642F"/>
    <w:rsid w:val="00A13431"/>
    <w:rsid w:val="00B4299B"/>
    <w:rsid w:val="00C2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09EFA-4579-4E54-9BC1-6B934D071B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14408-A853-4ACB-AA7E-647CBB468312}">
  <ds:schemaRefs>
    <ds:schemaRef ds:uri="http://schemas.microsoft.com/sharepoint/v3/contenttype/forms"/>
  </ds:schemaRefs>
</ds:datastoreItem>
</file>

<file path=customXml/itemProps4.xml><?xml version="1.0" encoding="utf-8"?>
<ds:datastoreItem xmlns:ds="http://schemas.openxmlformats.org/officeDocument/2006/customXml" ds:itemID="{417DDC64-AC48-48BB-96A4-03272ECD53E9}"/>
</file>

<file path=customXml/itemProps5.xml><?xml version="1.0" encoding="utf-8"?>
<ds:datastoreItem xmlns:ds="http://schemas.openxmlformats.org/officeDocument/2006/customXml" ds:itemID="{B505C25C-5F29-4471-94C4-5C3F65CA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Fourth assessment and review of the Cartagena Protocol and final evaluation of the Strategic Plan for the Cartagena Protocol for the period 2011-2020: input by the Compliance Committee</vt:lpstr>
    </vt:vector>
  </TitlesOfParts>
  <Company>SCBD</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assessment and review of the Cartagena Protocol and final evaluation of the Strategic Plan for the Cartagena Protocol for the period 2011-2020: input by the Compliance Committee</dc:title>
  <dc:subject>CBD/CP/CC/17/3</dc:subject>
  <dc:creator>SCBD</dc:creator>
  <cp:keywords>Compliance Committee under the Cartagena Protocol on Biosafety, Montreal, Canada, 15-17 April 2020, Convention on Biological Diversity</cp:keywords>
  <cp:lastModifiedBy>Orestes Plasencia</cp:lastModifiedBy>
  <cp:revision>8</cp:revision>
  <cp:lastPrinted>2019-02-19T20:35:00Z</cp:lastPrinted>
  <dcterms:created xsi:type="dcterms:W3CDTF">2020-03-30T13:23:00Z</dcterms:created>
  <dcterms:modified xsi:type="dcterms:W3CDTF">2020-03-30T19:08:00Z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-753912488</vt:i4>
  </property>
  <property fmtid="{D5CDD505-2E9C-101B-9397-08002B2CF9AE}" pid="3" name="ContentTypeId">
    <vt:lpwstr>0x01010069BFACF6D92CD24AA50050CE23F68F74</vt:lpwstr>
  </property>
</Properties>
</file>