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C9161D" w:rsidRPr="009770A5" w14:paraId="7907F70C" w14:textId="77777777" w:rsidTr="005F3720">
        <w:trPr>
          <w:trHeight w:val="851"/>
        </w:trPr>
        <w:tc>
          <w:tcPr>
            <w:tcW w:w="977" w:type="dxa"/>
            <w:tcBorders>
              <w:bottom w:val="single" w:sz="12" w:space="0" w:color="auto"/>
            </w:tcBorders>
          </w:tcPr>
          <w:p w14:paraId="7977F830" w14:textId="77777777" w:rsidR="00C9161D" w:rsidRPr="009770A5" w:rsidRDefault="00C9161D" w:rsidP="00321985">
            <w:pPr>
              <w:rPr>
                <w:noProof/>
                <w:lang w:val="fr-CA"/>
              </w:rPr>
            </w:pPr>
            <w:r w:rsidRPr="009770A5">
              <w:rPr>
                <w:noProof/>
                <w:lang w:val="fr-CA" w:eastAsia="fr-CA"/>
              </w:rPr>
              <w:drawing>
                <wp:inline distT="0" distB="0" distL="0" distR="0" wp14:anchorId="247EC645" wp14:editId="2E88FA7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A794513" w14:textId="77777777" w:rsidR="00FA663B" w:rsidRPr="009770A5" w:rsidRDefault="005F3720" w:rsidP="00321985">
            <w:pPr>
              <w:rPr>
                <w:noProof/>
                <w:lang w:val="fr-CA"/>
              </w:rPr>
            </w:pPr>
            <w:r w:rsidRPr="009770A5">
              <w:rPr>
                <w:noProof/>
                <w:lang w:val="fr-CA" w:eastAsia="fr-CA"/>
              </w:rPr>
              <w:drawing>
                <wp:inline distT="0" distB="0" distL="0" distR="0" wp14:anchorId="57FE7ACE" wp14:editId="58BA122B">
                  <wp:extent cx="593090" cy="340360"/>
                  <wp:effectExtent l="0" t="0" r="0" b="0"/>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89" w:type="dxa"/>
            <w:tcBorders>
              <w:bottom w:val="single" w:sz="12" w:space="0" w:color="auto"/>
            </w:tcBorders>
          </w:tcPr>
          <w:p w14:paraId="695B9249" w14:textId="77777777" w:rsidR="00C9161D" w:rsidRPr="009770A5" w:rsidRDefault="00C9161D" w:rsidP="00C9161D">
            <w:pPr>
              <w:jc w:val="right"/>
              <w:rPr>
                <w:rFonts w:ascii="Arial" w:hAnsi="Arial" w:cs="Arial"/>
                <w:b/>
                <w:noProof/>
                <w:sz w:val="32"/>
                <w:szCs w:val="32"/>
                <w:lang w:val="fr-CA"/>
              </w:rPr>
            </w:pPr>
            <w:r w:rsidRPr="009770A5">
              <w:rPr>
                <w:rFonts w:ascii="Arial" w:hAnsi="Arial" w:cs="Arial"/>
                <w:b/>
                <w:noProof/>
                <w:sz w:val="32"/>
                <w:szCs w:val="32"/>
                <w:lang w:val="fr-CA"/>
              </w:rPr>
              <w:t>CBD</w:t>
            </w:r>
          </w:p>
        </w:tc>
      </w:tr>
      <w:tr w:rsidR="00467F34" w:rsidRPr="009770A5" w14:paraId="7DA73717" w14:textId="77777777" w:rsidTr="005F3720">
        <w:tc>
          <w:tcPr>
            <w:tcW w:w="6118" w:type="dxa"/>
            <w:gridSpan w:val="2"/>
            <w:tcBorders>
              <w:top w:val="single" w:sz="12" w:space="0" w:color="auto"/>
              <w:bottom w:val="single" w:sz="36" w:space="0" w:color="auto"/>
            </w:tcBorders>
            <w:vAlign w:val="center"/>
          </w:tcPr>
          <w:p w14:paraId="419D8337" w14:textId="77777777" w:rsidR="00467F34" w:rsidRPr="009770A5" w:rsidRDefault="005F3720" w:rsidP="00C9161D">
            <w:pPr>
              <w:rPr>
                <w:noProof/>
                <w:lang w:val="fr-CA"/>
              </w:rPr>
            </w:pPr>
            <w:bookmarkStart w:id="0" w:name="_Toc118355025"/>
            <w:r w:rsidRPr="009770A5">
              <w:rPr>
                <w:noProof/>
                <w:lang w:val="fr-CA" w:eastAsia="fr-CA"/>
              </w:rPr>
              <w:drawing>
                <wp:inline distT="0" distB="0" distL="0" distR="0" wp14:anchorId="7557D395" wp14:editId="455D04C6">
                  <wp:extent cx="2358390" cy="939800"/>
                  <wp:effectExtent l="0" t="0" r="0" b="0"/>
                  <wp:docPr id="5"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14:paraId="52BFB88F" w14:textId="77777777" w:rsidR="00467F34" w:rsidRPr="009770A5" w:rsidRDefault="00467F34" w:rsidP="00176CEE">
            <w:pPr>
              <w:ind w:left="1215"/>
              <w:rPr>
                <w:noProof/>
                <w:szCs w:val="22"/>
                <w:lang w:val="fr-CA"/>
              </w:rPr>
            </w:pPr>
            <w:r w:rsidRPr="009770A5">
              <w:rPr>
                <w:noProof/>
                <w:szCs w:val="22"/>
                <w:lang w:val="fr-CA"/>
              </w:rPr>
              <w:t>Distr.</w:t>
            </w:r>
          </w:p>
          <w:p w14:paraId="20182F27" w14:textId="77777777" w:rsidR="00467F34" w:rsidRPr="009770A5" w:rsidRDefault="00467F34" w:rsidP="00176CEE">
            <w:pPr>
              <w:ind w:left="1215"/>
              <w:rPr>
                <w:noProof/>
                <w:szCs w:val="22"/>
                <w:lang w:val="fr-CA"/>
              </w:rPr>
            </w:pPr>
            <w:r w:rsidRPr="009770A5">
              <w:rPr>
                <w:caps/>
                <w:noProof/>
                <w:szCs w:val="22"/>
                <w:lang w:val="fr-CA"/>
              </w:rPr>
              <w:t>LIMIT</w:t>
            </w:r>
            <w:r w:rsidR="005F3720" w:rsidRPr="009770A5">
              <w:rPr>
                <w:caps/>
                <w:noProof/>
                <w:szCs w:val="22"/>
                <w:lang w:val="fr-CA"/>
              </w:rPr>
              <w:t>ÉE</w:t>
            </w:r>
          </w:p>
          <w:p w14:paraId="5AD59F8B" w14:textId="77777777" w:rsidR="00467F34" w:rsidRPr="009770A5" w:rsidRDefault="00467F34" w:rsidP="00176CEE">
            <w:pPr>
              <w:ind w:left="1215"/>
              <w:rPr>
                <w:noProof/>
                <w:szCs w:val="22"/>
                <w:lang w:val="fr-CA"/>
              </w:rPr>
            </w:pPr>
          </w:p>
          <w:p w14:paraId="50567010" w14:textId="77777777" w:rsidR="00467F34" w:rsidRPr="009770A5" w:rsidRDefault="00F348AE" w:rsidP="00176CEE">
            <w:pPr>
              <w:ind w:left="1215"/>
              <w:rPr>
                <w:noProof/>
                <w:szCs w:val="22"/>
                <w:lang w:val="fr-CA"/>
              </w:rPr>
            </w:pPr>
            <w:sdt>
              <w:sdtPr>
                <w:rPr>
                  <w:noProof/>
                  <w:lang w:val="fr-CA"/>
                </w:rPr>
                <w:alias w:val="Subject"/>
                <w:tag w:val=""/>
                <w:id w:val="2137136483"/>
                <w:placeholder>
                  <w:docPart w:val="B19F588347324473AFA0889927E2E9F5"/>
                </w:placeholder>
                <w:dataBinding w:prefixMappings="xmlns:ns0='http://purl.org/dc/elements/1.1/' xmlns:ns1='http://schemas.openxmlformats.org/package/2006/metadata/core-properties' " w:xpath="/ns1:coreProperties[1]/ns0:subject[1]" w:storeItemID="{6C3C8BC8-F283-45AE-878A-BAB7291924A1}"/>
                <w:text/>
              </w:sdtPr>
              <w:sdtEndPr/>
              <w:sdtContent>
                <w:r w:rsidR="00467F34" w:rsidRPr="009770A5">
                  <w:rPr>
                    <w:noProof/>
                    <w:lang w:val="fr-CA"/>
                  </w:rPr>
                  <w:t>CBD/COP/15/L.11</w:t>
                </w:r>
              </w:sdtContent>
            </w:sdt>
          </w:p>
          <w:p w14:paraId="1F15E41D" w14:textId="77777777" w:rsidR="00467F34" w:rsidRPr="009770A5" w:rsidRDefault="005F3720" w:rsidP="00176CEE">
            <w:pPr>
              <w:ind w:left="1215"/>
              <w:rPr>
                <w:noProof/>
                <w:szCs w:val="22"/>
                <w:lang w:val="fr-CA"/>
              </w:rPr>
            </w:pPr>
            <w:r w:rsidRPr="009770A5">
              <w:rPr>
                <w:noProof/>
                <w:szCs w:val="22"/>
                <w:lang w:val="fr-CA"/>
              </w:rPr>
              <w:t>13 </w:t>
            </w:r>
            <w:r w:rsidRPr="009770A5">
              <w:rPr>
                <w:noProof/>
                <w:lang w:val="fr-CA"/>
              </w:rPr>
              <w:t>décembre </w:t>
            </w:r>
            <w:r w:rsidR="00467F34" w:rsidRPr="009770A5">
              <w:rPr>
                <w:noProof/>
                <w:lang w:val="fr-CA"/>
              </w:rPr>
              <w:t>2022</w:t>
            </w:r>
          </w:p>
          <w:p w14:paraId="25DCFF42" w14:textId="77777777" w:rsidR="00467F34" w:rsidRPr="009770A5" w:rsidRDefault="00467F34" w:rsidP="00176CEE">
            <w:pPr>
              <w:ind w:left="1215"/>
              <w:rPr>
                <w:noProof/>
                <w:szCs w:val="22"/>
                <w:lang w:val="fr-CA"/>
              </w:rPr>
            </w:pPr>
          </w:p>
          <w:p w14:paraId="2A394ED6" w14:textId="77777777" w:rsidR="005F3720" w:rsidRPr="009770A5" w:rsidRDefault="005F3720" w:rsidP="005F3720">
            <w:pPr>
              <w:ind w:left="1215"/>
              <w:rPr>
                <w:noProof/>
                <w:szCs w:val="22"/>
                <w:lang w:val="fr-CA"/>
              </w:rPr>
            </w:pPr>
            <w:r w:rsidRPr="009770A5">
              <w:rPr>
                <w:noProof/>
                <w:szCs w:val="22"/>
                <w:lang w:val="fr-CA"/>
              </w:rPr>
              <w:t>FRANÇAIS</w:t>
            </w:r>
          </w:p>
          <w:p w14:paraId="739222A2" w14:textId="77777777" w:rsidR="00467F34" w:rsidRPr="009770A5" w:rsidRDefault="005F3720" w:rsidP="005F3720">
            <w:pPr>
              <w:ind w:left="1215"/>
              <w:rPr>
                <w:noProof/>
                <w:szCs w:val="22"/>
                <w:lang w:val="fr-CA"/>
              </w:rPr>
            </w:pPr>
            <w:r w:rsidRPr="009770A5">
              <w:rPr>
                <w:noProof/>
                <w:szCs w:val="22"/>
                <w:lang w:val="fr-CA"/>
              </w:rPr>
              <w:t>ORIGINAL : ANGLAIS</w:t>
            </w:r>
          </w:p>
          <w:p w14:paraId="48479836" w14:textId="77777777" w:rsidR="00467F34" w:rsidRPr="009770A5" w:rsidRDefault="00467F34">
            <w:pPr>
              <w:rPr>
                <w:noProof/>
                <w:lang w:val="fr-CA"/>
              </w:rPr>
            </w:pPr>
          </w:p>
        </w:tc>
      </w:tr>
    </w:tbl>
    <w:p w14:paraId="12F967A4" w14:textId="77777777" w:rsidR="003B7BB2" w:rsidRPr="009770A5" w:rsidRDefault="005F3720" w:rsidP="003B7BB2">
      <w:pPr>
        <w:pStyle w:val="Cornernotation"/>
        <w:kinsoku w:val="0"/>
        <w:overflowPunct w:val="0"/>
        <w:autoSpaceDE w:val="0"/>
        <w:autoSpaceDN w:val="0"/>
        <w:spacing w:before="60"/>
        <w:ind w:left="227" w:right="4302" w:hanging="227"/>
        <w:rPr>
          <w:noProof/>
          <w:snapToGrid w:val="0"/>
          <w:kern w:val="22"/>
          <w:lang w:val="fr-CA"/>
        </w:rPr>
      </w:pPr>
      <w:r w:rsidRPr="009770A5">
        <w:rPr>
          <w:noProof/>
          <w:lang w:val="fr-CA"/>
        </w:rPr>
        <w:t>CONFÉRENCE DES PARTIES À LA CONVENTION SUR LA DIVERSITÉ BIOLOGIQUE</w:t>
      </w:r>
    </w:p>
    <w:p w14:paraId="0509C2D7" w14:textId="77777777" w:rsidR="005F3720" w:rsidRPr="009770A5" w:rsidRDefault="005F3720" w:rsidP="005F3720">
      <w:pPr>
        <w:pStyle w:val="Cornernotation"/>
        <w:kinsoku w:val="0"/>
        <w:overflowPunct w:val="0"/>
        <w:autoSpaceDE w:val="0"/>
        <w:autoSpaceDN w:val="0"/>
        <w:ind w:right="3973"/>
        <w:rPr>
          <w:noProof/>
          <w:snapToGrid w:val="0"/>
          <w:color w:val="000000"/>
          <w:kern w:val="22"/>
          <w:lang w:val="fr-CA"/>
        </w:rPr>
      </w:pPr>
      <w:r w:rsidRPr="009770A5">
        <w:rPr>
          <w:noProof/>
          <w:snapToGrid w:val="0"/>
          <w:color w:val="000000"/>
          <w:kern w:val="22"/>
          <w:lang w:val="fr-CA"/>
        </w:rPr>
        <w:t>Quinzième réunion – Partie II</w:t>
      </w:r>
    </w:p>
    <w:p w14:paraId="628477C9" w14:textId="77777777" w:rsidR="005F3720" w:rsidRPr="009770A5" w:rsidRDefault="005F3720" w:rsidP="005F3720">
      <w:pPr>
        <w:pStyle w:val="Cornernotation"/>
        <w:kinsoku w:val="0"/>
        <w:overflowPunct w:val="0"/>
        <w:autoSpaceDE w:val="0"/>
        <w:autoSpaceDN w:val="0"/>
        <w:ind w:right="3973"/>
        <w:rPr>
          <w:noProof/>
          <w:lang w:val="fr-CA"/>
        </w:rPr>
      </w:pPr>
      <w:r w:rsidRPr="009770A5">
        <w:rPr>
          <w:noProof/>
          <w:lang w:val="fr-CA"/>
        </w:rPr>
        <w:t>Montréal (Canada), 7</w:t>
      </w:r>
      <w:r w:rsidRPr="009770A5">
        <w:rPr>
          <w:noProof/>
          <w:lang w:val="fr-CA"/>
        </w:rPr>
        <w:noBreakHyphen/>
        <w:t>19 décembre 2022</w:t>
      </w:r>
    </w:p>
    <w:p w14:paraId="0EF45761" w14:textId="77777777" w:rsidR="00836DFD" w:rsidRPr="009770A5" w:rsidRDefault="005F3720" w:rsidP="005F3720">
      <w:pPr>
        <w:rPr>
          <w:noProof/>
          <w:snapToGrid w:val="0"/>
          <w:kern w:val="22"/>
          <w:szCs w:val="22"/>
          <w:lang w:val="fr-CA"/>
        </w:rPr>
      </w:pPr>
      <w:r w:rsidRPr="009770A5">
        <w:rPr>
          <w:noProof/>
          <w:lang w:val="fr-CA"/>
        </w:rPr>
        <w:t>Point 15A de l’ordre du jour</w:t>
      </w:r>
    </w:p>
    <w:bookmarkEnd w:id="0"/>
    <w:p w14:paraId="4EC8D34B" w14:textId="77777777" w:rsidR="00E34747" w:rsidRPr="009770A5" w:rsidRDefault="005F3720" w:rsidP="002A5F25">
      <w:pPr>
        <w:pStyle w:val="HEADINGNOTFORTOC"/>
        <w:rPr>
          <w:i/>
          <w:iCs/>
          <w:noProof/>
          <w:lang w:val="fr-CA"/>
        </w:rPr>
      </w:pPr>
      <w:r w:rsidRPr="009770A5">
        <w:rPr>
          <w:caps w:val="0"/>
          <w:noProof/>
          <w:lang w:val="fr-CA"/>
        </w:rPr>
        <w:t>Programme de travail de la Plateforme intergouvernementale scientifique et politique sur la biodiversité et les services écosystémiques</w:t>
      </w:r>
    </w:p>
    <w:p w14:paraId="095EC0C9" w14:textId="77777777" w:rsidR="00E34747" w:rsidRPr="009770A5" w:rsidRDefault="005F3720" w:rsidP="00AD28A8">
      <w:pPr>
        <w:pStyle w:val="Cornernotation"/>
        <w:spacing w:before="240" w:after="240"/>
        <w:ind w:left="0" w:right="-36" w:firstLine="0"/>
        <w:jc w:val="center"/>
        <w:rPr>
          <w:b/>
          <w:bCs/>
          <w:noProof/>
          <w:szCs w:val="22"/>
          <w:lang w:val="fr-CA"/>
        </w:rPr>
      </w:pPr>
      <w:r w:rsidRPr="009770A5">
        <w:rPr>
          <w:b/>
          <w:bCs/>
          <w:noProof/>
          <w:szCs w:val="22"/>
          <w:lang w:val="fr-CA"/>
        </w:rPr>
        <w:t>Projet de décision présenté par le président du Groupe de travail II</w:t>
      </w:r>
    </w:p>
    <w:p w14:paraId="13169F03" w14:textId="77777777" w:rsidR="00E34747" w:rsidRPr="009770A5" w:rsidRDefault="005F3720" w:rsidP="00E34747">
      <w:pPr>
        <w:suppressLineNumbers/>
        <w:suppressAutoHyphens/>
        <w:kinsoku w:val="0"/>
        <w:overflowPunct w:val="0"/>
        <w:autoSpaceDE w:val="0"/>
        <w:autoSpaceDN w:val="0"/>
        <w:adjustRightInd w:val="0"/>
        <w:snapToGrid w:val="0"/>
        <w:spacing w:before="120" w:after="120"/>
        <w:ind w:firstLine="851"/>
        <w:rPr>
          <w:iCs/>
          <w:noProof/>
          <w:snapToGrid w:val="0"/>
          <w:kern w:val="22"/>
          <w:szCs w:val="22"/>
          <w:lang w:val="fr-CA"/>
        </w:rPr>
      </w:pPr>
      <w:r w:rsidRPr="009770A5">
        <w:rPr>
          <w:i/>
          <w:noProof/>
          <w:snapToGrid w:val="0"/>
          <w:kern w:val="22"/>
          <w:szCs w:val="22"/>
          <w:lang w:val="fr-CA"/>
        </w:rPr>
        <w:t>La Conférence des Parties</w:t>
      </w:r>
      <w:r w:rsidRPr="009770A5">
        <w:rPr>
          <w:iCs/>
          <w:noProof/>
          <w:snapToGrid w:val="0"/>
          <w:kern w:val="22"/>
          <w:szCs w:val="22"/>
          <w:lang w:val="fr-CA"/>
        </w:rPr>
        <w:t>,</w:t>
      </w:r>
    </w:p>
    <w:p w14:paraId="65DEEE36" w14:textId="77777777" w:rsidR="00E34747" w:rsidRPr="009770A5" w:rsidRDefault="005F3720" w:rsidP="00E34747">
      <w:pPr>
        <w:suppressLineNumbers/>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i/>
          <w:noProof/>
          <w:snapToGrid w:val="0"/>
          <w:kern w:val="22"/>
          <w:szCs w:val="22"/>
          <w:lang w:val="fr-CA"/>
        </w:rPr>
        <w:t xml:space="preserve">Rappelant les </w:t>
      </w:r>
      <w:r w:rsidRPr="009770A5">
        <w:rPr>
          <w:noProof/>
          <w:snapToGrid w:val="0"/>
          <w:kern w:val="22"/>
          <w:szCs w:val="22"/>
          <w:lang w:val="fr-CA"/>
        </w:rPr>
        <w:t>décisions XII/25 et 14/36</w:t>
      </w:r>
      <w:r w:rsidR="00E34747" w:rsidRPr="009770A5">
        <w:rPr>
          <w:noProof/>
          <w:snapToGrid w:val="0"/>
          <w:kern w:val="22"/>
          <w:szCs w:val="22"/>
          <w:lang w:val="fr-CA"/>
        </w:rPr>
        <w:t>,</w:t>
      </w:r>
    </w:p>
    <w:p w14:paraId="34656955" w14:textId="77777777" w:rsidR="00E34747" w:rsidRPr="009770A5" w:rsidRDefault="005F3720" w:rsidP="00E34747">
      <w:pPr>
        <w:suppressLineNumbers/>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i/>
          <w:noProof/>
          <w:snapToGrid w:val="0"/>
          <w:kern w:val="22"/>
          <w:szCs w:val="22"/>
          <w:lang w:val="fr-CA"/>
        </w:rPr>
        <w:t xml:space="preserve">Rappelant également </w:t>
      </w:r>
      <w:r w:rsidRPr="009770A5">
        <w:rPr>
          <w:noProof/>
          <w:snapToGrid w:val="0"/>
          <w:kern w:val="22"/>
          <w:szCs w:val="22"/>
          <w:lang w:val="fr-CA"/>
        </w:rPr>
        <w:t>que l'Organe subsidiaire chargé de fournir des avis scientifiques, techniques et technologiques a systématiquement examiné les rapports d'évaluation établis par la Plateforme intergouvernementale scientifique et politique sur la biodiversité et les services écosystémiques, qui représentent les meilleures connaissances disponibles en la matière, et a formulé des recommandations pertinentes à l'intention de la Conférence des Parties, conformément aux procédures établies dans la décision XII/25</w:t>
      </w:r>
      <w:r w:rsidR="00E34747" w:rsidRPr="009770A5">
        <w:rPr>
          <w:noProof/>
          <w:snapToGrid w:val="0"/>
          <w:kern w:val="22"/>
          <w:szCs w:val="22"/>
          <w:lang w:val="fr-CA"/>
        </w:rPr>
        <w:t>,</w:t>
      </w:r>
    </w:p>
    <w:p w14:paraId="3186A1F2" w14:textId="77777777" w:rsidR="005F3720" w:rsidRPr="009770A5" w:rsidRDefault="00E34747" w:rsidP="005F3720">
      <w:pPr>
        <w:suppressLineNumbers/>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1.</w:t>
      </w:r>
      <w:r w:rsidRPr="009770A5">
        <w:rPr>
          <w:noProof/>
          <w:snapToGrid w:val="0"/>
          <w:kern w:val="22"/>
          <w:szCs w:val="22"/>
          <w:lang w:val="fr-CA"/>
        </w:rPr>
        <w:tab/>
      </w:r>
      <w:r w:rsidR="005F3720" w:rsidRPr="009770A5">
        <w:rPr>
          <w:i/>
          <w:noProof/>
          <w:snapToGrid w:val="0"/>
          <w:kern w:val="22"/>
          <w:szCs w:val="22"/>
          <w:lang w:val="fr-CA"/>
        </w:rPr>
        <w:t xml:space="preserve">Accueille favorablement </w:t>
      </w:r>
      <w:r w:rsidR="005F3720" w:rsidRPr="009770A5">
        <w:rPr>
          <w:noProof/>
          <w:snapToGrid w:val="0"/>
          <w:kern w:val="22"/>
          <w:szCs w:val="22"/>
          <w:lang w:val="fr-CA"/>
        </w:rPr>
        <w:t>le programme de travail glissant de la Plateforme jusqu'en 2030, adopté par</w:t>
      </w:r>
      <w:bookmarkStart w:id="1" w:name="_Hlk118269540"/>
      <w:r w:rsidR="005F3720" w:rsidRPr="009770A5">
        <w:rPr>
          <w:noProof/>
          <w:snapToGrid w:val="0"/>
          <w:kern w:val="22"/>
          <w:szCs w:val="22"/>
          <w:lang w:val="fr-CA"/>
        </w:rPr>
        <w:t xml:space="preserve"> la plénière de la Plateforme intergouvernementale scientifique et politique sur la biodiversité et les services écosystémiques</w:t>
      </w:r>
      <w:bookmarkEnd w:id="1"/>
      <w:r w:rsidR="005F3720" w:rsidRPr="009770A5">
        <w:rPr>
          <w:noProof/>
          <w:snapToGrid w:val="0"/>
          <w:kern w:val="22"/>
          <w:szCs w:val="22"/>
          <w:lang w:val="fr-CA"/>
        </w:rPr>
        <w:t xml:space="preserve"> dans sa décision IPBES-7/1, notant avec satisfaction que la demande de la Conférence des Parties énoncée dans la décision 14/36 a été satisfaite, et que </w:t>
      </w:r>
      <w:r w:rsidR="005F3720" w:rsidRPr="009770A5">
        <w:rPr>
          <w:bCs/>
          <w:noProof/>
          <w:snapToGrid w:val="0"/>
          <w:kern w:val="22"/>
          <w:szCs w:val="22"/>
          <w:lang w:val="fr-CA"/>
        </w:rPr>
        <w:t>les</w:t>
      </w:r>
      <w:r w:rsidR="005F3720" w:rsidRPr="009770A5">
        <w:rPr>
          <w:noProof/>
          <w:snapToGrid w:val="0"/>
          <w:kern w:val="22"/>
          <w:szCs w:val="22"/>
          <w:lang w:val="fr-CA"/>
        </w:rPr>
        <w:t xml:space="preserve"> travaux au titre des six objectifs, y compris les évaluations énoncées dans le programme de travail, devraient contribuer et être essentiels à la mise en œuvre du cadre mondial de la biodiversité pour l'apr</w:t>
      </w:r>
      <w:r w:rsidR="0049073A" w:rsidRPr="009770A5">
        <w:rPr>
          <w:noProof/>
          <w:snapToGrid w:val="0"/>
          <w:kern w:val="22"/>
          <w:szCs w:val="22"/>
          <w:lang w:val="fr-CA"/>
        </w:rPr>
        <w:t>ès-2020</w:t>
      </w:r>
      <w:r w:rsidR="005F3720" w:rsidRPr="009770A5">
        <w:rPr>
          <w:noProof/>
          <w:snapToGrid w:val="0"/>
          <w:kern w:val="22"/>
          <w:szCs w:val="22"/>
          <w:lang w:val="fr-CA"/>
        </w:rPr>
        <w:t>;</w:t>
      </w:r>
    </w:p>
    <w:p w14:paraId="14FF8002" w14:textId="0478BEA3" w:rsidR="005F3720" w:rsidRPr="009770A5" w:rsidRDefault="005F3720" w:rsidP="005F3720">
      <w:pPr>
        <w:suppressLineNumbers/>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2.</w:t>
      </w:r>
      <w:r w:rsidRPr="009770A5">
        <w:rPr>
          <w:noProof/>
          <w:snapToGrid w:val="0"/>
          <w:kern w:val="22"/>
          <w:szCs w:val="22"/>
          <w:lang w:val="fr-CA"/>
        </w:rPr>
        <w:tab/>
      </w:r>
      <w:r w:rsidRPr="009770A5">
        <w:rPr>
          <w:i/>
          <w:iCs/>
          <w:noProof/>
          <w:snapToGrid w:val="0"/>
          <w:kern w:val="22"/>
          <w:szCs w:val="22"/>
          <w:lang w:val="fr-CA"/>
        </w:rPr>
        <w:t xml:space="preserve">Se félicite également </w:t>
      </w:r>
      <w:r w:rsidRPr="009770A5">
        <w:rPr>
          <w:noProof/>
          <w:snapToGrid w:val="0"/>
          <w:kern w:val="22"/>
          <w:szCs w:val="22"/>
          <w:lang w:val="fr-CA"/>
        </w:rPr>
        <w:t>des efforts novateurs déployés par la Plateforme intergouvernementale scientifique et politique sur la biodiversité et les services écosystémiques pour faire progresser la prise en compte des savoirs autochtones et locaux et des divers systèmes de connaissances dans toutes ses évaluations et autres fonctions par la mise en œuvre de son approche visant à reconnaître et à travailler avec les savoirs autochtones et locaux dans la Plateforme intergouvernementale scientifique et politique sur la biodiversité et les services écosystémiques présentée à l'annexe II de la décision IPBES-5/1, ainsi que son engagement avec les réseaux et organisations auto-organisés des peuples autochtones et des communautés locales et les parties prenantes par la mise en œuvre de sa stratégie d'engagement des parties prenantes définie à l'annexe II de la décision IPBES</w:t>
      </w:r>
      <w:r w:rsidR="00F348AE">
        <w:rPr>
          <w:noProof/>
          <w:snapToGrid w:val="0"/>
          <w:kern w:val="22"/>
          <w:szCs w:val="22"/>
          <w:lang w:val="fr-CA"/>
        </w:rPr>
        <w:t>-</w:t>
      </w:r>
      <w:r w:rsidRPr="009770A5">
        <w:rPr>
          <w:noProof/>
          <w:snapToGrid w:val="0"/>
          <w:kern w:val="22"/>
          <w:szCs w:val="22"/>
          <w:lang w:val="fr-CA"/>
        </w:rPr>
        <w:t>3/4, et invite la Plateforme intergouvernementale scientifique et politique sur la biodiversité et les services écosystémiques à continuer à renforcer ces efforts dans la mise en œuvre des objectifs pertinen</w:t>
      </w:r>
      <w:r w:rsidR="0049073A" w:rsidRPr="009770A5">
        <w:rPr>
          <w:noProof/>
          <w:snapToGrid w:val="0"/>
          <w:kern w:val="22"/>
          <w:szCs w:val="22"/>
          <w:lang w:val="fr-CA"/>
        </w:rPr>
        <w:t>ts du programme de travail 2030</w:t>
      </w:r>
      <w:r w:rsidRPr="009770A5">
        <w:rPr>
          <w:noProof/>
          <w:snapToGrid w:val="0"/>
          <w:kern w:val="22"/>
          <w:szCs w:val="22"/>
          <w:lang w:val="fr-CA"/>
        </w:rPr>
        <w:t>;</w:t>
      </w:r>
    </w:p>
    <w:p w14:paraId="28DE7DF5" w14:textId="77777777" w:rsidR="00E34747" w:rsidRPr="009770A5" w:rsidRDefault="005F3720" w:rsidP="005F3720">
      <w:pPr>
        <w:suppressLineNumbers/>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3.</w:t>
      </w:r>
      <w:r w:rsidRPr="009770A5">
        <w:rPr>
          <w:noProof/>
          <w:snapToGrid w:val="0"/>
          <w:kern w:val="22"/>
          <w:szCs w:val="22"/>
          <w:lang w:val="fr-CA"/>
        </w:rPr>
        <w:tab/>
      </w:r>
      <w:r w:rsidRPr="009770A5">
        <w:rPr>
          <w:i/>
          <w:iCs/>
          <w:noProof/>
          <w:snapToGrid w:val="0"/>
          <w:kern w:val="22"/>
          <w:szCs w:val="22"/>
          <w:lang w:val="fr-CA"/>
        </w:rPr>
        <w:t xml:space="preserve">Se félicite également du </w:t>
      </w:r>
      <w:r w:rsidRPr="009770A5">
        <w:rPr>
          <w:noProof/>
          <w:snapToGrid w:val="0"/>
          <w:kern w:val="22"/>
          <w:szCs w:val="22"/>
          <w:lang w:val="fr-CA"/>
        </w:rPr>
        <w:t xml:space="preserve">fait que le programme de travail glissant jusqu'en 2030 de la Plateforme comprend des objectifs liés à chacune des quatre fonctions de la Plateforme intergouvernementale scientifique et politique sur la biodiversité et les services écosystémiques, ainsi que </w:t>
      </w:r>
      <w:r w:rsidRPr="009770A5">
        <w:rPr>
          <w:noProof/>
          <w:snapToGrid w:val="0"/>
          <w:kern w:val="22"/>
          <w:szCs w:val="22"/>
          <w:lang w:val="fr-CA"/>
        </w:rPr>
        <w:lastRenderedPageBreak/>
        <w:t>le renforcement de la communication et de l'engagement des Gouvernements et des parties prenantes et l'amélioration de l'efficacité de la Plateforme, mis en œuvre de manière à ce que les objectifs se renforcent mutuellement</w:t>
      </w:r>
      <w:r w:rsidR="00E34747" w:rsidRPr="009770A5">
        <w:rPr>
          <w:noProof/>
          <w:snapToGrid w:val="0"/>
          <w:kern w:val="22"/>
          <w:szCs w:val="22"/>
          <w:lang w:val="fr-CA"/>
        </w:rPr>
        <w:t>;</w:t>
      </w:r>
    </w:p>
    <w:p w14:paraId="7A92E070" w14:textId="77777777" w:rsidR="0079023F" w:rsidRPr="009770A5" w:rsidRDefault="00E34747" w:rsidP="0079023F">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color w:val="000000" w:themeColor="text1"/>
          <w:kern w:val="22"/>
          <w:szCs w:val="22"/>
          <w:lang w:val="fr-CA"/>
        </w:rPr>
      </w:pPr>
      <w:r w:rsidRPr="009770A5">
        <w:rPr>
          <w:noProof/>
          <w:snapToGrid w:val="0"/>
          <w:color w:val="000000" w:themeColor="text1"/>
          <w:kern w:val="22"/>
          <w:szCs w:val="22"/>
          <w:shd w:val="clear" w:color="auto" w:fill="FFFFFF" w:themeFill="background1"/>
          <w:lang w:val="fr-CA"/>
        </w:rPr>
        <w:t>4.</w:t>
      </w:r>
      <w:r w:rsidRPr="009770A5">
        <w:rPr>
          <w:noProof/>
          <w:snapToGrid w:val="0"/>
          <w:color w:val="000000" w:themeColor="text1"/>
          <w:kern w:val="22"/>
          <w:szCs w:val="22"/>
          <w:shd w:val="clear" w:color="auto" w:fill="FFFFFF" w:themeFill="background1"/>
          <w:lang w:val="fr-CA"/>
        </w:rPr>
        <w:tab/>
      </w:r>
      <w:r w:rsidR="0079023F" w:rsidRPr="009770A5">
        <w:rPr>
          <w:i/>
          <w:iCs/>
          <w:noProof/>
          <w:snapToGrid w:val="0"/>
          <w:color w:val="000000" w:themeColor="text1"/>
          <w:kern w:val="22"/>
          <w:szCs w:val="22"/>
          <w:shd w:val="clear" w:color="auto" w:fill="FFFFFF" w:themeFill="background1"/>
          <w:lang w:val="fr-CA"/>
        </w:rPr>
        <w:t xml:space="preserve">Se félicite de </w:t>
      </w:r>
      <w:r w:rsidR="0079023F" w:rsidRPr="009770A5">
        <w:rPr>
          <w:noProof/>
          <w:snapToGrid w:val="0"/>
          <w:color w:val="000000" w:themeColor="text1"/>
          <w:kern w:val="22"/>
          <w:szCs w:val="22"/>
          <w:shd w:val="clear" w:color="auto" w:fill="FFFFFF" w:themeFill="background1"/>
          <w:lang w:val="fr-CA"/>
        </w:rPr>
        <w:t>l'approbation par la plénière de la Plateforme intergouvernementale scientifique et politique sur la biodiversité et les services écosystémiques, lors de sa huitième session, d'entreprendre des évaluations thématiques sur les liens entre la biodiversité, l'eau, l'alimentation et la santé (« l'évaluation des liens »), et sur les causes sous-jacentes de la perte de biodiversité et les déterminants du changement transformateur et les options pour atteindre la vision 2050 (« évaluation du changement transformateur »), et, lors de sa neuvième session, d'entreprendre une évaluation méthodologique de l'impact et de la dépendance des entreprises sur la biodiversité et les contributions de la nature aux personnes (« évaluation des entreprises et de la biodiversité »), comme indiqué dans les rapports de cadrage respectifs,</w:t>
      </w:r>
      <w:r w:rsidR="0079023F" w:rsidRPr="009770A5">
        <w:rPr>
          <w:rStyle w:val="FootnoteReference"/>
          <w:rFonts w:eastAsiaTheme="majorEastAsia"/>
          <w:noProof/>
          <w:snapToGrid w:val="0"/>
          <w:color w:val="000000" w:themeColor="text1"/>
          <w:kern w:val="22"/>
          <w:szCs w:val="22"/>
          <w:shd w:val="clear" w:color="auto" w:fill="FFFFFF" w:themeFill="background1"/>
          <w:lang w:val="fr-CA"/>
        </w:rPr>
        <w:footnoteReference w:id="2"/>
      </w:r>
      <w:r w:rsidR="0079023F" w:rsidRPr="009770A5">
        <w:rPr>
          <w:noProof/>
          <w:snapToGrid w:val="0"/>
          <w:color w:val="000000" w:themeColor="text1"/>
          <w:kern w:val="22"/>
          <w:szCs w:val="22"/>
          <w:shd w:val="clear" w:color="auto" w:fill="FFFFFF" w:themeFill="background1"/>
          <w:lang w:val="fr-CA"/>
        </w:rPr>
        <w:t xml:space="preserve"> et l'importante contribution scientifique de ces évaluations pour la mise en œuvre du </w:t>
      </w:r>
      <w:r w:rsidR="0079023F" w:rsidRPr="009770A5">
        <w:rPr>
          <w:noProof/>
          <w:snapToGrid w:val="0"/>
          <w:color w:val="000000" w:themeColor="text1"/>
          <w:kern w:val="22"/>
          <w:szCs w:val="22"/>
          <w:lang w:val="fr-CA"/>
        </w:rPr>
        <w:t xml:space="preserve">cadre mondial de la </w:t>
      </w:r>
      <w:r w:rsidR="0079023F" w:rsidRPr="009770A5">
        <w:rPr>
          <w:noProof/>
          <w:snapToGrid w:val="0"/>
          <w:color w:val="000000" w:themeColor="text1"/>
          <w:kern w:val="22"/>
          <w:szCs w:val="22"/>
          <w:shd w:val="clear" w:color="auto" w:fill="FFFFFF" w:themeFill="background1"/>
          <w:lang w:val="fr-CA"/>
        </w:rPr>
        <w:t xml:space="preserve">biodiversité </w:t>
      </w:r>
      <w:r w:rsidR="0079023F" w:rsidRPr="009770A5">
        <w:rPr>
          <w:noProof/>
          <w:snapToGrid w:val="0"/>
          <w:color w:val="000000" w:themeColor="text1"/>
          <w:kern w:val="22"/>
          <w:szCs w:val="22"/>
          <w:lang w:val="fr-CA"/>
        </w:rPr>
        <w:t>pour l'</w:t>
      </w:r>
      <w:r w:rsidR="0079023F" w:rsidRPr="009770A5">
        <w:rPr>
          <w:noProof/>
          <w:snapToGrid w:val="0"/>
          <w:color w:val="000000" w:themeColor="text1"/>
          <w:kern w:val="22"/>
          <w:szCs w:val="22"/>
          <w:shd w:val="clear" w:color="auto" w:fill="FFFFFF" w:themeFill="background1"/>
          <w:lang w:val="fr-CA"/>
        </w:rPr>
        <w:t>après-2020</w:t>
      </w:r>
      <w:r w:rsidR="0079023F" w:rsidRPr="009770A5">
        <w:rPr>
          <w:noProof/>
          <w:snapToGrid w:val="0"/>
          <w:color w:val="000000" w:themeColor="text1"/>
          <w:kern w:val="22"/>
          <w:szCs w:val="22"/>
          <w:lang w:val="fr-CA"/>
        </w:rPr>
        <w:t xml:space="preserve">, et invite les Parties et les organisations concernées à participer aux évaluations par le biais des processus d'examen officiels; </w:t>
      </w:r>
    </w:p>
    <w:p w14:paraId="6FB930FB" w14:textId="77777777" w:rsidR="0079023F" w:rsidRPr="009770A5" w:rsidRDefault="0079023F" w:rsidP="0079023F">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color w:val="000000" w:themeColor="text1"/>
          <w:kern w:val="22"/>
          <w:szCs w:val="22"/>
          <w:lang w:val="fr-CA"/>
        </w:rPr>
      </w:pPr>
      <w:r w:rsidRPr="009770A5">
        <w:rPr>
          <w:noProof/>
          <w:snapToGrid w:val="0"/>
          <w:color w:val="000000" w:themeColor="text1"/>
          <w:kern w:val="22"/>
          <w:szCs w:val="22"/>
          <w:shd w:val="clear" w:color="auto" w:fill="FFFFFF" w:themeFill="background1"/>
          <w:lang w:val="fr-CA"/>
        </w:rPr>
        <w:t>5.</w:t>
      </w:r>
      <w:r w:rsidRPr="009770A5">
        <w:rPr>
          <w:noProof/>
          <w:snapToGrid w:val="0"/>
          <w:color w:val="000000" w:themeColor="text1"/>
          <w:kern w:val="22"/>
          <w:szCs w:val="22"/>
          <w:shd w:val="clear" w:color="auto" w:fill="FFFFFF" w:themeFill="background1"/>
          <w:lang w:val="fr-CA"/>
        </w:rPr>
        <w:tab/>
      </w:r>
      <w:r w:rsidRPr="009770A5">
        <w:rPr>
          <w:i/>
          <w:iCs/>
          <w:noProof/>
          <w:snapToGrid w:val="0"/>
          <w:color w:val="000000" w:themeColor="text1"/>
          <w:kern w:val="22"/>
          <w:szCs w:val="22"/>
          <w:shd w:val="clear" w:color="auto" w:fill="FFFFFF" w:themeFill="background1"/>
          <w:lang w:val="fr-CA"/>
        </w:rPr>
        <w:t xml:space="preserve">Se félicite également de </w:t>
      </w:r>
      <w:r w:rsidRPr="009770A5">
        <w:rPr>
          <w:noProof/>
          <w:snapToGrid w:val="0"/>
          <w:color w:val="000000" w:themeColor="text1"/>
          <w:kern w:val="22"/>
          <w:szCs w:val="22"/>
          <w:shd w:val="clear" w:color="auto" w:fill="FFFFFF" w:themeFill="background1"/>
          <w:lang w:val="fr-CA"/>
        </w:rPr>
        <w:t xml:space="preserve">l'approbation par la plénière de la Plateforme intergouvernementale scientifique et politique sur la biodiversité et les services écosystémiques, à sa neuvième session, des résumés à l'intention des décideurs de l'Évaluation méthodologique des diverses valeurs et de la valorisation de la nature, et de l'Évaluation thématique de l'utilisation durable des espèces sauvages, et de l'acceptation des chapitres des évaluations respectives, y compris leurs résumés exécutifs, et prend également note des progrès accomplis dans la préparation de l'évaluation thématique des espèces exotiques envahissantes et de leur contrôle, et </w:t>
      </w:r>
      <w:r w:rsidRPr="009770A5">
        <w:rPr>
          <w:noProof/>
          <w:snapToGrid w:val="0"/>
          <w:color w:val="000000" w:themeColor="text1"/>
          <w:kern w:val="22"/>
          <w:szCs w:val="22"/>
          <w:lang w:val="fr-CA"/>
        </w:rPr>
        <w:t>demande à l'Organe subsidiaire chargé des avis scientifiques, techniques et technologiques d'examiner les conclusions de ces évaluations et de formuler des recommandations relatives à l'application de la Convention et, en particulier, du cadre mondial de la biodiversité pour l'après-2020, pour examen par la Conférence des Parties à sa seizième réunion;</w:t>
      </w:r>
    </w:p>
    <w:p w14:paraId="2E98F69C" w14:textId="77777777" w:rsidR="00E34747" w:rsidRPr="009770A5" w:rsidRDefault="0079023F" w:rsidP="0079023F">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6.</w:t>
      </w:r>
      <w:r w:rsidRPr="009770A5">
        <w:rPr>
          <w:noProof/>
          <w:snapToGrid w:val="0"/>
          <w:kern w:val="22"/>
          <w:szCs w:val="22"/>
          <w:lang w:val="fr-CA"/>
        </w:rPr>
        <w:tab/>
      </w:r>
      <w:r w:rsidRPr="009770A5">
        <w:rPr>
          <w:i/>
          <w:iCs/>
          <w:noProof/>
          <w:snapToGrid w:val="0"/>
          <w:kern w:val="22"/>
          <w:szCs w:val="22"/>
          <w:lang w:val="fr-CA"/>
        </w:rPr>
        <w:t xml:space="preserve">Prend note </w:t>
      </w:r>
      <w:r w:rsidRPr="009770A5">
        <w:rPr>
          <w:noProof/>
          <w:snapToGrid w:val="0"/>
          <w:kern w:val="22"/>
          <w:szCs w:val="22"/>
          <w:lang w:val="fr-CA"/>
        </w:rPr>
        <w:t>du rapport de l'atelier d'experts organisé par la Plateforme intergouvernementale scientifique et politique sur la biodiversité et les services écosystémiques sur la biodiversité et les pandémies,</w:t>
      </w:r>
      <w:r w:rsidRPr="009770A5">
        <w:rPr>
          <w:rStyle w:val="FootnoteReference"/>
          <w:noProof/>
          <w:snapToGrid w:val="0"/>
          <w:kern w:val="22"/>
          <w:szCs w:val="22"/>
          <w:lang w:val="fr-CA"/>
        </w:rPr>
        <w:footnoteReference w:id="3"/>
      </w:r>
      <w:r w:rsidRPr="009770A5">
        <w:rPr>
          <w:noProof/>
          <w:snapToGrid w:val="0"/>
          <w:kern w:val="22"/>
          <w:szCs w:val="22"/>
          <w:lang w:val="fr-CA"/>
        </w:rPr>
        <w:t xml:space="preserve"> et note sa pertinence pour les travaux de la Convention, notamment le cadre mondial de la biodiversité pour l'après-2020, ainsi que les travaux menés au titre de la Convention sur les liens entre la biodiversité et la santé</w:t>
      </w:r>
      <w:r w:rsidR="00E34747" w:rsidRPr="009770A5">
        <w:rPr>
          <w:noProof/>
          <w:snapToGrid w:val="0"/>
          <w:kern w:val="22"/>
          <w:szCs w:val="22"/>
          <w:lang w:val="fr-CA"/>
        </w:rPr>
        <w:t>;</w:t>
      </w:r>
    </w:p>
    <w:p w14:paraId="3D398807" w14:textId="77777777" w:rsidR="00E34747" w:rsidRPr="009770A5" w:rsidRDefault="00E34747" w:rsidP="00E34747">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7.</w:t>
      </w:r>
      <w:r w:rsidRPr="009770A5">
        <w:rPr>
          <w:noProof/>
          <w:snapToGrid w:val="0"/>
          <w:kern w:val="22"/>
          <w:szCs w:val="22"/>
          <w:lang w:val="fr-CA"/>
        </w:rPr>
        <w:tab/>
      </w:r>
      <w:r w:rsidR="0079023F" w:rsidRPr="009770A5">
        <w:rPr>
          <w:i/>
          <w:noProof/>
          <w:snapToGrid w:val="0"/>
          <w:kern w:val="22"/>
          <w:szCs w:val="22"/>
          <w:lang w:val="fr-CA"/>
        </w:rPr>
        <w:t xml:space="preserve">Se félicite de </w:t>
      </w:r>
      <w:r w:rsidR="0079023F" w:rsidRPr="009770A5">
        <w:rPr>
          <w:noProof/>
          <w:snapToGrid w:val="0"/>
          <w:kern w:val="22"/>
          <w:szCs w:val="22"/>
          <w:lang w:val="fr-CA"/>
        </w:rPr>
        <w:t xml:space="preserve">la coopération entre la Plateforme intergouvernementale scientifique et politique sur la biodiversité et les services écosystémiques et le Groupe d'experts intergouvernemental sur l'évolution du climat; </w:t>
      </w:r>
      <w:r w:rsidR="0079023F" w:rsidRPr="009770A5">
        <w:rPr>
          <w:i/>
          <w:iCs/>
          <w:noProof/>
          <w:snapToGrid w:val="0"/>
          <w:kern w:val="22"/>
          <w:szCs w:val="22"/>
          <w:lang w:val="fr-CA"/>
        </w:rPr>
        <w:t xml:space="preserve">prend note </w:t>
      </w:r>
      <w:r w:rsidR="0079023F" w:rsidRPr="009770A5">
        <w:rPr>
          <w:iCs/>
          <w:noProof/>
          <w:snapToGrid w:val="0"/>
          <w:kern w:val="22"/>
          <w:szCs w:val="22"/>
          <w:lang w:val="fr-CA"/>
        </w:rPr>
        <w:t>du rapport sur</w:t>
      </w:r>
      <w:r w:rsidR="0079023F" w:rsidRPr="009770A5">
        <w:rPr>
          <w:noProof/>
          <w:snapToGrid w:val="0"/>
          <w:kern w:val="22"/>
          <w:szCs w:val="22"/>
          <w:lang w:val="fr-CA"/>
        </w:rPr>
        <w:t xml:space="preserve"> l'atelier coparrainé sur la biodiversité et les changements climatiques,</w:t>
      </w:r>
      <w:r w:rsidR="0079023F" w:rsidRPr="009770A5">
        <w:rPr>
          <w:rStyle w:val="FootnoteReference"/>
          <w:rFonts w:eastAsiaTheme="majorEastAsia"/>
          <w:noProof/>
          <w:snapToGrid w:val="0"/>
          <w:kern w:val="22"/>
          <w:szCs w:val="22"/>
          <w:lang w:val="fr-CA"/>
        </w:rPr>
        <w:footnoteReference w:id="4"/>
      </w:r>
      <w:r w:rsidR="0079023F" w:rsidRPr="009770A5">
        <w:rPr>
          <w:noProof/>
          <w:snapToGrid w:val="0"/>
          <w:kern w:val="22"/>
          <w:szCs w:val="22"/>
          <w:lang w:val="fr-CA"/>
        </w:rPr>
        <w:t xml:space="preserve"> prenant note des conclusions de cet atelier; rappelant la décision 14/36, </w:t>
      </w:r>
      <w:r w:rsidR="0079023F" w:rsidRPr="009770A5">
        <w:rPr>
          <w:i/>
          <w:noProof/>
          <w:snapToGrid w:val="0"/>
          <w:kern w:val="22"/>
          <w:szCs w:val="22"/>
          <w:lang w:val="fr-CA"/>
        </w:rPr>
        <w:t xml:space="preserve">encourage </w:t>
      </w:r>
      <w:r w:rsidR="0079023F" w:rsidRPr="009770A5">
        <w:rPr>
          <w:noProof/>
          <w:snapToGrid w:val="0"/>
          <w:kern w:val="22"/>
          <w:szCs w:val="22"/>
          <w:lang w:val="fr-CA"/>
        </w:rPr>
        <w:t xml:space="preserve">les deux organes à poursuivre et à renforcer encore leur collaboration de manière transparente et participative, en vue d'accroître la cohérence tout en évitant les doubles emplois; et </w:t>
      </w:r>
      <w:r w:rsidR="0079023F" w:rsidRPr="009770A5">
        <w:rPr>
          <w:i/>
          <w:iCs/>
          <w:noProof/>
          <w:snapToGrid w:val="0"/>
          <w:kern w:val="22"/>
          <w:szCs w:val="22"/>
          <w:lang w:val="fr-CA"/>
        </w:rPr>
        <w:t xml:space="preserve">invite les </w:t>
      </w:r>
      <w:r w:rsidR="0079023F" w:rsidRPr="009770A5">
        <w:rPr>
          <w:noProof/>
          <w:snapToGrid w:val="0"/>
          <w:kern w:val="22"/>
          <w:szCs w:val="22"/>
          <w:lang w:val="fr-CA"/>
        </w:rPr>
        <w:t>Parties à coordonner leurs travaux avec les points focaux nationaux de la Plateforme intergouvernementale scientifique et politique sur la biodiversité et les services écosystémiques et du Groupe d'experts intergouvernemental sur l'évolution du climat en ce qui concerne les évaluations de la biodiversité et des changements climatiques</w:t>
      </w:r>
      <w:r w:rsidRPr="009770A5">
        <w:rPr>
          <w:noProof/>
          <w:snapToGrid w:val="0"/>
          <w:kern w:val="22"/>
          <w:szCs w:val="22"/>
          <w:lang w:val="fr-CA"/>
        </w:rPr>
        <w:t>;</w:t>
      </w:r>
    </w:p>
    <w:p w14:paraId="632447B6" w14:textId="77777777" w:rsidR="00AE2E8A" w:rsidRPr="009770A5" w:rsidRDefault="00E34747" w:rsidP="00AE2E8A">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lastRenderedPageBreak/>
        <w:t>8.</w:t>
      </w:r>
      <w:r w:rsidRPr="009770A5">
        <w:rPr>
          <w:noProof/>
          <w:snapToGrid w:val="0"/>
          <w:kern w:val="22"/>
          <w:szCs w:val="22"/>
          <w:lang w:val="fr-CA"/>
        </w:rPr>
        <w:tab/>
      </w:r>
      <w:r w:rsidR="00AE2E8A" w:rsidRPr="009770A5">
        <w:rPr>
          <w:i/>
          <w:noProof/>
          <w:snapToGrid w:val="0"/>
          <w:kern w:val="22"/>
          <w:szCs w:val="22"/>
          <w:lang w:val="fr-CA"/>
        </w:rPr>
        <w:t xml:space="preserve">Note </w:t>
      </w:r>
      <w:r w:rsidR="00AE2E8A" w:rsidRPr="009770A5">
        <w:rPr>
          <w:noProof/>
          <w:snapToGrid w:val="0"/>
          <w:kern w:val="22"/>
          <w:szCs w:val="22"/>
          <w:lang w:val="fr-CA"/>
        </w:rPr>
        <w:t xml:space="preserve">que la Plateforme intergouvernementale scientifique et politique sur la biodiversité et les services écosystémiques examinera, à sa dixième session, les demandes, contributions et suggestions reçues à temps pour être examinées à cette session, notamment pour une deuxième évaluation mondiale de la biodiversité et des services écosystémiques et pour une évaluation de la connectivité écologique, ainsi que pour d'éventuelles évaluations supplémentaires accélérées, et </w:t>
      </w:r>
      <w:r w:rsidR="00AE2E8A" w:rsidRPr="009770A5">
        <w:rPr>
          <w:i/>
          <w:noProof/>
          <w:snapToGrid w:val="0"/>
          <w:kern w:val="22"/>
          <w:szCs w:val="22"/>
          <w:lang w:val="fr-CA"/>
        </w:rPr>
        <w:t xml:space="preserve">invite </w:t>
      </w:r>
      <w:r w:rsidR="00AE2E8A" w:rsidRPr="009770A5">
        <w:rPr>
          <w:noProof/>
          <w:snapToGrid w:val="0"/>
          <w:kern w:val="22"/>
          <w:szCs w:val="22"/>
          <w:lang w:val="fr-CA"/>
        </w:rPr>
        <w:t xml:space="preserve">la Plateforme à examiner les demandes figurant dans l'annexe de la présente décision; </w:t>
      </w:r>
    </w:p>
    <w:p w14:paraId="01E002CA" w14:textId="77777777" w:rsidR="00AE2E8A" w:rsidRPr="009770A5" w:rsidRDefault="00AE2E8A" w:rsidP="00AE2E8A">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9.</w:t>
      </w:r>
      <w:r w:rsidRPr="009770A5">
        <w:rPr>
          <w:noProof/>
          <w:snapToGrid w:val="0"/>
          <w:kern w:val="22"/>
          <w:szCs w:val="22"/>
          <w:lang w:val="fr-CA"/>
        </w:rPr>
        <w:tab/>
      </w:r>
      <w:r w:rsidRPr="009770A5">
        <w:rPr>
          <w:i/>
          <w:iCs/>
          <w:noProof/>
          <w:snapToGrid w:val="0"/>
          <w:kern w:val="22"/>
          <w:szCs w:val="22"/>
          <w:lang w:val="fr-CA"/>
        </w:rPr>
        <w:t xml:space="preserve">Prie </w:t>
      </w:r>
      <w:r w:rsidRPr="009770A5">
        <w:rPr>
          <w:noProof/>
          <w:snapToGrid w:val="0"/>
          <w:kern w:val="22"/>
          <w:szCs w:val="22"/>
          <w:lang w:val="fr-CA"/>
        </w:rPr>
        <w:t>la Secrétaire exécutive d'évaluer régulièrement et systématiquement et de rendre compte à l'Organe subsidiaire chargé de fournir des avis scientifiques, techniques et technologiques sur la manière de prendre en compte les produits livrables de toutes les fonctions et de tous les processus de la Plateforme intergouvernementale scientifique et politique sur la biodiversité et les services écosystémiques pour l'application de la Convention, y compris un calendrier prévisionnel et un point régulier à l'ordre du jour des réunions de l'Organe subsidiaire;</w:t>
      </w:r>
    </w:p>
    <w:p w14:paraId="09D7A18E" w14:textId="77777777" w:rsidR="00E34747" w:rsidRPr="009770A5" w:rsidRDefault="00AE2E8A" w:rsidP="00AE2E8A">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10.</w:t>
      </w:r>
      <w:r w:rsidRPr="009770A5">
        <w:rPr>
          <w:noProof/>
          <w:snapToGrid w:val="0"/>
          <w:kern w:val="22"/>
          <w:szCs w:val="22"/>
          <w:lang w:val="fr-CA"/>
        </w:rPr>
        <w:tab/>
      </w:r>
      <w:r w:rsidRPr="009770A5">
        <w:rPr>
          <w:i/>
          <w:iCs/>
          <w:noProof/>
          <w:snapToGrid w:val="0"/>
          <w:kern w:val="22"/>
          <w:szCs w:val="22"/>
          <w:lang w:val="fr-CA"/>
        </w:rPr>
        <w:t xml:space="preserve">Demande également </w:t>
      </w:r>
      <w:r w:rsidRPr="009770A5">
        <w:rPr>
          <w:iCs/>
          <w:noProof/>
          <w:snapToGrid w:val="0"/>
          <w:kern w:val="22"/>
          <w:szCs w:val="22"/>
          <w:lang w:val="fr-CA"/>
        </w:rPr>
        <w:t>à la Secrétaire</w:t>
      </w:r>
      <w:r w:rsidRPr="009770A5">
        <w:rPr>
          <w:i/>
          <w:iCs/>
          <w:noProof/>
          <w:snapToGrid w:val="0"/>
          <w:kern w:val="22"/>
          <w:szCs w:val="22"/>
          <w:lang w:val="fr-CA"/>
        </w:rPr>
        <w:t xml:space="preserve"> </w:t>
      </w:r>
      <w:r w:rsidRPr="009770A5">
        <w:rPr>
          <w:noProof/>
          <w:snapToGrid w:val="0"/>
          <w:kern w:val="22"/>
          <w:szCs w:val="22"/>
          <w:lang w:val="fr-CA"/>
        </w:rPr>
        <w:t>exécutive de recenser les points de vue des Parties sur la façon dont la Plateforme intergouvernementale scientifique et politique sur la biodiversité et les services écosystémiques pourrait, dans le cadre de ses fonctions définies sur la production de nouvelles évaluations, le renforcement des capacités, le renforcement des connaissances et le soutien aux politiques, contribuer au processus d'examen et de suivi du cadre mondial de la biodiversité pour l'après-2020</w:t>
      </w:r>
      <w:r w:rsidR="00E34747" w:rsidRPr="009770A5">
        <w:rPr>
          <w:noProof/>
          <w:snapToGrid w:val="0"/>
          <w:kern w:val="22"/>
          <w:szCs w:val="22"/>
          <w:lang w:val="fr-CA"/>
        </w:rPr>
        <w:t>;</w:t>
      </w:r>
    </w:p>
    <w:p w14:paraId="305D7179" w14:textId="77777777" w:rsidR="00AE2E8A" w:rsidRPr="009770A5" w:rsidRDefault="00E34747" w:rsidP="00AE2E8A">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napToGrid w:val="0"/>
          <w:kern w:val="22"/>
          <w:szCs w:val="22"/>
          <w:lang w:val="fr-CA"/>
        </w:rPr>
      </w:pPr>
      <w:r w:rsidRPr="009770A5">
        <w:rPr>
          <w:noProof/>
          <w:snapToGrid w:val="0"/>
          <w:kern w:val="22"/>
          <w:szCs w:val="22"/>
          <w:lang w:val="fr-CA"/>
        </w:rPr>
        <w:t>11.</w:t>
      </w:r>
      <w:r w:rsidRPr="009770A5">
        <w:rPr>
          <w:noProof/>
          <w:snapToGrid w:val="0"/>
          <w:kern w:val="22"/>
          <w:szCs w:val="22"/>
          <w:lang w:val="fr-CA"/>
        </w:rPr>
        <w:tab/>
      </w:r>
      <w:r w:rsidR="00AE2E8A" w:rsidRPr="009770A5">
        <w:rPr>
          <w:i/>
          <w:iCs/>
          <w:noProof/>
          <w:snapToGrid w:val="0"/>
          <w:kern w:val="22"/>
          <w:szCs w:val="22"/>
          <w:lang w:val="fr-CA"/>
        </w:rPr>
        <w:t xml:space="preserve">Invite </w:t>
      </w:r>
      <w:r w:rsidR="00AE2E8A" w:rsidRPr="009770A5">
        <w:rPr>
          <w:noProof/>
          <w:snapToGrid w:val="0"/>
          <w:kern w:val="22"/>
          <w:szCs w:val="22"/>
          <w:lang w:val="fr-CA"/>
        </w:rPr>
        <w:t>la Plateforme intergouvernementale scientifique et politique sur la biodiversité et les services écosystémiques à contribuer aux travaux du groupe spécial d'experts techniques sur les indicateurs du cadre mondial de la biodiversité pour l'après-2020;</w:t>
      </w:r>
    </w:p>
    <w:p w14:paraId="0BD6F1DD" w14:textId="77777777" w:rsidR="00E34747" w:rsidRPr="009770A5" w:rsidRDefault="00AE2E8A" w:rsidP="00AE2E8A">
      <w:pPr>
        <w:suppressLineNumbers/>
        <w:shd w:val="clear" w:color="auto" w:fill="FFFFFF" w:themeFill="background1"/>
        <w:suppressAutoHyphens/>
        <w:kinsoku w:val="0"/>
        <w:overflowPunct w:val="0"/>
        <w:autoSpaceDE w:val="0"/>
        <w:autoSpaceDN w:val="0"/>
        <w:adjustRightInd w:val="0"/>
        <w:snapToGrid w:val="0"/>
        <w:spacing w:before="120" w:after="120"/>
        <w:ind w:firstLine="851"/>
        <w:rPr>
          <w:noProof/>
          <w:szCs w:val="22"/>
          <w:lang w:val="fr-CA"/>
        </w:rPr>
      </w:pPr>
      <w:r w:rsidRPr="009770A5">
        <w:rPr>
          <w:noProof/>
          <w:snapToGrid w:val="0"/>
          <w:kern w:val="22"/>
          <w:szCs w:val="22"/>
          <w:lang w:val="fr-CA"/>
        </w:rPr>
        <w:t>12.</w:t>
      </w:r>
      <w:r w:rsidRPr="009770A5">
        <w:rPr>
          <w:noProof/>
          <w:snapToGrid w:val="0"/>
          <w:kern w:val="22"/>
          <w:szCs w:val="22"/>
          <w:lang w:val="fr-CA"/>
        </w:rPr>
        <w:tab/>
      </w:r>
      <w:r w:rsidRPr="009770A5">
        <w:rPr>
          <w:i/>
          <w:iCs/>
          <w:noProof/>
          <w:snapToGrid w:val="0"/>
          <w:kern w:val="22"/>
          <w:szCs w:val="22"/>
          <w:lang w:val="fr-CA"/>
        </w:rPr>
        <w:t xml:space="preserve">Prend note </w:t>
      </w:r>
      <w:r w:rsidRPr="009770A5">
        <w:rPr>
          <w:noProof/>
          <w:snapToGrid w:val="0"/>
          <w:kern w:val="22"/>
          <w:szCs w:val="22"/>
          <w:lang w:val="fr-CA"/>
        </w:rPr>
        <w:t>des informations contenues dans l'annexe à la note de la Secrétaire exécutive,</w:t>
      </w:r>
      <w:r w:rsidRPr="009770A5">
        <w:rPr>
          <w:rStyle w:val="FootnoteReference"/>
          <w:noProof/>
          <w:snapToGrid w:val="0"/>
          <w:kern w:val="22"/>
          <w:szCs w:val="22"/>
          <w:lang w:val="fr-CA"/>
        </w:rPr>
        <w:footnoteReference w:id="5"/>
      </w:r>
      <w:r w:rsidRPr="009770A5">
        <w:rPr>
          <w:noProof/>
          <w:snapToGrid w:val="0"/>
          <w:kern w:val="22"/>
          <w:szCs w:val="22"/>
          <w:lang w:val="fr-CA"/>
        </w:rPr>
        <w:t xml:space="preserve"> note également </w:t>
      </w:r>
      <w:r w:rsidRPr="009770A5" w:rsidDel="006F7776">
        <w:rPr>
          <w:noProof/>
          <w:snapToGrid w:val="0"/>
          <w:kern w:val="22"/>
          <w:szCs w:val="22"/>
          <w:lang w:val="fr-CA"/>
        </w:rPr>
        <w:t xml:space="preserve">les progrès réalisés dans un certain nombre de pays dans l'élaboration d'évaluations nationales de la biodiversité et des services écosystémiques, </w:t>
      </w:r>
      <w:r w:rsidRPr="009770A5" w:rsidDel="006F7776">
        <w:rPr>
          <w:iCs/>
          <w:noProof/>
          <w:snapToGrid w:val="0"/>
          <w:kern w:val="22"/>
          <w:szCs w:val="22"/>
          <w:lang w:val="fr-CA"/>
        </w:rPr>
        <w:t xml:space="preserve">encourage </w:t>
      </w:r>
      <w:r w:rsidRPr="009770A5" w:rsidDel="006F7776">
        <w:rPr>
          <w:noProof/>
          <w:snapToGrid w:val="0"/>
          <w:kern w:val="22"/>
          <w:szCs w:val="22"/>
          <w:lang w:val="fr-CA"/>
        </w:rPr>
        <w:t xml:space="preserve">toutes les Parties et autres Gouvernements </w:t>
      </w:r>
      <w:r w:rsidRPr="009770A5">
        <w:rPr>
          <w:noProof/>
          <w:snapToGrid w:val="0"/>
          <w:kern w:val="22"/>
          <w:szCs w:val="22"/>
          <w:lang w:val="fr-CA"/>
        </w:rPr>
        <w:t xml:space="preserve">ainsi que les gouvernements infranationaux à réaliser de </w:t>
      </w:r>
      <w:r w:rsidRPr="009770A5" w:rsidDel="006F7776">
        <w:rPr>
          <w:noProof/>
          <w:snapToGrid w:val="0"/>
          <w:kern w:val="22"/>
          <w:szCs w:val="22"/>
          <w:lang w:val="fr-CA"/>
        </w:rPr>
        <w:t xml:space="preserve">telles évaluations nationales </w:t>
      </w:r>
      <w:r w:rsidRPr="009770A5">
        <w:rPr>
          <w:noProof/>
          <w:snapToGrid w:val="0"/>
          <w:kern w:val="22"/>
          <w:szCs w:val="22"/>
          <w:lang w:val="fr-CA"/>
        </w:rPr>
        <w:t>ou infranationales</w:t>
      </w:r>
      <w:r w:rsidRPr="009770A5" w:rsidDel="006F7776">
        <w:rPr>
          <w:noProof/>
          <w:snapToGrid w:val="0"/>
          <w:kern w:val="22"/>
          <w:szCs w:val="22"/>
          <w:lang w:val="fr-CA"/>
        </w:rPr>
        <w:t>, avec l'engagement total des peuples autochtones et des communautés locales</w:t>
      </w:r>
      <w:r w:rsidRPr="009770A5">
        <w:rPr>
          <w:noProof/>
          <w:snapToGrid w:val="0"/>
          <w:kern w:val="22"/>
          <w:szCs w:val="22"/>
          <w:lang w:val="fr-CA"/>
        </w:rPr>
        <w:t xml:space="preserve">, des femmes, des jeunes, de la société civile, du monde universitaire et des </w:t>
      </w:r>
      <w:r w:rsidRPr="009770A5" w:rsidDel="006F7776">
        <w:rPr>
          <w:noProof/>
          <w:snapToGrid w:val="0"/>
          <w:kern w:val="22"/>
          <w:szCs w:val="22"/>
          <w:lang w:val="fr-CA"/>
        </w:rPr>
        <w:t xml:space="preserve">entreprises, en </w:t>
      </w:r>
      <w:r w:rsidRPr="009770A5">
        <w:rPr>
          <w:noProof/>
          <w:snapToGrid w:val="0"/>
          <w:kern w:val="22"/>
          <w:szCs w:val="22"/>
          <w:lang w:val="fr-CA"/>
        </w:rPr>
        <w:t xml:space="preserve">adaptant le processus de la Plateforme intergouvernementale scientifique et politique sur la biodiversité et les services écosystémiques aux contextes locaux, et afin que ces </w:t>
      </w:r>
      <w:r w:rsidRPr="009770A5" w:rsidDel="006F7776">
        <w:rPr>
          <w:noProof/>
          <w:snapToGrid w:val="0"/>
          <w:kern w:val="22"/>
          <w:szCs w:val="22"/>
          <w:lang w:val="fr-CA"/>
        </w:rPr>
        <w:t xml:space="preserve">évaluations nationales </w:t>
      </w:r>
      <w:r w:rsidRPr="009770A5">
        <w:rPr>
          <w:noProof/>
          <w:snapToGrid w:val="0"/>
          <w:kern w:val="22"/>
          <w:szCs w:val="22"/>
          <w:lang w:val="fr-CA"/>
        </w:rPr>
        <w:t xml:space="preserve">ou infranationales puissent être utilisées comme contribution potentielle </w:t>
      </w:r>
      <w:r w:rsidRPr="009770A5" w:rsidDel="006F7776">
        <w:rPr>
          <w:noProof/>
          <w:snapToGrid w:val="0"/>
          <w:kern w:val="22"/>
          <w:szCs w:val="22"/>
          <w:lang w:val="fr-CA"/>
        </w:rPr>
        <w:t xml:space="preserve">au </w:t>
      </w:r>
      <w:r w:rsidRPr="009770A5">
        <w:rPr>
          <w:noProof/>
          <w:snapToGrid w:val="0"/>
          <w:kern w:val="22"/>
          <w:szCs w:val="22"/>
          <w:lang w:val="fr-CA"/>
        </w:rPr>
        <w:t xml:space="preserve">programme de travail glissant de la Plateforme intergouvernementale scientifique et politique sur la biodiversité et les services écosystémiques et à la </w:t>
      </w:r>
      <w:r w:rsidRPr="009770A5" w:rsidDel="006F7776">
        <w:rPr>
          <w:noProof/>
          <w:snapToGrid w:val="0"/>
          <w:kern w:val="22"/>
          <w:szCs w:val="22"/>
          <w:lang w:val="fr-CA"/>
        </w:rPr>
        <w:t xml:space="preserve">mise en œuvre du cadre mondial de la biodiversité pour l'après-2020, et </w:t>
      </w:r>
      <w:r w:rsidRPr="009770A5">
        <w:rPr>
          <w:noProof/>
          <w:snapToGrid w:val="0"/>
          <w:kern w:val="22"/>
          <w:szCs w:val="22"/>
          <w:lang w:val="fr-CA"/>
        </w:rPr>
        <w:t xml:space="preserve">exhorte les Parties, et invite les autres Gouvernements et organisations en mesure de le faire, </w:t>
      </w:r>
      <w:r w:rsidRPr="009770A5" w:rsidDel="006F7776">
        <w:rPr>
          <w:noProof/>
          <w:snapToGrid w:val="0"/>
          <w:kern w:val="22"/>
          <w:szCs w:val="22"/>
          <w:lang w:val="fr-CA"/>
        </w:rPr>
        <w:t xml:space="preserve">à fournir une </w:t>
      </w:r>
      <w:r w:rsidRPr="009770A5">
        <w:rPr>
          <w:noProof/>
          <w:snapToGrid w:val="0"/>
          <w:kern w:val="22"/>
          <w:szCs w:val="22"/>
          <w:lang w:val="fr-CA"/>
        </w:rPr>
        <w:t xml:space="preserve">assistance </w:t>
      </w:r>
      <w:r w:rsidRPr="009770A5" w:rsidDel="006F7776">
        <w:rPr>
          <w:noProof/>
          <w:snapToGrid w:val="0"/>
          <w:kern w:val="22"/>
          <w:szCs w:val="22"/>
          <w:lang w:val="fr-CA"/>
        </w:rPr>
        <w:t>technique</w:t>
      </w:r>
      <w:r w:rsidRPr="009770A5">
        <w:rPr>
          <w:noProof/>
          <w:snapToGrid w:val="0"/>
          <w:kern w:val="22"/>
          <w:szCs w:val="22"/>
          <w:lang w:val="fr-CA"/>
        </w:rPr>
        <w:t>, un renforcement des capacités et un soutien financier</w:t>
      </w:r>
      <w:r w:rsidRPr="009770A5" w:rsidDel="006F7776">
        <w:rPr>
          <w:noProof/>
          <w:snapToGrid w:val="0"/>
          <w:kern w:val="22"/>
          <w:szCs w:val="22"/>
          <w:lang w:val="fr-CA"/>
        </w:rPr>
        <w:t>, le cas échéant</w:t>
      </w:r>
      <w:r w:rsidR="00E34747" w:rsidRPr="009770A5" w:rsidDel="006F7776">
        <w:rPr>
          <w:noProof/>
          <w:snapToGrid w:val="0"/>
          <w:kern w:val="22"/>
          <w:szCs w:val="22"/>
          <w:lang w:val="fr-CA"/>
        </w:rPr>
        <w:t>.</w:t>
      </w:r>
    </w:p>
    <w:p w14:paraId="50095761" w14:textId="77777777" w:rsidR="00E34747" w:rsidRPr="009770A5" w:rsidRDefault="00E34747" w:rsidP="00E34747">
      <w:pPr>
        <w:keepNext/>
        <w:keepLines/>
        <w:shd w:val="clear" w:color="auto" w:fill="FFFFFF" w:themeFill="background1"/>
        <w:tabs>
          <w:tab w:val="left" w:pos="360"/>
        </w:tabs>
        <w:spacing w:after="120"/>
        <w:jc w:val="center"/>
        <w:rPr>
          <w:i/>
          <w:iCs/>
          <w:noProof/>
          <w:szCs w:val="22"/>
          <w:lang w:val="fr-CA"/>
        </w:rPr>
      </w:pPr>
      <w:r w:rsidRPr="009770A5">
        <w:rPr>
          <w:i/>
          <w:iCs/>
          <w:noProof/>
          <w:szCs w:val="22"/>
          <w:lang w:val="fr-CA"/>
        </w:rPr>
        <w:t>Annex</w:t>
      </w:r>
      <w:r w:rsidR="00AE2E8A" w:rsidRPr="009770A5">
        <w:rPr>
          <w:i/>
          <w:iCs/>
          <w:noProof/>
          <w:szCs w:val="22"/>
          <w:lang w:val="fr-CA"/>
        </w:rPr>
        <w:t>e</w:t>
      </w:r>
    </w:p>
    <w:p w14:paraId="116A0D41" w14:textId="77777777" w:rsidR="00E34747" w:rsidRPr="009770A5" w:rsidRDefault="00AE2E8A" w:rsidP="00E34747">
      <w:pPr>
        <w:keepNext/>
        <w:keepLines/>
        <w:shd w:val="clear" w:color="auto" w:fill="FFFFFF" w:themeFill="background1"/>
        <w:tabs>
          <w:tab w:val="left" w:pos="360"/>
        </w:tabs>
        <w:spacing w:after="120"/>
        <w:jc w:val="center"/>
        <w:rPr>
          <w:b/>
          <w:bCs/>
          <w:noProof/>
          <w:szCs w:val="22"/>
          <w:lang w:val="fr-CA"/>
        </w:rPr>
      </w:pPr>
      <w:r w:rsidRPr="009770A5">
        <w:rPr>
          <w:b/>
          <w:bCs/>
          <w:noProof/>
          <w:szCs w:val="22"/>
          <w:lang w:val="fr-CA"/>
        </w:rPr>
        <w:t>DEMANDES DE LA CONVENTION SUR LA DIVERSITÉ BIOLOGIQUE POUR EXAMEN PAR LA PLÉNIÈRE DE LA PLATEFORME INTERGOUVERNEMENTALE SCIENTIFIQUE ET POLITIQUE SUR LA BIODIVERSITÉ ET LES SERVICES ÉCOSYSTÉMIQUES À SA DIXIÈME SESSION</w:t>
      </w:r>
    </w:p>
    <w:p w14:paraId="2C8B2CB7" w14:textId="77777777" w:rsidR="00E34747" w:rsidRPr="009770A5" w:rsidRDefault="00E34747" w:rsidP="00E34747">
      <w:pPr>
        <w:keepNext/>
        <w:keepLines/>
        <w:shd w:val="clear" w:color="auto" w:fill="FFFFFF" w:themeFill="background1"/>
        <w:tabs>
          <w:tab w:val="left" w:pos="1276"/>
        </w:tabs>
        <w:spacing w:before="240" w:after="120"/>
        <w:ind w:left="1276" w:hanging="851"/>
        <w:jc w:val="left"/>
        <w:rPr>
          <w:b/>
          <w:bCs/>
          <w:noProof/>
          <w:szCs w:val="22"/>
          <w:lang w:val="fr-CA"/>
        </w:rPr>
      </w:pPr>
      <w:r w:rsidRPr="009770A5">
        <w:rPr>
          <w:b/>
          <w:bCs/>
          <w:noProof/>
          <w:szCs w:val="22"/>
          <w:lang w:val="fr-CA"/>
        </w:rPr>
        <w:t>A.</w:t>
      </w:r>
      <w:r w:rsidRPr="009770A5">
        <w:rPr>
          <w:b/>
          <w:bCs/>
          <w:noProof/>
          <w:szCs w:val="22"/>
          <w:lang w:val="fr-CA"/>
        </w:rPr>
        <w:tab/>
      </w:r>
      <w:r w:rsidR="00AE2E8A" w:rsidRPr="009770A5">
        <w:rPr>
          <w:b/>
          <w:bCs/>
          <w:noProof/>
          <w:szCs w:val="22"/>
          <w:lang w:val="fr-CA"/>
        </w:rPr>
        <w:t>Demande de la Convention sur la diversité biologique concernant une deuxième évaluation mondiale de la biodiversité et des services écosystémiques</w:t>
      </w:r>
    </w:p>
    <w:p w14:paraId="723F2180" w14:textId="77777777" w:rsidR="00E34747" w:rsidRPr="009770A5" w:rsidRDefault="00E34747" w:rsidP="00E34747">
      <w:pPr>
        <w:shd w:val="clear" w:color="auto" w:fill="FFFFFF" w:themeFill="background1"/>
        <w:tabs>
          <w:tab w:val="left" w:pos="709"/>
        </w:tabs>
        <w:spacing w:before="240" w:after="120"/>
        <w:rPr>
          <w:noProof/>
          <w:szCs w:val="22"/>
          <w:lang w:val="fr-CA"/>
        </w:rPr>
      </w:pPr>
      <w:r w:rsidRPr="009770A5">
        <w:rPr>
          <w:noProof/>
          <w:szCs w:val="22"/>
          <w:lang w:val="fr-CA"/>
        </w:rPr>
        <w:t>1.</w:t>
      </w:r>
      <w:r w:rsidRPr="009770A5">
        <w:rPr>
          <w:noProof/>
          <w:szCs w:val="22"/>
          <w:lang w:val="fr-CA"/>
        </w:rPr>
        <w:tab/>
      </w:r>
      <w:r w:rsidR="00AE2E8A" w:rsidRPr="009770A5">
        <w:rPr>
          <w:noProof/>
          <w:szCs w:val="22"/>
          <w:lang w:val="fr-CA"/>
        </w:rPr>
        <w:t xml:space="preserve">Une deuxième évaluation mondiale de la biodiversité et des services écosystémiques devrait être élaborée par </w:t>
      </w:r>
      <w:r w:rsidR="00AE2E8A" w:rsidRPr="009770A5">
        <w:rPr>
          <w:noProof/>
          <w:snapToGrid w:val="0"/>
          <w:kern w:val="22"/>
          <w:szCs w:val="22"/>
          <w:lang w:val="fr-CA"/>
        </w:rPr>
        <w:t xml:space="preserve">la Plateforme intergouvernementale scientifique et politique sur la biodiversité et les services écosystémiques (IPBES) </w:t>
      </w:r>
      <w:r w:rsidR="00AE2E8A" w:rsidRPr="009770A5">
        <w:rPr>
          <w:noProof/>
          <w:szCs w:val="22"/>
          <w:lang w:val="fr-CA"/>
        </w:rPr>
        <w:t>afin de :</w:t>
      </w:r>
    </w:p>
    <w:p w14:paraId="7AF50E1A" w14:textId="77777777" w:rsidR="00E34747" w:rsidRPr="009770A5" w:rsidRDefault="00AE2E8A" w:rsidP="00E34747">
      <w:pPr>
        <w:pStyle w:val="ListParagraph"/>
        <w:numPr>
          <w:ilvl w:val="1"/>
          <w:numId w:val="20"/>
        </w:numPr>
        <w:shd w:val="clear" w:color="auto" w:fill="FFFFFF" w:themeFill="background1"/>
        <w:tabs>
          <w:tab w:val="clear" w:pos="1481"/>
          <w:tab w:val="left" w:pos="360"/>
          <w:tab w:val="left" w:pos="851"/>
        </w:tabs>
        <w:spacing w:before="60" w:after="60"/>
        <w:ind w:left="0" w:firstLine="709"/>
        <w:contextualSpacing w:val="0"/>
        <w:rPr>
          <w:noProof/>
          <w:szCs w:val="22"/>
          <w:lang w:val="fr-CA"/>
        </w:rPr>
      </w:pPr>
      <w:r w:rsidRPr="009770A5">
        <w:rPr>
          <w:noProof/>
          <w:szCs w:val="22"/>
          <w:lang w:val="fr-CA"/>
        </w:rPr>
        <w:lastRenderedPageBreak/>
        <w:t>Soutenir les gouvernements et toutes les parties prenantes dans la mise en œuvre de la Convention sur la diversité biologique et du cadre mondial de la biodiversité pour l'après-2020, ainsi que de ses protocoles, des accords connexes et du Programme 2030 pour le développement durable, en vue de réaliser la Vision 2050 pour la biodiversité et les objectifs de développement durable</w:t>
      </w:r>
      <w:r w:rsidR="00E34747" w:rsidRPr="009770A5">
        <w:rPr>
          <w:noProof/>
          <w:szCs w:val="22"/>
          <w:lang w:val="fr-CA"/>
        </w:rPr>
        <w:t>;</w:t>
      </w:r>
    </w:p>
    <w:p w14:paraId="262AFD26" w14:textId="77777777" w:rsidR="00E34747" w:rsidRPr="009770A5" w:rsidRDefault="00AE2E8A" w:rsidP="00E34747">
      <w:pPr>
        <w:pStyle w:val="ListParagraph"/>
        <w:numPr>
          <w:ilvl w:val="1"/>
          <w:numId w:val="20"/>
        </w:numPr>
        <w:shd w:val="clear" w:color="auto" w:fill="FFFFFF" w:themeFill="background1"/>
        <w:tabs>
          <w:tab w:val="clear" w:pos="1481"/>
          <w:tab w:val="left" w:pos="360"/>
          <w:tab w:val="left" w:pos="851"/>
        </w:tabs>
        <w:spacing w:before="60" w:after="60"/>
        <w:ind w:left="0" w:firstLine="709"/>
        <w:contextualSpacing w:val="0"/>
        <w:rPr>
          <w:noProof/>
          <w:szCs w:val="22"/>
          <w:lang w:val="fr-CA"/>
        </w:rPr>
      </w:pPr>
      <w:r w:rsidRPr="009770A5">
        <w:rPr>
          <w:noProof/>
          <w:szCs w:val="22"/>
          <w:lang w:val="fr-CA"/>
        </w:rPr>
        <w:t>Soutenir la Convention pour évaluer les progrès dans la réalisation des cibles 2030 et des objectifs 2050 du cadre mondial de la biodiversité pour l'après-2020, ainsi que les objectifs et cibles de développement durable pertinents</w:t>
      </w:r>
      <w:r w:rsidR="00E34747" w:rsidRPr="009770A5">
        <w:rPr>
          <w:noProof/>
          <w:szCs w:val="22"/>
          <w:lang w:val="fr-CA"/>
        </w:rPr>
        <w:t>;</w:t>
      </w:r>
    </w:p>
    <w:p w14:paraId="5A3E5E77" w14:textId="77777777" w:rsidR="00E34747" w:rsidRPr="009770A5" w:rsidRDefault="00AE2E8A" w:rsidP="00E34747">
      <w:pPr>
        <w:pStyle w:val="ListParagraph"/>
        <w:numPr>
          <w:ilvl w:val="1"/>
          <w:numId w:val="20"/>
        </w:numPr>
        <w:shd w:val="clear" w:color="auto" w:fill="FFFFFF" w:themeFill="background1"/>
        <w:tabs>
          <w:tab w:val="clear" w:pos="1481"/>
          <w:tab w:val="left" w:pos="360"/>
          <w:tab w:val="left" w:pos="851"/>
        </w:tabs>
        <w:spacing w:before="60" w:after="60"/>
        <w:ind w:left="0" w:firstLine="709"/>
        <w:contextualSpacing w:val="0"/>
        <w:rPr>
          <w:noProof/>
          <w:szCs w:val="22"/>
          <w:lang w:val="fr-CA"/>
        </w:rPr>
      </w:pPr>
      <w:r w:rsidRPr="009770A5">
        <w:rPr>
          <w:noProof/>
          <w:szCs w:val="22"/>
          <w:lang w:val="fr-CA"/>
        </w:rPr>
        <w:t>Fournir la base scientifique et technique pour le suivi du cadre mondial de la biodiversité pour l'après-2020, après 2030</w:t>
      </w:r>
      <w:r w:rsidR="00E34747" w:rsidRPr="009770A5">
        <w:rPr>
          <w:noProof/>
          <w:szCs w:val="22"/>
          <w:lang w:val="fr-CA"/>
        </w:rPr>
        <w:t>.</w:t>
      </w:r>
    </w:p>
    <w:p w14:paraId="25BAD5E5" w14:textId="77777777" w:rsidR="00220C10" w:rsidRPr="009770A5" w:rsidRDefault="00E34747" w:rsidP="00220C10">
      <w:pPr>
        <w:shd w:val="clear" w:color="auto" w:fill="FFFFFF" w:themeFill="background1"/>
        <w:tabs>
          <w:tab w:val="left" w:pos="709"/>
        </w:tabs>
        <w:spacing w:before="120" w:after="120"/>
        <w:rPr>
          <w:noProof/>
          <w:szCs w:val="22"/>
          <w:lang w:val="fr-CA"/>
        </w:rPr>
      </w:pPr>
      <w:r w:rsidRPr="009770A5">
        <w:rPr>
          <w:noProof/>
          <w:szCs w:val="22"/>
          <w:lang w:val="fr-CA"/>
        </w:rPr>
        <w:t>2.</w:t>
      </w:r>
      <w:r w:rsidRPr="009770A5">
        <w:rPr>
          <w:noProof/>
          <w:szCs w:val="22"/>
          <w:lang w:val="fr-CA"/>
        </w:rPr>
        <w:tab/>
      </w:r>
      <w:r w:rsidR="00220C10" w:rsidRPr="009770A5">
        <w:rPr>
          <w:noProof/>
          <w:szCs w:val="22"/>
          <w:lang w:val="fr-CA"/>
        </w:rPr>
        <w:t>La deuxième évaluation mondiale doit être exhaustive, d'une portée largement similaire à celle de la première évaluation mais s'appuyant sur celle-ci pour éviter les répétitions ou les doubles emplois inutiles. Elle devrait aborder les trois objectifs de la Convention (la conservation de la diversité biologique, l'utilisation durable de ses éléments et le partage juste et équitable des avantages découlant de l'utilisation des ressources génétiques) de manière équilibrée et intégrée. Elle devrait couvrir la biodiversité terrestre, des eaux intérieures et marine et côtière.</w:t>
      </w:r>
    </w:p>
    <w:p w14:paraId="0BAC83CB" w14:textId="77777777" w:rsidR="00220C10" w:rsidRPr="009770A5" w:rsidRDefault="00220C10" w:rsidP="00220C10">
      <w:pPr>
        <w:shd w:val="clear" w:color="auto" w:fill="FFFFFF" w:themeFill="background1"/>
        <w:tabs>
          <w:tab w:val="left" w:pos="709"/>
        </w:tabs>
        <w:spacing w:after="120"/>
        <w:rPr>
          <w:noProof/>
          <w:szCs w:val="22"/>
          <w:lang w:val="fr-CA"/>
        </w:rPr>
      </w:pPr>
      <w:r w:rsidRPr="009770A5">
        <w:rPr>
          <w:noProof/>
          <w:szCs w:val="22"/>
          <w:lang w:val="fr-CA"/>
        </w:rPr>
        <w:t xml:space="preserve">3. </w:t>
      </w:r>
      <w:r w:rsidRPr="009770A5">
        <w:rPr>
          <w:noProof/>
          <w:szCs w:val="22"/>
          <w:lang w:val="fr-CA"/>
        </w:rPr>
        <w:tab/>
        <w:t>La deuxième évaluation mondiale devrait couvrir l'état et les tendances de la biodiversité et des services écosystémiques / des contributions de la nature aux populations dans le passé, le présent et l'avenir, en utilisant des modèles et des scénarios quantitatifs et qualitatifs, d'une manière cohérente et homogène, dans la mesure du possible. Les informations sur l'état et les tendances passés devraient si possible couvrir les états naturels de référence, y compris les périodes préindustrielles, le cas échéant, et l'état et les tendances futurs devraient être projetés jusqu'en 2050 et 2100, en s'appuyant sur l'évaluation de l'IPBES sur les scénarios et les modèles et sur les dernières avancées dans ces domaines. L'évaluation devrait utiliser les indicateurs pertinents, y compris ceux adoptés dans le cadre mondial de la biodiversité pour l'après-2020 et le Programme 2030.</w:t>
      </w:r>
    </w:p>
    <w:p w14:paraId="7448AECD" w14:textId="77777777" w:rsidR="00E34747" w:rsidRPr="009770A5" w:rsidRDefault="00220C10" w:rsidP="00220C10">
      <w:pPr>
        <w:shd w:val="clear" w:color="auto" w:fill="FFFFFF" w:themeFill="background1"/>
        <w:tabs>
          <w:tab w:val="left" w:pos="709"/>
        </w:tabs>
        <w:spacing w:before="120" w:after="120"/>
        <w:rPr>
          <w:noProof/>
          <w:szCs w:val="22"/>
          <w:lang w:val="fr-CA"/>
        </w:rPr>
      </w:pPr>
      <w:r w:rsidRPr="009770A5">
        <w:rPr>
          <w:noProof/>
          <w:szCs w:val="22"/>
          <w:lang w:val="fr-CA"/>
        </w:rPr>
        <w:t xml:space="preserve">4. </w:t>
      </w:r>
      <w:r w:rsidRPr="009770A5">
        <w:rPr>
          <w:noProof/>
          <w:szCs w:val="22"/>
          <w:lang w:val="fr-CA"/>
        </w:rPr>
        <w:tab/>
        <w:t>La deuxième évaluation mondiale devrait aborder les moteurs directs et indirects du changement de la biodiversité, en s'appuyant sur toutes les évaluations pertinentes de l'IPBES, y compris les évaluations des liens et des changements transformateurs, ainsi que sur les évaluations pertinentes du Groupe d'experts intergouvernemental sur l'évolution du climat.</w:t>
      </w:r>
    </w:p>
    <w:p w14:paraId="2366E72F" w14:textId="77777777" w:rsidR="00220C10" w:rsidRPr="009770A5" w:rsidRDefault="00E34747" w:rsidP="00220C10">
      <w:pPr>
        <w:shd w:val="clear" w:color="auto" w:fill="FFFFFF" w:themeFill="background1"/>
        <w:tabs>
          <w:tab w:val="left" w:pos="709"/>
        </w:tabs>
        <w:spacing w:after="120"/>
        <w:rPr>
          <w:noProof/>
          <w:szCs w:val="22"/>
          <w:lang w:val="fr-CA"/>
        </w:rPr>
      </w:pPr>
      <w:r w:rsidRPr="009770A5">
        <w:rPr>
          <w:noProof/>
          <w:szCs w:val="22"/>
          <w:lang w:val="fr-CA"/>
        </w:rPr>
        <w:t xml:space="preserve">5. </w:t>
      </w:r>
      <w:r w:rsidRPr="009770A5">
        <w:rPr>
          <w:noProof/>
          <w:szCs w:val="22"/>
          <w:lang w:val="fr-CA"/>
        </w:rPr>
        <w:tab/>
      </w:r>
      <w:r w:rsidR="00220C10" w:rsidRPr="009770A5">
        <w:rPr>
          <w:noProof/>
          <w:szCs w:val="22"/>
          <w:lang w:val="fr-CA"/>
        </w:rPr>
        <w:t xml:space="preserve">La deuxième évaluation mondiale devrait inclure, lorsque cela est approprié et possible, les évaluations régionales, sous-régionales et nationales existantes ainsi que l'analyse au niveau de l'écosystème d'une manière totalement intégrée.  </w:t>
      </w:r>
    </w:p>
    <w:p w14:paraId="3DBFC187" w14:textId="77777777" w:rsidR="00220C10" w:rsidRPr="009770A5" w:rsidRDefault="00220C10" w:rsidP="00220C10">
      <w:pPr>
        <w:shd w:val="clear" w:color="auto" w:fill="FFFFFF" w:themeFill="background1"/>
        <w:tabs>
          <w:tab w:val="left" w:pos="709"/>
        </w:tabs>
        <w:spacing w:after="120"/>
        <w:rPr>
          <w:noProof/>
          <w:szCs w:val="22"/>
          <w:lang w:val="fr-CA"/>
        </w:rPr>
      </w:pPr>
      <w:r w:rsidRPr="009770A5">
        <w:rPr>
          <w:noProof/>
          <w:szCs w:val="22"/>
          <w:lang w:val="fr-CA"/>
        </w:rPr>
        <w:t xml:space="preserve">6. </w:t>
      </w:r>
      <w:r w:rsidRPr="009770A5">
        <w:rPr>
          <w:noProof/>
          <w:szCs w:val="22"/>
          <w:lang w:val="fr-CA"/>
        </w:rPr>
        <w:tab/>
        <w:t xml:space="preserve">La deuxième évaluation mondiale devrait intégrer les meilleures connaissances disponibles, y compris les connaissances autochtones et locales, en respectant pleinement les procédures existantes de l'IPBES pour l'utilisation et la gestion éthiques des connaissances, qui incluent la prise en compte des défis auxquels sont confrontés les pays en développement, et intégrer des valeurs diverses et des visions du monde multiples, en tenant compte, entre autres, de l'évaluation des valeurs de l'IPBES. </w:t>
      </w:r>
    </w:p>
    <w:p w14:paraId="00702E84" w14:textId="77777777" w:rsidR="00220C10" w:rsidRPr="009770A5" w:rsidRDefault="00220C10" w:rsidP="00220C10">
      <w:pPr>
        <w:shd w:val="clear" w:color="auto" w:fill="FFFFFF" w:themeFill="background1"/>
        <w:tabs>
          <w:tab w:val="left" w:pos="709"/>
        </w:tabs>
        <w:spacing w:after="120"/>
        <w:rPr>
          <w:noProof/>
          <w:szCs w:val="22"/>
          <w:lang w:val="fr-CA"/>
        </w:rPr>
      </w:pPr>
      <w:r w:rsidRPr="009770A5">
        <w:rPr>
          <w:noProof/>
          <w:szCs w:val="22"/>
          <w:lang w:val="fr-CA"/>
        </w:rPr>
        <w:t xml:space="preserve">7. </w:t>
      </w:r>
      <w:r w:rsidRPr="009770A5">
        <w:rPr>
          <w:noProof/>
          <w:szCs w:val="22"/>
          <w:lang w:val="fr-CA"/>
        </w:rPr>
        <w:tab/>
        <w:t xml:space="preserve">La deuxième évaluation globale doit prendre en compte les lacunes en matière de connaissances identifiées lors de la première évaluation. </w:t>
      </w:r>
    </w:p>
    <w:p w14:paraId="6AB52297" w14:textId="77777777" w:rsidR="00E34747" w:rsidRPr="009770A5" w:rsidRDefault="00220C10" w:rsidP="00220C10">
      <w:pPr>
        <w:shd w:val="clear" w:color="auto" w:fill="FFFFFF" w:themeFill="background1"/>
        <w:tabs>
          <w:tab w:val="left" w:pos="709"/>
        </w:tabs>
        <w:spacing w:after="120"/>
        <w:rPr>
          <w:noProof/>
          <w:szCs w:val="22"/>
          <w:lang w:val="fr-CA"/>
        </w:rPr>
      </w:pPr>
      <w:r w:rsidRPr="009770A5">
        <w:rPr>
          <w:noProof/>
          <w:szCs w:val="22"/>
          <w:lang w:val="fr-CA"/>
        </w:rPr>
        <w:t xml:space="preserve">8. </w:t>
      </w:r>
      <w:r w:rsidRPr="009770A5">
        <w:rPr>
          <w:noProof/>
          <w:szCs w:val="22"/>
          <w:lang w:val="fr-CA"/>
        </w:rPr>
        <w:tab/>
        <w:t>La deuxième évaluation mondiale devrait être finalisée pour approbation par la plénière de l'IPBES au quatrième trimestre 2028 (ou au premier trimestre 2029 au plus tard).</w:t>
      </w:r>
      <w:r w:rsidR="00E34747" w:rsidRPr="009770A5">
        <w:rPr>
          <w:noProof/>
          <w:szCs w:val="22"/>
          <w:lang w:val="fr-CA"/>
        </w:rPr>
        <w:t xml:space="preserve"> </w:t>
      </w:r>
    </w:p>
    <w:p w14:paraId="41FCF43E" w14:textId="77777777" w:rsidR="00E34747" w:rsidRPr="009770A5" w:rsidRDefault="00E34747" w:rsidP="00E34747">
      <w:pPr>
        <w:shd w:val="clear" w:color="auto" w:fill="FFFFFF" w:themeFill="background1"/>
        <w:tabs>
          <w:tab w:val="left" w:pos="1418"/>
        </w:tabs>
        <w:spacing w:before="240" w:after="120"/>
        <w:ind w:left="1418" w:hanging="851"/>
        <w:jc w:val="left"/>
        <w:rPr>
          <w:b/>
          <w:bCs/>
          <w:noProof/>
          <w:szCs w:val="22"/>
          <w:lang w:val="fr-CA"/>
        </w:rPr>
      </w:pPr>
      <w:r w:rsidRPr="009770A5">
        <w:rPr>
          <w:b/>
          <w:bCs/>
          <w:noProof/>
          <w:szCs w:val="22"/>
          <w:lang w:val="fr-CA"/>
        </w:rPr>
        <w:t xml:space="preserve">B. </w:t>
      </w:r>
      <w:r w:rsidRPr="009770A5">
        <w:rPr>
          <w:b/>
          <w:bCs/>
          <w:noProof/>
          <w:szCs w:val="22"/>
          <w:lang w:val="fr-CA"/>
        </w:rPr>
        <w:tab/>
      </w:r>
      <w:r w:rsidR="00220C10" w:rsidRPr="009770A5">
        <w:rPr>
          <w:b/>
          <w:bCs/>
          <w:noProof/>
          <w:szCs w:val="22"/>
          <w:lang w:val="fr-CA"/>
        </w:rPr>
        <w:t xml:space="preserve">Demandes de la Convention sur la diversité biologique concernant d'éventuelles évaluations supplémentaires à inclure dans le programme de travail glissant de la </w:t>
      </w:r>
      <w:r w:rsidR="00220C10" w:rsidRPr="009770A5">
        <w:rPr>
          <w:b/>
          <w:bCs/>
          <w:noProof/>
          <w:snapToGrid w:val="0"/>
          <w:kern w:val="22"/>
          <w:szCs w:val="22"/>
          <w:lang w:val="fr-CA"/>
        </w:rPr>
        <w:t>Plateforme</w:t>
      </w:r>
    </w:p>
    <w:p w14:paraId="2032B75B" w14:textId="77777777" w:rsidR="00E34747" w:rsidRPr="009770A5" w:rsidRDefault="007C4041" w:rsidP="00E34747">
      <w:pPr>
        <w:shd w:val="clear" w:color="auto" w:fill="FFFFFF" w:themeFill="background1"/>
        <w:tabs>
          <w:tab w:val="left" w:pos="360"/>
          <w:tab w:val="left" w:pos="851"/>
        </w:tabs>
        <w:spacing w:after="120"/>
        <w:rPr>
          <w:noProof/>
          <w:szCs w:val="22"/>
          <w:lang w:val="fr-CA"/>
        </w:rPr>
      </w:pPr>
      <w:r w:rsidRPr="009770A5">
        <w:rPr>
          <w:noProof/>
          <w:szCs w:val="22"/>
          <w:lang w:val="fr-CA"/>
        </w:rPr>
        <w:t>Les évaluations accélérées suivantes devraient être envisagées par la Plateforme :</w:t>
      </w:r>
    </w:p>
    <w:p w14:paraId="54B0E6D0" w14:textId="77777777" w:rsidR="007C4041" w:rsidRPr="009770A5" w:rsidRDefault="00E34747" w:rsidP="007C4041">
      <w:pPr>
        <w:shd w:val="clear" w:color="auto" w:fill="FFFFFF" w:themeFill="background1"/>
        <w:tabs>
          <w:tab w:val="left" w:pos="851"/>
        </w:tabs>
        <w:spacing w:before="120" w:after="120"/>
        <w:rPr>
          <w:noProof/>
          <w:szCs w:val="22"/>
          <w:lang w:val="fr-CA"/>
        </w:rPr>
      </w:pPr>
      <w:r w:rsidRPr="009770A5">
        <w:rPr>
          <w:noProof/>
          <w:szCs w:val="22"/>
          <w:lang w:val="fr-CA"/>
        </w:rPr>
        <w:lastRenderedPageBreak/>
        <w:t>1.</w:t>
      </w:r>
      <w:r w:rsidRPr="009770A5">
        <w:rPr>
          <w:noProof/>
          <w:szCs w:val="22"/>
          <w:lang w:val="fr-CA"/>
        </w:rPr>
        <w:tab/>
      </w:r>
      <w:r w:rsidR="007C4041" w:rsidRPr="009770A5">
        <w:rPr>
          <w:noProof/>
          <w:szCs w:val="22"/>
          <w:lang w:val="fr-CA"/>
        </w:rPr>
        <w:t>Une évaluation accélérée sur l'aménagement du territoire tenant compte de la biodiversité et de la connectivité écologique, en tenant compte d'éléments tels que le changement d'affectation des terres et de la mer et la restauration;</w:t>
      </w:r>
    </w:p>
    <w:p w14:paraId="2193A1B7" w14:textId="77777777" w:rsidR="007C4041" w:rsidRPr="009770A5" w:rsidRDefault="007C4041" w:rsidP="007C4041">
      <w:pPr>
        <w:shd w:val="clear" w:color="auto" w:fill="FFFFFF" w:themeFill="background1"/>
        <w:tabs>
          <w:tab w:val="left" w:pos="851"/>
        </w:tabs>
        <w:spacing w:before="120" w:after="120"/>
        <w:rPr>
          <w:noProof/>
          <w:szCs w:val="22"/>
          <w:lang w:val="fr-CA"/>
        </w:rPr>
      </w:pPr>
      <w:r w:rsidRPr="009770A5">
        <w:rPr>
          <w:noProof/>
          <w:szCs w:val="22"/>
          <w:lang w:val="fr-CA"/>
        </w:rPr>
        <w:t xml:space="preserve">2. </w:t>
      </w:r>
      <w:r w:rsidRPr="009770A5">
        <w:rPr>
          <w:noProof/>
          <w:szCs w:val="22"/>
          <w:lang w:val="fr-CA"/>
        </w:rPr>
        <w:tab/>
        <w:t>Une évaluation accélérée du suivi de la biodiversité et des services écosystémiques, du suivi des progrès accomplis dans la réalisation des objectifs du cadre mondial de la biodiversité pour l'après-2020 et des données de référence relatives à l'évaluation de la perte de biodiversité;</w:t>
      </w:r>
    </w:p>
    <w:p w14:paraId="37AFAF64" w14:textId="77777777" w:rsidR="007C4041" w:rsidRPr="009770A5" w:rsidRDefault="007C4041" w:rsidP="007C4041">
      <w:pPr>
        <w:shd w:val="clear" w:color="auto" w:fill="FFFFFF" w:themeFill="background1"/>
        <w:tabs>
          <w:tab w:val="left" w:pos="851"/>
        </w:tabs>
        <w:spacing w:before="120" w:after="120"/>
        <w:rPr>
          <w:noProof/>
          <w:szCs w:val="22"/>
          <w:lang w:val="fr-CA"/>
        </w:rPr>
      </w:pPr>
      <w:r w:rsidRPr="009770A5">
        <w:rPr>
          <w:noProof/>
          <w:szCs w:val="22"/>
          <w:lang w:val="fr-CA"/>
        </w:rPr>
        <w:t xml:space="preserve">3. </w:t>
      </w:r>
      <w:r w:rsidRPr="009770A5">
        <w:rPr>
          <w:noProof/>
          <w:szCs w:val="22"/>
          <w:lang w:val="fr-CA"/>
        </w:rPr>
        <w:tab/>
        <w:t>Une évaluation accélérée des impacts de la pollution sur la biodiversité et des méthodes permettant d’éviter, de réduire et d’atténuer ces impacts;</w:t>
      </w:r>
    </w:p>
    <w:p w14:paraId="69E854DC" w14:textId="77777777" w:rsidR="00E34747" w:rsidRPr="009770A5" w:rsidRDefault="007C4041" w:rsidP="007C4041">
      <w:pPr>
        <w:shd w:val="clear" w:color="auto" w:fill="FFFFFF" w:themeFill="background1"/>
        <w:tabs>
          <w:tab w:val="left" w:pos="851"/>
        </w:tabs>
        <w:spacing w:before="120" w:after="120"/>
        <w:rPr>
          <w:rFonts w:eastAsia="SimSun"/>
          <w:noProof/>
          <w:color w:val="000000"/>
          <w:szCs w:val="22"/>
          <w:lang w:val="fr-CA"/>
        </w:rPr>
      </w:pPr>
      <w:r w:rsidRPr="009770A5">
        <w:rPr>
          <w:rFonts w:eastAsia="SimSun"/>
          <w:noProof/>
          <w:color w:val="000000"/>
          <w:szCs w:val="22"/>
          <w:lang w:val="fr-CA"/>
        </w:rPr>
        <w:t xml:space="preserve">4. </w:t>
      </w:r>
      <w:r w:rsidRPr="009770A5">
        <w:rPr>
          <w:rFonts w:eastAsia="SimSun"/>
          <w:noProof/>
          <w:color w:val="000000"/>
          <w:szCs w:val="22"/>
          <w:lang w:val="fr-CA"/>
        </w:rPr>
        <w:tab/>
      </w:r>
      <w:r w:rsidRPr="009770A5">
        <w:rPr>
          <w:noProof/>
          <w:szCs w:val="22"/>
          <w:lang w:val="fr-CA"/>
        </w:rPr>
        <w:t>Une évaluation accélérée sur le thème « Bien vivre en équilibre et en harmonie avec la nature et vivre en harmonie avec la Terre nourricière »</w:t>
      </w:r>
      <w:r w:rsidR="00412FAB">
        <w:rPr>
          <w:noProof/>
          <w:szCs w:val="22"/>
          <w:lang w:val="fr-CA"/>
        </w:rPr>
        <w:t>.</w:t>
      </w:r>
    </w:p>
    <w:p w14:paraId="110C6B58" w14:textId="77777777" w:rsidR="00B3369F" w:rsidRPr="009770A5" w:rsidRDefault="00E34747" w:rsidP="0029205A">
      <w:pPr>
        <w:pStyle w:val="Para1"/>
        <w:numPr>
          <w:ilvl w:val="0"/>
          <w:numId w:val="0"/>
        </w:numPr>
        <w:suppressLineNumbers/>
        <w:suppressAutoHyphens/>
        <w:kinsoku w:val="0"/>
        <w:overflowPunct w:val="0"/>
        <w:autoSpaceDE w:val="0"/>
        <w:autoSpaceDN w:val="0"/>
        <w:adjustRightInd w:val="0"/>
        <w:snapToGrid w:val="0"/>
        <w:jc w:val="center"/>
        <w:rPr>
          <w:noProof/>
          <w:kern w:val="22"/>
          <w:sz w:val="24"/>
          <w:szCs w:val="24"/>
          <w:lang w:val="fr-CA"/>
        </w:rPr>
      </w:pPr>
      <w:r w:rsidRPr="009770A5">
        <w:rPr>
          <w:noProof/>
          <w:kern w:val="22"/>
          <w:sz w:val="24"/>
          <w:szCs w:val="24"/>
          <w:lang w:val="fr-CA"/>
        </w:rPr>
        <w:t>__________</w:t>
      </w:r>
    </w:p>
    <w:sectPr w:rsidR="00B3369F" w:rsidRPr="009770A5" w:rsidSect="00142046">
      <w:headerReference w:type="even" r:id="rId17"/>
      <w:headerReference w:type="default" r:id="rId18"/>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EC2C9" w14:textId="77777777" w:rsidR="00ED6BB6" w:rsidRDefault="00ED6BB6" w:rsidP="00CF1848">
      <w:r>
        <w:separator/>
      </w:r>
    </w:p>
  </w:endnote>
  <w:endnote w:type="continuationSeparator" w:id="0">
    <w:p w14:paraId="2B44C8F9" w14:textId="77777777" w:rsidR="00ED6BB6" w:rsidRDefault="00ED6BB6" w:rsidP="00CF1848">
      <w:r>
        <w:continuationSeparator/>
      </w:r>
    </w:p>
  </w:endnote>
  <w:endnote w:type="continuationNotice" w:id="1">
    <w:p w14:paraId="673F1EE4" w14:textId="77777777" w:rsidR="00ED6BB6" w:rsidRDefault="00ED6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ED55" w14:textId="77777777" w:rsidR="00ED6BB6" w:rsidRDefault="00ED6BB6" w:rsidP="00CF1848">
      <w:r>
        <w:separator/>
      </w:r>
    </w:p>
  </w:footnote>
  <w:footnote w:type="continuationSeparator" w:id="0">
    <w:p w14:paraId="063D6FB4" w14:textId="77777777" w:rsidR="00ED6BB6" w:rsidRDefault="00ED6BB6" w:rsidP="00CF1848">
      <w:r>
        <w:continuationSeparator/>
      </w:r>
    </w:p>
  </w:footnote>
  <w:footnote w:type="continuationNotice" w:id="1">
    <w:p w14:paraId="6EBED446" w14:textId="77777777" w:rsidR="00ED6BB6" w:rsidRDefault="00ED6BB6"/>
  </w:footnote>
  <w:footnote w:id="2">
    <w:p w14:paraId="7C1E50DD" w14:textId="736745A8" w:rsidR="0079023F" w:rsidRPr="0079023F" w:rsidRDefault="0079023F" w:rsidP="0079023F">
      <w:pPr>
        <w:pStyle w:val="FootnoteText"/>
        <w:suppressLineNumbers/>
        <w:suppressAutoHyphens/>
        <w:kinsoku w:val="0"/>
        <w:overflowPunct w:val="0"/>
        <w:autoSpaceDE w:val="0"/>
        <w:autoSpaceDN w:val="0"/>
        <w:ind w:firstLine="0"/>
        <w:jc w:val="left"/>
        <w:rPr>
          <w:noProof/>
          <w:snapToGrid w:val="0"/>
          <w:kern w:val="18"/>
          <w:szCs w:val="18"/>
          <w:lang w:val="fr-CA"/>
        </w:rPr>
      </w:pPr>
      <w:r w:rsidRPr="0079023F">
        <w:rPr>
          <w:rStyle w:val="FootnoteReference"/>
          <w:rFonts w:eastAsiaTheme="majorEastAsia"/>
          <w:snapToGrid w:val="0"/>
          <w:kern w:val="18"/>
          <w:szCs w:val="18"/>
          <w:lang w:val="fr-CA"/>
        </w:rPr>
        <w:footnoteRef/>
      </w:r>
      <w:r w:rsidRPr="0079023F">
        <w:rPr>
          <w:snapToGrid w:val="0"/>
          <w:kern w:val="18"/>
          <w:szCs w:val="18"/>
          <w:lang w:val="fr-CA"/>
        </w:rPr>
        <w:t xml:space="preserve"> </w:t>
      </w:r>
      <w:r w:rsidRPr="0079023F">
        <w:rPr>
          <w:noProof/>
          <w:snapToGrid w:val="0"/>
          <w:kern w:val="18"/>
          <w:szCs w:val="18"/>
          <w:lang w:val="fr-CA"/>
        </w:rPr>
        <w:t>Les rapports de cadrage sont disponibles dans les annexes I et II de la décision IPBES</w:t>
      </w:r>
      <w:r w:rsidR="009770A5">
        <w:rPr>
          <w:noProof/>
          <w:snapToGrid w:val="0"/>
          <w:kern w:val="18"/>
          <w:szCs w:val="18"/>
          <w:lang w:val="fr-CA"/>
        </w:rPr>
        <w:noBreakHyphen/>
      </w:r>
      <w:r w:rsidRPr="0079023F">
        <w:rPr>
          <w:noProof/>
          <w:snapToGrid w:val="0"/>
          <w:kern w:val="18"/>
          <w:szCs w:val="18"/>
          <w:lang w:val="fr-CA"/>
        </w:rPr>
        <w:t>8/1 et l</w:t>
      </w:r>
      <w:r w:rsidR="009770A5">
        <w:rPr>
          <w:noProof/>
          <w:snapToGrid w:val="0"/>
          <w:kern w:val="18"/>
          <w:szCs w:val="18"/>
          <w:lang w:val="fr-CA"/>
        </w:rPr>
        <w:t>’</w:t>
      </w:r>
      <w:r w:rsidRPr="0079023F">
        <w:rPr>
          <w:noProof/>
          <w:snapToGrid w:val="0"/>
          <w:kern w:val="18"/>
          <w:szCs w:val="18"/>
          <w:lang w:val="fr-CA"/>
        </w:rPr>
        <w:t>annexe II de la décision IPBES</w:t>
      </w:r>
      <w:r w:rsidR="009770A5">
        <w:rPr>
          <w:noProof/>
          <w:snapToGrid w:val="0"/>
          <w:kern w:val="18"/>
          <w:szCs w:val="18"/>
          <w:lang w:val="fr-CA"/>
        </w:rPr>
        <w:noBreakHyphen/>
      </w:r>
      <w:r w:rsidRPr="0079023F">
        <w:rPr>
          <w:noProof/>
          <w:snapToGrid w:val="0"/>
          <w:kern w:val="18"/>
          <w:szCs w:val="18"/>
          <w:lang w:val="fr-CA"/>
        </w:rPr>
        <w:t>9/1, disponibles à l</w:t>
      </w:r>
      <w:r w:rsidR="009770A5">
        <w:rPr>
          <w:noProof/>
          <w:snapToGrid w:val="0"/>
          <w:kern w:val="18"/>
          <w:szCs w:val="18"/>
          <w:lang w:val="fr-CA"/>
        </w:rPr>
        <w:t>’</w:t>
      </w:r>
      <w:r w:rsidRPr="0079023F">
        <w:rPr>
          <w:noProof/>
          <w:snapToGrid w:val="0"/>
          <w:kern w:val="18"/>
          <w:szCs w:val="18"/>
          <w:lang w:val="fr-CA"/>
        </w:rPr>
        <w:t xml:space="preserve">adresse suivante </w:t>
      </w:r>
      <w:hyperlink r:id="rId1" w:history="1">
        <w:r w:rsidRPr="0079023F">
          <w:rPr>
            <w:rStyle w:val="Hyperlink"/>
            <w:noProof/>
            <w:snapToGrid w:val="0"/>
            <w:kern w:val="18"/>
            <w:szCs w:val="18"/>
            <w:lang w:val="fr-CA"/>
          </w:rPr>
          <w:t>:</w:t>
        </w:r>
      </w:hyperlink>
      <w:r w:rsidRPr="0079023F">
        <w:rPr>
          <w:noProof/>
          <w:snapToGrid w:val="0"/>
          <w:kern w:val="18"/>
          <w:szCs w:val="18"/>
          <w:lang w:val="fr-CA"/>
        </w:rPr>
        <w:t xml:space="preserve"> </w:t>
      </w:r>
      <w:hyperlink r:id="rId2" w:history="1">
        <w:r w:rsidR="00F348AE" w:rsidRPr="00B225B4">
          <w:rPr>
            <w:rStyle w:val="Hyperlink"/>
            <w:noProof/>
            <w:snapToGrid w:val="0"/>
            <w:kern w:val="18"/>
            <w:szCs w:val="18"/>
            <w:lang w:val="fr-CA"/>
          </w:rPr>
          <w:t>https://ipbes.net/documents</w:t>
        </w:r>
        <w:r w:rsidR="00F348AE" w:rsidRPr="00B225B4">
          <w:rPr>
            <w:rStyle w:val="Hyperlink"/>
            <w:noProof/>
            <w:snapToGrid w:val="0"/>
            <w:kern w:val="18"/>
            <w:szCs w:val="18"/>
            <w:lang w:val="fr-CA"/>
          </w:rPr>
          <w:noBreakHyphen/>
          <w:t>by</w:t>
        </w:r>
        <w:r w:rsidR="00F348AE" w:rsidRPr="00B225B4">
          <w:rPr>
            <w:rStyle w:val="Hyperlink"/>
            <w:noProof/>
            <w:snapToGrid w:val="0"/>
            <w:kern w:val="18"/>
            <w:szCs w:val="18"/>
            <w:lang w:val="fr-CA"/>
          </w:rPr>
          <w:noBreakHyphen/>
          <w:t>category/Decisions</w:t>
        </w:r>
      </w:hyperlink>
      <w:r w:rsidRPr="0079023F">
        <w:rPr>
          <w:noProof/>
          <w:snapToGrid w:val="0"/>
          <w:kern w:val="18"/>
          <w:szCs w:val="18"/>
          <w:lang w:val="fr-CA"/>
        </w:rPr>
        <w:t xml:space="preserve">. </w:t>
      </w:r>
    </w:p>
  </w:footnote>
  <w:footnote w:id="3">
    <w:p w14:paraId="32111CBB" w14:textId="77777777" w:rsidR="0079023F" w:rsidRPr="0079023F" w:rsidRDefault="0079023F" w:rsidP="0079023F">
      <w:pPr>
        <w:pStyle w:val="FootnoteText"/>
        <w:suppressLineNumbers/>
        <w:suppressAutoHyphens/>
        <w:kinsoku w:val="0"/>
        <w:overflowPunct w:val="0"/>
        <w:autoSpaceDE w:val="0"/>
        <w:autoSpaceDN w:val="0"/>
        <w:ind w:firstLine="0"/>
        <w:jc w:val="left"/>
        <w:rPr>
          <w:noProof/>
          <w:snapToGrid w:val="0"/>
          <w:kern w:val="18"/>
          <w:szCs w:val="18"/>
          <w:lang w:val="fr-CA"/>
        </w:rPr>
      </w:pPr>
      <w:r w:rsidRPr="0079023F">
        <w:rPr>
          <w:rStyle w:val="FootnoteReference"/>
          <w:noProof/>
          <w:snapToGrid w:val="0"/>
          <w:kern w:val="18"/>
          <w:szCs w:val="18"/>
          <w:lang w:val="fr-CA"/>
        </w:rPr>
        <w:footnoteRef/>
      </w:r>
      <w:r w:rsidRPr="0079023F">
        <w:rPr>
          <w:noProof/>
          <w:snapToGrid w:val="0"/>
          <w:kern w:val="18"/>
          <w:szCs w:val="18"/>
          <w:lang w:val="fr-CA"/>
        </w:rPr>
        <w:t xml:space="preserve"> IPBES (2020). Rapport d</w:t>
      </w:r>
      <w:r w:rsidR="009770A5">
        <w:rPr>
          <w:noProof/>
          <w:snapToGrid w:val="0"/>
          <w:kern w:val="18"/>
          <w:szCs w:val="18"/>
          <w:lang w:val="fr-CA"/>
        </w:rPr>
        <w:t>’</w:t>
      </w:r>
      <w:r w:rsidRPr="0079023F">
        <w:rPr>
          <w:noProof/>
          <w:snapToGrid w:val="0"/>
          <w:kern w:val="18"/>
          <w:szCs w:val="18"/>
          <w:lang w:val="fr-CA"/>
        </w:rPr>
        <w:t>atelier sur la biodiversité et les pandémies de la Plateforme intergouvernementale sur la biodiversité et les services écosystémiques. Secrétariat</w:t>
      </w:r>
      <w:r w:rsidR="009770A5">
        <w:rPr>
          <w:noProof/>
          <w:snapToGrid w:val="0"/>
          <w:kern w:val="18"/>
          <w:szCs w:val="18"/>
          <w:lang w:val="fr-CA"/>
        </w:rPr>
        <w:t xml:space="preserve"> </w:t>
      </w:r>
      <w:r w:rsidRPr="0079023F">
        <w:rPr>
          <w:noProof/>
          <w:snapToGrid w:val="0"/>
          <w:kern w:val="18"/>
          <w:szCs w:val="18"/>
          <w:lang w:val="fr-CA"/>
        </w:rPr>
        <w:t>de l</w:t>
      </w:r>
      <w:r w:rsidR="009770A5">
        <w:rPr>
          <w:noProof/>
          <w:snapToGrid w:val="0"/>
          <w:kern w:val="18"/>
          <w:szCs w:val="18"/>
          <w:lang w:val="fr-CA"/>
        </w:rPr>
        <w:t>’</w:t>
      </w:r>
      <w:r w:rsidRPr="0079023F">
        <w:rPr>
          <w:noProof/>
          <w:snapToGrid w:val="0"/>
          <w:kern w:val="18"/>
          <w:szCs w:val="18"/>
          <w:lang w:val="fr-CA"/>
        </w:rPr>
        <w:t xml:space="preserve">IPBES, Bonn. </w:t>
      </w:r>
      <w:hyperlink r:id="rId3" w:history="1">
        <w:r w:rsidRPr="0079023F">
          <w:rPr>
            <w:rStyle w:val="Hyperlink"/>
            <w:noProof/>
            <w:snapToGrid w:val="0"/>
            <w:kern w:val="18"/>
            <w:szCs w:val="18"/>
            <w:lang w:val="fr-CA"/>
          </w:rPr>
          <w:t>https://ipbes.net/pandemics.</w:t>
        </w:r>
      </w:hyperlink>
      <w:r w:rsidRPr="0079023F">
        <w:rPr>
          <w:noProof/>
          <w:snapToGrid w:val="0"/>
          <w:kern w:val="18"/>
          <w:szCs w:val="18"/>
          <w:lang w:val="fr-CA"/>
        </w:rPr>
        <w:t xml:space="preserve"> Le présent rapport d</w:t>
      </w:r>
      <w:r w:rsidR="009770A5">
        <w:rPr>
          <w:noProof/>
          <w:snapToGrid w:val="0"/>
          <w:kern w:val="18"/>
          <w:szCs w:val="18"/>
          <w:lang w:val="fr-CA"/>
        </w:rPr>
        <w:t>’</w:t>
      </w:r>
      <w:r w:rsidRPr="0079023F">
        <w:rPr>
          <w:noProof/>
          <w:snapToGrid w:val="0"/>
          <w:kern w:val="18"/>
          <w:szCs w:val="18"/>
          <w:lang w:val="fr-CA"/>
        </w:rPr>
        <w:t>atelier et les recommandations ou conclusions qu</w:t>
      </w:r>
      <w:r w:rsidR="009770A5">
        <w:rPr>
          <w:noProof/>
          <w:snapToGrid w:val="0"/>
          <w:kern w:val="18"/>
          <w:szCs w:val="18"/>
          <w:lang w:val="fr-CA"/>
        </w:rPr>
        <w:t>’</w:t>
      </w:r>
      <w:r w:rsidRPr="0079023F">
        <w:rPr>
          <w:noProof/>
          <w:snapToGrid w:val="0"/>
          <w:kern w:val="18"/>
          <w:szCs w:val="18"/>
          <w:lang w:val="fr-CA"/>
        </w:rPr>
        <w:t>il contient n</w:t>
      </w:r>
      <w:r w:rsidR="009770A5">
        <w:rPr>
          <w:noProof/>
          <w:snapToGrid w:val="0"/>
          <w:kern w:val="18"/>
          <w:szCs w:val="18"/>
          <w:lang w:val="fr-CA"/>
        </w:rPr>
        <w:t>’</w:t>
      </w:r>
      <w:r w:rsidRPr="0079023F">
        <w:rPr>
          <w:noProof/>
          <w:snapToGrid w:val="0"/>
          <w:kern w:val="18"/>
          <w:szCs w:val="18"/>
          <w:lang w:val="fr-CA"/>
        </w:rPr>
        <w:t>ont pas été examinés, avalisés ou approuvés par la plénière de la Plateforme intergouvernementale scientifique et politique sur la biodiversité et les services écosystémiques.</w:t>
      </w:r>
    </w:p>
  </w:footnote>
  <w:footnote w:id="4">
    <w:p w14:paraId="558801E2" w14:textId="77777777" w:rsidR="0079023F" w:rsidRPr="0079023F" w:rsidRDefault="0079023F" w:rsidP="0079023F">
      <w:pPr>
        <w:pStyle w:val="FootnoteText"/>
        <w:suppressLineNumbers/>
        <w:suppressAutoHyphens/>
        <w:kinsoku w:val="0"/>
        <w:overflowPunct w:val="0"/>
        <w:autoSpaceDE w:val="0"/>
        <w:autoSpaceDN w:val="0"/>
        <w:ind w:firstLine="0"/>
        <w:jc w:val="left"/>
        <w:rPr>
          <w:snapToGrid w:val="0"/>
          <w:kern w:val="18"/>
          <w:szCs w:val="18"/>
          <w:lang w:val="fr-CA"/>
        </w:rPr>
      </w:pPr>
      <w:r w:rsidRPr="0079023F">
        <w:rPr>
          <w:rStyle w:val="FootnoteReference"/>
          <w:rFonts w:eastAsiaTheme="majorEastAsia"/>
          <w:noProof/>
          <w:snapToGrid w:val="0"/>
          <w:kern w:val="18"/>
          <w:szCs w:val="18"/>
          <w:lang w:val="fr-CA"/>
        </w:rPr>
        <w:footnoteRef/>
      </w:r>
      <w:r w:rsidRPr="0079023F">
        <w:rPr>
          <w:noProof/>
          <w:snapToGrid w:val="0"/>
          <w:kern w:val="18"/>
          <w:szCs w:val="18"/>
          <w:lang w:val="fr-CA"/>
        </w:rPr>
        <w:t xml:space="preserve"> IPBES/IPCC (2021) Rapport d</w:t>
      </w:r>
      <w:r w:rsidR="009770A5">
        <w:rPr>
          <w:noProof/>
          <w:snapToGrid w:val="0"/>
          <w:kern w:val="18"/>
          <w:szCs w:val="18"/>
          <w:lang w:val="fr-CA"/>
        </w:rPr>
        <w:t>’</w:t>
      </w:r>
      <w:r w:rsidRPr="0079023F">
        <w:rPr>
          <w:noProof/>
          <w:snapToGrid w:val="0"/>
          <w:kern w:val="18"/>
          <w:szCs w:val="18"/>
          <w:lang w:val="fr-CA"/>
        </w:rPr>
        <w:t>atelier coparrainé par l</w:t>
      </w:r>
      <w:r w:rsidR="009770A5">
        <w:rPr>
          <w:noProof/>
          <w:snapToGrid w:val="0"/>
          <w:kern w:val="18"/>
          <w:szCs w:val="18"/>
          <w:lang w:val="fr-CA"/>
        </w:rPr>
        <w:t>’</w:t>
      </w:r>
      <w:r w:rsidRPr="0079023F">
        <w:rPr>
          <w:noProof/>
          <w:snapToGrid w:val="0"/>
          <w:kern w:val="18"/>
          <w:szCs w:val="18"/>
          <w:lang w:val="fr-CA"/>
        </w:rPr>
        <w:t>IPBES et l</w:t>
      </w:r>
      <w:r w:rsidR="009770A5">
        <w:rPr>
          <w:noProof/>
          <w:snapToGrid w:val="0"/>
          <w:kern w:val="18"/>
          <w:szCs w:val="18"/>
          <w:lang w:val="fr-CA"/>
        </w:rPr>
        <w:t>’</w:t>
      </w:r>
      <w:r w:rsidRPr="0079023F">
        <w:rPr>
          <w:noProof/>
          <w:snapToGrid w:val="0"/>
          <w:kern w:val="18"/>
          <w:szCs w:val="18"/>
          <w:lang w:val="fr-CA"/>
        </w:rPr>
        <w:t>IPCC sur la biodiversité et les changements climatiques. Le présent rapport d</w:t>
      </w:r>
      <w:r w:rsidR="009770A5">
        <w:rPr>
          <w:noProof/>
          <w:snapToGrid w:val="0"/>
          <w:kern w:val="18"/>
          <w:szCs w:val="18"/>
          <w:lang w:val="fr-CA"/>
        </w:rPr>
        <w:t>’</w:t>
      </w:r>
      <w:r w:rsidRPr="0079023F">
        <w:rPr>
          <w:noProof/>
          <w:snapToGrid w:val="0"/>
          <w:kern w:val="18"/>
          <w:szCs w:val="18"/>
          <w:lang w:val="fr-CA"/>
        </w:rPr>
        <w:t>atelier et les recommandations ou conclusions qu</w:t>
      </w:r>
      <w:r w:rsidR="009770A5">
        <w:rPr>
          <w:noProof/>
          <w:snapToGrid w:val="0"/>
          <w:kern w:val="18"/>
          <w:szCs w:val="18"/>
          <w:lang w:val="fr-CA"/>
        </w:rPr>
        <w:t>’</w:t>
      </w:r>
      <w:r w:rsidRPr="0079023F">
        <w:rPr>
          <w:noProof/>
          <w:snapToGrid w:val="0"/>
          <w:kern w:val="18"/>
          <w:szCs w:val="18"/>
          <w:lang w:val="fr-CA"/>
        </w:rPr>
        <w:t>il contient n</w:t>
      </w:r>
      <w:r w:rsidR="009770A5">
        <w:rPr>
          <w:noProof/>
          <w:snapToGrid w:val="0"/>
          <w:kern w:val="18"/>
          <w:szCs w:val="18"/>
          <w:lang w:val="fr-CA"/>
        </w:rPr>
        <w:t>’</w:t>
      </w:r>
      <w:r w:rsidRPr="0079023F">
        <w:rPr>
          <w:noProof/>
          <w:snapToGrid w:val="0"/>
          <w:kern w:val="18"/>
          <w:szCs w:val="18"/>
          <w:lang w:val="fr-CA"/>
        </w:rPr>
        <w:t>ont pas été examinés, avalisés ou approuvés par la plénière de la Plateforme intergouvernementale scientifique et politique sur la biodiversité et les services écosystémiques ou</w:t>
      </w:r>
      <w:r w:rsidRPr="0079023F">
        <w:rPr>
          <w:snapToGrid w:val="0"/>
          <w:kern w:val="18"/>
          <w:szCs w:val="18"/>
          <w:lang w:val="fr-CA"/>
        </w:rPr>
        <w:t xml:space="preserve"> par le Groupe d</w:t>
      </w:r>
      <w:r w:rsidR="009770A5">
        <w:rPr>
          <w:snapToGrid w:val="0"/>
          <w:kern w:val="18"/>
          <w:szCs w:val="18"/>
          <w:lang w:val="fr-CA"/>
        </w:rPr>
        <w:t>’</w:t>
      </w:r>
      <w:r w:rsidRPr="0079023F">
        <w:rPr>
          <w:snapToGrid w:val="0"/>
          <w:kern w:val="18"/>
          <w:szCs w:val="18"/>
          <w:lang w:val="fr-CA"/>
        </w:rPr>
        <w:t>experts intergouvernemental sur l</w:t>
      </w:r>
      <w:r w:rsidR="009770A5">
        <w:rPr>
          <w:snapToGrid w:val="0"/>
          <w:kern w:val="18"/>
          <w:szCs w:val="18"/>
          <w:lang w:val="fr-CA"/>
        </w:rPr>
        <w:t>’</w:t>
      </w:r>
      <w:r w:rsidRPr="0079023F">
        <w:rPr>
          <w:snapToGrid w:val="0"/>
          <w:kern w:val="18"/>
          <w:szCs w:val="18"/>
          <w:lang w:val="fr-CA"/>
        </w:rPr>
        <w:t>évolution du climat</w:t>
      </w:r>
      <w:r w:rsidRPr="0079023F">
        <w:rPr>
          <w:snapToGrid w:val="0"/>
          <w:color w:val="000000" w:themeColor="text1"/>
          <w:kern w:val="18"/>
          <w:szCs w:val="18"/>
          <w:lang w:val="fr-CA"/>
        </w:rPr>
        <w:t>.</w:t>
      </w:r>
    </w:p>
  </w:footnote>
  <w:footnote w:id="5">
    <w:p w14:paraId="5DBD0DAC" w14:textId="77777777" w:rsidR="00AE2E8A" w:rsidRDefault="00AE2E8A" w:rsidP="00AE2E8A">
      <w:pPr>
        <w:pStyle w:val="FootnoteText"/>
        <w:suppressLineNumbers/>
        <w:suppressAutoHyphens/>
        <w:kinsoku w:val="0"/>
        <w:overflowPunct w:val="0"/>
        <w:autoSpaceDE w:val="0"/>
        <w:autoSpaceDN w:val="0"/>
        <w:ind w:firstLine="0"/>
        <w:jc w:val="left"/>
        <w:rPr>
          <w:snapToGrid w:val="0"/>
          <w:kern w:val="18"/>
          <w:szCs w:val="18"/>
          <w:lang w:val="en-CA"/>
        </w:rPr>
      </w:pPr>
      <w:r w:rsidRPr="00A17804">
        <w:rPr>
          <w:rStyle w:val="FootnoteReference"/>
          <w:snapToGrid w:val="0"/>
          <w:kern w:val="18"/>
          <w:szCs w:val="18"/>
        </w:rPr>
        <w:footnoteRef/>
      </w:r>
      <w:r w:rsidRPr="00A17804">
        <w:rPr>
          <w:snapToGrid w:val="0"/>
          <w:kern w:val="18"/>
          <w:szCs w:val="18"/>
        </w:rPr>
        <w:t xml:space="preserve"> CBD/SBSTTA/24/8.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055BA7B2" w14:textId="77777777" w:rsidR="00534681" w:rsidRPr="00134846" w:rsidRDefault="00E34747" w:rsidP="00534681">
        <w:pPr>
          <w:pStyle w:val="Header"/>
          <w:rPr>
            <w:lang w:val="fr-FR"/>
          </w:rPr>
        </w:pPr>
        <w:r>
          <w:rPr>
            <w:lang w:val="en-CA"/>
          </w:rPr>
          <w:t>CBD/COP/15/L.11</w:t>
        </w:r>
      </w:p>
    </w:sdtContent>
  </w:sdt>
  <w:p w14:paraId="283D18EE" w14:textId="77777777" w:rsidR="00534681" w:rsidRPr="00134846" w:rsidRDefault="00534681" w:rsidP="00534681">
    <w:pPr>
      <w:pStyle w:val="Header"/>
      <w:rPr>
        <w:lang w:val="fr-FR"/>
      </w:rPr>
    </w:pPr>
    <w:r w:rsidRPr="00134846">
      <w:rPr>
        <w:lang w:val="fr-FR"/>
      </w:rPr>
      <w:t xml:space="preserve">Page </w:t>
    </w:r>
    <w:r w:rsidR="00336E36">
      <w:fldChar w:fldCharType="begin"/>
    </w:r>
    <w:r w:rsidRPr="00134846">
      <w:rPr>
        <w:lang w:val="fr-FR"/>
      </w:rPr>
      <w:instrText xml:space="preserve"> PAGE   \* MERGEFORMAT </w:instrText>
    </w:r>
    <w:r w:rsidR="00336E36">
      <w:fldChar w:fldCharType="separate"/>
    </w:r>
    <w:r w:rsidR="00615AEB">
      <w:rPr>
        <w:noProof/>
        <w:lang w:val="fr-FR"/>
      </w:rPr>
      <w:t>4</w:t>
    </w:r>
    <w:r w:rsidR="00336E36">
      <w:rPr>
        <w:noProof/>
      </w:rPr>
      <w:fldChar w:fldCharType="end"/>
    </w:r>
  </w:p>
  <w:p w14:paraId="4AF21DF4"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0D98389E" w14:textId="77777777" w:rsidR="009505C9" w:rsidRPr="00134846" w:rsidRDefault="00E34747" w:rsidP="009505C9">
        <w:pPr>
          <w:pStyle w:val="Header"/>
          <w:jc w:val="right"/>
          <w:rPr>
            <w:lang w:val="fr-FR"/>
          </w:rPr>
        </w:pPr>
        <w:r>
          <w:rPr>
            <w:lang w:val="en-CA"/>
          </w:rPr>
          <w:t>CBD/COP/15/L.11</w:t>
        </w:r>
      </w:p>
    </w:sdtContent>
  </w:sdt>
  <w:p w14:paraId="23C0AEFC" w14:textId="77777777" w:rsidR="009505C9" w:rsidRPr="00134846" w:rsidRDefault="009505C9" w:rsidP="009505C9">
    <w:pPr>
      <w:pStyle w:val="Header"/>
      <w:jc w:val="right"/>
      <w:rPr>
        <w:lang w:val="fr-FR"/>
      </w:rPr>
    </w:pPr>
    <w:r w:rsidRPr="00134846">
      <w:rPr>
        <w:lang w:val="fr-FR"/>
      </w:rPr>
      <w:t xml:space="preserve">Page </w:t>
    </w:r>
    <w:r w:rsidR="00336E36">
      <w:fldChar w:fldCharType="begin"/>
    </w:r>
    <w:r w:rsidRPr="00134846">
      <w:rPr>
        <w:lang w:val="fr-FR"/>
      </w:rPr>
      <w:instrText xml:space="preserve"> PAGE   \* MERGEFORMAT </w:instrText>
    </w:r>
    <w:r w:rsidR="00336E36">
      <w:fldChar w:fldCharType="separate"/>
    </w:r>
    <w:r w:rsidR="00412FAB">
      <w:rPr>
        <w:noProof/>
        <w:lang w:val="fr-FR"/>
      </w:rPr>
      <w:t>5</w:t>
    </w:r>
    <w:r w:rsidR="00336E36">
      <w:rPr>
        <w:noProof/>
      </w:rPr>
      <w:fldChar w:fldCharType="end"/>
    </w:r>
  </w:p>
  <w:p w14:paraId="3205CC1E"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D6AEB"/>
    <w:multiLevelType w:val="multilevel"/>
    <w:tmpl w:val="383000A0"/>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7B1"/>
    <w:rsid w:val="00001AE6"/>
    <w:rsid w:val="0000296B"/>
    <w:rsid w:val="00002BAD"/>
    <w:rsid w:val="000037C4"/>
    <w:rsid w:val="00004584"/>
    <w:rsid w:val="000060C7"/>
    <w:rsid w:val="00006D47"/>
    <w:rsid w:val="00007B3B"/>
    <w:rsid w:val="0001028B"/>
    <w:rsid w:val="00010818"/>
    <w:rsid w:val="00011BF4"/>
    <w:rsid w:val="00011E5C"/>
    <w:rsid w:val="0001218B"/>
    <w:rsid w:val="00013236"/>
    <w:rsid w:val="000138CE"/>
    <w:rsid w:val="00014947"/>
    <w:rsid w:val="00014B2D"/>
    <w:rsid w:val="0001505F"/>
    <w:rsid w:val="00015D93"/>
    <w:rsid w:val="00016827"/>
    <w:rsid w:val="00017D9F"/>
    <w:rsid w:val="00020A25"/>
    <w:rsid w:val="00020B77"/>
    <w:rsid w:val="00020D56"/>
    <w:rsid w:val="0002734E"/>
    <w:rsid w:val="00027834"/>
    <w:rsid w:val="00027AD3"/>
    <w:rsid w:val="00030818"/>
    <w:rsid w:val="00034716"/>
    <w:rsid w:val="0003624B"/>
    <w:rsid w:val="00037C10"/>
    <w:rsid w:val="0004159A"/>
    <w:rsid w:val="00041A23"/>
    <w:rsid w:val="00041CFD"/>
    <w:rsid w:val="0004211A"/>
    <w:rsid w:val="0004412C"/>
    <w:rsid w:val="00044C7B"/>
    <w:rsid w:val="000455AA"/>
    <w:rsid w:val="0004565D"/>
    <w:rsid w:val="00046222"/>
    <w:rsid w:val="00050AD1"/>
    <w:rsid w:val="00050BA5"/>
    <w:rsid w:val="00050CCF"/>
    <w:rsid w:val="000523D5"/>
    <w:rsid w:val="000549B9"/>
    <w:rsid w:val="00054BA5"/>
    <w:rsid w:val="00054D04"/>
    <w:rsid w:val="00054E54"/>
    <w:rsid w:val="00055B4E"/>
    <w:rsid w:val="00056FA9"/>
    <w:rsid w:val="00060CCA"/>
    <w:rsid w:val="00061417"/>
    <w:rsid w:val="00062D01"/>
    <w:rsid w:val="00064C79"/>
    <w:rsid w:val="0007171B"/>
    <w:rsid w:val="0007310B"/>
    <w:rsid w:val="00073287"/>
    <w:rsid w:val="000735C6"/>
    <w:rsid w:val="000736CE"/>
    <w:rsid w:val="00080354"/>
    <w:rsid w:val="00082188"/>
    <w:rsid w:val="00084D3C"/>
    <w:rsid w:val="00090200"/>
    <w:rsid w:val="000927CF"/>
    <w:rsid w:val="000954AB"/>
    <w:rsid w:val="00095922"/>
    <w:rsid w:val="00096A4F"/>
    <w:rsid w:val="0009729E"/>
    <w:rsid w:val="000A0BED"/>
    <w:rsid w:val="000A2175"/>
    <w:rsid w:val="000A2E96"/>
    <w:rsid w:val="000A53A2"/>
    <w:rsid w:val="000A6C61"/>
    <w:rsid w:val="000A7D52"/>
    <w:rsid w:val="000B022A"/>
    <w:rsid w:val="000B0805"/>
    <w:rsid w:val="000B3F4B"/>
    <w:rsid w:val="000B7ABE"/>
    <w:rsid w:val="000C01A6"/>
    <w:rsid w:val="000C02F7"/>
    <w:rsid w:val="000C19B0"/>
    <w:rsid w:val="000C1C09"/>
    <w:rsid w:val="000C2AD6"/>
    <w:rsid w:val="000C36DB"/>
    <w:rsid w:val="000C3EE9"/>
    <w:rsid w:val="000C437D"/>
    <w:rsid w:val="000C64C2"/>
    <w:rsid w:val="000C7188"/>
    <w:rsid w:val="000C7749"/>
    <w:rsid w:val="000D17B9"/>
    <w:rsid w:val="000D2441"/>
    <w:rsid w:val="000D3161"/>
    <w:rsid w:val="000D4CA2"/>
    <w:rsid w:val="000D649B"/>
    <w:rsid w:val="000D7191"/>
    <w:rsid w:val="000D7F8C"/>
    <w:rsid w:val="000E1BA3"/>
    <w:rsid w:val="000E40F7"/>
    <w:rsid w:val="000E4246"/>
    <w:rsid w:val="000E579F"/>
    <w:rsid w:val="000E5835"/>
    <w:rsid w:val="000E673A"/>
    <w:rsid w:val="000E78F3"/>
    <w:rsid w:val="000E7C5F"/>
    <w:rsid w:val="000E7DCA"/>
    <w:rsid w:val="000F1571"/>
    <w:rsid w:val="000F33AD"/>
    <w:rsid w:val="000F74F5"/>
    <w:rsid w:val="0010438A"/>
    <w:rsid w:val="00105372"/>
    <w:rsid w:val="0010669D"/>
    <w:rsid w:val="0010719A"/>
    <w:rsid w:val="00107CFD"/>
    <w:rsid w:val="00107D96"/>
    <w:rsid w:val="00110AF4"/>
    <w:rsid w:val="001127E8"/>
    <w:rsid w:val="00112F45"/>
    <w:rsid w:val="0011367F"/>
    <w:rsid w:val="00113A51"/>
    <w:rsid w:val="00113E77"/>
    <w:rsid w:val="001210E3"/>
    <w:rsid w:val="00123355"/>
    <w:rsid w:val="001248E4"/>
    <w:rsid w:val="00126253"/>
    <w:rsid w:val="001312A5"/>
    <w:rsid w:val="001312AD"/>
    <w:rsid w:val="001318DD"/>
    <w:rsid w:val="00131E7A"/>
    <w:rsid w:val="00134846"/>
    <w:rsid w:val="00134C9B"/>
    <w:rsid w:val="00135C09"/>
    <w:rsid w:val="00136264"/>
    <w:rsid w:val="00136343"/>
    <w:rsid w:val="001404DC"/>
    <w:rsid w:val="0014172A"/>
    <w:rsid w:val="00142046"/>
    <w:rsid w:val="00142CF0"/>
    <w:rsid w:val="00142DB4"/>
    <w:rsid w:val="001442F6"/>
    <w:rsid w:val="00145852"/>
    <w:rsid w:val="0014691A"/>
    <w:rsid w:val="00151331"/>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2FC"/>
    <w:rsid w:val="0016590B"/>
    <w:rsid w:val="00167281"/>
    <w:rsid w:val="00171412"/>
    <w:rsid w:val="00172950"/>
    <w:rsid w:val="00172AF6"/>
    <w:rsid w:val="001761E2"/>
    <w:rsid w:val="00176CEE"/>
    <w:rsid w:val="00176F54"/>
    <w:rsid w:val="00182255"/>
    <w:rsid w:val="00184442"/>
    <w:rsid w:val="00184DB7"/>
    <w:rsid w:val="0018511E"/>
    <w:rsid w:val="00186264"/>
    <w:rsid w:val="00186DD8"/>
    <w:rsid w:val="001870C6"/>
    <w:rsid w:val="00190B5A"/>
    <w:rsid w:val="00193708"/>
    <w:rsid w:val="00193773"/>
    <w:rsid w:val="00197D54"/>
    <w:rsid w:val="001A14EB"/>
    <w:rsid w:val="001A23FC"/>
    <w:rsid w:val="001A50E8"/>
    <w:rsid w:val="001A5A6C"/>
    <w:rsid w:val="001A77EF"/>
    <w:rsid w:val="001A7D5B"/>
    <w:rsid w:val="001B0221"/>
    <w:rsid w:val="001B13FE"/>
    <w:rsid w:val="001B1A39"/>
    <w:rsid w:val="001B1E0B"/>
    <w:rsid w:val="001B2417"/>
    <w:rsid w:val="001B2D36"/>
    <w:rsid w:val="001B36EC"/>
    <w:rsid w:val="001B3772"/>
    <w:rsid w:val="001B4EE1"/>
    <w:rsid w:val="001B7427"/>
    <w:rsid w:val="001C27D5"/>
    <w:rsid w:val="001C2B6F"/>
    <w:rsid w:val="001C49A5"/>
    <w:rsid w:val="001C573E"/>
    <w:rsid w:val="001C6079"/>
    <w:rsid w:val="001C66B2"/>
    <w:rsid w:val="001C6D87"/>
    <w:rsid w:val="001D11B6"/>
    <w:rsid w:val="001D1208"/>
    <w:rsid w:val="001D2E2A"/>
    <w:rsid w:val="001D4FE1"/>
    <w:rsid w:val="001D5CD6"/>
    <w:rsid w:val="001D5CF1"/>
    <w:rsid w:val="001D75DC"/>
    <w:rsid w:val="001E01C7"/>
    <w:rsid w:val="001E195A"/>
    <w:rsid w:val="001E19C0"/>
    <w:rsid w:val="001E54A6"/>
    <w:rsid w:val="001E5DB1"/>
    <w:rsid w:val="001F0A8A"/>
    <w:rsid w:val="001F0CC5"/>
    <w:rsid w:val="001F0CCB"/>
    <w:rsid w:val="001F12CF"/>
    <w:rsid w:val="001F130C"/>
    <w:rsid w:val="001F2B81"/>
    <w:rsid w:val="001F3C14"/>
    <w:rsid w:val="001F477F"/>
    <w:rsid w:val="001F65BB"/>
    <w:rsid w:val="001F7995"/>
    <w:rsid w:val="00200E8D"/>
    <w:rsid w:val="00203674"/>
    <w:rsid w:val="00205D80"/>
    <w:rsid w:val="00206ADC"/>
    <w:rsid w:val="0020754F"/>
    <w:rsid w:val="002120AB"/>
    <w:rsid w:val="002142CC"/>
    <w:rsid w:val="00215539"/>
    <w:rsid w:val="002162C6"/>
    <w:rsid w:val="002170FB"/>
    <w:rsid w:val="002172AD"/>
    <w:rsid w:val="0021758D"/>
    <w:rsid w:val="002178DD"/>
    <w:rsid w:val="00217FB0"/>
    <w:rsid w:val="00220C10"/>
    <w:rsid w:val="00220E9B"/>
    <w:rsid w:val="00221590"/>
    <w:rsid w:val="00222C90"/>
    <w:rsid w:val="002253D9"/>
    <w:rsid w:val="00225E77"/>
    <w:rsid w:val="0022602F"/>
    <w:rsid w:val="00231494"/>
    <w:rsid w:val="00232CE1"/>
    <w:rsid w:val="00235CD0"/>
    <w:rsid w:val="00247810"/>
    <w:rsid w:val="0025157F"/>
    <w:rsid w:val="002517E9"/>
    <w:rsid w:val="002518DE"/>
    <w:rsid w:val="00251BC8"/>
    <w:rsid w:val="0025508D"/>
    <w:rsid w:val="00256649"/>
    <w:rsid w:val="002610A9"/>
    <w:rsid w:val="00261165"/>
    <w:rsid w:val="002637E5"/>
    <w:rsid w:val="00263C70"/>
    <w:rsid w:val="00265106"/>
    <w:rsid w:val="002652FA"/>
    <w:rsid w:val="00265FE5"/>
    <w:rsid w:val="002661C6"/>
    <w:rsid w:val="002665C3"/>
    <w:rsid w:val="0026666A"/>
    <w:rsid w:val="00270393"/>
    <w:rsid w:val="002745B2"/>
    <w:rsid w:val="00280564"/>
    <w:rsid w:val="002809EA"/>
    <w:rsid w:val="00281772"/>
    <w:rsid w:val="00281E49"/>
    <w:rsid w:val="0028367B"/>
    <w:rsid w:val="00284233"/>
    <w:rsid w:val="00284C22"/>
    <w:rsid w:val="00285CDD"/>
    <w:rsid w:val="0029032C"/>
    <w:rsid w:val="0029069C"/>
    <w:rsid w:val="0029205A"/>
    <w:rsid w:val="00292A43"/>
    <w:rsid w:val="00294783"/>
    <w:rsid w:val="00294A54"/>
    <w:rsid w:val="00295EAE"/>
    <w:rsid w:val="002977F7"/>
    <w:rsid w:val="002A09C4"/>
    <w:rsid w:val="002A0DED"/>
    <w:rsid w:val="002A36D4"/>
    <w:rsid w:val="002A441C"/>
    <w:rsid w:val="002A5F25"/>
    <w:rsid w:val="002A6ECA"/>
    <w:rsid w:val="002A701D"/>
    <w:rsid w:val="002B0F4C"/>
    <w:rsid w:val="002B0FE0"/>
    <w:rsid w:val="002B16C1"/>
    <w:rsid w:val="002B312F"/>
    <w:rsid w:val="002B7467"/>
    <w:rsid w:val="002C1D69"/>
    <w:rsid w:val="002C241F"/>
    <w:rsid w:val="002C3049"/>
    <w:rsid w:val="002C4070"/>
    <w:rsid w:val="002C5DBC"/>
    <w:rsid w:val="002C6649"/>
    <w:rsid w:val="002C6BBB"/>
    <w:rsid w:val="002C7C3F"/>
    <w:rsid w:val="002D18F2"/>
    <w:rsid w:val="002D433E"/>
    <w:rsid w:val="002D45BF"/>
    <w:rsid w:val="002D5E91"/>
    <w:rsid w:val="002D5ED5"/>
    <w:rsid w:val="002D634D"/>
    <w:rsid w:val="002E021A"/>
    <w:rsid w:val="002E2916"/>
    <w:rsid w:val="002E2A98"/>
    <w:rsid w:val="002E2BFF"/>
    <w:rsid w:val="002E376B"/>
    <w:rsid w:val="002E47F4"/>
    <w:rsid w:val="002E4E4C"/>
    <w:rsid w:val="002E4F23"/>
    <w:rsid w:val="002E6010"/>
    <w:rsid w:val="002E6C1D"/>
    <w:rsid w:val="002F080B"/>
    <w:rsid w:val="002F13E1"/>
    <w:rsid w:val="002F3FD3"/>
    <w:rsid w:val="002F58E9"/>
    <w:rsid w:val="002F6006"/>
    <w:rsid w:val="002F6A25"/>
    <w:rsid w:val="00300F4B"/>
    <w:rsid w:val="003014F8"/>
    <w:rsid w:val="0030169D"/>
    <w:rsid w:val="0030188E"/>
    <w:rsid w:val="00301CFE"/>
    <w:rsid w:val="00301EF0"/>
    <w:rsid w:val="00302AAD"/>
    <w:rsid w:val="00304795"/>
    <w:rsid w:val="003060EB"/>
    <w:rsid w:val="003065BD"/>
    <w:rsid w:val="0030682E"/>
    <w:rsid w:val="00310B05"/>
    <w:rsid w:val="00311741"/>
    <w:rsid w:val="003119EF"/>
    <w:rsid w:val="00312F05"/>
    <w:rsid w:val="00313996"/>
    <w:rsid w:val="0031469E"/>
    <w:rsid w:val="003153EB"/>
    <w:rsid w:val="00316FF4"/>
    <w:rsid w:val="00317CB8"/>
    <w:rsid w:val="0032036A"/>
    <w:rsid w:val="00320379"/>
    <w:rsid w:val="00320FAC"/>
    <w:rsid w:val="00321985"/>
    <w:rsid w:val="00322257"/>
    <w:rsid w:val="003223CE"/>
    <w:rsid w:val="00324A10"/>
    <w:rsid w:val="00324E11"/>
    <w:rsid w:val="003259E6"/>
    <w:rsid w:val="00326322"/>
    <w:rsid w:val="003271DE"/>
    <w:rsid w:val="003274C0"/>
    <w:rsid w:val="003302E4"/>
    <w:rsid w:val="003318E9"/>
    <w:rsid w:val="00331A61"/>
    <w:rsid w:val="00331D04"/>
    <w:rsid w:val="00332EFA"/>
    <w:rsid w:val="00333176"/>
    <w:rsid w:val="00333214"/>
    <w:rsid w:val="003349F5"/>
    <w:rsid w:val="00334EC1"/>
    <w:rsid w:val="0033506D"/>
    <w:rsid w:val="00335FA5"/>
    <w:rsid w:val="0033609A"/>
    <w:rsid w:val="00336DBB"/>
    <w:rsid w:val="00336E36"/>
    <w:rsid w:val="00340A40"/>
    <w:rsid w:val="00341FDD"/>
    <w:rsid w:val="00343EE1"/>
    <w:rsid w:val="00347A09"/>
    <w:rsid w:val="00347CF1"/>
    <w:rsid w:val="00350464"/>
    <w:rsid w:val="00351205"/>
    <w:rsid w:val="003528A4"/>
    <w:rsid w:val="00355AED"/>
    <w:rsid w:val="00355EE6"/>
    <w:rsid w:val="0035699C"/>
    <w:rsid w:val="003607F3"/>
    <w:rsid w:val="00361270"/>
    <w:rsid w:val="00362D3C"/>
    <w:rsid w:val="003631F8"/>
    <w:rsid w:val="00363B04"/>
    <w:rsid w:val="00363DF3"/>
    <w:rsid w:val="003660CD"/>
    <w:rsid w:val="0036640C"/>
    <w:rsid w:val="0037093A"/>
    <w:rsid w:val="00372F74"/>
    <w:rsid w:val="003730AA"/>
    <w:rsid w:val="003734DC"/>
    <w:rsid w:val="003743D0"/>
    <w:rsid w:val="003744D1"/>
    <w:rsid w:val="0037639A"/>
    <w:rsid w:val="00377307"/>
    <w:rsid w:val="003806F1"/>
    <w:rsid w:val="00381840"/>
    <w:rsid w:val="00381BC9"/>
    <w:rsid w:val="00382927"/>
    <w:rsid w:val="00382D7C"/>
    <w:rsid w:val="0038397E"/>
    <w:rsid w:val="003864F7"/>
    <w:rsid w:val="00387409"/>
    <w:rsid w:val="00387502"/>
    <w:rsid w:val="00387C7D"/>
    <w:rsid w:val="0039003B"/>
    <w:rsid w:val="003916A4"/>
    <w:rsid w:val="00392534"/>
    <w:rsid w:val="003930F7"/>
    <w:rsid w:val="003935D9"/>
    <w:rsid w:val="00396826"/>
    <w:rsid w:val="0039738C"/>
    <w:rsid w:val="003A0DE8"/>
    <w:rsid w:val="003A179C"/>
    <w:rsid w:val="003A240B"/>
    <w:rsid w:val="003A24FD"/>
    <w:rsid w:val="003A4929"/>
    <w:rsid w:val="003A50A0"/>
    <w:rsid w:val="003A6835"/>
    <w:rsid w:val="003A6DCF"/>
    <w:rsid w:val="003A7BDB"/>
    <w:rsid w:val="003B319D"/>
    <w:rsid w:val="003B3A4C"/>
    <w:rsid w:val="003B44F9"/>
    <w:rsid w:val="003B4C82"/>
    <w:rsid w:val="003B7BB2"/>
    <w:rsid w:val="003B7C04"/>
    <w:rsid w:val="003C08EE"/>
    <w:rsid w:val="003C0A8C"/>
    <w:rsid w:val="003C1543"/>
    <w:rsid w:val="003C1720"/>
    <w:rsid w:val="003C18D7"/>
    <w:rsid w:val="003C1B68"/>
    <w:rsid w:val="003C1E14"/>
    <w:rsid w:val="003C2B7A"/>
    <w:rsid w:val="003C31B5"/>
    <w:rsid w:val="003C4011"/>
    <w:rsid w:val="003C6676"/>
    <w:rsid w:val="003C7046"/>
    <w:rsid w:val="003D16F4"/>
    <w:rsid w:val="003D1708"/>
    <w:rsid w:val="003D17BB"/>
    <w:rsid w:val="003D1C1B"/>
    <w:rsid w:val="003D284E"/>
    <w:rsid w:val="003D3B90"/>
    <w:rsid w:val="003D5516"/>
    <w:rsid w:val="003D6432"/>
    <w:rsid w:val="003D75DB"/>
    <w:rsid w:val="003D7847"/>
    <w:rsid w:val="003E1002"/>
    <w:rsid w:val="003E2919"/>
    <w:rsid w:val="003E3275"/>
    <w:rsid w:val="003E33B8"/>
    <w:rsid w:val="003E3D67"/>
    <w:rsid w:val="003E423E"/>
    <w:rsid w:val="003E5B0D"/>
    <w:rsid w:val="003E6053"/>
    <w:rsid w:val="003E666E"/>
    <w:rsid w:val="003E6CAD"/>
    <w:rsid w:val="003E7D82"/>
    <w:rsid w:val="003F04E8"/>
    <w:rsid w:val="003F2638"/>
    <w:rsid w:val="003F264D"/>
    <w:rsid w:val="003F393A"/>
    <w:rsid w:val="003F3D55"/>
    <w:rsid w:val="003F42EC"/>
    <w:rsid w:val="003F51FE"/>
    <w:rsid w:val="003F5304"/>
    <w:rsid w:val="003F7224"/>
    <w:rsid w:val="003F742C"/>
    <w:rsid w:val="003F79EC"/>
    <w:rsid w:val="004003AE"/>
    <w:rsid w:val="004039BA"/>
    <w:rsid w:val="004044AE"/>
    <w:rsid w:val="00407321"/>
    <w:rsid w:val="00411137"/>
    <w:rsid w:val="0041162C"/>
    <w:rsid w:val="00412FAB"/>
    <w:rsid w:val="004156FE"/>
    <w:rsid w:val="00415853"/>
    <w:rsid w:val="0041623B"/>
    <w:rsid w:val="004166A1"/>
    <w:rsid w:val="004168D4"/>
    <w:rsid w:val="00416C2D"/>
    <w:rsid w:val="00417435"/>
    <w:rsid w:val="004211DC"/>
    <w:rsid w:val="00425DD7"/>
    <w:rsid w:val="00426D92"/>
    <w:rsid w:val="00427D21"/>
    <w:rsid w:val="00430E63"/>
    <w:rsid w:val="00430EEB"/>
    <w:rsid w:val="0043148D"/>
    <w:rsid w:val="00431BC7"/>
    <w:rsid w:val="004328F1"/>
    <w:rsid w:val="00433157"/>
    <w:rsid w:val="0043332B"/>
    <w:rsid w:val="004357D3"/>
    <w:rsid w:val="0043639E"/>
    <w:rsid w:val="00436A10"/>
    <w:rsid w:val="0043707D"/>
    <w:rsid w:val="00437EB0"/>
    <w:rsid w:val="004423E1"/>
    <w:rsid w:val="00442C94"/>
    <w:rsid w:val="00442DF5"/>
    <w:rsid w:val="00442EED"/>
    <w:rsid w:val="004431A7"/>
    <w:rsid w:val="00443E56"/>
    <w:rsid w:val="0044436A"/>
    <w:rsid w:val="0044655F"/>
    <w:rsid w:val="00447124"/>
    <w:rsid w:val="004471D2"/>
    <w:rsid w:val="00447285"/>
    <w:rsid w:val="0044739B"/>
    <w:rsid w:val="004478A1"/>
    <w:rsid w:val="00447AE6"/>
    <w:rsid w:val="0045207D"/>
    <w:rsid w:val="00452478"/>
    <w:rsid w:val="0045358C"/>
    <w:rsid w:val="004559BE"/>
    <w:rsid w:val="00457463"/>
    <w:rsid w:val="00457FE9"/>
    <w:rsid w:val="00460E8D"/>
    <w:rsid w:val="00461434"/>
    <w:rsid w:val="004644C2"/>
    <w:rsid w:val="00465F11"/>
    <w:rsid w:val="00465F22"/>
    <w:rsid w:val="0046760A"/>
    <w:rsid w:val="00467F34"/>
    <w:rsid w:val="00467F9C"/>
    <w:rsid w:val="00467FED"/>
    <w:rsid w:val="004707C4"/>
    <w:rsid w:val="00472B63"/>
    <w:rsid w:val="00473B9C"/>
    <w:rsid w:val="0047410E"/>
    <w:rsid w:val="00475718"/>
    <w:rsid w:val="00475A41"/>
    <w:rsid w:val="004769DA"/>
    <w:rsid w:val="00477270"/>
    <w:rsid w:val="00477F27"/>
    <w:rsid w:val="0048156B"/>
    <w:rsid w:val="004823A1"/>
    <w:rsid w:val="004823F4"/>
    <w:rsid w:val="004850A7"/>
    <w:rsid w:val="004857DB"/>
    <w:rsid w:val="0049073A"/>
    <w:rsid w:val="00491D9F"/>
    <w:rsid w:val="004922EA"/>
    <w:rsid w:val="0049274B"/>
    <w:rsid w:val="004928C3"/>
    <w:rsid w:val="0049307F"/>
    <w:rsid w:val="0049462F"/>
    <w:rsid w:val="00496194"/>
    <w:rsid w:val="00496A87"/>
    <w:rsid w:val="00496D21"/>
    <w:rsid w:val="004971D5"/>
    <w:rsid w:val="00497931"/>
    <w:rsid w:val="004A090C"/>
    <w:rsid w:val="004A228F"/>
    <w:rsid w:val="004A3D12"/>
    <w:rsid w:val="004A4999"/>
    <w:rsid w:val="004A5DAA"/>
    <w:rsid w:val="004A632A"/>
    <w:rsid w:val="004B2D5F"/>
    <w:rsid w:val="004B3A5F"/>
    <w:rsid w:val="004B56A6"/>
    <w:rsid w:val="004B6501"/>
    <w:rsid w:val="004B7AA1"/>
    <w:rsid w:val="004C0DDA"/>
    <w:rsid w:val="004C42DC"/>
    <w:rsid w:val="004C4579"/>
    <w:rsid w:val="004C474B"/>
    <w:rsid w:val="004C478A"/>
    <w:rsid w:val="004C5B17"/>
    <w:rsid w:val="004C7211"/>
    <w:rsid w:val="004C7C57"/>
    <w:rsid w:val="004D13C9"/>
    <w:rsid w:val="004D4344"/>
    <w:rsid w:val="004D623E"/>
    <w:rsid w:val="004D73F6"/>
    <w:rsid w:val="004D7D08"/>
    <w:rsid w:val="004E0B8D"/>
    <w:rsid w:val="004E0C2C"/>
    <w:rsid w:val="004E10CF"/>
    <w:rsid w:val="004E188D"/>
    <w:rsid w:val="004E1F0C"/>
    <w:rsid w:val="004E29E6"/>
    <w:rsid w:val="004E3DB0"/>
    <w:rsid w:val="004E7981"/>
    <w:rsid w:val="004F0027"/>
    <w:rsid w:val="004F1276"/>
    <w:rsid w:val="004F129F"/>
    <w:rsid w:val="004F16E7"/>
    <w:rsid w:val="004F500E"/>
    <w:rsid w:val="004F5513"/>
    <w:rsid w:val="004F67EB"/>
    <w:rsid w:val="004F6914"/>
    <w:rsid w:val="004F70A8"/>
    <w:rsid w:val="00500A9A"/>
    <w:rsid w:val="00501C81"/>
    <w:rsid w:val="00504EFA"/>
    <w:rsid w:val="005056F9"/>
    <w:rsid w:val="00507B89"/>
    <w:rsid w:val="00514C15"/>
    <w:rsid w:val="0051597E"/>
    <w:rsid w:val="00515F38"/>
    <w:rsid w:val="005208AC"/>
    <w:rsid w:val="005209EA"/>
    <w:rsid w:val="00520C82"/>
    <w:rsid w:val="00521D77"/>
    <w:rsid w:val="00521FD7"/>
    <w:rsid w:val="00522443"/>
    <w:rsid w:val="0052286D"/>
    <w:rsid w:val="00523A00"/>
    <w:rsid w:val="005264F8"/>
    <w:rsid w:val="00526BEE"/>
    <w:rsid w:val="00526FD3"/>
    <w:rsid w:val="00527028"/>
    <w:rsid w:val="005270A4"/>
    <w:rsid w:val="00527AC7"/>
    <w:rsid w:val="00530E1E"/>
    <w:rsid w:val="00530EA7"/>
    <w:rsid w:val="00533ADC"/>
    <w:rsid w:val="00534681"/>
    <w:rsid w:val="00535DFC"/>
    <w:rsid w:val="00535FF5"/>
    <w:rsid w:val="005374D2"/>
    <w:rsid w:val="00537A1D"/>
    <w:rsid w:val="00540496"/>
    <w:rsid w:val="00540A9E"/>
    <w:rsid w:val="0054114E"/>
    <w:rsid w:val="0054172D"/>
    <w:rsid w:val="00541CD5"/>
    <w:rsid w:val="0054429B"/>
    <w:rsid w:val="005446DB"/>
    <w:rsid w:val="00544E64"/>
    <w:rsid w:val="0054531B"/>
    <w:rsid w:val="00545F5C"/>
    <w:rsid w:val="00546E43"/>
    <w:rsid w:val="00547207"/>
    <w:rsid w:val="00547BEA"/>
    <w:rsid w:val="00551C23"/>
    <w:rsid w:val="00552BB0"/>
    <w:rsid w:val="00552EED"/>
    <w:rsid w:val="00554FFD"/>
    <w:rsid w:val="0055515A"/>
    <w:rsid w:val="005556A5"/>
    <w:rsid w:val="00555FFC"/>
    <w:rsid w:val="00556D6B"/>
    <w:rsid w:val="005571E8"/>
    <w:rsid w:val="005579B6"/>
    <w:rsid w:val="005601BE"/>
    <w:rsid w:val="00561564"/>
    <w:rsid w:val="0056256C"/>
    <w:rsid w:val="00562B2C"/>
    <w:rsid w:val="0056328A"/>
    <w:rsid w:val="00563442"/>
    <w:rsid w:val="00564BC9"/>
    <w:rsid w:val="00565A55"/>
    <w:rsid w:val="00565B42"/>
    <w:rsid w:val="00565D89"/>
    <w:rsid w:val="00570C1D"/>
    <w:rsid w:val="00571244"/>
    <w:rsid w:val="005719F3"/>
    <w:rsid w:val="00573D1D"/>
    <w:rsid w:val="00573FA3"/>
    <w:rsid w:val="0057503B"/>
    <w:rsid w:val="00576B76"/>
    <w:rsid w:val="005813FD"/>
    <w:rsid w:val="005820C6"/>
    <w:rsid w:val="00584A6C"/>
    <w:rsid w:val="00586637"/>
    <w:rsid w:val="005910FD"/>
    <w:rsid w:val="005916A4"/>
    <w:rsid w:val="0059266A"/>
    <w:rsid w:val="00595578"/>
    <w:rsid w:val="005957E3"/>
    <w:rsid w:val="005A07CA"/>
    <w:rsid w:val="005A0988"/>
    <w:rsid w:val="005A107A"/>
    <w:rsid w:val="005A1202"/>
    <w:rsid w:val="005A1C09"/>
    <w:rsid w:val="005A6A9B"/>
    <w:rsid w:val="005A7769"/>
    <w:rsid w:val="005A7E00"/>
    <w:rsid w:val="005B14BC"/>
    <w:rsid w:val="005B2780"/>
    <w:rsid w:val="005B4ADC"/>
    <w:rsid w:val="005B6BD6"/>
    <w:rsid w:val="005B70C8"/>
    <w:rsid w:val="005C058B"/>
    <w:rsid w:val="005C1FD4"/>
    <w:rsid w:val="005C2077"/>
    <w:rsid w:val="005C372E"/>
    <w:rsid w:val="005C4CE6"/>
    <w:rsid w:val="005C7CC6"/>
    <w:rsid w:val="005D28AE"/>
    <w:rsid w:val="005D3658"/>
    <w:rsid w:val="005D4FB9"/>
    <w:rsid w:val="005D552F"/>
    <w:rsid w:val="005D631F"/>
    <w:rsid w:val="005D6C5F"/>
    <w:rsid w:val="005E30AD"/>
    <w:rsid w:val="005E3D69"/>
    <w:rsid w:val="005E41D6"/>
    <w:rsid w:val="005E4DEC"/>
    <w:rsid w:val="005E57FA"/>
    <w:rsid w:val="005E59FB"/>
    <w:rsid w:val="005E5CB0"/>
    <w:rsid w:val="005E78FA"/>
    <w:rsid w:val="005E7C24"/>
    <w:rsid w:val="005E7E2B"/>
    <w:rsid w:val="005F2933"/>
    <w:rsid w:val="005F34DD"/>
    <w:rsid w:val="005F3720"/>
    <w:rsid w:val="005F419A"/>
    <w:rsid w:val="005F4F96"/>
    <w:rsid w:val="005F730B"/>
    <w:rsid w:val="00600E01"/>
    <w:rsid w:val="00601E28"/>
    <w:rsid w:val="00601F24"/>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AEB"/>
    <w:rsid w:val="00615C08"/>
    <w:rsid w:val="00615F1E"/>
    <w:rsid w:val="00621927"/>
    <w:rsid w:val="00621EA1"/>
    <w:rsid w:val="00622E71"/>
    <w:rsid w:val="006239F2"/>
    <w:rsid w:val="006245AE"/>
    <w:rsid w:val="00627B6C"/>
    <w:rsid w:val="00627DEB"/>
    <w:rsid w:val="006301EA"/>
    <w:rsid w:val="00631F6E"/>
    <w:rsid w:val="00632890"/>
    <w:rsid w:val="00632E72"/>
    <w:rsid w:val="00633CC1"/>
    <w:rsid w:val="00637757"/>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2EE5"/>
    <w:rsid w:val="00663606"/>
    <w:rsid w:val="006639B2"/>
    <w:rsid w:val="006645EC"/>
    <w:rsid w:val="00664F3F"/>
    <w:rsid w:val="006654C6"/>
    <w:rsid w:val="00670691"/>
    <w:rsid w:val="00671A56"/>
    <w:rsid w:val="0067262B"/>
    <w:rsid w:val="00675845"/>
    <w:rsid w:val="00676129"/>
    <w:rsid w:val="0067755E"/>
    <w:rsid w:val="0068012A"/>
    <w:rsid w:val="006816DD"/>
    <w:rsid w:val="00682EBC"/>
    <w:rsid w:val="00684D02"/>
    <w:rsid w:val="006851F9"/>
    <w:rsid w:val="00685244"/>
    <w:rsid w:val="00686C7A"/>
    <w:rsid w:val="00690832"/>
    <w:rsid w:val="00691E64"/>
    <w:rsid w:val="006930D4"/>
    <w:rsid w:val="00693282"/>
    <w:rsid w:val="006943AE"/>
    <w:rsid w:val="00694DB6"/>
    <w:rsid w:val="0069603A"/>
    <w:rsid w:val="00697E73"/>
    <w:rsid w:val="006A0AF6"/>
    <w:rsid w:val="006A0CB3"/>
    <w:rsid w:val="006A0E5B"/>
    <w:rsid w:val="006A170B"/>
    <w:rsid w:val="006A393F"/>
    <w:rsid w:val="006A3B6D"/>
    <w:rsid w:val="006B0567"/>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914"/>
    <w:rsid w:val="006C58BB"/>
    <w:rsid w:val="006C7663"/>
    <w:rsid w:val="006C7DF9"/>
    <w:rsid w:val="006D24C6"/>
    <w:rsid w:val="006D2A57"/>
    <w:rsid w:val="006D2FAF"/>
    <w:rsid w:val="006D34C8"/>
    <w:rsid w:val="006D36EA"/>
    <w:rsid w:val="006D3760"/>
    <w:rsid w:val="006D44FF"/>
    <w:rsid w:val="006D63E5"/>
    <w:rsid w:val="006E1647"/>
    <w:rsid w:val="006E18EC"/>
    <w:rsid w:val="006E3A75"/>
    <w:rsid w:val="006E41EE"/>
    <w:rsid w:val="006E5688"/>
    <w:rsid w:val="006E743F"/>
    <w:rsid w:val="006F0750"/>
    <w:rsid w:val="006F3B7E"/>
    <w:rsid w:val="006F3F07"/>
    <w:rsid w:val="006F53E6"/>
    <w:rsid w:val="006F6913"/>
    <w:rsid w:val="00700096"/>
    <w:rsid w:val="00701937"/>
    <w:rsid w:val="00703943"/>
    <w:rsid w:val="00703A10"/>
    <w:rsid w:val="00705C3D"/>
    <w:rsid w:val="00706339"/>
    <w:rsid w:val="00706CF7"/>
    <w:rsid w:val="0071166A"/>
    <w:rsid w:val="00713065"/>
    <w:rsid w:val="007130D3"/>
    <w:rsid w:val="007137CD"/>
    <w:rsid w:val="00714581"/>
    <w:rsid w:val="007147E2"/>
    <w:rsid w:val="007152F6"/>
    <w:rsid w:val="00716B82"/>
    <w:rsid w:val="00717678"/>
    <w:rsid w:val="00717D88"/>
    <w:rsid w:val="0072142F"/>
    <w:rsid w:val="00722441"/>
    <w:rsid w:val="00725BB5"/>
    <w:rsid w:val="00725E29"/>
    <w:rsid w:val="0073048B"/>
    <w:rsid w:val="00732E9E"/>
    <w:rsid w:val="00733FC4"/>
    <w:rsid w:val="00734270"/>
    <w:rsid w:val="007346DF"/>
    <w:rsid w:val="00734BBD"/>
    <w:rsid w:val="00735756"/>
    <w:rsid w:val="00736263"/>
    <w:rsid w:val="00736A73"/>
    <w:rsid w:val="0073799D"/>
    <w:rsid w:val="00740FDD"/>
    <w:rsid w:val="0074102A"/>
    <w:rsid w:val="007429C1"/>
    <w:rsid w:val="00743050"/>
    <w:rsid w:val="00743CD3"/>
    <w:rsid w:val="00744C6A"/>
    <w:rsid w:val="00745932"/>
    <w:rsid w:val="00745AE1"/>
    <w:rsid w:val="00746FC0"/>
    <w:rsid w:val="00747098"/>
    <w:rsid w:val="0075045B"/>
    <w:rsid w:val="00752629"/>
    <w:rsid w:val="007538DE"/>
    <w:rsid w:val="0075547C"/>
    <w:rsid w:val="007569B3"/>
    <w:rsid w:val="007600A1"/>
    <w:rsid w:val="0076016B"/>
    <w:rsid w:val="007606EF"/>
    <w:rsid w:val="007629C1"/>
    <w:rsid w:val="00764E72"/>
    <w:rsid w:val="00770FA9"/>
    <w:rsid w:val="007711A7"/>
    <w:rsid w:val="0077151E"/>
    <w:rsid w:val="00771549"/>
    <w:rsid w:val="00772B87"/>
    <w:rsid w:val="00773F9A"/>
    <w:rsid w:val="00775A1C"/>
    <w:rsid w:val="00775AFF"/>
    <w:rsid w:val="0078442C"/>
    <w:rsid w:val="00786056"/>
    <w:rsid w:val="00786202"/>
    <w:rsid w:val="00787FA6"/>
    <w:rsid w:val="0079023F"/>
    <w:rsid w:val="00791623"/>
    <w:rsid w:val="0079266A"/>
    <w:rsid w:val="007933A1"/>
    <w:rsid w:val="00793C6E"/>
    <w:rsid w:val="007942D3"/>
    <w:rsid w:val="0079454D"/>
    <w:rsid w:val="0079456E"/>
    <w:rsid w:val="007948F6"/>
    <w:rsid w:val="00795B2E"/>
    <w:rsid w:val="0079678E"/>
    <w:rsid w:val="007967EA"/>
    <w:rsid w:val="0079685C"/>
    <w:rsid w:val="00796A4F"/>
    <w:rsid w:val="007A1197"/>
    <w:rsid w:val="007A185D"/>
    <w:rsid w:val="007A2069"/>
    <w:rsid w:val="007A3FEE"/>
    <w:rsid w:val="007A4213"/>
    <w:rsid w:val="007A6520"/>
    <w:rsid w:val="007A69F0"/>
    <w:rsid w:val="007B00CD"/>
    <w:rsid w:val="007B1ECB"/>
    <w:rsid w:val="007B2099"/>
    <w:rsid w:val="007B2348"/>
    <w:rsid w:val="007B2531"/>
    <w:rsid w:val="007B341C"/>
    <w:rsid w:val="007B59C2"/>
    <w:rsid w:val="007B62D6"/>
    <w:rsid w:val="007B6C09"/>
    <w:rsid w:val="007B7741"/>
    <w:rsid w:val="007C0097"/>
    <w:rsid w:val="007C0F29"/>
    <w:rsid w:val="007C3261"/>
    <w:rsid w:val="007C3366"/>
    <w:rsid w:val="007C4041"/>
    <w:rsid w:val="007C4A89"/>
    <w:rsid w:val="007C4DFD"/>
    <w:rsid w:val="007C79CF"/>
    <w:rsid w:val="007D00D9"/>
    <w:rsid w:val="007D0676"/>
    <w:rsid w:val="007D0C85"/>
    <w:rsid w:val="007D13B5"/>
    <w:rsid w:val="007D24B9"/>
    <w:rsid w:val="007D250F"/>
    <w:rsid w:val="007D4B87"/>
    <w:rsid w:val="007D5202"/>
    <w:rsid w:val="007D6B75"/>
    <w:rsid w:val="007D6CFE"/>
    <w:rsid w:val="007D7A36"/>
    <w:rsid w:val="007E09DA"/>
    <w:rsid w:val="007E180F"/>
    <w:rsid w:val="007E228B"/>
    <w:rsid w:val="007E3C65"/>
    <w:rsid w:val="007E3E5D"/>
    <w:rsid w:val="007E5A61"/>
    <w:rsid w:val="007E7267"/>
    <w:rsid w:val="007E736F"/>
    <w:rsid w:val="007E772B"/>
    <w:rsid w:val="007F027C"/>
    <w:rsid w:val="007F0CA8"/>
    <w:rsid w:val="007F0CE8"/>
    <w:rsid w:val="007F1A86"/>
    <w:rsid w:val="007F1E19"/>
    <w:rsid w:val="007F2EFE"/>
    <w:rsid w:val="007F5FCE"/>
    <w:rsid w:val="007F73FD"/>
    <w:rsid w:val="00800D08"/>
    <w:rsid w:val="0080279B"/>
    <w:rsid w:val="00803010"/>
    <w:rsid w:val="00803D78"/>
    <w:rsid w:val="00803E64"/>
    <w:rsid w:val="00803FCA"/>
    <w:rsid w:val="0080723D"/>
    <w:rsid w:val="0081018E"/>
    <w:rsid w:val="00812EB5"/>
    <w:rsid w:val="00812F13"/>
    <w:rsid w:val="0081519E"/>
    <w:rsid w:val="008151E8"/>
    <w:rsid w:val="008178B6"/>
    <w:rsid w:val="008213B9"/>
    <w:rsid w:val="008216AA"/>
    <w:rsid w:val="0082191A"/>
    <w:rsid w:val="00821DE4"/>
    <w:rsid w:val="00822EE0"/>
    <w:rsid w:val="0082629D"/>
    <w:rsid w:val="00827FEE"/>
    <w:rsid w:val="008308D1"/>
    <w:rsid w:val="008331D8"/>
    <w:rsid w:val="0083343A"/>
    <w:rsid w:val="008341E7"/>
    <w:rsid w:val="00835616"/>
    <w:rsid w:val="00835E06"/>
    <w:rsid w:val="00836CC0"/>
    <w:rsid w:val="00836DFD"/>
    <w:rsid w:val="008372B7"/>
    <w:rsid w:val="008376A7"/>
    <w:rsid w:val="00840BD8"/>
    <w:rsid w:val="00841256"/>
    <w:rsid w:val="00844530"/>
    <w:rsid w:val="0084531A"/>
    <w:rsid w:val="00846B65"/>
    <w:rsid w:val="00847432"/>
    <w:rsid w:val="008503DA"/>
    <w:rsid w:val="008505BC"/>
    <w:rsid w:val="00853231"/>
    <w:rsid w:val="008535B8"/>
    <w:rsid w:val="00854EA4"/>
    <w:rsid w:val="00855AFF"/>
    <w:rsid w:val="008571FA"/>
    <w:rsid w:val="00857614"/>
    <w:rsid w:val="00860236"/>
    <w:rsid w:val="00860A50"/>
    <w:rsid w:val="00861D46"/>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94A"/>
    <w:rsid w:val="00880BFC"/>
    <w:rsid w:val="0088174B"/>
    <w:rsid w:val="00882721"/>
    <w:rsid w:val="00884632"/>
    <w:rsid w:val="00887F19"/>
    <w:rsid w:val="0089027E"/>
    <w:rsid w:val="0089090C"/>
    <w:rsid w:val="00891CA9"/>
    <w:rsid w:val="00891D4C"/>
    <w:rsid w:val="008928B3"/>
    <w:rsid w:val="0089394D"/>
    <w:rsid w:val="00893F0F"/>
    <w:rsid w:val="00894EAA"/>
    <w:rsid w:val="00896A8E"/>
    <w:rsid w:val="008974F0"/>
    <w:rsid w:val="008977F8"/>
    <w:rsid w:val="00897D46"/>
    <w:rsid w:val="008A19E5"/>
    <w:rsid w:val="008A2150"/>
    <w:rsid w:val="008A22F4"/>
    <w:rsid w:val="008A330A"/>
    <w:rsid w:val="008A3ADB"/>
    <w:rsid w:val="008A3F64"/>
    <w:rsid w:val="008A643F"/>
    <w:rsid w:val="008A7012"/>
    <w:rsid w:val="008B012A"/>
    <w:rsid w:val="008B2708"/>
    <w:rsid w:val="008B3965"/>
    <w:rsid w:val="008B3CFD"/>
    <w:rsid w:val="008B740B"/>
    <w:rsid w:val="008C2595"/>
    <w:rsid w:val="008C378F"/>
    <w:rsid w:val="008C3919"/>
    <w:rsid w:val="008C52F1"/>
    <w:rsid w:val="008D0F36"/>
    <w:rsid w:val="008D17FB"/>
    <w:rsid w:val="008D1BB4"/>
    <w:rsid w:val="008D2A00"/>
    <w:rsid w:val="008D4E5D"/>
    <w:rsid w:val="008D5532"/>
    <w:rsid w:val="008D5823"/>
    <w:rsid w:val="008E1395"/>
    <w:rsid w:val="008E2944"/>
    <w:rsid w:val="008E4388"/>
    <w:rsid w:val="008E4AAB"/>
    <w:rsid w:val="008E4D1F"/>
    <w:rsid w:val="008E4E35"/>
    <w:rsid w:val="008E4E3C"/>
    <w:rsid w:val="008E564B"/>
    <w:rsid w:val="008E5C7A"/>
    <w:rsid w:val="008E5FF8"/>
    <w:rsid w:val="008E789F"/>
    <w:rsid w:val="008F0333"/>
    <w:rsid w:val="008F15D5"/>
    <w:rsid w:val="008F2264"/>
    <w:rsid w:val="008F2507"/>
    <w:rsid w:val="008F5C35"/>
    <w:rsid w:val="008F626F"/>
    <w:rsid w:val="008F756A"/>
    <w:rsid w:val="009004E3"/>
    <w:rsid w:val="0090075A"/>
    <w:rsid w:val="009031C0"/>
    <w:rsid w:val="009033D3"/>
    <w:rsid w:val="00904245"/>
    <w:rsid w:val="00906E17"/>
    <w:rsid w:val="00910725"/>
    <w:rsid w:val="00912A81"/>
    <w:rsid w:val="00914008"/>
    <w:rsid w:val="0091676F"/>
    <w:rsid w:val="00917564"/>
    <w:rsid w:val="00917963"/>
    <w:rsid w:val="009219D6"/>
    <w:rsid w:val="00923A6F"/>
    <w:rsid w:val="00924C0C"/>
    <w:rsid w:val="009273AB"/>
    <w:rsid w:val="00927D27"/>
    <w:rsid w:val="00930BA1"/>
    <w:rsid w:val="0093157A"/>
    <w:rsid w:val="0093169E"/>
    <w:rsid w:val="00932228"/>
    <w:rsid w:val="00933587"/>
    <w:rsid w:val="009337CF"/>
    <w:rsid w:val="0093419D"/>
    <w:rsid w:val="00934F5C"/>
    <w:rsid w:val="00937130"/>
    <w:rsid w:val="009403BC"/>
    <w:rsid w:val="00941A68"/>
    <w:rsid w:val="009450C5"/>
    <w:rsid w:val="00946704"/>
    <w:rsid w:val="00946D27"/>
    <w:rsid w:val="009505C9"/>
    <w:rsid w:val="00950752"/>
    <w:rsid w:val="0095131D"/>
    <w:rsid w:val="0095158A"/>
    <w:rsid w:val="00951B1F"/>
    <w:rsid w:val="0095385B"/>
    <w:rsid w:val="009545FC"/>
    <w:rsid w:val="00961EDE"/>
    <w:rsid w:val="00962022"/>
    <w:rsid w:val="009622CE"/>
    <w:rsid w:val="00963077"/>
    <w:rsid w:val="0096535F"/>
    <w:rsid w:val="00965B0D"/>
    <w:rsid w:val="00966424"/>
    <w:rsid w:val="00966D96"/>
    <w:rsid w:val="00967183"/>
    <w:rsid w:val="00967597"/>
    <w:rsid w:val="00971CB6"/>
    <w:rsid w:val="009722A4"/>
    <w:rsid w:val="00972B31"/>
    <w:rsid w:val="00975604"/>
    <w:rsid w:val="00975EEC"/>
    <w:rsid w:val="009770A5"/>
    <w:rsid w:val="00977722"/>
    <w:rsid w:val="009803CE"/>
    <w:rsid w:val="00981C6E"/>
    <w:rsid w:val="009840D2"/>
    <w:rsid w:val="00984CBA"/>
    <w:rsid w:val="00990B82"/>
    <w:rsid w:val="009956F1"/>
    <w:rsid w:val="00996620"/>
    <w:rsid w:val="00996828"/>
    <w:rsid w:val="009A0A69"/>
    <w:rsid w:val="009A0D76"/>
    <w:rsid w:val="009A1871"/>
    <w:rsid w:val="009A3B63"/>
    <w:rsid w:val="009A48E2"/>
    <w:rsid w:val="009A72CA"/>
    <w:rsid w:val="009A733C"/>
    <w:rsid w:val="009B1493"/>
    <w:rsid w:val="009B1706"/>
    <w:rsid w:val="009B5F63"/>
    <w:rsid w:val="009B7C8F"/>
    <w:rsid w:val="009C0EF2"/>
    <w:rsid w:val="009C1F84"/>
    <w:rsid w:val="009C26D6"/>
    <w:rsid w:val="009C2DE6"/>
    <w:rsid w:val="009C3025"/>
    <w:rsid w:val="009C3F87"/>
    <w:rsid w:val="009C4FC7"/>
    <w:rsid w:val="009C61D8"/>
    <w:rsid w:val="009C679A"/>
    <w:rsid w:val="009C71E8"/>
    <w:rsid w:val="009D0451"/>
    <w:rsid w:val="009D1097"/>
    <w:rsid w:val="009D1DC6"/>
    <w:rsid w:val="009D3278"/>
    <w:rsid w:val="009D32AE"/>
    <w:rsid w:val="009D3FA0"/>
    <w:rsid w:val="009D4FF8"/>
    <w:rsid w:val="009D54E8"/>
    <w:rsid w:val="009D5729"/>
    <w:rsid w:val="009D5C1C"/>
    <w:rsid w:val="009D5FC6"/>
    <w:rsid w:val="009D620B"/>
    <w:rsid w:val="009E0637"/>
    <w:rsid w:val="009E0FBE"/>
    <w:rsid w:val="009E202A"/>
    <w:rsid w:val="009E3373"/>
    <w:rsid w:val="009E3B72"/>
    <w:rsid w:val="009E3CF1"/>
    <w:rsid w:val="009E52A6"/>
    <w:rsid w:val="009E6273"/>
    <w:rsid w:val="009F0F54"/>
    <w:rsid w:val="009F0FBA"/>
    <w:rsid w:val="009F41BD"/>
    <w:rsid w:val="009F51FD"/>
    <w:rsid w:val="009F54A7"/>
    <w:rsid w:val="009F649B"/>
    <w:rsid w:val="009F7FB7"/>
    <w:rsid w:val="00A00508"/>
    <w:rsid w:val="00A00517"/>
    <w:rsid w:val="00A00A30"/>
    <w:rsid w:val="00A031B3"/>
    <w:rsid w:val="00A0691E"/>
    <w:rsid w:val="00A077D8"/>
    <w:rsid w:val="00A1244C"/>
    <w:rsid w:val="00A1252A"/>
    <w:rsid w:val="00A12E3E"/>
    <w:rsid w:val="00A135B7"/>
    <w:rsid w:val="00A14167"/>
    <w:rsid w:val="00A1446B"/>
    <w:rsid w:val="00A14FBF"/>
    <w:rsid w:val="00A157FD"/>
    <w:rsid w:val="00A21979"/>
    <w:rsid w:val="00A22BB2"/>
    <w:rsid w:val="00A2310E"/>
    <w:rsid w:val="00A247FB"/>
    <w:rsid w:val="00A2484C"/>
    <w:rsid w:val="00A252E0"/>
    <w:rsid w:val="00A276EF"/>
    <w:rsid w:val="00A27B98"/>
    <w:rsid w:val="00A30A64"/>
    <w:rsid w:val="00A31793"/>
    <w:rsid w:val="00A31958"/>
    <w:rsid w:val="00A324AA"/>
    <w:rsid w:val="00A32B76"/>
    <w:rsid w:val="00A3381A"/>
    <w:rsid w:val="00A3724C"/>
    <w:rsid w:val="00A373EB"/>
    <w:rsid w:val="00A41501"/>
    <w:rsid w:val="00A41765"/>
    <w:rsid w:val="00A437CD"/>
    <w:rsid w:val="00A46A4B"/>
    <w:rsid w:val="00A47233"/>
    <w:rsid w:val="00A50395"/>
    <w:rsid w:val="00A535FB"/>
    <w:rsid w:val="00A5774A"/>
    <w:rsid w:val="00A57BD9"/>
    <w:rsid w:val="00A60BE8"/>
    <w:rsid w:val="00A61B99"/>
    <w:rsid w:val="00A6304C"/>
    <w:rsid w:val="00A65C49"/>
    <w:rsid w:val="00A668A6"/>
    <w:rsid w:val="00A67008"/>
    <w:rsid w:val="00A7282C"/>
    <w:rsid w:val="00A730BC"/>
    <w:rsid w:val="00A75843"/>
    <w:rsid w:val="00A75B27"/>
    <w:rsid w:val="00A76686"/>
    <w:rsid w:val="00A81306"/>
    <w:rsid w:val="00A81FC9"/>
    <w:rsid w:val="00A82A6A"/>
    <w:rsid w:val="00A84868"/>
    <w:rsid w:val="00A85B88"/>
    <w:rsid w:val="00A86370"/>
    <w:rsid w:val="00A86545"/>
    <w:rsid w:val="00A86563"/>
    <w:rsid w:val="00A8716D"/>
    <w:rsid w:val="00A91D07"/>
    <w:rsid w:val="00A92612"/>
    <w:rsid w:val="00A93372"/>
    <w:rsid w:val="00A9384B"/>
    <w:rsid w:val="00A9516E"/>
    <w:rsid w:val="00A95784"/>
    <w:rsid w:val="00A95887"/>
    <w:rsid w:val="00A9692C"/>
    <w:rsid w:val="00A97800"/>
    <w:rsid w:val="00AA107F"/>
    <w:rsid w:val="00AA1A64"/>
    <w:rsid w:val="00AA1F6A"/>
    <w:rsid w:val="00AA204C"/>
    <w:rsid w:val="00AA20C6"/>
    <w:rsid w:val="00AA2126"/>
    <w:rsid w:val="00AA2528"/>
    <w:rsid w:val="00AA38E9"/>
    <w:rsid w:val="00AA3B6A"/>
    <w:rsid w:val="00AA41AC"/>
    <w:rsid w:val="00AA4795"/>
    <w:rsid w:val="00AA5508"/>
    <w:rsid w:val="00AA588F"/>
    <w:rsid w:val="00AA5CA2"/>
    <w:rsid w:val="00AA5D7F"/>
    <w:rsid w:val="00AA6930"/>
    <w:rsid w:val="00AA6EAF"/>
    <w:rsid w:val="00AA6F92"/>
    <w:rsid w:val="00AA76BC"/>
    <w:rsid w:val="00AA7B53"/>
    <w:rsid w:val="00AB023C"/>
    <w:rsid w:val="00AB3599"/>
    <w:rsid w:val="00AB6934"/>
    <w:rsid w:val="00AB7E4D"/>
    <w:rsid w:val="00AB7ECF"/>
    <w:rsid w:val="00AC49A2"/>
    <w:rsid w:val="00AC6BD3"/>
    <w:rsid w:val="00AC6DBE"/>
    <w:rsid w:val="00AC7011"/>
    <w:rsid w:val="00AD02E7"/>
    <w:rsid w:val="00AD19D5"/>
    <w:rsid w:val="00AD28A8"/>
    <w:rsid w:val="00AD43D9"/>
    <w:rsid w:val="00AD46E9"/>
    <w:rsid w:val="00AD4FCC"/>
    <w:rsid w:val="00AD55C9"/>
    <w:rsid w:val="00AD6BA0"/>
    <w:rsid w:val="00AD759A"/>
    <w:rsid w:val="00AD7FFC"/>
    <w:rsid w:val="00AE0581"/>
    <w:rsid w:val="00AE1546"/>
    <w:rsid w:val="00AE20A5"/>
    <w:rsid w:val="00AE2E8A"/>
    <w:rsid w:val="00AE348F"/>
    <w:rsid w:val="00AE555C"/>
    <w:rsid w:val="00AE6F81"/>
    <w:rsid w:val="00AF1AF7"/>
    <w:rsid w:val="00AF31DD"/>
    <w:rsid w:val="00AF3B8D"/>
    <w:rsid w:val="00AF42DE"/>
    <w:rsid w:val="00AF46F4"/>
    <w:rsid w:val="00AF5D38"/>
    <w:rsid w:val="00AF5D9B"/>
    <w:rsid w:val="00AF77BA"/>
    <w:rsid w:val="00B00053"/>
    <w:rsid w:val="00B007EF"/>
    <w:rsid w:val="00B027F7"/>
    <w:rsid w:val="00B03758"/>
    <w:rsid w:val="00B04C2D"/>
    <w:rsid w:val="00B0640B"/>
    <w:rsid w:val="00B06710"/>
    <w:rsid w:val="00B07CE5"/>
    <w:rsid w:val="00B1020C"/>
    <w:rsid w:val="00B1288E"/>
    <w:rsid w:val="00B14056"/>
    <w:rsid w:val="00B16A50"/>
    <w:rsid w:val="00B2081E"/>
    <w:rsid w:val="00B20E1C"/>
    <w:rsid w:val="00B21DBA"/>
    <w:rsid w:val="00B23630"/>
    <w:rsid w:val="00B25168"/>
    <w:rsid w:val="00B25A4C"/>
    <w:rsid w:val="00B25DD1"/>
    <w:rsid w:val="00B26ACD"/>
    <w:rsid w:val="00B31716"/>
    <w:rsid w:val="00B3369F"/>
    <w:rsid w:val="00B346A8"/>
    <w:rsid w:val="00B34F0A"/>
    <w:rsid w:val="00B35112"/>
    <w:rsid w:val="00B35C89"/>
    <w:rsid w:val="00B417BD"/>
    <w:rsid w:val="00B41921"/>
    <w:rsid w:val="00B41A00"/>
    <w:rsid w:val="00B42BCF"/>
    <w:rsid w:val="00B435F6"/>
    <w:rsid w:val="00B46D8E"/>
    <w:rsid w:val="00B50E31"/>
    <w:rsid w:val="00B515B3"/>
    <w:rsid w:val="00B52173"/>
    <w:rsid w:val="00B5285C"/>
    <w:rsid w:val="00B52A47"/>
    <w:rsid w:val="00B531E7"/>
    <w:rsid w:val="00B5325D"/>
    <w:rsid w:val="00B53405"/>
    <w:rsid w:val="00B53FA7"/>
    <w:rsid w:val="00B543AA"/>
    <w:rsid w:val="00B55FBC"/>
    <w:rsid w:val="00B57192"/>
    <w:rsid w:val="00B60D6B"/>
    <w:rsid w:val="00B668F0"/>
    <w:rsid w:val="00B66BD8"/>
    <w:rsid w:val="00B716DC"/>
    <w:rsid w:val="00B71E32"/>
    <w:rsid w:val="00B7205C"/>
    <w:rsid w:val="00B74AAE"/>
    <w:rsid w:val="00B74B53"/>
    <w:rsid w:val="00B756A3"/>
    <w:rsid w:val="00B8065E"/>
    <w:rsid w:val="00B80FE8"/>
    <w:rsid w:val="00B87290"/>
    <w:rsid w:val="00B8756A"/>
    <w:rsid w:val="00B8780E"/>
    <w:rsid w:val="00B90C26"/>
    <w:rsid w:val="00B911D9"/>
    <w:rsid w:val="00B91B4D"/>
    <w:rsid w:val="00B93330"/>
    <w:rsid w:val="00B93D9F"/>
    <w:rsid w:val="00B9456E"/>
    <w:rsid w:val="00B94578"/>
    <w:rsid w:val="00B94E6C"/>
    <w:rsid w:val="00B95308"/>
    <w:rsid w:val="00B9567C"/>
    <w:rsid w:val="00B95AA3"/>
    <w:rsid w:val="00B95EFD"/>
    <w:rsid w:val="00B97FA9"/>
    <w:rsid w:val="00BA1062"/>
    <w:rsid w:val="00BA144B"/>
    <w:rsid w:val="00BA14EE"/>
    <w:rsid w:val="00BA15E4"/>
    <w:rsid w:val="00BA1853"/>
    <w:rsid w:val="00BA3897"/>
    <w:rsid w:val="00BA3B8D"/>
    <w:rsid w:val="00BA4C2E"/>
    <w:rsid w:val="00BA4FB1"/>
    <w:rsid w:val="00BB076F"/>
    <w:rsid w:val="00BB3A9E"/>
    <w:rsid w:val="00BB3F08"/>
    <w:rsid w:val="00BB4606"/>
    <w:rsid w:val="00BB533E"/>
    <w:rsid w:val="00BB6B8E"/>
    <w:rsid w:val="00BB6D1F"/>
    <w:rsid w:val="00BC45AD"/>
    <w:rsid w:val="00BC4F3C"/>
    <w:rsid w:val="00BD00B3"/>
    <w:rsid w:val="00BD07A2"/>
    <w:rsid w:val="00BD0F35"/>
    <w:rsid w:val="00BD1438"/>
    <w:rsid w:val="00BD1E1F"/>
    <w:rsid w:val="00BD2048"/>
    <w:rsid w:val="00BD346E"/>
    <w:rsid w:val="00BD37D3"/>
    <w:rsid w:val="00BD3B46"/>
    <w:rsid w:val="00BD3DB8"/>
    <w:rsid w:val="00BD4D97"/>
    <w:rsid w:val="00BD6405"/>
    <w:rsid w:val="00BE0D12"/>
    <w:rsid w:val="00BE60D8"/>
    <w:rsid w:val="00BE6F05"/>
    <w:rsid w:val="00BE7D5E"/>
    <w:rsid w:val="00BF0107"/>
    <w:rsid w:val="00BF11F9"/>
    <w:rsid w:val="00BF1412"/>
    <w:rsid w:val="00BF4C5D"/>
    <w:rsid w:val="00BF50E8"/>
    <w:rsid w:val="00BF5A18"/>
    <w:rsid w:val="00BF5A5F"/>
    <w:rsid w:val="00BF626D"/>
    <w:rsid w:val="00BF6840"/>
    <w:rsid w:val="00BF6C4A"/>
    <w:rsid w:val="00C0060C"/>
    <w:rsid w:val="00C0061D"/>
    <w:rsid w:val="00C043C7"/>
    <w:rsid w:val="00C048F2"/>
    <w:rsid w:val="00C04B9A"/>
    <w:rsid w:val="00C13256"/>
    <w:rsid w:val="00C15690"/>
    <w:rsid w:val="00C1683E"/>
    <w:rsid w:val="00C16927"/>
    <w:rsid w:val="00C20060"/>
    <w:rsid w:val="00C20D6A"/>
    <w:rsid w:val="00C23D2F"/>
    <w:rsid w:val="00C24665"/>
    <w:rsid w:val="00C255E4"/>
    <w:rsid w:val="00C2594C"/>
    <w:rsid w:val="00C25C64"/>
    <w:rsid w:val="00C27396"/>
    <w:rsid w:val="00C27A46"/>
    <w:rsid w:val="00C303DC"/>
    <w:rsid w:val="00C314F5"/>
    <w:rsid w:val="00C3190F"/>
    <w:rsid w:val="00C31AC6"/>
    <w:rsid w:val="00C3306F"/>
    <w:rsid w:val="00C34B69"/>
    <w:rsid w:val="00C356E0"/>
    <w:rsid w:val="00C40041"/>
    <w:rsid w:val="00C40C5C"/>
    <w:rsid w:val="00C41B1A"/>
    <w:rsid w:val="00C4417F"/>
    <w:rsid w:val="00C443BD"/>
    <w:rsid w:val="00C44475"/>
    <w:rsid w:val="00C451C5"/>
    <w:rsid w:val="00C45FA1"/>
    <w:rsid w:val="00C4712C"/>
    <w:rsid w:val="00C47142"/>
    <w:rsid w:val="00C47826"/>
    <w:rsid w:val="00C51AD8"/>
    <w:rsid w:val="00C536D1"/>
    <w:rsid w:val="00C55B82"/>
    <w:rsid w:val="00C60CF7"/>
    <w:rsid w:val="00C617F9"/>
    <w:rsid w:val="00C61B90"/>
    <w:rsid w:val="00C64049"/>
    <w:rsid w:val="00C64CCB"/>
    <w:rsid w:val="00C64DB0"/>
    <w:rsid w:val="00C64F23"/>
    <w:rsid w:val="00C651B2"/>
    <w:rsid w:val="00C652D2"/>
    <w:rsid w:val="00C654E4"/>
    <w:rsid w:val="00C6623C"/>
    <w:rsid w:val="00C6648D"/>
    <w:rsid w:val="00C673C5"/>
    <w:rsid w:val="00C72468"/>
    <w:rsid w:val="00C72FDE"/>
    <w:rsid w:val="00C73E68"/>
    <w:rsid w:val="00C75062"/>
    <w:rsid w:val="00C758B3"/>
    <w:rsid w:val="00C77450"/>
    <w:rsid w:val="00C8042E"/>
    <w:rsid w:val="00C80CB9"/>
    <w:rsid w:val="00C8155C"/>
    <w:rsid w:val="00C82353"/>
    <w:rsid w:val="00C869ED"/>
    <w:rsid w:val="00C8784E"/>
    <w:rsid w:val="00C907FD"/>
    <w:rsid w:val="00C90A14"/>
    <w:rsid w:val="00C9161D"/>
    <w:rsid w:val="00C92265"/>
    <w:rsid w:val="00C93144"/>
    <w:rsid w:val="00C95C64"/>
    <w:rsid w:val="00C9618B"/>
    <w:rsid w:val="00C97C56"/>
    <w:rsid w:val="00CA0561"/>
    <w:rsid w:val="00CA0AB1"/>
    <w:rsid w:val="00CA0C1D"/>
    <w:rsid w:val="00CA1437"/>
    <w:rsid w:val="00CA312C"/>
    <w:rsid w:val="00CA3DF0"/>
    <w:rsid w:val="00CA469A"/>
    <w:rsid w:val="00CA5921"/>
    <w:rsid w:val="00CA59FC"/>
    <w:rsid w:val="00CA658B"/>
    <w:rsid w:val="00CB1D93"/>
    <w:rsid w:val="00CB29E2"/>
    <w:rsid w:val="00CB2EB6"/>
    <w:rsid w:val="00CB2EBD"/>
    <w:rsid w:val="00CB48A6"/>
    <w:rsid w:val="00CB5BBD"/>
    <w:rsid w:val="00CB6216"/>
    <w:rsid w:val="00CB62A9"/>
    <w:rsid w:val="00CB693D"/>
    <w:rsid w:val="00CB74DE"/>
    <w:rsid w:val="00CB7FE9"/>
    <w:rsid w:val="00CC072B"/>
    <w:rsid w:val="00CC20A6"/>
    <w:rsid w:val="00CC45C6"/>
    <w:rsid w:val="00CC724D"/>
    <w:rsid w:val="00CD1509"/>
    <w:rsid w:val="00CD1654"/>
    <w:rsid w:val="00CD217F"/>
    <w:rsid w:val="00CD292B"/>
    <w:rsid w:val="00CD2E99"/>
    <w:rsid w:val="00CD3B85"/>
    <w:rsid w:val="00CD5F28"/>
    <w:rsid w:val="00CD6275"/>
    <w:rsid w:val="00CD64AD"/>
    <w:rsid w:val="00CD69F3"/>
    <w:rsid w:val="00CD702A"/>
    <w:rsid w:val="00CE02A8"/>
    <w:rsid w:val="00CE0E8F"/>
    <w:rsid w:val="00CE2663"/>
    <w:rsid w:val="00CE2880"/>
    <w:rsid w:val="00CE3C17"/>
    <w:rsid w:val="00CE5946"/>
    <w:rsid w:val="00CE5961"/>
    <w:rsid w:val="00CE737B"/>
    <w:rsid w:val="00CF08E3"/>
    <w:rsid w:val="00CF1848"/>
    <w:rsid w:val="00CF3FC4"/>
    <w:rsid w:val="00CF3FEB"/>
    <w:rsid w:val="00CF420E"/>
    <w:rsid w:val="00CF4AAA"/>
    <w:rsid w:val="00CF4DAC"/>
    <w:rsid w:val="00CF6EE2"/>
    <w:rsid w:val="00CF7A56"/>
    <w:rsid w:val="00D013A6"/>
    <w:rsid w:val="00D01483"/>
    <w:rsid w:val="00D0241E"/>
    <w:rsid w:val="00D02800"/>
    <w:rsid w:val="00D050C9"/>
    <w:rsid w:val="00D06898"/>
    <w:rsid w:val="00D06E02"/>
    <w:rsid w:val="00D100F7"/>
    <w:rsid w:val="00D11A51"/>
    <w:rsid w:val="00D11FE2"/>
    <w:rsid w:val="00D12044"/>
    <w:rsid w:val="00D1260D"/>
    <w:rsid w:val="00D1520E"/>
    <w:rsid w:val="00D167E0"/>
    <w:rsid w:val="00D17E9D"/>
    <w:rsid w:val="00D2104B"/>
    <w:rsid w:val="00D21850"/>
    <w:rsid w:val="00D228C5"/>
    <w:rsid w:val="00D23BA5"/>
    <w:rsid w:val="00D24F34"/>
    <w:rsid w:val="00D26A6B"/>
    <w:rsid w:val="00D30264"/>
    <w:rsid w:val="00D30B4E"/>
    <w:rsid w:val="00D3269E"/>
    <w:rsid w:val="00D33EFC"/>
    <w:rsid w:val="00D33FB0"/>
    <w:rsid w:val="00D3437E"/>
    <w:rsid w:val="00D34515"/>
    <w:rsid w:val="00D36BE3"/>
    <w:rsid w:val="00D37C01"/>
    <w:rsid w:val="00D4071D"/>
    <w:rsid w:val="00D40DBC"/>
    <w:rsid w:val="00D41088"/>
    <w:rsid w:val="00D41271"/>
    <w:rsid w:val="00D42703"/>
    <w:rsid w:val="00D43907"/>
    <w:rsid w:val="00D4421E"/>
    <w:rsid w:val="00D443C5"/>
    <w:rsid w:val="00D464B1"/>
    <w:rsid w:val="00D46E6D"/>
    <w:rsid w:val="00D514B9"/>
    <w:rsid w:val="00D52CB4"/>
    <w:rsid w:val="00D53D74"/>
    <w:rsid w:val="00D543BC"/>
    <w:rsid w:val="00D5478E"/>
    <w:rsid w:val="00D57B62"/>
    <w:rsid w:val="00D60F21"/>
    <w:rsid w:val="00D613CF"/>
    <w:rsid w:val="00D614E5"/>
    <w:rsid w:val="00D6207B"/>
    <w:rsid w:val="00D62A6E"/>
    <w:rsid w:val="00D64700"/>
    <w:rsid w:val="00D65500"/>
    <w:rsid w:val="00D66919"/>
    <w:rsid w:val="00D70E4A"/>
    <w:rsid w:val="00D71D3C"/>
    <w:rsid w:val="00D72476"/>
    <w:rsid w:val="00D765EE"/>
    <w:rsid w:val="00D76A18"/>
    <w:rsid w:val="00D76B54"/>
    <w:rsid w:val="00D77560"/>
    <w:rsid w:val="00D8015F"/>
    <w:rsid w:val="00D80849"/>
    <w:rsid w:val="00D822F8"/>
    <w:rsid w:val="00D82E8F"/>
    <w:rsid w:val="00D85E8A"/>
    <w:rsid w:val="00D87EA2"/>
    <w:rsid w:val="00D90736"/>
    <w:rsid w:val="00D92850"/>
    <w:rsid w:val="00D934B1"/>
    <w:rsid w:val="00D939C5"/>
    <w:rsid w:val="00D94E9C"/>
    <w:rsid w:val="00D94EDA"/>
    <w:rsid w:val="00D952A9"/>
    <w:rsid w:val="00D95577"/>
    <w:rsid w:val="00D962BC"/>
    <w:rsid w:val="00D9650E"/>
    <w:rsid w:val="00D96B72"/>
    <w:rsid w:val="00D970AD"/>
    <w:rsid w:val="00DA0F65"/>
    <w:rsid w:val="00DA2529"/>
    <w:rsid w:val="00DA2738"/>
    <w:rsid w:val="00DA3B08"/>
    <w:rsid w:val="00DA4458"/>
    <w:rsid w:val="00DB0542"/>
    <w:rsid w:val="00DB0A74"/>
    <w:rsid w:val="00DB29D3"/>
    <w:rsid w:val="00DB5BD2"/>
    <w:rsid w:val="00DB6EE7"/>
    <w:rsid w:val="00DC0B54"/>
    <w:rsid w:val="00DC12D8"/>
    <w:rsid w:val="00DC2CC8"/>
    <w:rsid w:val="00DC54A9"/>
    <w:rsid w:val="00DC6194"/>
    <w:rsid w:val="00DD0085"/>
    <w:rsid w:val="00DD057E"/>
    <w:rsid w:val="00DD0B88"/>
    <w:rsid w:val="00DD118C"/>
    <w:rsid w:val="00DD2A40"/>
    <w:rsid w:val="00DD32AF"/>
    <w:rsid w:val="00DD3A3F"/>
    <w:rsid w:val="00DD5721"/>
    <w:rsid w:val="00DD796A"/>
    <w:rsid w:val="00DE0123"/>
    <w:rsid w:val="00DE04BF"/>
    <w:rsid w:val="00DE1768"/>
    <w:rsid w:val="00DE1F31"/>
    <w:rsid w:val="00DE2825"/>
    <w:rsid w:val="00DE352C"/>
    <w:rsid w:val="00DE3E2B"/>
    <w:rsid w:val="00DE4670"/>
    <w:rsid w:val="00DE49D5"/>
    <w:rsid w:val="00DE6770"/>
    <w:rsid w:val="00DE6ED3"/>
    <w:rsid w:val="00DF0079"/>
    <w:rsid w:val="00DF0942"/>
    <w:rsid w:val="00DF1739"/>
    <w:rsid w:val="00DF4311"/>
    <w:rsid w:val="00DF4550"/>
    <w:rsid w:val="00DF4DEF"/>
    <w:rsid w:val="00DF4E08"/>
    <w:rsid w:val="00DF61F6"/>
    <w:rsid w:val="00E00291"/>
    <w:rsid w:val="00E011E9"/>
    <w:rsid w:val="00E01864"/>
    <w:rsid w:val="00E0274D"/>
    <w:rsid w:val="00E0476A"/>
    <w:rsid w:val="00E053B9"/>
    <w:rsid w:val="00E05458"/>
    <w:rsid w:val="00E05B97"/>
    <w:rsid w:val="00E105B6"/>
    <w:rsid w:val="00E10B1F"/>
    <w:rsid w:val="00E10F78"/>
    <w:rsid w:val="00E12045"/>
    <w:rsid w:val="00E13617"/>
    <w:rsid w:val="00E13B26"/>
    <w:rsid w:val="00E155BF"/>
    <w:rsid w:val="00E15CF3"/>
    <w:rsid w:val="00E17703"/>
    <w:rsid w:val="00E2262C"/>
    <w:rsid w:val="00E22886"/>
    <w:rsid w:val="00E231FB"/>
    <w:rsid w:val="00E23C66"/>
    <w:rsid w:val="00E24261"/>
    <w:rsid w:val="00E24E47"/>
    <w:rsid w:val="00E25503"/>
    <w:rsid w:val="00E27930"/>
    <w:rsid w:val="00E30CE6"/>
    <w:rsid w:val="00E30F64"/>
    <w:rsid w:val="00E3139E"/>
    <w:rsid w:val="00E3210C"/>
    <w:rsid w:val="00E330A9"/>
    <w:rsid w:val="00E342B3"/>
    <w:rsid w:val="00E34747"/>
    <w:rsid w:val="00E3622B"/>
    <w:rsid w:val="00E367AD"/>
    <w:rsid w:val="00E40222"/>
    <w:rsid w:val="00E40565"/>
    <w:rsid w:val="00E41240"/>
    <w:rsid w:val="00E42016"/>
    <w:rsid w:val="00E42551"/>
    <w:rsid w:val="00E42708"/>
    <w:rsid w:val="00E42FCC"/>
    <w:rsid w:val="00E43C2F"/>
    <w:rsid w:val="00E50824"/>
    <w:rsid w:val="00E54E4A"/>
    <w:rsid w:val="00E55CAD"/>
    <w:rsid w:val="00E56000"/>
    <w:rsid w:val="00E56D45"/>
    <w:rsid w:val="00E57609"/>
    <w:rsid w:val="00E6159A"/>
    <w:rsid w:val="00E63D70"/>
    <w:rsid w:val="00E652AD"/>
    <w:rsid w:val="00E66235"/>
    <w:rsid w:val="00E66CB3"/>
    <w:rsid w:val="00E67424"/>
    <w:rsid w:val="00E7060A"/>
    <w:rsid w:val="00E721B5"/>
    <w:rsid w:val="00E726D1"/>
    <w:rsid w:val="00E74EED"/>
    <w:rsid w:val="00E75792"/>
    <w:rsid w:val="00E804B4"/>
    <w:rsid w:val="00E805A6"/>
    <w:rsid w:val="00E82495"/>
    <w:rsid w:val="00E82989"/>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97B67"/>
    <w:rsid w:val="00EA1FE0"/>
    <w:rsid w:val="00EA35A9"/>
    <w:rsid w:val="00EA4B02"/>
    <w:rsid w:val="00EA4E08"/>
    <w:rsid w:val="00EA62DA"/>
    <w:rsid w:val="00EA654F"/>
    <w:rsid w:val="00EB179D"/>
    <w:rsid w:val="00EB227E"/>
    <w:rsid w:val="00EB5E51"/>
    <w:rsid w:val="00EC1F46"/>
    <w:rsid w:val="00EC20FF"/>
    <w:rsid w:val="00EC21D0"/>
    <w:rsid w:val="00EC21ED"/>
    <w:rsid w:val="00EC27F8"/>
    <w:rsid w:val="00EC4396"/>
    <w:rsid w:val="00EC4E33"/>
    <w:rsid w:val="00EC72AE"/>
    <w:rsid w:val="00EC783C"/>
    <w:rsid w:val="00ED129E"/>
    <w:rsid w:val="00ED1D6A"/>
    <w:rsid w:val="00ED372C"/>
    <w:rsid w:val="00ED4F77"/>
    <w:rsid w:val="00ED6BB6"/>
    <w:rsid w:val="00EE5647"/>
    <w:rsid w:val="00EE67E6"/>
    <w:rsid w:val="00EE76F3"/>
    <w:rsid w:val="00EE7D62"/>
    <w:rsid w:val="00EF0132"/>
    <w:rsid w:val="00EF0402"/>
    <w:rsid w:val="00EF0C10"/>
    <w:rsid w:val="00EF0CB3"/>
    <w:rsid w:val="00EF3C09"/>
    <w:rsid w:val="00EF3D85"/>
    <w:rsid w:val="00EF4248"/>
    <w:rsid w:val="00EF5DAC"/>
    <w:rsid w:val="00EF6355"/>
    <w:rsid w:val="00EF768C"/>
    <w:rsid w:val="00F00086"/>
    <w:rsid w:val="00F04BA9"/>
    <w:rsid w:val="00F078CF"/>
    <w:rsid w:val="00F108B6"/>
    <w:rsid w:val="00F14F8C"/>
    <w:rsid w:val="00F16C1B"/>
    <w:rsid w:val="00F2084A"/>
    <w:rsid w:val="00F2190D"/>
    <w:rsid w:val="00F244CD"/>
    <w:rsid w:val="00F24EA5"/>
    <w:rsid w:val="00F2503F"/>
    <w:rsid w:val="00F30208"/>
    <w:rsid w:val="00F30431"/>
    <w:rsid w:val="00F30A1E"/>
    <w:rsid w:val="00F31426"/>
    <w:rsid w:val="00F3240F"/>
    <w:rsid w:val="00F33A28"/>
    <w:rsid w:val="00F33F7B"/>
    <w:rsid w:val="00F348AE"/>
    <w:rsid w:val="00F354D2"/>
    <w:rsid w:val="00F35D1E"/>
    <w:rsid w:val="00F379A4"/>
    <w:rsid w:val="00F37C8A"/>
    <w:rsid w:val="00F40369"/>
    <w:rsid w:val="00F40783"/>
    <w:rsid w:val="00F41EF0"/>
    <w:rsid w:val="00F445D7"/>
    <w:rsid w:val="00F44664"/>
    <w:rsid w:val="00F44725"/>
    <w:rsid w:val="00F45210"/>
    <w:rsid w:val="00F463E3"/>
    <w:rsid w:val="00F46490"/>
    <w:rsid w:val="00F519FB"/>
    <w:rsid w:val="00F53193"/>
    <w:rsid w:val="00F5357E"/>
    <w:rsid w:val="00F53827"/>
    <w:rsid w:val="00F55053"/>
    <w:rsid w:val="00F55EA5"/>
    <w:rsid w:val="00F60BC9"/>
    <w:rsid w:val="00F6296D"/>
    <w:rsid w:val="00F62E5F"/>
    <w:rsid w:val="00F64AFC"/>
    <w:rsid w:val="00F64D7C"/>
    <w:rsid w:val="00F6586C"/>
    <w:rsid w:val="00F65F57"/>
    <w:rsid w:val="00F66C62"/>
    <w:rsid w:val="00F6741A"/>
    <w:rsid w:val="00F675E1"/>
    <w:rsid w:val="00F71353"/>
    <w:rsid w:val="00F71625"/>
    <w:rsid w:val="00F72C3B"/>
    <w:rsid w:val="00F72D28"/>
    <w:rsid w:val="00F73793"/>
    <w:rsid w:val="00F77485"/>
    <w:rsid w:val="00F77C5F"/>
    <w:rsid w:val="00F825A5"/>
    <w:rsid w:val="00F827FA"/>
    <w:rsid w:val="00F83F4B"/>
    <w:rsid w:val="00F83FD7"/>
    <w:rsid w:val="00F84F03"/>
    <w:rsid w:val="00F85F98"/>
    <w:rsid w:val="00F865A0"/>
    <w:rsid w:val="00F8662E"/>
    <w:rsid w:val="00F874B5"/>
    <w:rsid w:val="00F90649"/>
    <w:rsid w:val="00F91028"/>
    <w:rsid w:val="00F9161E"/>
    <w:rsid w:val="00F93285"/>
    <w:rsid w:val="00F94774"/>
    <w:rsid w:val="00F976EA"/>
    <w:rsid w:val="00F9795B"/>
    <w:rsid w:val="00F979E6"/>
    <w:rsid w:val="00F97D1F"/>
    <w:rsid w:val="00F97F12"/>
    <w:rsid w:val="00FA10C7"/>
    <w:rsid w:val="00FA1661"/>
    <w:rsid w:val="00FA170D"/>
    <w:rsid w:val="00FA2ADC"/>
    <w:rsid w:val="00FA3F77"/>
    <w:rsid w:val="00FA4014"/>
    <w:rsid w:val="00FA5708"/>
    <w:rsid w:val="00FA5F4E"/>
    <w:rsid w:val="00FA6625"/>
    <w:rsid w:val="00FA663B"/>
    <w:rsid w:val="00FB0587"/>
    <w:rsid w:val="00FB57A5"/>
    <w:rsid w:val="00FC185E"/>
    <w:rsid w:val="00FC25F8"/>
    <w:rsid w:val="00FC2D9D"/>
    <w:rsid w:val="00FC3E8D"/>
    <w:rsid w:val="00FC401E"/>
    <w:rsid w:val="00FC53DB"/>
    <w:rsid w:val="00FC59EA"/>
    <w:rsid w:val="00FC5D44"/>
    <w:rsid w:val="00FC6C4D"/>
    <w:rsid w:val="00FC7350"/>
    <w:rsid w:val="00FD278A"/>
    <w:rsid w:val="00FD4A2D"/>
    <w:rsid w:val="00FD4A5F"/>
    <w:rsid w:val="00FD5CC6"/>
    <w:rsid w:val="00FD6070"/>
    <w:rsid w:val="00FD6CDE"/>
    <w:rsid w:val="00FD70AE"/>
    <w:rsid w:val="00FD7257"/>
    <w:rsid w:val="00FE06B7"/>
    <w:rsid w:val="00FE2131"/>
    <w:rsid w:val="00FE2EAF"/>
    <w:rsid w:val="00FE50A2"/>
    <w:rsid w:val="00FE5D79"/>
    <w:rsid w:val="00FE60C1"/>
    <w:rsid w:val="00FE79A5"/>
    <w:rsid w:val="00FF0394"/>
    <w:rsid w:val="00FF0FF6"/>
    <w:rsid w:val="00FF1A25"/>
    <w:rsid w:val="00FF1EE4"/>
    <w:rsid w:val="00FF28A1"/>
    <w:rsid w:val="00FF3F28"/>
    <w:rsid w:val="00FF4908"/>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F388A4"/>
  <w15:docId w15:val="{49388281-B713-49F0-8C5F-D622063A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36DFD"/>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34747"/>
    <w:rPr>
      <w:rFonts w:ascii="Times New Roman" w:eastAsia="Times New Roman" w:hAnsi="Times New Roman" w:cs="Times New Roman"/>
      <w:sz w:val="22"/>
      <w:lang w:val="en-GB"/>
    </w:rPr>
  </w:style>
  <w:style w:type="paragraph" w:styleId="Revision">
    <w:name w:val="Revision"/>
    <w:hidden/>
    <w:uiPriority w:val="99"/>
    <w:semiHidden/>
    <w:rsid w:val="00382927"/>
    <w:rPr>
      <w:rFonts w:ascii="Times New Roman" w:eastAsia="Times New Roman" w:hAnsi="Times New Roman" w:cs="Times New Roman"/>
      <w:sz w:val="22"/>
      <w:lang w:val="en-GB"/>
    </w:rPr>
  </w:style>
  <w:style w:type="character" w:styleId="UnresolvedMention">
    <w:name w:val="Unresolved Mention"/>
    <w:basedOn w:val="DefaultParagraphFont"/>
    <w:uiPriority w:val="99"/>
    <w:semiHidden/>
    <w:unhideWhenUsed/>
    <w:rsid w:val="00F34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933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ipbes.net/pandemics" TargetMode="External"/><Relationship Id="rId2" Type="http://schemas.openxmlformats.org/officeDocument/2006/relationships/hyperlink" Target="https://ipbes.net/documentsbycategory/Decisions" TargetMode="External"/><Relationship Id="rId1" Type="http://schemas.openxmlformats.org/officeDocument/2006/relationships/hyperlink" Target="https://ipbes.net/documents-by-category/Deci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B19F588347324473AFA0889927E2E9F5"/>
        <w:category>
          <w:name w:val="General"/>
          <w:gallery w:val="placeholder"/>
        </w:category>
        <w:types>
          <w:type w:val="bbPlcHdr"/>
        </w:types>
        <w:behaviors>
          <w:behavior w:val="content"/>
        </w:behaviors>
        <w:guid w:val="{6ED8558E-73AF-47AB-8BF2-E2D95483B0C9}"/>
      </w:docPartPr>
      <w:docPartBody>
        <w:p w:rsidR="001D73E1" w:rsidRDefault="00F777E1" w:rsidP="00F777E1">
          <w:pPr>
            <w:pStyle w:val="B19F588347324473AFA0889927E2E9F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1622A"/>
    <w:rsid w:val="001D73E1"/>
    <w:rsid w:val="0022750A"/>
    <w:rsid w:val="002E06B9"/>
    <w:rsid w:val="003A59DA"/>
    <w:rsid w:val="003B63B1"/>
    <w:rsid w:val="0046422C"/>
    <w:rsid w:val="004760CF"/>
    <w:rsid w:val="004E092F"/>
    <w:rsid w:val="00500A2B"/>
    <w:rsid w:val="00512E76"/>
    <w:rsid w:val="0058288D"/>
    <w:rsid w:val="00665C6B"/>
    <w:rsid w:val="006801B3"/>
    <w:rsid w:val="007C2A3D"/>
    <w:rsid w:val="007E7AF6"/>
    <w:rsid w:val="00810A55"/>
    <w:rsid w:val="00886CD9"/>
    <w:rsid w:val="008C6619"/>
    <w:rsid w:val="008D420E"/>
    <w:rsid w:val="0098642F"/>
    <w:rsid w:val="00AF1734"/>
    <w:rsid w:val="00B27D2C"/>
    <w:rsid w:val="00C8104B"/>
    <w:rsid w:val="00D31D12"/>
    <w:rsid w:val="00D83E45"/>
    <w:rsid w:val="00F777E1"/>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77E1"/>
    <w:rPr>
      <w:color w:val="808080"/>
    </w:rPr>
  </w:style>
  <w:style w:type="paragraph" w:customStyle="1" w:styleId="B19F588347324473AFA0889927E2E9F5">
    <w:name w:val="B19F588347324473AFA0889927E2E9F5"/>
    <w:rsid w:val="00F777E1"/>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2145CC71971F4E90B0980863427859" ma:contentTypeVersion="7" ma:contentTypeDescription="Create a new document." ma:contentTypeScope="" ma:versionID="4a2916c6760801a7ff89c127b5febfd5">
  <xsd:schema xmlns:xsd="http://www.w3.org/2001/XMLSchema" xmlns:xs="http://www.w3.org/2001/XMLSchema" xmlns:p="http://schemas.microsoft.com/office/2006/metadata/properties" xmlns:ns3="935f5087-ac96-43b1-9824-8e11995133f8" xmlns:ns4="0d1a1656-3090-42cf-8a8c-49c35e2cb1c5" targetNamespace="http://schemas.microsoft.com/office/2006/metadata/properties" ma:root="true" ma:fieldsID="18fd1637f91830dc29b4836214b02074" ns3:_="" ns4:_="">
    <xsd:import namespace="935f5087-ac96-43b1-9824-8e11995133f8"/>
    <xsd:import namespace="0d1a1656-3090-42cf-8a8c-49c35e2cb1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f5087-ac96-43b1-9824-8e11995133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1a1656-3090-42cf-8a8c-49c35e2cb1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5ACEBC-7829-4A12-A319-3A062396F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f5087-ac96-43b1-9824-8e11995133f8"/>
    <ds:schemaRef ds:uri="0d1a1656-3090-42cf-8a8c-49c35e2cb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DEFFA-C06A-450C-875D-29017332BA84}">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B71B801F-AC5D-4BA1-B5F2-E7F9F8E3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7.xml><?xml version="1.0" encoding="utf-8"?>
<ds:datastoreItem xmlns:ds="http://schemas.openxmlformats.org/officeDocument/2006/customXml" ds:itemID="{BE89E119-43CF-4261-9B90-54C03185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2287</Words>
  <Characters>13042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Programme of work of the Intergovernmental Science-Policy Platform on Biodiversity and Ecosystem Services</vt:lpstr>
    </vt:vector>
  </TitlesOfParts>
  <Company>SCBD</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of work of the Intergovernmental Science-Policy Platform on Biodiversity and Ecosystem Services</dc:title>
  <dc:subject>CBD/COP/15/L.11</dc:subject>
  <dc:creator>SCBD</dc:creator>
  <cp:keywords>Conference of the Parties to the Convention on Biological Diversity, fifteenth meeting</cp:keywords>
  <cp:lastModifiedBy>Imane Sednaoui</cp:lastModifiedBy>
  <cp:revision>2</cp:revision>
  <cp:lastPrinted>2020-01-21T16:56:00Z</cp:lastPrinted>
  <dcterms:created xsi:type="dcterms:W3CDTF">2022-12-13T22:45:00Z</dcterms:created>
  <dcterms:modified xsi:type="dcterms:W3CDTF">2022-12-13T22:45:00Z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