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5141"/>
        <w:gridCol w:w="4089"/>
      </w:tblGrid>
      <w:tr w:rsidR="00C9161D" w:rsidRPr="00B17F01" w:rsidTr="00C1425C">
        <w:trPr>
          <w:trHeight w:val="709"/>
        </w:trPr>
        <w:tc>
          <w:tcPr>
            <w:tcW w:w="977" w:type="dxa"/>
            <w:tcBorders>
              <w:bottom w:val="single" w:sz="12" w:space="0" w:color="auto"/>
            </w:tcBorders>
          </w:tcPr>
          <w:p w:rsidR="00C9161D" w:rsidRPr="00B17F01" w:rsidRDefault="00C9161D">
            <w:pPr>
              <w:rPr>
                <w:kern w:val="22"/>
                <w:lang w:val="fr-CA"/>
              </w:rPr>
            </w:pPr>
            <w:r w:rsidRPr="00B17F01">
              <w:rPr>
                <w:noProof/>
                <w:kern w:val="22"/>
                <w:lang w:val="en-US"/>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Pr="00B17F01" w:rsidRDefault="00C9161D">
            <w:pPr>
              <w:rPr>
                <w:kern w:val="22"/>
                <w:lang w:val="fr-CA"/>
              </w:rPr>
            </w:pPr>
            <w:r w:rsidRPr="00B17F01">
              <w:rPr>
                <w:noProof/>
                <w:kern w:val="22"/>
                <w:lang w:val="en-US"/>
              </w:rPr>
              <w:drawing>
                <wp:inline distT="0" distB="0" distL="0" distR="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89" w:type="dxa"/>
            <w:tcBorders>
              <w:bottom w:val="single" w:sz="12" w:space="0" w:color="auto"/>
            </w:tcBorders>
          </w:tcPr>
          <w:p w:rsidR="00C9161D" w:rsidRPr="00B17F01" w:rsidRDefault="00C9161D" w:rsidP="00C9161D">
            <w:pPr>
              <w:jc w:val="right"/>
              <w:rPr>
                <w:rFonts w:ascii="Arial" w:hAnsi="Arial" w:cs="Arial"/>
                <w:b/>
                <w:kern w:val="22"/>
                <w:sz w:val="32"/>
                <w:szCs w:val="32"/>
                <w:lang w:val="fr-CA"/>
              </w:rPr>
            </w:pPr>
            <w:r w:rsidRPr="00B17F01">
              <w:rPr>
                <w:rFonts w:ascii="Arial" w:hAnsi="Arial" w:cs="Arial"/>
                <w:b/>
                <w:kern w:val="22"/>
                <w:sz w:val="32"/>
                <w:szCs w:val="32"/>
                <w:lang w:val="fr-CA"/>
              </w:rPr>
              <w:t>CBD</w:t>
            </w:r>
          </w:p>
        </w:tc>
      </w:tr>
      <w:tr w:rsidR="00C9161D" w:rsidRPr="00B17F01" w:rsidTr="00C1425C">
        <w:trPr>
          <w:trHeight w:val="2382"/>
        </w:trPr>
        <w:tc>
          <w:tcPr>
            <w:tcW w:w="6118" w:type="dxa"/>
            <w:gridSpan w:val="2"/>
            <w:tcBorders>
              <w:top w:val="single" w:sz="12" w:space="0" w:color="auto"/>
              <w:bottom w:val="single" w:sz="36" w:space="0" w:color="auto"/>
            </w:tcBorders>
            <w:vAlign w:val="center"/>
          </w:tcPr>
          <w:p w:rsidR="00C9161D" w:rsidRPr="00B17F01" w:rsidRDefault="00C1425C" w:rsidP="00C9161D">
            <w:pPr>
              <w:rPr>
                <w:kern w:val="22"/>
                <w:lang w:val="fr-CA"/>
              </w:rPr>
            </w:pPr>
            <w:r w:rsidRPr="00B17F01">
              <w:rPr>
                <w:bCs/>
                <w:noProof/>
                <w:szCs w:val="22"/>
                <w:lang w:val="en-US"/>
              </w:rPr>
              <w:drawing>
                <wp:inline distT="0" distB="0" distL="0" distR="0">
                  <wp:extent cx="2851150" cy="1079500"/>
                  <wp:effectExtent l="19050" t="0" r="6350" b="0"/>
                  <wp:docPr id="2" name="Picture 1"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1"/>
                          <a:srcRect/>
                          <a:stretch>
                            <a:fillRect/>
                          </a:stretch>
                        </pic:blipFill>
                        <pic:spPr bwMode="auto">
                          <a:xfrm>
                            <a:off x="0" y="0"/>
                            <a:ext cx="2851150" cy="1079500"/>
                          </a:xfrm>
                          <a:prstGeom prst="rect">
                            <a:avLst/>
                          </a:prstGeom>
                          <a:noFill/>
                          <a:ln w="9525">
                            <a:noFill/>
                            <a:miter lim="800000"/>
                            <a:headEnd/>
                            <a:tailEnd/>
                          </a:ln>
                        </pic:spPr>
                      </pic:pic>
                    </a:graphicData>
                  </a:graphic>
                </wp:inline>
              </w:drawing>
            </w:r>
          </w:p>
        </w:tc>
        <w:tc>
          <w:tcPr>
            <w:tcW w:w="4089" w:type="dxa"/>
            <w:tcBorders>
              <w:top w:val="single" w:sz="12" w:space="0" w:color="auto"/>
              <w:bottom w:val="single" w:sz="36" w:space="0" w:color="auto"/>
            </w:tcBorders>
          </w:tcPr>
          <w:p w:rsidR="00C9161D" w:rsidRPr="00B17F01" w:rsidRDefault="00C9161D" w:rsidP="00176CEE">
            <w:pPr>
              <w:ind w:left="1215"/>
              <w:rPr>
                <w:noProof/>
                <w:kern w:val="22"/>
                <w:szCs w:val="22"/>
                <w:lang w:val="fr-CA"/>
              </w:rPr>
            </w:pPr>
            <w:r w:rsidRPr="00B17F01">
              <w:rPr>
                <w:noProof/>
                <w:kern w:val="22"/>
                <w:szCs w:val="22"/>
                <w:lang w:val="fr-CA"/>
              </w:rPr>
              <w:t>Distr.</w:t>
            </w:r>
          </w:p>
          <w:p w:rsidR="00C9161D" w:rsidRPr="00B17F01" w:rsidRDefault="003426E3" w:rsidP="00176CEE">
            <w:pPr>
              <w:ind w:left="1215"/>
              <w:rPr>
                <w:kern w:val="22"/>
                <w:szCs w:val="22"/>
                <w:lang w:val="fr-CA"/>
              </w:rPr>
            </w:pPr>
            <w:sdt>
              <w:sdtPr>
                <w:rPr>
                  <w:caps/>
                  <w:kern w:val="22"/>
                  <w:szCs w:val="22"/>
                  <w:lang w:val="fr-CA"/>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C1425C" w:rsidRPr="00B17F01">
                  <w:rPr>
                    <w:caps/>
                    <w:kern w:val="22"/>
                    <w:szCs w:val="22"/>
                    <w:lang w:val="fr-CA"/>
                  </w:rPr>
                  <w:t>GÉNÉ</w:t>
                </w:r>
                <w:r w:rsidR="00172AF6" w:rsidRPr="00B17F01">
                  <w:rPr>
                    <w:caps/>
                    <w:kern w:val="22"/>
                    <w:szCs w:val="22"/>
                    <w:lang w:val="fr-CA"/>
                  </w:rPr>
                  <w:t>RAL</w:t>
                </w:r>
                <w:r w:rsidR="00C1425C" w:rsidRPr="00B17F01">
                  <w:rPr>
                    <w:caps/>
                    <w:kern w:val="22"/>
                    <w:szCs w:val="22"/>
                    <w:lang w:val="fr-CA"/>
                  </w:rPr>
                  <w:t>E</w:t>
                </w:r>
              </w:sdtContent>
            </w:sdt>
          </w:p>
          <w:p w:rsidR="00C9161D" w:rsidRPr="00B17F01" w:rsidRDefault="00C9161D" w:rsidP="00176CEE">
            <w:pPr>
              <w:ind w:left="1215"/>
              <w:rPr>
                <w:kern w:val="22"/>
                <w:szCs w:val="22"/>
                <w:lang w:val="fr-CA"/>
              </w:rPr>
            </w:pPr>
          </w:p>
          <w:p w:rsidR="00C9161D" w:rsidRPr="00B17F01" w:rsidRDefault="003426E3" w:rsidP="00176CEE">
            <w:pPr>
              <w:ind w:left="1215"/>
              <w:rPr>
                <w:kern w:val="22"/>
                <w:szCs w:val="22"/>
                <w:lang w:val="fr-CA"/>
              </w:rPr>
            </w:pPr>
            <w:sdt>
              <w:sdtPr>
                <w:rPr>
                  <w:kern w:val="22"/>
                  <w:lang w:val="fr-CA"/>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0F74F5" w:rsidRPr="00B17F01">
                  <w:rPr>
                    <w:kern w:val="22"/>
                    <w:lang w:val="fr-CA"/>
                  </w:rPr>
                  <w:t>CBD/</w:t>
                </w:r>
                <w:r w:rsidR="00084813" w:rsidRPr="00B17F01">
                  <w:rPr>
                    <w:kern w:val="22"/>
                    <w:lang w:val="fr-CA"/>
                  </w:rPr>
                  <w:t>SBI/2/7</w:t>
                </w:r>
              </w:sdtContent>
            </w:sdt>
          </w:p>
          <w:p w:rsidR="00C9161D" w:rsidRPr="00B17F01" w:rsidRDefault="003426E3" w:rsidP="00176CEE">
            <w:pPr>
              <w:ind w:left="1215"/>
              <w:rPr>
                <w:kern w:val="22"/>
                <w:szCs w:val="22"/>
                <w:lang w:val="fr-CA"/>
              </w:rPr>
            </w:pPr>
            <w:sdt>
              <w:sdtPr>
                <w:rPr>
                  <w:kern w:val="22"/>
                  <w:szCs w:val="22"/>
                  <w:lang w:val="fr-CA"/>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dateFormat w:val="d MMMM yyyy"/>
                  <w:lid w:val="en-US"/>
                  <w:storeMappedDataAs w:val="dateTime"/>
                  <w:calendar w:val="gregorian"/>
                </w:date>
              </w:sdtPr>
              <w:sdtEndPr/>
              <w:sdtContent>
                <w:r w:rsidR="00A340FD" w:rsidRPr="00A340FD">
                  <w:rPr>
                    <w:kern w:val="22"/>
                    <w:szCs w:val="22"/>
                    <w:lang w:val="fr-CA"/>
                  </w:rPr>
                  <w:t xml:space="preserve">12 </w:t>
                </w:r>
                <w:r w:rsidR="009620E1">
                  <w:rPr>
                    <w:kern w:val="22"/>
                    <w:szCs w:val="22"/>
                    <w:lang w:val="fr-CA"/>
                  </w:rPr>
                  <w:t xml:space="preserve">mai </w:t>
                </w:r>
                <w:r w:rsidR="00A340FD" w:rsidRPr="00A340FD">
                  <w:rPr>
                    <w:kern w:val="22"/>
                    <w:szCs w:val="22"/>
                    <w:lang w:val="fr-CA"/>
                  </w:rPr>
                  <w:t>2018</w:t>
                </w:r>
              </w:sdtContent>
            </w:sdt>
          </w:p>
          <w:p w:rsidR="00C9161D" w:rsidRPr="00B17F01" w:rsidRDefault="00C9161D" w:rsidP="00176CEE">
            <w:pPr>
              <w:ind w:left="1215"/>
              <w:rPr>
                <w:kern w:val="22"/>
                <w:szCs w:val="22"/>
                <w:lang w:val="fr-CA"/>
              </w:rPr>
            </w:pPr>
          </w:p>
          <w:p w:rsidR="00C1425C" w:rsidRPr="00B17F01" w:rsidRDefault="00C1425C" w:rsidP="00C1425C">
            <w:pPr>
              <w:ind w:left="1288"/>
              <w:rPr>
                <w:snapToGrid w:val="0"/>
                <w:kern w:val="22"/>
                <w:szCs w:val="22"/>
                <w:lang w:val="fr-CA"/>
              </w:rPr>
            </w:pPr>
            <w:r w:rsidRPr="00B17F01">
              <w:rPr>
                <w:snapToGrid w:val="0"/>
                <w:kern w:val="22"/>
                <w:szCs w:val="22"/>
                <w:lang w:val="fr-CA"/>
              </w:rPr>
              <w:t>FRANÇAIS</w:t>
            </w:r>
          </w:p>
          <w:p w:rsidR="00C9161D" w:rsidRPr="00B17F01" w:rsidRDefault="00C1425C" w:rsidP="00C1425C">
            <w:pPr>
              <w:ind w:left="1215"/>
              <w:rPr>
                <w:kern w:val="22"/>
                <w:szCs w:val="22"/>
                <w:lang w:val="fr-CA"/>
              </w:rPr>
            </w:pPr>
            <w:r w:rsidRPr="00B17F01">
              <w:rPr>
                <w:snapToGrid w:val="0"/>
                <w:kern w:val="22"/>
                <w:szCs w:val="22"/>
                <w:lang w:val="fr-CA"/>
              </w:rPr>
              <w:t>ORIGINAL : ANGLAIS</w:t>
            </w:r>
          </w:p>
          <w:p w:rsidR="00C9161D" w:rsidRPr="00B17F01" w:rsidRDefault="00C9161D">
            <w:pPr>
              <w:rPr>
                <w:kern w:val="22"/>
                <w:lang w:val="fr-CA"/>
              </w:rPr>
            </w:pPr>
          </w:p>
        </w:tc>
      </w:tr>
    </w:tbl>
    <w:p w:rsidR="00C1425C" w:rsidRPr="00B17F01" w:rsidRDefault="00C1425C" w:rsidP="00C1425C">
      <w:pPr>
        <w:ind w:left="284" w:hanging="284"/>
        <w:jc w:val="left"/>
        <w:rPr>
          <w:rFonts w:eastAsia="Malgun Gothic"/>
          <w:caps/>
          <w:snapToGrid w:val="0"/>
          <w:kern w:val="22"/>
          <w:lang w:val="fr-CA"/>
        </w:rPr>
      </w:pPr>
      <w:r w:rsidRPr="00B17F01">
        <w:rPr>
          <w:rFonts w:eastAsia="Malgun Gothic"/>
          <w:caps/>
          <w:snapToGrid w:val="0"/>
          <w:kern w:val="22"/>
          <w:lang w:val="fr-CA"/>
        </w:rPr>
        <w:t>ORGANE SUBSIDIAIRE CHARGÉ</w:t>
      </w:r>
    </w:p>
    <w:p w:rsidR="00084813" w:rsidRPr="00B17F01" w:rsidRDefault="00C1425C" w:rsidP="00C1425C">
      <w:pPr>
        <w:ind w:left="284" w:hanging="284"/>
        <w:jc w:val="left"/>
        <w:rPr>
          <w:kern w:val="22"/>
          <w:szCs w:val="22"/>
          <w:lang w:val="fr-CA"/>
        </w:rPr>
      </w:pPr>
      <w:r w:rsidRPr="00B17F01">
        <w:rPr>
          <w:rFonts w:eastAsia="Malgun Gothic"/>
          <w:caps/>
          <w:snapToGrid w:val="0"/>
          <w:kern w:val="22"/>
          <w:lang w:val="fr-CA"/>
        </w:rPr>
        <w:t xml:space="preserve"> DE L’APPLICATION</w:t>
      </w:r>
    </w:p>
    <w:p w:rsidR="00C1425C" w:rsidRPr="00B17F01" w:rsidRDefault="00C1425C" w:rsidP="00C1425C">
      <w:pPr>
        <w:ind w:left="284" w:hanging="284"/>
        <w:jc w:val="left"/>
        <w:rPr>
          <w:snapToGrid w:val="0"/>
          <w:kern w:val="22"/>
          <w:szCs w:val="22"/>
          <w:lang w:val="fr-CA" w:eastAsia="nb-NO"/>
        </w:rPr>
      </w:pPr>
      <w:r w:rsidRPr="00B17F01">
        <w:rPr>
          <w:snapToGrid w:val="0"/>
          <w:kern w:val="22"/>
          <w:szCs w:val="22"/>
          <w:lang w:val="fr-CA" w:eastAsia="nb-NO"/>
        </w:rPr>
        <w:t xml:space="preserve">Deuxième réunion </w:t>
      </w:r>
    </w:p>
    <w:p w:rsidR="00C1425C" w:rsidRPr="00B17F01" w:rsidRDefault="00C1425C" w:rsidP="00C1425C">
      <w:pPr>
        <w:ind w:left="284" w:hanging="284"/>
        <w:jc w:val="left"/>
        <w:rPr>
          <w:snapToGrid w:val="0"/>
          <w:kern w:val="22"/>
          <w:szCs w:val="22"/>
          <w:lang w:val="fr-CA" w:eastAsia="nb-NO"/>
        </w:rPr>
      </w:pPr>
      <w:r w:rsidRPr="00B17F01">
        <w:rPr>
          <w:snapToGrid w:val="0"/>
          <w:kern w:val="22"/>
          <w:szCs w:val="22"/>
          <w:lang w:val="fr-CA" w:eastAsia="nb-NO"/>
        </w:rPr>
        <w:t>Montréal (Canada) 9</w:t>
      </w:r>
      <w:r w:rsidRPr="00B17F01">
        <w:rPr>
          <w:snapToGrid w:val="0"/>
          <w:kern w:val="22"/>
          <w:szCs w:val="22"/>
          <w:lang w:val="fr-CA" w:eastAsia="nb-NO"/>
        </w:rPr>
        <w:noBreakHyphen/>
        <w:t>13 juillet 2018</w:t>
      </w:r>
    </w:p>
    <w:p w:rsidR="00084813" w:rsidRPr="00B17F01" w:rsidRDefault="00C1425C" w:rsidP="00C1425C">
      <w:pPr>
        <w:autoSpaceDE w:val="0"/>
        <w:autoSpaceDN w:val="0"/>
        <w:adjustRightInd w:val="0"/>
        <w:ind w:right="3124"/>
        <w:jc w:val="left"/>
        <w:rPr>
          <w:kern w:val="22"/>
          <w:szCs w:val="22"/>
          <w:lang w:val="fr-CA"/>
        </w:rPr>
      </w:pPr>
      <w:r w:rsidRPr="00B17F01">
        <w:rPr>
          <w:snapToGrid w:val="0"/>
          <w:kern w:val="22"/>
          <w:szCs w:val="22"/>
          <w:lang w:val="fr-CA"/>
        </w:rPr>
        <w:t>Point 8 de l’ordre du jour provisoire</w:t>
      </w:r>
      <w:r w:rsidRPr="00B17F01">
        <w:rPr>
          <w:rStyle w:val="FootnoteReference"/>
          <w:kern w:val="22"/>
          <w:szCs w:val="22"/>
          <w:lang w:val="fr-CA"/>
        </w:rPr>
        <w:t xml:space="preserve"> </w:t>
      </w:r>
      <w:r w:rsidR="00084813" w:rsidRPr="00B17F01">
        <w:rPr>
          <w:rStyle w:val="FootnoteReference"/>
          <w:kern w:val="22"/>
          <w:szCs w:val="22"/>
          <w:lang w:val="fr-CA"/>
        </w:rPr>
        <w:footnoteReference w:customMarkFollows="1" w:id="1"/>
        <w:t>*</w:t>
      </w:r>
    </w:p>
    <w:p w:rsidR="00C9161D" w:rsidRPr="00B17F01" w:rsidRDefault="00C9161D" w:rsidP="00C9161D">
      <w:pPr>
        <w:rPr>
          <w:kern w:val="22"/>
          <w:lang w:val="fr-CA"/>
        </w:rPr>
      </w:pPr>
    </w:p>
    <w:p w:rsidR="00C9161D" w:rsidRPr="00B17F01" w:rsidRDefault="003426E3" w:rsidP="00C1425C">
      <w:pPr>
        <w:spacing w:before="120" w:after="240"/>
        <w:jc w:val="center"/>
        <w:rPr>
          <w:b/>
          <w:caps/>
          <w:kern w:val="22"/>
          <w:lang w:val="fr-CA"/>
        </w:rPr>
      </w:pPr>
      <w:sdt>
        <w:sdtPr>
          <w:rPr>
            <w:b/>
            <w:caps/>
            <w:kern w:val="22"/>
            <w:szCs w:val="22"/>
            <w:vertAlign w:val="superscript"/>
            <w:lang w:val="fr-CA"/>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C1425C" w:rsidRPr="00B17F01">
            <w:rPr>
              <w:b/>
              <w:caps/>
              <w:kern w:val="22"/>
              <w:szCs w:val="22"/>
              <w:lang w:val="fr-CA"/>
            </w:rPr>
            <w:t>mobilisation des ressources</w:t>
          </w:r>
        </w:sdtContent>
      </w:sdt>
      <w:r w:rsidR="00105372" w:rsidRPr="00B17F01">
        <w:rPr>
          <w:b/>
          <w:caps/>
          <w:kern w:val="22"/>
          <w:lang w:val="fr-CA"/>
        </w:rPr>
        <w:t xml:space="preserve"> </w:t>
      </w:r>
    </w:p>
    <w:p w:rsidR="00084813" w:rsidRPr="00B17F01" w:rsidRDefault="00084813" w:rsidP="00C1425C">
      <w:pPr>
        <w:pStyle w:val="Heading2"/>
        <w:rPr>
          <w:b w:val="0"/>
          <w:bCs w:val="0"/>
          <w:i/>
          <w:iCs w:val="0"/>
          <w:kern w:val="22"/>
          <w:szCs w:val="22"/>
          <w:lang w:val="fr-CA"/>
        </w:rPr>
      </w:pPr>
      <w:r w:rsidRPr="00B17F01">
        <w:rPr>
          <w:b w:val="0"/>
          <w:bCs w:val="0"/>
          <w:i/>
          <w:iCs w:val="0"/>
          <w:kern w:val="22"/>
          <w:szCs w:val="22"/>
          <w:lang w:val="fr-CA"/>
        </w:rPr>
        <w:t xml:space="preserve">Note </w:t>
      </w:r>
      <w:r w:rsidR="00C1425C" w:rsidRPr="00B17F01">
        <w:rPr>
          <w:b w:val="0"/>
          <w:bCs w:val="0"/>
          <w:i/>
          <w:iCs w:val="0"/>
          <w:kern w:val="22"/>
          <w:szCs w:val="22"/>
          <w:lang w:val="fr-CA"/>
        </w:rPr>
        <w:t>de la Secrétaire exécutive</w:t>
      </w:r>
    </w:p>
    <w:p w:rsidR="00084813" w:rsidRPr="00B17F01" w:rsidRDefault="00084813" w:rsidP="00084813">
      <w:pPr>
        <w:pStyle w:val="Heading1"/>
        <w:spacing w:before="120"/>
        <w:rPr>
          <w:kern w:val="22"/>
          <w:szCs w:val="22"/>
          <w:lang w:val="fr-CA"/>
        </w:rPr>
      </w:pPr>
      <w:r w:rsidRPr="00B17F01">
        <w:rPr>
          <w:kern w:val="22"/>
          <w:szCs w:val="22"/>
          <w:lang w:val="fr-CA"/>
        </w:rPr>
        <w:t>Introduction</w:t>
      </w:r>
    </w:p>
    <w:p w:rsidR="00084813" w:rsidRPr="00B17F01" w:rsidRDefault="00846BB5" w:rsidP="00F4116A">
      <w:pPr>
        <w:numPr>
          <w:ilvl w:val="0"/>
          <w:numId w:val="19"/>
        </w:numPr>
        <w:spacing w:after="120"/>
        <w:ind w:left="0" w:firstLine="0"/>
        <w:rPr>
          <w:kern w:val="22"/>
          <w:szCs w:val="22"/>
          <w:lang w:val="fr-CA"/>
        </w:rPr>
      </w:pPr>
      <w:r w:rsidRPr="00B17F01">
        <w:rPr>
          <w:kern w:val="22"/>
          <w:szCs w:val="22"/>
          <w:lang w:val="fr-CA"/>
        </w:rPr>
        <w:t xml:space="preserve">Au paragraphe 2 de la décision </w:t>
      </w:r>
      <w:hyperlink r:id="rId12" w:history="1">
        <w:r w:rsidR="00F4116A">
          <w:rPr>
            <w:rStyle w:val="Hyperlink"/>
            <w:kern w:val="22"/>
            <w:sz w:val="22"/>
            <w:szCs w:val="22"/>
            <w:lang w:val="fr-CA"/>
          </w:rPr>
          <w:t>XII/3</w:t>
        </w:r>
      </w:hyperlink>
      <w:r w:rsidRPr="00B17F01">
        <w:rPr>
          <w:lang w:val="fr-CA"/>
        </w:rPr>
        <w:t xml:space="preserve">, la Conférence des Parties a adopté des objectifs </w:t>
      </w:r>
      <w:r w:rsidRPr="00B17F01">
        <w:rPr>
          <w:bCs/>
          <w:kern w:val="20"/>
          <w:lang w:val="fr-CA"/>
        </w:rPr>
        <w:t>pour la mobilisation de ressources au titre de l’Objectif 20 d</w:t>
      </w:r>
      <w:r w:rsidR="0079327E" w:rsidRPr="00B17F01">
        <w:rPr>
          <w:bCs/>
          <w:kern w:val="20"/>
          <w:lang w:val="fr-CA"/>
        </w:rPr>
        <w:t>’Aichi du Plan stratégique 2011</w:t>
      </w:r>
      <w:r w:rsidR="0079327E" w:rsidRPr="00B17F01">
        <w:rPr>
          <w:bCs/>
          <w:kern w:val="20"/>
          <w:lang w:val="fr-CA"/>
        </w:rPr>
        <w:noBreakHyphen/>
        <w:t>2020 pour la diversité biologique</w:t>
      </w:r>
      <w:r w:rsidRPr="00B17F01">
        <w:rPr>
          <w:bCs/>
          <w:kern w:val="20"/>
          <w:lang w:val="fr-CA"/>
        </w:rPr>
        <w:t xml:space="preserve">. À sa treizième réunion, la Conférence des Parties a examiné les progrès accomplis en fonction de ces objectifs, sur la base d’une analyse des informations fournies par les Parties par le biais du </w:t>
      </w:r>
      <w:r w:rsidRPr="00B17F01">
        <w:rPr>
          <w:snapToGrid w:val="0"/>
          <w:kern w:val="22"/>
          <w:szCs w:val="22"/>
          <w:lang w:val="fr-CA" w:bidi="fr-FR"/>
        </w:rPr>
        <w:t>cadre de présentation des rapports financiers</w:t>
      </w:r>
      <w:r w:rsidR="00AC45BA" w:rsidRPr="00B17F01">
        <w:rPr>
          <w:bCs/>
          <w:kern w:val="20"/>
          <w:lang w:val="fr-CA"/>
        </w:rPr>
        <w:t>, et au paragraphe 9 de</w:t>
      </w:r>
      <w:r w:rsidRPr="00B17F01">
        <w:rPr>
          <w:bCs/>
          <w:kern w:val="20"/>
          <w:lang w:val="fr-CA"/>
        </w:rPr>
        <w:t xml:space="preserve"> sa décision </w:t>
      </w:r>
      <w:hyperlink r:id="rId13" w:history="1">
        <w:r w:rsidR="00F4116A">
          <w:rPr>
            <w:rStyle w:val="Hyperlink"/>
            <w:kern w:val="22"/>
            <w:sz w:val="22"/>
            <w:szCs w:val="22"/>
            <w:lang w:val="fr-CA"/>
          </w:rPr>
          <w:t>XIII/20</w:t>
        </w:r>
      </w:hyperlink>
      <w:r w:rsidR="00F4116A">
        <w:rPr>
          <w:kern w:val="22"/>
          <w:szCs w:val="22"/>
          <w:lang w:val="fr-CA"/>
        </w:rPr>
        <w:t xml:space="preserve">, </w:t>
      </w:r>
      <w:r w:rsidRPr="00B17F01">
        <w:rPr>
          <w:kern w:val="22"/>
          <w:szCs w:val="22"/>
          <w:lang w:val="fr-CA"/>
        </w:rPr>
        <w:t xml:space="preserve"> </w:t>
      </w:r>
      <w:r w:rsidR="00230ED9" w:rsidRPr="00B17F01">
        <w:rPr>
          <w:kern w:val="22"/>
          <w:szCs w:val="22"/>
          <w:lang w:val="fr-CA"/>
        </w:rPr>
        <w:t xml:space="preserve">la Conférence des Parties </w:t>
      </w:r>
      <w:r w:rsidRPr="00B17F01">
        <w:rPr>
          <w:kern w:val="22"/>
          <w:szCs w:val="22"/>
          <w:lang w:val="fr-CA"/>
        </w:rPr>
        <w:t xml:space="preserve">a prié la Secrétaire exécutive </w:t>
      </w:r>
      <w:r w:rsidRPr="00B17F01">
        <w:rPr>
          <w:snapToGrid w:val="0"/>
          <w:kern w:val="22"/>
          <w:szCs w:val="22"/>
          <w:lang w:val="fr-CA" w:bidi="fr-FR"/>
        </w:rPr>
        <w:t>de dresser un bilan et d’effectuer une analyse actualisée des rapports financiers reçus, aux fins d’examen par l’Organe subsidiaire chargé de l’application à sa deuxième réunion, afin de présenter des recommandations à la Conférence des Parties à sa qu</w:t>
      </w:r>
      <w:r w:rsidR="00AC45BA" w:rsidRPr="00B17F01">
        <w:rPr>
          <w:snapToGrid w:val="0"/>
          <w:kern w:val="22"/>
          <w:szCs w:val="22"/>
          <w:lang w:val="fr-CA" w:bidi="fr-FR"/>
        </w:rPr>
        <w:t>atorzième réunion</w:t>
      </w:r>
      <w:r w:rsidRPr="00B17F01">
        <w:rPr>
          <w:snapToGrid w:val="0"/>
          <w:kern w:val="22"/>
          <w:szCs w:val="22"/>
          <w:lang w:val="fr-CA" w:bidi="fr-FR"/>
        </w:rPr>
        <w:t>.</w:t>
      </w:r>
      <w:r w:rsidR="00230ED9" w:rsidRPr="00B17F01">
        <w:rPr>
          <w:snapToGrid w:val="0"/>
          <w:kern w:val="22"/>
          <w:szCs w:val="22"/>
          <w:lang w:val="fr-CA" w:bidi="fr-FR"/>
        </w:rPr>
        <w:t xml:space="preserve"> La Conférence des Parties a également décidé d’une série d’activités opérationnelles, </w:t>
      </w:r>
      <w:r w:rsidR="00230ED9" w:rsidRPr="00B17F01">
        <w:rPr>
          <w:noProof/>
          <w:snapToGrid w:val="0"/>
          <w:kern w:val="22"/>
          <w:szCs w:val="22"/>
          <w:lang w:val="fr-CA" w:bidi="fr-FR"/>
        </w:rPr>
        <w:t>décrites ci</w:t>
      </w:r>
      <w:r w:rsidR="00230ED9" w:rsidRPr="00B17F01">
        <w:rPr>
          <w:noProof/>
          <w:snapToGrid w:val="0"/>
          <w:kern w:val="22"/>
          <w:szCs w:val="22"/>
          <w:lang w:val="fr-CA" w:bidi="fr-FR"/>
        </w:rPr>
        <w:noBreakHyphen/>
        <w:t>dessous, qu</w:t>
      </w:r>
      <w:r w:rsidR="00230ED9" w:rsidRPr="00B17F01">
        <w:rPr>
          <w:snapToGrid w:val="0"/>
          <w:kern w:val="22"/>
          <w:szCs w:val="22"/>
          <w:lang w:val="fr-CA" w:bidi="fr-FR"/>
        </w:rPr>
        <w:t>i seront entreprises par les Parties, les autres gouvernements, les organisations et initiatives internationales concernées, et la Secrétaire exécutive.</w:t>
      </w:r>
    </w:p>
    <w:p w:rsidR="00084813" w:rsidRPr="00B17F01" w:rsidRDefault="00897493" w:rsidP="00B3575C">
      <w:pPr>
        <w:numPr>
          <w:ilvl w:val="0"/>
          <w:numId w:val="19"/>
        </w:numPr>
        <w:spacing w:after="120"/>
        <w:ind w:left="0" w:firstLine="0"/>
        <w:rPr>
          <w:kern w:val="22"/>
          <w:szCs w:val="22"/>
          <w:lang w:val="fr-CA"/>
        </w:rPr>
      </w:pPr>
      <w:r w:rsidRPr="00B17F01">
        <w:rPr>
          <w:kern w:val="22"/>
          <w:szCs w:val="22"/>
          <w:lang w:val="fr-CA"/>
        </w:rPr>
        <w:t xml:space="preserve">La section II </w:t>
      </w:r>
      <w:r w:rsidR="00AC45BA" w:rsidRPr="00B17F01">
        <w:rPr>
          <w:kern w:val="22"/>
          <w:szCs w:val="22"/>
          <w:lang w:val="fr-CA"/>
        </w:rPr>
        <w:t>du présent document</w:t>
      </w:r>
      <w:r w:rsidRPr="00B17F01">
        <w:rPr>
          <w:kern w:val="22"/>
          <w:szCs w:val="22"/>
          <w:lang w:val="fr-CA"/>
        </w:rPr>
        <w:t xml:space="preserve"> comprend</w:t>
      </w:r>
      <w:r w:rsidR="00AC45BA" w:rsidRPr="00B17F01">
        <w:rPr>
          <w:kern w:val="22"/>
          <w:szCs w:val="22"/>
          <w:lang w:val="fr-CA"/>
        </w:rPr>
        <w:t>, comme</w:t>
      </w:r>
      <w:r w:rsidR="00230ED9" w:rsidRPr="00B17F01">
        <w:rPr>
          <w:kern w:val="22"/>
          <w:szCs w:val="22"/>
          <w:lang w:val="fr-CA"/>
        </w:rPr>
        <w:t xml:space="preserve"> </w:t>
      </w:r>
      <w:r w:rsidR="00AC45BA" w:rsidRPr="00B17F01">
        <w:rPr>
          <w:snapToGrid w:val="0"/>
          <w:kern w:val="22"/>
          <w:szCs w:val="22"/>
          <w:lang w:val="fr-CA" w:bidi="fr-FR"/>
        </w:rPr>
        <w:t>demandé,</w:t>
      </w:r>
      <w:r w:rsidR="00AC45BA" w:rsidRPr="00B17F01">
        <w:rPr>
          <w:kern w:val="22"/>
          <w:szCs w:val="22"/>
          <w:lang w:val="fr-CA"/>
        </w:rPr>
        <w:t xml:space="preserve"> </w:t>
      </w:r>
      <w:r w:rsidR="00230ED9" w:rsidRPr="00B17F01">
        <w:rPr>
          <w:kern w:val="22"/>
          <w:szCs w:val="22"/>
          <w:lang w:val="fr-CA"/>
        </w:rPr>
        <w:t xml:space="preserve">une brève synthèse </w:t>
      </w:r>
      <w:r w:rsidR="00230ED9" w:rsidRPr="00B17F01">
        <w:rPr>
          <w:snapToGrid w:val="0"/>
          <w:kern w:val="22"/>
          <w:szCs w:val="22"/>
          <w:lang w:val="fr-CA" w:bidi="fr-FR"/>
        </w:rPr>
        <w:t>du bilan et de l’analyse actualisée des rapports financiers reçus; l’analyse intégrale figure dans le document</w:t>
      </w:r>
      <w:r w:rsidR="00230ED9" w:rsidRPr="00B17F01">
        <w:rPr>
          <w:kern w:val="22"/>
          <w:szCs w:val="22"/>
          <w:lang w:val="fr-CA"/>
        </w:rPr>
        <w:t xml:space="preserve"> CBD/SBI/2/7/Add.1. </w:t>
      </w:r>
      <w:r w:rsidR="00E57C4A" w:rsidRPr="00B17F01">
        <w:rPr>
          <w:kern w:val="22"/>
          <w:szCs w:val="22"/>
          <w:lang w:val="fr-CA"/>
        </w:rPr>
        <w:t>La section III fournit un rapport d’étape et les conclusions découlant de la mise en œuvre des activités indiquées dans la décision XIII/20. Cette section comprend un résumé de l’analyse des progrè</w:t>
      </w:r>
      <w:r w:rsidRPr="00B17F01">
        <w:rPr>
          <w:kern w:val="22"/>
          <w:szCs w:val="22"/>
          <w:lang w:val="fr-CA"/>
        </w:rPr>
        <w:t>s accomplis dans la réalisation des principales étapes pour la mise en œuvre complète de l’Objectif 3 d’Aichi pour la biodiversité demandée au paragraphe 25 de la décision XIII/20.</w:t>
      </w:r>
      <w:r w:rsidR="00230ED9" w:rsidRPr="00B17F01">
        <w:rPr>
          <w:kern w:val="22"/>
          <w:szCs w:val="22"/>
          <w:lang w:val="fr-CA"/>
        </w:rPr>
        <w:t xml:space="preserve"> </w:t>
      </w:r>
      <w:r w:rsidR="00BB58CB" w:rsidRPr="00B17F01">
        <w:rPr>
          <w:kern w:val="22"/>
          <w:szCs w:val="22"/>
          <w:lang w:val="fr-CA"/>
        </w:rPr>
        <w:t>La section IV fournit des considératio</w:t>
      </w:r>
      <w:r w:rsidR="0036396B" w:rsidRPr="00B17F01">
        <w:rPr>
          <w:kern w:val="22"/>
          <w:szCs w:val="22"/>
          <w:lang w:val="fr-CA"/>
        </w:rPr>
        <w:t>ns relatives au processus d</w:t>
      </w:r>
      <w:r w:rsidR="00BB58CB" w:rsidRPr="00B17F01">
        <w:rPr>
          <w:kern w:val="22"/>
          <w:szCs w:val="22"/>
          <w:lang w:val="fr-CA"/>
        </w:rPr>
        <w:t>’élaboration du cadre de l’après</w:t>
      </w:r>
      <w:r w:rsidR="00BB58CB" w:rsidRPr="00B17F01">
        <w:rPr>
          <w:kern w:val="22"/>
          <w:szCs w:val="22"/>
          <w:lang w:val="fr-CA"/>
        </w:rPr>
        <w:noBreakHyphen/>
        <w:t>2020 pour la biodiversité, en particulier ses éléments associés relatifs à la mobilisation de</w:t>
      </w:r>
      <w:r w:rsidR="00B3575C" w:rsidRPr="00B17F01">
        <w:rPr>
          <w:kern w:val="22"/>
          <w:szCs w:val="22"/>
          <w:lang w:val="fr-CA"/>
        </w:rPr>
        <w:t>s</w:t>
      </w:r>
      <w:r w:rsidR="00BB58CB" w:rsidRPr="00B17F01">
        <w:rPr>
          <w:kern w:val="22"/>
          <w:szCs w:val="22"/>
          <w:lang w:val="fr-CA"/>
        </w:rPr>
        <w:t xml:space="preserve"> ressources. La section V présente des éléments pour un projet de recommandation, aux fins d’examen par l’Organe subsidiaire chargé de l’application.</w:t>
      </w:r>
    </w:p>
    <w:p w:rsidR="00084813" w:rsidRPr="00B17F01" w:rsidRDefault="00084813" w:rsidP="00D8005C">
      <w:pPr>
        <w:pStyle w:val="Heading1"/>
        <w:spacing w:before="120"/>
        <w:rPr>
          <w:kern w:val="22"/>
          <w:szCs w:val="22"/>
          <w:lang w:val="fr-CA"/>
        </w:rPr>
      </w:pPr>
      <w:r w:rsidRPr="00B17F01">
        <w:rPr>
          <w:kern w:val="22"/>
          <w:szCs w:val="22"/>
          <w:lang w:val="fr-CA"/>
        </w:rPr>
        <w:t>I.</w:t>
      </w:r>
      <w:r w:rsidRPr="00B17F01">
        <w:rPr>
          <w:kern w:val="22"/>
          <w:szCs w:val="22"/>
          <w:lang w:val="fr-CA"/>
        </w:rPr>
        <w:tab/>
      </w:r>
      <w:r w:rsidR="00D8005C" w:rsidRPr="00B17F01">
        <w:rPr>
          <w:kern w:val="22"/>
          <w:szCs w:val="22"/>
          <w:lang w:val="fr-CA"/>
        </w:rPr>
        <w:t>établissement des rapports financiers</w:t>
      </w:r>
    </w:p>
    <w:p w:rsidR="00084813" w:rsidRPr="00B17F01" w:rsidRDefault="00D8005C" w:rsidP="00DB2007">
      <w:pPr>
        <w:numPr>
          <w:ilvl w:val="0"/>
          <w:numId w:val="19"/>
        </w:numPr>
        <w:spacing w:after="120"/>
        <w:ind w:left="0" w:firstLine="0"/>
        <w:rPr>
          <w:kern w:val="22"/>
          <w:szCs w:val="22"/>
          <w:lang w:val="fr-CA"/>
        </w:rPr>
      </w:pPr>
      <w:r w:rsidRPr="00B17F01">
        <w:rPr>
          <w:snapToGrid w:val="0"/>
          <w:kern w:val="22"/>
          <w:szCs w:val="22"/>
          <w:lang w:val="fr-CA"/>
        </w:rPr>
        <w:t>L’Objectif 20 d’Aichi pour la biodiversité du Plan stratégique 2011-2020 pour la diversité biologique prévoit, d’ici à</w:t>
      </w:r>
      <w:r w:rsidRPr="00B17F01">
        <w:rPr>
          <w:lang w:val="fr-CA"/>
        </w:rPr>
        <w:t> 2020,</w:t>
      </w:r>
      <w:r w:rsidRPr="00B17F01">
        <w:rPr>
          <w:snapToGrid w:val="0"/>
          <w:kern w:val="22"/>
          <w:szCs w:val="22"/>
          <w:lang w:val="fr-CA"/>
        </w:rPr>
        <w:t xml:space="preserve"> </w:t>
      </w:r>
      <w:r w:rsidR="00DB5671" w:rsidRPr="00B17F01">
        <w:rPr>
          <w:snapToGrid w:val="0"/>
          <w:kern w:val="22"/>
          <w:szCs w:val="22"/>
          <w:lang w:val="fr-CA"/>
        </w:rPr>
        <w:t xml:space="preserve">une </w:t>
      </w:r>
      <w:r w:rsidR="00DB5671" w:rsidRPr="00B17F01">
        <w:rPr>
          <w:bCs/>
          <w:kern w:val="20"/>
          <w:lang w:val="fr-CA"/>
        </w:rPr>
        <w:t>forte augmentation globale du montant total des fonds alloués à la diversité biologique, en diversifiant les sources</w:t>
      </w:r>
      <w:r w:rsidR="00D036D0" w:rsidRPr="00B17F01">
        <w:rPr>
          <w:snapToGrid w:val="0"/>
          <w:kern w:val="22"/>
          <w:szCs w:val="22"/>
          <w:lang w:val="fr-CA"/>
        </w:rPr>
        <w:t xml:space="preserve">. </w:t>
      </w:r>
      <w:r w:rsidR="00DB5671" w:rsidRPr="00B17F01">
        <w:rPr>
          <w:snapToGrid w:val="0"/>
          <w:kern w:val="22"/>
          <w:szCs w:val="22"/>
          <w:lang w:val="fr-CA"/>
        </w:rPr>
        <w:t>Ayant décidé de réaliser certains</w:t>
      </w:r>
      <w:r w:rsidR="00D036D0" w:rsidRPr="00B17F01">
        <w:rPr>
          <w:snapToGrid w:val="0"/>
          <w:kern w:val="22"/>
          <w:szCs w:val="22"/>
          <w:lang w:val="fr-CA"/>
        </w:rPr>
        <w:t xml:space="preserve"> objectifs préliminaires à sa onzième réunion,</w:t>
      </w:r>
      <w:r w:rsidR="00D036D0" w:rsidRPr="00B17F01">
        <w:rPr>
          <w:rStyle w:val="FootnoteReference"/>
          <w:kern w:val="22"/>
          <w:szCs w:val="22"/>
          <w:lang w:val="fr-CA"/>
        </w:rPr>
        <w:footnoteReference w:id="2"/>
      </w:r>
      <w:r w:rsidR="00D036D0" w:rsidRPr="00B17F01">
        <w:rPr>
          <w:snapToGrid w:val="0"/>
          <w:kern w:val="22"/>
          <w:szCs w:val="22"/>
          <w:lang w:val="fr-CA"/>
        </w:rPr>
        <w:t xml:space="preserve"> </w:t>
      </w:r>
      <w:r w:rsidR="00DB5671" w:rsidRPr="00B17F01">
        <w:rPr>
          <w:snapToGrid w:val="0"/>
          <w:kern w:val="22"/>
          <w:szCs w:val="22"/>
          <w:lang w:val="fr-CA"/>
        </w:rPr>
        <w:t>la Conférence des Parties</w:t>
      </w:r>
      <w:r w:rsidR="00D036D0" w:rsidRPr="00B17F01">
        <w:rPr>
          <w:snapToGrid w:val="0"/>
          <w:kern w:val="22"/>
          <w:szCs w:val="22"/>
          <w:lang w:val="fr-CA"/>
        </w:rPr>
        <w:t xml:space="preserve"> a adopté </w:t>
      </w:r>
      <w:r w:rsidR="00DB5671" w:rsidRPr="00B17F01">
        <w:rPr>
          <w:snapToGrid w:val="0"/>
          <w:kern w:val="22"/>
          <w:szCs w:val="22"/>
          <w:lang w:val="fr-CA"/>
        </w:rPr>
        <w:t xml:space="preserve">à sa douzième réunion </w:t>
      </w:r>
      <w:r w:rsidR="00D036D0" w:rsidRPr="00B17F01">
        <w:rPr>
          <w:snapToGrid w:val="0"/>
          <w:kern w:val="22"/>
          <w:szCs w:val="22"/>
          <w:lang w:val="fr-CA"/>
        </w:rPr>
        <w:t xml:space="preserve">des objectifs pour la mobilisation de ressources, au titre de l’Objectif 20 d’Aichi pour la biodiversité, et a également adopté le </w:t>
      </w:r>
      <w:r w:rsidR="00F90CF1" w:rsidRPr="00B17F01">
        <w:rPr>
          <w:kern w:val="20"/>
          <w:lang w:val="fr-CA"/>
        </w:rPr>
        <w:t>c</w:t>
      </w:r>
      <w:r w:rsidR="00D036D0" w:rsidRPr="00B17F01">
        <w:rPr>
          <w:kern w:val="20"/>
          <w:lang w:val="fr-CA"/>
        </w:rPr>
        <w:t xml:space="preserve">adre de </w:t>
      </w:r>
      <w:r w:rsidR="00D036D0" w:rsidRPr="00B17F01">
        <w:rPr>
          <w:kern w:val="20"/>
          <w:lang w:val="fr-CA"/>
        </w:rPr>
        <w:lastRenderedPageBreak/>
        <w:t xml:space="preserve">présentation des rapports financiers révisé qui </w:t>
      </w:r>
      <w:r w:rsidR="00D036D0" w:rsidRPr="00B17F01">
        <w:rPr>
          <w:lang w:val="fr-CA"/>
        </w:rPr>
        <w:t xml:space="preserve">a pour but d’aider les Parties à fournir des informations de </w:t>
      </w:r>
      <w:r w:rsidR="00DB2007" w:rsidRPr="00B17F01">
        <w:rPr>
          <w:lang w:val="fr-CA"/>
        </w:rPr>
        <w:t>référence</w:t>
      </w:r>
      <w:r w:rsidR="00D036D0" w:rsidRPr="00B17F01">
        <w:rPr>
          <w:lang w:val="fr-CA"/>
        </w:rPr>
        <w:t xml:space="preserve"> et à faire rapport sur le</w:t>
      </w:r>
      <w:r w:rsidR="00F90CF1" w:rsidRPr="00B17F01">
        <w:rPr>
          <w:lang w:val="fr-CA"/>
        </w:rPr>
        <w:t>ur contribution pour atteindre c</w:t>
      </w:r>
      <w:r w:rsidR="00D036D0" w:rsidRPr="00B17F01">
        <w:rPr>
          <w:lang w:val="fr-CA"/>
        </w:rPr>
        <w:t>es objectifs</w:t>
      </w:r>
      <w:r w:rsidR="00DB2007" w:rsidRPr="00B17F01">
        <w:rPr>
          <w:lang w:val="fr-CA"/>
        </w:rPr>
        <w:t>.</w:t>
      </w:r>
      <w:r w:rsidR="00DB2007" w:rsidRPr="00B17F01">
        <w:rPr>
          <w:rStyle w:val="FootnoteReference"/>
          <w:kern w:val="22"/>
          <w:szCs w:val="22"/>
          <w:lang w:val="fr-CA"/>
        </w:rPr>
        <w:footnoteReference w:id="3"/>
      </w:r>
      <w:r w:rsidR="00DB2007" w:rsidRPr="00B17F01">
        <w:rPr>
          <w:kern w:val="22"/>
          <w:szCs w:val="22"/>
          <w:lang w:val="fr-CA"/>
        </w:rPr>
        <w:t xml:space="preserve"> </w:t>
      </w:r>
      <w:r w:rsidR="00F90CF1" w:rsidRPr="00B17F01">
        <w:rPr>
          <w:kern w:val="22"/>
          <w:szCs w:val="22"/>
          <w:lang w:val="fr-CA"/>
        </w:rPr>
        <w:t xml:space="preserve">Le </w:t>
      </w:r>
      <w:r w:rsidR="00F90CF1" w:rsidRPr="00B17F01">
        <w:rPr>
          <w:kern w:val="20"/>
          <w:lang w:val="fr-CA"/>
        </w:rPr>
        <w:t>cadre de présentation des rapports financiers prévoit l’établissement de rapports en deux</w:t>
      </w:r>
      <w:r w:rsidR="00E06AF2" w:rsidRPr="00B17F01">
        <w:rPr>
          <w:kern w:val="20"/>
          <w:lang w:val="fr-CA"/>
        </w:rPr>
        <w:t xml:space="preserve"> cycle</w:t>
      </w:r>
      <w:r w:rsidR="00F90CF1" w:rsidRPr="00B17F01">
        <w:rPr>
          <w:kern w:val="20"/>
          <w:lang w:val="fr-CA"/>
        </w:rPr>
        <w:t>s</w:t>
      </w:r>
      <w:r w:rsidR="00DB2007" w:rsidRPr="00B17F01">
        <w:rPr>
          <w:kern w:val="20"/>
          <w:lang w:val="fr-CA"/>
        </w:rPr>
        <w:t>, ou étapes</w:t>
      </w:r>
      <w:r w:rsidR="00F90CF1" w:rsidRPr="00B17F01">
        <w:rPr>
          <w:kern w:val="20"/>
          <w:lang w:val="fr-CA"/>
        </w:rPr>
        <w:t xml:space="preserve"> : a) </w:t>
      </w:r>
      <w:r w:rsidR="00875C08" w:rsidRPr="00B17F01">
        <w:rPr>
          <w:lang w:val="fr-CA"/>
        </w:rPr>
        <w:t>rapport sur</w:t>
      </w:r>
      <w:r w:rsidR="001F4BC4" w:rsidRPr="00B17F01">
        <w:rPr>
          <w:lang w:val="fr-CA"/>
        </w:rPr>
        <w:t xml:space="preserve"> les données de </w:t>
      </w:r>
      <w:r w:rsidR="00DB2007" w:rsidRPr="00B17F01">
        <w:rPr>
          <w:lang w:val="fr-CA"/>
        </w:rPr>
        <w:t>référence</w:t>
      </w:r>
      <w:r w:rsidR="001F4BC4" w:rsidRPr="00B17F01">
        <w:rPr>
          <w:lang w:val="fr-CA"/>
        </w:rPr>
        <w:t xml:space="preserve"> et</w:t>
      </w:r>
      <w:r w:rsidR="00875C08" w:rsidRPr="00B17F01">
        <w:rPr>
          <w:lang w:val="fr-CA"/>
        </w:rPr>
        <w:t xml:space="preserve"> les progrès accomplis en fonction des objectifs de 2015 ; et b) </w:t>
      </w:r>
      <w:r w:rsidR="007A4BAF" w:rsidRPr="00B17F01">
        <w:rPr>
          <w:lang w:val="fr-CA"/>
        </w:rPr>
        <w:t>rapport sur l’état d’avancement de la réalisation des objectifs financiers jusqu’en 2020.</w:t>
      </w:r>
      <w:r w:rsidR="00D036D0" w:rsidRPr="00B17F01">
        <w:rPr>
          <w:snapToGrid w:val="0"/>
          <w:kern w:val="22"/>
          <w:szCs w:val="22"/>
          <w:lang w:val="fr-CA"/>
        </w:rPr>
        <w:t xml:space="preserve"> </w:t>
      </w:r>
      <w:r w:rsidR="007A4BAF" w:rsidRPr="00B17F01">
        <w:rPr>
          <w:snapToGrid w:val="0"/>
          <w:kern w:val="22"/>
          <w:szCs w:val="22"/>
          <w:lang w:val="fr-CA"/>
        </w:rPr>
        <w:t>Des analyses préalables de l’information reçue par le biais des cadres de présentation des rapports financiers ont été préparées par la Secrétaire exécutive pour la considération de l’Organe subsidiaire chargé de l’application à sa première réunion</w:t>
      </w:r>
      <w:r w:rsidR="007A4BAF" w:rsidRPr="00B17F01">
        <w:rPr>
          <w:rStyle w:val="FootnoteReference"/>
          <w:kern w:val="22"/>
          <w:szCs w:val="22"/>
          <w:lang w:val="fr-CA"/>
        </w:rPr>
        <w:footnoteReference w:id="4"/>
      </w:r>
      <w:r w:rsidR="007A4BAF" w:rsidRPr="00B17F01">
        <w:rPr>
          <w:snapToGrid w:val="0"/>
          <w:kern w:val="22"/>
          <w:szCs w:val="22"/>
          <w:lang w:val="fr-CA"/>
        </w:rPr>
        <w:t xml:space="preserve"> et la Conférence des Parties à sa treizième réunion.</w:t>
      </w:r>
      <w:r w:rsidR="007A4BAF" w:rsidRPr="00B17F01">
        <w:rPr>
          <w:rStyle w:val="FootnoteReference"/>
          <w:kern w:val="22"/>
          <w:szCs w:val="22"/>
          <w:lang w:val="fr-CA"/>
        </w:rPr>
        <w:footnoteReference w:id="5"/>
      </w:r>
      <w:r w:rsidR="007A4BAF" w:rsidRPr="00B17F01">
        <w:rPr>
          <w:snapToGrid w:val="0"/>
          <w:kern w:val="22"/>
          <w:szCs w:val="22"/>
          <w:lang w:val="fr-CA"/>
        </w:rPr>
        <w:t xml:space="preserve"> </w:t>
      </w:r>
      <w:r w:rsidR="005B625B" w:rsidRPr="00F4116A">
        <w:rPr>
          <w:snapToGrid w:val="0"/>
          <w:kern w:val="22"/>
          <w:szCs w:val="22"/>
          <w:lang w:val="fr-CA"/>
        </w:rPr>
        <w:t>Ces dernières</w:t>
      </w:r>
      <w:r w:rsidR="005B625B" w:rsidRPr="00B17F01">
        <w:rPr>
          <w:snapToGrid w:val="0"/>
          <w:kern w:val="22"/>
          <w:szCs w:val="22"/>
          <w:lang w:val="fr-CA"/>
        </w:rPr>
        <w:t xml:space="preserve"> sont basées sur les 73 rapports reçu</w:t>
      </w:r>
      <w:r w:rsidR="00FA03D8" w:rsidRPr="00B17F01">
        <w:rPr>
          <w:snapToGrid w:val="0"/>
          <w:kern w:val="22"/>
          <w:szCs w:val="22"/>
          <w:lang w:val="fr-CA"/>
        </w:rPr>
        <w:t>s</w:t>
      </w:r>
      <w:r w:rsidR="005B625B" w:rsidRPr="00B17F01">
        <w:rPr>
          <w:snapToGrid w:val="0"/>
          <w:kern w:val="22"/>
          <w:szCs w:val="22"/>
          <w:lang w:val="fr-CA"/>
        </w:rPr>
        <w:t xml:space="preserve"> au 15 novembre 2016.</w:t>
      </w:r>
    </w:p>
    <w:p w:rsidR="00084813" w:rsidRPr="00B17F01" w:rsidRDefault="001C3E31" w:rsidP="001C3E31">
      <w:pPr>
        <w:numPr>
          <w:ilvl w:val="0"/>
          <w:numId w:val="19"/>
        </w:numPr>
        <w:spacing w:after="120"/>
        <w:ind w:left="0" w:firstLine="0"/>
        <w:rPr>
          <w:kern w:val="22"/>
          <w:szCs w:val="22"/>
          <w:lang w:val="fr-CA"/>
        </w:rPr>
      </w:pPr>
      <w:r w:rsidRPr="00B17F01">
        <w:rPr>
          <w:kern w:val="22"/>
          <w:szCs w:val="22"/>
          <w:lang w:val="fr-CA"/>
        </w:rPr>
        <w:t xml:space="preserve">La Conférence des Parties a, à sa treizième réunion, </w:t>
      </w:r>
      <w:r>
        <w:rPr>
          <w:kern w:val="22"/>
          <w:szCs w:val="22"/>
          <w:lang w:val="fr-CA"/>
        </w:rPr>
        <w:t>p</w:t>
      </w:r>
      <w:proofErr w:type="spellStart"/>
      <w:r>
        <w:rPr>
          <w:iCs/>
          <w:snapToGrid w:val="0"/>
          <w:kern w:val="22"/>
          <w:szCs w:val="22"/>
          <w:lang w:val="fr-FR" w:bidi="fr-FR"/>
        </w:rPr>
        <w:t>rié</w:t>
      </w:r>
      <w:proofErr w:type="spellEnd"/>
      <w:r w:rsidRPr="001C3E31">
        <w:rPr>
          <w:iCs/>
          <w:snapToGrid w:val="0"/>
          <w:kern w:val="22"/>
          <w:szCs w:val="22"/>
          <w:lang w:val="fr-FR" w:bidi="fr-FR"/>
        </w:rPr>
        <w:t xml:space="preserve"> instamment</w:t>
      </w:r>
      <w:r w:rsidRPr="00CE6394">
        <w:rPr>
          <w:snapToGrid w:val="0"/>
          <w:kern w:val="22"/>
          <w:szCs w:val="22"/>
          <w:lang w:val="fr-FR" w:bidi="fr-FR"/>
        </w:rPr>
        <w:t xml:space="preserve"> les Parties qui ne l’ont pas encore fait de communiquer</w:t>
      </w:r>
      <w:r>
        <w:rPr>
          <w:snapToGrid w:val="0"/>
          <w:kern w:val="22"/>
          <w:szCs w:val="22"/>
          <w:lang w:val="fr-FR" w:bidi="fr-FR"/>
        </w:rPr>
        <w:t>, pour le premier cycle d’établissement de rapports,</w:t>
      </w:r>
      <w:r w:rsidRPr="00CE6394">
        <w:rPr>
          <w:snapToGrid w:val="0"/>
          <w:kern w:val="22"/>
          <w:szCs w:val="22"/>
          <w:lang w:val="fr-FR" w:bidi="fr-FR"/>
        </w:rPr>
        <w:t xml:space="preserve"> les informations de référence nécessaires et de rendre compte des progrès accomplis au regard des objectifs de mobilisation des ressources avant le 1</w:t>
      </w:r>
      <w:r w:rsidRPr="00CE6394">
        <w:rPr>
          <w:snapToGrid w:val="0"/>
          <w:kern w:val="22"/>
          <w:szCs w:val="22"/>
          <w:vertAlign w:val="superscript"/>
          <w:lang w:val="fr-FR" w:bidi="fr-FR"/>
        </w:rPr>
        <w:t>er</w:t>
      </w:r>
      <w:r w:rsidRPr="00CE6394">
        <w:rPr>
          <w:snapToGrid w:val="0"/>
          <w:kern w:val="22"/>
          <w:szCs w:val="22"/>
          <w:lang w:val="fr-FR" w:bidi="fr-FR"/>
        </w:rPr>
        <w:t xml:space="preserve"> juillet 2017, en utilisant le cadre de présentation des rapports financiers, et</w:t>
      </w:r>
      <w:r>
        <w:rPr>
          <w:snapToGrid w:val="0"/>
          <w:kern w:val="22"/>
          <w:szCs w:val="22"/>
          <w:lang w:val="fr-FR" w:bidi="fr-FR"/>
        </w:rPr>
        <w:t xml:space="preserve"> a</w:t>
      </w:r>
      <w:r w:rsidRPr="00CE6394">
        <w:rPr>
          <w:snapToGrid w:val="0"/>
          <w:kern w:val="22"/>
          <w:szCs w:val="22"/>
          <w:lang w:val="fr-FR" w:bidi="fr-FR"/>
        </w:rPr>
        <w:t xml:space="preserve"> invit</w:t>
      </w:r>
      <w:r>
        <w:rPr>
          <w:snapToGrid w:val="0"/>
          <w:kern w:val="22"/>
          <w:szCs w:val="22"/>
          <w:lang w:val="fr-FR" w:bidi="fr-FR"/>
        </w:rPr>
        <w:t>é</w:t>
      </w:r>
      <w:r w:rsidRPr="00CE6394">
        <w:rPr>
          <w:snapToGrid w:val="0"/>
          <w:kern w:val="22"/>
          <w:szCs w:val="22"/>
          <w:lang w:val="fr-FR" w:bidi="fr-FR"/>
        </w:rPr>
        <w:t xml:space="preserve"> les Parties à mettre à jour, selon qu’il convient, leur cadre de présentation des rapports financiers à mesure que des données confirmées et/ou définitives pour 2015 deviennent disponibles, en vue d’étayer les données</w:t>
      </w:r>
      <w:r>
        <w:rPr>
          <w:snapToGrid w:val="0"/>
          <w:kern w:val="22"/>
          <w:szCs w:val="22"/>
          <w:lang w:val="fr-FR" w:bidi="fr-FR"/>
        </w:rPr>
        <w:t xml:space="preserve">. </w:t>
      </w:r>
      <w:r w:rsidR="00DB2007" w:rsidRPr="00B17F01">
        <w:rPr>
          <w:snapToGrid w:val="0"/>
          <w:kern w:val="22"/>
          <w:szCs w:val="22"/>
          <w:lang w:val="fr-CA" w:bidi="fr-FR"/>
        </w:rPr>
        <w:t>L</w:t>
      </w:r>
      <w:r w:rsidR="004B2E66" w:rsidRPr="00B17F01">
        <w:rPr>
          <w:snapToGrid w:val="0"/>
          <w:kern w:val="22"/>
          <w:szCs w:val="22"/>
          <w:lang w:val="fr-CA" w:bidi="fr-FR"/>
        </w:rPr>
        <w:t>a Conférence des Parties a prié le Secrétaire exécutif de mettre à disposition le cadre de présentation des rapports financiers pour le deuxième cycle d’établissement de rapport</w:t>
      </w:r>
      <w:r w:rsidR="00DB2007" w:rsidRPr="00B17F01">
        <w:rPr>
          <w:snapToGrid w:val="0"/>
          <w:kern w:val="22"/>
          <w:szCs w:val="22"/>
          <w:lang w:val="fr-CA" w:bidi="fr-FR"/>
        </w:rPr>
        <w:t xml:space="preserve">s </w:t>
      </w:r>
      <w:r w:rsidR="004B2E66" w:rsidRPr="00B17F01">
        <w:rPr>
          <w:snapToGrid w:val="0"/>
          <w:kern w:val="22"/>
          <w:szCs w:val="22"/>
          <w:lang w:val="fr-CA" w:bidi="fr-FR"/>
        </w:rPr>
        <w:t>en ligne avant le 1</w:t>
      </w:r>
      <w:r w:rsidR="004B2E66" w:rsidRPr="00B17F01">
        <w:rPr>
          <w:snapToGrid w:val="0"/>
          <w:kern w:val="22"/>
          <w:szCs w:val="22"/>
          <w:vertAlign w:val="superscript"/>
          <w:lang w:val="fr-CA" w:bidi="fr-FR"/>
        </w:rPr>
        <w:t>er</w:t>
      </w:r>
      <w:r w:rsidR="004B2E66" w:rsidRPr="00B17F01">
        <w:rPr>
          <w:snapToGrid w:val="0"/>
          <w:kern w:val="22"/>
          <w:szCs w:val="22"/>
          <w:lang w:val="fr-CA" w:bidi="fr-FR"/>
        </w:rPr>
        <w:t xml:space="preserve"> juillet 2017, et </w:t>
      </w:r>
      <w:r w:rsidR="004B2E66" w:rsidRPr="00B17F01">
        <w:rPr>
          <w:iCs/>
          <w:snapToGrid w:val="0"/>
          <w:kern w:val="22"/>
          <w:szCs w:val="22"/>
          <w:lang w:val="fr-CA" w:bidi="fr-FR"/>
        </w:rPr>
        <w:t>invité</w:t>
      </w:r>
      <w:r w:rsidR="004B2E66" w:rsidRPr="00B17F01">
        <w:rPr>
          <w:snapToGrid w:val="0"/>
          <w:kern w:val="22"/>
          <w:szCs w:val="22"/>
          <w:lang w:val="fr-CA" w:bidi="fr-FR"/>
        </w:rPr>
        <w:t xml:space="preserve"> les Parties à faire rapport, à l’aide du cadre de présentation des rapports financiers en ligne, sur leur future contribution aux efforts collectifs déployés pour atteindre les objectifs mondiaux de mobilisation des ressources</w:t>
      </w:r>
      <w:r w:rsidR="00E06AF2" w:rsidRPr="00B17F01">
        <w:rPr>
          <w:snapToGrid w:val="0"/>
          <w:kern w:val="22"/>
          <w:szCs w:val="22"/>
          <w:lang w:val="fr-CA" w:bidi="fr-FR"/>
        </w:rPr>
        <w:t xml:space="preserve"> d’ici à 2020</w:t>
      </w:r>
      <w:r w:rsidR="004B2E66" w:rsidRPr="00B17F01">
        <w:rPr>
          <w:snapToGrid w:val="0"/>
          <w:kern w:val="22"/>
          <w:szCs w:val="22"/>
          <w:lang w:val="fr-CA" w:bidi="fr-FR"/>
        </w:rPr>
        <w:t>, au regard du niveau de référence établi, en même temps que leurs sixièmes rapports nationaux, avant le 31 décembre 2018</w:t>
      </w:r>
      <w:r w:rsidR="00DB2007" w:rsidRPr="00B17F01">
        <w:rPr>
          <w:snapToGrid w:val="0"/>
          <w:kern w:val="22"/>
          <w:szCs w:val="22"/>
          <w:lang w:val="fr-CA" w:bidi="fr-FR"/>
        </w:rPr>
        <w:t>.</w:t>
      </w:r>
      <w:r w:rsidR="00DB2007" w:rsidRPr="00B17F01">
        <w:rPr>
          <w:rStyle w:val="FootnoteReference"/>
          <w:kern w:val="22"/>
          <w:szCs w:val="22"/>
          <w:lang w:val="fr-CA"/>
        </w:rPr>
        <w:footnoteReference w:id="6"/>
      </w:r>
    </w:p>
    <w:p w:rsidR="00084813" w:rsidRPr="00B17F01" w:rsidRDefault="00DA079C" w:rsidP="005E0EEF">
      <w:pPr>
        <w:numPr>
          <w:ilvl w:val="0"/>
          <w:numId w:val="19"/>
        </w:numPr>
        <w:spacing w:after="120"/>
        <w:ind w:left="0" w:firstLine="0"/>
        <w:rPr>
          <w:kern w:val="22"/>
          <w:szCs w:val="22"/>
          <w:lang w:val="fr-CA"/>
        </w:rPr>
      </w:pPr>
      <w:r w:rsidRPr="00B17F01">
        <w:rPr>
          <w:kern w:val="22"/>
          <w:szCs w:val="22"/>
          <w:lang w:val="fr-CA"/>
        </w:rPr>
        <w:t>La Secrétaire exécutive a communiqué ce qui pr</w:t>
      </w:r>
      <w:r w:rsidR="00DB2007" w:rsidRPr="00B17F01">
        <w:rPr>
          <w:kern w:val="22"/>
          <w:szCs w:val="22"/>
          <w:lang w:val="fr-CA"/>
        </w:rPr>
        <w:t>écède aux Parties au moyen d’une</w:t>
      </w:r>
      <w:r w:rsidRPr="00B17F01">
        <w:rPr>
          <w:kern w:val="22"/>
          <w:szCs w:val="22"/>
          <w:lang w:val="fr-CA"/>
        </w:rPr>
        <w:t xml:space="preserve"> notification </w:t>
      </w:r>
      <w:r w:rsidR="00DB2007" w:rsidRPr="00B17F01">
        <w:rPr>
          <w:kern w:val="22"/>
          <w:szCs w:val="22"/>
          <w:lang w:val="fr-CA"/>
        </w:rPr>
        <w:t xml:space="preserve">datée </w:t>
      </w:r>
      <w:r w:rsidRPr="00B17F01">
        <w:rPr>
          <w:kern w:val="22"/>
          <w:szCs w:val="22"/>
          <w:lang w:val="fr-CA"/>
        </w:rPr>
        <w:t>du 8 février 2017.</w:t>
      </w:r>
      <w:r w:rsidR="00DB2007" w:rsidRPr="00B17F01">
        <w:rPr>
          <w:rStyle w:val="FootnoteReference"/>
          <w:kern w:val="22"/>
          <w:szCs w:val="22"/>
          <w:lang w:val="fr-CA"/>
        </w:rPr>
        <w:footnoteReference w:id="7"/>
      </w:r>
      <w:r w:rsidRPr="00B17F01">
        <w:rPr>
          <w:kern w:val="22"/>
          <w:szCs w:val="22"/>
          <w:lang w:val="fr-CA"/>
        </w:rPr>
        <w:t xml:space="preserve"> </w:t>
      </w:r>
      <w:r w:rsidR="009A2FC7" w:rsidRPr="00B17F01">
        <w:rPr>
          <w:kern w:val="22"/>
          <w:szCs w:val="22"/>
          <w:lang w:val="fr-CA"/>
        </w:rPr>
        <w:t>Compte tenu du nombre limité de soumissions nouvelles ou actualisées reçu au 1</w:t>
      </w:r>
      <w:r w:rsidR="009A2FC7" w:rsidRPr="00B17F01">
        <w:rPr>
          <w:kern w:val="22"/>
          <w:szCs w:val="22"/>
          <w:vertAlign w:val="superscript"/>
          <w:lang w:val="fr-CA"/>
        </w:rPr>
        <w:t>er</w:t>
      </w:r>
      <w:r w:rsidR="009A2FC7" w:rsidRPr="00B17F01">
        <w:rPr>
          <w:kern w:val="22"/>
          <w:szCs w:val="22"/>
          <w:lang w:val="fr-CA"/>
        </w:rPr>
        <w:t xml:space="preserve"> juillet 2017, et conformément aux demandes de plusieurs Parties, </w:t>
      </w:r>
      <w:r w:rsidR="00DB2007" w:rsidRPr="00B17F01">
        <w:rPr>
          <w:kern w:val="22"/>
          <w:szCs w:val="22"/>
          <w:lang w:val="fr-CA"/>
        </w:rPr>
        <w:t>la Secrétaire exécutive a communiqué une</w:t>
      </w:r>
      <w:r w:rsidR="009A2FC7" w:rsidRPr="00B17F01">
        <w:rPr>
          <w:kern w:val="22"/>
          <w:szCs w:val="22"/>
          <w:lang w:val="fr-CA"/>
        </w:rPr>
        <w:t xml:space="preserve"> notification </w:t>
      </w:r>
      <w:r w:rsidR="00DB2007" w:rsidRPr="00B17F01">
        <w:rPr>
          <w:snapToGrid w:val="0"/>
          <w:kern w:val="22"/>
          <w:szCs w:val="22"/>
          <w:lang w:val="fr-CA"/>
        </w:rPr>
        <w:t>datée du</w:t>
      </w:r>
      <w:r w:rsidR="009A2FC7" w:rsidRPr="00B17F01">
        <w:rPr>
          <w:snapToGrid w:val="0"/>
          <w:kern w:val="22"/>
          <w:szCs w:val="22"/>
          <w:lang w:val="fr-CA"/>
        </w:rPr>
        <w:t xml:space="preserve"> 7 juillet 2017</w:t>
      </w:r>
      <w:r w:rsidR="00DB2007" w:rsidRPr="00B17F01">
        <w:rPr>
          <w:rStyle w:val="FootnoteReference"/>
          <w:snapToGrid w:val="0"/>
          <w:kern w:val="22"/>
          <w:szCs w:val="22"/>
          <w:lang w:val="fr-CA"/>
        </w:rPr>
        <w:footnoteReference w:id="8"/>
      </w:r>
      <w:r w:rsidR="005E0EEF" w:rsidRPr="00B17F01">
        <w:rPr>
          <w:snapToGrid w:val="0"/>
          <w:kern w:val="22"/>
          <w:szCs w:val="22"/>
          <w:lang w:val="fr-CA"/>
        </w:rPr>
        <w:t xml:space="preserve"> informant</w:t>
      </w:r>
      <w:r w:rsidR="009A2FC7" w:rsidRPr="00B17F01">
        <w:rPr>
          <w:snapToGrid w:val="0"/>
          <w:kern w:val="22"/>
          <w:szCs w:val="22"/>
          <w:lang w:val="fr-CA"/>
        </w:rPr>
        <w:t xml:space="preserve"> que le cadre </w:t>
      </w:r>
      <w:r w:rsidR="009A2FC7" w:rsidRPr="00B17F01">
        <w:rPr>
          <w:snapToGrid w:val="0"/>
          <w:kern w:val="22"/>
          <w:szCs w:val="22"/>
          <w:lang w:val="fr-CA" w:bidi="fr-FR"/>
        </w:rPr>
        <w:t>de présentation des rapports financiers pour le premier cycle de rapports financiers resterait disponible par le biais du centre d’échange</w:t>
      </w:r>
      <w:r w:rsidR="005E0EEF" w:rsidRPr="00B17F01">
        <w:rPr>
          <w:snapToGrid w:val="0"/>
          <w:kern w:val="22"/>
          <w:szCs w:val="22"/>
          <w:lang w:val="fr-CA" w:bidi="fr-FR"/>
        </w:rPr>
        <w:t>, et prolongeant</w:t>
      </w:r>
      <w:r w:rsidR="009A2FC7" w:rsidRPr="00B17F01">
        <w:rPr>
          <w:snapToGrid w:val="0"/>
          <w:kern w:val="22"/>
          <w:szCs w:val="22"/>
          <w:lang w:val="fr-CA" w:bidi="fr-FR"/>
        </w:rPr>
        <w:t xml:space="preserve"> le délai de soumission de toute information financière nouvelle ou actualisée au 1</w:t>
      </w:r>
      <w:r w:rsidR="009A2FC7" w:rsidRPr="00B17F01">
        <w:rPr>
          <w:snapToGrid w:val="0"/>
          <w:kern w:val="22"/>
          <w:szCs w:val="22"/>
          <w:vertAlign w:val="superscript"/>
          <w:lang w:val="fr-CA" w:bidi="fr-FR"/>
        </w:rPr>
        <w:t>er</w:t>
      </w:r>
      <w:r w:rsidR="009A2FC7" w:rsidRPr="00B17F01">
        <w:rPr>
          <w:snapToGrid w:val="0"/>
          <w:kern w:val="22"/>
          <w:szCs w:val="22"/>
          <w:lang w:val="fr-CA" w:bidi="fr-FR"/>
        </w:rPr>
        <w:t> mars 2018, à temps pour son</w:t>
      </w:r>
      <w:r w:rsidR="005E0EEF" w:rsidRPr="00B17F01">
        <w:rPr>
          <w:snapToGrid w:val="0"/>
          <w:kern w:val="22"/>
          <w:szCs w:val="22"/>
          <w:lang w:val="fr-CA" w:bidi="fr-FR"/>
        </w:rPr>
        <w:t xml:space="preserve"> inclusion dans le présent document</w:t>
      </w:r>
      <w:r w:rsidR="009A2FC7" w:rsidRPr="00B17F01">
        <w:rPr>
          <w:snapToGrid w:val="0"/>
          <w:kern w:val="22"/>
          <w:szCs w:val="22"/>
          <w:lang w:val="fr-CA" w:bidi="fr-FR"/>
        </w:rPr>
        <w:t xml:space="preserve">. Une notification de rappel </w:t>
      </w:r>
      <w:r w:rsidR="009A2FC7" w:rsidRPr="00B17F01">
        <w:rPr>
          <w:kern w:val="22"/>
          <w:szCs w:val="22"/>
          <w:lang w:val="fr-CA"/>
        </w:rPr>
        <w:t>a été envoyée le 1</w:t>
      </w:r>
      <w:r w:rsidR="009A2FC7" w:rsidRPr="00B17F01">
        <w:rPr>
          <w:kern w:val="22"/>
          <w:szCs w:val="22"/>
          <w:vertAlign w:val="superscript"/>
          <w:lang w:val="fr-CA"/>
        </w:rPr>
        <w:t>er</w:t>
      </w:r>
      <w:r w:rsidR="009A2FC7" w:rsidRPr="00B17F01">
        <w:rPr>
          <w:kern w:val="22"/>
          <w:szCs w:val="22"/>
          <w:lang w:val="fr-CA"/>
        </w:rPr>
        <w:t> février 2018.</w:t>
      </w:r>
      <w:r w:rsidR="005E0EEF" w:rsidRPr="00B17F01">
        <w:rPr>
          <w:rStyle w:val="FootnoteReference"/>
          <w:kern w:val="22"/>
          <w:szCs w:val="22"/>
          <w:lang w:val="fr-CA"/>
        </w:rPr>
        <w:t xml:space="preserve"> </w:t>
      </w:r>
      <w:r w:rsidR="005E0EEF" w:rsidRPr="00B17F01">
        <w:rPr>
          <w:rStyle w:val="FootnoteReference"/>
          <w:kern w:val="22"/>
          <w:szCs w:val="22"/>
          <w:lang w:val="fr-CA"/>
        </w:rPr>
        <w:footnoteReference w:id="9"/>
      </w:r>
    </w:p>
    <w:p w:rsidR="00084813" w:rsidRPr="00B17F01" w:rsidRDefault="00501BA9" w:rsidP="00FB1485">
      <w:pPr>
        <w:numPr>
          <w:ilvl w:val="0"/>
          <w:numId w:val="19"/>
        </w:numPr>
        <w:spacing w:after="120"/>
        <w:ind w:left="0" w:firstLine="0"/>
        <w:rPr>
          <w:kern w:val="22"/>
          <w:szCs w:val="22"/>
          <w:lang w:val="fr-CA"/>
        </w:rPr>
      </w:pPr>
      <w:r w:rsidRPr="00B17F01">
        <w:rPr>
          <w:kern w:val="22"/>
          <w:szCs w:val="22"/>
          <w:lang w:val="fr-CA"/>
        </w:rPr>
        <w:t>Entre la date limite p</w:t>
      </w:r>
      <w:r w:rsidR="00B525D8" w:rsidRPr="00B17F01">
        <w:rPr>
          <w:kern w:val="22"/>
          <w:szCs w:val="22"/>
          <w:lang w:val="fr-CA"/>
        </w:rPr>
        <w:t>our la plus récente analyse (</w:t>
      </w:r>
      <w:r w:rsidRPr="00B17F01">
        <w:rPr>
          <w:kern w:val="22"/>
          <w:szCs w:val="22"/>
          <w:lang w:val="fr-CA"/>
        </w:rPr>
        <w:t>15 novembre 2016) et le 1</w:t>
      </w:r>
      <w:r w:rsidRPr="00B17F01">
        <w:rPr>
          <w:kern w:val="22"/>
          <w:szCs w:val="22"/>
          <w:vertAlign w:val="superscript"/>
          <w:lang w:val="fr-CA"/>
        </w:rPr>
        <w:t>er</w:t>
      </w:r>
      <w:r w:rsidRPr="00B17F01">
        <w:rPr>
          <w:kern w:val="22"/>
          <w:szCs w:val="22"/>
          <w:lang w:val="fr-CA"/>
        </w:rPr>
        <w:t> mars 2018, trois nouvelles soumissions</w:t>
      </w:r>
      <w:r w:rsidR="005E0EEF" w:rsidRPr="00B17F01">
        <w:rPr>
          <w:kern w:val="22"/>
          <w:szCs w:val="22"/>
          <w:lang w:val="fr-CA"/>
        </w:rPr>
        <w:t xml:space="preserve"> (Koweït, Malte et Mauritanie) </w:t>
      </w:r>
      <w:r w:rsidRPr="00B17F01">
        <w:rPr>
          <w:kern w:val="22"/>
          <w:szCs w:val="22"/>
          <w:lang w:val="fr-CA"/>
        </w:rPr>
        <w:t>ont été reçues faisant rapport sur les informations de référence et les progrès accomplis jusqu’en 2015</w:t>
      </w:r>
      <w:r w:rsidR="005E0EEF" w:rsidRPr="00B17F01">
        <w:rPr>
          <w:kern w:val="22"/>
          <w:szCs w:val="22"/>
          <w:lang w:val="fr-CA"/>
        </w:rPr>
        <w:t>,</w:t>
      </w:r>
      <w:r w:rsidRPr="00B17F01">
        <w:rPr>
          <w:kern w:val="22"/>
          <w:szCs w:val="22"/>
          <w:lang w:val="fr-CA"/>
        </w:rPr>
        <w:t xml:space="preserve"> tandis que des données actualisées concernant les informations de référence et les progrès accomplis jusqu’en 2015 ont été reçues de 12 Parties (</w:t>
      </w:r>
      <w:r w:rsidR="00011A48" w:rsidRPr="00B17F01">
        <w:rPr>
          <w:kern w:val="22"/>
          <w:szCs w:val="22"/>
          <w:lang w:val="fr-CA"/>
        </w:rPr>
        <w:t>Allemagne, Autriche, Danemark, Espagne, Esto</w:t>
      </w:r>
      <w:r w:rsidR="005E0EEF" w:rsidRPr="00B17F01">
        <w:rPr>
          <w:kern w:val="22"/>
          <w:szCs w:val="22"/>
          <w:lang w:val="fr-CA"/>
        </w:rPr>
        <w:t xml:space="preserve">nie, Japon, Luxemburg, Pologne, Slovénie, </w:t>
      </w:r>
      <w:r w:rsidR="00011A48" w:rsidRPr="00B17F01">
        <w:rPr>
          <w:kern w:val="22"/>
          <w:szCs w:val="22"/>
          <w:lang w:val="fr-CA"/>
        </w:rPr>
        <w:t>Suède,</w:t>
      </w:r>
      <w:r w:rsidR="005E0EEF" w:rsidRPr="00B17F01">
        <w:rPr>
          <w:kern w:val="22"/>
          <w:szCs w:val="22"/>
          <w:lang w:val="fr-CA"/>
        </w:rPr>
        <w:t xml:space="preserve"> et Tchéquie</w:t>
      </w:r>
      <w:r w:rsidR="00011A48" w:rsidRPr="00B17F01">
        <w:rPr>
          <w:kern w:val="22"/>
          <w:szCs w:val="22"/>
          <w:lang w:val="fr-CA"/>
        </w:rPr>
        <w:t xml:space="preserve"> ainsi que Union européenne).</w:t>
      </w:r>
      <w:r w:rsidR="00011A48" w:rsidRPr="00B17F01">
        <w:rPr>
          <w:rStyle w:val="FootnoteReference"/>
          <w:kern w:val="22"/>
          <w:szCs w:val="22"/>
          <w:lang w:val="fr-CA"/>
        </w:rPr>
        <w:footnoteReference w:id="10"/>
      </w:r>
      <w:r w:rsidR="008865E9" w:rsidRPr="00B17F01">
        <w:rPr>
          <w:kern w:val="22"/>
          <w:szCs w:val="22"/>
          <w:lang w:val="fr-CA"/>
        </w:rPr>
        <w:t xml:space="preserve"> </w:t>
      </w:r>
      <w:r w:rsidR="00B525D8" w:rsidRPr="00B17F01">
        <w:rPr>
          <w:kern w:val="22"/>
          <w:szCs w:val="22"/>
          <w:lang w:val="fr-CA"/>
        </w:rPr>
        <w:t>Cela porte à 76 le nombre de Parties ayant soumis des informations au moyen du cadre de présentation des rapports financiers. La liste consolidée des Parties ayant soumis des informations par le biais du cadre de présentation des rapports financiers au 1</w:t>
      </w:r>
      <w:r w:rsidR="00B525D8" w:rsidRPr="00B17F01">
        <w:rPr>
          <w:kern w:val="22"/>
          <w:szCs w:val="22"/>
          <w:vertAlign w:val="superscript"/>
          <w:lang w:val="fr-CA"/>
        </w:rPr>
        <w:t>er</w:t>
      </w:r>
      <w:r w:rsidR="00B525D8" w:rsidRPr="00B17F01">
        <w:rPr>
          <w:kern w:val="22"/>
          <w:szCs w:val="22"/>
          <w:lang w:val="fr-CA"/>
        </w:rPr>
        <w:t> mars </w:t>
      </w:r>
      <w:r w:rsidR="00B525D8" w:rsidRPr="00B17F01">
        <w:rPr>
          <w:noProof/>
          <w:kern w:val="22"/>
          <w:szCs w:val="22"/>
          <w:lang w:val="fr-CA"/>
        </w:rPr>
        <w:t>2018 figure</w:t>
      </w:r>
      <w:r w:rsidR="00B525D8" w:rsidRPr="00B17F01">
        <w:rPr>
          <w:kern w:val="22"/>
          <w:szCs w:val="22"/>
          <w:lang w:val="fr-CA"/>
        </w:rPr>
        <w:t xml:space="preserve"> à l’annexe II de l’additif. Le nombre encore limité de rapports</w:t>
      </w:r>
      <w:r w:rsidR="008B05DB" w:rsidRPr="00B17F01">
        <w:rPr>
          <w:kern w:val="22"/>
          <w:szCs w:val="22"/>
          <w:lang w:val="fr-CA"/>
        </w:rPr>
        <w:t xml:space="preserve"> soumis et </w:t>
      </w:r>
      <w:r w:rsidR="007B4516" w:rsidRPr="00B17F01">
        <w:rPr>
          <w:kern w:val="22"/>
          <w:szCs w:val="22"/>
          <w:lang w:val="fr-CA"/>
        </w:rPr>
        <w:t>les progrès</w:t>
      </w:r>
      <w:r w:rsidR="008B05DB" w:rsidRPr="00B17F01">
        <w:rPr>
          <w:kern w:val="22"/>
          <w:szCs w:val="22"/>
          <w:lang w:val="fr-CA"/>
        </w:rPr>
        <w:t xml:space="preserve"> limité</w:t>
      </w:r>
      <w:r w:rsidR="007B4516" w:rsidRPr="00B17F01">
        <w:rPr>
          <w:kern w:val="22"/>
          <w:szCs w:val="22"/>
          <w:lang w:val="fr-CA"/>
        </w:rPr>
        <w:t>s</w:t>
      </w:r>
      <w:r w:rsidR="008B05DB" w:rsidRPr="00B17F01">
        <w:rPr>
          <w:kern w:val="22"/>
          <w:szCs w:val="22"/>
          <w:lang w:val="fr-CA"/>
        </w:rPr>
        <w:t xml:space="preserve"> </w:t>
      </w:r>
      <w:r w:rsidR="007B4516" w:rsidRPr="00B17F01">
        <w:rPr>
          <w:kern w:val="22"/>
          <w:szCs w:val="22"/>
          <w:lang w:val="fr-CA"/>
        </w:rPr>
        <w:t>dans l’établissement de rapports</w:t>
      </w:r>
      <w:r w:rsidR="008B05DB" w:rsidRPr="00B17F01">
        <w:rPr>
          <w:kern w:val="22"/>
          <w:szCs w:val="22"/>
          <w:lang w:val="fr-CA"/>
        </w:rPr>
        <w:t xml:space="preserve"> depuis 2015 doivent être p</w:t>
      </w:r>
      <w:r w:rsidR="005E0EEF" w:rsidRPr="00B17F01">
        <w:rPr>
          <w:kern w:val="22"/>
          <w:szCs w:val="22"/>
          <w:lang w:val="fr-CA"/>
        </w:rPr>
        <w:t>ris en compte</w:t>
      </w:r>
      <w:r w:rsidR="008B05DB" w:rsidRPr="00B17F01">
        <w:rPr>
          <w:kern w:val="22"/>
          <w:szCs w:val="22"/>
          <w:lang w:val="fr-CA"/>
        </w:rPr>
        <w:t xml:space="preserve"> dans l’évaluation de certaines informations quantitatives et semi-quantitatives figurant dans la présente section.</w:t>
      </w:r>
    </w:p>
    <w:p w:rsidR="00084813" w:rsidRPr="00B17F01" w:rsidRDefault="0061519D" w:rsidP="00FB1485">
      <w:pPr>
        <w:numPr>
          <w:ilvl w:val="0"/>
          <w:numId w:val="19"/>
        </w:numPr>
        <w:spacing w:after="120"/>
        <w:ind w:left="0" w:firstLine="0"/>
        <w:rPr>
          <w:kern w:val="22"/>
          <w:szCs w:val="22"/>
          <w:lang w:val="fr-CA"/>
        </w:rPr>
      </w:pPr>
      <w:r w:rsidRPr="00B17F01">
        <w:rPr>
          <w:i/>
          <w:iCs/>
          <w:kern w:val="22"/>
          <w:szCs w:val="22"/>
          <w:lang w:val="fr-CA"/>
        </w:rPr>
        <w:lastRenderedPageBreak/>
        <w:t xml:space="preserve">Objectif 1 a) </w:t>
      </w:r>
      <w:r w:rsidR="00904CD8" w:rsidRPr="00B17F01">
        <w:rPr>
          <w:i/>
          <w:iCs/>
          <w:kern w:val="22"/>
          <w:szCs w:val="22"/>
          <w:lang w:val="fr-CA"/>
        </w:rPr>
        <w:t>(</w:t>
      </w:r>
      <w:r w:rsidRPr="00B17F01">
        <w:rPr>
          <w:bCs/>
          <w:i/>
          <w:iCs/>
          <w:kern w:val="20"/>
          <w:lang w:val="fr-CA"/>
        </w:rPr>
        <w:t>Doubler le total des flux internationaux de ressources financières d’ici à 2015 et maintenir ce niveau jusqu’en 2020) </w:t>
      </w:r>
      <w:r w:rsidRPr="00B17F01">
        <w:rPr>
          <w:kern w:val="22"/>
          <w:szCs w:val="22"/>
          <w:lang w:val="fr-CA"/>
        </w:rPr>
        <w:t xml:space="preserve">: </w:t>
      </w:r>
      <w:r w:rsidR="00966195" w:rsidRPr="00B17F01">
        <w:rPr>
          <w:kern w:val="22"/>
          <w:szCs w:val="22"/>
          <w:lang w:val="fr-CA"/>
        </w:rPr>
        <w:t>Au total, 30 Parties (23 des 30 </w:t>
      </w:r>
      <w:r w:rsidR="00966195" w:rsidRPr="00B17F01">
        <w:rPr>
          <w:bCs/>
          <w:iCs/>
          <w:lang w:val="fr-CA"/>
        </w:rPr>
        <w:t>membres du CAD de l’OCDE et 7 non</w:t>
      </w:r>
      <w:r w:rsidR="00966195" w:rsidRPr="00B17F01">
        <w:rPr>
          <w:bCs/>
          <w:iCs/>
          <w:lang w:val="fr-CA"/>
        </w:rPr>
        <w:noBreakHyphen/>
        <w:t xml:space="preserve">membres du CAD) ont fourni des informations pertinentes. </w:t>
      </w:r>
      <w:r w:rsidR="00FB1485" w:rsidRPr="00B17F01">
        <w:rPr>
          <w:bCs/>
          <w:iCs/>
          <w:lang w:val="fr-CA"/>
        </w:rPr>
        <w:t>Au total, 26 </w:t>
      </w:r>
      <w:r w:rsidR="00966195" w:rsidRPr="00B17F01">
        <w:rPr>
          <w:bCs/>
          <w:iCs/>
          <w:lang w:val="fr-CA"/>
        </w:rPr>
        <w:t>Parties (</w:t>
      </w:r>
      <w:r w:rsidR="00966195" w:rsidRPr="00B17F01">
        <w:rPr>
          <w:kern w:val="22"/>
          <w:szCs w:val="22"/>
          <w:lang w:val="fr-CA"/>
        </w:rPr>
        <w:t>22 </w:t>
      </w:r>
      <w:r w:rsidR="00966195" w:rsidRPr="00B17F01">
        <w:rPr>
          <w:bCs/>
          <w:iCs/>
          <w:lang w:val="fr-CA"/>
        </w:rPr>
        <w:t>membres du CAD et 4 non</w:t>
      </w:r>
      <w:r w:rsidR="00966195" w:rsidRPr="00B17F01">
        <w:rPr>
          <w:bCs/>
          <w:iCs/>
          <w:lang w:val="fr-CA"/>
        </w:rPr>
        <w:noBreakHyphen/>
        <w:t xml:space="preserve">membres du CAD) ont communiqué des informations de référence, et 23 Parties </w:t>
      </w:r>
      <w:r w:rsidR="00966195" w:rsidRPr="00B17F01">
        <w:rPr>
          <w:kern w:val="22"/>
          <w:szCs w:val="22"/>
          <w:lang w:val="fr-CA"/>
        </w:rPr>
        <w:t>(16 </w:t>
      </w:r>
      <w:r w:rsidR="00966195" w:rsidRPr="00B17F01">
        <w:rPr>
          <w:bCs/>
          <w:iCs/>
          <w:lang w:val="fr-CA"/>
        </w:rPr>
        <w:t>membres du CAD et 7 non</w:t>
      </w:r>
      <w:r w:rsidR="00966195" w:rsidRPr="00B17F01">
        <w:rPr>
          <w:bCs/>
          <w:iCs/>
          <w:lang w:val="fr-CA"/>
        </w:rPr>
        <w:noBreakHyphen/>
        <w:t>membres du CAD) ont communiqué des données de 2015, ce qui représente collectivement 85 pour cent du total des informations de référence présentées. Ces 23 Parties ont collectivement réalisé une augmentation de 92 pour cent par rapport à leurs données de référence, en excluant les impacts liés à la conversion des devises causés par la récente</w:t>
      </w:r>
      <w:r w:rsidR="00904CD8" w:rsidRPr="00B17F01">
        <w:rPr>
          <w:bCs/>
          <w:iCs/>
          <w:lang w:val="fr-CA"/>
        </w:rPr>
        <w:t xml:space="preserve"> appréciation du dollar des États</w:t>
      </w:r>
      <w:r w:rsidR="00904CD8" w:rsidRPr="00B17F01">
        <w:rPr>
          <w:bCs/>
          <w:iCs/>
          <w:lang w:val="fr-CA"/>
        </w:rPr>
        <w:noBreakHyphen/>
        <w:t>Unis</w:t>
      </w:r>
      <w:r w:rsidR="00966195" w:rsidRPr="00B17F01">
        <w:rPr>
          <w:bCs/>
          <w:iCs/>
          <w:lang w:val="fr-CA"/>
        </w:rPr>
        <w:t>.</w:t>
      </w:r>
      <w:r w:rsidR="00904CD8" w:rsidRPr="00B17F01">
        <w:rPr>
          <w:bCs/>
          <w:iCs/>
          <w:lang w:val="fr-CA"/>
        </w:rPr>
        <w:t xml:space="preserve"> Les progrès mesurés par rapport au total des données de référence communiquées indiquent une augmentation de 62 pour cent. Avec la moyenne du taux de change pour 2015, ce</w:t>
      </w:r>
      <w:r w:rsidR="00561A41" w:rsidRPr="00B17F01">
        <w:rPr>
          <w:bCs/>
          <w:iCs/>
          <w:lang w:val="fr-CA"/>
        </w:rPr>
        <w:t>s</w:t>
      </w:r>
      <w:r w:rsidR="00904CD8" w:rsidRPr="00B17F01">
        <w:rPr>
          <w:bCs/>
          <w:iCs/>
          <w:lang w:val="fr-CA"/>
        </w:rPr>
        <w:t xml:space="preserve"> progrès </w:t>
      </w:r>
      <w:r w:rsidR="00561A41" w:rsidRPr="00B17F01">
        <w:rPr>
          <w:bCs/>
          <w:iCs/>
          <w:lang w:val="fr-CA"/>
        </w:rPr>
        <w:t>s’établissent à</w:t>
      </w:r>
      <w:r w:rsidR="00904CD8" w:rsidRPr="00B17F01">
        <w:rPr>
          <w:bCs/>
          <w:iCs/>
          <w:lang w:val="fr-CA"/>
        </w:rPr>
        <w:t xml:space="preserve"> 70 pour cent et 44 pour cent respectivement.</w:t>
      </w:r>
    </w:p>
    <w:p w:rsidR="00084813" w:rsidRPr="00B17F01" w:rsidRDefault="005462D5" w:rsidP="00FB1485">
      <w:pPr>
        <w:numPr>
          <w:ilvl w:val="0"/>
          <w:numId w:val="19"/>
        </w:numPr>
        <w:spacing w:after="120"/>
        <w:ind w:left="0" w:firstLine="0"/>
        <w:rPr>
          <w:kern w:val="22"/>
          <w:szCs w:val="22"/>
          <w:lang w:val="fr-CA"/>
        </w:rPr>
      </w:pPr>
      <w:r w:rsidRPr="00B17F01">
        <w:rPr>
          <w:i/>
          <w:iCs/>
          <w:kern w:val="22"/>
          <w:szCs w:val="22"/>
          <w:lang w:val="fr-CA"/>
        </w:rPr>
        <w:t>Objectif 1 b) (</w:t>
      </w:r>
      <w:r w:rsidR="0011521C" w:rsidRPr="00B17F01">
        <w:rPr>
          <w:i/>
          <w:iCs/>
          <w:kern w:val="22"/>
          <w:szCs w:val="22"/>
          <w:lang w:val="fr-CA"/>
        </w:rPr>
        <w:t>inclure</w:t>
      </w:r>
      <w:r w:rsidRPr="00B17F01">
        <w:rPr>
          <w:i/>
          <w:iCs/>
          <w:kern w:val="22"/>
          <w:szCs w:val="22"/>
          <w:lang w:val="fr-CA"/>
        </w:rPr>
        <w:t xml:space="preserve"> la diversité biologique</w:t>
      </w:r>
      <w:r w:rsidR="00FB1485" w:rsidRPr="00B17F01">
        <w:rPr>
          <w:i/>
          <w:iCs/>
          <w:kern w:val="22"/>
          <w:szCs w:val="22"/>
          <w:lang w:val="fr-CA"/>
        </w:rPr>
        <w:t xml:space="preserve"> aux priorités nationales ou dans les plans nationaux de développement</w:t>
      </w:r>
      <w:r w:rsidRPr="00B17F01">
        <w:rPr>
          <w:i/>
          <w:iCs/>
          <w:kern w:val="22"/>
          <w:szCs w:val="22"/>
          <w:lang w:val="fr-CA"/>
        </w:rPr>
        <w:t xml:space="preserve"> d’ici à 2015) </w:t>
      </w:r>
      <w:r w:rsidRPr="00B17F01">
        <w:rPr>
          <w:kern w:val="22"/>
          <w:szCs w:val="22"/>
          <w:lang w:val="fr-CA"/>
        </w:rPr>
        <w:t xml:space="preserve">: </w:t>
      </w:r>
      <w:r w:rsidR="00C377CD" w:rsidRPr="00B17F01">
        <w:rPr>
          <w:kern w:val="22"/>
          <w:szCs w:val="22"/>
          <w:lang w:val="fr-CA"/>
        </w:rPr>
        <w:t>Compte tenu du nombre limité de rapports reçus, les Parties semblent dans l’ensemble être sur la bonne voie en ce qui concerne la réalisation de cet objectif, car toutes ont rapporté au moins quelq</w:t>
      </w:r>
      <w:r w:rsidR="00FB1485" w:rsidRPr="00B17F01">
        <w:rPr>
          <w:kern w:val="22"/>
          <w:szCs w:val="22"/>
          <w:lang w:val="fr-CA"/>
        </w:rPr>
        <w:t>ue progrès</w:t>
      </w:r>
      <w:r w:rsidR="00C377CD" w:rsidRPr="00B17F01">
        <w:rPr>
          <w:kern w:val="22"/>
          <w:szCs w:val="22"/>
          <w:lang w:val="fr-CA"/>
        </w:rPr>
        <w:t>.</w:t>
      </w:r>
    </w:p>
    <w:p w:rsidR="00084813" w:rsidRPr="00B17F01" w:rsidRDefault="00C377CD" w:rsidP="00FB1485">
      <w:pPr>
        <w:numPr>
          <w:ilvl w:val="0"/>
          <w:numId w:val="19"/>
        </w:numPr>
        <w:spacing w:before="240" w:after="120"/>
        <w:ind w:left="0" w:firstLine="0"/>
        <w:rPr>
          <w:kern w:val="22"/>
          <w:szCs w:val="22"/>
          <w:lang w:val="fr-CA"/>
        </w:rPr>
      </w:pPr>
      <w:r w:rsidRPr="00B17F01">
        <w:rPr>
          <w:i/>
          <w:iCs/>
          <w:kern w:val="22"/>
          <w:szCs w:val="22"/>
          <w:lang w:val="fr-CA"/>
        </w:rPr>
        <w:t>Objectif 1 c) (</w:t>
      </w:r>
      <w:r w:rsidRPr="00B17F01">
        <w:rPr>
          <w:bCs/>
          <w:i/>
          <w:iCs/>
          <w:kern w:val="20"/>
          <w:lang w:val="fr-CA"/>
        </w:rPr>
        <w:t>faire rapport sur les dépenses relatives à la diversité biologique, ainsi que sur les besoins de financement, les insuffisances et les priorités, d’ici à 2015</w:t>
      </w:r>
      <w:r w:rsidRPr="00B17F01">
        <w:rPr>
          <w:i/>
          <w:iCs/>
          <w:kern w:val="22"/>
          <w:szCs w:val="22"/>
          <w:lang w:val="fr-CA"/>
        </w:rPr>
        <w:t>) :</w:t>
      </w:r>
      <w:r w:rsidRPr="00B17F01">
        <w:rPr>
          <w:kern w:val="22"/>
          <w:szCs w:val="22"/>
          <w:lang w:val="fr-CA"/>
        </w:rPr>
        <w:t xml:space="preserve"> </w:t>
      </w:r>
      <w:r w:rsidR="00BF3276" w:rsidRPr="00B17F01">
        <w:rPr>
          <w:kern w:val="22"/>
          <w:szCs w:val="22"/>
          <w:lang w:val="fr-CA"/>
        </w:rPr>
        <w:t xml:space="preserve">Selon une interprétation stricte de l’objectif, ce dernier n’a pas été réalisé d’ici à 2015, car moins de 75 pour cent des Parties </w:t>
      </w:r>
      <w:r w:rsidR="00BF3276" w:rsidRPr="00B17F01">
        <w:rPr>
          <w:bCs/>
          <w:kern w:val="20"/>
          <w:lang w:val="fr-CA"/>
        </w:rPr>
        <w:t>ont fait rapport sur leurs dépenses relatives à la diversité biologique, ainsi que sur leurs besoins de financement, leurs insuffisances et leurs priorités. Cependant, parmi les pays ayant fait rapport, les progrès en matière de</w:t>
      </w:r>
      <w:r w:rsidRPr="00B17F01">
        <w:rPr>
          <w:i/>
          <w:iCs/>
          <w:kern w:val="22"/>
          <w:szCs w:val="22"/>
          <w:lang w:val="fr-CA"/>
        </w:rPr>
        <w:t xml:space="preserve"> </w:t>
      </w:r>
      <w:r w:rsidR="00FB1485" w:rsidRPr="00B17F01">
        <w:rPr>
          <w:kern w:val="22"/>
          <w:szCs w:val="22"/>
          <w:lang w:val="fr-CA"/>
        </w:rPr>
        <w:t xml:space="preserve">présentation de </w:t>
      </w:r>
      <w:r w:rsidR="00BF3276" w:rsidRPr="00B17F01">
        <w:rPr>
          <w:bCs/>
          <w:kern w:val="20"/>
          <w:lang w:val="fr-CA"/>
        </w:rPr>
        <w:t>rapport</w:t>
      </w:r>
      <w:r w:rsidR="00FB1485" w:rsidRPr="00B17F01">
        <w:rPr>
          <w:bCs/>
          <w:kern w:val="20"/>
          <w:lang w:val="fr-CA"/>
        </w:rPr>
        <w:t>s</w:t>
      </w:r>
      <w:r w:rsidR="00BF3276" w:rsidRPr="00B17F01">
        <w:rPr>
          <w:bCs/>
          <w:kern w:val="20"/>
          <w:lang w:val="fr-CA"/>
        </w:rPr>
        <w:t xml:space="preserve"> sur les dépenses relatives à la diversité biologique sont encourageants. Les rapports sur les </w:t>
      </w:r>
      <w:r w:rsidR="00FB1485" w:rsidRPr="00B17F01">
        <w:rPr>
          <w:snapToGrid w:val="0"/>
          <w:kern w:val="22"/>
          <w:sz w:val="24"/>
          <w:lang w:val="fr-CA" w:bidi="fr-FR"/>
        </w:rPr>
        <w:t xml:space="preserve">besoins, lacunes et priorités en matière de financement </w:t>
      </w:r>
      <w:r w:rsidR="00BF3276" w:rsidRPr="00B17F01">
        <w:rPr>
          <w:bCs/>
          <w:kern w:val="20"/>
          <w:lang w:val="fr-CA"/>
        </w:rPr>
        <w:t>semblent être plus difficiles.</w:t>
      </w:r>
    </w:p>
    <w:p w:rsidR="00084813" w:rsidRPr="00B17F01" w:rsidRDefault="006A13FF" w:rsidP="00432075">
      <w:pPr>
        <w:numPr>
          <w:ilvl w:val="0"/>
          <w:numId w:val="19"/>
        </w:numPr>
        <w:spacing w:after="120"/>
        <w:ind w:left="0" w:firstLine="0"/>
        <w:rPr>
          <w:kern w:val="22"/>
          <w:szCs w:val="22"/>
          <w:lang w:val="fr-CA"/>
        </w:rPr>
      </w:pPr>
      <w:r w:rsidRPr="00B17F01">
        <w:rPr>
          <w:i/>
          <w:iCs/>
          <w:kern w:val="22"/>
          <w:szCs w:val="22"/>
          <w:lang w:val="fr-CA"/>
        </w:rPr>
        <w:t>Objectif 1 d) (</w:t>
      </w:r>
      <w:r w:rsidRPr="00B17F01">
        <w:rPr>
          <w:bCs/>
          <w:i/>
          <w:iCs/>
          <w:kern w:val="20"/>
          <w:lang w:val="fr-CA"/>
        </w:rPr>
        <w:t>élabor</w:t>
      </w:r>
      <w:r w:rsidR="0011521C" w:rsidRPr="00B17F01">
        <w:rPr>
          <w:bCs/>
          <w:i/>
          <w:iCs/>
          <w:kern w:val="20"/>
          <w:lang w:val="fr-CA"/>
        </w:rPr>
        <w:t>er</w:t>
      </w:r>
      <w:r w:rsidRPr="00B17F01">
        <w:rPr>
          <w:bCs/>
          <w:i/>
          <w:iCs/>
          <w:kern w:val="20"/>
          <w:lang w:val="fr-CA"/>
        </w:rPr>
        <w:t xml:space="preserve"> </w:t>
      </w:r>
      <w:r w:rsidR="00A44C9D" w:rsidRPr="00B17F01">
        <w:rPr>
          <w:bCs/>
          <w:i/>
          <w:iCs/>
          <w:kern w:val="20"/>
          <w:lang w:val="fr-CA"/>
        </w:rPr>
        <w:t>de</w:t>
      </w:r>
      <w:r w:rsidR="0011521C" w:rsidRPr="00B17F01">
        <w:rPr>
          <w:bCs/>
          <w:i/>
          <w:iCs/>
          <w:kern w:val="20"/>
          <w:lang w:val="fr-CA"/>
        </w:rPr>
        <w:t>s</w:t>
      </w:r>
      <w:r w:rsidRPr="00B17F01">
        <w:rPr>
          <w:bCs/>
          <w:i/>
          <w:iCs/>
          <w:kern w:val="20"/>
          <w:lang w:val="fr-CA"/>
        </w:rPr>
        <w:t xml:space="preserve"> plans financiers nationau</w:t>
      </w:r>
      <w:r w:rsidR="00A44C9D" w:rsidRPr="00B17F01">
        <w:rPr>
          <w:bCs/>
          <w:i/>
          <w:iCs/>
          <w:kern w:val="20"/>
          <w:lang w:val="fr-CA"/>
        </w:rPr>
        <w:t>x</w:t>
      </w:r>
      <w:r w:rsidRPr="00B17F01">
        <w:rPr>
          <w:bCs/>
          <w:i/>
          <w:iCs/>
          <w:kern w:val="20"/>
          <w:lang w:val="fr-CA"/>
        </w:rPr>
        <w:t xml:space="preserve"> d’ici à 2015</w:t>
      </w:r>
      <w:r w:rsidR="0011521C" w:rsidRPr="00B17F01">
        <w:rPr>
          <w:bCs/>
          <w:i/>
          <w:iCs/>
          <w:kern w:val="20"/>
          <w:lang w:val="fr-CA"/>
        </w:rPr>
        <w:t>, et évaluer l</w:t>
      </w:r>
      <w:r w:rsidRPr="00B17F01">
        <w:rPr>
          <w:bCs/>
          <w:i/>
          <w:iCs/>
          <w:kern w:val="20"/>
          <w:lang w:val="fr-CA"/>
        </w:rPr>
        <w:t>es valeurs)</w:t>
      </w:r>
      <w:r w:rsidRPr="00B17F01">
        <w:rPr>
          <w:bCs/>
          <w:kern w:val="20"/>
          <w:lang w:val="fr-CA"/>
        </w:rPr>
        <w:t> :</w:t>
      </w:r>
      <w:r w:rsidRPr="00B17F01">
        <w:rPr>
          <w:i/>
          <w:iCs/>
          <w:kern w:val="22"/>
          <w:szCs w:val="22"/>
          <w:lang w:val="fr-CA"/>
        </w:rPr>
        <w:t xml:space="preserve"> </w:t>
      </w:r>
      <w:r w:rsidR="00A44C9D" w:rsidRPr="00B17F01">
        <w:rPr>
          <w:kern w:val="22"/>
          <w:szCs w:val="22"/>
          <w:lang w:val="fr-CA"/>
        </w:rPr>
        <w:t>Les progrès sont apparemment satisfaisants en ce qui concerne l’évaluation des valeurs, mais les Parties semblent faire face à des difficultés persistantes dans l’élaboration et l</w:t>
      </w:r>
      <w:r w:rsidR="0011521C" w:rsidRPr="00B17F01">
        <w:rPr>
          <w:kern w:val="22"/>
          <w:szCs w:val="22"/>
          <w:lang w:val="fr-CA"/>
        </w:rPr>
        <w:t>’établissement des</w:t>
      </w:r>
      <w:r w:rsidR="00A44C9D" w:rsidRPr="00B17F01">
        <w:rPr>
          <w:kern w:val="22"/>
          <w:szCs w:val="22"/>
          <w:lang w:val="fr-CA"/>
        </w:rPr>
        <w:t xml:space="preserve"> rapport</w:t>
      </w:r>
      <w:r w:rsidR="0011521C" w:rsidRPr="00B17F01">
        <w:rPr>
          <w:kern w:val="22"/>
          <w:szCs w:val="22"/>
          <w:lang w:val="fr-CA"/>
        </w:rPr>
        <w:t>s</w:t>
      </w:r>
      <w:r w:rsidR="00A44C9D" w:rsidRPr="00B17F01">
        <w:rPr>
          <w:kern w:val="22"/>
          <w:szCs w:val="22"/>
          <w:lang w:val="fr-CA"/>
        </w:rPr>
        <w:t xml:space="preserve"> de leurs plans financiers nationaux.</w:t>
      </w:r>
    </w:p>
    <w:p w:rsidR="00084813" w:rsidRPr="00B17F01" w:rsidRDefault="0011521C" w:rsidP="00432075">
      <w:pPr>
        <w:numPr>
          <w:ilvl w:val="0"/>
          <w:numId w:val="19"/>
        </w:numPr>
        <w:spacing w:after="120"/>
        <w:ind w:left="0" w:firstLine="0"/>
        <w:rPr>
          <w:kern w:val="22"/>
          <w:szCs w:val="22"/>
          <w:lang w:val="fr-CA"/>
        </w:rPr>
      </w:pPr>
      <w:r w:rsidRPr="00B17F01">
        <w:rPr>
          <w:i/>
          <w:iCs/>
          <w:kern w:val="22"/>
          <w:szCs w:val="22"/>
          <w:lang w:val="fr-CA"/>
        </w:rPr>
        <w:t>Objectif 1 e) (</w:t>
      </w:r>
      <w:r w:rsidRPr="00B17F01">
        <w:rPr>
          <w:i/>
          <w:iCs/>
          <w:kern w:val="20"/>
          <w:lang w:val="fr-CA"/>
        </w:rPr>
        <w:t>mobiliser des ressources financières nationales</w:t>
      </w:r>
      <w:r w:rsidRPr="00B17F01">
        <w:rPr>
          <w:i/>
          <w:iCs/>
          <w:kern w:val="22"/>
          <w:szCs w:val="22"/>
          <w:lang w:val="fr-CA"/>
        </w:rPr>
        <w:t>) </w:t>
      </w:r>
      <w:r w:rsidRPr="00B17F01">
        <w:rPr>
          <w:kern w:val="22"/>
          <w:szCs w:val="22"/>
          <w:lang w:val="fr-CA"/>
        </w:rPr>
        <w:t>: Cet objectif n’a pas de délai fixé à 2015, et les progrès le concernant seront par conséquent évalués au cours du deuxième cycle de présentation de rapports, conjointement avec les sixièmes rapports nationaux. Les difficultés susmentionnées affecteraient également</w:t>
      </w:r>
      <w:r w:rsidR="006775A0" w:rsidRPr="00B17F01">
        <w:rPr>
          <w:kern w:val="22"/>
          <w:szCs w:val="22"/>
          <w:lang w:val="fr-CA"/>
        </w:rPr>
        <w:t xml:space="preserve"> l</w:t>
      </w:r>
      <w:r w:rsidR="00432075" w:rsidRPr="00B17F01">
        <w:rPr>
          <w:kern w:val="22"/>
          <w:szCs w:val="22"/>
          <w:lang w:val="fr-CA"/>
        </w:rPr>
        <w:t xml:space="preserve">a mesure des progrès </w:t>
      </w:r>
      <w:r w:rsidR="0036050D" w:rsidRPr="00B17F01">
        <w:rPr>
          <w:kern w:val="22"/>
          <w:szCs w:val="22"/>
          <w:lang w:val="fr-CA"/>
        </w:rPr>
        <w:t>en regard de</w:t>
      </w:r>
      <w:r w:rsidR="006775A0" w:rsidRPr="00B17F01">
        <w:rPr>
          <w:kern w:val="22"/>
          <w:szCs w:val="22"/>
          <w:lang w:val="fr-CA"/>
        </w:rPr>
        <w:t xml:space="preserve"> cet objectif.</w:t>
      </w:r>
    </w:p>
    <w:p w:rsidR="00084813" w:rsidRPr="00B17F01" w:rsidRDefault="00E9172D" w:rsidP="00264382">
      <w:pPr>
        <w:numPr>
          <w:ilvl w:val="0"/>
          <w:numId w:val="19"/>
        </w:numPr>
        <w:suppressLineNumbers/>
        <w:suppressAutoHyphens/>
        <w:spacing w:after="120"/>
        <w:ind w:left="0" w:firstLine="0"/>
        <w:rPr>
          <w:kern w:val="22"/>
          <w:szCs w:val="22"/>
          <w:lang w:val="fr-CA"/>
        </w:rPr>
      </w:pPr>
      <w:r w:rsidRPr="00B17F01">
        <w:rPr>
          <w:snapToGrid w:val="0"/>
          <w:kern w:val="22"/>
          <w:szCs w:val="22"/>
          <w:lang w:val="fr-CA"/>
        </w:rPr>
        <w:t xml:space="preserve">Les progrès dans la présentation de rapports en regard des objectifs </w:t>
      </w:r>
      <w:r w:rsidR="00507F18" w:rsidRPr="00B17F01">
        <w:rPr>
          <w:snapToGrid w:val="0"/>
          <w:kern w:val="22"/>
          <w:szCs w:val="22"/>
          <w:lang w:val="fr-CA"/>
        </w:rPr>
        <w:t>relatifs à</w:t>
      </w:r>
      <w:r w:rsidRPr="00B17F01">
        <w:rPr>
          <w:snapToGrid w:val="0"/>
          <w:kern w:val="22"/>
          <w:szCs w:val="22"/>
          <w:lang w:val="fr-CA"/>
        </w:rPr>
        <w:t xml:space="preserve"> la mobilisation de ressources sont lents dans l’ensemble.</w:t>
      </w:r>
      <w:r w:rsidR="00507F18" w:rsidRPr="00B17F01">
        <w:rPr>
          <w:snapToGrid w:val="0"/>
          <w:kern w:val="22"/>
          <w:szCs w:val="22"/>
          <w:lang w:val="fr-CA"/>
        </w:rPr>
        <w:t xml:space="preserve"> </w:t>
      </w:r>
      <w:r w:rsidR="00F23032" w:rsidRPr="00B17F01">
        <w:rPr>
          <w:snapToGrid w:val="0"/>
          <w:kern w:val="22"/>
          <w:szCs w:val="22"/>
          <w:lang w:val="fr-CA"/>
        </w:rPr>
        <w:t>Des 30 Parties</w:t>
      </w:r>
      <w:r w:rsidRPr="00B17F01">
        <w:rPr>
          <w:snapToGrid w:val="0"/>
          <w:kern w:val="22"/>
          <w:szCs w:val="22"/>
          <w:lang w:val="fr-CA"/>
        </w:rPr>
        <w:t xml:space="preserve"> </w:t>
      </w:r>
      <w:r w:rsidR="00F23032" w:rsidRPr="00B17F01">
        <w:rPr>
          <w:snapToGrid w:val="0"/>
          <w:kern w:val="22"/>
          <w:szCs w:val="22"/>
          <w:lang w:val="fr-CA"/>
        </w:rPr>
        <w:t>ayant présenté des rapports comparant leurs résultats à l’objectif 1 a),</w:t>
      </w:r>
      <w:r w:rsidR="006775A0" w:rsidRPr="00B17F01">
        <w:rPr>
          <w:snapToGrid w:val="0"/>
          <w:kern w:val="22"/>
          <w:szCs w:val="22"/>
          <w:lang w:val="fr-CA"/>
        </w:rPr>
        <w:t xml:space="preserve"> </w:t>
      </w:r>
      <w:r w:rsidR="00F23032" w:rsidRPr="00B17F01">
        <w:rPr>
          <w:snapToGrid w:val="0"/>
          <w:kern w:val="22"/>
          <w:szCs w:val="22"/>
          <w:lang w:val="fr-CA"/>
        </w:rPr>
        <w:t xml:space="preserve">7 Parties, soit 15 pour cent du niveau de référence rapporté, </w:t>
      </w:r>
      <w:r w:rsidR="00805CD3" w:rsidRPr="00B17F01">
        <w:rPr>
          <w:snapToGrid w:val="0"/>
          <w:kern w:val="22"/>
          <w:szCs w:val="22"/>
          <w:lang w:val="fr-CA"/>
        </w:rPr>
        <w:t>n’ont pas encore communiqué leurs données pour 2015. S’agissant des autres objectifs, la lenteur des progrès est aussi probablement due aux défis constants entourant la mis</w:t>
      </w:r>
      <w:r w:rsidR="00264382" w:rsidRPr="00B17F01">
        <w:rPr>
          <w:snapToGrid w:val="0"/>
          <w:kern w:val="22"/>
          <w:szCs w:val="22"/>
          <w:lang w:val="fr-CA"/>
        </w:rPr>
        <w:t>e en œuvre</w:t>
      </w:r>
      <w:r w:rsidR="00805CD3" w:rsidRPr="00B17F01">
        <w:rPr>
          <w:snapToGrid w:val="0"/>
          <w:kern w:val="22"/>
          <w:szCs w:val="22"/>
          <w:lang w:val="fr-CA"/>
        </w:rPr>
        <w:t xml:space="preserve">, en particulier </w:t>
      </w:r>
      <w:r w:rsidR="00264382" w:rsidRPr="00B17F01">
        <w:rPr>
          <w:snapToGrid w:val="0"/>
          <w:kern w:val="22"/>
          <w:szCs w:val="22"/>
          <w:lang w:val="fr-CA"/>
        </w:rPr>
        <w:t xml:space="preserve">en ce qui concerne </w:t>
      </w:r>
      <w:r w:rsidR="00805CD3" w:rsidRPr="00B17F01">
        <w:rPr>
          <w:snapToGrid w:val="0"/>
          <w:kern w:val="22"/>
          <w:szCs w:val="22"/>
          <w:lang w:val="fr-CA"/>
        </w:rPr>
        <w:t>les objectifs 1 c) et 1 d), associés à une absence générale de capacités, en particulier des pays qui ne participent pas à l’</w:t>
      </w:r>
      <w:r w:rsidR="008E490A" w:rsidRPr="00B17F01">
        <w:rPr>
          <w:snapToGrid w:val="0"/>
          <w:kern w:val="22"/>
          <w:szCs w:val="22"/>
          <w:lang w:val="fr-CA"/>
        </w:rPr>
        <w:t>I</w:t>
      </w:r>
      <w:r w:rsidR="00805CD3" w:rsidRPr="00B17F01">
        <w:rPr>
          <w:snapToGrid w:val="0"/>
          <w:kern w:val="22"/>
          <w:szCs w:val="22"/>
          <w:lang w:val="fr-CA"/>
        </w:rPr>
        <w:t>nitiative</w:t>
      </w:r>
      <w:r w:rsidR="008E490A" w:rsidRPr="00B17F01">
        <w:rPr>
          <w:snapToGrid w:val="0"/>
          <w:kern w:val="22"/>
          <w:szCs w:val="22"/>
          <w:lang w:val="fr-CA"/>
        </w:rPr>
        <w:t xml:space="preserve"> pour </w:t>
      </w:r>
      <w:r w:rsidR="00A90615" w:rsidRPr="00B17F01">
        <w:rPr>
          <w:snapToGrid w:val="0"/>
          <w:kern w:val="22"/>
          <w:szCs w:val="22"/>
          <w:lang w:val="fr-CA"/>
        </w:rPr>
        <w:t>le financement</w:t>
      </w:r>
      <w:r w:rsidR="008E490A" w:rsidRPr="00B17F01">
        <w:rPr>
          <w:snapToGrid w:val="0"/>
          <w:kern w:val="22"/>
          <w:szCs w:val="22"/>
          <w:lang w:val="fr-CA"/>
        </w:rPr>
        <w:t xml:space="preserve"> </w:t>
      </w:r>
      <w:r w:rsidR="00722D4C" w:rsidRPr="00B17F01">
        <w:rPr>
          <w:snapToGrid w:val="0"/>
          <w:kern w:val="22"/>
          <w:szCs w:val="22"/>
          <w:lang w:val="fr-CA"/>
        </w:rPr>
        <w:t>de la biodiversité (BIOFIN) du Programme des Nations Unies pour le développement</w:t>
      </w:r>
      <w:r w:rsidR="008E490A" w:rsidRPr="00B17F01">
        <w:rPr>
          <w:snapToGrid w:val="0"/>
          <w:kern w:val="22"/>
          <w:szCs w:val="22"/>
          <w:lang w:val="fr-CA"/>
        </w:rPr>
        <w:t xml:space="preserve"> (PNUD)</w:t>
      </w:r>
      <w:r w:rsidR="00722D4C" w:rsidRPr="00B17F01">
        <w:rPr>
          <w:snapToGrid w:val="0"/>
          <w:kern w:val="22"/>
          <w:szCs w:val="22"/>
          <w:lang w:val="fr-CA"/>
        </w:rPr>
        <w:t>, qui offre un renforcement des</w:t>
      </w:r>
      <w:r w:rsidR="009F4B6E" w:rsidRPr="00B17F01">
        <w:rPr>
          <w:snapToGrid w:val="0"/>
          <w:kern w:val="22"/>
          <w:szCs w:val="22"/>
          <w:lang w:val="fr-CA"/>
        </w:rPr>
        <w:t xml:space="preserve"> capacités et un</w:t>
      </w:r>
      <w:r w:rsidR="00722D4C" w:rsidRPr="00B17F01">
        <w:rPr>
          <w:snapToGrid w:val="0"/>
          <w:kern w:val="22"/>
          <w:szCs w:val="22"/>
          <w:lang w:val="fr-CA"/>
        </w:rPr>
        <w:t xml:space="preserve"> soutien technique aux pays en développement</w:t>
      </w:r>
      <w:r w:rsidR="008E490A" w:rsidRPr="00B17F01">
        <w:rPr>
          <w:snapToGrid w:val="0"/>
          <w:kern w:val="22"/>
          <w:szCs w:val="22"/>
          <w:lang w:val="fr-CA"/>
        </w:rPr>
        <w:t xml:space="preserve"> leur permettant d’analyser leurs dépenses actuelles pour la biodiversité, d’évaluer leurs besoins financiers</w:t>
      </w:r>
      <w:r w:rsidR="009F4B6E" w:rsidRPr="00B17F01">
        <w:rPr>
          <w:snapToGrid w:val="0"/>
          <w:kern w:val="22"/>
          <w:szCs w:val="22"/>
          <w:lang w:val="fr-CA"/>
        </w:rPr>
        <w:t xml:space="preserve"> pour la biodiversité</w:t>
      </w:r>
      <w:r w:rsidR="008E490A" w:rsidRPr="00B17F01">
        <w:rPr>
          <w:snapToGrid w:val="0"/>
          <w:kern w:val="22"/>
          <w:szCs w:val="22"/>
          <w:lang w:val="fr-CA"/>
        </w:rPr>
        <w:t xml:space="preserve">, et d’élaborer </w:t>
      </w:r>
      <w:r w:rsidR="009F4B6E" w:rsidRPr="00B17F01">
        <w:rPr>
          <w:snapToGrid w:val="0"/>
          <w:kern w:val="22"/>
          <w:szCs w:val="22"/>
          <w:lang w:val="fr-CA"/>
        </w:rPr>
        <w:t>un</w:t>
      </w:r>
      <w:r w:rsidR="008E490A" w:rsidRPr="00B17F01">
        <w:rPr>
          <w:snapToGrid w:val="0"/>
          <w:kern w:val="22"/>
          <w:szCs w:val="22"/>
          <w:lang w:val="fr-CA"/>
        </w:rPr>
        <w:t xml:space="preserve"> plan national de financement</w:t>
      </w:r>
      <w:r w:rsidR="009F4B6E" w:rsidRPr="00B17F01">
        <w:rPr>
          <w:snapToGrid w:val="0"/>
          <w:kern w:val="22"/>
          <w:szCs w:val="22"/>
          <w:lang w:val="fr-CA"/>
        </w:rPr>
        <w:t xml:space="preserve"> de la biodiversité ou une</w:t>
      </w:r>
      <w:r w:rsidR="008E490A" w:rsidRPr="00B17F01">
        <w:rPr>
          <w:snapToGrid w:val="0"/>
          <w:kern w:val="22"/>
          <w:szCs w:val="22"/>
          <w:lang w:val="fr-CA"/>
        </w:rPr>
        <w:t xml:space="preserve"> stratégie de mobilisation de ressources.</w:t>
      </w:r>
      <w:r w:rsidR="008E490A" w:rsidRPr="00B17F01">
        <w:rPr>
          <w:rStyle w:val="FootnoteReference"/>
          <w:snapToGrid w:val="0"/>
          <w:kern w:val="22"/>
          <w:szCs w:val="22"/>
          <w:lang w:val="fr-CA"/>
        </w:rPr>
        <w:footnoteReference w:id="11"/>
      </w:r>
      <w:r w:rsidR="008E490A" w:rsidRPr="00B17F01">
        <w:rPr>
          <w:snapToGrid w:val="0"/>
          <w:kern w:val="22"/>
          <w:szCs w:val="22"/>
          <w:lang w:val="fr-CA"/>
        </w:rPr>
        <w:t xml:space="preserve"> </w:t>
      </w:r>
      <w:r w:rsidR="009F4B6E" w:rsidRPr="00B17F01">
        <w:rPr>
          <w:snapToGrid w:val="0"/>
          <w:kern w:val="22"/>
          <w:szCs w:val="22"/>
          <w:lang w:val="fr-CA"/>
        </w:rPr>
        <w:t>La mise en œuvre dans les pays directement appuyées par BIOFIN progresse, mais a également dû affronter diverses difficultés techniques et méthodologiques.</w:t>
      </w:r>
    </w:p>
    <w:p w:rsidR="00084813" w:rsidRPr="00B17F01" w:rsidRDefault="00084813" w:rsidP="00E9172D">
      <w:pPr>
        <w:pStyle w:val="Heading1"/>
        <w:tabs>
          <w:tab w:val="clear" w:pos="720"/>
        </w:tabs>
        <w:spacing w:before="120"/>
        <w:rPr>
          <w:kern w:val="22"/>
          <w:szCs w:val="22"/>
          <w:lang w:val="fr-CA"/>
        </w:rPr>
      </w:pPr>
      <w:r w:rsidRPr="00B17F01">
        <w:rPr>
          <w:kern w:val="22"/>
          <w:szCs w:val="22"/>
          <w:lang w:val="fr-CA"/>
        </w:rPr>
        <w:lastRenderedPageBreak/>
        <w:t>II.</w:t>
      </w:r>
      <w:r w:rsidRPr="00B17F01">
        <w:rPr>
          <w:kern w:val="22"/>
          <w:szCs w:val="22"/>
          <w:lang w:val="fr-CA"/>
        </w:rPr>
        <w:tab/>
      </w:r>
      <w:r w:rsidR="00E9172D" w:rsidRPr="00B17F01">
        <w:rPr>
          <w:kern w:val="22"/>
          <w:szCs w:val="22"/>
          <w:lang w:val="fr-CA"/>
        </w:rPr>
        <w:t>autres éléments de la décision </w:t>
      </w:r>
      <w:r w:rsidRPr="00B17F01">
        <w:rPr>
          <w:kern w:val="22"/>
          <w:szCs w:val="22"/>
          <w:lang w:val="fr-CA"/>
        </w:rPr>
        <w:t>XIII/20</w:t>
      </w:r>
    </w:p>
    <w:p w:rsidR="00084813" w:rsidRPr="00B17F01" w:rsidRDefault="00722D4C" w:rsidP="00A90615">
      <w:pPr>
        <w:pStyle w:val="Heading2"/>
        <w:numPr>
          <w:ilvl w:val="0"/>
          <w:numId w:val="21"/>
        </w:numPr>
        <w:tabs>
          <w:tab w:val="clear" w:pos="720"/>
        </w:tabs>
        <w:ind w:left="0" w:firstLine="0"/>
        <w:rPr>
          <w:kern w:val="22"/>
          <w:lang w:val="fr-CA"/>
        </w:rPr>
      </w:pPr>
      <w:r w:rsidRPr="00B17F01">
        <w:rPr>
          <w:kern w:val="22"/>
          <w:lang w:val="fr-CA"/>
        </w:rPr>
        <w:t>Renforcement</w:t>
      </w:r>
      <w:r w:rsidR="00E9172D" w:rsidRPr="00B17F01">
        <w:rPr>
          <w:kern w:val="22"/>
          <w:lang w:val="fr-CA"/>
        </w:rPr>
        <w:t xml:space="preserve"> de</w:t>
      </w:r>
      <w:r w:rsidRPr="00B17F01">
        <w:rPr>
          <w:kern w:val="22"/>
          <w:lang w:val="fr-CA"/>
        </w:rPr>
        <w:t>s</w:t>
      </w:r>
      <w:r w:rsidR="00E9172D" w:rsidRPr="00B17F01">
        <w:rPr>
          <w:kern w:val="22"/>
          <w:lang w:val="fr-CA"/>
        </w:rPr>
        <w:t xml:space="preserve"> capacités et </w:t>
      </w:r>
      <w:r w:rsidR="00A90615" w:rsidRPr="00B17F01">
        <w:rPr>
          <w:kern w:val="22"/>
          <w:lang w:val="fr-CA"/>
        </w:rPr>
        <w:t>assistance</w:t>
      </w:r>
      <w:r w:rsidR="007B25A8" w:rsidRPr="00B17F01">
        <w:rPr>
          <w:kern w:val="22"/>
          <w:lang w:val="fr-CA"/>
        </w:rPr>
        <w:t xml:space="preserve"> technique</w:t>
      </w:r>
    </w:p>
    <w:p w:rsidR="00084813" w:rsidRPr="00B17F01" w:rsidRDefault="00A90615" w:rsidP="00DA667A">
      <w:pPr>
        <w:numPr>
          <w:ilvl w:val="0"/>
          <w:numId w:val="19"/>
        </w:numPr>
        <w:spacing w:after="120"/>
        <w:ind w:left="0" w:firstLine="0"/>
        <w:rPr>
          <w:kern w:val="22"/>
          <w:szCs w:val="22"/>
          <w:lang w:val="fr-CA"/>
        </w:rPr>
      </w:pPr>
      <w:r w:rsidRPr="00B17F01">
        <w:rPr>
          <w:kern w:val="22"/>
          <w:szCs w:val="22"/>
          <w:lang w:val="fr-CA"/>
        </w:rPr>
        <w:t>Au paragraphe </w:t>
      </w:r>
      <w:r w:rsidR="00084813" w:rsidRPr="00B17F01">
        <w:rPr>
          <w:kern w:val="22"/>
          <w:szCs w:val="22"/>
          <w:lang w:val="fr-CA"/>
        </w:rPr>
        <w:t xml:space="preserve">10 </w:t>
      </w:r>
      <w:r w:rsidRPr="00B17F01">
        <w:rPr>
          <w:kern w:val="22"/>
          <w:szCs w:val="22"/>
          <w:lang w:val="fr-CA"/>
        </w:rPr>
        <w:t>de la décision </w:t>
      </w:r>
      <w:r w:rsidR="00084813" w:rsidRPr="00B17F01">
        <w:rPr>
          <w:kern w:val="22"/>
          <w:szCs w:val="22"/>
          <w:lang w:val="fr-CA"/>
        </w:rPr>
        <w:t>XIII/20,</w:t>
      </w:r>
      <w:r w:rsidRPr="00B17F01">
        <w:rPr>
          <w:kern w:val="22"/>
          <w:szCs w:val="22"/>
          <w:lang w:val="fr-CA"/>
        </w:rPr>
        <w:t xml:space="preserve"> la Conférence des Parties a invité </w:t>
      </w:r>
      <w:r w:rsidRPr="00B17F01">
        <w:rPr>
          <w:snapToGrid w:val="0"/>
          <w:kern w:val="22"/>
          <w:szCs w:val="22"/>
          <w:lang w:val="fr-CA" w:bidi="fr-FR"/>
        </w:rPr>
        <w:t>les organisations et les initiatives concernées,</w:t>
      </w:r>
      <w:r w:rsidR="008977D1" w:rsidRPr="00B17F01">
        <w:rPr>
          <w:snapToGrid w:val="0"/>
          <w:kern w:val="22"/>
          <w:szCs w:val="22"/>
          <w:lang w:val="fr-CA" w:bidi="fr-FR"/>
        </w:rPr>
        <w:t xml:space="preserve"> notamment l’Initiative </w:t>
      </w:r>
      <w:r w:rsidRPr="00B17F01">
        <w:rPr>
          <w:snapToGrid w:val="0"/>
          <w:kern w:val="22"/>
          <w:szCs w:val="22"/>
          <w:lang w:val="fr-CA" w:bidi="fr-FR"/>
        </w:rPr>
        <w:t>BIOFI</w:t>
      </w:r>
      <w:r w:rsidR="008977D1" w:rsidRPr="00B17F01">
        <w:rPr>
          <w:snapToGrid w:val="0"/>
          <w:kern w:val="22"/>
          <w:szCs w:val="22"/>
          <w:lang w:val="fr-CA" w:bidi="fr-FR"/>
        </w:rPr>
        <w:t>N</w:t>
      </w:r>
      <w:r w:rsidRPr="00B17F01">
        <w:rPr>
          <w:snapToGrid w:val="0"/>
          <w:kern w:val="22"/>
          <w:szCs w:val="22"/>
          <w:lang w:val="fr-CA" w:bidi="fr-FR"/>
        </w:rPr>
        <w:t>, à fournir une assistance technique et un renforcement des capacités aux Parties intéressées et admissibles qui sont des pays en développement concernant l’identification des besoins, lacunes et priorités en matière de financement, l’élaboration et la mise en œuvre des stratégies nationales de mobilisation des ressources, et l’établissement des rapports financiers. Au paragraphe 12, la Conférence des Parties a a</w:t>
      </w:r>
      <w:r w:rsidRPr="00B17F01">
        <w:rPr>
          <w:iCs/>
          <w:snapToGrid w:val="0"/>
          <w:kern w:val="22"/>
          <w:szCs w:val="22"/>
          <w:lang w:val="fr-CA" w:bidi="fr-FR"/>
        </w:rPr>
        <w:t xml:space="preserve">ccueilli avec satisfaction </w:t>
      </w:r>
      <w:r w:rsidRPr="00B17F01">
        <w:rPr>
          <w:snapToGrid w:val="0"/>
          <w:kern w:val="22"/>
          <w:szCs w:val="22"/>
          <w:lang w:val="fr-CA" w:bidi="fr-FR"/>
        </w:rPr>
        <w:t xml:space="preserve">la mise </w:t>
      </w:r>
      <w:r w:rsidR="00251A11" w:rsidRPr="00B17F01">
        <w:rPr>
          <w:snapToGrid w:val="0"/>
          <w:kern w:val="22"/>
          <w:szCs w:val="22"/>
          <w:lang w:val="fr-CA" w:bidi="fr-FR"/>
        </w:rPr>
        <w:t>en place des nœuds régionaux C</w:t>
      </w:r>
      <w:r w:rsidR="003764C3" w:rsidRPr="00B17F01">
        <w:rPr>
          <w:snapToGrid w:val="0"/>
          <w:kern w:val="22"/>
          <w:szCs w:val="22"/>
          <w:lang w:val="fr-CA" w:bidi="fr-FR"/>
        </w:rPr>
        <w:t>BD</w:t>
      </w:r>
      <w:r w:rsidRPr="00B17F01">
        <w:rPr>
          <w:snapToGrid w:val="0"/>
          <w:kern w:val="22"/>
          <w:szCs w:val="22"/>
          <w:lang w:val="fr-CA" w:bidi="fr-FR"/>
        </w:rPr>
        <w:t>-BIOFIN comme moyen d’apporter un appui technique aux Parties intéressées qui ne sont pas soutenues par l’Initiative pour le financement de la biodiversité, et a encouragé l’Initiative pour le financement de la biodiversité à prendre en considération le cadre conceptuel de l</w:t>
      </w:r>
      <w:r w:rsidR="00DA667A" w:rsidRPr="00B17F01">
        <w:rPr>
          <w:snapToGrid w:val="0"/>
          <w:kern w:val="22"/>
          <w:szCs w:val="22"/>
          <w:lang w:val="fr-CA" w:bidi="fr-FR"/>
        </w:rPr>
        <w:t>a Plateforme intergouvernementale scientifique et politique sur la biodiversité et les services écosystémiques (IPBES)</w:t>
      </w:r>
      <w:r w:rsidRPr="00B17F01">
        <w:rPr>
          <w:snapToGrid w:val="0"/>
          <w:kern w:val="22"/>
          <w:szCs w:val="22"/>
          <w:lang w:val="fr-CA" w:bidi="fr-FR"/>
        </w:rPr>
        <w:t xml:space="preserve"> sur la biodiversité et les services écosystémiques dans ses travaux futurs.</w:t>
      </w:r>
    </w:p>
    <w:p w:rsidR="00084813" w:rsidRPr="00B17F01" w:rsidRDefault="00D7715B" w:rsidP="003764C3">
      <w:pPr>
        <w:numPr>
          <w:ilvl w:val="0"/>
          <w:numId w:val="19"/>
        </w:numPr>
        <w:spacing w:after="120"/>
        <w:ind w:left="0" w:firstLine="0"/>
        <w:rPr>
          <w:snapToGrid w:val="0"/>
          <w:kern w:val="22"/>
          <w:szCs w:val="22"/>
          <w:lang w:val="fr-CA"/>
        </w:rPr>
      </w:pPr>
      <w:r w:rsidRPr="00B17F01">
        <w:rPr>
          <w:snapToGrid w:val="0"/>
          <w:kern w:val="22"/>
          <w:szCs w:val="22"/>
          <w:lang w:val="fr-CA"/>
        </w:rPr>
        <w:t>Onze pays additionnels</w:t>
      </w:r>
      <w:r w:rsidRPr="00B17F01">
        <w:rPr>
          <w:rStyle w:val="FootnoteReference"/>
          <w:snapToGrid w:val="0"/>
          <w:kern w:val="22"/>
          <w:szCs w:val="22"/>
          <w:lang w:val="fr-CA"/>
        </w:rPr>
        <w:footnoteReference w:id="12"/>
      </w:r>
      <w:r w:rsidRPr="00B17F01">
        <w:rPr>
          <w:snapToGrid w:val="0"/>
          <w:kern w:val="22"/>
          <w:szCs w:val="22"/>
          <w:lang w:val="fr-CA"/>
        </w:rPr>
        <w:t xml:space="preserve"> se sont joints à l’Initiative BIOFIN en 2016, portant le nombre total de pays bénéficiant d’un soutien à trente.</w:t>
      </w:r>
      <w:r w:rsidR="00F32C5A" w:rsidRPr="00B17F01">
        <w:rPr>
          <w:snapToGrid w:val="0"/>
          <w:kern w:val="22"/>
          <w:szCs w:val="22"/>
          <w:lang w:val="fr-CA"/>
        </w:rPr>
        <w:t xml:space="preserve"> La deuxième phase de l’Initiative BIOFIN a débuté en 2018 pour une période de cinq ans</w:t>
      </w:r>
      <w:r w:rsidR="00730B18" w:rsidRPr="00B17F01">
        <w:rPr>
          <w:snapToGrid w:val="0"/>
          <w:kern w:val="22"/>
          <w:szCs w:val="22"/>
          <w:lang w:val="fr-CA"/>
        </w:rPr>
        <w:t xml:space="preserve"> et cherchera particulièrement à aider les pays dans la mise en œuvre de plans de financement de la biodiversité et de solutions financières. Les </w:t>
      </w:r>
      <w:r w:rsidR="00730B18" w:rsidRPr="00B17F01">
        <w:rPr>
          <w:snapToGrid w:val="0"/>
          <w:kern w:val="22"/>
          <w:szCs w:val="22"/>
          <w:lang w:val="fr-CA" w:bidi="fr-FR"/>
        </w:rPr>
        <w:t>nœuds régionaux CBD-BIOFIN sont désormais opérationnels dans les régions Afrique, Asie et Pacifique, Europe de l’</w:t>
      </w:r>
      <w:r w:rsidR="000A11E8" w:rsidRPr="00B17F01">
        <w:rPr>
          <w:snapToGrid w:val="0"/>
          <w:kern w:val="22"/>
          <w:szCs w:val="22"/>
          <w:lang w:val="fr-CA" w:bidi="fr-FR"/>
        </w:rPr>
        <w:t>E</w:t>
      </w:r>
      <w:r w:rsidR="00730B18" w:rsidRPr="00B17F01">
        <w:rPr>
          <w:snapToGrid w:val="0"/>
          <w:kern w:val="22"/>
          <w:szCs w:val="22"/>
          <w:lang w:val="fr-CA" w:bidi="fr-FR"/>
        </w:rPr>
        <w:t>st et Amérique latine et Caraïbes.</w:t>
      </w:r>
      <w:r w:rsidR="00F32C5A" w:rsidRPr="00B17F01">
        <w:rPr>
          <w:snapToGrid w:val="0"/>
          <w:kern w:val="22"/>
          <w:szCs w:val="22"/>
          <w:lang w:val="fr-CA"/>
        </w:rPr>
        <w:t xml:space="preserve"> </w:t>
      </w:r>
      <w:r w:rsidR="000A11E8" w:rsidRPr="00B17F01">
        <w:rPr>
          <w:snapToGrid w:val="0"/>
          <w:kern w:val="22"/>
          <w:szCs w:val="22"/>
          <w:lang w:val="fr-CA"/>
        </w:rPr>
        <w:t>Une équipe de trois experts régionaux fournit une assistance technique aux pays admissibles de ces régions qui n’ont pas été appuyés par l’Initiative BIOFIN, afin de les aider à apprendre la méthode BIOFIN et à l’appliquer.</w:t>
      </w:r>
      <w:r w:rsidR="000A11E8" w:rsidRPr="00B17F01">
        <w:rPr>
          <w:rStyle w:val="FootnoteReference"/>
          <w:kern w:val="22"/>
          <w:szCs w:val="22"/>
          <w:lang w:val="fr-CA"/>
        </w:rPr>
        <w:footnoteReference w:id="13"/>
      </w:r>
      <w:r w:rsidR="00F32C5A" w:rsidRPr="00B17F01">
        <w:rPr>
          <w:snapToGrid w:val="0"/>
          <w:kern w:val="22"/>
          <w:szCs w:val="22"/>
          <w:lang w:val="fr-CA"/>
        </w:rPr>
        <w:t xml:space="preserve"> </w:t>
      </w:r>
      <w:r w:rsidR="00427769" w:rsidRPr="00B17F01">
        <w:rPr>
          <w:snapToGrid w:val="0"/>
          <w:kern w:val="22"/>
          <w:szCs w:val="22"/>
          <w:lang w:val="fr-CA"/>
        </w:rPr>
        <w:t>Les services offerts comprennent des webinaires globaux sur les étapes individuelles de la méthode BIOFIN et ses liens à l’établissement de rapports financiers au titre de la Convention, un cours en ligne ouvert à tous sur le financement de la biodiversité mondiale</w:t>
      </w:r>
      <w:r w:rsidR="00636A73" w:rsidRPr="00B17F01">
        <w:rPr>
          <w:snapToGrid w:val="0"/>
          <w:kern w:val="22"/>
          <w:szCs w:val="22"/>
          <w:lang w:val="fr-CA"/>
        </w:rPr>
        <w:t xml:space="preserve"> qui sera lancé en 2018,</w:t>
      </w:r>
      <w:r w:rsidR="00427769" w:rsidRPr="00B17F01">
        <w:rPr>
          <w:snapToGrid w:val="0"/>
          <w:kern w:val="22"/>
          <w:szCs w:val="22"/>
          <w:lang w:val="fr-CA"/>
        </w:rPr>
        <w:t xml:space="preserve"> </w:t>
      </w:r>
      <w:r w:rsidR="003764C3" w:rsidRPr="00B17F01">
        <w:rPr>
          <w:snapToGrid w:val="0"/>
          <w:kern w:val="22"/>
          <w:szCs w:val="22"/>
          <w:lang w:val="fr-CA"/>
        </w:rPr>
        <w:t xml:space="preserve">et </w:t>
      </w:r>
      <w:r w:rsidR="00636A73" w:rsidRPr="00B17F01">
        <w:rPr>
          <w:snapToGrid w:val="0"/>
          <w:kern w:val="22"/>
          <w:szCs w:val="22"/>
          <w:lang w:val="fr-CA"/>
        </w:rPr>
        <w:t>des ateliers régionaux et mondiaux,</w:t>
      </w:r>
      <w:r w:rsidR="00636A73" w:rsidRPr="00B17F01">
        <w:rPr>
          <w:rStyle w:val="FootnoteReference"/>
          <w:kern w:val="22"/>
          <w:szCs w:val="22"/>
          <w:lang w:val="fr-CA"/>
        </w:rPr>
        <w:t xml:space="preserve"> </w:t>
      </w:r>
      <w:r w:rsidR="00636A73" w:rsidRPr="00B17F01">
        <w:rPr>
          <w:rStyle w:val="FootnoteReference"/>
          <w:kern w:val="22"/>
          <w:szCs w:val="22"/>
          <w:lang w:val="fr-CA"/>
        </w:rPr>
        <w:footnoteReference w:id="14"/>
      </w:r>
      <w:r w:rsidR="00636A73" w:rsidRPr="00B17F01">
        <w:rPr>
          <w:kern w:val="22"/>
          <w:szCs w:val="22"/>
          <w:lang w:val="fr-CA"/>
        </w:rPr>
        <w:t xml:space="preserve"> ainsi que des missions effectuées dans les pays, un appui </w:t>
      </w:r>
      <w:r w:rsidR="0083512E" w:rsidRPr="00B17F01">
        <w:rPr>
          <w:kern w:val="22"/>
          <w:szCs w:val="22"/>
          <w:lang w:val="fr-CA"/>
        </w:rPr>
        <w:t xml:space="preserve">à </w:t>
      </w:r>
      <w:r w:rsidR="00636A73" w:rsidRPr="00B17F01">
        <w:rPr>
          <w:kern w:val="22"/>
          <w:szCs w:val="22"/>
          <w:lang w:val="fr-CA"/>
        </w:rPr>
        <w:t xml:space="preserve">l’élaboration d’inventaires de mécanismes financiers existants, et </w:t>
      </w:r>
      <w:r w:rsidR="0083512E" w:rsidRPr="00B17F01">
        <w:rPr>
          <w:kern w:val="22"/>
          <w:szCs w:val="22"/>
          <w:lang w:val="fr-CA"/>
        </w:rPr>
        <w:t>la fournitures d’orientations sur mesure pour accroître les ressources. Les pays admissibles ont été invités à présenter des manifestations d’intérêt,</w:t>
      </w:r>
      <w:r w:rsidR="0083512E" w:rsidRPr="00B17F01">
        <w:rPr>
          <w:rStyle w:val="FootnoteReference"/>
          <w:kern w:val="22"/>
          <w:szCs w:val="22"/>
          <w:lang w:val="fr-CA"/>
        </w:rPr>
        <w:footnoteReference w:id="15"/>
      </w:r>
      <w:r w:rsidR="00427769" w:rsidRPr="00B17F01">
        <w:rPr>
          <w:snapToGrid w:val="0"/>
          <w:kern w:val="22"/>
          <w:szCs w:val="22"/>
          <w:lang w:val="fr-CA"/>
        </w:rPr>
        <w:t xml:space="preserve"> </w:t>
      </w:r>
      <w:r w:rsidR="0083512E" w:rsidRPr="00B17F01">
        <w:rPr>
          <w:snapToGrid w:val="0"/>
          <w:kern w:val="22"/>
          <w:szCs w:val="22"/>
          <w:lang w:val="fr-CA"/>
        </w:rPr>
        <w:t xml:space="preserve">et fin mars 2018, 39 pays au total </w:t>
      </w:r>
      <w:r w:rsidR="00EB4179" w:rsidRPr="00B17F01">
        <w:rPr>
          <w:snapToGrid w:val="0"/>
          <w:kern w:val="22"/>
          <w:szCs w:val="22"/>
          <w:lang w:val="fr-CA"/>
        </w:rPr>
        <w:t>en étaient à divers stades d’engagement avec les</w:t>
      </w:r>
      <w:r w:rsidR="00EB4179" w:rsidRPr="00B17F01">
        <w:rPr>
          <w:snapToGrid w:val="0"/>
          <w:kern w:val="22"/>
          <w:szCs w:val="22"/>
          <w:lang w:val="fr-CA" w:bidi="fr-FR"/>
        </w:rPr>
        <w:t xml:space="preserve"> nœuds régionaux CBD</w:t>
      </w:r>
      <w:r w:rsidR="00EB4179" w:rsidRPr="00B17F01">
        <w:rPr>
          <w:snapToGrid w:val="0"/>
          <w:kern w:val="22"/>
          <w:szCs w:val="22"/>
          <w:lang w:val="fr-CA" w:bidi="fr-FR"/>
        </w:rPr>
        <w:noBreakHyphen/>
        <w:t>BIOFIN.</w:t>
      </w:r>
    </w:p>
    <w:p w:rsidR="00084813" w:rsidRPr="00B17F01" w:rsidRDefault="00A27DD9" w:rsidP="00A27DD9">
      <w:pPr>
        <w:numPr>
          <w:ilvl w:val="0"/>
          <w:numId w:val="19"/>
        </w:numPr>
        <w:spacing w:after="120"/>
        <w:ind w:left="0" w:firstLine="0"/>
        <w:rPr>
          <w:snapToGrid w:val="0"/>
          <w:kern w:val="22"/>
          <w:szCs w:val="22"/>
          <w:lang w:val="fr-CA"/>
        </w:rPr>
      </w:pPr>
      <w:r w:rsidRPr="00B17F01">
        <w:rPr>
          <w:snapToGrid w:val="0"/>
          <w:kern w:val="22"/>
          <w:szCs w:val="22"/>
          <w:lang w:val="fr-CA"/>
        </w:rPr>
        <w:t>L’Initiative BIOFIN</w:t>
      </w:r>
      <w:r w:rsidR="00316F92" w:rsidRPr="00B17F01">
        <w:rPr>
          <w:snapToGrid w:val="0"/>
          <w:kern w:val="22"/>
          <w:szCs w:val="22"/>
          <w:lang w:val="fr-CA"/>
        </w:rPr>
        <w:t xml:space="preserve"> a publié des traductions espagnole, </w:t>
      </w:r>
      <w:r w:rsidRPr="00B17F01">
        <w:rPr>
          <w:snapToGrid w:val="0"/>
          <w:kern w:val="22"/>
          <w:szCs w:val="22"/>
          <w:lang w:val="fr-CA"/>
        </w:rPr>
        <w:t>française et russe de son</w:t>
      </w:r>
      <w:r w:rsidR="00316F92" w:rsidRPr="00B17F01">
        <w:rPr>
          <w:snapToGrid w:val="0"/>
          <w:kern w:val="22"/>
          <w:szCs w:val="22"/>
          <w:lang w:val="fr-CA"/>
        </w:rPr>
        <w:t xml:space="preserve"> </w:t>
      </w:r>
      <w:hyperlink r:id="rId14" w:history="1">
        <w:r w:rsidRPr="00B17F01">
          <w:rPr>
            <w:rStyle w:val="Hyperlink"/>
            <w:snapToGrid w:val="0"/>
            <w:kern w:val="22"/>
            <w:sz w:val="22"/>
            <w:szCs w:val="22"/>
            <w:lang w:val="fr-CA"/>
          </w:rPr>
          <w:t>Manuel BIOFIN 2016</w:t>
        </w:r>
      </w:hyperlink>
      <w:r w:rsidRPr="00B17F01">
        <w:rPr>
          <w:lang w:val="fr-CA"/>
        </w:rPr>
        <w:t>.</w:t>
      </w:r>
      <w:r w:rsidR="00316F92" w:rsidRPr="00B17F01">
        <w:rPr>
          <w:snapToGrid w:val="0"/>
          <w:kern w:val="22"/>
          <w:szCs w:val="22"/>
          <w:lang w:val="fr-CA"/>
        </w:rPr>
        <w:t xml:space="preserve"> Une version révisée du manuel devrait être publiée en novembre 2018</w:t>
      </w:r>
      <w:r w:rsidR="004E3A06" w:rsidRPr="00B17F01">
        <w:rPr>
          <w:snapToGrid w:val="0"/>
          <w:kern w:val="22"/>
          <w:szCs w:val="22"/>
          <w:lang w:val="fr-CA"/>
        </w:rPr>
        <w:t>,</w:t>
      </w:r>
      <w:r w:rsidR="00316F92" w:rsidRPr="00B17F01">
        <w:rPr>
          <w:snapToGrid w:val="0"/>
          <w:kern w:val="22"/>
          <w:szCs w:val="22"/>
          <w:lang w:val="fr-CA"/>
        </w:rPr>
        <w:t xml:space="preserve"> dont le cadre théorique s’alignera sur le cadre conceptuel de l</w:t>
      </w:r>
      <w:r w:rsidRPr="00B17F01">
        <w:rPr>
          <w:snapToGrid w:val="0"/>
          <w:kern w:val="22"/>
          <w:szCs w:val="22"/>
          <w:lang w:val="fr-CA"/>
        </w:rPr>
        <w:t>’</w:t>
      </w:r>
      <w:r w:rsidR="00023183" w:rsidRPr="00B17F01">
        <w:rPr>
          <w:snapToGrid w:val="0"/>
          <w:kern w:val="22"/>
          <w:szCs w:val="22"/>
          <w:lang w:val="fr-CA"/>
        </w:rPr>
        <w:t>IPBES</w:t>
      </w:r>
      <w:r w:rsidR="00023183" w:rsidRPr="00B17F01">
        <w:rPr>
          <w:rStyle w:val="FootnoteReference"/>
          <w:snapToGrid w:val="0"/>
          <w:kern w:val="22"/>
          <w:szCs w:val="22"/>
          <w:vertAlign w:val="baseline"/>
          <w:lang w:val="fr-CA"/>
        </w:rPr>
        <w:t>,</w:t>
      </w:r>
      <w:r w:rsidR="00023183" w:rsidRPr="00B17F01">
        <w:rPr>
          <w:rStyle w:val="FootnoteReference"/>
          <w:snapToGrid w:val="0"/>
          <w:kern w:val="22"/>
          <w:szCs w:val="22"/>
          <w:lang w:val="fr-CA"/>
        </w:rPr>
        <w:footnoteReference w:id="16"/>
      </w:r>
      <w:r w:rsidR="00023183" w:rsidRPr="00B17F01">
        <w:rPr>
          <w:snapToGrid w:val="0"/>
          <w:kern w:val="22"/>
          <w:szCs w:val="22"/>
          <w:lang w:val="fr-CA"/>
        </w:rPr>
        <w:t xml:space="preserve"> donnant ainsi suite à l’invitation de la Conférence des Parties exprimée au paragraphe 11 de la décision XIII/20.</w:t>
      </w:r>
      <w:r w:rsidR="004E3A06" w:rsidRPr="00B17F01">
        <w:rPr>
          <w:snapToGrid w:val="0"/>
          <w:kern w:val="22"/>
          <w:szCs w:val="22"/>
          <w:lang w:val="fr-CA"/>
        </w:rPr>
        <w:t xml:space="preserve"> </w:t>
      </w:r>
      <w:r w:rsidR="00413B7D" w:rsidRPr="00B17F01">
        <w:rPr>
          <w:snapToGrid w:val="0"/>
          <w:kern w:val="22"/>
          <w:szCs w:val="22"/>
          <w:lang w:val="fr-CA"/>
        </w:rPr>
        <w:t xml:space="preserve">Des orientations additionnelles seront fournies sur le calcul des lacunes financières, l’institutionnalisation du processus BIOFIN, la collaboration avec le secteur privé et l’élaboration de plans de communication pour </w:t>
      </w:r>
      <w:r w:rsidR="00DF1E49" w:rsidRPr="00B17F01">
        <w:rPr>
          <w:snapToGrid w:val="0"/>
          <w:kern w:val="22"/>
          <w:szCs w:val="22"/>
          <w:lang w:val="fr-CA"/>
        </w:rPr>
        <w:t>soutenir d</w:t>
      </w:r>
      <w:r w:rsidR="00413B7D" w:rsidRPr="00B17F01">
        <w:rPr>
          <w:snapToGrid w:val="0"/>
          <w:kern w:val="22"/>
          <w:szCs w:val="22"/>
          <w:lang w:val="fr-CA"/>
        </w:rPr>
        <w:t xml:space="preserve">es solutions </w:t>
      </w:r>
      <w:r w:rsidR="00DF1E49" w:rsidRPr="00B17F01">
        <w:rPr>
          <w:snapToGrid w:val="0"/>
          <w:kern w:val="22"/>
          <w:szCs w:val="22"/>
          <w:lang w:val="fr-CA"/>
        </w:rPr>
        <w:t>de financement de</w:t>
      </w:r>
      <w:r w:rsidR="00413B7D" w:rsidRPr="00B17F01">
        <w:rPr>
          <w:snapToGrid w:val="0"/>
          <w:kern w:val="22"/>
          <w:szCs w:val="22"/>
          <w:lang w:val="fr-CA"/>
        </w:rPr>
        <w:t xml:space="preserve"> la biodiversité. </w:t>
      </w:r>
      <w:r w:rsidR="001C6497" w:rsidRPr="00B17F01">
        <w:rPr>
          <w:snapToGrid w:val="0"/>
          <w:kern w:val="22"/>
          <w:szCs w:val="22"/>
          <w:lang w:val="fr-CA"/>
        </w:rPr>
        <w:t>Enfin</w:t>
      </w:r>
      <w:r w:rsidR="00DF1E49" w:rsidRPr="00B17F01">
        <w:rPr>
          <w:snapToGrid w:val="0"/>
          <w:kern w:val="22"/>
          <w:szCs w:val="22"/>
          <w:lang w:val="fr-CA"/>
        </w:rPr>
        <w:t>, un Catalogue de solutions de financement</w:t>
      </w:r>
      <w:r w:rsidR="001C6497" w:rsidRPr="00B17F01">
        <w:rPr>
          <w:snapToGrid w:val="0"/>
          <w:kern w:val="22"/>
          <w:szCs w:val="22"/>
          <w:lang w:val="fr-CA"/>
        </w:rPr>
        <w:t xml:space="preserve"> BIOFIN en ligne a été élaboré. Il présente l’éventail des options disponibles aux pays pour faire avancer le financement de la biodiversité et l’inclure dans leurs plans de financement, et contient de brèves explications des possibles options.</w:t>
      </w:r>
      <w:r w:rsidR="001C6497" w:rsidRPr="00B17F01">
        <w:rPr>
          <w:rStyle w:val="FootnoteReference"/>
          <w:snapToGrid w:val="0"/>
          <w:kern w:val="22"/>
          <w:szCs w:val="22"/>
          <w:lang w:val="fr-CA"/>
        </w:rPr>
        <w:footnoteReference w:id="17"/>
      </w:r>
    </w:p>
    <w:p w:rsidR="00084813" w:rsidRPr="00B17F01" w:rsidRDefault="009A76E9" w:rsidP="00D2250F">
      <w:pPr>
        <w:pStyle w:val="Heading2"/>
        <w:numPr>
          <w:ilvl w:val="0"/>
          <w:numId w:val="21"/>
        </w:numPr>
        <w:tabs>
          <w:tab w:val="clear" w:pos="720"/>
        </w:tabs>
        <w:ind w:left="0" w:hanging="11"/>
        <w:rPr>
          <w:snapToGrid w:val="0"/>
          <w:kern w:val="22"/>
          <w:lang w:val="fr-CA"/>
        </w:rPr>
      </w:pPr>
      <w:r w:rsidRPr="00B17F01">
        <w:rPr>
          <w:snapToGrid w:val="0"/>
          <w:kern w:val="22"/>
          <w:lang w:val="fr-CA"/>
        </w:rPr>
        <w:t>Améliorer les systèmes d’information sur le financement de la diversité biologique</w:t>
      </w:r>
    </w:p>
    <w:p w:rsidR="00084813" w:rsidRPr="00B17F01" w:rsidRDefault="009A76E9" w:rsidP="001D4921">
      <w:pPr>
        <w:numPr>
          <w:ilvl w:val="0"/>
          <w:numId w:val="19"/>
        </w:numPr>
        <w:spacing w:after="120"/>
        <w:ind w:left="0" w:firstLine="0"/>
        <w:rPr>
          <w:snapToGrid w:val="0"/>
          <w:kern w:val="22"/>
          <w:szCs w:val="22"/>
          <w:lang w:val="fr-CA"/>
        </w:rPr>
      </w:pPr>
      <w:r w:rsidRPr="00B17F01">
        <w:rPr>
          <w:snapToGrid w:val="0"/>
          <w:kern w:val="22"/>
          <w:szCs w:val="22"/>
          <w:lang w:val="fr-CA"/>
        </w:rPr>
        <w:t>Au paragraphe </w:t>
      </w:r>
      <w:r w:rsidR="00084813" w:rsidRPr="00B17F01">
        <w:rPr>
          <w:snapToGrid w:val="0"/>
          <w:kern w:val="22"/>
          <w:szCs w:val="22"/>
          <w:lang w:val="fr-CA"/>
        </w:rPr>
        <w:t xml:space="preserve">13 </w:t>
      </w:r>
      <w:r w:rsidRPr="00B17F01">
        <w:rPr>
          <w:snapToGrid w:val="0"/>
          <w:kern w:val="22"/>
          <w:szCs w:val="22"/>
          <w:lang w:val="fr-CA"/>
        </w:rPr>
        <w:t>de la décision </w:t>
      </w:r>
      <w:r w:rsidR="00084813" w:rsidRPr="00B17F01">
        <w:rPr>
          <w:snapToGrid w:val="0"/>
          <w:kern w:val="22"/>
          <w:szCs w:val="22"/>
          <w:lang w:val="fr-CA"/>
        </w:rPr>
        <w:t>XIII/20,</w:t>
      </w:r>
      <w:r w:rsidRPr="00B17F01">
        <w:rPr>
          <w:snapToGrid w:val="0"/>
          <w:kern w:val="22"/>
          <w:szCs w:val="22"/>
          <w:lang w:val="fr-CA"/>
        </w:rPr>
        <w:t xml:space="preserve"> la Conférence des Parties a pris note</w:t>
      </w:r>
      <w:r w:rsidR="00782C23" w:rsidRPr="00B17F01">
        <w:rPr>
          <w:snapToGrid w:val="0"/>
          <w:kern w:val="22"/>
          <w:szCs w:val="22"/>
          <w:lang w:val="fr-CA"/>
        </w:rPr>
        <w:t xml:space="preserve"> </w:t>
      </w:r>
      <w:r w:rsidR="00782C23" w:rsidRPr="00B17F01">
        <w:rPr>
          <w:snapToGrid w:val="0"/>
          <w:kern w:val="22"/>
          <w:szCs w:val="22"/>
          <w:lang w:val="fr-CA" w:bidi="fr-FR"/>
        </w:rPr>
        <w:t xml:space="preserve">des travaux menés par le Comité d’aide au développement de l’Organisation de coopération et de développement économiques </w:t>
      </w:r>
      <w:r w:rsidR="00782C23" w:rsidRPr="00B17F01">
        <w:rPr>
          <w:snapToGrid w:val="0"/>
          <w:kern w:val="22"/>
          <w:szCs w:val="22"/>
          <w:lang w:val="fr-CA" w:bidi="fr-FR"/>
        </w:rPr>
        <w:lastRenderedPageBreak/>
        <w:t>(OCDE) pour affiner la méthodologie des marqueurs de Rio,</w:t>
      </w:r>
      <w:r w:rsidR="00782C23" w:rsidRPr="00B17F01">
        <w:rPr>
          <w:rStyle w:val="FootnoteReference"/>
          <w:snapToGrid w:val="0"/>
          <w:kern w:val="22"/>
          <w:szCs w:val="22"/>
          <w:lang w:val="fr-CA"/>
        </w:rPr>
        <w:footnoteReference w:id="18"/>
      </w:r>
      <w:r w:rsidR="00782C23" w:rsidRPr="00B17F01">
        <w:rPr>
          <w:snapToGrid w:val="0"/>
          <w:kern w:val="22"/>
          <w:szCs w:val="22"/>
          <w:lang w:val="fr-CA" w:bidi="fr-FR"/>
        </w:rPr>
        <w:t xml:space="preserve"> et a </w:t>
      </w:r>
      <w:r w:rsidR="00782C23" w:rsidRPr="00B17F01">
        <w:rPr>
          <w:iCs/>
          <w:snapToGrid w:val="0"/>
          <w:kern w:val="22"/>
          <w:szCs w:val="22"/>
          <w:lang w:val="fr-CA" w:bidi="fr-FR"/>
        </w:rPr>
        <w:t>encouragé</w:t>
      </w:r>
      <w:r w:rsidR="00782C23" w:rsidRPr="00B17F01">
        <w:rPr>
          <w:snapToGrid w:val="0"/>
          <w:kern w:val="22"/>
          <w:szCs w:val="22"/>
          <w:lang w:val="fr-CA" w:bidi="fr-FR"/>
        </w:rPr>
        <w:t xml:space="preserve"> le Comité à poursuivre et à intensifier ces travaux.</w:t>
      </w:r>
    </w:p>
    <w:p w:rsidR="00084813" w:rsidRPr="00B17F01" w:rsidRDefault="00782C23" w:rsidP="00A43655">
      <w:pPr>
        <w:numPr>
          <w:ilvl w:val="0"/>
          <w:numId w:val="19"/>
        </w:numPr>
        <w:spacing w:after="120"/>
        <w:ind w:left="0" w:firstLine="0"/>
        <w:rPr>
          <w:snapToGrid w:val="0"/>
          <w:kern w:val="22"/>
          <w:szCs w:val="22"/>
          <w:lang w:val="fr-CA"/>
        </w:rPr>
      </w:pPr>
      <w:r w:rsidRPr="00B17F01">
        <w:rPr>
          <w:snapToGrid w:val="0"/>
          <w:kern w:val="22"/>
          <w:szCs w:val="22"/>
          <w:lang w:val="fr-CA"/>
        </w:rPr>
        <w:t>L’</w:t>
      </w:r>
      <w:r w:rsidR="004303EA" w:rsidRPr="00B17F01">
        <w:rPr>
          <w:snapToGrid w:val="0"/>
          <w:kern w:val="22"/>
          <w:szCs w:val="22"/>
          <w:lang w:val="fr-CA"/>
        </w:rPr>
        <w:t>OCDE, en collaboration avec l</w:t>
      </w:r>
      <w:r w:rsidRPr="00B17F01">
        <w:rPr>
          <w:snapToGrid w:val="0"/>
          <w:kern w:val="22"/>
          <w:szCs w:val="22"/>
          <w:lang w:val="fr-CA"/>
        </w:rPr>
        <w:t>es membres du Comité d’assistance au développement (CAD)</w:t>
      </w:r>
      <w:r w:rsidR="004303EA" w:rsidRPr="00B17F01">
        <w:rPr>
          <w:snapToGrid w:val="0"/>
          <w:kern w:val="22"/>
          <w:szCs w:val="22"/>
          <w:lang w:val="fr-CA"/>
        </w:rPr>
        <w:t xml:space="preserve">, a depuis examiné le marqueur de Rio pour la biodiversité afin de mieux aligner le financement pour le développement relatif à la biodiversité sur les récentes avancées au titre du processus de la Convention. </w:t>
      </w:r>
      <w:r w:rsidR="0004187D" w:rsidRPr="00B17F01">
        <w:rPr>
          <w:snapToGrid w:val="0"/>
          <w:kern w:val="22"/>
          <w:szCs w:val="22"/>
          <w:lang w:val="fr-CA"/>
        </w:rPr>
        <w:t>Bien qu’</w:t>
      </w:r>
      <w:r w:rsidR="004303EA" w:rsidRPr="00B17F01">
        <w:rPr>
          <w:snapToGrid w:val="0"/>
          <w:kern w:val="22"/>
          <w:szCs w:val="22"/>
          <w:lang w:val="fr-CA"/>
        </w:rPr>
        <w:t xml:space="preserve">aucune modification ne </w:t>
      </w:r>
      <w:r w:rsidR="004303EA" w:rsidRPr="00B17F01">
        <w:rPr>
          <w:noProof/>
          <w:snapToGrid w:val="0"/>
          <w:kern w:val="22"/>
          <w:szCs w:val="22"/>
          <w:lang w:val="fr-CA"/>
        </w:rPr>
        <w:t>sera apportée</w:t>
      </w:r>
      <w:r w:rsidR="004303EA" w:rsidRPr="00B17F01">
        <w:rPr>
          <w:snapToGrid w:val="0"/>
          <w:kern w:val="22"/>
          <w:szCs w:val="22"/>
          <w:lang w:val="fr-CA"/>
        </w:rPr>
        <w:t xml:space="preserve"> à la définition du marqueur, les critère</w:t>
      </w:r>
      <w:r w:rsidR="005519D3" w:rsidRPr="00B17F01">
        <w:rPr>
          <w:snapToGrid w:val="0"/>
          <w:kern w:val="22"/>
          <w:szCs w:val="22"/>
          <w:lang w:val="fr-CA"/>
        </w:rPr>
        <w:t>s</w:t>
      </w:r>
      <w:r w:rsidR="004303EA" w:rsidRPr="00B17F01">
        <w:rPr>
          <w:snapToGrid w:val="0"/>
          <w:kern w:val="22"/>
          <w:szCs w:val="22"/>
          <w:lang w:val="fr-CA"/>
        </w:rPr>
        <w:t xml:space="preserve"> d’admissibilité complémentaires seront ajustés pour refléter</w:t>
      </w:r>
      <w:r w:rsidR="005519D3" w:rsidRPr="00B17F01">
        <w:rPr>
          <w:snapToGrid w:val="0"/>
          <w:kern w:val="22"/>
          <w:szCs w:val="22"/>
          <w:lang w:val="fr-CA"/>
        </w:rPr>
        <w:t xml:space="preserve"> les </w:t>
      </w:r>
      <w:r w:rsidR="0004187D" w:rsidRPr="00B17F01">
        <w:rPr>
          <w:snapToGrid w:val="0"/>
          <w:kern w:val="22"/>
          <w:szCs w:val="22"/>
          <w:lang w:val="fr-CA"/>
        </w:rPr>
        <w:t>Objectifs</w:t>
      </w:r>
      <w:r w:rsidR="005519D3" w:rsidRPr="00B17F01">
        <w:rPr>
          <w:snapToGrid w:val="0"/>
          <w:kern w:val="22"/>
          <w:szCs w:val="22"/>
          <w:lang w:val="fr-CA"/>
        </w:rPr>
        <w:t xml:space="preserve"> d’Aichi pour la biodiversité et l’</w:t>
      </w:r>
      <w:r w:rsidR="0004187D" w:rsidRPr="00B17F01">
        <w:rPr>
          <w:snapToGrid w:val="0"/>
          <w:kern w:val="22"/>
          <w:szCs w:val="22"/>
          <w:lang w:val="fr-CA"/>
        </w:rPr>
        <w:t xml:space="preserve">objectif 15 de développement durable. Les changements proposés seront examinés par le Groupe de travail sur les statistiques du comité </w:t>
      </w:r>
      <w:r w:rsidR="00756186" w:rsidRPr="00B17F01">
        <w:rPr>
          <w:snapToGrid w:val="0"/>
          <w:kern w:val="22"/>
          <w:szCs w:val="22"/>
          <w:lang w:val="fr-CA"/>
        </w:rPr>
        <w:t xml:space="preserve">de </w:t>
      </w:r>
      <w:r w:rsidR="0004187D" w:rsidRPr="00B17F01">
        <w:rPr>
          <w:snapToGrid w:val="0"/>
          <w:kern w:val="22"/>
          <w:szCs w:val="22"/>
          <w:lang w:val="fr-CA"/>
        </w:rPr>
        <w:t>l’OCDE</w:t>
      </w:r>
      <w:r w:rsidR="00756186" w:rsidRPr="00B17F01">
        <w:rPr>
          <w:snapToGrid w:val="0"/>
          <w:kern w:val="22"/>
          <w:szCs w:val="22"/>
          <w:lang w:val="fr-CA"/>
        </w:rPr>
        <w:t xml:space="preserve"> en juin 2018, en vue d’appliquer ces ajustements aux données</w:t>
      </w:r>
      <w:r w:rsidR="000F50E4" w:rsidRPr="00B17F01">
        <w:rPr>
          <w:snapToGrid w:val="0"/>
          <w:kern w:val="22"/>
          <w:szCs w:val="22"/>
          <w:lang w:val="fr-CA"/>
        </w:rPr>
        <w:t xml:space="preserve"> rapportées à partir de 2019. Afin de faciliter et de mieux harmoniser l’établissement de rapports par les membres du CAD, un tableau contenant des exemples d’application du marqueur à divers secteurs est en cours d’élaboration.</w:t>
      </w:r>
    </w:p>
    <w:p w:rsidR="00084813" w:rsidRPr="00B17F01" w:rsidRDefault="000F50E4" w:rsidP="00F60AC6">
      <w:pPr>
        <w:numPr>
          <w:ilvl w:val="0"/>
          <w:numId w:val="19"/>
        </w:numPr>
        <w:spacing w:after="120"/>
        <w:ind w:left="0" w:firstLine="0"/>
        <w:rPr>
          <w:snapToGrid w:val="0"/>
          <w:kern w:val="22"/>
          <w:szCs w:val="22"/>
          <w:lang w:val="fr-CA"/>
        </w:rPr>
      </w:pPr>
      <w:r w:rsidRPr="00B17F01">
        <w:rPr>
          <w:snapToGrid w:val="0"/>
          <w:kern w:val="22"/>
          <w:szCs w:val="22"/>
          <w:lang w:val="fr-CA"/>
        </w:rPr>
        <w:t>Au paragraphe 14 de la décision </w:t>
      </w:r>
      <w:r w:rsidR="00084813" w:rsidRPr="00B17F01">
        <w:rPr>
          <w:snapToGrid w:val="0"/>
          <w:kern w:val="22"/>
          <w:szCs w:val="22"/>
          <w:lang w:val="fr-CA"/>
        </w:rPr>
        <w:t>XIII/20,</w:t>
      </w:r>
      <w:r w:rsidRPr="00B17F01">
        <w:rPr>
          <w:snapToGrid w:val="0"/>
          <w:kern w:val="22"/>
          <w:szCs w:val="22"/>
          <w:lang w:val="fr-CA"/>
        </w:rPr>
        <w:t xml:space="preserve"> la Conférence des Parties a pris acte </w:t>
      </w:r>
      <w:r w:rsidRPr="00B17F01">
        <w:rPr>
          <w:snapToGrid w:val="0"/>
          <w:kern w:val="22"/>
          <w:szCs w:val="22"/>
          <w:lang w:val="fr-CA" w:bidi="fr-FR"/>
        </w:rPr>
        <w:t>des travaux menés par les banques multilatérales de développement en vue d’assurer le suivi et d’établir des rapports concernant les flux financiers multilatéraux liés à la biodiversité, et</w:t>
      </w:r>
      <w:r w:rsidR="00985599" w:rsidRPr="00B17F01">
        <w:rPr>
          <w:snapToGrid w:val="0"/>
          <w:kern w:val="22"/>
          <w:szCs w:val="22"/>
          <w:lang w:val="fr-CA" w:bidi="fr-FR"/>
        </w:rPr>
        <w:t xml:space="preserve"> </w:t>
      </w:r>
      <w:r w:rsidRPr="00B17F01">
        <w:rPr>
          <w:snapToGrid w:val="0"/>
          <w:kern w:val="22"/>
          <w:szCs w:val="22"/>
          <w:lang w:val="fr-CA" w:bidi="fr-FR"/>
        </w:rPr>
        <w:t xml:space="preserve">a </w:t>
      </w:r>
      <w:r w:rsidRPr="00B17F01">
        <w:rPr>
          <w:iCs/>
          <w:snapToGrid w:val="0"/>
          <w:kern w:val="22"/>
          <w:szCs w:val="22"/>
          <w:lang w:val="fr-CA" w:bidi="fr-FR"/>
        </w:rPr>
        <w:t>encouragé</w:t>
      </w:r>
      <w:r w:rsidRPr="00B17F01">
        <w:rPr>
          <w:snapToGrid w:val="0"/>
          <w:kern w:val="22"/>
          <w:szCs w:val="22"/>
          <w:lang w:val="fr-CA" w:bidi="fr-FR"/>
        </w:rPr>
        <w:t xml:space="preserve"> ces institutions à accélérer ces travaux</w:t>
      </w:r>
      <w:r w:rsidR="00985599" w:rsidRPr="00B17F01">
        <w:rPr>
          <w:snapToGrid w:val="0"/>
          <w:kern w:val="22"/>
          <w:szCs w:val="22"/>
          <w:lang w:val="fr-CA" w:bidi="fr-FR"/>
        </w:rPr>
        <w:t>. Ces derniers</w:t>
      </w:r>
      <w:r w:rsidRPr="00B17F01">
        <w:rPr>
          <w:snapToGrid w:val="0"/>
          <w:kern w:val="22"/>
          <w:szCs w:val="22"/>
          <w:lang w:val="fr-CA" w:bidi="fr-FR"/>
        </w:rPr>
        <w:t xml:space="preserve">, menés par la </w:t>
      </w:r>
      <w:r w:rsidRPr="00B17F01">
        <w:rPr>
          <w:rStyle w:val="preferred"/>
          <w:lang w:val="fr-CA"/>
        </w:rPr>
        <w:t>Banque européenne d’investissement</w:t>
      </w:r>
      <w:r w:rsidRPr="00B17F01">
        <w:rPr>
          <w:snapToGrid w:val="0"/>
          <w:kern w:val="22"/>
          <w:szCs w:val="22"/>
          <w:lang w:val="fr-CA"/>
        </w:rPr>
        <w:t xml:space="preserve"> (BEI), </w:t>
      </w:r>
      <w:r w:rsidRPr="00B17F01">
        <w:rPr>
          <w:snapToGrid w:val="0"/>
          <w:kern w:val="22"/>
          <w:szCs w:val="22"/>
          <w:lang w:val="fr-CA" w:bidi="fr-FR"/>
        </w:rPr>
        <w:t>se sont poursuivis</w:t>
      </w:r>
      <w:r w:rsidRPr="00B17F01">
        <w:rPr>
          <w:snapToGrid w:val="0"/>
          <w:kern w:val="22"/>
          <w:szCs w:val="22"/>
          <w:lang w:val="fr-CA"/>
        </w:rPr>
        <w:t xml:space="preserve"> mais n’ont pas encore abouti </w:t>
      </w:r>
      <w:r w:rsidR="00985599" w:rsidRPr="00B17F01">
        <w:rPr>
          <w:snapToGrid w:val="0"/>
          <w:kern w:val="22"/>
          <w:szCs w:val="22"/>
          <w:lang w:val="fr-CA"/>
        </w:rPr>
        <w:t>à une méthodologie convenue</w:t>
      </w:r>
      <w:r w:rsidRPr="00B17F01">
        <w:rPr>
          <w:snapToGrid w:val="0"/>
          <w:kern w:val="22"/>
          <w:szCs w:val="22"/>
          <w:lang w:val="fr-CA"/>
        </w:rPr>
        <w:t>.</w:t>
      </w:r>
    </w:p>
    <w:p w:rsidR="00084813" w:rsidRPr="00B17F01" w:rsidRDefault="0009121B" w:rsidP="00E33AF0">
      <w:pPr>
        <w:numPr>
          <w:ilvl w:val="0"/>
          <w:numId w:val="19"/>
        </w:numPr>
        <w:spacing w:after="120"/>
        <w:ind w:left="0" w:firstLine="0"/>
        <w:rPr>
          <w:snapToGrid w:val="0"/>
          <w:kern w:val="22"/>
          <w:szCs w:val="22"/>
          <w:lang w:val="fr-CA"/>
        </w:rPr>
      </w:pPr>
      <w:r w:rsidRPr="00B17F01">
        <w:rPr>
          <w:snapToGrid w:val="0"/>
          <w:kern w:val="22"/>
          <w:szCs w:val="22"/>
          <w:lang w:val="fr-CA"/>
        </w:rPr>
        <w:t>Au paragraphe </w:t>
      </w:r>
      <w:r w:rsidR="00084813" w:rsidRPr="00B17F01">
        <w:rPr>
          <w:snapToGrid w:val="0"/>
          <w:kern w:val="22"/>
          <w:szCs w:val="22"/>
          <w:lang w:val="fr-CA"/>
        </w:rPr>
        <w:t xml:space="preserve">17 </w:t>
      </w:r>
      <w:r w:rsidRPr="00B17F01">
        <w:rPr>
          <w:snapToGrid w:val="0"/>
          <w:kern w:val="22"/>
          <w:szCs w:val="22"/>
          <w:lang w:val="fr-CA"/>
        </w:rPr>
        <w:t>de la décision </w:t>
      </w:r>
      <w:r w:rsidR="00084813" w:rsidRPr="00B17F01">
        <w:rPr>
          <w:snapToGrid w:val="0"/>
          <w:kern w:val="22"/>
          <w:szCs w:val="22"/>
          <w:lang w:val="fr-CA"/>
        </w:rPr>
        <w:t>XIII/20,</w:t>
      </w:r>
      <w:r w:rsidRPr="00B17F01">
        <w:rPr>
          <w:snapToGrid w:val="0"/>
          <w:kern w:val="22"/>
          <w:szCs w:val="22"/>
          <w:lang w:val="fr-CA"/>
        </w:rPr>
        <w:t xml:space="preserve"> la Conférence des Parties a prié le Secrétaire exécutif </w:t>
      </w:r>
      <w:r w:rsidRPr="00B17F01">
        <w:rPr>
          <w:snapToGrid w:val="0"/>
          <w:kern w:val="22"/>
          <w:szCs w:val="22"/>
          <w:lang w:val="fr-CA" w:bidi="fr-FR"/>
        </w:rPr>
        <w:t xml:space="preserve">d’étudier, par le biais du Groupe de réflexion </w:t>
      </w:r>
      <w:r w:rsidRPr="00B17F01">
        <w:rPr>
          <w:noProof/>
          <w:snapToGrid w:val="0"/>
          <w:kern w:val="22"/>
          <w:szCs w:val="22"/>
          <w:lang w:val="fr-CA" w:bidi="fr-FR"/>
        </w:rPr>
        <w:t xml:space="preserve">interinstitutions </w:t>
      </w:r>
      <w:r w:rsidRPr="00B17F01">
        <w:rPr>
          <w:snapToGrid w:val="0"/>
          <w:kern w:val="22"/>
          <w:szCs w:val="22"/>
          <w:lang w:val="fr-CA" w:bidi="fr-FR"/>
        </w:rPr>
        <w:t>sur le financement du développement, la possibilité de relier les rapports financiers établis au titre de la Convention au nouveau processus de surveillance pour le suivi et l’examen des engagements pris dans le cadre</w:t>
      </w:r>
      <w:r w:rsidR="00F60AC6" w:rsidRPr="00B17F01">
        <w:rPr>
          <w:snapToGrid w:val="0"/>
          <w:kern w:val="22"/>
          <w:szCs w:val="22"/>
          <w:lang w:val="fr-CA" w:bidi="fr-FR"/>
        </w:rPr>
        <w:t xml:space="preserve"> du Programme d’action d’Addis</w:t>
      </w:r>
      <w:r w:rsidR="00F60AC6" w:rsidRPr="00B17F01">
        <w:rPr>
          <w:snapToGrid w:val="0"/>
          <w:kern w:val="22"/>
          <w:szCs w:val="22"/>
          <w:lang w:val="fr-CA" w:bidi="fr-FR"/>
        </w:rPr>
        <w:noBreakHyphen/>
        <w:t>Abeba, adopté au cours de</w:t>
      </w:r>
      <w:r w:rsidR="00AA48C2" w:rsidRPr="00B17F01">
        <w:rPr>
          <w:snapToGrid w:val="0"/>
          <w:kern w:val="22"/>
          <w:szCs w:val="22"/>
          <w:lang w:val="fr-CA" w:bidi="fr-FR"/>
        </w:rPr>
        <w:t xml:space="preserve"> la troisième C</w:t>
      </w:r>
      <w:r w:rsidR="00F60AC6" w:rsidRPr="00B17F01">
        <w:rPr>
          <w:snapToGrid w:val="0"/>
          <w:kern w:val="22"/>
          <w:szCs w:val="22"/>
          <w:lang w:val="fr-CA" w:bidi="fr-FR"/>
        </w:rPr>
        <w:t>onférence</w:t>
      </w:r>
      <w:r w:rsidR="00AA48C2" w:rsidRPr="00B17F01">
        <w:rPr>
          <w:snapToGrid w:val="0"/>
          <w:kern w:val="22"/>
          <w:szCs w:val="22"/>
          <w:lang w:val="fr-CA" w:bidi="fr-FR"/>
        </w:rPr>
        <w:t xml:space="preserve"> internationale</w:t>
      </w:r>
      <w:r w:rsidR="00F60AC6" w:rsidRPr="00B17F01">
        <w:rPr>
          <w:snapToGrid w:val="0"/>
          <w:kern w:val="22"/>
          <w:szCs w:val="22"/>
          <w:lang w:val="fr-CA" w:bidi="fr-FR"/>
        </w:rPr>
        <w:t xml:space="preserve"> sur le financement du développement (Addis</w:t>
      </w:r>
      <w:r w:rsidR="00F60AC6" w:rsidRPr="00B17F01">
        <w:rPr>
          <w:snapToGrid w:val="0"/>
          <w:kern w:val="22"/>
          <w:szCs w:val="22"/>
          <w:lang w:val="fr-CA" w:bidi="fr-FR"/>
        </w:rPr>
        <w:noBreakHyphen/>
        <w:t>Abeba, 13</w:t>
      </w:r>
      <w:r w:rsidR="00F60AC6" w:rsidRPr="00B17F01">
        <w:rPr>
          <w:snapToGrid w:val="0"/>
          <w:kern w:val="22"/>
          <w:szCs w:val="22"/>
          <w:lang w:val="fr-CA" w:bidi="fr-FR"/>
        </w:rPr>
        <w:noBreakHyphen/>
        <w:t xml:space="preserve">15 juillet 2015) et </w:t>
      </w:r>
      <w:r w:rsidR="00AA48C2" w:rsidRPr="00B17F01">
        <w:rPr>
          <w:snapToGrid w:val="0"/>
          <w:kern w:val="22"/>
          <w:szCs w:val="22"/>
          <w:lang w:val="fr-CA" w:bidi="fr-FR"/>
        </w:rPr>
        <w:t xml:space="preserve">approuvé par l’Assemblée générale dans sa </w:t>
      </w:r>
      <w:r w:rsidR="00AA48C2" w:rsidRPr="00B17F01">
        <w:rPr>
          <w:snapToGrid w:val="0"/>
          <w:kern w:val="22"/>
          <w:szCs w:val="22"/>
          <w:lang w:val="fr-CA"/>
        </w:rPr>
        <w:t>résolution </w:t>
      </w:r>
      <w:hyperlink r:id="rId15" w:history="1">
        <w:r w:rsidR="00AA48C2" w:rsidRPr="00B17F01">
          <w:rPr>
            <w:rStyle w:val="Hyperlink"/>
            <w:snapToGrid w:val="0"/>
            <w:kern w:val="22"/>
            <w:sz w:val="22"/>
            <w:szCs w:val="22"/>
            <w:lang w:val="fr-CA"/>
          </w:rPr>
          <w:t>69/313</w:t>
        </w:r>
      </w:hyperlink>
      <w:r w:rsidR="00AA48C2" w:rsidRPr="00B17F01">
        <w:rPr>
          <w:snapToGrid w:val="0"/>
          <w:kern w:val="22"/>
          <w:szCs w:val="22"/>
          <w:lang w:val="fr-CA"/>
        </w:rPr>
        <w:t xml:space="preserve"> du 27 juillet 2015</w:t>
      </w:r>
      <w:r w:rsidRPr="00B17F01">
        <w:rPr>
          <w:snapToGrid w:val="0"/>
          <w:kern w:val="22"/>
          <w:szCs w:val="22"/>
          <w:lang w:val="fr-CA" w:bidi="fr-FR"/>
        </w:rPr>
        <w:t>,</w:t>
      </w:r>
      <w:r w:rsidR="007443FF" w:rsidRPr="00B17F01">
        <w:rPr>
          <w:rStyle w:val="FootnoteReference"/>
          <w:snapToGrid w:val="0"/>
          <w:kern w:val="22"/>
          <w:szCs w:val="22"/>
          <w:lang w:val="fr-CA"/>
        </w:rPr>
        <w:footnoteReference w:id="19"/>
      </w:r>
      <w:r w:rsidR="007443FF" w:rsidRPr="00B17F01">
        <w:rPr>
          <w:snapToGrid w:val="0"/>
          <w:kern w:val="22"/>
          <w:szCs w:val="22"/>
          <w:lang w:val="fr-CA"/>
        </w:rPr>
        <w:t xml:space="preserve"> et de mettre à jour, selon qu’il convient, les orientations fournies dans le rapport </w:t>
      </w:r>
      <w:r w:rsidR="00AA48C2" w:rsidRPr="00B17F01">
        <w:rPr>
          <w:snapToGrid w:val="0"/>
          <w:kern w:val="22"/>
          <w:szCs w:val="22"/>
          <w:lang w:val="fr-CA"/>
        </w:rPr>
        <w:t>de l’atelier international d’experts techniques sur l’identification, l’évaluation, la compilation et l’agrégation des investissements et impacts nationaux relatifs à la diversité biologique (Mexico, 5</w:t>
      </w:r>
      <w:r w:rsidR="00AA48C2" w:rsidRPr="00B17F01">
        <w:rPr>
          <w:snapToGrid w:val="0"/>
          <w:kern w:val="22"/>
          <w:szCs w:val="22"/>
          <w:lang w:val="fr-CA"/>
        </w:rPr>
        <w:noBreakHyphen/>
        <w:t>7 mai 2015)</w:t>
      </w:r>
      <w:r w:rsidR="00AA48C2" w:rsidRPr="00B17F01">
        <w:rPr>
          <w:rStyle w:val="FootnoteReference"/>
          <w:snapToGrid w:val="0"/>
          <w:kern w:val="22"/>
          <w:szCs w:val="22"/>
          <w:lang w:val="fr-CA"/>
        </w:rPr>
        <w:footnoteReference w:id="20"/>
      </w:r>
      <w:r w:rsidR="00DC1836" w:rsidRPr="00B17F01">
        <w:rPr>
          <w:snapToGrid w:val="0"/>
          <w:kern w:val="22"/>
          <w:szCs w:val="22"/>
          <w:lang w:val="fr-CA"/>
        </w:rPr>
        <w:t xml:space="preserve"> </w:t>
      </w:r>
      <w:r w:rsidR="007443FF" w:rsidRPr="00B17F01">
        <w:rPr>
          <w:snapToGrid w:val="0"/>
          <w:kern w:val="22"/>
          <w:szCs w:val="22"/>
          <w:lang w:val="fr-CA"/>
        </w:rPr>
        <w:t xml:space="preserve">en </w:t>
      </w:r>
      <w:r w:rsidR="00DC1836" w:rsidRPr="00B17F01">
        <w:rPr>
          <w:snapToGrid w:val="0"/>
          <w:kern w:val="22"/>
          <w:szCs w:val="22"/>
          <w:lang w:val="fr-CA"/>
        </w:rPr>
        <w:t>tenant compte de</w:t>
      </w:r>
      <w:r w:rsidR="007443FF" w:rsidRPr="00B17F01">
        <w:rPr>
          <w:snapToGrid w:val="0"/>
          <w:kern w:val="22"/>
          <w:szCs w:val="22"/>
          <w:lang w:val="fr-CA"/>
        </w:rPr>
        <w:t xml:space="preserve"> toute nouvelle information méthodologique. P</w:t>
      </w:r>
      <w:r w:rsidR="00DC1836" w:rsidRPr="00B17F01">
        <w:rPr>
          <w:snapToGrid w:val="0"/>
          <w:kern w:val="22"/>
          <w:szCs w:val="22"/>
          <w:lang w:val="fr-CA"/>
        </w:rPr>
        <w:t>our donner suite à ces demandes</w:t>
      </w:r>
      <w:r w:rsidR="007443FF" w:rsidRPr="00B17F01">
        <w:rPr>
          <w:snapToGrid w:val="0"/>
          <w:kern w:val="22"/>
          <w:szCs w:val="22"/>
          <w:lang w:val="fr-CA"/>
        </w:rPr>
        <w:t xml:space="preserve"> ainsi qu’aux consultations avec le secrétariat du </w:t>
      </w:r>
      <w:r w:rsidR="007443FF" w:rsidRPr="00B17F01">
        <w:rPr>
          <w:rStyle w:val="preferred"/>
          <w:lang w:val="fr-CA"/>
        </w:rPr>
        <w:t>Groupe</w:t>
      </w:r>
      <w:r w:rsidR="00DC1836" w:rsidRPr="00B17F01">
        <w:rPr>
          <w:rStyle w:val="preferred"/>
          <w:lang w:val="fr-CA"/>
        </w:rPr>
        <w:t xml:space="preserve"> de réflexion </w:t>
      </w:r>
      <w:proofErr w:type="spellStart"/>
      <w:r w:rsidR="00DC1836" w:rsidRPr="00B17F01">
        <w:rPr>
          <w:rStyle w:val="preferred"/>
          <w:lang w:val="fr-CA"/>
        </w:rPr>
        <w:t>interinstitutions</w:t>
      </w:r>
      <w:proofErr w:type="spellEnd"/>
      <w:r w:rsidR="00DC1836" w:rsidRPr="00B17F01">
        <w:rPr>
          <w:rStyle w:val="preferred"/>
          <w:lang w:val="fr-CA"/>
        </w:rPr>
        <w:t xml:space="preserve">, </w:t>
      </w:r>
      <w:r w:rsidR="007443FF" w:rsidRPr="00B17F01">
        <w:rPr>
          <w:rStyle w:val="preferred"/>
          <w:lang w:val="fr-CA"/>
        </w:rPr>
        <w:t xml:space="preserve">des liens au </w:t>
      </w:r>
      <w:r w:rsidR="00D01571" w:rsidRPr="00B17F01">
        <w:rPr>
          <w:rStyle w:val="preferred"/>
          <w:lang w:val="fr-CA"/>
        </w:rPr>
        <w:t>cadre de présentation des rapports financiers ainsi que les analyses effectuées au titre de la Convention ont été fournis p</w:t>
      </w:r>
      <w:r w:rsidR="003306FE" w:rsidRPr="00B17F01">
        <w:rPr>
          <w:rStyle w:val="preferred"/>
          <w:lang w:val="fr-CA"/>
        </w:rPr>
        <w:t>our aider</w:t>
      </w:r>
      <w:r w:rsidR="00D01571" w:rsidRPr="00B17F01">
        <w:rPr>
          <w:rStyle w:val="preferred"/>
          <w:lang w:val="fr-CA"/>
        </w:rPr>
        <w:t xml:space="preserve"> à la préparation du rapport annuel 2018 du</w:t>
      </w:r>
      <w:r w:rsidR="007443FF" w:rsidRPr="00B17F01">
        <w:rPr>
          <w:snapToGrid w:val="0"/>
          <w:kern w:val="22"/>
          <w:szCs w:val="22"/>
          <w:lang w:val="fr-CA"/>
        </w:rPr>
        <w:t xml:space="preserve"> </w:t>
      </w:r>
      <w:r w:rsidR="00D01571" w:rsidRPr="00B17F01">
        <w:rPr>
          <w:rStyle w:val="preferred"/>
          <w:lang w:val="fr-CA"/>
        </w:rPr>
        <w:t xml:space="preserve">Groupe de réflexion </w:t>
      </w:r>
      <w:proofErr w:type="spellStart"/>
      <w:r w:rsidR="00D01571" w:rsidRPr="00B17F01">
        <w:rPr>
          <w:rStyle w:val="preferred"/>
          <w:lang w:val="fr-CA"/>
        </w:rPr>
        <w:t>interinstitutions</w:t>
      </w:r>
      <w:proofErr w:type="spellEnd"/>
      <w:r w:rsidR="00D01571" w:rsidRPr="00B17F01">
        <w:rPr>
          <w:rStyle w:val="preferred"/>
          <w:lang w:val="fr-CA"/>
        </w:rPr>
        <w:t>.</w:t>
      </w:r>
      <w:r w:rsidR="00DC1836" w:rsidRPr="00B17F01">
        <w:rPr>
          <w:rStyle w:val="FootnoteReference"/>
          <w:snapToGrid w:val="0"/>
          <w:kern w:val="22"/>
          <w:szCs w:val="22"/>
          <w:lang w:val="fr-CA"/>
        </w:rPr>
        <w:t xml:space="preserve"> </w:t>
      </w:r>
      <w:r w:rsidR="00DC1836" w:rsidRPr="00B17F01">
        <w:rPr>
          <w:rStyle w:val="FootnoteReference"/>
          <w:snapToGrid w:val="0"/>
          <w:kern w:val="22"/>
          <w:szCs w:val="22"/>
          <w:lang w:val="fr-CA"/>
        </w:rPr>
        <w:footnoteReference w:id="21"/>
      </w:r>
      <w:r w:rsidR="00DC1836" w:rsidRPr="00B17F01">
        <w:rPr>
          <w:snapToGrid w:val="0"/>
          <w:kern w:val="22"/>
          <w:szCs w:val="22"/>
          <w:lang w:val="fr-CA"/>
        </w:rPr>
        <w:t xml:space="preserve"> </w:t>
      </w:r>
      <w:r w:rsidR="003B7F5E" w:rsidRPr="00B17F01">
        <w:rPr>
          <w:snapToGrid w:val="0"/>
          <w:kern w:val="22"/>
          <w:szCs w:val="22"/>
          <w:lang w:val="fr-CA"/>
        </w:rPr>
        <w:t>Ces informations ont été incluses dans la section sur l’objectif 15 de développement durable</w:t>
      </w:r>
      <w:r w:rsidR="00E97DE7" w:rsidRPr="00B17F01">
        <w:rPr>
          <w:snapToGrid w:val="0"/>
          <w:kern w:val="22"/>
          <w:szCs w:val="22"/>
          <w:lang w:val="fr-CA"/>
        </w:rPr>
        <w:t xml:space="preserve"> du rapport 2018 du </w:t>
      </w:r>
      <w:r w:rsidR="00DC1836" w:rsidRPr="00B17F01">
        <w:rPr>
          <w:rStyle w:val="preferred"/>
          <w:lang w:val="fr-CA"/>
        </w:rPr>
        <w:t xml:space="preserve">Groupe de réflexion </w:t>
      </w:r>
      <w:proofErr w:type="spellStart"/>
      <w:r w:rsidR="00DC1836" w:rsidRPr="00B17F01">
        <w:rPr>
          <w:rStyle w:val="preferred"/>
          <w:lang w:val="fr-CA"/>
        </w:rPr>
        <w:t>interinstitutions</w:t>
      </w:r>
      <w:proofErr w:type="spellEnd"/>
      <w:r w:rsidR="00E97DE7" w:rsidRPr="00B17F01">
        <w:rPr>
          <w:snapToGrid w:val="0"/>
          <w:kern w:val="22"/>
          <w:szCs w:val="22"/>
          <w:lang w:val="fr-CA"/>
        </w:rPr>
        <w:t xml:space="preserve"> et dans l’annexe en ligne du rapport.</w:t>
      </w:r>
      <w:r w:rsidR="00DC1836" w:rsidRPr="00B17F01">
        <w:rPr>
          <w:rStyle w:val="FootnoteReference"/>
          <w:snapToGrid w:val="0"/>
          <w:kern w:val="22"/>
          <w:szCs w:val="22"/>
          <w:lang w:val="fr-CA"/>
        </w:rPr>
        <w:t xml:space="preserve"> </w:t>
      </w:r>
      <w:r w:rsidR="00DC1836" w:rsidRPr="00B17F01">
        <w:rPr>
          <w:rStyle w:val="FootnoteReference"/>
          <w:snapToGrid w:val="0"/>
          <w:kern w:val="22"/>
          <w:szCs w:val="22"/>
          <w:lang w:val="fr-CA"/>
        </w:rPr>
        <w:footnoteReference w:id="22"/>
      </w:r>
      <w:r w:rsidR="00E97DE7" w:rsidRPr="00B17F01">
        <w:rPr>
          <w:snapToGrid w:val="0"/>
          <w:kern w:val="22"/>
          <w:szCs w:val="22"/>
          <w:lang w:val="fr-CA"/>
        </w:rPr>
        <w:t xml:space="preserve"> La nécessité d’actualiser les orientations figurant dans le rapport sur la méthodologie</w:t>
      </w:r>
      <w:r w:rsidR="003B7F5E" w:rsidRPr="00B17F01">
        <w:rPr>
          <w:snapToGrid w:val="0"/>
          <w:kern w:val="22"/>
          <w:szCs w:val="22"/>
          <w:lang w:val="fr-CA"/>
        </w:rPr>
        <w:t xml:space="preserve"> </w:t>
      </w:r>
      <w:proofErr w:type="spellStart"/>
      <w:r w:rsidR="00E97DE7" w:rsidRPr="00B17F01">
        <w:rPr>
          <w:snapToGrid w:val="0"/>
          <w:kern w:val="22"/>
          <w:szCs w:val="22"/>
          <w:lang w:val="fr-CA"/>
        </w:rPr>
        <w:t>e</w:t>
      </w:r>
      <w:r w:rsidR="00DC1836" w:rsidRPr="00B17F01">
        <w:rPr>
          <w:snapToGrid w:val="0"/>
          <w:kern w:val="22"/>
          <w:szCs w:val="22"/>
          <w:lang w:val="fr-CA"/>
        </w:rPr>
        <w:t>fait</w:t>
      </w:r>
      <w:proofErr w:type="spellEnd"/>
      <w:r w:rsidR="00DC1836" w:rsidRPr="00B17F01">
        <w:rPr>
          <w:snapToGrid w:val="0"/>
          <w:kern w:val="22"/>
          <w:szCs w:val="22"/>
          <w:lang w:val="fr-CA"/>
        </w:rPr>
        <w:t xml:space="preserve"> l’objet d’un suivi continu.</w:t>
      </w:r>
    </w:p>
    <w:p w:rsidR="00084813" w:rsidRPr="00B17F01" w:rsidRDefault="00EE73FB" w:rsidP="00256628">
      <w:pPr>
        <w:pStyle w:val="Heading2"/>
        <w:numPr>
          <w:ilvl w:val="0"/>
          <w:numId w:val="21"/>
        </w:numPr>
        <w:tabs>
          <w:tab w:val="clear" w:pos="720"/>
          <w:tab w:val="left" w:pos="1418"/>
        </w:tabs>
        <w:ind w:left="1418" w:right="531" w:hanging="567"/>
        <w:jc w:val="left"/>
        <w:rPr>
          <w:snapToGrid w:val="0"/>
          <w:kern w:val="22"/>
          <w:lang w:val="fr-CA"/>
        </w:rPr>
      </w:pPr>
      <w:r w:rsidRPr="00B17F01">
        <w:rPr>
          <w:iCs w:val="0"/>
          <w:snapToGrid w:val="0"/>
          <w:kern w:val="22"/>
          <w:szCs w:val="22"/>
          <w:lang w:val="fr-CA" w:bidi="fr-FR"/>
        </w:rPr>
        <w:lastRenderedPageBreak/>
        <w:t xml:space="preserve">Mesures collectives des peuples autochtones et des communautés locales et </w:t>
      </w:r>
      <w:r w:rsidR="00256628" w:rsidRPr="00B17F01">
        <w:rPr>
          <w:iCs w:val="0"/>
          <w:snapToGrid w:val="0"/>
          <w:kern w:val="22"/>
          <w:szCs w:val="22"/>
          <w:lang w:val="fr-CA" w:bidi="fr-FR"/>
        </w:rPr>
        <w:t>sauvegardes</w:t>
      </w:r>
      <w:r w:rsidRPr="00B17F01">
        <w:rPr>
          <w:iCs w:val="0"/>
          <w:snapToGrid w:val="0"/>
          <w:kern w:val="22"/>
          <w:szCs w:val="22"/>
          <w:lang w:val="fr-CA" w:bidi="fr-FR"/>
        </w:rPr>
        <w:t xml:space="preserve"> dans les mécanismes de financement de la diversité biologique</w:t>
      </w:r>
    </w:p>
    <w:p w:rsidR="00084813" w:rsidRPr="00B17F01" w:rsidRDefault="00AD74EF" w:rsidP="00256628">
      <w:pPr>
        <w:numPr>
          <w:ilvl w:val="0"/>
          <w:numId w:val="19"/>
        </w:numPr>
        <w:spacing w:after="120"/>
        <w:ind w:left="0" w:firstLine="0"/>
        <w:rPr>
          <w:snapToGrid w:val="0"/>
          <w:kern w:val="22"/>
          <w:szCs w:val="22"/>
          <w:lang w:val="fr-CA"/>
        </w:rPr>
      </w:pPr>
      <w:r w:rsidRPr="00B17F01">
        <w:rPr>
          <w:snapToGrid w:val="0"/>
          <w:kern w:val="22"/>
          <w:szCs w:val="22"/>
          <w:lang w:val="fr-CA"/>
        </w:rPr>
        <w:t>La décision </w:t>
      </w:r>
      <w:r w:rsidR="00084813" w:rsidRPr="00B17F01">
        <w:rPr>
          <w:snapToGrid w:val="0"/>
          <w:kern w:val="22"/>
          <w:szCs w:val="22"/>
          <w:lang w:val="fr-CA"/>
        </w:rPr>
        <w:t>XIII/20 cont</w:t>
      </w:r>
      <w:r w:rsidRPr="00B17F01">
        <w:rPr>
          <w:snapToGrid w:val="0"/>
          <w:kern w:val="22"/>
          <w:szCs w:val="22"/>
          <w:lang w:val="fr-CA"/>
        </w:rPr>
        <w:t>ient</w:t>
      </w:r>
      <w:r w:rsidR="00174912" w:rsidRPr="00B17F01">
        <w:rPr>
          <w:rStyle w:val="FootnoteReference"/>
          <w:snapToGrid w:val="0"/>
          <w:kern w:val="22"/>
          <w:szCs w:val="22"/>
          <w:lang w:val="fr-CA"/>
        </w:rPr>
        <w:footnoteReference w:id="23"/>
      </w:r>
      <w:r w:rsidR="00084813" w:rsidRPr="00B17F01">
        <w:rPr>
          <w:snapToGrid w:val="0"/>
          <w:kern w:val="22"/>
          <w:szCs w:val="22"/>
          <w:lang w:val="fr-CA"/>
        </w:rPr>
        <w:t xml:space="preserve"> </w:t>
      </w:r>
      <w:r w:rsidRPr="00B17F01">
        <w:rPr>
          <w:snapToGrid w:val="0"/>
          <w:kern w:val="22"/>
          <w:szCs w:val="22"/>
          <w:lang w:val="fr-CA"/>
        </w:rPr>
        <w:t>un certain nombre d’invitations pertinentes aux Parties, autres gouvernements, et organisations concernées,</w:t>
      </w:r>
      <w:r w:rsidR="00D73860" w:rsidRPr="00B17F01">
        <w:rPr>
          <w:snapToGrid w:val="0"/>
          <w:kern w:val="22"/>
          <w:szCs w:val="22"/>
          <w:lang w:val="fr-CA"/>
        </w:rPr>
        <w:t xml:space="preserve"> et des demandes associées au Secrétaire exécutif. Un résumé de ces paragraphes opérationnels et des actions entreprises pour y donner suite, ainsi que des éléments d’un projet de recommandation sont fournis dans </w:t>
      </w:r>
      <w:r w:rsidR="00256628" w:rsidRPr="00B17F01">
        <w:rPr>
          <w:snapToGrid w:val="0"/>
          <w:kern w:val="22"/>
          <w:szCs w:val="22"/>
          <w:lang w:val="fr-CA"/>
        </w:rPr>
        <w:t xml:space="preserve">deux notes de la Secrétaire exécutive intitulée </w:t>
      </w:r>
      <w:r w:rsidR="00256628" w:rsidRPr="00B074FA">
        <w:rPr>
          <w:snapToGrid w:val="0"/>
          <w:kern w:val="22"/>
          <w:szCs w:val="22"/>
          <w:lang w:val="fr-CA"/>
        </w:rPr>
        <w:t>Éléments de l’orientation méthodologique pour identifier, suivre et évaluer la contribution des peuples autochtones et des communautés locales</w:t>
      </w:r>
      <w:r w:rsidR="00256628" w:rsidRPr="00B17F01">
        <w:rPr>
          <w:snapToGrid w:val="0"/>
          <w:kern w:val="22"/>
          <w:szCs w:val="22"/>
          <w:lang w:val="fr-CA"/>
        </w:rPr>
        <w:t xml:space="preserve"> (</w:t>
      </w:r>
      <w:hyperlink r:id="rId16" w:history="1">
        <w:r w:rsidR="00256628" w:rsidRPr="00B17F01">
          <w:rPr>
            <w:rStyle w:val="Hyperlink"/>
            <w:snapToGrid w:val="0"/>
            <w:kern w:val="22"/>
            <w:sz w:val="22"/>
            <w:szCs w:val="22"/>
            <w:lang w:val="fr-CA"/>
          </w:rPr>
          <w:t>CBD/SBI/2/19</w:t>
        </w:r>
      </w:hyperlink>
      <w:r w:rsidR="00256628" w:rsidRPr="00B17F01">
        <w:rPr>
          <w:snapToGrid w:val="0"/>
          <w:kern w:val="22"/>
          <w:szCs w:val="22"/>
          <w:lang w:val="fr-CA"/>
        </w:rPr>
        <w:t xml:space="preserve">) et </w:t>
      </w:r>
      <w:r w:rsidR="00256628" w:rsidRPr="00B17F01">
        <w:rPr>
          <w:snapToGrid w:val="0"/>
          <w:color w:val="000000"/>
          <w:spacing w:val="-10"/>
          <w:kern w:val="22"/>
          <w:szCs w:val="22"/>
          <w:lang w:val="fr-CA" w:bidi="fr-FR"/>
        </w:rPr>
        <w:t>Prendre en compte les directives volontaires sur les sauvegardes dans les mécanismes de financement de la diversité biologique lors de la sélection, conception et mise en œuvre des mécanismes de financement de la diversité biologique et lors de l’élaboration de sauvegardes pour des instruments spécifiques (</w:t>
      </w:r>
      <w:hyperlink r:id="rId17" w:history="1">
        <w:r w:rsidR="00256628" w:rsidRPr="00B17F01">
          <w:rPr>
            <w:rStyle w:val="Hyperlink"/>
            <w:snapToGrid w:val="0"/>
            <w:kern w:val="22"/>
            <w:sz w:val="22"/>
            <w:szCs w:val="22"/>
            <w:lang w:val="fr-CA"/>
          </w:rPr>
          <w:t>CBD/SBI/2/20</w:t>
        </w:r>
      </w:hyperlink>
      <w:r w:rsidR="00256628" w:rsidRPr="00B17F01">
        <w:rPr>
          <w:lang w:val="fr-CA"/>
        </w:rPr>
        <w:t>).</w:t>
      </w:r>
    </w:p>
    <w:p w:rsidR="00084813" w:rsidRPr="00B17F01" w:rsidRDefault="005A708A" w:rsidP="00C76478">
      <w:pPr>
        <w:pStyle w:val="Heading2"/>
        <w:numPr>
          <w:ilvl w:val="0"/>
          <w:numId w:val="21"/>
        </w:numPr>
        <w:tabs>
          <w:tab w:val="clear" w:pos="720"/>
        </w:tabs>
        <w:ind w:left="0" w:hanging="11"/>
        <w:rPr>
          <w:snapToGrid w:val="0"/>
          <w:kern w:val="22"/>
          <w:lang w:val="fr-CA"/>
        </w:rPr>
      </w:pPr>
      <w:r w:rsidRPr="00B17F01">
        <w:rPr>
          <w:bCs w:val="0"/>
          <w:snapToGrid w:val="0"/>
          <w:kern w:val="22"/>
          <w:szCs w:val="22"/>
          <w:lang w:val="fr-CA" w:bidi="fr-FR"/>
        </w:rPr>
        <w:t>Principales étapes pour la réalisation complète de l’Objectif 3 d’Aichi pour la biodiversité</w:t>
      </w:r>
    </w:p>
    <w:p w:rsidR="00084813" w:rsidRPr="00B17F01" w:rsidRDefault="005A708A" w:rsidP="007166D4">
      <w:pPr>
        <w:numPr>
          <w:ilvl w:val="0"/>
          <w:numId w:val="19"/>
        </w:numPr>
        <w:spacing w:after="120"/>
        <w:ind w:left="0" w:firstLine="0"/>
        <w:rPr>
          <w:snapToGrid w:val="0"/>
          <w:kern w:val="22"/>
          <w:szCs w:val="22"/>
          <w:lang w:val="fr-CA"/>
        </w:rPr>
      </w:pPr>
      <w:r w:rsidRPr="00B17F01">
        <w:rPr>
          <w:snapToGrid w:val="0"/>
          <w:kern w:val="22"/>
          <w:szCs w:val="22"/>
          <w:lang w:val="fr-CA"/>
        </w:rPr>
        <w:t>Au paragraphe </w:t>
      </w:r>
      <w:r w:rsidR="00084813" w:rsidRPr="00B17F01">
        <w:rPr>
          <w:snapToGrid w:val="0"/>
          <w:kern w:val="22"/>
          <w:szCs w:val="22"/>
          <w:lang w:val="fr-CA"/>
        </w:rPr>
        <w:t xml:space="preserve">23 </w:t>
      </w:r>
      <w:r w:rsidRPr="00B17F01">
        <w:rPr>
          <w:snapToGrid w:val="0"/>
          <w:kern w:val="22"/>
          <w:szCs w:val="22"/>
          <w:lang w:val="fr-CA"/>
        </w:rPr>
        <w:t>de la décision </w:t>
      </w:r>
      <w:r w:rsidR="00084813" w:rsidRPr="00B17F01">
        <w:rPr>
          <w:snapToGrid w:val="0"/>
          <w:kern w:val="22"/>
          <w:szCs w:val="22"/>
          <w:lang w:val="fr-CA"/>
        </w:rPr>
        <w:t>XIII/20,</w:t>
      </w:r>
      <w:r w:rsidRPr="00B17F01">
        <w:rPr>
          <w:snapToGrid w:val="0"/>
          <w:kern w:val="22"/>
          <w:szCs w:val="22"/>
          <w:lang w:val="fr-CA"/>
        </w:rPr>
        <w:t xml:space="preserve"> la Conférence des Parties a réitéré </w:t>
      </w:r>
      <w:r w:rsidRPr="00B17F01">
        <w:rPr>
          <w:snapToGrid w:val="0"/>
          <w:kern w:val="22"/>
          <w:szCs w:val="22"/>
          <w:lang w:val="fr-CA" w:bidi="fr-FR"/>
        </w:rPr>
        <w:t xml:space="preserve">son invitation faite aux Parties de rendre compte de leurs progrès accomplis dans la réalisation de ces étapes, ainsi que toute étape ou délai supplémentaire prévu au niveau national, et a </w:t>
      </w:r>
      <w:r w:rsidRPr="00B17F01">
        <w:rPr>
          <w:iCs/>
          <w:snapToGrid w:val="0"/>
          <w:kern w:val="22"/>
          <w:szCs w:val="22"/>
          <w:lang w:val="fr-CA" w:bidi="fr-FR"/>
        </w:rPr>
        <w:t>invité</w:t>
      </w:r>
      <w:r w:rsidRPr="00B17F01">
        <w:rPr>
          <w:snapToGrid w:val="0"/>
          <w:kern w:val="22"/>
          <w:szCs w:val="22"/>
          <w:lang w:val="fr-CA" w:bidi="fr-FR"/>
        </w:rPr>
        <w:t xml:space="preserve"> les Parties à inclure également des informations sur les études analytiques nationales qui recensent les mesures d’incitation, y compris les subventions, qui pourraient être supprimées, retirées progressivement ou modifiées, qui sont préjudiciables pour la diversité biologique, et qui identifient des possibilités de promouvoir la conception et l’application de mesures d’incitation positives, telles qu’une reconnaissance et un soutien appropriés aux peuples autochtones et aux communautés locales qui préservent des territoires ou des zones, et d’autres initiatives de conservation communautaire efficaces.</w:t>
      </w:r>
      <w:r w:rsidR="00C32BE2" w:rsidRPr="00B17F01">
        <w:rPr>
          <w:snapToGrid w:val="0"/>
          <w:kern w:val="22"/>
          <w:szCs w:val="22"/>
          <w:lang w:val="fr-CA" w:bidi="fr-FR"/>
        </w:rPr>
        <w:t xml:space="preserve"> Au paragraphe 25, la Conférence des Parties a prié le Secrétaire exécutif de consolider et d’analyser les informations pertinentes, y compris une analyse sur la façon dont la réalisation de l’Objectif 3 d’Aichi pour la biodiversité contribue également à la réalisation de l’Objectif 20, et de présenter cette compilation et analyse à l’Organe subsidiaire chargé de l’application.</w:t>
      </w:r>
      <w:r w:rsidRPr="00B17F01">
        <w:rPr>
          <w:snapToGrid w:val="0"/>
          <w:kern w:val="22"/>
          <w:szCs w:val="22"/>
          <w:lang w:val="fr-CA"/>
        </w:rPr>
        <w:t xml:space="preserve"> </w:t>
      </w:r>
      <w:r w:rsidR="00081706" w:rsidRPr="00B17F01">
        <w:rPr>
          <w:snapToGrid w:val="0"/>
          <w:kern w:val="22"/>
          <w:szCs w:val="22"/>
          <w:lang w:val="fr-CA"/>
        </w:rPr>
        <w:t xml:space="preserve">La présente </w:t>
      </w:r>
      <w:r w:rsidR="00081706" w:rsidRPr="00B17F01">
        <w:rPr>
          <w:noProof/>
          <w:snapToGrid w:val="0"/>
          <w:kern w:val="22"/>
          <w:szCs w:val="22"/>
          <w:lang w:val="fr-CA"/>
        </w:rPr>
        <w:t>sous</w:t>
      </w:r>
      <w:r w:rsidR="00081706" w:rsidRPr="00B17F01">
        <w:rPr>
          <w:noProof/>
          <w:snapToGrid w:val="0"/>
          <w:kern w:val="22"/>
          <w:szCs w:val="22"/>
          <w:lang w:val="fr-CA"/>
        </w:rPr>
        <w:noBreakHyphen/>
        <w:t>section</w:t>
      </w:r>
      <w:r w:rsidR="00081706" w:rsidRPr="00B17F01">
        <w:rPr>
          <w:snapToGrid w:val="0"/>
          <w:kern w:val="22"/>
          <w:szCs w:val="22"/>
          <w:lang w:val="fr-CA"/>
        </w:rPr>
        <w:t xml:space="preserve"> fournit un résumé de l’analyse demandée, tandis que l’analyse et la compilation complètes figurent dans </w:t>
      </w:r>
      <w:r w:rsidR="007166D4" w:rsidRPr="00B17F01">
        <w:rPr>
          <w:snapToGrid w:val="0"/>
          <w:kern w:val="22"/>
          <w:szCs w:val="22"/>
          <w:lang w:val="fr-CA"/>
        </w:rPr>
        <w:t xml:space="preserve">le document </w:t>
      </w:r>
      <w:r w:rsidR="00081706" w:rsidRPr="00B17F01">
        <w:rPr>
          <w:snapToGrid w:val="0"/>
          <w:kern w:val="22"/>
          <w:szCs w:val="22"/>
          <w:lang w:val="fr-CA"/>
        </w:rPr>
        <w:t>d’information CBD/SBI/2/INF/15.</w:t>
      </w:r>
    </w:p>
    <w:p w:rsidR="00084813" w:rsidRPr="00B17F01" w:rsidRDefault="00081706" w:rsidP="00285E3B">
      <w:pPr>
        <w:numPr>
          <w:ilvl w:val="0"/>
          <w:numId w:val="19"/>
        </w:numPr>
        <w:spacing w:after="120"/>
        <w:ind w:left="0" w:firstLine="0"/>
        <w:rPr>
          <w:snapToGrid w:val="0"/>
          <w:kern w:val="22"/>
          <w:szCs w:val="22"/>
          <w:lang w:val="fr-CA"/>
        </w:rPr>
      </w:pPr>
      <w:r w:rsidRPr="00B17F01">
        <w:rPr>
          <w:snapToGrid w:val="0"/>
          <w:kern w:val="22"/>
          <w:szCs w:val="22"/>
          <w:lang w:val="fr-CA"/>
        </w:rPr>
        <w:t xml:space="preserve">L’analyse a examiné les données des cinquièmes rapports nationaux reçus concernant les progrès dans la mise en œuvre de l’Objectif 3 d’Aichi pour la biodiversité, </w:t>
      </w:r>
      <w:r w:rsidR="00A3463D" w:rsidRPr="00B17F01">
        <w:rPr>
          <w:snapToGrid w:val="0"/>
          <w:kern w:val="22"/>
          <w:szCs w:val="22"/>
          <w:lang w:val="fr-CA"/>
        </w:rPr>
        <w:t xml:space="preserve">en </w:t>
      </w:r>
      <w:r w:rsidRPr="00B17F01">
        <w:rPr>
          <w:snapToGrid w:val="0"/>
          <w:kern w:val="22"/>
          <w:szCs w:val="22"/>
          <w:lang w:val="fr-CA"/>
        </w:rPr>
        <w:t xml:space="preserve">tenant compte également des informations pertinentes rapportées au titre de l’Objectif 20 d’Aichi pour la biodiversité. Étant donné que la première étape prévoit que l’Objectif 3 d’Aichi pour la biodiversité soit reflété dans un objectif national et que des mesures connexes soient incluses dans les stratégies et plans d’action nationaux pour la biodiversité (SPANB) révisés, l’analyse a également pris en compte les informations pertinentes figurant dans les SPANB. S’appuyant sur ces informations et de récentes publications pertinentes émanant d’organisations internationales, </w:t>
      </w:r>
      <w:r w:rsidR="00A3463D" w:rsidRPr="00B17F01">
        <w:rPr>
          <w:snapToGrid w:val="0"/>
          <w:kern w:val="22"/>
          <w:szCs w:val="22"/>
          <w:lang w:val="fr-CA"/>
        </w:rPr>
        <w:t>l’analyse a pu être menée sur la manière dont l’Objectif 3 d’Aichi pour la biodiversité contribue à l’Objectif 20 d’Aichi pour la biodiversité.</w:t>
      </w:r>
    </w:p>
    <w:p w:rsidR="00084813" w:rsidRPr="00B17F01" w:rsidRDefault="00A3463D" w:rsidP="00BD5B89">
      <w:pPr>
        <w:numPr>
          <w:ilvl w:val="0"/>
          <w:numId w:val="19"/>
        </w:numPr>
        <w:spacing w:after="120"/>
        <w:ind w:left="0" w:firstLine="0"/>
        <w:rPr>
          <w:snapToGrid w:val="0"/>
          <w:kern w:val="22"/>
          <w:szCs w:val="22"/>
          <w:lang w:val="fr-CA"/>
        </w:rPr>
      </w:pPr>
      <w:r w:rsidRPr="00B17F01">
        <w:rPr>
          <w:i/>
          <w:snapToGrid w:val="0"/>
          <w:kern w:val="22"/>
          <w:szCs w:val="22"/>
          <w:lang w:val="fr-CA"/>
        </w:rPr>
        <w:t>Première étape (un objectif national reflétant l’Objectif 3 d’Aichi pour la biodiversité et des mesures connexes sont inclus dans les stratégies et plans d’action nationaux pour la biodiversité (SPANB) révisés) </w:t>
      </w:r>
      <w:r w:rsidRPr="00B17F01">
        <w:rPr>
          <w:iCs/>
          <w:snapToGrid w:val="0"/>
          <w:kern w:val="22"/>
          <w:szCs w:val="22"/>
          <w:lang w:val="fr-CA"/>
        </w:rPr>
        <w:t xml:space="preserve">: Au total, 52 SPANB, ou environ 40 pour cent, contiennent un objectif national, ou des objectifs nationaux, qui reflète l’Objectif 3 d’Aichi pour la biodiversité au moins en partie. Au total, 24 SPANB </w:t>
      </w:r>
      <w:r w:rsidR="00BD5B89" w:rsidRPr="00B17F01">
        <w:rPr>
          <w:iCs/>
          <w:snapToGrid w:val="0"/>
          <w:kern w:val="22"/>
          <w:szCs w:val="22"/>
          <w:lang w:val="fr-CA"/>
        </w:rPr>
        <w:t xml:space="preserve">(près de 20 pour cent) </w:t>
      </w:r>
      <w:r w:rsidRPr="00B17F01">
        <w:rPr>
          <w:iCs/>
          <w:snapToGrid w:val="0"/>
          <w:kern w:val="22"/>
          <w:szCs w:val="22"/>
          <w:lang w:val="fr-CA"/>
        </w:rPr>
        <w:t xml:space="preserve">contiennent des objectifs portant uniquement sur les mesures </w:t>
      </w:r>
      <w:r w:rsidR="00E01689" w:rsidRPr="00B17F01">
        <w:rPr>
          <w:iCs/>
          <w:snapToGrid w:val="0"/>
          <w:kern w:val="22"/>
          <w:szCs w:val="22"/>
          <w:lang w:val="fr-CA"/>
        </w:rPr>
        <w:t>d’incitation</w:t>
      </w:r>
      <w:r w:rsidRPr="00B17F01">
        <w:rPr>
          <w:iCs/>
          <w:snapToGrid w:val="0"/>
          <w:kern w:val="22"/>
          <w:szCs w:val="22"/>
          <w:lang w:val="fr-CA"/>
        </w:rPr>
        <w:t xml:space="preserve"> positives et seulement 4 fournissent un objectif relatif aux mesures </w:t>
      </w:r>
      <w:r w:rsidR="00E01689" w:rsidRPr="00B17F01">
        <w:rPr>
          <w:iCs/>
          <w:snapToGrid w:val="0"/>
          <w:kern w:val="22"/>
          <w:szCs w:val="22"/>
          <w:lang w:val="fr-CA"/>
        </w:rPr>
        <w:t xml:space="preserve">d’incitation préjudiciables, tandis que 25 SPANB contiennent des objectifs abordant les deux éléments de l’Objectif 3 d’Aichi pour la biodiversité. Au total, 21 SPANB, soit un peu plus de 15 pour cent, </w:t>
      </w:r>
      <w:r w:rsidR="00E523AF" w:rsidRPr="00B17F01">
        <w:rPr>
          <w:iCs/>
          <w:snapToGrid w:val="0"/>
          <w:kern w:val="22"/>
          <w:szCs w:val="22"/>
          <w:lang w:val="fr-CA"/>
        </w:rPr>
        <w:t xml:space="preserve">ont fourni des sous-objectifs ou des mesures </w:t>
      </w:r>
      <w:r w:rsidR="00E523AF" w:rsidRPr="00B17F01">
        <w:rPr>
          <w:iCs/>
          <w:noProof/>
          <w:snapToGrid w:val="0"/>
          <w:kern w:val="22"/>
          <w:szCs w:val="22"/>
          <w:lang w:val="fr-CA"/>
        </w:rPr>
        <w:t>additionnels qui pourraient être considérés comme des étapes. Un total de 23 pays (près de 20 pour cent) ont</w:t>
      </w:r>
      <w:r w:rsidR="00E523AF" w:rsidRPr="00B17F01">
        <w:rPr>
          <w:iCs/>
          <w:snapToGrid w:val="0"/>
          <w:kern w:val="22"/>
          <w:szCs w:val="22"/>
          <w:lang w:val="fr-CA"/>
        </w:rPr>
        <w:t xml:space="preserve"> fourni des calendriers additionnels de réalisation, qui divergent parfois des calendriers suggérés dans les étapes.</w:t>
      </w:r>
    </w:p>
    <w:p w:rsidR="00084813" w:rsidRPr="00B17F01" w:rsidRDefault="00E523AF" w:rsidP="00C53B5D">
      <w:pPr>
        <w:numPr>
          <w:ilvl w:val="0"/>
          <w:numId w:val="19"/>
        </w:numPr>
        <w:spacing w:after="120"/>
        <w:ind w:left="0" w:firstLine="0"/>
        <w:rPr>
          <w:snapToGrid w:val="0"/>
          <w:kern w:val="22"/>
          <w:szCs w:val="22"/>
          <w:lang w:val="fr-CA"/>
        </w:rPr>
      </w:pPr>
      <w:r w:rsidRPr="00B17F01">
        <w:rPr>
          <w:snapToGrid w:val="0"/>
          <w:kern w:val="22"/>
          <w:szCs w:val="22"/>
          <w:lang w:val="fr-CA"/>
        </w:rPr>
        <w:lastRenderedPageBreak/>
        <w:t>Cette première étape précise également quelques mesures qui pourraient être in</w:t>
      </w:r>
      <w:r w:rsidR="002F2325" w:rsidRPr="00B17F01">
        <w:rPr>
          <w:snapToGrid w:val="0"/>
          <w:kern w:val="22"/>
          <w:szCs w:val="22"/>
          <w:lang w:val="fr-CA"/>
        </w:rPr>
        <w:t>cluses dans les SPANB, à savoir</w:t>
      </w:r>
      <w:r w:rsidR="00C53B5D" w:rsidRPr="00B17F01">
        <w:rPr>
          <w:snapToGrid w:val="0"/>
          <w:kern w:val="22"/>
          <w:szCs w:val="22"/>
          <w:lang w:val="fr-CA"/>
        </w:rPr>
        <w:t> :</w:t>
      </w:r>
    </w:p>
    <w:p w:rsidR="00084813" w:rsidRPr="00B17F01" w:rsidRDefault="00924F3F" w:rsidP="00DD785B">
      <w:pPr>
        <w:numPr>
          <w:ilvl w:val="1"/>
          <w:numId w:val="22"/>
        </w:numPr>
        <w:spacing w:after="120"/>
        <w:ind w:left="0" w:firstLine="709"/>
        <w:rPr>
          <w:snapToGrid w:val="0"/>
          <w:kern w:val="22"/>
          <w:szCs w:val="22"/>
          <w:lang w:val="fr-CA"/>
        </w:rPr>
      </w:pPr>
      <w:r w:rsidRPr="00B17F01">
        <w:rPr>
          <w:i/>
          <w:iCs/>
          <w:kern w:val="20"/>
          <w:lang w:val="fr-CA"/>
        </w:rPr>
        <w:t>Entreprendre des études analytiques nationales qui identifient les mesures à éliminer, y compris les subventions, qui sont néfastes pour la diversité biologique, et qui identifient des moyens destinés à promouvoir des mesures d’incitation positives</w:t>
      </w:r>
      <w:r w:rsidRPr="00B17F01">
        <w:rPr>
          <w:kern w:val="20"/>
          <w:lang w:val="fr-CA"/>
        </w:rPr>
        <w:t xml:space="preserve"> : </w:t>
      </w:r>
      <w:r w:rsidR="002F2325" w:rsidRPr="00B17F01">
        <w:rPr>
          <w:iCs/>
          <w:snapToGrid w:val="0"/>
          <w:kern w:val="22"/>
          <w:szCs w:val="22"/>
          <w:lang w:val="fr-CA"/>
        </w:rPr>
        <w:t>Au total, 7 SPANB font référence à de telles analyses et études</w:t>
      </w:r>
      <w:r w:rsidR="00DD785B" w:rsidRPr="00B17F01">
        <w:rPr>
          <w:iCs/>
          <w:snapToGrid w:val="0"/>
          <w:kern w:val="22"/>
          <w:szCs w:val="22"/>
          <w:lang w:val="fr-CA"/>
        </w:rPr>
        <w:t>;</w:t>
      </w:r>
    </w:p>
    <w:p w:rsidR="00084813" w:rsidRPr="00B17F01" w:rsidRDefault="00924F3F" w:rsidP="00DD785B">
      <w:pPr>
        <w:numPr>
          <w:ilvl w:val="1"/>
          <w:numId w:val="22"/>
        </w:numPr>
        <w:spacing w:after="120"/>
        <w:ind w:left="0" w:firstLine="709"/>
        <w:rPr>
          <w:snapToGrid w:val="0"/>
          <w:kern w:val="22"/>
          <w:szCs w:val="22"/>
          <w:lang w:val="fr-CA"/>
        </w:rPr>
      </w:pPr>
      <w:r w:rsidRPr="00B17F01">
        <w:rPr>
          <w:i/>
          <w:iCs/>
          <w:kern w:val="20"/>
          <w:lang w:val="fr-CA"/>
        </w:rPr>
        <w:t xml:space="preserve">Élaborer des plans d’action qui identifient les mesures d’incitation néfastes à éliminer, et établissent </w:t>
      </w:r>
      <w:r w:rsidR="00F11365" w:rsidRPr="00B17F01">
        <w:rPr>
          <w:i/>
          <w:iCs/>
          <w:kern w:val="20"/>
          <w:lang w:val="fr-CA"/>
        </w:rPr>
        <w:t>des</w:t>
      </w:r>
      <w:r w:rsidRPr="00B17F01">
        <w:rPr>
          <w:i/>
          <w:iCs/>
          <w:kern w:val="20"/>
          <w:lang w:val="fr-CA"/>
        </w:rPr>
        <w:t xml:space="preserve"> liste</w:t>
      </w:r>
      <w:r w:rsidR="00F11365" w:rsidRPr="00B17F01">
        <w:rPr>
          <w:i/>
          <w:iCs/>
          <w:kern w:val="20"/>
          <w:lang w:val="fr-CA"/>
        </w:rPr>
        <w:t>s</w:t>
      </w:r>
      <w:r w:rsidRPr="00B17F01">
        <w:rPr>
          <w:i/>
          <w:iCs/>
          <w:kern w:val="20"/>
          <w:lang w:val="fr-CA"/>
        </w:rPr>
        <w:t xml:space="preserve"> prioritaire</w:t>
      </w:r>
      <w:r w:rsidR="00F11365" w:rsidRPr="00B17F01">
        <w:rPr>
          <w:i/>
          <w:iCs/>
          <w:kern w:val="20"/>
          <w:lang w:val="fr-CA"/>
        </w:rPr>
        <w:t>s</w:t>
      </w:r>
      <w:r w:rsidRPr="00B17F01">
        <w:rPr>
          <w:i/>
          <w:iCs/>
          <w:kern w:val="20"/>
          <w:lang w:val="fr-CA"/>
        </w:rPr>
        <w:t xml:space="preserve"> de mesures</w:t>
      </w:r>
      <w:r w:rsidR="00F11365" w:rsidRPr="00B17F01">
        <w:rPr>
          <w:kern w:val="20"/>
          <w:lang w:val="fr-CA"/>
        </w:rPr>
        <w:t> :</w:t>
      </w:r>
      <w:r w:rsidR="002F2325" w:rsidRPr="00B17F01">
        <w:rPr>
          <w:i/>
          <w:snapToGrid w:val="0"/>
          <w:kern w:val="22"/>
          <w:szCs w:val="22"/>
          <w:lang w:val="fr-CA"/>
        </w:rPr>
        <w:t xml:space="preserve"> </w:t>
      </w:r>
      <w:r w:rsidR="00385201" w:rsidRPr="00B17F01">
        <w:rPr>
          <w:iCs/>
          <w:snapToGrid w:val="0"/>
          <w:kern w:val="22"/>
          <w:szCs w:val="22"/>
          <w:lang w:val="fr-CA"/>
        </w:rPr>
        <w:t>Au total 12 pays ont fait référence à l’élaboration de telles politiques ou plans d’action;</w:t>
      </w:r>
    </w:p>
    <w:p w:rsidR="00084813" w:rsidRPr="00B17F01" w:rsidRDefault="00F11365" w:rsidP="00DD785B">
      <w:pPr>
        <w:numPr>
          <w:ilvl w:val="1"/>
          <w:numId w:val="22"/>
        </w:numPr>
        <w:spacing w:after="120"/>
        <w:ind w:left="0" w:firstLine="709"/>
        <w:rPr>
          <w:snapToGrid w:val="0"/>
          <w:kern w:val="22"/>
          <w:szCs w:val="22"/>
          <w:lang w:val="fr-CA"/>
        </w:rPr>
      </w:pPr>
      <w:r w:rsidRPr="00B17F01">
        <w:rPr>
          <w:i/>
          <w:iCs/>
          <w:kern w:val="20"/>
          <w:lang w:val="fr-CA"/>
        </w:rPr>
        <w:t>Dans les cas où l’on a déjà identifié des incitations à éliminer à cause de leurs effets néfastes, envisager des mesures immédiates</w:t>
      </w:r>
      <w:r w:rsidRPr="00B17F01">
        <w:rPr>
          <w:kern w:val="20"/>
          <w:lang w:val="fr-CA"/>
        </w:rPr>
        <w:t> </w:t>
      </w:r>
      <w:r w:rsidR="002A349B" w:rsidRPr="00B17F01">
        <w:rPr>
          <w:iCs/>
          <w:snapToGrid w:val="0"/>
          <w:kern w:val="22"/>
          <w:szCs w:val="22"/>
          <w:lang w:val="fr-CA"/>
        </w:rPr>
        <w:t xml:space="preserve">: Seuls </w:t>
      </w:r>
      <w:r w:rsidR="00DD785B" w:rsidRPr="00B17F01">
        <w:rPr>
          <w:iCs/>
          <w:snapToGrid w:val="0"/>
          <w:kern w:val="22"/>
          <w:szCs w:val="22"/>
          <w:lang w:val="fr-CA"/>
        </w:rPr>
        <w:t>cinq</w:t>
      </w:r>
      <w:r w:rsidR="002A349B" w:rsidRPr="00B17F01">
        <w:rPr>
          <w:iCs/>
          <w:snapToGrid w:val="0"/>
          <w:kern w:val="22"/>
          <w:szCs w:val="22"/>
          <w:lang w:val="fr-CA"/>
        </w:rPr>
        <w:t xml:space="preserve"> SPANB</w:t>
      </w:r>
      <w:r w:rsidR="00DD785B" w:rsidRPr="00B17F01">
        <w:rPr>
          <w:iCs/>
          <w:snapToGrid w:val="0"/>
          <w:kern w:val="22"/>
          <w:szCs w:val="22"/>
          <w:lang w:val="fr-CA"/>
        </w:rPr>
        <w:t xml:space="preserve"> </w:t>
      </w:r>
      <w:r w:rsidRPr="00B17F01">
        <w:rPr>
          <w:iCs/>
          <w:snapToGrid w:val="0"/>
          <w:kern w:val="22"/>
          <w:szCs w:val="22"/>
          <w:lang w:val="fr-CA"/>
        </w:rPr>
        <w:t>envisagent</w:t>
      </w:r>
      <w:r w:rsidR="002A349B" w:rsidRPr="00B17F01">
        <w:rPr>
          <w:iCs/>
          <w:snapToGrid w:val="0"/>
          <w:kern w:val="22"/>
          <w:szCs w:val="22"/>
          <w:lang w:val="fr-CA"/>
        </w:rPr>
        <w:t xml:space="preserve"> de telles </w:t>
      </w:r>
      <w:r w:rsidRPr="00B17F01">
        <w:rPr>
          <w:iCs/>
          <w:snapToGrid w:val="0"/>
          <w:kern w:val="22"/>
          <w:szCs w:val="22"/>
          <w:lang w:val="fr-CA"/>
        </w:rPr>
        <w:t xml:space="preserve">mesures </w:t>
      </w:r>
      <w:r w:rsidR="002A349B" w:rsidRPr="00B17F01">
        <w:rPr>
          <w:iCs/>
          <w:snapToGrid w:val="0"/>
          <w:kern w:val="22"/>
          <w:szCs w:val="22"/>
          <w:lang w:val="fr-CA"/>
        </w:rPr>
        <w:t xml:space="preserve">immédiates </w:t>
      </w:r>
      <w:r w:rsidRPr="00B17F01">
        <w:rPr>
          <w:iCs/>
          <w:snapToGrid w:val="0"/>
          <w:kern w:val="22"/>
          <w:szCs w:val="22"/>
          <w:lang w:val="fr-CA"/>
        </w:rPr>
        <w:t>à appliquer à</w:t>
      </w:r>
      <w:r w:rsidR="002A349B" w:rsidRPr="00B17F01">
        <w:rPr>
          <w:iCs/>
          <w:snapToGrid w:val="0"/>
          <w:kern w:val="22"/>
          <w:szCs w:val="22"/>
          <w:lang w:val="fr-CA"/>
        </w:rPr>
        <w:t xml:space="preserve"> des programmes d’incitation spécifiques, vraisemblablement en raison de leurs effets néfastes.</w:t>
      </w:r>
    </w:p>
    <w:p w:rsidR="00084813" w:rsidRPr="00B17F01" w:rsidRDefault="002B4BB3" w:rsidP="00D3745F">
      <w:pPr>
        <w:numPr>
          <w:ilvl w:val="0"/>
          <w:numId w:val="19"/>
        </w:numPr>
        <w:spacing w:after="120"/>
        <w:ind w:left="0" w:firstLine="0"/>
        <w:rPr>
          <w:snapToGrid w:val="0"/>
          <w:kern w:val="22"/>
          <w:szCs w:val="22"/>
          <w:lang w:val="fr-CA"/>
        </w:rPr>
      </w:pPr>
      <w:r w:rsidRPr="00B17F01">
        <w:rPr>
          <w:i/>
          <w:snapToGrid w:val="0"/>
          <w:kern w:val="22"/>
          <w:szCs w:val="22"/>
          <w:lang w:val="fr-CA"/>
        </w:rPr>
        <w:t>Deuxième étape (</w:t>
      </w:r>
      <w:r w:rsidR="001B5B55" w:rsidRPr="00B17F01">
        <w:rPr>
          <w:i/>
          <w:iCs/>
          <w:kern w:val="20"/>
          <w:lang w:val="fr-CA"/>
        </w:rPr>
        <w:t>mise au point de mesures immédiates d’ordre politique ou législatif dans les cas où l’on a déjà identifié des incitations, y compris les subventions, néfastes pour la diversité biologique</w:t>
      </w:r>
      <w:r w:rsidR="001B5B55" w:rsidRPr="00B17F01">
        <w:rPr>
          <w:kern w:val="20"/>
          <w:lang w:val="fr-CA"/>
        </w:rPr>
        <w:t>) </w:t>
      </w:r>
      <w:r w:rsidR="001B5B55" w:rsidRPr="00B17F01">
        <w:rPr>
          <w:i/>
          <w:iCs/>
          <w:kern w:val="20"/>
          <w:lang w:val="fr-CA"/>
        </w:rPr>
        <w:t xml:space="preserve">: </w:t>
      </w:r>
      <w:r w:rsidR="00D3745F" w:rsidRPr="00B17F01">
        <w:rPr>
          <w:iCs/>
          <w:snapToGrid w:val="0"/>
          <w:kern w:val="22"/>
          <w:szCs w:val="22"/>
          <w:lang w:val="fr-CA"/>
        </w:rPr>
        <w:t>Seules cinq</w:t>
      </w:r>
      <w:r w:rsidRPr="00B17F01">
        <w:rPr>
          <w:iCs/>
          <w:snapToGrid w:val="0"/>
          <w:kern w:val="22"/>
          <w:szCs w:val="22"/>
          <w:lang w:val="fr-CA"/>
        </w:rPr>
        <w:t xml:space="preserve"> Parties ont inclus cette étape explicitement en tant que mesure dans leur SPANB, </w:t>
      </w:r>
      <w:r w:rsidR="001B5B55" w:rsidRPr="00B17F01">
        <w:rPr>
          <w:iCs/>
          <w:snapToGrid w:val="0"/>
          <w:kern w:val="22"/>
          <w:szCs w:val="22"/>
          <w:lang w:val="fr-CA"/>
        </w:rPr>
        <w:t>en général</w:t>
      </w:r>
      <w:r w:rsidRPr="00B17F01">
        <w:rPr>
          <w:iCs/>
          <w:snapToGrid w:val="0"/>
          <w:kern w:val="22"/>
          <w:szCs w:val="22"/>
          <w:lang w:val="fr-CA"/>
        </w:rPr>
        <w:t xml:space="preserve"> sous forme de référence à des programmes particuliers engendrant probablement des effets néfastes. Cependant, 25 Parties ont</w:t>
      </w:r>
      <w:r w:rsidR="00F06C88" w:rsidRPr="00B17F01">
        <w:rPr>
          <w:iCs/>
          <w:snapToGrid w:val="0"/>
          <w:kern w:val="22"/>
          <w:szCs w:val="22"/>
          <w:lang w:val="fr-CA"/>
        </w:rPr>
        <w:t xml:space="preserve"> </w:t>
      </w:r>
      <w:r w:rsidR="00820E28" w:rsidRPr="00B17F01">
        <w:rPr>
          <w:iCs/>
          <w:snapToGrid w:val="0"/>
          <w:kern w:val="22"/>
          <w:szCs w:val="22"/>
          <w:lang w:val="fr-CA"/>
        </w:rPr>
        <w:t xml:space="preserve">évoqué, dans leur cinquième rapport national, </w:t>
      </w:r>
      <w:r w:rsidR="00F06C88" w:rsidRPr="00B17F01">
        <w:rPr>
          <w:iCs/>
          <w:snapToGrid w:val="0"/>
          <w:kern w:val="22"/>
          <w:szCs w:val="22"/>
          <w:lang w:val="fr-CA"/>
        </w:rPr>
        <w:t>des mesures pertinentes déjà prises, soit en termes</w:t>
      </w:r>
      <w:r w:rsidR="00D3745F" w:rsidRPr="00B17F01">
        <w:rPr>
          <w:iCs/>
          <w:snapToGrid w:val="0"/>
          <w:kern w:val="22"/>
          <w:szCs w:val="22"/>
          <w:lang w:val="fr-CA"/>
        </w:rPr>
        <w:t xml:space="preserve"> de référence générale</w:t>
      </w:r>
      <w:r w:rsidR="00820E28" w:rsidRPr="00B17F01">
        <w:rPr>
          <w:iCs/>
          <w:snapToGrid w:val="0"/>
          <w:kern w:val="22"/>
          <w:szCs w:val="22"/>
          <w:lang w:val="fr-CA"/>
        </w:rPr>
        <w:t xml:space="preserve"> aux mesures de réforme ou en fournissant des exemples précis.</w:t>
      </w:r>
    </w:p>
    <w:p w:rsidR="00084813" w:rsidRPr="00B17F01" w:rsidRDefault="00820E28" w:rsidP="001A6CFC">
      <w:pPr>
        <w:numPr>
          <w:ilvl w:val="0"/>
          <w:numId w:val="19"/>
        </w:numPr>
        <w:spacing w:after="120"/>
        <w:ind w:left="0" w:firstLine="0"/>
        <w:rPr>
          <w:snapToGrid w:val="0"/>
          <w:kern w:val="22"/>
          <w:szCs w:val="22"/>
          <w:lang w:val="fr-CA"/>
        </w:rPr>
      </w:pPr>
      <w:r w:rsidRPr="00B17F01">
        <w:rPr>
          <w:i/>
          <w:snapToGrid w:val="0"/>
          <w:kern w:val="22"/>
          <w:szCs w:val="22"/>
          <w:lang w:val="fr-CA"/>
        </w:rPr>
        <w:t>Troisième étape (</w:t>
      </w:r>
      <w:r w:rsidR="001B5B55" w:rsidRPr="00B17F01">
        <w:rPr>
          <w:i/>
          <w:iCs/>
          <w:kern w:val="20"/>
          <w:lang w:val="fr-CA"/>
        </w:rPr>
        <w:t>élaboration finale des études analytiques nationales qui identifient les incitations, y compris les subventions, néfastes pour la diversité biologique à éliminer, ainsi que les moyens destinés à promouvoir l’élaboration et la mise en œuvre de mesures d’incitation positives)</w:t>
      </w:r>
      <w:r w:rsidR="001B5B55" w:rsidRPr="00B17F01">
        <w:rPr>
          <w:kern w:val="20"/>
          <w:lang w:val="fr-CA"/>
        </w:rPr>
        <w:t> :</w:t>
      </w:r>
      <w:r w:rsidR="00C50CBF" w:rsidRPr="00B17F01">
        <w:rPr>
          <w:kern w:val="20"/>
          <w:lang w:val="fr-CA"/>
        </w:rPr>
        <w:t xml:space="preserve"> Au total, 11 Parties, soit moins de 10 pour cent des Parties ayant présenté un rapport, ont mentionné des examens ou évaluations qui cherchent à identifier les mesures d’incitation, y compris les subventions, néfastes pour la d</w:t>
      </w:r>
      <w:r w:rsidR="001A6CFC" w:rsidRPr="00B17F01">
        <w:rPr>
          <w:kern w:val="20"/>
          <w:lang w:val="fr-CA"/>
        </w:rPr>
        <w:t>iversité biologique, et seules quatre</w:t>
      </w:r>
      <w:r w:rsidR="00C50CBF" w:rsidRPr="00B17F01">
        <w:rPr>
          <w:kern w:val="20"/>
          <w:lang w:val="fr-CA"/>
        </w:rPr>
        <w:t xml:space="preserve"> Parties ont indiqué que ces examens ou évaluations </w:t>
      </w:r>
      <w:r w:rsidR="001A6CFC" w:rsidRPr="00B17F01">
        <w:rPr>
          <w:kern w:val="20"/>
          <w:lang w:val="fr-CA"/>
        </w:rPr>
        <w:t>avaient été</w:t>
      </w:r>
      <w:r w:rsidR="00C50CBF" w:rsidRPr="00B17F01">
        <w:rPr>
          <w:kern w:val="20"/>
          <w:lang w:val="fr-CA"/>
        </w:rPr>
        <w:t xml:space="preserve"> achevés. </w:t>
      </w:r>
      <w:r w:rsidR="00086BA0" w:rsidRPr="00B17F01">
        <w:rPr>
          <w:kern w:val="20"/>
          <w:lang w:val="fr-CA"/>
        </w:rPr>
        <w:t>Par ailleurs, 25 Parties, ou 15 pour cent des Parties déclarantes, ont indiqué des exemples de politiques ou programmes spécifiques identifiés, ou soupçonnés, comme générant des incitations néfastes pour la biodiversité.</w:t>
      </w:r>
    </w:p>
    <w:p w:rsidR="00084813" w:rsidRPr="00B17F01" w:rsidRDefault="00086BA0" w:rsidP="00FF7F4A">
      <w:pPr>
        <w:numPr>
          <w:ilvl w:val="0"/>
          <w:numId w:val="19"/>
        </w:numPr>
        <w:spacing w:after="120"/>
        <w:ind w:left="0" w:firstLine="0"/>
        <w:rPr>
          <w:snapToGrid w:val="0"/>
          <w:kern w:val="22"/>
          <w:szCs w:val="22"/>
          <w:lang w:val="fr-CA"/>
        </w:rPr>
      </w:pPr>
      <w:r w:rsidRPr="00B17F01">
        <w:rPr>
          <w:i/>
          <w:snapToGrid w:val="0"/>
          <w:kern w:val="22"/>
          <w:szCs w:val="22"/>
          <w:lang w:val="fr-CA"/>
        </w:rPr>
        <w:t>Quatrième étape (</w:t>
      </w:r>
      <w:r w:rsidRPr="00B17F01">
        <w:rPr>
          <w:i/>
          <w:iCs/>
          <w:kern w:val="20"/>
          <w:lang w:val="fr-CA"/>
        </w:rPr>
        <w:t>Élaboration finale des plans d’action qui identifient les mesures d’incitation néfastes à éliminer et établissent une liste prioritaire de mesures à prendre</w:t>
      </w:r>
      <w:r w:rsidRPr="00B17F01">
        <w:rPr>
          <w:kern w:val="20"/>
          <w:lang w:val="fr-CA"/>
        </w:rPr>
        <w:t xml:space="preserve">) : Au total, dix pays font référence à l’élaboration de tels plans d’action ou politiques dans leur SPANB, </w:t>
      </w:r>
      <w:r w:rsidR="003075F7" w:rsidRPr="00B17F01">
        <w:rPr>
          <w:kern w:val="20"/>
          <w:lang w:val="fr-CA"/>
        </w:rPr>
        <w:t>et</w:t>
      </w:r>
      <w:r w:rsidRPr="00B17F01">
        <w:rPr>
          <w:kern w:val="20"/>
          <w:lang w:val="fr-CA"/>
        </w:rPr>
        <w:t xml:space="preserve"> quatre y fixent les délais qui l</w:t>
      </w:r>
      <w:r w:rsidR="003075F7" w:rsidRPr="00B17F01">
        <w:rPr>
          <w:kern w:val="20"/>
          <w:lang w:val="fr-CA"/>
        </w:rPr>
        <w:t>eur sont associé</w:t>
      </w:r>
      <w:r w:rsidRPr="00B17F01">
        <w:rPr>
          <w:kern w:val="20"/>
          <w:lang w:val="fr-CA"/>
        </w:rPr>
        <w:t>s</w:t>
      </w:r>
      <w:r w:rsidR="003075F7" w:rsidRPr="00B17F01">
        <w:rPr>
          <w:kern w:val="20"/>
          <w:lang w:val="fr-CA"/>
        </w:rPr>
        <w:t>.</w:t>
      </w:r>
    </w:p>
    <w:p w:rsidR="00084813" w:rsidRPr="00B17F01" w:rsidRDefault="00DD4A1A" w:rsidP="007F4386">
      <w:pPr>
        <w:numPr>
          <w:ilvl w:val="0"/>
          <w:numId w:val="19"/>
        </w:numPr>
        <w:spacing w:after="120"/>
        <w:ind w:left="0" w:firstLine="0"/>
        <w:rPr>
          <w:snapToGrid w:val="0"/>
          <w:kern w:val="22"/>
          <w:szCs w:val="22"/>
          <w:lang w:val="fr-CA"/>
        </w:rPr>
      </w:pPr>
      <w:r w:rsidRPr="00B17F01">
        <w:rPr>
          <w:snapToGrid w:val="0"/>
          <w:kern w:val="22"/>
          <w:szCs w:val="22"/>
          <w:lang w:val="fr-CA"/>
        </w:rPr>
        <w:t xml:space="preserve">En plus de </w:t>
      </w:r>
      <w:r w:rsidR="00D455BE" w:rsidRPr="00B17F01">
        <w:rPr>
          <w:snapToGrid w:val="0"/>
          <w:kern w:val="22"/>
          <w:szCs w:val="22"/>
          <w:lang w:val="fr-CA"/>
        </w:rPr>
        <w:t>rendre compte</w:t>
      </w:r>
      <w:r w:rsidRPr="00B17F01">
        <w:rPr>
          <w:snapToGrid w:val="0"/>
          <w:kern w:val="22"/>
          <w:szCs w:val="22"/>
          <w:lang w:val="fr-CA"/>
        </w:rPr>
        <w:t xml:space="preserve"> au sujet des étapes, un nombre </w:t>
      </w:r>
      <w:r w:rsidR="00B904A4" w:rsidRPr="00B17F01">
        <w:rPr>
          <w:snapToGrid w:val="0"/>
          <w:kern w:val="22"/>
          <w:szCs w:val="22"/>
          <w:lang w:val="fr-CA"/>
        </w:rPr>
        <w:t>significatif</w:t>
      </w:r>
      <w:r w:rsidRPr="00B17F01">
        <w:rPr>
          <w:snapToGrid w:val="0"/>
          <w:kern w:val="22"/>
          <w:szCs w:val="22"/>
          <w:lang w:val="fr-CA"/>
        </w:rPr>
        <w:t xml:space="preserve"> de Parties</w:t>
      </w:r>
      <w:r w:rsidR="00D455BE" w:rsidRPr="00B17F01">
        <w:rPr>
          <w:snapToGrid w:val="0"/>
          <w:kern w:val="22"/>
          <w:szCs w:val="22"/>
          <w:lang w:val="fr-CA"/>
        </w:rPr>
        <w:t xml:space="preserve"> a fait rapport sur les progrès déjà réalisés dans la mise en œuvre de l’Objectif 3 d’Aichi pour la biodiversité</w:t>
      </w:r>
      <w:r w:rsidR="00B904A4" w:rsidRPr="00B17F01">
        <w:rPr>
          <w:snapToGrid w:val="0"/>
          <w:kern w:val="22"/>
          <w:szCs w:val="22"/>
          <w:lang w:val="fr-CA"/>
        </w:rPr>
        <w:t>, en mettant l’accent sur la conception et la mise en œuvre de mesures d’incitation positives. Comme indiqué ci</w:t>
      </w:r>
      <w:r w:rsidR="00B904A4" w:rsidRPr="00B17F01">
        <w:rPr>
          <w:snapToGrid w:val="0"/>
          <w:kern w:val="22"/>
          <w:szCs w:val="22"/>
          <w:lang w:val="fr-CA"/>
        </w:rPr>
        <w:noBreakHyphen/>
        <w:t>dessus, seul</w:t>
      </w:r>
      <w:r w:rsidR="000F6B91" w:rsidRPr="00B17F01">
        <w:rPr>
          <w:snapToGrid w:val="0"/>
          <w:kern w:val="22"/>
          <w:szCs w:val="22"/>
          <w:lang w:val="fr-CA"/>
        </w:rPr>
        <w:t>ement</w:t>
      </w:r>
      <w:r w:rsidR="00B904A4" w:rsidRPr="00B17F01">
        <w:rPr>
          <w:snapToGrid w:val="0"/>
          <w:kern w:val="22"/>
          <w:szCs w:val="22"/>
          <w:lang w:val="fr-CA"/>
        </w:rPr>
        <w:t xml:space="preserve"> un peu plus de 10 pour cent des Parties ayant présenté un rapport mentionne</w:t>
      </w:r>
      <w:r w:rsidR="000F6B91" w:rsidRPr="00B17F01">
        <w:rPr>
          <w:snapToGrid w:val="0"/>
          <w:kern w:val="22"/>
          <w:szCs w:val="22"/>
          <w:lang w:val="fr-CA"/>
        </w:rPr>
        <w:t>nt</w:t>
      </w:r>
      <w:r w:rsidR="00B904A4" w:rsidRPr="00B17F01">
        <w:rPr>
          <w:snapToGrid w:val="0"/>
          <w:kern w:val="22"/>
          <w:szCs w:val="22"/>
          <w:lang w:val="fr-CA"/>
        </w:rPr>
        <w:t xml:space="preserve"> l’</w:t>
      </w:r>
      <w:r w:rsidR="00B904A4" w:rsidRPr="00B17F01">
        <w:rPr>
          <w:kern w:val="20"/>
          <w:lang w:val="fr-CA"/>
        </w:rPr>
        <w:t xml:space="preserve">élimination, l’élimination à terme ou la réforme de mesures, y compris les subventions. Au total, 20 pour cent indiquent l’application de mesures fiscales, telles que des taxes vertes ou des allègements fiscaux, pour des activités bénéfiques. Plus de la moitié des Parties </w:t>
      </w:r>
      <w:r w:rsidR="00B904A4" w:rsidRPr="00B17F01">
        <w:rPr>
          <w:snapToGrid w:val="0"/>
          <w:kern w:val="22"/>
          <w:szCs w:val="22"/>
          <w:lang w:val="fr-CA"/>
        </w:rPr>
        <w:t>ayant présenté un rapport mentionnent l’introduction ou le renforcement de systèmes de paiement pour les services écosystémiques, ou l’introduction ou le renforcement de mesures d’incitation positives</w:t>
      </w:r>
      <w:r w:rsidR="00D32AB2" w:rsidRPr="00B17F01">
        <w:rPr>
          <w:snapToGrid w:val="0"/>
          <w:kern w:val="22"/>
          <w:szCs w:val="22"/>
          <w:lang w:val="fr-CA"/>
        </w:rPr>
        <w:t xml:space="preserve"> qui peuvent</w:t>
      </w:r>
      <w:r w:rsidR="000F6B91" w:rsidRPr="00B17F01">
        <w:rPr>
          <w:snapToGrid w:val="0"/>
          <w:kern w:val="22"/>
          <w:szCs w:val="22"/>
          <w:lang w:val="fr-CA"/>
        </w:rPr>
        <w:t xml:space="preserve"> aussi comporter des co</w:t>
      </w:r>
      <w:r w:rsidR="007F4386" w:rsidRPr="00B17F01">
        <w:rPr>
          <w:snapToGrid w:val="0"/>
          <w:kern w:val="22"/>
          <w:szCs w:val="22"/>
          <w:lang w:val="fr-CA"/>
        </w:rPr>
        <w:t>ncepts semblables, par exemple l</w:t>
      </w:r>
      <w:r w:rsidR="000F6B91" w:rsidRPr="00B17F01">
        <w:rPr>
          <w:snapToGrid w:val="0"/>
          <w:kern w:val="22"/>
          <w:szCs w:val="22"/>
          <w:lang w:val="fr-CA"/>
        </w:rPr>
        <w:t>es paiements agroenvironnementaux.</w:t>
      </w:r>
    </w:p>
    <w:p w:rsidR="00084813" w:rsidRPr="00B17F01" w:rsidRDefault="000F6B91" w:rsidP="00F50D9F">
      <w:pPr>
        <w:numPr>
          <w:ilvl w:val="0"/>
          <w:numId w:val="19"/>
        </w:numPr>
        <w:spacing w:after="120"/>
        <w:ind w:left="0" w:firstLine="0"/>
        <w:rPr>
          <w:snapToGrid w:val="0"/>
          <w:kern w:val="22"/>
          <w:szCs w:val="22"/>
          <w:lang w:val="fr-CA"/>
        </w:rPr>
      </w:pPr>
      <w:r w:rsidRPr="00B17F01">
        <w:rPr>
          <w:snapToGrid w:val="0"/>
          <w:kern w:val="22"/>
          <w:szCs w:val="22"/>
          <w:lang w:val="fr-CA"/>
        </w:rPr>
        <w:t>S’agissant des mesures d’incitation non monétaires, telles qu</w:t>
      </w:r>
      <w:r w:rsidR="004D50CA" w:rsidRPr="00B17F01">
        <w:rPr>
          <w:snapToGrid w:val="0"/>
          <w:kern w:val="22"/>
          <w:szCs w:val="22"/>
          <w:lang w:val="fr-CA"/>
        </w:rPr>
        <w:t>e la</w:t>
      </w:r>
      <w:r w:rsidRPr="00B17F01">
        <w:rPr>
          <w:snapToGrid w:val="0"/>
          <w:kern w:val="22"/>
          <w:szCs w:val="22"/>
          <w:lang w:val="fr-CA"/>
        </w:rPr>
        <w:t xml:space="preserve"> reconnaissance </w:t>
      </w:r>
      <w:r w:rsidR="004D50CA" w:rsidRPr="00B17F01">
        <w:rPr>
          <w:snapToGrid w:val="0"/>
          <w:kern w:val="22"/>
          <w:szCs w:val="22"/>
          <w:lang w:val="fr-CA"/>
        </w:rPr>
        <w:t>et le</w:t>
      </w:r>
      <w:r w:rsidRPr="00B17F01">
        <w:rPr>
          <w:snapToGrid w:val="0"/>
          <w:kern w:val="22"/>
          <w:szCs w:val="22"/>
          <w:lang w:val="fr-CA"/>
        </w:rPr>
        <w:t xml:space="preserve"> soutien appropriés pour les peuples autochtones et les communautés locales qui pr</w:t>
      </w:r>
      <w:r w:rsidR="004D50CA" w:rsidRPr="00B17F01">
        <w:rPr>
          <w:snapToGrid w:val="0"/>
          <w:kern w:val="22"/>
          <w:szCs w:val="22"/>
          <w:lang w:val="fr-CA"/>
        </w:rPr>
        <w:t>otègent</w:t>
      </w:r>
      <w:r w:rsidRPr="00B17F01">
        <w:rPr>
          <w:snapToGrid w:val="0"/>
          <w:kern w:val="22"/>
          <w:szCs w:val="22"/>
          <w:lang w:val="fr-CA"/>
        </w:rPr>
        <w:t xml:space="preserve"> des territoires et des </w:t>
      </w:r>
      <w:r w:rsidR="004D50CA" w:rsidRPr="00B17F01">
        <w:rPr>
          <w:snapToGrid w:val="0"/>
          <w:kern w:val="22"/>
          <w:szCs w:val="22"/>
          <w:lang w:val="fr-CA"/>
        </w:rPr>
        <w:t>zones</w:t>
      </w:r>
      <w:r w:rsidRPr="00B17F01">
        <w:rPr>
          <w:snapToGrid w:val="0"/>
          <w:kern w:val="22"/>
          <w:szCs w:val="22"/>
          <w:lang w:val="fr-CA"/>
        </w:rPr>
        <w:t>, et autres initiatives de conservation communautaires efficaces, un nombre moins élevé mais toujours significatif de pays ayant présenté un rapport (30 pour cent) mentionne la participation des communautés dans la gestion de la biodiversité</w:t>
      </w:r>
      <w:r w:rsidR="004D50CA" w:rsidRPr="00B17F01">
        <w:rPr>
          <w:snapToGrid w:val="0"/>
          <w:kern w:val="22"/>
          <w:szCs w:val="22"/>
          <w:lang w:val="fr-CA"/>
        </w:rPr>
        <w:t>,</w:t>
      </w:r>
      <w:r w:rsidRPr="00B17F01">
        <w:rPr>
          <w:snapToGrid w:val="0"/>
          <w:kern w:val="22"/>
          <w:szCs w:val="22"/>
          <w:lang w:val="fr-CA"/>
        </w:rPr>
        <w:t xml:space="preserve"> et l’int</w:t>
      </w:r>
      <w:r w:rsidR="00EB1F38" w:rsidRPr="00B17F01">
        <w:rPr>
          <w:snapToGrid w:val="0"/>
          <w:kern w:val="22"/>
          <w:szCs w:val="22"/>
          <w:lang w:val="fr-CA"/>
        </w:rPr>
        <w:t>roduction ou le renforcement de</w:t>
      </w:r>
      <w:r w:rsidRPr="00B17F01">
        <w:rPr>
          <w:snapToGrid w:val="0"/>
          <w:kern w:val="22"/>
          <w:szCs w:val="22"/>
          <w:lang w:val="fr-CA"/>
        </w:rPr>
        <w:t xml:space="preserve"> mesures d’incitation positives associées</w:t>
      </w:r>
      <w:r w:rsidR="00EB1F38" w:rsidRPr="00B17F01">
        <w:rPr>
          <w:snapToGrid w:val="0"/>
          <w:kern w:val="22"/>
          <w:szCs w:val="22"/>
          <w:lang w:val="fr-CA"/>
        </w:rPr>
        <w:t xml:space="preserve">, par exemple les arrangements de partage des revenus touristiques, </w:t>
      </w:r>
      <w:r w:rsidR="004D50CA" w:rsidRPr="00B17F01">
        <w:rPr>
          <w:snapToGrid w:val="0"/>
          <w:kern w:val="22"/>
          <w:szCs w:val="22"/>
          <w:lang w:val="fr-CA"/>
        </w:rPr>
        <w:t>comme</w:t>
      </w:r>
      <w:r w:rsidR="00EB1F38" w:rsidRPr="00B17F01">
        <w:rPr>
          <w:snapToGrid w:val="0"/>
          <w:kern w:val="22"/>
          <w:szCs w:val="22"/>
          <w:lang w:val="fr-CA"/>
        </w:rPr>
        <w:t xml:space="preserve"> dans le cadre de la </w:t>
      </w:r>
      <w:r w:rsidR="00EB1F38" w:rsidRPr="00B17F01">
        <w:rPr>
          <w:rStyle w:val="preferred"/>
          <w:lang w:val="fr-CA"/>
        </w:rPr>
        <w:t>gestion des ressources natu</w:t>
      </w:r>
      <w:r w:rsidR="00F50D9F" w:rsidRPr="00B17F01">
        <w:rPr>
          <w:rStyle w:val="preferred"/>
          <w:lang w:val="fr-CA"/>
        </w:rPr>
        <w:t>relles à l’échelon local</w:t>
      </w:r>
      <w:r w:rsidR="00EB1F38" w:rsidRPr="00B17F01">
        <w:rPr>
          <w:rStyle w:val="preferred"/>
          <w:lang w:val="fr-CA"/>
        </w:rPr>
        <w:t xml:space="preserve">, la gestion conjointe </w:t>
      </w:r>
      <w:r w:rsidR="004D50CA" w:rsidRPr="00B17F01">
        <w:rPr>
          <w:rStyle w:val="preferred"/>
          <w:lang w:val="fr-CA"/>
        </w:rPr>
        <w:t>de zones</w:t>
      </w:r>
      <w:r w:rsidR="00EB1F38" w:rsidRPr="00B17F01">
        <w:rPr>
          <w:rStyle w:val="preferred"/>
          <w:lang w:val="fr-CA"/>
        </w:rPr>
        <w:t xml:space="preserve"> protégées avec les peuples </w:t>
      </w:r>
      <w:r w:rsidR="00EB1F38" w:rsidRPr="00B17F01">
        <w:rPr>
          <w:rStyle w:val="preferred"/>
          <w:lang w:val="fr-CA"/>
        </w:rPr>
        <w:lastRenderedPageBreak/>
        <w:t>autochtones et les communautés locales, ou l’établissement</w:t>
      </w:r>
      <w:r w:rsidR="004D50CA" w:rsidRPr="00B17F01">
        <w:rPr>
          <w:rStyle w:val="preferred"/>
          <w:lang w:val="fr-CA"/>
        </w:rPr>
        <w:t xml:space="preserve"> d’une reconnaissance formelle des zones communautaires protégées.</w:t>
      </w:r>
    </w:p>
    <w:p w:rsidR="00084813" w:rsidRPr="009620E1" w:rsidRDefault="002604AF" w:rsidP="00F50D9F">
      <w:pPr>
        <w:pStyle w:val="Heading3"/>
        <w:rPr>
          <w:b/>
          <w:bCs/>
          <w:i w:val="0"/>
          <w:iCs w:val="0"/>
          <w:snapToGrid w:val="0"/>
          <w:kern w:val="22"/>
          <w:szCs w:val="22"/>
          <w:lang w:val="fr-CA"/>
        </w:rPr>
      </w:pPr>
      <w:r w:rsidRPr="009620E1">
        <w:rPr>
          <w:b/>
          <w:bCs/>
          <w:i w:val="0"/>
          <w:iCs w:val="0"/>
          <w:snapToGrid w:val="0"/>
          <w:kern w:val="22"/>
          <w:szCs w:val="22"/>
          <w:lang w:val="fr-CA"/>
        </w:rPr>
        <w:t>Contribution de l’Objectif 3 d’Aichi pour la biodiversité à la réali</w:t>
      </w:r>
      <w:r w:rsidR="00F50D9F" w:rsidRPr="009620E1">
        <w:rPr>
          <w:b/>
          <w:bCs/>
          <w:i w:val="0"/>
          <w:iCs w:val="0"/>
          <w:snapToGrid w:val="0"/>
          <w:kern w:val="22"/>
          <w:szCs w:val="22"/>
          <w:lang w:val="fr-CA"/>
        </w:rPr>
        <w:t>sation de l’Objectif 20 d’Aichi</w:t>
      </w:r>
    </w:p>
    <w:p w:rsidR="00084813" w:rsidRPr="00B17F01" w:rsidRDefault="002604AF" w:rsidP="003140C1">
      <w:pPr>
        <w:numPr>
          <w:ilvl w:val="0"/>
          <w:numId w:val="19"/>
        </w:numPr>
        <w:spacing w:after="120"/>
        <w:ind w:left="0" w:firstLine="0"/>
        <w:rPr>
          <w:snapToGrid w:val="0"/>
          <w:kern w:val="22"/>
          <w:szCs w:val="22"/>
          <w:lang w:val="fr-CA"/>
        </w:rPr>
      </w:pPr>
      <w:r w:rsidRPr="00B17F01">
        <w:rPr>
          <w:kern w:val="22"/>
          <w:lang w:val="fr-CA"/>
        </w:rPr>
        <w:t>Des décisions précédentes adoptées par la Conférence des Parties,</w:t>
      </w:r>
      <w:r w:rsidRPr="00B17F01">
        <w:rPr>
          <w:rStyle w:val="FootnoteReference"/>
          <w:kern w:val="22"/>
          <w:lang w:val="fr-CA"/>
        </w:rPr>
        <w:footnoteReference w:id="24"/>
      </w:r>
      <w:r w:rsidRPr="00B17F01">
        <w:rPr>
          <w:kern w:val="22"/>
          <w:lang w:val="fr-CA"/>
        </w:rPr>
        <w:t xml:space="preserve"> </w:t>
      </w:r>
      <w:r w:rsidR="003140C1" w:rsidRPr="00B17F01">
        <w:rPr>
          <w:kern w:val="22"/>
          <w:lang w:val="fr-CA"/>
        </w:rPr>
        <w:t>déclarent</w:t>
      </w:r>
      <w:r w:rsidRPr="00B17F01">
        <w:rPr>
          <w:kern w:val="22"/>
          <w:lang w:val="fr-CA"/>
        </w:rPr>
        <w:t xml:space="preserve"> que les </w:t>
      </w:r>
      <w:r w:rsidRPr="00B17F01">
        <w:rPr>
          <w:iCs/>
          <w:noProof/>
          <w:szCs w:val="22"/>
          <w:lang w:val="fr-CA"/>
        </w:rPr>
        <w:t>mesures d’incitation à effets nuisibles pour la diversité biologique « </w:t>
      </w:r>
      <w:r w:rsidRPr="00B17F01">
        <w:rPr>
          <w:i/>
          <w:noProof/>
          <w:szCs w:val="22"/>
          <w:lang w:val="fr-CA"/>
        </w:rPr>
        <w:t>ne sont pas souvent rentables et/ou ne permettent pas d’atteindre les objectifs sociaux visés, tout en utilisant parfois les rares fonds publics</w:t>
      </w:r>
      <w:r w:rsidRPr="00B17F01">
        <w:rPr>
          <w:iCs/>
          <w:noProof/>
          <w:szCs w:val="22"/>
          <w:lang w:val="fr-CA"/>
        </w:rPr>
        <w:t> »,</w:t>
      </w:r>
      <w:r w:rsidR="003140C1" w:rsidRPr="00B17F01">
        <w:rPr>
          <w:kern w:val="22"/>
          <w:lang w:val="fr-CA"/>
        </w:rPr>
        <w:t xml:space="preserve"> et ainsi indiqu</w:t>
      </w:r>
      <w:r w:rsidRPr="00B17F01">
        <w:rPr>
          <w:kern w:val="22"/>
          <w:lang w:val="fr-CA"/>
        </w:rPr>
        <w:t>ent déjà les possibles incidences de l’application de mesures politiques aux incitations néfastes sur la mobilisation de ressources.</w:t>
      </w:r>
    </w:p>
    <w:p w:rsidR="00084813" w:rsidRPr="00B17F01" w:rsidRDefault="002604AF" w:rsidP="00CA764F">
      <w:pPr>
        <w:numPr>
          <w:ilvl w:val="0"/>
          <w:numId w:val="19"/>
        </w:numPr>
        <w:spacing w:after="120"/>
        <w:ind w:left="0" w:firstLine="0"/>
        <w:rPr>
          <w:snapToGrid w:val="0"/>
          <w:kern w:val="22"/>
          <w:szCs w:val="22"/>
          <w:lang w:val="fr-CA"/>
        </w:rPr>
      </w:pPr>
      <w:r w:rsidRPr="00B17F01">
        <w:rPr>
          <w:kern w:val="22"/>
          <w:lang w:val="fr-CA"/>
        </w:rPr>
        <w:t>Premièrement, le fait d’appliquer des mesures politiques à des incitations néfaste réduira, toutes choses étant égales par ailleurs,</w:t>
      </w:r>
      <w:r w:rsidR="003975A7" w:rsidRPr="00B17F01">
        <w:rPr>
          <w:kern w:val="22"/>
          <w:lang w:val="fr-CA"/>
        </w:rPr>
        <w:t xml:space="preserve"> la nécessité de mobiliser des ressources financières pour les politiques relatives à la biodiversité. Ces effets seront le plus marqués lorsque de telles mesures prendront la forme d’une élimination ou une </w:t>
      </w:r>
      <w:proofErr w:type="spellStart"/>
      <w:r w:rsidR="003975A7" w:rsidRPr="00B17F01">
        <w:rPr>
          <w:kern w:val="22"/>
          <w:lang w:val="fr-CA"/>
        </w:rPr>
        <w:t>éliminationi</w:t>
      </w:r>
      <w:proofErr w:type="spellEnd"/>
      <w:r w:rsidR="003975A7" w:rsidRPr="00B17F01">
        <w:rPr>
          <w:kern w:val="22"/>
          <w:lang w:val="fr-CA"/>
        </w:rPr>
        <w:t xml:space="preserve"> à terme de l’incitation néfaste, car par définition elles élimineront les effets néfastes sur la biodiversité et ainsi réduiront le besoin de politiques qui ne feront que « réparer » les dommages causés par l’ancienne politique, et partant, les besoins en ressources correspondants.</w:t>
      </w:r>
    </w:p>
    <w:p w:rsidR="00084813" w:rsidRPr="00B17F01" w:rsidRDefault="002318BE" w:rsidP="00FC0DC3">
      <w:pPr>
        <w:numPr>
          <w:ilvl w:val="0"/>
          <w:numId w:val="19"/>
        </w:numPr>
        <w:spacing w:after="120"/>
        <w:ind w:left="0" w:firstLine="0"/>
        <w:rPr>
          <w:snapToGrid w:val="0"/>
          <w:kern w:val="22"/>
          <w:szCs w:val="22"/>
          <w:lang w:val="fr-CA"/>
        </w:rPr>
      </w:pPr>
      <w:r w:rsidRPr="00B17F01">
        <w:rPr>
          <w:kern w:val="22"/>
          <w:lang w:val="fr-CA"/>
        </w:rPr>
        <w:t xml:space="preserve">Les informations disponibles sur l’étendue de ces effets sur la biodiversité sont la plupart du temps anecdotiques et souvent non quantifiées. Des effets positifs sont rapportés en particulier dans les cas d’initiatives de réforme majeures, même s’il est souvent difficile de distinguer les effets authentiques de </w:t>
      </w:r>
      <w:r w:rsidR="00FC0DC3" w:rsidRPr="00B17F01">
        <w:rPr>
          <w:kern w:val="22"/>
          <w:lang w:val="fr-CA"/>
        </w:rPr>
        <w:t xml:space="preserve">l’élimination des subventions des </w:t>
      </w:r>
      <w:r w:rsidRPr="00B17F01">
        <w:rPr>
          <w:kern w:val="22"/>
          <w:lang w:val="fr-CA"/>
        </w:rPr>
        <w:t>autres effets, particulièrement à long terme.</w:t>
      </w:r>
    </w:p>
    <w:p w:rsidR="00084813" w:rsidRPr="00B17F01" w:rsidRDefault="002318BE" w:rsidP="006D2700">
      <w:pPr>
        <w:numPr>
          <w:ilvl w:val="0"/>
          <w:numId w:val="19"/>
        </w:numPr>
        <w:spacing w:after="120"/>
        <w:ind w:left="0" w:firstLine="0"/>
        <w:rPr>
          <w:snapToGrid w:val="0"/>
          <w:kern w:val="22"/>
          <w:szCs w:val="22"/>
          <w:lang w:val="fr-CA"/>
        </w:rPr>
      </w:pPr>
      <w:r w:rsidRPr="00B17F01">
        <w:rPr>
          <w:kern w:val="22"/>
          <w:lang w:val="fr-CA"/>
        </w:rPr>
        <w:t>Deuxièmement, un effet de revenu direct serait entraîné en particulier par l’application de mesures politiques aux subventions néfastes,</w:t>
      </w:r>
      <w:r w:rsidR="004D36AA" w:rsidRPr="00B17F01">
        <w:rPr>
          <w:kern w:val="22"/>
          <w:lang w:val="fr-CA"/>
        </w:rPr>
        <w:t xml:space="preserve"> et de nouveau</w:t>
      </w:r>
      <w:r w:rsidRPr="00B17F01">
        <w:rPr>
          <w:kern w:val="22"/>
          <w:lang w:val="fr-CA"/>
        </w:rPr>
        <w:t xml:space="preserve"> </w:t>
      </w:r>
      <w:r w:rsidR="004D36AA" w:rsidRPr="00B17F01">
        <w:rPr>
          <w:kern w:val="22"/>
          <w:lang w:val="fr-CA"/>
        </w:rPr>
        <w:t xml:space="preserve">il serait le plus marqué lorsque de telles mesures prendront la forme d’une élimination ou une </w:t>
      </w:r>
      <w:proofErr w:type="spellStart"/>
      <w:r w:rsidR="004D36AA" w:rsidRPr="00B17F01">
        <w:rPr>
          <w:kern w:val="22"/>
          <w:lang w:val="fr-CA"/>
        </w:rPr>
        <w:t>éliminationi</w:t>
      </w:r>
      <w:proofErr w:type="spellEnd"/>
      <w:r w:rsidR="004D36AA" w:rsidRPr="00B17F01">
        <w:rPr>
          <w:kern w:val="22"/>
          <w:lang w:val="fr-CA"/>
        </w:rPr>
        <w:t xml:space="preserve"> à terme de l’incitation néfaste, car elles libéreront les ressources publiques limitées, qui en principe, bien que pas nécessairement, pourraient être utilisées pour financer les politiques relatives à la biodiversité. La réforme d’une subvention néfaste</w:t>
      </w:r>
      <w:r w:rsidR="00F82A3D" w:rsidRPr="00B17F01">
        <w:rPr>
          <w:kern w:val="22"/>
          <w:lang w:val="fr-CA"/>
        </w:rPr>
        <w:t xml:space="preserve"> se solderait également par un effet positif sur les revenus si l’augmentation résultante du rapport coût-efficacité conduit à réaliser des économies nettes, gardant à l’esprit que les gouvernements pourraient également souhaiter </w:t>
      </w:r>
      <w:r w:rsidR="00B449D0" w:rsidRPr="00B17F01">
        <w:rPr>
          <w:kern w:val="22"/>
          <w:lang w:val="fr-CA"/>
        </w:rPr>
        <w:t>rendre</w:t>
      </w:r>
      <w:r w:rsidR="00F82A3D" w:rsidRPr="00B17F01">
        <w:rPr>
          <w:kern w:val="22"/>
          <w:lang w:val="fr-CA"/>
        </w:rPr>
        <w:t xml:space="preserve"> </w:t>
      </w:r>
      <w:r w:rsidR="00B449D0" w:rsidRPr="00B17F01">
        <w:rPr>
          <w:kern w:val="22"/>
          <w:lang w:val="fr-CA"/>
        </w:rPr>
        <w:t xml:space="preserve">plus ambitieux </w:t>
      </w:r>
      <w:r w:rsidR="00F82A3D" w:rsidRPr="00B17F01">
        <w:rPr>
          <w:kern w:val="22"/>
          <w:lang w:val="fr-CA"/>
        </w:rPr>
        <w:t>les objectifs déclarés de la réforme politique.</w:t>
      </w:r>
    </w:p>
    <w:p w:rsidR="00084813" w:rsidRPr="00B17F01" w:rsidRDefault="007225F0" w:rsidP="006D2700">
      <w:pPr>
        <w:numPr>
          <w:ilvl w:val="0"/>
          <w:numId w:val="19"/>
        </w:numPr>
        <w:spacing w:after="120"/>
        <w:ind w:left="0" w:firstLine="0"/>
        <w:rPr>
          <w:snapToGrid w:val="0"/>
          <w:kern w:val="22"/>
          <w:szCs w:val="22"/>
          <w:lang w:val="fr-CA"/>
        </w:rPr>
      </w:pPr>
      <w:r w:rsidRPr="00B17F01">
        <w:rPr>
          <w:kern w:val="22"/>
          <w:lang w:val="fr-CA"/>
        </w:rPr>
        <w:t>Les informations quantitatives mondia</w:t>
      </w:r>
      <w:r w:rsidR="006D2700" w:rsidRPr="00B17F01">
        <w:rPr>
          <w:kern w:val="22"/>
          <w:lang w:val="fr-CA"/>
        </w:rPr>
        <w:t>les existantes sur</w:t>
      </w:r>
      <w:r w:rsidRPr="00B17F01">
        <w:rPr>
          <w:kern w:val="22"/>
          <w:lang w:val="fr-CA"/>
        </w:rPr>
        <w:t xml:space="preserve"> l’ampleur des incitations, y compris les subventions, néfastes pour la biodiversité</w:t>
      </w:r>
      <w:r w:rsidR="006D2700" w:rsidRPr="00B17F01">
        <w:rPr>
          <w:kern w:val="22"/>
          <w:lang w:val="fr-CA"/>
        </w:rPr>
        <w:t>,</w:t>
      </w:r>
      <w:r w:rsidRPr="00B17F01">
        <w:rPr>
          <w:kern w:val="22"/>
          <w:lang w:val="fr-CA"/>
        </w:rPr>
        <w:t xml:space="preserve"> consistent généralement d’estimés ponctuels et ne fournissent pas de données chronologiques qui permettraient de systématiquement dégager les effets sur la biodiversité susmentionnés ou une évaluation des progrès d’ensemble réalisés. </w:t>
      </w:r>
      <w:r w:rsidR="00F55959" w:rsidRPr="00B17F01">
        <w:rPr>
          <w:kern w:val="22"/>
          <w:lang w:val="fr-CA"/>
        </w:rPr>
        <w:t xml:space="preserve">Cependant, des données quantitatives illustrant ces effets sont disponibles pour les subventions agricoles potentiellement néfastes pour l’environnement dans les pays de l’OCDE. </w:t>
      </w:r>
      <w:r w:rsidR="009546C4" w:rsidRPr="00B17F01">
        <w:rPr>
          <w:kern w:val="22"/>
          <w:lang w:val="fr-CA"/>
        </w:rPr>
        <w:t xml:space="preserve">Basées sur la méthodologie de l’OCDE pour mesurer le soutien à l’agriculture, les divers types d’appui sont classés par </w:t>
      </w:r>
      <w:r w:rsidR="008F51E8" w:rsidRPr="00B17F01">
        <w:rPr>
          <w:kern w:val="22"/>
          <w:lang w:val="fr-CA"/>
        </w:rPr>
        <w:t>cette organisation</w:t>
      </w:r>
      <w:r w:rsidR="009546C4" w:rsidRPr="00B17F01">
        <w:rPr>
          <w:kern w:val="22"/>
          <w:lang w:val="fr-CA"/>
        </w:rPr>
        <w:t xml:space="preserve"> selon leurs impacts environnementaux potentiels. </w:t>
      </w:r>
      <w:r w:rsidR="003B18B8" w:rsidRPr="00B17F01">
        <w:rPr>
          <w:kern w:val="22"/>
          <w:lang w:val="fr-CA"/>
        </w:rPr>
        <w:t>Selon les récentes évaluations de l’OCDE basées sur cette méthodologie, l</w:t>
      </w:r>
      <w:r w:rsidR="008F51E8" w:rsidRPr="00B17F01">
        <w:rPr>
          <w:kern w:val="22"/>
          <w:lang w:val="fr-CA"/>
        </w:rPr>
        <w:t xml:space="preserve">e montant des subventions agricoles potentiellement les plus néfastes à l’environnement a chuté considérablement au cours des </w:t>
      </w:r>
      <w:r w:rsidR="006D2700" w:rsidRPr="00B17F01">
        <w:rPr>
          <w:kern w:val="22"/>
          <w:lang w:val="fr-CA"/>
        </w:rPr>
        <w:t>récentes</w:t>
      </w:r>
      <w:r w:rsidR="008F51E8" w:rsidRPr="00B17F01">
        <w:rPr>
          <w:kern w:val="22"/>
          <w:lang w:val="fr-CA"/>
        </w:rPr>
        <w:t xml:space="preserve"> décennies, autant en termes de chiffres absolus (plus de 200</w:t>
      </w:r>
      <w:r w:rsidR="00F21C84" w:rsidRPr="00B17F01">
        <w:rPr>
          <w:kern w:val="22"/>
          <w:lang w:val="fr-CA"/>
        </w:rPr>
        <w:t> milliards </w:t>
      </w:r>
      <w:r w:rsidR="008F51E8" w:rsidRPr="00B17F01">
        <w:rPr>
          <w:kern w:val="22"/>
          <w:lang w:val="fr-CA"/>
        </w:rPr>
        <w:t>USD en 1990, à un peu plus de 100 mill</w:t>
      </w:r>
      <w:r w:rsidR="00F21C84" w:rsidRPr="00B17F01">
        <w:rPr>
          <w:kern w:val="22"/>
          <w:lang w:val="fr-CA"/>
        </w:rPr>
        <w:t>iards </w:t>
      </w:r>
      <w:r w:rsidR="008F51E8" w:rsidRPr="00B17F01">
        <w:rPr>
          <w:kern w:val="22"/>
          <w:lang w:val="fr-CA"/>
        </w:rPr>
        <w:t>USD en 2015), qu’en termes de pourcentage relat</w:t>
      </w:r>
      <w:r w:rsidR="006D2700" w:rsidRPr="00B17F01">
        <w:rPr>
          <w:kern w:val="22"/>
          <w:lang w:val="fr-CA"/>
        </w:rPr>
        <w:t>if du total des subventions (</w:t>
      </w:r>
      <w:r w:rsidR="008F51E8" w:rsidRPr="00B17F01">
        <w:rPr>
          <w:kern w:val="22"/>
          <w:lang w:val="fr-CA"/>
        </w:rPr>
        <w:t>plus de 80 % en 1990, à environ 50 % en 2015). Cela pourrait être interprété comme une contribution importante à l’effet des incitations décrit ci</w:t>
      </w:r>
      <w:r w:rsidR="008F51E8" w:rsidRPr="00B17F01">
        <w:rPr>
          <w:kern w:val="22"/>
          <w:lang w:val="fr-CA"/>
        </w:rPr>
        <w:noBreakHyphen/>
        <w:t>dessus. Les types de soutie</w:t>
      </w:r>
      <w:r w:rsidR="00F21C84" w:rsidRPr="00B17F01">
        <w:rPr>
          <w:kern w:val="22"/>
          <w:lang w:val="fr-CA"/>
        </w:rPr>
        <w:t>n les moins néfastes, tels que l</w:t>
      </w:r>
      <w:r w:rsidR="008F51E8" w:rsidRPr="00B17F01">
        <w:rPr>
          <w:kern w:val="22"/>
          <w:lang w:val="fr-CA"/>
        </w:rPr>
        <w:t>es paiements</w:t>
      </w:r>
      <w:r w:rsidR="00F21C84" w:rsidRPr="00B17F01">
        <w:rPr>
          <w:kern w:val="22"/>
          <w:lang w:val="fr-CA"/>
        </w:rPr>
        <w:t xml:space="preserve"> basés sur des critères non liés aux produits de base, y compris la mise hors culture des terres et d’autres pratiques qui appuient la biodiversité, se sont considérablement accrus depuis 1990 et sont passés de 3 milliards USD en 2000 à 5 milliards USD en 2010, mais sont restés essentiellement stationn</w:t>
      </w:r>
      <w:r w:rsidR="009A5C89" w:rsidRPr="00B17F01">
        <w:rPr>
          <w:kern w:val="22"/>
          <w:lang w:val="fr-CA"/>
        </w:rPr>
        <w:t xml:space="preserve">aires depuis, ce qui </w:t>
      </w:r>
      <w:r w:rsidR="006D2700" w:rsidRPr="00B17F01">
        <w:rPr>
          <w:kern w:val="22"/>
          <w:lang w:val="fr-CA"/>
        </w:rPr>
        <w:t>fait ressortir</w:t>
      </w:r>
      <w:r w:rsidR="009A5C89" w:rsidRPr="00B17F01">
        <w:rPr>
          <w:kern w:val="22"/>
          <w:lang w:val="fr-CA"/>
        </w:rPr>
        <w:t xml:space="preserve"> l’</w:t>
      </w:r>
      <w:r w:rsidR="00F21C84" w:rsidRPr="00B17F01">
        <w:rPr>
          <w:kern w:val="22"/>
          <w:lang w:val="fr-CA"/>
        </w:rPr>
        <w:t>effet sur le revenu plus limité des récentes réformes politiques</w:t>
      </w:r>
      <w:r w:rsidR="001438AC" w:rsidRPr="00B17F01">
        <w:rPr>
          <w:kern w:val="22"/>
          <w:lang w:val="fr-CA"/>
        </w:rPr>
        <w:t xml:space="preserve"> visant des mesures plus</w:t>
      </w:r>
      <w:r w:rsidR="009A5C89" w:rsidRPr="00B17F01">
        <w:rPr>
          <w:kern w:val="22"/>
          <w:lang w:val="fr-CA"/>
        </w:rPr>
        <w:t xml:space="preserve"> respectueuses de la biodiversité.</w:t>
      </w:r>
    </w:p>
    <w:p w:rsidR="00084813" w:rsidRPr="00B17F01" w:rsidRDefault="00874D19" w:rsidP="00426119">
      <w:pPr>
        <w:numPr>
          <w:ilvl w:val="0"/>
          <w:numId w:val="19"/>
        </w:numPr>
        <w:spacing w:after="120"/>
        <w:ind w:left="0" w:firstLine="0"/>
        <w:rPr>
          <w:snapToGrid w:val="0"/>
          <w:kern w:val="22"/>
          <w:szCs w:val="22"/>
          <w:lang w:val="fr-CA"/>
        </w:rPr>
      </w:pPr>
      <w:r w:rsidRPr="00B17F01">
        <w:rPr>
          <w:snapToGrid w:val="0"/>
          <w:kern w:val="22"/>
          <w:szCs w:val="22"/>
          <w:lang w:val="fr-CA"/>
        </w:rPr>
        <w:t>Le soutien à l’agriculture classé comme étant potentiellement plus</w:t>
      </w:r>
      <w:r w:rsidR="00426119" w:rsidRPr="00B17F01">
        <w:rPr>
          <w:snapToGrid w:val="0"/>
          <w:kern w:val="22"/>
          <w:szCs w:val="22"/>
          <w:lang w:val="fr-CA"/>
        </w:rPr>
        <w:t>,</w:t>
      </w:r>
      <w:r w:rsidRPr="00B17F01">
        <w:rPr>
          <w:snapToGrid w:val="0"/>
          <w:kern w:val="22"/>
          <w:szCs w:val="22"/>
          <w:lang w:val="fr-CA"/>
        </w:rPr>
        <w:t xml:space="preserve"> ou le plus</w:t>
      </w:r>
      <w:r w:rsidR="00426119" w:rsidRPr="00B17F01">
        <w:rPr>
          <w:snapToGrid w:val="0"/>
          <w:kern w:val="22"/>
          <w:szCs w:val="22"/>
          <w:lang w:val="fr-CA"/>
        </w:rPr>
        <w:t>,</w:t>
      </w:r>
      <w:r w:rsidRPr="00B17F01">
        <w:rPr>
          <w:snapToGrid w:val="0"/>
          <w:kern w:val="22"/>
          <w:szCs w:val="22"/>
          <w:lang w:val="fr-CA"/>
        </w:rPr>
        <w:t xml:space="preserve"> néfaste pour l’environnement demeure à environ 100 milliards USD dans les pays de l’OCDE. Cela indique que, malgré </w:t>
      </w:r>
      <w:r w:rsidRPr="00B17F01">
        <w:rPr>
          <w:snapToGrid w:val="0"/>
          <w:kern w:val="22"/>
          <w:szCs w:val="22"/>
          <w:lang w:val="fr-CA"/>
        </w:rPr>
        <w:lastRenderedPageBreak/>
        <w:t xml:space="preserve">les progrès </w:t>
      </w:r>
      <w:r w:rsidR="00426119" w:rsidRPr="00B17F01">
        <w:rPr>
          <w:snapToGrid w:val="0"/>
          <w:kern w:val="22"/>
          <w:szCs w:val="22"/>
          <w:lang w:val="fr-CA"/>
        </w:rPr>
        <w:t xml:space="preserve">susmentionnés </w:t>
      </w:r>
      <w:r w:rsidRPr="00B17F01">
        <w:rPr>
          <w:snapToGrid w:val="0"/>
          <w:kern w:val="22"/>
          <w:szCs w:val="22"/>
          <w:lang w:val="fr-CA"/>
        </w:rPr>
        <w:t>déjà réalisés</w:t>
      </w:r>
      <w:r w:rsidR="00314632" w:rsidRPr="00B17F01">
        <w:rPr>
          <w:snapToGrid w:val="0"/>
          <w:kern w:val="22"/>
          <w:szCs w:val="22"/>
          <w:lang w:val="fr-CA"/>
        </w:rPr>
        <w:t>,</w:t>
      </w:r>
      <w:r w:rsidRPr="00B17F01">
        <w:rPr>
          <w:snapToGrid w:val="0"/>
          <w:kern w:val="22"/>
          <w:szCs w:val="22"/>
          <w:lang w:val="fr-CA"/>
        </w:rPr>
        <w:t xml:space="preserve"> des opportunités considérables existent pour la prise de mesures politiques</w:t>
      </w:r>
      <w:r w:rsidR="00314632" w:rsidRPr="00B17F01">
        <w:rPr>
          <w:snapToGrid w:val="0"/>
          <w:kern w:val="22"/>
          <w:szCs w:val="22"/>
          <w:lang w:val="fr-CA"/>
        </w:rPr>
        <w:t xml:space="preserve"> ultérieures au titre de l’Objectif 3 d’Aichi pour la biodiversité dans ce secteur dans les pays de l’OCDE.</w:t>
      </w:r>
      <w:r w:rsidR="009A5C89" w:rsidRPr="00B17F01">
        <w:rPr>
          <w:snapToGrid w:val="0"/>
          <w:kern w:val="22"/>
          <w:szCs w:val="22"/>
          <w:lang w:val="fr-CA"/>
        </w:rPr>
        <w:t xml:space="preserve"> </w:t>
      </w:r>
      <w:r w:rsidR="00314632" w:rsidRPr="00B17F01">
        <w:rPr>
          <w:snapToGrid w:val="0"/>
          <w:kern w:val="22"/>
          <w:szCs w:val="22"/>
          <w:lang w:val="fr-CA"/>
        </w:rPr>
        <w:t>La possibilité de prendre d’autres mesures existe aussi globalement dans d’autres secteurs, tels que l’énergie (avec des subventions à la consommation s’élevant à</w:t>
      </w:r>
      <w:r w:rsidR="009A5C89" w:rsidRPr="00B17F01">
        <w:rPr>
          <w:snapToGrid w:val="0"/>
          <w:kern w:val="22"/>
          <w:szCs w:val="22"/>
          <w:lang w:val="fr-CA"/>
        </w:rPr>
        <w:t xml:space="preserve"> </w:t>
      </w:r>
      <w:r w:rsidR="00314632" w:rsidRPr="00B17F01">
        <w:rPr>
          <w:snapToGrid w:val="0"/>
          <w:kern w:val="22"/>
          <w:szCs w:val="22"/>
          <w:lang w:val="fr-CA"/>
        </w:rPr>
        <w:t>260 milliards USD selon l’</w:t>
      </w:r>
      <w:r w:rsidR="00314632" w:rsidRPr="00B17F01">
        <w:rPr>
          <w:rStyle w:val="preferred"/>
          <w:lang w:val="fr-CA"/>
        </w:rPr>
        <w:t>Agence internationale de l’énergie)</w:t>
      </w:r>
      <w:r w:rsidR="009A5C89" w:rsidRPr="00B17F01">
        <w:rPr>
          <w:snapToGrid w:val="0"/>
          <w:kern w:val="22"/>
          <w:szCs w:val="22"/>
          <w:lang w:val="fr-CA"/>
        </w:rPr>
        <w:t xml:space="preserve"> </w:t>
      </w:r>
      <w:r w:rsidR="00C57D95" w:rsidRPr="00B17F01">
        <w:rPr>
          <w:snapToGrid w:val="0"/>
          <w:kern w:val="22"/>
          <w:szCs w:val="22"/>
          <w:lang w:val="fr-CA"/>
        </w:rPr>
        <w:t xml:space="preserve">et les pêches (avec des subventions de l’ordre de 35 milliards USD, dont 20 milliards USD sont néfastes, selon de récents estimés). Des opportunités, possiblement dans le cadre de réformes fiscales environnementales, existent dans les pays en développement dans les secteurs de l’énergie et de l’eau, comme l’ont fait ressortir de récentes études appuyées par le Programme des Nations Unies pour l’environnement ainsi qu’au titre de l’Initiative </w:t>
      </w:r>
      <w:r w:rsidR="00426119" w:rsidRPr="00B17F01">
        <w:rPr>
          <w:snapToGrid w:val="0"/>
          <w:kern w:val="22"/>
          <w:szCs w:val="22"/>
          <w:lang w:val="fr-CA"/>
        </w:rPr>
        <w:t>BIOFIN.</w:t>
      </w:r>
    </w:p>
    <w:p w:rsidR="00084813" w:rsidRPr="00B17F01" w:rsidRDefault="00A275A5" w:rsidP="00C45BB6">
      <w:pPr>
        <w:numPr>
          <w:ilvl w:val="0"/>
          <w:numId w:val="19"/>
        </w:numPr>
        <w:spacing w:after="120"/>
        <w:ind w:left="0" w:firstLine="0"/>
        <w:rPr>
          <w:snapToGrid w:val="0"/>
          <w:kern w:val="22"/>
          <w:szCs w:val="22"/>
          <w:lang w:val="fr-CA"/>
        </w:rPr>
      </w:pPr>
      <w:r w:rsidRPr="00B17F01">
        <w:rPr>
          <w:snapToGrid w:val="0"/>
          <w:kern w:val="22"/>
          <w:szCs w:val="22"/>
          <w:lang w:val="fr-CA"/>
        </w:rPr>
        <w:t>S’agissant de mesures d’incitation positives, leur effet immédiat sur le revenu est plus ambigu que dans le cas des incitations néfas</w:t>
      </w:r>
      <w:r w:rsidR="004F3ACD" w:rsidRPr="00B17F01">
        <w:rPr>
          <w:snapToGrid w:val="0"/>
          <w:kern w:val="22"/>
          <w:szCs w:val="22"/>
          <w:lang w:val="fr-CA"/>
        </w:rPr>
        <w:t>tes. Dans le cas de</w:t>
      </w:r>
      <w:r w:rsidRPr="00B17F01">
        <w:rPr>
          <w:snapToGrid w:val="0"/>
          <w:kern w:val="22"/>
          <w:szCs w:val="22"/>
          <w:lang w:val="fr-CA"/>
        </w:rPr>
        <w:t xml:space="preserve"> programmes</w:t>
      </w:r>
      <w:r w:rsidR="004F3ACD" w:rsidRPr="00B17F01">
        <w:rPr>
          <w:snapToGrid w:val="0"/>
          <w:kern w:val="22"/>
          <w:szCs w:val="22"/>
          <w:lang w:val="fr-CA"/>
        </w:rPr>
        <w:t xml:space="preserve"> de financement public ou d’allégements fiscaux qui fournissent des incitations monétaires directes aux producteurs ou aux consommateurs, l’effet sur</w:t>
      </w:r>
      <w:r w:rsidR="00C45BB6" w:rsidRPr="00B17F01">
        <w:rPr>
          <w:snapToGrid w:val="0"/>
          <w:kern w:val="22"/>
          <w:szCs w:val="22"/>
          <w:lang w:val="fr-CA"/>
        </w:rPr>
        <w:t xml:space="preserve"> le revenu est en fait négatif;</w:t>
      </w:r>
      <w:r w:rsidR="004F3ACD" w:rsidRPr="00B17F01">
        <w:rPr>
          <w:snapToGrid w:val="0"/>
          <w:kern w:val="22"/>
          <w:szCs w:val="22"/>
          <w:lang w:val="fr-CA"/>
        </w:rPr>
        <w:t xml:space="preserve"> l’établissement de ces programmes requiert des ressources financières, par le biais d’allocations budgétaires traditionnelles ou au moyen d’outils plus novateurs. Cependant, un effet positif sur le revenu est créé lorsque la mesure elle</w:t>
      </w:r>
      <w:r w:rsidR="004F3ACD" w:rsidRPr="00B17F01">
        <w:rPr>
          <w:snapToGrid w:val="0"/>
          <w:kern w:val="22"/>
          <w:szCs w:val="22"/>
          <w:lang w:val="fr-CA"/>
        </w:rPr>
        <w:noBreakHyphen/>
        <w:t xml:space="preserve">même est financée par des entités privées, par exemple car elles souhaitent </w:t>
      </w:r>
      <w:r w:rsidR="00C45BB6" w:rsidRPr="00B17F01">
        <w:rPr>
          <w:snapToGrid w:val="0"/>
          <w:kern w:val="22"/>
          <w:szCs w:val="22"/>
          <w:lang w:val="fr-CA"/>
        </w:rPr>
        <w:t>encourager</w:t>
      </w:r>
      <w:r w:rsidR="004F3ACD" w:rsidRPr="00B17F01">
        <w:rPr>
          <w:snapToGrid w:val="0"/>
          <w:kern w:val="22"/>
          <w:szCs w:val="22"/>
          <w:lang w:val="fr-CA"/>
        </w:rPr>
        <w:t xml:space="preserve"> les bénéficiaires à aller « au</w:t>
      </w:r>
      <w:r w:rsidR="004F3ACD" w:rsidRPr="00B17F01">
        <w:rPr>
          <w:snapToGrid w:val="0"/>
          <w:kern w:val="22"/>
          <w:szCs w:val="22"/>
          <w:lang w:val="fr-CA"/>
        </w:rPr>
        <w:noBreakHyphen/>
        <w:t>delà de la conformité réglementaire ».</w:t>
      </w:r>
    </w:p>
    <w:p w:rsidR="00084813" w:rsidRPr="00B17F01" w:rsidRDefault="004F3ACD" w:rsidP="00772D80">
      <w:pPr>
        <w:numPr>
          <w:ilvl w:val="0"/>
          <w:numId w:val="19"/>
        </w:numPr>
        <w:spacing w:after="120"/>
        <w:ind w:left="0" w:firstLine="0"/>
        <w:rPr>
          <w:snapToGrid w:val="0"/>
          <w:kern w:val="22"/>
          <w:szCs w:val="22"/>
          <w:lang w:val="fr-CA"/>
        </w:rPr>
      </w:pPr>
      <w:r w:rsidRPr="00B17F01">
        <w:rPr>
          <w:snapToGrid w:val="0"/>
          <w:kern w:val="22"/>
          <w:szCs w:val="22"/>
          <w:lang w:val="fr-CA"/>
        </w:rPr>
        <w:t>Dans ce</w:t>
      </w:r>
      <w:r w:rsidR="00772D80" w:rsidRPr="00B17F01">
        <w:rPr>
          <w:snapToGrid w:val="0"/>
          <w:kern w:val="22"/>
          <w:szCs w:val="22"/>
          <w:lang w:val="fr-CA"/>
        </w:rPr>
        <w:t xml:space="preserve"> contexte, une étude récente de l’</w:t>
      </w:r>
      <w:r w:rsidR="00772D80" w:rsidRPr="003426E3">
        <w:rPr>
          <w:snapToGrid w:val="0"/>
          <w:kern w:val="22"/>
          <w:szCs w:val="22"/>
          <w:lang w:val="fr-CA"/>
        </w:rPr>
        <w:t>Institut interna</w:t>
      </w:r>
      <w:bookmarkStart w:id="0" w:name="_GoBack"/>
      <w:bookmarkEnd w:id="0"/>
      <w:r w:rsidR="00772D80" w:rsidRPr="003426E3">
        <w:rPr>
          <w:snapToGrid w:val="0"/>
          <w:kern w:val="22"/>
          <w:szCs w:val="22"/>
          <w:lang w:val="fr-CA"/>
        </w:rPr>
        <w:t>tional du développement durable</w:t>
      </w:r>
      <w:r w:rsidRPr="00B17F01">
        <w:rPr>
          <w:snapToGrid w:val="0"/>
          <w:kern w:val="22"/>
          <w:szCs w:val="22"/>
          <w:lang w:val="fr-CA"/>
        </w:rPr>
        <w:t xml:space="preserve"> </w:t>
      </w:r>
      <w:r w:rsidR="003E5DF5" w:rsidRPr="00B17F01">
        <w:rPr>
          <w:snapToGrid w:val="0"/>
          <w:kern w:val="22"/>
          <w:szCs w:val="22"/>
          <w:lang w:val="fr-CA"/>
        </w:rPr>
        <w:t xml:space="preserve">a analysé un vaste éventail de normes de durabilité volontaires et </w:t>
      </w:r>
      <w:r w:rsidR="00772D80" w:rsidRPr="00B17F01">
        <w:rPr>
          <w:snapToGrid w:val="0"/>
          <w:kern w:val="22"/>
          <w:szCs w:val="22"/>
          <w:lang w:val="fr-CA"/>
        </w:rPr>
        <w:t>les</w:t>
      </w:r>
      <w:r w:rsidR="00814756" w:rsidRPr="00B17F01">
        <w:rPr>
          <w:snapToGrid w:val="0"/>
          <w:kern w:val="22"/>
          <w:szCs w:val="22"/>
          <w:lang w:val="fr-CA"/>
        </w:rPr>
        <w:t xml:space="preserve"> systèmes</w:t>
      </w:r>
      <w:r w:rsidR="00772D80" w:rsidRPr="00B17F01">
        <w:rPr>
          <w:snapToGrid w:val="0"/>
          <w:kern w:val="22"/>
          <w:szCs w:val="22"/>
          <w:lang w:val="fr-CA"/>
        </w:rPr>
        <w:t xml:space="preserve"> de certification</w:t>
      </w:r>
      <w:r w:rsidR="00814756" w:rsidRPr="00B17F01">
        <w:rPr>
          <w:snapToGrid w:val="0"/>
          <w:kern w:val="22"/>
          <w:szCs w:val="22"/>
          <w:lang w:val="fr-CA"/>
        </w:rPr>
        <w:t xml:space="preserve"> associés (ou « étiquetage écologique ») pour divers produits de base.</w:t>
      </w:r>
      <w:r w:rsidRPr="00B17F01">
        <w:rPr>
          <w:snapToGrid w:val="0"/>
          <w:kern w:val="22"/>
          <w:szCs w:val="22"/>
          <w:lang w:val="fr-CA"/>
        </w:rPr>
        <w:t xml:space="preserve"> </w:t>
      </w:r>
      <w:r w:rsidR="00814756" w:rsidRPr="00B17F01">
        <w:rPr>
          <w:snapToGrid w:val="0"/>
          <w:kern w:val="22"/>
          <w:szCs w:val="22"/>
          <w:lang w:val="fr-CA"/>
        </w:rPr>
        <w:t>Le rapport indique que les marchés pour les produits certifiés ont rapidement cru au cours de la dernière décennie, mais qu’ils ne représentent qu’un</w:t>
      </w:r>
      <w:r w:rsidR="003D440E" w:rsidRPr="00B17F01">
        <w:rPr>
          <w:snapToGrid w:val="0"/>
          <w:kern w:val="22"/>
          <w:szCs w:val="22"/>
          <w:lang w:val="fr-CA"/>
        </w:rPr>
        <w:t>e</w:t>
      </w:r>
      <w:r w:rsidR="00814756" w:rsidRPr="00B17F01">
        <w:rPr>
          <w:snapToGrid w:val="0"/>
          <w:kern w:val="22"/>
          <w:szCs w:val="22"/>
          <w:lang w:val="fr-CA"/>
        </w:rPr>
        <w:t xml:space="preserve"> petite portion de la production agricole globale, et </w:t>
      </w:r>
      <w:r w:rsidR="00772D80" w:rsidRPr="00B17F01">
        <w:rPr>
          <w:snapToGrid w:val="0"/>
          <w:kern w:val="22"/>
          <w:szCs w:val="22"/>
          <w:lang w:val="fr-CA"/>
        </w:rPr>
        <w:t xml:space="preserve">recense </w:t>
      </w:r>
      <w:r w:rsidR="00814756" w:rsidRPr="00B17F01">
        <w:rPr>
          <w:snapToGrid w:val="0"/>
          <w:kern w:val="22"/>
          <w:szCs w:val="22"/>
          <w:lang w:val="fr-CA"/>
        </w:rPr>
        <w:t>un certain nombre de mesures concrètes que les décideurs peuvent prendre pour promouvoir une mise en œuvre plus stratégique et efficace de</w:t>
      </w:r>
      <w:r w:rsidR="00772D80" w:rsidRPr="00B17F01">
        <w:rPr>
          <w:snapToGrid w:val="0"/>
          <w:kern w:val="22"/>
          <w:szCs w:val="22"/>
          <w:lang w:val="fr-CA"/>
        </w:rPr>
        <w:t>s</w:t>
      </w:r>
      <w:r w:rsidR="00814756" w:rsidRPr="00B17F01">
        <w:rPr>
          <w:snapToGrid w:val="0"/>
          <w:kern w:val="22"/>
          <w:szCs w:val="22"/>
          <w:lang w:val="fr-CA"/>
        </w:rPr>
        <w:t xml:space="preserve"> normes volontaires pour la conservation de la biodiversité.</w:t>
      </w:r>
    </w:p>
    <w:p w:rsidR="00084813" w:rsidRPr="00B17F01" w:rsidRDefault="00FF62BE" w:rsidP="0085459B">
      <w:pPr>
        <w:numPr>
          <w:ilvl w:val="0"/>
          <w:numId w:val="19"/>
        </w:numPr>
        <w:tabs>
          <w:tab w:val="left" w:pos="0"/>
        </w:tabs>
        <w:spacing w:after="120"/>
        <w:ind w:left="0" w:firstLine="0"/>
        <w:rPr>
          <w:snapToGrid w:val="0"/>
          <w:kern w:val="22"/>
          <w:szCs w:val="22"/>
          <w:lang w:val="fr-CA"/>
        </w:rPr>
      </w:pPr>
      <w:r w:rsidRPr="00B17F01">
        <w:rPr>
          <w:snapToGrid w:val="0"/>
          <w:kern w:val="22"/>
          <w:szCs w:val="22"/>
          <w:lang w:val="fr-CA"/>
        </w:rPr>
        <w:t>Dans un contexte financier,</w:t>
      </w:r>
      <w:r w:rsidR="00EA0874" w:rsidRPr="00B17F01">
        <w:rPr>
          <w:snapToGrid w:val="0"/>
          <w:kern w:val="22"/>
          <w:szCs w:val="22"/>
          <w:lang w:val="fr-CA"/>
        </w:rPr>
        <w:t xml:space="preserve"> l’octroi de financements publics peut, au titre de financements mixtes, réduire le risque pour le financement privé et ainsi encourager </w:t>
      </w:r>
      <w:r w:rsidR="00086C38" w:rsidRPr="00B17F01">
        <w:rPr>
          <w:snapToGrid w:val="0"/>
          <w:kern w:val="22"/>
          <w:szCs w:val="22"/>
          <w:lang w:val="fr-CA"/>
        </w:rPr>
        <w:t xml:space="preserve">ou renforcer la fourniture de financement privé. Le rapport de 2018 du </w:t>
      </w:r>
      <w:r w:rsidR="00086C38" w:rsidRPr="00B17F01">
        <w:rPr>
          <w:rStyle w:val="preferred"/>
          <w:lang w:val="fr-CA"/>
        </w:rPr>
        <w:t xml:space="preserve">Groupe de réflexion </w:t>
      </w:r>
      <w:proofErr w:type="spellStart"/>
      <w:r w:rsidR="00086C38" w:rsidRPr="00B17F01">
        <w:rPr>
          <w:rStyle w:val="preferred"/>
          <w:lang w:val="fr-CA"/>
        </w:rPr>
        <w:t>interinstitutions</w:t>
      </w:r>
      <w:proofErr w:type="spellEnd"/>
      <w:r w:rsidR="00086C38" w:rsidRPr="00B17F01">
        <w:rPr>
          <w:rStyle w:val="preferred"/>
          <w:lang w:val="fr-CA"/>
        </w:rPr>
        <w:t xml:space="preserve"> sur le financement du développement</w:t>
      </w:r>
      <w:r w:rsidR="00A37DA4" w:rsidRPr="00B17F01">
        <w:rPr>
          <w:rStyle w:val="preferred"/>
          <w:lang w:val="fr-CA"/>
        </w:rPr>
        <w:t xml:space="preserve"> </w:t>
      </w:r>
      <w:r w:rsidR="0085459B" w:rsidRPr="00B17F01">
        <w:rPr>
          <w:rStyle w:val="preferred"/>
          <w:lang w:val="fr-CA"/>
        </w:rPr>
        <w:t>avertit</w:t>
      </w:r>
      <w:r w:rsidR="00A37DA4" w:rsidRPr="00B17F01">
        <w:rPr>
          <w:rStyle w:val="preferred"/>
          <w:lang w:val="fr-CA"/>
        </w:rPr>
        <w:t xml:space="preserve"> que le recours au financement privé est plus difficile dans les domaines où des considérations d’</w:t>
      </w:r>
      <w:r w:rsidR="00F84B7D" w:rsidRPr="00B17F01">
        <w:rPr>
          <w:rStyle w:val="preferred"/>
          <w:lang w:val="fr-CA"/>
        </w:rPr>
        <w:t>équit</w:t>
      </w:r>
      <w:r w:rsidR="00A37DA4" w:rsidRPr="00B17F01">
        <w:rPr>
          <w:rStyle w:val="preferred"/>
          <w:lang w:val="fr-CA"/>
        </w:rPr>
        <w:t xml:space="preserve">é et d’importants déficits de financement réduisent les perspectives de profit. </w:t>
      </w:r>
      <w:r w:rsidR="00E84E60" w:rsidRPr="00B17F01">
        <w:rPr>
          <w:rStyle w:val="preferred"/>
          <w:lang w:val="fr-CA"/>
        </w:rPr>
        <w:t>Le rapport indique que les investissements dans les écosystèmes seront largement financés par des fonds public</w:t>
      </w:r>
      <w:r w:rsidR="00F84B7D" w:rsidRPr="00B17F01">
        <w:rPr>
          <w:rStyle w:val="preferred"/>
          <w:lang w:val="fr-CA"/>
        </w:rPr>
        <w:t>s</w:t>
      </w:r>
      <w:r w:rsidR="00A6217D" w:rsidRPr="00B17F01">
        <w:rPr>
          <w:rStyle w:val="preferred"/>
          <w:lang w:val="fr-CA"/>
        </w:rPr>
        <w:t xml:space="preserve"> étant donné la nature de bien public de ce secteur.</w:t>
      </w:r>
      <w:r w:rsidR="00A37DA4" w:rsidRPr="00B17F01">
        <w:rPr>
          <w:rStyle w:val="preferred"/>
          <w:lang w:val="fr-CA"/>
        </w:rPr>
        <w:t xml:space="preserve"> </w:t>
      </w:r>
      <w:r w:rsidR="00F84B7D" w:rsidRPr="00B17F01">
        <w:rPr>
          <w:rStyle w:val="preferred"/>
          <w:lang w:val="fr-CA"/>
        </w:rPr>
        <w:t>Bien que</w:t>
      </w:r>
      <w:r w:rsidR="00A6217D" w:rsidRPr="00B17F01">
        <w:rPr>
          <w:rStyle w:val="preferred"/>
          <w:lang w:val="fr-CA"/>
        </w:rPr>
        <w:t xml:space="preserve"> les initiatives privées jouent parfois un rôle</w:t>
      </w:r>
      <w:r w:rsidR="00F84B7D" w:rsidRPr="00B17F01">
        <w:rPr>
          <w:rStyle w:val="preferred"/>
          <w:lang w:val="fr-CA"/>
        </w:rPr>
        <w:t>,</w:t>
      </w:r>
      <w:r w:rsidR="00A6217D" w:rsidRPr="00B17F01">
        <w:rPr>
          <w:rStyle w:val="FootnoteReference"/>
          <w:snapToGrid w:val="0"/>
          <w:kern w:val="22"/>
          <w:szCs w:val="22"/>
          <w:lang w:val="fr-CA"/>
        </w:rPr>
        <w:footnoteReference w:id="25"/>
      </w:r>
      <w:r w:rsidR="00A6217D" w:rsidRPr="00B17F01">
        <w:rPr>
          <w:rStyle w:val="preferred"/>
          <w:lang w:val="fr-CA"/>
        </w:rPr>
        <w:t xml:space="preserve"> et </w:t>
      </w:r>
      <w:r w:rsidR="00F84B7D" w:rsidRPr="00B17F01">
        <w:rPr>
          <w:rStyle w:val="preferred"/>
          <w:lang w:val="fr-CA"/>
        </w:rPr>
        <w:t xml:space="preserve">que </w:t>
      </w:r>
      <w:r w:rsidR="00A6217D" w:rsidRPr="00B17F01">
        <w:rPr>
          <w:rStyle w:val="preferred"/>
          <w:lang w:val="fr-CA"/>
        </w:rPr>
        <w:t xml:space="preserve">l’intérêt </w:t>
      </w:r>
      <w:r w:rsidR="0085459B" w:rsidRPr="00B17F01">
        <w:rPr>
          <w:rStyle w:val="preferred"/>
          <w:lang w:val="fr-CA"/>
        </w:rPr>
        <w:t>entourant</w:t>
      </w:r>
      <w:r w:rsidR="00A6217D" w:rsidRPr="00B17F01">
        <w:rPr>
          <w:rStyle w:val="preferred"/>
          <w:lang w:val="fr-CA"/>
        </w:rPr>
        <w:t xml:space="preserve"> la mobilisation de financements privés </w:t>
      </w:r>
      <w:r w:rsidR="00F84B7D" w:rsidRPr="00B17F01">
        <w:rPr>
          <w:rStyle w:val="preferred"/>
          <w:lang w:val="fr-CA"/>
        </w:rPr>
        <w:t>soit</w:t>
      </w:r>
      <w:r w:rsidR="00A6217D" w:rsidRPr="00B17F01">
        <w:rPr>
          <w:rStyle w:val="preferred"/>
          <w:lang w:val="fr-CA"/>
        </w:rPr>
        <w:t xml:space="preserve"> à la hausse,</w:t>
      </w:r>
      <w:r w:rsidR="00A6217D" w:rsidRPr="00B17F01">
        <w:rPr>
          <w:rStyle w:val="FootnoteReference"/>
          <w:snapToGrid w:val="0"/>
          <w:kern w:val="22"/>
          <w:szCs w:val="22"/>
          <w:lang w:val="fr-CA"/>
        </w:rPr>
        <w:footnoteReference w:id="26"/>
      </w:r>
      <w:r w:rsidR="00A6217D" w:rsidRPr="00B17F01">
        <w:rPr>
          <w:rStyle w:val="preferred"/>
          <w:lang w:val="fr-CA"/>
        </w:rPr>
        <w:t xml:space="preserve"> l’un des défis est d’élaborer un nombre suffisant de propositions d’investissement qui créeront</w:t>
      </w:r>
      <w:r w:rsidR="00F84B7D" w:rsidRPr="00B17F01">
        <w:rPr>
          <w:rStyle w:val="preferred"/>
          <w:lang w:val="fr-CA"/>
        </w:rPr>
        <w:t xml:space="preserve"> à la fois</w:t>
      </w:r>
      <w:r w:rsidR="00A6217D" w:rsidRPr="00B17F01">
        <w:rPr>
          <w:rStyle w:val="preferred"/>
          <w:lang w:val="fr-CA"/>
        </w:rPr>
        <w:t xml:space="preserve"> des rentrées d’argent et un impact mesurable sur la conservation.</w:t>
      </w:r>
      <w:r w:rsidR="00A6217D" w:rsidRPr="00B17F01">
        <w:rPr>
          <w:rStyle w:val="FootnoteReference"/>
          <w:snapToGrid w:val="0"/>
          <w:kern w:val="22"/>
          <w:szCs w:val="22"/>
          <w:lang w:val="fr-CA"/>
        </w:rPr>
        <w:footnoteReference w:id="27"/>
      </w:r>
    </w:p>
    <w:p w:rsidR="00084813" w:rsidRPr="00B17F01" w:rsidRDefault="0053081E" w:rsidP="005057F1">
      <w:pPr>
        <w:numPr>
          <w:ilvl w:val="0"/>
          <w:numId w:val="19"/>
        </w:numPr>
        <w:spacing w:after="120"/>
        <w:ind w:left="0" w:firstLine="0"/>
        <w:rPr>
          <w:snapToGrid w:val="0"/>
          <w:kern w:val="22"/>
          <w:szCs w:val="22"/>
          <w:lang w:val="fr-CA"/>
        </w:rPr>
      </w:pPr>
      <w:r w:rsidRPr="00B17F01">
        <w:rPr>
          <w:snapToGrid w:val="0"/>
          <w:kern w:val="22"/>
          <w:szCs w:val="22"/>
          <w:lang w:val="fr-CA"/>
        </w:rPr>
        <w:t>Plusieurs contributions ont souligné que la conception des mesures positives elles</w:t>
      </w:r>
      <w:r w:rsidRPr="00B17F01">
        <w:rPr>
          <w:snapToGrid w:val="0"/>
          <w:kern w:val="22"/>
          <w:szCs w:val="22"/>
          <w:lang w:val="fr-CA"/>
        </w:rPr>
        <w:noBreakHyphen/>
        <w:t xml:space="preserve">mêmes joue un rôle important pour son efficacité par rapport au coût. Par exemple, dans les programmes de paiements, des procédures de sélection plus judicieuses associées à des paiements non différenciés peuvent permettre de réaliser d’importantes économies. Cependant, étant donné que ce genre de système tend à être </w:t>
      </w:r>
      <w:r w:rsidR="000A334D" w:rsidRPr="00B17F01">
        <w:rPr>
          <w:snapToGrid w:val="0"/>
          <w:kern w:val="22"/>
          <w:szCs w:val="22"/>
          <w:lang w:val="fr-CA"/>
        </w:rPr>
        <w:t>complexe</w:t>
      </w:r>
      <w:r w:rsidRPr="00B17F01">
        <w:rPr>
          <w:snapToGrid w:val="0"/>
          <w:kern w:val="22"/>
          <w:szCs w:val="22"/>
          <w:lang w:val="fr-CA"/>
        </w:rPr>
        <w:t>, les contraintes entourant la conception et les capacités de suivi par l’entité chargée de la mise en œuvre doivent être prises en considération.</w:t>
      </w:r>
      <w:r w:rsidR="0010271E" w:rsidRPr="00B17F01">
        <w:rPr>
          <w:snapToGrid w:val="0"/>
          <w:kern w:val="22"/>
          <w:szCs w:val="22"/>
          <w:lang w:val="fr-CA"/>
        </w:rPr>
        <w:t xml:space="preserve"> L’Organe subsidiaire chargé de l’application pourrait souhaiter </w:t>
      </w:r>
      <w:r w:rsidR="000B51C6" w:rsidRPr="00B17F01">
        <w:rPr>
          <w:snapToGrid w:val="0"/>
          <w:kern w:val="22"/>
          <w:szCs w:val="22"/>
          <w:lang w:val="fr-CA"/>
        </w:rPr>
        <w:t>recommander que</w:t>
      </w:r>
      <w:r w:rsidR="0010271E" w:rsidRPr="00B17F01">
        <w:rPr>
          <w:snapToGrid w:val="0"/>
          <w:kern w:val="22"/>
          <w:szCs w:val="22"/>
          <w:lang w:val="fr-CA"/>
        </w:rPr>
        <w:t xml:space="preserve"> la Conférence de</w:t>
      </w:r>
      <w:r w:rsidR="000B51C6" w:rsidRPr="00B17F01">
        <w:rPr>
          <w:snapToGrid w:val="0"/>
          <w:kern w:val="22"/>
          <w:szCs w:val="22"/>
          <w:lang w:val="fr-CA"/>
        </w:rPr>
        <w:t>s Parties invite</w:t>
      </w:r>
      <w:r w:rsidR="0010271E" w:rsidRPr="00B17F01">
        <w:rPr>
          <w:snapToGrid w:val="0"/>
          <w:kern w:val="22"/>
          <w:szCs w:val="22"/>
          <w:lang w:val="fr-CA"/>
        </w:rPr>
        <w:t xml:space="preserve"> les Parties et les organisations concernées en mesure de le faire à aider les pays en développement Parties et les Parties à économies en transition à développer de telles capacités.</w:t>
      </w:r>
    </w:p>
    <w:p w:rsidR="00084813" w:rsidRPr="00B17F01" w:rsidRDefault="00084813" w:rsidP="00F050E5">
      <w:pPr>
        <w:keepNext/>
        <w:suppressLineNumbers/>
        <w:suppressAutoHyphens/>
        <w:spacing w:before="240" w:after="120"/>
        <w:ind w:left="1701" w:hanging="992"/>
        <w:jc w:val="left"/>
        <w:outlineLvl w:val="0"/>
        <w:rPr>
          <w:b/>
          <w:caps/>
          <w:snapToGrid w:val="0"/>
          <w:kern w:val="22"/>
          <w:szCs w:val="22"/>
          <w:lang w:val="fr-CA"/>
        </w:rPr>
      </w:pPr>
      <w:r w:rsidRPr="00B17F01">
        <w:rPr>
          <w:b/>
          <w:caps/>
          <w:snapToGrid w:val="0"/>
          <w:kern w:val="22"/>
          <w:szCs w:val="22"/>
          <w:lang w:val="fr-CA"/>
        </w:rPr>
        <w:lastRenderedPageBreak/>
        <w:t>III.</w:t>
      </w:r>
      <w:r w:rsidRPr="00B17F01">
        <w:rPr>
          <w:b/>
          <w:caps/>
          <w:snapToGrid w:val="0"/>
          <w:kern w:val="22"/>
          <w:szCs w:val="22"/>
          <w:lang w:val="fr-CA"/>
        </w:rPr>
        <w:tab/>
      </w:r>
      <w:r w:rsidR="00046FA9" w:rsidRPr="00B17F01">
        <w:rPr>
          <w:b/>
          <w:caps/>
          <w:snapToGrid w:val="0"/>
          <w:kern w:val="22"/>
          <w:szCs w:val="22"/>
          <w:lang w:val="fr-CA"/>
        </w:rPr>
        <w:t xml:space="preserve">considérations concernant </w:t>
      </w:r>
      <w:r w:rsidR="002C3A3C" w:rsidRPr="00B17F01">
        <w:rPr>
          <w:b/>
          <w:caps/>
          <w:snapToGrid w:val="0"/>
          <w:kern w:val="22"/>
          <w:szCs w:val="22"/>
          <w:lang w:val="fr-CA"/>
        </w:rPr>
        <w:t>l’élément</w:t>
      </w:r>
      <w:r w:rsidR="00046FA9" w:rsidRPr="00B17F01">
        <w:rPr>
          <w:b/>
          <w:caps/>
          <w:snapToGrid w:val="0"/>
          <w:kern w:val="22"/>
          <w:szCs w:val="22"/>
          <w:lang w:val="fr-CA"/>
        </w:rPr>
        <w:t xml:space="preserve"> mobilisation des ressources du </w:t>
      </w:r>
      <w:r w:rsidR="008B1C3F" w:rsidRPr="00B17F01">
        <w:rPr>
          <w:b/>
          <w:caps/>
          <w:snapToGrid w:val="0"/>
          <w:kern w:val="22"/>
          <w:szCs w:val="22"/>
          <w:lang w:val="fr-CA"/>
        </w:rPr>
        <w:t>cadre mondial de l'après</w:t>
      </w:r>
      <w:r w:rsidR="008B1C3F" w:rsidRPr="00B17F01">
        <w:rPr>
          <w:b/>
          <w:caps/>
          <w:snapToGrid w:val="0"/>
          <w:kern w:val="22"/>
          <w:szCs w:val="22"/>
          <w:lang w:val="fr-CA"/>
        </w:rPr>
        <w:noBreakHyphen/>
        <w:t>2020 pour la biodiversité</w:t>
      </w:r>
    </w:p>
    <w:p w:rsidR="00084813" w:rsidRPr="00B17F01" w:rsidRDefault="008B1C3F" w:rsidP="00F050E5">
      <w:pPr>
        <w:numPr>
          <w:ilvl w:val="0"/>
          <w:numId w:val="19"/>
        </w:numPr>
        <w:spacing w:after="120"/>
        <w:ind w:left="0" w:firstLine="0"/>
        <w:rPr>
          <w:snapToGrid w:val="0"/>
          <w:kern w:val="22"/>
          <w:szCs w:val="22"/>
          <w:lang w:val="fr-CA"/>
        </w:rPr>
      </w:pPr>
      <w:r w:rsidRPr="00B17F01">
        <w:rPr>
          <w:snapToGrid w:val="0"/>
          <w:kern w:val="22"/>
          <w:szCs w:val="22"/>
          <w:lang w:val="fr-CA"/>
        </w:rPr>
        <w:t xml:space="preserve">L’actuel </w:t>
      </w:r>
      <w:r w:rsidR="00227E84" w:rsidRPr="00B17F01">
        <w:rPr>
          <w:snapToGrid w:val="0"/>
          <w:kern w:val="22"/>
          <w:szCs w:val="22"/>
          <w:lang w:val="fr-CA"/>
        </w:rPr>
        <w:t>Plan stratégique 2011</w:t>
      </w:r>
      <w:r w:rsidR="00227E84" w:rsidRPr="00B17F01">
        <w:rPr>
          <w:snapToGrid w:val="0"/>
          <w:kern w:val="22"/>
          <w:szCs w:val="22"/>
          <w:lang w:val="fr-CA"/>
        </w:rPr>
        <w:noBreakHyphen/>
      </w:r>
      <w:r w:rsidRPr="00B17F01">
        <w:rPr>
          <w:snapToGrid w:val="0"/>
          <w:kern w:val="22"/>
          <w:szCs w:val="22"/>
          <w:lang w:val="fr-CA"/>
        </w:rPr>
        <w:t>2020 pour la diversité biologique et ses</w:t>
      </w:r>
      <w:r w:rsidR="00227E84" w:rsidRPr="00B17F01">
        <w:rPr>
          <w:snapToGrid w:val="0"/>
          <w:kern w:val="22"/>
          <w:szCs w:val="22"/>
          <w:lang w:val="fr-CA"/>
        </w:rPr>
        <w:t xml:space="preserve"> </w:t>
      </w:r>
      <w:r w:rsidR="00F050E5" w:rsidRPr="00B17F01">
        <w:rPr>
          <w:snapToGrid w:val="0"/>
          <w:kern w:val="22"/>
          <w:szCs w:val="22"/>
          <w:lang w:val="fr-CA"/>
        </w:rPr>
        <w:t>20 </w:t>
      </w:r>
      <w:r w:rsidRPr="00B17F01">
        <w:rPr>
          <w:snapToGrid w:val="0"/>
          <w:kern w:val="22"/>
          <w:szCs w:val="22"/>
          <w:lang w:val="fr-CA"/>
        </w:rPr>
        <w:t>Objectifs d’Aichi</w:t>
      </w:r>
      <w:r w:rsidR="00227E84" w:rsidRPr="00B17F01">
        <w:rPr>
          <w:snapToGrid w:val="0"/>
          <w:kern w:val="22"/>
          <w:szCs w:val="22"/>
          <w:lang w:val="fr-CA"/>
        </w:rPr>
        <w:t xml:space="preserve"> </w:t>
      </w:r>
      <w:r w:rsidRPr="00B17F01">
        <w:rPr>
          <w:snapToGrid w:val="0"/>
          <w:kern w:val="22"/>
          <w:szCs w:val="22"/>
          <w:lang w:val="fr-CA"/>
        </w:rPr>
        <w:t>expirera en 2020, et les travaux ont déjà été entamés pour l’élaboratio</w:t>
      </w:r>
      <w:r w:rsidR="00F050E5" w:rsidRPr="00B17F01">
        <w:rPr>
          <w:snapToGrid w:val="0"/>
          <w:kern w:val="22"/>
          <w:szCs w:val="22"/>
          <w:lang w:val="fr-CA"/>
        </w:rPr>
        <w:t xml:space="preserve">n d’un </w:t>
      </w:r>
      <w:hyperlink r:id="rId18" w:history="1">
        <w:r w:rsidR="00F050E5" w:rsidRPr="00B17F01">
          <w:rPr>
            <w:rStyle w:val="Hyperlink"/>
            <w:snapToGrid w:val="0"/>
            <w:kern w:val="22"/>
            <w:sz w:val="22"/>
            <w:szCs w:val="22"/>
            <w:lang w:val="fr-CA"/>
          </w:rPr>
          <w:t>cadre mondial de l’après</w:t>
        </w:r>
        <w:r w:rsidR="00F050E5" w:rsidRPr="00B17F01">
          <w:rPr>
            <w:rStyle w:val="Hyperlink"/>
            <w:snapToGrid w:val="0"/>
            <w:kern w:val="22"/>
            <w:sz w:val="22"/>
            <w:szCs w:val="22"/>
            <w:lang w:val="fr-CA"/>
          </w:rPr>
          <w:noBreakHyphen/>
          <w:t>2020 pour la biodiversité</w:t>
        </w:r>
      </w:hyperlink>
      <w:r w:rsidR="00F050E5" w:rsidRPr="00B17F01">
        <w:rPr>
          <w:snapToGrid w:val="0"/>
          <w:kern w:val="22"/>
          <w:szCs w:val="22"/>
          <w:lang w:val="fr-CA"/>
        </w:rPr>
        <w:t>. La note de la Secrétaire exécutive sur les préparatifs pour les suites à donner au terme du Plan stratégique 2011-2020 pour la diversité biologique (</w:t>
      </w:r>
      <w:r w:rsidRPr="00B17F01">
        <w:rPr>
          <w:snapToGrid w:val="0"/>
          <w:kern w:val="22"/>
          <w:szCs w:val="22"/>
          <w:lang w:val="fr-CA"/>
        </w:rPr>
        <w:t>CBD/SBI/2/17</w:t>
      </w:r>
      <w:r w:rsidR="00F050E5" w:rsidRPr="00B17F01">
        <w:rPr>
          <w:snapToGrid w:val="0"/>
          <w:kern w:val="22"/>
          <w:szCs w:val="22"/>
          <w:lang w:val="fr-CA"/>
        </w:rPr>
        <w:t>)</w:t>
      </w:r>
      <w:r w:rsidRPr="00B17F01">
        <w:rPr>
          <w:snapToGrid w:val="0"/>
          <w:kern w:val="22"/>
          <w:szCs w:val="22"/>
          <w:lang w:val="fr-CA"/>
        </w:rPr>
        <w:t xml:space="preserve"> contient les modalités proposées d’un processus visant à préparer ce cadre, aux fins d’examen par l’Organe subsidiaire en vue de son adoption par la Conférence des Parties à sa quatorzième réunion. La discussion ci</w:t>
      </w:r>
      <w:r w:rsidRPr="00B17F01">
        <w:rPr>
          <w:snapToGrid w:val="0"/>
          <w:kern w:val="22"/>
          <w:szCs w:val="22"/>
          <w:lang w:val="fr-CA"/>
        </w:rPr>
        <w:noBreakHyphen/>
        <w:t>après</w:t>
      </w:r>
      <w:r w:rsidR="00242748" w:rsidRPr="00B17F01">
        <w:rPr>
          <w:snapToGrid w:val="0"/>
          <w:kern w:val="22"/>
          <w:szCs w:val="22"/>
          <w:lang w:val="fr-CA"/>
        </w:rPr>
        <w:t xml:space="preserve"> résume les avancées pertinentes dans les travaux sur la mobilisation des ressources au titre du </w:t>
      </w:r>
      <w:r w:rsidR="00227E84" w:rsidRPr="00B17F01">
        <w:rPr>
          <w:snapToGrid w:val="0"/>
          <w:kern w:val="22"/>
          <w:szCs w:val="22"/>
          <w:lang w:val="fr-CA"/>
        </w:rPr>
        <w:t>Plan stratégique 2011</w:t>
      </w:r>
      <w:r w:rsidR="00227E84" w:rsidRPr="00B17F01">
        <w:rPr>
          <w:snapToGrid w:val="0"/>
          <w:kern w:val="22"/>
          <w:szCs w:val="22"/>
          <w:lang w:val="fr-CA"/>
        </w:rPr>
        <w:noBreakHyphen/>
      </w:r>
      <w:r w:rsidR="00242748" w:rsidRPr="00B17F01">
        <w:rPr>
          <w:snapToGrid w:val="0"/>
          <w:kern w:val="22"/>
          <w:szCs w:val="22"/>
          <w:lang w:val="fr-CA"/>
        </w:rPr>
        <w:t>2020 pour la diversité biologique et les considéra</w:t>
      </w:r>
      <w:r w:rsidR="00F050E5" w:rsidRPr="00B17F01">
        <w:rPr>
          <w:snapToGrid w:val="0"/>
          <w:kern w:val="22"/>
          <w:szCs w:val="22"/>
          <w:lang w:val="fr-CA"/>
        </w:rPr>
        <w:t>tions concernant le c</w:t>
      </w:r>
      <w:r w:rsidR="00242748" w:rsidRPr="00B17F01">
        <w:rPr>
          <w:snapToGrid w:val="0"/>
          <w:kern w:val="22"/>
          <w:szCs w:val="22"/>
          <w:lang w:val="fr-CA"/>
        </w:rPr>
        <w:t>adre mondial de l’après</w:t>
      </w:r>
      <w:r w:rsidR="00242748" w:rsidRPr="00B17F01">
        <w:rPr>
          <w:snapToGrid w:val="0"/>
          <w:kern w:val="22"/>
          <w:szCs w:val="22"/>
          <w:lang w:val="fr-CA"/>
        </w:rPr>
        <w:noBreakHyphen/>
        <w:t>2020 pour la biodiversité.</w:t>
      </w:r>
    </w:p>
    <w:p w:rsidR="00084813" w:rsidRPr="00B17F01" w:rsidRDefault="00246722" w:rsidP="00F32F66">
      <w:pPr>
        <w:numPr>
          <w:ilvl w:val="0"/>
          <w:numId w:val="19"/>
        </w:numPr>
        <w:spacing w:after="120"/>
        <w:ind w:left="0" w:firstLine="0"/>
        <w:rPr>
          <w:snapToGrid w:val="0"/>
          <w:kern w:val="22"/>
          <w:szCs w:val="22"/>
          <w:lang w:val="fr-CA"/>
        </w:rPr>
      </w:pPr>
      <w:bookmarkStart w:id="1" w:name="_Ref511742343"/>
      <w:r w:rsidRPr="00B17F01">
        <w:rPr>
          <w:snapToGrid w:val="0"/>
          <w:kern w:val="22"/>
          <w:szCs w:val="22"/>
          <w:lang w:val="fr-CA"/>
        </w:rPr>
        <w:t xml:space="preserve">L’actuel Plan stratégique comprend un cadre pour la mobilisation de ressources financières </w:t>
      </w:r>
      <w:r w:rsidR="007C2C4B" w:rsidRPr="00B17F01">
        <w:rPr>
          <w:snapToGrid w:val="0"/>
          <w:kern w:val="22"/>
          <w:szCs w:val="22"/>
          <w:lang w:val="fr-CA"/>
        </w:rPr>
        <w:t>aux fins de</w:t>
      </w:r>
      <w:r w:rsidRPr="00B17F01">
        <w:rPr>
          <w:snapToGrid w:val="0"/>
          <w:kern w:val="22"/>
          <w:szCs w:val="22"/>
          <w:lang w:val="fr-CA"/>
        </w:rPr>
        <w:t xml:space="preserve"> sa mise en œuvre efficace. </w:t>
      </w:r>
      <w:r w:rsidR="007C2C4B" w:rsidRPr="00B17F01">
        <w:rPr>
          <w:snapToGrid w:val="0"/>
          <w:kern w:val="22"/>
          <w:szCs w:val="22"/>
          <w:lang w:val="fr-CA"/>
        </w:rPr>
        <w:t>Régi dans l’ensemble par l’article 20 de la Convention, ce cadre comprend l’Objectif 20 d’Aichi pour la biodiversité, les objectifs pour la mobilisation des ressources adoptés dans la décision XII/3, et l’établissement de rapports financiers associé, tel qu’abordé dans l</w:t>
      </w:r>
      <w:r w:rsidR="00F32F66" w:rsidRPr="00B17F01">
        <w:rPr>
          <w:snapToGrid w:val="0"/>
          <w:kern w:val="22"/>
          <w:szCs w:val="22"/>
          <w:lang w:val="fr-CA"/>
        </w:rPr>
        <w:t>a section II ci</w:t>
      </w:r>
      <w:r w:rsidR="00F32F66" w:rsidRPr="00B17F01">
        <w:rPr>
          <w:snapToGrid w:val="0"/>
          <w:kern w:val="22"/>
          <w:szCs w:val="22"/>
          <w:lang w:val="fr-CA"/>
        </w:rPr>
        <w:noBreakHyphen/>
        <w:t>dessus</w:t>
      </w:r>
      <w:r w:rsidR="007C2C4B" w:rsidRPr="00B17F01">
        <w:rPr>
          <w:snapToGrid w:val="0"/>
          <w:kern w:val="22"/>
          <w:szCs w:val="22"/>
          <w:lang w:val="fr-CA"/>
        </w:rPr>
        <w:t>. Par ailleurs, l’Objectif 20 d’Aichi pour la biodiversité fait également référence à la stratégie de mobilisation des ressources, adoptée par la Conférence des Parties à sa neuvième réunion, en 2008, et prolongée jusqu’en 2020 par la Conférence des Parties à sa douzième réunion, en 2014.</w:t>
      </w:r>
      <w:r w:rsidR="007C2C4B" w:rsidRPr="00B17F01">
        <w:rPr>
          <w:rStyle w:val="FootnoteReference"/>
          <w:snapToGrid w:val="0"/>
          <w:kern w:val="22"/>
          <w:szCs w:val="22"/>
          <w:lang w:val="fr-CA"/>
        </w:rPr>
        <w:footnoteReference w:id="28"/>
      </w:r>
      <w:bookmarkEnd w:id="1"/>
    </w:p>
    <w:p w:rsidR="00084813" w:rsidRPr="00B17F01" w:rsidRDefault="007C2C4B" w:rsidP="007C2C4B">
      <w:pPr>
        <w:numPr>
          <w:ilvl w:val="0"/>
          <w:numId w:val="19"/>
        </w:numPr>
        <w:spacing w:after="120"/>
        <w:ind w:left="0" w:firstLine="0"/>
        <w:rPr>
          <w:snapToGrid w:val="0"/>
          <w:kern w:val="22"/>
          <w:szCs w:val="22"/>
          <w:lang w:val="fr-CA"/>
        </w:rPr>
      </w:pPr>
      <w:bookmarkStart w:id="2" w:name="_Ref511742366"/>
      <w:r w:rsidRPr="00B17F01">
        <w:rPr>
          <w:snapToGrid w:val="0"/>
          <w:kern w:val="22"/>
          <w:szCs w:val="22"/>
          <w:lang w:val="fr-CA"/>
        </w:rPr>
        <w:t xml:space="preserve">La Conférence des Parties a également élaboré un nombre considérable d’orientations supplémentaires pour la mise en œuvre du cadre de mobilisation des ressources susmentionné, dont :          </w:t>
      </w:r>
      <w:r w:rsidR="00084813" w:rsidRPr="00B17F01">
        <w:rPr>
          <w:snapToGrid w:val="0"/>
          <w:kern w:val="22"/>
          <w:szCs w:val="22"/>
          <w:lang w:val="fr-CA"/>
        </w:rPr>
        <w:t xml:space="preserve">The </w:t>
      </w:r>
      <w:proofErr w:type="spellStart"/>
      <w:r w:rsidR="00084813" w:rsidRPr="00B17F01">
        <w:rPr>
          <w:snapToGrid w:val="0"/>
          <w:kern w:val="22"/>
          <w:szCs w:val="22"/>
          <w:lang w:val="fr-CA"/>
        </w:rPr>
        <w:t>Conference</w:t>
      </w:r>
      <w:proofErr w:type="spellEnd"/>
      <w:r w:rsidR="00084813" w:rsidRPr="00B17F01">
        <w:rPr>
          <w:snapToGrid w:val="0"/>
          <w:kern w:val="22"/>
          <w:szCs w:val="22"/>
          <w:lang w:val="fr-CA"/>
        </w:rPr>
        <w:t xml:space="preserve"> of the Parties </w:t>
      </w:r>
      <w:proofErr w:type="spellStart"/>
      <w:r w:rsidR="00084813" w:rsidRPr="00B17F01">
        <w:rPr>
          <w:snapToGrid w:val="0"/>
          <w:kern w:val="22"/>
          <w:szCs w:val="22"/>
          <w:lang w:val="fr-CA"/>
        </w:rPr>
        <w:t>also</w:t>
      </w:r>
      <w:proofErr w:type="spellEnd"/>
      <w:r w:rsidR="00084813" w:rsidRPr="00B17F01">
        <w:rPr>
          <w:snapToGrid w:val="0"/>
          <w:kern w:val="22"/>
          <w:szCs w:val="22"/>
          <w:lang w:val="fr-CA"/>
        </w:rPr>
        <w:t xml:space="preserve"> </w:t>
      </w:r>
      <w:proofErr w:type="spellStart"/>
      <w:r w:rsidR="00084813" w:rsidRPr="00B17F01">
        <w:rPr>
          <w:snapToGrid w:val="0"/>
          <w:kern w:val="22"/>
          <w:szCs w:val="22"/>
          <w:lang w:val="fr-CA"/>
        </w:rPr>
        <w:t>developed</w:t>
      </w:r>
      <w:proofErr w:type="spellEnd"/>
      <w:r w:rsidR="00084813" w:rsidRPr="00B17F01">
        <w:rPr>
          <w:snapToGrid w:val="0"/>
          <w:kern w:val="22"/>
          <w:szCs w:val="22"/>
          <w:lang w:val="fr-CA"/>
        </w:rPr>
        <w:t xml:space="preserve"> a </w:t>
      </w:r>
      <w:proofErr w:type="spellStart"/>
      <w:r w:rsidR="00084813" w:rsidRPr="00B17F01">
        <w:rPr>
          <w:snapToGrid w:val="0"/>
          <w:kern w:val="22"/>
          <w:szCs w:val="22"/>
          <w:lang w:val="fr-CA"/>
        </w:rPr>
        <w:t>considerable</w:t>
      </w:r>
      <w:proofErr w:type="spellEnd"/>
      <w:r w:rsidR="00084813" w:rsidRPr="00B17F01">
        <w:rPr>
          <w:snapToGrid w:val="0"/>
          <w:kern w:val="22"/>
          <w:szCs w:val="22"/>
          <w:lang w:val="fr-CA"/>
        </w:rPr>
        <w:t xml:space="preserve"> </w:t>
      </w:r>
      <w:proofErr w:type="spellStart"/>
      <w:r w:rsidR="00084813" w:rsidRPr="00B17F01">
        <w:rPr>
          <w:snapToGrid w:val="0"/>
          <w:kern w:val="22"/>
          <w:szCs w:val="22"/>
          <w:lang w:val="fr-CA"/>
        </w:rPr>
        <w:t>amount</w:t>
      </w:r>
      <w:proofErr w:type="spellEnd"/>
      <w:r w:rsidR="00084813" w:rsidRPr="00B17F01">
        <w:rPr>
          <w:snapToGrid w:val="0"/>
          <w:kern w:val="22"/>
          <w:szCs w:val="22"/>
          <w:lang w:val="fr-CA"/>
        </w:rPr>
        <w:t xml:space="preserve"> of </w:t>
      </w:r>
      <w:proofErr w:type="spellStart"/>
      <w:r w:rsidR="00084813" w:rsidRPr="00B17F01">
        <w:rPr>
          <w:snapToGrid w:val="0"/>
          <w:kern w:val="22"/>
          <w:szCs w:val="22"/>
          <w:lang w:val="fr-CA"/>
        </w:rPr>
        <w:t>additional</w:t>
      </w:r>
      <w:proofErr w:type="spellEnd"/>
      <w:r w:rsidR="00084813" w:rsidRPr="00B17F01">
        <w:rPr>
          <w:snapToGrid w:val="0"/>
          <w:kern w:val="22"/>
          <w:szCs w:val="22"/>
          <w:lang w:val="fr-CA"/>
        </w:rPr>
        <w:t xml:space="preserve"> guidance for </w:t>
      </w:r>
      <w:proofErr w:type="spellStart"/>
      <w:r w:rsidR="00084813" w:rsidRPr="00B17F01">
        <w:rPr>
          <w:snapToGrid w:val="0"/>
          <w:kern w:val="22"/>
          <w:szCs w:val="22"/>
          <w:lang w:val="fr-CA"/>
        </w:rPr>
        <w:t>implementing</w:t>
      </w:r>
      <w:proofErr w:type="spellEnd"/>
      <w:r w:rsidR="00084813" w:rsidRPr="00B17F01">
        <w:rPr>
          <w:snapToGrid w:val="0"/>
          <w:kern w:val="22"/>
          <w:szCs w:val="22"/>
          <w:lang w:val="fr-CA"/>
        </w:rPr>
        <w:t xml:space="preserve"> the </w:t>
      </w:r>
      <w:proofErr w:type="spellStart"/>
      <w:r w:rsidR="00084813" w:rsidRPr="00B17F01">
        <w:rPr>
          <w:snapToGrid w:val="0"/>
          <w:kern w:val="22"/>
          <w:szCs w:val="22"/>
          <w:lang w:val="fr-CA"/>
        </w:rPr>
        <w:t>resource</w:t>
      </w:r>
      <w:proofErr w:type="spellEnd"/>
      <w:r w:rsidR="00084813" w:rsidRPr="00B17F01">
        <w:rPr>
          <w:snapToGrid w:val="0"/>
          <w:kern w:val="22"/>
          <w:szCs w:val="22"/>
          <w:lang w:val="fr-CA"/>
        </w:rPr>
        <w:t xml:space="preserve"> </w:t>
      </w:r>
      <w:proofErr w:type="spellStart"/>
      <w:r w:rsidR="00084813" w:rsidRPr="00B17F01">
        <w:rPr>
          <w:snapToGrid w:val="0"/>
          <w:kern w:val="22"/>
          <w:szCs w:val="22"/>
          <w:lang w:val="fr-CA"/>
        </w:rPr>
        <w:t>mobilization</w:t>
      </w:r>
      <w:proofErr w:type="spellEnd"/>
      <w:r w:rsidR="00084813" w:rsidRPr="00B17F01">
        <w:rPr>
          <w:snapToGrid w:val="0"/>
          <w:kern w:val="22"/>
          <w:szCs w:val="22"/>
          <w:lang w:val="fr-CA"/>
        </w:rPr>
        <w:t xml:space="preserve"> </w:t>
      </w:r>
      <w:proofErr w:type="spellStart"/>
      <w:r w:rsidR="00084813" w:rsidRPr="00B17F01">
        <w:rPr>
          <w:snapToGrid w:val="0"/>
          <w:kern w:val="22"/>
          <w:szCs w:val="22"/>
          <w:lang w:val="fr-CA"/>
        </w:rPr>
        <w:t>framework</w:t>
      </w:r>
      <w:proofErr w:type="spellEnd"/>
      <w:r w:rsidR="00084813" w:rsidRPr="00B17F01">
        <w:rPr>
          <w:snapToGrid w:val="0"/>
          <w:kern w:val="22"/>
          <w:szCs w:val="22"/>
          <w:lang w:val="fr-CA"/>
        </w:rPr>
        <w:t xml:space="preserve"> </w:t>
      </w:r>
      <w:proofErr w:type="spellStart"/>
      <w:r w:rsidR="00084813" w:rsidRPr="00B17F01">
        <w:rPr>
          <w:snapToGrid w:val="0"/>
          <w:kern w:val="22"/>
          <w:szCs w:val="22"/>
          <w:lang w:val="fr-CA"/>
        </w:rPr>
        <w:t>above</w:t>
      </w:r>
      <w:proofErr w:type="spellEnd"/>
      <w:r w:rsidR="00084813" w:rsidRPr="00B17F01">
        <w:rPr>
          <w:snapToGrid w:val="0"/>
          <w:kern w:val="22"/>
          <w:szCs w:val="22"/>
          <w:lang w:val="fr-CA"/>
        </w:rPr>
        <w:t xml:space="preserve">, </w:t>
      </w:r>
      <w:proofErr w:type="spellStart"/>
      <w:r w:rsidR="00084813" w:rsidRPr="00B17F01">
        <w:rPr>
          <w:snapToGrid w:val="0"/>
          <w:kern w:val="22"/>
          <w:szCs w:val="22"/>
          <w:lang w:val="fr-CA"/>
        </w:rPr>
        <w:t>including</w:t>
      </w:r>
      <w:proofErr w:type="spellEnd"/>
      <w:r w:rsidR="00084813" w:rsidRPr="00B17F01">
        <w:rPr>
          <w:snapToGrid w:val="0"/>
          <w:kern w:val="22"/>
          <w:szCs w:val="22"/>
          <w:lang w:val="fr-CA"/>
        </w:rPr>
        <w:t>:</w:t>
      </w:r>
      <w:bookmarkEnd w:id="2"/>
    </w:p>
    <w:p w:rsidR="00084813" w:rsidRPr="00B17F01" w:rsidRDefault="007C2C4B" w:rsidP="003B6D1D">
      <w:pPr>
        <w:numPr>
          <w:ilvl w:val="0"/>
          <w:numId w:val="23"/>
        </w:numPr>
        <w:spacing w:after="120"/>
        <w:ind w:left="0" w:firstLine="709"/>
        <w:rPr>
          <w:snapToGrid w:val="0"/>
          <w:kern w:val="22"/>
          <w:szCs w:val="22"/>
          <w:lang w:val="fr-CA"/>
        </w:rPr>
      </w:pPr>
      <w:r w:rsidRPr="00B17F01">
        <w:rPr>
          <w:snapToGrid w:val="0"/>
          <w:kern w:val="22"/>
          <w:szCs w:val="22"/>
          <w:lang w:val="fr-CA"/>
        </w:rPr>
        <w:t>Les indicateurs pour la mobilisation de ressources adoptés par la Conférence des Parties à sa dixième réunion, s’appuyant sur la stratégie pour la mobilisation de ressources;</w:t>
      </w:r>
      <w:r w:rsidRPr="00B17F01">
        <w:rPr>
          <w:rStyle w:val="FootnoteReference"/>
          <w:snapToGrid w:val="0"/>
          <w:kern w:val="22"/>
          <w:szCs w:val="22"/>
          <w:lang w:val="fr-CA"/>
        </w:rPr>
        <w:footnoteReference w:id="29"/>
      </w:r>
    </w:p>
    <w:p w:rsidR="00084813" w:rsidRPr="00B17F01" w:rsidRDefault="00977DCC" w:rsidP="003B6D1D">
      <w:pPr>
        <w:numPr>
          <w:ilvl w:val="0"/>
          <w:numId w:val="23"/>
        </w:numPr>
        <w:spacing w:after="120"/>
        <w:ind w:left="0" w:firstLine="709"/>
        <w:rPr>
          <w:snapToGrid w:val="0"/>
          <w:kern w:val="22"/>
          <w:szCs w:val="22"/>
          <w:lang w:val="fr-CA"/>
        </w:rPr>
      </w:pPr>
      <w:r w:rsidRPr="00B17F01">
        <w:rPr>
          <w:snapToGrid w:val="0"/>
          <w:kern w:val="22"/>
          <w:szCs w:val="22"/>
          <w:lang w:val="fr-CA"/>
        </w:rPr>
        <w:t xml:space="preserve">Les propositions de mesures concrètes et efficaces pour la réalisation de l’Objectif 20 d’Aichi pour la biodiversité, annexées à la décision XII/3, </w:t>
      </w:r>
      <w:r w:rsidR="00DB76D0" w:rsidRPr="00B17F01">
        <w:rPr>
          <w:snapToGrid w:val="0"/>
          <w:kern w:val="22"/>
          <w:szCs w:val="22"/>
          <w:lang w:val="fr-CA"/>
        </w:rPr>
        <w:t xml:space="preserve">qui jumèlent les éléments individuels de la stratégie de mobilisation des ressources aux objectifs individuels pour la mobilisation de ressources </w:t>
      </w:r>
      <w:r w:rsidR="003B6D1D" w:rsidRPr="00B17F01">
        <w:rPr>
          <w:snapToGrid w:val="0"/>
          <w:kern w:val="22"/>
          <w:szCs w:val="22"/>
          <w:lang w:val="fr-CA"/>
        </w:rPr>
        <w:t>et complè</w:t>
      </w:r>
      <w:r w:rsidR="00642693" w:rsidRPr="00B17F01">
        <w:rPr>
          <w:snapToGrid w:val="0"/>
          <w:kern w:val="22"/>
          <w:szCs w:val="22"/>
          <w:lang w:val="fr-CA"/>
        </w:rPr>
        <w:t>tent le tout avec des propositions de mesures concrètes et efficaces;</w:t>
      </w:r>
      <w:r w:rsidR="00642693" w:rsidRPr="00B17F01">
        <w:rPr>
          <w:rStyle w:val="FootnoteReference"/>
          <w:snapToGrid w:val="0"/>
          <w:kern w:val="22"/>
          <w:szCs w:val="22"/>
          <w:lang w:val="fr-CA"/>
        </w:rPr>
        <w:t xml:space="preserve"> </w:t>
      </w:r>
      <w:r w:rsidR="00642693" w:rsidRPr="00B17F01">
        <w:rPr>
          <w:rStyle w:val="FootnoteReference"/>
          <w:snapToGrid w:val="0"/>
          <w:kern w:val="22"/>
          <w:szCs w:val="22"/>
          <w:lang w:val="fr-CA"/>
        </w:rPr>
        <w:footnoteReference w:id="30"/>
      </w:r>
    </w:p>
    <w:p w:rsidR="00084813" w:rsidRPr="00B17F01" w:rsidRDefault="003B6D1D" w:rsidP="003B6D1D">
      <w:pPr>
        <w:numPr>
          <w:ilvl w:val="0"/>
          <w:numId w:val="23"/>
        </w:numPr>
        <w:spacing w:after="120"/>
        <w:ind w:left="0" w:firstLine="709"/>
        <w:rPr>
          <w:snapToGrid w:val="0"/>
          <w:kern w:val="22"/>
          <w:szCs w:val="22"/>
          <w:lang w:val="fr-CA"/>
        </w:rPr>
      </w:pPr>
      <w:r w:rsidRPr="00B17F01">
        <w:rPr>
          <w:snapToGrid w:val="0"/>
          <w:kern w:val="22"/>
          <w:szCs w:val="22"/>
          <w:lang w:val="fr-CA"/>
        </w:rPr>
        <w:t xml:space="preserve">Comme </w:t>
      </w:r>
      <w:r w:rsidR="00642693" w:rsidRPr="00B17F01">
        <w:rPr>
          <w:snapToGrid w:val="0"/>
          <w:kern w:val="22"/>
          <w:szCs w:val="22"/>
          <w:lang w:val="fr-CA"/>
        </w:rPr>
        <w:t>indiqué ci</w:t>
      </w:r>
      <w:r w:rsidR="00642693" w:rsidRPr="00B17F01">
        <w:rPr>
          <w:snapToGrid w:val="0"/>
          <w:kern w:val="22"/>
          <w:szCs w:val="22"/>
          <w:lang w:val="fr-CA"/>
        </w:rPr>
        <w:noBreakHyphen/>
        <w:t>dessus, les étapes pour la réalisation de l’Objectif 3 d’Aichi pour la biodiversité;</w:t>
      </w:r>
      <w:r w:rsidR="00642693" w:rsidRPr="00B17F01">
        <w:rPr>
          <w:rStyle w:val="FootnoteReference"/>
          <w:snapToGrid w:val="0"/>
          <w:kern w:val="22"/>
          <w:szCs w:val="22"/>
          <w:lang w:val="fr-CA"/>
        </w:rPr>
        <w:footnoteReference w:id="31"/>
      </w:r>
    </w:p>
    <w:p w:rsidR="00084813" w:rsidRPr="00B17F01" w:rsidRDefault="00642693" w:rsidP="003B6D1D">
      <w:pPr>
        <w:numPr>
          <w:ilvl w:val="0"/>
          <w:numId w:val="23"/>
        </w:numPr>
        <w:spacing w:after="120"/>
        <w:ind w:left="0" w:firstLine="709"/>
        <w:rPr>
          <w:snapToGrid w:val="0"/>
          <w:kern w:val="22"/>
          <w:szCs w:val="22"/>
          <w:lang w:val="fr-CA"/>
        </w:rPr>
      </w:pPr>
      <w:r w:rsidRPr="00B17F01">
        <w:rPr>
          <w:kern w:val="20"/>
          <w:lang w:val="fr-CA"/>
        </w:rPr>
        <w:t xml:space="preserve">Les lignes directrices facultatives sur </w:t>
      </w:r>
      <w:r w:rsidR="003B6D1D" w:rsidRPr="00B17F01">
        <w:rPr>
          <w:snapToGrid w:val="0"/>
          <w:color w:val="000000"/>
          <w:spacing w:val="-10"/>
          <w:kern w:val="22"/>
          <w:szCs w:val="22"/>
          <w:lang w:val="fr-CA" w:bidi="fr-FR"/>
        </w:rPr>
        <w:t>les sauvegardes dans les mécanismes de financement de la diversité biologique</w:t>
      </w:r>
      <w:r w:rsidRPr="00B17F01">
        <w:rPr>
          <w:kern w:val="20"/>
          <w:lang w:val="fr-CA"/>
        </w:rPr>
        <w:t>;</w:t>
      </w:r>
      <w:r w:rsidRPr="00B17F01">
        <w:rPr>
          <w:rStyle w:val="FootnoteReference"/>
          <w:snapToGrid w:val="0"/>
          <w:kern w:val="22"/>
          <w:szCs w:val="22"/>
          <w:lang w:val="fr-CA"/>
        </w:rPr>
        <w:footnoteReference w:id="32"/>
      </w:r>
    </w:p>
    <w:p w:rsidR="00084813" w:rsidRPr="00B17F01" w:rsidRDefault="00C93F37" w:rsidP="00A5723A">
      <w:pPr>
        <w:numPr>
          <w:ilvl w:val="0"/>
          <w:numId w:val="23"/>
        </w:numPr>
        <w:spacing w:after="120"/>
        <w:ind w:left="0" w:firstLine="709"/>
        <w:rPr>
          <w:snapToGrid w:val="0"/>
          <w:kern w:val="22"/>
          <w:szCs w:val="22"/>
          <w:lang w:val="fr-CA"/>
        </w:rPr>
      </w:pPr>
      <w:r w:rsidRPr="00B17F01">
        <w:rPr>
          <w:snapToGrid w:val="0"/>
          <w:kern w:val="22"/>
          <w:szCs w:val="22"/>
          <w:lang w:val="fr-CA" w:bidi="fr-FR"/>
        </w:rPr>
        <w:t>Les principes directeurs pour l’évaluation de la contribution des mesures collectives des peuples autochtones et des communautés locales.</w:t>
      </w:r>
      <w:r w:rsidRPr="00B17F01">
        <w:rPr>
          <w:rStyle w:val="FootnoteReference"/>
          <w:snapToGrid w:val="0"/>
          <w:kern w:val="22"/>
          <w:szCs w:val="22"/>
          <w:lang w:val="fr-CA"/>
        </w:rPr>
        <w:footnoteReference w:id="33"/>
      </w:r>
    </w:p>
    <w:p w:rsidR="00084813" w:rsidRPr="00B17F01" w:rsidRDefault="009B310E" w:rsidP="00BC2333">
      <w:pPr>
        <w:numPr>
          <w:ilvl w:val="0"/>
          <w:numId w:val="19"/>
        </w:numPr>
        <w:spacing w:after="120"/>
        <w:ind w:left="0" w:firstLine="0"/>
        <w:rPr>
          <w:snapToGrid w:val="0"/>
          <w:kern w:val="22"/>
          <w:szCs w:val="22"/>
          <w:lang w:val="fr-CA"/>
        </w:rPr>
      </w:pPr>
      <w:r w:rsidRPr="00B17F01">
        <w:rPr>
          <w:snapToGrid w:val="0"/>
          <w:kern w:val="22"/>
          <w:szCs w:val="22"/>
          <w:lang w:val="fr-CA"/>
        </w:rPr>
        <w:t>Par ailleurs, deux rapports du Groupe de haut niveau pour la mobilisation de ressources</w:t>
      </w:r>
      <w:r w:rsidRPr="00B17F01">
        <w:rPr>
          <w:rStyle w:val="FootnoteReference"/>
          <w:snapToGrid w:val="0"/>
          <w:kern w:val="22"/>
          <w:szCs w:val="22"/>
          <w:lang w:val="fr-CA"/>
        </w:rPr>
        <w:footnoteReference w:id="34"/>
      </w:r>
      <w:r w:rsidRPr="00B17F01">
        <w:rPr>
          <w:snapToGrid w:val="0"/>
          <w:kern w:val="22"/>
          <w:szCs w:val="22"/>
          <w:lang w:val="fr-CA"/>
        </w:rPr>
        <w:t xml:space="preserve"> </w:t>
      </w:r>
      <w:r w:rsidR="00463B57" w:rsidRPr="00B17F01">
        <w:rPr>
          <w:snapToGrid w:val="0"/>
          <w:kern w:val="22"/>
          <w:szCs w:val="22"/>
          <w:lang w:val="fr-CA"/>
        </w:rPr>
        <w:t>ont fourni des évaluations des besoins de financement pour la mise en œuvre du Plan stratégique 2011</w:t>
      </w:r>
      <w:r w:rsidR="00463B57" w:rsidRPr="00B17F01">
        <w:rPr>
          <w:snapToGrid w:val="0"/>
          <w:kern w:val="22"/>
          <w:szCs w:val="22"/>
          <w:lang w:val="fr-CA"/>
        </w:rPr>
        <w:noBreakHyphen/>
        <w:t>2020 pour la diversité biologique</w:t>
      </w:r>
      <w:r w:rsidR="00E54687" w:rsidRPr="00B17F01">
        <w:rPr>
          <w:snapToGrid w:val="0"/>
          <w:kern w:val="22"/>
          <w:szCs w:val="22"/>
          <w:lang w:val="fr-CA"/>
        </w:rPr>
        <w:t xml:space="preserve">, et ont été élaborés </w:t>
      </w:r>
      <w:r w:rsidR="00A372BC" w:rsidRPr="00B17F01">
        <w:rPr>
          <w:snapToGrid w:val="0"/>
          <w:kern w:val="22"/>
          <w:szCs w:val="22"/>
          <w:lang w:val="fr-CA"/>
        </w:rPr>
        <w:t xml:space="preserve">en application des dispositions de l’Objectif 20 d’Aichi pour la </w:t>
      </w:r>
      <w:r w:rsidR="00A372BC" w:rsidRPr="00B17F01">
        <w:rPr>
          <w:snapToGrid w:val="0"/>
          <w:kern w:val="22"/>
          <w:szCs w:val="22"/>
          <w:lang w:val="fr-CA"/>
        </w:rPr>
        <w:lastRenderedPageBreak/>
        <w:t>biodiversité, aux fins d’examen par la Conférence des Parties à ses douzième et treizième réunions.</w:t>
      </w:r>
      <w:r w:rsidR="00A372BC" w:rsidRPr="00B17F01">
        <w:rPr>
          <w:rStyle w:val="FootnoteReference"/>
          <w:snapToGrid w:val="0"/>
          <w:kern w:val="22"/>
          <w:szCs w:val="22"/>
          <w:lang w:val="fr-CA"/>
        </w:rPr>
        <w:footnoteReference w:id="35"/>
      </w:r>
      <w:r w:rsidR="00A372BC" w:rsidRPr="00B17F01">
        <w:rPr>
          <w:snapToGrid w:val="0"/>
          <w:kern w:val="22"/>
          <w:szCs w:val="22"/>
          <w:lang w:val="fr-CA"/>
        </w:rPr>
        <w:t xml:space="preserve"> </w:t>
      </w:r>
      <w:r w:rsidR="00607138" w:rsidRPr="00B17F01">
        <w:rPr>
          <w:snapToGrid w:val="0"/>
          <w:kern w:val="22"/>
          <w:szCs w:val="22"/>
          <w:lang w:val="fr-CA"/>
        </w:rPr>
        <w:t xml:space="preserve">Plusieurs ateliers de dialogue </w:t>
      </w:r>
      <w:r w:rsidR="00295C2A" w:rsidRPr="00B17F01">
        <w:rPr>
          <w:snapToGrid w:val="0"/>
          <w:kern w:val="22"/>
          <w:szCs w:val="22"/>
          <w:lang w:val="fr-CA"/>
        </w:rPr>
        <w:t>ont été tenus</w:t>
      </w:r>
      <w:r w:rsidR="00463B57" w:rsidRPr="00B17F01">
        <w:rPr>
          <w:snapToGrid w:val="0"/>
          <w:kern w:val="22"/>
          <w:szCs w:val="22"/>
          <w:lang w:val="fr-CA"/>
        </w:rPr>
        <w:t xml:space="preserve"> </w:t>
      </w:r>
      <w:r w:rsidR="00BC2333" w:rsidRPr="00B17F01">
        <w:rPr>
          <w:snapToGrid w:val="0"/>
          <w:kern w:val="22"/>
          <w:szCs w:val="22"/>
          <w:lang w:val="fr-CA"/>
        </w:rPr>
        <w:t xml:space="preserve">sur </w:t>
      </w:r>
      <w:r w:rsidR="00801F67" w:rsidRPr="00B17F01">
        <w:rPr>
          <w:snapToGrid w:val="0"/>
          <w:kern w:val="22"/>
          <w:szCs w:val="22"/>
          <w:lang w:val="fr-CA"/>
        </w:rPr>
        <w:t>l’intensification du financement en faveur de la biodiversité (en 2012 et en 2014), et sur l’action collective (en 2015).</w:t>
      </w:r>
      <w:r w:rsidR="00801F67" w:rsidRPr="00B17F01">
        <w:rPr>
          <w:rStyle w:val="FootnoteReference"/>
          <w:snapToGrid w:val="0"/>
          <w:kern w:val="22"/>
          <w:szCs w:val="22"/>
          <w:lang w:val="fr-CA"/>
        </w:rPr>
        <w:t xml:space="preserve"> </w:t>
      </w:r>
      <w:r w:rsidR="00801F67" w:rsidRPr="00B17F01">
        <w:rPr>
          <w:rStyle w:val="FootnoteReference"/>
          <w:snapToGrid w:val="0"/>
          <w:kern w:val="22"/>
          <w:szCs w:val="22"/>
          <w:lang w:val="fr-CA"/>
        </w:rPr>
        <w:footnoteReference w:id="36"/>
      </w:r>
    </w:p>
    <w:p w:rsidR="00084813" w:rsidRPr="00B17F01" w:rsidRDefault="009E0775" w:rsidP="00625A53">
      <w:pPr>
        <w:numPr>
          <w:ilvl w:val="0"/>
          <w:numId w:val="19"/>
        </w:numPr>
        <w:spacing w:after="120"/>
        <w:ind w:left="0" w:firstLine="0"/>
        <w:rPr>
          <w:snapToGrid w:val="0"/>
          <w:kern w:val="22"/>
          <w:szCs w:val="22"/>
          <w:lang w:val="fr-CA"/>
        </w:rPr>
      </w:pPr>
      <w:r w:rsidRPr="00B17F01">
        <w:rPr>
          <w:snapToGrid w:val="0"/>
          <w:kern w:val="22"/>
          <w:szCs w:val="22"/>
          <w:lang w:val="fr-CA"/>
        </w:rPr>
        <w:t>La mé</w:t>
      </w:r>
      <w:r w:rsidR="00BC2333" w:rsidRPr="00B17F01">
        <w:rPr>
          <w:snapToGrid w:val="0"/>
          <w:kern w:val="22"/>
          <w:szCs w:val="22"/>
          <w:lang w:val="fr-CA"/>
        </w:rPr>
        <w:t>thodologie de l’Initiative BIOFIN</w:t>
      </w:r>
      <w:r w:rsidRPr="00B17F01">
        <w:rPr>
          <w:snapToGrid w:val="0"/>
          <w:kern w:val="22"/>
          <w:szCs w:val="22"/>
          <w:lang w:val="fr-CA"/>
        </w:rPr>
        <w:t xml:space="preserve">, élaborée en plusieurs </w:t>
      </w:r>
      <w:r w:rsidR="008F7CD1" w:rsidRPr="00B17F01">
        <w:rPr>
          <w:snapToGrid w:val="0"/>
          <w:kern w:val="22"/>
          <w:szCs w:val="22"/>
          <w:lang w:val="fr-CA"/>
        </w:rPr>
        <w:t>volets depuis 2010 et</w:t>
      </w:r>
      <w:r w:rsidRPr="00B17F01">
        <w:rPr>
          <w:snapToGrid w:val="0"/>
          <w:kern w:val="22"/>
          <w:szCs w:val="22"/>
          <w:lang w:val="fr-CA"/>
        </w:rPr>
        <w:t xml:space="preserve"> </w:t>
      </w:r>
      <w:r w:rsidR="008F7CD1" w:rsidRPr="00B17F01">
        <w:rPr>
          <w:snapToGrid w:val="0"/>
          <w:kern w:val="22"/>
          <w:szCs w:val="22"/>
          <w:lang w:val="fr-CA"/>
        </w:rPr>
        <w:t xml:space="preserve">dont les diverses étapes </w:t>
      </w:r>
      <w:r w:rsidRPr="00B17F01">
        <w:rPr>
          <w:snapToGrid w:val="0"/>
          <w:kern w:val="22"/>
          <w:szCs w:val="22"/>
          <w:lang w:val="fr-CA"/>
        </w:rPr>
        <w:t>s’aligne</w:t>
      </w:r>
      <w:r w:rsidR="008F7CD1" w:rsidRPr="00B17F01">
        <w:rPr>
          <w:snapToGrid w:val="0"/>
          <w:kern w:val="22"/>
          <w:szCs w:val="22"/>
          <w:lang w:val="fr-CA"/>
        </w:rPr>
        <w:t>nt</w:t>
      </w:r>
      <w:r w:rsidRPr="00B17F01">
        <w:rPr>
          <w:snapToGrid w:val="0"/>
          <w:kern w:val="22"/>
          <w:szCs w:val="22"/>
          <w:lang w:val="fr-CA"/>
        </w:rPr>
        <w:t xml:space="preserve"> étroitement</w:t>
      </w:r>
      <w:r w:rsidR="008F7CD1" w:rsidRPr="00B17F01">
        <w:rPr>
          <w:snapToGrid w:val="0"/>
          <w:kern w:val="22"/>
          <w:szCs w:val="22"/>
          <w:lang w:val="fr-CA"/>
        </w:rPr>
        <w:t xml:space="preserve"> sur les éléments des objectifs relatifs à la mobilisation de ressources, fournit des orientations pour leur mise en œuvre au niveau national.</w:t>
      </w:r>
      <w:r w:rsidR="008F7CD1" w:rsidRPr="00B17F01">
        <w:rPr>
          <w:snapToGrid w:val="0"/>
          <w:kern w:val="22"/>
          <w:sz w:val="18"/>
          <w:szCs w:val="18"/>
          <w:vertAlign w:val="superscript"/>
          <w:lang w:val="fr-CA"/>
        </w:rPr>
        <w:footnoteReference w:id="37"/>
      </w:r>
    </w:p>
    <w:p w:rsidR="00084813" w:rsidRPr="00B17F01" w:rsidRDefault="004B4A9B" w:rsidP="00625A53">
      <w:pPr>
        <w:numPr>
          <w:ilvl w:val="0"/>
          <w:numId w:val="19"/>
        </w:numPr>
        <w:spacing w:after="120"/>
        <w:ind w:left="0" w:firstLine="0"/>
        <w:rPr>
          <w:snapToGrid w:val="0"/>
          <w:kern w:val="22"/>
          <w:szCs w:val="22"/>
          <w:lang w:val="fr-CA"/>
        </w:rPr>
      </w:pPr>
      <w:r w:rsidRPr="00B17F01">
        <w:rPr>
          <w:snapToGrid w:val="0"/>
          <w:kern w:val="22"/>
          <w:szCs w:val="22"/>
          <w:lang w:val="fr-CA"/>
        </w:rPr>
        <w:t xml:space="preserve">Les travaux </w:t>
      </w:r>
      <w:r w:rsidR="00171FC5" w:rsidRPr="00B17F01">
        <w:rPr>
          <w:snapToGrid w:val="0"/>
          <w:kern w:val="22"/>
          <w:szCs w:val="22"/>
          <w:lang w:val="fr-CA"/>
        </w:rPr>
        <w:t>relatifs aux</w:t>
      </w:r>
      <w:r w:rsidRPr="00B17F01">
        <w:rPr>
          <w:snapToGrid w:val="0"/>
          <w:kern w:val="22"/>
          <w:szCs w:val="22"/>
          <w:lang w:val="fr-CA"/>
        </w:rPr>
        <w:t xml:space="preserve"> objectifs pour la mobilisation de</w:t>
      </w:r>
      <w:r w:rsidR="00C85B0B" w:rsidRPr="00B17F01">
        <w:rPr>
          <w:snapToGrid w:val="0"/>
          <w:kern w:val="22"/>
          <w:szCs w:val="22"/>
          <w:lang w:val="fr-CA"/>
        </w:rPr>
        <w:t>s</w:t>
      </w:r>
      <w:r w:rsidRPr="00B17F01">
        <w:rPr>
          <w:snapToGrid w:val="0"/>
          <w:kern w:val="22"/>
          <w:szCs w:val="22"/>
          <w:lang w:val="fr-CA"/>
        </w:rPr>
        <w:t xml:space="preserve"> ressources,</w:t>
      </w:r>
      <w:r w:rsidR="00171FC5" w:rsidRPr="00B17F01">
        <w:rPr>
          <w:snapToGrid w:val="0"/>
          <w:kern w:val="22"/>
          <w:szCs w:val="22"/>
          <w:lang w:val="fr-CA"/>
        </w:rPr>
        <w:t xml:space="preserve"> à titre d’élément important </w:t>
      </w:r>
      <w:r w:rsidR="00C85B0B" w:rsidRPr="00B17F01">
        <w:rPr>
          <w:snapToGrid w:val="0"/>
          <w:kern w:val="22"/>
          <w:szCs w:val="22"/>
          <w:lang w:val="fr-CA"/>
        </w:rPr>
        <w:t>du cadre de</w:t>
      </w:r>
      <w:r w:rsidR="00171FC5" w:rsidRPr="00B17F01">
        <w:rPr>
          <w:snapToGrid w:val="0"/>
          <w:kern w:val="22"/>
          <w:szCs w:val="22"/>
          <w:lang w:val="fr-CA"/>
        </w:rPr>
        <w:t xml:space="preserve"> mobi</w:t>
      </w:r>
      <w:r w:rsidR="00C85B0B" w:rsidRPr="00B17F01">
        <w:rPr>
          <w:snapToGrid w:val="0"/>
          <w:kern w:val="22"/>
          <w:szCs w:val="22"/>
          <w:lang w:val="fr-CA"/>
        </w:rPr>
        <w:t>lisation de</w:t>
      </w:r>
      <w:r w:rsidR="00A17B8B" w:rsidRPr="00B17F01">
        <w:rPr>
          <w:snapToGrid w:val="0"/>
          <w:kern w:val="22"/>
          <w:szCs w:val="22"/>
          <w:lang w:val="fr-CA"/>
        </w:rPr>
        <w:t>s</w:t>
      </w:r>
      <w:r w:rsidR="00C85B0B" w:rsidRPr="00B17F01">
        <w:rPr>
          <w:snapToGrid w:val="0"/>
          <w:kern w:val="22"/>
          <w:szCs w:val="22"/>
          <w:lang w:val="fr-CA"/>
        </w:rPr>
        <w:t xml:space="preserve"> ressources </w:t>
      </w:r>
      <w:r w:rsidR="00171FC5" w:rsidRPr="00B17F01">
        <w:rPr>
          <w:snapToGrid w:val="0"/>
          <w:kern w:val="22"/>
          <w:szCs w:val="22"/>
          <w:lang w:val="fr-CA"/>
        </w:rPr>
        <w:t>susmentionné, ont été entamés après l’adoption du</w:t>
      </w:r>
      <w:r w:rsidR="00C239C6" w:rsidRPr="00B17F01">
        <w:rPr>
          <w:snapToGrid w:val="0"/>
          <w:kern w:val="22"/>
          <w:szCs w:val="22"/>
          <w:lang w:val="fr-CA"/>
        </w:rPr>
        <w:t xml:space="preserve"> Plan stratégique 2011</w:t>
      </w:r>
      <w:r w:rsidR="00C239C6" w:rsidRPr="00B17F01">
        <w:rPr>
          <w:snapToGrid w:val="0"/>
          <w:kern w:val="22"/>
          <w:szCs w:val="22"/>
          <w:lang w:val="fr-CA"/>
        </w:rPr>
        <w:noBreakHyphen/>
        <w:t>2020 pour la diver</w:t>
      </w:r>
      <w:r w:rsidR="00625A53" w:rsidRPr="00B17F01">
        <w:rPr>
          <w:snapToGrid w:val="0"/>
          <w:kern w:val="22"/>
          <w:szCs w:val="22"/>
          <w:lang w:val="fr-CA"/>
        </w:rPr>
        <w:t>sité biologique à la dixième réunion de la Conférence des Parties,</w:t>
      </w:r>
      <w:r w:rsidR="00C239C6" w:rsidRPr="00B17F01">
        <w:rPr>
          <w:snapToGrid w:val="0"/>
          <w:kern w:val="22"/>
          <w:szCs w:val="22"/>
          <w:lang w:val="fr-CA"/>
        </w:rPr>
        <w:t xml:space="preserve"> en 2010. Des objectifs préliminaires avaient été </w:t>
      </w:r>
      <w:r w:rsidR="00A17B8B" w:rsidRPr="00B17F01">
        <w:rPr>
          <w:snapToGrid w:val="0"/>
          <w:kern w:val="22"/>
          <w:szCs w:val="22"/>
          <w:lang w:val="fr-CA"/>
        </w:rPr>
        <w:t>fixés</w:t>
      </w:r>
      <w:r w:rsidR="00C239C6" w:rsidRPr="00B17F01">
        <w:rPr>
          <w:snapToGrid w:val="0"/>
          <w:kern w:val="22"/>
          <w:szCs w:val="22"/>
          <w:lang w:val="fr-CA"/>
        </w:rPr>
        <w:t xml:space="preserve"> à la </w:t>
      </w:r>
      <w:proofErr w:type="spellStart"/>
      <w:r w:rsidR="00C239C6" w:rsidRPr="00B17F01">
        <w:rPr>
          <w:snapToGrid w:val="0"/>
          <w:kern w:val="22"/>
          <w:szCs w:val="22"/>
          <w:lang w:val="fr-CA"/>
        </w:rPr>
        <w:t>onziéme</w:t>
      </w:r>
      <w:proofErr w:type="spellEnd"/>
      <w:r w:rsidR="00C239C6" w:rsidRPr="00B17F01">
        <w:rPr>
          <w:snapToGrid w:val="0"/>
          <w:kern w:val="22"/>
          <w:szCs w:val="22"/>
          <w:lang w:val="fr-CA"/>
        </w:rPr>
        <w:t xml:space="preserve"> réunion de la Conférence des Parties, en 2012, et comme indiqué ci</w:t>
      </w:r>
      <w:r w:rsidR="00C239C6" w:rsidRPr="00B17F01">
        <w:rPr>
          <w:snapToGrid w:val="0"/>
          <w:kern w:val="22"/>
          <w:szCs w:val="22"/>
          <w:lang w:val="fr-CA"/>
        </w:rPr>
        <w:noBreakHyphen/>
        <w:t xml:space="preserve">dessus, l’adoption de l’ensemble des objectifs a eu lieu lors de la douzième réunion, en 2014. </w:t>
      </w:r>
      <w:r w:rsidR="00A17B8B" w:rsidRPr="00B17F01">
        <w:rPr>
          <w:snapToGrid w:val="0"/>
          <w:kern w:val="22"/>
          <w:szCs w:val="22"/>
          <w:lang w:val="fr-CA"/>
        </w:rPr>
        <w:t>Les objectifs ont nécessité des efforts considérables de la part des Parties pour leur mise en œuvre dans des délais très courts, étant donné que l’échéance de la plupart des objectifs est 2015. À la lumière des défis entourant les capacités institutionnelles et techniques que doivent affronter les Parties pays en développement et les Parties à économie en transition, la mise en œuvre des objectifs a nécessité le déploiement d’efforts importants en matière de renforcement des capacités et de fourniture de soutien technique.</w:t>
      </w:r>
      <w:r w:rsidR="003B7F3B" w:rsidRPr="00B17F01">
        <w:rPr>
          <w:snapToGrid w:val="0"/>
          <w:kern w:val="22"/>
          <w:szCs w:val="22"/>
          <w:lang w:val="fr-CA"/>
        </w:rPr>
        <w:t xml:space="preserve"> Plusieurs conclusions peuvent être tirées.</w:t>
      </w:r>
    </w:p>
    <w:p w:rsidR="00084813" w:rsidRPr="00B17F01" w:rsidRDefault="003B7F3B" w:rsidP="00232FED">
      <w:pPr>
        <w:numPr>
          <w:ilvl w:val="0"/>
          <w:numId w:val="19"/>
        </w:numPr>
        <w:spacing w:after="120"/>
        <w:ind w:left="0" w:firstLine="0"/>
        <w:rPr>
          <w:snapToGrid w:val="0"/>
          <w:kern w:val="22"/>
          <w:szCs w:val="22"/>
          <w:lang w:val="fr-CA"/>
        </w:rPr>
      </w:pPr>
      <w:r w:rsidRPr="00B17F01">
        <w:rPr>
          <w:snapToGrid w:val="0"/>
          <w:kern w:val="22"/>
          <w:szCs w:val="22"/>
          <w:lang w:val="fr-CA"/>
        </w:rPr>
        <w:t>Premièrement, l’</w:t>
      </w:r>
      <w:r w:rsidR="00232FED" w:rsidRPr="00B17F01">
        <w:rPr>
          <w:snapToGrid w:val="0"/>
          <w:kern w:val="22"/>
          <w:szCs w:val="22"/>
          <w:lang w:val="fr-CA"/>
        </w:rPr>
        <w:t>approbation</w:t>
      </w:r>
      <w:r w:rsidRPr="00B17F01">
        <w:rPr>
          <w:snapToGrid w:val="0"/>
          <w:kern w:val="22"/>
          <w:szCs w:val="22"/>
          <w:lang w:val="fr-CA"/>
        </w:rPr>
        <w:t xml:space="preserve"> et l’adoption des objectifs en 201</w:t>
      </w:r>
      <w:r w:rsidR="00232FED" w:rsidRPr="00B17F01">
        <w:rPr>
          <w:snapToGrid w:val="0"/>
          <w:kern w:val="22"/>
          <w:szCs w:val="22"/>
          <w:lang w:val="fr-CA"/>
        </w:rPr>
        <w:t>2 et en 2014, et le déploiement</w:t>
      </w:r>
      <w:r w:rsidRPr="00B17F01">
        <w:rPr>
          <w:snapToGrid w:val="0"/>
          <w:kern w:val="22"/>
          <w:szCs w:val="22"/>
          <w:lang w:val="fr-CA"/>
        </w:rPr>
        <w:t xml:space="preserve"> tardif qui s’ensuivit de mesures destinées à appuyer leur mise en œuvre, a probablement</w:t>
      </w:r>
      <w:r w:rsidR="001275C4" w:rsidRPr="00B17F01">
        <w:rPr>
          <w:snapToGrid w:val="0"/>
          <w:kern w:val="22"/>
          <w:szCs w:val="22"/>
          <w:lang w:val="fr-CA"/>
        </w:rPr>
        <w:t xml:space="preserve"> entravé leur efficacité à appuyer le Plan stratégique dans son ensemble, en particulier </w:t>
      </w:r>
      <w:r w:rsidR="00232FED" w:rsidRPr="00B17F01">
        <w:rPr>
          <w:snapToGrid w:val="0"/>
          <w:kern w:val="22"/>
          <w:szCs w:val="22"/>
          <w:lang w:val="fr-CA"/>
        </w:rPr>
        <w:t>au cours des</w:t>
      </w:r>
      <w:r w:rsidR="001275C4" w:rsidRPr="00B17F01">
        <w:rPr>
          <w:snapToGrid w:val="0"/>
          <w:kern w:val="22"/>
          <w:szCs w:val="22"/>
          <w:lang w:val="fr-CA"/>
        </w:rPr>
        <w:t xml:space="preserve"> premières années.</w:t>
      </w:r>
      <w:r w:rsidRPr="00B17F01">
        <w:rPr>
          <w:snapToGrid w:val="0"/>
          <w:kern w:val="22"/>
          <w:szCs w:val="22"/>
          <w:lang w:val="fr-CA"/>
        </w:rPr>
        <w:t xml:space="preserve"> </w:t>
      </w:r>
      <w:r w:rsidR="001275C4" w:rsidRPr="00B17F01">
        <w:rPr>
          <w:snapToGrid w:val="0"/>
          <w:kern w:val="22"/>
          <w:szCs w:val="22"/>
          <w:lang w:val="fr-CA"/>
        </w:rPr>
        <w:t>La lenteur des progrès des Parties, comme rapporté par le biais du cadre d’établissement des rapports financiers</w:t>
      </w:r>
      <w:r w:rsidR="00EF5B67" w:rsidRPr="00B17F01">
        <w:rPr>
          <w:snapToGrid w:val="0"/>
          <w:kern w:val="22"/>
          <w:szCs w:val="22"/>
          <w:lang w:val="fr-CA"/>
        </w:rPr>
        <w:t>, semble corroborer ce fait. Il pourrait donc être souhaitable de commencer à examiner un élément de la</w:t>
      </w:r>
      <w:r w:rsidR="00232FED" w:rsidRPr="00B17F01">
        <w:rPr>
          <w:snapToGrid w:val="0"/>
          <w:kern w:val="22"/>
          <w:szCs w:val="22"/>
          <w:lang w:val="fr-CA"/>
        </w:rPr>
        <w:t xml:space="preserve"> mobilisation de ressources du c</w:t>
      </w:r>
      <w:r w:rsidR="00EF5B67" w:rsidRPr="00B17F01">
        <w:rPr>
          <w:snapToGrid w:val="0"/>
          <w:kern w:val="22"/>
          <w:szCs w:val="22"/>
          <w:lang w:val="fr-CA"/>
        </w:rPr>
        <w:t>adre mondial de l’après</w:t>
      </w:r>
      <w:r w:rsidR="00EF5B67" w:rsidRPr="00B17F01">
        <w:rPr>
          <w:snapToGrid w:val="0"/>
          <w:kern w:val="22"/>
          <w:szCs w:val="22"/>
          <w:lang w:val="fr-CA"/>
        </w:rPr>
        <w:noBreakHyphen/>
        <w:t xml:space="preserve">2020 pour la biodiversité </w:t>
      </w:r>
      <w:r w:rsidR="003E2BE3" w:rsidRPr="00B17F01">
        <w:rPr>
          <w:snapToGrid w:val="0"/>
          <w:kern w:val="22"/>
          <w:szCs w:val="22"/>
          <w:lang w:val="fr-CA"/>
        </w:rPr>
        <w:t>à un stade précoce du processus.</w:t>
      </w:r>
    </w:p>
    <w:p w:rsidR="00084813" w:rsidRPr="00B17F01" w:rsidRDefault="00AA0740" w:rsidP="00232FED">
      <w:pPr>
        <w:numPr>
          <w:ilvl w:val="0"/>
          <w:numId w:val="19"/>
        </w:numPr>
        <w:spacing w:after="120"/>
        <w:ind w:left="0" w:firstLine="0"/>
        <w:rPr>
          <w:snapToGrid w:val="0"/>
          <w:kern w:val="22"/>
          <w:szCs w:val="22"/>
          <w:lang w:val="fr-CA"/>
        </w:rPr>
      </w:pPr>
      <w:r w:rsidRPr="00B17F01">
        <w:rPr>
          <w:snapToGrid w:val="0"/>
          <w:kern w:val="22"/>
          <w:szCs w:val="22"/>
          <w:lang w:val="fr-CA"/>
        </w:rPr>
        <w:t>Deuxiè</w:t>
      </w:r>
      <w:r w:rsidR="003C4D7E" w:rsidRPr="00B17F01">
        <w:rPr>
          <w:snapToGrid w:val="0"/>
          <w:kern w:val="22"/>
          <w:szCs w:val="22"/>
          <w:lang w:val="fr-CA"/>
        </w:rPr>
        <w:t>mement, bien que</w:t>
      </w:r>
      <w:r w:rsidR="00232FED" w:rsidRPr="00B17F01">
        <w:rPr>
          <w:snapToGrid w:val="0"/>
          <w:kern w:val="22"/>
          <w:szCs w:val="22"/>
          <w:lang w:val="fr-CA"/>
        </w:rPr>
        <w:t xml:space="preserve"> dans l’ensemble</w:t>
      </w:r>
      <w:r w:rsidR="003C4D7E" w:rsidRPr="00B17F01">
        <w:rPr>
          <w:snapToGrid w:val="0"/>
          <w:kern w:val="22"/>
          <w:szCs w:val="22"/>
          <w:lang w:val="fr-CA"/>
        </w:rPr>
        <w:t xml:space="preserve"> les progrès aient</w:t>
      </w:r>
      <w:r w:rsidR="00232FED" w:rsidRPr="00B17F01">
        <w:rPr>
          <w:snapToGrid w:val="0"/>
          <w:kern w:val="22"/>
          <w:szCs w:val="22"/>
          <w:lang w:val="fr-CA"/>
        </w:rPr>
        <w:t xml:space="preserve"> été</w:t>
      </w:r>
      <w:r w:rsidRPr="00B17F01">
        <w:rPr>
          <w:snapToGrid w:val="0"/>
          <w:kern w:val="22"/>
          <w:szCs w:val="22"/>
          <w:lang w:val="fr-CA"/>
        </w:rPr>
        <w:t xml:space="preserve"> trop lents par rapport aux ambitions des objectifs, </w:t>
      </w:r>
      <w:r w:rsidR="003C4D7E" w:rsidRPr="00B17F01">
        <w:rPr>
          <w:snapToGrid w:val="0"/>
          <w:kern w:val="22"/>
          <w:szCs w:val="22"/>
          <w:lang w:val="fr-CA"/>
        </w:rPr>
        <w:t xml:space="preserve">des progrès ont quand même été réalisés depuis 2010, par exemple en termes de </w:t>
      </w:r>
      <w:r w:rsidR="00BF04A8" w:rsidRPr="00B17F01">
        <w:rPr>
          <w:snapToGrid w:val="0"/>
          <w:kern w:val="22"/>
          <w:szCs w:val="22"/>
          <w:lang w:val="fr-CA"/>
        </w:rPr>
        <w:t>sources</w:t>
      </w:r>
      <w:r w:rsidR="003C4D7E" w:rsidRPr="00B17F01">
        <w:rPr>
          <w:snapToGrid w:val="0"/>
          <w:kern w:val="22"/>
          <w:szCs w:val="22"/>
          <w:lang w:val="fr-CA"/>
        </w:rPr>
        <w:t xml:space="preserve"> réel</w:t>
      </w:r>
      <w:r w:rsidR="00BF04A8" w:rsidRPr="00B17F01">
        <w:rPr>
          <w:snapToGrid w:val="0"/>
          <w:kern w:val="22"/>
          <w:szCs w:val="22"/>
          <w:lang w:val="fr-CA"/>
        </w:rPr>
        <w:t>le</w:t>
      </w:r>
      <w:r w:rsidR="003C4D7E" w:rsidRPr="00B17F01">
        <w:rPr>
          <w:snapToGrid w:val="0"/>
          <w:kern w:val="22"/>
          <w:szCs w:val="22"/>
          <w:lang w:val="fr-CA"/>
        </w:rPr>
        <w:t>s de financement, tel</w:t>
      </w:r>
      <w:r w:rsidR="00BF04A8" w:rsidRPr="00B17F01">
        <w:rPr>
          <w:snapToGrid w:val="0"/>
          <w:kern w:val="22"/>
          <w:szCs w:val="22"/>
          <w:lang w:val="fr-CA"/>
        </w:rPr>
        <w:t>le</w:t>
      </w:r>
      <w:r w:rsidR="003C4D7E" w:rsidRPr="00B17F01">
        <w:rPr>
          <w:snapToGrid w:val="0"/>
          <w:kern w:val="22"/>
          <w:szCs w:val="22"/>
          <w:lang w:val="fr-CA"/>
        </w:rPr>
        <w:t>s que l’</w:t>
      </w:r>
      <w:r w:rsidR="00BF04A8" w:rsidRPr="00B17F01">
        <w:rPr>
          <w:snapToGrid w:val="0"/>
          <w:kern w:val="22"/>
          <w:szCs w:val="22"/>
          <w:lang w:val="fr-CA"/>
        </w:rPr>
        <w:t>augmentation rapportée d</w:t>
      </w:r>
      <w:r w:rsidR="003C4D7E" w:rsidRPr="00B17F01">
        <w:rPr>
          <w:snapToGrid w:val="0"/>
          <w:kern w:val="22"/>
          <w:szCs w:val="22"/>
          <w:lang w:val="fr-CA"/>
        </w:rPr>
        <w:t>es</w:t>
      </w:r>
      <w:r w:rsidR="00BF04A8" w:rsidRPr="00B17F01">
        <w:rPr>
          <w:snapToGrid w:val="0"/>
          <w:kern w:val="22"/>
          <w:szCs w:val="22"/>
          <w:lang w:val="fr-CA"/>
        </w:rPr>
        <w:t xml:space="preserve"> flux</w:t>
      </w:r>
      <w:r w:rsidR="00020812" w:rsidRPr="00B17F01">
        <w:rPr>
          <w:snapToGrid w:val="0"/>
          <w:kern w:val="22"/>
          <w:szCs w:val="22"/>
          <w:lang w:val="fr-CA"/>
        </w:rPr>
        <w:t xml:space="preserve"> financiers</w:t>
      </w:r>
      <w:r w:rsidR="00BF04A8" w:rsidRPr="00B17F01">
        <w:rPr>
          <w:snapToGrid w:val="0"/>
          <w:kern w:val="22"/>
          <w:szCs w:val="22"/>
          <w:lang w:val="fr-CA"/>
        </w:rPr>
        <w:t xml:space="preserve"> internationaux liés à la biodiversité; en termes de progrès dans la méthodologie, comme la maturité croissante de la méthodologie BIOFIN; et en termes de sa mise en œuvre</w:t>
      </w:r>
      <w:r w:rsidR="00020812" w:rsidRPr="00B17F01">
        <w:rPr>
          <w:snapToGrid w:val="0"/>
          <w:kern w:val="22"/>
          <w:szCs w:val="22"/>
          <w:lang w:val="fr-CA"/>
        </w:rPr>
        <w:t xml:space="preserve"> qui progresse dans les pays en développement et les pays à économies en transition.</w:t>
      </w:r>
      <w:r w:rsidR="00BF04A8" w:rsidRPr="00B17F01">
        <w:rPr>
          <w:snapToGrid w:val="0"/>
          <w:kern w:val="22"/>
          <w:szCs w:val="22"/>
          <w:lang w:val="fr-CA"/>
        </w:rPr>
        <w:t xml:space="preserve"> </w:t>
      </w:r>
      <w:r w:rsidR="00146FCC" w:rsidRPr="00B17F01">
        <w:rPr>
          <w:snapToGrid w:val="0"/>
          <w:kern w:val="22"/>
          <w:szCs w:val="22"/>
          <w:lang w:val="fr-CA"/>
        </w:rPr>
        <w:t>Il pourrait donc être souhaitable</w:t>
      </w:r>
      <w:r w:rsidR="00232FED" w:rsidRPr="00B17F01">
        <w:rPr>
          <w:snapToGrid w:val="0"/>
          <w:kern w:val="22"/>
          <w:szCs w:val="22"/>
          <w:lang w:val="fr-CA"/>
        </w:rPr>
        <w:t xml:space="preserve"> de </w:t>
      </w:r>
      <w:r w:rsidR="000322D3" w:rsidRPr="00B17F01">
        <w:rPr>
          <w:snapToGrid w:val="0"/>
          <w:kern w:val="22"/>
          <w:szCs w:val="22"/>
          <w:lang w:val="fr-CA"/>
        </w:rPr>
        <w:t>mettre à profit les progrès</w:t>
      </w:r>
      <w:r w:rsidR="00146FCC" w:rsidRPr="00B17F01">
        <w:rPr>
          <w:snapToGrid w:val="0"/>
          <w:kern w:val="22"/>
          <w:szCs w:val="22"/>
          <w:lang w:val="fr-CA"/>
        </w:rPr>
        <w:t xml:space="preserve"> </w:t>
      </w:r>
      <w:r w:rsidR="000322D3" w:rsidRPr="00B17F01">
        <w:rPr>
          <w:snapToGrid w:val="0"/>
          <w:kern w:val="22"/>
          <w:szCs w:val="22"/>
          <w:lang w:val="fr-CA"/>
        </w:rPr>
        <w:t xml:space="preserve">déjà réalisés lors de l’élaboration de </w:t>
      </w:r>
      <w:r w:rsidR="002C3A3C" w:rsidRPr="00B17F01">
        <w:rPr>
          <w:snapToGrid w:val="0"/>
          <w:kern w:val="22"/>
          <w:szCs w:val="22"/>
          <w:lang w:val="fr-CA"/>
        </w:rPr>
        <w:t>l’élément</w:t>
      </w:r>
      <w:r w:rsidR="000322D3" w:rsidRPr="00B17F01">
        <w:rPr>
          <w:snapToGrid w:val="0"/>
          <w:kern w:val="22"/>
          <w:szCs w:val="22"/>
          <w:lang w:val="fr-CA"/>
        </w:rPr>
        <w:t xml:space="preserve"> mobilisation des ressources du Cadre mondial de l’après</w:t>
      </w:r>
      <w:r w:rsidR="000322D3" w:rsidRPr="00B17F01">
        <w:rPr>
          <w:snapToGrid w:val="0"/>
          <w:kern w:val="22"/>
          <w:szCs w:val="22"/>
          <w:lang w:val="fr-CA"/>
        </w:rPr>
        <w:noBreakHyphen/>
        <w:t>2020 pour la biodiversité</w:t>
      </w:r>
      <w:r w:rsidR="00084813" w:rsidRPr="00B17F01">
        <w:rPr>
          <w:snapToGrid w:val="0"/>
          <w:kern w:val="22"/>
          <w:szCs w:val="22"/>
          <w:lang w:val="fr-CA"/>
        </w:rPr>
        <w:t>.</w:t>
      </w:r>
    </w:p>
    <w:p w:rsidR="00084813" w:rsidRPr="00B17F01" w:rsidRDefault="000322D3" w:rsidP="00232FED">
      <w:pPr>
        <w:numPr>
          <w:ilvl w:val="0"/>
          <w:numId w:val="19"/>
        </w:numPr>
        <w:spacing w:after="120"/>
        <w:ind w:left="0" w:firstLine="0"/>
        <w:rPr>
          <w:snapToGrid w:val="0"/>
          <w:kern w:val="22"/>
          <w:szCs w:val="22"/>
          <w:lang w:val="fr-CA"/>
        </w:rPr>
      </w:pPr>
      <w:r w:rsidRPr="00B17F01">
        <w:rPr>
          <w:snapToGrid w:val="0"/>
          <w:kern w:val="22"/>
          <w:szCs w:val="22"/>
          <w:lang w:val="fr-CA"/>
        </w:rPr>
        <w:t xml:space="preserve">Troisièmement, un examen de </w:t>
      </w:r>
      <w:r w:rsidR="002C3A3C" w:rsidRPr="00B17F01">
        <w:rPr>
          <w:snapToGrid w:val="0"/>
          <w:kern w:val="22"/>
          <w:szCs w:val="22"/>
          <w:lang w:val="fr-CA"/>
        </w:rPr>
        <w:t>l’élément</w:t>
      </w:r>
      <w:r w:rsidRPr="00B17F01">
        <w:rPr>
          <w:snapToGrid w:val="0"/>
          <w:kern w:val="22"/>
          <w:szCs w:val="22"/>
          <w:lang w:val="fr-CA"/>
        </w:rPr>
        <w:t xml:space="preserve"> mobilisation des ressources</w:t>
      </w:r>
      <w:r w:rsidR="00EA5F29" w:rsidRPr="00B17F01">
        <w:rPr>
          <w:snapToGrid w:val="0"/>
          <w:kern w:val="22"/>
          <w:szCs w:val="22"/>
          <w:lang w:val="fr-CA"/>
        </w:rPr>
        <w:t xml:space="preserve"> </w:t>
      </w:r>
      <w:r w:rsidR="005C442F" w:rsidRPr="00B17F01">
        <w:rPr>
          <w:snapToGrid w:val="0"/>
          <w:kern w:val="22"/>
          <w:szCs w:val="22"/>
          <w:lang w:val="fr-CA"/>
        </w:rPr>
        <w:t>étroitement synchronisé</w:t>
      </w:r>
      <w:r w:rsidR="00EA5F29" w:rsidRPr="00B17F01">
        <w:rPr>
          <w:snapToGrid w:val="0"/>
          <w:kern w:val="22"/>
          <w:szCs w:val="22"/>
          <w:lang w:val="fr-CA"/>
        </w:rPr>
        <w:t xml:space="preserve"> avec l’élaboration de l’ensemble du </w:t>
      </w:r>
      <w:r w:rsidR="005C442F" w:rsidRPr="00B17F01">
        <w:rPr>
          <w:snapToGrid w:val="0"/>
          <w:kern w:val="22"/>
          <w:szCs w:val="22"/>
          <w:lang w:val="fr-CA"/>
        </w:rPr>
        <w:t>cadre de l’après</w:t>
      </w:r>
      <w:r w:rsidR="005C442F" w:rsidRPr="00B17F01">
        <w:rPr>
          <w:snapToGrid w:val="0"/>
          <w:kern w:val="22"/>
          <w:szCs w:val="22"/>
          <w:lang w:val="fr-CA"/>
        </w:rPr>
        <w:noBreakHyphen/>
        <w:t>2020 pour la biodiversité</w:t>
      </w:r>
      <w:r w:rsidR="00EA5F29" w:rsidRPr="00B17F01">
        <w:rPr>
          <w:snapToGrid w:val="0"/>
          <w:kern w:val="22"/>
          <w:szCs w:val="22"/>
          <w:lang w:val="fr-CA"/>
        </w:rPr>
        <w:t xml:space="preserve"> contribuerait à assurer que les ambit</w:t>
      </w:r>
      <w:r w:rsidR="002C3A3C" w:rsidRPr="00B17F01">
        <w:rPr>
          <w:snapToGrid w:val="0"/>
          <w:kern w:val="22"/>
          <w:szCs w:val="22"/>
          <w:lang w:val="fr-CA"/>
        </w:rPr>
        <w:t>ions de l’élément financier</w:t>
      </w:r>
      <w:r w:rsidR="00EA5F29" w:rsidRPr="00B17F01">
        <w:rPr>
          <w:snapToGrid w:val="0"/>
          <w:kern w:val="22"/>
          <w:szCs w:val="22"/>
          <w:lang w:val="fr-CA"/>
        </w:rPr>
        <w:t xml:space="preserve"> soient à la mesure des ambitions</w:t>
      </w:r>
      <w:r w:rsidR="00662B91" w:rsidRPr="00B17F01">
        <w:rPr>
          <w:snapToGrid w:val="0"/>
          <w:kern w:val="22"/>
          <w:szCs w:val="22"/>
          <w:lang w:val="fr-CA"/>
        </w:rPr>
        <w:t xml:space="preserve"> de l’ensemble du cadre de l’après</w:t>
      </w:r>
      <w:r w:rsidR="00662B91" w:rsidRPr="00B17F01">
        <w:rPr>
          <w:snapToGrid w:val="0"/>
          <w:kern w:val="22"/>
          <w:szCs w:val="22"/>
          <w:lang w:val="fr-CA"/>
        </w:rPr>
        <w:noBreakHyphen/>
        <w:t>2020 pour la biodiversité</w:t>
      </w:r>
      <w:r w:rsidR="005C442F" w:rsidRPr="00B17F01">
        <w:rPr>
          <w:snapToGrid w:val="0"/>
          <w:kern w:val="22"/>
          <w:szCs w:val="22"/>
          <w:lang w:val="fr-CA"/>
        </w:rPr>
        <w:t xml:space="preserve">, y compris en particulier l’ambition de réaliser </w:t>
      </w:r>
      <w:r w:rsidR="00232FED" w:rsidRPr="00B17F01">
        <w:rPr>
          <w:snapToGrid w:val="0"/>
          <w:kern w:val="22"/>
          <w:szCs w:val="22"/>
          <w:lang w:val="fr-CA"/>
        </w:rPr>
        <w:t xml:space="preserve">dans les décennies à venir </w:t>
      </w:r>
      <w:r w:rsidR="005C442F" w:rsidRPr="00B17F01">
        <w:rPr>
          <w:snapToGrid w:val="0"/>
          <w:kern w:val="22"/>
          <w:szCs w:val="22"/>
          <w:lang w:val="fr-CA"/>
        </w:rPr>
        <w:t>les étapes critiques visant à transformer le régime</w:t>
      </w:r>
      <w:r w:rsidR="00872A52" w:rsidRPr="00B17F01">
        <w:rPr>
          <w:snapToGrid w:val="0"/>
          <w:kern w:val="22"/>
          <w:szCs w:val="22"/>
          <w:lang w:val="fr-CA"/>
        </w:rPr>
        <w:t xml:space="preserve"> de la diversité biologique d’i</w:t>
      </w:r>
      <w:r w:rsidR="00232FED" w:rsidRPr="00B17F01">
        <w:rPr>
          <w:snapToGrid w:val="0"/>
          <w:kern w:val="22"/>
          <w:szCs w:val="22"/>
          <w:lang w:val="fr-CA"/>
        </w:rPr>
        <w:t>ci à 2050, comme décrit dans l’additif (</w:t>
      </w:r>
      <w:r w:rsidR="00872A52" w:rsidRPr="00B17F01">
        <w:rPr>
          <w:snapToGrid w:val="0"/>
          <w:kern w:val="22"/>
          <w:szCs w:val="22"/>
          <w:lang w:val="fr-CA"/>
        </w:rPr>
        <w:t>CBD/SBI/2/17/Add.1</w:t>
      </w:r>
      <w:r w:rsidR="00232FED" w:rsidRPr="00B17F01">
        <w:rPr>
          <w:snapToGrid w:val="0"/>
          <w:kern w:val="22"/>
          <w:szCs w:val="22"/>
          <w:lang w:val="fr-CA"/>
        </w:rPr>
        <w:t>)</w:t>
      </w:r>
      <w:r w:rsidR="00872A52" w:rsidRPr="00B17F01">
        <w:rPr>
          <w:snapToGrid w:val="0"/>
          <w:kern w:val="22"/>
          <w:szCs w:val="22"/>
          <w:lang w:val="fr-CA"/>
        </w:rPr>
        <w:t>.</w:t>
      </w:r>
      <w:r w:rsidR="00872A52" w:rsidRPr="00B17F01">
        <w:rPr>
          <w:kern w:val="22"/>
          <w:lang w:val="fr-CA"/>
        </w:rPr>
        <w:t xml:space="preserve"> Il pourrait donc être souhaitable d’élaborer </w:t>
      </w:r>
      <w:r w:rsidR="002C3A3C" w:rsidRPr="00B17F01">
        <w:rPr>
          <w:kern w:val="22"/>
          <w:lang w:val="fr-CA"/>
        </w:rPr>
        <w:t>l’élément</w:t>
      </w:r>
      <w:r w:rsidR="00872A52" w:rsidRPr="00B17F01">
        <w:rPr>
          <w:kern w:val="22"/>
          <w:lang w:val="fr-CA"/>
        </w:rPr>
        <w:t xml:space="preserve"> mobilisation des ressources du </w:t>
      </w:r>
      <w:r w:rsidR="00872A52" w:rsidRPr="00B17F01">
        <w:rPr>
          <w:snapToGrid w:val="0"/>
          <w:kern w:val="22"/>
          <w:szCs w:val="22"/>
          <w:lang w:val="fr-CA"/>
        </w:rPr>
        <w:t>cadre de l’après</w:t>
      </w:r>
      <w:r w:rsidR="00872A52" w:rsidRPr="00B17F01">
        <w:rPr>
          <w:snapToGrid w:val="0"/>
          <w:kern w:val="22"/>
          <w:szCs w:val="22"/>
          <w:lang w:val="fr-CA"/>
        </w:rPr>
        <w:noBreakHyphen/>
        <w:t>2020 pour la biodiversité</w:t>
      </w:r>
      <w:r w:rsidR="00872A52" w:rsidRPr="00B17F01">
        <w:rPr>
          <w:kern w:val="22"/>
          <w:lang w:val="fr-CA"/>
        </w:rPr>
        <w:t xml:space="preserve"> de manière intégrée avec l’ensemble du processus préparatoire.</w:t>
      </w:r>
    </w:p>
    <w:p w:rsidR="00084813" w:rsidRPr="00B17F01" w:rsidRDefault="00872A52" w:rsidP="00ED6368">
      <w:pPr>
        <w:numPr>
          <w:ilvl w:val="0"/>
          <w:numId w:val="19"/>
        </w:numPr>
        <w:spacing w:after="120"/>
        <w:ind w:left="0" w:firstLine="0"/>
        <w:rPr>
          <w:snapToGrid w:val="0"/>
          <w:kern w:val="22"/>
          <w:szCs w:val="22"/>
          <w:lang w:val="fr-CA"/>
        </w:rPr>
      </w:pPr>
      <w:r w:rsidRPr="00B17F01">
        <w:rPr>
          <w:snapToGrid w:val="0"/>
          <w:kern w:val="22"/>
          <w:szCs w:val="22"/>
          <w:lang w:val="fr-CA"/>
        </w:rPr>
        <w:t>Et quatrièmement, la réflexion conceptuelle globale sur le financement pour le développement a évolué depuis l’</w:t>
      </w:r>
      <w:r w:rsidR="00336872" w:rsidRPr="00B17F01">
        <w:rPr>
          <w:snapToGrid w:val="0"/>
          <w:kern w:val="22"/>
          <w:szCs w:val="22"/>
          <w:lang w:val="fr-CA"/>
        </w:rPr>
        <w:t>adoption</w:t>
      </w:r>
      <w:r w:rsidRPr="00B17F01">
        <w:rPr>
          <w:snapToGrid w:val="0"/>
          <w:kern w:val="22"/>
          <w:szCs w:val="22"/>
          <w:lang w:val="fr-CA"/>
        </w:rPr>
        <w:t xml:space="preserve"> de la stratégie pour la </w:t>
      </w:r>
      <w:r w:rsidR="00336872" w:rsidRPr="00B17F01">
        <w:rPr>
          <w:snapToGrid w:val="0"/>
          <w:kern w:val="22"/>
          <w:szCs w:val="22"/>
          <w:lang w:val="fr-CA"/>
        </w:rPr>
        <w:t>mobilisation de ressources</w:t>
      </w:r>
      <w:r w:rsidRPr="00B17F01">
        <w:rPr>
          <w:snapToGrid w:val="0"/>
          <w:kern w:val="22"/>
          <w:szCs w:val="22"/>
          <w:lang w:val="fr-CA"/>
        </w:rPr>
        <w:t xml:space="preserve"> en 2009. Dans le contexte général </w:t>
      </w:r>
      <w:r w:rsidRPr="00B17F01">
        <w:rPr>
          <w:snapToGrid w:val="0"/>
          <w:kern w:val="22"/>
          <w:szCs w:val="22"/>
          <w:lang w:val="fr-CA"/>
        </w:rPr>
        <w:lastRenderedPageBreak/>
        <w:t>du Programme de développement durable à l’horizon 2030,</w:t>
      </w:r>
      <w:r w:rsidR="00ED6368" w:rsidRPr="00B17F01">
        <w:rPr>
          <w:rStyle w:val="FootnoteReference"/>
          <w:snapToGrid w:val="0"/>
          <w:kern w:val="22"/>
          <w:szCs w:val="22"/>
          <w:lang w:val="fr-CA"/>
        </w:rPr>
        <w:t xml:space="preserve"> </w:t>
      </w:r>
      <w:r w:rsidR="00ED6368" w:rsidRPr="00B17F01">
        <w:rPr>
          <w:rStyle w:val="FootnoteReference"/>
          <w:snapToGrid w:val="0"/>
          <w:kern w:val="22"/>
          <w:szCs w:val="22"/>
          <w:lang w:val="fr-CA"/>
        </w:rPr>
        <w:footnoteReference w:id="38"/>
      </w:r>
      <w:r w:rsidRPr="00B17F01">
        <w:rPr>
          <w:snapToGrid w:val="0"/>
          <w:kern w:val="22"/>
          <w:szCs w:val="22"/>
          <w:lang w:val="fr-CA"/>
        </w:rPr>
        <w:t xml:space="preserve"> cela est particulièrement reflété dans le </w:t>
      </w:r>
      <w:r w:rsidR="00D946F9" w:rsidRPr="00B17F01">
        <w:rPr>
          <w:rStyle w:val="admitted"/>
          <w:lang w:val="fr-CA"/>
        </w:rPr>
        <w:t>Programme d’action d’Addis</w:t>
      </w:r>
      <w:r w:rsidR="00D946F9" w:rsidRPr="00B17F01">
        <w:rPr>
          <w:rStyle w:val="admitted"/>
          <w:lang w:val="fr-CA"/>
        </w:rPr>
        <w:noBreakHyphen/>
        <w:t>Abeba</w:t>
      </w:r>
      <w:r w:rsidR="00336872" w:rsidRPr="00B17F01">
        <w:rPr>
          <w:rStyle w:val="admitted"/>
          <w:lang w:val="fr-CA"/>
        </w:rPr>
        <w:t>.</w:t>
      </w:r>
      <w:r w:rsidR="00D946F9" w:rsidRPr="00B17F01">
        <w:rPr>
          <w:snapToGrid w:val="0"/>
          <w:kern w:val="22"/>
          <w:szCs w:val="22"/>
          <w:lang w:val="fr-CA"/>
        </w:rPr>
        <w:t xml:space="preserve"> </w:t>
      </w:r>
      <w:r w:rsidR="00821FF1" w:rsidRPr="00B17F01">
        <w:rPr>
          <w:snapToGrid w:val="0"/>
          <w:kern w:val="22"/>
          <w:szCs w:val="22"/>
          <w:lang w:val="fr-CA"/>
        </w:rPr>
        <w:t xml:space="preserve">Il pourrait donc être souhaitable, lors de l’élaboration de </w:t>
      </w:r>
      <w:r w:rsidR="002C3A3C" w:rsidRPr="00B17F01">
        <w:rPr>
          <w:snapToGrid w:val="0"/>
          <w:kern w:val="22"/>
          <w:szCs w:val="22"/>
          <w:lang w:val="fr-CA"/>
        </w:rPr>
        <w:t>l’élément</w:t>
      </w:r>
      <w:r w:rsidR="00821FF1" w:rsidRPr="00B17F01">
        <w:rPr>
          <w:snapToGrid w:val="0"/>
          <w:kern w:val="22"/>
          <w:szCs w:val="22"/>
          <w:lang w:val="fr-CA"/>
        </w:rPr>
        <w:t xml:space="preserve"> mobilisation de ressources du cadre de l’après</w:t>
      </w:r>
      <w:r w:rsidR="00821FF1" w:rsidRPr="00B17F01">
        <w:rPr>
          <w:snapToGrid w:val="0"/>
          <w:kern w:val="22"/>
          <w:szCs w:val="22"/>
          <w:lang w:val="fr-CA"/>
        </w:rPr>
        <w:noBreakHyphen/>
        <w:t>2020 pour la biodiversit</w:t>
      </w:r>
      <w:r w:rsidR="00336872" w:rsidRPr="00B17F01">
        <w:rPr>
          <w:snapToGrid w:val="0"/>
          <w:kern w:val="22"/>
          <w:szCs w:val="22"/>
          <w:lang w:val="fr-CA"/>
        </w:rPr>
        <w:t>é, de prendre en considération c</w:t>
      </w:r>
      <w:r w:rsidR="00821FF1" w:rsidRPr="00B17F01">
        <w:rPr>
          <w:snapToGrid w:val="0"/>
          <w:kern w:val="22"/>
          <w:szCs w:val="22"/>
          <w:lang w:val="fr-CA"/>
        </w:rPr>
        <w:t>e cadre global de financement, ainsi que d’autres développements internationaux pertinents.</w:t>
      </w:r>
    </w:p>
    <w:p w:rsidR="00084813" w:rsidRPr="00B17F01" w:rsidRDefault="00B90618" w:rsidP="00ED6368">
      <w:pPr>
        <w:numPr>
          <w:ilvl w:val="0"/>
          <w:numId w:val="19"/>
        </w:numPr>
        <w:spacing w:after="120"/>
        <w:ind w:left="0" w:firstLine="0"/>
        <w:rPr>
          <w:snapToGrid w:val="0"/>
          <w:kern w:val="22"/>
          <w:szCs w:val="22"/>
          <w:lang w:val="fr-CA"/>
        </w:rPr>
      </w:pPr>
      <w:r w:rsidRPr="00B17F01">
        <w:rPr>
          <w:snapToGrid w:val="0"/>
          <w:kern w:val="22"/>
          <w:szCs w:val="22"/>
          <w:lang w:val="fr-CA"/>
        </w:rPr>
        <w:t>S’agissant du processus préparatoire, l’annexe au document CBD/SBI/2/17 fournit une chronologie qui illustre les activités clés qu’il convient d’entreprendre. À la lumière de l’importance du programme de mobilisation de ressources, ainsi que de l’expertise spécifique nécessaire, il semble justifié d’envisager l’établissement d’un flux de travail consacré</w:t>
      </w:r>
      <w:r w:rsidR="00705B3B" w:rsidRPr="00B17F01">
        <w:rPr>
          <w:snapToGrid w:val="0"/>
          <w:kern w:val="22"/>
          <w:szCs w:val="22"/>
          <w:lang w:val="fr-CA"/>
        </w:rPr>
        <w:t>,</w:t>
      </w:r>
      <w:r w:rsidRPr="00B17F01">
        <w:rPr>
          <w:snapToGrid w:val="0"/>
          <w:kern w:val="22"/>
          <w:szCs w:val="22"/>
          <w:lang w:val="fr-CA"/>
        </w:rPr>
        <w:t xml:space="preserve"> au titre de l’ensemble du processus préparatoire</w:t>
      </w:r>
      <w:r w:rsidR="00705B3B" w:rsidRPr="00B17F01">
        <w:rPr>
          <w:snapToGrid w:val="0"/>
          <w:kern w:val="22"/>
          <w:szCs w:val="22"/>
          <w:lang w:val="fr-CA"/>
        </w:rPr>
        <w:t xml:space="preserve">, et une ou des activités connexes relatives à la mobilisation de ressources, </w:t>
      </w:r>
      <w:r w:rsidR="00BA0520" w:rsidRPr="00B17F01">
        <w:rPr>
          <w:snapToGrid w:val="0"/>
          <w:kern w:val="22"/>
          <w:szCs w:val="22"/>
          <w:lang w:val="fr-CA"/>
        </w:rPr>
        <w:t>en tenant compte des coûts et de la coordination avec l’ensemble du processus.</w:t>
      </w:r>
    </w:p>
    <w:p w:rsidR="00084813" w:rsidRPr="00B17F01" w:rsidRDefault="00084813" w:rsidP="00ED6368">
      <w:pPr>
        <w:pStyle w:val="Heading1"/>
        <w:rPr>
          <w:snapToGrid w:val="0"/>
          <w:kern w:val="22"/>
          <w:lang w:val="fr-CA"/>
        </w:rPr>
      </w:pPr>
      <w:r w:rsidRPr="00B17F01">
        <w:rPr>
          <w:snapToGrid w:val="0"/>
          <w:kern w:val="22"/>
          <w:lang w:val="fr-CA"/>
        </w:rPr>
        <w:t xml:space="preserve">IV. </w:t>
      </w:r>
      <w:r w:rsidR="00491CB6" w:rsidRPr="00B17F01">
        <w:rPr>
          <w:snapToGrid w:val="0"/>
          <w:kern w:val="22"/>
          <w:lang w:val="fr-CA"/>
        </w:rPr>
        <w:tab/>
      </w:r>
      <w:r w:rsidRPr="00B17F01">
        <w:rPr>
          <w:snapToGrid w:val="0"/>
          <w:kern w:val="22"/>
          <w:lang w:val="fr-CA"/>
        </w:rPr>
        <w:t>Conclusions</w:t>
      </w:r>
      <w:r w:rsidR="00BA0520" w:rsidRPr="00B17F01">
        <w:rPr>
          <w:snapToGrid w:val="0"/>
          <w:kern w:val="22"/>
          <w:lang w:val="fr-CA"/>
        </w:rPr>
        <w:t xml:space="preserve"> et éléments d’un projet de recommandation</w:t>
      </w:r>
    </w:p>
    <w:p w:rsidR="00084813" w:rsidRPr="00B17F01" w:rsidRDefault="00491CB6" w:rsidP="00084813">
      <w:pPr>
        <w:pStyle w:val="Heading2"/>
        <w:rPr>
          <w:kern w:val="22"/>
          <w:lang w:val="fr-CA"/>
        </w:rPr>
      </w:pPr>
      <w:r w:rsidRPr="00B17F01">
        <w:rPr>
          <w:kern w:val="22"/>
          <w:lang w:val="fr-CA"/>
        </w:rPr>
        <w:t>A.</w:t>
      </w:r>
      <w:r w:rsidRPr="00B17F01">
        <w:rPr>
          <w:kern w:val="22"/>
          <w:lang w:val="fr-CA"/>
        </w:rPr>
        <w:tab/>
      </w:r>
      <w:r w:rsidR="00ED6368" w:rsidRPr="00B17F01">
        <w:rPr>
          <w:kern w:val="22"/>
          <w:lang w:val="fr-CA"/>
        </w:rPr>
        <w:t>Rapports financiers</w:t>
      </w:r>
    </w:p>
    <w:p w:rsidR="00084813" w:rsidRPr="00B17F01" w:rsidRDefault="00FE017A" w:rsidP="00FE017A">
      <w:pPr>
        <w:numPr>
          <w:ilvl w:val="0"/>
          <w:numId w:val="19"/>
        </w:numPr>
        <w:suppressLineNumbers/>
        <w:suppressAutoHyphens/>
        <w:spacing w:after="120"/>
        <w:ind w:left="0" w:firstLine="0"/>
        <w:rPr>
          <w:kern w:val="22"/>
          <w:szCs w:val="22"/>
          <w:lang w:val="fr-CA"/>
        </w:rPr>
      </w:pPr>
      <w:r w:rsidRPr="00B17F01">
        <w:rPr>
          <w:snapToGrid w:val="0"/>
          <w:kern w:val="22"/>
          <w:szCs w:val="22"/>
          <w:lang w:val="fr-CA"/>
        </w:rPr>
        <w:t>Dans l’ensemble, à</w:t>
      </w:r>
      <w:r w:rsidR="00BA0520" w:rsidRPr="00B17F01">
        <w:rPr>
          <w:snapToGrid w:val="0"/>
          <w:kern w:val="22"/>
          <w:szCs w:val="22"/>
          <w:lang w:val="fr-CA"/>
        </w:rPr>
        <w:t xml:space="preserve"> la lumière de la lenteur des progrès</w:t>
      </w:r>
      <w:r w:rsidRPr="00B17F01">
        <w:rPr>
          <w:snapToGrid w:val="0"/>
          <w:kern w:val="22"/>
          <w:szCs w:val="22"/>
          <w:lang w:val="fr-CA"/>
        </w:rPr>
        <w:t xml:space="preserve"> </w:t>
      </w:r>
      <w:r w:rsidR="00BA0520" w:rsidRPr="00B17F01">
        <w:rPr>
          <w:snapToGrid w:val="0"/>
          <w:kern w:val="22"/>
          <w:szCs w:val="22"/>
          <w:lang w:val="fr-CA"/>
        </w:rPr>
        <w:t>pour ce qui est de la présentation de rapports financiers, l’Organe subsidiaire chargé de l’application pourrait souhaiter recommander à la Conférence des Parties</w:t>
      </w:r>
      <w:r w:rsidRPr="00B17F01">
        <w:rPr>
          <w:snapToGrid w:val="0"/>
          <w:kern w:val="22"/>
          <w:szCs w:val="22"/>
          <w:lang w:val="fr-CA"/>
        </w:rPr>
        <w:t xml:space="preserve"> qu’elle adopte</w:t>
      </w:r>
      <w:r w:rsidR="00BA0520" w:rsidRPr="00B17F01">
        <w:rPr>
          <w:snapToGrid w:val="0"/>
          <w:kern w:val="22"/>
          <w:szCs w:val="22"/>
          <w:lang w:val="fr-CA"/>
        </w:rPr>
        <w:t xml:space="preserve"> une décision réitérant son invitation aux Parties à réaliser les objectifs relatifs à la mobilisation de ressources et à présenter un rapp</w:t>
      </w:r>
      <w:r w:rsidRPr="00B17F01">
        <w:rPr>
          <w:snapToGrid w:val="0"/>
          <w:kern w:val="22"/>
          <w:szCs w:val="22"/>
          <w:lang w:val="fr-CA"/>
        </w:rPr>
        <w:t>ort sur la question sans tarder</w:t>
      </w:r>
      <w:r w:rsidR="00BA0520" w:rsidRPr="00B17F01">
        <w:rPr>
          <w:snapToGrid w:val="0"/>
          <w:kern w:val="22"/>
          <w:szCs w:val="22"/>
          <w:lang w:val="fr-CA"/>
        </w:rPr>
        <w:t xml:space="preserve">. Compte tenu des </w:t>
      </w:r>
      <w:r w:rsidR="009777A0" w:rsidRPr="00B17F01">
        <w:rPr>
          <w:snapToGrid w:val="0"/>
          <w:kern w:val="22"/>
          <w:szCs w:val="22"/>
          <w:lang w:val="fr-CA"/>
        </w:rPr>
        <w:t>problèmes de capacités</w:t>
      </w:r>
      <w:r w:rsidR="00603E1A" w:rsidRPr="00B17F01">
        <w:rPr>
          <w:snapToGrid w:val="0"/>
          <w:kern w:val="22"/>
          <w:szCs w:val="22"/>
          <w:lang w:val="fr-CA"/>
        </w:rPr>
        <w:t xml:space="preserve"> constants</w:t>
      </w:r>
      <w:r w:rsidR="009777A0" w:rsidRPr="00B17F01">
        <w:rPr>
          <w:snapToGrid w:val="0"/>
          <w:kern w:val="22"/>
          <w:szCs w:val="22"/>
          <w:lang w:val="fr-CA"/>
        </w:rPr>
        <w:t xml:space="preserve"> dans les pays en développement, l’Organe subsidiaire pourrait souhaiter recommander</w:t>
      </w:r>
      <w:r w:rsidR="00603E1A" w:rsidRPr="00B17F01">
        <w:rPr>
          <w:snapToGrid w:val="0"/>
          <w:kern w:val="22"/>
          <w:szCs w:val="22"/>
          <w:lang w:val="fr-CA"/>
        </w:rPr>
        <w:t xml:space="preserve"> à la Conférence des Parties de</w:t>
      </w:r>
      <w:r w:rsidR="009777A0" w:rsidRPr="00B17F01">
        <w:rPr>
          <w:snapToGrid w:val="0"/>
          <w:kern w:val="22"/>
          <w:szCs w:val="22"/>
          <w:lang w:val="fr-CA"/>
        </w:rPr>
        <w:t xml:space="preserve"> </w:t>
      </w:r>
      <w:r w:rsidR="0010601C" w:rsidRPr="00B17F01">
        <w:rPr>
          <w:snapToGrid w:val="0"/>
          <w:kern w:val="22"/>
          <w:szCs w:val="22"/>
          <w:lang w:val="fr-CA"/>
        </w:rPr>
        <w:t>saluer les travaux de l’Initiative BIOFIN</w:t>
      </w:r>
      <w:r w:rsidR="00603E1A" w:rsidRPr="00B17F01">
        <w:rPr>
          <w:snapToGrid w:val="0"/>
          <w:kern w:val="22"/>
          <w:szCs w:val="22"/>
          <w:lang w:val="fr-CA"/>
        </w:rPr>
        <w:t xml:space="preserve"> et d’autres organisations et initiatives concernées, et réitérer l’invitation à poursuivre et intensifier davantage ces travaux. L’Organe subsidiaire pourrait également </w:t>
      </w:r>
      <w:proofErr w:type="spellStart"/>
      <w:r w:rsidR="00603E1A" w:rsidRPr="00B17F01">
        <w:rPr>
          <w:snapToGrid w:val="0"/>
          <w:kern w:val="22"/>
          <w:szCs w:val="22"/>
          <w:lang w:val="fr-CA"/>
        </w:rPr>
        <w:t>southaiter</w:t>
      </w:r>
      <w:proofErr w:type="spellEnd"/>
      <w:r w:rsidR="00603E1A" w:rsidRPr="00B17F01">
        <w:rPr>
          <w:snapToGrid w:val="0"/>
          <w:kern w:val="22"/>
          <w:szCs w:val="22"/>
          <w:lang w:val="fr-CA"/>
        </w:rPr>
        <w:t xml:space="preserve"> prévoir des travaux intersessions</w:t>
      </w:r>
      <w:r w:rsidR="00543145" w:rsidRPr="00B17F01">
        <w:rPr>
          <w:snapToGrid w:val="0"/>
          <w:kern w:val="22"/>
          <w:szCs w:val="22"/>
          <w:lang w:val="fr-CA"/>
        </w:rPr>
        <w:t>, précisés davantage dans le projet de recommandation ci</w:t>
      </w:r>
      <w:r w:rsidR="00543145" w:rsidRPr="00B17F01">
        <w:rPr>
          <w:snapToGrid w:val="0"/>
          <w:kern w:val="22"/>
          <w:szCs w:val="22"/>
          <w:lang w:val="fr-CA"/>
        </w:rPr>
        <w:noBreakHyphen/>
        <w:t>après, en vue de fournir les informations les plus actualisées sur l’établissement de rapports financiers à la Conférence des Parties, aux fins d’examen à sa quatorzième réunion.</w:t>
      </w:r>
    </w:p>
    <w:p w:rsidR="00084813" w:rsidRPr="00B17F01" w:rsidRDefault="00491CB6" w:rsidP="00FC7055">
      <w:pPr>
        <w:pStyle w:val="Heading2"/>
        <w:rPr>
          <w:kern w:val="22"/>
          <w:lang w:val="fr-CA"/>
        </w:rPr>
      </w:pPr>
      <w:r w:rsidRPr="00B17F01">
        <w:rPr>
          <w:kern w:val="22"/>
          <w:lang w:val="fr-CA"/>
        </w:rPr>
        <w:t>B.</w:t>
      </w:r>
      <w:r w:rsidRPr="00B17F01">
        <w:rPr>
          <w:kern w:val="22"/>
          <w:lang w:val="fr-CA"/>
        </w:rPr>
        <w:tab/>
      </w:r>
      <w:r w:rsidR="00543145" w:rsidRPr="00B17F01">
        <w:rPr>
          <w:kern w:val="22"/>
          <w:lang w:val="fr-CA"/>
        </w:rPr>
        <w:t>Modalités pour la pleine mise en œuvre de l’Objectif 3 d’Aichi pour la biodiversité</w:t>
      </w:r>
    </w:p>
    <w:p w:rsidR="00084813" w:rsidRPr="00B17F01" w:rsidRDefault="00DF16EB" w:rsidP="00FC7055">
      <w:pPr>
        <w:numPr>
          <w:ilvl w:val="0"/>
          <w:numId w:val="19"/>
        </w:numPr>
        <w:spacing w:after="120"/>
        <w:ind w:left="0" w:firstLine="0"/>
        <w:rPr>
          <w:snapToGrid w:val="0"/>
          <w:kern w:val="22"/>
          <w:szCs w:val="22"/>
          <w:lang w:val="fr-CA"/>
        </w:rPr>
      </w:pPr>
      <w:r w:rsidRPr="00B17F01">
        <w:rPr>
          <w:snapToGrid w:val="0"/>
          <w:kern w:val="22"/>
          <w:szCs w:val="22"/>
          <w:lang w:val="fr-CA"/>
        </w:rPr>
        <w:t>Bien que certains progrès aient été enregistrés dans la réalisation de l’Objectif 3 d’Aichi pour la biodiversité et l’application des</w:t>
      </w:r>
      <w:r w:rsidR="00C0271B" w:rsidRPr="00B17F01">
        <w:rPr>
          <w:snapToGrid w:val="0"/>
          <w:kern w:val="22"/>
          <w:szCs w:val="22"/>
          <w:lang w:val="fr-CA"/>
        </w:rPr>
        <w:t xml:space="preserve"> étapes</w:t>
      </w:r>
      <w:r w:rsidRPr="00B17F01">
        <w:rPr>
          <w:snapToGrid w:val="0"/>
          <w:kern w:val="22"/>
          <w:szCs w:val="22"/>
          <w:lang w:val="fr-CA"/>
        </w:rPr>
        <w:t xml:space="preserve"> associé</w:t>
      </w:r>
      <w:r w:rsidR="00C0271B" w:rsidRPr="00B17F01">
        <w:rPr>
          <w:snapToGrid w:val="0"/>
          <w:kern w:val="22"/>
          <w:szCs w:val="22"/>
          <w:lang w:val="fr-CA"/>
        </w:rPr>
        <w:t>e</w:t>
      </w:r>
      <w:r w:rsidRPr="00B17F01">
        <w:rPr>
          <w:snapToGrid w:val="0"/>
          <w:kern w:val="22"/>
          <w:szCs w:val="22"/>
          <w:lang w:val="fr-CA"/>
        </w:rPr>
        <w:t>s</w:t>
      </w:r>
      <w:r w:rsidR="00777A84" w:rsidRPr="00B17F01">
        <w:rPr>
          <w:snapToGrid w:val="0"/>
          <w:kern w:val="22"/>
          <w:szCs w:val="22"/>
          <w:lang w:val="fr-CA"/>
        </w:rPr>
        <w:t>,</w:t>
      </w:r>
      <w:r w:rsidRPr="00B17F01">
        <w:rPr>
          <w:snapToGrid w:val="0"/>
          <w:kern w:val="22"/>
          <w:szCs w:val="22"/>
          <w:lang w:val="fr-CA"/>
        </w:rPr>
        <w:t xml:space="preserve"> adopté</w:t>
      </w:r>
      <w:r w:rsidR="00C0271B" w:rsidRPr="00B17F01">
        <w:rPr>
          <w:snapToGrid w:val="0"/>
          <w:kern w:val="22"/>
          <w:szCs w:val="22"/>
          <w:lang w:val="fr-CA"/>
        </w:rPr>
        <w:t>e</w:t>
      </w:r>
      <w:r w:rsidRPr="00B17F01">
        <w:rPr>
          <w:snapToGrid w:val="0"/>
          <w:kern w:val="22"/>
          <w:szCs w:val="22"/>
          <w:lang w:val="fr-CA"/>
        </w:rPr>
        <w:t>s par la Conférence des Parties à sa douzième réunion, l’analyse indique que les progrès sont dans l’ensemble insuffisants</w:t>
      </w:r>
      <w:r w:rsidR="007420F4" w:rsidRPr="00B17F01">
        <w:rPr>
          <w:snapToGrid w:val="0"/>
          <w:kern w:val="22"/>
          <w:szCs w:val="22"/>
          <w:lang w:val="fr-CA"/>
        </w:rPr>
        <w:t>,</w:t>
      </w:r>
      <w:r w:rsidRPr="00B17F01">
        <w:rPr>
          <w:snapToGrid w:val="0"/>
          <w:kern w:val="22"/>
          <w:szCs w:val="22"/>
          <w:lang w:val="fr-CA"/>
        </w:rPr>
        <w:t xml:space="preserve"> et </w:t>
      </w:r>
      <w:r w:rsidR="007420F4" w:rsidRPr="00B17F01">
        <w:rPr>
          <w:snapToGrid w:val="0"/>
          <w:kern w:val="22"/>
          <w:szCs w:val="22"/>
          <w:lang w:val="fr-CA"/>
        </w:rPr>
        <w:t>que les Parties et les autres gouvernements, avec le soutien d’organisations et d’initiatives internationa</w:t>
      </w:r>
      <w:r w:rsidR="00FC7055" w:rsidRPr="00B17F01">
        <w:rPr>
          <w:snapToGrid w:val="0"/>
          <w:kern w:val="22"/>
          <w:szCs w:val="22"/>
          <w:lang w:val="fr-CA"/>
        </w:rPr>
        <w:t xml:space="preserve">les, pourraient agir nettement </w:t>
      </w:r>
      <w:r w:rsidR="007420F4" w:rsidRPr="00B17F01">
        <w:rPr>
          <w:snapToGrid w:val="0"/>
          <w:kern w:val="22"/>
          <w:szCs w:val="22"/>
          <w:lang w:val="fr-CA"/>
        </w:rPr>
        <w:t>plus.</w:t>
      </w:r>
      <w:r w:rsidR="00A54915" w:rsidRPr="00B17F01">
        <w:rPr>
          <w:snapToGrid w:val="0"/>
          <w:kern w:val="22"/>
          <w:szCs w:val="22"/>
          <w:lang w:val="fr-CA"/>
        </w:rPr>
        <w:t xml:space="preserve"> À la lumière des impacts positifs considérables, dans l’ensemble, de la mobilisation de ressources pour la biodiversité, de telles actions sont particulièrement nécessaires sous forme de mesures visant l’élimination, </w:t>
      </w:r>
      <w:r w:rsidR="00A54915" w:rsidRPr="00B17F01">
        <w:rPr>
          <w:kern w:val="20"/>
          <w:lang w:val="fr-CA"/>
        </w:rPr>
        <w:t xml:space="preserve">l’élimination à terme ou la réforme des incitations, </w:t>
      </w:r>
      <w:r w:rsidR="00777A84" w:rsidRPr="00B17F01">
        <w:rPr>
          <w:kern w:val="20"/>
          <w:lang w:val="fr-CA"/>
        </w:rPr>
        <w:t xml:space="preserve">et </w:t>
      </w:r>
      <w:r w:rsidR="00A54915" w:rsidRPr="00B17F01">
        <w:rPr>
          <w:kern w:val="20"/>
          <w:lang w:val="fr-CA"/>
        </w:rPr>
        <w:t>surtout des subventions, néfastes pour la diversité biologique. Par conséquent, l’Organe subsidiaire pourrait souhaiter recommander à la Conférence des Parties d’exprimer sa préoccupation</w:t>
      </w:r>
      <w:r w:rsidR="00C0271B" w:rsidRPr="00B17F01">
        <w:rPr>
          <w:kern w:val="20"/>
          <w:lang w:val="fr-CA"/>
        </w:rPr>
        <w:t xml:space="preserve"> quant à la mise en œuvre insuffisante de l’Objectif 3 d’Aichi pour la biodiversité et des étapes</w:t>
      </w:r>
      <w:r w:rsidR="00777A84" w:rsidRPr="00B17F01">
        <w:rPr>
          <w:kern w:val="20"/>
          <w:lang w:val="fr-CA"/>
        </w:rPr>
        <w:t xml:space="preserve"> à franchir</w:t>
      </w:r>
      <w:r w:rsidR="00C0271B" w:rsidRPr="00B17F01">
        <w:rPr>
          <w:kern w:val="20"/>
          <w:lang w:val="fr-CA"/>
        </w:rPr>
        <w:t xml:space="preserve">, </w:t>
      </w:r>
      <w:r w:rsidR="007D4134" w:rsidRPr="00B17F01">
        <w:rPr>
          <w:kern w:val="20"/>
          <w:lang w:val="fr-CA"/>
        </w:rPr>
        <w:t>et rappeler</w:t>
      </w:r>
      <w:r w:rsidR="00777A84" w:rsidRPr="00B17F01">
        <w:rPr>
          <w:kern w:val="20"/>
          <w:lang w:val="fr-CA"/>
        </w:rPr>
        <w:t xml:space="preserve"> c</w:t>
      </w:r>
      <w:r w:rsidR="00C0271B" w:rsidRPr="00B17F01">
        <w:rPr>
          <w:kern w:val="20"/>
          <w:lang w:val="fr-CA"/>
        </w:rPr>
        <w:t>es étapes et l’importance de leur application</w:t>
      </w:r>
      <w:r w:rsidR="007D4134" w:rsidRPr="00B17F01">
        <w:rPr>
          <w:kern w:val="20"/>
          <w:lang w:val="fr-CA"/>
        </w:rPr>
        <w:t>, et exhorter</w:t>
      </w:r>
      <w:r w:rsidR="00C0271B" w:rsidRPr="00B17F01">
        <w:rPr>
          <w:kern w:val="20"/>
          <w:lang w:val="fr-CA"/>
        </w:rPr>
        <w:t xml:space="preserve"> les Parties et les autres gouvernements</w:t>
      </w:r>
      <w:r w:rsidR="00FC7055" w:rsidRPr="00B17F01">
        <w:rPr>
          <w:kern w:val="20"/>
          <w:lang w:val="fr-CA"/>
        </w:rPr>
        <w:t xml:space="preserve"> à</w:t>
      </w:r>
      <w:r w:rsidR="007D4134" w:rsidRPr="00B17F01">
        <w:rPr>
          <w:kern w:val="20"/>
          <w:lang w:val="fr-CA"/>
        </w:rPr>
        <w:t xml:space="preserve"> </w:t>
      </w:r>
      <w:r w:rsidR="00C0271B" w:rsidRPr="00B17F01">
        <w:rPr>
          <w:kern w:val="20"/>
          <w:lang w:val="fr-CA"/>
        </w:rPr>
        <w:t>adopter davantage de mesures. L’Organe subsidiaire pourrait également souhaiter recommander la reconnaissance des travaux constants de soutien des organisations et initiatives concernées, et les inviter à poursuivre et à intensifier ces efforts</w:t>
      </w:r>
      <w:r w:rsidR="007D4134" w:rsidRPr="00B17F01">
        <w:rPr>
          <w:kern w:val="20"/>
          <w:lang w:val="fr-CA"/>
        </w:rPr>
        <w:t>, et prier la Secrétaire exécutive d’appuyer et de faciliter ces travaux.</w:t>
      </w:r>
    </w:p>
    <w:p w:rsidR="00084813" w:rsidRPr="00B17F01" w:rsidRDefault="00134B3F" w:rsidP="003C67AF">
      <w:pPr>
        <w:numPr>
          <w:ilvl w:val="0"/>
          <w:numId w:val="19"/>
        </w:numPr>
        <w:spacing w:after="120"/>
        <w:ind w:left="0" w:firstLine="0"/>
        <w:rPr>
          <w:snapToGrid w:val="0"/>
          <w:kern w:val="22"/>
          <w:szCs w:val="22"/>
          <w:lang w:val="fr-CA"/>
        </w:rPr>
      </w:pPr>
      <w:r w:rsidRPr="00B17F01">
        <w:rPr>
          <w:snapToGrid w:val="0"/>
          <w:kern w:val="22"/>
          <w:szCs w:val="22"/>
          <w:lang w:val="fr-CA"/>
        </w:rPr>
        <w:t>La préparation d’études analytiques nationales sur les incitations est l’une des étapes</w:t>
      </w:r>
      <w:r w:rsidR="00FF20E9" w:rsidRPr="00B17F01">
        <w:rPr>
          <w:snapToGrid w:val="0"/>
          <w:kern w:val="22"/>
          <w:szCs w:val="22"/>
          <w:lang w:val="fr-CA"/>
        </w:rPr>
        <w:t xml:space="preserve"> à franchir</w:t>
      </w:r>
      <w:r w:rsidRPr="00B17F01">
        <w:rPr>
          <w:snapToGrid w:val="0"/>
          <w:kern w:val="22"/>
          <w:szCs w:val="22"/>
          <w:lang w:val="fr-CA"/>
        </w:rPr>
        <w:t>, car une telle évaluation est souvent</w:t>
      </w:r>
      <w:r w:rsidR="00213C4A" w:rsidRPr="00B17F01">
        <w:rPr>
          <w:snapToGrid w:val="0"/>
          <w:kern w:val="22"/>
          <w:szCs w:val="22"/>
          <w:lang w:val="fr-CA"/>
        </w:rPr>
        <w:t xml:space="preserve"> décisive pour identifier les candidats à l’élimination, </w:t>
      </w:r>
      <w:r w:rsidR="00213C4A" w:rsidRPr="00B17F01">
        <w:rPr>
          <w:kern w:val="20"/>
          <w:lang w:val="fr-CA"/>
        </w:rPr>
        <w:t>l’élimination à terme ou la réforme, et pour parvenir à une compréhension</w:t>
      </w:r>
      <w:r w:rsidR="004948DE" w:rsidRPr="00B17F01">
        <w:rPr>
          <w:kern w:val="20"/>
          <w:lang w:val="fr-CA"/>
        </w:rPr>
        <w:t xml:space="preserve"> adéquate et obtenir le</w:t>
      </w:r>
      <w:r w:rsidR="00213C4A" w:rsidRPr="00B17F01">
        <w:rPr>
          <w:kern w:val="20"/>
          <w:lang w:val="fr-CA"/>
        </w:rPr>
        <w:t xml:space="preserve"> soutien politique nécessaire. </w:t>
      </w:r>
      <w:r w:rsidR="00444B16" w:rsidRPr="00B17F01">
        <w:rPr>
          <w:kern w:val="20"/>
          <w:lang w:val="fr-CA"/>
        </w:rPr>
        <w:t>Cependant, seuls quelques pays ont entrepris de telles évaluations ou études à l’échelle nationale en vue d’identifier les incitations néfastes et</w:t>
      </w:r>
      <w:r w:rsidR="0065711A" w:rsidRPr="00B17F01">
        <w:rPr>
          <w:kern w:val="20"/>
          <w:lang w:val="fr-CA"/>
        </w:rPr>
        <w:t xml:space="preserve"> relever</w:t>
      </w:r>
      <w:r w:rsidR="00444B16" w:rsidRPr="00B17F01">
        <w:rPr>
          <w:kern w:val="20"/>
          <w:lang w:val="fr-CA"/>
        </w:rPr>
        <w:t xml:space="preserve"> les occasions pour prendre des mesures politiques, et les quelques études existantes varient dans la portée et l’approche utilis</w:t>
      </w:r>
      <w:r w:rsidR="009164B9" w:rsidRPr="00B17F01">
        <w:rPr>
          <w:kern w:val="20"/>
          <w:lang w:val="fr-CA"/>
        </w:rPr>
        <w:t xml:space="preserve">ées pour identifier les mesures de soutien néfastes pour l’environnement. Il pourrait s’avérer utile d’inviter les organisations intéressées, telles que l’OCDE, à envisager a) entreprendre une compilation systématique; b) analyser les études existantes de </w:t>
      </w:r>
      <w:r w:rsidR="009164B9" w:rsidRPr="00B17F01">
        <w:rPr>
          <w:kern w:val="20"/>
          <w:lang w:val="fr-CA"/>
        </w:rPr>
        <w:lastRenderedPageBreak/>
        <w:t xml:space="preserve">manière plus approfondie; c) discerner les méthodes de bonnes pratiques pour identifier les incitations néfastes et élaborer des réponses politiques appropriées en matière </w:t>
      </w:r>
      <w:r w:rsidR="009164B9" w:rsidRPr="00B17F01">
        <w:rPr>
          <w:snapToGrid w:val="0"/>
          <w:kern w:val="22"/>
          <w:szCs w:val="22"/>
          <w:lang w:val="fr-CA"/>
        </w:rPr>
        <w:t xml:space="preserve">d’élimination, </w:t>
      </w:r>
      <w:r w:rsidR="009164B9" w:rsidRPr="00B17F01">
        <w:rPr>
          <w:kern w:val="20"/>
          <w:lang w:val="fr-CA"/>
        </w:rPr>
        <w:t xml:space="preserve">d’élimination à terme ou de réforme; et d) élaborer une norme ou un modèle en tant qu’orientation facultative sur </w:t>
      </w:r>
      <w:r w:rsidR="00D0536A" w:rsidRPr="00B17F01">
        <w:rPr>
          <w:kern w:val="20"/>
          <w:lang w:val="fr-CA"/>
        </w:rPr>
        <w:t>la manière</w:t>
      </w:r>
      <w:r w:rsidR="00620C48" w:rsidRPr="00B17F01">
        <w:rPr>
          <w:kern w:val="20"/>
          <w:lang w:val="fr-CA"/>
        </w:rPr>
        <w:t xml:space="preserve"> </w:t>
      </w:r>
      <w:r w:rsidR="00D0536A" w:rsidRPr="00B17F01">
        <w:rPr>
          <w:kern w:val="20"/>
          <w:lang w:val="fr-CA"/>
        </w:rPr>
        <w:t>d’</w:t>
      </w:r>
      <w:r w:rsidR="00620C48" w:rsidRPr="00B17F01">
        <w:rPr>
          <w:kern w:val="20"/>
          <w:lang w:val="fr-CA"/>
        </w:rPr>
        <w:t xml:space="preserve">élaborer de telles études analytiques et </w:t>
      </w:r>
      <w:r w:rsidR="00D0536A" w:rsidRPr="00B17F01">
        <w:rPr>
          <w:kern w:val="20"/>
          <w:lang w:val="fr-CA"/>
        </w:rPr>
        <w:t>d’</w:t>
      </w:r>
      <w:r w:rsidR="00620C48" w:rsidRPr="00B17F01">
        <w:rPr>
          <w:kern w:val="20"/>
          <w:lang w:val="fr-CA"/>
        </w:rPr>
        <w:t>entreprendre les évaluations.</w:t>
      </w:r>
    </w:p>
    <w:p w:rsidR="00084813" w:rsidRPr="00B17F01" w:rsidRDefault="00491CB6" w:rsidP="003C67AF">
      <w:pPr>
        <w:pStyle w:val="Heading2"/>
        <w:rPr>
          <w:snapToGrid w:val="0"/>
          <w:kern w:val="22"/>
          <w:lang w:val="fr-CA"/>
        </w:rPr>
      </w:pPr>
      <w:r w:rsidRPr="00B17F01">
        <w:rPr>
          <w:snapToGrid w:val="0"/>
          <w:kern w:val="22"/>
          <w:lang w:val="fr-CA"/>
        </w:rPr>
        <w:t>C.</w:t>
      </w:r>
      <w:r w:rsidRPr="00B17F01">
        <w:rPr>
          <w:snapToGrid w:val="0"/>
          <w:kern w:val="22"/>
          <w:lang w:val="fr-CA"/>
        </w:rPr>
        <w:tab/>
      </w:r>
      <w:r w:rsidR="002C3A3C" w:rsidRPr="00B17F01">
        <w:rPr>
          <w:snapToGrid w:val="0"/>
          <w:kern w:val="22"/>
          <w:lang w:val="fr-CA"/>
        </w:rPr>
        <w:t>Élément</w:t>
      </w:r>
      <w:r w:rsidR="00620C48" w:rsidRPr="00B17F01">
        <w:rPr>
          <w:snapToGrid w:val="0"/>
          <w:kern w:val="22"/>
          <w:lang w:val="fr-CA"/>
        </w:rPr>
        <w:t xml:space="preserve"> mobilisation des ressources ou financement du cadre de l’</w:t>
      </w:r>
      <w:r w:rsidR="003C67AF" w:rsidRPr="00B17F01">
        <w:rPr>
          <w:snapToGrid w:val="0"/>
          <w:kern w:val="22"/>
          <w:lang w:val="fr-CA"/>
        </w:rPr>
        <w:t>après</w:t>
      </w:r>
      <w:r w:rsidR="003C67AF" w:rsidRPr="00B17F01">
        <w:rPr>
          <w:snapToGrid w:val="0"/>
          <w:kern w:val="22"/>
          <w:lang w:val="fr-CA"/>
        </w:rPr>
        <w:noBreakHyphen/>
        <w:t>2020 pour la biodiversité</w:t>
      </w:r>
    </w:p>
    <w:p w:rsidR="00084813" w:rsidRPr="00B17F01" w:rsidRDefault="00A37F24" w:rsidP="008E3AD0">
      <w:pPr>
        <w:numPr>
          <w:ilvl w:val="0"/>
          <w:numId w:val="19"/>
        </w:numPr>
        <w:spacing w:after="120"/>
        <w:ind w:left="0" w:firstLine="0"/>
        <w:rPr>
          <w:snapToGrid w:val="0"/>
          <w:kern w:val="22"/>
          <w:szCs w:val="22"/>
          <w:lang w:val="fr-CA"/>
        </w:rPr>
      </w:pPr>
      <w:r w:rsidRPr="00B17F01">
        <w:rPr>
          <w:snapToGrid w:val="0"/>
          <w:kern w:val="22"/>
          <w:szCs w:val="22"/>
          <w:lang w:val="fr-CA"/>
        </w:rPr>
        <w:t>L’analyse ci</w:t>
      </w:r>
      <w:r w:rsidRPr="00B17F01">
        <w:rPr>
          <w:snapToGrid w:val="0"/>
          <w:kern w:val="22"/>
          <w:szCs w:val="22"/>
          <w:lang w:val="fr-CA"/>
        </w:rPr>
        <w:noBreakHyphen/>
        <w:t>dessus indique les avantages</w:t>
      </w:r>
      <w:r w:rsidR="00010B81" w:rsidRPr="00B17F01">
        <w:rPr>
          <w:snapToGrid w:val="0"/>
          <w:kern w:val="22"/>
          <w:szCs w:val="22"/>
          <w:lang w:val="fr-CA"/>
        </w:rPr>
        <w:t xml:space="preserve"> qu’il y a à entamer l’examen de l’éventuel élément mobilisation des ressources du cadre de l’après-2020 pour la biodiversité a) dès le début; b) de manière à </w:t>
      </w:r>
      <w:r w:rsidR="008E3AD0" w:rsidRPr="00B17F01">
        <w:rPr>
          <w:snapToGrid w:val="0"/>
          <w:kern w:val="22"/>
          <w:szCs w:val="22"/>
          <w:lang w:val="fr-CA"/>
        </w:rPr>
        <w:t>tirer parti d</w:t>
      </w:r>
      <w:r w:rsidR="00010B81" w:rsidRPr="00B17F01">
        <w:rPr>
          <w:snapToGrid w:val="0"/>
          <w:kern w:val="22"/>
          <w:szCs w:val="22"/>
          <w:lang w:val="fr-CA"/>
        </w:rPr>
        <w:t>es progrès déjà réalisés</w:t>
      </w:r>
      <w:r w:rsidR="008E3AD0" w:rsidRPr="00B17F01">
        <w:rPr>
          <w:snapToGrid w:val="0"/>
          <w:kern w:val="22"/>
          <w:szCs w:val="22"/>
          <w:lang w:val="fr-CA"/>
        </w:rPr>
        <w:t xml:space="preserve"> et les amplifier</w:t>
      </w:r>
      <w:r w:rsidR="00010B81" w:rsidRPr="00B17F01">
        <w:rPr>
          <w:snapToGrid w:val="0"/>
          <w:kern w:val="22"/>
          <w:szCs w:val="22"/>
          <w:lang w:val="fr-CA"/>
        </w:rPr>
        <w:t>; et c) de manière intégrée avec l’élaboration de l’ensemble du cadre de l’après-2020 pour la biodiversité. L’Organe subsidiaire pourrait donc souhaiter envisager recommander l’établissement d’un flux de travail consacré</w:t>
      </w:r>
      <w:r w:rsidR="007769CE" w:rsidRPr="00B17F01">
        <w:rPr>
          <w:snapToGrid w:val="0"/>
          <w:kern w:val="22"/>
          <w:szCs w:val="22"/>
          <w:lang w:val="fr-CA"/>
        </w:rPr>
        <w:t xml:space="preserve"> à la mobilisation des ressources</w:t>
      </w:r>
      <w:r w:rsidR="00010B81" w:rsidRPr="00B17F01">
        <w:rPr>
          <w:snapToGrid w:val="0"/>
          <w:kern w:val="22"/>
          <w:szCs w:val="22"/>
          <w:lang w:val="fr-CA"/>
        </w:rPr>
        <w:t xml:space="preserve">, au titre de l’ensemble du processus préparatoire, </w:t>
      </w:r>
      <w:r w:rsidR="008E3AD0" w:rsidRPr="00B17F01">
        <w:rPr>
          <w:snapToGrid w:val="0"/>
          <w:kern w:val="22"/>
          <w:szCs w:val="22"/>
          <w:lang w:val="fr-CA"/>
        </w:rPr>
        <w:t>comme proposé dans la note de la Secrétaire exécutive sur les préparatifs pour les suites à donner au terme du Plan stratégique 2011-2020 pour la diversité biologique (CBD/SBI/2/17)</w:t>
      </w:r>
      <w:r w:rsidR="007769CE" w:rsidRPr="00B17F01">
        <w:rPr>
          <w:snapToGrid w:val="0"/>
          <w:kern w:val="22"/>
          <w:szCs w:val="22"/>
          <w:lang w:val="fr-CA"/>
        </w:rPr>
        <w:t>.</w:t>
      </w:r>
    </w:p>
    <w:p w:rsidR="00084813" w:rsidRPr="00B17F01" w:rsidRDefault="005316CB" w:rsidP="00CF59C7">
      <w:pPr>
        <w:numPr>
          <w:ilvl w:val="0"/>
          <w:numId w:val="19"/>
        </w:numPr>
        <w:spacing w:after="120"/>
        <w:ind w:left="0" w:firstLine="0"/>
        <w:rPr>
          <w:snapToGrid w:val="0"/>
          <w:kern w:val="22"/>
          <w:szCs w:val="22"/>
          <w:lang w:val="fr-CA"/>
        </w:rPr>
      </w:pPr>
      <w:r w:rsidRPr="00B17F01">
        <w:rPr>
          <w:snapToGrid w:val="0"/>
          <w:kern w:val="22"/>
          <w:szCs w:val="22"/>
          <w:lang w:val="fr-CA"/>
        </w:rPr>
        <w:t xml:space="preserve">Comme première étape vers l’examen de l’élément mobilisation des ressources, l’Organe subsidiaire pourraient envisager avoir recours aux travaux intersessions, avant la quatorzième réunion de la Conférence des Parties, </w:t>
      </w:r>
      <w:r w:rsidR="007705EA" w:rsidRPr="00B17F01">
        <w:rPr>
          <w:snapToGrid w:val="0"/>
          <w:kern w:val="22"/>
          <w:szCs w:val="22"/>
          <w:lang w:val="fr-CA"/>
        </w:rPr>
        <w:t xml:space="preserve">tel que </w:t>
      </w:r>
      <w:r w:rsidRPr="00B17F01">
        <w:rPr>
          <w:snapToGrid w:val="0"/>
          <w:kern w:val="22"/>
          <w:szCs w:val="22"/>
          <w:lang w:val="fr-CA"/>
        </w:rPr>
        <w:t>proposé</w:t>
      </w:r>
      <w:r w:rsidR="007769CE" w:rsidRPr="00B17F01">
        <w:rPr>
          <w:snapToGrid w:val="0"/>
          <w:kern w:val="22"/>
          <w:szCs w:val="22"/>
          <w:lang w:val="fr-CA"/>
        </w:rPr>
        <w:t xml:space="preserve"> </w:t>
      </w:r>
      <w:r w:rsidR="00CF59C7" w:rsidRPr="00B17F01">
        <w:rPr>
          <w:snapToGrid w:val="0"/>
          <w:kern w:val="22"/>
          <w:szCs w:val="22"/>
          <w:lang w:val="fr-CA"/>
        </w:rPr>
        <w:t>dans la section VI</w:t>
      </w:r>
      <w:r w:rsidR="007705EA" w:rsidRPr="00B17F01">
        <w:rPr>
          <w:snapToGrid w:val="0"/>
          <w:kern w:val="22"/>
          <w:szCs w:val="22"/>
          <w:lang w:val="fr-CA"/>
        </w:rPr>
        <w:t xml:space="preserve"> du document</w:t>
      </w:r>
      <w:r w:rsidR="007769CE" w:rsidRPr="00B17F01">
        <w:rPr>
          <w:snapToGrid w:val="0"/>
          <w:kern w:val="22"/>
          <w:szCs w:val="22"/>
          <w:lang w:val="fr-CA"/>
        </w:rPr>
        <w:t xml:space="preserve"> </w:t>
      </w:r>
      <w:r w:rsidR="007705EA" w:rsidRPr="00B17F01">
        <w:rPr>
          <w:snapToGrid w:val="0"/>
          <w:kern w:val="22"/>
          <w:szCs w:val="22"/>
          <w:lang w:val="fr-CA"/>
        </w:rPr>
        <w:t xml:space="preserve">CBD/SBI/2/17 ainsi qu’au paragraphe 3 du projet de recommandation figurant dans </w:t>
      </w:r>
      <w:r w:rsidR="00CF59C7" w:rsidRPr="00B17F01">
        <w:rPr>
          <w:snapToGrid w:val="0"/>
          <w:kern w:val="22"/>
          <w:szCs w:val="22"/>
          <w:lang w:val="fr-CA"/>
        </w:rPr>
        <w:t>la section D ci-après</w:t>
      </w:r>
      <w:r w:rsidR="007705EA" w:rsidRPr="00B17F01">
        <w:rPr>
          <w:snapToGrid w:val="0"/>
          <w:kern w:val="22"/>
          <w:szCs w:val="22"/>
          <w:lang w:val="fr-CA"/>
        </w:rPr>
        <w:t xml:space="preserve">. Plus précisément, l’Organe subsidiaire </w:t>
      </w:r>
      <w:r w:rsidR="005E5A03" w:rsidRPr="00B17F01">
        <w:rPr>
          <w:snapToGrid w:val="0"/>
          <w:kern w:val="22"/>
          <w:szCs w:val="22"/>
          <w:lang w:val="fr-CA"/>
        </w:rPr>
        <w:t>pourrait souhaiter</w:t>
      </w:r>
      <w:r w:rsidR="007705EA" w:rsidRPr="00B17F01">
        <w:rPr>
          <w:snapToGrid w:val="0"/>
          <w:kern w:val="22"/>
          <w:szCs w:val="22"/>
          <w:lang w:val="fr-CA"/>
        </w:rPr>
        <w:t xml:space="preserve"> </w:t>
      </w:r>
      <w:r w:rsidR="005E5A03" w:rsidRPr="00B17F01">
        <w:rPr>
          <w:snapToGrid w:val="0"/>
          <w:kern w:val="22"/>
          <w:szCs w:val="22"/>
          <w:lang w:val="fr-CA"/>
        </w:rPr>
        <w:t xml:space="preserve">demander aux Parties et </w:t>
      </w:r>
      <w:r w:rsidR="007705EA" w:rsidRPr="00B17F01">
        <w:rPr>
          <w:snapToGrid w:val="0"/>
          <w:kern w:val="22"/>
          <w:szCs w:val="22"/>
          <w:lang w:val="fr-CA"/>
        </w:rPr>
        <w:t>inviter les autres gouvernements, ainsi que les organisations et initiatives internationa</w:t>
      </w:r>
      <w:r w:rsidR="00CF59C7" w:rsidRPr="00B17F01">
        <w:rPr>
          <w:snapToGrid w:val="0"/>
          <w:kern w:val="22"/>
          <w:szCs w:val="22"/>
          <w:lang w:val="fr-CA"/>
        </w:rPr>
        <w:t>les concernées, à examiner leur expérience</w:t>
      </w:r>
      <w:r w:rsidR="007705EA" w:rsidRPr="00B17F01">
        <w:rPr>
          <w:snapToGrid w:val="0"/>
          <w:kern w:val="22"/>
          <w:szCs w:val="22"/>
          <w:lang w:val="fr-CA"/>
        </w:rPr>
        <w:t xml:space="preserve"> de la mise en œuvre des éléments du cadre de mobilisation des ressources et de l’utilisation des orientations additionnelles, puis </w:t>
      </w:r>
      <w:r w:rsidR="005E5A03" w:rsidRPr="00B17F01">
        <w:rPr>
          <w:snapToGrid w:val="0"/>
          <w:kern w:val="22"/>
          <w:szCs w:val="22"/>
          <w:lang w:val="fr-CA"/>
        </w:rPr>
        <w:t>s’appuyant</w:t>
      </w:r>
      <w:r w:rsidR="007705EA" w:rsidRPr="00B17F01">
        <w:rPr>
          <w:snapToGrid w:val="0"/>
          <w:kern w:val="22"/>
          <w:szCs w:val="22"/>
          <w:lang w:val="fr-CA"/>
        </w:rPr>
        <w:t xml:space="preserve"> sur cet examen,</w:t>
      </w:r>
      <w:r w:rsidR="005E5A03" w:rsidRPr="00B17F01">
        <w:rPr>
          <w:snapToGrid w:val="0"/>
          <w:kern w:val="22"/>
          <w:szCs w:val="22"/>
          <w:lang w:val="fr-CA"/>
        </w:rPr>
        <w:t xml:space="preserve"> à </w:t>
      </w:r>
      <w:r w:rsidR="007705EA" w:rsidRPr="00B17F01">
        <w:rPr>
          <w:snapToGrid w:val="0"/>
          <w:kern w:val="22"/>
          <w:szCs w:val="22"/>
          <w:lang w:val="fr-CA"/>
        </w:rPr>
        <w:t xml:space="preserve">présenter des points de vue sur </w:t>
      </w:r>
      <w:r w:rsidR="005E5A03" w:rsidRPr="00B17F01">
        <w:rPr>
          <w:snapToGrid w:val="0"/>
          <w:kern w:val="22"/>
          <w:szCs w:val="22"/>
          <w:lang w:val="fr-CA"/>
        </w:rPr>
        <w:t>la portée et le contenu possibles de l’élément mobilisation des ressources du cadre de l’après-2020 pour la biodiversité à la Secrétaire exécutive.</w:t>
      </w:r>
      <w:r w:rsidR="007705EA" w:rsidRPr="00B17F01">
        <w:rPr>
          <w:snapToGrid w:val="0"/>
          <w:kern w:val="22"/>
          <w:szCs w:val="22"/>
          <w:lang w:val="fr-CA"/>
        </w:rPr>
        <w:t xml:space="preserve"> </w:t>
      </w:r>
      <w:r w:rsidR="005E5A03" w:rsidRPr="00B17F01">
        <w:rPr>
          <w:snapToGrid w:val="0"/>
          <w:kern w:val="22"/>
          <w:szCs w:val="22"/>
          <w:lang w:val="fr-CA"/>
        </w:rPr>
        <w:t xml:space="preserve">Les points de vue présentés </w:t>
      </w:r>
      <w:r w:rsidR="00C64A1F" w:rsidRPr="00B17F01">
        <w:rPr>
          <w:snapToGrid w:val="0"/>
          <w:kern w:val="22"/>
          <w:szCs w:val="22"/>
          <w:lang w:val="fr-CA"/>
        </w:rPr>
        <w:t>feraient partie de</w:t>
      </w:r>
      <w:r w:rsidR="005E5A03" w:rsidRPr="00B17F01">
        <w:rPr>
          <w:snapToGrid w:val="0"/>
          <w:kern w:val="22"/>
          <w:szCs w:val="22"/>
          <w:lang w:val="fr-CA"/>
        </w:rPr>
        <w:t xml:space="preserve"> la collection</w:t>
      </w:r>
      <w:r w:rsidR="00C64A1F" w:rsidRPr="00B17F01">
        <w:rPr>
          <w:snapToGrid w:val="0"/>
          <w:kern w:val="22"/>
          <w:szCs w:val="22"/>
          <w:lang w:val="fr-CA"/>
        </w:rPr>
        <w:t xml:space="preserve"> et d</w:t>
      </w:r>
      <w:r w:rsidR="00CF59C7" w:rsidRPr="00B17F01">
        <w:rPr>
          <w:snapToGrid w:val="0"/>
          <w:kern w:val="22"/>
          <w:szCs w:val="22"/>
          <w:lang w:val="fr-CA"/>
        </w:rPr>
        <w:t>e la synthèse non contraignante</w:t>
      </w:r>
      <w:r w:rsidR="00C64A1F" w:rsidRPr="00B17F01">
        <w:rPr>
          <w:snapToGrid w:val="0"/>
          <w:kern w:val="22"/>
          <w:szCs w:val="22"/>
          <w:lang w:val="fr-CA"/>
        </w:rPr>
        <w:t xml:space="preserve"> à établir par la Secrétaire exécutive, </w:t>
      </w:r>
      <w:r w:rsidR="003E71FA" w:rsidRPr="00B17F01">
        <w:rPr>
          <w:snapToGrid w:val="0"/>
          <w:kern w:val="22"/>
          <w:szCs w:val="22"/>
          <w:lang w:val="fr-CA"/>
        </w:rPr>
        <w:t>comme prévu</w:t>
      </w:r>
      <w:r w:rsidR="00C64A1F" w:rsidRPr="00B17F01">
        <w:rPr>
          <w:snapToGrid w:val="0"/>
          <w:kern w:val="22"/>
          <w:szCs w:val="22"/>
          <w:lang w:val="fr-CA"/>
        </w:rPr>
        <w:t xml:space="preserve"> au paragraphe 3 du projet de recommandation figurant dans le document CBD/SBI/2/17.</w:t>
      </w:r>
    </w:p>
    <w:p w:rsidR="00084813" w:rsidRPr="00B17F01" w:rsidRDefault="00491CB6" w:rsidP="00084813">
      <w:pPr>
        <w:pStyle w:val="Heading2"/>
        <w:rPr>
          <w:snapToGrid w:val="0"/>
          <w:kern w:val="22"/>
          <w:lang w:val="fr-CA"/>
        </w:rPr>
      </w:pPr>
      <w:r w:rsidRPr="00B17F01">
        <w:rPr>
          <w:snapToGrid w:val="0"/>
          <w:kern w:val="22"/>
          <w:lang w:val="fr-CA"/>
        </w:rPr>
        <w:t>D.</w:t>
      </w:r>
      <w:r w:rsidRPr="00B17F01">
        <w:rPr>
          <w:snapToGrid w:val="0"/>
          <w:kern w:val="22"/>
          <w:lang w:val="fr-CA"/>
        </w:rPr>
        <w:tab/>
      </w:r>
      <w:r w:rsidR="003E71FA" w:rsidRPr="00B17F01">
        <w:rPr>
          <w:snapToGrid w:val="0"/>
          <w:kern w:val="22"/>
          <w:lang w:val="fr-CA"/>
        </w:rPr>
        <w:t xml:space="preserve">Éléments d’un projet </w:t>
      </w:r>
      <w:r w:rsidR="00CF59C7" w:rsidRPr="00B17F01">
        <w:rPr>
          <w:snapToGrid w:val="0"/>
          <w:kern w:val="22"/>
          <w:lang w:val="fr-CA"/>
        </w:rPr>
        <w:t>de recommandation</w:t>
      </w:r>
    </w:p>
    <w:p w:rsidR="00084813" w:rsidRPr="00B17F01" w:rsidRDefault="003E71FA" w:rsidP="00646D8E">
      <w:pPr>
        <w:numPr>
          <w:ilvl w:val="0"/>
          <w:numId w:val="19"/>
        </w:numPr>
        <w:spacing w:after="120"/>
        <w:ind w:left="0" w:firstLine="0"/>
        <w:rPr>
          <w:snapToGrid w:val="0"/>
          <w:kern w:val="22"/>
          <w:szCs w:val="22"/>
          <w:lang w:val="fr-CA"/>
        </w:rPr>
      </w:pPr>
      <w:r w:rsidRPr="00B17F01">
        <w:rPr>
          <w:snapToGrid w:val="0"/>
          <w:kern w:val="22"/>
          <w:szCs w:val="22"/>
          <w:lang w:val="fr-CA"/>
        </w:rPr>
        <w:t>À la lumière des considérations susmentionnées, l’Organe subsidiaire chargé de l’application, à sa deuxième réunion, pourrait souhaiter faire une recommandati</w:t>
      </w:r>
      <w:r w:rsidR="00646D8E" w:rsidRPr="00B17F01">
        <w:rPr>
          <w:snapToGrid w:val="0"/>
          <w:kern w:val="22"/>
          <w:szCs w:val="22"/>
          <w:lang w:val="fr-CA"/>
        </w:rPr>
        <w:t>on s’alignant sur ce qui suit.</w:t>
      </w:r>
    </w:p>
    <w:p w:rsidR="00084813" w:rsidRPr="00B17F01" w:rsidRDefault="006E3530" w:rsidP="00646D8E">
      <w:pPr>
        <w:spacing w:after="120"/>
        <w:ind w:firstLine="709"/>
        <w:rPr>
          <w:i/>
          <w:snapToGrid w:val="0"/>
          <w:kern w:val="22"/>
          <w:szCs w:val="22"/>
          <w:lang w:val="fr-CA"/>
        </w:rPr>
      </w:pPr>
      <w:r w:rsidRPr="00B17F01">
        <w:rPr>
          <w:i/>
          <w:snapToGrid w:val="0"/>
          <w:kern w:val="22"/>
          <w:szCs w:val="22"/>
          <w:lang w:val="fr-CA"/>
        </w:rPr>
        <w:t>L’Organe subs</w:t>
      </w:r>
      <w:r w:rsidR="00646D8E" w:rsidRPr="00B17F01">
        <w:rPr>
          <w:i/>
          <w:snapToGrid w:val="0"/>
          <w:kern w:val="22"/>
          <w:szCs w:val="22"/>
          <w:lang w:val="fr-CA"/>
        </w:rPr>
        <w:t>idiaire chargé de l’application</w:t>
      </w:r>
    </w:p>
    <w:p w:rsidR="00084813" w:rsidRPr="00B17F01" w:rsidRDefault="006E3530" w:rsidP="00683932">
      <w:pPr>
        <w:spacing w:after="120"/>
        <w:ind w:firstLine="709"/>
        <w:rPr>
          <w:snapToGrid w:val="0"/>
          <w:kern w:val="22"/>
          <w:szCs w:val="22"/>
          <w:lang w:val="fr-CA"/>
        </w:rPr>
      </w:pPr>
      <w:r w:rsidRPr="00B17F01">
        <w:rPr>
          <w:i/>
          <w:snapToGrid w:val="0"/>
          <w:kern w:val="22"/>
          <w:szCs w:val="22"/>
          <w:lang w:val="fr-CA"/>
        </w:rPr>
        <w:t xml:space="preserve">Rappelant </w:t>
      </w:r>
      <w:r w:rsidRPr="00B17F01">
        <w:rPr>
          <w:iCs/>
          <w:snapToGrid w:val="0"/>
          <w:kern w:val="22"/>
          <w:szCs w:val="22"/>
          <w:lang w:val="fr-CA"/>
        </w:rPr>
        <w:t xml:space="preserve">la décision </w:t>
      </w:r>
      <w:hyperlink r:id="rId19" w:history="1">
        <w:r w:rsidR="00683932">
          <w:rPr>
            <w:rStyle w:val="Hyperlink"/>
            <w:kern w:val="22"/>
            <w:sz w:val="22"/>
            <w:szCs w:val="22"/>
            <w:lang w:val="fr-CA"/>
          </w:rPr>
          <w:t>XII/3</w:t>
        </w:r>
      </w:hyperlink>
      <w:r w:rsidRPr="00B17F01">
        <w:rPr>
          <w:lang w:val="fr-CA"/>
        </w:rPr>
        <w:t>, en particulier les objectifs dont il est question aux paragraphes 1 a) à e) et 2,</w:t>
      </w:r>
    </w:p>
    <w:p w:rsidR="00084813" w:rsidRPr="00B17F01" w:rsidRDefault="006E3530" w:rsidP="00646D8E">
      <w:pPr>
        <w:spacing w:after="120"/>
        <w:ind w:firstLine="709"/>
        <w:rPr>
          <w:snapToGrid w:val="0"/>
          <w:kern w:val="22"/>
          <w:szCs w:val="22"/>
          <w:lang w:val="fr-CA"/>
        </w:rPr>
      </w:pPr>
      <w:r w:rsidRPr="00B17F01">
        <w:rPr>
          <w:i/>
          <w:snapToGrid w:val="0"/>
          <w:kern w:val="22"/>
          <w:szCs w:val="22"/>
          <w:lang w:val="fr-CA"/>
        </w:rPr>
        <w:t xml:space="preserve">Soulignant </w:t>
      </w:r>
      <w:r w:rsidRPr="00B17F01">
        <w:rPr>
          <w:iCs/>
          <w:snapToGrid w:val="0"/>
          <w:kern w:val="22"/>
          <w:szCs w:val="22"/>
          <w:lang w:val="fr-CA"/>
        </w:rPr>
        <w:t xml:space="preserve">la nécessité de </w:t>
      </w:r>
      <w:r w:rsidR="003F3E8E" w:rsidRPr="00B17F01">
        <w:rPr>
          <w:iCs/>
          <w:snapToGrid w:val="0"/>
          <w:kern w:val="22"/>
          <w:szCs w:val="22"/>
          <w:lang w:val="fr-CA"/>
        </w:rPr>
        <w:t xml:space="preserve">poursuivre les efforts </w:t>
      </w:r>
      <w:r w:rsidR="00646D8E" w:rsidRPr="00B17F01">
        <w:rPr>
          <w:iCs/>
          <w:snapToGrid w:val="0"/>
          <w:kern w:val="22"/>
          <w:szCs w:val="22"/>
          <w:lang w:val="fr-CA"/>
        </w:rPr>
        <w:t>en vue de</w:t>
      </w:r>
      <w:r w:rsidR="003F3E8E" w:rsidRPr="00B17F01">
        <w:rPr>
          <w:iCs/>
          <w:snapToGrid w:val="0"/>
          <w:kern w:val="22"/>
          <w:szCs w:val="22"/>
          <w:lang w:val="fr-CA"/>
        </w:rPr>
        <w:t xml:space="preserve"> la mobilisation et</w:t>
      </w:r>
      <w:r w:rsidR="00646D8E" w:rsidRPr="00B17F01">
        <w:rPr>
          <w:iCs/>
          <w:snapToGrid w:val="0"/>
          <w:kern w:val="22"/>
          <w:szCs w:val="22"/>
          <w:lang w:val="fr-CA"/>
        </w:rPr>
        <w:t xml:space="preserve"> de</w:t>
      </w:r>
      <w:r w:rsidR="003F3E8E" w:rsidRPr="00B17F01">
        <w:rPr>
          <w:iCs/>
          <w:snapToGrid w:val="0"/>
          <w:kern w:val="22"/>
          <w:szCs w:val="22"/>
          <w:lang w:val="fr-CA"/>
        </w:rPr>
        <w:t xml:space="preserve"> l’</w:t>
      </w:r>
      <w:r w:rsidRPr="00B17F01">
        <w:rPr>
          <w:iCs/>
          <w:snapToGrid w:val="0"/>
          <w:kern w:val="22"/>
          <w:szCs w:val="22"/>
          <w:lang w:val="fr-CA"/>
        </w:rPr>
        <w:t>utilisation efficaces des ressources</w:t>
      </w:r>
      <w:r w:rsidR="003F3E8E" w:rsidRPr="00B17F01">
        <w:rPr>
          <w:iCs/>
          <w:snapToGrid w:val="0"/>
          <w:kern w:val="22"/>
          <w:szCs w:val="22"/>
          <w:lang w:val="fr-CA"/>
        </w:rPr>
        <w:t>, quelle que soit leur origine,</w:t>
      </w:r>
      <w:r w:rsidRPr="00B17F01">
        <w:rPr>
          <w:iCs/>
          <w:snapToGrid w:val="0"/>
          <w:kern w:val="22"/>
          <w:szCs w:val="22"/>
          <w:lang w:val="fr-CA"/>
        </w:rPr>
        <w:t xml:space="preserve"> </w:t>
      </w:r>
      <w:r w:rsidR="003F3E8E" w:rsidRPr="00B17F01">
        <w:rPr>
          <w:iCs/>
          <w:snapToGrid w:val="0"/>
          <w:kern w:val="22"/>
          <w:szCs w:val="22"/>
          <w:lang w:val="fr-CA"/>
        </w:rPr>
        <w:t>en faveur de la diversité biologique.</w:t>
      </w:r>
    </w:p>
    <w:p w:rsidR="00084813" w:rsidRPr="00B17F01" w:rsidRDefault="003F3E8E" w:rsidP="00646D8E">
      <w:pPr>
        <w:spacing w:after="120"/>
        <w:ind w:firstLine="709"/>
        <w:rPr>
          <w:snapToGrid w:val="0"/>
          <w:kern w:val="22"/>
          <w:szCs w:val="22"/>
          <w:lang w:val="fr-CA"/>
        </w:rPr>
      </w:pPr>
      <w:r w:rsidRPr="00B17F01">
        <w:rPr>
          <w:i/>
          <w:snapToGrid w:val="0"/>
          <w:kern w:val="22"/>
          <w:szCs w:val="22"/>
          <w:lang w:val="fr-CA"/>
        </w:rPr>
        <w:t xml:space="preserve">Prenant note </w:t>
      </w:r>
      <w:r w:rsidRPr="00B17F01">
        <w:rPr>
          <w:iCs/>
          <w:snapToGrid w:val="0"/>
          <w:kern w:val="22"/>
          <w:szCs w:val="22"/>
          <w:lang w:val="fr-CA"/>
        </w:rPr>
        <w:t>du nombre limité de cadres de présentation de rapports financiers, nouveaux ou actualisés,</w:t>
      </w:r>
      <w:r w:rsidR="00DE2E4C" w:rsidRPr="00B17F01">
        <w:rPr>
          <w:iCs/>
          <w:snapToGrid w:val="0"/>
          <w:kern w:val="22"/>
          <w:szCs w:val="22"/>
          <w:lang w:val="fr-CA"/>
        </w:rPr>
        <w:t xml:space="preserve"> reçus à temps pour être examinés par l’Organe subsidiaire chargé de l’application à sa deuxième réunion,</w:t>
      </w:r>
    </w:p>
    <w:p w:rsidR="00084813" w:rsidRPr="00B17F01" w:rsidRDefault="00DE2E4C" w:rsidP="00646D8E">
      <w:pPr>
        <w:spacing w:after="120"/>
        <w:ind w:firstLine="709"/>
        <w:rPr>
          <w:snapToGrid w:val="0"/>
          <w:kern w:val="22"/>
          <w:szCs w:val="22"/>
          <w:lang w:val="fr-CA"/>
        </w:rPr>
      </w:pPr>
      <w:r w:rsidRPr="00B17F01">
        <w:rPr>
          <w:i/>
          <w:snapToGrid w:val="0"/>
          <w:kern w:val="22"/>
          <w:szCs w:val="22"/>
          <w:lang w:val="fr-CA"/>
        </w:rPr>
        <w:t xml:space="preserve">Conscient </w:t>
      </w:r>
      <w:r w:rsidRPr="00B17F01">
        <w:rPr>
          <w:iCs/>
          <w:snapToGrid w:val="0"/>
          <w:kern w:val="22"/>
          <w:szCs w:val="22"/>
          <w:lang w:val="fr-CA"/>
        </w:rPr>
        <w:t>des difficultés persistantes</w:t>
      </w:r>
      <w:r w:rsidR="00787648" w:rsidRPr="00B17F01">
        <w:rPr>
          <w:iCs/>
          <w:snapToGrid w:val="0"/>
          <w:kern w:val="22"/>
          <w:szCs w:val="22"/>
          <w:lang w:val="fr-CA"/>
        </w:rPr>
        <w:t xml:space="preserve"> </w:t>
      </w:r>
      <w:r w:rsidRPr="00B17F01">
        <w:rPr>
          <w:iCs/>
          <w:snapToGrid w:val="0"/>
          <w:kern w:val="22"/>
          <w:szCs w:val="22"/>
          <w:lang w:val="fr-CA"/>
        </w:rPr>
        <w:t xml:space="preserve">auxquelles font face de nombreuses Parties dans l’établissement de leurs rapports financiers, </w:t>
      </w:r>
      <w:r w:rsidR="00787648" w:rsidRPr="00B17F01">
        <w:rPr>
          <w:iCs/>
          <w:snapToGrid w:val="0"/>
          <w:kern w:val="22"/>
          <w:szCs w:val="22"/>
          <w:lang w:val="fr-CA"/>
        </w:rPr>
        <w:t>en particulier pour identifier leurs besoins, lacunes et priorités en matière de financement, et pour élaborer leurs plans de financement nationaux</w:t>
      </w:r>
      <w:r w:rsidR="0060263B" w:rsidRPr="00B17F01">
        <w:rPr>
          <w:iCs/>
          <w:snapToGrid w:val="0"/>
          <w:kern w:val="22"/>
          <w:szCs w:val="22"/>
          <w:lang w:val="fr-CA"/>
        </w:rPr>
        <w:t xml:space="preserve"> puis en faire rapport,</w:t>
      </w:r>
    </w:p>
    <w:p w:rsidR="00084813" w:rsidRPr="00B17F01" w:rsidRDefault="0060263B" w:rsidP="00646D8E">
      <w:pPr>
        <w:spacing w:after="120"/>
        <w:ind w:firstLine="709"/>
        <w:rPr>
          <w:snapToGrid w:val="0"/>
          <w:kern w:val="22"/>
          <w:szCs w:val="22"/>
          <w:lang w:val="fr-CA"/>
        </w:rPr>
      </w:pPr>
      <w:r w:rsidRPr="00B17F01">
        <w:rPr>
          <w:i/>
          <w:snapToGrid w:val="0"/>
          <w:kern w:val="22"/>
          <w:szCs w:val="22"/>
          <w:lang w:val="fr-CA"/>
        </w:rPr>
        <w:t xml:space="preserve">Rappelant </w:t>
      </w:r>
      <w:r w:rsidRPr="00B17F01">
        <w:rPr>
          <w:iCs/>
          <w:snapToGrid w:val="0"/>
          <w:kern w:val="22"/>
          <w:szCs w:val="22"/>
          <w:lang w:val="fr-CA"/>
        </w:rPr>
        <w:t>l’article 20 de la Convention,</w:t>
      </w:r>
    </w:p>
    <w:p w:rsidR="00084813" w:rsidRPr="00B17F01" w:rsidRDefault="00422AB4" w:rsidP="00646D8E">
      <w:pPr>
        <w:spacing w:after="120"/>
        <w:ind w:firstLine="709"/>
        <w:rPr>
          <w:snapToGrid w:val="0"/>
          <w:kern w:val="22"/>
          <w:szCs w:val="22"/>
          <w:lang w:val="fr-CA"/>
        </w:rPr>
      </w:pPr>
      <w:r w:rsidRPr="00B17F01">
        <w:rPr>
          <w:i/>
          <w:snapToGrid w:val="0"/>
          <w:kern w:val="22"/>
          <w:szCs w:val="22"/>
          <w:lang w:val="fr-CA"/>
        </w:rPr>
        <w:t xml:space="preserve">Soulignant </w:t>
      </w:r>
      <w:r w:rsidRPr="00B17F01">
        <w:rPr>
          <w:iCs/>
          <w:snapToGrid w:val="0"/>
          <w:kern w:val="22"/>
          <w:szCs w:val="22"/>
          <w:lang w:val="fr-CA"/>
        </w:rPr>
        <w:t xml:space="preserve">qu’il importe d’accroître la mobilisation de ressources financières pour </w:t>
      </w:r>
      <w:r w:rsidR="00646D8E" w:rsidRPr="00B17F01">
        <w:rPr>
          <w:iCs/>
          <w:snapToGrid w:val="0"/>
          <w:kern w:val="22"/>
          <w:szCs w:val="22"/>
          <w:lang w:val="fr-CA"/>
        </w:rPr>
        <w:t>la mise en œuvre efficace,</w:t>
      </w:r>
      <w:r w:rsidRPr="00B17F01">
        <w:rPr>
          <w:iCs/>
          <w:snapToGrid w:val="0"/>
          <w:kern w:val="22"/>
          <w:szCs w:val="22"/>
          <w:lang w:val="fr-CA"/>
        </w:rPr>
        <w:t xml:space="preserve"> </w:t>
      </w:r>
      <w:r w:rsidR="0049375B" w:rsidRPr="00B17F01">
        <w:rPr>
          <w:iCs/>
          <w:snapToGrid w:val="0"/>
          <w:kern w:val="22"/>
          <w:szCs w:val="22"/>
          <w:lang w:val="fr-CA"/>
        </w:rPr>
        <w:t>au cours des</w:t>
      </w:r>
      <w:r w:rsidR="00646D8E" w:rsidRPr="00B17F01">
        <w:rPr>
          <w:iCs/>
          <w:snapToGrid w:val="0"/>
          <w:kern w:val="22"/>
          <w:szCs w:val="22"/>
          <w:lang w:val="fr-CA"/>
        </w:rPr>
        <w:t xml:space="preserve"> années restantes, </w:t>
      </w:r>
      <w:r w:rsidR="0079327E" w:rsidRPr="00B17F01">
        <w:rPr>
          <w:iCs/>
          <w:snapToGrid w:val="0"/>
          <w:kern w:val="22"/>
          <w:szCs w:val="22"/>
          <w:lang w:val="fr-CA"/>
        </w:rPr>
        <w:t>du Plan stratégique 2011-2020 pour la diversité biologique et du cadre mondial de l’après-2020 pour la biodiversité,</w:t>
      </w:r>
    </w:p>
    <w:p w:rsidR="00084813" w:rsidRPr="00B17F01" w:rsidRDefault="00646D8E" w:rsidP="00084813">
      <w:pPr>
        <w:spacing w:after="120"/>
        <w:jc w:val="center"/>
        <w:rPr>
          <w:b/>
          <w:snapToGrid w:val="0"/>
          <w:kern w:val="22"/>
          <w:szCs w:val="22"/>
          <w:lang w:val="fr-CA"/>
        </w:rPr>
      </w:pPr>
      <w:r w:rsidRPr="00B17F01">
        <w:rPr>
          <w:b/>
          <w:snapToGrid w:val="0"/>
          <w:kern w:val="22"/>
          <w:szCs w:val="22"/>
          <w:lang w:val="fr-CA"/>
        </w:rPr>
        <w:t xml:space="preserve">A. </w:t>
      </w:r>
      <w:r w:rsidR="00422AB4" w:rsidRPr="00B17F01">
        <w:rPr>
          <w:b/>
          <w:snapToGrid w:val="0"/>
          <w:kern w:val="22"/>
          <w:szCs w:val="22"/>
          <w:lang w:val="fr-CA"/>
        </w:rPr>
        <w:t xml:space="preserve">Rapports </w:t>
      </w:r>
      <w:r w:rsidRPr="00B17F01">
        <w:rPr>
          <w:b/>
          <w:snapToGrid w:val="0"/>
          <w:kern w:val="22"/>
          <w:szCs w:val="22"/>
          <w:lang w:val="fr-CA"/>
        </w:rPr>
        <w:t>financiers</w:t>
      </w:r>
    </w:p>
    <w:p w:rsidR="00084813" w:rsidRPr="00B17F01" w:rsidRDefault="00084813" w:rsidP="00421E2F">
      <w:pPr>
        <w:spacing w:after="120"/>
        <w:ind w:firstLine="709"/>
        <w:rPr>
          <w:snapToGrid w:val="0"/>
          <w:kern w:val="22"/>
          <w:szCs w:val="22"/>
          <w:lang w:val="fr-CA"/>
        </w:rPr>
      </w:pPr>
      <w:r w:rsidRPr="00B17F01">
        <w:rPr>
          <w:snapToGrid w:val="0"/>
          <w:kern w:val="22"/>
          <w:szCs w:val="22"/>
          <w:lang w:val="fr-CA"/>
        </w:rPr>
        <w:lastRenderedPageBreak/>
        <w:t>1.</w:t>
      </w:r>
      <w:r w:rsidRPr="00B17F01">
        <w:rPr>
          <w:snapToGrid w:val="0"/>
          <w:kern w:val="22"/>
          <w:szCs w:val="22"/>
          <w:lang w:val="fr-CA"/>
        </w:rPr>
        <w:tab/>
      </w:r>
      <w:r w:rsidR="0079327E" w:rsidRPr="00B17F01">
        <w:rPr>
          <w:i/>
          <w:iCs/>
          <w:snapToGrid w:val="0"/>
          <w:kern w:val="22"/>
          <w:szCs w:val="22"/>
          <w:lang w:val="fr-CA"/>
        </w:rPr>
        <w:t>Prend note avec satisfaction</w:t>
      </w:r>
      <w:r w:rsidR="0079327E" w:rsidRPr="00B17F01">
        <w:rPr>
          <w:snapToGrid w:val="0"/>
          <w:kern w:val="22"/>
          <w:szCs w:val="22"/>
          <w:lang w:val="fr-CA"/>
        </w:rPr>
        <w:t xml:space="preserve"> </w:t>
      </w:r>
      <w:r w:rsidR="0049375B" w:rsidRPr="00B17F01">
        <w:rPr>
          <w:snapToGrid w:val="0"/>
          <w:kern w:val="22"/>
          <w:szCs w:val="22"/>
          <w:lang w:val="fr-CA"/>
        </w:rPr>
        <w:t>des informations présentées par les Parties par le biais du cadre de présentation des rapports financiers</w:t>
      </w:r>
      <w:r w:rsidR="00421E2F" w:rsidRPr="00B17F01">
        <w:rPr>
          <w:snapToGrid w:val="0"/>
          <w:kern w:val="22"/>
          <w:szCs w:val="22"/>
          <w:lang w:val="fr-CA"/>
        </w:rPr>
        <w:t>;</w:t>
      </w:r>
    </w:p>
    <w:p w:rsidR="00084813" w:rsidRPr="00B17F01" w:rsidRDefault="00084813" w:rsidP="00421E2F">
      <w:pPr>
        <w:spacing w:after="120"/>
        <w:ind w:firstLine="709"/>
        <w:rPr>
          <w:snapToGrid w:val="0"/>
          <w:kern w:val="22"/>
          <w:szCs w:val="22"/>
          <w:lang w:val="fr-CA"/>
        </w:rPr>
      </w:pPr>
      <w:r w:rsidRPr="00B17F01">
        <w:rPr>
          <w:snapToGrid w:val="0"/>
          <w:kern w:val="22"/>
          <w:szCs w:val="22"/>
          <w:lang w:val="fr-CA"/>
        </w:rPr>
        <w:t>2.</w:t>
      </w:r>
      <w:r w:rsidRPr="00B17F01">
        <w:rPr>
          <w:snapToGrid w:val="0"/>
          <w:kern w:val="22"/>
          <w:szCs w:val="22"/>
          <w:lang w:val="fr-CA"/>
        </w:rPr>
        <w:tab/>
      </w:r>
      <w:r w:rsidR="0049375B" w:rsidRPr="00B17F01">
        <w:rPr>
          <w:i/>
          <w:iCs/>
          <w:snapToGrid w:val="0"/>
          <w:kern w:val="22"/>
          <w:szCs w:val="22"/>
          <w:lang w:val="fr-CA"/>
        </w:rPr>
        <w:t>Prend note</w:t>
      </w:r>
      <w:r w:rsidR="0049375B" w:rsidRPr="00B17F01">
        <w:rPr>
          <w:snapToGrid w:val="0"/>
          <w:kern w:val="22"/>
          <w:szCs w:val="22"/>
          <w:lang w:val="fr-CA"/>
        </w:rPr>
        <w:t xml:space="preserve"> </w:t>
      </w:r>
      <w:r w:rsidR="0049375B" w:rsidRPr="00B17F01">
        <w:rPr>
          <w:snapToGrid w:val="0"/>
          <w:kern w:val="22"/>
          <w:szCs w:val="22"/>
          <w:lang w:val="fr-CA" w:bidi="fr-FR"/>
        </w:rPr>
        <w:t xml:space="preserve">du bilan et de l’analyse actualisée des informations présentés par les Parties </w:t>
      </w:r>
      <w:r w:rsidR="0049375B" w:rsidRPr="00B17F01">
        <w:rPr>
          <w:snapToGrid w:val="0"/>
          <w:kern w:val="22"/>
          <w:szCs w:val="22"/>
          <w:lang w:val="fr-CA"/>
        </w:rPr>
        <w:t>au moyen du cadre de présentation des rapports financiers, en particulier les progrès dans la réalisation des objectifs adoptés dans la décision XII/3</w:t>
      </w:r>
      <w:r w:rsidR="00421E2F" w:rsidRPr="00B17F01">
        <w:rPr>
          <w:snapToGrid w:val="0"/>
          <w:kern w:val="22"/>
          <w:szCs w:val="22"/>
          <w:lang w:val="fr-CA"/>
        </w:rPr>
        <w:t>;</w:t>
      </w:r>
    </w:p>
    <w:p w:rsidR="00084813" w:rsidRPr="00B17F01" w:rsidRDefault="00084813" w:rsidP="00421E2F">
      <w:pPr>
        <w:spacing w:after="120"/>
        <w:ind w:firstLine="709"/>
        <w:rPr>
          <w:snapToGrid w:val="0"/>
          <w:kern w:val="22"/>
          <w:szCs w:val="22"/>
          <w:lang w:val="fr-CA"/>
        </w:rPr>
      </w:pPr>
      <w:r w:rsidRPr="00B17F01">
        <w:rPr>
          <w:snapToGrid w:val="0"/>
          <w:kern w:val="22"/>
          <w:szCs w:val="22"/>
          <w:lang w:val="fr-CA"/>
        </w:rPr>
        <w:t>3.</w:t>
      </w:r>
      <w:r w:rsidRPr="00B17F01">
        <w:rPr>
          <w:snapToGrid w:val="0"/>
          <w:kern w:val="22"/>
          <w:szCs w:val="22"/>
          <w:lang w:val="fr-CA"/>
        </w:rPr>
        <w:tab/>
      </w:r>
      <w:r w:rsidR="00327703" w:rsidRPr="00B17F01">
        <w:rPr>
          <w:i/>
          <w:iCs/>
          <w:snapToGrid w:val="0"/>
          <w:kern w:val="22"/>
          <w:szCs w:val="22"/>
          <w:lang w:val="fr-CA"/>
        </w:rPr>
        <w:t>Exhorte</w:t>
      </w:r>
      <w:r w:rsidR="00327703" w:rsidRPr="00B17F01">
        <w:rPr>
          <w:snapToGrid w:val="0"/>
          <w:kern w:val="22"/>
          <w:szCs w:val="22"/>
          <w:lang w:val="fr-CA"/>
        </w:rPr>
        <w:t xml:space="preserve"> les</w:t>
      </w:r>
      <w:r w:rsidR="004E2A90" w:rsidRPr="00B17F01">
        <w:rPr>
          <w:snapToGrid w:val="0"/>
          <w:kern w:val="22"/>
          <w:szCs w:val="22"/>
          <w:lang w:val="fr-CA"/>
        </w:rPr>
        <w:t xml:space="preserve"> Parties à redoubler d’</w:t>
      </w:r>
      <w:r w:rsidR="00327703" w:rsidRPr="00B17F01">
        <w:rPr>
          <w:snapToGrid w:val="0"/>
          <w:kern w:val="22"/>
          <w:szCs w:val="22"/>
          <w:lang w:val="fr-CA"/>
        </w:rPr>
        <w:t xml:space="preserve">efforts </w:t>
      </w:r>
      <w:r w:rsidR="004E2A90" w:rsidRPr="00B17F01">
        <w:rPr>
          <w:snapToGrid w:val="0"/>
          <w:kern w:val="22"/>
          <w:szCs w:val="22"/>
          <w:lang w:val="fr-CA"/>
        </w:rPr>
        <w:t>pour réaliser l</w:t>
      </w:r>
      <w:r w:rsidR="00327703" w:rsidRPr="00B17F01">
        <w:rPr>
          <w:snapToGrid w:val="0"/>
          <w:kern w:val="22"/>
          <w:szCs w:val="22"/>
          <w:lang w:val="fr-CA"/>
        </w:rPr>
        <w:t xml:space="preserve">es objectifs, </w:t>
      </w:r>
      <w:r w:rsidR="004E2A90" w:rsidRPr="00B17F01">
        <w:rPr>
          <w:snapToGrid w:val="0"/>
          <w:kern w:val="22"/>
          <w:szCs w:val="22"/>
          <w:lang w:val="fr-CA"/>
        </w:rPr>
        <w:t>notamment</w:t>
      </w:r>
      <w:r w:rsidR="00840483" w:rsidRPr="00B17F01">
        <w:rPr>
          <w:snapToGrid w:val="0"/>
          <w:kern w:val="22"/>
          <w:szCs w:val="22"/>
          <w:lang w:val="fr-CA"/>
        </w:rPr>
        <w:t xml:space="preserve"> de doubler le total des flux de ressources financières internationales</w:t>
      </w:r>
      <w:r w:rsidR="004E2A90" w:rsidRPr="00B17F01">
        <w:rPr>
          <w:snapToGrid w:val="0"/>
          <w:kern w:val="22"/>
          <w:szCs w:val="22"/>
          <w:lang w:val="fr-CA"/>
        </w:rPr>
        <w:t xml:space="preserve"> relatives à la biodiversité envoyés vers les pays en développement, en particulier les pays les moins avancés et les petits États insulaires en développement ainsi que les pays à économie en transition, et de maintenir ce niveau jusqu’en 2020, comme prévu par l’objectif 1 a), en tenant compte du fait que les objectifs</w:t>
      </w:r>
      <w:r w:rsidR="007973CD" w:rsidRPr="00B17F01">
        <w:rPr>
          <w:snapToGrid w:val="0"/>
          <w:kern w:val="22"/>
          <w:szCs w:val="22"/>
          <w:lang w:val="fr-CA"/>
        </w:rPr>
        <w:t xml:space="preserve"> </w:t>
      </w:r>
      <w:r w:rsidR="00994FB3" w:rsidRPr="00B17F01">
        <w:rPr>
          <w:snapToGrid w:val="0"/>
          <w:kern w:val="22"/>
          <w:szCs w:val="22"/>
          <w:lang w:val="fr-CA"/>
        </w:rPr>
        <w:t>sont considérés comme se renforçant</w:t>
      </w:r>
      <w:r w:rsidR="007973CD" w:rsidRPr="00B17F01">
        <w:rPr>
          <w:snapToGrid w:val="0"/>
          <w:kern w:val="22"/>
          <w:szCs w:val="22"/>
          <w:lang w:val="fr-CA"/>
        </w:rPr>
        <w:t xml:space="preserve"> mutuellement;</w:t>
      </w:r>
    </w:p>
    <w:p w:rsidR="00084813" w:rsidRPr="00B17F01" w:rsidRDefault="00084813" w:rsidP="00710F6B">
      <w:pPr>
        <w:spacing w:after="120"/>
        <w:ind w:firstLine="709"/>
        <w:rPr>
          <w:snapToGrid w:val="0"/>
          <w:kern w:val="22"/>
          <w:szCs w:val="22"/>
          <w:lang w:val="fr-CA"/>
        </w:rPr>
      </w:pPr>
      <w:r w:rsidRPr="00B17F01">
        <w:rPr>
          <w:snapToGrid w:val="0"/>
          <w:kern w:val="22"/>
          <w:szCs w:val="22"/>
          <w:lang w:val="fr-CA"/>
        </w:rPr>
        <w:t>4.</w:t>
      </w:r>
      <w:r w:rsidRPr="00B17F01">
        <w:rPr>
          <w:snapToGrid w:val="0"/>
          <w:kern w:val="22"/>
          <w:szCs w:val="22"/>
          <w:lang w:val="fr-CA"/>
        </w:rPr>
        <w:tab/>
      </w:r>
      <w:r w:rsidR="00710F6B" w:rsidRPr="00710F6B">
        <w:rPr>
          <w:i/>
          <w:iCs/>
          <w:snapToGrid w:val="0"/>
          <w:kern w:val="22"/>
          <w:szCs w:val="22"/>
          <w:lang w:val="fr-FR" w:bidi="fr-FR"/>
        </w:rPr>
        <w:t>Prie instamment</w:t>
      </w:r>
      <w:r w:rsidR="00710F6B" w:rsidRPr="00CC4651">
        <w:rPr>
          <w:snapToGrid w:val="0"/>
          <w:kern w:val="22"/>
          <w:sz w:val="24"/>
          <w:lang w:val="fr-FR" w:bidi="fr-FR"/>
        </w:rPr>
        <w:t xml:space="preserve"> </w:t>
      </w:r>
      <w:r w:rsidR="00710F6B" w:rsidRPr="00710F6B">
        <w:rPr>
          <w:lang w:val="fr-CA"/>
        </w:rPr>
        <w:t>les Parties qui ne l’ont pas encore fait de communiquer les informations de référence nécessaires et de rendre compte des progrès accomplis au regard des objectifs de mobilisation des ressources jusqu’en 2015, avant le 1er septembre 2018, en utilisant le cadre de présentation des rapports financiers, et invite les Parties à mettre à jour, selon qu’il convient, leur cadre de présentation des rapports financiers à mesure que des données confirmées</w:t>
      </w:r>
      <w:r w:rsidR="00710F6B">
        <w:rPr>
          <w:lang w:val="fr-CA"/>
        </w:rPr>
        <w:t xml:space="preserve"> et/ou définitives pour </w:t>
      </w:r>
      <w:r w:rsidR="00710F6B" w:rsidRPr="00710F6B">
        <w:rPr>
          <w:lang w:val="fr-CA"/>
        </w:rPr>
        <w:t xml:space="preserve">2015 deviennent disponibles, en vue d’étayer les données et </w:t>
      </w:r>
      <w:r w:rsidR="00710F6B" w:rsidRPr="00B17F01">
        <w:rPr>
          <w:lang w:val="fr-CA"/>
        </w:rPr>
        <w:t>de rendre possible une évaluation des progrès accomplis dans la réalisation des objectifs fixés par la Conférence des Parties à sa quatorzième réunion</w:t>
      </w:r>
      <w:r w:rsidR="00710F6B">
        <w:rPr>
          <w:i/>
          <w:iCs/>
          <w:snapToGrid w:val="0"/>
          <w:kern w:val="22"/>
          <w:szCs w:val="22"/>
          <w:lang w:val="fr-CA"/>
        </w:rPr>
        <w:t>;</w:t>
      </w:r>
    </w:p>
    <w:p w:rsidR="00084813" w:rsidRPr="00B17F01" w:rsidRDefault="00084813" w:rsidP="00421E2F">
      <w:pPr>
        <w:spacing w:after="120"/>
        <w:ind w:firstLine="709"/>
        <w:rPr>
          <w:snapToGrid w:val="0"/>
          <w:kern w:val="22"/>
          <w:szCs w:val="22"/>
          <w:lang w:val="fr-CA"/>
        </w:rPr>
      </w:pPr>
      <w:r w:rsidRPr="00B17F01">
        <w:rPr>
          <w:snapToGrid w:val="0"/>
          <w:kern w:val="22"/>
          <w:szCs w:val="22"/>
          <w:lang w:val="fr-CA"/>
        </w:rPr>
        <w:t>5.</w:t>
      </w:r>
      <w:r w:rsidRPr="00B17F01">
        <w:rPr>
          <w:snapToGrid w:val="0"/>
          <w:kern w:val="22"/>
          <w:szCs w:val="22"/>
          <w:lang w:val="fr-CA"/>
        </w:rPr>
        <w:tab/>
      </w:r>
      <w:r w:rsidR="00421E2F" w:rsidRPr="00B17F01">
        <w:rPr>
          <w:i/>
          <w:iCs/>
          <w:snapToGrid w:val="0"/>
          <w:kern w:val="22"/>
          <w:szCs w:val="22"/>
          <w:lang w:val="fr-CA"/>
        </w:rPr>
        <w:t>E</w:t>
      </w:r>
      <w:r w:rsidR="00324186" w:rsidRPr="00B17F01">
        <w:rPr>
          <w:i/>
          <w:iCs/>
          <w:snapToGrid w:val="0"/>
          <w:kern w:val="22"/>
          <w:szCs w:val="22"/>
          <w:lang w:val="fr-CA"/>
        </w:rPr>
        <w:t>ncourage</w:t>
      </w:r>
      <w:r w:rsidR="00324186" w:rsidRPr="00B17F01">
        <w:rPr>
          <w:snapToGrid w:val="0"/>
          <w:kern w:val="22"/>
          <w:szCs w:val="22"/>
          <w:lang w:val="fr-CA"/>
        </w:rPr>
        <w:t xml:space="preserve"> les Parties en mesure de le faire</w:t>
      </w:r>
      <w:r w:rsidR="00F143C1" w:rsidRPr="00B17F01">
        <w:rPr>
          <w:snapToGrid w:val="0"/>
          <w:kern w:val="22"/>
          <w:szCs w:val="22"/>
          <w:lang w:val="fr-CA"/>
        </w:rPr>
        <w:t xml:space="preserve"> à présenter les données relatives à 201</w:t>
      </w:r>
      <w:r w:rsidR="00421E2F" w:rsidRPr="00B17F01">
        <w:rPr>
          <w:snapToGrid w:val="0"/>
          <w:kern w:val="22"/>
          <w:szCs w:val="22"/>
          <w:lang w:val="fr-CA"/>
        </w:rPr>
        <w:t xml:space="preserve">6 et 2017 dont elles disposent, au cours du </w:t>
      </w:r>
      <w:r w:rsidR="00F143C1" w:rsidRPr="00B17F01">
        <w:rPr>
          <w:snapToGrid w:val="0"/>
          <w:kern w:val="22"/>
          <w:szCs w:val="22"/>
          <w:lang w:val="fr-CA"/>
        </w:rPr>
        <w:t>deuxième cycle d’établissement de rapports</w:t>
      </w:r>
      <w:r w:rsidR="00421E2F" w:rsidRPr="00B17F01">
        <w:rPr>
          <w:snapToGrid w:val="0"/>
          <w:kern w:val="22"/>
          <w:szCs w:val="22"/>
          <w:lang w:val="fr-CA"/>
        </w:rPr>
        <w:t>, pour donner suite au paragraphe 8 de la décision XIII/20</w:t>
      </w:r>
      <w:r w:rsidR="00F143C1" w:rsidRPr="00B17F01">
        <w:rPr>
          <w:snapToGrid w:val="0"/>
          <w:kern w:val="22"/>
          <w:szCs w:val="22"/>
          <w:lang w:val="fr-CA"/>
        </w:rPr>
        <w:t>;</w:t>
      </w:r>
    </w:p>
    <w:p w:rsidR="00084813" w:rsidRPr="00B17F01" w:rsidRDefault="00084813" w:rsidP="00B17F01">
      <w:pPr>
        <w:spacing w:after="120"/>
        <w:ind w:firstLine="709"/>
        <w:rPr>
          <w:snapToGrid w:val="0"/>
          <w:kern w:val="22"/>
          <w:szCs w:val="22"/>
          <w:lang w:val="fr-CA"/>
        </w:rPr>
      </w:pPr>
      <w:r w:rsidRPr="00B17F01">
        <w:rPr>
          <w:snapToGrid w:val="0"/>
          <w:kern w:val="22"/>
          <w:szCs w:val="22"/>
          <w:lang w:val="fr-CA"/>
        </w:rPr>
        <w:t>6.</w:t>
      </w:r>
      <w:r w:rsidRPr="00B17F01">
        <w:rPr>
          <w:snapToGrid w:val="0"/>
          <w:kern w:val="22"/>
          <w:szCs w:val="22"/>
          <w:lang w:val="fr-CA"/>
        </w:rPr>
        <w:tab/>
      </w:r>
      <w:r w:rsidR="00B17F01" w:rsidRPr="00B17F01">
        <w:rPr>
          <w:i/>
          <w:iCs/>
          <w:snapToGrid w:val="0"/>
          <w:kern w:val="22"/>
          <w:sz w:val="24"/>
          <w:lang w:val="fr-CA" w:bidi="fr-FR"/>
        </w:rPr>
        <w:t>Prie instamment</w:t>
      </w:r>
      <w:r w:rsidR="00B17F01" w:rsidRPr="00B17F01">
        <w:rPr>
          <w:snapToGrid w:val="0"/>
          <w:kern w:val="22"/>
          <w:sz w:val="24"/>
          <w:lang w:val="fr-CA" w:bidi="fr-FR"/>
        </w:rPr>
        <w:t xml:space="preserve"> les Parties ayant achevé la révision et la mise à jour de leurs stratégies et plans d’action nationaux pour la diversité biologique d’identifier leurs besoins, lacunes et priorités en matière de financement en s’appuyant, selon qu’il convient, sur les stratégies et plans d’action nationaux révisés pour la diversité biologique et d’autres informations complémentaires, et d’élaborer leurs plans de financement nationaux pour la mise en œuvre effective des stratégies et plans d’action nationaux révisés pour la diversité biologique, à titre prioritaire;</w:t>
      </w:r>
    </w:p>
    <w:p w:rsidR="00084813" w:rsidRPr="00B17F01" w:rsidRDefault="00084813" w:rsidP="00710F6B">
      <w:pPr>
        <w:spacing w:after="120"/>
        <w:ind w:firstLine="709"/>
        <w:rPr>
          <w:snapToGrid w:val="0"/>
          <w:kern w:val="22"/>
          <w:szCs w:val="22"/>
          <w:lang w:val="fr-CA"/>
        </w:rPr>
      </w:pPr>
      <w:r w:rsidRPr="00B17F01">
        <w:rPr>
          <w:snapToGrid w:val="0"/>
          <w:kern w:val="22"/>
          <w:szCs w:val="22"/>
          <w:lang w:val="fr-CA"/>
        </w:rPr>
        <w:t>7.</w:t>
      </w:r>
      <w:r w:rsidRPr="00B17F01">
        <w:rPr>
          <w:snapToGrid w:val="0"/>
          <w:kern w:val="22"/>
          <w:szCs w:val="22"/>
          <w:lang w:val="fr-CA"/>
        </w:rPr>
        <w:tab/>
      </w:r>
      <w:r w:rsidR="00631FB7" w:rsidRPr="00B17F01">
        <w:rPr>
          <w:i/>
          <w:iCs/>
          <w:snapToGrid w:val="0"/>
          <w:kern w:val="22"/>
          <w:szCs w:val="22"/>
          <w:lang w:val="fr-CA"/>
        </w:rPr>
        <w:t>Prie</w:t>
      </w:r>
      <w:r w:rsidR="00631FB7" w:rsidRPr="00B17F01">
        <w:rPr>
          <w:snapToGrid w:val="0"/>
          <w:kern w:val="22"/>
          <w:szCs w:val="22"/>
          <w:lang w:val="fr-CA"/>
        </w:rPr>
        <w:t xml:space="preserve"> la Secrétaire exécutive de préparer une analyse actualisée des rapports financiers reçus, y compris les éléments</w:t>
      </w:r>
      <w:r w:rsidR="00A50C82" w:rsidRPr="00B17F01">
        <w:rPr>
          <w:snapToGrid w:val="0"/>
          <w:kern w:val="22"/>
          <w:szCs w:val="22"/>
          <w:lang w:val="fr-CA"/>
        </w:rPr>
        <w:t xml:space="preserve"> nécessaires pour achever le projet de décision</w:t>
      </w:r>
      <w:r w:rsidR="00710F6B">
        <w:rPr>
          <w:snapToGrid w:val="0"/>
          <w:kern w:val="22"/>
          <w:szCs w:val="22"/>
          <w:lang w:val="fr-CA"/>
        </w:rPr>
        <w:t xml:space="preserve"> figurant au paragraphe 9</w:t>
      </w:r>
      <w:r w:rsidR="00A50C82" w:rsidRPr="00B17F01">
        <w:rPr>
          <w:snapToGrid w:val="0"/>
          <w:kern w:val="22"/>
          <w:szCs w:val="22"/>
          <w:lang w:val="fr-CA"/>
        </w:rPr>
        <w:t xml:space="preserve"> ci</w:t>
      </w:r>
      <w:r w:rsidR="00A50C82" w:rsidRPr="00B17F01">
        <w:rPr>
          <w:snapToGrid w:val="0"/>
          <w:kern w:val="22"/>
          <w:szCs w:val="22"/>
          <w:lang w:val="fr-CA"/>
        </w:rPr>
        <w:noBreakHyphen/>
        <w:t>après, aux fins d’examen par la Conférence des Parties à sa quatorzième réunion;</w:t>
      </w:r>
    </w:p>
    <w:p w:rsidR="00084813" w:rsidRPr="00B17F01" w:rsidRDefault="009A4F73" w:rsidP="00710F6B">
      <w:pPr>
        <w:spacing w:after="120"/>
        <w:jc w:val="center"/>
        <w:rPr>
          <w:b/>
          <w:snapToGrid w:val="0"/>
          <w:kern w:val="22"/>
          <w:szCs w:val="22"/>
          <w:lang w:val="fr-CA"/>
        </w:rPr>
      </w:pPr>
      <w:r>
        <w:rPr>
          <w:b/>
          <w:snapToGrid w:val="0"/>
          <w:kern w:val="22"/>
          <w:szCs w:val="22"/>
          <w:lang w:val="fr-CA"/>
        </w:rPr>
        <w:t>B.</w:t>
      </w:r>
      <w:r>
        <w:rPr>
          <w:b/>
          <w:snapToGrid w:val="0"/>
          <w:kern w:val="22"/>
          <w:szCs w:val="22"/>
          <w:lang w:val="fr-CA"/>
        </w:rPr>
        <w:tab/>
      </w:r>
      <w:r w:rsidR="00A50C82" w:rsidRPr="00B17F01">
        <w:rPr>
          <w:b/>
          <w:snapToGrid w:val="0"/>
          <w:kern w:val="22"/>
          <w:szCs w:val="22"/>
          <w:lang w:val="fr-CA"/>
        </w:rPr>
        <w:t>Élément mobilisation des ressources du cadre de l’après-2020 pour la biodiversité</w:t>
      </w:r>
    </w:p>
    <w:p w:rsidR="00084813" w:rsidRPr="00B17F01" w:rsidRDefault="00084813" w:rsidP="00203BBA">
      <w:pPr>
        <w:spacing w:after="120"/>
        <w:ind w:firstLine="709"/>
        <w:rPr>
          <w:snapToGrid w:val="0"/>
          <w:kern w:val="22"/>
          <w:szCs w:val="22"/>
          <w:lang w:val="fr-CA"/>
        </w:rPr>
      </w:pPr>
      <w:r w:rsidRPr="00B17F01">
        <w:rPr>
          <w:snapToGrid w:val="0"/>
          <w:kern w:val="22"/>
          <w:szCs w:val="22"/>
          <w:lang w:val="fr-CA"/>
        </w:rPr>
        <w:t>8.</w:t>
      </w:r>
      <w:r w:rsidRPr="00B17F01">
        <w:rPr>
          <w:snapToGrid w:val="0"/>
          <w:kern w:val="22"/>
          <w:szCs w:val="22"/>
          <w:lang w:val="fr-CA"/>
        </w:rPr>
        <w:tab/>
      </w:r>
      <w:r w:rsidR="00A50C82" w:rsidRPr="00B17F01">
        <w:rPr>
          <w:i/>
          <w:iCs/>
          <w:snapToGrid w:val="0"/>
          <w:kern w:val="22"/>
          <w:szCs w:val="22"/>
          <w:lang w:val="fr-CA"/>
        </w:rPr>
        <w:t xml:space="preserve">Invite </w:t>
      </w:r>
      <w:r w:rsidR="00A50C82" w:rsidRPr="00B17F01">
        <w:rPr>
          <w:snapToGrid w:val="0"/>
          <w:kern w:val="22"/>
          <w:szCs w:val="22"/>
          <w:lang w:val="fr-CA"/>
        </w:rPr>
        <w:t>les Parties, les autres gouvernements, les parties prenantes et les organisations et initiat</w:t>
      </w:r>
      <w:r w:rsidR="00D667EF" w:rsidRPr="00B17F01">
        <w:rPr>
          <w:snapToGrid w:val="0"/>
          <w:kern w:val="22"/>
          <w:szCs w:val="22"/>
          <w:lang w:val="fr-CA"/>
        </w:rPr>
        <w:t>ives internationales concernées</w:t>
      </w:r>
      <w:r w:rsidR="00A50C82" w:rsidRPr="00B17F01">
        <w:rPr>
          <w:snapToGrid w:val="0"/>
          <w:kern w:val="22"/>
          <w:szCs w:val="22"/>
          <w:lang w:val="fr-CA"/>
        </w:rPr>
        <w:t xml:space="preserve"> à examiner leur expérience de la mise en œuvre de l’Objectif 20 d’Aichi pour la biodiversité ainsi que de la stratégie et des objectifs pour la mobilisation de ressources, et de leur utilisation des orientations pertinentes; </w:t>
      </w:r>
      <w:r w:rsidR="00D667EF" w:rsidRPr="00B17F01">
        <w:rPr>
          <w:snapToGrid w:val="0"/>
          <w:kern w:val="22"/>
          <w:szCs w:val="22"/>
          <w:lang w:val="fr-CA"/>
        </w:rPr>
        <w:t>et, s’appuyant sur cet examen, de présenter leurs points de vue sur la portée et le contenu de l’élément mobilisation des ressources du cadre de l’après-2020 pour la biodiversité, dans le cadre des travaux intersessions prévus dans le projet de décision au titre du point 16 de l’ordre du jour;</w:t>
      </w:r>
    </w:p>
    <w:p w:rsidR="00084813" w:rsidRPr="00B17F01" w:rsidRDefault="00084813" w:rsidP="00203BBA">
      <w:pPr>
        <w:spacing w:after="120"/>
        <w:ind w:firstLine="709"/>
        <w:rPr>
          <w:snapToGrid w:val="0"/>
          <w:kern w:val="22"/>
          <w:szCs w:val="22"/>
          <w:lang w:val="fr-CA"/>
        </w:rPr>
      </w:pPr>
      <w:r w:rsidRPr="00B17F01">
        <w:rPr>
          <w:snapToGrid w:val="0"/>
          <w:kern w:val="22"/>
          <w:szCs w:val="22"/>
          <w:lang w:val="fr-CA"/>
        </w:rPr>
        <w:t>9.</w:t>
      </w:r>
      <w:r w:rsidRPr="00B17F01">
        <w:rPr>
          <w:snapToGrid w:val="0"/>
          <w:kern w:val="22"/>
          <w:szCs w:val="22"/>
          <w:lang w:val="fr-CA"/>
        </w:rPr>
        <w:tab/>
      </w:r>
      <w:r w:rsidR="001F4BC4" w:rsidRPr="00B17F01">
        <w:rPr>
          <w:i/>
          <w:iCs/>
          <w:snapToGrid w:val="0"/>
          <w:kern w:val="22"/>
          <w:szCs w:val="22"/>
          <w:lang w:val="fr-CA"/>
        </w:rPr>
        <w:t xml:space="preserve">Recommande </w:t>
      </w:r>
      <w:r w:rsidR="001F4BC4" w:rsidRPr="00B17F01">
        <w:rPr>
          <w:snapToGrid w:val="0"/>
          <w:kern w:val="22"/>
          <w:szCs w:val="22"/>
          <w:lang w:val="fr-CA"/>
        </w:rPr>
        <w:t>que la Conférence des Parties adopte, à sa quatorzième réunion, une décision s’alignant sur ce qui suit :</w:t>
      </w:r>
    </w:p>
    <w:p w:rsidR="00084813" w:rsidRPr="00B17F01" w:rsidRDefault="001F4BC4" w:rsidP="004330D2">
      <w:pPr>
        <w:spacing w:after="120"/>
        <w:ind w:left="709" w:firstLine="709"/>
        <w:rPr>
          <w:i/>
          <w:snapToGrid w:val="0"/>
          <w:kern w:val="22"/>
          <w:szCs w:val="22"/>
          <w:lang w:val="fr-CA"/>
        </w:rPr>
      </w:pPr>
      <w:r w:rsidRPr="00B17F01">
        <w:rPr>
          <w:i/>
          <w:snapToGrid w:val="0"/>
          <w:kern w:val="22"/>
          <w:szCs w:val="22"/>
          <w:lang w:val="fr-CA"/>
        </w:rPr>
        <w:t>L</w:t>
      </w:r>
      <w:r w:rsidR="00203BBA">
        <w:rPr>
          <w:i/>
          <w:snapToGrid w:val="0"/>
          <w:kern w:val="22"/>
          <w:szCs w:val="22"/>
          <w:lang w:val="fr-CA"/>
        </w:rPr>
        <w:t>a Conférence des Parties,</w:t>
      </w:r>
    </w:p>
    <w:p w:rsidR="00084813" w:rsidRPr="00B17F01" w:rsidRDefault="00203BBA" w:rsidP="004330D2">
      <w:pPr>
        <w:spacing w:after="120"/>
        <w:ind w:left="709"/>
        <w:jc w:val="center"/>
        <w:rPr>
          <w:b/>
          <w:snapToGrid w:val="0"/>
          <w:kern w:val="22"/>
          <w:szCs w:val="22"/>
          <w:lang w:val="fr-CA"/>
        </w:rPr>
      </w:pPr>
      <w:r>
        <w:rPr>
          <w:b/>
          <w:snapToGrid w:val="0"/>
          <w:kern w:val="22"/>
          <w:szCs w:val="22"/>
          <w:lang w:val="fr-CA"/>
        </w:rPr>
        <w:t>A. Rapports financiers</w:t>
      </w:r>
    </w:p>
    <w:p w:rsidR="00084813" w:rsidRPr="00B17F01" w:rsidRDefault="00084813" w:rsidP="000B08CF">
      <w:pPr>
        <w:spacing w:after="120"/>
        <w:ind w:left="709" w:firstLine="709"/>
        <w:rPr>
          <w:snapToGrid w:val="0"/>
          <w:kern w:val="22"/>
          <w:szCs w:val="22"/>
          <w:lang w:val="fr-CA"/>
        </w:rPr>
      </w:pPr>
      <w:r w:rsidRPr="00B17F01">
        <w:rPr>
          <w:snapToGrid w:val="0"/>
          <w:kern w:val="22"/>
          <w:szCs w:val="22"/>
          <w:lang w:val="fr-CA"/>
        </w:rPr>
        <w:t>1.</w:t>
      </w:r>
      <w:r w:rsidRPr="00B17F01">
        <w:rPr>
          <w:snapToGrid w:val="0"/>
          <w:kern w:val="22"/>
          <w:szCs w:val="22"/>
          <w:lang w:val="fr-CA"/>
        </w:rPr>
        <w:tab/>
      </w:r>
      <w:r w:rsidR="001F4BC4" w:rsidRPr="00B17F01">
        <w:rPr>
          <w:i/>
          <w:iCs/>
          <w:snapToGrid w:val="0"/>
          <w:kern w:val="22"/>
          <w:szCs w:val="22"/>
          <w:lang w:val="fr-CA"/>
        </w:rPr>
        <w:t xml:space="preserve">Prend note avec satisfaction </w:t>
      </w:r>
      <w:r w:rsidR="001F4BC4" w:rsidRPr="00B17F01">
        <w:rPr>
          <w:snapToGrid w:val="0"/>
          <w:kern w:val="22"/>
          <w:szCs w:val="22"/>
          <w:lang w:val="fr-CA"/>
        </w:rPr>
        <w:t>des informations présentées par les Parties par le biais du cadre de présentation des rapports financiers;</w:t>
      </w:r>
    </w:p>
    <w:p w:rsidR="00084813" w:rsidRPr="00B17F01" w:rsidRDefault="00084813" w:rsidP="000B08CF">
      <w:pPr>
        <w:spacing w:after="120"/>
        <w:ind w:left="709" w:firstLine="709"/>
        <w:rPr>
          <w:snapToGrid w:val="0"/>
          <w:kern w:val="22"/>
          <w:szCs w:val="22"/>
          <w:lang w:val="fr-CA"/>
        </w:rPr>
      </w:pPr>
      <w:r w:rsidRPr="00B17F01">
        <w:rPr>
          <w:snapToGrid w:val="0"/>
          <w:kern w:val="22"/>
          <w:szCs w:val="22"/>
          <w:lang w:val="fr-CA"/>
        </w:rPr>
        <w:t>2.</w:t>
      </w:r>
      <w:r w:rsidRPr="00B17F01">
        <w:rPr>
          <w:snapToGrid w:val="0"/>
          <w:kern w:val="22"/>
          <w:szCs w:val="22"/>
          <w:lang w:val="fr-CA"/>
        </w:rPr>
        <w:tab/>
      </w:r>
      <w:r w:rsidR="001F4BC4" w:rsidRPr="00B17F01">
        <w:rPr>
          <w:i/>
          <w:iCs/>
          <w:snapToGrid w:val="0"/>
          <w:kern w:val="22"/>
          <w:szCs w:val="22"/>
          <w:lang w:val="fr-CA"/>
        </w:rPr>
        <w:t xml:space="preserve">Prend note </w:t>
      </w:r>
      <w:r w:rsidR="001F4BC4" w:rsidRPr="00B17F01">
        <w:rPr>
          <w:snapToGrid w:val="0"/>
          <w:kern w:val="22"/>
          <w:szCs w:val="22"/>
          <w:lang w:val="fr-CA"/>
        </w:rPr>
        <w:t xml:space="preserve">de l’analyse des informations fournies par les Parties par le biais du cadre de présentation des rapports financiers, en particulier les progrès accomplis dans la réalisation </w:t>
      </w:r>
      <w:r w:rsidR="001F4BC4" w:rsidRPr="00B17F01">
        <w:rPr>
          <w:snapToGrid w:val="0"/>
          <w:kern w:val="22"/>
          <w:szCs w:val="22"/>
          <w:lang w:val="fr-CA"/>
        </w:rPr>
        <w:lastRenderedPageBreak/>
        <w:t>des objectifs adoptés dans la décision XII/13, tels que figurant dans</w:t>
      </w:r>
      <w:r w:rsidR="000B08CF">
        <w:rPr>
          <w:snapToGrid w:val="0"/>
          <w:kern w:val="22"/>
          <w:szCs w:val="22"/>
          <w:lang w:val="fr-CA"/>
        </w:rPr>
        <w:t xml:space="preserve"> la note de la Secrétaire exécutive sur la mobilisation des ressources : bilan et analyse actualisée des informations fournies par le biais du cadre de présentation des rapports financiers;</w:t>
      </w:r>
      <w:r w:rsidR="000B08CF" w:rsidRPr="00A340FD">
        <w:rPr>
          <w:rStyle w:val="FootnoteReference"/>
          <w:snapToGrid w:val="0"/>
          <w:kern w:val="22"/>
          <w:szCs w:val="22"/>
          <w:lang w:val="fr-CA"/>
        </w:rPr>
        <w:t xml:space="preserve"> </w:t>
      </w:r>
      <w:r w:rsidR="000B08CF" w:rsidRPr="008E5758">
        <w:rPr>
          <w:rStyle w:val="FootnoteReference"/>
          <w:snapToGrid w:val="0"/>
          <w:kern w:val="22"/>
          <w:szCs w:val="22"/>
        </w:rPr>
        <w:footnoteReference w:id="39"/>
      </w:r>
    </w:p>
    <w:p w:rsidR="00084813" w:rsidRPr="00B17F01" w:rsidRDefault="00084813" w:rsidP="00951E54">
      <w:pPr>
        <w:spacing w:after="120"/>
        <w:ind w:left="709" w:firstLine="709"/>
        <w:rPr>
          <w:snapToGrid w:val="0"/>
          <w:kern w:val="22"/>
          <w:szCs w:val="22"/>
          <w:lang w:val="fr-CA"/>
        </w:rPr>
      </w:pPr>
      <w:r w:rsidRPr="00B17F01">
        <w:rPr>
          <w:snapToGrid w:val="0"/>
          <w:kern w:val="22"/>
          <w:szCs w:val="22"/>
          <w:lang w:val="fr-CA"/>
        </w:rPr>
        <w:t>3.</w:t>
      </w:r>
      <w:r w:rsidRPr="00B17F01">
        <w:rPr>
          <w:snapToGrid w:val="0"/>
          <w:kern w:val="22"/>
          <w:szCs w:val="22"/>
          <w:lang w:val="fr-CA"/>
        </w:rPr>
        <w:tab/>
      </w:r>
      <w:r w:rsidR="001F4BC4" w:rsidRPr="00B17F01">
        <w:rPr>
          <w:i/>
          <w:iCs/>
          <w:snapToGrid w:val="0"/>
          <w:kern w:val="22"/>
          <w:szCs w:val="22"/>
          <w:lang w:val="fr-CA"/>
        </w:rPr>
        <w:t xml:space="preserve">Réitère </w:t>
      </w:r>
      <w:r w:rsidR="001F4BC4" w:rsidRPr="00B17F01">
        <w:rPr>
          <w:snapToGrid w:val="0"/>
          <w:kern w:val="22"/>
          <w:szCs w:val="22"/>
          <w:lang w:val="fr-CA"/>
        </w:rPr>
        <w:t xml:space="preserve">son invitation aux </w:t>
      </w:r>
      <w:r w:rsidR="0017042D" w:rsidRPr="00B17F01">
        <w:rPr>
          <w:snapToGrid w:val="0"/>
          <w:kern w:val="22"/>
          <w:szCs w:val="22"/>
          <w:lang w:val="fr-CA" w:bidi="fr-FR"/>
        </w:rPr>
        <w:t>Parties à faire rapport, à l’aide du cadre de présentation des rapports financiers en ligne, sur leur future contribution aux efforts collectifs déployés pour atteindre les objectifs mondiaux de mobilisation des ressources, au regard du niveau de référence établi, en même temps que leurs sixièmes rapports nationaux, avant le 31 décembre 2018</w:t>
      </w:r>
      <w:r w:rsidR="00373D33" w:rsidRPr="00B17F01">
        <w:rPr>
          <w:snapToGrid w:val="0"/>
          <w:kern w:val="22"/>
          <w:szCs w:val="22"/>
          <w:lang w:val="fr-CA" w:bidi="fr-FR"/>
        </w:rPr>
        <w:t>;</w:t>
      </w:r>
    </w:p>
    <w:p w:rsidR="00084813" w:rsidRPr="00B17F01" w:rsidRDefault="000B08CF" w:rsidP="00641F15">
      <w:pPr>
        <w:keepNext/>
        <w:spacing w:after="120"/>
        <w:ind w:left="709"/>
        <w:jc w:val="center"/>
        <w:rPr>
          <w:b/>
          <w:snapToGrid w:val="0"/>
          <w:kern w:val="22"/>
          <w:szCs w:val="22"/>
          <w:lang w:val="fr-CA"/>
        </w:rPr>
      </w:pPr>
      <w:r>
        <w:rPr>
          <w:b/>
          <w:snapToGrid w:val="0"/>
          <w:kern w:val="22"/>
          <w:szCs w:val="22"/>
          <w:lang w:val="fr-CA"/>
        </w:rPr>
        <w:t xml:space="preserve">B. </w:t>
      </w:r>
      <w:r w:rsidR="0017042D" w:rsidRPr="00B17F01">
        <w:rPr>
          <w:b/>
          <w:snapToGrid w:val="0"/>
          <w:kern w:val="22"/>
          <w:szCs w:val="22"/>
          <w:lang w:val="fr-CA"/>
        </w:rPr>
        <w:t xml:space="preserve">Renforcement des capacités et </w:t>
      </w:r>
      <w:r w:rsidR="00641F15" w:rsidRPr="00B17F01">
        <w:rPr>
          <w:b/>
          <w:snapToGrid w:val="0"/>
          <w:kern w:val="22"/>
          <w:szCs w:val="22"/>
          <w:lang w:val="fr-CA"/>
        </w:rPr>
        <w:t>soutien</w:t>
      </w:r>
      <w:r>
        <w:rPr>
          <w:b/>
          <w:snapToGrid w:val="0"/>
          <w:kern w:val="22"/>
          <w:szCs w:val="22"/>
          <w:lang w:val="fr-CA"/>
        </w:rPr>
        <w:t xml:space="preserve"> technique</w:t>
      </w:r>
    </w:p>
    <w:p w:rsidR="00084813" w:rsidRPr="00B17F01" w:rsidRDefault="00951E54" w:rsidP="00951E54">
      <w:pPr>
        <w:spacing w:after="120"/>
        <w:ind w:left="709" w:firstLine="709"/>
        <w:rPr>
          <w:snapToGrid w:val="0"/>
          <w:kern w:val="22"/>
          <w:szCs w:val="22"/>
          <w:lang w:val="fr-CA"/>
        </w:rPr>
      </w:pPr>
      <w:r>
        <w:rPr>
          <w:snapToGrid w:val="0"/>
          <w:kern w:val="22"/>
          <w:szCs w:val="22"/>
          <w:lang w:val="fr-CA"/>
        </w:rPr>
        <w:t>4</w:t>
      </w:r>
      <w:r w:rsidR="00084813" w:rsidRPr="00B17F01">
        <w:rPr>
          <w:snapToGrid w:val="0"/>
          <w:kern w:val="22"/>
          <w:szCs w:val="22"/>
          <w:lang w:val="fr-CA"/>
        </w:rPr>
        <w:t>.</w:t>
      </w:r>
      <w:r w:rsidR="00084813" w:rsidRPr="00B17F01">
        <w:rPr>
          <w:snapToGrid w:val="0"/>
          <w:kern w:val="22"/>
          <w:szCs w:val="22"/>
          <w:lang w:val="fr-CA"/>
        </w:rPr>
        <w:tab/>
      </w:r>
      <w:r w:rsidR="00373D33" w:rsidRPr="00B17F01">
        <w:rPr>
          <w:i/>
          <w:iCs/>
          <w:snapToGrid w:val="0"/>
          <w:kern w:val="22"/>
          <w:szCs w:val="22"/>
          <w:lang w:val="fr-CA"/>
        </w:rPr>
        <w:t xml:space="preserve">Se félicite </w:t>
      </w:r>
      <w:r w:rsidR="00373D33" w:rsidRPr="00B17F01">
        <w:rPr>
          <w:snapToGrid w:val="0"/>
          <w:kern w:val="22"/>
          <w:szCs w:val="22"/>
          <w:lang w:val="fr-CA"/>
        </w:rPr>
        <w:t>des travaux des organisations et initiatives concernées, y compris l’Initiative pour le financement de la biodiversité (BIOFIN) du Programme des Nations Unies pour le développement,</w:t>
      </w:r>
      <w:r w:rsidR="00641F15" w:rsidRPr="00B17F01">
        <w:rPr>
          <w:snapToGrid w:val="0"/>
          <w:kern w:val="22"/>
          <w:szCs w:val="22"/>
          <w:lang w:val="fr-CA"/>
        </w:rPr>
        <w:t xml:space="preserve"> visant à fournir un soutien technique et un renforcement des capacités aux Parties pays en développement intéressées, en particulier les pays les moins avancés et les petits États insulaires en développement, ainsi que les pays à économie en transition, en ce qui concerne l’identification des besoins, lacunes et priorités en matière de financement, l’élaboration et la mise en œuvre de stratégies nationales de mobilisation de ressources, et l’établissement de rapports financiers, et les </w:t>
      </w:r>
      <w:r w:rsidR="00641F15" w:rsidRPr="00B17F01">
        <w:rPr>
          <w:i/>
          <w:iCs/>
          <w:snapToGrid w:val="0"/>
          <w:kern w:val="22"/>
          <w:szCs w:val="22"/>
          <w:lang w:val="fr-CA"/>
        </w:rPr>
        <w:t xml:space="preserve">invite </w:t>
      </w:r>
      <w:r w:rsidR="00641F15" w:rsidRPr="00B17F01">
        <w:rPr>
          <w:snapToGrid w:val="0"/>
          <w:kern w:val="22"/>
          <w:szCs w:val="22"/>
          <w:lang w:val="fr-CA"/>
        </w:rPr>
        <w:t>à poursuivre et à intensifier davantage ces travaux;</w:t>
      </w:r>
    </w:p>
    <w:p w:rsidR="00084813" w:rsidRPr="00B17F01" w:rsidRDefault="00951E54" w:rsidP="00951E54">
      <w:pPr>
        <w:spacing w:after="120"/>
        <w:ind w:left="709" w:firstLine="709"/>
        <w:rPr>
          <w:snapToGrid w:val="0"/>
          <w:kern w:val="22"/>
          <w:szCs w:val="22"/>
          <w:lang w:val="fr-CA"/>
        </w:rPr>
      </w:pPr>
      <w:r>
        <w:rPr>
          <w:snapToGrid w:val="0"/>
          <w:kern w:val="22"/>
          <w:szCs w:val="22"/>
          <w:lang w:val="fr-CA"/>
        </w:rPr>
        <w:t>5</w:t>
      </w:r>
      <w:r w:rsidR="00084813" w:rsidRPr="00B17F01">
        <w:rPr>
          <w:snapToGrid w:val="0"/>
          <w:kern w:val="22"/>
          <w:szCs w:val="22"/>
          <w:lang w:val="fr-CA"/>
        </w:rPr>
        <w:t>.</w:t>
      </w:r>
      <w:r w:rsidR="00084813" w:rsidRPr="00B17F01">
        <w:rPr>
          <w:snapToGrid w:val="0"/>
          <w:kern w:val="22"/>
          <w:szCs w:val="22"/>
          <w:lang w:val="fr-CA"/>
        </w:rPr>
        <w:tab/>
      </w:r>
      <w:r w:rsidR="00641F15" w:rsidRPr="00B17F01">
        <w:rPr>
          <w:i/>
          <w:iCs/>
          <w:snapToGrid w:val="0"/>
          <w:kern w:val="22"/>
          <w:szCs w:val="22"/>
          <w:lang w:val="fr-CA"/>
        </w:rPr>
        <w:t xml:space="preserve">Invite </w:t>
      </w:r>
      <w:r w:rsidR="00641F15" w:rsidRPr="00B17F01">
        <w:rPr>
          <w:snapToGrid w:val="0"/>
          <w:kern w:val="22"/>
          <w:szCs w:val="22"/>
          <w:lang w:val="fr-CA"/>
        </w:rPr>
        <w:t>les Parties, les autres gouvernements et les donateurs en mesure de le faire à fournir un appui financier à ce genre de soutien technique et de renforcement des capacités;</w:t>
      </w:r>
    </w:p>
    <w:p w:rsidR="00084813" w:rsidRPr="00B17F01" w:rsidRDefault="00951E54" w:rsidP="00951E54">
      <w:pPr>
        <w:spacing w:after="120"/>
        <w:ind w:left="709" w:firstLine="709"/>
        <w:rPr>
          <w:snapToGrid w:val="0"/>
          <w:kern w:val="22"/>
          <w:szCs w:val="22"/>
          <w:lang w:val="fr-CA"/>
        </w:rPr>
      </w:pPr>
      <w:r>
        <w:rPr>
          <w:snapToGrid w:val="0"/>
          <w:kern w:val="22"/>
          <w:szCs w:val="22"/>
          <w:lang w:val="fr-CA"/>
        </w:rPr>
        <w:t>6</w:t>
      </w:r>
      <w:r w:rsidR="00084813" w:rsidRPr="00B17F01">
        <w:rPr>
          <w:snapToGrid w:val="0"/>
          <w:kern w:val="22"/>
          <w:szCs w:val="22"/>
          <w:lang w:val="fr-CA"/>
        </w:rPr>
        <w:t>.</w:t>
      </w:r>
      <w:r w:rsidR="00084813" w:rsidRPr="00B17F01">
        <w:rPr>
          <w:snapToGrid w:val="0"/>
          <w:kern w:val="22"/>
          <w:szCs w:val="22"/>
          <w:lang w:val="fr-CA"/>
        </w:rPr>
        <w:tab/>
      </w:r>
      <w:r w:rsidR="00641F15" w:rsidRPr="00B17F01">
        <w:rPr>
          <w:i/>
          <w:iCs/>
          <w:snapToGrid w:val="0"/>
          <w:kern w:val="22"/>
          <w:szCs w:val="22"/>
          <w:lang w:val="fr-CA"/>
        </w:rPr>
        <w:t xml:space="preserve">Prend note </w:t>
      </w:r>
      <w:r w:rsidR="00641F15" w:rsidRPr="00B17F01">
        <w:rPr>
          <w:snapToGrid w:val="0"/>
          <w:kern w:val="22"/>
          <w:szCs w:val="22"/>
          <w:lang w:val="fr-CA"/>
        </w:rPr>
        <w:t>des travaux entrepris par le</w:t>
      </w:r>
      <w:r w:rsidR="0066595E" w:rsidRPr="00B17F01">
        <w:rPr>
          <w:snapToGrid w:val="0"/>
          <w:kern w:val="22"/>
          <w:szCs w:val="22"/>
          <w:lang w:val="fr-CA"/>
        </w:rPr>
        <w:t xml:space="preserve"> </w:t>
      </w:r>
      <w:r w:rsidR="00AA0443" w:rsidRPr="00B17F01">
        <w:rPr>
          <w:snapToGrid w:val="0"/>
          <w:kern w:val="22"/>
          <w:szCs w:val="22"/>
          <w:lang w:val="fr-CA"/>
        </w:rPr>
        <w:t>Comité d’aide au développement de l’Organisation de coopération et de développement économiques visant à affiner la méthodologie des marqueurs de Rio;</w:t>
      </w:r>
    </w:p>
    <w:p w:rsidR="00084813" w:rsidRPr="00B17F01" w:rsidRDefault="00D86ED8" w:rsidP="00951E54">
      <w:pPr>
        <w:spacing w:after="120"/>
        <w:ind w:left="709"/>
        <w:jc w:val="center"/>
        <w:rPr>
          <w:b/>
          <w:snapToGrid w:val="0"/>
          <w:kern w:val="22"/>
          <w:szCs w:val="22"/>
          <w:lang w:val="fr-CA"/>
        </w:rPr>
      </w:pPr>
      <w:r>
        <w:rPr>
          <w:b/>
          <w:snapToGrid w:val="0"/>
          <w:kern w:val="22"/>
          <w:szCs w:val="22"/>
          <w:lang w:val="fr-CA"/>
        </w:rPr>
        <w:t xml:space="preserve">C. </w:t>
      </w:r>
      <w:r w:rsidR="00AA0443" w:rsidRPr="00B17F01">
        <w:rPr>
          <w:b/>
          <w:snapToGrid w:val="0"/>
          <w:kern w:val="22"/>
          <w:szCs w:val="22"/>
          <w:lang w:val="fr-CA"/>
        </w:rPr>
        <w:t>Étapes à franchir pour la plein</w:t>
      </w:r>
      <w:r w:rsidR="006E56FB" w:rsidRPr="00B17F01">
        <w:rPr>
          <w:b/>
          <w:snapToGrid w:val="0"/>
          <w:kern w:val="22"/>
          <w:szCs w:val="22"/>
          <w:lang w:val="fr-CA"/>
        </w:rPr>
        <w:t>e</w:t>
      </w:r>
      <w:r w:rsidR="00AA0443" w:rsidRPr="00B17F01">
        <w:rPr>
          <w:b/>
          <w:snapToGrid w:val="0"/>
          <w:kern w:val="22"/>
          <w:szCs w:val="22"/>
          <w:lang w:val="fr-CA"/>
        </w:rPr>
        <w:t xml:space="preserve"> mise en œuvre de l’Objectif 3 d’Aichi pour la biodiversité</w:t>
      </w:r>
    </w:p>
    <w:p w:rsidR="00084813" w:rsidRPr="00B17F01" w:rsidRDefault="00951E54" w:rsidP="00951E54">
      <w:pPr>
        <w:spacing w:after="120"/>
        <w:ind w:left="709" w:firstLine="709"/>
        <w:rPr>
          <w:snapToGrid w:val="0"/>
          <w:kern w:val="22"/>
          <w:szCs w:val="22"/>
          <w:lang w:val="fr-CA"/>
        </w:rPr>
      </w:pPr>
      <w:r>
        <w:rPr>
          <w:snapToGrid w:val="0"/>
          <w:kern w:val="22"/>
          <w:szCs w:val="22"/>
          <w:lang w:val="fr-CA"/>
        </w:rPr>
        <w:t>7</w:t>
      </w:r>
      <w:r w:rsidR="00084813" w:rsidRPr="00B17F01">
        <w:rPr>
          <w:snapToGrid w:val="0"/>
          <w:kern w:val="22"/>
          <w:szCs w:val="22"/>
          <w:lang w:val="fr-CA"/>
        </w:rPr>
        <w:t>.</w:t>
      </w:r>
      <w:r w:rsidR="00084813" w:rsidRPr="00B17F01">
        <w:rPr>
          <w:snapToGrid w:val="0"/>
          <w:kern w:val="22"/>
          <w:szCs w:val="22"/>
          <w:lang w:val="fr-CA"/>
        </w:rPr>
        <w:tab/>
      </w:r>
      <w:r w:rsidR="006E56FB" w:rsidRPr="00B17F01">
        <w:rPr>
          <w:i/>
          <w:iCs/>
          <w:snapToGrid w:val="0"/>
          <w:kern w:val="22"/>
          <w:szCs w:val="22"/>
          <w:lang w:val="fr-CA"/>
        </w:rPr>
        <w:t xml:space="preserve">Reconnaît </w:t>
      </w:r>
      <w:r w:rsidR="006E56FB" w:rsidRPr="00B17F01">
        <w:rPr>
          <w:snapToGrid w:val="0"/>
          <w:kern w:val="22"/>
          <w:szCs w:val="22"/>
          <w:lang w:val="fr-CA"/>
        </w:rPr>
        <w:t xml:space="preserve">la contribution potentielle de la mise en œuvre de l’Objectif 3 d’Aichi pour la biodiversité </w:t>
      </w:r>
      <w:r>
        <w:rPr>
          <w:snapToGrid w:val="0"/>
          <w:kern w:val="22"/>
          <w:szCs w:val="22"/>
          <w:lang w:val="fr-CA"/>
        </w:rPr>
        <w:t>pour</w:t>
      </w:r>
      <w:r w:rsidR="006E56FB" w:rsidRPr="00B17F01">
        <w:rPr>
          <w:snapToGrid w:val="0"/>
          <w:kern w:val="22"/>
          <w:szCs w:val="22"/>
          <w:lang w:val="fr-CA"/>
        </w:rPr>
        <w:t xml:space="preserve"> la mobilisation de ressources financières;</w:t>
      </w:r>
    </w:p>
    <w:p w:rsidR="00084813" w:rsidRPr="00B17F01" w:rsidRDefault="00951E54" w:rsidP="00951E54">
      <w:pPr>
        <w:spacing w:after="120"/>
        <w:ind w:left="709" w:firstLine="709"/>
        <w:rPr>
          <w:snapToGrid w:val="0"/>
          <w:kern w:val="22"/>
          <w:szCs w:val="22"/>
          <w:lang w:val="fr-CA"/>
        </w:rPr>
      </w:pPr>
      <w:r>
        <w:rPr>
          <w:snapToGrid w:val="0"/>
          <w:kern w:val="22"/>
          <w:szCs w:val="22"/>
          <w:lang w:val="fr-CA"/>
        </w:rPr>
        <w:t>8</w:t>
      </w:r>
      <w:r w:rsidR="00084813" w:rsidRPr="00B17F01">
        <w:rPr>
          <w:snapToGrid w:val="0"/>
          <w:kern w:val="22"/>
          <w:szCs w:val="22"/>
          <w:lang w:val="fr-CA"/>
        </w:rPr>
        <w:t>.</w:t>
      </w:r>
      <w:r w:rsidR="00084813" w:rsidRPr="00B17F01">
        <w:rPr>
          <w:snapToGrid w:val="0"/>
          <w:kern w:val="22"/>
          <w:szCs w:val="22"/>
          <w:lang w:val="fr-CA"/>
        </w:rPr>
        <w:tab/>
      </w:r>
      <w:r w:rsidR="006E56FB" w:rsidRPr="00B17F01">
        <w:rPr>
          <w:i/>
          <w:iCs/>
          <w:snapToGrid w:val="0"/>
          <w:kern w:val="22"/>
          <w:szCs w:val="22"/>
          <w:lang w:val="fr-CA"/>
        </w:rPr>
        <w:t xml:space="preserve">Prend note avec préoccupation </w:t>
      </w:r>
      <w:r w:rsidR="006E56FB" w:rsidRPr="00B17F01">
        <w:rPr>
          <w:snapToGrid w:val="0"/>
          <w:kern w:val="22"/>
          <w:szCs w:val="22"/>
          <w:lang w:val="fr-CA"/>
        </w:rPr>
        <w:t xml:space="preserve">des progrès limités </w:t>
      </w:r>
      <w:r w:rsidR="00212DD4" w:rsidRPr="00B17F01">
        <w:rPr>
          <w:snapToGrid w:val="0"/>
          <w:kern w:val="22"/>
          <w:szCs w:val="22"/>
          <w:lang w:val="fr-CA"/>
        </w:rPr>
        <w:t xml:space="preserve">accomplis </w:t>
      </w:r>
      <w:r w:rsidR="006E56FB" w:rsidRPr="00B17F01">
        <w:rPr>
          <w:snapToGrid w:val="0"/>
          <w:kern w:val="22"/>
          <w:szCs w:val="22"/>
          <w:lang w:val="fr-CA"/>
        </w:rPr>
        <w:t>dans la mise en œuvre de l’Objectif 3 d’Aichi pour la biodiversité et des étapes à franchir pour sa mise en œuvre, en particulier</w:t>
      </w:r>
      <w:r w:rsidR="00097FCC" w:rsidRPr="00B17F01">
        <w:rPr>
          <w:snapToGrid w:val="0"/>
          <w:kern w:val="22"/>
          <w:szCs w:val="22"/>
          <w:lang w:val="fr-CA"/>
        </w:rPr>
        <w:t xml:space="preserve"> </w:t>
      </w:r>
      <w:r w:rsidR="00212DD4" w:rsidRPr="00B17F01">
        <w:rPr>
          <w:snapToGrid w:val="0"/>
          <w:kern w:val="22"/>
          <w:szCs w:val="22"/>
          <w:lang w:val="fr-CA"/>
        </w:rPr>
        <w:t>en ce qui concerne</w:t>
      </w:r>
      <w:r w:rsidR="00097FCC" w:rsidRPr="00B17F01">
        <w:rPr>
          <w:snapToGrid w:val="0"/>
          <w:kern w:val="22"/>
          <w:szCs w:val="22"/>
          <w:lang w:val="fr-CA"/>
        </w:rPr>
        <w:t xml:space="preserve"> l’</w:t>
      </w:r>
      <w:r w:rsidR="00097FCC" w:rsidRPr="00B17F01">
        <w:rPr>
          <w:kern w:val="20"/>
          <w:lang w:val="fr-CA"/>
        </w:rPr>
        <w:t xml:space="preserve">élimination, l’élimination à terme ou la réforme d’incitations, y compris les subventions, néfastes pour la diversité biologique, en cohérence et en harmonie avec la Convention et d’autres obligations internationales pertinentes, </w:t>
      </w:r>
      <w:r w:rsidR="00212DD4" w:rsidRPr="00B17F01">
        <w:rPr>
          <w:kern w:val="20"/>
          <w:lang w:val="fr-CA"/>
        </w:rPr>
        <w:t xml:space="preserve">et </w:t>
      </w:r>
      <w:r w:rsidR="00097FCC" w:rsidRPr="00B17F01">
        <w:rPr>
          <w:kern w:val="20"/>
          <w:lang w:val="fr-CA"/>
        </w:rPr>
        <w:t>compte tenu des conditions socioéconomiques nationales;</w:t>
      </w:r>
    </w:p>
    <w:p w:rsidR="00084813" w:rsidRPr="00B17F01" w:rsidRDefault="00951E54" w:rsidP="00574814">
      <w:pPr>
        <w:spacing w:after="120"/>
        <w:ind w:left="709" w:firstLine="709"/>
        <w:rPr>
          <w:snapToGrid w:val="0"/>
          <w:kern w:val="22"/>
          <w:szCs w:val="22"/>
          <w:lang w:val="fr-CA"/>
        </w:rPr>
      </w:pPr>
      <w:r>
        <w:rPr>
          <w:snapToGrid w:val="0"/>
          <w:kern w:val="22"/>
          <w:szCs w:val="22"/>
          <w:lang w:val="fr-CA"/>
        </w:rPr>
        <w:t>9</w:t>
      </w:r>
      <w:r w:rsidR="00084813" w:rsidRPr="00B17F01">
        <w:rPr>
          <w:snapToGrid w:val="0"/>
          <w:kern w:val="22"/>
          <w:szCs w:val="22"/>
          <w:lang w:val="fr-CA"/>
        </w:rPr>
        <w:t>.</w:t>
      </w:r>
      <w:r w:rsidR="00084813" w:rsidRPr="00B17F01">
        <w:rPr>
          <w:snapToGrid w:val="0"/>
          <w:kern w:val="22"/>
          <w:szCs w:val="22"/>
          <w:lang w:val="fr-CA"/>
        </w:rPr>
        <w:tab/>
      </w:r>
      <w:r w:rsidRPr="00951E54">
        <w:rPr>
          <w:i/>
          <w:snapToGrid w:val="0"/>
          <w:kern w:val="22"/>
          <w:szCs w:val="22"/>
          <w:lang w:val="fr-FR" w:bidi="fr-FR"/>
        </w:rPr>
        <w:t>Exhorte</w:t>
      </w:r>
      <w:r w:rsidRPr="00951E54">
        <w:rPr>
          <w:snapToGrid w:val="0"/>
          <w:kern w:val="22"/>
          <w:szCs w:val="22"/>
          <w:lang w:val="fr-FR" w:bidi="fr-FR"/>
        </w:rPr>
        <w:t xml:space="preserve"> les Parties et les autres gouvernements à</w:t>
      </w:r>
      <w:r>
        <w:rPr>
          <w:snapToGrid w:val="0"/>
          <w:kern w:val="22"/>
          <w:szCs w:val="22"/>
          <w:lang w:val="fr-FR" w:bidi="fr-FR"/>
        </w:rPr>
        <w:t xml:space="preserve"> intensifier leurs efforts pour</w:t>
      </w:r>
      <w:r w:rsidRPr="00951E54">
        <w:rPr>
          <w:snapToGrid w:val="0"/>
          <w:kern w:val="22"/>
          <w:szCs w:val="22"/>
          <w:lang w:val="fr-FR" w:bidi="fr-FR"/>
        </w:rPr>
        <w:t xml:space="preserve"> appliquer des mesures propres à assurer la réalisation complète de l’Objectif 3 d’Aichi pour la biodiversité, en prenant en considération, comme cadre de travail souple, les étapes adoptées par la Conférence des Parties à sa douzième réunion,</w:t>
      </w:r>
      <w:r w:rsidR="00574814" w:rsidRPr="00981D1B">
        <w:rPr>
          <w:rStyle w:val="FootnoteReference"/>
          <w:snapToGrid w:val="0"/>
          <w:kern w:val="22"/>
          <w:szCs w:val="22"/>
        </w:rPr>
        <w:footnoteReference w:id="40"/>
      </w:r>
      <w:r w:rsidR="00574814" w:rsidRPr="00A340FD">
        <w:rPr>
          <w:snapToGrid w:val="0"/>
          <w:kern w:val="22"/>
          <w:szCs w:val="22"/>
          <w:lang w:val="fr-CA"/>
        </w:rPr>
        <w:t xml:space="preserve"> </w:t>
      </w:r>
      <w:r w:rsidRPr="00951E54">
        <w:rPr>
          <w:snapToGrid w:val="0"/>
          <w:kern w:val="22"/>
          <w:szCs w:val="22"/>
          <w:lang w:val="fr-FR" w:bidi="fr-FR"/>
        </w:rPr>
        <w:t xml:space="preserve">et en accord avec les dispositions de la Convention </w:t>
      </w:r>
      <w:r w:rsidRPr="00B17F01">
        <w:rPr>
          <w:kern w:val="20"/>
          <w:lang w:val="fr-CA"/>
        </w:rPr>
        <w:t>et d’autres obligations internationales pertinentes, et compte tenu des conditions socioéconomiques nationales</w:t>
      </w:r>
      <w:r>
        <w:rPr>
          <w:kern w:val="20"/>
          <w:lang w:val="fr-CA"/>
        </w:rPr>
        <w:t>;</w:t>
      </w:r>
    </w:p>
    <w:p w:rsidR="00084813" w:rsidRPr="00B17F01" w:rsidRDefault="00951E54" w:rsidP="00951E54">
      <w:pPr>
        <w:spacing w:after="120"/>
        <w:ind w:left="709" w:firstLine="709"/>
        <w:rPr>
          <w:snapToGrid w:val="0"/>
          <w:kern w:val="22"/>
          <w:szCs w:val="22"/>
          <w:lang w:val="fr-CA"/>
        </w:rPr>
      </w:pPr>
      <w:r>
        <w:rPr>
          <w:snapToGrid w:val="0"/>
          <w:kern w:val="22"/>
          <w:szCs w:val="22"/>
          <w:lang w:val="fr-CA"/>
        </w:rPr>
        <w:t>10</w:t>
      </w:r>
      <w:r w:rsidR="00084813" w:rsidRPr="00B17F01">
        <w:rPr>
          <w:snapToGrid w:val="0"/>
          <w:kern w:val="22"/>
          <w:szCs w:val="22"/>
          <w:lang w:val="fr-CA"/>
        </w:rPr>
        <w:t>.</w:t>
      </w:r>
      <w:r w:rsidR="00084813" w:rsidRPr="00B17F01">
        <w:rPr>
          <w:snapToGrid w:val="0"/>
          <w:kern w:val="22"/>
          <w:szCs w:val="22"/>
          <w:lang w:val="fr-CA"/>
        </w:rPr>
        <w:tab/>
      </w:r>
      <w:r w:rsidR="00212DD4" w:rsidRPr="00B17F01">
        <w:rPr>
          <w:i/>
          <w:iCs/>
          <w:snapToGrid w:val="0"/>
          <w:kern w:val="22"/>
          <w:szCs w:val="22"/>
          <w:lang w:val="fr-CA"/>
        </w:rPr>
        <w:t xml:space="preserve">Se félicite </w:t>
      </w:r>
      <w:r w:rsidR="00212DD4" w:rsidRPr="00B17F01">
        <w:rPr>
          <w:snapToGrid w:val="0"/>
          <w:kern w:val="22"/>
          <w:szCs w:val="22"/>
          <w:lang w:val="fr-CA"/>
        </w:rPr>
        <w:t>des travaux des organisations et initiatives concernées, notamment l’Initiative pour le finance</w:t>
      </w:r>
      <w:r>
        <w:rPr>
          <w:snapToGrid w:val="0"/>
          <w:kern w:val="22"/>
          <w:szCs w:val="22"/>
          <w:lang w:val="fr-CA"/>
        </w:rPr>
        <w:t>ment de la biodiversité</w:t>
      </w:r>
      <w:r w:rsidR="00212DD4" w:rsidRPr="00B17F01">
        <w:rPr>
          <w:snapToGrid w:val="0"/>
          <w:kern w:val="22"/>
          <w:szCs w:val="22"/>
          <w:lang w:val="fr-CA"/>
        </w:rPr>
        <w:t xml:space="preserve"> du Programme des Nations Unies pour le développement, le Programme des Nations Unies pour l’environnement, l’Organisation de coopération et de développement économiques, l’Institut international du développement durable, et d’autres partenaires,</w:t>
      </w:r>
      <w:r w:rsidR="00664678" w:rsidRPr="00B17F01">
        <w:rPr>
          <w:snapToGrid w:val="0"/>
          <w:kern w:val="22"/>
          <w:szCs w:val="22"/>
          <w:lang w:val="fr-CA"/>
        </w:rPr>
        <w:t xml:space="preserve"> travaux visant à fournir un soutien analytique et technique et un renforcement des capacités pour la mise en œuvre de l’Objectif 3 d’Aichi pour la biodiversité, et les invite à poursuivre et à intensifier davantage ces travaux;</w:t>
      </w:r>
    </w:p>
    <w:p w:rsidR="00084813" w:rsidRPr="00B17F01" w:rsidRDefault="00951E54" w:rsidP="00951E54">
      <w:pPr>
        <w:spacing w:after="120"/>
        <w:ind w:left="709" w:firstLine="709"/>
        <w:rPr>
          <w:snapToGrid w:val="0"/>
          <w:kern w:val="22"/>
          <w:szCs w:val="22"/>
          <w:lang w:val="fr-CA"/>
        </w:rPr>
      </w:pPr>
      <w:r>
        <w:rPr>
          <w:snapToGrid w:val="0"/>
          <w:kern w:val="22"/>
          <w:szCs w:val="22"/>
          <w:lang w:val="fr-CA"/>
        </w:rPr>
        <w:lastRenderedPageBreak/>
        <w:t>11</w:t>
      </w:r>
      <w:r w:rsidR="00084813" w:rsidRPr="00B17F01">
        <w:rPr>
          <w:snapToGrid w:val="0"/>
          <w:kern w:val="22"/>
          <w:szCs w:val="22"/>
          <w:lang w:val="fr-CA"/>
        </w:rPr>
        <w:t>.</w:t>
      </w:r>
      <w:r w:rsidR="00084813" w:rsidRPr="00B17F01">
        <w:rPr>
          <w:snapToGrid w:val="0"/>
          <w:kern w:val="22"/>
          <w:szCs w:val="22"/>
          <w:lang w:val="fr-CA"/>
        </w:rPr>
        <w:tab/>
      </w:r>
      <w:r w:rsidR="00664678" w:rsidRPr="00B17F01">
        <w:rPr>
          <w:i/>
          <w:iCs/>
          <w:snapToGrid w:val="0"/>
          <w:kern w:val="22"/>
          <w:szCs w:val="22"/>
          <w:lang w:val="fr-CA"/>
        </w:rPr>
        <w:t xml:space="preserve">Prend note </w:t>
      </w:r>
      <w:r w:rsidR="00664678" w:rsidRPr="00B17F01">
        <w:rPr>
          <w:snapToGrid w:val="0"/>
          <w:kern w:val="22"/>
          <w:szCs w:val="22"/>
          <w:lang w:val="fr-CA"/>
        </w:rPr>
        <w:t xml:space="preserve">du rôle utile </w:t>
      </w:r>
      <w:r w:rsidR="006B0471" w:rsidRPr="00B17F01">
        <w:rPr>
          <w:snapToGrid w:val="0"/>
          <w:kern w:val="22"/>
          <w:szCs w:val="22"/>
          <w:lang w:val="fr-CA"/>
        </w:rPr>
        <w:t>des études nationales pour</w:t>
      </w:r>
      <w:r w:rsidR="002C770F" w:rsidRPr="00B17F01">
        <w:rPr>
          <w:snapToGrid w:val="0"/>
          <w:kern w:val="22"/>
          <w:szCs w:val="22"/>
          <w:lang w:val="fr-CA"/>
        </w:rPr>
        <w:t xml:space="preserve"> identifier l</w:t>
      </w:r>
      <w:r w:rsidR="006B0471" w:rsidRPr="00B17F01">
        <w:rPr>
          <w:snapToGrid w:val="0"/>
          <w:kern w:val="22"/>
          <w:szCs w:val="22"/>
          <w:lang w:val="fr-CA"/>
        </w:rPr>
        <w:t xml:space="preserve">es </w:t>
      </w:r>
      <w:r w:rsidR="002C770F" w:rsidRPr="00B17F01">
        <w:rPr>
          <w:snapToGrid w:val="0"/>
          <w:kern w:val="22"/>
          <w:szCs w:val="22"/>
          <w:lang w:val="fr-CA"/>
        </w:rPr>
        <w:t>incitations néfastes et l</w:t>
      </w:r>
      <w:r w:rsidR="006B0471" w:rsidRPr="00B17F01">
        <w:rPr>
          <w:snapToGrid w:val="0"/>
          <w:kern w:val="22"/>
          <w:szCs w:val="22"/>
          <w:lang w:val="fr-CA"/>
        </w:rPr>
        <w:t>es occasions pour élimi</w:t>
      </w:r>
      <w:r w:rsidR="002C770F" w:rsidRPr="00B17F01">
        <w:rPr>
          <w:snapToGrid w:val="0"/>
          <w:kern w:val="22"/>
          <w:szCs w:val="22"/>
          <w:lang w:val="fr-CA"/>
        </w:rPr>
        <w:t>ner ou réformer ces dernières</w:t>
      </w:r>
      <w:r w:rsidR="006B0471" w:rsidRPr="00B17F01">
        <w:rPr>
          <w:snapToGrid w:val="0"/>
          <w:kern w:val="22"/>
          <w:szCs w:val="22"/>
          <w:lang w:val="fr-CA"/>
        </w:rPr>
        <w:t xml:space="preserve">, y compris les subventions, et pour identifier les mesures politiques les plus efficaces et définir leur portée, </w:t>
      </w:r>
      <w:r w:rsidR="006B0471" w:rsidRPr="00B17F01">
        <w:rPr>
          <w:i/>
          <w:iCs/>
          <w:snapToGrid w:val="0"/>
          <w:kern w:val="22"/>
          <w:szCs w:val="22"/>
          <w:lang w:val="fr-CA"/>
        </w:rPr>
        <w:t>invite</w:t>
      </w:r>
      <w:r w:rsidR="006B0471" w:rsidRPr="00B17F01">
        <w:rPr>
          <w:snapToGrid w:val="0"/>
          <w:kern w:val="22"/>
          <w:szCs w:val="22"/>
          <w:lang w:val="fr-CA"/>
        </w:rPr>
        <w:t xml:space="preserve"> les organisations intéressées, telles que les organisations et initiatives mentionnées au paragraphe précédent, à envisager </w:t>
      </w:r>
      <w:r w:rsidR="00FF4AF1" w:rsidRPr="00B17F01">
        <w:rPr>
          <w:snapToGrid w:val="0"/>
          <w:kern w:val="22"/>
          <w:szCs w:val="22"/>
          <w:lang w:val="fr-CA"/>
        </w:rPr>
        <w:t>de compiler et d’analyser</w:t>
      </w:r>
      <w:r w:rsidR="006B0471" w:rsidRPr="00B17F01">
        <w:rPr>
          <w:snapToGrid w:val="0"/>
          <w:kern w:val="22"/>
          <w:szCs w:val="22"/>
          <w:lang w:val="fr-CA"/>
        </w:rPr>
        <w:t xml:space="preserve"> systématique</w:t>
      </w:r>
      <w:r w:rsidR="00FF4AF1" w:rsidRPr="00B17F01">
        <w:rPr>
          <w:snapToGrid w:val="0"/>
          <w:kern w:val="22"/>
          <w:szCs w:val="22"/>
          <w:lang w:val="fr-CA"/>
        </w:rPr>
        <w:t>ment l</w:t>
      </w:r>
      <w:r w:rsidR="006B0471" w:rsidRPr="00B17F01">
        <w:rPr>
          <w:snapToGrid w:val="0"/>
          <w:kern w:val="22"/>
          <w:szCs w:val="22"/>
          <w:lang w:val="fr-CA"/>
        </w:rPr>
        <w:t>es études existantes en vue de relever les méthodes de bonnes pratiques pour identifier les incitations néfastes</w:t>
      </w:r>
      <w:r w:rsidR="00FF4AF1" w:rsidRPr="00B17F01">
        <w:rPr>
          <w:snapToGrid w:val="0"/>
          <w:kern w:val="22"/>
          <w:szCs w:val="22"/>
          <w:lang w:val="fr-CA"/>
        </w:rPr>
        <w:t xml:space="preserve"> et élaborer les réponses politiques appropriées, et élaborer une norme ou un modèle pour de telles normes à titre d’orientations facultatives;</w:t>
      </w:r>
    </w:p>
    <w:p w:rsidR="00084813" w:rsidRPr="00B17F01" w:rsidRDefault="00951E54" w:rsidP="00951E54">
      <w:pPr>
        <w:spacing w:after="120"/>
        <w:ind w:left="709" w:firstLine="709"/>
        <w:rPr>
          <w:snapToGrid w:val="0"/>
          <w:kern w:val="22"/>
          <w:szCs w:val="22"/>
          <w:lang w:val="fr-CA"/>
        </w:rPr>
      </w:pPr>
      <w:r>
        <w:rPr>
          <w:snapToGrid w:val="0"/>
          <w:kern w:val="22"/>
          <w:szCs w:val="22"/>
          <w:lang w:val="fr-CA"/>
        </w:rPr>
        <w:t>12</w:t>
      </w:r>
      <w:r w:rsidR="00084813" w:rsidRPr="00B17F01">
        <w:rPr>
          <w:snapToGrid w:val="0"/>
          <w:kern w:val="22"/>
          <w:szCs w:val="22"/>
          <w:lang w:val="fr-CA"/>
        </w:rPr>
        <w:t>.</w:t>
      </w:r>
      <w:r w:rsidR="00084813" w:rsidRPr="00B17F01">
        <w:rPr>
          <w:snapToGrid w:val="0"/>
          <w:kern w:val="22"/>
          <w:szCs w:val="22"/>
          <w:lang w:val="fr-CA"/>
        </w:rPr>
        <w:tab/>
      </w:r>
      <w:r w:rsidR="00FF4AF1" w:rsidRPr="00B17F01">
        <w:rPr>
          <w:i/>
          <w:iCs/>
          <w:snapToGrid w:val="0"/>
          <w:kern w:val="22"/>
          <w:szCs w:val="22"/>
          <w:lang w:val="fr-CA"/>
        </w:rPr>
        <w:t xml:space="preserve">Prie </w:t>
      </w:r>
      <w:r w:rsidR="00FF4AF1" w:rsidRPr="00B17F01">
        <w:rPr>
          <w:snapToGrid w:val="0"/>
          <w:kern w:val="22"/>
          <w:szCs w:val="22"/>
          <w:lang w:val="fr-CA"/>
        </w:rPr>
        <w:t xml:space="preserve">la Secrétaire exécutive, sous réserve des ressources disponibles, d’appuyer et de faciliter les travaux </w:t>
      </w:r>
      <w:r>
        <w:rPr>
          <w:snapToGrid w:val="0"/>
          <w:kern w:val="22"/>
          <w:szCs w:val="22"/>
          <w:lang w:val="fr-CA"/>
        </w:rPr>
        <w:t>mentionnés aux paragraphes 5, 10 et 11</w:t>
      </w:r>
      <w:r w:rsidR="00FF4AF1" w:rsidRPr="00B17F01">
        <w:rPr>
          <w:snapToGrid w:val="0"/>
          <w:kern w:val="22"/>
          <w:szCs w:val="22"/>
          <w:lang w:val="fr-CA"/>
        </w:rPr>
        <w:t xml:space="preserve"> ci</w:t>
      </w:r>
      <w:r w:rsidR="00FF4AF1" w:rsidRPr="00B17F01">
        <w:rPr>
          <w:snapToGrid w:val="0"/>
          <w:kern w:val="22"/>
          <w:szCs w:val="22"/>
          <w:lang w:val="fr-CA"/>
        </w:rPr>
        <w:noBreakHyphen/>
        <w:t>dessus</w:t>
      </w:r>
      <w:r w:rsidR="001A4F52">
        <w:rPr>
          <w:snapToGrid w:val="0"/>
          <w:kern w:val="22"/>
          <w:szCs w:val="22"/>
          <w:lang w:val="fr-CA"/>
        </w:rPr>
        <w:t>.</w:t>
      </w:r>
    </w:p>
    <w:p w:rsidR="00B3369F" w:rsidRPr="00B17F01" w:rsidRDefault="00084813" w:rsidP="00B840DD">
      <w:pPr>
        <w:jc w:val="center"/>
        <w:rPr>
          <w:kern w:val="22"/>
          <w:lang w:val="fr-CA"/>
        </w:rPr>
      </w:pPr>
      <w:r w:rsidRPr="00B17F01">
        <w:rPr>
          <w:kern w:val="22"/>
          <w:lang w:val="fr-CA"/>
        </w:rPr>
        <w:t>____</w:t>
      </w:r>
      <w:r w:rsidR="00B840DD" w:rsidRPr="00B17F01">
        <w:rPr>
          <w:kern w:val="22"/>
          <w:lang w:val="fr-CA"/>
        </w:rPr>
        <w:t>_______</w:t>
      </w:r>
    </w:p>
    <w:sectPr w:rsidR="00B3369F" w:rsidRPr="00B17F01" w:rsidSect="000B7F1F">
      <w:headerReference w:type="even" r:id="rId20"/>
      <w:headerReference w:type="default" r:id="rId21"/>
      <w:pgSz w:w="12240" w:h="15840" w:code="1"/>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42A" w:rsidRDefault="00AE542A" w:rsidP="00CF1848">
      <w:r>
        <w:separator/>
      </w:r>
    </w:p>
  </w:endnote>
  <w:endnote w:type="continuationSeparator" w:id="0">
    <w:p w:rsidR="00AE542A" w:rsidRDefault="00AE542A"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42A" w:rsidRDefault="00AE542A" w:rsidP="00CF1848">
      <w:r>
        <w:separator/>
      </w:r>
    </w:p>
  </w:footnote>
  <w:footnote w:type="continuationSeparator" w:id="0">
    <w:p w:rsidR="00AE542A" w:rsidRDefault="00AE542A" w:rsidP="00CF1848">
      <w:r>
        <w:continuationSeparator/>
      </w:r>
    </w:p>
  </w:footnote>
  <w:footnote w:id="1">
    <w:p w:rsidR="00F4116A" w:rsidRPr="00D86ED8" w:rsidRDefault="00F4116A" w:rsidP="00084813">
      <w:pPr>
        <w:pStyle w:val="FootnoteText"/>
        <w:keepLines w:val="0"/>
        <w:ind w:firstLine="0"/>
        <w:jc w:val="left"/>
        <w:rPr>
          <w:snapToGrid w:val="0"/>
          <w:kern w:val="18"/>
          <w:szCs w:val="22"/>
          <w:lang w:val="fr-CA"/>
        </w:rPr>
      </w:pPr>
      <w:r w:rsidRPr="00D86ED8">
        <w:rPr>
          <w:rStyle w:val="FootnoteReference"/>
          <w:snapToGrid w:val="0"/>
          <w:kern w:val="18"/>
          <w:szCs w:val="22"/>
          <w:lang w:val="fr-CA"/>
        </w:rPr>
        <w:t>*</w:t>
      </w:r>
      <w:r w:rsidRPr="00D86ED8">
        <w:rPr>
          <w:snapToGrid w:val="0"/>
          <w:kern w:val="18"/>
          <w:szCs w:val="22"/>
          <w:lang w:val="fr-CA"/>
        </w:rPr>
        <w:t xml:space="preserve"> CBD/SBI/2/1.</w:t>
      </w:r>
    </w:p>
  </w:footnote>
  <w:footnote w:id="2">
    <w:p w:rsidR="00F4116A" w:rsidRPr="00D86ED8" w:rsidRDefault="00F4116A" w:rsidP="00F4116A">
      <w:pPr>
        <w:pStyle w:val="FootnoteText"/>
        <w:ind w:firstLine="0"/>
        <w:rPr>
          <w:lang w:val="fr-CA"/>
        </w:rPr>
      </w:pPr>
      <w:r w:rsidRPr="00D86ED8">
        <w:rPr>
          <w:rStyle w:val="FootnoteReference"/>
          <w:lang w:val="fr-CA"/>
        </w:rPr>
        <w:footnoteRef/>
      </w:r>
      <w:r w:rsidRPr="00D86ED8">
        <w:rPr>
          <w:lang w:val="fr-CA"/>
        </w:rPr>
        <w:t xml:space="preserve"> Voir décision </w:t>
      </w:r>
      <w:r w:rsidR="003426E3">
        <w:fldChar w:fldCharType="begin"/>
      </w:r>
      <w:r w:rsidR="003426E3" w:rsidRPr="009620E1">
        <w:rPr>
          <w:lang w:val="fr-CA"/>
        </w:rPr>
        <w:instrText xml:space="preserve"> HYPERLINK "https://www.cbd.int/doc/decisions/cop-11/cop-11-dec-04-fr.pdf" </w:instrText>
      </w:r>
      <w:r w:rsidR="003426E3">
        <w:fldChar w:fldCharType="separate"/>
      </w:r>
      <w:r w:rsidRPr="00A340FD">
        <w:rPr>
          <w:rStyle w:val="Hyperlink"/>
          <w:noProof/>
          <w:snapToGrid w:val="0"/>
          <w:kern w:val="18"/>
          <w:szCs w:val="18"/>
          <w:lang w:val="fr-CA"/>
        </w:rPr>
        <w:t>XI/4</w:t>
      </w:r>
      <w:r w:rsidR="003426E3">
        <w:rPr>
          <w:rStyle w:val="Hyperlink"/>
          <w:noProof/>
          <w:snapToGrid w:val="0"/>
          <w:kern w:val="18"/>
          <w:szCs w:val="18"/>
          <w:lang w:val="fr-CA"/>
        </w:rPr>
        <w:fldChar w:fldCharType="end"/>
      </w:r>
      <w:r w:rsidRPr="00A340FD">
        <w:rPr>
          <w:noProof/>
          <w:snapToGrid w:val="0"/>
          <w:kern w:val="18"/>
          <w:szCs w:val="18"/>
          <w:lang w:val="fr-CA"/>
        </w:rPr>
        <w:t xml:space="preserve">  </w:t>
      </w:r>
      <w:r w:rsidRPr="00D86ED8">
        <w:rPr>
          <w:lang w:val="fr-CA"/>
        </w:rPr>
        <w:t>, paragraphe 7.</w:t>
      </w:r>
    </w:p>
  </w:footnote>
  <w:footnote w:id="3">
    <w:p w:rsidR="00F4116A" w:rsidRPr="00D86ED8" w:rsidRDefault="00F4116A" w:rsidP="00DB2007">
      <w:pPr>
        <w:pStyle w:val="FootnoteText"/>
        <w:suppressLineNumbers/>
        <w:suppressAutoHyphens/>
        <w:kinsoku w:val="0"/>
        <w:overflowPunct w:val="0"/>
        <w:autoSpaceDE w:val="0"/>
        <w:autoSpaceDN w:val="0"/>
        <w:ind w:firstLine="0"/>
        <w:jc w:val="left"/>
        <w:rPr>
          <w:noProof/>
          <w:snapToGrid w:val="0"/>
          <w:kern w:val="18"/>
          <w:szCs w:val="18"/>
          <w:lang w:val="fr-CA"/>
        </w:rPr>
      </w:pPr>
      <w:r w:rsidRPr="00D86ED8">
        <w:rPr>
          <w:rStyle w:val="FootnoteReference"/>
          <w:noProof/>
          <w:snapToGrid w:val="0"/>
          <w:kern w:val="18"/>
          <w:sz w:val="18"/>
          <w:szCs w:val="18"/>
          <w:lang w:val="fr-CA"/>
        </w:rPr>
        <w:footnoteRef/>
      </w:r>
      <w:r w:rsidRPr="00D86ED8">
        <w:rPr>
          <w:noProof/>
          <w:snapToGrid w:val="0"/>
          <w:kern w:val="18"/>
          <w:szCs w:val="18"/>
          <w:lang w:val="fr-CA"/>
        </w:rPr>
        <w:t xml:space="preserve"> Voir décision </w:t>
      </w:r>
      <w:r w:rsidRPr="00C3099B">
        <w:rPr>
          <w:noProof/>
          <w:snapToGrid w:val="0"/>
          <w:kern w:val="18"/>
          <w:szCs w:val="18"/>
          <w:lang w:val="fr-CA"/>
        </w:rPr>
        <w:t>XII/3</w:t>
      </w:r>
      <w:r w:rsidRPr="00D86ED8">
        <w:rPr>
          <w:noProof/>
          <w:snapToGrid w:val="0"/>
          <w:kern w:val="18"/>
          <w:szCs w:val="18"/>
          <w:lang w:val="fr-CA"/>
        </w:rPr>
        <w:t>, par. 1 et 24 et annexe II.</w:t>
      </w:r>
    </w:p>
  </w:footnote>
  <w:footnote w:id="4">
    <w:p w:rsidR="00F4116A" w:rsidRPr="00D86ED8" w:rsidRDefault="00F4116A" w:rsidP="007A4BAF">
      <w:pPr>
        <w:pStyle w:val="FootnoteText"/>
        <w:ind w:firstLine="0"/>
        <w:rPr>
          <w:lang w:val="fr-CA"/>
        </w:rPr>
      </w:pPr>
      <w:r w:rsidRPr="00D86ED8">
        <w:rPr>
          <w:rStyle w:val="FootnoteReference"/>
          <w:lang w:val="fr-CA"/>
        </w:rPr>
        <w:footnoteRef/>
      </w:r>
      <w:r w:rsidRPr="00D86ED8">
        <w:rPr>
          <w:lang w:val="fr-CA"/>
        </w:rPr>
        <w:t xml:space="preserve"> </w:t>
      </w:r>
      <w:r w:rsidR="003426E3">
        <w:fldChar w:fldCharType="begin"/>
      </w:r>
      <w:r w:rsidR="003426E3" w:rsidRPr="009620E1">
        <w:rPr>
          <w:lang w:val="fr-CA"/>
        </w:rPr>
        <w:instrText xml:space="preserve"> HYPERLINK "https://www.cbd.int/doc/meetings/sbi/sbi-01/official/sbi-01-07-add1-en.doc" </w:instrText>
      </w:r>
      <w:r w:rsidR="003426E3">
        <w:fldChar w:fldCharType="separate"/>
      </w:r>
      <w:r w:rsidRPr="00D86ED8">
        <w:rPr>
          <w:rStyle w:val="Hyperlink"/>
          <w:szCs w:val="20"/>
          <w:lang w:val="fr-CA"/>
        </w:rPr>
        <w:t>UNEP/CBD/SBI/1/7/Add.1</w:t>
      </w:r>
      <w:r w:rsidR="003426E3">
        <w:rPr>
          <w:rStyle w:val="Hyperlink"/>
          <w:szCs w:val="20"/>
          <w:lang w:val="fr-CA"/>
        </w:rPr>
        <w:fldChar w:fldCharType="end"/>
      </w:r>
    </w:p>
  </w:footnote>
  <w:footnote w:id="5">
    <w:p w:rsidR="00F4116A" w:rsidRPr="00D86ED8" w:rsidRDefault="00F4116A" w:rsidP="007A4BAF">
      <w:pPr>
        <w:pStyle w:val="FootnoteText"/>
        <w:ind w:firstLine="0"/>
        <w:rPr>
          <w:lang w:val="fr-CA"/>
        </w:rPr>
      </w:pPr>
      <w:r w:rsidRPr="00D86ED8">
        <w:rPr>
          <w:rStyle w:val="FootnoteReference"/>
          <w:lang w:val="fr-CA"/>
        </w:rPr>
        <w:footnoteRef/>
      </w:r>
      <w:r w:rsidRPr="00D86ED8">
        <w:rPr>
          <w:lang w:val="fr-CA"/>
        </w:rPr>
        <w:t xml:space="preserve"> </w:t>
      </w:r>
      <w:r w:rsidR="003426E3">
        <w:fldChar w:fldCharType="begin"/>
      </w:r>
      <w:r w:rsidR="003426E3" w:rsidRPr="009620E1">
        <w:rPr>
          <w:lang w:val="fr-CA"/>
        </w:rPr>
        <w:instrText xml:space="preserve"> HYPERLINK "https://www.cbd.int/doc/meetings/cop/cop-13/official/cop-13-11-rev1-en.pdf" </w:instrText>
      </w:r>
      <w:r w:rsidR="003426E3">
        <w:fldChar w:fldCharType="separate"/>
      </w:r>
      <w:r w:rsidRPr="00D86ED8">
        <w:rPr>
          <w:rStyle w:val="Hyperlink"/>
          <w:szCs w:val="20"/>
          <w:lang w:val="fr-CA"/>
        </w:rPr>
        <w:t>UNEP/CBD/COP/13/11/Rev.1</w:t>
      </w:r>
      <w:r w:rsidR="003426E3">
        <w:rPr>
          <w:rStyle w:val="Hyperlink"/>
          <w:szCs w:val="20"/>
          <w:lang w:val="fr-CA"/>
        </w:rPr>
        <w:fldChar w:fldCharType="end"/>
      </w:r>
    </w:p>
  </w:footnote>
  <w:footnote w:id="6">
    <w:p w:rsidR="00F4116A" w:rsidRPr="00D86ED8" w:rsidRDefault="00F4116A" w:rsidP="00DB2007">
      <w:pPr>
        <w:pStyle w:val="FootnoteText"/>
        <w:suppressLineNumbers/>
        <w:suppressAutoHyphens/>
        <w:kinsoku w:val="0"/>
        <w:overflowPunct w:val="0"/>
        <w:autoSpaceDE w:val="0"/>
        <w:autoSpaceDN w:val="0"/>
        <w:ind w:firstLine="0"/>
        <w:jc w:val="left"/>
        <w:rPr>
          <w:noProof/>
          <w:snapToGrid w:val="0"/>
          <w:kern w:val="18"/>
          <w:szCs w:val="18"/>
          <w:lang w:val="fr-CA"/>
        </w:rPr>
      </w:pPr>
      <w:r w:rsidRPr="00D86ED8">
        <w:rPr>
          <w:rStyle w:val="FootnoteReference"/>
          <w:noProof/>
          <w:snapToGrid w:val="0"/>
          <w:kern w:val="18"/>
          <w:sz w:val="18"/>
          <w:szCs w:val="18"/>
          <w:lang w:val="fr-CA"/>
        </w:rPr>
        <w:footnoteRef/>
      </w:r>
      <w:r w:rsidRPr="00D86ED8">
        <w:rPr>
          <w:noProof/>
          <w:snapToGrid w:val="0"/>
          <w:kern w:val="18"/>
          <w:szCs w:val="18"/>
          <w:lang w:val="fr-CA"/>
        </w:rPr>
        <w:t xml:space="preserve"> Voir décision </w:t>
      </w:r>
      <w:r w:rsidR="003426E3">
        <w:fldChar w:fldCharType="begin"/>
      </w:r>
      <w:r w:rsidR="003426E3" w:rsidRPr="009620E1">
        <w:rPr>
          <w:lang w:val="fr-CA"/>
        </w:rPr>
        <w:instrText xml:space="preserve"> HYPERLI</w:instrText>
      </w:r>
      <w:r w:rsidR="003426E3" w:rsidRPr="009620E1">
        <w:rPr>
          <w:lang w:val="fr-CA"/>
        </w:rPr>
        <w:instrText xml:space="preserve">NK "https://www.cbd.int/doc/decisions/cop-13/cop-13-dec-20-fr.pdf" </w:instrText>
      </w:r>
      <w:r w:rsidR="003426E3">
        <w:fldChar w:fldCharType="separate"/>
      </w:r>
      <w:r w:rsidR="00904AD6">
        <w:rPr>
          <w:rStyle w:val="Hyperlink"/>
          <w:noProof/>
          <w:snapToGrid w:val="0"/>
          <w:kern w:val="18"/>
          <w:szCs w:val="18"/>
          <w:lang w:val="fr-CA"/>
        </w:rPr>
        <w:t>XIII/20</w:t>
      </w:r>
      <w:r w:rsidR="003426E3">
        <w:rPr>
          <w:rStyle w:val="Hyperlink"/>
          <w:noProof/>
          <w:snapToGrid w:val="0"/>
          <w:kern w:val="18"/>
          <w:szCs w:val="18"/>
          <w:lang w:val="fr-CA"/>
        </w:rPr>
        <w:fldChar w:fldCharType="end"/>
      </w:r>
      <w:r w:rsidR="00904AD6">
        <w:rPr>
          <w:noProof/>
          <w:snapToGrid w:val="0"/>
          <w:kern w:val="18"/>
          <w:szCs w:val="18"/>
          <w:lang w:val="fr-CA"/>
        </w:rPr>
        <w:t xml:space="preserve"> </w:t>
      </w:r>
      <w:r w:rsidRPr="00D86ED8">
        <w:rPr>
          <w:noProof/>
          <w:snapToGrid w:val="0"/>
          <w:kern w:val="18"/>
          <w:szCs w:val="18"/>
          <w:lang w:val="fr-CA"/>
        </w:rPr>
        <w:t>, par. 6 et 8.</w:t>
      </w:r>
    </w:p>
  </w:footnote>
  <w:footnote w:id="7">
    <w:p w:rsidR="00F4116A" w:rsidRPr="00D86ED8" w:rsidRDefault="00F4116A" w:rsidP="00DB2007">
      <w:pPr>
        <w:pStyle w:val="FootnoteText"/>
        <w:suppressLineNumbers/>
        <w:suppressAutoHyphens/>
        <w:kinsoku w:val="0"/>
        <w:overflowPunct w:val="0"/>
        <w:autoSpaceDE w:val="0"/>
        <w:autoSpaceDN w:val="0"/>
        <w:ind w:firstLine="0"/>
        <w:jc w:val="left"/>
        <w:rPr>
          <w:noProof/>
          <w:snapToGrid w:val="0"/>
          <w:kern w:val="18"/>
          <w:szCs w:val="18"/>
          <w:lang w:val="fr-CA"/>
        </w:rPr>
      </w:pPr>
      <w:r w:rsidRPr="00D86ED8">
        <w:rPr>
          <w:rStyle w:val="FootnoteReference"/>
          <w:noProof/>
          <w:snapToGrid w:val="0"/>
          <w:kern w:val="18"/>
          <w:sz w:val="18"/>
          <w:szCs w:val="18"/>
          <w:lang w:val="fr-CA"/>
        </w:rPr>
        <w:footnoteRef/>
      </w:r>
      <w:r w:rsidRPr="00D86ED8">
        <w:rPr>
          <w:noProof/>
          <w:snapToGrid w:val="0"/>
          <w:kern w:val="18"/>
          <w:szCs w:val="18"/>
          <w:lang w:val="fr-CA"/>
        </w:rPr>
        <w:t xml:space="preserve"> </w:t>
      </w:r>
      <w:r w:rsidR="003426E3">
        <w:fldChar w:fldCharType="begin"/>
      </w:r>
      <w:r w:rsidR="003426E3" w:rsidRPr="009620E1">
        <w:rPr>
          <w:lang w:val="fr-CA"/>
        </w:rPr>
        <w:instrText xml:space="preserve"> HYPERLINK "https://www.cbd.int/doc/notifications/2017/ntf-2017-009-financial-en.pdf" </w:instrText>
      </w:r>
      <w:r w:rsidR="003426E3">
        <w:fldChar w:fldCharType="separate"/>
      </w:r>
      <w:r w:rsidRPr="00D86ED8">
        <w:rPr>
          <w:rStyle w:val="Hyperlink"/>
          <w:noProof/>
          <w:snapToGrid w:val="0"/>
          <w:kern w:val="18"/>
          <w:szCs w:val="18"/>
          <w:lang w:val="fr-CA"/>
        </w:rPr>
        <w:t>2017-009</w:t>
      </w:r>
      <w:r w:rsidR="003426E3">
        <w:rPr>
          <w:rStyle w:val="Hyperlink"/>
          <w:noProof/>
          <w:snapToGrid w:val="0"/>
          <w:kern w:val="18"/>
          <w:szCs w:val="18"/>
          <w:lang w:val="fr-CA"/>
        </w:rPr>
        <w:fldChar w:fldCharType="end"/>
      </w:r>
      <w:r w:rsidRPr="00D86ED8">
        <w:rPr>
          <w:noProof/>
          <w:snapToGrid w:val="0"/>
          <w:kern w:val="18"/>
          <w:szCs w:val="18"/>
          <w:lang w:val="fr-CA"/>
        </w:rPr>
        <w:t>.</w:t>
      </w:r>
    </w:p>
  </w:footnote>
  <w:footnote w:id="8">
    <w:p w:rsidR="00F4116A" w:rsidRPr="00D86ED8" w:rsidRDefault="00F4116A" w:rsidP="00DB2007">
      <w:pPr>
        <w:pStyle w:val="FootnoteText"/>
        <w:suppressLineNumbers/>
        <w:suppressAutoHyphens/>
        <w:kinsoku w:val="0"/>
        <w:overflowPunct w:val="0"/>
        <w:autoSpaceDE w:val="0"/>
        <w:autoSpaceDN w:val="0"/>
        <w:ind w:firstLine="0"/>
        <w:jc w:val="left"/>
        <w:rPr>
          <w:noProof/>
          <w:snapToGrid w:val="0"/>
          <w:kern w:val="18"/>
          <w:szCs w:val="18"/>
          <w:lang w:val="fr-CA"/>
        </w:rPr>
      </w:pPr>
      <w:r w:rsidRPr="00D86ED8">
        <w:rPr>
          <w:rStyle w:val="FootnoteReference"/>
          <w:noProof/>
          <w:snapToGrid w:val="0"/>
          <w:kern w:val="18"/>
          <w:sz w:val="18"/>
          <w:szCs w:val="18"/>
          <w:lang w:val="fr-CA"/>
        </w:rPr>
        <w:footnoteRef/>
      </w:r>
      <w:r w:rsidRPr="00D86ED8">
        <w:rPr>
          <w:noProof/>
          <w:snapToGrid w:val="0"/>
          <w:kern w:val="18"/>
          <w:szCs w:val="18"/>
          <w:lang w:val="fr-CA"/>
        </w:rPr>
        <w:t xml:space="preserve"> </w:t>
      </w:r>
      <w:r w:rsidR="003426E3">
        <w:fldChar w:fldCharType="begin"/>
      </w:r>
      <w:r w:rsidR="003426E3" w:rsidRPr="009620E1">
        <w:rPr>
          <w:lang w:val="fr-CA"/>
        </w:rPr>
        <w:instrText xml:space="preserve"> HYPERLINK "https://www.cbd.int/doc/notifications/2017/ntf-2017-061-rm-en.pdf" </w:instrText>
      </w:r>
      <w:r w:rsidR="003426E3">
        <w:fldChar w:fldCharType="separate"/>
      </w:r>
      <w:r w:rsidRPr="00D86ED8">
        <w:rPr>
          <w:rStyle w:val="Hyperlink"/>
          <w:noProof/>
          <w:snapToGrid w:val="0"/>
          <w:kern w:val="18"/>
          <w:szCs w:val="18"/>
          <w:lang w:val="fr-CA"/>
        </w:rPr>
        <w:t>2017-061</w:t>
      </w:r>
      <w:r w:rsidR="003426E3">
        <w:rPr>
          <w:rStyle w:val="Hyperlink"/>
          <w:noProof/>
          <w:snapToGrid w:val="0"/>
          <w:kern w:val="18"/>
          <w:szCs w:val="18"/>
          <w:lang w:val="fr-CA"/>
        </w:rPr>
        <w:fldChar w:fldCharType="end"/>
      </w:r>
      <w:r w:rsidRPr="00D86ED8">
        <w:rPr>
          <w:noProof/>
          <w:snapToGrid w:val="0"/>
          <w:kern w:val="18"/>
          <w:szCs w:val="18"/>
          <w:lang w:val="fr-CA"/>
        </w:rPr>
        <w:t>.</w:t>
      </w:r>
    </w:p>
  </w:footnote>
  <w:footnote w:id="9">
    <w:p w:rsidR="00F4116A" w:rsidRPr="00D86ED8" w:rsidRDefault="00F4116A" w:rsidP="005E0EEF">
      <w:pPr>
        <w:pStyle w:val="FootnoteText"/>
        <w:suppressLineNumbers/>
        <w:suppressAutoHyphens/>
        <w:kinsoku w:val="0"/>
        <w:overflowPunct w:val="0"/>
        <w:autoSpaceDE w:val="0"/>
        <w:autoSpaceDN w:val="0"/>
        <w:ind w:firstLine="0"/>
        <w:jc w:val="left"/>
        <w:rPr>
          <w:noProof/>
          <w:snapToGrid w:val="0"/>
          <w:kern w:val="18"/>
          <w:szCs w:val="18"/>
          <w:lang w:val="fr-CA"/>
        </w:rPr>
      </w:pPr>
      <w:r w:rsidRPr="00D86ED8">
        <w:rPr>
          <w:rStyle w:val="FootnoteReference"/>
          <w:noProof/>
          <w:snapToGrid w:val="0"/>
          <w:kern w:val="18"/>
          <w:sz w:val="18"/>
          <w:szCs w:val="18"/>
          <w:lang w:val="fr-CA"/>
        </w:rPr>
        <w:footnoteRef/>
      </w:r>
      <w:r w:rsidRPr="00D86ED8">
        <w:rPr>
          <w:noProof/>
          <w:snapToGrid w:val="0"/>
          <w:kern w:val="18"/>
          <w:szCs w:val="18"/>
          <w:lang w:val="fr-CA"/>
        </w:rPr>
        <w:t xml:space="preserve"> </w:t>
      </w:r>
      <w:r w:rsidR="003426E3">
        <w:fldChar w:fldCharType="begin"/>
      </w:r>
      <w:r w:rsidR="003426E3" w:rsidRPr="009620E1">
        <w:rPr>
          <w:lang w:val="fr-CA"/>
        </w:rPr>
        <w:instrText xml:space="preserve"> HYPERLINK "https://www.cbd.int/doc/notifications/2018/ntf-2018-024-rm-en.pdf" </w:instrText>
      </w:r>
      <w:r w:rsidR="003426E3">
        <w:fldChar w:fldCharType="separate"/>
      </w:r>
      <w:r w:rsidRPr="00D86ED8">
        <w:rPr>
          <w:rStyle w:val="Hyperlink"/>
          <w:noProof/>
          <w:snapToGrid w:val="0"/>
          <w:kern w:val="18"/>
          <w:szCs w:val="18"/>
          <w:lang w:val="fr-CA"/>
        </w:rPr>
        <w:t>2018-024</w:t>
      </w:r>
      <w:r w:rsidR="003426E3">
        <w:rPr>
          <w:rStyle w:val="Hyperlink"/>
          <w:noProof/>
          <w:snapToGrid w:val="0"/>
          <w:kern w:val="18"/>
          <w:szCs w:val="18"/>
          <w:lang w:val="fr-CA"/>
        </w:rPr>
        <w:fldChar w:fldCharType="end"/>
      </w:r>
      <w:r w:rsidRPr="00D86ED8">
        <w:rPr>
          <w:noProof/>
          <w:snapToGrid w:val="0"/>
          <w:kern w:val="18"/>
          <w:szCs w:val="18"/>
          <w:lang w:val="fr-CA"/>
        </w:rPr>
        <w:t>.</w:t>
      </w:r>
    </w:p>
  </w:footnote>
  <w:footnote w:id="10">
    <w:p w:rsidR="00F4116A" w:rsidRPr="00D86ED8" w:rsidRDefault="00F4116A" w:rsidP="00FB1485">
      <w:pPr>
        <w:pStyle w:val="FootnoteText"/>
        <w:ind w:firstLine="0"/>
        <w:rPr>
          <w:lang w:val="fr-CA"/>
        </w:rPr>
      </w:pPr>
      <w:r w:rsidRPr="00D86ED8">
        <w:rPr>
          <w:rStyle w:val="FootnoteReference"/>
          <w:lang w:val="fr-CA"/>
        </w:rPr>
        <w:footnoteRef/>
      </w:r>
      <w:r w:rsidRPr="00D86ED8">
        <w:rPr>
          <w:lang w:val="fr-CA"/>
        </w:rPr>
        <w:t xml:space="preserve"> Par ailleurs, l’Autriche et la Suède avaient déjà fait rapport sur les progrès jusqu’en 2020, au cours du deuxième cycle d’établissement de rapports conformément au paragraphe 8 de la décision XIII/20.</w:t>
      </w:r>
    </w:p>
  </w:footnote>
  <w:footnote w:id="11">
    <w:p w:rsidR="00F4116A" w:rsidRPr="00D86ED8" w:rsidRDefault="00F4116A" w:rsidP="008E490A">
      <w:pPr>
        <w:pStyle w:val="FootnoteText"/>
        <w:ind w:firstLine="0"/>
        <w:rPr>
          <w:lang w:val="fr-CA"/>
        </w:rPr>
      </w:pPr>
      <w:r w:rsidRPr="00D86ED8">
        <w:rPr>
          <w:rStyle w:val="FootnoteReference"/>
          <w:lang w:val="fr-CA"/>
        </w:rPr>
        <w:footnoteRef/>
      </w:r>
      <w:r w:rsidRPr="00D86ED8">
        <w:rPr>
          <w:lang w:val="fr-CA"/>
        </w:rPr>
        <w:t xml:space="preserve"> </w:t>
      </w:r>
      <w:r w:rsidR="003426E3">
        <w:fldChar w:fldCharType="begin"/>
      </w:r>
      <w:r w:rsidR="003426E3" w:rsidRPr="009620E1">
        <w:rPr>
          <w:lang w:val="fr-CA"/>
        </w:rPr>
        <w:instrText xml:space="preserve"> HYPERLINK "http://www.biodiversityfinance.net/" </w:instrText>
      </w:r>
      <w:r w:rsidR="003426E3">
        <w:fldChar w:fldCharType="separate"/>
      </w:r>
      <w:r w:rsidRPr="00D86ED8">
        <w:rPr>
          <w:rStyle w:val="Hyperlink"/>
          <w:lang w:val="fr-CA"/>
        </w:rPr>
        <w:t>http://www.biodiversityfinance.net/</w:t>
      </w:r>
      <w:r w:rsidR="003426E3">
        <w:rPr>
          <w:rStyle w:val="Hyperlink"/>
          <w:lang w:val="fr-CA"/>
        </w:rPr>
        <w:fldChar w:fldCharType="end"/>
      </w:r>
      <w:r w:rsidRPr="00D86ED8">
        <w:rPr>
          <w:lang w:val="fr-CA"/>
        </w:rPr>
        <w:t xml:space="preserve"> .</w:t>
      </w:r>
    </w:p>
  </w:footnote>
  <w:footnote w:id="12">
    <w:p w:rsidR="00F4116A" w:rsidRPr="00D86ED8" w:rsidRDefault="00F4116A" w:rsidP="00746579">
      <w:pPr>
        <w:pStyle w:val="FootnoteText"/>
        <w:ind w:firstLine="0"/>
        <w:rPr>
          <w:lang w:val="fr-CA"/>
        </w:rPr>
      </w:pPr>
      <w:r w:rsidRPr="00D86ED8">
        <w:rPr>
          <w:rStyle w:val="FootnoteReference"/>
          <w:lang w:val="fr-CA"/>
        </w:rPr>
        <w:footnoteRef/>
      </w:r>
      <w:r w:rsidRPr="00D86ED8">
        <w:rPr>
          <w:lang w:val="fr-CA"/>
        </w:rPr>
        <w:t xml:space="preserve"> Belize, Brésil, Bhoutan, Cuba, Géorgie, Kirghizistan, Mongolie, Mozambique, Rwanda, Sri Lanka, et Viet Nam.</w:t>
      </w:r>
    </w:p>
  </w:footnote>
  <w:footnote w:id="13">
    <w:p w:rsidR="00F4116A" w:rsidRPr="00D86ED8" w:rsidRDefault="00F4116A" w:rsidP="000A11E8">
      <w:pPr>
        <w:pStyle w:val="FootnoteText"/>
        <w:ind w:firstLine="0"/>
        <w:rPr>
          <w:lang w:val="fr-CA"/>
        </w:rPr>
      </w:pPr>
      <w:r w:rsidRPr="00D86ED8">
        <w:rPr>
          <w:rStyle w:val="FootnoteReference"/>
          <w:lang w:val="fr-CA"/>
        </w:rPr>
        <w:footnoteRef/>
      </w:r>
      <w:r w:rsidRPr="00D86ED8">
        <w:rPr>
          <w:lang w:val="fr-CA"/>
        </w:rPr>
        <w:t xml:space="preserve"> http://www.biodiversityfinance.net/regional-nodes</w:t>
      </w:r>
    </w:p>
  </w:footnote>
  <w:footnote w:id="14">
    <w:p w:rsidR="00F4116A" w:rsidRPr="00D86ED8" w:rsidRDefault="00F4116A" w:rsidP="007C1E8E">
      <w:pPr>
        <w:pStyle w:val="FootnoteText"/>
        <w:ind w:firstLine="0"/>
        <w:rPr>
          <w:lang w:val="fr-CA"/>
        </w:rPr>
      </w:pPr>
      <w:r w:rsidRPr="00D86ED8">
        <w:rPr>
          <w:rStyle w:val="FootnoteReference"/>
          <w:lang w:val="fr-CA"/>
        </w:rPr>
        <w:footnoteRef/>
      </w:r>
      <w:r w:rsidRPr="00D86ED8">
        <w:rPr>
          <w:lang w:val="fr-CA"/>
        </w:rPr>
        <w:t xml:space="preserve"> La Secrétaire exécutive continuera à contribuer à la prestation de ces services de renforcement des capacités. Voir également le paragraphe 36 du document CBD/SBI/2/INF/</w:t>
      </w:r>
      <w:proofErr w:type="gramStart"/>
      <w:r w:rsidRPr="00D86ED8">
        <w:rPr>
          <w:lang w:val="fr-CA"/>
        </w:rPr>
        <w:t>6..</w:t>
      </w:r>
      <w:proofErr w:type="gramEnd"/>
    </w:p>
  </w:footnote>
  <w:footnote w:id="15">
    <w:p w:rsidR="00F4116A" w:rsidRPr="00D86ED8" w:rsidRDefault="00F4116A" w:rsidP="00510D7B">
      <w:pPr>
        <w:pStyle w:val="FootnoteText"/>
        <w:ind w:firstLine="0"/>
        <w:rPr>
          <w:lang w:val="fr-CA"/>
        </w:rPr>
      </w:pPr>
      <w:r w:rsidRPr="00D86ED8">
        <w:rPr>
          <w:rStyle w:val="FootnoteReference"/>
          <w:lang w:val="fr-CA"/>
        </w:rPr>
        <w:footnoteRef/>
      </w:r>
      <w:r w:rsidRPr="00D86ED8">
        <w:rPr>
          <w:lang w:val="fr-CA"/>
        </w:rPr>
        <w:t xml:space="preserve"> Notifications 2016/143 du 23 novembre 2016 et 2017/009 du 8 février 2017.</w:t>
      </w:r>
    </w:p>
  </w:footnote>
  <w:footnote w:id="16">
    <w:p w:rsidR="00F4116A" w:rsidRPr="00D86ED8" w:rsidRDefault="00F4116A" w:rsidP="00023183">
      <w:pPr>
        <w:pStyle w:val="FootnoteText"/>
        <w:ind w:firstLine="0"/>
        <w:rPr>
          <w:lang w:val="fr-CA"/>
        </w:rPr>
      </w:pPr>
      <w:r w:rsidRPr="00D86ED8">
        <w:rPr>
          <w:rStyle w:val="FootnoteReference"/>
          <w:lang w:val="fr-CA"/>
        </w:rPr>
        <w:footnoteRef/>
      </w:r>
      <w:r w:rsidRPr="00D86ED8">
        <w:rPr>
          <w:lang w:val="fr-CA"/>
        </w:rPr>
        <w:t xml:space="preserve"> </w:t>
      </w:r>
      <w:r w:rsidR="003426E3">
        <w:fldChar w:fldCharType="begin"/>
      </w:r>
      <w:r w:rsidR="003426E3" w:rsidRPr="009620E1">
        <w:rPr>
          <w:lang w:val="fr-CA"/>
        </w:rPr>
        <w:instrText xml:space="preserve"> HYPERLINK "https://www.ipbes.net/conceptual-framework" </w:instrText>
      </w:r>
      <w:r w:rsidR="003426E3">
        <w:fldChar w:fldCharType="separate"/>
      </w:r>
      <w:r w:rsidRPr="00D86ED8">
        <w:rPr>
          <w:rStyle w:val="Hyperlink"/>
          <w:lang w:val="fr-CA"/>
        </w:rPr>
        <w:t>https://www.ipbes.net/conceptual-framework</w:t>
      </w:r>
      <w:r w:rsidR="003426E3">
        <w:rPr>
          <w:rStyle w:val="Hyperlink"/>
          <w:lang w:val="fr-CA"/>
        </w:rPr>
        <w:fldChar w:fldCharType="end"/>
      </w:r>
      <w:r w:rsidRPr="00D86ED8">
        <w:rPr>
          <w:lang w:val="fr-CA"/>
        </w:rPr>
        <w:t xml:space="preserve"> .</w:t>
      </w:r>
    </w:p>
  </w:footnote>
  <w:footnote w:id="17">
    <w:p w:rsidR="00F4116A" w:rsidRPr="00D86ED8" w:rsidRDefault="00F4116A" w:rsidP="001C6497">
      <w:pPr>
        <w:pStyle w:val="FootnoteText"/>
        <w:ind w:firstLine="0"/>
        <w:rPr>
          <w:lang w:val="fr-CA"/>
        </w:rPr>
      </w:pPr>
      <w:r w:rsidRPr="00D86ED8">
        <w:rPr>
          <w:rStyle w:val="FootnoteReference"/>
          <w:lang w:val="fr-CA"/>
        </w:rPr>
        <w:footnoteRef/>
      </w:r>
      <w:r w:rsidRPr="00D86ED8">
        <w:rPr>
          <w:lang w:val="fr-CA"/>
        </w:rPr>
        <w:t xml:space="preserve"> </w:t>
      </w:r>
      <w:r w:rsidR="003426E3">
        <w:fldChar w:fldCharType="begin"/>
      </w:r>
      <w:r w:rsidR="003426E3" w:rsidRPr="009620E1">
        <w:rPr>
          <w:lang w:val="fr-CA"/>
        </w:rPr>
        <w:instrText xml:space="preserve"> HYPERLINK "http://www.biodiversityfinance.net/finance-solutions" </w:instrText>
      </w:r>
      <w:r w:rsidR="003426E3">
        <w:fldChar w:fldCharType="separate"/>
      </w:r>
      <w:r w:rsidRPr="00D86ED8">
        <w:rPr>
          <w:rStyle w:val="Hyperlink"/>
          <w:lang w:val="fr-CA"/>
        </w:rPr>
        <w:t>www.biodiversityfinance.net/finance-solutions</w:t>
      </w:r>
      <w:r w:rsidR="003426E3">
        <w:rPr>
          <w:rStyle w:val="Hyperlink"/>
          <w:lang w:val="fr-CA"/>
        </w:rPr>
        <w:fldChar w:fldCharType="end"/>
      </w:r>
      <w:r w:rsidRPr="00D86ED8">
        <w:rPr>
          <w:lang w:val="fr-CA"/>
        </w:rPr>
        <w:t xml:space="preserve"> .</w:t>
      </w:r>
    </w:p>
  </w:footnote>
  <w:footnote w:id="18">
    <w:p w:rsidR="00F4116A" w:rsidRPr="00D86ED8" w:rsidRDefault="00F4116A" w:rsidP="00904AD6">
      <w:pPr>
        <w:pStyle w:val="FootnoteText"/>
        <w:ind w:firstLine="0"/>
        <w:rPr>
          <w:lang w:val="fr-CA"/>
        </w:rPr>
      </w:pPr>
      <w:r w:rsidRPr="00D86ED8">
        <w:rPr>
          <w:rStyle w:val="FootnoteReference"/>
          <w:lang w:val="fr-CA"/>
        </w:rPr>
        <w:footnoteRef/>
      </w:r>
      <w:r w:rsidRPr="00D86ED8">
        <w:rPr>
          <w:lang w:val="fr-CA"/>
        </w:rPr>
        <w:t xml:space="preserve"> Au titre de la </w:t>
      </w:r>
      <w:r w:rsidRPr="00D86ED8">
        <w:rPr>
          <w:snapToGrid w:val="0"/>
          <w:kern w:val="22"/>
          <w:szCs w:val="22"/>
          <w:lang w:val="fr-CA" w:bidi="fr-FR"/>
        </w:rPr>
        <w:t>méthodologie des marqueurs de Rio, la contribution d’institutions bilatérales de financement du développement</w:t>
      </w:r>
      <w:r w:rsidRPr="00D86ED8">
        <w:rPr>
          <w:lang w:val="fr-CA"/>
        </w:rPr>
        <w:t xml:space="preserve"> à la protection de l’environnement, y compris de la biodiversité, est surveillée par le Comité d’assistance au développement (CAD) de l’Organisation de coopération et de développement économiques (OCDE). Il existe trois possibles valeurs pour les marqueurs de Rio, comme suit : (0) les thèmes de la Convention de Rio ne sont pas ciblés; (1) ils constituent un objectif important de l’action; (3) ils sont l’o</w:t>
      </w:r>
      <w:r w:rsidR="00904AD6">
        <w:rPr>
          <w:lang w:val="fr-CA"/>
        </w:rPr>
        <w:t>bjectif principal de l’action.</w:t>
      </w:r>
    </w:p>
  </w:footnote>
  <w:footnote w:id="19">
    <w:p w:rsidR="00F4116A" w:rsidRPr="00D86ED8" w:rsidRDefault="00F4116A" w:rsidP="00904AD6">
      <w:pPr>
        <w:pStyle w:val="FootnoteText"/>
        <w:ind w:firstLine="0"/>
        <w:rPr>
          <w:lang w:val="fr-CA"/>
        </w:rPr>
      </w:pPr>
      <w:r w:rsidRPr="00D86ED8">
        <w:rPr>
          <w:rStyle w:val="FootnoteReference"/>
          <w:lang w:val="fr-CA"/>
        </w:rPr>
        <w:footnoteRef/>
      </w:r>
      <w:r w:rsidRPr="00D86ED8">
        <w:rPr>
          <w:lang w:val="fr-CA"/>
        </w:rPr>
        <w:t xml:space="preserve"> Le but du </w:t>
      </w:r>
      <w:r w:rsidRPr="00D86ED8">
        <w:rPr>
          <w:rStyle w:val="preferred"/>
          <w:lang w:val="fr-CA"/>
        </w:rPr>
        <w:t xml:space="preserve">Groupe de réflexion </w:t>
      </w:r>
      <w:proofErr w:type="spellStart"/>
      <w:r w:rsidRPr="00D86ED8">
        <w:rPr>
          <w:rStyle w:val="preferred"/>
          <w:lang w:val="fr-CA"/>
        </w:rPr>
        <w:t>interinstitutions</w:t>
      </w:r>
      <w:proofErr w:type="spellEnd"/>
      <w:r w:rsidRPr="00D86ED8">
        <w:rPr>
          <w:rStyle w:val="preferred"/>
          <w:lang w:val="fr-CA"/>
        </w:rPr>
        <w:t xml:space="preserve"> (GRI)</w:t>
      </w:r>
      <w:r w:rsidRPr="00D86ED8">
        <w:rPr>
          <w:lang w:val="fr-CA"/>
        </w:rPr>
        <w:t xml:space="preserve"> est a) de faire rapport annuellement sur les progrès dans la mise en œuvre des résultats du Financement pour le développement du </w:t>
      </w:r>
      <w:r w:rsidRPr="00D86ED8">
        <w:rPr>
          <w:snapToGrid w:val="0"/>
          <w:kern w:val="22"/>
          <w:szCs w:val="22"/>
          <w:lang w:val="fr-CA" w:bidi="fr-FR"/>
        </w:rPr>
        <w:t>Programme d’action d’Addis</w:t>
      </w:r>
      <w:r w:rsidRPr="00D86ED8">
        <w:rPr>
          <w:snapToGrid w:val="0"/>
          <w:kern w:val="22"/>
          <w:szCs w:val="22"/>
          <w:lang w:val="fr-CA" w:bidi="fr-FR"/>
        </w:rPr>
        <w:noBreakHyphen/>
        <w:t>Abeba et sur les moyens de mise en œuvre du Programme de développement durable à l’horizon 2030, et b) de conseiller les processus de suivi intergouvernementaux sur les lacunes dans la mise en œuvre et les recommandations de mesures correctives, tout en tenant compte des dimensions nationale et régionale.</w:t>
      </w:r>
    </w:p>
  </w:footnote>
  <w:footnote w:id="20">
    <w:p w:rsidR="00F4116A" w:rsidRPr="00D86ED8" w:rsidRDefault="00F4116A" w:rsidP="00AA48C2">
      <w:pPr>
        <w:pStyle w:val="FootnoteText"/>
        <w:suppressLineNumbers/>
        <w:suppressAutoHyphens/>
        <w:kinsoku w:val="0"/>
        <w:overflowPunct w:val="0"/>
        <w:autoSpaceDE w:val="0"/>
        <w:autoSpaceDN w:val="0"/>
        <w:ind w:firstLine="0"/>
        <w:jc w:val="left"/>
        <w:rPr>
          <w:noProof/>
          <w:snapToGrid w:val="0"/>
          <w:kern w:val="18"/>
          <w:szCs w:val="18"/>
          <w:lang w:val="fr-CA"/>
        </w:rPr>
      </w:pPr>
      <w:r w:rsidRPr="00D86ED8">
        <w:rPr>
          <w:rStyle w:val="FootnoteReference"/>
          <w:noProof/>
          <w:snapToGrid w:val="0"/>
          <w:kern w:val="18"/>
          <w:sz w:val="18"/>
          <w:szCs w:val="18"/>
          <w:lang w:val="fr-CA"/>
        </w:rPr>
        <w:footnoteRef/>
      </w:r>
      <w:r w:rsidRPr="00D86ED8">
        <w:rPr>
          <w:noProof/>
          <w:snapToGrid w:val="0"/>
          <w:kern w:val="18"/>
          <w:szCs w:val="18"/>
          <w:lang w:val="fr-CA"/>
        </w:rPr>
        <w:t xml:space="preserve"> Pour la documentation de la réunion, voir </w:t>
      </w:r>
      <w:r w:rsidR="003426E3">
        <w:fldChar w:fldCharType="begin"/>
      </w:r>
      <w:r w:rsidR="003426E3" w:rsidRPr="009620E1">
        <w:rPr>
          <w:lang w:val="fr-CA"/>
        </w:rPr>
        <w:instrText xml:space="preserve"> HYPERLINK "https:/</w:instrText>
      </w:r>
      <w:r w:rsidR="003426E3" w:rsidRPr="009620E1">
        <w:rPr>
          <w:lang w:val="fr-CA"/>
        </w:rPr>
        <w:instrText xml:space="preserve">/www.cbd.int/meetings/RMEM-2015-01" </w:instrText>
      </w:r>
      <w:r w:rsidR="003426E3">
        <w:fldChar w:fldCharType="separate"/>
      </w:r>
      <w:r w:rsidRPr="00D86ED8">
        <w:rPr>
          <w:rStyle w:val="Hyperlink"/>
          <w:noProof/>
          <w:snapToGrid w:val="0"/>
          <w:kern w:val="18"/>
          <w:szCs w:val="18"/>
          <w:lang w:val="fr-CA"/>
        </w:rPr>
        <w:t>https://www.cbd.int/meetings/RMEM-2015-01</w:t>
      </w:r>
      <w:r w:rsidR="003426E3">
        <w:rPr>
          <w:rStyle w:val="Hyperlink"/>
          <w:noProof/>
          <w:snapToGrid w:val="0"/>
          <w:kern w:val="18"/>
          <w:szCs w:val="18"/>
          <w:lang w:val="fr-CA"/>
        </w:rPr>
        <w:fldChar w:fldCharType="end"/>
      </w:r>
    </w:p>
  </w:footnote>
  <w:footnote w:id="21">
    <w:p w:rsidR="00F4116A" w:rsidRPr="00D86ED8" w:rsidRDefault="00F4116A" w:rsidP="00DC1836">
      <w:pPr>
        <w:pStyle w:val="FootnoteText"/>
        <w:suppressLineNumbers/>
        <w:suppressAutoHyphens/>
        <w:kinsoku w:val="0"/>
        <w:overflowPunct w:val="0"/>
        <w:autoSpaceDE w:val="0"/>
        <w:autoSpaceDN w:val="0"/>
        <w:ind w:firstLine="0"/>
        <w:jc w:val="left"/>
        <w:rPr>
          <w:noProof/>
          <w:snapToGrid w:val="0"/>
          <w:kern w:val="18"/>
          <w:szCs w:val="18"/>
          <w:lang w:val="fr-CA"/>
        </w:rPr>
      </w:pPr>
      <w:r w:rsidRPr="00D86ED8">
        <w:rPr>
          <w:rStyle w:val="FootnoteReference"/>
          <w:noProof/>
          <w:snapToGrid w:val="0"/>
          <w:kern w:val="18"/>
          <w:sz w:val="18"/>
          <w:szCs w:val="18"/>
          <w:lang w:val="fr-CA"/>
        </w:rPr>
        <w:footnoteRef/>
      </w:r>
      <w:r w:rsidRPr="00D86ED8">
        <w:rPr>
          <w:noProof/>
          <w:snapToGrid w:val="0"/>
          <w:kern w:val="18"/>
          <w:szCs w:val="18"/>
          <w:lang w:val="fr-CA"/>
        </w:rPr>
        <w:t xml:space="preserve"> </w:t>
      </w:r>
      <w:r w:rsidRPr="00D86ED8">
        <w:rPr>
          <w:snapToGrid w:val="0"/>
          <w:kern w:val="22"/>
          <w:szCs w:val="22"/>
          <w:lang w:val="fr-CA" w:bidi="fr-FR"/>
        </w:rPr>
        <w:t xml:space="preserve">Groupe de réflexion </w:t>
      </w:r>
      <w:r w:rsidRPr="00D86ED8">
        <w:rPr>
          <w:noProof/>
          <w:snapToGrid w:val="0"/>
          <w:kern w:val="22"/>
          <w:szCs w:val="22"/>
          <w:lang w:val="fr-CA" w:bidi="fr-FR"/>
        </w:rPr>
        <w:t xml:space="preserve">interinstitutions </w:t>
      </w:r>
      <w:r w:rsidRPr="00D86ED8">
        <w:rPr>
          <w:snapToGrid w:val="0"/>
          <w:kern w:val="22"/>
          <w:szCs w:val="22"/>
          <w:lang w:val="fr-CA" w:bidi="fr-FR"/>
        </w:rPr>
        <w:t>sur le financement du développement</w:t>
      </w:r>
      <w:r w:rsidRPr="00D86ED8">
        <w:rPr>
          <w:noProof/>
          <w:snapToGrid w:val="0"/>
          <w:kern w:val="18"/>
          <w:szCs w:val="18"/>
          <w:lang w:val="fr-CA"/>
        </w:rPr>
        <w:t xml:space="preserve">, </w:t>
      </w:r>
      <w:r w:rsidR="003426E3">
        <w:fldChar w:fldCharType="begin"/>
      </w:r>
      <w:r w:rsidR="003426E3" w:rsidRPr="009620E1">
        <w:rPr>
          <w:lang w:val="fr-CA"/>
        </w:rPr>
        <w:instrText xml:space="preserve"> HYPERLINK "https://developmentfinance.un.org/iatf2018" </w:instrText>
      </w:r>
      <w:r w:rsidR="003426E3">
        <w:fldChar w:fldCharType="separate"/>
      </w:r>
      <w:r w:rsidRPr="00D86ED8">
        <w:rPr>
          <w:rStyle w:val="Hyperlink"/>
          <w:i/>
          <w:iCs/>
          <w:noProof/>
          <w:snapToGrid w:val="0"/>
          <w:kern w:val="18"/>
          <w:szCs w:val="18"/>
          <w:lang w:val="fr-CA"/>
        </w:rPr>
        <w:t>Financing for Development: Progress and Prospects 2018</w:t>
      </w:r>
      <w:r w:rsidR="003426E3">
        <w:rPr>
          <w:rStyle w:val="Hyperlink"/>
          <w:i/>
          <w:iCs/>
          <w:noProof/>
          <w:snapToGrid w:val="0"/>
          <w:kern w:val="18"/>
          <w:szCs w:val="18"/>
          <w:lang w:val="fr-CA"/>
        </w:rPr>
        <w:fldChar w:fldCharType="end"/>
      </w:r>
      <w:r w:rsidRPr="00D86ED8">
        <w:rPr>
          <w:noProof/>
          <w:snapToGrid w:val="0"/>
          <w:kern w:val="18"/>
          <w:szCs w:val="18"/>
          <w:lang w:val="fr-CA"/>
        </w:rPr>
        <w:t xml:space="preserve"> (Publication des Nations Unies, n</w:t>
      </w:r>
      <w:r w:rsidRPr="00D86ED8">
        <w:rPr>
          <w:noProof/>
          <w:snapToGrid w:val="0"/>
          <w:kern w:val="18"/>
          <w:szCs w:val="18"/>
          <w:vertAlign w:val="superscript"/>
          <w:lang w:val="fr-CA"/>
        </w:rPr>
        <w:t>o</w:t>
      </w:r>
      <w:r w:rsidRPr="00D86ED8">
        <w:rPr>
          <w:noProof/>
          <w:snapToGrid w:val="0"/>
          <w:kern w:val="18"/>
          <w:szCs w:val="18"/>
          <w:lang w:val="fr-CA"/>
        </w:rPr>
        <w:t> de vente E.18.I.5).</w:t>
      </w:r>
    </w:p>
  </w:footnote>
  <w:footnote w:id="22">
    <w:p w:rsidR="00F4116A" w:rsidRPr="00D86ED8" w:rsidRDefault="00F4116A" w:rsidP="00DC1836">
      <w:pPr>
        <w:pStyle w:val="FootnoteText"/>
        <w:suppressLineNumbers/>
        <w:suppressAutoHyphens/>
        <w:kinsoku w:val="0"/>
        <w:overflowPunct w:val="0"/>
        <w:autoSpaceDE w:val="0"/>
        <w:autoSpaceDN w:val="0"/>
        <w:ind w:firstLine="0"/>
        <w:jc w:val="left"/>
        <w:rPr>
          <w:noProof/>
          <w:snapToGrid w:val="0"/>
          <w:kern w:val="18"/>
          <w:szCs w:val="18"/>
          <w:lang w:val="fr-CA"/>
        </w:rPr>
      </w:pPr>
      <w:r w:rsidRPr="00D86ED8">
        <w:rPr>
          <w:rStyle w:val="FootnoteReference"/>
          <w:noProof/>
          <w:snapToGrid w:val="0"/>
          <w:kern w:val="18"/>
          <w:sz w:val="18"/>
          <w:szCs w:val="18"/>
          <w:lang w:val="fr-CA"/>
        </w:rPr>
        <w:footnoteRef/>
      </w:r>
      <w:r w:rsidRPr="00D86ED8">
        <w:rPr>
          <w:noProof/>
          <w:snapToGrid w:val="0"/>
          <w:kern w:val="18"/>
          <w:szCs w:val="18"/>
          <w:lang w:val="fr-CA"/>
        </w:rPr>
        <w:t xml:space="preserve"> </w:t>
      </w:r>
      <w:r w:rsidR="003426E3">
        <w:fldChar w:fldCharType="begin"/>
      </w:r>
      <w:r w:rsidR="003426E3" w:rsidRPr="009620E1">
        <w:rPr>
          <w:lang w:val="fr-CA"/>
        </w:rPr>
        <w:instrText xml:space="preserve"> HYPERLINK "https://developmentfinance.un.org/protecting-ecosystems" </w:instrText>
      </w:r>
      <w:r w:rsidR="003426E3">
        <w:fldChar w:fldCharType="separate"/>
      </w:r>
      <w:r w:rsidRPr="00D86ED8">
        <w:rPr>
          <w:rStyle w:val="Hyperlink"/>
          <w:noProof/>
          <w:snapToGrid w:val="0"/>
          <w:kern w:val="18"/>
          <w:szCs w:val="18"/>
          <w:lang w:val="fr-CA"/>
        </w:rPr>
        <w:t>https://developmentfinance.un.org/protecting-ecosystems</w:t>
      </w:r>
      <w:r w:rsidR="003426E3">
        <w:rPr>
          <w:rStyle w:val="Hyperlink"/>
          <w:noProof/>
          <w:snapToGrid w:val="0"/>
          <w:kern w:val="18"/>
          <w:szCs w:val="18"/>
          <w:lang w:val="fr-CA"/>
        </w:rPr>
        <w:fldChar w:fldCharType="end"/>
      </w:r>
    </w:p>
  </w:footnote>
  <w:footnote w:id="23">
    <w:p w:rsidR="00F4116A" w:rsidRPr="00D86ED8" w:rsidRDefault="00F4116A" w:rsidP="0075778D">
      <w:pPr>
        <w:pStyle w:val="FootnoteText"/>
        <w:ind w:firstLine="0"/>
        <w:rPr>
          <w:lang w:val="fr-CA"/>
        </w:rPr>
      </w:pPr>
      <w:r w:rsidRPr="00D86ED8">
        <w:rPr>
          <w:rStyle w:val="FootnoteReference"/>
          <w:lang w:val="fr-CA"/>
        </w:rPr>
        <w:footnoteRef/>
      </w:r>
      <w:r w:rsidRPr="00D86ED8">
        <w:rPr>
          <w:lang w:val="fr-CA"/>
        </w:rPr>
        <w:t xml:space="preserve"> </w:t>
      </w:r>
      <w:r w:rsidRPr="00D86ED8">
        <w:rPr>
          <w:snapToGrid w:val="0"/>
          <w:kern w:val="22"/>
          <w:szCs w:val="22"/>
          <w:lang w:val="fr-CA"/>
        </w:rPr>
        <w:t>Paragraphes 18 à 21 ainsi que 26 à 28.</w:t>
      </w:r>
    </w:p>
  </w:footnote>
  <w:footnote w:id="24">
    <w:p w:rsidR="00F4116A" w:rsidRPr="00D86ED8" w:rsidRDefault="00F4116A" w:rsidP="005F4EB3">
      <w:pPr>
        <w:pStyle w:val="FootnoteText"/>
        <w:ind w:firstLine="0"/>
        <w:rPr>
          <w:lang w:val="fr-CA"/>
        </w:rPr>
      </w:pPr>
      <w:r w:rsidRPr="00D86ED8">
        <w:rPr>
          <w:rStyle w:val="FootnoteReference"/>
          <w:lang w:val="fr-CA"/>
        </w:rPr>
        <w:footnoteRef/>
      </w:r>
      <w:r w:rsidRPr="00D86ED8">
        <w:rPr>
          <w:lang w:val="fr-CA"/>
        </w:rPr>
        <w:t xml:space="preserve"> Décision </w:t>
      </w:r>
      <w:r w:rsidR="003426E3">
        <w:fldChar w:fldCharType="begin"/>
      </w:r>
      <w:r w:rsidR="003426E3" w:rsidRPr="009620E1">
        <w:rPr>
          <w:lang w:val="fr-CA"/>
        </w:rPr>
        <w:instrText xml:space="preserve"> H</w:instrText>
      </w:r>
      <w:r w:rsidR="003426E3" w:rsidRPr="009620E1">
        <w:rPr>
          <w:lang w:val="fr-CA"/>
        </w:rPr>
        <w:instrText xml:space="preserve">YPERLINK "https://www.cbd.int/doc/decisions/cop-10/cop-10-dec-44-fr.pdf" </w:instrText>
      </w:r>
      <w:r w:rsidR="003426E3">
        <w:fldChar w:fldCharType="separate"/>
      </w:r>
      <w:r w:rsidR="00683932">
        <w:rPr>
          <w:rStyle w:val="Hyperlink"/>
          <w:noProof/>
          <w:snapToGrid w:val="0"/>
          <w:kern w:val="18"/>
          <w:szCs w:val="18"/>
          <w:lang w:val="fr-CA"/>
        </w:rPr>
        <w:t>X/44</w:t>
      </w:r>
      <w:r w:rsidR="003426E3">
        <w:rPr>
          <w:rStyle w:val="Hyperlink"/>
          <w:noProof/>
          <w:snapToGrid w:val="0"/>
          <w:kern w:val="18"/>
          <w:szCs w:val="18"/>
          <w:lang w:val="fr-CA"/>
        </w:rPr>
        <w:fldChar w:fldCharType="end"/>
      </w:r>
      <w:r w:rsidR="00683932">
        <w:rPr>
          <w:noProof/>
          <w:snapToGrid w:val="0"/>
          <w:kern w:val="18"/>
          <w:szCs w:val="18"/>
          <w:lang w:val="fr-CA"/>
        </w:rPr>
        <w:t xml:space="preserve"> </w:t>
      </w:r>
      <w:r w:rsidRPr="00D86ED8">
        <w:rPr>
          <w:lang w:val="fr-CA"/>
        </w:rPr>
        <w:t xml:space="preserve"> sur les mesures d’incitation, paragraphe 9.</w:t>
      </w:r>
    </w:p>
  </w:footnote>
  <w:footnote w:id="25">
    <w:p w:rsidR="00F4116A" w:rsidRPr="00D86ED8" w:rsidRDefault="00F4116A" w:rsidP="0085459B">
      <w:pPr>
        <w:pStyle w:val="FootnoteText"/>
        <w:ind w:firstLine="0"/>
        <w:rPr>
          <w:lang w:val="fr-CA"/>
        </w:rPr>
      </w:pPr>
      <w:r w:rsidRPr="00D86ED8">
        <w:rPr>
          <w:rStyle w:val="FootnoteReference"/>
          <w:lang w:val="fr-CA"/>
        </w:rPr>
        <w:footnoteRef/>
      </w:r>
      <w:r w:rsidRPr="00D86ED8">
        <w:rPr>
          <w:lang w:val="fr-CA"/>
        </w:rPr>
        <w:t xml:space="preserve"> Au moyen d’activités philanthropiques ou d’investissements d’impact (investisseurs privés qui cherchent à avoir un impact social et environnemental positif parallèlement à leurs profits).</w:t>
      </w:r>
    </w:p>
  </w:footnote>
  <w:footnote w:id="26">
    <w:p w:rsidR="00F4116A" w:rsidRPr="00D86ED8" w:rsidRDefault="00F4116A" w:rsidP="0085459B">
      <w:pPr>
        <w:pStyle w:val="FootnoteText"/>
        <w:ind w:firstLine="0"/>
        <w:jc w:val="left"/>
        <w:rPr>
          <w:lang w:val="fr-CA"/>
        </w:rPr>
      </w:pPr>
      <w:r w:rsidRPr="00D86ED8">
        <w:rPr>
          <w:rStyle w:val="FootnoteReference"/>
          <w:lang w:val="fr-CA"/>
        </w:rPr>
        <w:footnoteRef/>
      </w:r>
      <w:r w:rsidRPr="00D86ED8">
        <w:rPr>
          <w:lang w:val="fr-CA"/>
        </w:rPr>
        <w:t xml:space="preserve"> </w:t>
      </w:r>
      <w:r w:rsidRPr="00D86ED8">
        <w:rPr>
          <w:snapToGrid w:val="0"/>
          <w:kern w:val="22"/>
          <w:szCs w:val="22"/>
          <w:lang w:val="fr-CA" w:bidi="fr-FR"/>
        </w:rPr>
        <w:t xml:space="preserve">Groupe de réflexion </w:t>
      </w:r>
      <w:r w:rsidRPr="00D86ED8">
        <w:rPr>
          <w:noProof/>
          <w:snapToGrid w:val="0"/>
          <w:kern w:val="22"/>
          <w:szCs w:val="22"/>
          <w:lang w:val="fr-CA" w:bidi="fr-FR"/>
        </w:rPr>
        <w:t xml:space="preserve">interinstitutions </w:t>
      </w:r>
      <w:r w:rsidRPr="00D86ED8">
        <w:rPr>
          <w:snapToGrid w:val="0"/>
          <w:kern w:val="22"/>
          <w:szCs w:val="22"/>
          <w:lang w:val="fr-CA" w:bidi="fr-FR"/>
        </w:rPr>
        <w:t>sur le financement du développement</w:t>
      </w:r>
      <w:r w:rsidRPr="00D86ED8">
        <w:rPr>
          <w:noProof/>
          <w:snapToGrid w:val="0"/>
          <w:kern w:val="18"/>
          <w:szCs w:val="18"/>
          <w:lang w:val="fr-CA"/>
        </w:rPr>
        <w:t xml:space="preserve">, </w:t>
      </w:r>
      <w:r w:rsidR="003426E3">
        <w:fldChar w:fldCharType="begin"/>
      </w:r>
      <w:r w:rsidR="003426E3" w:rsidRPr="009620E1">
        <w:rPr>
          <w:lang w:val="fr-CA"/>
        </w:rPr>
        <w:instrText xml:space="preserve"> HYPERLINK "https://developmentfinance.un.org/iatf2018" </w:instrText>
      </w:r>
      <w:r w:rsidR="003426E3">
        <w:fldChar w:fldCharType="separate"/>
      </w:r>
      <w:r w:rsidRPr="00D86ED8">
        <w:rPr>
          <w:rStyle w:val="Hyperlink"/>
          <w:i/>
          <w:iCs/>
          <w:noProof/>
          <w:snapToGrid w:val="0"/>
          <w:kern w:val="18"/>
          <w:szCs w:val="18"/>
          <w:lang w:val="fr-CA"/>
        </w:rPr>
        <w:t>Financing for Development: Progress and Prospects 2018</w:t>
      </w:r>
      <w:r w:rsidR="003426E3">
        <w:rPr>
          <w:rStyle w:val="Hyperlink"/>
          <w:i/>
          <w:iCs/>
          <w:noProof/>
          <w:snapToGrid w:val="0"/>
          <w:kern w:val="18"/>
          <w:szCs w:val="18"/>
          <w:lang w:val="fr-CA"/>
        </w:rPr>
        <w:fldChar w:fldCharType="end"/>
      </w:r>
      <w:r w:rsidRPr="00D86ED8">
        <w:rPr>
          <w:noProof/>
          <w:snapToGrid w:val="0"/>
          <w:kern w:val="18"/>
          <w:szCs w:val="18"/>
          <w:lang w:val="fr-CA"/>
        </w:rPr>
        <w:t xml:space="preserve"> (Publication des Nations Unies, n</w:t>
      </w:r>
      <w:r w:rsidRPr="00D86ED8">
        <w:rPr>
          <w:noProof/>
          <w:snapToGrid w:val="0"/>
          <w:kern w:val="18"/>
          <w:szCs w:val="18"/>
          <w:vertAlign w:val="superscript"/>
          <w:lang w:val="fr-CA"/>
        </w:rPr>
        <w:t>o</w:t>
      </w:r>
      <w:r w:rsidRPr="00D86ED8">
        <w:rPr>
          <w:noProof/>
          <w:snapToGrid w:val="0"/>
          <w:kern w:val="18"/>
          <w:szCs w:val="18"/>
          <w:lang w:val="fr-CA"/>
        </w:rPr>
        <w:t> de vente E.18.I.5), p.16.</w:t>
      </w:r>
    </w:p>
  </w:footnote>
  <w:footnote w:id="27">
    <w:p w:rsidR="00F4116A" w:rsidRPr="00D86ED8" w:rsidRDefault="00F4116A" w:rsidP="00A6217D">
      <w:pPr>
        <w:pStyle w:val="FootnoteText"/>
        <w:ind w:firstLine="0"/>
        <w:rPr>
          <w:lang w:val="fr-CA"/>
        </w:rPr>
      </w:pPr>
      <w:r w:rsidRPr="00D86ED8">
        <w:rPr>
          <w:rStyle w:val="FootnoteReference"/>
          <w:lang w:val="fr-CA"/>
        </w:rPr>
        <w:footnoteRef/>
      </w:r>
      <w:r w:rsidRPr="00D86ED8">
        <w:rPr>
          <w:lang w:val="fr-CA"/>
        </w:rPr>
        <w:t xml:space="preserve"> Ibid., p. 37.</w:t>
      </w:r>
    </w:p>
  </w:footnote>
  <w:footnote w:id="28">
    <w:p w:rsidR="00F4116A" w:rsidRPr="00D86ED8" w:rsidRDefault="00F4116A" w:rsidP="007C2C4B">
      <w:pPr>
        <w:pStyle w:val="FootnoteText"/>
        <w:ind w:firstLine="0"/>
        <w:rPr>
          <w:lang w:val="fr-CA"/>
        </w:rPr>
      </w:pPr>
      <w:r w:rsidRPr="00D86ED8">
        <w:rPr>
          <w:rStyle w:val="FootnoteReference"/>
          <w:lang w:val="fr-CA"/>
        </w:rPr>
        <w:footnoteRef/>
      </w:r>
      <w:r w:rsidRPr="00D86ED8">
        <w:rPr>
          <w:lang w:val="fr-CA"/>
        </w:rPr>
        <w:t xml:space="preserve"> Décision IX/11, </w:t>
      </w:r>
      <w:r w:rsidR="003426E3">
        <w:fldChar w:fldCharType="begin"/>
      </w:r>
      <w:r w:rsidR="003426E3" w:rsidRPr="009620E1">
        <w:rPr>
          <w:lang w:val="fr-CA"/>
        </w:rPr>
        <w:instrText xml:space="preserve"> HYPERLINK "https://www.cbd.in</w:instrText>
      </w:r>
      <w:r w:rsidR="003426E3" w:rsidRPr="009620E1">
        <w:rPr>
          <w:lang w:val="fr-CA"/>
        </w:rPr>
        <w:instrText xml:space="preserve">t/decision/cop/default.shtml?id=11654" </w:instrText>
      </w:r>
      <w:r w:rsidR="003426E3">
        <w:fldChar w:fldCharType="separate"/>
      </w:r>
      <w:r w:rsidRPr="00D86ED8">
        <w:rPr>
          <w:rStyle w:val="Hyperlink"/>
          <w:lang w:val="fr-CA"/>
        </w:rPr>
        <w:t>https://www.cbd.int/decision/cop/default.shtml?id=11654</w:t>
      </w:r>
      <w:r w:rsidR="003426E3">
        <w:rPr>
          <w:rStyle w:val="Hyperlink"/>
          <w:lang w:val="fr-CA"/>
        </w:rPr>
        <w:fldChar w:fldCharType="end"/>
      </w:r>
      <w:r w:rsidRPr="00D86ED8">
        <w:rPr>
          <w:lang w:val="fr-CA"/>
        </w:rPr>
        <w:t xml:space="preserve"> .</w:t>
      </w:r>
    </w:p>
  </w:footnote>
  <w:footnote w:id="29">
    <w:p w:rsidR="00F4116A" w:rsidRPr="00D86ED8" w:rsidRDefault="00F4116A" w:rsidP="007C2C4B">
      <w:pPr>
        <w:pStyle w:val="FootnoteText"/>
        <w:ind w:firstLine="0"/>
        <w:rPr>
          <w:lang w:val="fr-CA"/>
        </w:rPr>
      </w:pPr>
      <w:r w:rsidRPr="00D86ED8">
        <w:rPr>
          <w:rStyle w:val="FootnoteReference"/>
          <w:lang w:val="fr-CA"/>
        </w:rPr>
        <w:footnoteRef/>
      </w:r>
      <w:r w:rsidRPr="00D86ED8">
        <w:rPr>
          <w:lang w:val="fr-CA"/>
        </w:rPr>
        <w:t xml:space="preserve"> Décision X/3, paragraphe 7; </w:t>
      </w:r>
      <w:r w:rsidR="003426E3">
        <w:fldChar w:fldCharType="begin"/>
      </w:r>
      <w:r w:rsidR="003426E3" w:rsidRPr="009620E1">
        <w:rPr>
          <w:lang w:val="fr-CA"/>
        </w:rPr>
        <w:instrText xml:space="preserve"> HYPERLINK "https://www.cbd.int/decision/cop/default.shtml?id=12269" </w:instrText>
      </w:r>
      <w:r w:rsidR="003426E3">
        <w:fldChar w:fldCharType="separate"/>
      </w:r>
      <w:r w:rsidRPr="00D86ED8">
        <w:rPr>
          <w:rStyle w:val="Hyperlink"/>
          <w:lang w:val="fr-CA"/>
        </w:rPr>
        <w:t>https://www.cbd.int/decision/cop/default.shtml?id=12269</w:t>
      </w:r>
      <w:r w:rsidR="003426E3">
        <w:rPr>
          <w:rStyle w:val="Hyperlink"/>
          <w:lang w:val="fr-CA"/>
        </w:rPr>
        <w:fldChar w:fldCharType="end"/>
      </w:r>
      <w:r w:rsidRPr="00D86ED8">
        <w:rPr>
          <w:lang w:val="fr-CA"/>
        </w:rPr>
        <w:t xml:space="preserve"> .</w:t>
      </w:r>
    </w:p>
  </w:footnote>
  <w:footnote w:id="30">
    <w:p w:rsidR="00F4116A" w:rsidRPr="00D86ED8" w:rsidRDefault="00F4116A" w:rsidP="005963CD">
      <w:pPr>
        <w:pStyle w:val="FootnoteText"/>
        <w:ind w:firstLine="0"/>
        <w:rPr>
          <w:lang w:val="fr-CA"/>
        </w:rPr>
      </w:pPr>
      <w:r w:rsidRPr="00D86ED8">
        <w:rPr>
          <w:rStyle w:val="FootnoteReference"/>
          <w:lang w:val="fr-CA"/>
        </w:rPr>
        <w:footnoteRef/>
      </w:r>
      <w:r w:rsidRPr="00D86ED8">
        <w:rPr>
          <w:lang w:val="fr-CA"/>
        </w:rPr>
        <w:t xml:space="preserve"> Décision XII/3, annexe IV; </w:t>
      </w:r>
      <w:r w:rsidR="003426E3">
        <w:fldChar w:fldCharType="begin"/>
      </w:r>
      <w:r w:rsidR="003426E3" w:rsidRPr="009620E1">
        <w:rPr>
          <w:lang w:val="fr-CA"/>
        </w:rPr>
        <w:instrText xml:space="preserve"> HYPERLINK "https://www.cbd.int/decision/cop/default.shtml?id=13366" </w:instrText>
      </w:r>
      <w:r w:rsidR="003426E3">
        <w:fldChar w:fldCharType="separate"/>
      </w:r>
      <w:r w:rsidRPr="00D86ED8">
        <w:rPr>
          <w:rStyle w:val="Hyperlink"/>
          <w:lang w:val="fr-CA"/>
        </w:rPr>
        <w:t>https://www.cbd.int/decision/cop/default.shtml?id=13366</w:t>
      </w:r>
      <w:r w:rsidR="003426E3">
        <w:rPr>
          <w:rStyle w:val="Hyperlink"/>
          <w:lang w:val="fr-CA"/>
        </w:rPr>
        <w:fldChar w:fldCharType="end"/>
      </w:r>
      <w:r w:rsidRPr="00D86ED8">
        <w:rPr>
          <w:lang w:val="fr-CA"/>
        </w:rPr>
        <w:t xml:space="preserve"> .</w:t>
      </w:r>
    </w:p>
  </w:footnote>
  <w:footnote w:id="31">
    <w:p w:rsidR="00F4116A" w:rsidRPr="00D86ED8" w:rsidRDefault="00F4116A" w:rsidP="005963CD">
      <w:pPr>
        <w:pStyle w:val="FootnoteText"/>
        <w:ind w:firstLine="0"/>
        <w:rPr>
          <w:lang w:val="fr-CA"/>
        </w:rPr>
      </w:pPr>
      <w:r w:rsidRPr="00D86ED8">
        <w:rPr>
          <w:rStyle w:val="FootnoteReference"/>
          <w:lang w:val="fr-CA"/>
        </w:rPr>
        <w:footnoteRef/>
      </w:r>
      <w:r w:rsidRPr="00D86ED8">
        <w:rPr>
          <w:lang w:val="fr-CA"/>
        </w:rPr>
        <w:t xml:space="preserve"> Décision XII/3, paragraphe 21 et annexe I. </w:t>
      </w:r>
    </w:p>
  </w:footnote>
  <w:footnote w:id="32">
    <w:p w:rsidR="00F4116A" w:rsidRPr="00D86ED8" w:rsidRDefault="00F4116A" w:rsidP="005963CD">
      <w:pPr>
        <w:pStyle w:val="FootnoteText"/>
        <w:ind w:firstLine="0"/>
        <w:rPr>
          <w:lang w:val="fr-CA"/>
        </w:rPr>
      </w:pPr>
      <w:r w:rsidRPr="00D86ED8">
        <w:rPr>
          <w:rStyle w:val="FootnoteReference"/>
          <w:lang w:val="fr-CA"/>
        </w:rPr>
        <w:footnoteRef/>
      </w:r>
      <w:r w:rsidRPr="00D86ED8">
        <w:rPr>
          <w:lang w:val="fr-CA"/>
        </w:rPr>
        <w:t xml:space="preserve"> Décision XII/3, paragraphe 15 et annexe III.</w:t>
      </w:r>
    </w:p>
  </w:footnote>
  <w:footnote w:id="33">
    <w:p w:rsidR="00F4116A" w:rsidRPr="00D86ED8" w:rsidRDefault="00F4116A" w:rsidP="005963CD">
      <w:pPr>
        <w:pStyle w:val="FootnoteText"/>
        <w:ind w:firstLine="0"/>
        <w:rPr>
          <w:lang w:val="fr-CA"/>
        </w:rPr>
      </w:pPr>
      <w:r w:rsidRPr="00D86ED8">
        <w:rPr>
          <w:rStyle w:val="FootnoteReference"/>
          <w:lang w:val="fr-CA"/>
        </w:rPr>
        <w:footnoteRef/>
      </w:r>
      <w:r w:rsidRPr="00D86ED8">
        <w:rPr>
          <w:lang w:val="fr-CA"/>
        </w:rPr>
        <w:t xml:space="preserve"> Décision XIII/20, paragraphe 18 et annexe. </w:t>
      </w:r>
    </w:p>
  </w:footnote>
  <w:footnote w:id="34">
    <w:p w:rsidR="00F4116A" w:rsidRPr="00D86ED8" w:rsidRDefault="00F4116A" w:rsidP="009B310E">
      <w:pPr>
        <w:pStyle w:val="FootnoteText"/>
        <w:ind w:firstLine="0"/>
        <w:rPr>
          <w:lang w:val="fr-CA"/>
        </w:rPr>
      </w:pPr>
      <w:r w:rsidRPr="00D86ED8">
        <w:rPr>
          <w:rStyle w:val="FootnoteReference"/>
          <w:lang w:val="fr-CA"/>
        </w:rPr>
        <w:footnoteRef/>
      </w:r>
      <w:r w:rsidRPr="00D86ED8">
        <w:rPr>
          <w:lang w:val="fr-CA"/>
        </w:rPr>
        <w:t xml:space="preserve"> </w:t>
      </w:r>
      <w:r w:rsidR="003426E3">
        <w:fldChar w:fldCharType="begin"/>
      </w:r>
      <w:r w:rsidR="003426E3" w:rsidRPr="009620E1">
        <w:rPr>
          <w:lang w:val="fr-CA"/>
        </w:rPr>
        <w:instrText xml:space="preserve"> HYPERLINK "https://www.cbd.int/financial/hlp/doc/CBD-HLP-FullReport-FR.pdf" </w:instrText>
      </w:r>
      <w:r w:rsidR="003426E3">
        <w:fldChar w:fldCharType="separate"/>
      </w:r>
      <w:r w:rsidR="00683932" w:rsidRPr="002B7540">
        <w:rPr>
          <w:rStyle w:val="Hyperlink"/>
          <w:lang w:val="fr-CA"/>
        </w:rPr>
        <w:t>https://www.cbd.int/financial/hlp/doc/CBD-HLP-FullReport-FR.pdf</w:t>
      </w:r>
      <w:r w:rsidR="003426E3">
        <w:rPr>
          <w:rStyle w:val="Hyperlink"/>
          <w:lang w:val="fr-CA"/>
        </w:rPr>
        <w:fldChar w:fldCharType="end"/>
      </w:r>
      <w:r>
        <w:rPr>
          <w:lang w:val="fr-CA"/>
        </w:rPr>
        <w:t xml:space="preserve"> </w:t>
      </w:r>
    </w:p>
  </w:footnote>
  <w:footnote w:id="35">
    <w:p w:rsidR="00F4116A" w:rsidRPr="00A340FD" w:rsidRDefault="00F4116A" w:rsidP="00A372BC">
      <w:pPr>
        <w:pStyle w:val="FootnoteText"/>
        <w:ind w:firstLine="0"/>
        <w:jc w:val="left"/>
        <w:rPr>
          <w:lang w:val="en-US"/>
        </w:rPr>
      </w:pPr>
      <w:r w:rsidRPr="00D86ED8">
        <w:rPr>
          <w:rStyle w:val="FootnoteReference"/>
          <w:lang w:val="fr-CA"/>
        </w:rPr>
        <w:footnoteRef/>
      </w:r>
      <w:r w:rsidRPr="00A340FD">
        <w:rPr>
          <w:lang w:val="en-US"/>
        </w:rPr>
        <w:t xml:space="preserve"> </w:t>
      </w:r>
      <w:hyperlink r:id="rId1" w:history="1">
        <w:r w:rsidR="00683932" w:rsidRPr="00A340FD">
          <w:rPr>
            <w:rStyle w:val="Hyperlink"/>
            <w:lang w:val="en-US"/>
          </w:rPr>
          <w:t>https://www.cbd.int/doc/meetings/fin/hlpgar-sp-01/official/hlpgar-sp-01-01-report-fr.pdf</w:t>
        </w:r>
      </w:hyperlink>
      <w:r w:rsidRPr="00A340FD">
        <w:rPr>
          <w:lang w:val="en-US"/>
        </w:rPr>
        <w:t xml:space="preserve"> and </w:t>
      </w:r>
      <w:hyperlink r:id="rId2" w:history="1">
        <w:r w:rsidRPr="00A340FD">
          <w:rPr>
            <w:rStyle w:val="Hyperlink"/>
            <w:lang w:val="en-US"/>
          </w:rPr>
          <w:t>https://www.cbd.int/financial/hlp/doc/hlp-02-report-en.pdf</w:t>
        </w:r>
      </w:hyperlink>
      <w:r w:rsidRPr="00A340FD">
        <w:rPr>
          <w:lang w:val="en-US"/>
        </w:rPr>
        <w:t xml:space="preserve"> .</w:t>
      </w:r>
    </w:p>
  </w:footnote>
  <w:footnote w:id="36">
    <w:p w:rsidR="00F4116A" w:rsidRPr="00A340FD" w:rsidRDefault="00F4116A" w:rsidP="00801F67">
      <w:pPr>
        <w:pStyle w:val="FootnoteText"/>
        <w:ind w:firstLine="0"/>
        <w:jc w:val="left"/>
        <w:rPr>
          <w:lang w:val="en-US"/>
        </w:rPr>
      </w:pPr>
      <w:r w:rsidRPr="00D86ED8">
        <w:rPr>
          <w:rStyle w:val="FootnoteReference"/>
          <w:lang w:val="fr-CA"/>
        </w:rPr>
        <w:footnoteRef/>
      </w:r>
      <w:r w:rsidRPr="00A340FD">
        <w:rPr>
          <w:lang w:val="en-US"/>
        </w:rPr>
        <w:t xml:space="preserve"> </w:t>
      </w:r>
      <w:hyperlink r:id="rId3" w:history="1">
        <w:r w:rsidRPr="00A340FD">
          <w:rPr>
            <w:rStyle w:val="Hyperlink"/>
            <w:lang w:val="en-US"/>
          </w:rPr>
          <w:t>https://www.cbd.int/meetings/DS-FB-01</w:t>
        </w:r>
      </w:hyperlink>
      <w:r w:rsidRPr="00A340FD">
        <w:rPr>
          <w:lang w:val="en-US"/>
        </w:rPr>
        <w:t xml:space="preserve"> ; </w:t>
      </w:r>
      <w:hyperlink r:id="rId4" w:history="1">
        <w:r w:rsidRPr="00A340FD">
          <w:rPr>
            <w:rStyle w:val="Hyperlink"/>
            <w:lang w:val="en-US"/>
          </w:rPr>
          <w:t>https://www.cbd.int/meetings/DS-FB-02</w:t>
        </w:r>
      </w:hyperlink>
      <w:r w:rsidRPr="00A340FD">
        <w:rPr>
          <w:lang w:val="en-US"/>
        </w:rPr>
        <w:t xml:space="preserve"> ; </w:t>
      </w:r>
      <w:hyperlink r:id="rId5" w:history="1">
        <w:r w:rsidRPr="00A340FD">
          <w:rPr>
            <w:rStyle w:val="Hyperlink"/>
            <w:lang w:val="en-US"/>
          </w:rPr>
          <w:t>https://www.cbd.int/meetings/RMWS-2015-02</w:t>
        </w:r>
      </w:hyperlink>
      <w:r w:rsidRPr="00A340FD">
        <w:rPr>
          <w:lang w:val="en-US"/>
        </w:rPr>
        <w:t xml:space="preserve"> </w:t>
      </w:r>
    </w:p>
  </w:footnote>
  <w:footnote w:id="37">
    <w:p w:rsidR="00F4116A" w:rsidRPr="00D86ED8" w:rsidRDefault="00F4116A" w:rsidP="00D86ED8">
      <w:pPr>
        <w:pStyle w:val="FootnoteText"/>
        <w:ind w:firstLine="0"/>
        <w:rPr>
          <w:lang w:val="fr-CA"/>
        </w:rPr>
      </w:pPr>
      <w:r w:rsidRPr="00D86ED8">
        <w:rPr>
          <w:rStyle w:val="FootnoteReference"/>
          <w:lang w:val="fr-CA"/>
        </w:rPr>
        <w:footnoteRef/>
      </w:r>
      <w:r w:rsidRPr="00D86ED8">
        <w:rPr>
          <w:lang w:val="fr-CA"/>
        </w:rPr>
        <w:t xml:space="preserve"> À savoir, i) examen institutionnel et politique; ii) examen des dépenses liées à la biodiversité; iii) évaluation des besoins et des lacunes; et iv) élaboration d’un plan de financement national, s’appuyant sur un vaste éventail de solutions identifiées de financement pour la biodiversité, reprenant ainsi les éléments de l’objec</w:t>
      </w:r>
      <w:r>
        <w:rPr>
          <w:lang w:val="fr-CA"/>
        </w:rPr>
        <w:t>tif 1 b) dans l’objectif 1 d).</w:t>
      </w:r>
    </w:p>
  </w:footnote>
  <w:footnote w:id="38">
    <w:p w:rsidR="00F4116A" w:rsidRPr="00D86ED8" w:rsidRDefault="00F4116A" w:rsidP="00ED6368">
      <w:pPr>
        <w:pStyle w:val="FootnoteText"/>
        <w:suppressLineNumbers/>
        <w:suppressAutoHyphens/>
        <w:kinsoku w:val="0"/>
        <w:overflowPunct w:val="0"/>
        <w:autoSpaceDE w:val="0"/>
        <w:autoSpaceDN w:val="0"/>
        <w:ind w:firstLine="0"/>
        <w:jc w:val="left"/>
        <w:rPr>
          <w:noProof/>
          <w:snapToGrid w:val="0"/>
          <w:kern w:val="18"/>
          <w:szCs w:val="18"/>
          <w:lang w:val="fr-CA"/>
        </w:rPr>
      </w:pPr>
      <w:r w:rsidRPr="00D86ED8">
        <w:rPr>
          <w:rStyle w:val="FootnoteReference"/>
          <w:noProof/>
          <w:snapToGrid w:val="0"/>
          <w:kern w:val="18"/>
          <w:sz w:val="18"/>
          <w:szCs w:val="18"/>
          <w:lang w:val="fr-CA"/>
        </w:rPr>
        <w:footnoteRef/>
      </w:r>
      <w:r w:rsidRPr="00D86ED8">
        <w:rPr>
          <w:noProof/>
          <w:snapToGrid w:val="0"/>
          <w:kern w:val="18"/>
          <w:szCs w:val="18"/>
          <w:lang w:val="fr-CA"/>
        </w:rPr>
        <w:t xml:space="preserve"> Voir résolution </w:t>
      </w:r>
      <w:r w:rsidR="003426E3">
        <w:fldChar w:fldCharType="begin"/>
      </w:r>
      <w:r w:rsidR="003426E3" w:rsidRPr="009620E1">
        <w:rPr>
          <w:lang w:val="fr-CA"/>
        </w:rPr>
        <w:instrText xml:space="preserve"> HYPERLINK "http://www.un.org/ga/search/view_doc.asp?symbol=A/RES/70/1&amp;Lang=E" </w:instrText>
      </w:r>
      <w:r w:rsidR="003426E3">
        <w:fldChar w:fldCharType="separate"/>
      </w:r>
      <w:r w:rsidRPr="00D86ED8">
        <w:rPr>
          <w:rStyle w:val="Hyperlink"/>
          <w:noProof/>
          <w:snapToGrid w:val="0"/>
          <w:kern w:val="18"/>
          <w:szCs w:val="18"/>
          <w:lang w:val="fr-CA"/>
        </w:rPr>
        <w:t>70/1</w:t>
      </w:r>
      <w:r w:rsidR="003426E3">
        <w:rPr>
          <w:rStyle w:val="Hyperlink"/>
          <w:noProof/>
          <w:snapToGrid w:val="0"/>
          <w:kern w:val="18"/>
          <w:szCs w:val="18"/>
          <w:lang w:val="fr-CA"/>
        </w:rPr>
        <w:fldChar w:fldCharType="end"/>
      </w:r>
      <w:r w:rsidRPr="00D86ED8">
        <w:rPr>
          <w:lang w:val="fr-CA"/>
        </w:rPr>
        <w:t xml:space="preserve"> de l’Assemblée générale</w:t>
      </w:r>
      <w:r w:rsidRPr="00D86ED8">
        <w:rPr>
          <w:noProof/>
          <w:snapToGrid w:val="0"/>
          <w:kern w:val="18"/>
          <w:szCs w:val="18"/>
          <w:lang w:val="fr-CA"/>
        </w:rPr>
        <w:t>, intitulée « Transformer notre monde : le Programme de développement durable à l’horizon 2030 ».</w:t>
      </w:r>
    </w:p>
  </w:footnote>
  <w:footnote w:id="39">
    <w:p w:rsidR="00F4116A" w:rsidRPr="00D86ED8" w:rsidRDefault="00F4116A" w:rsidP="000B08CF">
      <w:pPr>
        <w:pStyle w:val="FootnoteText"/>
        <w:suppressLineNumbers/>
        <w:suppressAutoHyphens/>
        <w:kinsoku w:val="0"/>
        <w:overflowPunct w:val="0"/>
        <w:autoSpaceDE w:val="0"/>
        <w:autoSpaceDN w:val="0"/>
        <w:ind w:firstLine="0"/>
        <w:jc w:val="left"/>
        <w:rPr>
          <w:noProof/>
          <w:snapToGrid w:val="0"/>
          <w:kern w:val="18"/>
          <w:szCs w:val="18"/>
          <w:lang w:val="fr-CA"/>
        </w:rPr>
      </w:pPr>
      <w:r w:rsidRPr="00D86ED8">
        <w:rPr>
          <w:rStyle w:val="FootnoteReference"/>
          <w:noProof/>
          <w:snapToGrid w:val="0"/>
          <w:kern w:val="18"/>
          <w:sz w:val="18"/>
          <w:szCs w:val="18"/>
          <w:lang w:val="fr-CA"/>
        </w:rPr>
        <w:footnoteRef/>
      </w:r>
      <w:r w:rsidRPr="00D86ED8">
        <w:rPr>
          <w:noProof/>
          <w:snapToGrid w:val="0"/>
          <w:kern w:val="18"/>
          <w:szCs w:val="18"/>
          <w:lang w:val="fr-CA"/>
        </w:rPr>
        <w:t xml:space="preserve"> CBD/SBI/2/7/Add.1.</w:t>
      </w:r>
    </w:p>
  </w:footnote>
  <w:footnote w:id="40">
    <w:p w:rsidR="00F4116A" w:rsidRPr="00D86ED8" w:rsidRDefault="00F4116A" w:rsidP="00683932">
      <w:pPr>
        <w:pStyle w:val="FootnoteText"/>
        <w:ind w:firstLine="0"/>
        <w:rPr>
          <w:noProof/>
          <w:snapToGrid w:val="0"/>
          <w:kern w:val="18"/>
          <w:szCs w:val="18"/>
          <w:lang w:val="fr-CA"/>
        </w:rPr>
      </w:pPr>
      <w:r w:rsidRPr="00D86ED8">
        <w:rPr>
          <w:rStyle w:val="FootnoteReference"/>
          <w:noProof/>
          <w:snapToGrid w:val="0"/>
          <w:kern w:val="18"/>
          <w:sz w:val="18"/>
          <w:szCs w:val="18"/>
          <w:lang w:val="fr-CA"/>
        </w:rPr>
        <w:footnoteRef/>
      </w:r>
      <w:r w:rsidRPr="00D86ED8">
        <w:rPr>
          <w:noProof/>
          <w:snapToGrid w:val="0"/>
          <w:kern w:val="18"/>
          <w:szCs w:val="18"/>
          <w:lang w:val="fr-CA"/>
        </w:rPr>
        <w:t xml:space="preserve"> Décision </w:t>
      </w:r>
      <w:r w:rsidR="003426E3">
        <w:fldChar w:fldCharType="begin"/>
      </w:r>
      <w:r w:rsidR="003426E3" w:rsidRPr="009620E1">
        <w:rPr>
          <w:lang w:val="fr-CA"/>
        </w:rPr>
        <w:instrText xml:space="preserve"> HYPERLINK "https://www.cbd.int/doc/decisions/cop-12/cop-12-dec-03-fr.pdf" </w:instrText>
      </w:r>
      <w:r w:rsidR="003426E3">
        <w:fldChar w:fldCharType="separate"/>
      </w:r>
      <w:r w:rsidR="00683932" w:rsidRPr="00683932">
        <w:rPr>
          <w:rStyle w:val="Hyperlink"/>
          <w:kern w:val="22"/>
          <w:szCs w:val="18"/>
          <w:lang w:val="fr-CA"/>
        </w:rPr>
        <w:t>XII/3</w:t>
      </w:r>
      <w:r w:rsidR="003426E3">
        <w:rPr>
          <w:rStyle w:val="Hyperlink"/>
          <w:kern w:val="22"/>
          <w:szCs w:val="18"/>
          <w:lang w:val="fr-CA"/>
        </w:rPr>
        <w:fldChar w:fldCharType="end"/>
      </w:r>
      <w:r w:rsidRPr="00D86ED8">
        <w:rPr>
          <w:noProof/>
          <w:snapToGrid w:val="0"/>
          <w:kern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F4116A" w:rsidRDefault="00F4116A" w:rsidP="00534681">
        <w:pPr>
          <w:pStyle w:val="Header"/>
        </w:pPr>
        <w:r>
          <w:t>CBD/SBI/2/7</w:t>
        </w:r>
      </w:p>
    </w:sdtContent>
  </w:sdt>
  <w:p w:rsidR="00F4116A" w:rsidRDefault="00F4116A" w:rsidP="00B840DD">
    <w:pPr>
      <w:pStyle w:val="Header"/>
      <w:spacing w:after="240"/>
    </w:pPr>
    <w:r>
      <w:t xml:space="preserve">Page </w:t>
    </w:r>
    <w:r w:rsidR="00AE542A">
      <w:fldChar w:fldCharType="begin"/>
    </w:r>
    <w:r w:rsidR="00AE542A">
      <w:instrText xml:space="preserve"> PAGE   \* MERGEFORMAT </w:instrText>
    </w:r>
    <w:r w:rsidR="00AE542A">
      <w:fldChar w:fldCharType="separate"/>
    </w:r>
    <w:r w:rsidR="003426E3">
      <w:rPr>
        <w:noProof/>
      </w:rPr>
      <w:t>6</w:t>
    </w:r>
    <w:r w:rsidR="00AE542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F4116A" w:rsidRDefault="00F4116A" w:rsidP="009505C9">
        <w:pPr>
          <w:pStyle w:val="Header"/>
          <w:jc w:val="right"/>
        </w:pPr>
        <w:r>
          <w:t>CBD/SBI/2/7</w:t>
        </w:r>
      </w:p>
    </w:sdtContent>
  </w:sdt>
  <w:p w:rsidR="00F4116A" w:rsidRDefault="00F4116A" w:rsidP="00B840DD">
    <w:pPr>
      <w:pStyle w:val="Header"/>
      <w:spacing w:after="240"/>
      <w:jc w:val="right"/>
    </w:pPr>
    <w:r>
      <w:t xml:space="preserve">Page </w:t>
    </w:r>
    <w:r w:rsidR="00AE542A">
      <w:fldChar w:fldCharType="begin"/>
    </w:r>
    <w:r w:rsidR="00AE542A">
      <w:instrText xml:space="preserve"> PAGE   \* MERGEFORMAT </w:instrText>
    </w:r>
    <w:r w:rsidR="00AE542A">
      <w:fldChar w:fldCharType="separate"/>
    </w:r>
    <w:r w:rsidR="003426E3">
      <w:rPr>
        <w:noProof/>
      </w:rPr>
      <w:t>5</w:t>
    </w:r>
    <w:r w:rsidR="00AE542A">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BE27066"/>
    <w:multiLevelType w:val="hybridMultilevel"/>
    <w:tmpl w:val="F53C862E"/>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CD55C62"/>
    <w:multiLevelType w:val="hybridMultilevel"/>
    <w:tmpl w:val="0AE07FA8"/>
    <w:lvl w:ilvl="0" w:tplc="0409000F">
      <w:start w:val="1"/>
      <w:numFmt w:val="decimal"/>
      <w:lvlText w:val="%1."/>
      <w:lvlJc w:val="left"/>
      <w:pPr>
        <w:ind w:left="810" w:hanging="360"/>
      </w:pPr>
    </w:lvl>
    <w:lvl w:ilvl="1" w:tplc="0C0C0017">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3D25605"/>
    <w:multiLevelType w:val="hybridMultilevel"/>
    <w:tmpl w:val="80B2D0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A947B9"/>
    <w:multiLevelType w:val="hybridMultilevel"/>
    <w:tmpl w:val="289E84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2A5C80"/>
    <w:multiLevelType w:val="hybridMultilevel"/>
    <w:tmpl w:val="13AC1D4C"/>
    <w:lvl w:ilvl="0" w:tplc="040C0017">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8"/>
  </w:num>
  <w:num w:numId="5">
    <w:abstractNumId w:val="6"/>
  </w:num>
  <w:num w:numId="6">
    <w:abstractNumId w:val="0"/>
  </w:num>
  <w:num w:numId="7">
    <w:abstractNumId w:val="2"/>
  </w:num>
  <w:num w:numId="8">
    <w:abstractNumId w:val="5"/>
    <w:lvlOverride w:ilvl="0">
      <w:startOverride w:val="1"/>
    </w:lvlOverride>
  </w:num>
  <w:num w:numId="9">
    <w:abstractNumId w:val="13"/>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1"/>
  </w:num>
  <w:num w:numId="15">
    <w:abstractNumId w:val="10"/>
  </w:num>
  <w:num w:numId="16">
    <w:abstractNumId w:val="1"/>
  </w:num>
  <w:num w:numId="17">
    <w:abstractNumId w:val="15"/>
  </w:num>
  <w:num w:numId="18">
    <w:abstractNumId w:val="16"/>
  </w:num>
  <w:num w:numId="19">
    <w:abstractNumId w:val="3"/>
  </w:num>
  <w:num w:numId="20">
    <w:abstractNumId w:val="9"/>
  </w:num>
  <w:num w:numId="21">
    <w:abstractNumId w:val="12"/>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10B81"/>
    <w:rsid w:val="00011A48"/>
    <w:rsid w:val="00012DC2"/>
    <w:rsid w:val="00020812"/>
    <w:rsid w:val="00023183"/>
    <w:rsid w:val="000322D3"/>
    <w:rsid w:val="0004150F"/>
    <w:rsid w:val="0004187D"/>
    <w:rsid w:val="00046FA9"/>
    <w:rsid w:val="00080537"/>
    <w:rsid w:val="00081706"/>
    <w:rsid w:val="00084813"/>
    <w:rsid w:val="00086BA0"/>
    <w:rsid w:val="00086C38"/>
    <w:rsid w:val="0009121B"/>
    <w:rsid w:val="00097FCC"/>
    <w:rsid w:val="000A043B"/>
    <w:rsid w:val="000A11E8"/>
    <w:rsid w:val="000A334D"/>
    <w:rsid w:val="000A4F7D"/>
    <w:rsid w:val="000B08CF"/>
    <w:rsid w:val="000B51C6"/>
    <w:rsid w:val="000B7F1F"/>
    <w:rsid w:val="000E673A"/>
    <w:rsid w:val="000E727A"/>
    <w:rsid w:val="000F50E4"/>
    <w:rsid w:val="000F6B91"/>
    <w:rsid w:val="000F74F5"/>
    <w:rsid w:val="0010271E"/>
    <w:rsid w:val="00105372"/>
    <w:rsid w:val="0010601C"/>
    <w:rsid w:val="0011521C"/>
    <w:rsid w:val="001275C4"/>
    <w:rsid w:val="00131E7A"/>
    <w:rsid w:val="00134B3F"/>
    <w:rsid w:val="0014244C"/>
    <w:rsid w:val="001438AC"/>
    <w:rsid w:val="00146FCC"/>
    <w:rsid w:val="001661F8"/>
    <w:rsid w:val="00167234"/>
    <w:rsid w:val="0017042D"/>
    <w:rsid w:val="00171FC5"/>
    <w:rsid w:val="00172AF6"/>
    <w:rsid w:val="00174912"/>
    <w:rsid w:val="00175A99"/>
    <w:rsid w:val="00176CEE"/>
    <w:rsid w:val="00186DD8"/>
    <w:rsid w:val="001A4F52"/>
    <w:rsid w:val="001A6CFC"/>
    <w:rsid w:val="001B5B55"/>
    <w:rsid w:val="001C3E31"/>
    <w:rsid w:val="001C6497"/>
    <w:rsid w:val="001D4921"/>
    <w:rsid w:val="001D6408"/>
    <w:rsid w:val="001F0D7D"/>
    <w:rsid w:val="001F4BC4"/>
    <w:rsid w:val="00203BBA"/>
    <w:rsid w:val="00212DD4"/>
    <w:rsid w:val="00213C4A"/>
    <w:rsid w:val="002241D7"/>
    <w:rsid w:val="00227B77"/>
    <w:rsid w:val="00227E84"/>
    <w:rsid w:val="00230ED9"/>
    <w:rsid w:val="002318BE"/>
    <w:rsid w:val="00232FED"/>
    <w:rsid w:val="00234F2E"/>
    <w:rsid w:val="00242748"/>
    <w:rsid w:val="00246722"/>
    <w:rsid w:val="00251A11"/>
    <w:rsid w:val="00256628"/>
    <w:rsid w:val="002604AF"/>
    <w:rsid w:val="00264382"/>
    <w:rsid w:val="00285E3B"/>
    <w:rsid w:val="00295C2A"/>
    <w:rsid w:val="002A349B"/>
    <w:rsid w:val="002B4BB3"/>
    <w:rsid w:val="002C3A3C"/>
    <w:rsid w:val="002C770F"/>
    <w:rsid w:val="002D250D"/>
    <w:rsid w:val="002F2325"/>
    <w:rsid w:val="002F73A9"/>
    <w:rsid w:val="003075F7"/>
    <w:rsid w:val="003140C1"/>
    <w:rsid w:val="00314632"/>
    <w:rsid w:val="00316F92"/>
    <w:rsid w:val="00324186"/>
    <w:rsid w:val="00327703"/>
    <w:rsid w:val="003306FE"/>
    <w:rsid w:val="00336872"/>
    <w:rsid w:val="003426E3"/>
    <w:rsid w:val="0036050D"/>
    <w:rsid w:val="0036396B"/>
    <w:rsid w:val="00372F74"/>
    <w:rsid w:val="00373D33"/>
    <w:rsid w:val="003764C3"/>
    <w:rsid w:val="0038027B"/>
    <w:rsid w:val="00385201"/>
    <w:rsid w:val="003975A7"/>
    <w:rsid w:val="003B18B8"/>
    <w:rsid w:val="003B6D1D"/>
    <w:rsid w:val="003B7F3B"/>
    <w:rsid w:val="003B7F5E"/>
    <w:rsid w:val="003C4D7E"/>
    <w:rsid w:val="003C65A2"/>
    <w:rsid w:val="003C67AF"/>
    <w:rsid w:val="003D440E"/>
    <w:rsid w:val="003D5213"/>
    <w:rsid w:val="003E2BE3"/>
    <w:rsid w:val="003E5DF5"/>
    <w:rsid w:val="003E71FA"/>
    <w:rsid w:val="003F3E8E"/>
    <w:rsid w:val="003F7224"/>
    <w:rsid w:val="00413B7D"/>
    <w:rsid w:val="00414DFC"/>
    <w:rsid w:val="00421E2F"/>
    <w:rsid w:val="00422AB4"/>
    <w:rsid w:val="00426119"/>
    <w:rsid w:val="00427769"/>
    <w:rsid w:val="00427D21"/>
    <w:rsid w:val="004303EA"/>
    <w:rsid w:val="00432075"/>
    <w:rsid w:val="004330D2"/>
    <w:rsid w:val="00444B16"/>
    <w:rsid w:val="00463B57"/>
    <w:rsid w:val="004644C2"/>
    <w:rsid w:val="00467F9C"/>
    <w:rsid w:val="00476EC5"/>
    <w:rsid w:val="00491CB6"/>
    <w:rsid w:val="0049375B"/>
    <w:rsid w:val="004948DE"/>
    <w:rsid w:val="004B2E66"/>
    <w:rsid w:val="004B4A9B"/>
    <w:rsid w:val="004D36AA"/>
    <w:rsid w:val="004D50CA"/>
    <w:rsid w:val="004E2A90"/>
    <w:rsid w:val="004E3A06"/>
    <w:rsid w:val="004F3ACD"/>
    <w:rsid w:val="00501BA9"/>
    <w:rsid w:val="005057F1"/>
    <w:rsid w:val="00507F18"/>
    <w:rsid w:val="00510D7B"/>
    <w:rsid w:val="00511E2B"/>
    <w:rsid w:val="005205FB"/>
    <w:rsid w:val="00526B20"/>
    <w:rsid w:val="0053081E"/>
    <w:rsid w:val="005316CB"/>
    <w:rsid w:val="00534681"/>
    <w:rsid w:val="00543145"/>
    <w:rsid w:val="005462D5"/>
    <w:rsid w:val="005519D3"/>
    <w:rsid w:val="00561A41"/>
    <w:rsid w:val="0056277A"/>
    <w:rsid w:val="00571A1B"/>
    <w:rsid w:val="0057384E"/>
    <w:rsid w:val="00574814"/>
    <w:rsid w:val="005863E5"/>
    <w:rsid w:val="005963CD"/>
    <w:rsid w:val="005A708A"/>
    <w:rsid w:val="005B625B"/>
    <w:rsid w:val="005C442F"/>
    <w:rsid w:val="005D25A1"/>
    <w:rsid w:val="005E0EEF"/>
    <w:rsid w:val="005E5A03"/>
    <w:rsid w:val="005F2518"/>
    <w:rsid w:val="005F4EB3"/>
    <w:rsid w:val="0060263B"/>
    <w:rsid w:val="00603E1A"/>
    <w:rsid w:val="00607138"/>
    <w:rsid w:val="00610183"/>
    <w:rsid w:val="006122BA"/>
    <w:rsid w:val="0061519D"/>
    <w:rsid w:val="00620C48"/>
    <w:rsid w:val="00625A53"/>
    <w:rsid w:val="00631FB7"/>
    <w:rsid w:val="00636A73"/>
    <w:rsid w:val="00641F15"/>
    <w:rsid w:val="00642693"/>
    <w:rsid w:val="00646D8E"/>
    <w:rsid w:val="0065415D"/>
    <w:rsid w:val="0065711A"/>
    <w:rsid w:val="00662B91"/>
    <w:rsid w:val="00664678"/>
    <w:rsid w:val="0066595E"/>
    <w:rsid w:val="006775A0"/>
    <w:rsid w:val="00682650"/>
    <w:rsid w:val="00683932"/>
    <w:rsid w:val="0068797A"/>
    <w:rsid w:val="00692D5D"/>
    <w:rsid w:val="006A13FF"/>
    <w:rsid w:val="006B0471"/>
    <w:rsid w:val="006B2290"/>
    <w:rsid w:val="006B5572"/>
    <w:rsid w:val="006C54BB"/>
    <w:rsid w:val="006D2700"/>
    <w:rsid w:val="006E3530"/>
    <w:rsid w:val="006E56FB"/>
    <w:rsid w:val="00704C85"/>
    <w:rsid w:val="00705B3B"/>
    <w:rsid w:val="00710F6B"/>
    <w:rsid w:val="007166D4"/>
    <w:rsid w:val="00717D88"/>
    <w:rsid w:val="007225F0"/>
    <w:rsid w:val="00722D4C"/>
    <w:rsid w:val="00730B18"/>
    <w:rsid w:val="007420F4"/>
    <w:rsid w:val="007443FF"/>
    <w:rsid w:val="00746579"/>
    <w:rsid w:val="00756186"/>
    <w:rsid w:val="0075778D"/>
    <w:rsid w:val="00762DD4"/>
    <w:rsid w:val="00765827"/>
    <w:rsid w:val="007705EA"/>
    <w:rsid w:val="00772D80"/>
    <w:rsid w:val="00773552"/>
    <w:rsid w:val="007765C5"/>
    <w:rsid w:val="007769CE"/>
    <w:rsid w:val="00777A84"/>
    <w:rsid w:val="0078080E"/>
    <w:rsid w:val="00782C23"/>
    <w:rsid w:val="00787648"/>
    <w:rsid w:val="0079327E"/>
    <w:rsid w:val="007942D3"/>
    <w:rsid w:val="007973CD"/>
    <w:rsid w:val="007A4BAF"/>
    <w:rsid w:val="007B25A8"/>
    <w:rsid w:val="007B4516"/>
    <w:rsid w:val="007B6C09"/>
    <w:rsid w:val="007C1E8E"/>
    <w:rsid w:val="007C2C4B"/>
    <w:rsid w:val="007D2C92"/>
    <w:rsid w:val="007D4134"/>
    <w:rsid w:val="007E09DA"/>
    <w:rsid w:val="007F4386"/>
    <w:rsid w:val="00801F67"/>
    <w:rsid w:val="0080513A"/>
    <w:rsid w:val="00805CD3"/>
    <w:rsid w:val="00814756"/>
    <w:rsid w:val="008178B6"/>
    <w:rsid w:val="00820E28"/>
    <w:rsid w:val="00821FF1"/>
    <w:rsid w:val="0083062F"/>
    <w:rsid w:val="00834A48"/>
    <w:rsid w:val="0083512E"/>
    <w:rsid w:val="00840483"/>
    <w:rsid w:val="00846BB5"/>
    <w:rsid w:val="0085459B"/>
    <w:rsid w:val="00861CB6"/>
    <w:rsid w:val="00865B74"/>
    <w:rsid w:val="00872A52"/>
    <w:rsid w:val="00874D19"/>
    <w:rsid w:val="00875C08"/>
    <w:rsid w:val="008828F3"/>
    <w:rsid w:val="008865E9"/>
    <w:rsid w:val="00897493"/>
    <w:rsid w:val="008977D1"/>
    <w:rsid w:val="008B05DB"/>
    <w:rsid w:val="008B1C3F"/>
    <w:rsid w:val="008E3AD0"/>
    <w:rsid w:val="008E490A"/>
    <w:rsid w:val="008F51E8"/>
    <w:rsid w:val="008F7CD1"/>
    <w:rsid w:val="00904AD6"/>
    <w:rsid w:val="00904CD8"/>
    <w:rsid w:val="009164B9"/>
    <w:rsid w:val="00924F3F"/>
    <w:rsid w:val="0092663F"/>
    <w:rsid w:val="00930BA1"/>
    <w:rsid w:val="0093169E"/>
    <w:rsid w:val="009321D0"/>
    <w:rsid w:val="00944212"/>
    <w:rsid w:val="009505C9"/>
    <w:rsid w:val="00951E54"/>
    <w:rsid w:val="009546C4"/>
    <w:rsid w:val="009620E1"/>
    <w:rsid w:val="00966195"/>
    <w:rsid w:val="009777A0"/>
    <w:rsid w:val="00977DCC"/>
    <w:rsid w:val="00985599"/>
    <w:rsid w:val="00986181"/>
    <w:rsid w:val="0098773A"/>
    <w:rsid w:val="009900C2"/>
    <w:rsid w:val="00994FB3"/>
    <w:rsid w:val="009A2FC7"/>
    <w:rsid w:val="009A4F73"/>
    <w:rsid w:val="009A5C89"/>
    <w:rsid w:val="009A76E9"/>
    <w:rsid w:val="009B310E"/>
    <w:rsid w:val="009E0775"/>
    <w:rsid w:val="009F4838"/>
    <w:rsid w:val="009F4B6E"/>
    <w:rsid w:val="009F6DD5"/>
    <w:rsid w:val="00A07C08"/>
    <w:rsid w:val="00A17B8B"/>
    <w:rsid w:val="00A271CA"/>
    <w:rsid w:val="00A275A5"/>
    <w:rsid w:val="00A27DD9"/>
    <w:rsid w:val="00A3027C"/>
    <w:rsid w:val="00A340FD"/>
    <w:rsid w:val="00A3463D"/>
    <w:rsid w:val="00A372BC"/>
    <w:rsid w:val="00A37DA4"/>
    <w:rsid w:val="00A37F24"/>
    <w:rsid w:val="00A43655"/>
    <w:rsid w:val="00A44C9D"/>
    <w:rsid w:val="00A50C82"/>
    <w:rsid w:val="00A54915"/>
    <w:rsid w:val="00A5723A"/>
    <w:rsid w:val="00A6217D"/>
    <w:rsid w:val="00A90615"/>
    <w:rsid w:val="00AA0443"/>
    <w:rsid w:val="00AA0740"/>
    <w:rsid w:val="00AA30D9"/>
    <w:rsid w:val="00AA48C2"/>
    <w:rsid w:val="00AB1218"/>
    <w:rsid w:val="00AB5EFA"/>
    <w:rsid w:val="00AC05B4"/>
    <w:rsid w:val="00AC45BA"/>
    <w:rsid w:val="00AD74EF"/>
    <w:rsid w:val="00AE542A"/>
    <w:rsid w:val="00AF11CE"/>
    <w:rsid w:val="00B074FA"/>
    <w:rsid w:val="00B17F01"/>
    <w:rsid w:val="00B3369F"/>
    <w:rsid w:val="00B3575C"/>
    <w:rsid w:val="00B447AC"/>
    <w:rsid w:val="00B449D0"/>
    <w:rsid w:val="00B45C49"/>
    <w:rsid w:val="00B525D8"/>
    <w:rsid w:val="00B634EF"/>
    <w:rsid w:val="00B840DD"/>
    <w:rsid w:val="00B904A4"/>
    <w:rsid w:val="00B90618"/>
    <w:rsid w:val="00BA0520"/>
    <w:rsid w:val="00BA1458"/>
    <w:rsid w:val="00BB58CB"/>
    <w:rsid w:val="00BB69CC"/>
    <w:rsid w:val="00BC005A"/>
    <w:rsid w:val="00BC2333"/>
    <w:rsid w:val="00BC6BBF"/>
    <w:rsid w:val="00BD5B89"/>
    <w:rsid w:val="00BF04A8"/>
    <w:rsid w:val="00BF3276"/>
    <w:rsid w:val="00C0271B"/>
    <w:rsid w:val="00C1425C"/>
    <w:rsid w:val="00C239C6"/>
    <w:rsid w:val="00C3099B"/>
    <w:rsid w:val="00C32BE2"/>
    <w:rsid w:val="00C377CD"/>
    <w:rsid w:val="00C443BD"/>
    <w:rsid w:val="00C45BB6"/>
    <w:rsid w:val="00C50CBF"/>
    <w:rsid w:val="00C53B5D"/>
    <w:rsid w:val="00C5501E"/>
    <w:rsid w:val="00C57D95"/>
    <w:rsid w:val="00C64A1F"/>
    <w:rsid w:val="00C76478"/>
    <w:rsid w:val="00C85B0B"/>
    <w:rsid w:val="00C9161D"/>
    <w:rsid w:val="00C93F37"/>
    <w:rsid w:val="00CA764F"/>
    <w:rsid w:val="00CF1848"/>
    <w:rsid w:val="00CF59C7"/>
    <w:rsid w:val="00D0119A"/>
    <w:rsid w:val="00D01571"/>
    <w:rsid w:val="00D036D0"/>
    <w:rsid w:val="00D0536A"/>
    <w:rsid w:val="00D12044"/>
    <w:rsid w:val="00D2250F"/>
    <w:rsid w:val="00D32AB2"/>
    <w:rsid w:val="00D35A80"/>
    <w:rsid w:val="00D3745F"/>
    <w:rsid w:val="00D44C03"/>
    <w:rsid w:val="00D455BE"/>
    <w:rsid w:val="00D667EF"/>
    <w:rsid w:val="00D73860"/>
    <w:rsid w:val="00D76A18"/>
    <w:rsid w:val="00D7715B"/>
    <w:rsid w:val="00D8005C"/>
    <w:rsid w:val="00D86ED8"/>
    <w:rsid w:val="00D90BD1"/>
    <w:rsid w:val="00D946F9"/>
    <w:rsid w:val="00DA079C"/>
    <w:rsid w:val="00DA1311"/>
    <w:rsid w:val="00DA2080"/>
    <w:rsid w:val="00DA667A"/>
    <w:rsid w:val="00DB2007"/>
    <w:rsid w:val="00DB5671"/>
    <w:rsid w:val="00DB76D0"/>
    <w:rsid w:val="00DC1836"/>
    <w:rsid w:val="00DC2EB4"/>
    <w:rsid w:val="00DD118C"/>
    <w:rsid w:val="00DD4A1A"/>
    <w:rsid w:val="00DD785B"/>
    <w:rsid w:val="00DE2E4C"/>
    <w:rsid w:val="00DF16EB"/>
    <w:rsid w:val="00DF1E49"/>
    <w:rsid w:val="00E01689"/>
    <w:rsid w:val="00E06AF2"/>
    <w:rsid w:val="00E163CF"/>
    <w:rsid w:val="00E33AF0"/>
    <w:rsid w:val="00E523AF"/>
    <w:rsid w:val="00E54687"/>
    <w:rsid w:val="00E57C4A"/>
    <w:rsid w:val="00E66235"/>
    <w:rsid w:val="00E83C24"/>
    <w:rsid w:val="00E84E60"/>
    <w:rsid w:val="00E9172D"/>
    <w:rsid w:val="00E9318D"/>
    <w:rsid w:val="00E97DE7"/>
    <w:rsid w:val="00EA0874"/>
    <w:rsid w:val="00EA5F29"/>
    <w:rsid w:val="00EB1F38"/>
    <w:rsid w:val="00EB2727"/>
    <w:rsid w:val="00EB4179"/>
    <w:rsid w:val="00ED6368"/>
    <w:rsid w:val="00EE0C26"/>
    <w:rsid w:val="00EE73FB"/>
    <w:rsid w:val="00EF5B67"/>
    <w:rsid w:val="00F050E5"/>
    <w:rsid w:val="00F06C88"/>
    <w:rsid w:val="00F11365"/>
    <w:rsid w:val="00F143C1"/>
    <w:rsid w:val="00F148D9"/>
    <w:rsid w:val="00F171B3"/>
    <w:rsid w:val="00F203FC"/>
    <w:rsid w:val="00F21C84"/>
    <w:rsid w:val="00F23032"/>
    <w:rsid w:val="00F32C5A"/>
    <w:rsid w:val="00F32F66"/>
    <w:rsid w:val="00F346D6"/>
    <w:rsid w:val="00F4116A"/>
    <w:rsid w:val="00F42798"/>
    <w:rsid w:val="00F460B6"/>
    <w:rsid w:val="00F50D9F"/>
    <w:rsid w:val="00F55959"/>
    <w:rsid w:val="00F60AC6"/>
    <w:rsid w:val="00F66625"/>
    <w:rsid w:val="00F66F4E"/>
    <w:rsid w:val="00F74E8F"/>
    <w:rsid w:val="00F82A3D"/>
    <w:rsid w:val="00F84B7D"/>
    <w:rsid w:val="00F90CF1"/>
    <w:rsid w:val="00F94774"/>
    <w:rsid w:val="00F9750A"/>
    <w:rsid w:val="00FA03D8"/>
    <w:rsid w:val="00FB1485"/>
    <w:rsid w:val="00FC0DC3"/>
    <w:rsid w:val="00FC107B"/>
    <w:rsid w:val="00FC53DB"/>
    <w:rsid w:val="00FC7055"/>
    <w:rsid w:val="00FE017A"/>
    <w:rsid w:val="00FF20E9"/>
    <w:rsid w:val="00FF4AF1"/>
    <w:rsid w:val="00FF62BE"/>
    <w:rsid w:val="00FF7F4A"/>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5E6DDE"/>
  <w15:docId w15:val="{FF8297FF-6CFD-4231-BC86-14A4697A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AA30D9"/>
    <w:rPr>
      <w:color w:val="808080"/>
      <w:shd w:val="clear" w:color="auto" w:fill="E6E6E6"/>
    </w:rPr>
  </w:style>
  <w:style w:type="character" w:customStyle="1" w:styleId="preferred">
    <w:name w:val="preferred"/>
    <w:basedOn w:val="DefaultParagraphFont"/>
    <w:rsid w:val="000F50E4"/>
  </w:style>
  <w:style w:type="character" w:customStyle="1" w:styleId="admitted">
    <w:name w:val="admitted"/>
    <w:basedOn w:val="DefaultParagraphFont"/>
    <w:rsid w:val="00872A52"/>
  </w:style>
  <w:style w:type="character" w:styleId="Emphasis">
    <w:name w:val="Emphasis"/>
    <w:basedOn w:val="DefaultParagraphFont"/>
    <w:uiPriority w:val="20"/>
    <w:qFormat/>
    <w:rsid w:val="00872A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20-fr.pdf" TargetMode="External"/><Relationship Id="rId18" Type="http://schemas.openxmlformats.org/officeDocument/2006/relationships/hyperlink" Target="https://www.cbd.int/post2020/"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cbd.int/doc/decisions/cop-12/cop-12-dec-03-fr.pdf" TargetMode="External"/><Relationship Id="rId17" Type="http://schemas.openxmlformats.org/officeDocument/2006/relationships/hyperlink" Target="https://www.cbd.int/doc/c/5a23/0bd5/1401c94dbbc0460dbf5fdd51/sbi-02-20-fr.pdf" TargetMode="External"/><Relationship Id="rId2" Type="http://schemas.openxmlformats.org/officeDocument/2006/relationships/customXml" Target="../customXml/item2.xml"/><Relationship Id="rId16" Type="http://schemas.openxmlformats.org/officeDocument/2006/relationships/hyperlink" Target="https://www.cbd.int/doc/c/423d/2175/900d31b4d25e5c2b82b7321f/sbi-02-19-fr.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cuments-dds-ny.un.org/doc/UNDOC/GEN/N15/232/22/pdf/N1523222.pdf?OpenElement" TargetMode="External"/><Relationship Id="rId23" Type="http://schemas.openxmlformats.org/officeDocument/2006/relationships/glossaryDocument" Target="glossary/document.xml"/><Relationship Id="rId10" Type="http://schemas.openxmlformats.org/officeDocument/2006/relationships/image" Target="media/image2.emf"/><Relationship Id="rId19" Type="http://schemas.openxmlformats.org/officeDocument/2006/relationships/hyperlink" Target="https://www.cbd.int/doc/decisions/cop-12/cop-12-dec-03-fr.pdf"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biodiversityfinance.net/publications-carousel/biofin-workbook-2016"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meetings/DS-FB-01" TargetMode="External"/><Relationship Id="rId2" Type="http://schemas.openxmlformats.org/officeDocument/2006/relationships/hyperlink" Target="https://www.cbd.int/financial/hlp/doc/hlp-02-report-en.pdf" TargetMode="External"/><Relationship Id="rId1" Type="http://schemas.openxmlformats.org/officeDocument/2006/relationships/hyperlink" Target="https://www.cbd.int/doc/meetings/fin/hlpgar-sp-01/official/hlpgar-sp-01-01-report-fr.pdf" TargetMode="External"/><Relationship Id="rId5" Type="http://schemas.openxmlformats.org/officeDocument/2006/relationships/hyperlink" Target="https://www.cbd.int/meetings/RMWS-2015-02" TargetMode="External"/><Relationship Id="rId4" Type="http://schemas.openxmlformats.org/officeDocument/2006/relationships/hyperlink" Target="https://www.cbd.int/meetings/DS-FB-0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
  <w:rsids>
    <w:rsidRoot w:val="00810A55"/>
    <w:rsid w:val="00007676"/>
    <w:rsid w:val="00026A8F"/>
    <w:rsid w:val="00223543"/>
    <w:rsid w:val="00424824"/>
    <w:rsid w:val="00455535"/>
    <w:rsid w:val="00500A2B"/>
    <w:rsid w:val="0058288D"/>
    <w:rsid w:val="005E6F60"/>
    <w:rsid w:val="006557D3"/>
    <w:rsid w:val="006801B3"/>
    <w:rsid w:val="00810A55"/>
    <w:rsid w:val="008C6619"/>
    <w:rsid w:val="008D420E"/>
    <w:rsid w:val="0098642F"/>
    <w:rsid w:val="00AA3869"/>
    <w:rsid w:val="00B316BE"/>
    <w:rsid w:val="00CB06F8"/>
    <w:rsid w:val="00D671AD"/>
    <w:rsid w:val="00F0614F"/>
    <w:rsid w:val="00F257D0"/>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12 mai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DF603F-6FD6-418C-9AC2-BB4A73ABD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8988</Words>
  <Characters>51238</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mobilisation des ressources</vt:lpstr>
    </vt:vector>
  </TitlesOfParts>
  <Company>SCBD</Company>
  <LinksUpToDate>false</LinksUpToDate>
  <CharactersWithSpaces>60106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mobilisation des ressources</dc:title>
  <dc:subject>CBD/SBI/2/7</dc:subject>
  <dc:creator>SCBD</dc:creator>
  <cp:lastModifiedBy>Teresa Mazza</cp:lastModifiedBy>
  <cp:revision>3</cp:revision>
  <dcterms:created xsi:type="dcterms:W3CDTF">2018-05-30T15:24:00Z</dcterms:created>
  <dcterms:modified xsi:type="dcterms:W3CDTF">2018-05-30T15:24:00Z</dcterms:modified>
  <cp:contentStatus>GÉNÉRALE</cp:contentStatus>
</cp:coreProperties>
</file>