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E265B" w14:paraId="311EBE0C" w14:textId="77777777" w:rsidTr="008A1499">
        <w:trPr>
          <w:trHeight w:val="850"/>
        </w:trPr>
        <w:tc>
          <w:tcPr>
            <w:tcW w:w="975" w:type="dxa"/>
            <w:vAlign w:val="bottom"/>
          </w:tcPr>
          <w:p w14:paraId="164CD1F1" w14:textId="77777777" w:rsidR="008A1499" w:rsidRPr="003E265B" w:rsidRDefault="008A1499" w:rsidP="008A1499">
            <w:pPr>
              <w:pStyle w:val="AASmallLogo"/>
            </w:pPr>
            <w:r>
              <w:rPr>
                <w:noProof/>
              </w:rPr>
              <w:drawing>
                <wp:inline distT="0" distB="0" distL="0" distR="0" wp14:anchorId="6B2BEBE4" wp14:editId="0F056D4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t xml:space="preserve"> </w:t>
            </w:r>
          </w:p>
          <w:p w14:paraId="1C1ECBF7" w14:textId="77777777" w:rsidR="008A1499" w:rsidRPr="003E265B" w:rsidRDefault="008A1499" w:rsidP="008A1499">
            <w:pPr>
              <w:pStyle w:val="AASmallLogo"/>
            </w:pPr>
          </w:p>
        </w:tc>
        <w:tc>
          <w:tcPr>
            <w:tcW w:w="1434" w:type="dxa"/>
            <w:noWrap/>
            <w:vAlign w:val="bottom"/>
          </w:tcPr>
          <w:p w14:paraId="64838C29" w14:textId="6E6755FD" w:rsidR="008A1499" w:rsidRPr="003E265B" w:rsidRDefault="00614085" w:rsidP="008A1499">
            <w:pPr>
              <w:pStyle w:val="AASmallLogo"/>
            </w:pPr>
            <w:r>
              <w:rPr>
                <w:noProof/>
              </w:rPr>
              <w:drawing>
                <wp:inline distT="0" distB="0" distL="0" distR="0" wp14:anchorId="0D5AB683" wp14:editId="6C186CC5">
                  <wp:extent cx="498788" cy="285021"/>
                  <wp:effectExtent l="0" t="0" r="0" b="127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Picture 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98788" cy="285021"/>
                          </a:xfrm>
                          <a:prstGeom prst="rect">
                            <a:avLst/>
                          </a:prstGeom>
                        </pic:spPr>
                      </pic:pic>
                    </a:graphicData>
                  </a:graphic>
                </wp:inline>
              </w:drawing>
            </w:r>
            <w:r>
              <w:t xml:space="preserve"> </w:t>
            </w:r>
          </w:p>
          <w:p w14:paraId="25A4DB09" w14:textId="77777777" w:rsidR="008A1499" w:rsidRPr="003E265B" w:rsidRDefault="008A1499" w:rsidP="008A1499">
            <w:pPr>
              <w:pStyle w:val="AASmallLogo"/>
            </w:pPr>
          </w:p>
        </w:tc>
        <w:tc>
          <w:tcPr>
            <w:tcW w:w="8073" w:type="dxa"/>
            <w:vAlign w:val="bottom"/>
          </w:tcPr>
          <w:p w14:paraId="4073AF74" w14:textId="5E0960FF" w:rsidR="008A1499" w:rsidRPr="003E265B" w:rsidRDefault="008A1499" w:rsidP="00440131">
            <w:pPr>
              <w:pStyle w:val="ABSymbol"/>
              <w:ind w:left="39"/>
            </w:pPr>
            <w:r>
              <w:rPr>
                <w:sz w:val="40"/>
              </w:rPr>
              <w:t>CBD</w:t>
            </w:r>
            <w:r>
              <w:t>/SBI/7/14-</w:t>
            </w:r>
            <w:r>
              <w:rPr>
                <w:sz w:val="40"/>
              </w:rPr>
              <w:t>CBD</w:t>
            </w:r>
            <w:r>
              <w:t>/COP/17/3-</w:t>
            </w:r>
            <w:r>
              <w:rPr>
                <w:sz w:val="40"/>
              </w:rPr>
              <w:t>CBD</w:t>
            </w:r>
            <w:r>
              <w:t>/CP/MOP/12/4-</w:t>
            </w:r>
            <w:r>
              <w:rPr>
                <w:sz w:val="40"/>
              </w:rPr>
              <w:t>CBD</w:t>
            </w:r>
            <w:r>
              <w:t>/NP/MOP/6/4</w:t>
            </w:r>
          </w:p>
        </w:tc>
      </w:tr>
    </w:tbl>
    <w:p w14:paraId="036DA216" w14:textId="77777777" w:rsidR="008A1499" w:rsidRPr="003E265B"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E265B" w14:paraId="2951B9D8" w14:textId="77777777" w:rsidTr="008A1499">
        <w:trPr>
          <w:trHeight w:val="1814"/>
        </w:trPr>
        <w:tc>
          <w:tcPr>
            <w:tcW w:w="7370" w:type="dxa"/>
          </w:tcPr>
          <w:p w14:paraId="1FEFE3A9" w14:textId="3A1BFE49" w:rsidR="008A1499" w:rsidRPr="003E265B" w:rsidRDefault="003D4C97" w:rsidP="008A1499">
            <w:pPr>
              <w:pStyle w:val="ACLargeLogo"/>
            </w:pPr>
            <w:r>
              <w:rPr>
                <w:noProof/>
              </w:rPr>
              <w:drawing>
                <wp:inline distT="0" distB="0" distL="0" distR="0" wp14:anchorId="5EF6FB3A" wp14:editId="4410CF90">
                  <wp:extent cx="2755631" cy="1013099"/>
                  <wp:effectExtent l="0" t="0" r="6985"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Picture 3"/>
                          <pic:cNvPicPr/>
                        </pic:nvPicPr>
                        <pic:blipFill>
                          <a:blip r:embed="rId14">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r>
              <w:t xml:space="preserve"> </w:t>
            </w:r>
          </w:p>
          <w:p w14:paraId="50FD90AD" w14:textId="77777777" w:rsidR="008A1499" w:rsidRPr="003E265B" w:rsidRDefault="008A1499" w:rsidP="008A1499">
            <w:pPr>
              <w:pStyle w:val="ACLargeLogo"/>
            </w:pPr>
          </w:p>
        </w:tc>
        <w:tc>
          <w:tcPr>
            <w:tcW w:w="3112" w:type="dxa"/>
          </w:tcPr>
          <w:p w14:paraId="2AA42539" w14:textId="004B0191" w:rsidR="008A1499" w:rsidRPr="003E265B" w:rsidRDefault="008A1499" w:rsidP="008A1499">
            <w:pPr>
              <w:pStyle w:val="AEDistrNormal"/>
            </w:pPr>
            <w:r>
              <w:t xml:space="preserve">Distr.: general </w:t>
            </w:r>
          </w:p>
          <w:p w14:paraId="7634D684" w14:textId="662C5C42" w:rsidR="008A1499" w:rsidRPr="003E265B" w:rsidRDefault="0090257B" w:rsidP="008A1499">
            <w:pPr>
              <w:pStyle w:val="AEDistrNormal"/>
            </w:pPr>
            <w:r>
              <w:t>3 de julio de 2026</w:t>
            </w:r>
          </w:p>
          <w:p w14:paraId="7C80839D" w14:textId="10962570" w:rsidR="00614085" w:rsidRDefault="00614085" w:rsidP="00C72321">
            <w:pPr>
              <w:pStyle w:val="AEDistrNormal6pt"/>
              <w:spacing w:before="0"/>
            </w:pPr>
            <w:r>
              <w:t>Español</w:t>
            </w:r>
          </w:p>
          <w:p w14:paraId="64168BD9" w14:textId="58E5A1E4" w:rsidR="008A1499" w:rsidRPr="003E265B" w:rsidRDefault="008A1499" w:rsidP="00C72321">
            <w:pPr>
              <w:pStyle w:val="AEDistrNormal6pt"/>
              <w:spacing w:before="0"/>
            </w:pPr>
            <w:r>
              <w:t xml:space="preserve">Original: inglés </w:t>
            </w:r>
          </w:p>
          <w:p w14:paraId="4FFFF473" w14:textId="77777777" w:rsidR="008A1499" w:rsidRPr="003E265B" w:rsidRDefault="008A1499" w:rsidP="008A1499">
            <w:pPr>
              <w:pStyle w:val="AEDistrNormal6pt"/>
            </w:pPr>
          </w:p>
        </w:tc>
      </w:tr>
    </w:tbl>
    <w:p w14:paraId="3F5353AF" w14:textId="77777777" w:rsidR="008A1499" w:rsidRPr="003E265B" w:rsidRDefault="008A1499" w:rsidP="008A1499">
      <w:pPr>
        <w:pStyle w:val="AISpacer"/>
      </w:pPr>
    </w:p>
    <w:tbl>
      <w:tblPr>
        <w:tblW w:w="10489" w:type="dxa"/>
        <w:tblInd w:w="-283" w:type="dxa"/>
        <w:tblLayout w:type="fixed"/>
        <w:tblCellMar>
          <w:left w:w="283" w:type="dxa"/>
        </w:tblCellMar>
        <w:tblLook w:val="0000" w:firstRow="0" w:lastRow="0" w:firstColumn="0" w:lastColumn="0" w:noHBand="0" w:noVBand="0"/>
      </w:tblPr>
      <w:tblGrid>
        <w:gridCol w:w="5103"/>
        <w:gridCol w:w="5379"/>
        <w:gridCol w:w="7"/>
      </w:tblGrid>
      <w:tr w:rsidR="009C7B8F" w:rsidRPr="003E265B" w14:paraId="4DB8A6DB" w14:textId="77777777" w:rsidTr="009C7B8F">
        <w:trPr>
          <w:gridAfter w:val="1"/>
          <w:wAfter w:w="7" w:type="dxa"/>
          <w:trHeight w:val="57"/>
        </w:trPr>
        <w:tc>
          <w:tcPr>
            <w:tcW w:w="5103" w:type="dxa"/>
          </w:tcPr>
          <w:p w14:paraId="28DBBB99" w14:textId="77777777" w:rsidR="009C7B8F" w:rsidRPr="003E265B" w:rsidRDefault="009C7B8F" w:rsidP="007C7D55">
            <w:pPr>
              <w:pStyle w:val="AFCorN12Bold"/>
            </w:pPr>
            <w:r>
              <w:t xml:space="preserve">Órgano Subsidiario sobre la Aplicación </w:t>
            </w:r>
          </w:p>
          <w:p w14:paraId="10B899CD" w14:textId="77777777" w:rsidR="009C7B8F" w:rsidRPr="003E265B" w:rsidRDefault="009C7B8F" w:rsidP="007C7D55">
            <w:pPr>
              <w:pStyle w:val="AFCorNBold"/>
            </w:pPr>
            <w:r>
              <w:t xml:space="preserve">Séptima reunión </w:t>
            </w:r>
          </w:p>
          <w:p w14:paraId="14F11050" w14:textId="77777777" w:rsidR="009C7B8F" w:rsidRPr="003E265B" w:rsidRDefault="009C7B8F" w:rsidP="007C7D55">
            <w:pPr>
              <w:pStyle w:val="AFCorNNormal"/>
            </w:pPr>
            <w:r>
              <w:t xml:space="preserve">Nairobi, </w:t>
            </w:r>
            <w:r>
              <w:rPr>
                <w:snapToGrid w:val="0"/>
              </w:rPr>
              <w:t>4 a 12 de agosto de 2026</w:t>
            </w:r>
          </w:p>
          <w:p w14:paraId="7F0B816F" w14:textId="77777777" w:rsidR="009C7B8F" w:rsidRPr="003E265B" w:rsidRDefault="009C7B8F" w:rsidP="007C7D55">
            <w:pPr>
              <w:pStyle w:val="AFCorNNormal"/>
            </w:pPr>
            <w:r>
              <w:t>Tema 14 del programa provisional</w:t>
            </w:r>
            <w:r w:rsidRPr="003E265B">
              <w:rPr>
                <w:rStyle w:val="FootnoteReference"/>
              </w:rPr>
              <w:footnoteReference w:customMarkFollows="1" w:id="1"/>
              <w:t>*</w:t>
            </w:r>
            <w:r>
              <w:t xml:space="preserve"> </w:t>
            </w:r>
          </w:p>
          <w:p w14:paraId="77717E40" w14:textId="77777777" w:rsidR="009C7B8F" w:rsidRPr="003E265B" w:rsidRDefault="009C7B8F" w:rsidP="007C7D55">
            <w:pPr>
              <w:pStyle w:val="AFCorNBold"/>
            </w:pPr>
            <w:r>
              <w:t>Cuestiones administrativas y presupuestarias</w:t>
            </w:r>
          </w:p>
        </w:tc>
        <w:tc>
          <w:tcPr>
            <w:tcW w:w="5379" w:type="dxa"/>
          </w:tcPr>
          <w:p w14:paraId="58055210" w14:textId="421738CA" w:rsidR="009C7B8F" w:rsidRPr="003E265B" w:rsidRDefault="009C7B8F" w:rsidP="007C7D55">
            <w:pPr>
              <w:pStyle w:val="AFCorN12Bold"/>
            </w:pPr>
            <w:r>
              <w:t xml:space="preserve">Conferencia de las Partes en el Convenio sobre la Diversidad Biológica </w:t>
            </w:r>
          </w:p>
          <w:p w14:paraId="5F2A108B" w14:textId="77777777" w:rsidR="009C7B8F" w:rsidRPr="003E265B" w:rsidRDefault="009C7B8F" w:rsidP="007C7D55">
            <w:pPr>
              <w:pStyle w:val="AFCorNBold"/>
            </w:pPr>
            <w:r>
              <w:t>17</w:t>
            </w:r>
            <w:r>
              <w:rPr>
                <w:vertAlign w:val="superscript"/>
              </w:rPr>
              <w:t>a</w:t>
            </w:r>
            <w:r>
              <w:t xml:space="preserve"> reunión </w:t>
            </w:r>
          </w:p>
          <w:p w14:paraId="6BC99171" w14:textId="77777777" w:rsidR="009C7B8F" w:rsidRPr="003E265B" w:rsidRDefault="009C7B8F" w:rsidP="007C7D55">
            <w:pPr>
              <w:pStyle w:val="AFCorNNormal"/>
            </w:pPr>
            <w:r>
              <w:t xml:space="preserve">Ereván, </w:t>
            </w:r>
            <w:r>
              <w:rPr>
                <w:snapToGrid w:val="0"/>
              </w:rPr>
              <w:t>19 a 30 de octubre de 2026</w:t>
            </w:r>
          </w:p>
          <w:p w14:paraId="2EDD79F0" w14:textId="77777777" w:rsidR="009C7B8F" w:rsidRPr="003E265B" w:rsidRDefault="009C7B8F" w:rsidP="007C7D55">
            <w:pPr>
              <w:pStyle w:val="AFCorNNormal"/>
            </w:pPr>
            <w:r>
              <w:t>Tema 7 del programa provisional</w:t>
            </w:r>
            <w:r>
              <w:rPr>
                <w:rStyle w:val="FootnoteReference"/>
              </w:rPr>
              <w:footnoteReference w:customMarkFollows="1" w:id="2"/>
              <w:t>**</w:t>
            </w:r>
          </w:p>
          <w:p w14:paraId="019BB698" w14:textId="151F5A62" w:rsidR="009C7B8F" w:rsidRPr="003E265B" w:rsidRDefault="009C7B8F" w:rsidP="007C7D55">
            <w:pPr>
              <w:pStyle w:val="AFCorNBold"/>
              <w:spacing w:after="120"/>
            </w:pPr>
            <w:r>
              <w:t>Administración del Convenio sobre la Diversidad Biológica, presupuesto para los fondos fiduciarios y revisión funcional de la Secretaría</w:t>
            </w:r>
          </w:p>
        </w:tc>
      </w:tr>
      <w:tr w:rsidR="009C7B8F" w:rsidRPr="003E265B" w14:paraId="10C7D2A1" w14:textId="77777777" w:rsidTr="009C7B8F">
        <w:trPr>
          <w:trHeight w:val="57"/>
        </w:trPr>
        <w:tc>
          <w:tcPr>
            <w:tcW w:w="5103" w:type="dxa"/>
          </w:tcPr>
          <w:p w14:paraId="3FE5FDE5" w14:textId="77777777" w:rsidR="009C7B8F" w:rsidRPr="003E265B" w:rsidRDefault="009C7B8F" w:rsidP="007C7D55">
            <w:pPr>
              <w:pStyle w:val="AFCorN12Bold"/>
            </w:pPr>
            <w:r>
              <w:t>Conferencia de las Partes en el Convenio sobre la Diversidad Biológica que actúa como reunión de las Partes en el Protocolo de Cartagena sobre Seguridad de la Biotecnología</w:t>
            </w:r>
          </w:p>
          <w:p w14:paraId="754A136E" w14:textId="77777777" w:rsidR="009C7B8F" w:rsidRPr="003E265B" w:rsidRDefault="009C7B8F" w:rsidP="007C7D55">
            <w:pPr>
              <w:pStyle w:val="AFCorNBold"/>
            </w:pPr>
            <w:r>
              <w:t>12</w:t>
            </w:r>
            <w:r>
              <w:rPr>
                <w:vertAlign w:val="superscript"/>
              </w:rPr>
              <w:t>a</w:t>
            </w:r>
            <w:r>
              <w:t xml:space="preserve"> reunión </w:t>
            </w:r>
          </w:p>
          <w:p w14:paraId="35D8499D" w14:textId="77777777" w:rsidR="009C7B8F" w:rsidRPr="003E265B" w:rsidRDefault="009C7B8F" w:rsidP="007C7D55">
            <w:pPr>
              <w:pStyle w:val="AFCorNNormal"/>
            </w:pPr>
            <w:r>
              <w:rPr>
                <w:snapToGrid w:val="0"/>
              </w:rPr>
              <w:t>Ereván</w:t>
            </w:r>
            <w:r>
              <w:t xml:space="preserve">, </w:t>
            </w:r>
            <w:r>
              <w:rPr>
                <w:snapToGrid w:val="0"/>
              </w:rPr>
              <w:t>19 a 30 de octubre de 2026</w:t>
            </w:r>
          </w:p>
          <w:p w14:paraId="458CE02E" w14:textId="77777777" w:rsidR="009C7B8F" w:rsidRPr="003E265B" w:rsidRDefault="009C7B8F" w:rsidP="007C7D55">
            <w:pPr>
              <w:pStyle w:val="AFCorNNormal"/>
            </w:pPr>
            <w:r>
              <w:t>Tema 6 del programa provisional</w:t>
            </w:r>
            <w:r>
              <w:rPr>
                <w:rStyle w:val="FootnoteReference"/>
              </w:rPr>
              <w:footnoteReference w:customMarkFollows="1" w:id="3"/>
              <w:t>***</w:t>
            </w:r>
          </w:p>
          <w:p w14:paraId="48811DE0" w14:textId="6EDB135A" w:rsidR="009C7B8F" w:rsidRPr="003E265B" w:rsidRDefault="009C7B8F" w:rsidP="007C7D55">
            <w:pPr>
              <w:pStyle w:val="AFCorNBold"/>
            </w:pPr>
            <w:r>
              <w:t>Administración del Protocolo de Cartagena y presupuesto para los fondos fiduciarios</w:t>
            </w:r>
          </w:p>
        </w:tc>
        <w:tc>
          <w:tcPr>
            <w:tcW w:w="5386" w:type="dxa"/>
            <w:gridSpan w:val="2"/>
          </w:tcPr>
          <w:p w14:paraId="1C63FA10" w14:textId="58672002" w:rsidR="009C7B8F" w:rsidRPr="003E265B" w:rsidRDefault="009C7B8F" w:rsidP="007C7D55">
            <w:pPr>
              <w:pStyle w:val="AFCorN12Bold"/>
            </w:pPr>
            <w:r>
              <w:t>Conferencia de las Partes en el Convenio sobre la Diversidad Biológica que actúa como reunión de las Partes en el Protocolo de Nagoya sobre Acceso a los Recursos Genéticos y Participación Justa y Equitativa en los Beneficios que se Deriven de su Utilización</w:t>
            </w:r>
          </w:p>
          <w:p w14:paraId="427CE991" w14:textId="77777777" w:rsidR="009C7B8F" w:rsidRPr="003E265B" w:rsidRDefault="009C7B8F" w:rsidP="007C7D55">
            <w:pPr>
              <w:pStyle w:val="AFCorNBold"/>
            </w:pPr>
            <w:r>
              <w:t xml:space="preserve">Sexta reunión </w:t>
            </w:r>
          </w:p>
          <w:p w14:paraId="4D192A87" w14:textId="77777777" w:rsidR="009C7B8F" w:rsidRPr="003E265B" w:rsidRDefault="009C7B8F" w:rsidP="007C7D55">
            <w:pPr>
              <w:pStyle w:val="AFCorNNormal"/>
            </w:pPr>
            <w:r>
              <w:t>Ereván, 19 a 30 de octubre de 2026</w:t>
            </w:r>
          </w:p>
          <w:p w14:paraId="5981687D" w14:textId="77777777" w:rsidR="009C7B8F" w:rsidRPr="003E265B" w:rsidRDefault="009C7B8F" w:rsidP="007C7D55">
            <w:pPr>
              <w:pStyle w:val="AFCorNNormal"/>
            </w:pPr>
            <w:r>
              <w:t>Tema 6 del programa provisional</w:t>
            </w:r>
            <w:r>
              <w:rPr>
                <w:rStyle w:val="FootnoteReference"/>
              </w:rPr>
              <w:footnoteReference w:customMarkFollows="1" w:id="4"/>
              <w:t>****</w:t>
            </w:r>
          </w:p>
          <w:p w14:paraId="54926F62" w14:textId="658254E9" w:rsidR="009C7B8F" w:rsidRPr="003E265B" w:rsidRDefault="009C7B8F" w:rsidP="007C7D55">
            <w:pPr>
              <w:pStyle w:val="AFCorNBold"/>
            </w:pPr>
            <w:r>
              <w:t>Administración del Protocolo de Nagoya y presupuesto para los fondos fiduciarios</w:t>
            </w:r>
          </w:p>
        </w:tc>
      </w:tr>
    </w:tbl>
    <w:p w14:paraId="7A204686" w14:textId="33A2605C" w:rsidR="00C9161D" w:rsidRPr="003E265B" w:rsidRDefault="00000000" w:rsidP="00A111D1">
      <w:pPr>
        <w:pStyle w:val="CBDTitle"/>
        <w:rPr>
          <w:caps/>
        </w:rPr>
      </w:pPr>
      <w:sdt>
        <w:sdtPr>
          <w:alias w:val="Title"/>
          <w:tag w:val=""/>
          <w:id w:val="772832786"/>
          <w:placeholder>
            <w:docPart w:val="3330D00C199F4F7295DEF710CB577B8B"/>
          </w:placeholder>
          <w:dataBinding w:prefixMappings="xmlns:ns0='http://purl.org/dc/elements/1.1/' xmlns:ns1='http://schemas.openxmlformats.org/package/2006/metadata/core-properties' " w:xpath="/ns1:coreProperties[1]/ns0:title[1]" w:storeItemID="{6C3C8BC8-F283-45AE-878A-BAB7291924A1}"/>
          <w:text/>
        </w:sdtPr>
        <w:sdtContent>
          <w:r w:rsidR="00C16663" w:rsidRPr="003E265B">
            <w:t>Administra</w:t>
          </w:r>
          <w:r w:rsidR="00E50D34">
            <w:t>ció</w:t>
          </w:r>
          <w:r w:rsidR="00C16663" w:rsidRPr="003E265B">
            <w:t xml:space="preserve">n </w:t>
          </w:r>
          <w:r w:rsidR="00E50D34">
            <w:t>del</w:t>
          </w:r>
          <w:r w:rsidR="00C16663" w:rsidRPr="003E265B">
            <w:t xml:space="preserve"> Conven</w:t>
          </w:r>
          <w:r w:rsidR="00E50D34">
            <w:t>io</w:t>
          </w:r>
          <w:r w:rsidR="00C16663" w:rsidRPr="003E265B">
            <w:t xml:space="preserve"> </w:t>
          </w:r>
          <w:r w:rsidR="00E50D34">
            <w:t>y sus</w:t>
          </w:r>
          <w:r w:rsidR="00C16663" w:rsidRPr="003E265B">
            <w:t xml:space="preserve"> Protocol</w:t>
          </w:r>
          <w:r w:rsidR="00E50D34">
            <w:t>o</w:t>
          </w:r>
          <w:r w:rsidR="00C16663" w:rsidRPr="003E265B">
            <w:t xml:space="preserve">s </w:t>
          </w:r>
          <w:r w:rsidR="00D55473">
            <w:t>para el bienio</w:t>
          </w:r>
          <w:r w:rsidR="00C16663" w:rsidRPr="003E265B">
            <w:t xml:space="preserve"> 2025</w:t>
          </w:r>
          <w:r w:rsidR="00D55473">
            <w:t>-</w:t>
          </w:r>
          <w:r w:rsidR="00C16663" w:rsidRPr="003E265B">
            <w:t>2026</w:t>
          </w:r>
        </w:sdtContent>
      </w:sdt>
      <w:r w:rsidR="00DE59D7">
        <w:rPr>
          <w:rStyle w:val="FootnoteReference"/>
        </w:rPr>
        <w:footnoteReference w:customMarkFollows="1" w:id="5"/>
        <w:t>†</w:t>
      </w:r>
    </w:p>
    <w:p w14:paraId="433E74B8" w14:textId="77777777" w:rsidR="00F6586C" w:rsidRPr="003E265B" w:rsidRDefault="0030169D" w:rsidP="00A111D1">
      <w:pPr>
        <w:pStyle w:val="CBDSubTitle"/>
      </w:pPr>
      <w:r>
        <w:t>Nota de la Secretaría</w:t>
      </w:r>
    </w:p>
    <w:p w14:paraId="4E10A25E" w14:textId="326B984C" w:rsidR="00C9161D" w:rsidRPr="003E265B" w:rsidRDefault="00A111D1" w:rsidP="2080ABF3">
      <w:pPr>
        <w:pStyle w:val="CBDH1"/>
        <w:tabs>
          <w:tab w:val="left" w:pos="900"/>
        </w:tabs>
      </w:pPr>
      <w:r>
        <w:t>I.</w:t>
      </w:r>
      <w:r>
        <w:tab/>
        <w:t>Introducción</w:t>
      </w:r>
    </w:p>
    <w:p w14:paraId="6221F779" w14:textId="7712D481" w:rsidR="005B35E2" w:rsidRPr="003E265B" w:rsidRDefault="77F2CCAC" w:rsidP="00440131">
      <w:pPr>
        <w:pStyle w:val="CBDNormalNumber"/>
      </w:pPr>
      <w:r>
        <w:t>En su decisión </w:t>
      </w:r>
      <w:hyperlink r:id="rId15" w:history="1">
        <w:r>
          <w:rPr>
            <w:rStyle w:val="Hyperlink"/>
          </w:rPr>
          <w:t>16/28</w:t>
        </w:r>
      </w:hyperlink>
      <w:r>
        <w:t>, la Conferencia de las Partes en el Convenio pidió a la Secretaria Ejecutiva que informara al Órgano Subsidiario sobre la Aplicación con antelación a la 17</w:t>
      </w:r>
      <w:r>
        <w:rPr>
          <w:vertAlign w:val="superscript"/>
        </w:rPr>
        <w:t>a</w:t>
      </w:r>
      <w:r>
        <w:t xml:space="preserve"> reunión de la Conferencia de las Partes en el Convenio, la 12</w:t>
      </w:r>
      <w:r>
        <w:rPr>
          <w:vertAlign w:val="superscript"/>
        </w:rPr>
        <w:t>a</w:t>
      </w:r>
      <w:r>
        <w:t xml:space="preserve"> reunión de la Conferencia de las Partes que actúa como reunión de las Partes en el Protocolo de Cartagena y la 6</w:t>
      </w:r>
      <w:r>
        <w:rPr>
          <w:vertAlign w:val="superscript"/>
        </w:rPr>
        <w:t>a</w:t>
      </w:r>
      <w:r>
        <w:t xml:space="preserve"> reunión de la Conferencia de las Partes que actúa como reunión de las Partes en el Protocolo de Nagoya sobre los ingresos y la ejecución del presupuesto, los saldos no utilizados y la situación del superávit y los saldos arrastrados, así como sobre cualquier ajuste realizado en el presupuesto para el bienio 2025-2026.</w:t>
      </w:r>
    </w:p>
    <w:p w14:paraId="6C77B58D" w14:textId="7327F998" w:rsidR="000D2A86" w:rsidRPr="003E265B" w:rsidRDefault="1F9B268F" w:rsidP="00440131">
      <w:pPr>
        <w:pStyle w:val="CBDNormalNumber"/>
      </w:pPr>
      <w:r>
        <w:t xml:space="preserve">El presente documento ofrece información detallada sobre los resultados financieros y administrativos de la Secretaría correspondientes al bienio 2025-2026 hasta el 31 de mayo de 2026, salvo que se indique lo contrario. En el sitio web de la Secretaría, puede consultarse más información sobre la situación de las contribuciones a los tres fondos fiduciarios generales (Fondo Fiduciario General para el Convenio, Fondo Fiduciario General para el Presupuesto Básico por Programas del </w:t>
      </w:r>
      <w:r>
        <w:lastRenderedPageBreak/>
        <w:t>Protocolo de Cartagena y el Fondo Fiduciario General para el Presupuesto Básico por Programas del Protocolo de Nagoya), el Fondo Fiduciario Voluntario Especial para Actividades Aprobadas Adicionales del Convenio y sus Protocolos, el Fondo Fiduciario Voluntario Especial para Facilitar la Participación de las Partes en el Proceso del Convenio y el Fondo Fiduciario Voluntario Especial para Facilitar la Participación de los Pueblos Indígenas y las Comunidades Locales al 31 de mayo de 2026, así como sobre los estados financieros correspondientes a 2025.</w:t>
      </w:r>
    </w:p>
    <w:p w14:paraId="16A94953" w14:textId="37FE322B" w:rsidR="002C2291" w:rsidRPr="003E265B" w:rsidRDefault="002C2291" w:rsidP="002C2291">
      <w:pPr>
        <w:pStyle w:val="CBDH1"/>
      </w:pPr>
      <w:r>
        <w:t>II.</w:t>
      </w:r>
      <w:r>
        <w:tab/>
        <w:t>Ingresos y resultados financieros del bienio 2025-2026</w:t>
      </w:r>
    </w:p>
    <w:p w14:paraId="4C1FB6F2" w14:textId="286F5133" w:rsidR="0093169E" w:rsidRPr="003E265B" w:rsidRDefault="00A111D1" w:rsidP="00A111D1">
      <w:pPr>
        <w:pStyle w:val="CBDH2"/>
      </w:pPr>
      <w:r>
        <w:t>A.</w:t>
      </w:r>
      <w:r>
        <w:tab/>
        <w:t>Situación de las cuotas asignadas</w:t>
      </w:r>
    </w:p>
    <w:p w14:paraId="4F9F9CFF" w14:textId="2C523D01" w:rsidR="00EF007D" w:rsidRPr="003E265B" w:rsidRDefault="00162F9B" w:rsidP="00440131">
      <w:pPr>
        <w:pStyle w:val="CBDNormalNumber"/>
      </w:pPr>
      <w:r>
        <w:t xml:space="preserve">En su decisión 16/28, la Conferencia de las Partes aprobó un programa de trabajo y un presupuesto integrados para el Convenio y sus Protocolos. En la misma decisión, decidió distribuir los gastos de los servicios de secretaría entre el Convenio, el Protocolo de Cartagena y el Protocolo de Nagoya a razón de 72 %, 15 % y 13 %, respectivamente, para el bienio 2025-2026. El presupuesto integrado también fue aprobado por la Conferencia de las Partes que actúa como reunión de las Partes en el Protocolo de Cartagena sobre Seguridad de la Biotecnología y por la Conferencia de las Partes que actúa como reunión de las Partes en el Protocolo de Nagoya sobre Acceso y Participación en los Beneficios en las decisiones </w:t>
      </w:r>
      <w:hyperlink r:id="rId16" w:history="1">
        <w:r>
          <w:rPr>
            <w:rStyle w:val="Hyperlink"/>
          </w:rPr>
          <w:t>CP-11/11</w:t>
        </w:r>
      </w:hyperlink>
      <w:r>
        <w:t xml:space="preserve"> y </w:t>
      </w:r>
      <w:hyperlink r:id="rId17" w:history="1">
        <w:r>
          <w:rPr>
            <w:rStyle w:val="Hyperlink"/>
          </w:rPr>
          <w:t>NP-5/12</w:t>
        </w:r>
      </w:hyperlink>
      <w:r>
        <w:t>, respectivamente.</w:t>
      </w:r>
    </w:p>
    <w:p w14:paraId="5038BE1A" w14:textId="13B434B2" w:rsidR="00EF007D" w:rsidRPr="003E265B" w:rsidRDefault="00EF007D" w:rsidP="00440131">
      <w:pPr>
        <w:pStyle w:val="CBDNormalNumber"/>
      </w:pPr>
      <w:r>
        <w:t>Se aprobó el presupuesto integrado de 21.682.100 dólares y 22.753.400 dólares para 2025 y 2026, respectivamente, lo que asciende a un total de 44.435.500 dólares para el bienio, incluidos los gastos de apoyo a los programas del 13 %. Los presupuestos individuales del Convenio y los Protocolos, tal como fueron aprobados por los respectivos órganos rectores, se recogen en el cuadro 1.</w:t>
      </w:r>
    </w:p>
    <w:p w14:paraId="1392082D" w14:textId="518AE093" w:rsidR="003F6EC1" w:rsidRPr="003E265B" w:rsidRDefault="003F6EC1" w:rsidP="003F6EC1">
      <w:pPr>
        <w:tabs>
          <w:tab w:val="clear" w:pos="567"/>
          <w:tab w:val="clear" w:pos="1134"/>
          <w:tab w:val="clear" w:pos="1701"/>
          <w:tab w:val="clear" w:pos="2268"/>
        </w:tabs>
        <w:ind w:left="555"/>
        <w:jc w:val="left"/>
        <w:textAlignment w:val="baseline"/>
        <w:rPr>
          <w:rFonts w:ascii="Segoe UI" w:eastAsia="Times New Roman" w:hAnsi="Segoe UI" w:cs="Segoe UI"/>
          <w:b/>
          <w:bCs/>
          <w:sz w:val="18"/>
          <w:szCs w:val="18"/>
        </w:rPr>
      </w:pPr>
      <w:r>
        <w:t>Cuadro 1</w:t>
      </w:r>
      <w:r>
        <w:rPr>
          <w:b/>
        </w:rPr>
        <w:br/>
        <w:t>Resumen de los recursos aprobados, por fondo fiduciario, 2025-2026</w:t>
      </w:r>
    </w:p>
    <w:p w14:paraId="64506968" w14:textId="5CDF5A84" w:rsidR="003F6EC1" w:rsidRPr="003E265B" w:rsidRDefault="003F6EC1" w:rsidP="003F6EC1">
      <w:pPr>
        <w:tabs>
          <w:tab w:val="clear" w:pos="567"/>
          <w:tab w:val="clear" w:pos="1134"/>
          <w:tab w:val="clear" w:pos="1701"/>
          <w:tab w:val="clear" w:pos="2268"/>
        </w:tabs>
        <w:ind w:left="555"/>
        <w:jc w:val="left"/>
        <w:textAlignment w:val="baseline"/>
        <w:rPr>
          <w:rFonts w:ascii="Segoe UI" w:eastAsia="Times New Roman" w:hAnsi="Segoe UI" w:cs="Segoe UI"/>
          <w:b/>
          <w:bCs/>
          <w:sz w:val="18"/>
          <w:szCs w:val="18"/>
        </w:rPr>
      </w:pPr>
      <w:r>
        <w:rPr>
          <w:sz w:val="18"/>
        </w:rPr>
        <w:t>(dólares de los EE. UU.)</w:t>
      </w:r>
    </w:p>
    <w:tbl>
      <w:tblPr>
        <w:tblW w:w="0" w:type="auto"/>
        <w:tblInd w:w="630" w:type="dxa"/>
        <w:tblCellMar>
          <w:left w:w="28" w:type="dxa"/>
          <w:right w:w="28" w:type="dxa"/>
        </w:tblCellMar>
        <w:tblLook w:val="04A0" w:firstRow="1" w:lastRow="0" w:firstColumn="1" w:lastColumn="0" w:noHBand="0" w:noVBand="1"/>
      </w:tblPr>
      <w:tblGrid>
        <w:gridCol w:w="4562"/>
        <w:gridCol w:w="1333"/>
        <w:gridCol w:w="1428"/>
        <w:gridCol w:w="1407"/>
      </w:tblGrid>
      <w:tr w:rsidR="003F6EC1" w:rsidRPr="003E265B" w14:paraId="1F7CD7C7" w14:textId="77777777" w:rsidTr="00440131">
        <w:trPr>
          <w:trHeight w:val="420"/>
        </w:trPr>
        <w:tc>
          <w:tcPr>
            <w:tcW w:w="0" w:type="auto"/>
            <w:vMerge w:val="restart"/>
            <w:tcBorders>
              <w:top w:val="single" w:sz="4" w:space="0" w:color="auto"/>
              <w:bottom w:val="single" w:sz="4" w:space="0" w:color="000000" w:themeColor="text1"/>
            </w:tcBorders>
            <w:vAlign w:val="bottom"/>
            <w:hideMark/>
          </w:tcPr>
          <w:p w14:paraId="7BE8AA6C" w14:textId="3BA599DA" w:rsidR="003F6EC1" w:rsidRPr="003E265B" w:rsidRDefault="003F6EC1" w:rsidP="003F6EC1">
            <w:pPr>
              <w:tabs>
                <w:tab w:val="clear" w:pos="567"/>
                <w:tab w:val="clear" w:pos="1134"/>
                <w:tab w:val="clear" w:pos="1701"/>
                <w:tab w:val="clear" w:pos="2268"/>
              </w:tabs>
              <w:ind w:left="30"/>
              <w:jc w:val="left"/>
              <w:textAlignment w:val="baseline"/>
              <w:rPr>
                <w:rFonts w:eastAsia="Times New Roman"/>
                <w:sz w:val="24"/>
                <w:szCs w:val="24"/>
              </w:rPr>
            </w:pPr>
            <w:r>
              <w:rPr>
                <w:i/>
                <w:sz w:val="18"/>
              </w:rPr>
              <w:t>Fondo fiduciario</w:t>
            </w:r>
            <w:r>
              <w:rPr>
                <w:sz w:val="18"/>
              </w:rPr>
              <w:t xml:space="preserve"> </w:t>
            </w:r>
          </w:p>
        </w:tc>
        <w:tc>
          <w:tcPr>
            <w:tcW w:w="1637" w:type="dxa"/>
            <w:vMerge w:val="restart"/>
            <w:tcBorders>
              <w:top w:val="single" w:sz="4" w:space="0" w:color="auto"/>
              <w:bottom w:val="single" w:sz="4" w:space="0" w:color="000000" w:themeColor="text1"/>
            </w:tcBorders>
            <w:vAlign w:val="bottom"/>
            <w:hideMark/>
          </w:tcPr>
          <w:p w14:paraId="27DEE3CD" w14:textId="7B5DD0C8" w:rsidR="003F6EC1" w:rsidRPr="003E265B" w:rsidRDefault="003F6EC1" w:rsidP="003F6EC1">
            <w:pPr>
              <w:tabs>
                <w:tab w:val="clear" w:pos="567"/>
                <w:tab w:val="clear" w:pos="1134"/>
                <w:tab w:val="clear" w:pos="1701"/>
                <w:tab w:val="clear" w:pos="2268"/>
              </w:tabs>
              <w:ind w:left="30"/>
              <w:jc w:val="right"/>
              <w:textAlignment w:val="baseline"/>
              <w:rPr>
                <w:rFonts w:eastAsia="Times New Roman"/>
                <w:sz w:val="24"/>
                <w:szCs w:val="24"/>
              </w:rPr>
            </w:pPr>
            <w:r>
              <w:rPr>
                <w:i/>
                <w:sz w:val="18"/>
              </w:rPr>
              <w:t>Fondo aprobado para 2025</w:t>
            </w:r>
            <w:r>
              <w:rPr>
                <w:sz w:val="18"/>
              </w:rPr>
              <w:t xml:space="preserve"> </w:t>
            </w:r>
          </w:p>
        </w:tc>
        <w:tc>
          <w:tcPr>
            <w:tcW w:w="1800" w:type="dxa"/>
            <w:vMerge w:val="restart"/>
            <w:tcBorders>
              <w:top w:val="single" w:sz="4" w:space="0" w:color="auto"/>
              <w:bottom w:val="single" w:sz="4" w:space="0" w:color="000000" w:themeColor="text1"/>
            </w:tcBorders>
            <w:vAlign w:val="bottom"/>
            <w:hideMark/>
          </w:tcPr>
          <w:p w14:paraId="2CD5FEF9" w14:textId="293138EA" w:rsidR="003F6EC1" w:rsidRPr="003E265B" w:rsidRDefault="003F6EC1" w:rsidP="003F6EC1">
            <w:pPr>
              <w:tabs>
                <w:tab w:val="clear" w:pos="567"/>
                <w:tab w:val="clear" w:pos="1134"/>
                <w:tab w:val="clear" w:pos="1701"/>
                <w:tab w:val="clear" w:pos="2268"/>
              </w:tabs>
              <w:ind w:left="30"/>
              <w:jc w:val="right"/>
              <w:textAlignment w:val="baseline"/>
              <w:rPr>
                <w:rFonts w:eastAsia="Times New Roman"/>
                <w:sz w:val="24"/>
                <w:szCs w:val="24"/>
              </w:rPr>
            </w:pPr>
            <w:r>
              <w:rPr>
                <w:i/>
                <w:sz w:val="18"/>
              </w:rPr>
              <w:t>Fondo aprobado para 2026</w:t>
            </w:r>
            <w:r>
              <w:rPr>
                <w:sz w:val="18"/>
              </w:rPr>
              <w:t xml:space="preserve"> </w:t>
            </w:r>
          </w:p>
        </w:tc>
        <w:tc>
          <w:tcPr>
            <w:tcW w:w="1710" w:type="dxa"/>
            <w:vMerge w:val="restart"/>
            <w:tcBorders>
              <w:top w:val="single" w:sz="4" w:space="0" w:color="auto"/>
              <w:bottom w:val="single" w:sz="4" w:space="0" w:color="000000" w:themeColor="text1"/>
            </w:tcBorders>
            <w:vAlign w:val="bottom"/>
            <w:hideMark/>
          </w:tcPr>
          <w:p w14:paraId="28A36595" w14:textId="5735EB1A" w:rsidR="003F6EC1" w:rsidRPr="003E265B" w:rsidRDefault="003F6EC1" w:rsidP="003F6EC1">
            <w:pPr>
              <w:tabs>
                <w:tab w:val="clear" w:pos="567"/>
                <w:tab w:val="clear" w:pos="1134"/>
                <w:tab w:val="clear" w:pos="1701"/>
                <w:tab w:val="clear" w:pos="2268"/>
              </w:tabs>
              <w:ind w:left="30"/>
              <w:jc w:val="right"/>
              <w:textAlignment w:val="baseline"/>
              <w:rPr>
                <w:rFonts w:eastAsia="Times New Roman"/>
                <w:sz w:val="24"/>
                <w:szCs w:val="24"/>
              </w:rPr>
            </w:pPr>
            <w:r>
              <w:rPr>
                <w:i/>
                <w:sz w:val="18"/>
              </w:rPr>
              <w:t xml:space="preserve">Presupuesto total aprobado para el bienio </w:t>
            </w:r>
            <w:r>
              <w:rPr>
                <w:i/>
                <w:sz w:val="18"/>
              </w:rPr>
              <w:br/>
              <w:t>2025-2026</w:t>
            </w:r>
            <w:r>
              <w:rPr>
                <w:sz w:val="18"/>
              </w:rPr>
              <w:t xml:space="preserve"> </w:t>
            </w:r>
          </w:p>
        </w:tc>
      </w:tr>
      <w:tr w:rsidR="003F6EC1" w:rsidRPr="003E265B" w14:paraId="46B5DD20" w14:textId="77777777" w:rsidTr="00440131">
        <w:trPr>
          <w:trHeight w:val="270"/>
        </w:trPr>
        <w:tc>
          <w:tcPr>
            <w:tcW w:w="0" w:type="auto"/>
            <w:vMerge/>
            <w:vAlign w:val="center"/>
            <w:hideMark/>
          </w:tcPr>
          <w:p w14:paraId="136EAE2F" w14:textId="77777777" w:rsidR="003F6EC1" w:rsidRPr="003E265B" w:rsidRDefault="003F6EC1" w:rsidP="003F6EC1">
            <w:pPr>
              <w:tabs>
                <w:tab w:val="clear" w:pos="567"/>
                <w:tab w:val="clear" w:pos="1134"/>
                <w:tab w:val="clear" w:pos="1701"/>
                <w:tab w:val="clear" w:pos="2268"/>
              </w:tabs>
              <w:jc w:val="left"/>
              <w:rPr>
                <w:rFonts w:eastAsia="Times New Roman"/>
                <w:sz w:val="24"/>
                <w:szCs w:val="24"/>
              </w:rPr>
            </w:pPr>
          </w:p>
        </w:tc>
        <w:tc>
          <w:tcPr>
            <w:tcW w:w="1637" w:type="dxa"/>
            <w:vMerge/>
            <w:vAlign w:val="center"/>
            <w:hideMark/>
          </w:tcPr>
          <w:p w14:paraId="181D0017" w14:textId="77777777" w:rsidR="003F6EC1" w:rsidRPr="003E265B" w:rsidRDefault="003F6EC1" w:rsidP="003F6EC1">
            <w:pPr>
              <w:tabs>
                <w:tab w:val="clear" w:pos="567"/>
                <w:tab w:val="clear" w:pos="1134"/>
                <w:tab w:val="clear" w:pos="1701"/>
                <w:tab w:val="clear" w:pos="2268"/>
              </w:tabs>
              <w:jc w:val="left"/>
              <w:rPr>
                <w:rFonts w:eastAsia="Times New Roman"/>
                <w:sz w:val="24"/>
                <w:szCs w:val="24"/>
              </w:rPr>
            </w:pPr>
          </w:p>
        </w:tc>
        <w:tc>
          <w:tcPr>
            <w:tcW w:w="1800" w:type="dxa"/>
            <w:vMerge/>
            <w:vAlign w:val="center"/>
            <w:hideMark/>
          </w:tcPr>
          <w:p w14:paraId="2B9942FB" w14:textId="77777777" w:rsidR="003F6EC1" w:rsidRPr="003E265B" w:rsidRDefault="003F6EC1" w:rsidP="003F6EC1">
            <w:pPr>
              <w:tabs>
                <w:tab w:val="clear" w:pos="567"/>
                <w:tab w:val="clear" w:pos="1134"/>
                <w:tab w:val="clear" w:pos="1701"/>
                <w:tab w:val="clear" w:pos="2268"/>
              </w:tabs>
              <w:jc w:val="left"/>
              <w:rPr>
                <w:rFonts w:eastAsia="Times New Roman"/>
                <w:sz w:val="24"/>
                <w:szCs w:val="24"/>
              </w:rPr>
            </w:pPr>
          </w:p>
        </w:tc>
        <w:tc>
          <w:tcPr>
            <w:tcW w:w="1710" w:type="dxa"/>
            <w:vMerge/>
            <w:vAlign w:val="center"/>
            <w:hideMark/>
          </w:tcPr>
          <w:p w14:paraId="31AB5BBF" w14:textId="77777777" w:rsidR="003F6EC1" w:rsidRPr="003E265B" w:rsidRDefault="003F6EC1" w:rsidP="003F6EC1">
            <w:pPr>
              <w:tabs>
                <w:tab w:val="clear" w:pos="567"/>
                <w:tab w:val="clear" w:pos="1134"/>
                <w:tab w:val="clear" w:pos="1701"/>
                <w:tab w:val="clear" w:pos="2268"/>
              </w:tabs>
              <w:jc w:val="left"/>
              <w:rPr>
                <w:rFonts w:eastAsia="Times New Roman"/>
                <w:sz w:val="24"/>
                <w:szCs w:val="24"/>
              </w:rPr>
            </w:pPr>
          </w:p>
        </w:tc>
      </w:tr>
      <w:tr w:rsidR="2080ABF3" w:rsidRPr="003E265B" w14:paraId="6E66F2CD" w14:textId="77777777" w:rsidTr="00440131">
        <w:trPr>
          <w:trHeight w:val="270"/>
        </w:trPr>
        <w:tc>
          <w:tcPr>
            <w:tcW w:w="3583" w:type="dxa"/>
            <w:tcBorders>
              <w:top w:val="single" w:sz="4" w:space="0" w:color="000000" w:themeColor="text1"/>
              <w:left w:val="none" w:sz="4" w:space="0" w:color="000000" w:themeColor="text1"/>
              <w:bottom w:val="none" w:sz="4" w:space="0" w:color="000000" w:themeColor="text1"/>
              <w:right w:val="none" w:sz="4" w:space="0" w:color="000000" w:themeColor="text1"/>
            </w:tcBorders>
            <w:vAlign w:val="bottom"/>
            <w:hideMark/>
          </w:tcPr>
          <w:p w14:paraId="65691969" w14:textId="637B715F" w:rsidR="2080ABF3" w:rsidRPr="003E265B" w:rsidRDefault="2080ABF3" w:rsidP="2080ABF3">
            <w:pPr>
              <w:ind w:left="32"/>
              <w:jc w:val="left"/>
            </w:pPr>
            <w:r>
              <w:rPr>
                <w:sz w:val="18"/>
              </w:rPr>
              <w:t>Fondo Fiduciario General para el Convenio</w:t>
            </w:r>
          </w:p>
        </w:tc>
        <w:tc>
          <w:tcPr>
            <w:tcW w:w="1637" w:type="dxa"/>
            <w:tcBorders>
              <w:top w:val="single" w:sz="4" w:space="0" w:color="000000" w:themeColor="text1"/>
              <w:left w:val="none" w:sz="4" w:space="0" w:color="000000" w:themeColor="text1"/>
              <w:bottom w:val="none" w:sz="4" w:space="0" w:color="000000" w:themeColor="text1"/>
              <w:right w:val="none" w:sz="4" w:space="0" w:color="000000" w:themeColor="text1"/>
            </w:tcBorders>
            <w:vAlign w:val="bottom"/>
            <w:hideMark/>
          </w:tcPr>
          <w:p w14:paraId="3275906B" w14:textId="44EF2217" w:rsidR="2080ABF3" w:rsidRPr="003E265B" w:rsidRDefault="2080ABF3" w:rsidP="2080ABF3">
            <w:pPr>
              <w:ind w:left="32"/>
              <w:jc w:val="right"/>
            </w:pPr>
            <w:r>
              <w:rPr>
                <w:sz w:val="18"/>
              </w:rPr>
              <w:t>15 611 100</w:t>
            </w:r>
          </w:p>
        </w:tc>
        <w:tc>
          <w:tcPr>
            <w:tcW w:w="1800" w:type="dxa"/>
            <w:tcBorders>
              <w:top w:val="single" w:sz="4" w:space="0" w:color="000000" w:themeColor="text1"/>
              <w:left w:val="none" w:sz="4" w:space="0" w:color="000000" w:themeColor="text1"/>
              <w:bottom w:val="none" w:sz="4" w:space="0" w:color="000000" w:themeColor="text1"/>
              <w:right w:val="none" w:sz="4" w:space="0" w:color="000000" w:themeColor="text1"/>
            </w:tcBorders>
            <w:vAlign w:val="bottom"/>
            <w:hideMark/>
          </w:tcPr>
          <w:p w14:paraId="46AAA8D7" w14:textId="65741A36" w:rsidR="2080ABF3" w:rsidRPr="003E265B" w:rsidRDefault="2080ABF3" w:rsidP="2080ABF3">
            <w:pPr>
              <w:ind w:left="32"/>
              <w:jc w:val="right"/>
            </w:pPr>
            <w:r>
              <w:rPr>
                <w:sz w:val="18"/>
              </w:rPr>
              <w:t>16 382 400</w:t>
            </w:r>
          </w:p>
        </w:tc>
        <w:tc>
          <w:tcPr>
            <w:tcW w:w="1710" w:type="dxa"/>
            <w:tcBorders>
              <w:top w:val="single" w:sz="4" w:space="0" w:color="000000" w:themeColor="text1"/>
              <w:left w:val="none" w:sz="4" w:space="0" w:color="000000" w:themeColor="text1"/>
              <w:bottom w:val="none" w:sz="4" w:space="0" w:color="000000" w:themeColor="text1"/>
              <w:right w:val="none" w:sz="4" w:space="0" w:color="000000" w:themeColor="text1"/>
            </w:tcBorders>
            <w:vAlign w:val="bottom"/>
            <w:hideMark/>
          </w:tcPr>
          <w:p w14:paraId="4E377C58" w14:textId="587D5041" w:rsidR="2080ABF3" w:rsidRPr="003E265B" w:rsidRDefault="2080ABF3" w:rsidP="2080ABF3">
            <w:pPr>
              <w:ind w:left="32"/>
              <w:jc w:val="right"/>
            </w:pPr>
            <w:r>
              <w:rPr>
                <w:sz w:val="18"/>
              </w:rPr>
              <w:t>31 993 500</w:t>
            </w:r>
          </w:p>
        </w:tc>
      </w:tr>
      <w:tr w:rsidR="003F6EC1" w:rsidRPr="003E265B" w14:paraId="4DCE20D0" w14:textId="77777777" w:rsidTr="00440131">
        <w:trPr>
          <w:trHeight w:val="270"/>
        </w:trPr>
        <w:tc>
          <w:tcPr>
            <w:tcW w:w="0" w:type="auto"/>
            <w:tcBorders>
              <w:top w:val="none" w:sz="4" w:space="0" w:color="000000" w:themeColor="text1"/>
              <w:left w:val="none" w:sz="4" w:space="0" w:color="000000" w:themeColor="text1"/>
              <w:bottom w:val="none" w:sz="4" w:space="0" w:color="000000" w:themeColor="text1"/>
              <w:right w:val="none" w:sz="4" w:space="0" w:color="000000" w:themeColor="text1"/>
            </w:tcBorders>
            <w:vAlign w:val="bottom"/>
            <w:hideMark/>
          </w:tcPr>
          <w:p w14:paraId="49F0E248" w14:textId="1E6937EA" w:rsidR="003F6EC1" w:rsidRPr="003E265B" w:rsidRDefault="003F6EC1" w:rsidP="003F6EC1">
            <w:pPr>
              <w:tabs>
                <w:tab w:val="clear" w:pos="567"/>
                <w:tab w:val="clear" w:pos="1134"/>
                <w:tab w:val="clear" w:pos="1701"/>
                <w:tab w:val="clear" w:pos="2268"/>
              </w:tabs>
              <w:ind w:left="30"/>
              <w:jc w:val="left"/>
              <w:textAlignment w:val="baseline"/>
              <w:rPr>
                <w:rFonts w:eastAsia="Times New Roman"/>
                <w:sz w:val="24"/>
                <w:szCs w:val="24"/>
              </w:rPr>
            </w:pPr>
            <w:r>
              <w:rPr>
                <w:sz w:val="18"/>
              </w:rPr>
              <w:t xml:space="preserve">Fondo Fiduciario General para el Presupuesto Básico por Programas del Protocolo de Cartagena </w:t>
            </w:r>
          </w:p>
        </w:tc>
        <w:tc>
          <w:tcPr>
            <w:tcW w:w="1637" w:type="dxa"/>
            <w:tcBorders>
              <w:top w:val="none" w:sz="4" w:space="0" w:color="000000" w:themeColor="text1"/>
              <w:left w:val="none" w:sz="4" w:space="0" w:color="000000" w:themeColor="text1"/>
              <w:bottom w:val="none" w:sz="4" w:space="0" w:color="000000" w:themeColor="text1"/>
              <w:right w:val="none" w:sz="4" w:space="0" w:color="000000" w:themeColor="text1"/>
            </w:tcBorders>
            <w:vAlign w:val="bottom"/>
            <w:hideMark/>
          </w:tcPr>
          <w:p w14:paraId="3925B168" w14:textId="65ADE774" w:rsidR="003F6EC1" w:rsidRPr="003E265B" w:rsidRDefault="003F6EC1" w:rsidP="003F6EC1">
            <w:pPr>
              <w:tabs>
                <w:tab w:val="clear" w:pos="567"/>
                <w:tab w:val="clear" w:pos="1134"/>
                <w:tab w:val="clear" w:pos="1701"/>
                <w:tab w:val="clear" w:pos="2268"/>
              </w:tabs>
              <w:ind w:left="30"/>
              <w:jc w:val="right"/>
              <w:textAlignment w:val="baseline"/>
              <w:rPr>
                <w:rFonts w:eastAsia="Times New Roman"/>
                <w:sz w:val="24"/>
                <w:szCs w:val="24"/>
              </w:rPr>
            </w:pPr>
            <w:r>
              <w:rPr>
                <w:sz w:val="18"/>
              </w:rPr>
              <w:t>3 252 300</w:t>
            </w:r>
          </w:p>
        </w:tc>
        <w:tc>
          <w:tcPr>
            <w:tcW w:w="1800" w:type="dxa"/>
            <w:tcBorders>
              <w:top w:val="none" w:sz="4" w:space="0" w:color="000000" w:themeColor="text1"/>
              <w:left w:val="none" w:sz="4" w:space="0" w:color="000000" w:themeColor="text1"/>
              <w:bottom w:val="none" w:sz="4" w:space="0" w:color="000000" w:themeColor="text1"/>
              <w:right w:val="none" w:sz="4" w:space="0" w:color="000000" w:themeColor="text1"/>
            </w:tcBorders>
            <w:vAlign w:val="bottom"/>
            <w:hideMark/>
          </w:tcPr>
          <w:p w14:paraId="7613C708" w14:textId="6DA2F24A" w:rsidR="003F6EC1" w:rsidRPr="003E265B" w:rsidRDefault="003F6EC1" w:rsidP="003F6EC1">
            <w:pPr>
              <w:tabs>
                <w:tab w:val="clear" w:pos="567"/>
                <w:tab w:val="clear" w:pos="1134"/>
                <w:tab w:val="clear" w:pos="1701"/>
                <w:tab w:val="clear" w:pos="2268"/>
              </w:tabs>
              <w:ind w:left="30"/>
              <w:jc w:val="right"/>
              <w:textAlignment w:val="baseline"/>
              <w:rPr>
                <w:rFonts w:eastAsia="Times New Roman"/>
                <w:sz w:val="24"/>
                <w:szCs w:val="24"/>
              </w:rPr>
            </w:pPr>
            <w:r>
              <w:rPr>
                <w:sz w:val="18"/>
              </w:rPr>
              <w:t>3 413 100</w:t>
            </w:r>
          </w:p>
        </w:tc>
        <w:tc>
          <w:tcPr>
            <w:tcW w:w="1710" w:type="dxa"/>
            <w:tcBorders>
              <w:top w:val="none" w:sz="4" w:space="0" w:color="000000" w:themeColor="text1"/>
              <w:left w:val="none" w:sz="4" w:space="0" w:color="000000" w:themeColor="text1"/>
              <w:bottom w:val="none" w:sz="4" w:space="0" w:color="000000" w:themeColor="text1"/>
              <w:right w:val="none" w:sz="4" w:space="0" w:color="000000" w:themeColor="text1"/>
            </w:tcBorders>
            <w:vAlign w:val="bottom"/>
            <w:hideMark/>
          </w:tcPr>
          <w:p w14:paraId="6FC77F74" w14:textId="1B16B08F" w:rsidR="003F6EC1" w:rsidRPr="003E265B" w:rsidRDefault="003F6EC1" w:rsidP="003F6EC1">
            <w:pPr>
              <w:tabs>
                <w:tab w:val="clear" w:pos="567"/>
                <w:tab w:val="clear" w:pos="1134"/>
                <w:tab w:val="clear" w:pos="1701"/>
                <w:tab w:val="clear" w:pos="2268"/>
              </w:tabs>
              <w:ind w:left="30"/>
              <w:jc w:val="right"/>
              <w:textAlignment w:val="baseline"/>
              <w:rPr>
                <w:rFonts w:eastAsia="Times New Roman"/>
                <w:sz w:val="24"/>
                <w:szCs w:val="24"/>
              </w:rPr>
            </w:pPr>
            <w:r>
              <w:rPr>
                <w:sz w:val="18"/>
              </w:rPr>
              <w:t>6 665 400</w:t>
            </w:r>
          </w:p>
        </w:tc>
      </w:tr>
      <w:tr w:rsidR="003F6EC1" w:rsidRPr="003E265B" w14:paraId="300EAA8F" w14:textId="77777777" w:rsidTr="00440131">
        <w:trPr>
          <w:trHeight w:val="270"/>
        </w:trPr>
        <w:tc>
          <w:tcPr>
            <w:tcW w:w="0" w:type="auto"/>
            <w:tcBorders>
              <w:top w:val="none" w:sz="4" w:space="0" w:color="000000" w:themeColor="text1"/>
              <w:bottom w:val="single" w:sz="4" w:space="0" w:color="auto"/>
            </w:tcBorders>
            <w:vAlign w:val="bottom"/>
            <w:hideMark/>
          </w:tcPr>
          <w:p w14:paraId="77CDB609" w14:textId="6624D768" w:rsidR="003F6EC1" w:rsidRPr="003E265B" w:rsidRDefault="003F6EC1" w:rsidP="003F6EC1">
            <w:pPr>
              <w:tabs>
                <w:tab w:val="clear" w:pos="567"/>
                <w:tab w:val="clear" w:pos="1134"/>
                <w:tab w:val="clear" w:pos="1701"/>
                <w:tab w:val="clear" w:pos="2268"/>
              </w:tabs>
              <w:ind w:left="30"/>
              <w:jc w:val="left"/>
              <w:textAlignment w:val="baseline"/>
              <w:rPr>
                <w:rFonts w:eastAsia="Times New Roman"/>
                <w:sz w:val="24"/>
                <w:szCs w:val="24"/>
              </w:rPr>
            </w:pPr>
            <w:r>
              <w:rPr>
                <w:sz w:val="18"/>
              </w:rPr>
              <w:t xml:space="preserve">Fondo Fiduciario General para el Presupuesto Básico por Programas del Protocolo de Nagoya </w:t>
            </w:r>
          </w:p>
        </w:tc>
        <w:tc>
          <w:tcPr>
            <w:tcW w:w="1637" w:type="dxa"/>
            <w:tcBorders>
              <w:top w:val="none" w:sz="4" w:space="0" w:color="000000" w:themeColor="text1"/>
              <w:bottom w:val="single" w:sz="4" w:space="0" w:color="auto"/>
            </w:tcBorders>
            <w:vAlign w:val="bottom"/>
            <w:hideMark/>
          </w:tcPr>
          <w:p w14:paraId="29CD63C4" w14:textId="4DFAF596" w:rsidR="003F6EC1" w:rsidRPr="003E265B" w:rsidRDefault="003F6EC1" w:rsidP="003F6EC1">
            <w:pPr>
              <w:tabs>
                <w:tab w:val="clear" w:pos="567"/>
                <w:tab w:val="clear" w:pos="1134"/>
                <w:tab w:val="clear" w:pos="1701"/>
                <w:tab w:val="clear" w:pos="2268"/>
              </w:tabs>
              <w:ind w:left="30"/>
              <w:jc w:val="right"/>
              <w:textAlignment w:val="baseline"/>
              <w:rPr>
                <w:rFonts w:eastAsia="Times New Roman"/>
                <w:sz w:val="24"/>
                <w:szCs w:val="24"/>
              </w:rPr>
            </w:pPr>
            <w:r>
              <w:rPr>
                <w:sz w:val="18"/>
              </w:rPr>
              <w:t>2 818 700</w:t>
            </w:r>
          </w:p>
        </w:tc>
        <w:tc>
          <w:tcPr>
            <w:tcW w:w="1800" w:type="dxa"/>
            <w:tcBorders>
              <w:top w:val="none" w:sz="4" w:space="0" w:color="000000" w:themeColor="text1"/>
              <w:bottom w:val="single" w:sz="4" w:space="0" w:color="auto"/>
            </w:tcBorders>
            <w:vAlign w:val="bottom"/>
            <w:hideMark/>
          </w:tcPr>
          <w:p w14:paraId="477930A4" w14:textId="6C21AE30" w:rsidR="003F6EC1" w:rsidRPr="003E265B" w:rsidRDefault="003F6EC1" w:rsidP="003F6EC1">
            <w:pPr>
              <w:tabs>
                <w:tab w:val="clear" w:pos="567"/>
                <w:tab w:val="clear" w:pos="1134"/>
                <w:tab w:val="clear" w:pos="1701"/>
                <w:tab w:val="clear" w:pos="2268"/>
              </w:tabs>
              <w:ind w:left="30"/>
              <w:jc w:val="right"/>
              <w:textAlignment w:val="baseline"/>
              <w:rPr>
                <w:rFonts w:eastAsia="Times New Roman"/>
                <w:sz w:val="24"/>
                <w:szCs w:val="24"/>
              </w:rPr>
            </w:pPr>
            <w:r>
              <w:rPr>
                <w:sz w:val="18"/>
              </w:rPr>
              <w:t>2 957 900</w:t>
            </w:r>
          </w:p>
        </w:tc>
        <w:tc>
          <w:tcPr>
            <w:tcW w:w="1710" w:type="dxa"/>
            <w:tcBorders>
              <w:top w:val="none" w:sz="4" w:space="0" w:color="000000" w:themeColor="text1"/>
              <w:bottom w:val="single" w:sz="4" w:space="0" w:color="auto"/>
            </w:tcBorders>
            <w:vAlign w:val="bottom"/>
            <w:hideMark/>
          </w:tcPr>
          <w:p w14:paraId="0F4BE6A3" w14:textId="5246526F" w:rsidR="003F6EC1" w:rsidRPr="003E265B" w:rsidRDefault="003F6EC1" w:rsidP="003F6EC1">
            <w:pPr>
              <w:tabs>
                <w:tab w:val="clear" w:pos="567"/>
                <w:tab w:val="clear" w:pos="1134"/>
                <w:tab w:val="clear" w:pos="1701"/>
                <w:tab w:val="clear" w:pos="2268"/>
              </w:tabs>
              <w:ind w:left="30"/>
              <w:jc w:val="right"/>
              <w:textAlignment w:val="baseline"/>
              <w:rPr>
                <w:rFonts w:eastAsia="Times New Roman"/>
                <w:sz w:val="24"/>
                <w:szCs w:val="24"/>
              </w:rPr>
            </w:pPr>
            <w:r>
              <w:rPr>
                <w:sz w:val="18"/>
              </w:rPr>
              <w:t>5 776 600</w:t>
            </w:r>
          </w:p>
        </w:tc>
      </w:tr>
      <w:tr w:rsidR="003F6EC1" w:rsidRPr="003E265B" w14:paraId="29D27BF4" w14:textId="77777777" w:rsidTr="00440131">
        <w:trPr>
          <w:trHeight w:val="270"/>
        </w:trPr>
        <w:tc>
          <w:tcPr>
            <w:tcW w:w="0" w:type="auto"/>
            <w:tcBorders>
              <w:top w:val="single" w:sz="4" w:space="0" w:color="auto"/>
              <w:bottom w:val="single" w:sz="4" w:space="0" w:color="auto"/>
            </w:tcBorders>
            <w:vAlign w:val="bottom"/>
            <w:hideMark/>
          </w:tcPr>
          <w:p w14:paraId="3DB1F628" w14:textId="55969BD7" w:rsidR="003F6EC1" w:rsidRPr="003E265B" w:rsidRDefault="003F6EC1" w:rsidP="003F6EC1">
            <w:pPr>
              <w:tabs>
                <w:tab w:val="clear" w:pos="567"/>
                <w:tab w:val="clear" w:pos="1134"/>
                <w:tab w:val="clear" w:pos="1701"/>
                <w:tab w:val="clear" w:pos="2268"/>
              </w:tabs>
              <w:ind w:left="30" w:firstLine="555"/>
              <w:jc w:val="left"/>
              <w:textAlignment w:val="baseline"/>
              <w:rPr>
                <w:rFonts w:eastAsia="Times New Roman"/>
                <w:sz w:val="24"/>
                <w:szCs w:val="24"/>
              </w:rPr>
            </w:pPr>
            <w:r>
              <w:rPr>
                <w:b/>
                <w:sz w:val="18"/>
              </w:rPr>
              <w:t>Total</w:t>
            </w:r>
            <w:r>
              <w:rPr>
                <w:sz w:val="18"/>
              </w:rPr>
              <w:t xml:space="preserve"> </w:t>
            </w:r>
          </w:p>
        </w:tc>
        <w:tc>
          <w:tcPr>
            <w:tcW w:w="1637" w:type="dxa"/>
            <w:tcBorders>
              <w:top w:val="single" w:sz="4" w:space="0" w:color="auto"/>
              <w:bottom w:val="single" w:sz="4" w:space="0" w:color="auto"/>
            </w:tcBorders>
            <w:vAlign w:val="bottom"/>
            <w:hideMark/>
          </w:tcPr>
          <w:p w14:paraId="6F3D3DEF" w14:textId="07133874" w:rsidR="003F6EC1" w:rsidRPr="003E265B" w:rsidRDefault="003F6EC1" w:rsidP="003F6EC1">
            <w:pPr>
              <w:tabs>
                <w:tab w:val="clear" w:pos="567"/>
                <w:tab w:val="clear" w:pos="1134"/>
                <w:tab w:val="clear" w:pos="1701"/>
                <w:tab w:val="clear" w:pos="2268"/>
              </w:tabs>
              <w:ind w:left="30"/>
              <w:jc w:val="right"/>
              <w:textAlignment w:val="baseline"/>
              <w:rPr>
                <w:rFonts w:eastAsia="Times New Roman"/>
                <w:sz w:val="24"/>
                <w:szCs w:val="24"/>
              </w:rPr>
            </w:pPr>
            <w:r>
              <w:rPr>
                <w:b/>
                <w:sz w:val="18"/>
              </w:rPr>
              <w:t>21 682 100</w:t>
            </w:r>
          </w:p>
        </w:tc>
        <w:tc>
          <w:tcPr>
            <w:tcW w:w="1800" w:type="dxa"/>
            <w:tcBorders>
              <w:top w:val="single" w:sz="4" w:space="0" w:color="auto"/>
              <w:bottom w:val="single" w:sz="4" w:space="0" w:color="auto"/>
            </w:tcBorders>
            <w:vAlign w:val="bottom"/>
            <w:hideMark/>
          </w:tcPr>
          <w:p w14:paraId="1B7DFF20" w14:textId="453B3BD7" w:rsidR="003F6EC1" w:rsidRPr="003E265B" w:rsidRDefault="003F6EC1" w:rsidP="003F6EC1">
            <w:pPr>
              <w:tabs>
                <w:tab w:val="clear" w:pos="567"/>
                <w:tab w:val="clear" w:pos="1134"/>
                <w:tab w:val="clear" w:pos="1701"/>
                <w:tab w:val="clear" w:pos="2268"/>
              </w:tabs>
              <w:ind w:left="30"/>
              <w:jc w:val="right"/>
              <w:textAlignment w:val="baseline"/>
              <w:rPr>
                <w:rFonts w:eastAsia="Times New Roman"/>
                <w:sz w:val="24"/>
                <w:szCs w:val="24"/>
              </w:rPr>
            </w:pPr>
            <w:r>
              <w:rPr>
                <w:b/>
                <w:sz w:val="18"/>
              </w:rPr>
              <w:t>22 753 400</w:t>
            </w:r>
          </w:p>
        </w:tc>
        <w:tc>
          <w:tcPr>
            <w:tcW w:w="1710" w:type="dxa"/>
            <w:tcBorders>
              <w:top w:val="single" w:sz="4" w:space="0" w:color="auto"/>
              <w:bottom w:val="single" w:sz="4" w:space="0" w:color="auto"/>
            </w:tcBorders>
            <w:vAlign w:val="bottom"/>
            <w:hideMark/>
          </w:tcPr>
          <w:p w14:paraId="4BB1277F" w14:textId="3F2E8774" w:rsidR="003F6EC1" w:rsidRPr="003E265B" w:rsidRDefault="003F6EC1" w:rsidP="003F6EC1">
            <w:pPr>
              <w:tabs>
                <w:tab w:val="clear" w:pos="567"/>
                <w:tab w:val="clear" w:pos="1134"/>
                <w:tab w:val="clear" w:pos="1701"/>
                <w:tab w:val="clear" w:pos="2268"/>
              </w:tabs>
              <w:ind w:left="30"/>
              <w:jc w:val="right"/>
              <w:textAlignment w:val="baseline"/>
              <w:rPr>
                <w:rFonts w:eastAsia="Times New Roman"/>
                <w:sz w:val="24"/>
                <w:szCs w:val="24"/>
              </w:rPr>
            </w:pPr>
            <w:r>
              <w:rPr>
                <w:b/>
                <w:sz w:val="18"/>
              </w:rPr>
              <w:t>44 435 500</w:t>
            </w:r>
          </w:p>
        </w:tc>
      </w:tr>
    </w:tbl>
    <w:p w14:paraId="11DB565B" w14:textId="57D65971" w:rsidR="00EF007D" w:rsidRPr="003E265B" w:rsidRDefault="00535FD1" w:rsidP="00440131">
      <w:pPr>
        <w:pStyle w:val="CBDNormalNumber"/>
      </w:pPr>
      <w:r>
        <w:t>Como se aprecia en el cuadro 2, tras deducir los ahorros de períodos anteriores de 668.900 dólares y la contribución del país anfitrión de 3.321.300 dólares, el total de las cuotas asignadas de las Partes en el Convenio y sus Protocolos, de conformidad con la escala de cuotas, ascendió a 40.445.300 dólares para el bienio.</w:t>
      </w:r>
    </w:p>
    <w:p w14:paraId="3ABE1F2E" w14:textId="55322F6C" w:rsidR="00981655" w:rsidRPr="003E265B" w:rsidRDefault="00981655" w:rsidP="00981655">
      <w:pPr>
        <w:tabs>
          <w:tab w:val="clear" w:pos="567"/>
          <w:tab w:val="clear" w:pos="1134"/>
          <w:tab w:val="clear" w:pos="1701"/>
          <w:tab w:val="clear" w:pos="2268"/>
        </w:tabs>
        <w:ind w:left="555"/>
        <w:jc w:val="left"/>
        <w:textAlignment w:val="baseline"/>
        <w:rPr>
          <w:rFonts w:ascii="Segoe UI" w:eastAsia="Times New Roman" w:hAnsi="Segoe UI" w:cs="Segoe UI"/>
          <w:b/>
          <w:bCs/>
          <w:sz w:val="18"/>
          <w:szCs w:val="18"/>
        </w:rPr>
      </w:pPr>
      <w:r>
        <w:t>Cuadro 2</w:t>
      </w:r>
      <w:r>
        <w:rPr>
          <w:b/>
        </w:rPr>
        <w:br/>
        <w:t>Situación general de las cuotas asignadas, 2025-2026</w:t>
      </w:r>
    </w:p>
    <w:p w14:paraId="7AB72665" w14:textId="588E5F60" w:rsidR="00981655" w:rsidRPr="003E265B" w:rsidRDefault="00981655" w:rsidP="00034006">
      <w:pPr>
        <w:tabs>
          <w:tab w:val="clear" w:pos="567"/>
          <w:tab w:val="clear" w:pos="1134"/>
          <w:tab w:val="clear" w:pos="1701"/>
          <w:tab w:val="clear" w:pos="2268"/>
        </w:tabs>
        <w:ind w:left="555"/>
        <w:jc w:val="left"/>
        <w:textAlignment w:val="baseline"/>
        <w:rPr>
          <w:rFonts w:ascii="Segoe UI" w:eastAsia="Times New Roman" w:hAnsi="Segoe UI" w:cs="Segoe UI"/>
          <w:b/>
          <w:bCs/>
          <w:sz w:val="18"/>
          <w:szCs w:val="18"/>
        </w:rPr>
      </w:pPr>
      <w:r>
        <w:rPr>
          <w:sz w:val="18"/>
        </w:rPr>
        <w:t>(miles de dólares de los EE. UU.)</w:t>
      </w:r>
    </w:p>
    <w:tbl>
      <w:tblPr>
        <w:tblW w:w="6255" w:type="dxa"/>
        <w:tblInd w:w="576" w:type="dxa"/>
        <w:tblBorders>
          <w:top w:val="outset" w:sz="6" w:space="0" w:color="auto"/>
          <w:left w:val="outset" w:sz="6" w:space="0" w:color="auto"/>
          <w:bottom w:val="outset" w:sz="6" w:space="0" w:color="auto"/>
          <w:right w:val="outset" w:sz="6" w:space="0" w:color="auto"/>
        </w:tblBorders>
        <w:tblCellMar>
          <w:left w:w="28" w:type="dxa"/>
          <w:right w:w="28" w:type="dxa"/>
        </w:tblCellMar>
        <w:tblLook w:val="04A0" w:firstRow="1" w:lastRow="0" w:firstColumn="1" w:lastColumn="0" w:noHBand="0" w:noVBand="1"/>
      </w:tblPr>
      <w:tblGrid>
        <w:gridCol w:w="4710"/>
        <w:gridCol w:w="1545"/>
      </w:tblGrid>
      <w:tr w:rsidR="00981655" w:rsidRPr="003E265B" w14:paraId="0EB4CB7B" w14:textId="77777777" w:rsidTr="00440131">
        <w:trPr>
          <w:trHeight w:val="450"/>
        </w:trPr>
        <w:tc>
          <w:tcPr>
            <w:tcW w:w="4710" w:type="dxa"/>
            <w:tcBorders>
              <w:top w:val="single" w:sz="4" w:space="0" w:color="auto"/>
              <w:left w:val="nil"/>
              <w:bottom w:val="single" w:sz="4" w:space="0" w:color="auto"/>
              <w:right w:val="nil"/>
            </w:tcBorders>
            <w:vAlign w:val="bottom"/>
            <w:hideMark/>
          </w:tcPr>
          <w:p w14:paraId="5F48E49B" w14:textId="0FA1F126" w:rsidR="00981655" w:rsidRPr="003E265B" w:rsidRDefault="00981655" w:rsidP="00BD6DBA">
            <w:pPr>
              <w:tabs>
                <w:tab w:val="clear" w:pos="567"/>
                <w:tab w:val="clear" w:pos="1134"/>
                <w:tab w:val="clear" w:pos="1701"/>
                <w:tab w:val="clear" w:pos="2268"/>
              </w:tabs>
              <w:jc w:val="left"/>
              <w:textAlignment w:val="baseline"/>
              <w:rPr>
                <w:rFonts w:eastAsia="Times New Roman"/>
                <w:sz w:val="24"/>
                <w:szCs w:val="24"/>
              </w:rPr>
            </w:pPr>
            <w:r>
              <w:rPr>
                <w:i/>
                <w:sz w:val="18"/>
              </w:rPr>
              <w:t>Fuente de financiación</w:t>
            </w:r>
            <w:r>
              <w:rPr>
                <w:sz w:val="18"/>
              </w:rPr>
              <w:t xml:space="preserve"> </w:t>
            </w:r>
          </w:p>
        </w:tc>
        <w:tc>
          <w:tcPr>
            <w:tcW w:w="1545" w:type="dxa"/>
            <w:tcBorders>
              <w:top w:val="single" w:sz="4" w:space="0" w:color="auto"/>
              <w:left w:val="nil"/>
              <w:bottom w:val="single" w:sz="4" w:space="0" w:color="auto"/>
              <w:right w:val="nil"/>
            </w:tcBorders>
            <w:vAlign w:val="bottom"/>
            <w:hideMark/>
          </w:tcPr>
          <w:p w14:paraId="0A76E827" w14:textId="5321BFEF" w:rsidR="00981655" w:rsidRPr="003E265B" w:rsidRDefault="00981655" w:rsidP="00BD6DBA">
            <w:pPr>
              <w:tabs>
                <w:tab w:val="clear" w:pos="567"/>
                <w:tab w:val="clear" w:pos="1134"/>
                <w:tab w:val="clear" w:pos="1701"/>
                <w:tab w:val="clear" w:pos="2268"/>
              </w:tabs>
              <w:jc w:val="right"/>
              <w:textAlignment w:val="baseline"/>
              <w:rPr>
                <w:rFonts w:eastAsia="Times New Roman"/>
                <w:sz w:val="24"/>
                <w:szCs w:val="24"/>
              </w:rPr>
            </w:pPr>
            <w:r>
              <w:rPr>
                <w:i/>
                <w:sz w:val="18"/>
              </w:rPr>
              <w:t>Importe</w:t>
            </w:r>
            <w:r>
              <w:rPr>
                <w:sz w:val="18"/>
              </w:rPr>
              <w:t xml:space="preserve"> </w:t>
            </w:r>
          </w:p>
        </w:tc>
      </w:tr>
      <w:tr w:rsidR="00981655" w:rsidRPr="003E265B" w14:paraId="2A8F1FB9" w14:textId="77777777" w:rsidTr="00440131">
        <w:trPr>
          <w:trHeight w:val="285"/>
        </w:trPr>
        <w:tc>
          <w:tcPr>
            <w:tcW w:w="4710" w:type="dxa"/>
            <w:tcBorders>
              <w:top w:val="nil"/>
              <w:left w:val="nil"/>
              <w:bottom w:val="nil"/>
              <w:right w:val="nil"/>
            </w:tcBorders>
            <w:vAlign w:val="center"/>
            <w:hideMark/>
          </w:tcPr>
          <w:p w14:paraId="48EEE0B6" w14:textId="6886026A" w:rsidR="00981655" w:rsidRPr="003E265B" w:rsidRDefault="00981655" w:rsidP="00981655">
            <w:pPr>
              <w:tabs>
                <w:tab w:val="clear" w:pos="567"/>
                <w:tab w:val="clear" w:pos="1134"/>
                <w:tab w:val="clear" w:pos="1701"/>
                <w:tab w:val="clear" w:pos="2268"/>
              </w:tabs>
              <w:jc w:val="left"/>
              <w:textAlignment w:val="baseline"/>
              <w:rPr>
                <w:rFonts w:eastAsia="Times New Roman"/>
                <w:sz w:val="24"/>
                <w:szCs w:val="24"/>
              </w:rPr>
            </w:pPr>
            <w:r>
              <w:rPr>
                <w:sz w:val="18"/>
              </w:rPr>
              <w:t xml:space="preserve">Presupuesto aprobado </w:t>
            </w:r>
          </w:p>
        </w:tc>
        <w:tc>
          <w:tcPr>
            <w:tcW w:w="1545" w:type="dxa"/>
            <w:tcBorders>
              <w:top w:val="nil"/>
              <w:left w:val="nil"/>
              <w:bottom w:val="nil"/>
              <w:right w:val="nil"/>
            </w:tcBorders>
            <w:vAlign w:val="center"/>
            <w:hideMark/>
          </w:tcPr>
          <w:p w14:paraId="0F2F7458" w14:textId="06EB9E1C" w:rsidR="00981655" w:rsidRPr="003E265B" w:rsidRDefault="00981655" w:rsidP="00981655">
            <w:pPr>
              <w:tabs>
                <w:tab w:val="clear" w:pos="567"/>
                <w:tab w:val="clear" w:pos="1134"/>
                <w:tab w:val="clear" w:pos="1701"/>
                <w:tab w:val="clear" w:pos="2268"/>
              </w:tabs>
              <w:jc w:val="right"/>
              <w:textAlignment w:val="baseline"/>
              <w:rPr>
                <w:rFonts w:eastAsia="Times New Roman"/>
                <w:sz w:val="24"/>
                <w:szCs w:val="24"/>
              </w:rPr>
            </w:pPr>
            <w:r>
              <w:rPr>
                <w:sz w:val="18"/>
              </w:rPr>
              <w:t>44 435,5</w:t>
            </w:r>
          </w:p>
        </w:tc>
      </w:tr>
      <w:tr w:rsidR="00981655" w:rsidRPr="003E265B" w14:paraId="1054F287" w14:textId="77777777" w:rsidTr="00440131">
        <w:trPr>
          <w:trHeight w:val="285"/>
        </w:trPr>
        <w:tc>
          <w:tcPr>
            <w:tcW w:w="4710" w:type="dxa"/>
            <w:tcBorders>
              <w:top w:val="nil"/>
              <w:left w:val="nil"/>
              <w:bottom w:val="nil"/>
              <w:right w:val="nil"/>
            </w:tcBorders>
            <w:vAlign w:val="center"/>
            <w:hideMark/>
          </w:tcPr>
          <w:p w14:paraId="4FC0C82F" w14:textId="3B5FB540" w:rsidR="00981655" w:rsidRPr="003E265B" w:rsidRDefault="00981655" w:rsidP="00981655">
            <w:pPr>
              <w:tabs>
                <w:tab w:val="clear" w:pos="567"/>
                <w:tab w:val="clear" w:pos="1134"/>
                <w:tab w:val="clear" w:pos="1701"/>
                <w:tab w:val="clear" w:pos="2268"/>
              </w:tabs>
              <w:jc w:val="left"/>
              <w:textAlignment w:val="baseline"/>
              <w:rPr>
                <w:rFonts w:eastAsia="Times New Roman"/>
                <w:sz w:val="24"/>
                <w:szCs w:val="24"/>
              </w:rPr>
            </w:pPr>
            <w:r>
              <w:rPr>
                <w:sz w:val="18"/>
              </w:rPr>
              <w:t xml:space="preserve">País anfitrión </w:t>
            </w:r>
          </w:p>
        </w:tc>
        <w:tc>
          <w:tcPr>
            <w:tcW w:w="1545" w:type="dxa"/>
            <w:tcBorders>
              <w:top w:val="nil"/>
              <w:left w:val="nil"/>
              <w:bottom w:val="nil"/>
              <w:right w:val="nil"/>
            </w:tcBorders>
            <w:vAlign w:val="center"/>
            <w:hideMark/>
          </w:tcPr>
          <w:p w14:paraId="31CC93F5" w14:textId="3636D920" w:rsidR="00981655" w:rsidRPr="003E265B" w:rsidRDefault="00981655" w:rsidP="00981655">
            <w:pPr>
              <w:tabs>
                <w:tab w:val="clear" w:pos="567"/>
                <w:tab w:val="clear" w:pos="1134"/>
                <w:tab w:val="clear" w:pos="1701"/>
                <w:tab w:val="clear" w:pos="2268"/>
              </w:tabs>
              <w:jc w:val="right"/>
              <w:textAlignment w:val="baseline"/>
              <w:rPr>
                <w:rFonts w:eastAsia="Times New Roman"/>
                <w:sz w:val="24"/>
                <w:szCs w:val="24"/>
              </w:rPr>
            </w:pPr>
            <w:r>
              <w:rPr>
                <w:sz w:val="18"/>
              </w:rPr>
              <w:t>(3 321,3)</w:t>
            </w:r>
          </w:p>
        </w:tc>
      </w:tr>
      <w:tr w:rsidR="00981655" w:rsidRPr="003E265B" w14:paraId="0654946D" w14:textId="77777777" w:rsidTr="00440131">
        <w:trPr>
          <w:trHeight w:val="285"/>
        </w:trPr>
        <w:tc>
          <w:tcPr>
            <w:tcW w:w="4710" w:type="dxa"/>
            <w:tcBorders>
              <w:top w:val="nil"/>
              <w:left w:val="nil"/>
              <w:bottom w:val="single" w:sz="4" w:space="0" w:color="auto"/>
              <w:right w:val="nil"/>
            </w:tcBorders>
            <w:vAlign w:val="center"/>
            <w:hideMark/>
          </w:tcPr>
          <w:p w14:paraId="25E8D453" w14:textId="0152273E" w:rsidR="00981655" w:rsidRPr="003E265B" w:rsidRDefault="00981655" w:rsidP="00981655">
            <w:pPr>
              <w:tabs>
                <w:tab w:val="clear" w:pos="567"/>
                <w:tab w:val="clear" w:pos="1134"/>
                <w:tab w:val="clear" w:pos="1701"/>
                <w:tab w:val="clear" w:pos="2268"/>
              </w:tabs>
              <w:jc w:val="left"/>
              <w:textAlignment w:val="baseline"/>
              <w:rPr>
                <w:rFonts w:eastAsia="Times New Roman"/>
                <w:sz w:val="24"/>
                <w:szCs w:val="24"/>
              </w:rPr>
            </w:pPr>
            <w:r>
              <w:rPr>
                <w:sz w:val="18"/>
              </w:rPr>
              <w:t xml:space="preserve">Ahorro de años anteriores </w:t>
            </w:r>
          </w:p>
        </w:tc>
        <w:tc>
          <w:tcPr>
            <w:tcW w:w="1545" w:type="dxa"/>
            <w:tcBorders>
              <w:top w:val="nil"/>
              <w:left w:val="nil"/>
              <w:bottom w:val="single" w:sz="4" w:space="0" w:color="auto"/>
              <w:right w:val="nil"/>
            </w:tcBorders>
            <w:vAlign w:val="center"/>
            <w:hideMark/>
          </w:tcPr>
          <w:p w14:paraId="70263F3A" w14:textId="71347118" w:rsidR="00981655" w:rsidRPr="003E265B" w:rsidRDefault="00981655" w:rsidP="00981655">
            <w:pPr>
              <w:tabs>
                <w:tab w:val="clear" w:pos="567"/>
                <w:tab w:val="clear" w:pos="1134"/>
                <w:tab w:val="clear" w:pos="1701"/>
                <w:tab w:val="clear" w:pos="2268"/>
              </w:tabs>
              <w:jc w:val="right"/>
              <w:textAlignment w:val="baseline"/>
              <w:rPr>
                <w:rFonts w:eastAsia="Times New Roman"/>
                <w:sz w:val="24"/>
                <w:szCs w:val="24"/>
              </w:rPr>
            </w:pPr>
            <w:r>
              <w:rPr>
                <w:sz w:val="18"/>
              </w:rPr>
              <w:t>(668,9)</w:t>
            </w:r>
          </w:p>
        </w:tc>
      </w:tr>
      <w:tr w:rsidR="00981655" w:rsidRPr="003E265B" w14:paraId="1181E60B" w14:textId="77777777" w:rsidTr="00440131">
        <w:trPr>
          <w:trHeight w:val="285"/>
        </w:trPr>
        <w:tc>
          <w:tcPr>
            <w:tcW w:w="4710" w:type="dxa"/>
            <w:tcBorders>
              <w:top w:val="single" w:sz="4" w:space="0" w:color="auto"/>
              <w:left w:val="nil"/>
              <w:bottom w:val="single" w:sz="4" w:space="0" w:color="auto"/>
              <w:right w:val="nil"/>
            </w:tcBorders>
            <w:vAlign w:val="center"/>
            <w:hideMark/>
          </w:tcPr>
          <w:p w14:paraId="1F5784CA" w14:textId="7160B954" w:rsidR="00981655" w:rsidRPr="003E265B" w:rsidRDefault="00981655" w:rsidP="00981655">
            <w:pPr>
              <w:tabs>
                <w:tab w:val="clear" w:pos="567"/>
                <w:tab w:val="clear" w:pos="1134"/>
                <w:tab w:val="clear" w:pos="1701"/>
                <w:tab w:val="clear" w:pos="2268"/>
              </w:tabs>
              <w:textAlignment w:val="baseline"/>
              <w:rPr>
                <w:rFonts w:eastAsia="Times New Roman"/>
                <w:sz w:val="24"/>
                <w:szCs w:val="24"/>
              </w:rPr>
            </w:pPr>
            <w:r>
              <w:rPr>
                <w:b/>
                <w:sz w:val="18"/>
              </w:rPr>
              <w:t>Cuota total</w:t>
            </w:r>
            <w:r>
              <w:rPr>
                <w:sz w:val="18"/>
              </w:rPr>
              <w:t xml:space="preserve"> </w:t>
            </w:r>
          </w:p>
        </w:tc>
        <w:tc>
          <w:tcPr>
            <w:tcW w:w="1545" w:type="dxa"/>
            <w:tcBorders>
              <w:top w:val="single" w:sz="4" w:space="0" w:color="auto"/>
              <w:left w:val="nil"/>
              <w:bottom w:val="single" w:sz="4" w:space="0" w:color="auto"/>
              <w:right w:val="nil"/>
            </w:tcBorders>
            <w:vAlign w:val="center"/>
            <w:hideMark/>
          </w:tcPr>
          <w:p w14:paraId="7B8DFF23" w14:textId="4FD9DB0C" w:rsidR="00981655" w:rsidRPr="003E265B" w:rsidRDefault="00981655" w:rsidP="00981655">
            <w:pPr>
              <w:tabs>
                <w:tab w:val="clear" w:pos="567"/>
                <w:tab w:val="clear" w:pos="1134"/>
                <w:tab w:val="clear" w:pos="1701"/>
                <w:tab w:val="clear" w:pos="2268"/>
              </w:tabs>
              <w:jc w:val="right"/>
              <w:textAlignment w:val="baseline"/>
              <w:rPr>
                <w:rFonts w:eastAsia="Times New Roman"/>
                <w:sz w:val="24"/>
                <w:szCs w:val="24"/>
              </w:rPr>
            </w:pPr>
            <w:r>
              <w:rPr>
                <w:b/>
                <w:sz w:val="18"/>
              </w:rPr>
              <w:t>40 445,3</w:t>
            </w:r>
          </w:p>
        </w:tc>
      </w:tr>
    </w:tbl>
    <w:p w14:paraId="74B20A98" w14:textId="42DB6975" w:rsidR="2080ABF3" w:rsidRPr="003E265B" w:rsidRDefault="2080ABF3" w:rsidP="2080ABF3">
      <w:pPr>
        <w:pStyle w:val="CBDNormalNumber"/>
        <w:numPr>
          <w:ilvl w:val="0"/>
          <w:numId w:val="0"/>
        </w:numPr>
        <w:ind w:left="567"/>
      </w:pPr>
    </w:p>
    <w:p w14:paraId="11AC654B" w14:textId="762452C4" w:rsidR="00042AD8" w:rsidRPr="003E265B" w:rsidRDefault="00042AD8" w:rsidP="00042AD8">
      <w:pPr>
        <w:tabs>
          <w:tab w:val="clear" w:pos="567"/>
          <w:tab w:val="clear" w:pos="1134"/>
          <w:tab w:val="clear" w:pos="1701"/>
          <w:tab w:val="clear" w:pos="2268"/>
        </w:tabs>
        <w:ind w:left="555"/>
        <w:jc w:val="left"/>
        <w:textAlignment w:val="baseline"/>
        <w:rPr>
          <w:rFonts w:ascii="Segoe UI" w:eastAsia="Times New Roman" w:hAnsi="Segoe UI" w:cs="Segoe UI"/>
          <w:b/>
          <w:bCs/>
          <w:sz w:val="18"/>
          <w:szCs w:val="18"/>
        </w:rPr>
      </w:pPr>
      <w:r>
        <w:lastRenderedPageBreak/>
        <w:t>Cuadro 3</w:t>
      </w:r>
      <w:r>
        <w:rPr>
          <w:b/>
        </w:rPr>
        <w:t xml:space="preserve"> </w:t>
      </w:r>
      <w:r>
        <w:rPr>
          <w:b/>
        </w:rPr>
        <w:br/>
        <w:t>Situación de las contribuciones al Convenio y sus Protocolos correspondiente al bienio 2025-2026,</w:t>
      </w:r>
      <w:r w:rsidR="005C58BA">
        <w:rPr>
          <w:b/>
        </w:rPr>
        <w:t xml:space="preserve"> </w:t>
      </w:r>
      <w:r>
        <w:rPr>
          <w:b/>
        </w:rPr>
        <w:t>al 31 de mayo de 2026</w:t>
      </w:r>
    </w:p>
    <w:p w14:paraId="1DB6A253" w14:textId="7CC40CE4" w:rsidR="00042AD8" w:rsidRPr="003E265B" w:rsidRDefault="00042AD8" w:rsidP="00042AD8">
      <w:pPr>
        <w:tabs>
          <w:tab w:val="clear" w:pos="567"/>
          <w:tab w:val="clear" w:pos="1134"/>
          <w:tab w:val="clear" w:pos="1701"/>
          <w:tab w:val="clear" w:pos="2268"/>
        </w:tabs>
        <w:ind w:left="555"/>
        <w:jc w:val="left"/>
        <w:textAlignment w:val="baseline"/>
        <w:rPr>
          <w:rFonts w:ascii="Segoe UI" w:eastAsia="Times New Roman" w:hAnsi="Segoe UI" w:cs="Segoe UI"/>
          <w:b/>
          <w:bCs/>
          <w:i/>
          <w:iCs/>
          <w:sz w:val="18"/>
          <w:szCs w:val="18"/>
        </w:rPr>
      </w:pPr>
      <w:r>
        <w:rPr>
          <w:sz w:val="18"/>
        </w:rPr>
        <w:t>(miles de dólares de los EE. UU.)</w:t>
      </w:r>
    </w:p>
    <w:tbl>
      <w:tblPr>
        <w:tblW w:w="8784" w:type="dxa"/>
        <w:tblInd w:w="576" w:type="dxa"/>
        <w:tblBorders>
          <w:top w:val="outset" w:sz="6" w:space="0" w:color="auto"/>
          <w:left w:val="outset" w:sz="6" w:space="0" w:color="auto"/>
          <w:bottom w:val="outset" w:sz="6" w:space="0" w:color="auto"/>
          <w:right w:val="outset" w:sz="6" w:space="0" w:color="auto"/>
        </w:tblBorders>
        <w:tblCellMar>
          <w:left w:w="28" w:type="dxa"/>
          <w:right w:w="28" w:type="dxa"/>
        </w:tblCellMar>
        <w:tblLook w:val="04A0" w:firstRow="1" w:lastRow="0" w:firstColumn="1" w:lastColumn="0" w:noHBand="0" w:noVBand="1"/>
      </w:tblPr>
      <w:tblGrid>
        <w:gridCol w:w="3330"/>
        <w:gridCol w:w="1056"/>
        <w:gridCol w:w="969"/>
        <w:gridCol w:w="1170"/>
        <w:gridCol w:w="1095"/>
        <w:gridCol w:w="1164"/>
      </w:tblGrid>
      <w:tr w:rsidR="00042AD8" w:rsidRPr="003E265B" w14:paraId="7057FE15" w14:textId="77777777" w:rsidTr="001C5DA2">
        <w:trPr>
          <w:trHeight w:val="240"/>
        </w:trPr>
        <w:tc>
          <w:tcPr>
            <w:tcW w:w="3330" w:type="dxa"/>
            <w:tcBorders>
              <w:top w:val="single" w:sz="4" w:space="0" w:color="auto"/>
              <w:left w:val="nil"/>
              <w:bottom w:val="single" w:sz="4" w:space="0" w:color="auto"/>
              <w:right w:val="nil"/>
            </w:tcBorders>
            <w:vAlign w:val="bottom"/>
            <w:hideMark/>
          </w:tcPr>
          <w:p w14:paraId="027E06D9" w14:textId="082F75A7" w:rsidR="00042AD8" w:rsidRPr="00440131" w:rsidRDefault="00D66E14" w:rsidP="00A803CA">
            <w:pPr>
              <w:tabs>
                <w:tab w:val="clear" w:pos="567"/>
                <w:tab w:val="clear" w:pos="1134"/>
                <w:tab w:val="clear" w:pos="1701"/>
                <w:tab w:val="clear" w:pos="2268"/>
              </w:tabs>
              <w:jc w:val="left"/>
              <w:textAlignment w:val="baseline"/>
              <w:rPr>
                <w:rFonts w:eastAsia="Times New Roman"/>
                <w:i/>
                <w:iCs/>
                <w:sz w:val="24"/>
                <w:szCs w:val="24"/>
              </w:rPr>
            </w:pPr>
            <w:r>
              <w:rPr>
                <w:i/>
                <w:sz w:val="18"/>
              </w:rPr>
              <w:t>Fondo fiduciario</w:t>
            </w:r>
          </w:p>
        </w:tc>
        <w:tc>
          <w:tcPr>
            <w:tcW w:w="1056" w:type="dxa"/>
            <w:tcBorders>
              <w:top w:val="single" w:sz="4" w:space="0" w:color="auto"/>
              <w:left w:val="nil"/>
              <w:bottom w:val="single" w:sz="4" w:space="0" w:color="auto"/>
              <w:right w:val="nil"/>
            </w:tcBorders>
            <w:vAlign w:val="bottom"/>
            <w:hideMark/>
          </w:tcPr>
          <w:p w14:paraId="37D96B41" w14:textId="5A6716E1" w:rsidR="00042AD8" w:rsidRPr="003E265B" w:rsidRDefault="00042AD8" w:rsidP="000575B3">
            <w:pPr>
              <w:tabs>
                <w:tab w:val="clear" w:pos="567"/>
                <w:tab w:val="clear" w:pos="1134"/>
                <w:tab w:val="clear" w:pos="1701"/>
                <w:tab w:val="clear" w:pos="2268"/>
              </w:tabs>
              <w:jc w:val="right"/>
              <w:textAlignment w:val="baseline"/>
              <w:rPr>
                <w:rFonts w:eastAsia="Times New Roman"/>
                <w:sz w:val="24"/>
                <w:szCs w:val="24"/>
              </w:rPr>
            </w:pPr>
            <w:r>
              <w:rPr>
                <w:i/>
                <w:sz w:val="18"/>
              </w:rPr>
              <w:t>Importe señalado</w:t>
            </w:r>
          </w:p>
        </w:tc>
        <w:tc>
          <w:tcPr>
            <w:tcW w:w="969" w:type="dxa"/>
            <w:tcBorders>
              <w:top w:val="single" w:sz="4" w:space="0" w:color="auto"/>
              <w:left w:val="nil"/>
              <w:bottom w:val="single" w:sz="4" w:space="0" w:color="auto"/>
              <w:right w:val="nil"/>
            </w:tcBorders>
            <w:vAlign w:val="bottom"/>
            <w:hideMark/>
          </w:tcPr>
          <w:p w14:paraId="2AF46DD7" w14:textId="78A79544" w:rsidR="00042AD8" w:rsidRPr="003E265B" w:rsidRDefault="00042AD8" w:rsidP="000575B3">
            <w:pPr>
              <w:tabs>
                <w:tab w:val="clear" w:pos="567"/>
                <w:tab w:val="clear" w:pos="1134"/>
                <w:tab w:val="clear" w:pos="1701"/>
                <w:tab w:val="clear" w:pos="2268"/>
              </w:tabs>
              <w:jc w:val="right"/>
              <w:textAlignment w:val="baseline"/>
              <w:rPr>
                <w:rFonts w:eastAsia="Times New Roman"/>
                <w:sz w:val="24"/>
                <w:szCs w:val="24"/>
              </w:rPr>
            </w:pPr>
            <w:r>
              <w:rPr>
                <w:i/>
                <w:sz w:val="18"/>
              </w:rPr>
              <w:t>Importe recibido</w:t>
            </w:r>
          </w:p>
        </w:tc>
        <w:tc>
          <w:tcPr>
            <w:tcW w:w="1170" w:type="dxa"/>
            <w:tcBorders>
              <w:top w:val="single" w:sz="4" w:space="0" w:color="auto"/>
              <w:left w:val="nil"/>
              <w:bottom w:val="single" w:sz="4" w:space="0" w:color="auto"/>
              <w:right w:val="nil"/>
            </w:tcBorders>
            <w:vAlign w:val="bottom"/>
            <w:hideMark/>
          </w:tcPr>
          <w:p w14:paraId="7E2697AF" w14:textId="64A7A1E9" w:rsidR="00042AD8" w:rsidRPr="003E265B" w:rsidRDefault="00042AD8" w:rsidP="2080ABF3">
            <w:pPr>
              <w:tabs>
                <w:tab w:val="clear" w:pos="567"/>
                <w:tab w:val="clear" w:pos="1134"/>
                <w:tab w:val="clear" w:pos="1701"/>
                <w:tab w:val="clear" w:pos="2268"/>
              </w:tabs>
              <w:jc w:val="right"/>
              <w:textAlignment w:val="baseline"/>
              <w:rPr>
                <w:rFonts w:eastAsia="Times New Roman"/>
                <w:sz w:val="24"/>
                <w:szCs w:val="24"/>
              </w:rPr>
            </w:pPr>
            <w:r>
              <w:rPr>
                <w:i/>
                <w:sz w:val="18"/>
              </w:rPr>
              <w:t>Porcentaje</w:t>
            </w:r>
            <w:r>
              <w:rPr>
                <w:sz w:val="18"/>
              </w:rPr>
              <w:t xml:space="preserve"> </w:t>
            </w:r>
          </w:p>
        </w:tc>
        <w:tc>
          <w:tcPr>
            <w:tcW w:w="1095" w:type="dxa"/>
            <w:tcBorders>
              <w:top w:val="single" w:sz="4" w:space="0" w:color="auto"/>
              <w:left w:val="nil"/>
              <w:bottom w:val="single" w:sz="4" w:space="0" w:color="auto"/>
              <w:right w:val="nil"/>
            </w:tcBorders>
            <w:vAlign w:val="bottom"/>
            <w:hideMark/>
          </w:tcPr>
          <w:p w14:paraId="299618D3" w14:textId="5A039B15" w:rsidR="00042AD8" w:rsidRPr="003E265B" w:rsidRDefault="00C75AA0" w:rsidP="00C75AA0">
            <w:pPr>
              <w:tabs>
                <w:tab w:val="clear" w:pos="567"/>
                <w:tab w:val="clear" w:pos="1134"/>
                <w:tab w:val="clear" w:pos="1701"/>
                <w:tab w:val="clear" w:pos="2268"/>
              </w:tabs>
              <w:jc w:val="right"/>
              <w:textAlignment w:val="baseline"/>
              <w:rPr>
                <w:rFonts w:eastAsia="Times New Roman"/>
                <w:sz w:val="24"/>
                <w:szCs w:val="24"/>
              </w:rPr>
            </w:pPr>
            <w:r>
              <w:rPr>
                <w:i/>
                <w:sz w:val="18"/>
              </w:rPr>
              <w:t>Importe pendiente de pago</w:t>
            </w:r>
          </w:p>
        </w:tc>
        <w:tc>
          <w:tcPr>
            <w:tcW w:w="1164" w:type="dxa"/>
            <w:tcBorders>
              <w:top w:val="single" w:sz="4" w:space="0" w:color="auto"/>
              <w:left w:val="nil"/>
              <w:bottom w:val="single" w:sz="4" w:space="0" w:color="auto"/>
              <w:right w:val="nil"/>
            </w:tcBorders>
            <w:vAlign w:val="bottom"/>
            <w:hideMark/>
          </w:tcPr>
          <w:p w14:paraId="7E43210D" w14:textId="5761682B" w:rsidR="00042AD8" w:rsidRPr="003E265B" w:rsidRDefault="00042AD8" w:rsidP="2080ABF3">
            <w:pPr>
              <w:tabs>
                <w:tab w:val="clear" w:pos="567"/>
                <w:tab w:val="clear" w:pos="1134"/>
                <w:tab w:val="clear" w:pos="1701"/>
                <w:tab w:val="clear" w:pos="2268"/>
              </w:tabs>
              <w:jc w:val="right"/>
              <w:textAlignment w:val="baseline"/>
              <w:rPr>
                <w:rFonts w:eastAsia="Times New Roman"/>
                <w:sz w:val="24"/>
                <w:szCs w:val="24"/>
              </w:rPr>
            </w:pPr>
            <w:r>
              <w:rPr>
                <w:i/>
                <w:sz w:val="18"/>
              </w:rPr>
              <w:t>Porcentaje</w:t>
            </w:r>
          </w:p>
        </w:tc>
      </w:tr>
      <w:tr w:rsidR="00042AD8" w:rsidRPr="003E265B" w14:paraId="594AC397" w14:textId="77777777" w:rsidTr="001C5DA2">
        <w:trPr>
          <w:trHeight w:val="255"/>
        </w:trPr>
        <w:tc>
          <w:tcPr>
            <w:tcW w:w="3330" w:type="dxa"/>
            <w:tcBorders>
              <w:top w:val="single" w:sz="4" w:space="0" w:color="auto"/>
              <w:left w:val="nil"/>
              <w:bottom w:val="nil"/>
              <w:right w:val="nil"/>
            </w:tcBorders>
            <w:vAlign w:val="bottom"/>
            <w:hideMark/>
          </w:tcPr>
          <w:p w14:paraId="7ABB7053" w14:textId="1FC42CC0" w:rsidR="00042AD8" w:rsidRPr="003E265B" w:rsidRDefault="00042AD8" w:rsidP="00042AD8">
            <w:pPr>
              <w:tabs>
                <w:tab w:val="clear" w:pos="567"/>
                <w:tab w:val="clear" w:pos="1134"/>
                <w:tab w:val="clear" w:pos="1701"/>
                <w:tab w:val="clear" w:pos="2268"/>
              </w:tabs>
              <w:jc w:val="left"/>
              <w:textAlignment w:val="baseline"/>
              <w:rPr>
                <w:rFonts w:eastAsia="Times New Roman"/>
                <w:sz w:val="24"/>
                <w:szCs w:val="24"/>
              </w:rPr>
            </w:pPr>
            <w:r>
              <w:rPr>
                <w:sz w:val="18"/>
              </w:rPr>
              <w:t xml:space="preserve">Fondo Fiduciario General para el Convenio </w:t>
            </w:r>
          </w:p>
        </w:tc>
        <w:tc>
          <w:tcPr>
            <w:tcW w:w="1056" w:type="dxa"/>
            <w:tcBorders>
              <w:top w:val="single" w:sz="4" w:space="0" w:color="auto"/>
              <w:left w:val="nil"/>
              <w:bottom w:val="nil"/>
              <w:right w:val="nil"/>
            </w:tcBorders>
            <w:vAlign w:val="bottom"/>
            <w:hideMark/>
          </w:tcPr>
          <w:p w14:paraId="03D1145F" w14:textId="4888F97E" w:rsidR="00042AD8" w:rsidRPr="003E265B" w:rsidRDefault="00042AD8" w:rsidP="00042AD8">
            <w:pPr>
              <w:tabs>
                <w:tab w:val="clear" w:pos="567"/>
                <w:tab w:val="clear" w:pos="1134"/>
                <w:tab w:val="clear" w:pos="1701"/>
                <w:tab w:val="clear" w:pos="2268"/>
              </w:tabs>
              <w:jc w:val="right"/>
              <w:textAlignment w:val="baseline"/>
              <w:rPr>
                <w:rFonts w:eastAsia="Times New Roman"/>
                <w:sz w:val="24"/>
                <w:szCs w:val="24"/>
              </w:rPr>
            </w:pPr>
            <w:r>
              <w:rPr>
                <w:sz w:val="18"/>
              </w:rPr>
              <w:t>29 120,6</w:t>
            </w:r>
          </w:p>
        </w:tc>
        <w:tc>
          <w:tcPr>
            <w:tcW w:w="969" w:type="dxa"/>
            <w:tcBorders>
              <w:top w:val="single" w:sz="4" w:space="0" w:color="auto"/>
              <w:left w:val="nil"/>
              <w:bottom w:val="nil"/>
              <w:right w:val="nil"/>
            </w:tcBorders>
            <w:vAlign w:val="bottom"/>
            <w:hideMark/>
          </w:tcPr>
          <w:p w14:paraId="07072980" w14:textId="7F8110D5" w:rsidR="00042AD8" w:rsidRPr="003E265B" w:rsidRDefault="00042AD8" w:rsidP="00042AD8">
            <w:pPr>
              <w:tabs>
                <w:tab w:val="clear" w:pos="567"/>
                <w:tab w:val="clear" w:pos="1134"/>
                <w:tab w:val="clear" w:pos="1701"/>
                <w:tab w:val="clear" w:pos="2268"/>
              </w:tabs>
              <w:jc w:val="right"/>
              <w:textAlignment w:val="baseline"/>
              <w:rPr>
                <w:rFonts w:eastAsia="Times New Roman"/>
                <w:sz w:val="24"/>
                <w:szCs w:val="24"/>
              </w:rPr>
            </w:pPr>
            <w:r>
              <w:rPr>
                <w:sz w:val="18"/>
              </w:rPr>
              <w:t>21 084,6</w:t>
            </w:r>
          </w:p>
        </w:tc>
        <w:tc>
          <w:tcPr>
            <w:tcW w:w="1170" w:type="dxa"/>
            <w:tcBorders>
              <w:top w:val="single" w:sz="4" w:space="0" w:color="auto"/>
              <w:left w:val="nil"/>
              <w:bottom w:val="nil"/>
              <w:right w:val="nil"/>
            </w:tcBorders>
            <w:vAlign w:val="bottom"/>
            <w:hideMark/>
          </w:tcPr>
          <w:p w14:paraId="38CFD4B0" w14:textId="3825F5D2" w:rsidR="00042AD8" w:rsidRPr="003E265B" w:rsidRDefault="00042AD8" w:rsidP="00042AD8">
            <w:pPr>
              <w:tabs>
                <w:tab w:val="clear" w:pos="567"/>
                <w:tab w:val="clear" w:pos="1134"/>
                <w:tab w:val="clear" w:pos="1701"/>
                <w:tab w:val="clear" w:pos="2268"/>
              </w:tabs>
              <w:jc w:val="right"/>
              <w:textAlignment w:val="baseline"/>
              <w:rPr>
                <w:rFonts w:eastAsia="Times New Roman"/>
                <w:sz w:val="24"/>
                <w:szCs w:val="24"/>
              </w:rPr>
            </w:pPr>
            <w:r>
              <w:rPr>
                <w:sz w:val="18"/>
              </w:rPr>
              <w:t xml:space="preserve">72,40 </w:t>
            </w:r>
          </w:p>
        </w:tc>
        <w:tc>
          <w:tcPr>
            <w:tcW w:w="1095" w:type="dxa"/>
            <w:tcBorders>
              <w:top w:val="single" w:sz="4" w:space="0" w:color="auto"/>
              <w:left w:val="nil"/>
              <w:bottom w:val="nil"/>
              <w:right w:val="nil"/>
            </w:tcBorders>
            <w:vAlign w:val="bottom"/>
            <w:hideMark/>
          </w:tcPr>
          <w:p w14:paraId="181F3ED4" w14:textId="64461F3D" w:rsidR="00042AD8" w:rsidRPr="003E265B" w:rsidRDefault="00042AD8" w:rsidP="00042AD8">
            <w:pPr>
              <w:tabs>
                <w:tab w:val="clear" w:pos="567"/>
                <w:tab w:val="clear" w:pos="1134"/>
                <w:tab w:val="clear" w:pos="1701"/>
                <w:tab w:val="clear" w:pos="2268"/>
              </w:tabs>
              <w:jc w:val="right"/>
              <w:textAlignment w:val="baseline"/>
              <w:rPr>
                <w:rFonts w:eastAsia="Times New Roman"/>
                <w:sz w:val="24"/>
                <w:szCs w:val="24"/>
              </w:rPr>
            </w:pPr>
            <w:r>
              <w:rPr>
                <w:sz w:val="18"/>
              </w:rPr>
              <w:t>8 036,0</w:t>
            </w:r>
          </w:p>
        </w:tc>
        <w:tc>
          <w:tcPr>
            <w:tcW w:w="1164" w:type="dxa"/>
            <w:tcBorders>
              <w:top w:val="single" w:sz="4" w:space="0" w:color="auto"/>
              <w:left w:val="nil"/>
              <w:bottom w:val="nil"/>
              <w:right w:val="nil"/>
            </w:tcBorders>
            <w:vAlign w:val="bottom"/>
            <w:hideMark/>
          </w:tcPr>
          <w:p w14:paraId="01BA0B29" w14:textId="71296377" w:rsidR="00042AD8" w:rsidRPr="003E265B" w:rsidRDefault="00042AD8" w:rsidP="00042AD8">
            <w:pPr>
              <w:tabs>
                <w:tab w:val="clear" w:pos="567"/>
                <w:tab w:val="clear" w:pos="1134"/>
                <w:tab w:val="clear" w:pos="1701"/>
                <w:tab w:val="clear" w:pos="2268"/>
              </w:tabs>
              <w:jc w:val="right"/>
              <w:textAlignment w:val="baseline"/>
              <w:rPr>
                <w:rFonts w:eastAsia="Times New Roman"/>
                <w:sz w:val="24"/>
                <w:szCs w:val="24"/>
              </w:rPr>
            </w:pPr>
            <w:r>
              <w:rPr>
                <w:sz w:val="18"/>
              </w:rPr>
              <w:t>27,60</w:t>
            </w:r>
          </w:p>
        </w:tc>
      </w:tr>
      <w:tr w:rsidR="00042AD8" w:rsidRPr="003E265B" w14:paraId="168211C8" w14:textId="77777777" w:rsidTr="001C5DA2">
        <w:trPr>
          <w:trHeight w:val="225"/>
        </w:trPr>
        <w:tc>
          <w:tcPr>
            <w:tcW w:w="3330" w:type="dxa"/>
            <w:tcBorders>
              <w:top w:val="nil"/>
              <w:left w:val="nil"/>
              <w:bottom w:val="nil"/>
              <w:right w:val="nil"/>
            </w:tcBorders>
            <w:vAlign w:val="bottom"/>
            <w:hideMark/>
          </w:tcPr>
          <w:p w14:paraId="243E4B54" w14:textId="455207CF" w:rsidR="00042AD8" w:rsidRPr="003E265B" w:rsidRDefault="00042AD8" w:rsidP="00042AD8">
            <w:pPr>
              <w:tabs>
                <w:tab w:val="clear" w:pos="567"/>
                <w:tab w:val="clear" w:pos="1134"/>
                <w:tab w:val="clear" w:pos="1701"/>
                <w:tab w:val="clear" w:pos="2268"/>
              </w:tabs>
              <w:jc w:val="left"/>
              <w:textAlignment w:val="baseline"/>
              <w:rPr>
                <w:rFonts w:eastAsia="Times New Roman"/>
                <w:sz w:val="24"/>
                <w:szCs w:val="24"/>
              </w:rPr>
            </w:pPr>
            <w:r>
              <w:rPr>
                <w:sz w:val="18"/>
              </w:rPr>
              <w:t xml:space="preserve">Fondo Fiduciario General para el Presupuesto Básico por Programas del Protocolo de Cartagena </w:t>
            </w:r>
          </w:p>
        </w:tc>
        <w:tc>
          <w:tcPr>
            <w:tcW w:w="1056" w:type="dxa"/>
            <w:tcBorders>
              <w:top w:val="nil"/>
              <w:left w:val="nil"/>
              <w:bottom w:val="nil"/>
              <w:right w:val="nil"/>
            </w:tcBorders>
            <w:vAlign w:val="bottom"/>
            <w:hideMark/>
          </w:tcPr>
          <w:p w14:paraId="04DCAD56" w14:textId="46E95D9D" w:rsidR="00042AD8" w:rsidRPr="003E265B" w:rsidRDefault="00042AD8" w:rsidP="00042AD8">
            <w:pPr>
              <w:tabs>
                <w:tab w:val="clear" w:pos="567"/>
                <w:tab w:val="clear" w:pos="1134"/>
                <w:tab w:val="clear" w:pos="1701"/>
                <w:tab w:val="clear" w:pos="2268"/>
              </w:tabs>
              <w:jc w:val="right"/>
              <w:textAlignment w:val="baseline"/>
              <w:rPr>
                <w:rFonts w:eastAsia="Times New Roman"/>
                <w:sz w:val="24"/>
                <w:szCs w:val="24"/>
              </w:rPr>
            </w:pPr>
            <w:r>
              <w:rPr>
                <w:sz w:val="18"/>
              </w:rPr>
              <w:t>6 066,8</w:t>
            </w:r>
          </w:p>
        </w:tc>
        <w:tc>
          <w:tcPr>
            <w:tcW w:w="969" w:type="dxa"/>
            <w:tcBorders>
              <w:top w:val="nil"/>
              <w:left w:val="nil"/>
              <w:bottom w:val="nil"/>
              <w:right w:val="nil"/>
            </w:tcBorders>
            <w:vAlign w:val="bottom"/>
            <w:hideMark/>
          </w:tcPr>
          <w:p w14:paraId="20F26B39" w14:textId="39355709" w:rsidR="00042AD8" w:rsidRPr="003E265B" w:rsidRDefault="00042AD8" w:rsidP="00042AD8">
            <w:pPr>
              <w:tabs>
                <w:tab w:val="clear" w:pos="567"/>
                <w:tab w:val="clear" w:pos="1134"/>
                <w:tab w:val="clear" w:pos="1701"/>
                <w:tab w:val="clear" w:pos="2268"/>
              </w:tabs>
              <w:jc w:val="right"/>
              <w:textAlignment w:val="baseline"/>
              <w:rPr>
                <w:rFonts w:eastAsia="Times New Roman"/>
                <w:sz w:val="24"/>
                <w:szCs w:val="24"/>
              </w:rPr>
            </w:pPr>
            <w:r>
              <w:rPr>
                <w:sz w:val="18"/>
              </w:rPr>
              <w:t>4 030,8</w:t>
            </w:r>
          </w:p>
        </w:tc>
        <w:tc>
          <w:tcPr>
            <w:tcW w:w="1170" w:type="dxa"/>
            <w:tcBorders>
              <w:top w:val="nil"/>
              <w:left w:val="nil"/>
              <w:bottom w:val="nil"/>
              <w:right w:val="nil"/>
            </w:tcBorders>
            <w:vAlign w:val="bottom"/>
            <w:hideMark/>
          </w:tcPr>
          <w:p w14:paraId="0F083F47" w14:textId="7F87C33E" w:rsidR="00042AD8" w:rsidRPr="003E265B" w:rsidRDefault="00042AD8" w:rsidP="00042AD8">
            <w:pPr>
              <w:tabs>
                <w:tab w:val="clear" w:pos="567"/>
                <w:tab w:val="clear" w:pos="1134"/>
                <w:tab w:val="clear" w:pos="1701"/>
                <w:tab w:val="clear" w:pos="2268"/>
              </w:tabs>
              <w:jc w:val="right"/>
              <w:textAlignment w:val="baseline"/>
              <w:rPr>
                <w:rFonts w:eastAsia="Times New Roman"/>
                <w:sz w:val="24"/>
                <w:szCs w:val="24"/>
              </w:rPr>
            </w:pPr>
            <w:r>
              <w:rPr>
                <w:sz w:val="18"/>
              </w:rPr>
              <w:t xml:space="preserve">66,44 </w:t>
            </w:r>
          </w:p>
        </w:tc>
        <w:tc>
          <w:tcPr>
            <w:tcW w:w="1095" w:type="dxa"/>
            <w:tcBorders>
              <w:top w:val="nil"/>
              <w:left w:val="nil"/>
              <w:bottom w:val="nil"/>
              <w:right w:val="nil"/>
            </w:tcBorders>
            <w:vAlign w:val="bottom"/>
            <w:hideMark/>
          </w:tcPr>
          <w:p w14:paraId="4A704AE7" w14:textId="3C5ED2A5" w:rsidR="00042AD8" w:rsidRPr="003E265B" w:rsidRDefault="00042AD8" w:rsidP="00042AD8">
            <w:pPr>
              <w:tabs>
                <w:tab w:val="clear" w:pos="567"/>
                <w:tab w:val="clear" w:pos="1134"/>
                <w:tab w:val="clear" w:pos="1701"/>
                <w:tab w:val="clear" w:pos="2268"/>
              </w:tabs>
              <w:jc w:val="right"/>
              <w:textAlignment w:val="baseline"/>
              <w:rPr>
                <w:rFonts w:eastAsia="Times New Roman"/>
                <w:sz w:val="24"/>
                <w:szCs w:val="24"/>
              </w:rPr>
            </w:pPr>
            <w:r>
              <w:rPr>
                <w:sz w:val="18"/>
              </w:rPr>
              <w:t>2 035,9</w:t>
            </w:r>
          </w:p>
        </w:tc>
        <w:tc>
          <w:tcPr>
            <w:tcW w:w="1164" w:type="dxa"/>
            <w:tcBorders>
              <w:top w:val="nil"/>
              <w:left w:val="nil"/>
              <w:bottom w:val="nil"/>
              <w:right w:val="nil"/>
            </w:tcBorders>
            <w:vAlign w:val="bottom"/>
            <w:hideMark/>
          </w:tcPr>
          <w:p w14:paraId="50F65E07" w14:textId="1CC3DC82" w:rsidR="00042AD8" w:rsidRPr="003E265B" w:rsidRDefault="00042AD8" w:rsidP="00042AD8">
            <w:pPr>
              <w:tabs>
                <w:tab w:val="clear" w:pos="567"/>
                <w:tab w:val="clear" w:pos="1134"/>
                <w:tab w:val="clear" w:pos="1701"/>
                <w:tab w:val="clear" w:pos="2268"/>
              </w:tabs>
              <w:jc w:val="right"/>
              <w:textAlignment w:val="baseline"/>
              <w:rPr>
                <w:rFonts w:eastAsia="Times New Roman"/>
                <w:sz w:val="24"/>
                <w:szCs w:val="24"/>
              </w:rPr>
            </w:pPr>
            <w:r>
              <w:rPr>
                <w:sz w:val="18"/>
              </w:rPr>
              <w:t>33,56</w:t>
            </w:r>
          </w:p>
        </w:tc>
      </w:tr>
      <w:tr w:rsidR="00042AD8" w:rsidRPr="003E265B" w14:paraId="53D611E8" w14:textId="77777777" w:rsidTr="001C5DA2">
        <w:trPr>
          <w:trHeight w:val="225"/>
        </w:trPr>
        <w:tc>
          <w:tcPr>
            <w:tcW w:w="3330" w:type="dxa"/>
            <w:tcBorders>
              <w:top w:val="nil"/>
              <w:left w:val="nil"/>
              <w:bottom w:val="nil"/>
              <w:right w:val="nil"/>
            </w:tcBorders>
            <w:vAlign w:val="bottom"/>
            <w:hideMark/>
          </w:tcPr>
          <w:p w14:paraId="16F0D3F7" w14:textId="73F1A420" w:rsidR="00042AD8" w:rsidRPr="003E265B" w:rsidRDefault="00042AD8" w:rsidP="00042AD8">
            <w:pPr>
              <w:tabs>
                <w:tab w:val="clear" w:pos="567"/>
                <w:tab w:val="clear" w:pos="1134"/>
                <w:tab w:val="clear" w:pos="1701"/>
                <w:tab w:val="clear" w:pos="2268"/>
              </w:tabs>
              <w:jc w:val="left"/>
              <w:textAlignment w:val="baseline"/>
              <w:rPr>
                <w:rFonts w:eastAsia="Times New Roman"/>
                <w:sz w:val="24"/>
                <w:szCs w:val="24"/>
              </w:rPr>
            </w:pPr>
            <w:r>
              <w:rPr>
                <w:sz w:val="18"/>
              </w:rPr>
              <w:t xml:space="preserve">Fondo Fiduciario General para el Presupuesto Básico por Programas del Protocolo de Nagoya </w:t>
            </w:r>
          </w:p>
        </w:tc>
        <w:tc>
          <w:tcPr>
            <w:tcW w:w="1056" w:type="dxa"/>
            <w:tcBorders>
              <w:top w:val="nil"/>
              <w:left w:val="nil"/>
              <w:bottom w:val="single" w:sz="4" w:space="0" w:color="auto"/>
              <w:right w:val="nil"/>
            </w:tcBorders>
            <w:vAlign w:val="bottom"/>
            <w:hideMark/>
          </w:tcPr>
          <w:p w14:paraId="300067F3" w14:textId="5F0B7D0F" w:rsidR="00042AD8" w:rsidRPr="003E265B" w:rsidRDefault="00042AD8" w:rsidP="00042AD8">
            <w:pPr>
              <w:tabs>
                <w:tab w:val="clear" w:pos="567"/>
                <w:tab w:val="clear" w:pos="1134"/>
                <w:tab w:val="clear" w:pos="1701"/>
                <w:tab w:val="clear" w:pos="2268"/>
              </w:tabs>
              <w:jc w:val="right"/>
              <w:textAlignment w:val="baseline"/>
              <w:rPr>
                <w:rFonts w:eastAsia="Times New Roman"/>
                <w:sz w:val="24"/>
                <w:szCs w:val="24"/>
              </w:rPr>
            </w:pPr>
            <w:r>
              <w:rPr>
                <w:sz w:val="18"/>
              </w:rPr>
              <w:t>5 257,9</w:t>
            </w:r>
          </w:p>
        </w:tc>
        <w:tc>
          <w:tcPr>
            <w:tcW w:w="969" w:type="dxa"/>
            <w:tcBorders>
              <w:top w:val="nil"/>
              <w:left w:val="nil"/>
              <w:bottom w:val="nil"/>
              <w:right w:val="nil"/>
            </w:tcBorders>
            <w:vAlign w:val="bottom"/>
            <w:hideMark/>
          </w:tcPr>
          <w:p w14:paraId="1AA0981E" w14:textId="0BAD6E28" w:rsidR="00042AD8" w:rsidRPr="003E265B" w:rsidRDefault="00042AD8" w:rsidP="00042AD8">
            <w:pPr>
              <w:tabs>
                <w:tab w:val="clear" w:pos="567"/>
                <w:tab w:val="clear" w:pos="1134"/>
                <w:tab w:val="clear" w:pos="1701"/>
                <w:tab w:val="clear" w:pos="2268"/>
              </w:tabs>
              <w:jc w:val="right"/>
              <w:textAlignment w:val="baseline"/>
              <w:rPr>
                <w:rFonts w:eastAsia="Times New Roman"/>
                <w:sz w:val="24"/>
                <w:szCs w:val="24"/>
              </w:rPr>
            </w:pPr>
            <w:r>
              <w:rPr>
                <w:sz w:val="18"/>
              </w:rPr>
              <w:t>3 047,1</w:t>
            </w:r>
          </w:p>
        </w:tc>
        <w:tc>
          <w:tcPr>
            <w:tcW w:w="1170" w:type="dxa"/>
            <w:tcBorders>
              <w:top w:val="nil"/>
              <w:left w:val="nil"/>
              <w:bottom w:val="nil"/>
              <w:right w:val="nil"/>
            </w:tcBorders>
            <w:vAlign w:val="bottom"/>
            <w:hideMark/>
          </w:tcPr>
          <w:p w14:paraId="1DF86B47" w14:textId="674BE52A" w:rsidR="00042AD8" w:rsidRPr="003E265B" w:rsidRDefault="00042AD8" w:rsidP="00042AD8">
            <w:pPr>
              <w:tabs>
                <w:tab w:val="clear" w:pos="567"/>
                <w:tab w:val="clear" w:pos="1134"/>
                <w:tab w:val="clear" w:pos="1701"/>
                <w:tab w:val="clear" w:pos="2268"/>
              </w:tabs>
              <w:jc w:val="right"/>
              <w:textAlignment w:val="baseline"/>
              <w:rPr>
                <w:rFonts w:eastAsia="Times New Roman"/>
                <w:sz w:val="24"/>
                <w:szCs w:val="24"/>
              </w:rPr>
            </w:pPr>
            <w:r>
              <w:rPr>
                <w:sz w:val="18"/>
              </w:rPr>
              <w:t xml:space="preserve">57,95 </w:t>
            </w:r>
          </w:p>
        </w:tc>
        <w:tc>
          <w:tcPr>
            <w:tcW w:w="1095" w:type="dxa"/>
            <w:tcBorders>
              <w:top w:val="nil"/>
              <w:left w:val="nil"/>
              <w:bottom w:val="nil"/>
              <w:right w:val="nil"/>
            </w:tcBorders>
            <w:vAlign w:val="bottom"/>
            <w:hideMark/>
          </w:tcPr>
          <w:p w14:paraId="5E3834FE" w14:textId="096FCB41" w:rsidR="00042AD8" w:rsidRPr="003E265B" w:rsidRDefault="00042AD8" w:rsidP="00042AD8">
            <w:pPr>
              <w:tabs>
                <w:tab w:val="clear" w:pos="567"/>
                <w:tab w:val="clear" w:pos="1134"/>
                <w:tab w:val="clear" w:pos="1701"/>
                <w:tab w:val="clear" w:pos="2268"/>
              </w:tabs>
              <w:jc w:val="right"/>
              <w:textAlignment w:val="baseline"/>
              <w:rPr>
                <w:rFonts w:eastAsia="Times New Roman"/>
                <w:sz w:val="24"/>
                <w:szCs w:val="24"/>
              </w:rPr>
            </w:pPr>
            <w:r>
              <w:rPr>
                <w:sz w:val="18"/>
              </w:rPr>
              <w:t>2 210,8</w:t>
            </w:r>
          </w:p>
        </w:tc>
        <w:tc>
          <w:tcPr>
            <w:tcW w:w="1164" w:type="dxa"/>
            <w:tcBorders>
              <w:top w:val="nil"/>
              <w:left w:val="nil"/>
              <w:bottom w:val="nil"/>
              <w:right w:val="nil"/>
            </w:tcBorders>
            <w:vAlign w:val="bottom"/>
            <w:hideMark/>
          </w:tcPr>
          <w:p w14:paraId="2D55E8F0" w14:textId="20D530D7" w:rsidR="00042AD8" w:rsidRPr="003E265B" w:rsidRDefault="00042AD8" w:rsidP="00042AD8">
            <w:pPr>
              <w:tabs>
                <w:tab w:val="clear" w:pos="567"/>
                <w:tab w:val="clear" w:pos="1134"/>
                <w:tab w:val="clear" w:pos="1701"/>
                <w:tab w:val="clear" w:pos="2268"/>
              </w:tabs>
              <w:jc w:val="right"/>
              <w:textAlignment w:val="baseline"/>
              <w:rPr>
                <w:rFonts w:eastAsia="Times New Roman"/>
                <w:sz w:val="24"/>
                <w:szCs w:val="24"/>
              </w:rPr>
            </w:pPr>
            <w:r>
              <w:rPr>
                <w:sz w:val="18"/>
              </w:rPr>
              <w:t>42,05</w:t>
            </w:r>
          </w:p>
        </w:tc>
      </w:tr>
      <w:tr w:rsidR="00042AD8" w:rsidRPr="003E265B" w14:paraId="13E8384A" w14:textId="77777777" w:rsidTr="001C5DA2">
        <w:trPr>
          <w:trHeight w:val="225"/>
        </w:trPr>
        <w:tc>
          <w:tcPr>
            <w:tcW w:w="3330" w:type="dxa"/>
            <w:tcBorders>
              <w:top w:val="single" w:sz="4" w:space="0" w:color="auto"/>
              <w:left w:val="nil"/>
              <w:bottom w:val="single" w:sz="4" w:space="0" w:color="auto"/>
              <w:right w:val="nil"/>
            </w:tcBorders>
            <w:vAlign w:val="bottom"/>
            <w:hideMark/>
          </w:tcPr>
          <w:p w14:paraId="5679DF80" w14:textId="1E7CB95E" w:rsidR="00042AD8" w:rsidRPr="003E265B" w:rsidRDefault="00042AD8" w:rsidP="00042AD8">
            <w:pPr>
              <w:tabs>
                <w:tab w:val="clear" w:pos="567"/>
                <w:tab w:val="clear" w:pos="1134"/>
                <w:tab w:val="clear" w:pos="1701"/>
                <w:tab w:val="clear" w:pos="2268"/>
              </w:tabs>
              <w:ind w:firstLine="555"/>
              <w:jc w:val="left"/>
              <w:textAlignment w:val="baseline"/>
              <w:rPr>
                <w:rFonts w:eastAsia="Times New Roman"/>
                <w:sz w:val="24"/>
                <w:szCs w:val="24"/>
              </w:rPr>
            </w:pPr>
            <w:r>
              <w:rPr>
                <w:b/>
                <w:sz w:val="18"/>
              </w:rPr>
              <w:t xml:space="preserve">Total </w:t>
            </w:r>
          </w:p>
        </w:tc>
        <w:tc>
          <w:tcPr>
            <w:tcW w:w="1056" w:type="dxa"/>
            <w:tcBorders>
              <w:top w:val="single" w:sz="4" w:space="0" w:color="auto"/>
              <w:left w:val="nil"/>
              <w:bottom w:val="single" w:sz="4" w:space="0" w:color="auto"/>
              <w:right w:val="nil"/>
            </w:tcBorders>
            <w:vAlign w:val="bottom"/>
            <w:hideMark/>
          </w:tcPr>
          <w:p w14:paraId="1C8012C2" w14:textId="5FD94613" w:rsidR="00042AD8" w:rsidRPr="003E265B" w:rsidRDefault="00042AD8" w:rsidP="00042AD8">
            <w:pPr>
              <w:tabs>
                <w:tab w:val="clear" w:pos="567"/>
                <w:tab w:val="clear" w:pos="1134"/>
                <w:tab w:val="clear" w:pos="1701"/>
                <w:tab w:val="clear" w:pos="2268"/>
              </w:tabs>
              <w:jc w:val="right"/>
              <w:textAlignment w:val="baseline"/>
              <w:rPr>
                <w:rFonts w:eastAsia="Times New Roman"/>
                <w:sz w:val="24"/>
                <w:szCs w:val="24"/>
              </w:rPr>
            </w:pPr>
            <w:r>
              <w:rPr>
                <w:b/>
                <w:sz w:val="18"/>
              </w:rPr>
              <w:t>40 445,3</w:t>
            </w:r>
          </w:p>
        </w:tc>
        <w:tc>
          <w:tcPr>
            <w:tcW w:w="969" w:type="dxa"/>
            <w:tcBorders>
              <w:top w:val="single" w:sz="4" w:space="0" w:color="auto"/>
              <w:left w:val="nil"/>
              <w:bottom w:val="single" w:sz="4" w:space="0" w:color="auto"/>
              <w:right w:val="nil"/>
            </w:tcBorders>
            <w:vAlign w:val="bottom"/>
            <w:hideMark/>
          </w:tcPr>
          <w:p w14:paraId="785C6D79" w14:textId="3679EC0A" w:rsidR="00042AD8" w:rsidRPr="003E265B" w:rsidRDefault="00042AD8" w:rsidP="00042AD8">
            <w:pPr>
              <w:tabs>
                <w:tab w:val="clear" w:pos="567"/>
                <w:tab w:val="clear" w:pos="1134"/>
                <w:tab w:val="clear" w:pos="1701"/>
                <w:tab w:val="clear" w:pos="2268"/>
              </w:tabs>
              <w:jc w:val="right"/>
              <w:textAlignment w:val="baseline"/>
              <w:rPr>
                <w:rFonts w:eastAsia="Times New Roman"/>
                <w:sz w:val="24"/>
                <w:szCs w:val="24"/>
              </w:rPr>
            </w:pPr>
            <w:r>
              <w:rPr>
                <w:b/>
                <w:sz w:val="18"/>
              </w:rPr>
              <w:t>28 162,5</w:t>
            </w:r>
          </w:p>
        </w:tc>
        <w:tc>
          <w:tcPr>
            <w:tcW w:w="1170" w:type="dxa"/>
            <w:tcBorders>
              <w:top w:val="single" w:sz="4" w:space="0" w:color="auto"/>
              <w:left w:val="nil"/>
              <w:bottom w:val="single" w:sz="4" w:space="0" w:color="auto"/>
              <w:right w:val="nil"/>
            </w:tcBorders>
            <w:vAlign w:val="bottom"/>
            <w:hideMark/>
          </w:tcPr>
          <w:p w14:paraId="0CE0A25D" w14:textId="7E60F985" w:rsidR="00042AD8" w:rsidRPr="003E265B" w:rsidRDefault="00042AD8" w:rsidP="2080ABF3">
            <w:pPr>
              <w:tabs>
                <w:tab w:val="clear" w:pos="567"/>
                <w:tab w:val="clear" w:pos="1134"/>
                <w:tab w:val="clear" w:pos="1701"/>
                <w:tab w:val="clear" w:pos="2268"/>
              </w:tabs>
              <w:jc w:val="right"/>
              <w:textAlignment w:val="baseline"/>
              <w:rPr>
                <w:rFonts w:eastAsia="Times New Roman"/>
                <w:sz w:val="24"/>
                <w:szCs w:val="24"/>
              </w:rPr>
            </w:pPr>
            <w:r>
              <w:rPr>
                <w:b/>
                <w:sz w:val="18"/>
              </w:rPr>
              <w:t>69,63</w:t>
            </w:r>
            <w:r>
              <w:rPr>
                <w:sz w:val="18"/>
              </w:rPr>
              <w:t xml:space="preserve"> </w:t>
            </w:r>
          </w:p>
        </w:tc>
        <w:tc>
          <w:tcPr>
            <w:tcW w:w="1095" w:type="dxa"/>
            <w:tcBorders>
              <w:top w:val="single" w:sz="4" w:space="0" w:color="auto"/>
              <w:left w:val="nil"/>
              <w:bottom w:val="single" w:sz="4" w:space="0" w:color="auto"/>
              <w:right w:val="nil"/>
            </w:tcBorders>
            <w:vAlign w:val="bottom"/>
            <w:hideMark/>
          </w:tcPr>
          <w:p w14:paraId="20C17060" w14:textId="37663334" w:rsidR="00042AD8" w:rsidRPr="003E265B" w:rsidRDefault="00042AD8" w:rsidP="00042AD8">
            <w:pPr>
              <w:tabs>
                <w:tab w:val="clear" w:pos="567"/>
                <w:tab w:val="clear" w:pos="1134"/>
                <w:tab w:val="clear" w:pos="1701"/>
                <w:tab w:val="clear" w:pos="2268"/>
              </w:tabs>
              <w:jc w:val="right"/>
              <w:textAlignment w:val="baseline"/>
              <w:rPr>
                <w:rFonts w:eastAsia="Times New Roman"/>
                <w:sz w:val="24"/>
                <w:szCs w:val="24"/>
              </w:rPr>
            </w:pPr>
            <w:r>
              <w:rPr>
                <w:b/>
                <w:sz w:val="18"/>
              </w:rPr>
              <w:t>12 282,7</w:t>
            </w:r>
          </w:p>
        </w:tc>
        <w:tc>
          <w:tcPr>
            <w:tcW w:w="1164" w:type="dxa"/>
            <w:tcBorders>
              <w:top w:val="single" w:sz="4" w:space="0" w:color="auto"/>
              <w:left w:val="nil"/>
              <w:bottom w:val="single" w:sz="4" w:space="0" w:color="auto"/>
              <w:right w:val="nil"/>
            </w:tcBorders>
            <w:vAlign w:val="bottom"/>
            <w:hideMark/>
          </w:tcPr>
          <w:p w14:paraId="3800DB42" w14:textId="66C722BC" w:rsidR="00042AD8" w:rsidRPr="003E265B" w:rsidRDefault="00042AD8" w:rsidP="00042AD8">
            <w:pPr>
              <w:tabs>
                <w:tab w:val="clear" w:pos="567"/>
                <w:tab w:val="clear" w:pos="1134"/>
                <w:tab w:val="clear" w:pos="1701"/>
                <w:tab w:val="clear" w:pos="2268"/>
              </w:tabs>
              <w:jc w:val="right"/>
              <w:textAlignment w:val="baseline"/>
              <w:rPr>
                <w:rFonts w:eastAsia="Times New Roman"/>
                <w:sz w:val="24"/>
                <w:szCs w:val="24"/>
              </w:rPr>
            </w:pPr>
            <w:r>
              <w:rPr>
                <w:b/>
                <w:sz w:val="18"/>
              </w:rPr>
              <w:t>30,37</w:t>
            </w:r>
          </w:p>
        </w:tc>
      </w:tr>
    </w:tbl>
    <w:p w14:paraId="72572F6F" w14:textId="1B00D9E2" w:rsidR="00822565" w:rsidRPr="003E265B" w:rsidRDefault="00822565" w:rsidP="00440131">
      <w:pPr>
        <w:pStyle w:val="CBDNormalNumber"/>
      </w:pPr>
      <w:r>
        <w:rPr>
          <w:rStyle w:val="normaltextrun"/>
          <w:color w:val="000000"/>
          <w:shd w:val="clear" w:color="auto" w:fill="FFFFFF"/>
        </w:rPr>
        <w:t>Como se muestra en el cuadro 3, al 31 de mayo de 2026, las Partes habían abonado el 69.63 % del total de las cuotas asignadas correspondientes al bienio 2025-2026. Como se aprecia en el cuadro 4, a la misma fecha, 94 Partes en el Convenio, 80 Partes en el Protocolo de Cartagena y 57 Partes en el Protocolo de Nagoya habían abonado íntegramente sus cuotas asignadas correspondientes a 2025. En cuanto a 2026, 49 Partes en el Convenio, 37 Partes en el Protocolo de Cartagena y 25 Partes en el Protocolo de Nagoya habían abonado íntegramente sus cuotas asignadas.</w:t>
      </w:r>
    </w:p>
    <w:p w14:paraId="59A862CC" w14:textId="223ECD3D" w:rsidR="00E83DA7" w:rsidRPr="003E265B" w:rsidRDefault="00E83DA7" w:rsidP="00E83DA7">
      <w:pPr>
        <w:tabs>
          <w:tab w:val="clear" w:pos="567"/>
          <w:tab w:val="clear" w:pos="1134"/>
          <w:tab w:val="clear" w:pos="1701"/>
          <w:tab w:val="clear" w:pos="2268"/>
        </w:tabs>
        <w:ind w:left="555"/>
        <w:jc w:val="left"/>
        <w:textAlignment w:val="baseline"/>
        <w:rPr>
          <w:rFonts w:ascii="Segoe UI" w:eastAsia="Times New Roman" w:hAnsi="Segoe UI" w:cs="Segoe UI"/>
          <w:b/>
          <w:bCs/>
          <w:sz w:val="18"/>
          <w:szCs w:val="18"/>
        </w:rPr>
      </w:pPr>
      <w:r>
        <w:t>Cuadro 4</w:t>
      </w:r>
      <w:r>
        <w:rPr>
          <w:b/>
        </w:rPr>
        <w:t xml:space="preserve"> </w:t>
      </w:r>
      <w:r>
        <w:rPr>
          <w:b/>
        </w:rPr>
        <w:br/>
        <w:t>Situación de las cuotas asignadas correspondientes al bienio 2025-2026 abonadas íntegramente, al 31 de mayo de 2026</w:t>
      </w:r>
      <w:r>
        <w:rPr>
          <w:b/>
          <w:bdr w:val="none" w:sz="0" w:space="0" w:color="auto" w:frame="1"/>
          <w:shd w:val="clear" w:color="auto" w:fill="C6C6C6"/>
        </w:rPr>
        <w:t xml:space="preserve"> </w:t>
      </w:r>
    </w:p>
    <w:tbl>
      <w:tblPr>
        <w:tblW w:w="8922" w:type="dxa"/>
        <w:tblInd w:w="576" w:type="dxa"/>
        <w:tblBorders>
          <w:top w:val="outset" w:sz="6" w:space="0" w:color="auto"/>
          <w:left w:val="outset" w:sz="6" w:space="0" w:color="auto"/>
          <w:bottom w:val="outset" w:sz="6" w:space="0" w:color="auto"/>
          <w:right w:val="outset" w:sz="6" w:space="0" w:color="auto"/>
        </w:tblBorders>
        <w:tblLayout w:type="fixed"/>
        <w:tblCellMar>
          <w:left w:w="28" w:type="dxa"/>
          <w:right w:w="28" w:type="dxa"/>
        </w:tblCellMar>
        <w:tblLook w:val="04A0" w:firstRow="1" w:lastRow="0" w:firstColumn="1" w:lastColumn="0" w:noHBand="0" w:noVBand="1"/>
      </w:tblPr>
      <w:tblGrid>
        <w:gridCol w:w="2685"/>
        <w:gridCol w:w="1134"/>
        <w:gridCol w:w="1512"/>
        <w:gridCol w:w="47"/>
        <w:gridCol w:w="992"/>
        <w:gridCol w:w="342"/>
        <w:gridCol w:w="1359"/>
        <w:gridCol w:w="851"/>
      </w:tblGrid>
      <w:tr w:rsidR="005F2009" w:rsidRPr="003E265B" w14:paraId="3B074409" w14:textId="77777777" w:rsidTr="00440131">
        <w:trPr>
          <w:trHeight w:val="295"/>
        </w:trPr>
        <w:tc>
          <w:tcPr>
            <w:tcW w:w="2685" w:type="dxa"/>
            <w:vMerge w:val="restart"/>
            <w:tcBorders>
              <w:top w:val="single" w:sz="4" w:space="0" w:color="auto"/>
              <w:left w:val="nil"/>
              <w:right w:val="nil"/>
            </w:tcBorders>
            <w:vAlign w:val="bottom"/>
            <w:hideMark/>
          </w:tcPr>
          <w:p w14:paraId="2BE3195B" w14:textId="047470AE" w:rsidR="005F2009" w:rsidRPr="003E265B" w:rsidRDefault="005F2009" w:rsidP="00D96E88">
            <w:pPr>
              <w:tabs>
                <w:tab w:val="clear" w:pos="567"/>
                <w:tab w:val="clear" w:pos="1134"/>
                <w:tab w:val="clear" w:pos="1701"/>
                <w:tab w:val="clear" w:pos="2268"/>
              </w:tabs>
              <w:jc w:val="left"/>
              <w:textAlignment w:val="baseline"/>
              <w:rPr>
                <w:rFonts w:eastAsia="Times New Roman"/>
                <w:sz w:val="24"/>
                <w:szCs w:val="24"/>
              </w:rPr>
            </w:pPr>
            <w:r>
              <w:rPr>
                <w:i/>
                <w:sz w:val="18"/>
              </w:rPr>
              <w:t>Fondo fiduciario</w:t>
            </w:r>
            <w:r>
              <w:rPr>
                <w:sz w:val="18"/>
              </w:rPr>
              <w:t xml:space="preserve"> </w:t>
            </w:r>
          </w:p>
        </w:tc>
        <w:tc>
          <w:tcPr>
            <w:tcW w:w="1134" w:type="dxa"/>
            <w:vMerge w:val="restart"/>
            <w:tcBorders>
              <w:top w:val="single" w:sz="4" w:space="0" w:color="auto"/>
              <w:left w:val="nil"/>
              <w:right w:val="nil"/>
            </w:tcBorders>
            <w:vAlign w:val="bottom"/>
            <w:hideMark/>
          </w:tcPr>
          <w:p w14:paraId="42508B74" w14:textId="0139DFFD" w:rsidR="005F2009" w:rsidRPr="003E265B" w:rsidRDefault="005F2009" w:rsidP="00440131">
            <w:pPr>
              <w:tabs>
                <w:tab w:val="clear" w:pos="567"/>
                <w:tab w:val="clear" w:pos="1134"/>
                <w:tab w:val="clear" w:pos="1701"/>
                <w:tab w:val="clear" w:pos="2268"/>
              </w:tabs>
              <w:ind w:right="139"/>
              <w:jc w:val="right"/>
              <w:textAlignment w:val="baseline"/>
              <w:rPr>
                <w:rFonts w:eastAsia="Times New Roman"/>
                <w:sz w:val="24"/>
                <w:szCs w:val="24"/>
              </w:rPr>
            </w:pPr>
            <w:r>
              <w:rPr>
                <w:i/>
                <w:sz w:val="18"/>
              </w:rPr>
              <w:t>Número de Partes</w:t>
            </w:r>
          </w:p>
        </w:tc>
        <w:tc>
          <w:tcPr>
            <w:tcW w:w="2893" w:type="dxa"/>
            <w:gridSpan w:val="4"/>
            <w:tcBorders>
              <w:top w:val="single" w:sz="4" w:space="0" w:color="auto"/>
              <w:left w:val="nil"/>
              <w:bottom w:val="single" w:sz="4" w:space="0" w:color="auto"/>
              <w:right w:val="nil"/>
            </w:tcBorders>
            <w:vAlign w:val="bottom"/>
            <w:hideMark/>
          </w:tcPr>
          <w:p w14:paraId="00AAD3A9" w14:textId="1F399673" w:rsidR="005F2009" w:rsidRPr="00440131" w:rsidRDefault="00921F04" w:rsidP="00440131">
            <w:pPr>
              <w:tabs>
                <w:tab w:val="clear" w:pos="567"/>
                <w:tab w:val="clear" w:pos="1134"/>
                <w:tab w:val="clear" w:pos="1701"/>
                <w:tab w:val="clear" w:pos="2268"/>
              </w:tabs>
              <w:jc w:val="center"/>
              <w:textAlignment w:val="baseline"/>
              <w:rPr>
                <w:rFonts w:eastAsia="Times New Roman"/>
                <w:i/>
                <w:iCs/>
                <w:sz w:val="24"/>
                <w:szCs w:val="24"/>
                <w:highlight w:val="cyan"/>
              </w:rPr>
            </w:pPr>
            <w:r>
              <w:rPr>
                <w:i/>
                <w:sz w:val="18"/>
              </w:rPr>
              <w:t>Cuota para 2025</w:t>
            </w:r>
          </w:p>
        </w:tc>
        <w:tc>
          <w:tcPr>
            <w:tcW w:w="2210" w:type="dxa"/>
            <w:gridSpan w:val="2"/>
            <w:tcBorders>
              <w:top w:val="single" w:sz="4" w:space="0" w:color="auto"/>
              <w:left w:val="nil"/>
              <w:bottom w:val="single" w:sz="4" w:space="0" w:color="auto"/>
              <w:right w:val="nil"/>
            </w:tcBorders>
            <w:vAlign w:val="bottom"/>
          </w:tcPr>
          <w:p w14:paraId="57C1A5EC" w14:textId="4592EBDF" w:rsidR="005F2009" w:rsidRPr="003E265B" w:rsidRDefault="00921F04" w:rsidP="00440131">
            <w:pPr>
              <w:tabs>
                <w:tab w:val="clear" w:pos="567"/>
                <w:tab w:val="clear" w:pos="1134"/>
                <w:tab w:val="clear" w:pos="1701"/>
                <w:tab w:val="clear" w:pos="2268"/>
              </w:tabs>
              <w:jc w:val="center"/>
              <w:textAlignment w:val="baseline"/>
              <w:rPr>
                <w:rFonts w:eastAsia="Times New Roman"/>
                <w:i/>
                <w:iCs/>
                <w:sz w:val="18"/>
                <w:szCs w:val="18"/>
              </w:rPr>
            </w:pPr>
            <w:r>
              <w:rPr>
                <w:i/>
                <w:sz w:val="18"/>
              </w:rPr>
              <w:t xml:space="preserve">Cuota para </w:t>
            </w:r>
            <w:r>
              <w:rPr>
                <w:rFonts w:asciiTheme="minorHAnsi" w:hAnsiTheme="minorHAnsi"/>
                <w:i/>
                <w:sz w:val="18"/>
              </w:rPr>
              <w:t>2026</w:t>
            </w:r>
          </w:p>
        </w:tc>
      </w:tr>
      <w:tr w:rsidR="005F2009" w:rsidRPr="003E265B" w14:paraId="06985121" w14:textId="77777777" w:rsidTr="00A7643D">
        <w:trPr>
          <w:trHeight w:val="295"/>
        </w:trPr>
        <w:tc>
          <w:tcPr>
            <w:tcW w:w="2685" w:type="dxa"/>
            <w:vMerge/>
            <w:tcBorders>
              <w:left w:val="nil"/>
              <w:bottom w:val="single" w:sz="4" w:space="0" w:color="auto"/>
              <w:right w:val="nil"/>
            </w:tcBorders>
            <w:vAlign w:val="bottom"/>
          </w:tcPr>
          <w:p w14:paraId="3CFD5854" w14:textId="77777777" w:rsidR="005F2009" w:rsidRPr="003E265B" w:rsidRDefault="005F2009" w:rsidP="005F2009">
            <w:pPr>
              <w:tabs>
                <w:tab w:val="clear" w:pos="567"/>
                <w:tab w:val="clear" w:pos="1134"/>
                <w:tab w:val="clear" w:pos="1701"/>
                <w:tab w:val="clear" w:pos="2268"/>
              </w:tabs>
              <w:jc w:val="left"/>
              <w:textAlignment w:val="baseline"/>
              <w:rPr>
                <w:rFonts w:eastAsia="Times New Roman"/>
                <w:i/>
                <w:iCs/>
                <w:sz w:val="18"/>
                <w:szCs w:val="18"/>
              </w:rPr>
            </w:pPr>
          </w:p>
        </w:tc>
        <w:tc>
          <w:tcPr>
            <w:tcW w:w="1134" w:type="dxa"/>
            <w:vMerge/>
            <w:tcBorders>
              <w:left w:val="nil"/>
              <w:bottom w:val="single" w:sz="4" w:space="0" w:color="auto"/>
              <w:right w:val="nil"/>
            </w:tcBorders>
            <w:vAlign w:val="bottom"/>
          </w:tcPr>
          <w:p w14:paraId="5E3264A5" w14:textId="77777777" w:rsidR="005F2009" w:rsidRPr="003E265B" w:rsidRDefault="005F2009" w:rsidP="005F2009">
            <w:pPr>
              <w:tabs>
                <w:tab w:val="clear" w:pos="567"/>
                <w:tab w:val="clear" w:pos="1134"/>
                <w:tab w:val="clear" w:pos="1701"/>
                <w:tab w:val="clear" w:pos="2268"/>
              </w:tabs>
              <w:ind w:right="139"/>
              <w:jc w:val="right"/>
              <w:textAlignment w:val="baseline"/>
              <w:rPr>
                <w:rFonts w:eastAsia="Times New Roman"/>
                <w:i/>
                <w:iCs/>
                <w:sz w:val="18"/>
                <w:szCs w:val="18"/>
              </w:rPr>
            </w:pPr>
          </w:p>
        </w:tc>
        <w:tc>
          <w:tcPr>
            <w:tcW w:w="1559" w:type="dxa"/>
            <w:gridSpan w:val="2"/>
            <w:tcBorders>
              <w:top w:val="single" w:sz="4" w:space="0" w:color="auto"/>
              <w:left w:val="nil"/>
              <w:bottom w:val="single" w:sz="4" w:space="0" w:color="auto"/>
              <w:right w:val="nil"/>
            </w:tcBorders>
            <w:vAlign w:val="bottom"/>
          </w:tcPr>
          <w:p w14:paraId="13045A46" w14:textId="0DDD216C" w:rsidR="005F2009" w:rsidRPr="00440131" w:rsidRDefault="005F2009" w:rsidP="005F2009">
            <w:pPr>
              <w:tabs>
                <w:tab w:val="clear" w:pos="567"/>
                <w:tab w:val="clear" w:pos="1134"/>
                <w:tab w:val="clear" w:pos="1701"/>
                <w:tab w:val="clear" w:pos="2268"/>
              </w:tabs>
              <w:jc w:val="right"/>
              <w:textAlignment w:val="baseline"/>
              <w:rPr>
                <w:rFonts w:eastAsia="Times New Roman"/>
                <w:i/>
                <w:iCs/>
                <w:sz w:val="18"/>
                <w:szCs w:val="18"/>
              </w:rPr>
            </w:pPr>
            <w:r>
              <w:rPr>
                <w:i/>
                <w:sz w:val="18"/>
              </w:rPr>
              <w:t>Número de Partes que abonaron la totalidad</w:t>
            </w:r>
            <w:r>
              <w:rPr>
                <w:sz w:val="18"/>
              </w:rPr>
              <w:t xml:space="preserve"> </w:t>
            </w:r>
          </w:p>
        </w:tc>
        <w:tc>
          <w:tcPr>
            <w:tcW w:w="992" w:type="dxa"/>
            <w:tcBorders>
              <w:top w:val="single" w:sz="4" w:space="0" w:color="auto"/>
              <w:left w:val="nil"/>
              <w:bottom w:val="single" w:sz="4" w:space="0" w:color="auto"/>
              <w:right w:val="nil"/>
            </w:tcBorders>
            <w:vAlign w:val="bottom"/>
          </w:tcPr>
          <w:p w14:paraId="4E4BF318" w14:textId="0BFA7E20" w:rsidR="005F2009" w:rsidRPr="00440131" w:rsidRDefault="005F2009" w:rsidP="00440131">
            <w:pPr>
              <w:tabs>
                <w:tab w:val="clear" w:pos="567"/>
                <w:tab w:val="clear" w:pos="1134"/>
                <w:tab w:val="clear" w:pos="1701"/>
                <w:tab w:val="clear" w:pos="2268"/>
              </w:tabs>
              <w:ind w:left="-128" w:right="116"/>
              <w:jc w:val="right"/>
              <w:textAlignment w:val="baseline"/>
              <w:rPr>
                <w:rFonts w:eastAsia="Times New Roman"/>
                <w:i/>
                <w:iCs/>
                <w:sz w:val="18"/>
                <w:szCs w:val="18"/>
              </w:rPr>
            </w:pPr>
            <w:r>
              <w:rPr>
                <w:i/>
                <w:sz w:val="18"/>
              </w:rPr>
              <w:t>Porcentaje</w:t>
            </w:r>
          </w:p>
        </w:tc>
        <w:tc>
          <w:tcPr>
            <w:tcW w:w="1701" w:type="dxa"/>
            <w:gridSpan w:val="2"/>
            <w:tcBorders>
              <w:top w:val="single" w:sz="4" w:space="0" w:color="auto"/>
              <w:left w:val="nil"/>
              <w:bottom w:val="single" w:sz="4" w:space="0" w:color="auto"/>
              <w:right w:val="nil"/>
            </w:tcBorders>
            <w:vAlign w:val="bottom"/>
          </w:tcPr>
          <w:p w14:paraId="7F590B7F" w14:textId="5A3446A0" w:rsidR="005F2009" w:rsidRPr="00440131" w:rsidRDefault="005F2009" w:rsidP="00DB4DA6">
            <w:pPr>
              <w:tabs>
                <w:tab w:val="clear" w:pos="567"/>
                <w:tab w:val="clear" w:pos="1134"/>
                <w:tab w:val="clear" w:pos="1701"/>
                <w:tab w:val="clear" w:pos="2268"/>
              </w:tabs>
              <w:jc w:val="right"/>
              <w:textAlignment w:val="baseline"/>
              <w:rPr>
                <w:rFonts w:eastAsia="Times New Roman"/>
                <w:sz w:val="24"/>
                <w:szCs w:val="24"/>
              </w:rPr>
            </w:pPr>
            <w:r>
              <w:rPr>
                <w:i/>
                <w:sz w:val="18"/>
              </w:rPr>
              <w:t>Número de Partes que abonaron la totalidad</w:t>
            </w:r>
            <w:r>
              <w:rPr>
                <w:sz w:val="18"/>
              </w:rPr>
              <w:t xml:space="preserve"> </w:t>
            </w:r>
          </w:p>
          <w:p w14:paraId="3025F206" w14:textId="57E0FF13" w:rsidR="005F2009" w:rsidRPr="003E265B" w:rsidRDefault="00921F04" w:rsidP="00DB4DA6">
            <w:pPr>
              <w:tabs>
                <w:tab w:val="clear" w:pos="567"/>
                <w:tab w:val="clear" w:pos="1134"/>
                <w:tab w:val="clear" w:pos="1701"/>
                <w:tab w:val="clear" w:pos="2268"/>
              </w:tabs>
              <w:jc w:val="right"/>
              <w:textAlignment w:val="baseline"/>
              <w:rPr>
                <w:rFonts w:asciiTheme="minorHAnsi" w:eastAsiaTheme="minorEastAsia" w:hAnsiTheme="minorHAnsi" w:cstheme="minorBidi"/>
                <w:i/>
                <w:iCs/>
                <w:sz w:val="18"/>
                <w:szCs w:val="18"/>
              </w:rPr>
            </w:pPr>
            <w:r>
              <w:rPr>
                <w:sz w:val="18"/>
              </w:rPr>
              <w:t xml:space="preserve"> </w:t>
            </w:r>
          </w:p>
        </w:tc>
        <w:tc>
          <w:tcPr>
            <w:tcW w:w="851" w:type="dxa"/>
            <w:tcBorders>
              <w:top w:val="single" w:sz="4" w:space="0" w:color="auto"/>
              <w:left w:val="nil"/>
              <w:bottom w:val="single" w:sz="4" w:space="0" w:color="auto"/>
              <w:right w:val="nil"/>
            </w:tcBorders>
            <w:vAlign w:val="bottom"/>
          </w:tcPr>
          <w:p w14:paraId="3B4CA665" w14:textId="258B07C1" w:rsidR="005F2009" w:rsidRPr="003E265B" w:rsidRDefault="005F2009" w:rsidP="005F2009">
            <w:pPr>
              <w:tabs>
                <w:tab w:val="clear" w:pos="567"/>
                <w:tab w:val="clear" w:pos="1134"/>
                <w:tab w:val="clear" w:pos="1701"/>
                <w:tab w:val="clear" w:pos="2268"/>
              </w:tabs>
              <w:jc w:val="right"/>
              <w:textAlignment w:val="baseline"/>
              <w:rPr>
                <w:rFonts w:asciiTheme="minorHAnsi" w:eastAsiaTheme="minorEastAsia" w:hAnsiTheme="minorHAnsi" w:cstheme="minorBidi"/>
                <w:i/>
                <w:iCs/>
                <w:sz w:val="18"/>
                <w:szCs w:val="18"/>
              </w:rPr>
            </w:pPr>
            <w:r>
              <w:rPr>
                <w:i/>
                <w:sz w:val="18"/>
              </w:rPr>
              <w:t>Porcentaje</w:t>
            </w:r>
            <w:r>
              <w:rPr>
                <w:rFonts w:asciiTheme="minorHAnsi" w:hAnsiTheme="minorHAnsi"/>
                <w:i/>
                <w:sz w:val="18"/>
              </w:rPr>
              <w:t xml:space="preserve"> </w:t>
            </w:r>
          </w:p>
        </w:tc>
      </w:tr>
      <w:tr w:rsidR="005F2009" w:rsidRPr="003E265B" w14:paraId="2B40BFCC" w14:textId="77777777" w:rsidTr="00A7643D">
        <w:trPr>
          <w:trHeight w:val="255"/>
        </w:trPr>
        <w:tc>
          <w:tcPr>
            <w:tcW w:w="2685" w:type="dxa"/>
            <w:tcBorders>
              <w:top w:val="nil"/>
              <w:left w:val="nil"/>
              <w:bottom w:val="nil"/>
              <w:right w:val="nil"/>
            </w:tcBorders>
            <w:vAlign w:val="bottom"/>
            <w:hideMark/>
          </w:tcPr>
          <w:p w14:paraId="2026AEFD" w14:textId="35246647" w:rsidR="005F2009" w:rsidRPr="003E265B" w:rsidRDefault="005F2009" w:rsidP="005F2009">
            <w:pPr>
              <w:jc w:val="left"/>
            </w:pPr>
            <w:r>
              <w:rPr>
                <w:sz w:val="18"/>
              </w:rPr>
              <w:t>Fondo Fiduciario General para el Convenio sobre la Diversidad Biológica</w:t>
            </w:r>
          </w:p>
        </w:tc>
        <w:tc>
          <w:tcPr>
            <w:tcW w:w="1134" w:type="dxa"/>
            <w:tcBorders>
              <w:top w:val="nil"/>
              <w:left w:val="nil"/>
              <w:bottom w:val="nil"/>
              <w:right w:val="nil"/>
            </w:tcBorders>
            <w:hideMark/>
          </w:tcPr>
          <w:p w14:paraId="7233068D" w14:textId="7D27ACE2" w:rsidR="005F2009" w:rsidRPr="003E265B" w:rsidRDefault="005F2009" w:rsidP="00921F04">
            <w:pPr>
              <w:jc w:val="right"/>
            </w:pPr>
            <w:r>
              <w:rPr>
                <w:sz w:val="18"/>
              </w:rPr>
              <w:t>196</w:t>
            </w:r>
          </w:p>
        </w:tc>
        <w:tc>
          <w:tcPr>
            <w:tcW w:w="1512" w:type="dxa"/>
            <w:tcBorders>
              <w:top w:val="nil"/>
              <w:left w:val="nil"/>
              <w:bottom w:val="nil"/>
              <w:right w:val="nil"/>
            </w:tcBorders>
            <w:hideMark/>
          </w:tcPr>
          <w:p w14:paraId="1B79CCBA" w14:textId="6DC1B038" w:rsidR="005F2009" w:rsidRPr="003E265B" w:rsidRDefault="005F2009" w:rsidP="00921F04">
            <w:pPr>
              <w:jc w:val="right"/>
            </w:pPr>
            <w:r>
              <w:rPr>
                <w:sz w:val="18"/>
              </w:rPr>
              <w:t>94</w:t>
            </w:r>
          </w:p>
        </w:tc>
        <w:tc>
          <w:tcPr>
            <w:tcW w:w="1039" w:type="dxa"/>
            <w:gridSpan w:val="2"/>
            <w:tcBorders>
              <w:top w:val="nil"/>
              <w:left w:val="nil"/>
              <w:bottom w:val="nil"/>
              <w:right w:val="nil"/>
            </w:tcBorders>
            <w:hideMark/>
          </w:tcPr>
          <w:p w14:paraId="33F1C337" w14:textId="306FA760" w:rsidR="005F2009" w:rsidRPr="003E265B" w:rsidRDefault="005F2009" w:rsidP="00440131">
            <w:pPr>
              <w:ind w:left="-128" w:right="116"/>
              <w:jc w:val="right"/>
            </w:pPr>
            <w:r>
              <w:rPr>
                <w:sz w:val="18"/>
              </w:rPr>
              <w:t>47,96</w:t>
            </w:r>
          </w:p>
        </w:tc>
        <w:tc>
          <w:tcPr>
            <w:tcW w:w="1701" w:type="dxa"/>
            <w:gridSpan w:val="2"/>
            <w:tcBorders>
              <w:top w:val="nil"/>
              <w:left w:val="nil"/>
              <w:bottom w:val="nil"/>
              <w:right w:val="nil"/>
            </w:tcBorders>
            <w:hideMark/>
          </w:tcPr>
          <w:p w14:paraId="7D1625D4" w14:textId="58281E16" w:rsidR="005F2009" w:rsidRPr="003E265B" w:rsidRDefault="005F2009" w:rsidP="00921F04">
            <w:pPr>
              <w:jc w:val="right"/>
            </w:pPr>
            <w:r>
              <w:rPr>
                <w:sz w:val="18"/>
              </w:rPr>
              <w:t>49</w:t>
            </w:r>
          </w:p>
        </w:tc>
        <w:tc>
          <w:tcPr>
            <w:tcW w:w="851" w:type="dxa"/>
            <w:tcBorders>
              <w:top w:val="nil"/>
              <w:left w:val="nil"/>
              <w:bottom w:val="nil"/>
              <w:right w:val="nil"/>
            </w:tcBorders>
            <w:hideMark/>
          </w:tcPr>
          <w:p w14:paraId="682CD654" w14:textId="231DAD65" w:rsidR="005F2009" w:rsidRPr="003E265B" w:rsidRDefault="005F2009" w:rsidP="00921F04">
            <w:pPr>
              <w:jc w:val="right"/>
            </w:pPr>
            <w:r>
              <w:rPr>
                <w:sz w:val="18"/>
              </w:rPr>
              <w:t>25,00</w:t>
            </w:r>
          </w:p>
        </w:tc>
      </w:tr>
      <w:tr w:rsidR="005F2009" w:rsidRPr="003E265B" w14:paraId="2ACB53A6" w14:textId="77777777" w:rsidTr="00A7643D">
        <w:trPr>
          <w:trHeight w:val="255"/>
        </w:trPr>
        <w:tc>
          <w:tcPr>
            <w:tcW w:w="2685" w:type="dxa"/>
            <w:tcBorders>
              <w:top w:val="nil"/>
              <w:left w:val="nil"/>
              <w:bottom w:val="nil"/>
              <w:right w:val="nil"/>
            </w:tcBorders>
            <w:vAlign w:val="bottom"/>
            <w:hideMark/>
          </w:tcPr>
          <w:p w14:paraId="2099DB93" w14:textId="292373F3" w:rsidR="005F2009" w:rsidRPr="003E265B" w:rsidRDefault="005F2009" w:rsidP="005F2009">
            <w:pPr>
              <w:jc w:val="left"/>
            </w:pPr>
            <w:r>
              <w:rPr>
                <w:sz w:val="18"/>
              </w:rPr>
              <w:t>Fondo Fiduciario General para el Protocolo de Cartagena</w:t>
            </w:r>
          </w:p>
        </w:tc>
        <w:tc>
          <w:tcPr>
            <w:tcW w:w="1134" w:type="dxa"/>
            <w:tcBorders>
              <w:top w:val="nil"/>
              <w:left w:val="nil"/>
              <w:bottom w:val="nil"/>
              <w:right w:val="nil"/>
            </w:tcBorders>
            <w:hideMark/>
          </w:tcPr>
          <w:p w14:paraId="0D0120D6" w14:textId="02D66A05" w:rsidR="005F2009" w:rsidRPr="003E265B" w:rsidRDefault="005F2009" w:rsidP="00921F04">
            <w:pPr>
              <w:jc w:val="right"/>
            </w:pPr>
            <w:r>
              <w:rPr>
                <w:sz w:val="18"/>
              </w:rPr>
              <w:t>173</w:t>
            </w:r>
          </w:p>
        </w:tc>
        <w:tc>
          <w:tcPr>
            <w:tcW w:w="1512" w:type="dxa"/>
            <w:tcBorders>
              <w:top w:val="nil"/>
              <w:left w:val="nil"/>
              <w:bottom w:val="nil"/>
              <w:right w:val="nil"/>
            </w:tcBorders>
            <w:hideMark/>
          </w:tcPr>
          <w:p w14:paraId="4038C361" w14:textId="5171EAAA" w:rsidR="005F2009" w:rsidRPr="003E265B" w:rsidRDefault="005F2009" w:rsidP="00921F04">
            <w:pPr>
              <w:jc w:val="right"/>
            </w:pPr>
            <w:r>
              <w:rPr>
                <w:sz w:val="18"/>
              </w:rPr>
              <w:t>80</w:t>
            </w:r>
          </w:p>
        </w:tc>
        <w:tc>
          <w:tcPr>
            <w:tcW w:w="1039" w:type="dxa"/>
            <w:gridSpan w:val="2"/>
            <w:tcBorders>
              <w:top w:val="nil"/>
              <w:left w:val="nil"/>
              <w:bottom w:val="nil"/>
              <w:right w:val="nil"/>
            </w:tcBorders>
            <w:hideMark/>
          </w:tcPr>
          <w:p w14:paraId="6E41BF53" w14:textId="4674CDCA" w:rsidR="005F2009" w:rsidRPr="003E265B" w:rsidRDefault="005F2009" w:rsidP="00440131">
            <w:pPr>
              <w:ind w:left="-128" w:right="116"/>
              <w:jc w:val="right"/>
            </w:pPr>
            <w:r>
              <w:rPr>
                <w:sz w:val="18"/>
              </w:rPr>
              <w:t>46,24</w:t>
            </w:r>
          </w:p>
        </w:tc>
        <w:tc>
          <w:tcPr>
            <w:tcW w:w="1701" w:type="dxa"/>
            <w:gridSpan w:val="2"/>
            <w:tcBorders>
              <w:top w:val="nil"/>
              <w:left w:val="nil"/>
              <w:bottom w:val="nil"/>
              <w:right w:val="nil"/>
            </w:tcBorders>
            <w:hideMark/>
          </w:tcPr>
          <w:p w14:paraId="61D14123" w14:textId="352FE6B2" w:rsidR="005F2009" w:rsidRPr="003E265B" w:rsidRDefault="005F2009" w:rsidP="00921F04">
            <w:pPr>
              <w:jc w:val="right"/>
            </w:pPr>
            <w:r>
              <w:rPr>
                <w:sz w:val="18"/>
              </w:rPr>
              <w:t>37</w:t>
            </w:r>
          </w:p>
        </w:tc>
        <w:tc>
          <w:tcPr>
            <w:tcW w:w="851" w:type="dxa"/>
            <w:tcBorders>
              <w:top w:val="nil"/>
              <w:left w:val="nil"/>
              <w:bottom w:val="nil"/>
              <w:right w:val="nil"/>
            </w:tcBorders>
            <w:hideMark/>
          </w:tcPr>
          <w:p w14:paraId="1C9E1565" w14:textId="6CDCFA1C" w:rsidR="005F2009" w:rsidRPr="003E265B" w:rsidRDefault="005F2009" w:rsidP="00921F04">
            <w:pPr>
              <w:jc w:val="right"/>
            </w:pPr>
            <w:r>
              <w:rPr>
                <w:sz w:val="18"/>
              </w:rPr>
              <w:t>21,39</w:t>
            </w:r>
          </w:p>
        </w:tc>
      </w:tr>
      <w:tr w:rsidR="005F2009" w:rsidRPr="003E265B" w14:paraId="39917DEF" w14:textId="77777777" w:rsidTr="00A7643D">
        <w:trPr>
          <w:trHeight w:val="255"/>
        </w:trPr>
        <w:tc>
          <w:tcPr>
            <w:tcW w:w="2685" w:type="dxa"/>
            <w:tcBorders>
              <w:top w:val="nil"/>
              <w:left w:val="nil"/>
              <w:bottom w:val="single" w:sz="4" w:space="0" w:color="000000" w:themeColor="text1"/>
              <w:right w:val="nil"/>
            </w:tcBorders>
            <w:vAlign w:val="bottom"/>
            <w:hideMark/>
          </w:tcPr>
          <w:p w14:paraId="63E703DD" w14:textId="3186F0D2" w:rsidR="005F2009" w:rsidRPr="003E265B" w:rsidRDefault="005F2009" w:rsidP="005F2009">
            <w:pPr>
              <w:jc w:val="left"/>
            </w:pPr>
            <w:r>
              <w:rPr>
                <w:sz w:val="18"/>
              </w:rPr>
              <w:t>Fondo Fiduciario General para el Protocolo de Nagoya</w:t>
            </w:r>
          </w:p>
        </w:tc>
        <w:tc>
          <w:tcPr>
            <w:tcW w:w="1134" w:type="dxa"/>
            <w:tcBorders>
              <w:top w:val="nil"/>
              <w:left w:val="nil"/>
              <w:bottom w:val="single" w:sz="4" w:space="0" w:color="000000" w:themeColor="text1"/>
              <w:right w:val="nil"/>
            </w:tcBorders>
            <w:hideMark/>
          </w:tcPr>
          <w:p w14:paraId="78FE61FA" w14:textId="664B5952" w:rsidR="005F2009" w:rsidRPr="003E265B" w:rsidRDefault="005F2009" w:rsidP="00921F04">
            <w:pPr>
              <w:jc w:val="right"/>
            </w:pPr>
            <w:r>
              <w:rPr>
                <w:sz w:val="18"/>
              </w:rPr>
              <w:t>142</w:t>
            </w:r>
          </w:p>
        </w:tc>
        <w:tc>
          <w:tcPr>
            <w:tcW w:w="1512" w:type="dxa"/>
            <w:tcBorders>
              <w:top w:val="nil"/>
              <w:left w:val="nil"/>
              <w:bottom w:val="single" w:sz="4" w:space="0" w:color="000000" w:themeColor="text1"/>
              <w:right w:val="nil"/>
            </w:tcBorders>
            <w:hideMark/>
          </w:tcPr>
          <w:p w14:paraId="4C067F2D" w14:textId="4B8908AE" w:rsidR="005F2009" w:rsidRPr="003E265B" w:rsidRDefault="005F2009" w:rsidP="00921F04">
            <w:pPr>
              <w:jc w:val="right"/>
            </w:pPr>
            <w:r>
              <w:rPr>
                <w:sz w:val="18"/>
              </w:rPr>
              <w:t>57</w:t>
            </w:r>
          </w:p>
        </w:tc>
        <w:tc>
          <w:tcPr>
            <w:tcW w:w="1039" w:type="dxa"/>
            <w:gridSpan w:val="2"/>
            <w:tcBorders>
              <w:top w:val="nil"/>
              <w:left w:val="nil"/>
              <w:bottom w:val="single" w:sz="4" w:space="0" w:color="000000" w:themeColor="text1"/>
              <w:right w:val="nil"/>
            </w:tcBorders>
            <w:hideMark/>
          </w:tcPr>
          <w:p w14:paraId="555B7AC0" w14:textId="0A0795E7" w:rsidR="005F2009" w:rsidRPr="003E265B" w:rsidRDefault="005F2009" w:rsidP="00440131">
            <w:pPr>
              <w:ind w:left="-128" w:right="116"/>
              <w:jc w:val="right"/>
            </w:pPr>
            <w:r>
              <w:rPr>
                <w:sz w:val="18"/>
              </w:rPr>
              <w:t>40,14</w:t>
            </w:r>
          </w:p>
        </w:tc>
        <w:tc>
          <w:tcPr>
            <w:tcW w:w="1701" w:type="dxa"/>
            <w:gridSpan w:val="2"/>
            <w:tcBorders>
              <w:top w:val="nil"/>
              <w:left w:val="nil"/>
              <w:bottom w:val="single" w:sz="4" w:space="0" w:color="000000" w:themeColor="text1"/>
              <w:right w:val="nil"/>
            </w:tcBorders>
            <w:hideMark/>
          </w:tcPr>
          <w:p w14:paraId="7B691E72" w14:textId="03A6C91F" w:rsidR="005F2009" w:rsidRPr="003E265B" w:rsidRDefault="005F2009" w:rsidP="00921F04">
            <w:pPr>
              <w:jc w:val="right"/>
            </w:pPr>
            <w:r>
              <w:rPr>
                <w:sz w:val="18"/>
              </w:rPr>
              <w:t>25</w:t>
            </w:r>
          </w:p>
        </w:tc>
        <w:tc>
          <w:tcPr>
            <w:tcW w:w="851" w:type="dxa"/>
            <w:tcBorders>
              <w:top w:val="nil"/>
              <w:left w:val="nil"/>
              <w:bottom w:val="single" w:sz="4" w:space="0" w:color="000000" w:themeColor="text1"/>
              <w:right w:val="nil"/>
            </w:tcBorders>
            <w:hideMark/>
          </w:tcPr>
          <w:p w14:paraId="030B78AD" w14:textId="72B5902D" w:rsidR="005F2009" w:rsidRPr="003E265B" w:rsidRDefault="005F2009" w:rsidP="00921F04">
            <w:pPr>
              <w:jc w:val="right"/>
            </w:pPr>
            <w:r>
              <w:rPr>
                <w:sz w:val="18"/>
              </w:rPr>
              <w:t>17,61</w:t>
            </w:r>
          </w:p>
        </w:tc>
      </w:tr>
    </w:tbl>
    <w:p w14:paraId="532BFD67" w14:textId="6589A3AC" w:rsidR="00822565" w:rsidRPr="003E265B" w:rsidRDefault="00846ACF" w:rsidP="00440131">
      <w:pPr>
        <w:pStyle w:val="CBDNormalNumber"/>
      </w:pPr>
      <w:r>
        <w:t>La situación de las contribuciones a los tres fondos fiduciarios generales puede consultarse en el sitio web de la Secretaría.</w:t>
      </w:r>
    </w:p>
    <w:p w14:paraId="2C2180DA" w14:textId="5E5459DA" w:rsidR="00F5246B" w:rsidRPr="003E265B" w:rsidRDefault="00F5246B" w:rsidP="00F5246B">
      <w:pPr>
        <w:pStyle w:val="CBDH2"/>
      </w:pPr>
      <w:r>
        <w:t>B.</w:t>
      </w:r>
      <w:r>
        <w:tab/>
        <w:t>Ejecución del presupuesto integrado correspondiente a 2025-2026</w:t>
      </w:r>
    </w:p>
    <w:p w14:paraId="37B706F2" w14:textId="204B9D20" w:rsidR="00822565" w:rsidRPr="003E265B" w:rsidRDefault="009037F0" w:rsidP="2080ABF3">
      <w:pPr>
        <w:pStyle w:val="CBDNormalNumber"/>
        <w:tabs>
          <w:tab w:val="left" w:pos="900"/>
        </w:tabs>
      </w:pPr>
      <w:r>
        <w:t>Como se muestra en la tercera columna del cuadro 5, al 31 de mayo de 2026, los gastos reales, sumados a los importes proyectados hasta diciembre de 2026 para el bienio 2025-2026, ascienden a un total de 39.023.699 dólares, incluidos los gastos efectivos y los compromisos que se desembolsarían antes de que finalice 2026.</w:t>
      </w:r>
    </w:p>
    <w:p w14:paraId="31E437A6" w14:textId="354C59CE" w:rsidR="000A0DFF" w:rsidRPr="003E265B" w:rsidRDefault="000A0DFF" w:rsidP="000A0DFF">
      <w:pPr>
        <w:tabs>
          <w:tab w:val="clear" w:pos="567"/>
          <w:tab w:val="clear" w:pos="1134"/>
          <w:tab w:val="clear" w:pos="1701"/>
          <w:tab w:val="clear" w:pos="2268"/>
        </w:tabs>
        <w:ind w:left="555"/>
        <w:jc w:val="left"/>
        <w:textAlignment w:val="baseline"/>
        <w:rPr>
          <w:rFonts w:ascii="Segoe UI" w:eastAsia="Times New Roman" w:hAnsi="Segoe UI" w:cs="Segoe UI"/>
          <w:b/>
          <w:bCs/>
          <w:sz w:val="18"/>
          <w:szCs w:val="18"/>
        </w:rPr>
      </w:pPr>
      <w:r>
        <w:t>Cuadro 5</w:t>
      </w:r>
      <w:r>
        <w:rPr>
          <w:b/>
        </w:rPr>
        <w:t xml:space="preserve"> </w:t>
      </w:r>
      <w:r>
        <w:rPr>
          <w:b/>
        </w:rPr>
        <w:br/>
        <w:t>Gasto por partida presupuestaria en comparación con el presupuesto integrado aprobado para 2025-2026,</w:t>
      </w:r>
      <w:r>
        <w:rPr>
          <w:b/>
        </w:rPr>
        <w:br/>
        <w:t>al 31 de mayo de 2026</w:t>
      </w:r>
    </w:p>
    <w:p w14:paraId="4261074C" w14:textId="5A3927A2" w:rsidR="000A0DFF" w:rsidRPr="003E265B" w:rsidRDefault="000A0DFF" w:rsidP="00787265">
      <w:pPr>
        <w:tabs>
          <w:tab w:val="clear" w:pos="567"/>
          <w:tab w:val="clear" w:pos="1134"/>
          <w:tab w:val="clear" w:pos="1701"/>
          <w:tab w:val="clear" w:pos="2268"/>
        </w:tabs>
        <w:ind w:left="555"/>
        <w:jc w:val="left"/>
        <w:textAlignment w:val="baseline"/>
        <w:rPr>
          <w:rFonts w:ascii="Segoe UI" w:eastAsia="Times New Roman" w:hAnsi="Segoe UI" w:cs="Segoe UI"/>
          <w:b/>
          <w:bCs/>
          <w:i/>
          <w:iCs/>
          <w:sz w:val="18"/>
          <w:szCs w:val="18"/>
        </w:rPr>
      </w:pPr>
      <w:r>
        <w:rPr>
          <w:sz w:val="18"/>
        </w:rPr>
        <w:t>(miles de dólares de los EE. UU.)</w:t>
      </w:r>
    </w:p>
    <w:tbl>
      <w:tblPr>
        <w:tblW w:w="4692" w:type="pct"/>
        <w:tblInd w:w="57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251"/>
        <w:gridCol w:w="492"/>
        <w:gridCol w:w="1351"/>
        <w:gridCol w:w="1843"/>
        <w:gridCol w:w="1846"/>
      </w:tblGrid>
      <w:tr w:rsidR="000A0DFF" w:rsidRPr="003E265B" w14:paraId="7E75297A" w14:textId="77777777" w:rsidTr="00440131">
        <w:trPr>
          <w:trHeight w:val="585"/>
          <w:tblHeader/>
        </w:trPr>
        <w:tc>
          <w:tcPr>
            <w:tcW w:w="1851" w:type="pct"/>
            <w:tcBorders>
              <w:top w:val="single" w:sz="4" w:space="0" w:color="auto"/>
              <w:left w:val="nil"/>
              <w:bottom w:val="single" w:sz="4" w:space="0" w:color="auto"/>
              <w:right w:val="nil"/>
            </w:tcBorders>
            <w:vAlign w:val="bottom"/>
            <w:hideMark/>
          </w:tcPr>
          <w:p w14:paraId="1F61B9B1" w14:textId="6507DEFA" w:rsidR="000A0DFF" w:rsidRPr="00440131" w:rsidRDefault="000A0DFF" w:rsidP="000A0DFF">
            <w:pPr>
              <w:tabs>
                <w:tab w:val="clear" w:pos="567"/>
                <w:tab w:val="clear" w:pos="1134"/>
                <w:tab w:val="clear" w:pos="1701"/>
                <w:tab w:val="clear" w:pos="2268"/>
              </w:tabs>
              <w:jc w:val="left"/>
              <w:textAlignment w:val="baseline"/>
              <w:rPr>
                <w:rFonts w:eastAsia="Times New Roman"/>
                <w:sz w:val="24"/>
                <w:szCs w:val="24"/>
              </w:rPr>
            </w:pPr>
            <w:r>
              <w:rPr>
                <w:i/>
                <w:sz w:val="18"/>
              </w:rPr>
              <w:t>Concepto de gasto</w:t>
            </w:r>
            <w:r>
              <w:rPr>
                <w:sz w:val="18"/>
              </w:rPr>
              <w:t xml:space="preserve"> </w:t>
            </w:r>
          </w:p>
        </w:tc>
        <w:tc>
          <w:tcPr>
            <w:tcW w:w="1049" w:type="pct"/>
            <w:gridSpan w:val="2"/>
            <w:tcBorders>
              <w:top w:val="single" w:sz="4" w:space="0" w:color="auto"/>
              <w:left w:val="nil"/>
              <w:bottom w:val="single" w:sz="4" w:space="0" w:color="auto"/>
              <w:right w:val="nil"/>
            </w:tcBorders>
            <w:vAlign w:val="bottom"/>
            <w:hideMark/>
          </w:tcPr>
          <w:p w14:paraId="1B3559B5" w14:textId="2C19FD6D" w:rsidR="000A0DFF" w:rsidRPr="00440131" w:rsidRDefault="000A0DFF" w:rsidP="00F360E5">
            <w:pPr>
              <w:tabs>
                <w:tab w:val="clear" w:pos="567"/>
                <w:tab w:val="clear" w:pos="1134"/>
                <w:tab w:val="clear" w:pos="1701"/>
                <w:tab w:val="clear" w:pos="2268"/>
              </w:tabs>
              <w:jc w:val="right"/>
              <w:textAlignment w:val="baseline"/>
              <w:rPr>
                <w:rFonts w:eastAsia="Times New Roman"/>
                <w:sz w:val="24"/>
                <w:szCs w:val="24"/>
              </w:rPr>
            </w:pPr>
            <w:r>
              <w:rPr>
                <w:i/>
                <w:sz w:val="18"/>
              </w:rPr>
              <w:t>Presupuesto aprobado para 2025</w:t>
            </w:r>
            <w:r w:rsidR="000151BC">
              <w:rPr>
                <w:i/>
                <w:sz w:val="18"/>
              </w:rPr>
              <w:t>-</w:t>
            </w:r>
            <w:r>
              <w:rPr>
                <w:i/>
                <w:sz w:val="18"/>
              </w:rPr>
              <w:t>2026</w:t>
            </w:r>
          </w:p>
        </w:tc>
        <w:tc>
          <w:tcPr>
            <w:tcW w:w="1049" w:type="pct"/>
            <w:tcBorders>
              <w:top w:val="single" w:sz="4" w:space="0" w:color="auto"/>
              <w:left w:val="nil"/>
              <w:bottom w:val="single" w:sz="4" w:space="0" w:color="auto"/>
              <w:right w:val="nil"/>
            </w:tcBorders>
            <w:vAlign w:val="bottom"/>
            <w:hideMark/>
          </w:tcPr>
          <w:p w14:paraId="68BF45E7" w14:textId="5D46EDD5" w:rsidR="000A0DFF" w:rsidRPr="00440131" w:rsidRDefault="000A0DFF" w:rsidP="000A0DFF">
            <w:pPr>
              <w:tabs>
                <w:tab w:val="clear" w:pos="567"/>
                <w:tab w:val="clear" w:pos="1134"/>
                <w:tab w:val="clear" w:pos="1701"/>
                <w:tab w:val="clear" w:pos="2268"/>
              </w:tabs>
              <w:jc w:val="right"/>
              <w:textAlignment w:val="baseline"/>
              <w:rPr>
                <w:rFonts w:eastAsia="Times New Roman"/>
                <w:sz w:val="24"/>
                <w:szCs w:val="24"/>
              </w:rPr>
            </w:pPr>
            <w:r>
              <w:rPr>
                <w:i/>
                <w:sz w:val="18"/>
              </w:rPr>
              <w:t>Gastos 2025</w:t>
            </w:r>
            <w:r w:rsidR="000151BC">
              <w:rPr>
                <w:i/>
                <w:sz w:val="18"/>
              </w:rPr>
              <w:t>-</w:t>
            </w:r>
            <w:r>
              <w:rPr>
                <w:i/>
                <w:sz w:val="18"/>
              </w:rPr>
              <w:t>2026 (reales + previstos)</w:t>
            </w:r>
            <w:r>
              <w:rPr>
                <w:sz w:val="18"/>
              </w:rPr>
              <w:t xml:space="preserve"> </w:t>
            </w:r>
          </w:p>
          <w:p w14:paraId="0CE994E6" w14:textId="3921A848" w:rsidR="000A0DFF" w:rsidRPr="00440131" w:rsidRDefault="007E7223" w:rsidP="000A0DFF">
            <w:pPr>
              <w:tabs>
                <w:tab w:val="clear" w:pos="567"/>
                <w:tab w:val="clear" w:pos="1134"/>
                <w:tab w:val="clear" w:pos="1701"/>
                <w:tab w:val="clear" w:pos="2268"/>
              </w:tabs>
              <w:jc w:val="right"/>
              <w:textAlignment w:val="baseline"/>
              <w:rPr>
                <w:rFonts w:eastAsia="Times New Roman"/>
                <w:sz w:val="24"/>
                <w:szCs w:val="24"/>
              </w:rPr>
            </w:pPr>
            <w:r>
              <w:rPr>
                <w:i/>
                <w:sz w:val="18"/>
              </w:rPr>
              <w:t xml:space="preserve"> </w:t>
            </w:r>
            <w:r>
              <w:rPr>
                <w:sz w:val="18"/>
              </w:rPr>
              <w:t xml:space="preserve"> </w:t>
            </w:r>
          </w:p>
        </w:tc>
        <w:tc>
          <w:tcPr>
            <w:tcW w:w="1051" w:type="pct"/>
            <w:tcBorders>
              <w:top w:val="single" w:sz="4" w:space="0" w:color="auto"/>
              <w:left w:val="nil"/>
              <w:bottom w:val="single" w:sz="4" w:space="0" w:color="auto"/>
              <w:right w:val="nil"/>
            </w:tcBorders>
            <w:vAlign w:val="bottom"/>
            <w:hideMark/>
          </w:tcPr>
          <w:p w14:paraId="7801F732" w14:textId="6DC92C65" w:rsidR="000A0DFF" w:rsidRPr="00440131" w:rsidRDefault="000A0DFF" w:rsidP="00440131">
            <w:pPr>
              <w:tabs>
                <w:tab w:val="clear" w:pos="567"/>
                <w:tab w:val="clear" w:pos="1134"/>
                <w:tab w:val="clear" w:pos="1701"/>
                <w:tab w:val="clear" w:pos="2268"/>
              </w:tabs>
              <w:ind w:right="4"/>
              <w:jc w:val="right"/>
              <w:textAlignment w:val="baseline"/>
              <w:rPr>
                <w:rFonts w:eastAsia="Times New Roman"/>
                <w:sz w:val="24"/>
                <w:szCs w:val="24"/>
              </w:rPr>
            </w:pPr>
            <w:r>
              <w:rPr>
                <w:i/>
                <w:sz w:val="18"/>
              </w:rPr>
              <w:t>Variación proyectada para 2025</w:t>
            </w:r>
            <w:r w:rsidR="000151BC">
              <w:rPr>
                <w:i/>
                <w:sz w:val="18"/>
              </w:rPr>
              <w:t>-</w:t>
            </w:r>
            <w:r>
              <w:rPr>
                <w:i/>
                <w:sz w:val="18"/>
              </w:rPr>
              <w:t>2026</w:t>
            </w:r>
            <w:r>
              <w:rPr>
                <w:sz w:val="18"/>
              </w:rPr>
              <w:t xml:space="preserve"> </w:t>
            </w:r>
          </w:p>
        </w:tc>
      </w:tr>
      <w:tr w:rsidR="000A0DFF" w:rsidRPr="003E265B" w14:paraId="656E2232" w14:textId="77777777" w:rsidTr="00440131">
        <w:trPr>
          <w:trHeight w:val="285"/>
        </w:trPr>
        <w:tc>
          <w:tcPr>
            <w:tcW w:w="2131" w:type="pct"/>
            <w:gridSpan w:val="2"/>
            <w:tcBorders>
              <w:top w:val="nil"/>
              <w:left w:val="nil"/>
              <w:bottom w:val="nil"/>
              <w:right w:val="nil"/>
            </w:tcBorders>
            <w:vAlign w:val="bottom"/>
            <w:hideMark/>
          </w:tcPr>
          <w:p w14:paraId="6FC5384F" w14:textId="257539A9" w:rsidR="000A0DFF" w:rsidRPr="003E265B" w:rsidRDefault="000A0DFF" w:rsidP="000A0DFF">
            <w:pPr>
              <w:tabs>
                <w:tab w:val="clear" w:pos="567"/>
                <w:tab w:val="clear" w:pos="1134"/>
                <w:tab w:val="clear" w:pos="1701"/>
                <w:tab w:val="clear" w:pos="2268"/>
              </w:tabs>
              <w:jc w:val="left"/>
              <w:textAlignment w:val="baseline"/>
              <w:rPr>
                <w:rFonts w:eastAsia="Times New Roman"/>
                <w:b/>
                <w:bCs/>
                <w:sz w:val="24"/>
                <w:szCs w:val="24"/>
              </w:rPr>
            </w:pPr>
            <w:r>
              <w:rPr>
                <w:sz w:val="18"/>
              </w:rPr>
              <w:t>Gastos de personal</w:t>
            </w:r>
            <w:r>
              <w:rPr>
                <w:b/>
                <w:sz w:val="18"/>
              </w:rPr>
              <w:t xml:space="preserve"> </w:t>
            </w:r>
          </w:p>
        </w:tc>
        <w:tc>
          <w:tcPr>
            <w:tcW w:w="769" w:type="pct"/>
            <w:tcBorders>
              <w:top w:val="nil"/>
              <w:left w:val="nil"/>
              <w:bottom w:val="nil"/>
              <w:right w:val="nil"/>
            </w:tcBorders>
            <w:vAlign w:val="bottom"/>
            <w:hideMark/>
          </w:tcPr>
          <w:p w14:paraId="7C0E2CCD" w14:textId="0833A57C" w:rsidR="000A0DFF" w:rsidRPr="003E265B" w:rsidRDefault="000A0DFF" w:rsidP="000A0DFF">
            <w:pPr>
              <w:tabs>
                <w:tab w:val="clear" w:pos="567"/>
                <w:tab w:val="clear" w:pos="1134"/>
                <w:tab w:val="clear" w:pos="1701"/>
                <w:tab w:val="clear" w:pos="2268"/>
              </w:tabs>
              <w:jc w:val="right"/>
              <w:textAlignment w:val="baseline"/>
              <w:rPr>
                <w:rFonts w:eastAsia="Times New Roman"/>
                <w:sz w:val="24"/>
                <w:szCs w:val="24"/>
              </w:rPr>
            </w:pPr>
            <w:r>
              <w:rPr>
                <w:sz w:val="18"/>
              </w:rPr>
              <w:t>27 163,7 </w:t>
            </w:r>
          </w:p>
        </w:tc>
        <w:tc>
          <w:tcPr>
            <w:tcW w:w="1049" w:type="pct"/>
            <w:tcBorders>
              <w:top w:val="nil"/>
              <w:left w:val="nil"/>
              <w:bottom w:val="nil"/>
              <w:right w:val="nil"/>
            </w:tcBorders>
            <w:vAlign w:val="bottom"/>
            <w:hideMark/>
          </w:tcPr>
          <w:p w14:paraId="46D9A949" w14:textId="48602645" w:rsidR="000A0DFF" w:rsidRPr="003E265B" w:rsidRDefault="000A0DFF" w:rsidP="000A0DFF">
            <w:pPr>
              <w:tabs>
                <w:tab w:val="clear" w:pos="567"/>
                <w:tab w:val="clear" w:pos="1134"/>
                <w:tab w:val="clear" w:pos="1701"/>
                <w:tab w:val="clear" w:pos="2268"/>
              </w:tabs>
              <w:jc w:val="right"/>
              <w:textAlignment w:val="baseline"/>
              <w:rPr>
                <w:rFonts w:eastAsia="Times New Roman"/>
                <w:sz w:val="24"/>
                <w:szCs w:val="24"/>
              </w:rPr>
            </w:pPr>
            <w:r>
              <w:rPr>
                <w:sz w:val="18"/>
              </w:rPr>
              <w:t>26 277,9</w:t>
            </w:r>
          </w:p>
        </w:tc>
        <w:tc>
          <w:tcPr>
            <w:tcW w:w="1051" w:type="pct"/>
            <w:tcBorders>
              <w:top w:val="nil"/>
              <w:left w:val="nil"/>
              <w:bottom w:val="nil"/>
              <w:right w:val="nil"/>
            </w:tcBorders>
            <w:vAlign w:val="bottom"/>
            <w:hideMark/>
          </w:tcPr>
          <w:p w14:paraId="27403641" w14:textId="10081C46" w:rsidR="000A0DFF" w:rsidRPr="003E265B" w:rsidRDefault="000A0DFF" w:rsidP="000A0DFF">
            <w:pPr>
              <w:tabs>
                <w:tab w:val="clear" w:pos="567"/>
                <w:tab w:val="clear" w:pos="1134"/>
                <w:tab w:val="clear" w:pos="1701"/>
                <w:tab w:val="clear" w:pos="2268"/>
              </w:tabs>
              <w:jc w:val="right"/>
              <w:textAlignment w:val="baseline"/>
              <w:rPr>
                <w:rFonts w:eastAsia="Times New Roman"/>
                <w:sz w:val="24"/>
                <w:szCs w:val="24"/>
              </w:rPr>
            </w:pPr>
            <w:r>
              <w:rPr>
                <w:sz w:val="18"/>
              </w:rPr>
              <w:t>885,8</w:t>
            </w:r>
          </w:p>
        </w:tc>
      </w:tr>
      <w:tr w:rsidR="000A0DFF" w:rsidRPr="003E265B" w14:paraId="4DD37671" w14:textId="77777777" w:rsidTr="00440131">
        <w:trPr>
          <w:trHeight w:val="285"/>
        </w:trPr>
        <w:tc>
          <w:tcPr>
            <w:tcW w:w="2131" w:type="pct"/>
            <w:gridSpan w:val="2"/>
            <w:tcBorders>
              <w:top w:val="nil"/>
              <w:left w:val="nil"/>
              <w:bottom w:val="nil"/>
              <w:right w:val="nil"/>
            </w:tcBorders>
            <w:vAlign w:val="bottom"/>
            <w:hideMark/>
          </w:tcPr>
          <w:p w14:paraId="4D22B60C" w14:textId="58E037CF" w:rsidR="000A0DFF" w:rsidRPr="003E265B" w:rsidRDefault="000A0DFF" w:rsidP="000A0DFF">
            <w:pPr>
              <w:tabs>
                <w:tab w:val="clear" w:pos="567"/>
                <w:tab w:val="clear" w:pos="1134"/>
                <w:tab w:val="clear" w:pos="1701"/>
                <w:tab w:val="clear" w:pos="2268"/>
              </w:tabs>
              <w:jc w:val="left"/>
              <w:textAlignment w:val="baseline"/>
              <w:rPr>
                <w:rFonts w:eastAsia="Times New Roman"/>
                <w:b/>
                <w:bCs/>
                <w:sz w:val="24"/>
                <w:szCs w:val="24"/>
              </w:rPr>
            </w:pPr>
            <w:r>
              <w:rPr>
                <w:sz w:val="18"/>
              </w:rPr>
              <w:t>Personal temporario general</w:t>
            </w:r>
            <w:r>
              <w:rPr>
                <w:b/>
                <w:sz w:val="18"/>
              </w:rPr>
              <w:t xml:space="preserve"> </w:t>
            </w:r>
          </w:p>
        </w:tc>
        <w:tc>
          <w:tcPr>
            <w:tcW w:w="769" w:type="pct"/>
            <w:tcBorders>
              <w:top w:val="nil"/>
              <w:left w:val="nil"/>
              <w:bottom w:val="nil"/>
              <w:right w:val="nil"/>
            </w:tcBorders>
            <w:vAlign w:val="bottom"/>
            <w:hideMark/>
          </w:tcPr>
          <w:p w14:paraId="47AEDB0D" w14:textId="31F37957" w:rsidR="000A0DFF" w:rsidRPr="003E265B" w:rsidRDefault="000A0DFF" w:rsidP="000A0DFF">
            <w:pPr>
              <w:tabs>
                <w:tab w:val="clear" w:pos="567"/>
                <w:tab w:val="clear" w:pos="1134"/>
                <w:tab w:val="clear" w:pos="1701"/>
                <w:tab w:val="clear" w:pos="2268"/>
              </w:tabs>
              <w:jc w:val="right"/>
              <w:textAlignment w:val="baseline"/>
              <w:rPr>
                <w:rFonts w:eastAsia="Times New Roman"/>
                <w:sz w:val="24"/>
                <w:szCs w:val="24"/>
              </w:rPr>
            </w:pPr>
            <w:r>
              <w:rPr>
                <w:sz w:val="18"/>
              </w:rPr>
              <w:t xml:space="preserve">200,0 </w:t>
            </w:r>
          </w:p>
        </w:tc>
        <w:tc>
          <w:tcPr>
            <w:tcW w:w="1049" w:type="pct"/>
            <w:tcBorders>
              <w:top w:val="nil"/>
              <w:left w:val="nil"/>
              <w:bottom w:val="nil"/>
              <w:right w:val="nil"/>
            </w:tcBorders>
            <w:vAlign w:val="bottom"/>
            <w:hideMark/>
          </w:tcPr>
          <w:p w14:paraId="1A1662C2" w14:textId="579059DD" w:rsidR="000A0DFF" w:rsidRPr="003E265B" w:rsidRDefault="000A0DFF" w:rsidP="000A0DFF">
            <w:pPr>
              <w:tabs>
                <w:tab w:val="clear" w:pos="567"/>
                <w:tab w:val="clear" w:pos="1134"/>
                <w:tab w:val="clear" w:pos="1701"/>
                <w:tab w:val="clear" w:pos="2268"/>
              </w:tabs>
              <w:jc w:val="right"/>
              <w:textAlignment w:val="baseline"/>
              <w:rPr>
                <w:rFonts w:eastAsia="Times New Roman"/>
                <w:sz w:val="24"/>
                <w:szCs w:val="24"/>
              </w:rPr>
            </w:pPr>
            <w:r>
              <w:rPr>
                <w:sz w:val="18"/>
              </w:rPr>
              <w:t>180,0</w:t>
            </w:r>
          </w:p>
        </w:tc>
        <w:tc>
          <w:tcPr>
            <w:tcW w:w="1051" w:type="pct"/>
            <w:tcBorders>
              <w:top w:val="nil"/>
              <w:left w:val="nil"/>
              <w:bottom w:val="nil"/>
              <w:right w:val="nil"/>
            </w:tcBorders>
            <w:vAlign w:val="bottom"/>
            <w:hideMark/>
          </w:tcPr>
          <w:p w14:paraId="67D76891" w14:textId="07772C9A" w:rsidR="000A0DFF" w:rsidRPr="003E265B" w:rsidRDefault="000A0DFF" w:rsidP="000A0DFF">
            <w:pPr>
              <w:tabs>
                <w:tab w:val="clear" w:pos="567"/>
                <w:tab w:val="clear" w:pos="1134"/>
                <w:tab w:val="clear" w:pos="1701"/>
                <w:tab w:val="clear" w:pos="2268"/>
              </w:tabs>
              <w:jc w:val="right"/>
              <w:textAlignment w:val="baseline"/>
              <w:rPr>
                <w:rFonts w:eastAsia="Times New Roman"/>
                <w:sz w:val="24"/>
                <w:szCs w:val="24"/>
              </w:rPr>
            </w:pPr>
            <w:r>
              <w:rPr>
                <w:sz w:val="18"/>
              </w:rPr>
              <w:t>20,0</w:t>
            </w:r>
          </w:p>
        </w:tc>
      </w:tr>
      <w:tr w:rsidR="000A0DFF" w:rsidRPr="003E265B" w14:paraId="61E7F8D6" w14:textId="77777777" w:rsidTr="00440131">
        <w:trPr>
          <w:trHeight w:val="285"/>
        </w:trPr>
        <w:tc>
          <w:tcPr>
            <w:tcW w:w="2131" w:type="pct"/>
            <w:gridSpan w:val="2"/>
            <w:tcBorders>
              <w:top w:val="nil"/>
              <w:left w:val="nil"/>
              <w:bottom w:val="nil"/>
              <w:right w:val="nil"/>
            </w:tcBorders>
            <w:vAlign w:val="bottom"/>
            <w:hideMark/>
          </w:tcPr>
          <w:p w14:paraId="447398E1" w14:textId="6B013806" w:rsidR="000A0DFF" w:rsidRPr="003E265B" w:rsidRDefault="000A0DFF" w:rsidP="000A0DFF">
            <w:pPr>
              <w:tabs>
                <w:tab w:val="clear" w:pos="567"/>
                <w:tab w:val="clear" w:pos="1134"/>
                <w:tab w:val="clear" w:pos="1701"/>
                <w:tab w:val="clear" w:pos="2268"/>
              </w:tabs>
              <w:jc w:val="left"/>
              <w:textAlignment w:val="baseline"/>
              <w:rPr>
                <w:rFonts w:eastAsia="Times New Roman"/>
                <w:b/>
                <w:bCs/>
                <w:sz w:val="24"/>
                <w:szCs w:val="24"/>
              </w:rPr>
            </w:pPr>
            <w:r>
              <w:rPr>
                <w:sz w:val="18"/>
              </w:rPr>
              <w:t>Reuniones de las Mesas</w:t>
            </w:r>
            <w:r>
              <w:rPr>
                <w:b/>
                <w:sz w:val="18"/>
              </w:rPr>
              <w:t xml:space="preserve"> </w:t>
            </w:r>
          </w:p>
        </w:tc>
        <w:tc>
          <w:tcPr>
            <w:tcW w:w="769" w:type="pct"/>
            <w:tcBorders>
              <w:top w:val="nil"/>
              <w:left w:val="nil"/>
              <w:bottom w:val="nil"/>
              <w:right w:val="nil"/>
            </w:tcBorders>
            <w:vAlign w:val="bottom"/>
            <w:hideMark/>
          </w:tcPr>
          <w:p w14:paraId="21BCC2B0" w14:textId="0314B197" w:rsidR="000A0DFF" w:rsidRPr="003E265B" w:rsidRDefault="000A0DFF" w:rsidP="000A0DFF">
            <w:pPr>
              <w:tabs>
                <w:tab w:val="clear" w:pos="567"/>
                <w:tab w:val="clear" w:pos="1134"/>
                <w:tab w:val="clear" w:pos="1701"/>
                <w:tab w:val="clear" w:pos="2268"/>
              </w:tabs>
              <w:jc w:val="right"/>
              <w:textAlignment w:val="baseline"/>
              <w:rPr>
                <w:rFonts w:eastAsia="Times New Roman"/>
                <w:sz w:val="24"/>
                <w:szCs w:val="24"/>
              </w:rPr>
            </w:pPr>
            <w:r>
              <w:rPr>
                <w:sz w:val="18"/>
              </w:rPr>
              <w:t xml:space="preserve">338,3 </w:t>
            </w:r>
          </w:p>
        </w:tc>
        <w:tc>
          <w:tcPr>
            <w:tcW w:w="1049" w:type="pct"/>
            <w:tcBorders>
              <w:top w:val="nil"/>
              <w:left w:val="nil"/>
              <w:bottom w:val="nil"/>
              <w:right w:val="nil"/>
            </w:tcBorders>
            <w:vAlign w:val="bottom"/>
            <w:hideMark/>
          </w:tcPr>
          <w:p w14:paraId="61859055" w14:textId="01F6C0CD" w:rsidR="000A0DFF" w:rsidRPr="003E265B" w:rsidRDefault="000A0DFF" w:rsidP="000A0DFF">
            <w:pPr>
              <w:tabs>
                <w:tab w:val="clear" w:pos="567"/>
                <w:tab w:val="clear" w:pos="1134"/>
                <w:tab w:val="clear" w:pos="1701"/>
                <w:tab w:val="clear" w:pos="2268"/>
              </w:tabs>
              <w:jc w:val="right"/>
              <w:textAlignment w:val="baseline"/>
              <w:rPr>
                <w:rFonts w:eastAsia="Times New Roman"/>
                <w:sz w:val="24"/>
                <w:szCs w:val="24"/>
              </w:rPr>
            </w:pPr>
            <w:r>
              <w:rPr>
                <w:sz w:val="18"/>
              </w:rPr>
              <w:t xml:space="preserve">300,0 </w:t>
            </w:r>
          </w:p>
        </w:tc>
        <w:tc>
          <w:tcPr>
            <w:tcW w:w="1051" w:type="pct"/>
            <w:tcBorders>
              <w:top w:val="nil"/>
              <w:left w:val="nil"/>
              <w:bottom w:val="nil"/>
              <w:right w:val="nil"/>
            </w:tcBorders>
            <w:vAlign w:val="bottom"/>
            <w:hideMark/>
          </w:tcPr>
          <w:p w14:paraId="5BFF0822" w14:textId="64CE3E7F" w:rsidR="000A0DFF" w:rsidRPr="003E265B" w:rsidRDefault="000A0DFF" w:rsidP="000A0DFF">
            <w:pPr>
              <w:tabs>
                <w:tab w:val="clear" w:pos="567"/>
                <w:tab w:val="clear" w:pos="1134"/>
                <w:tab w:val="clear" w:pos="1701"/>
                <w:tab w:val="clear" w:pos="2268"/>
              </w:tabs>
              <w:jc w:val="right"/>
              <w:textAlignment w:val="baseline"/>
              <w:rPr>
                <w:rFonts w:eastAsia="Times New Roman"/>
                <w:sz w:val="24"/>
                <w:szCs w:val="24"/>
              </w:rPr>
            </w:pPr>
            <w:r>
              <w:rPr>
                <w:sz w:val="18"/>
              </w:rPr>
              <w:t>38,3</w:t>
            </w:r>
          </w:p>
        </w:tc>
      </w:tr>
      <w:tr w:rsidR="000A0DFF" w:rsidRPr="003E265B" w14:paraId="2EEBD51B" w14:textId="77777777" w:rsidTr="00440131">
        <w:trPr>
          <w:trHeight w:val="285"/>
        </w:trPr>
        <w:tc>
          <w:tcPr>
            <w:tcW w:w="2131" w:type="pct"/>
            <w:gridSpan w:val="2"/>
            <w:tcBorders>
              <w:top w:val="nil"/>
              <w:left w:val="nil"/>
              <w:bottom w:val="nil"/>
              <w:right w:val="nil"/>
            </w:tcBorders>
            <w:vAlign w:val="bottom"/>
            <w:hideMark/>
          </w:tcPr>
          <w:p w14:paraId="1B420695" w14:textId="487DF25A" w:rsidR="000A0DFF" w:rsidRPr="003E265B" w:rsidRDefault="000A0DFF" w:rsidP="000A0DFF">
            <w:pPr>
              <w:tabs>
                <w:tab w:val="clear" w:pos="567"/>
                <w:tab w:val="clear" w:pos="1134"/>
                <w:tab w:val="clear" w:pos="1701"/>
                <w:tab w:val="clear" w:pos="2268"/>
              </w:tabs>
              <w:jc w:val="left"/>
              <w:textAlignment w:val="baseline"/>
              <w:rPr>
                <w:rFonts w:eastAsia="Times New Roman"/>
                <w:b/>
                <w:bCs/>
                <w:sz w:val="24"/>
                <w:szCs w:val="24"/>
              </w:rPr>
            </w:pPr>
            <w:r>
              <w:rPr>
                <w:sz w:val="18"/>
              </w:rPr>
              <w:lastRenderedPageBreak/>
              <w:t>Reuniones de expertos</w:t>
            </w:r>
            <w:r>
              <w:rPr>
                <w:b/>
                <w:sz w:val="18"/>
              </w:rPr>
              <w:t xml:space="preserve"> </w:t>
            </w:r>
          </w:p>
        </w:tc>
        <w:tc>
          <w:tcPr>
            <w:tcW w:w="769" w:type="pct"/>
            <w:tcBorders>
              <w:top w:val="nil"/>
              <w:left w:val="nil"/>
              <w:bottom w:val="nil"/>
              <w:right w:val="nil"/>
            </w:tcBorders>
            <w:vAlign w:val="bottom"/>
            <w:hideMark/>
          </w:tcPr>
          <w:p w14:paraId="4F0337A1" w14:textId="7976C2BE" w:rsidR="000A0DFF" w:rsidRPr="003E265B" w:rsidRDefault="000A0DFF" w:rsidP="000A0DFF">
            <w:pPr>
              <w:tabs>
                <w:tab w:val="clear" w:pos="567"/>
                <w:tab w:val="clear" w:pos="1134"/>
                <w:tab w:val="clear" w:pos="1701"/>
                <w:tab w:val="clear" w:pos="2268"/>
              </w:tabs>
              <w:jc w:val="right"/>
              <w:textAlignment w:val="baseline"/>
              <w:rPr>
                <w:rFonts w:eastAsia="Times New Roman"/>
                <w:sz w:val="24"/>
                <w:szCs w:val="24"/>
              </w:rPr>
            </w:pPr>
            <w:r>
              <w:rPr>
                <w:sz w:val="18"/>
              </w:rPr>
              <w:t xml:space="preserve">380,0 </w:t>
            </w:r>
          </w:p>
        </w:tc>
        <w:tc>
          <w:tcPr>
            <w:tcW w:w="1049" w:type="pct"/>
            <w:tcBorders>
              <w:top w:val="nil"/>
              <w:left w:val="nil"/>
              <w:bottom w:val="nil"/>
              <w:right w:val="nil"/>
            </w:tcBorders>
            <w:vAlign w:val="bottom"/>
            <w:hideMark/>
          </w:tcPr>
          <w:p w14:paraId="4979E97D" w14:textId="57408CB1" w:rsidR="000A0DFF" w:rsidRPr="003E265B" w:rsidRDefault="000A0DFF" w:rsidP="000A0DFF">
            <w:pPr>
              <w:tabs>
                <w:tab w:val="clear" w:pos="567"/>
                <w:tab w:val="clear" w:pos="1134"/>
                <w:tab w:val="clear" w:pos="1701"/>
                <w:tab w:val="clear" w:pos="2268"/>
              </w:tabs>
              <w:jc w:val="right"/>
              <w:textAlignment w:val="baseline"/>
              <w:rPr>
                <w:rFonts w:eastAsia="Times New Roman"/>
                <w:sz w:val="24"/>
                <w:szCs w:val="24"/>
              </w:rPr>
            </w:pPr>
            <w:r>
              <w:rPr>
                <w:sz w:val="18"/>
              </w:rPr>
              <w:t xml:space="preserve">380,0 </w:t>
            </w:r>
          </w:p>
        </w:tc>
        <w:tc>
          <w:tcPr>
            <w:tcW w:w="1051" w:type="pct"/>
            <w:tcBorders>
              <w:top w:val="nil"/>
              <w:left w:val="nil"/>
              <w:bottom w:val="nil"/>
              <w:right w:val="nil"/>
            </w:tcBorders>
            <w:vAlign w:val="bottom"/>
            <w:hideMark/>
          </w:tcPr>
          <w:p w14:paraId="64FF3D9E" w14:textId="6C767096" w:rsidR="000A0DFF" w:rsidRPr="003E265B" w:rsidRDefault="0011339B" w:rsidP="000A0DFF">
            <w:pPr>
              <w:tabs>
                <w:tab w:val="clear" w:pos="567"/>
                <w:tab w:val="clear" w:pos="1134"/>
                <w:tab w:val="clear" w:pos="1701"/>
                <w:tab w:val="clear" w:pos="2268"/>
              </w:tabs>
              <w:jc w:val="right"/>
              <w:textAlignment w:val="baseline"/>
              <w:rPr>
                <w:rFonts w:eastAsia="Times New Roman"/>
                <w:sz w:val="24"/>
                <w:szCs w:val="24"/>
              </w:rPr>
            </w:pPr>
            <w:r>
              <w:rPr>
                <w:sz w:val="18"/>
              </w:rPr>
              <w:t xml:space="preserve">– </w:t>
            </w:r>
          </w:p>
        </w:tc>
      </w:tr>
      <w:tr w:rsidR="000A0DFF" w:rsidRPr="003E265B" w14:paraId="4DF97F72" w14:textId="77777777" w:rsidTr="00440131">
        <w:trPr>
          <w:trHeight w:val="285"/>
        </w:trPr>
        <w:tc>
          <w:tcPr>
            <w:tcW w:w="2131" w:type="pct"/>
            <w:gridSpan w:val="2"/>
            <w:tcBorders>
              <w:top w:val="nil"/>
              <w:left w:val="nil"/>
              <w:bottom w:val="nil"/>
              <w:right w:val="nil"/>
            </w:tcBorders>
            <w:vAlign w:val="bottom"/>
            <w:hideMark/>
          </w:tcPr>
          <w:p w14:paraId="285B2635" w14:textId="6A3F4DF8" w:rsidR="000A0DFF" w:rsidRPr="003E265B" w:rsidRDefault="000A0DFF" w:rsidP="000A0DFF">
            <w:pPr>
              <w:tabs>
                <w:tab w:val="clear" w:pos="567"/>
                <w:tab w:val="clear" w:pos="1134"/>
                <w:tab w:val="clear" w:pos="1701"/>
                <w:tab w:val="clear" w:pos="2268"/>
              </w:tabs>
              <w:jc w:val="left"/>
              <w:textAlignment w:val="baseline"/>
              <w:rPr>
                <w:rFonts w:eastAsia="Times New Roman"/>
                <w:b/>
                <w:bCs/>
                <w:sz w:val="24"/>
                <w:szCs w:val="24"/>
              </w:rPr>
            </w:pPr>
            <w:r>
              <w:rPr>
                <w:sz w:val="18"/>
              </w:rPr>
              <w:t>Reuniones de órganos intergubernamentales</w:t>
            </w:r>
            <w:r>
              <w:rPr>
                <w:b/>
                <w:sz w:val="18"/>
              </w:rPr>
              <w:t xml:space="preserve"> </w:t>
            </w:r>
          </w:p>
        </w:tc>
        <w:tc>
          <w:tcPr>
            <w:tcW w:w="769" w:type="pct"/>
            <w:tcBorders>
              <w:top w:val="nil"/>
              <w:left w:val="nil"/>
              <w:bottom w:val="nil"/>
              <w:right w:val="nil"/>
            </w:tcBorders>
            <w:vAlign w:val="bottom"/>
            <w:hideMark/>
          </w:tcPr>
          <w:p w14:paraId="4BD577F9" w14:textId="16CA16D7" w:rsidR="000A0DFF" w:rsidRPr="003E265B" w:rsidRDefault="000A0DFF" w:rsidP="000A0DFF">
            <w:pPr>
              <w:tabs>
                <w:tab w:val="clear" w:pos="567"/>
                <w:tab w:val="clear" w:pos="1134"/>
                <w:tab w:val="clear" w:pos="1701"/>
                <w:tab w:val="clear" w:pos="2268"/>
              </w:tabs>
              <w:jc w:val="right"/>
              <w:textAlignment w:val="baseline"/>
              <w:rPr>
                <w:rFonts w:eastAsia="Times New Roman"/>
                <w:sz w:val="24"/>
                <w:szCs w:val="24"/>
              </w:rPr>
            </w:pPr>
            <w:r>
              <w:rPr>
                <w:sz w:val="18"/>
              </w:rPr>
              <w:t xml:space="preserve">4 975,5 </w:t>
            </w:r>
          </w:p>
        </w:tc>
        <w:tc>
          <w:tcPr>
            <w:tcW w:w="1049" w:type="pct"/>
            <w:tcBorders>
              <w:top w:val="nil"/>
              <w:left w:val="nil"/>
              <w:bottom w:val="nil"/>
              <w:right w:val="nil"/>
            </w:tcBorders>
            <w:vAlign w:val="bottom"/>
            <w:hideMark/>
          </w:tcPr>
          <w:p w14:paraId="5768788D" w14:textId="2A059F59" w:rsidR="000A0DFF" w:rsidRPr="003E265B" w:rsidRDefault="000A0DFF" w:rsidP="000A0DFF">
            <w:pPr>
              <w:tabs>
                <w:tab w:val="clear" w:pos="567"/>
                <w:tab w:val="clear" w:pos="1134"/>
                <w:tab w:val="clear" w:pos="1701"/>
                <w:tab w:val="clear" w:pos="2268"/>
              </w:tabs>
              <w:jc w:val="right"/>
              <w:textAlignment w:val="baseline"/>
              <w:rPr>
                <w:rFonts w:eastAsia="Times New Roman"/>
                <w:sz w:val="24"/>
                <w:szCs w:val="24"/>
              </w:rPr>
            </w:pPr>
            <w:r>
              <w:rPr>
                <w:sz w:val="18"/>
              </w:rPr>
              <w:t xml:space="preserve">5 855,9 </w:t>
            </w:r>
          </w:p>
        </w:tc>
        <w:tc>
          <w:tcPr>
            <w:tcW w:w="1051" w:type="pct"/>
            <w:tcBorders>
              <w:top w:val="nil"/>
              <w:left w:val="nil"/>
              <w:bottom w:val="nil"/>
              <w:right w:val="nil"/>
            </w:tcBorders>
            <w:vAlign w:val="bottom"/>
            <w:hideMark/>
          </w:tcPr>
          <w:p w14:paraId="5DE5A50B" w14:textId="1BE877A4" w:rsidR="000A0DFF" w:rsidRPr="003E265B" w:rsidRDefault="000A0DFF" w:rsidP="000A0DFF">
            <w:pPr>
              <w:tabs>
                <w:tab w:val="clear" w:pos="567"/>
                <w:tab w:val="clear" w:pos="1134"/>
                <w:tab w:val="clear" w:pos="1701"/>
                <w:tab w:val="clear" w:pos="2268"/>
              </w:tabs>
              <w:jc w:val="right"/>
              <w:textAlignment w:val="baseline"/>
              <w:rPr>
                <w:rFonts w:eastAsia="Times New Roman"/>
                <w:sz w:val="24"/>
                <w:szCs w:val="24"/>
              </w:rPr>
            </w:pPr>
            <w:r>
              <w:rPr>
                <w:sz w:val="18"/>
              </w:rPr>
              <w:t>(880,4)</w:t>
            </w:r>
          </w:p>
        </w:tc>
      </w:tr>
      <w:tr w:rsidR="000A0DFF" w:rsidRPr="003E265B" w14:paraId="697F89E0" w14:textId="77777777" w:rsidTr="00440131">
        <w:trPr>
          <w:trHeight w:val="285"/>
        </w:trPr>
        <w:tc>
          <w:tcPr>
            <w:tcW w:w="2131" w:type="pct"/>
            <w:gridSpan w:val="2"/>
            <w:tcBorders>
              <w:top w:val="nil"/>
              <w:left w:val="nil"/>
              <w:bottom w:val="nil"/>
              <w:right w:val="nil"/>
            </w:tcBorders>
            <w:vAlign w:val="bottom"/>
            <w:hideMark/>
          </w:tcPr>
          <w:p w14:paraId="779B1A31" w14:textId="5A871CA3" w:rsidR="000A0DFF" w:rsidRPr="003E265B" w:rsidRDefault="000A0DFF" w:rsidP="000A0DFF">
            <w:pPr>
              <w:tabs>
                <w:tab w:val="clear" w:pos="567"/>
                <w:tab w:val="clear" w:pos="1134"/>
                <w:tab w:val="clear" w:pos="1701"/>
                <w:tab w:val="clear" w:pos="2268"/>
              </w:tabs>
              <w:jc w:val="left"/>
              <w:textAlignment w:val="baseline"/>
              <w:rPr>
                <w:rFonts w:eastAsia="Times New Roman"/>
                <w:b/>
                <w:bCs/>
                <w:sz w:val="24"/>
                <w:szCs w:val="24"/>
              </w:rPr>
            </w:pPr>
            <w:r>
              <w:rPr>
                <w:sz w:val="18"/>
              </w:rPr>
              <w:t>Consultores</w:t>
            </w:r>
            <w:r>
              <w:rPr>
                <w:b/>
                <w:sz w:val="18"/>
              </w:rPr>
              <w:t xml:space="preserve"> </w:t>
            </w:r>
          </w:p>
        </w:tc>
        <w:tc>
          <w:tcPr>
            <w:tcW w:w="769" w:type="pct"/>
            <w:tcBorders>
              <w:top w:val="nil"/>
              <w:left w:val="nil"/>
              <w:bottom w:val="nil"/>
              <w:right w:val="nil"/>
            </w:tcBorders>
            <w:vAlign w:val="bottom"/>
            <w:hideMark/>
          </w:tcPr>
          <w:p w14:paraId="1448CB94" w14:textId="07F73B10" w:rsidR="000A0DFF" w:rsidRPr="003E265B" w:rsidRDefault="000A0DFF" w:rsidP="000A0DFF">
            <w:pPr>
              <w:tabs>
                <w:tab w:val="clear" w:pos="567"/>
                <w:tab w:val="clear" w:pos="1134"/>
                <w:tab w:val="clear" w:pos="1701"/>
                <w:tab w:val="clear" w:pos="2268"/>
              </w:tabs>
              <w:jc w:val="right"/>
              <w:textAlignment w:val="baseline"/>
              <w:rPr>
                <w:rFonts w:eastAsia="Times New Roman"/>
                <w:sz w:val="24"/>
                <w:szCs w:val="24"/>
              </w:rPr>
            </w:pPr>
            <w:r>
              <w:rPr>
                <w:sz w:val="18"/>
              </w:rPr>
              <w:t xml:space="preserve">150,0 </w:t>
            </w:r>
          </w:p>
        </w:tc>
        <w:tc>
          <w:tcPr>
            <w:tcW w:w="1049" w:type="pct"/>
            <w:tcBorders>
              <w:top w:val="nil"/>
              <w:left w:val="nil"/>
              <w:bottom w:val="nil"/>
              <w:right w:val="nil"/>
            </w:tcBorders>
            <w:vAlign w:val="bottom"/>
            <w:hideMark/>
          </w:tcPr>
          <w:p w14:paraId="47B6B752" w14:textId="77BA4A4A" w:rsidR="000A0DFF" w:rsidRPr="003E265B" w:rsidRDefault="000A0DFF" w:rsidP="000A0DFF">
            <w:pPr>
              <w:tabs>
                <w:tab w:val="clear" w:pos="567"/>
                <w:tab w:val="clear" w:pos="1134"/>
                <w:tab w:val="clear" w:pos="1701"/>
                <w:tab w:val="clear" w:pos="2268"/>
              </w:tabs>
              <w:jc w:val="right"/>
              <w:textAlignment w:val="baseline"/>
              <w:rPr>
                <w:rFonts w:eastAsia="Times New Roman"/>
                <w:sz w:val="24"/>
                <w:szCs w:val="24"/>
              </w:rPr>
            </w:pPr>
            <w:r>
              <w:rPr>
                <w:sz w:val="18"/>
              </w:rPr>
              <w:t xml:space="preserve">150,0 </w:t>
            </w:r>
          </w:p>
        </w:tc>
        <w:tc>
          <w:tcPr>
            <w:tcW w:w="1051" w:type="pct"/>
            <w:tcBorders>
              <w:top w:val="nil"/>
              <w:left w:val="nil"/>
              <w:bottom w:val="nil"/>
              <w:right w:val="nil"/>
            </w:tcBorders>
            <w:vAlign w:val="bottom"/>
            <w:hideMark/>
          </w:tcPr>
          <w:p w14:paraId="47A3945D" w14:textId="570D7082" w:rsidR="000A0DFF" w:rsidRPr="003E265B" w:rsidRDefault="0011339B" w:rsidP="000A0DFF">
            <w:pPr>
              <w:tabs>
                <w:tab w:val="clear" w:pos="567"/>
                <w:tab w:val="clear" w:pos="1134"/>
                <w:tab w:val="clear" w:pos="1701"/>
                <w:tab w:val="clear" w:pos="2268"/>
              </w:tabs>
              <w:jc w:val="right"/>
              <w:textAlignment w:val="baseline"/>
              <w:rPr>
                <w:rFonts w:eastAsia="Times New Roman"/>
                <w:sz w:val="24"/>
                <w:szCs w:val="24"/>
              </w:rPr>
            </w:pPr>
            <w:r>
              <w:rPr>
                <w:sz w:val="18"/>
              </w:rPr>
              <w:t xml:space="preserve">– </w:t>
            </w:r>
          </w:p>
        </w:tc>
      </w:tr>
      <w:tr w:rsidR="000A0DFF" w:rsidRPr="003E265B" w14:paraId="733A80CE" w14:textId="77777777" w:rsidTr="00440131">
        <w:trPr>
          <w:trHeight w:val="285"/>
        </w:trPr>
        <w:tc>
          <w:tcPr>
            <w:tcW w:w="2131" w:type="pct"/>
            <w:gridSpan w:val="2"/>
            <w:tcBorders>
              <w:top w:val="nil"/>
              <w:left w:val="nil"/>
              <w:bottom w:val="nil"/>
              <w:right w:val="nil"/>
            </w:tcBorders>
            <w:vAlign w:val="bottom"/>
            <w:hideMark/>
          </w:tcPr>
          <w:p w14:paraId="5CD94B43" w14:textId="39A21BB2" w:rsidR="000A0DFF" w:rsidRPr="003E265B" w:rsidRDefault="000A0DFF" w:rsidP="000A0DFF">
            <w:pPr>
              <w:tabs>
                <w:tab w:val="clear" w:pos="567"/>
                <w:tab w:val="clear" w:pos="1134"/>
                <w:tab w:val="clear" w:pos="1701"/>
                <w:tab w:val="clear" w:pos="2268"/>
              </w:tabs>
              <w:jc w:val="left"/>
              <w:textAlignment w:val="baseline"/>
              <w:rPr>
                <w:rFonts w:eastAsia="Times New Roman"/>
                <w:b/>
                <w:bCs/>
                <w:sz w:val="24"/>
                <w:szCs w:val="24"/>
              </w:rPr>
            </w:pPr>
            <w:r>
              <w:rPr>
                <w:sz w:val="18"/>
              </w:rPr>
              <w:t>Revisión funcional</w:t>
            </w:r>
            <w:r>
              <w:rPr>
                <w:b/>
                <w:sz w:val="18"/>
              </w:rPr>
              <w:t xml:space="preserve"> </w:t>
            </w:r>
          </w:p>
        </w:tc>
        <w:tc>
          <w:tcPr>
            <w:tcW w:w="769" w:type="pct"/>
            <w:tcBorders>
              <w:top w:val="nil"/>
              <w:left w:val="nil"/>
              <w:bottom w:val="nil"/>
              <w:right w:val="nil"/>
            </w:tcBorders>
            <w:vAlign w:val="bottom"/>
            <w:hideMark/>
          </w:tcPr>
          <w:p w14:paraId="172930F8" w14:textId="0D545464" w:rsidR="000A0DFF" w:rsidRPr="003E265B" w:rsidRDefault="000A0DFF" w:rsidP="000A0DFF">
            <w:pPr>
              <w:tabs>
                <w:tab w:val="clear" w:pos="567"/>
                <w:tab w:val="clear" w:pos="1134"/>
                <w:tab w:val="clear" w:pos="1701"/>
                <w:tab w:val="clear" w:pos="2268"/>
              </w:tabs>
              <w:jc w:val="right"/>
              <w:textAlignment w:val="baseline"/>
              <w:rPr>
                <w:rFonts w:eastAsia="Times New Roman"/>
                <w:sz w:val="24"/>
                <w:szCs w:val="24"/>
              </w:rPr>
            </w:pPr>
            <w:r>
              <w:rPr>
                <w:sz w:val="18"/>
              </w:rPr>
              <w:t xml:space="preserve">250,0 </w:t>
            </w:r>
          </w:p>
        </w:tc>
        <w:tc>
          <w:tcPr>
            <w:tcW w:w="1049" w:type="pct"/>
            <w:tcBorders>
              <w:top w:val="nil"/>
              <w:left w:val="nil"/>
              <w:bottom w:val="nil"/>
              <w:right w:val="nil"/>
            </w:tcBorders>
            <w:vAlign w:val="bottom"/>
            <w:hideMark/>
          </w:tcPr>
          <w:p w14:paraId="22485597" w14:textId="1B0D47CB" w:rsidR="000A0DFF" w:rsidRPr="003E265B" w:rsidRDefault="000A0DFF" w:rsidP="000A0DFF">
            <w:pPr>
              <w:tabs>
                <w:tab w:val="clear" w:pos="567"/>
                <w:tab w:val="clear" w:pos="1134"/>
                <w:tab w:val="clear" w:pos="1701"/>
                <w:tab w:val="clear" w:pos="2268"/>
              </w:tabs>
              <w:jc w:val="right"/>
              <w:textAlignment w:val="baseline"/>
              <w:rPr>
                <w:rFonts w:eastAsia="Times New Roman"/>
                <w:sz w:val="24"/>
                <w:szCs w:val="24"/>
              </w:rPr>
            </w:pPr>
            <w:r>
              <w:rPr>
                <w:sz w:val="18"/>
              </w:rPr>
              <w:t xml:space="preserve">278,0 </w:t>
            </w:r>
          </w:p>
        </w:tc>
        <w:tc>
          <w:tcPr>
            <w:tcW w:w="1051" w:type="pct"/>
            <w:tcBorders>
              <w:top w:val="nil"/>
              <w:left w:val="nil"/>
              <w:bottom w:val="nil"/>
              <w:right w:val="nil"/>
            </w:tcBorders>
            <w:vAlign w:val="bottom"/>
            <w:hideMark/>
          </w:tcPr>
          <w:p w14:paraId="4C083DDF" w14:textId="67563A2A" w:rsidR="000A0DFF" w:rsidRPr="003E265B" w:rsidRDefault="000A0DFF" w:rsidP="000A0DFF">
            <w:pPr>
              <w:tabs>
                <w:tab w:val="clear" w:pos="567"/>
                <w:tab w:val="clear" w:pos="1134"/>
                <w:tab w:val="clear" w:pos="1701"/>
                <w:tab w:val="clear" w:pos="2268"/>
              </w:tabs>
              <w:jc w:val="right"/>
              <w:textAlignment w:val="baseline"/>
              <w:rPr>
                <w:rFonts w:eastAsia="Times New Roman"/>
                <w:sz w:val="24"/>
                <w:szCs w:val="24"/>
              </w:rPr>
            </w:pPr>
            <w:r>
              <w:rPr>
                <w:sz w:val="18"/>
              </w:rPr>
              <w:t>(28,0)</w:t>
            </w:r>
          </w:p>
        </w:tc>
      </w:tr>
      <w:tr w:rsidR="000A0DFF" w:rsidRPr="003E265B" w14:paraId="07A82F5C" w14:textId="77777777" w:rsidTr="00440131">
        <w:trPr>
          <w:trHeight w:val="285"/>
        </w:trPr>
        <w:tc>
          <w:tcPr>
            <w:tcW w:w="2131" w:type="pct"/>
            <w:gridSpan w:val="2"/>
            <w:tcBorders>
              <w:top w:val="nil"/>
              <w:left w:val="nil"/>
              <w:bottom w:val="nil"/>
              <w:right w:val="nil"/>
            </w:tcBorders>
            <w:vAlign w:val="bottom"/>
            <w:hideMark/>
          </w:tcPr>
          <w:p w14:paraId="266C5526" w14:textId="757E50D6" w:rsidR="000A0DFF" w:rsidRPr="003E265B" w:rsidRDefault="000A0DFF" w:rsidP="000A0DFF">
            <w:pPr>
              <w:tabs>
                <w:tab w:val="clear" w:pos="567"/>
                <w:tab w:val="clear" w:pos="1134"/>
                <w:tab w:val="clear" w:pos="1701"/>
                <w:tab w:val="clear" w:pos="2268"/>
              </w:tabs>
              <w:jc w:val="left"/>
              <w:textAlignment w:val="baseline"/>
              <w:rPr>
                <w:rFonts w:eastAsia="Times New Roman"/>
                <w:b/>
                <w:bCs/>
                <w:sz w:val="24"/>
                <w:szCs w:val="24"/>
              </w:rPr>
            </w:pPr>
            <w:r>
              <w:rPr>
                <w:sz w:val="18"/>
              </w:rPr>
              <w:t>Viajes oficiales</w:t>
            </w:r>
            <w:r>
              <w:rPr>
                <w:b/>
                <w:sz w:val="18"/>
              </w:rPr>
              <w:t xml:space="preserve"> </w:t>
            </w:r>
          </w:p>
        </w:tc>
        <w:tc>
          <w:tcPr>
            <w:tcW w:w="769" w:type="pct"/>
            <w:tcBorders>
              <w:top w:val="nil"/>
              <w:left w:val="nil"/>
              <w:bottom w:val="nil"/>
              <w:right w:val="nil"/>
            </w:tcBorders>
            <w:vAlign w:val="bottom"/>
            <w:hideMark/>
          </w:tcPr>
          <w:p w14:paraId="250B6574" w14:textId="3DCA3C3A" w:rsidR="000A0DFF" w:rsidRPr="003E265B" w:rsidRDefault="000A0DFF" w:rsidP="000A0DFF">
            <w:pPr>
              <w:tabs>
                <w:tab w:val="clear" w:pos="567"/>
                <w:tab w:val="clear" w:pos="1134"/>
                <w:tab w:val="clear" w:pos="1701"/>
                <w:tab w:val="clear" w:pos="2268"/>
              </w:tabs>
              <w:jc w:val="right"/>
              <w:textAlignment w:val="baseline"/>
              <w:rPr>
                <w:rFonts w:eastAsia="Times New Roman"/>
                <w:sz w:val="24"/>
                <w:szCs w:val="24"/>
              </w:rPr>
            </w:pPr>
            <w:r>
              <w:rPr>
                <w:sz w:val="18"/>
              </w:rPr>
              <w:t xml:space="preserve">850,0 </w:t>
            </w:r>
          </w:p>
        </w:tc>
        <w:tc>
          <w:tcPr>
            <w:tcW w:w="1049" w:type="pct"/>
            <w:tcBorders>
              <w:top w:val="nil"/>
              <w:left w:val="nil"/>
              <w:bottom w:val="nil"/>
              <w:right w:val="nil"/>
            </w:tcBorders>
            <w:vAlign w:val="bottom"/>
            <w:hideMark/>
          </w:tcPr>
          <w:p w14:paraId="413FD407" w14:textId="3CA4E285" w:rsidR="000A0DFF" w:rsidRPr="003E265B" w:rsidRDefault="000A0DFF" w:rsidP="000A0DFF">
            <w:pPr>
              <w:tabs>
                <w:tab w:val="clear" w:pos="567"/>
                <w:tab w:val="clear" w:pos="1134"/>
                <w:tab w:val="clear" w:pos="1701"/>
                <w:tab w:val="clear" w:pos="2268"/>
              </w:tabs>
              <w:jc w:val="right"/>
              <w:textAlignment w:val="baseline"/>
              <w:rPr>
                <w:rFonts w:eastAsia="Times New Roman"/>
                <w:sz w:val="24"/>
                <w:szCs w:val="24"/>
              </w:rPr>
            </w:pPr>
            <w:r>
              <w:rPr>
                <w:sz w:val="18"/>
              </w:rPr>
              <w:t xml:space="preserve">835,0 </w:t>
            </w:r>
          </w:p>
        </w:tc>
        <w:tc>
          <w:tcPr>
            <w:tcW w:w="1051" w:type="pct"/>
            <w:tcBorders>
              <w:top w:val="nil"/>
              <w:left w:val="nil"/>
              <w:bottom w:val="nil"/>
              <w:right w:val="nil"/>
            </w:tcBorders>
            <w:vAlign w:val="bottom"/>
            <w:hideMark/>
          </w:tcPr>
          <w:p w14:paraId="48B5F5EC" w14:textId="5F440F7D" w:rsidR="000A0DFF" w:rsidRPr="003E265B" w:rsidRDefault="000A0DFF" w:rsidP="000A0DFF">
            <w:pPr>
              <w:tabs>
                <w:tab w:val="clear" w:pos="567"/>
                <w:tab w:val="clear" w:pos="1134"/>
                <w:tab w:val="clear" w:pos="1701"/>
                <w:tab w:val="clear" w:pos="2268"/>
              </w:tabs>
              <w:jc w:val="right"/>
              <w:textAlignment w:val="baseline"/>
              <w:rPr>
                <w:rFonts w:eastAsia="Times New Roman"/>
                <w:sz w:val="24"/>
                <w:szCs w:val="24"/>
              </w:rPr>
            </w:pPr>
            <w:r>
              <w:rPr>
                <w:sz w:val="18"/>
              </w:rPr>
              <w:t>15,0</w:t>
            </w:r>
          </w:p>
        </w:tc>
      </w:tr>
      <w:tr w:rsidR="000A0DFF" w:rsidRPr="003E265B" w14:paraId="7B6C2399" w14:textId="77777777" w:rsidTr="00440131">
        <w:trPr>
          <w:trHeight w:val="285"/>
        </w:trPr>
        <w:tc>
          <w:tcPr>
            <w:tcW w:w="2131" w:type="pct"/>
            <w:gridSpan w:val="2"/>
            <w:tcBorders>
              <w:top w:val="nil"/>
              <w:left w:val="nil"/>
              <w:bottom w:val="nil"/>
              <w:right w:val="nil"/>
            </w:tcBorders>
            <w:vAlign w:val="bottom"/>
            <w:hideMark/>
          </w:tcPr>
          <w:p w14:paraId="5A2DA0FB" w14:textId="7A5E184C" w:rsidR="000A0DFF" w:rsidRPr="003E265B" w:rsidRDefault="000A0DFF" w:rsidP="000A0DFF">
            <w:pPr>
              <w:tabs>
                <w:tab w:val="clear" w:pos="567"/>
                <w:tab w:val="clear" w:pos="1134"/>
                <w:tab w:val="clear" w:pos="1701"/>
                <w:tab w:val="clear" w:pos="2268"/>
              </w:tabs>
              <w:jc w:val="left"/>
              <w:textAlignment w:val="baseline"/>
              <w:rPr>
                <w:rFonts w:eastAsia="Times New Roman"/>
                <w:b/>
                <w:bCs/>
                <w:sz w:val="24"/>
                <w:szCs w:val="24"/>
              </w:rPr>
            </w:pPr>
            <w:r>
              <w:rPr>
                <w:sz w:val="18"/>
              </w:rPr>
              <w:t>Alquiler y gastos relacionados</w:t>
            </w:r>
            <w:r>
              <w:rPr>
                <w:b/>
                <w:sz w:val="18"/>
              </w:rPr>
              <w:t xml:space="preserve"> </w:t>
            </w:r>
          </w:p>
        </w:tc>
        <w:tc>
          <w:tcPr>
            <w:tcW w:w="769" w:type="pct"/>
            <w:tcBorders>
              <w:top w:val="nil"/>
              <w:left w:val="nil"/>
              <w:bottom w:val="nil"/>
              <w:right w:val="nil"/>
            </w:tcBorders>
            <w:vAlign w:val="bottom"/>
            <w:hideMark/>
          </w:tcPr>
          <w:p w14:paraId="23859EBE" w14:textId="5113058D" w:rsidR="000A0DFF" w:rsidRPr="003E265B" w:rsidRDefault="000A0DFF" w:rsidP="000A0DFF">
            <w:pPr>
              <w:tabs>
                <w:tab w:val="clear" w:pos="567"/>
                <w:tab w:val="clear" w:pos="1134"/>
                <w:tab w:val="clear" w:pos="1701"/>
                <w:tab w:val="clear" w:pos="2268"/>
              </w:tabs>
              <w:jc w:val="right"/>
              <w:textAlignment w:val="baseline"/>
              <w:rPr>
                <w:rFonts w:eastAsia="Times New Roman"/>
                <w:sz w:val="24"/>
                <w:szCs w:val="24"/>
              </w:rPr>
            </w:pPr>
            <w:r>
              <w:rPr>
                <w:sz w:val="18"/>
              </w:rPr>
              <w:t xml:space="preserve">2 939,2 </w:t>
            </w:r>
          </w:p>
        </w:tc>
        <w:tc>
          <w:tcPr>
            <w:tcW w:w="1049" w:type="pct"/>
            <w:tcBorders>
              <w:top w:val="nil"/>
              <w:left w:val="nil"/>
              <w:bottom w:val="nil"/>
              <w:right w:val="nil"/>
            </w:tcBorders>
            <w:vAlign w:val="bottom"/>
            <w:hideMark/>
          </w:tcPr>
          <w:p w14:paraId="5827A588" w14:textId="70B6630F" w:rsidR="000A0DFF" w:rsidRPr="003E265B" w:rsidRDefault="7D103107" w:rsidP="000A0DFF">
            <w:pPr>
              <w:tabs>
                <w:tab w:val="clear" w:pos="567"/>
                <w:tab w:val="clear" w:pos="1134"/>
                <w:tab w:val="clear" w:pos="1701"/>
                <w:tab w:val="clear" w:pos="2268"/>
              </w:tabs>
              <w:jc w:val="right"/>
              <w:textAlignment w:val="baseline"/>
              <w:rPr>
                <w:rFonts w:eastAsia="Times New Roman"/>
                <w:sz w:val="24"/>
                <w:szCs w:val="24"/>
              </w:rPr>
            </w:pPr>
            <w:r>
              <w:rPr>
                <w:sz w:val="18"/>
              </w:rPr>
              <w:t xml:space="preserve">2 948,6 </w:t>
            </w:r>
          </w:p>
        </w:tc>
        <w:tc>
          <w:tcPr>
            <w:tcW w:w="1051" w:type="pct"/>
            <w:tcBorders>
              <w:top w:val="nil"/>
              <w:left w:val="nil"/>
              <w:bottom w:val="nil"/>
              <w:right w:val="nil"/>
            </w:tcBorders>
            <w:vAlign w:val="bottom"/>
            <w:hideMark/>
          </w:tcPr>
          <w:p w14:paraId="04062954" w14:textId="329181AA" w:rsidR="000A0DFF" w:rsidRPr="003E265B" w:rsidRDefault="7D103107" w:rsidP="000A0DFF">
            <w:pPr>
              <w:tabs>
                <w:tab w:val="clear" w:pos="567"/>
                <w:tab w:val="clear" w:pos="1134"/>
                <w:tab w:val="clear" w:pos="1701"/>
                <w:tab w:val="clear" w:pos="2268"/>
              </w:tabs>
              <w:jc w:val="right"/>
              <w:textAlignment w:val="baseline"/>
              <w:rPr>
                <w:rFonts w:eastAsia="Times New Roman"/>
                <w:sz w:val="24"/>
                <w:szCs w:val="24"/>
              </w:rPr>
            </w:pPr>
            <w:r>
              <w:rPr>
                <w:sz w:val="18"/>
              </w:rPr>
              <w:t>(9,4)</w:t>
            </w:r>
          </w:p>
        </w:tc>
      </w:tr>
      <w:tr w:rsidR="000A0DFF" w:rsidRPr="003E265B" w14:paraId="79D14ED1" w14:textId="77777777" w:rsidTr="00440131">
        <w:trPr>
          <w:trHeight w:val="285"/>
        </w:trPr>
        <w:tc>
          <w:tcPr>
            <w:tcW w:w="2131" w:type="pct"/>
            <w:gridSpan w:val="2"/>
            <w:tcBorders>
              <w:top w:val="nil"/>
              <w:left w:val="nil"/>
              <w:bottom w:val="nil"/>
              <w:right w:val="nil"/>
            </w:tcBorders>
            <w:vAlign w:val="bottom"/>
            <w:hideMark/>
          </w:tcPr>
          <w:p w14:paraId="7E9EAB99" w14:textId="5F5A185A" w:rsidR="000A0DFF" w:rsidRPr="003E265B" w:rsidRDefault="000A0DFF" w:rsidP="000A0DFF">
            <w:pPr>
              <w:tabs>
                <w:tab w:val="clear" w:pos="567"/>
                <w:tab w:val="clear" w:pos="1134"/>
                <w:tab w:val="clear" w:pos="1701"/>
                <w:tab w:val="clear" w:pos="2268"/>
              </w:tabs>
              <w:jc w:val="left"/>
              <w:textAlignment w:val="baseline"/>
              <w:rPr>
                <w:rFonts w:eastAsia="Times New Roman"/>
                <w:b/>
                <w:bCs/>
                <w:sz w:val="24"/>
                <w:szCs w:val="24"/>
              </w:rPr>
            </w:pPr>
            <w:r>
              <w:rPr>
                <w:sz w:val="18"/>
              </w:rPr>
              <w:t>Capacitación</w:t>
            </w:r>
            <w:r>
              <w:rPr>
                <w:b/>
                <w:sz w:val="18"/>
              </w:rPr>
              <w:t xml:space="preserve"> </w:t>
            </w:r>
          </w:p>
        </w:tc>
        <w:tc>
          <w:tcPr>
            <w:tcW w:w="769" w:type="pct"/>
            <w:tcBorders>
              <w:top w:val="nil"/>
              <w:left w:val="nil"/>
              <w:bottom w:val="nil"/>
              <w:right w:val="nil"/>
            </w:tcBorders>
            <w:vAlign w:val="bottom"/>
            <w:hideMark/>
          </w:tcPr>
          <w:p w14:paraId="282A1913" w14:textId="4C267F5F" w:rsidR="000A0DFF" w:rsidRPr="003E265B" w:rsidRDefault="000A0DFF" w:rsidP="000A0DFF">
            <w:pPr>
              <w:tabs>
                <w:tab w:val="clear" w:pos="567"/>
                <w:tab w:val="clear" w:pos="1134"/>
                <w:tab w:val="clear" w:pos="1701"/>
                <w:tab w:val="clear" w:pos="2268"/>
              </w:tabs>
              <w:jc w:val="right"/>
              <w:textAlignment w:val="baseline"/>
              <w:rPr>
                <w:rFonts w:eastAsia="Times New Roman"/>
                <w:sz w:val="24"/>
                <w:szCs w:val="24"/>
              </w:rPr>
            </w:pPr>
            <w:r>
              <w:rPr>
                <w:sz w:val="18"/>
              </w:rPr>
              <w:t xml:space="preserve">10,0 </w:t>
            </w:r>
          </w:p>
        </w:tc>
        <w:tc>
          <w:tcPr>
            <w:tcW w:w="1049" w:type="pct"/>
            <w:tcBorders>
              <w:top w:val="nil"/>
              <w:left w:val="nil"/>
              <w:bottom w:val="nil"/>
              <w:right w:val="nil"/>
            </w:tcBorders>
            <w:vAlign w:val="bottom"/>
            <w:hideMark/>
          </w:tcPr>
          <w:p w14:paraId="7210B78E" w14:textId="6EC213EB" w:rsidR="000A0DFF" w:rsidRPr="003E265B" w:rsidRDefault="000A0DFF" w:rsidP="000A0DFF">
            <w:pPr>
              <w:tabs>
                <w:tab w:val="clear" w:pos="567"/>
                <w:tab w:val="clear" w:pos="1134"/>
                <w:tab w:val="clear" w:pos="1701"/>
                <w:tab w:val="clear" w:pos="2268"/>
              </w:tabs>
              <w:jc w:val="right"/>
              <w:textAlignment w:val="baseline"/>
              <w:rPr>
                <w:rFonts w:eastAsia="Times New Roman"/>
                <w:sz w:val="24"/>
                <w:szCs w:val="24"/>
              </w:rPr>
            </w:pPr>
            <w:r>
              <w:rPr>
                <w:sz w:val="18"/>
              </w:rPr>
              <w:t xml:space="preserve">10,0 </w:t>
            </w:r>
          </w:p>
        </w:tc>
        <w:tc>
          <w:tcPr>
            <w:tcW w:w="1051" w:type="pct"/>
            <w:tcBorders>
              <w:top w:val="nil"/>
              <w:left w:val="nil"/>
              <w:bottom w:val="nil"/>
              <w:right w:val="nil"/>
            </w:tcBorders>
            <w:vAlign w:val="bottom"/>
            <w:hideMark/>
          </w:tcPr>
          <w:p w14:paraId="065EB1A2" w14:textId="07B7D0F0" w:rsidR="000A0DFF" w:rsidRPr="003E265B" w:rsidRDefault="0011339B" w:rsidP="000A0DFF">
            <w:pPr>
              <w:tabs>
                <w:tab w:val="clear" w:pos="567"/>
                <w:tab w:val="clear" w:pos="1134"/>
                <w:tab w:val="clear" w:pos="1701"/>
                <w:tab w:val="clear" w:pos="2268"/>
              </w:tabs>
              <w:jc w:val="right"/>
              <w:textAlignment w:val="baseline"/>
              <w:rPr>
                <w:rFonts w:eastAsia="Times New Roman"/>
                <w:sz w:val="24"/>
                <w:szCs w:val="24"/>
              </w:rPr>
            </w:pPr>
            <w:r>
              <w:rPr>
                <w:sz w:val="18"/>
              </w:rPr>
              <w:t xml:space="preserve">– </w:t>
            </w:r>
          </w:p>
        </w:tc>
      </w:tr>
      <w:tr w:rsidR="000A0DFF" w:rsidRPr="003E265B" w14:paraId="6068BA94" w14:textId="77777777" w:rsidTr="00440131">
        <w:trPr>
          <w:trHeight w:val="285"/>
        </w:trPr>
        <w:tc>
          <w:tcPr>
            <w:tcW w:w="2131" w:type="pct"/>
            <w:gridSpan w:val="2"/>
            <w:tcBorders>
              <w:top w:val="nil"/>
              <w:left w:val="nil"/>
              <w:bottom w:val="nil"/>
              <w:right w:val="nil"/>
            </w:tcBorders>
            <w:vAlign w:val="bottom"/>
            <w:hideMark/>
          </w:tcPr>
          <w:p w14:paraId="6DC9A641" w14:textId="7366CC32" w:rsidR="000A0DFF" w:rsidRPr="003E265B" w:rsidRDefault="000A0DFF" w:rsidP="000A0DFF">
            <w:pPr>
              <w:tabs>
                <w:tab w:val="clear" w:pos="567"/>
                <w:tab w:val="clear" w:pos="1134"/>
                <w:tab w:val="clear" w:pos="1701"/>
                <w:tab w:val="clear" w:pos="2268"/>
              </w:tabs>
              <w:jc w:val="left"/>
              <w:textAlignment w:val="baseline"/>
              <w:rPr>
                <w:rFonts w:eastAsia="Times New Roman"/>
                <w:b/>
                <w:bCs/>
                <w:sz w:val="24"/>
                <w:szCs w:val="24"/>
              </w:rPr>
            </w:pPr>
            <w:r>
              <w:rPr>
                <w:sz w:val="18"/>
              </w:rPr>
              <w:t>Tecnología de la información</w:t>
            </w:r>
            <w:r>
              <w:rPr>
                <w:b/>
                <w:sz w:val="18"/>
              </w:rPr>
              <w:t xml:space="preserve"> </w:t>
            </w:r>
          </w:p>
        </w:tc>
        <w:tc>
          <w:tcPr>
            <w:tcW w:w="769" w:type="pct"/>
            <w:tcBorders>
              <w:top w:val="nil"/>
              <w:left w:val="nil"/>
              <w:bottom w:val="nil"/>
              <w:right w:val="nil"/>
            </w:tcBorders>
            <w:vAlign w:val="bottom"/>
            <w:hideMark/>
          </w:tcPr>
          <w:p w14:paraId="6BFBEF0A" w14:textId="1C038ED1" w:rsidR="000A0DFF" w:rsidRPr="003E265B" w:rsidRDefault="000A0DFF" w:rsidP="000A0DFF">
            <w:pPr>
              <w:tabs>
                <w:tab w:val="clear" w:pos="567"/>
                <w:tab w:val="clear" w:pos="1134"/>
                <w:tab w:val="clear" w:pos="1701"/>
                <w:tab w:val="clear" w:pos="2268"/>
              </w:tabs>
              <w:jc w:val="right"/>
              <w:textAlignment w:val="baseline"/>
              <w:rPr>
                <w:rFonts w:eastAsia="Times New Roman"/>
                <w:sz w:val="24"/>
                <w:szCs w:val="24"/>
              </w:rPr>
            </w:pPr>
            <w:r>
              <w:rPr>
                <w:sz w:val="18"/>
              </w:rPr>
              <w:t xml:space="preserve">130,0 </w:t>
            </w:r>
          </w:p>
        </w:tc>
        <w:tc>
          <w:tcPr>
            <w:tcW w:w="1049" w:type="pct"/>
            <w:tcBorders>
              <w:top w:val="nil"/>
              <w:left w:val="nil"/>
              <w:bottom w:val="nil"/>
              <w:right w:val="nil"/>
            </w:tcBorders>
            <w:vAlign w:val="bottom"/>
            <w:hideMark/>
          </w:tcPr>
          <w:p w14:paraId="3B0E5456" w14:textId="31D7496D" w:rsidR="000A0DFF" w:rsidRPr="003E265B" w:rsidRDefault="000A0DFF" w:rsidP="000A0DFF">
            <w:pPr>
              <w:tabs>
                <w:tab w:val="clear" w:pos="567"/>
                <w:tab w:val="clear" w:pos="1134"/>
                <w:tab w:val="clear" w:pos="1701"/>
                <w:tab w:val="clear" w:pos="2268"/>
              </w:tabs>
              <w:jc w:val="right"/>
              <w:textAlignment w:val="baseline"/>
              <w:rPr>
                <w:rFonts w:eastAsia="Times New Roman"/>
                <w:sz w:val="24"/>
                <w:szCs w:val="24"/>
              </w:rPr>
            </w:pPr>
            <w:r>
              <w:rPr>
                <w:sz w:val="18"/>
              </w:rPr>
              <w:t xml:space="preserve">130,0 </w:t>
            </w:r>
          </w:p>
        </w:tc>
        <w:tc>
          <w:tcPr>
            <w:tcW w:w="1051" w:type="pct"/>
            <w:tcBorders>
              <w:top w:val="nil"/>
              <w:left w:val="nil"/>
              <w:bottom w:val="nil"/>
              <w:right w:val="nil"/>
            </w:tcBorders>
            <w:vAlign w:val="bottom"/>
            <w:hideMark/>
          </w:tcPr>
          <w:p w14:paraId="2FC62AE7" w14:textId="51269ACF" w:rsidR="000A0DFF" w:rsidRPr="003E265B" w:rsidRDefault="0011339B" w:rsidP="000A0DFF">
            <w:pPr>
              <w:tabs>
                <w:tab w:val="clear" w:pos="567"/>
                <w:tab w:val="clear" w:pos="1134"/>
                <w:tab w:val="clear" w:pos="1701"/>
                <w:tab w:val="clear" w:pos="2268"/>
              </w:tabs>
              <w:jc w:val="right"/>
              <w:textAlignment w:val="baseline"/>
              <w:rPr>
                <w:rFonts w:eastAsia="Times New Roman"/>
                <w:sz w:val="24"/>
                <w:szCs w:val="24"/>
              </w:rPr>
            </w:pPr>
            <w:r>
              <w:rPr>
                <w:sz w:val="18"/>
              </w:rPr>
              <w:t xml:space="preserve">– </w:t>
            </w:r>
          </w:p>
        </w:tc>
      </w:tr>
      <w:tr w:rsidR="000A0DFF" w:rsidRPr="003E265B" w14:paraId="26FE2573" w14:textId="77777777" w:rsidTr="00440131">
        <w:trPr>
          <w:trHeight w:val="285"/>
        </w:trPr>
        <w:tc>
          <w:tcPr>
            <w:tcW w:w="2131" w:type="pct"/>
            <w:gridSpan w:val="2"/>
            <w:tcBorders>
              <w:top w:val="nil"/>
              <w:left w:val="nil"/>
              <w:bottom w:val="nil"/>
              <w:right w:val="nil"/>
            </w:tcBorders>
            <w:vAlign w:val="bottom"/>
            <w:hideMark/>
          </w:tcPr>
          <w:p w14:paraId="2CCAB7BA" w14:textId="1DAB552E" w:rsidR="000A0DFF" w:rsidRPr="003E265B" w:rsidRDefault="000A0DFF" w:rsidP="000A0DFF">
            <w:pPr>
              <w:tabs>
                <w:tab w:val="clear" w:pos="567"/>
                <w:tab w:val="clear" w:pos="1134"/>
                <w:tab w:val="clear" w:pos="1701"/>
                <w:tab w:val="clear" w:pos="2268"/>
              </w:tabs>
              <w:jc w:val="left"/>
              <w:textAlignment w:val="baseline"/>
              <w:rPr>
                <w:rFonts w:eastAsia="Times New Roman"/>
                <w:b/>
                <w:bCs/>
                <w:sz w:val="24"/>
                <w:szCs w:val="24"/>
              </w:rPr>
            </w:pPr>
            <w:r>
              <w:rPr>
                <w:sz w:val="18"/>
              </w:rPr>
              <w:t>Gastos generales de funcionamiento</w:t>
            </w:r>
            <w:r>
              <w:rPr>
                <w:b/>
                <w:sz w:val="18"/>
              </w:rPr>
              <w:t xml:space="preserve"> </w:t>
            </w:r>
          </w:p>
        </w:tc>
        <w:tc>
          <w:tcPr>
            <w:tcW w:w="769" w:type="pct"/>
            <w:tcBorders>
              <w:top w:val="nil"/>
              <w:left w:val="nil"/>
              <w:bottom w:val="nil"/>
              <w:right w:val="nil"/>
            </w:tcBorders>
            <w:vAlign w:val="bottom"/>
            <w:hideMark/>
          </w:tcPr>
          <w:p w14:paraId="77F72CFD" w14:textId="50EF98F5" w:rsidR="000A0DFF" w:rsidRPr="003E265B" w:rsidRDefault="000A0DFF" w:rsidP="000A0DFF">
            <w:pPr>
              <w:tabs>
                <w:tab w:val="clear" w:pos="567"/>
                <w:tab w:val="clear" w:pos="1134"/>
                <w:tab w:val="clear" w:pos="1701"/>
                <w:tab w:val="clear" w:pos="2268"/>
              </w:tabs>
              <w:jc w:val="right"/>
              <w:textAlignment w:val="baseline"/>
              <w:rPr>
                <w:rFonts w:eastAsia="Times New Roman"/>
                <w:sz w:val="24"/>
                <w:szCs w:val="24"/>
              </w:rPr>
            </w:pPr>
            <w:r>
              <w:rPr>
                <w:sz w:val="18"/>
              </w:rPr>
              <w:t xml:space="preserve">1 453,2 </w:t>
            </w:r>
          </w:p>
        </w:tc>
        <w:tc>
          <w:tcPr>
            <w:tcW w:w="1049" w:type="pct"/>
            <w:tcBorders>
              <w:top w:val="nil"/>
              <w:left w:val="nil"/>
              <w:bottom w:val="nil"/>
              <w:right w:val="nil"/>
            </w:tcBorders>
            <w:vAlign w:val="bottom"/>
            <w:hideMark/>
          </w:tcPr>
          <w:p w14:paraId="6085DE9E" w14:textId="2DC28534" w:rsidR="000A0DFF" w:rsidRPr="003E265B" w:rsidRDefault="000A0DFF" w:rsidP="000A0DFF">
            <w:pPr>
              <w:tabs>
                <w:tab w:val="clear" w:pos="567"/>
                <w:tab w:val="clear" w:pos="1134"/>
                <w:tab w:val="clear" w:pos="1701"/>
                <w:tab w:val="clear" w:pos="2268"/>
              </w:tabs>
              <w:jc w:val="right"/>
              <w:textAlignment w:val="baseline"/>
              <w:rPr>
                <w:rFonts w:eastAsia="Times New Roman"/>
                <w:sz w:val="24"/>
                <w:szCs w:val="24"/>
              </w:rPr>
            </w:pPr>
            <w:r>
              <w:rPr>
                <w:sz w:val="18"/>
              </w:rPr>
              <w:t xml:space="preserve">1 453,2 </w:t>
            </w:r>
          </w:p>
        </w:tc>
        <w:tc>
          <w:tcPr>
            <w:tcW w:w="1051" w:type="pct"/>
            <w:tcBorders>
              <w:top w:val="nil"/>
              <w:left w:val="nil"/>
              <w:bottom w:val="nil"/>
              <w:right w:val="nil"/>
            </w:tcBorders>
            <w:vAlign w:val="bottom"/>
            <w:hideMark/>
          </w:tcPr>
          <w:p w14:paraId="0ABA4538" w14:textId="45FD4357" w:rsidR="000A0DFF" w:rsidRPr="003E265B" w:rsidRDefault="0011339B" w:rsidP="000A0DFF">
            <w:pPr>
              <w:tabs>
                <w:tab w:val="clear" w:pos="567"/>
                <w:tab w:val="clear" w:pos="1134"/>
                <w:tab w:val="clear" w:pos="1701"/>
                <w:tab w:val="clear" w:pos="2268"/>
              </w:tabs>
              <w:jc w:val="right"/>
              <w:textAlignment w:val="baseline"/>
              <w:rPr>
                <w:rFonts w:eastAsia="Times New Roman"/>
                <w:sz w:val="24"/>
                <w:szCs w:val="24"/>
              </w:rPr>
            </w:pPr>
            <w:r>
              <w:rPr>
                <w:sz w:val="18"/>
              </w:rPr>
              <w:t xml:space="preserve">– </w:t>
            </w:r>
          </w:p>
        </w:tc>
      </w:tr>
      <w:tr w:rsidR="000A0DFF" w:rsidRPr="003E265B" w14:paraId="736434A0" w14:textId="77777777" w:rsidTr="00440131">
        <w:trPr>
          <w:trHeight w:val="285"/>
        </w:trPr>
        <w:tc>
          <w:tcPr>
            <w:tcW w:w="2131" w:type="pct"/>
            <w:gridSpan w:val="2"/>
            <w:tcBorders>
              <w:top w:val="nil"/>
              <w:left w:val="nil"/>
              <w:bottom w:val="nil"/>
              <w:right w:val="nil"/>
            </w:tcBorders>
            <w:vAlign w:val="bottom"/>
            <w:hideMark/>
          </w:tcPr>
          <w:p w14:paraId="7EEF77C7" w14:textId="200D36C6" w:rsidR="000A0DFF" w:rsidRPr="003E265B" w:rsidRDefault="000A0DFF" w:rsidP="000A0DFF">
            <w:pPr>
              <w:tabs>
                <w:tab w:val="clear" w:pos="567"/>
                <w:tab w:val="clear" w:pos="1134"/>
                <w:tab w:val="clear" w:pos="1701"/>
                <w:tab w:val="clear" w:pos="2268"/>
              </w:tabs>
              <w:jc w:val="left"/>
              <w:textAlignment w:val="baseline"/>
              <w:rPr>
                <w:rFonts w:eastAsia="Times New Roman"/>
                <w:b/>
                <w:bCs/>
                <w:sz w:val="24"/>
                <w:szCs w:val="24"/>
              </w:rPr>
            </w:pPr>
            <w:r>
              <w:rPr>
                <w:sz w:val="18"/>
              </w:rPr>
              <w:t>Materiales de concienciación del público</w:t>
            </w:r>
            <w:r>
              <w:rPr>
                <w:b/>
                <w:sz w:val="18"/>
              </w:rPr>
              <w:t xml:space="preserve"> </w:t>
            </w:r>
          </w:p>
        </w:tc>
        <w:tc>
          <w:tcPr>
            <w:tcW w:w="769" w:type="pct"/>
            <w:tcBorders>
              <w:top w:val="nil"/>
              <w:left w:val="nil"/>
              <w:bottom w:val="nil"/>
              <w:right w:val="nil"/>
            </w:tcBorders>
            <w:vAlign w:val="bottom"/>
            <w:hideMark/>
          </w:tcPr>
          <w:p w14:paraId="43D306AD" w14:textId="29F6BDE2" w:rsidR="000A0DFF" w:rsidRPr="003E265B" w:rsidRDefault="000A0DFF" w:rsidP="000A0DFF">
            <w:pPr>
              <w:tabs>
                <w:tab w:val="clear" w:pos="567"/>
                <w:tab w:val="clear" w:pos="1134"/>
                <w:tab w:val="clear" w:pos="1701"/>
                <w:tab w:val="clear" w:pos="2268"/>
              </w:tabs>
              <w:jc w:val="right"/>
              <w:textAlignment w:val="baseline"/>
              <w:rPr>
                <w:rFonts w:eastAsia="Times New Roman"/>
                <w:sz w:val="24"/>
                <w:szCs w:val="24"/>
              </w:rPr>
            </w:pPr>
            <w:r>
              <w:rPr>
                <w:sz w:val="18"/>
              </w:rPr>
              <w:t xml:space="preserve">200,0 </w:t>
            </w:r>
          </w:p>
        </w:tc>
        <w:tc>
          <w:tcPr>
            <w:tcW w:w="1049" w:type="pct"/>
            <w:tcBorders>
              <w:top w:val="nil"/>
              <w:left w:val="nil"/>
              <w:bottom w:val="nil"/>
              <w:right w:val="nil"/>
            </w:tcBorders>
            <w:vAlign w:val="bottom"/>
            <w:hideMark/>
          </w:tcPr>
          <w:p w14:paraId="11B3FE95" w14:textId="35FB1F6C" w:rsidR="000A0DFF" w:rsidRPr="003E265B" w:rsidRDefault="000A0DFF" w:rsidP="000A0DFF">
            <w:pPr>
              <w:tabs>
                <w:tab w:val="clear" w:pos="567"/>
                <w:tab w:val="clear" w:pos="1134"/>
                <w:tab w:val="clear" w:pos="1701"/>
                <w:tab w:val="clear" w:pos="2268"/>
              </w:tabs>
              <w:jc w:val="right"/>
              <w:textAlignment w:val="baseline"/>
              <w:rPr>
                <w:rFonts w:eastAsia="Times New Roman"/>
                <w:sz w:val="24"/>
                <w:szCs w:val="24"/>
              </w:rPr>
            </w:pPr>
            <w:r>
              <w:rPr>
                <w:sz w:val="18"/>
              </w:rPr>
              <w:t xml:space="preserve">198,0 </w:t>
            </w:r>
          </w:p>
        </w:tc>
        <w:tc>
          <w:tcPr>
            <w:tcW w:w="1051" w:type="pct"/>
            <w:tcBorders>
              <w:top w:val="nil"/>
              <w:left w:val="nil"/>
              <w:bottom w:val="nil"/>
              <w:right w:val="nil"/>
            </w:tcBorders>
            <w:vAlign w:val="bottom"/>
            <w:hideMark/>
          </w:tcPr>
          <w:p w14:paraId="413A448A" w14:textId="2E7315E4" w:rsidR="000A0DFF" w:rsidRPr="003E265B" w:rsidRDefault="000A0DFF" w:rsidP="000A0DFF">
            <w:pPr>
              <w:tabs>
                <w:tab w:val="clear" w:pos="567"/>
                <w:tab w:val="clear" w:pos="1134"/>
                <w:tab w:val="clear" w:pos="1701"/>
                <w:tab w:val="clear" w:pos="2268"/>
              </w:tabs>
              <w:jc w:val="right"/>
              <w:textAlignment w:val="baseline"/>
              <w:rPr>
                <w:rFonts w:eastAsia="Times New Roman"/>
                <w:sz w:val="24"/>
                <w:szCs w:val="24"/>
              </w:rPr>
            </w:pPr>
            <w:r>
              <w:rPr>
                <w:sz w:val="18"/>
              </w:rPr>
              <w:t>2,0</w:t>
            </w:r>
          </w:p>
        </w:tc>
      </w:tr>
      <w:tr w:rsidR="000A0DFF" w:rsidRPr="003E265B" w14:paraId="124AB9B2" w14:textId="77777777" w:rsidTr="00440131">
        <w:trPr>
          <w:trHeight w:val="285"/>
        </w:trPr>
        <w:tc>
          <w:tcPr>
            <w:tcW w:w="2131" w:type="pct"/>
            <w:gridSpan w:val="2"/>
            <w:tcBorders>
              <w:top w:val="nil"/>
              <w:left w:val="nil"/>
              <w:bottom w:val="single" w:sz="4" w:space="0" w:color="auto"/>
              <w:right w:val="nil"/>
            </w:tcBorders>
            <w:vAlign w:val="bottom"/>
            <w:hideMark/>
          </w:tcPr>
          <w:p w14:paraId="6643DDCD" w14:textId="2D1DCFED" w:rsidR="000A0DFF" w:rsidRPr="003E265B" w:rsidRDefault="000A0DFF" w:rsidP="000A0DFF">
            <w:pPr>
              <w:tabs>
                <w:tab w:val="clear" w:pos="567"/>
                <w:tab w:val="clear" w:pos="1134"/>
                <w:tab w:val="clear" w:pos="1701"/>
                <w:tab w:val="clear" w:pos="2268"/>
              </w:tabs>
              <w:jc w:val="left"/>
              <w:textAlignment w:val="baseline"/>
              <w:rPr>
                <w:rFonts w:eastAsia="Times New Roman"/>
                <w:b/>
                <w:bCs/>
                <w:sz w:val="24"/>
                <w:szCs w:val="24"/>
              </w:rPr>
            </w:pPr>
            <w:r>
              <w:rPr>
                <w:sz w:val="18"/>
              </w:rPr>
              <w:t>Traducción de los sitios web del mecanismo de facilitación</w:t>
            </w:r>
            <w:r>
              <w:rPr>
                <w:b/>
                <w:sz w:val="18"/>
              </w:rPr>
              <w:t xml:space="preserve"> </w:t>
            </w:r>
          </w:p>
        </w:tc>
        <w:tc>
          <w:tcPr>
            <w:tcW w:w="769" w:type="pct"/>
            <w:tcBorders>
              <w:top w:val="nil"/>
              <w:left w:val="nil"/>
              <w:bottom w:val="single" w:sz="4" w:space="0" w:color="auto"/>
              <w:right w:val="nil"/>
            </w:tcBorders>
            <w:vAlign w:val="bottom"/>
            <w:hideMark/>
          </w:tcPr>
          <w:p w14:paraId="54A0EF18" w14:textId="048A9A7C" w:rsidR="000A0DFF" w:rsidRPr="003E265B" w:rsidRDefault="000A0DFF" w:rsidP="000A0DFF">
            <w:pPr>
              <w:tabs>
                <w:tab w:val="clear" w:pos="567"/>
                <w:tab w:val="clear" w:pos="1134"/>
                <w:tab w:val="clear" w:pos="1701"/>
                <w:tab w:val="clear" w:pos="2268"/>
              </w:tabs>
              <w:jc w:val="right"/>
              <w:textAlignment w:val="baseline"/>
              <w:rPr>
                <w:rFonts w:eastAsia="Times New Roman"/>
                <w:sz w:val="24"/>
                <w:szCs w:val="24"/>
              </w:rPr>
            </w:pPr>
            <w:r>
              <w:rPr>
                <w:sz w:val="18"/>
              </w:rPr>
              <w:t xml:space="preserve">130,0 </w:t>
            </w:r>
          </w:p>
        </w:tc>
        <w:tc>
          <w:tcPr>
            <w:tcW w:w="1049" w:type="pct"/>
            <w:tcBorders>
              <w:top w:val="nil"/>
              <w:left w:val="nil"/>
              <w:bottom w:val="single" w:sz="4" w:space="0" w:color="auto"/>
              <w:right w:val="nil"/>
            </w:tcBorders>
            <w:vAlign w:val="bottom"/>
            <w:hideMark/>
          </w:tcPr>
          <w:p w14:paraId="3D013B98" w14:textId="101BAAC4" w:rsidR="000A0DFF" w:rsidRPr="003E265B" w:rsidRDefault="000A0DFF" w:rsidP="000A0DFF">
            <w:pPr>
              <w:tabs>
                <w:tab w:val="clear" w:pos="567"/>
                <w:tab w:val="clear" w:pos="1134"/>
                <w:tab w:val="clear" w:pos="1701"/>
                <w:tab w:val="clear" w:pos="2268"/>
              </w:tabs>
              <w:jc w:val="right"/>
              <w:textAlignment w:val="baseline"/>
              <w:rPr>
                <w:rFonts w:eastAsia="Times New Roman"/>
                <w:sz w:val="24"/>
                <w:szCs w:val="24"/>
              </w:rPr>
            </w:pPr>
            <w:r>
              <w:rPr>
                <w:sz w:val="18"/>
              </w:rPr>
              <w:t xml:space="preserve">80,0 </w:t>
            </w:r>
          </w:p>
        </w:tc>
        <w:tc>
          <w:tcPr>
            <w:tcW w:w="1051" w:type="pct"/>
            <w:tcBorders>
              <w:top w:val="nil"/>
              <w:left w:val="nil"/>
              <w:bottom w:val="single" w:sz="4" w:space="0" w:color="auto"/>
              <w:right w:val="nil"/>
            </w:tcBorders>
            <w:vAlign w:val="bottom"/>
            <w:hideMark/>
          </w:tcPr>
          <w:p w14:paraId="735801D2" w14:textId="2121FFB4" w:rsidR="000A0DFF" w:rsidRPr="003E265B" w:rsidRDefault="000A0DFF" w:rsidP="000A0DFF">
            <w:pPr>
              <w:tabs>
                <w:tab w:val="clear" w:pos="567"/>
                <w:tab w:val="clear" w:pos="1134"/>
                <w:tab w:val="clear" w:pos="1701"/>
                <w:tab w:val="clear" w:pos="2268"/>
              </w:tabs>
              <w:jc w:val="right"/>
              <w:textAlignment w:val="baseline"/>
              <w:rPr>
                <w:rFonts w:eastAsia="Times New Roman"/>
                <w:sz w:val="24"/>
                <w:szCs w:val="24"/>
              </w:rPr>
            </w:pPr>
            <w:r>
              <w:rPr>
                <w:sz w:val="18"/>
              </w:rPr>
              <w:t>50,0</w:t>
            </w:r>
          </w:p>
        </w:tc>
      </w:tr>
      <w:tr w:rsidR="000A0DFF" w:rsidRPr="003E265B" w14:paraId="6EDD2C5C" w14:textId="77777777" w:rsidTr="00440131">
        <w:trPr>
          <w:trHeight w:val="285"/>
        </w:trPr>
        <w:tc>
          <w:tcPr>
            <w:tcW w:w="2131" w:type="pct"/>
            <w:gridSpan w:val="2"/>
            <w:tcBorders>
              <w:top w:val="single" w:sz="4" w:space="0" w:color="auto"/>
              <w:left w:val="nil"/>
              <w:bottom w:val="single" w:sz="4" w:space="0" w:color="auto"/>
              <w:right w:val="nil"/>
            </w:tcBorders>
            <w:vAlign w:val="bottom"/>
            <w:hideMark/>
          </w:tcPr>
          <w:p w14:paraId="57C2A46D" w14:textId="305B5DBB" w:rsidR="000A0DFF" w:rsidRPr="003E265B" w:rsidRDefault="00AA6129" w:rsidP="00440131">
            <w:pPr>
              <w:tabs>
                <w:tab w:val="clear" w:pos="567"/>
                <w:tab w:val="clear" w:pos="1134"/>
                <w:tab w:val="clear" w:pos="1701"/>
                <w:tab w:val="clear" w:pos="2268"/>
              </w:tabs>
              <w:ind w:firstLine="271"/>
              <w:jc w:val="left"/>
              <w:textAlignment w:val="baseline"/>
              <w:rPr>
                <w:rFonts w:eastAsia="Times New Roman"/>
                <w:b/>
                <w:bCs/>
                <w:sz w:val="24"/>
                <w:szCs w:val="24"/>
              </w:rPr>
            </w:pPr>
            <w:r>
              <w:rPr>
                <w:b/>
                <w:sz w:val="18"/>
              </w:rPr>
              <w:t xml:space="preserve">Total </w:t>
            </w:r>
          </w:p>
        </w:tc>
        <w:tc>
          <w:tcPr>
            <w:tcW w:w="769" w:type="pct"/>
            <w:tcBorders>
              <w:top w:val="single" w:sz="4" w:space="0" w:color="auto"/>
              <w:left w:val="nil"/>
              <w:bottom w:val="single" w:sz="4" w:space="0" w:color="auto"/>
              <w:right w:val="nil"/>
            </w:tcBorders>
            <w:vAlign w:val="bottom"/>
            <w:hideMark/>
          </w:tcPr>
          <w:p w14:paraId="612ABD5E" w14:textId="3C279165" w:rsidR="000A0DFF" w:rsidRPr="003E265B" w:rsidRDefault="000A0DFF" w:rsidP="000A0DFF">
            <w:pPr>
              <w:tabs>
                <w:tab w:val="clear" w:pos="567"/>
                <w:tab w:val="clear" w:pos="1134"/>
                <w:tab w:val="clear" w:pos="1701"/>
                <w:tab w:val="clear" w:pos="2268"/>
              </w:tabs>
              <w:jc w:val="right"/>
              <w:textAlignment w:val="baseline"/>
              <w:rPr>
                <w:rFonts w:eastAsia="Times New Roman"/>
                <w:sz w:val="24"/>
                <w:szCs w:val="24"/>
              </w:rPr>
            </w:pPr>
            <w:r>
              <w:rPr>
                <w:b/>
                <w:sz w:val="18"/>
              </w:rPr>
              <w:t xml:space="preserve">39 169,9 </w:t>
            </w:r>
          </w:p>
        </w:tc>
        <w:tc>
          <w:tcPr>
            <w:tcW w:w="1049" w:type="pct"/>
            <w:tcBorders>
              <w:top w:val="single" w:sz="4" w:space="0" w:color="auto"/>
              <w:left w:val="nil"/>
              <w:bottom w:val="single" w:sz="4" w:space="0" w:color="auto"/>
              <w:right w:val="nil"/>
            </w:tcBorders>
            <w:vAlign w:val="bottom"/>
            <w:hideMark/>
          </w:tcPr>
          <w:p w14:paraId="3FAF9BD6" w14:textId="5501ADF3" w:rsidR="000A0DFF" w:rsidRPr="003E265B" w:rsidRDefault="000A0DFF" w:rsidP="000A0DFF">
            <w:pPr>
              <w:tabs>
                <w:tab w:val="clear" w:pos="567"/>
                <w:tab w:val="clear" w:pos="1134"/>
                <w:tab w:val="clear" w:pos="1701"/>
                <w:tab w:val="clear" w:pos="2268"/>
              </w:tabs>
              <w:jc w:val="right"/>
              <w:textAlignment w:val="baseline"/>
              <w:rPr>
                <w:rFonts w:eastAsia="Times New Roman"/>
                <w:sz w:val="24"/>
                <w:szCs w:val="24"/>
              </w:rPr>
            </w:pPr>
            <w:r>
              <w:rPr>
                <w:b/>
                <w:sz w:val="18"/>
              </w:rPr>
              <w:t xml:space="preserve">39 080,9 </w:t>
            </w:r>
          </w:p>
        </w:tc>
        <w:tc>
          <w:tcPr>
            <w:tcW w:w="1051" w:type="pct"/>
            <w:tcBorders>
              <w:top w:val="single" w:sz="4" w:space="0" w:color="auto"/>
              <w:left w:val="nil"/>
              <w:bottom w:val="single" w:sz="4" w:space="0" w:color="auto"/>
              <w:right w:val="nil"/>
            </w:tcBorders>
            <w:vAlign w:val="bottom"/>
            <w:hideMark/>
          </w:tcPr>
          <w:p w14:paraId="4EFA2EAB" w14:textId="3C7B3073" w:rsidR="000A0DFF" w:rsidRPr="003E265B" w:rsidRDefault="25830CE9" w:rsidP="000A0DFF">
            <w:pPr>
              <w:tabs>
                <w:tab w:val="clear" w:pos="567"/>
                <w:tab w:val="clear" w:pos="1134"/>
                <w:tab w:val="clear" w:pos="1701"/>
                <w:tab w:val="clear" w:pos="2268"/>
              </w:tabs>
              <w:jc w:val="right"/>
              <w:textAlignment w:val="baseline"/>
              <w:rPr>
                <w:rFonts w:eastAsia="Times New Roman"/>
                <w:sz w:val="24"/>
                <w:szCs w:val="24"/>
              </w:rPr>
            </w:pPr>
            <w:r>
              <w:rPr>
                <w:b/>
                <w:sz w:val="18"/>
              </w:rPr>
              <w:t>93,4</w:t>
            </w:r>
          </w:p>
        </w:tc>
      </w:tr>
    </w:tbl>
    <w:p w14:paraId="44313585" w14:textId="6DF7117F" w:rsidR="00A556AC" w:rsidRPr="003E265B" w:rsidRDefault="00F10EB6" w:rsidP="00440131">
      <w:pPr>
        <w:pStyle w:val="CBDH5"/>
        <w:ind w:firstLine="0"/>
      </w:pPr>
      <w:r>
        <w:t>Gastos de personal</w:t>
      </w:r>
    </w:p>
    <w:p w14:paraId="2ECDAC68" w14:textId="42961738" w:rsidR="00F10EB6" w:rsidRPr="003E265B" w:rsidRDefault="415B4EE3" w:rsidP="00440131">
      <w:pPr>
        <w:pStyle w:val="CBDNormalNumber"/>
      </w:pPr>
      <w:r>
        <w:t>En su decisión 16/28, la Conferencia de las Partes aprobó 87 puestos (56 puestos del Cuadro Orgánico y categorías superiores y 31 puestos del Cuadro de Servicios Generales) con cargo al presupuesto básico consolidado de los tres fondos fiduciarios generales para el bienio 2025-2026. Las Naciones Unidas aprobaron las escalas salariales revisadas para el personal contratado localmente en Montreal (Cuadro de Servicios Generales y Cuadro Orgánico Nacional), a raíz de los resultados de un estudio salarial realizado por la Comisión de Administración Pública Internacional en 2024. Para escalonar las consecuencias financieras del aumento salarial, este se aplicó en dos etapas: con efecto a partir del 1 de abril de 2024, los salarios aumentaron un 6,44 % y, con efecto a partir del 1 de abril de 2025, aumentaron un 6,27 % adicional. La parte restante del aumento se aplicará gradualmente en los próximos años, en función de las revisiones intermedias y de las normas de las Naciones Unidas. Los pagos retroactivos se tramitaron en 2025.</w:t>
      </w:r>
    </w:p>
    <w:p w14:paraId="5CF434A1" w14:textId="5D1561A7" w:rsidR="000C4971" w:rsidRPr="003E265B" w:rsidRDefault="000C4971" w:rsidP="00440131">
      <w:pPr>
        <w:pStyle w:val="CBDH5"/>
        <w:ind w:firstLine="0"/>
      </w:pPr>
      <w:r>
        <w:t xml:space="preserve">Personal temporario general </w:t>
      </w:r>
    </w:p>
    <w:p w14:paraId="74659399" w14:textId="53BA44C2" w:rsidR="000C4971" w:rsidRPr="003E265B" w:rsidRDefault="00E348D0" w:rsidP="00440131">
      <w:pPr>
        <w:pStyle w:val="CBDNormalNumber"/>
      </w:pPr>
      <w:r>
        <w:t>Al 31 de mayo de 2026, la Secretaría había gastado aproximadamente 82.000</w:t>
      </w:r>
      <w:r w:rsidR="00E66198">
        <w:t> </w:t>
      </w:r>
      <w:r>
        <w:t xml:space="preserve">dólares en la contratación de cuatro contratistas individuales para satisfacer las crecientes necesidades operativas. Se prevé contratar personal temporario adicional con el monto restante del presupuesto para que preste apoyo en la preparación de las próximas reuniones de la Conferencia de las Partes. </w:t>
      </w:r>
    </w:p>
    <w:p w14:paraId="46B51D70" w14:textId="63BF7D9C" w:rsidR="00E348D0" w:rsidRPr="003E265B" w:rsidRDefault="00E348D0" w:rsidP="00440131">
      <w:pPr>
        <w:pStyle w:val="CBDH5"/>
        <w:ind w:firstLine="0"/>
      </w:pPr>
      <w:r>
        <w:t>Consultores</w:t>
      </w:r>
    </w:p>
    <w:p w14:paraId="0869BFC2" w14:textId="13059E0E" w:rsidR="47C9D8B5" w:rsidRPr="003E265B" w:rsidRDefault="47C9D8B5" w:rsidP="00440131">
      <w:pPr>
        <w:pStyle w:val="CBDNormalNumber"/>
        <w:rPr>
          <w:rFonts w:eastAsia="Times New Roman"/>
        </w:rPr>
      </w:pPr>
      <w:r>
        <w:t>Al 31 de mayo de 2026, la Secretaría había gastado alrededor de 125.000 dólares en siete consultores, y se prevé que se supere este presupuesto, ya que actualmente es necesario contratar a uno o dos consultores más.</w:t>
      </w:r>
    </w:p>
    <w:p w14:paraId="39B5C50B" w14:textId="22EA3E3B" w:rsidR="00E348D0" w:rsidRPr="003E265B" w:rsidRDefault="00BA559A" w:rsidP="2080ABF3">
      <w:pPr>
        <w:pStyle w:val="CBDNormalNumber"/>
        <w:numPr>
          <w:ilvl w:val="0"/>
          <w:numId w:val="0"/>
        </w:numPr>
        <w:tabs>
          <w:tab w:val="left" w:pos="990"/>
        </w:tabs>
        <w:ind w:left="567"/>
      </w:pPr>
      <w:r>
        <w:rPr>
          <w:i/>
        </w:rPr>
        <w:t>Capacitación</w:t>
      </w:r>
    </w:p>
    <w:p w14:paraId="0B2804EF" w14:textId="1C4368AC" w:rsidR="000C4971" w:rsidRPr="003E265B" w:rsidRDefault="00CC7FBB" w:rsidP="00440131">
      <w:pPr>
        <w:pStyle w:val="CBDNormalNumber"/>
      </w:pPr>
      <w:r>
        <w:t xml:space="preserve">Al 31 de mayo de 2026, se habían gastado aproximadamente 7.000 dólares para sufragar los costes de la capacitación en análisis de datos. El saldo restante se destinará a nuevas capacitaciones del personal antes de diciembre de 2026. </w:t>
      </w:r>
    </w:p>
    <w:p w14:paraId="5D48CC34" w14:textId="6E06CE05" w:rsidR="00CC7FBB" w:rsidRPr="003E265B" w:rsidRDefault="00CC7FBB" w:rsidP="00440131">
      <w:pPr>
        <w:pStyle w:val="CBDH5"/>
        <w:ind w:firstLine="0"/>
      </w:pPr>
      <w:r>
        <w:t xml:space="preserve">Revisión estructural </w:t>
      </w:r>
    </w:p>
    <w:p w14:paraId="7AC61B96" w14:textId="51262743" w:rsidR="000C4971" w:rsidRPr="003E265B" w:rsidRDefault="00CC7FBB" w:rsidP="00440131">
      <w:pPr>
        <w:pStyle w:val="CBDNormalNumber"/>
      </w:pPr>
      <w:r>
        <w:t>La revisión funcional se llevó a cabo y concluyó con un gasto superior al previsto de aproximadamente 28.000 dólares. El informe completo se presenta en un documento aparte</w:t>
      </w:r>
      <w:r w:rsidR="004F7C74" w:rsidRPr="003E265B">
        <w:rPr>
          <w:rStyle w:val="FootnoteReference"/>
        </w:rPr>
        <w:footnoteReference w:id="6"/>
      </w:r>
      <w:r>
        <w:t>.</w:t>
      </w:r>
    </w:p>
    <w:p w14:paraId="5CA39446" w14:textId="30326ECE" w:rsidR="00CC7FBB" w:rsidRPr="003E265B" w:rsidRDefault="00CC7FBB" w:rsidP="00440131">
      <w:pPr>
        <w:pStyle w:val="CBDH5"/>
        <w:ind w:firstLine="0"/>
      </w:pPr>
      <w:r>
        <w:lastRenderedPageBreak/>
        <w:t xml:space="preserve">Reuniones de las Mesas </w:t>
      </w:r>
    </w:p>
    <w:p w14:paraId="7EFAE064" w14:textId="71C71663" w:rsidR="00CC7FBB" w:rsidRPr="003E265B" w:rsidRDefault="2E36DB68" w:rsidP="00440131">
      <w:pPr>
        <w:pStyle w:val="CBDNormalNumber"/>
      </w:pPr>
      <w:r>
        <w:t>En su decisión 16/28, la Conferencia de las Partes aprobó un presupuesto de 338.300 dólares para el bienio con el fin de cubrir los gastos de las reuniones de las Mesas. Durante el período del 1 de enero de 2025 al 30 de junio de 2026, se celebraron nueve reuniones de la Mesa de la Conferencia de las Partes, así como dos reuniones conjuntas con la Mesa del Órgano Subsidiario de Asesoramiento Científico, Técnico y Tecnológico. De estas nueve reuniones, tres</w:t>
      </w:r>
      <w:r w:rsidR="001B3B54" w:rsidRPr="003E265B">
        <w:rPr>
          <w:rStyle w:val="FootnoteReference"/>
        </w:rPr>
        <w:footnoteReference w:id="7"/>
      </w:r>
      <w:r>
        <w:t xml:space="preserve"> se celebraron de forma presencial, y el resto, por videoconferencia. Además, en octubre de 2025 se celebró un retiro en Panamá, inmediatamente después de la primera reunión del Órgano Subsidiario sobre el Artículo 8 j) y Otras Disposiciones del Convenio sobre la Diversidad Biológica Relativas a los Pueblos Indígenas y las Comunidades Locales. Una de las reuniones conjuntas se celebró presencialmente en Roma en 2025, paralelamente a la reanudación de la 16</w:t>
      </w:r>
      <w:r>
        <w:rPr>
          <w:vertAlign w:val="superscript"/>
        </w:rPr>
        <w:t>a</w:t>
      </w:r>
      <w:r>
        <w:t xml:space="preserve"> reunión de la Conferencia de las Partes en el Convenio, y la otra se celebró en línea. Durante el período restante, del 1 de julio al 30 de octubre de 2026, se celebrarán dos reuniones en línea y dos reuniones presenciales de la Mesa para llevar a cabo, en Nairobi, la 7</w:t>
      </w:r>
      <w:r>
        <w:rPr>
          <w:vertAlign w:val="superscript"/>
        </w:rPr>
        <w:t>a</w:t>
      </w:r>
      <w:r>
        <w:t xml:space="preserve"> reunión del Órgano Subsidiario sobre la Aplicación y, en Ereván, la 17</w:t>
      </w:r>
      <w:r>
        <w:rPr>
          <w:vertAlign w:val="superscript"/>
        </w:rPr>
        <w:t>a</w:t>
      </w:r>
      <w:r>
        <w:t xml:space="preserve"> reunión de la Conferencia de las Partes. Hasta el 31 de mayo se había gastado un total de aproximadamente 231.000 dólares para facilitar los desplazamientos de los miembros de la Mesa procedentes de Partes que son países en desarrollo. La Secretaría prevé agotar el presupuesto restante a más tardar a fines de diciembre de 2026. </w:t>
      </w:r>
    </w:p>
    <w:p w14:paraId="5CF6EC49" w14:textId="6AE95C10" w:rsidR="009B154D" w:rsidRPr="003E265B" w:rsidRDefault="00650279" w:rsidP="00440131">
      <w:pPr>
        <w:pStyle w:val="CBDH5"/>
        <w:ind w:firstLine="0"/>
      </w:pPr>
      <w:r>
        <w:t xml:space="preserve">Reuniones de expertos </w:t>
      </w:r>
    </w:p>
    <w:p w14:paraId="54F6E804" w14:textId="38089A90" w:rsidR="00650279" w:rsidRPr="003E265B" w:rsidRDefault="490D05A6" w:rsidP="00440131">
      <w:pPr>
        <w:pStyle w:val="CBDNormalNumber"/>
        <w:keepNext/>
        <w:tabs>
          <w:tab w:val="left" w:pos="1080"/>
        </w:tabs>
      </w:pPr>
      <w:r>
        <w:t>En su 16</w:t>
      </w:r>
      <w:r>
        <w:rPr>
          <w:vertAlign w:val="superscript"/>
        </w:rPr>
        <w:t>a</w:t>
      </w:r>
      <w:r>
        <w:t xml:space="preserve"> reunión, la Conferencia de las Partes aprobó un presupuesto de 380.000 dólares para organizar varias reuniones de expertos en 2025-2026. Durante el período del 1 de enero de 2025 al 31 de mayo de 2026, la Secretaría organizó las siguientes reuniones presenciales de expertos, con un costo total de alrededor de 352.000 dólares:</w:t>
      </w:r>
    </w:p>
    <w:p w14:paraId="0A6E60FA" w14:textId="77777777" w:rsidR="001724A7" w:rsidRPr="003E265B" w:rsidRDefault="490D05A6" w:rsidP="00904501">
      <w:pPr>
        <w:pStyle w:val="CBDNormalNumber"/>
        <w:keepNext/>
        <w:numPr>
          <w:ilvl w:val="1"/>
          <w:numId w:val="52"/>
        </w:numPr>
      </w:pPr>
      <w:r>
        <w:t>Reuniones de expertos en el marco del Convenio:</w:t>
      </w:r>
    </w:p>
    <w:p w14:paraId="1BB01130" w14:textId="47146C8F" w:rsidR="001724A7" w:rsidRPr="003E265B" w:rsidRDefault="002566A9" w:rsidP="00743972">
      <w:pPr>
        <w:pStyle w:val="CBDNormalNumber"/>
        <w:numPr>
          <w:ilvl w:val="2"/>
          <w:numId w:val="53"/>
        </w:numPr>
        <w:tabs>
          <w:tab w:val="clear" w:pos="567"/>
          <w:tab w:val="left" w:pos="1080"/>
          <w:tab w:val="left" w:pos="1890"/>
        </w:tabs>
        <w:jc w:val="left"/>
      </w:pPr>
      <w:r>
        <w:t>1</w:t>
      </w:r>
      <w:r w:rsidRPr="002566A9">
        <w:rPr>
          <w:vertAlign w:val="superscript"/>
        </w:rPr>
        <w:t>a</w:t>
      </w:r>
      <w:r w:rsidR="490D05A6">
        <w:t xml:space="preserve"> reunión del Grupo Especial de Expertos Técnicos sobre Metodología de Asignación (27 a 29 de enero de 2026);</w:t>
      </w:r>
    </w:p>
    <w:p w14:paraId="6500B8E3" w14:textId="0B782C0E" w:rsidR="001724A7" w:rsidRPr="003E265B" w:rsidRDefault="002566A9" w:rsidP="00743972">
      <w:pPr>
        <w:pStyle w:val="CBDNormalNumber"/>
        <w:numPr>
          <w:ilvl w:val="2"/>
          <w:numId w:val="53"/>
        </w:numPr>
        <w:tabs>
          <w:tab w:val="clear" w:pos="567"/>
          <w:tab w:val="left" w:pos="1080"/>
          <w:tab w:val="left" w:pos="1890"/>
        </w:tabs>
        <w:jc w:val="left"/>
      </w:pPr>
      <w:r>
        <w:t>2</w:t>
      </w:r>
      <w:r w:rsidRPr="002566A9">
        <w:rPr>
          <w:vertAlign w:val="superscript"/>
        </w:rPr>
        <w:t>a</w:t>
      </w:r>
      <w:r w:rsidR="490D05A6">
        <w:t xml:space="preserve"> reunión del Grupo Especial de Expertos Técnicos sobre Metodología de Asignación (12 a 14 de mayo de 2026);</w:t>
      </w:r>
    </w:p>
    <w:p w14:paraId="51F0180B" w14:textId="6470E1AF" w:rsidR="00650279" w:rsidRPr="003E265B" w:rsidRDefault="00680AB0" w:rsidP="00743972">
      <w:pPr>
        <w:pStyle w:val="CBDNormalNumber"/>
        <w:numPr>
          <w:ilvl w:val="2"/>
          <w:numId w:val="53"/>
        </w:numPr>
        <w:tabs>
          <w:tab w:val="clear" w:pos="567"/>
          <w:tab w:val="left" w:pos="1080"/>
          <w:tab w:val="left" w:pos="1890"/>
        </w:tabs>
        <w:jc w:val="left"/>
      </w:pPr>
      <w:r>
        <w:t>Antes de diciembre de 2026, se celebrará una reunión del Comité Asesor Oficioso sobre el Mecanismo de Facilitación;</w:t>
      </w:r>
    </w:p>
    <w:p w14:paraId="2C8B9A9A" w14:textId="3803C4C2" w:rsidR="001724A7" w:rsidRPr="003E265B" w:rsidRDefault="007655A5" w:rsidP="007655A5">
      <w:pPr>
        <w:pStyle w:val="CBDNormalNumber"/>
        <w:keepNext/>
        <w:numPr>
          <w:ilvl w:val="0"/>
          <w:numId w:val="0"/>
        </w:numPr>
        <w:ind w:left="567" w:firstLine="567"/>
      </w:pPr>
      <w:r>
        <w:t>b)</w:t>
      </w:r>
      <w:r>
        <w:tab/>
      </w:r>
      <w:r w:rsidR="490D05A6">
        <w:t>Reuniones de expertos en el marco del Protocolo de Cartagena:</w:t>
      </w:r>
    </w:p>
    <w:p w14:paraId="73B78C42" w14:textId="3946B0E4" w:rsidR="00EE1A97" w:rsidRPr="003E265B" w:rsidRDefault="490D05A6" w:rsidP="00A73E8B">
      <w:pPr>
        <w:pStyle w:val="ListParagraph"/>
        <w:numPr>
          <w:ilvl w:val="2"/>
          <w:numId w:val="55"/>
        </w:numPr>
        <w:spacing w:before="120" w:after="120"/>
        <w:contextualSpacing w:val="0"/>
        <w:jc w:val="left"/>
      </w:pPr>
      <w:r>
        <w:t>20</w:t>
      </w:r>
      <w:r>
        <w:rPr>
          <w:vertAlign w:val="superscript"/>
        </w:rPr>
        <w:t>a</w:t>
      </w:r>
      <w:r>
        <w:t xml:space="preserve"> reunión del Comité de Cumplimiento del Protocolo de Cartagena sobre Seguridad de la Biotecnología (27 a 29 de mayo de 2025);</w:t>
      </w:r>
    </w:p>
    <w:p w14:paraId="4948730D" w14:textId="67FCE501" w:rsidR="001724A7" w:rsidRPr="003E265B" w:rsidRDefault="490D05A6" w:rsidP="00A73E8B">
      <w:pPr>
        <w:pStyle w:val="ListParagraph"/>
        <w:numPr>
          <w:ilvl w:val="2"/>
          <w:numId w:val="55"/>
        </w:numPr>
        <w:spacing w:before="120" w:after="120"/>
        <w:contextualSpacing w:val="0"/>
        <w:jc w:val="left"/>
      </w:pPr>
      <w:r>
        <w:t>13</w:t>
      </w:r>
      <w:r>
        <w:rPr>
          <w:vertAlign w:val="superscript"/>
        </w:rPr>
        <w:t>a</w:t>
      </w:r>
      <w:r>
        <w:t xml:space="preserve"> reunión del Comité Asesor Oficioso sobre el Centro de Intercambio de Información sobre Seguridad de la Biotecnología (9 a 11 de diciembre de 2025);</w:t>
      </w:r>
    </w:p>
    <w:p w14:paraId="58044582" w14:textId="55D9072F" w:rsidR="001724A7" w:rsidRPr="003E265B" w:rsidRDefault="490D05A6" w:rsidP="00A73E8B">
      <w:pPr>
        <w:pStyle w:val="ListParagraph"/>
        <w:numPr>
          <w:ilvl w:val="2"/>
          <w:numId w:val="55"/>
        </w:numPr>
        <w:spacing w:before="120" w:after="120"/>
        <w:contextualSpacing w:val="0"/>
        <w:jc w:val="left"/>
      </w:pPr>
      <w:r>
        <w:t>21</w:t>
      </w:r>
      <w:r>
        <w:rPr>
          <w:vertAlign w:val="superscript"/>
        </w:rPr>
        <w:t>a</w:t>
      </w:r>
      <w:r>
        <w:t xml:space="preserve"> reunión del Comité de Cumplimiento del Protocolo de Cartagena sobre Seguridad de la Biotecnología (10 a 12 de junio de 2026);</w:t>
      </w:r>
    </w:p>
    <w:p w14:paraId="3350706A" w14:textId="06C28BDA" w:rsidR="00E34C9E" w:rsidRPr="003E265B" w:rsidRDefault="00417720" w:rsidP="00A73E8B">
      <w:pPr>
        <w:pStyle w:val="ListParagraph"/>
        <w:numPr>
          <w:ilvl w:val="2"/>
          <w:numId w:val="55"/>
        </w:numPr>
        <w:spacing w:before="120" w:after="120"/>
        <w:contextualSpacing w:val="0"/>
        <w:jc w:val="left"/>
      </w:pPr>
      <w:r>
        <w:t>15</w:t>
      </w:r>
      <w:r>
        <w:rPr>
          <w:vertAlign w:val="superscript"/>
        </w:rPr>
        <w:t>a</w:t>
      </w:r>
      <w:r>
        <w:t xml:space="preserve"> reunión del Grupo de Enlace del Protocolo de Cartagena sobre Seguridad de la Biotecnología (16 a 18 de junio de 2026);</w:t>
      </w:r>
    </w:p>
    <w:p w14:paraId="7CB7014C" w14:textId="0B2A9856" w:rsidR="00E34C9E" w:rsidRPr="003E265B" w:rsidRDefault="005D7930" w:rsidP="005D7930">
      <w:pPr>
        <w:pStyle w:val="ListParagraph"/>
        <w:keepNext/>
        <w:tabs>
          <w:tab w:val="clear" w:pos="567"/>
          <w:tab w:val="clear" w:pos="1134"/>
        </w:tabs>
        <w:spacing w:before="120" w:after="120"/>
        <w:ind w:left="1134"/>
        <w:contextualSpacing w:val="0"/>
        <w:jc w:val="left"/>
      </w:pPr>
      <w:r>
        <w:lastRenderedPageBreak/>
        <w:t>c)</w:t>
      </w:r>
      <w:r>
        <w:tab/>
      </w:r>
      <w:r w:rsidR="490D05A6">
        <w:t>Reuniones de expertos en el marco del Protocolo de Nagoya:</w:t>
      </w:r>
    </w:p>
    <w:p w14:paraId="2856A3D0" w14:textId="6733DBFD" w:rsidR="00EE1A97" w:rsidRPr="003E265B" w:rsidRDefault="00890CCE" w:rsidP="005D7930">
      <w:pPr>
        <w:pStyle w:val="ListParagraph"/>
        <w:numPr>
          <w:ilvl w:val="2"/>
          <w:numId w:val="57"/>
        </w:numPr>
        <w:spacing w:before="120" w:after="120"/>
        <w:contextualSpacing w:val="0"/>
        <w:jc w:val="left"/>
      </w:pPr>
      <w:r>
        <w:t>5</w:t>
      </w:r>
      <w:r w:rsidR="490D05A6" w:rsidRPr="00890CCE">
        <w:rPr>
          <w:vertAlign w:val="superscript"/>
        </w:rPr>
        <w:t>a</w:t>
      </w:r>
      <w:r w:rsidR="490D05A6">
        <w:t xml:space="preserve"> reunión del Comité de Cumplimiento del Protocolo de Nagoya sobre Acceso y Participación en los Beneficios (27 a 29 de mayo de 2026);</w:t>
      </w:r>
    </w:p>
    <w:p w14:paraId="05D57F88" w14:textId="3F64AE36" w:rsidR="00EE1A97" w:rsidRPr="003E265B" w:rsidRDefault="00890CCE" w:rsidP="005D7930">
      <w:pPr>
        <w:pStyle w:val="ListParagraph"/>
        <w:numPr>
          <w:ilvl w:val="2"/>
          <w:numId w:val="57"/>
        </w:numPr>
        <w:spacing w:before="120" w:after="120"/>
        <w:contextualSpacing w:val="0"/>
        <w:jc w:val="left"/>
      </w:pPr>
      <w:r>
        <w:t>6</w:t>
      </w:r>
      <w:r w:rsidR="490D05A6" w:rsidRPr="00890CCE">
        <w:rPr>
          <w:vertAlign w:val="superscript"/>
        </w:rPr>
        <w:t>a</w:t>
      </w:r>
      <w:r w:rsidR="490D05A6">
        <w:t xml:space="preserve"> reunión del Comité Asesor Oficioso sobre Creación de Capacidad para la Aplicación del Protocolo de Nagoya (1 a 4 de junio de 2026);</w:t>
      </w:r>
    </w:p>
    <w:p w14:paraId="32F5DF5B" w14:textId="76D7E9A5" w:rsidR="00650279" w:rsidRPr="003E265B" w:rsidRDefault="00890CCE" w:rsidP="005D7930">
      <w:pPr>
        <w:pStyle w:val="ListParagraph"/>
        <w:numPr>
          <w:ilvl w:val="2"/>
          <w:numId w:val="57"/>
        </w:numPr>
        <w:spacing w:before="120" w:after="120"/>
        <w:contextualSpacing w:val="0"/>
        <w:jc w:val="left"/>
      </w:pPr>
      <w:r>
        <w:t>6</w:t>
      </w:r>
      <w:r w:rsidR="490D05A6" w:rsidRPr="00890CCE">
        <w:rPr>
          <w:vertAlign w:val="superscript"/>
        </w:rPr>
        <w:t>a</w:t>
      </w:r>
      <w:r w:rsidR="490D05A6">
        <w:t xml:space="preserve"> reunión del Comité Asesor Oficioso sobre el Centro de Intercambio de Información sobre Acceso y Participación en los Beneficios (17 de junio de 2026).</w:t>
      </w:r>
    </w:p>
    <w:p w14:paraId="6A8CBB23" w14:textId="05D744E9" w:rsidR="00CC7FBB" w:rsidRPr="003E265B" w:rsidRDefault="00A83CD2" w:rsidP="00440131">
      <w:pPr>
        <w:pStyle w:val="CBDH5"/>
        <w:ind w:firstLine="0"/>
      </w:pPr>
      <w:r>
        <w:t xml:space="preserve">Reuniones de órganos intergubernamentales </w:t>
      </w:r>
    </w:p>
    <w:p w14:paraId="39F41DA6" w14:textId="4D93E382" w:rsidR="00CC7FBB" w:rsidRPr="003E265B" w:rsidRDefault="1682D5B9" w:rsidP="00440131">
      <w:pPr>
        <w:pStyle w:val="CBDNormalNumber"/>
      </w:pPr>
      <w:r>
        <w:t>En su decisión 16/28, la Conferencia de las Partes aprobó un presupuesto de 4.975.500 dólares para el bienio, destinado a cubrir los costos de las reuniones de los órganos subsidiarios, la 17</w:t>
      </w:r>
      <w:r>
        <w:rPr>
          <w:vertAlign w:val="superscript"/>
        </w:rPr>
        <w:t>a</w:t>
      </w:r>
      <w:r>
        <w:t xml:space="preserve"> reunión de la Conferencia de las Partes en el Convenio, la 12</w:t>
      </w:r>
      <w:r>
        <w:rPr>
          <w:vertAlign w:val="superscript"/>
        </w:rPr>
        <w:t>a</w:t>
      </w:r>
      <w:r>
        <w:t xml:space="preserve"> reunión de la Conferencia de las Partes que actúa como reunión de las Partes en el Protocolo de Cartagena y la 6</w:t>
      </w:r>
      <w:r>
        <w:rPr>
          <w:vertAlign w:val="superscript"/>
        </w:rPr>
        <w:t>a</w:t>
      </w:r>
      <w:r>
        <w:t xml:space="preserve"> reunión de la Conferencia de las Partes que actúa como reunión de las Partes en el Protocolo de Nagoya. Al 31 de mayo de 2026, se habían gastado alrededor de 4,14 millones de dólares para financiar los costos de las reuniones 27</w:t>
      </w:r>
      <w:r>
        <w:rPr>
          <w:vertAlign w:val="superscript"/>
        </w:rPr>
        <w:t>a</w:t>
      </w:r>
      <w:r>
        <w:t xml:space="preserve"> y 28</w:t>
      </w:r>
      <w:r>
        <w:rPr>
          <w:vertAlign w:val="superscript"/>
        </w:rPr>
        <w:t>a</w:t>
      </w:r>
      <w:r>
        <w:t xml:space="preserve"> del Órgano Subsidiario de Asesoramiento Científico, Técnico y Tecnológico; las reuniones 6</w:t>
      </w:r>
      <w:r>
        <w:rPr>
          <w:vertAlign w:val="superscript"/>
        </w:rPr>
        <w:t>a</w:t>
      </w:r>
      <w:r>
        <w:t xml:space="preserve"> y 7</w:t>
      </w:r>
      <w:r>
        <w:rPr>
          <w:vertAlign w:val="superscript"/>
        </w:rPr>
        <w:t>a</w:t>
      </w:r>
      <w:r>
        <w:t xml:space="preserve"> del Órgano Subsidiario sobre la Aplicación; la segunda continuación de la 16</w:t>
      </w:r>
      <w:r>
        <w:rPr>
          <w:vertAlign w:val="superscript"/>
        </w:rPr>
        <w:t>a</w:t>
      </w:r>
      <w:r>
        <w:t xml:space="preserve"> reunión de la Conferencia de las Partes en el Convenio, la 11</w:t>
      </w:r>
      <w:r>
        <w:rPr>
          <w:vertAlign w:val="superscript"/>
        </w:rPr>
        <w:t>a</w:t>
      </w:r>
      <w:r>
        <w:t xml:space="preserve"> reunión de la Conferencia de las Partes que actúa como reunión de las Partes en el Protocolo de Cartagena y la 5</w:t>
      </w:r>
      <w:r>
        <w:rPr>
          <w:vertAlign w:val="superscript"/>
        </w:rPr>
        <w:t>a</w:t>
      </w:r>
      <w:r>
        <w:t xml:space="preserve"> reunión de la Conferencia de las Partes que actúa como reunión de las Partes en el Protocolo de Nagoya; la 1</w:t>
      </w:r>
      <w:r>
        <w:rPr>
          <w:vertAlign w:val="superscript"/>
        </w:rPr>
        <w:t>a</w:t>
      </w:r>
      <w:r>
        <w:t xml:space="preserve"> reunión del Órgano Subsidiario sobre el Artículo 8 j) y Otras Disposiciones del Convenio sobre la Diversidad Biológica Relativas a los Pueblos Indígenas y las Comunidades; la 17</w:t>
      </w:r>
      <w:r>
        <w:rPr>
          <w:vertAlign w:val="superscript"/>
        </w:rPr>
        <w:t>a</w:t>
      </w:r>
      <w:r>
        <w:t xml:space="preserve"> reunión de la Conferencia de las Partes en el Convenio; la 12</w:t>
      </w:r>
      <w:r>
        <w:rPr>
          <w:vertAlign w:val="superscript"/>
        </w:rPr>
        <w:t>a</w:t>
      </w:r>
      <w:r>
        <w:t xml:space="preserve"> reunión de la Conferencia de las Partes que actúa como reunión de las Partes en el Protocolo de Cartagena; y la 6</w:t>
      </w:r>
      <w:r>
        <w:rPr>
          <w:vertAlign w:val="superscript"/>
        </w:rPr>
        <w:t>a</w:t>
      </w:r>
      <w:r>
        <w:t xml:space="preserve"> reunión de la Conferencia de las Partes que actúa como reunión de las Partes en el Protocolo de Nagoya. Es importante señalar que en este bienio se celebró una reunión adicional del Órgano Subsidiario sobre la Aplicación que no se tuvo en cuenta en el presupuesto para 2025-2026. Con la próxima 28ª reunión del Órgano Subsidiario de Asesoramiento Científico, Técnico y Tecnológico y la 7ª reunión del Órgano Subsidiario sobre la Aplicación, que se celebrarán en Nairobi, y la 17ª reunión de la Conferencia de las Partes, que se celebrará en Ereván, se prevé </w:t>
      </w:r>
      <w:r w:rsidR="00364B36">
        <w:t>superar</w:t>
      </w:r>
      <w:r>
        <w:t xml:space="preserve"> esta partida presupuestaria en una cantidad estimada de 880.000 dólares.</w:t>
      </w:r>
    </w:p>
    <w:p w14:paraId="680F3A5B" w14:textId="6341D4D0" w:rsidR="002D6AC6" w:rsidRPr="003E265B" w:rsidRDefault="002D6AC6" w:rsidP="00440131">
      <w:pPr>
        <w:pStyle w:val="CBDH5"/>
        <w:ind w:firstLine="0"/>
      </w:pPr>
      <w:r>
        <w:t xml:space="preserve">Materiales de concienciación del público y comunicaciones </w:t>
      </w:r>
    </w:p>
    <w:p w14:paraId="2B3E9797" w14:textId="2FF76C4C" w:rsidR="002D6AC6" w:rsidRPr="003E265B" w:rsidRDefault="7A497E6E" w:rsidP="00440131">
      <w:pPr>
        <w:pStyle w:val="CBDNormalNumber"/>
      </w:pPr>
      <w:r>
        <w:t>Al 31 de mayo de 2026, la Secretaría había gastado alrededor de 145.000 dólares en la elaboración de materiales informativos para su difusión en formato impreso, en la web, en las redes sociales, en formato de audio y en televisión, con el fin de destacar y dar a conocer el Marco Mundial de Biodiversidad de Kunming-Montreal, así como la 17ª reunión de la Conferencia de las Partes, otras actividades realizadas en el marco del Convenio y la celebración del Día Internacional de la Diversidad Biológica.</w:t>
      </w:r>
    </w:p>
    <w:p w14:paraId="282DF589" w14:textId="4F3CAF3D" w:rsidR="00A83CD2" w:rsidRPr="003E265B" w:rsidRDefault="002D6AC6" w:rsidP="00440131">
      <w:pPr>
        <w:pStyle w:val="CBDH5"/>
        <w:ind w:firstLine="0"/>
      </w:pPr>
      <w:r>
        <w:t xml:space="preserve">Traducción del sitio web del mecanismo de facilitación y proyectos de sitios web </w:t>
      </w:r>
    </w:p>
    <w:p w14:paraId="4671EE62" w14:textId="7281F14C" w:rsidR="00CC7FBB" w:rsidRPr="003E265B" w:rsidRDefault="006B3801" w:rsidP="00440131">
      <w:pPr>
        <w:pStyle w:val="CBDNormalNumber"/>
      </w:pPr>
      <w:r>
        <w:t xml:space="preserve">Al 31 de mayo de 2026, la Secretaría había gastado aproximadamente 7.000 dólares con cargo a este concepto de gasto, principalmente en la traducción de las plataformas del Centro de Intercambio de Información sobre Seguridad de la Biotecnología y del Centro de Intercambio de Información sobre Acceso y Participación en los Beneficios. Dado que el sitio web de la Secretaría se encuentra en proceso de rediseño, la traducción de su contenido se aplazó hasta que finalice dicho proceso. </w:t>
      </w:r>
    </w:p>
    <w:p w14:paraId="5D1C719E" w14:textId="447BFB61" w:rsidR="006B3801" w:rsidRPr="003E265B" w:rsidRDefault="006B3801" w:rsidP="00440131">
      <w:pPr>
        <w:pStyle w:val="CBDH5"/>
        <w:ind w:firstLine="0"/>
      </w:pPr>
      <w:r>
        <w:t xml:space="preserve">Viajes oficiales </w:t>
      </w:r>
    </w:p>
    <w:p w14:paraId="4834A38B" w14:textId="0823A386" w:rsidR="00393083" w:rsidRPr="003E265B" w:rsidRDefault="60FE1123" w:rsidP="00440131">
      <w:pPr>
        <w:pStyle w:val="CBDNormalNumber"/>
        <w:rPr>
          <w:rFonts w:eastAsia="Times New Roman"/>
        </w:rPr>
      </w:pPr>
      <w:r>
        <w:rPr>
          <w:rStyle w:val="normaltextrun"/>
        </w:rPr>
        <w:t>Al 31 de mayo de 2026, durante el bienio se había gastado una cantidad aproximada de 600.000 dólares en los viajes oficiales del personal de la Secretaría para que representara al Convenio y sus Protocolos en diversas reuniones y eventos.</w:t>
      </w:r>
    </w:p>
    <w:p w14:paraId="2672D4DA" w14:textId="6500E3ED" w:rsidR="00393083" w:rsidRPr="003E265B" w:rsidRDefault="00393083" w:rsidP="00440131">
      <w:pPr>
        <w:pStyle w:val="CBDNormalNumber"/>
      </w:pPr>
      <w:r>
        <w:rPr>
          <w:rStyle w:val="normaltextrun"/>
        </w:rPr>
        <w:lastRenderedPageBreak/>
        <w:t>Durante el bienio, el personal de la Secretaría también asistió a reuniones con la sociedad civil y a foros empresariales, y participó en reuniones técnicas y procesos intergubernamentales pertinentes. La participación del personal en otras reuniones y eventos se financió mediante contribuciones voluntarias, mientras que algunos gastos de participación corrieron a cargo de los distintos organizadores. Además, los miembros del personal asistieron a reuniones y eventos por videoconferencia.</w:t>
      </w:r>
    </w:p>
    <w:p w14:paraId="254602D4" w14:textId="4D9F7DA6" w:rsidR="00393083" w:rsidRPr="003E265B" w:rsidRDefault="00393083" w:rsidP="00440131">
      <w:pPr>
        <w:pStyle w:val="CBDH5"/>
        <w:ind w:firstLine="0"/>
      </w:pPr>
      <w:r>
        <w:t xml:space="preserve">Alquiler y gastos relacionados </w:t>
      </w:r>
    </w:p>
    <w:p w14:paraId="08771BB2" w14:textId="65095F05" w:rsidR="00393083" w:rsidRPr="003E265B" w:rsidRDefault="00393083" w:rsidP="00440131">
      <w:pPr>
        <w:pStyle w:val="CBDNormalNumber"/>
      </w:pPr>
      <w:r>
        <w:t>El alquiler y los costos asociados del espacio de oficinas de la Secretaría en Montreal (Canadá) se financian con cargo al Gobierno de Canadá y el Gobierno de la provincia de Quebec, en una proporción de 75 a 25. La Secretaría tiene previsto desembolsar 2.948.590 dólares por concepto de alquiler de sus instalaciones durante el bienio, de conformidad con el contrato de arrendamiento</w:t>
      </w:r>
      <w:r w:rsidR="00A21BEB">
        <w:t xml:space="preserve"> vigente</w:t>
      </w:r>
      <w:r>
        <w:t xml:space="preserve"> de diez años. </w:t>
      </w:r>
    </w:p>
    <w:p w14:paraId="7160723B" w14:textId="49FEBD29" w:rsidR="00393083" w:rsidRPr="003E265B" w:rsidRDefault="00814011" w:rsidP="00440131">
      <w:pPr>
        <w:pStyle w:val="CBDH5"/>
        <w:ind w:firstLine="0"/>
      </w:pPr>
      <w:r>
        <w:t>Tecnología de la información</w:t>
      </w:r>
      <w:r>
        <w:rPr>
          <w:i w:val="0"/>
        </w:rPr>
        <w:t xml:space="preserve"> </w:t>
      </w:r>
    </w:p>
    <w:p w14:paraId="13D7F287" w14:textId="31039558" w:rsidR="00814011" w:rsidRPr="003E265B" w:rsidRDefault="00814011" w:rsidP="00440131">
      <w:pPr>
        <w:pStyle w:val="CBDNormalNumber"/>
      </w:pPr>
      <w:r>
        <w:t xml:space="preserve">La Secretaría destinó alrededor de 80.000 dólares a contratar los servicios de diseñadores de interfaces de usuario para mejorar el diseño y las funcionalidades de su sitio web. El resultado será un sitio web más dinámico, atractivo y fácil de usar, adaptado a distintos dispositivos y en consonancia con los temas del Marco Mundial de Biodiversidad de Kunming-Montreal. Se seguirán contratando servicios hasta agotar el importe presupuestado restante hasta diciembre de 2026. </w:t>
      </w:r>
    </w:p>
    <w:p w14:paraId="4032EE62" w14:textId="0CB7B322" w:rsidR="00814011" w:rsidRPr="003E265B" w:rsidRDefault="00EB542E" w:rsidP="00440131">
      <w:pPr>
        <w:pStyle w:val="CBDH5"/>
        <w:ind w:firstLine="0"/>
      </w:pPr>
      <w:r>
        <w:t xml:space="preserve">Gastos generales de funcionamiento </w:t>
      </w:r>
    </w:p>
    <w:p w14:paraId="1CFC712D" w14:textId="71851587" w:rsidR="00814011" w:rsidRPr="003E265B" w:rsidRDefault="00EB542E" w:rsidP="00440131">
      <w:pPr>
        <w:pStyle w:val="CBDNormalNumber"/>
      </w:pPr>
      <w:r>
        <w:t xml:space="preserve">Los gastos generales de funcionamiento incluyen la financiación de equipos y suministros de oficina, servicios públicos, costos de seguros, servicios de mensajería, costos de comunicación, costos anuales de la licencia de Umoja, software informático, software para reuniones virtuales, licencias de tecnología de la información, mantenimiento de equipos, mantenimiento de las instalaciones, cargos bancarios y gastos diversos. Se prevé que este presupuesto se agote por completo a fines de diciembre de 2026. </w:t>
      </w:r>
    </w:p>
    <w:p w14:paraId="7CF82CC8" w14:textId="46C43593" w:rsidR="008A3979" w:rsidRPr="003E265B" w:rsidRDefault="008A3979" w:rsidP="2080ABF3">
      <w:pPr>
        <w:pStyle w:val="CBDNormalNumber"/>
        <w:numPr>
          <w:ilvl w:val="0"/>
          <w:numId w:val="0"/>
        </w:numPr>
        <w:tabs>
          <w:tab w:val="left" w:pos="990"/>
        </w:tabs>
        <w:ind w:left="567"/>
      </w:pPr>
      <w:r>
        <w:rPr>
          <w:b/>
        </w:rPr>
        <w:t xml:space="preserve">Reserva </w:t>
      </w:r>
      <w:r w:rsidR="00083823">
        <w:rPr>
          <w:b/>
        </w:rPr>
        <w:t>de capital de operaciones</w:t>
      </w:r>
      <w:r>
        <w:rPr>
          <w:b/>
        </w:rPr>
        <w:t xml:space="preserve"> </w:t>
      </w:r>
    </w:p>
    <w:p w14:paraId="33FDDEC1" w14:textId="38975546" w:rsidR="00814011" w:rsidRPr="003E265B" w:rsidRDefault="00D320AF" w:rsidP="00440131">
      <w:pPr>
        <w:pStyle w:val="CBDNormalNumber"/>
      </w:pPr>
      <w:r>
        <w:t xml:space="preserve">La reserva </w:t>
      </w:r>
      <w:r w:rsidR="00083823">
        <w:t>de capital de operaciones</w:t>
      </w:r>
      <w:r>
        <w:t xml:space="preserve"> equivale al 15 % del gasto anual estimado, incluidos los costos de apoyo a los programas. La finalidad de la reserva </w:t>
      </w:r>
      <w:r w:rsidR="00C4535F">
        <w:t>de capital de operaciones</w:t>
      </w:r>
      <w:r>
        <w:t xml:space="preserve"> es garantizar la continuidad de las </w:t>
      </w:r>
      <w:r w:rsidR="00553CD0">
        <w:t>actividades</w:t>
      </w:r>
      <w:r>
        <w:t xml:space="preserve"> de la Secretaría </w:t>
      </w:r>
      <w:r w:rsidR="008572D6">
        <w:t>ante</w:t>
      </w:r>
      <w:r>
        <w:t xml:space="preserve"> una insuficiencia temporaria de liquidez. Los retiros de la reserva </w:t>
      </w:r>
      <w:r w:rsidR="00C4535F">
        <w:t>de capital de operaciones</w:t>
      </w:r>
      <w:r>
        <w:t xml:space="preserve"> se reponen con cargo a las contribuciones lo antes posible. </w:t>
      </w:r>
    </w:p>
    <w:p w14:paraId="27CE7DFC" w14:textId="6D51839A" w:rsidR="00D320AF" w:rsidRPr="003E265B" w:rsidRDefault="00D320AF" w:rsidP="00D320AF">
      <w:pPr>
        <w:tabs>
          <w:tab w:val="clear" w:pos="567"/>
          <w:tab w:val="clear" w:pos="1134"/>
          <w:tab w:val="clear" w:pos="1701"/>
          <w:tab w:val="clear" w:pos="2268"/>
        </w:tabs>
        <w:ind w:left="555"/>
        <w:jc w:val="left"/>
        <w:textAlignment w:val="baseline"/>
        <w:rPr>
          <w:rFonts w:ascii="Segoe UI" w:eastAsia="Times New Roman" w:hAnsi="Segoe UI" w:cs="Segoe UI"/>
          <w:b/>
          <w:bCs/>
          <w:sz w:val="18"/>
          <w:szCs w:val="18"/>
        </w:rPr>
      </w:pPr>
      <w:r>
        <w:t xml:space="preserve">Cuadro 6 </w:t>
      </w:r>
      <w:r>
        <w:rPr>
          <w:b/>
        </w:rPr>
        <w:br/>
        <w:t>Reserva de capital de operaciones, al 31 de mayo de 2026</w:t>
      </w:r>
    </w:p>
    <w:p w14:paraId="37C40317" w14:textId="5BE96D6F" w:rsidR="00D320AF" w:rsidRPr="003E265B" w:rsidRDefault="00D320AF" w:rsidP="00D320AF">
      <w:pPr>
        <w:tabs>
          <w:tab w:val="clear" w:pos="567"/>
          <w:tab w:val="clear" w:pos="1134"/>
          <w:tab w:val="clear" w:pos="1701"/>
          <w:tab w:val="clear" w:pos="2268"/>
        </w:tabs>
        <w:ind w:left="555"/>
        <w:jc w:val="left"/>
        <w:textAlignment w:val="baseline"/>
        <w:rPr>
          <w:rFonts w:ascii="Segoe UI" w:eastAsia="Times New Roman" w:hAnsi="Segoe UI" w:cs="Segoe UI"/>
          <w:sz w:val="18"/>
          <w:szCs w:val="18"/>
        </w:rPr>
      </w:pPr>
      <w:r>
        <w:rPr>
          <w:sz w:val="18"/>
        </w:rPr>
        <w:t>(miles de dólares de los EE. UU.)</w:t>
      </w:r>
    </w:p>
    <w:tbl>
      <w:tblPr>
        <w:tblW w:w="7995" w:type="dxa"/>
        <w:tblInd w:w="57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354"/>
        <w:gridCol w:w="1641"/>
      </w:tblGrid>
      <w:tr w:rsidR="00D320AF" w:rsidRPr="003E265B" w14:paraId="6879EAAF" w14:textId="77777777" w:rsidTr="00440131">
        <w:trPr>
          <w:trHeight w:val="285"/>
        </w:trPr>
        <w:tc>
          <w:tcPr>
            <w:tcW w:w="6354" w:type="dxa"/>
            <w:tcBorders>
              <w:top w:val="single" w:sz="4" w:space="0" w:color="auto"/>
              <w:left w:val="nil"/>
              <w:bottom w:val="single" w:sz="4" w:space="0" w:color="auto"/>
              <w:right w:val="nil"/>
            </w:tcBorders>
            <w:vAlign w:val="center"/>
            <w:hideMark/>
          </w:tcPr>
          <w:p w14:paraId="75B75B53" w14:textId="785682A9" w:rsidR="00D320AF" w:rsidRPr="003E265B" w:rsidRDefault="00D320AF" w:rsidP="00440131">
            <w:pPr>
              <w:tabs>
                <w:tab w:val="clear" w:pos="567"/>
                <w:tab w:val="clear" w:pos="1134"/>
                <w:tab w:val="clear" w:pos="1701"/>
                <w:tab w:val="clear" w:pos="2268"/>
              </w:tabs>
              <w:spacing w:before="40" w:after="40"/>
              <w:jc w:val="left"/>
              <w:textAlignment w:val="baseline"/>
              <w:rPr>
                <w:rFonts w:eastAsia="Times New Roman"/>
                <w:sz w:val="24"/>
                <w:szCs w:val="24"/>
              </w:rPr>
            </w:pPr>
            <w:r>
              <w:rPr>
                <w:i/>
                <w:color w:val="000000"/>
                <w:sz w:val="18"/>
              </w:rPr>
              <w:t>Fondo fiduciario</w:t>
            </w:r>
            <w:r>
              <w:rPr>
                <w:color w:val="000000"/>
                <w:sz w:val="18"/>
              </w:rPr>
              <w:t xml:space="preserve"> </w:t>
            </w:r>
          </w:p>
        </w:tc>
        <w:tc>
          <w:tcPr>
            <w:tcW w:w="1641" w:type="dxa"/>
            <w:tcBorders>
              <w:top w:val="single" w:sz="4" w:space="0" w:color="auto"/>
              <w:left w:val="nil"/>
              <w:bottom w:val="single" w:sz="4" w:space="0" w:color="auto"/>
              <w:right w:val="nil"/>
            </w:tcBorders>
            <w:vAlign w:val="center"/>
            <w:hideMark/>
          </w:tcPr>
          <w:p w14:paraId="1637746B" w14:textId="7F4543F7" w:rsidR="00D320AF" w:rsidRPr="003E265B" w:rsidRDefault="00D320AF" w:rsidP="00440131">
            <w:pPr>
              <w:tabs>
                <w:tab w:val="clear" w:pos="567"/>
                <w:tab w:val="clear" w:pos="1134"/>
                <w:tab w:val="clear" w:pos="1701"/>
                <w:tab w:val="clear" w:pos="2268"/>
              </w:tabs>
              <w:spacing w:before="40" w:after="40"/>
              <w:jc w:val="right"/>
              <w:textAlignment w:val="baseline"/>
              <w:rPr>
                <w:rFonts w:eastAsia="Times New Roman"/>
                <w:sz w:val="24"/>
                <w:szCs w:val="24"/>
              </w:rPr>
            </w:pPr>
            <w:r>
              <w:rPr>
                <w:i/>
                <w:color w:val="000000"/>
                <w:sz w:val="18"/>
              </w:rPr>
              <w:t>2025</w:t>
            </w:r>
            <w:r>
              <w:rPr>
                <w:color w:val="000000"/>
                <w:sz w:val="18"/>
              </w:rPr>
              <w:t xml:space="preserve"> </w:t>
            </w:r>
          </w:p>
        </w:tc>
      </w:tr>
      <w:tr w:rsidR="00D320AF" w:rsidRPr="003E265B" w14:paraId="74526151" w14:textId="77777777" w:rsidTr="00440131">
        <w:trPr>
          <w:trHeight w:val="285"/>
        </w:trPr>
        <w:tc>
          <w:tcPr>
            <w:tcW w:w="6354" w:type="dxa"/>
            <w:tcBorders>
              <w:top w:val="single" w:sz="4" w:space="0" w:color="auto"/>
              <w:left w:val="nil"/>
              <w:bottom w:val="nil"/>
              <w:right w:val="nil"/>
            </w:tcBorders>
            <w:vAlign w:val="center"/>
            <w:hideMark/>
          </w:tcPr>
          <w:p w14:paraId="282D3629" w14:textId="2A3A7C60" w:rsidR="00D320AF" w:rsidRPr="003E265B" w:rsidRDefault="00D320AF" w:rsidP="00440131">
            <w:pPr>
              <w:tabs>
                <w:tab w:val="clear" w:pos="567"/>
                <w:tab w:val="clear" w:pos="1134"/>
                <w:tab w:val="clear" w:pos="1701"/>
                <w:tab w:val="clear" w:pos="2268"/>
              </w:tabs>
              <w:spacing w:before="40" w:after="40"/>
              <w:jc w:val="left"/>
              <w:textAlignment w:val="baseline"/>
              <w:rPr>
                <w:rFonts w:eastAsia="Times New Roman"/>
                <w:sz w:val="24"/>
                <w:szCs w:val="24"/>
              </w:rPr>
            </w:pPr>
            <w:r>
              <w:rPr>
                <w:sz w:val="18"/>
              </w:rPr>
              <w:t>Fondo Fiduciario General para el Convenio</w:t>
            </w:r>
            <w:r>
              <w:rPr>
                <w:color w:val="000000"/>
                <w:sz w:val="18"/>
              </w:rPr>
              <w:t xml:space="preserve"> </w:t>
            </w:r>
          </w:p>
        </w:tc>
        <w:tc>
          <w:tcPr>
            <w:tcW w:w="1641" w:type="dxa"/>
            <w:tcBorders>
              <w:top w:val="single" w:sz="4" w:space="0" w:color="auto"/>
              <w:left w:val="nil"/>
              <w:bottom w:val="nil"/>
              <w:right w:val="nil"/>
            </w:tcBorders>
            <w:vAlign w:val="center"/>
            <w:hideMark/>
          </w:tcPr>
          <w:p w14:paraId="69837CA9" w14:textId="25181132" w:rsidR="00D320AF" w:rsidRPr="003E265B" w:rsidRDefault="00D320AF" w:rsidP="00440131">
            <w:pPr>
              <w:tabs>
                <w:tab w:val="clear" w:pos="567"/>
                <w:tab w:val="clear" w:pos="1134"/>
                <w:tab w:val="clear" w:pos="1701"/>
                <w:tab w:val="clear" w:pos="2268"/>
              </w:tabs>
              <w:spacing w:before="40" w:after="40"/>
              <w:jc w:val="right"/>
              <w:textAlignment w:val="baseline"/>
              <w:rPr>
                <w:rFonts w:eastAsia="Times New Roman"/>
                <w:sz w:val="24"/>
                <w:szCs w:val="24"/>
              </w:rPr>
            </w:pPr>
            <w:r>
              <w:rPr>
                <w:sz w:val="18"/>
              </w:rPr>
              <w:t xml:space="preserve">2 441,9 </w:t>
            </w:r>
          </w:p>
        </w:tc>
      </w:tr>
      <w:tr w:rsidR="00D320AF" w:rsidRPr="003E265B" w14:paraId="3971B620" w14:textId="77777777" w:rsidTr="00440131">
        <w:trPr>
          <w:trHeight w:val="285"/>
        </w:trPr>
        <w:tc>
          <w:tcPr>
            <w:tcW w:w="6354" w:type="dxa"/>
            <w:tcBorders>
              <w:top w:val="nil"/>
              <w:left w:val="nil"/>
              <w:bottom w:val="nil"/>
              <w:right w:val="nil"/>
            </w:tcBorders>
            <w:vAlign w:val="center"/>
            <w:hideMark/>
          </w:tcPr>
          <w:p w14:paraId="176C5F48" w14:textId="56C0196C" w:rsidR="00D320AF" w:rsidRPr="003E265B" w:rsidRDefault="00D320AF" w:rsidP="00440131">
            <w:pPr>
              <w:tabs>
                <w:tab w:val="clear" w:pos="567"/>
                <w:tab w:val="clear" w:pos="1134"/>
                <w:tab w:val="clear" w:pos="1701"/>
                <w:tab w:val="clear" w:pos="2268"/>
              </w:tabs>
              <w:spacing w:before="40" w:after="40"/>
              <w:jc w:val="left"/>
              <w:textAlignment w:val="baseline"/>
              <w:rPr>
                <w:rFonts w:eastAsia="Times New Roman"/>
                <w:sz w:val="24"/>
                <w:szCs w:val="24"/>
              </w:rPr>
            </w:pPr>
            <w:r>
              <w:rPr>
                <w:sz w:val="18"/>
              </w:rPr>
              <w:t>Fondo Fiduciario General para el Presupuesto Básico por Programas del Protocolo de Cartagena</w:t>
            </w:r>
            <w:r>
              <w:rPr>
                <w:color w:val="000000"/>
                <w:sz w:val="18"/>
              </w:rPr>
              <w:t xml:space="preserve"> </w:t>
            </w:r>
          </w:p>
        </w:tc>
        <w:tc>
          <w:tcPr>
            <w:tcW w:w="1641" w:type="dxa"/>
            <w:tcBorders>
              <w:top w:val="nil"/>
              <w:left w:val="nil"/>
              <w:bottom w:val="nil"/>
              <w:right w:val="nil"/>
            </w:tcBorders>
            <w:vAlign w:val="center"/>
            <w:hideMark/>
          </w:tcPr>
          <w:p w14:paraId="33901490" w14:textId="6CF4F376" w:rsidR="00D320AF" w:rsidRPr="003E265B" w:rsidRDefault="00D320AF" w:rsidP="00440131">
            <w:pPr>
              <w:tabs>
                <w:tab w:val="clear" w:pos="567"/>
                <w:tab w:val="clear" w:pos="1134"/>
                <w:tab w:val="clear" w:pos="1701"/>
                <w:tab w:val="clear" w:pos="2268"/>
              </w:tabs>
              <w:spacing w:before="40" w:after="40"/>
              <w:jc w:val="right"/>
              <w:textAlignment w:val="baseline"/>
              <w:rPr>
                <w:rFonts w:eastAsia="Times New Roman"/>
                <w:sz w:val="24"/>
                <w:szCs w:val="24"/>
              </w:rPr>
            </w:pPr>
            <w:r>
              <w:rPr>
                <w:color w:val="000000"/>
                <w:sz w:val="18"/>
              </w:rPr>
              <w:t xml:space="preserve">508,7 </w:t>
            </w:r>
          </w:p>
        </w:tc>
      </w:tr>
      <w:tr w:rsidR="00D320AF" w:rsidRPr="003E265B" w14:paraId="2185C91C" w14:textId="77777777" w:rsidTr="00440131">
        <w:trPr>
          <w:trHeight w:val="285"/>
        </w:trPr>
        <w:tc>
          <w:tcPr>
            <w:tcW w:w="6354" w:type="dxa"/>
            <w:tcBorders>
              <w:top w:val="nil"/>
              <w:left w:val="nil"/>
              <w:bottom w:val="single" w:sz="4" w:space="0" w:color="auto"/>
              <w:right w:val="nil"/>
            </w:tcBorders>
            <w:vAlign w:val="center"/>
            <w:hideMark/>
          </w:tcPr>
          <w:p w14:paraId="5A64ACFC" w14:textId="340E4088" w:rsidR="00D320AF" w:rsidRPr="003E265B" w:rsidRDefault="00D320AF" w:rsidP="00440131">
            <w:pPr>
              <w:tabs>
                <w:tab w:val="clear" w:pos="567"/>
                <w:tab w:val="clear" w:pos="1134"/>
                <w:tab w:val="clear" w:pos="1701"/>
                <w:tab w:val="clear" w:pos="2268"/>
              </w:tabs>
              <w:spacing w:before="40" w:after="40"/>
              <w:jc w:val="left"/>
              <w:textAlignment w:val="baseline"/>
              <w:rPr>
                <w:rFonts w:eastAsia="Times New Roman"/>
                <w:sz w:val="24"/>
                <w:szCs w:val="24"/>
              </w:rPr>
            </w:pPr>
            <w:r>
              <w:rPr>
                <w:color w:val="000000"/>
                <w:sz w:val="18"/>
              </w:rPr>
              <w:t xml:space="preserve">Fondo Fiduciario General para el Presupuesto Básico por Programas del Protocolo de Nagoya </w:t>
            </w:r>
          </w:p>
        </w:tc>
        <w:tc>
          <w:tcPr>
            <w:tcW w:w="1641" w:type="dxa"/>
            <w:tcBorders>
              <w:top w:val="nil"/>
              <w:left w:val="nil"/>
              <w:bottom w:val="single" w:sz="4" w:space="0" w:color="auto"/>
              <w:right w:val="nil"/>
            </w:tcBorders>
            <w:vAlign w:val="center"/>
            <w:hideMark/>
          </w:tcPr>
          <w:p w14:paraId="634D24B3" w14:textId="07022C97" w:rsidR="00D320AF" w:rsidRPr="003E265B" w:rsidRDefault="00D320AF" w:rsidP="00440131">
            <w:pPr>
              <w:tabs>
                <w:tab w:val="clear" w:pos="567"/>
                <w:tab w:val="clear" w:pos="1134"/>
                <w:tab w:val="clear" w:pos="1701"/>
                <w:tab w:val="clear" w:pos="2268"/>
              </w:tabs>
              <w:spacing w:before="40" w:after="40"/>
              <w:jc w:val="right"/>
              <w:textAlignment w:val="baseline"/>
              <w:rPr>
                <w:rFonts w:eastAsia="Times New Roman"/>
                <w:sz w:val="24"/>
                <w:szCs w:val="24"/>
              </w:rPr>
            </w:pPr>
            <w:r>
              <w:rPr>
                <w:color w:val="000000"/>
                <w:sz w:val="18"/>
              </w:rPr>
              <w:t xml:space="preserve">440,9 </w:t>
            </w:r>
          </w:p>
        </w:tc>
      </w:tr>
      <w:tr w:rsidR="00D320AF" w:rsidRPr="003E265B" w14:paraId="463BE63E" w14:textId="77777777" w:rsidTr="00440131">
        <w:trPr>
          <w:trHeight w:val="285"/>
        </w:trPr>
        <w:tc>
          <w:tcPr>
            <w:tcW w:w="6354" w:type="dxa"/>
            <w:tcBorders>
              <w:top w:val="single" w:sz="4" w:space="0" w:color="auto"/>
              <w:left w:val="nil"/>
              <w:bottom w:val="single" w:sz="4" w:space="0" w:color="auto"/>
              <w:right w:val="nil"/>
            </w:tcBorders>
            <w:vAlign w:val="center"/>
            <w:hideMark/>
          </w:tcPr>
          <w:p w14:paraId="24810819" w14:textId="271E6174" w:rsidR="00D320AF" w:rsidRPr="003E265B" w:rsidRDefault="00D320AF" w:rsidP="00440131">
            <w:pPr>
              <w:tabs>
                <w:tab w:val="clear" w:pos="567"/>
                <w:tab w:val="clear" w:pos="1134"/>
                <w:tab w:val="clear" w:pos="1701"/>
                <w:tab w:val="clear" w:pos="2268"/>
              </w:tabs>
              <w:spacing w:before="40" w:after="40"/>
              <w:ind w:firstLine="555"/>
              <w:jc w:val="left"/>
              <w:textAlignment w:val="baseline"/>
              <w:rPr>
                <w:rFonts w:eastAsia="Times New Roman"/>
                <w:sz w:val="24"/>
                <w:szCs w:val="24"/>
              </w:rPr>
            </w:pPr>
            <w:r>
              <w:rPr>
                <w:b/>
                <w:color w:val="000000"/>
                <w:sz w:val="18"/>
              </w:rPr>
              <w:t>Total</w:t>
            </w:r>
            <w:r>
              <w:rPr>
                <w:color w:val="000000"/>
                <w:sz w:val="18"/>
              </w:rPr>
              <w:t xml:space="preserve"> </w:t>
            </w:r>
          </w:p>
        </w:tc>
        <w:tc>
          <w:tcPr>
            <w:tcW w:w="1641" w:type="dxa"/>
            <w:tcBorders>
              <w:top w:val="single" w:sz="4" w:space="0" w:color="auto"/>
              <w:left w:val="nil"/>
              <w:bottom w:val="single" w:sz="4" w:space="0" w:color="auto"/>
              <w:right w:val="nil"/>
            </w:tcBorders>
            <w:vAlign w:val="center"/>
            <w:hideMark/>
          </w:tcPr>
          <w:p w14:paraId="05206128" w14:textId="275864C9" w:rsidR="00D320AF" w:rsidRPr="003E265B" w:rsidRDefault="00D320AF" w:rsidP="00440131">
            <w:pPr>
              <w:tabs>
                <w:tab w:val="clear" w:pos="567"/>
                <w:tab w:val="clear" w:pos="1134"/>
                <w:tab w:val="clear" w:pos="1701"/>
                <w:tab w:val="clear" w:pos="2268"/>
              </w:tabs>
              <w:spacing w:before="40" w:after="40"/>
              <w:jc w:val="right"/>
              <w:textAlignment w:val="baseline"/>
              <w:rPr>
                <w:rFonts w:eastAsia="Times New Roman"/>
                <w:sz w:val="24"/>
                <w:szCs w:val="24"/>
              </w:rPr>
            </w:pPr>
            <w:r>
              <w:rPr>
                <w:b/>
                <w:color w:val="000000"/>
                <w:sz w:val="18"/>
              </w:rPr>
              <w:t>3 391,5</w:t>
            </w:r>
            <w:r>
              <w:rPr>
                <w:color w:val="000000"/>
                <w:sz w:val="18"/>
              </w:rPr>
              <w:t xml:space="preserve"> </w:t>
            </w:r>
          </w:p>
        </w:tc>
      </w:tr>
    </w:tbl>
    <w:p w14:paraId="6CDEFE7E" w14:textId="6B328FCC" w:rsidR="00272076" w:rsidRPr="003E265B" w:rsidRDefault="00272076" w:rsidP="00440131">
      <w:pPr>
        <w:pStyle w:val="CBDNormalNumber"/>
      </w:pPr>
      <w:r>
        <w:t xml:space="preserve">El cuadro 6 muestra la reserva de capital de operaciones al 31 de diciembre de 2025. </w:t>
      </w:r>
    </w:p>
    <w:p w14:paraId="7A41918C" w14:textId="1DF2C170" w:rsidR="00272076" w:rsidRPr="003E265B" w:rsidRDefault="2E2864F1" w:rsidP="00440131">
      <w:pPr>
        <w:pStyle w:val="CBDNormalNumber"/>
      </w:pPr>
      <w:r>
        <w:t xml:space="preserve">Al 31 de diciembre de 2025, el superávit neto acumulado de los activos de los tres fondos fiduciarios generales, sin incluir la reserva de capital de operaciones de 3.391.500 dólares, ascendía a 18,2 millones de dólares (véase el cuadro 7). </w:t>
      </w:r>
    </w:p>
    <w:p w14:paraId="2D3C17D4" w14:textId="04F39CFD" w:rsidR="00F210E7" w:rsidRPr="003E265B" w:rsidRDefault="00F210E7" w:rsidP="00440131">
      <w:pPr>
        <w:pStyle w:val="CBDTableTitle"/>
        <w:rPr>
          <w:rFonts w:ascii="Segoe UI" w:hAnsi="Segoe UI" w:cs="Segoe UI"/>
          <w:sz w:val="18"/>
          <w:szCs w:val="18"/>
        </w:rPr>
      </w:pPr>
      <w:r>
        <w:rPr>
          <w:b w:val="0"/>
        </w:rPr>
        <w:lastRenderedPageBreak/>
        <w:t>Cuadro 7</w:t>
      </w:r>
      <w:r>
        <w:t xml:space="preserve"> </w:t>
      </w:r>
      <w:r>
        <w:br/>
        <w:t>Superávit acumulado (sin incluir la reserva de capital de operaciones), al 31 de diciembre de 2025</w:t>
      </w:r>
    </w:p>
    <w:p w14:paraId="756AD92F" w14:textId="778DA61F" w:rsidR="00F210E7" w:rsidRPr="003E265B" w:rsidRDefault="00F210E7" w:rsidP="00F210E7">
      <w:pPr>
        <w:tabs>
          <w:tab w:val="clear" w:pos="567"/>
          <w:tab w:val="clear" w:pos="1134"/>
          <w:tab w:val="clear" w:pos="1701"/>
          <w:tab w:val="clear" w:pos="2268"/>
        </w:tabs>
        <w:ind w:left="555"/>
        <w:jc w:val="left"/>
        <w:textAlignment w:val="baseline"/>
        <w:rPr>
          <w:rFonts w:ascii="Segoe UI" w:eastAsia="Times New Roman" w:hAnsi="Segoe UI" w:cs="Segoe UI"/>
          <w:sz w:val="18"/>
          <w:szCs w:val="18"/>
        </w:rPr>
      </w:pPr>
      <w:r>
        <w:rPr>
          <w:sz w:val="18"/>
        </w:rPr>
        <w:t>(millones de dólares de los EE. UU.)</w:t>
      </w:r>
      <w:r>
        <w:rPr>
          <w:sz w:val="18"/>
          <w:bdr w:val="none" w:sz="0" w:space="0" w:color="auto" w:frame="1"/>
          <w:shd w:val="clear" w:color="auto" w:fill="C6C6C6"/>
        </w:rPr>
        <w:t xml:space="preserve"> </w:t>
      </w:r>
    </w:p>
    <w:tbl>
      <w:tblPr>
        <w:tblW w:w="4215" w:type="dxa"/>
        <w:tblInd w:w="55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95"/>
        <w:gridCol w:w="2520"/>
      </w:tblGrid>
      <w:tr w:rsidR="00F210E7" w:rsidRPr="003E265B" w14:paraId="4A055C36" w14:textId="77777777" w:rsidTr="00DB54C3">
        <w:tc>
          <w:tcPr>
            <w:tcW w:w="1695" w:type="dxa"/>
            <w:tcBorders>
              <w:top w:val="single" w:sz="4" w:space="0" w:color="auto"/>
              <w:left w:val="nil"/>
              <w:bottom w:val="nil"/>
              <w:right w:val="nil"/>
            </w:tcBorders>
            <w:vAlign w:val="center"/>
            <w:hideMark/>
          </w:tcPr>
          <w:p w14:paraId="1F1AD09E" w14:textId="5A12F641" w:rsidR="00F210E7" w:rsidRPr="003E265B" w:rsidRDefault="00F210E7" w:rsidP="00440131">
            <w:pPr>
              <w:tabs>
                <w:tab w:val="clear" w:pos="567"/>
                <w:tab w:val="clear" w:pos="1134"/>
                <w:tab w:val="clear" w:pos="1701"/>
                <w:tab w:val="clear" w:pos="2268"/>
              </w:tabs>
              <w:spacing w:before="40" w:after="40"/>
              <w:jc w:val="left"/>
              <w:textAlignment w:val="baseline"/>
              <w:rPr>
                <w:rFonts w:eastAsia="Times New Roman"/>
                <w:sz w:val="24"/>
                <w:szCs w:val="24"/>
              </w:rPr>
            </w:pPr>
            <w:r>
              <w:rPr>
                <w:sz w:val="18"/>
              </w:rPr>
              <w:t xml:space="preserve">Convenio </w:t>
            </w:r>
          </w:p>
        </w:tc>
        <w:tc>
          <w:tcPr>
            <w:tcW w:w="2520" w:type="dxa"/>
            <w:tcBorders>
              <w:top w:val="single" w:sz="4" w:space="0" w:color="auto"/>
              <w:left w:val="nil"/>
              <w:bottom w:val="nil"/>
              <w:right w:val="nil"/>
            </w:tcBorders>
            <w:vAlign w:val="center"/>
            <w:hideMark/>
          </w:tcPr>
          <w:p w14:paraId="62C210A4" w14:textId="0F8051D7" w:rsidR="00F210E7" w:rsidRPr="003E265B" w:rsidRDefault="00F210E7" w:rsidP="00440131">
            <w:pPr>
              <w:tabs>
                <w:tab w:val="clear" w:pos="567"/>
                <w:tab w:val="clear" w:pos="1134"/>
                <w:tab w:val="clear" w:pos="1701"/>
                <w:tab w:val="clear" w:pos="2268"/>
              </w:tabs>
              <w:spacing w:before="40" w:after="40"/>
              <w:jc w:val="right"/>
              <w:textAlignment w:val="baseline"/>
              <w:rPr>
                <w:rFonts w:eastAsia="Times New Roman"/>
                <w:sz w:val="24"/>
                <w:szCs w:val="24"/>
              </w:rPr>
            </w:pPr>
            <w:r>
              <w:rPr>
                <w:sz w:val="18"/>
              </w:rPr>
              <w:t xml:space="preserve">11,0 </w:t>
            </w:r>
          </w:p>
        </w:tc>
      </w:tr>
      <w:tr w:rsidR="00F210E7" w:rsidRPr="003E265B" w14:paraId="4EF8CA07" w14:textId="77777777" w:rsidTr="00DB54C3">
        <w:tc>
          <w:tcPr>
            <w:tcW w:w="1695" w:type="dxa"/>
            <w:tcBorders>
              <w:top w:val="nil"/>
              <w:left w:val="nil"/>
              <w:bottom w:val="nil"/>
              <w:right w:val="nil"/>
            </w:tcBorders>
            <w:vAlign w:val="center"/>
            <w:hideMark/>
          </w:tcPr>
          <w:p w14:paraId="4AAF6E64" w14:textId="7EDCDB87" w:rsidR="00F210E7" w:rsidRPr="003E265B" w:rsidRDefault="00F210E7" w:rsidP="00440131">
            <w:pPr>
              <w:tabs>
                <w:tab w:val="clear" w:pos="567"/>
                <w:tab w:val="clear" w:pos="1134"/>
                <w:tab w:val="clear" w:pos="1701"/>
                <w:tab w:val="clear" w:pos="2268"/>
              </w:tabs>
              <w:spacing w:before="40" w:after="40"/>
              <w:jc w:val="left"/>
              <w:textAlignment w:val="baseline"/>
              <w:rPr>
                <w:rFonts w:eastAsia="Times New Roman"/>
                <w:sz w:val="24"/>
                <w:szCs w:val="24"/>
              </w:rPr>
            </w:pPr>
            <w:r>
              <w:rPr>
                <w:sz w:val="18"/>
              </w:rPr>
              <w:t xml:space="preserve">Protocolo de Cartagena </w:t>
            </w:r>
          </w:p>
        </w:tc>
        <w:tc>
          <w:tcPr>
            <w:tcW w:w="2520" w:type="dxa"/>
            <w:tcBorders>
              <w:top w:val="nil"/>
              <w:left w:val="nil"/>
              <w:bottom w:val="nil"/>
              <w:right w:val="nil"/>
            </w:tcBorders>
            <w:vAlign w:val="center"/>
            <w:hideMark/>
          </w:tcPr>
          <w:p w14:paraId="472AC5F3" w14:textId="70416464" w:rsidR="00F210E7" w:rsidRPr="003E265B" w:rsidRDefault="00F210E7" w:rsidP="00440131">
            <w:pPr>
              <w:tabs>
                <w:tab w:val="clear" w:pos="567"/>
                <w:tab w:val="clear" w:pos="1134"/>
                <w:tab w:val="clear" w:pos="1701"/>
                <w:tab w:val="clear" w:pos="2268"/>
              </w:tabs>
              <w:spacing w:before="40" w:after="40"/>
              <w:jc w:val="right"/>
              <w:textAlignment w:val="baseline"/>
              <w:rPr>
                <w:rFonts w:eastAsia="Times New Roman"/>
                <w:sz w:val="24"/>
                <w:szCs w:val="24"/>
              </w:rPr>
            </w:pPr>
            <w:r>
              <w:rPr>
                <w:sz w:val="18"/>
              </w:rPr>
              <w:t xml:space="preserve">4,9 </w:t>
            </w:r>
          </w:p>
        </w:tc>
      </w:tr>
      <w:tr w:rsidR="00F210E7" w:rsidRPr="003E265B" w14:paraId="6F24772D" w14:textId="77777777" w:rsidTr="00DB54C3">
        <w:tc>
          <w:tcPr>
            <w:tcW w:w="1695" w:type="dxa"/>
            <w:tcBorders>
              <w:top w:val="nil"/>
              <w:left w:val="nil"/>
              <w:bottom w:val="single" w:sz="4" w:space="0" w:color="auto"/>
              <w:right w:val="nil"/>
            </w:tcBorders>
            <w:vAlign w:val="center"/>
            <w:hideMark/>
          </w:tcPr>
          <w:p w14:paraId="396B44B6" w14:textId="1FFC58E2" w:rsidR="00F210E7" w:rsidRPr="003E265B" w:rsidRDefault="00F210E7" w:rsidP="00440131">
            <w:pPr>
              <w:tabs>
                <w:tab w:val="clear" w:pos="567"/>
                <w:tab w:val="clear" w:pos="1134"/>
                <w:tab w:val="clear" w:pos="1701"/>
                <w:tab w:val="clear" w:pos="2268"/>
              </w:tabs>
              <w:spacing w:before="40" w:after="40"/>
              <w:jc w:val="left"/>
              <w:textAlignment w:val="baseline"/>
              <w:rPr>
                <w:rFonts w:eastAsia="Times New Roman"/>
                <w:sz w:val="24"/>
                <w:szCs w:val="24"/>
              </w:rPr>
            </w:pPr>
            <w:r>
              <w:rPr>
                <w:sz w:val="18"/>
              </w:rPr>
              <w:t xml:space="preserve">Protocolo de Nagoya </w:t>
            </w:r>
          </w:p>
        </w:tc>
        <w:tc>
          <w:tcPr>
            <w:tcW w:w="2520" w:type="dxa"/>
            <w:tcBorders>
              <w:top w:val="nil"/>
              <w:left w:val="nil"/>
              <w:bottom w:val="single" w:sz="4" w:space="0" w:color="auto"/>
              <w:right w:val="nil"/>
            </w:tcBorders>
            <w:vAlign w:val="center"/>
            <w:hideMark/>
          </w:tcPr>
          <w:p w14:paraId="6337CF9C" w14:textId="77EBD614" w:rsidR="00F210E7" w:rsidRPr="003E265B" w:rsidRDefault="00F210E7" w:rsidP="00440131">
            <w:pPr>
              <w:tabs>
                <w:tab w:val="clear" w:pos="567"/>
                <w:tab w:val="clear" w:pos="1134"/>
                <w:tab w:val="clear" w:pos="1701"/>
                <w:tab w:val="clear" w:pos="2268"/>
              </w:tabs>
              <w:spacing w:before="40" w:after="40"/>
              <w:jc w:val="right"/>
              <w:textAlignment w:val="baseline"/>
              <w:rPr>
                <w:rFonts w:eastAsia="Times New Roman"/>
                <w:sz w:val="24"/>
                <w:szCs w:val="24"/>
              </w:rPr>
            </w:pPr>
            <w:r>
              <w:rPr>
                <w:sz w:val="18"/>
              </w:rPr>
              <w:t xml:space="preserve">2,3 </w:t>
            </w:r>
          </w:p>
        </w:tc>
      </w:tr>
      <w:tr w:rsidR="00F210E7" w:rsidRPr="003E265B" w14:paraId="07E20131" w14:textId="77777777" w:rsidTr="00DB54C3">
        <w:tc>
          <w:tcPr>
            <w:tcW w:w="1695" w:type="dxa"/>
            <w:tcBorders>
              <w:top w:val="single" w:sz="4" w:space="0" w:color="auto"/>
              <w:left w:val="nil"/>
              <w:bottom w:val="single" w:sz="4" w:space="0" w:color="auto"/>
              <w:right w:val="nil"/>
            </w:tcBorders>
            <w:vAlign w:val="center"/>
            <w:hideMark/>
          </w:tcPr>
          <w:p w14:paraId="64FCDB94" w14:textId="3F505200" w:rsidR="00F210E7" w:rsidRPr="003E265B" w:rsidRDefault="00F210E7" w:rsidP="00440131">
            <w:pPr>
              <w:tabs>
                <w:tab w:val="clear" w:pos="567"/>
                <w:tab w:val="clear" w:pos="1134"/>
                <w:tab w:val="clear" w:pos="1701"/>
                <w:tab w:val="clear" w:pos="2268"/>
              </w:tabs>
              <w:spacing w:before="40" w:after="40"/>
              <w:ind w:left="180"/>
              <w:jc w:val="left"/>
              <w:textAlignment w:val="baseline"/>
              <w:rPr>
                <w:rFonts w:eastAsia="Times New Roman"/>
                <w:sz w:val="24"/>
                <w:szCs w:val="24"/>
              </w:rPr>
            </w:pPr>
            <w:r>
              <w:rPr>
                <w:b/>
                <w:sz w:val="18"/>
              </w:rPr>
              <w:t>Total</w:t>
            </w:r>
            <w:r>
              <w:rPr>
                <w:sz w:val="18"/>
              </w:rPr>
              <w:t xml:space="preserve"> </w:t>
            </w:r>
          </w:p>
        </w:tc>
        <w:tc>
          <w:tcPr>
            <w:tcW w:w="2520" w:type="dxa"/>
            <w:tcBorders>
              <w:top w:val="single" w:sz="4" w:space="0" w:color="auto"/>
              <w:left w:val="nil"/>
              <w:bottom w:val="single" w:sz="4" w:space="0" w:color="auto"/>
              <w:right w:val="nil"/>
            </w:tcBorders>
            <w:vAlign w:val="center"/>
            <w:hideMark/>
          </w:tcPr>
          <w:p w14:paraId="53809BB3" w14:textId="047505A4" w:rsidR="00F210E7" w:rsidRPr="003E265B" w:rsidRDefault="00F210E7" w:rsidP="00440131">
            <w:pPr>
              <w:tabs>
                <w:tab w:val="clear" w:pos="567"/>
                <w:tab w:val="clear" w:pos="1134"/>
                <w:tab w:val="clear" w:pos="1701"/>
                <w:tab w:val="clear" w:pos="2268"/>
              </w:tabs>
              <w:spacing w:before="40" w:after="40"/>
              <w:jc w:val="right"/>
              <w:textAlignment w:val="baseline"/>
              <w:rPr>
                <w:rFonts w:eastAsia="Times New Roman"/>
                <w:sz w:val="24"/>
                <w:szCs w:val="24"/>
              </w:rPr>
            </w:pPr>
            <w:r>
              <w:rPr>
                <w:b/>
                <w:sz w:val="18"/>
              </w:rPr>
              <w:t>18,2</w:t>
            </w:r>
            <w:r>
              <w:rPr>
                <w:sz w:val="18"/>
              </w:rPr>
              <w:t xml:space="preserve"> </w:t>
            </w:r>
          </w:p>
        </w:tc>
      </w:tr>
    </w:tbl>
    <w:p w14:paraId="0A7F9139" w14:textId="5742FD76" w:rsidR="00EF5B53" w:rsidRPr="003E265B" w:rsidRDefault="00EF5B53" w:rsidP="00440131">
      <w:pPr>
        <w:pStyle w:val="CBDH2"/>
        <w:jc w:val="left"/>
      </w:pPr>
      <w:r>
        <w:t>C.</w:t>
      </w:r>
      <w:r>
        <w:tab/>
        <w:t>Fondo Fiduciario Voluntario Especial para Actividades Aprobadas Adicionales del Convenio y sus Protocolos</w:t>
      </w:r>
    </w:p>
    <w:p w14:paraId="768DD603" w14:textId="2A1F27CF" w:rsidR="001A5B2D" w:rsidRPr="003E265B" w:rsidRDefault="001A5B2D" w:rsidP="00440131">
      <w:pPr>
        <w:pStyle w:val="CBDNormalNumber"/>
        <w:rPr>
          <w:rFonts w:eastAsia="Times New Roman"/>
        </w:rPr>
      </w:pPr>
      <w:r>
        <w:rPr>
          <w:rStyle w:val="normaltextrun"/>
          <w:color w:val="000000"/>
        </w:rPr>
        <w:t>En su decisión </w:t>
      </w:r>
      <w:r>
        <w:t>16/28</w:t>
      </w:r>
      <w:r>
        <w:rPr>
          <w:rStyle w:val="normaltextrun"/>
          <w:color w:val="000000"/>
        </w:rPr>
        <w:t>, la Conferencia de las Partes reconoció una estimación de financiación de 28.690.983 dólares correspondiente al Fondo Fiduciario Voluntario Especial para Actividades Aprobadas Adicionales del Convenio y sus Protocolos para el bienio 2025-2026. Al 31 de mayo de 2026, la Secretaría había recibido contribuciones para actividades aprobadas adicionales por un total de 7.918.486 dólares.</w:t>
      </w:r>
    </w:p>
    <w:p w14:paraId="687B2372" w14:textId="71BB7FFE" w:rsidR="00AC0DC6" w:rsidRPr="003E265B" w:rsidRDefault="00F00DAE" w:rsidP="00440131">
      <w:pPr>
        <w:pStyle w:val="CBDH2"/>
        <w:tabs>
          <w:tab w:val="left" w:pos="990"/>
        </w:tabs>
        <w:ind w:hanging="657"/>
        <w:jc w:val="left"/>
      </w:pPr>
      <w:r>
        <w:t>D.</w:t>
      </w:r>
      <w:r>
        <w:tab/>
        <w:t>Fondo Fiduciario Voluntario Especial para Facilitar la Participación de las Partes en el Proceso del Convenio</w:t>
      </w:r>
    </w:p>
    <w:p w14:paraId="595ED2E9" w14:textId="2403653A" w:rsidR="00620D85" w:rsidRPr="003E265B" w:rsidRDefault="00620D85" w:rsidP="00440131">
      <w:pPr>
        <w:pStyle w:val="CBDNormalNumber"/>
        <w:rPr>
          <w:rFonts w:eastAsia="Times New Roman"/>
        </w:rPr>
      </w:pPr>
      <w:r>
        <w:rPr>
          <w:rStyle w:val="normaltextrun"/>
        </w:rPr>
        <w:t>En su decisión </w:t>
      </w:r>
      <w:r>
        <w:t>16/28</w:t>
      </w:r>
      <w:r>
        <w:rPr>
          <w:rStyle w:val="normaltextrun"/>
        </w:rPr>
        <w:t>, la Conferencia de las Partes reconoció una estimación de financiación de 7.894.300 dólares para el Fondo Fiduciario Voluntario Especial para Facilitar la Participación de las Partes en el Proceso del Convenio para el bienio 2025-2026. Al 31 de mayo de 2026, la Secretaría había recibido contribuciones para ese fondo fiduciario por un total de 2.178.459 dólares.</w:t>
      </w:r>
    </w:p>
    <w:p w14:paraId="25CE2C28" w14:textId="2F18CA6E" w:rsidR="00620D85" w:rsidRPr="003E265B" w:rsidRDefault="00620D85" w:rsidP="00440131">
      <w:pPr>
        <w:pStyle w:val="CBDNormalNumber"/>
      </w:pPr>
      <w:r>
        <w:rPr>
          <w:rStyle w:val="normaltextrun"/>
        </w:rPr>
        <w:t>Al 31 de mayo de 2026, la Secretaría había gastado 1.277.734 dólares en 2025 y 2026 para cubrir la participación de 352 delegados de países en desarrollo en la 27</w:t>
      </w:r>
      <w:r>
        <w:rPr>
          <w:rStyle w:val="normaltextrun"/>
          <w:vertAlign w:val="superscript"/>
        </w:rPr>
        <w:t>a</w:t>
      </w:r>
      <w:r>
        <w:rPr>
          <w:rStyle w:val="normaltextrun"/>
        </w:rPr>
        <w:t xml:space="preserve"> reunión del Órgano Subsidiario de Asesoramiento Científico, Técnico y Tecnológico; la 6</w:t>
      </w:r>
      <w:r>
        <w:rPr>
          <w:rStyle w:val="normaltextrun"/>
          <w:vertAlign w:val="superscript"/>
        </w:rPr>
        <w:t>a</w:t>
      </w:r>
      <w:r>
        <w:rPr>
          <w:rStyle w:val="normaltextrun"/>
        </w:rPr>
        <w:t xml:space="preserve"> reunión del Órgano Subsidiario sobre la Aplicación; la segunda continuación de la 16</w:t>
      </w:r>
      <w:r>
        <w:rPr>
          <w:rStyle w:val="normaltextrun"/>
          <w:vertAlign w:val="superscript"/>
        </w:rPr>
        <w:t>a</w:t>
      </w:r>
      <w:r>
        <w:rPr>
          <w:rStyle w:val="normaltextrun"/>
        </w:rPr>
        <w:t xml:space="preserve"> reunión de la Conferencia de las Partes en la Convenio, la 11</w:t>
      </w:r>
      <w:r>
        <w:rPr>
          <w:rStyle w:val="normaltextrun"/>
          <w:vertAlign w:val="superscript"/>
        </w:rPr>
        <w:t>a</w:t>
      </w:r>
      <w:r>
        <w:rPr>
          <w:rStyle w:val="normaltextrun"/>
        </w:rPr>
        <w:t xml:space="preserve"> reunión de la Conferencia de las Partes que actúa como reunión de las Partes en el Protocolo de Cartagena y la 5</w:t>
      </w:r>
      <w:r>
        <w:rPr>
          <w:rStyle w:val="normaltextrun"/>
          <w:vertAlign w:val="superscript"/>
        </w:rPr>
        <w:t>a</w:t>
      </w:r>
      <w:r>
        <w:rPr>
          <w:rStyle w:val="normaltextrun"/>
        </w:rPr>
        <w:t xml:space="preserve"> reunión de la Conferencia de las Partes que actúa como reunión de las Partes en el Protocolo de Nagoya, y la 1</w:t>
      </w:r>
      <w:r>
        <w:rPr>
          <w:rStyle w:val="normaltextrun"/>
          <w:vertAlign w:val="superscript"/>
        </w:rPr>
        <w:t>a</w:t>
      </w:r>
      <w:r>
        <w:rPr>
          <w:rStyle w:val="normaltextrun"/>
        </w:rPr>
        <w:t xml:space="preserve"> reunión del Órgano Subsidiario sobre el Artículo 8 j) y Otras Disposiciones del Convenio sobre la Diversidad Biológica Relativas a los Pueblos Indígenas y las Comunidades.</w:t>
      </w:r>
    </w:p>
    <w:p w14:paraId="0744239D" w14:textId="73B0DC3F" w:rsidR="00F00DAE" w:rsidRPr="003E265B" w:rsidRDefault="00F00DAE" w:rsidP="2080ABF3">
      <w:pPr>
        <w:pStyle w:val="CBDH2"/>
        <w:tabs>
          <w:tab w:val="left" w:pos="990"/>
        </w:tabs>
      </w:pPr>
      <w:r>
        <w:t>E.</w:t>
      </w:r>
      <w:r>
        <w:tab/>
        <w:t>Fondo Fiduciario Voluntario Especial para Facilitar la Participación de los Pueblos Indígenas y las Comunidades Locales</w:t>
      </w:r>
    </w:p>
    <w:p w14:paraId="7CDE06A1" w14:textId="4CD3679A" w:rsidR="00E03C00" w:rsidRPr="003E265B" w:rsidRDefault="00E03C00" w:rsidP="00440131">
      <w:pPr>
        <w:pStyle w:val="CBDNormalNumber"/>
        <w:rPr>
          <w:rFonts w:eastAsia="Times New Roman"/>
        </w:rPr>
      </w:pPr>
      <w:r>
        <w:rPr>
          <w:rStyle w:val="normaltextrun"/>
        </w:rPr>
        <w:t>En su decisión </w:t>
      </w:r>
      <w:r>
        <w:t>16/28</w:t>
      </w:r>
      <w:r>
        <w:rPr>
          <w:rStyle w:val="normaltextrun"/>
        </w:rPr>
        <w:t>, la Conferencia de las Partes reconoció una estimación de financiación de 317.000 dólares para el Fondo Fiduciario Voluntario Especial para Facilitar la Participación de los Pueblos Indígenas y las Comunidades Locales para el bienio 2025-2026. Al 31 de mayo de 2026, la Secretaría había recibido contribuciones por un total de 258.357 dólares.</w:t>
      </w:r>
    </w:p>
    <w:p w14:paraId="6CB15C7A" w14:textId="0547DC0E" w:rsidR="00E03C00" w:rsidRPr="003E265B" w:rsidRDefault="7BD48914" w:rsidP="00440131">
      <w:pPr>
        <w:pStyle w:val="CBDNormalNumber"/>
        <w:rPr>
          <w:rStyle w:val="normaltextrun"/>
          <w:i/>
          <w:iCs/>
        </w:rPr>
      </w:pPr>
      <w:r>
        <w:rPr>
          <w:rStyle w:val="normaltextrun"/>
        </w:rPr>
        <w:t>Al 31 de mayo de 2026, la Secretaría había gastado en total 88.523 dólares para cubrir los costos de viaje de los participantes indígenas y de las comunidades locales en la 27</w:t>
      </w:r>
      <w:r>
        <w:rPr>
          <w:rStyle w:val="normaltextrun"/>
          <w:vertAlign w:val="superscript"/>
        </w:rPr>
        <w:t>a</w:t>
      </w:r>
      <w:r>
        <w:rPr>
          <w:rStyle w:val="normaltextrun"/>
        </w:rPr>
        <w:t xml:space="preserve"> reunión del Órgano Subsidiario de Asesoramiento Científico, Técnico y Tecnológico; la 6</w:t>
      </w:r>
      <w:r>
        <w:rPr>
          <w:rStyle w:val="normaltextrun"/>
          <w:vertAlign w:val="superscript"/>
        </w:rPr>
        <w:t>a</w:t>
      </w:r>
      <w:r>
        <w:rPr>
          <w:rStyle w:val="normaltextrun"/>
        </w:rPr>
        <w:t xml:space="preserve"> reunión del Órgano Subsidiario sobre la Aplicación; la segunda continuación de la 16</w:t>
      </w:r>
      <w:r>
        <w:rPr>
          <w:rStyle w:val="normaltextrun"/>
          <w:vertAlign w:val="superscript"/>
        </w:rPr>
        <w:t>a</w:t>
      </w:r>
      <w:r>
        <w:rPr>
          <w:rStyle w:val="normaltextrun"/>
        </w:rPr>
        <w:t xml:space="preserve"> reunión de la Conferencia de las Partes en la Convenio, la 11</w:t>
      </w:r>
      <w:r>
        <w:rPr>
          <w:rStyle w:val="normaltextrun"/>
          <w:vertAlign w:val="superscript"/>
        </w:rPr>
        <w:t>a</w:t>
      </w:r>
      <w:r>
        <w:rPr>
          <w:rStyle w:val="normaltextrun"/>
        </w:rPr>
        <w:t xml:space="preserve"> reunión de la Conferencia de las Partes que actúa como reunión de las Partes en el Protocolo de Cartagena y la 5</w:t>
      </w:r>
      <w:r>
        <w:rPr>
          <w:rStyle w:val="normaltextrun"/>
          <w:vertAlign w:val="superscript"/>
        </w:rPr>
        <w:t>a</w:t>
      </w:r>
      <w:r>
        <w:rPr>
          <w:rStyle w:val="normaltextrun"/>
        </w:rPr>
        <w:t xml:space="preserve"> reunión de la Conferencia de las Partes que actúa como reunión de las Partes en el Protocolo de Nagoya, y la 1</w:t>
      </w:r>
      <w:r>
        <w:rPr>
          <w:rStyle w:val="normaltextrun"/>
          <w:vertAlign w:val="superscript"/>
        </w:rPr>
        <w:t>a</w:t>
      </w:r>
      <w:r>
        <w:rPr>
          <w:rStyle w:val="normaltextrun"/>
        </w:rPr>
        <w:t xml:space="preserve"> reunión del Órgano Subsidiario sobre el Artículo 8 j) y Otras Disposiciones del Convenio sobre la Diversidad Biológica Relativas a los Pueblos Indígenas y las Comunidades. Se prevé que la Secretaría gaste el importe restante de 169.834 dólares antes de que finalice el bienio 2025-2026.</w:t>
      </w:r>
    </w:p>
    <w:p w14:paraId="388B531D" w14:textId="7A66C81D" w:rsidR="007C4951" w:rsidRPr="003E265B" w:rsidRDefault="00A111D1" w:rsidP="00A111D1">
      <w:pPr>
        <w:pStyle w:val="CBDH1"/>
        <w:rPr>
          <w:bCs/>
        </w:rPr>
      </w:pPr>
      <w:r>
        <w:lastRenderedPageBreak/>
        <w:t>III.</w:t>
      </w:r>
      <w:r>
        <w:tab/>
        <w:t>Otras cuestiones administrativas</w:t>
      </w:r>
    </w:p>
    <w:p w14:paraId="55707796" w14:textId="233F55AD" w:rsidR="00CA7C53" w:rsidRPr="003E265B" w:rsidRDefault="00CA7C53" w:rsidP="00440131">
      <w:pPr>
        <w:pStyle w:val="CBDH2"/>
      </w:pPr>
      <w:r>
        <w:t xml:space="preserve">A. </w:t>
      </w:r>
      <w:r>
        <w:tab/>
        <w:t>Plantilla</w:t>
      </w:r>
    </w:p>
    <w:p w14:paraId="7835DF25" w14:textId="248D7E9D" w:rsidR="00CA7C53" w:rsidRPr="003E265B" w:rsidRDefault="00CA7C53" w:rsidP="00CF4362">
      <w:pPr>
        <w:pStyle w:val="Para1"/>
        <w:numPr>
          <w:ilvl w:val="0"/>
          <w:numId w:val="28"/>
        </w:numPr>
        <w:tabs>
          <w:tab w:val="clear" w:pos="720"/>
        </w:tabs>
        <w:ind w:left="540" w:firstLine="0"/>
      </w:pPr>
      <w:r>
        <w:t xml:space="preserve">En su decisión 16/28, la Conferencia de las Partes aprobó una plantilla de la Secretaría para el bienio 2025-2026 compuesta por 56 puestos del Cuadro Orgánico y categorías superiores y 31 puestos del Cuadro de Servicios Generales. Al 31 de mayo de 2026, hay nueve puestos vacantes en el Cuadro Orgánico y categorías superiores, y cinco puestos vacantes en el Cuadro de Servicios Generales, para los que se está llevando a cabo el proceso de contratación, que se encuentra en distintas fases. Se prevé que todos los puestos vacantes se cubran antes de que finalice 2026. </w:t>
      </w:r>
    </w:p>
    <w:p w14:paraId="45BE9393" w14:textId="3AAFCD1C" w:rsidR="00CA7C53" w:rsidRPr="003E265B" w:rsidRDefault="1739BEF3" w:rsidP="00440131">
      <w:pPr>
        <w:pStyle w:val="Para1"/>
        <w:numPr>
          <w:ilvl w:val="0"/>
          <w:numId w:val="28"/>
        </w:numPr>
        <w:tabs>
          <w:tab w:val="clear" w:pos="720"/>
        </w:tabs>
        <w:ind w:left="540" w:firstLine="0"/>
      </w:pPr>
      <w:r>
        <w:t>Además de los puestos financiados con cargo al presupuesto básico integrado, hay 18 puestos (4 en el Cuadro Orgánico y categorías superiores y 14 en el Cuadro de Servicios Generales) en la División de Finanzas, Administración y Servicios de Conferencias que se financian con cargo al fondo fiduciario para gastos generales del Programa de las Naciones Unidas para el Medio Ambiente, 5 puestos en el Equipo del Fondo del Japón para la Biodiversidad (3 en el Cuadro Orgánico y categorías superiores, incluido un funcionario subalterno del Cuadro Orgánico financiado por Japón) y 2 en el Cuadro de Servicios Generales. Además, hay dos puestos del Cuadro Orgánico financiados con contribuciones voluntarias de la Unión Europea y Noruega, y dos puestos financiados por la República de Corea a través del proyecto de la Iniciativa Bio-Bridge (uno del Cuadro Orgánico y categorías superiores y otro del Cuadro de Servicios Generales). Francia y la República de Corea financian directamente a dos expertos del Cuadro Orgánico en misión.</w:t>
      </w:r>
    </w:p>
    <w:p w14:paraId="3B304F23" w14:textId="3CCD15B3" w:rsidR="00CA7C53" w:rsidRPr="003E265B" w:rsidRDefault="1739BEF3" w:rsidP="00440131">
      <w:pPr>
        <w:pStyle w:val="Para1"/>
        <w:numPr>
          <w:ilvl w:val="0"/>
          <w:numId w:val="28"/>
        </w:numPr>
        <w:tabs>
          <w:tab w:val="clear" w:pos="720"/>
        </w:tabs>
        <w:ind w:left="540" w:firstLine="0"/>
      </w:pPr>
      <w:r>
        <w:t>Además, cuatro funcionarios subalternos del Cuadro Orgánico patrocinados por Italia (uno), Japón (uno), la República de Corea (uno) y el Reino Unido de Gran Bretaña e Irlanda del Norte (uno) prestan actualmente apoyo a la Secretaría en la ejecución del programa de trabajo. Se espera la llegada de otros dos funcionarios subalternos del Cuadro Orgánico antes de fines de diciembre de 2026, patrocinados por China y Alemania, respectivamente.</w:t>
      </w:r>
    </w:p>
    <w:p w14:paraId="4758B84C" w14:textId="309F83DA" w:rsidR="00CA7C53" w:rsidRPr="003E265B" w:rsidRDefault="1739BEF3" w:rsidP="00440131">
      <w:pPr>
        <w:pStyle w:val="Para1"/>
        <w:numPr>
          <w:ilvl w:val="0"/>
          <w:numId w:val="28"/>
        </w:numPr>
        <w:tabs>
          <w:tab w:val="clear" w:pos="720"/>
        </w:tabs>
        <w:ind w:left="540" w:firstLine="0"/>
      </w:pPr>
      <w:r>
        <w:t>Al 31 de mayo de 2026, la Secretaría había formalizado aproximadamente 72 contratos de consultoría y contratos individuales a lo largo del bienio, financiados principalmente con contribuciones voluntarias, como recursos adicionales para ejecutar el programa de trabajo y gestionar las necesidades de personal a corto plazo.</w:t>
      </w:r>
    </w:p>
    <w:p w14:paraId="0DDDF550" w14:textId="6055322C" w:rsidR="00C43244" w:rsidRPr="003E265B" w:rsidRDefault="00C43244" w:rsidP="00440131">
      <w:pPr>
        <w:pStyle w:val="CBDH2"/>
      </w:pPr>
      <w:r>
        <w:t xml:space="preserve">B. </w:t>
      </w:r>
      <w:r>
        <w:tab/>
        <w:t>Presupuestación basada en los resultados</w:t>
      </w:r>
    </w:p>
    <w:p w14:paraId="7E1EC4FE" w14:textId="5EC836D8" w:rsidR="00C71696" w:rsidRPr="003E265B" w:rsidRDefault="00C71696" w:rsidP="00440131">
      <w:pPr>
        <w:pStyle w:val="Para1"/>
        <w:numPr>
          <w:ilvl w:val="0"/>
          <w:numId w:val="28"/>
        </w:numPr>
        <w:tabs>
          <w:tab w:val="clear" w:pos="720"/>
        </w:tabs>
        <w:ind w:left="540" w:firstLine="0"/>
      </w:pPr>
      <w:r>
        <w:t>En respuesta a un pedido de la Conferencia de las Partes en su decisión </w:t>
      </w:r>
      <w:hyperlink r:id="rId18" w:history="1">
        <w:r>
          <w:rPr>
            <w:rStyle w:val="Hyperlink"/>
          </w:rPr>
          <w:t>14/37</w:t>
        </w:r>
      </w:hyperlink>
      <w:r>
        <w:t xml:space="preserve"> y a las recomendaciones de auditoría, la Secretaría elaboró un marco basado en los resultados para su labor de programación y presupuestación. El marco se ha ido introduciendo gradualmente desde principios de 2023 con el objetivo de que esté plenamente operativo durante el bienio 2025-2026. Se actualizará periódicamente, especialmente tras las reuniones más importantes, para garantizar que la planificación esté en consonancia con las decisiones de la Conferencia de las Partes en el Convenio y la Conferencia de las Partes que actúa como reuniones de las Partes en los Protocolos y se ajuste a ellas. Se espera que el marco sirva de guía a la Secretaría a la hora de determinar sus necesidades de recursos y de optimizar aún más el uso de los fondos voluntarios para la consecución de resultados.</w:t>
      </w:r>
    </w:p>
    <w:p w14:paraId="7D784C0A" w14:textId="3B01F0DF" w:rsidR="00C71696" w:rsidRPr="003E265B" w:rsidRDefault="00C71696" w:rsidP="00440131">
      <w:pPr>
        <w:pStyle w:val="Para1"/>
        <w:numPr>
          <w:ilvl w:val="0"/>
          <w:numId w:val="28"/>
        </w:numPr>
        <w:tabs>
          <w:tab w:val="clear" w:pos="720"/>
        </w:tabs>
        <w:ind w:left="540" w:firstLine="0"/>
      </w:pPr>
      <w:r>
        <w:t xml:space="preserve">La Secretaría comenzó a utilizar el marco basado en los resultados para garantizar la ejecución óptima de sus actividades y el uso de los fondos voluntarios. El marco también permitirá a la Secretaría supervisar la ejecución de sus actividades e informar sobre los resultados de manera eficaz. </w:t>
      </w:r>
    </w:p>
    <w:p w14:paraId="074A1572" w14:textId="1337D3E0" w:rsidR="00C43244" w:rsidRPr="003E265B" w:rsidRDefault="00C43244" w:rsidP="00440131">
      <w:pPr>
        <w:pStyle w:val="CBDH2"/>
      </w:pPr>
      <w:r>
        <w:t>C.</w:t>
      </w:r>
      <w:r>
        <w:tab/>
        <w:t>Recomendaciones de auditoría pendientes</w:t>
      </w:r>
    </w:p>
    <w:p w14:paraId="63BBBEAE" w14:textId="0AE8C32F" w:rsidR="00C71696" w:rsidRPr="003E265B" w:rsidRDefault="00C71696" w:rsidP="00440131">
      <w:pPr>
        <w:pStyle w:val="Para1"/>
        <w:numPr>
          <w:ilvl w:val="0"/>
          <w:numId w:val="28"/>
        </w:numPr>
        <w:tabs>
          <w:tab w:val="clear" w:pos="720"/>
        </w:tabs>
        <w:ind w:left="540" w:firstLine="0"/>
      </w:pPr>
      <w:r>
        <w:t xml:space="preserve">La Secretaría fue objeto de tres auditorías en los últimos cinco años. A la primera, llevada a cabo por la Oficina de Servicios de Supervisión Interna en julio de 2019, le siguieron dos auditorías realizadas por la Junta de Auditores en enero de 2020 y octubre de 2021, respectivamente. Al 31 de mayo de 2026, se habían aplicado y dado por concluidas todas las recomendaciones derivadas de las auditorías, salvo la recomendación </w:t>
      </w:r>
      <w:r>
        <w:rPr>
          <w:snapToGrid/>
        </w:rPr>
        <w:t xml:space="preserve">que figura en el </w:t>
      </w:r>
      <w:r>
        <w:t>párrafo </w:t>
      </w:r>
      <w:r>
        <w:rPr>
          <w:snapToGrid/>
        </w:rPr>
        <w:t xml:space="preserve">78 del </w:t>
      </w:r>
      <w:r>
        <w:t>i</w:t>
      </w:r>
      <w:r>
        <w:rPr>
          <w:snapToGrid/>
        </w:rPr>
        <w:t xml:space="preserve">nforme de la Junta de Auditores </w:t>
      </w:r>
      <w:r>
        <w:rPr>
          <w:snapToGrid/>
        </w:rPr>
        <w:lastRenderedPageBreak/>
        <w:t>correspondiente al año</w:t>
      </w:r>
      <w:r>
        <w:t xml:space="preserve"> </w:t>
      </w:r>
      <w:r>
        <w:rPr>
          <w:snapToGrid/>
        </w:rPr>
        <w:t>2021</w:t>
      </w:r>
      <w:r w:rsidR="00AA6129">
        <w:rPr>
          <w:rStyle w:val="FootnoteReference"/>
        </w:rPr>
        <w:footnoteReference w:id="8"/>
      </w:r>
      <w:r>
        <w:t>, relativa a las subvenciones cerradas. En su última actualización facilitada a los auditores, la Secretaría informó que se habían realizado avances en la aplicación de dicha recomendación, y solicitó que se diera por concluida.</w:t>
      </w:r>
    </w:p>
    <w:p w14:paraId="0879F275" w14:textId="7E02862D" w:rsidR="00C71696" w:rsidRPr="003E265B" w:rsidRDefault="139053FA" w:rsidP="00440131">
      <w:pPr>
        <w:pStyle w:val="Para1"/>
        <w:numPr>
          <w:ilvl w:val="0"/>
          <w:numId w:val="28"/>
        </w:numPr>
        <w:tabs>
          <w:tab w:val="clear" w:pos="720"/>
        </w:tabs>
        <w:ind w:left="540" w:firstLine="0"/>
      </w:pPr>
      <w:r>
        <w:t>En lo que respecta al establecimiento de una estrategia de movilización de recursos y al desarrollo de una política y un mecanismo de evaluación, la Secretaría dio prioridad al establecimiento del marco de gestión basada en los resultados para orientar la preparación y la gestión de su programa de trabajo, proceso que aún está en curso y que se prevé que concluya en 2026. El marco de gestión basada en los resultados se considera un paso necesario antes de desarrollar una estrategia de movilización de recursos y una política y un mecanismo de evaluación. Dada su falta de capacidad, la Secretaría tiene previsto obtener financiación para contratar a especialistas en estrategias de movilización de recursos y evaluación de políticas con el fin de aplicar dichas recomendaciones a más tardar en diciembre de 2026.</w:t>
      </w:r>
    </w:p>
    <w:p w14:paraId="46C37A0B" w14:textId="37509614" w:rsidR="0067657C" w:rsidRPr="003E265B" w:rsidRDefault="0067657C" w:rsidP="00440131">
      <w:pPr>
        <w:pStyle w:val="Para1"/>
        <w:numPr>
          <w:ilvl w:val="0"/>
          <w:numId w:val="28"/>
        </w:numPr>
        <w:tabs>
          <w:tab w:val="clear" w:pos="720"/>
        </w:tabs>
        <w:ind w:left="540" w:firstLine="0"/>
      </w:pPr>
      <w:r>
        <w:t xml:space="preserve">Se puede encontrar más información sobre la aplicación de las recomendaciones de auditoría pendientes en el documento </w:t>
      </w:r>
      <w:hyperlink r:id="rId19" w:history="1">
        <w:r>
          <w:rPr>
            <w:rStyle w:val="Hyperlink"/>
          </w:rPr>
          <w:t>CBD/SBI/7/14/Add.1-CBD/COP/17/4/Add.3</w:t>
        </w:r>
      </w:hyperlink>
      <w:r>
        <w:t>.</w:t>
      </w:r>
    </w:p>
    <w:p w14:paraId="58CA2240" w14:textId="2C38BED9" w:rsidR="0072239A" w:rsidRPr="003E265B" w:rsidRDefault="00D23EC8" w:rsidP="00440131">
      <w:pPr>
        <w:pStyle w:val="CBDH2"/>
      </w:pPr>
      <w:r>
        <w:t>D.</w:t>
      </w:r>
      <w:r>
        <w:tab/>
        <w:t>Revisión funcional</w:t>
      </w:r>
    </w:p>
    <w:p w14:paraId="4786EDFD" w14:textId="1DE79CB2" w:rsidR="00962801" w:rsidRPr="003E265B" w:rsidRDefault="005538A6" w:rsidP="0029796C">
      <w:pPr>
        <w:pStyle w:val="CBDNormalNumber"/>
        <w:numPr>
          <w:ilvl w:val="0"/>
          <w:numId w:val="0"/>
        </w:numPr>
        <w:tabs>
          <w:tab w:val="left" w:pos="1440"/>
        </w:tabs>
        <w:ind w:left="540"/>
      </w:pPr>
      <w:r>
        <w:rPr>
          <w:snapToGrid w:val="0"/>
        </w:rPr>
        <w:t>41.</w:t>
      </w:r>
      <w:r>
        <w:tab/>
      </w:r>
      <w:r>
        <w:rPr>
          <w:snapToGrid w:val="0"/>
        </w:rPr>
        <w:t>De conformidad con los pedidos formulados por la Conferencia de las Partes en el párrafo 35 de la decisión </w:t>
      </w:r>
      <w:hyperlink r:id="rId20" w:history="1">
        <w:r>
          <w:rPr>
            <w:rStyle w:val="Hyperlink"/>
            <w:snapToGrid w:val="0"/>
          </w:rPr>
          <w:t>15/34</w:t>
        </w:r>
      </w:hyperlink>
      <w:r>
        <w:rPr>
          <w:snapToGrid w:val="0"/>
        </w:rPr>
        <w:t xml:space="preserve"> y el párrafo 11 de la decisión 16/28, la Secretaría organizó la realización de una revisión funcional externa en profundidad de su estructura.</w:t>
      </w:r>
      <w:r>
        <w:t xml:space="preserve"> </w:t>
      </w:r>
      <w:r>
        <w:rPr>
          <w:snapToGrid w:val="0"/>
        </w:rPr>
        <w:t xml:space="preserve">La revisión funcional fue llevada a cabo por el Equipo de Consultoría de Gestión del Programa de las Naciones Unidas para el Desarrollo. </w:t>
      </w:r>
    </w:p>
    <w:p w14:paraId="6B90875E" w14:textId="18B73F33" w:rsidR="00962801" w:rsidRPr="003E265B" w:rsidRDefault="7BFD5AA8" w:rsidP="0029796C">
      <w:pPr>
        <w:pStyle w:val="CBDNormalNumber"/>
        <w:numPr>
          <w:ilvl w:val="0"/>
          <w:numId w:val="0"/>
        </w:numPr>
        <w:tabs>
          <w:tab w:val="left" w:pos="1440"/>
        </w:tabs>
        <w:ind w:left="540"/>
      </w:pPr>
      <w:r>
        <w:rPr>
          <w:snapToGrid w:val="0"/>
        </w:rPr>
        <w:t>42.</w:t>
      </w:r>
      <w:r>
        <w:tab/>
        <w:t xml:space="preserve">El Órgano Subsidiario, en su sexta reunión, examinó esta cuestión y elaboró la recomendación 6/9, tomando nota del </w:t>
      </w:r>
      <w:r>
        <w:rPr>
          <w:snapToGrid w:val="0"/>
        </w:rPr>
        <w:t xml:space="preserve">resumen ejecutivo del informe sobre la revisión funcional externa en profundidad de la Secretaría, que figura en el anexo I del documento </w:t>
      </w:r>
      <w:hyperlink r:id="rId21" w:history="1">
        <w:r>
          <w:rPr>
            <w:rStyle w:val="Hyperlink"/>
            <w:u w:val="none"/>
          </w:rPr>
          <w:t>CBD/SBI/6/10</w:t>
        </w:r>
      </w:hyperlink>
      <w:r>
        <w:rPr>
          <w:snapToGrid w:val="0"/>
        </w:rPr>
        <w:t xml:space="preserve">. El informe completo sobre esta revisión funcional se presentó en el documento </w:t>
      </w:r>
      <w:hyperlink r:id="rId22" w:history="1">
        <w:r>
          <w:rPr>
            <w:rStyle w:val="Hyperlink"/>
            <w:snapToGrid w:val="0"/>
          </w:rPr>
          <w:t>CBD</w:t>
        </w:r>
        <w:r>
          <w:rPr>
            <w:rStyle w:val="Hyperlink"/>
          </w:rPr>
          <w:t>/</w:t>
        </w:r>
        <w:r>
          <w:rPr>
            <w:rStyle w:val="Hyperlink"/>
            <w:snapToGrid w:val="0"/>
          </w:rPr>
          <w:t>SBI</w:t>
        </w:r>
        <w:r>
          <w:rPr>
            <w:rStyle w:val="Hyperlink"/>
          </w:rPr>
          <w:t>/6/</w:t>
        </w:r>
        <w:r>
          <w:rPr>
            <w:rStyle w:val="Hyperlink"/>
            <w:snapToGrid w:val="0"/>
          </w:rPr>
          <w:t>INF</w:t>
        </w:r>
        <w:r>
          <w:rPr>
            <w:rStyle w:val="Hyperlink"/>
          </w:rPr>
          <w:t>/12</w:t>
        </w:r>
      </w:hyperlink>
      <w:r>
        <w:rPr>
          <w:snapToGrid w:val="0"/>
        </w:rPr>
        <w:t xml:space="preserve">. </w:t>
      </w:r>
    </w:p>
    <w:p w14:paraId="0FCB9751" w14:textId="2BD58527" w:rsidR="008A1499" w:rsidRPr="00440131" w:rsidRDefault="00453CD1" w:rsidP="7497CBEE">
      <w:pPr>
        <w:pStyle w:val="CBDAnnex"/>
        <w:tabs>
          <w:tab w:val="left" w:pos="1440"/>
        </w:tabs>
        <w:ind w:left="540"/>
        <w:jc w:val="both"/>
        <w:rPr>
          <w:b w:val="0"/>
          <w:bCs/>
          <w:sz w:val="22"/>
          <w:szCs w:val="18"/>
        </w:rPr>
      </w:pPr>
      <w:r>
        <w:rPr>
          <w:b w:val="0"/>
          <w:snapToGrid w:val="0"/>
          <w:sz w:val="22"/>
        </w:rPr>
        <w:t>43.</w:t>
      </w:r>
      <w:r>
        <w:tab/>
      </w:r>
      <w:r>
        <w:rPr>
          <w:b w:val="0"/>
          <w:snapToGrid w:val="0"/>
          <w:sz w:val="22"/>
        </w:rPr>
        <w:t xml:space="preserve">La Secretaría elaboró un informe de progreso sobre la revisión funcional de la Secretaría, que figura en el documento </w:t>
      </w:r>
      <w:hyperlink r:id="rId23" w:history="1">
        <w:r>
          <w:rPr>
            <w:rStyle w:val="Hyperlink"/>
            <w:b w:val="0"/>
            <w:snapToGrid w:val="0"/>
            <w:sz w:val="22"/>
          </w:rPr>
          <w:t>CBD/SBI/7/15/Add.1-CBD/COP/17/4/Add.4</w:t>
        </w:r>
      </w:hyperlink>
      <w:r>
        <w:rPr>
          <w:b w:val="0"/>
          <w:snapToGrid w:val="0"/>
          <w:sz w:val="22"/>
        </w:rPr>
        <w:t xml:space="preserve">, que informa a las Partes sobre los avances en la aplicación de la revisión funcional desde la sexta reunión del Órgano Subsidiario, desde marzo a mayo de 2026, en particular en lo que respecta a las medidas enumeradas en el párrafo 3 de la recomendación 6/9, incluidas las repercusiones presupuestarias de las medidas propuestas en la revisión funcional. </w:t>
      </w:r>
    </w:p>
    <w:p w14:paraId="1078C802" w14:textId="67D820D3" w:rsidR="00A111D1" w:rsidRPr="003E265B" w:rsidRDefault="002210A5" w:rsidP="00440131">
      <w:pPr>
        <w:pStyle w:val="Para1"/>
        <w:numPr>
          <w:ilvl w:val="0"/>
          <w:numId w:val="0"/>
        </w:numPr>
        <w:ind w:left="567"/>
        <w:jc w:val="center"/>
      </w:pPr>
      <w:r>
        <w:t>__________</w:t>
      </w:r>
    </w:p>
    <w:sectPr w:rsidR="00A111D1" w:rsidRPr="003E265B" w:rsidSect="00440131">
      <w:headerReference w:type="even" r:id="rId24"/>
      <w:headerReference w:type="default" r:id="rId25"/>
      <w:footerReference w:type="even" r:id="rId26"/>
      <w:footerReference w:type="default" r:id="rId27"/>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7722AF" w14:textId="77777777" w:rsidR="00F15084" w:rsidRPr="00866063" w:rsidRDefault="00F15084" w:rsidP="00CF1848">
      <w:r w:rsidRPr="00866063">
        <w:separator/>
      </w:r>
    </w:p>
  </w:endnote>
  <w:endnote w:type="continuationSeparator" w:id="0">
    <w:p w14:paraId="336BB3B8" w14:textId="77777777" w:rsidR="00F15084" w:rsidRPr="00866063" w:rsidRDefault="00F15084"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687D91BF" w14:textId="77777777" w:rsidR="00D75CA6" w:rsidRPr="00866063" w:rsidRDefault="00D75CA6" w:rsidP="00D75CA6">
            <w:pPr>
              <w:pStyle w:val="Footer"/>
              <w:jc w:val="left"/>
            </w:pPr>
            <w:r w:rsidRPr="00866063">
              <w:rPr>
                <w:b/>
              </w:rPr>
              <w:fldChar w:fldCharType="begin"/>
            </w:r>
            <w:r w:rsidRPr="00866063">
              <w:rPr>
                <w:b/>
              </w:rPr>
              <w:instrText xml:space="preserve"> PAGE </w:instrText>
            </w:r>
            <w:r w:rsidRPr="00866063">
              <w:rPr>
                <w:b/>
              </w:rPr>
              <w:fldChar w:fldCharType="separate"/>
            </w:r>
            <w:r w:rsidRPr="00866063">
              <w:rPr>
                <w:b/>
              </w:rPr>
              <w:t>2</w:t>
            </w:r>
            <w:r w:rsidRPr="00866063">
              <w:rPr>
                <w:b/>
              </w:rPr>
              <w:fldChar w:fldCharType="end"/>
            </w:r>
            <w:r>
              <w:t>/</w:t>
            </w:r>
            <w:r w:rsidRPr="00866063">
              <w:rPr>
                <w:b/>
              </w:rPr>
              <w:fldChar w:fldCharType="begin"/>
            </w:r>
            <w:r w:rsidRPr="00866063">
              <w:rPr>
                <w:b/>
              </w:rPr>
              <w:instrText xml:space="preserve"> NUMPAGES  </w:instrText>
            </w:r>
            <w:r w:rsidRPr="00866063">
              <w:rPr>
                <w:b/>
              </w:rPr>
              <w:fldChar w:fldCharType="separate"/>
            </w:r>
            <w:r w:rsidRPr="00866063">
              <w:rPr>
                <w:b/>
              </w:rPr>
              <w:t>2</w:t>
            </w:r>
            <w:r w:rsidRPr="00866063">
              <w:rPr>
                <w:b/>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13152CDB" w14:textId="77777777" w:rsidR="00D75CA6" w:rsidRPr="00866063" w:rsidRDefault="00D75CA6" w:rsidP="00EE0B46">
        <w:pPr>
          <w:pStyle w:val="Footer"/>
          <w:jc w:val="right"/>
        </w:pPr>
        <w:r w:rsidRPr="00866063">
          <w:rPr>
            <w:b/>
          </w:rPr>
          <w:fldChar w:fldCharType="begin"/>
        </w:r>
        <w:r w:rsidRPr="00866063">
          <w:rPr>
            <w:b/>
          </w:rPr>
          <w:instrText xml:space="preserve"> PAGE </w:instrText>
        </w:r>
        <w:r w:rsidRPr="00866063">
          <w:rPr>
            <w:b/>
          </w:rPr>
          <w:fldChar w:fldCharType="separate"/>
        </w:r>
        <w:r w:rsidRPr="00866063">
          <w:rPr>
            <w:b/>
          </w:rPr>
          <w:t>2</w:t>
        </w:r>
        <w:r w:rsidRPr="00866063">
          <w:rPr>
            <w:b/>
          </w:rPr>
          <w:fldChar w:fldCharType="end"/>
        </w:r>
        <w:r>
          <w:t>/</w:t>
        </w:r>
        <w:r w:rsidRPr="00866063">
          <w:rPr>
            <w:b/>
          </w:rPr>
          <w:fldChar w:fldCharType="begin"/>
        </w:r>
        <w:r w:rsidRPr="00866063">
          <w:rPr>
            <w:b/>
          </w:rPr>
          <w:instrText xml:space="preserve"> NUMPAGES  </w:instrText>
        </w:r>
        <w:r w:rsidRPr="00866063">
          <w:rPr>
            <w:b/>
          </w:rPr>
          <w:fldChar w:fldCharType="separate"/>
        </w:r>
        <w:r w:rsidRPr="00866063">
          <w:rPr>
            <w:b/>
          </w:rPr>
          <w:t>3</w:t>
        </w:r>
        <w:r w:rsidRPr="00866063">
          <w:rPr>
            <w:b/>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F813D1" w14:textId="77777777" w:rsidR="00F15084" w:rsidRPr="00866063" w:rsidRDefault="00F15084" w:rsidP="00CF1848">
      <w:r w:rsidRPr="00866063">
        <w:separator/>
      </w:r>
    </w:p>
  </w:footnote>
  <w:footnote w:type="continuationSeparator" w:id="0">
    <w:p w14:paraId="2B5D9DCB" w14:textId="77777777" w:rsidR="00F15084" w:rsidRPr="00866063" w:rsidRDefault="00F15084" w:rsidP="00CF1848">
      <w:r w:rsidRPr="00866063">
        <w:continuationSeparator/>
      </w:r>
    </w:p>
  </w:footnote>
  <w:footnote w:id="1">
    <w:p w14:paraId="5CE81DAA" w14:textId="7F343FBE" w:rsidR="009C7B8F" w:rsidRPr="00866063" w:rsidRDefault="00F02A86" w:rsidP="009C7B8F">
      <w:pPr>
        <w:pStyle w:val="FootnoteText"/>
      </w:pPr>
      <w:r>
        <w:t xml:space="preserve">* </w:t>
      </w:r>
      <w:hyperlink r:id="rId1" w:history="1">
        <w:r>
          <w:rPr>
            <w:rStyle w:val="Hyperlink"/>
          </w:rPr>
          <w:t>CBD/SBI/7/1</w:t>
        </w:r>
      </w:hyperlink>
      <w:r>
        <w:t>.</w:t>
      </w:r>
    </w:p>
  </w:footnote>
  <w:footnote w:id="2">
    <w:p w14:paraId="4FC6DEEB" w14:textId="123DCA7F" w:rsidR="009C7B8F" w:rsidRPr="007E603B" w:rsidRDefault="009C7B8F" w:rsidP="009C7B8F">
      <w:pPr>
        <w:pStyle w:val="FootnoteText"/>
      </w:pPr>
      <w:r>
        <w:rPr>
          <w:rStyle w:val="FootnoteReference"/>
        </w:rPr>
        <w:t>**</w:t>
      </w:r>
      <w:r>
        <w:t xml:space="preserve"> </w:t>
      </w:r>
      <w:hyperlink r:id="rId2" w:history="1">
        <w:r>
          <w:rPr>
            <w:rStyle w:val="Hyperlink"/>
          </w:rPr>
          <w:t>CBD/COP/17/1/Rev.1</w:t>
        </w:r>
      </w:hyperlink>
      <w:r>
        <w:t>.</w:t>
      </w:r>
    </w:p>
  </w:footnote>
  <w:footnote w:id="3">
    <w:p w14:paraId="1B62C73F" w14:textId="52FBB73B" w:rsidR="009C7B8F" w:rsidRPr="007C7D55" w:rsidRDefault="009C7B8F" w:rsidP="009C7B8F">
      <w:pPr>
        <w:pStyle w:val="FootnoteText"/>
      </w:pPr>
      <w:r>
        <w:rPr>
          <w:rStyle w:val="FootnoteReference"/>
        </w:rPr>
        <w:t>***</w:t>
      </w:r>
      <w:r>
        <w:t xml:space="preserve"> </w:t>
      </w:r>
      <w:hyperlink r:id="rId3" w:history="1">
        <w:r>
          <w:rPr>
            <w:rStyle w:val="Hyperlink"/>
          </w:rPr>
          <w:t>CBD/CP/MOP/12/1</w:t>
        </w:r>
      </w:hyperlink>
      <w:r>
        <w:t>.</w:t>
      </w:r>
    </w:p>
  </w:footnote>
  <w:footnote w:id="4">
    <w:p w14:paraId="3782889D" w14:textId="32A2D817" w:rsidR="009C7B8F" w:rsidRPr="007C7D55" w:rsidRDefault="009C7B8F" w:rsidP="009C7B8F">
      <w:pPr>
        <w:pStyle w:val="FootnoteText"/>
      </w:pPr>
      <w:r>
        <w:rPr>
          <w:rStyle w:val="FootnoteReference"/>
        </w:rPr>
        <w:t>****</w:t>
      </w:r>
      <w:r>
        <w:t xml:space="preserve"> </w:t>
      </w:r>
      <w:hyperlink r:id="rId4" w:history="1">
        <w:r>
          <w:rPr>
            <w:rStyle w:val="Hyperlink"/>
          </w:rPr>
          <w:t>CBD/NP/MOP/6/1</w:t>
        </w:r>
      </w:hyperlink>
      <w:r>
        <w:t>.</w:t>
      </w:r>
    </w:p>
  </w:footnote>
  <w:footnote w:id="5">
    <w:p w14:paraId="781904B5" w14:textId="0FF3CD02" w:rsidR="00532C40" w:rsidRPr="00440131" w:rsidRDefault="00532C40">
      <w:pPr>
        <w:pStyle w:val="FootnoteText"/>
      </w:pPr>
      <w:r>
        <w:rPr>
          <w:rStyle w:val="FootnoteReference"/>
        </w:rPr>
        <w:t>†</w:t>
      </w:r>
      <w:r>
        <w:t xml:space="preserve"> El presente documento se emite sin revisión editorial.</w:t>
      </w:r>
    </w:p>
  </w:footnote>
  <w:footnote w:id="6">
    <w:p w14:paraId="1B43FC27" w14:textId="7FBDD6C5" w:rsidR="004F7C74" w:rsidRPr="00440131" w:rsidRDefault="004F7C74">
      <w:pPr>
        <w:pStyle w:val="FootnoteText"/>
      </w:pPr>
      <w:r>
        <w:rPr>
          <w:rStyle w:val="FootnoteReference"/>
        </w:rPr>
        <w:footnoteRef/>
      </w:r>
      <w:r>
        <w:t xml:space="preserve"> </w:t>
      </w:r>
      <w:hyperlink r:id="rId5">
        <w:r>
          <w:rPr>
            <w:rStyle w:val="Hyperlink"/>
          </w:rPr>
          <w:t>CBD/SBI/6/10.</w:t>
        </w:r>
      </w:hyperlink>
    </w:p>
  </w:footnote>
  <w:footnote w:id="7">
    <w:p w14:paraId="03C50FA4" w14:textId="68896B0E" w:rsidR="001B3B54" w:rsidRPr="00D20349" w:rsidRDefault="001B3B54" w:rsidP="001B3B54">
      <w:pPr>
        <w:pStyle w:val="FootnoteText"/>
      </w:pPr>
      <w:r>
        <w:rPr>
          <w:rStyle w:val="FootnoteReference"/>
        </w:rPr>
        <w:footnoteRef/>
      </w:r>
      <w:r>
        <w:t xml:space="preserve"> Segunda continuación de la 16</w:t>
      </w:r>
      <w:r>
        <w:rPr>
          <w:vertAlign w:val="superscript"/>
        </w:rPr>
        <w:t>a</w:t>
      </w:r>
      <w:r>
        <w:t xml:space="preserve"> reunión de la Conferencia de las Partes, celebrada en Roma en 2025; 1</w:t>
      </w:r>
      <w:r>
        <w:rPr>
          <w:vertAlign w:val="superscript"/>
        </w:rPr>
        <w:t>a</w:t>
      </w:r>
      <w:r>
        <w:t xml:space="preserve"> reunión del Órgano Subsidiario sobre el Artículo 8 j) y Otras Disposiciones del Convenio sobre la Diversidad Biológica Relativas a los Pueblos Indígenas y las Comunidades Locales, celebrada en Panamá en 2025, y 6</w:t>
      </w:r>
      <w:r>
        <w:rPr>
          <w:vertAlign w:val="superscript"/>
        </w:rPr>
        <w:t>a</w:t>
      </w:r>
      <w:r>
        <w:t xml:space="preserve"> reunión del Órgano Subsidiario sobre la Aplicación, celebrada en Roma en 2026.</w:t>
      </w:r>
    </w:p>
  </w:footnote>
  <w:footnote w:id="8">
    <w:p w14:paraId="4B76D813" w14:textId="76152F09" w:rsidR="00AA6129" w:rsidRDefault="00AA6129">
      <w:pPr>
        <w:pStyle w:val="FootnoteText"/>
      </w:pPr>
      <w:r>
        <w:rPr>
          <w:rStyle w:val="FootnoteReference"/>
        </w:rPr>
        <w:footnoteRef/>
      </w:r>
      <w:r>
        <w:t xml:space="preserve"> A/77/5/Add.7.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736FA007" w14:textId="451E010A" w:rsidR="00534681" w:rsidRPr="00866063" w:rsidRDefault="009C3FC8" w:rsidP="007C4951">
        <w:pPr>
          <w:pStyle w:val="Header"/>
          <w:spacing w:after="240"/>
          <w:rPr>
            <w:szCs w:val="20"/>
          </w:rPr>
        </w:pPr>
        <w:r w:rsidRPr="009C3FC8">
          <w:rPr>
            <w:szCs w:val="20"/>
          </w:rPr>
          <w:t>CBD/SBI/7/14-CBD/COP/17/3-CBD/CP/MOP/12/4-CBD/NP/MOP/6/4</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0A317FCF" w14:textId="2B1AAB16" w:rsidR="009505C9" w:rsidRPr="00866063" w:rsidRDefault="009C3FC8" w:rsidP="007C4951">
        <w:pPr>
          <w:pStyle w:val="Header"/>
          <w:spacing w:after="240"/>
          <w:jc w:val="right"/>
        </w:pPr>
        <w:r>
          <w:t>CBD/SBI/7/14-CBD/COP/17/3-CBD/CP/MOP/12/4-CBD/NP/MOP/6/4</w:t>
        </w:r>
      </w:p>
    </w:sdtContent>
  </w:sdt>
</w:hdr>
</file>

<file path=word/intelligence2.xml><?xml version="1.0" encoding="utf-8"?>
<int2:intelligence xmlns:int2="http://schemas.microsoft.com/office/intelligence/2020/intelligence" xmlns:oel="http://schemas.microsoft.com/office/2019/extlst">
  <int2:observations>
    <int2:textHash int2:hashCode="6HlNd//X5elTua" int2:id="K95Zkg16">
      <int2:state int2:value="Rejected" int2:type="spell"/>
    </int2:textHash>
    <int2:textHash int2:hashCode="c+hB4if5bBCinG" int2:id="OLhjXbMr">
      <int2:state int2:value="Rejected" int2:type="spell"/>
    </int2:textHash>
    <int2:textHash int2:hashCode="nFY4Nt3Fmkc+u8" int2:id="fPZ4OzhF">
      <int2:state int2:value="Rejected" int2:type="spell"/>
    </int2:textHash>
    <int2:textHash int2:hashCode="Hw5JyNsliGoZEX" int2:id="jVRjBkw1">
      <int2:state int2:value="Rejected" int2:type="spell"/>
    </int2:textHash>
    <int2:textHash int2:hashCode="1p0MAGQCfU9lYg" int2:id="k2F5n1JJ">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86AE8"/>
    <w:multiLevelType w:val="multilevel"/>
    <w:tmpl w:val="2D9C3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F76B7B"/>
    <w:multiLevelType w:val="multilevel"/>
    <w:tmpl w:val="ACF8177A"/>
    <w:lvl w:ilvl="0">
      <w:start w:val="3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30590A"/>
    <w:multiLevelType w:val="multilevel"/>
    <w:tmpl w:val="ACF8177A"/>
    <w:lvl w:ilvl="0">
      <w:start w:val="3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34611AF"/>
    <w:multiLevelType w:val="multilevel"/>
    <w:tmpl w:val="3A728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34A1F14"/>
    <w:multiLevelType w:val="multilevel"/>
    <w:tmpl w:val="CE4E03C2"/>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3EA2D93"/>
    <w:multiLevelType w:val="multilevel"/>
    <w:tmpl w:val="561CC61A"/>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A8A519C"/>
    <w:multiLevelType w:val="multilevel"/>
    <w:tmpl w:val="45124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09F3D00"/>
    <w:multiLevelType w:val="multilevel"/>
    <w:tmpl w:val="CD20F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13E7000"/>
    <w:multiLevelType w:val="multilevel"/>
    <w:tmpl w:val="5B124502"/>
    <w:lvl w:ilvl="0">
      <w:start w:val="3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1533469"/>
    <w:multiLevelType w:val="multilevel"/>
    <w:tmpl w:val="5B124502"/>
    <w:lvl w:ilvl="0">
      <w:start w:val="3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425564D"/>
    <w:multiLevelType w:val="multilevel"/>
    <w:tmpl w:val="915CF6E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061" w:hanging="360"/>
      </w:pPr>
      <w:rPr>
        <w:rFonts w:hint="default"/>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2CC0027F"/>
    <w:multiLevelType w:val="multilevel"/>
    <w:tmpl w:val="A6F48EF2"/>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061" w:hanging="360"/>
      </w:pPr>
      <w:rPr>
        <w:rFonts w:hint="default"/>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 w15:restartNumberingAfterBreak="0">
    <w:nsid w:val="30D46939"/>
    <w:multiLevelType w:val="multilevel"/>
    <w:tmpl w:val="B7E0B11C"/>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494" w:hanging="360"/>
      </w:p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31314EA9"/>
    <w:multiLevelType w:val="multilevel"/>
    <w:tmpl w:val="F2787132"/>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22A4318"/>
    <w:multiLevelType w:val="multilevel"/>
    <w:tmpl w:val="5B124502"/>
    <w:lvl w:ilvl="0">
      <w:start w:val="3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81D7982"/>
    <w:multiLevelType w:val="multilevel"/>
    <w:tmpl w:val="9CAE5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95F307B"/>
    <w:multiLevelType w:val="multilevel"/>
    <w:tmpl w:val="109A44AA"/>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AC3123B"/>
    <w:multiLevelType w:val="multilevel"/>
    <w:tmpl w:val="2B187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2376C5F"/>
    <w:multiLevelType w:val="multilevel"/>
    <w:tmpl w:val="AD4477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494" w:hanging="360"/>
      </w:p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9" w15:restartNumberingAfterBreak="0">
    <w:nsid w:val="444F49FD"/>
    <w:multiLevelType w:val="multilevel"/>
    <w:tmpl w:val="ACF8177A"/>
    <w:lvl w:ilvl="0">
      <w:start w:val="3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84116E1"/>
    <w:multiLevelType w:val="multilevel"/>
    <w:tmpl w:val="F4168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91501EF"/>
    <w:multiLevelType w:val="multilevel"/>
    <w:tmpl w:val="ACF8177A"/>
    <w:lvl w:ilvl="0">
      <w:start w:val="3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96E4A8A"/>
    <w:multiLevelType w:val="multilevel"/>
    <w:tmpl w:val="8FEA8F7E"/>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5" w15:restartNumberingAfterBreak="0">
    <w:nsid w:val="4DD7041C"/>
    <w:multiLevelType w:val="hybridMultilevel"/>
    <w:tmpl w:val="85BE4202"/>
    <w:lvl w:ilvl="0" w:tplc="D562D0F4">
      <w:start w:val="1"/>
      <w:numFmt w:val="lowerLetter"/>
      <w:lvlText w:val="(%1)"/>
      <w:lvlJc w:val="left"/>
      <w:pPr>
        <w:ind w:left="927" w:hanging="360"/>
      </w:pPr>
    </w:lvl>
    <w:lvl w:ilvl="1" w:tplc="C7940422">
      <w:start w:val="1"/>
      <w:numFmt w:val="lowerLetter"/>
      <w:lvlText w:val="%2."/>
      <w:lvlJc w:val="left"/>
      <w:pPr>
        <w:ind w:left="1647" w:hanging="360"/>
      </w:pPr>
    </w:lvl>
    <w:lvl w:ilvl="2" w:tplc="C3F0561C">
      <w:start w:val="1"/>
      <w:numFmt w:val="lowerRoman"/>
      <w:lvlText w:val="%3."/>
      <w:lvlJc w:val="right"/>
      <w:pPr>
        <w:ind w:left="2367" w:hanging="180"/>
      </w:pPr>
    </w:lvl>
    <w:lvl w:ilvl="3" w:tplc="C96A825A">
      <w:start w:val="1"/>
      <w:numFmt w:val="decimal"/>
      <w:lvlText w:val="%4."/>
      <w:lvlJc w:val="left"/>
      <w:pPr>
        <w:ind w:left="3087" w:hanging="360"/>
      </w:pPr>
    </w:lvl>
    <w:lvl w:ilvl="4" w:tplc="2BACF106">
      <w:start w:val="1"/>
      <w:numFmt w:val="lowerLetter"/>
      <w:lvlText w:val="%5."/>
      <w:lvlJc w:val="left"/>
      <w:pPr>
        <w:ind w:left="3807" w:hanging="360"/>
      </w:pPr>
    </w:lvl>
    <w:lvl w:ilvl="5" w:tplc="265E4F1E">
      <w:start w:val="1"/>
      <w:numFmt w:val="lowerRoman"/>
      <w:lvlText w:val="%6."/>
      <w:lvlJc w:val="right"/>
      <w:pPr>
        <w:ind w:left="4527" w:hanging="180"/>
      </w:pPr>
    </w:lvl>
    <w:lvl w:ilvl="6" w:tplc="B5B2F4AC">
      <w:start w:val="1"/>
      <w:numFmt w:val="decimal"/>
      <w:lvlText w:val="%7."/>
      <w:lvlJc w:val="left"/>
      <w:pPr>
        <w:ind w:left="5247" w:hanging="360"/>
      </w:pPr>
    </w:lvl>
    <w:lvl w:ilvl="7" w:tplc="0B8EA6CE">
      <w:start w:val="1"/>
      <w:numFmt w:val="lowerLetter"/>
      <w:lvlText w:val="%8."/>
      <w:lvlJc w:val="left"/>
      <w:pPr>
        <w:ind w:left="5967" w:hanging="360"/>
      </w:pPr>
    </w:lvl>
    <w:lvl w:ilvl="8" w:tplc="9998E24A">
      <w:start w:val="1"/>
      <w:numFmt w:val="lowerRoman"/>
      <w:lvlText w:val="%9."/>
      <w:lvlJc w:val="right"/>
      <w:pPr>
        <w:ind w:left="6687" w:hanging="180"/>
      </w:pPr>
    </w:lvl>
  </w:abstractNum>
  <w:abstractNum w:abstractNumId="26"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4FD60C87"/>
    <w:multiLevelType w:val="multilevel"/>
    <w:tmpl w:val="6F825B62"/>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0896178"/>
    <w:multiLevelType w:val="multilevel"/>
    <w:tmpl w:val="ACF8177A"/>
    <w:lvl w:ilvl="0">
      <w:start w:val="3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1DD51FB"/>
    <w:multiLevelType w:val="multilevel"/>
    <w:tmpl w:val="ACF8177A"/>
    <w:lvl w:ilvl="0">
      <w:start w:val="3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4B022ED"/>
    <w:multiLevelType w:val="multilevel"/>
    <w:tmpl w:val="4E0CAB42"/>
    <w:lvl w:ilvl="0">
      <w:start w:val="3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95436C7"/>
    <w:multiLevelType w:val="multilevel"/>
    <w:tmpl w:val="5DE0C282"/>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A85604F"/>
    <w:multiLevelType w:val="multilevel"/>
    <w:tmpl w:val="C4CA042E"/>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061" w:hanging="360"/>
      </w:pPr>
      <w:rPr>
        <w:rFonts w:hint="default"/>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3" w15:restartNumberingAfterBreak="0">
    <w:nsid w:val="5C6715C3"/>
    <w:multiLevelType w:val="multilevel"/>
    <w:tmpl w:val="ACF8177A"/>
    <w:lvl w:ilvl="0">
      <w:start w:val="3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D943BEE"/>
    <w:multiLevelType w:val="multilevel"/>
    <w:tmpl w:val="222A08B4"/>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5" w15:restartNumberingAfterBreak="0">
    <w:nsid w:val="5E122810"/>
    <w:multiLevelType w:val="multilevel"/>
    <w:tmpl w:val="45AC2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34E63A5"/>
    <w:multiLevelType w:val="multilevel"/>
    <w:tmpl w:val="DFAA12D8"/>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3B14124"/>
    <w:multiLevelType w:val="multilevel"/>
    <w:tmpl w:val="29D64002"/>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Letter"/>
      <w:lvlText w:val="%3)"/>
      <w:lvlJc w:val="left"/>
      <w:pPr>
        <w:ind w:left="2061" w:hanging="360"/>
      </w:p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8" w15:restartNumberingAfterBreak="0">
    <w:nsid w:val="63EB6789"/>
    <w:multiLevelType w:val="multilevel"/>
    <w:tmpl w:val="9580B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F83453F"/>
    <w:multiLevelType w:val="multilevel"/>
    <w:tmpl w:val="ACF8177A"/>
    <w:lvl w:ilvl="0">
      <w:start w:val="3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3" w15:restartNumberingAfterBreak="0">
    <w:nsid w:val="7A6B35BF"/>
    <w:multiLevelType w:val="multilevel"/>
    <w:tmpl w:val="33B2A9A6"/>
    <w:lvl w:ilvl="0">
      <w:start w:val="3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AFA1C65"/>
    <w:multiLevelType w:val="multilevel"/>
    <w:tmpl w:val="0434A42A"/>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13985739">
    <w:abstractNumId w:val="25"/>
  </w:num>
  <w:num w:numId="2" w16cid:durableId="830828777">
    <w:abstractNumId w:val="26"/>
  </w:num>
  <w:num w:numId="3" w16cid:durableId="1858829">
    <w:abstractNumId w:val="21"/>
  </w:num>
  <w:num w:numId="4" w16cid:durableId="1333221471">
    <w:abstractNumId w:val="40"/>
  </w:num>
  <w:num w:numId="5" w16cid:durableId="1072390599">
    <w:abstractNumId w:val="42"/>
  </w:num>
  <w:num w:numId="6" w16cid:durableId="960385107">
    <w:abstractNumId w:val="24"/>
  </w:num>
  <w:num w:numId="7" w16cid:durableId="893932166">
    <w:abstractNumId w:val="39"/>
  </w:num>
  <w:num w:numId="8" w16cid:durableId="323945383">
    <w:abstractNumId w:val="34"/>
  </w:num>
  <w:num w:numId="9" w16cid:durableId="1318264103">
    <w:abstractNumId w:val="35"/>
  </w:num>
  <w:num w:numId="10" w16cid:durableId="723023974">
    <w:abstractNumId w:val="3"/>
  </w:num>
  <w:num w:numId="11" w16cid:durableId="1279752305">
    <w:abstractNumId w:val="17"/>
  </w:num>
  <w:num w:numId="12" w16cid:durableId="768737553">
    <w:abstractNumId w:val="38"/>
  </w:num>
  <w:num w:numId="13" w16cid:durableId="1547832458">
    <w:abstractNumId w:val="7"/>
  </w:num>
  <w:num w:numId="14" w16cid:durableId="1377850853">
    <w:abstractNumId w:val="15"/>
  </w:num>
  <w:num w:numId="15" w16cid:durableId="1304627828">
    <w:abstractNumId w:val="0"/>
  </w:num>
  <w:num w:numId="16" w16cid:durableId="1177160814">
    <w:abstractNumId w:val="20"/>
  </w:num>
  <w:num w:numId="17" w16cid:durableId="964653830">
    <w:abstractNumId w:val="6"/>
  </w:num>
  <w:num w:numId="18" w16cid:durableId="347559551">
    <w:abstractNumId w:val="27"/>
  </w:num>
  <w:num w:numId="19" w16cid:durableId="1147281334">
    <w:abstractNumId w:val="31"/>
  </w:num>
  <w:num w:numId="20" w16cid:durableId="902448211">
    <w:abstractNumId w:val="23"/>
  </w:num>
  <w:num w:numId="21" w16cid:durableId="1012339864">
    <w:abstractNumId w:val="4"/>
  </w:num>
  <w:num w:numId="22" w16cid:durableId="1267272033">
    <w:abstractNumId w:val="16"/>
  </w:num>
  <w:num w:numId="23" w16cid:durableId="1072968927">
    <w:abstractNumId w:val="5"/>
  </w:num>
  <w:num w:numId="24" w16cid:durableId="819420783">
    <w:abstractNumId w:val="44"/>
  </w:num>
  <w:num w:numId="25" w16cid:durableId="13506192">
    <w:abstractNumId w:val="13"/>
  </w:num>
  <w:num w:numId="26" w16cid:durableId="984747958">
    <w:abstractNumId w:val="30"/>
  </w:num>
  <w:num w:numId="27" w16cid:durableId="865631605">
    <w:abstractNumId w:val="36"/>
  </w:num>
  <w:num w:numId="28" w16cid:durableId="182595086">
    <w:abstractNumId w:val="22"/>
  </w:num>
  <w:num w:numId="29" w16cid:durableId="1551452963">
    <w:abstractNumId w:val="43"/>
  </w:num>
  <w:num w:numId="30" w16cid:durableId="2053531393">
    <w:abstractNumId w:val="14"/>
  </w:num>
  <w:num w:numId="31" w16cid:durableId="629436019">
    <w:abstractNumId w:val="19"/>
  </w:num>
  <w:num w:numId="32" w16cid:durableId="397824792">
    <w:abstractNumId w:val="33"/>
  </w:num>
  <w:num w:numId="33" w16cid:durableId="174074477">
    <w:abstractNumId w:val="2"/>
  </w:num>
  <w:num w:numId="34" w16cid:durableId="81920689">
    <w:abstractNumId w:val="28"/>
  </w:num>
  <w:num w:numId="35" w16cid:durableId="686298985">
    <w:abstractNumId w:val="1"/>
  </w:num>
  <w:num w:numId="36" w16cid:durableId="1670937414">
    <w:abstractNumId w:val="29"/>
  </w:num>
  <w:num w:numId="37" w16cid:durableId="936862715">
    <w:abstractNumId w:val="41"/>
  </w:num>
  <w:num w:numId="38" w16cid:durableId="1199317941">
    <w:abstractNumId w:val="9"/>
  </w:num>
  <w:num w:numId="39" w16cid:durableId="2085178711">
    <w:abstractNumId w:val="8"/>
  </w:num>
  <w:num w:numId="40" w16cid:durableId="198176836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89924875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2076781254">
    <w:abstractNumId w:val="34"/>
  </w:num>
  <w:num w:numId="43" w16cid:durableId="550580665">
    <w:abstractNumId w:val="26"/>
  </w:num>
  <w:num w:numId="44" w16cid:durableId="1469929726">
    <w:abstractNumId w:val="26"/>
  </w:num>
  <w:num w:numId="45" w16cid:durableId="776019789">
    <w:abstractNumId w:val="26"/>
  </w:num>
  <w:num w:numId="46" w16cid:durableId="621883597">
    <w:abstractNumId w:val="26"/>
  </w:num>
  <w:num w:numId="47" w16cid:durableId="1438335158">
    <w:abstractNumId w:val="26"/>
  </w:num>
  <w:num w:numId="48" w16cid:durableId="1652173042">
    <w:abstractNumId w:val="26"/>
  </w:num>
  <w:num w:numId="49" w16cid:durableId="894045348">
    <w:abstractNumId w:val="26"/>
  </w:num>
  <w:num w:numId="50" w16cid:durableId="1857307761">
    <w:abstractNumId w:val="26"/>
  </w:num>
  <w:num w:numId="51" w16cid:durableId="384184836">
    <w:abstractNumId w:val="26"/>
  </w:num>
  <w:num w:numId="52" w16cid:durableId="985663640">
    <w:abstractNumId w:val="18"/>
  </w:num>
  <w:num w:numId="53" w16cid:durableId="429543263">
    <w:abstractNumId w:val="10"/>
  </w:num>
  <w:num w:numId="54" w16cid:durableId="1828786325">
    <w:abstractNumId w:val="12"/>
  </w:num>
  <w:num w:numId="55" w16cid:durableId="2117600401">
    <w:abstractNumId w:val="11"/>
  </w:num>
  <w:num w:numId="56" w16cid:durableId="979698351">
    <w:abstractNumId w:val="37"/>
  </w:num>
  <w:num w:numId="57" w16cid:durableId="1913466448">
    <w:abstractNumId w:val="32"/>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NotTrackFormatting/>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44BC"/>
    <w:rsid w:val="00012C71"/>
    <w:rsid w:val="000148D1"/>
    <w:rsid w:val="000151BC"/>
    <w:rsid w:val="000238E2"/>
    <w:rsid w:val="000248CB"/>
    <w:rsid w:val="0002530A"/>
    <w:rsid w:val="00026A77"/>
    <w:rsid w:val="00027508"/>
    <w:rsid w:val="00030227"/>
    <w:rsid w:val="00034006"/>
    <w:rsid w:val="00035A70"/>
    <w:rsid w:val="00042AD8"/>
    <w:rsid w:val="000504A0"/>
    <w:rsid w:val="000554B0"/>
    <w:rsid w:val="000575B3"/>
    <w:rsid w:val="0006725E"/>
    <w:rsid w:val="0007171B"/>
    <w:rsid w:val="00074C36"/>
    <w:rsid w:val="00077FCF"/>
    <w:rsid w:val="00081548"/>
    <w:rsid w:val="00082418"/>
    <w:rsid w:val="00083823"/>
    <w:rsid w:val="0008650F"/>
    <w:rsid w:val="000872D3"/>
    <w:rsid w:val="000A0DFF"/>
    <w:rsid w:val="000A293F"/>
    <w:rsid w:val="000A4A16"/>
    <w:rsid w:val="000C4971"/>
    <w:rsid w:val="000D0F68"/>
    <w:rsid w:val="000D25F3"/>
    <w:rsid w:val="000D26E6"/>
    <w:rsid w:val="000D2A86"/>
    <w:rsid w:val="000E0733"/>
    <w:rsid w:val="000E16CA"/>
    <w:rsid w:val="000E364C"/>
    <w:rsid w:val="000E673A"/>
    <w:rsid w:val="000E7B33"/>
    <w:rsid w:val="000E7C6F"/>
    <w:rsid w:val="000F554D"/>
    <w:rsid w:val="000F6945"/>
    <w:rsid w:val="000F73BF"/>
    <w:rsid w:val="000F74F5"/>
    <w:rsid w:val="000F78FC"/>
    <w:rsid w:val="001011AD"/>
    <w:rsid w:val="00105372"/>
    <w:rsid w:val="001054A6"/>
    <w:rsid w:val="00106238"/>
    <w:rsid w:val="001078A1"/>
    <w:rsid w:val="001110B8"/>
    <w:rsid w:val="001111C4"/>
    <w:rsid w:val="0011339B"/>
    <w:rsid w:val="00117484"/>
    <w:rsid w:val="00120B4B"/>
    <w:rsid w:val="0012110F"/>
    <w:rsid w:val="001312AD"/>
    <w:rsid w:val="00131E7A"/>
    <w:rsid w:val="00132E77"/>
    <w:rsid w:val="0013424B"/>
    <w:rsid w:val="00134846"/>
    <w:rsid w:val="00140CBD"/>
    <w:rsid w:val="001445CE"/>
    <w:rsid w:val="00162F9B"/>
    <w:rsid w:val="00163EA8"/>
    <w:rsid w:val="00164E45"/>
    <w:rsid w:val="0016508B"/>
    <w:rsid w:val="001724A7"/>
    <w:rsid w:val="00172AF6"/>
    <w:rsid w:val="00176CEE"/>
    <w:rsid w:val="00177FD3"/>
    <w:rsid w:val="001812C8"/>
    <w:rsid w:val="0018608D"/>
    <w:rsid w:val="00186DD8"/>
    <w:rsid w:val="00193A11"/>
    <w:rsid w:val="00194B41"/>
    <w:rsid w:val="001A35EC"/>
    <w:rsid w:val="001A4B18"/>
    <w:rsid w:val="001A5B2D"/>
    <w:rsid w:val="001B13FE"/>
    <w:rsid w:val="001B3B54"/>
    <w:rsid w:val="001C5DA2"/>
    <w:rsid w:val="001D17C4"/>
    <w:rsid w:val="001D23F7"/>
    <w:rsid w:val="001E4682"/>
    <w:rsid w:val="001E6C08"/>
    <w:rsid w:val="001F32C8"/>
    <w:rsid w:val="00206E55"/>
    <w:rsid w:val="002210A5"/>
    <w:rsid w:val="0022421C"/>
    <w:rsid w:val="00225585"/>
    <w:rsid w:val="00233CD3"/>
    <w:rsid w:val="002370F5"/>
    <w:rsid w:val="002406A1"/>
    <w:rsid w:val="00242906"/>
    <w:rsid w:val="00242C9A"/>
    <w:rsid w:val="0025215D"/>
    <w:rsid w:val="00252CCC"/>
    <w:rsid w:val="002536A4"/>
    <w:rsid w:val="002566A9"/>
    <w:rsid w:val="00257EBB"/>
    <w:rsid w:val="0026098E"/>
    <w:rsid w:val="0026635C"/>
    <w:rsid w:val="00272076"/>
    <w:rsid w:val="002723C7"/>
    <w:rsid w:val="00275673"/>
    <w:rsid w:val="002769D1"/>
    <w:rsid w:val="0028398D"/>
    <w:rsid w:val="00285231"/>
    <w:rsid w:val="00291436"/>
    <w:rsid w:val="0029796C"/>
    <w:rsid w:val="002A428B"/>
    <w:rsid w:val="002B13E1"/>
    <w:rsid w:val="002C14FF"/>
    <w:rsid w:val="002C2291"/>
    <w:rsid w:val="002D1FE4"/>
    <w:rsid w:val="002D6AC6"/>
    <w:rsid w:val="002D7C75"/>
    <w:rsid w:val="002E3F07"/>
    <w:rsid w:val="002E7A67"/>
    <w:rsid w:val="002F0572"/>
    <w:rsid w:val="002F5D98"/>
    <w:rsid w:val="003008FE"/>
    <w:rsid w:val="0030169D"/>
    <w:rsid w:val="003060EB"/>
    <w:rsid w:val="003106EF"/>
    <w:rsid w:val="003111CD"/>
    <w:rsid w:val="003153EB"/>
    <w:rsid w:val="00316C63"/>
    <w:rsid w:val="00320064"/>
    <w:rsid w:val="00321985"/>
    <w:rsid w:val="00321BE9"/>
    <w:rsid w:val="003231F5"/>
    <w:rsid w:val="00323C88"/>
    <w:rsid w:val="00326ED1"/>
    <w:rsid w:val="003337F1"/>
    <w:rsid w:val="00344C27"/>
    <w:rsid w:val="00351205"/>
    <w:rsid w:val="00360D50"/>
    <w:rsid w:val="00363BB4"/>
    <w:rsid w:val="00364B36"/>
    <w:rsid w:val="0036679A"/>
    <w:rsid w:val="0037217A"/>
    <w:rsid w:val="00372F74"/>
    <w:rsid w:val="00377010"/>
    <w:rsid w:val="00381266"/>
    <w:rsid w:val="003817B6"/>
    <w:rsid w:val="003860F3"/>
    <w:rsid w:val="00387CD3"/>
    <w:rsid w:val="0039130C"/>
    <w:rsid w:val="00393083"/>
    <w:rsid w:val="00396750"/>
    <w:rsid w:val="003A0711"/>
    <w:rsid w:val="003A2D06"/>
    <w:rsid w:val="003A68A6"/>
    <w:rsid w:val="003B0678"/>
    <w:rsid w:val="003C3C3F"/>
    <w:rsid w:val="003C540C"/>
    <w:rsid w:val="003D4C97"/>
    <w:rsid w:val="003E265B"/>
    <w:rsid w:val="003E40C9"/>
    <w:rsid w:val="003E49E8"/>
    <w:rsid w:val="003F4652"/>
    <w:rsid w:val="003F5C8D"/>
    <w:rsid w:val="003F5D8B"/>
    <w:rsid w:val="003F6EC1"/>
    <w:rsid w:val="003F7224"/>
    <w:rsid w:val="00406E92"/>
    <w:rsid w:val="00410176"/>
    <w:rsid w:val="00417720"/>
    <w:rsid w:val="004229C2"/>
    <w:rsid w:val="00427C19"/>
    <w:rsid w:val="00427D21"/>
    <w:rsid w:val="00440131"/>
    <w:rsid w:val="00443281"/>
    <w:rsid w:val="00446ADE"/>
    <w:rsid w:val="00447F4A"/>
    <w:rsid w:val="00451C2F"/>
    <w:rsid w:val="0045383B"/>
    <w:rsid w:val="00453CD1"/>
    <w:rsid w:val="00454242"/>
    <w:rsid w:val="00455AF2"/>
    <w:rsid w:val="00456F67"/>
    <w:rsid w:val="004570F4"/>
    <w:rsid w:val="004626E0"/>
    <w:rsid w:val="004644C2"/>
    <w:rsid w:val="004665BE"/>
    <w:rsid w:val="00467F9C"/>
    <w:rsid w:val="00470EE1"/>
    <w:rsid w:val="00471C2D"/>
    <w:rsid w:val="004727A1"/>
    <w:rsid w:val="00484032"/>
    <w:rsid w:val="004857DA"/>
    <w:rsid w:val="00485B03"/>
    <w:rsid w:val="00493A0A"/>
    <w:rsid w:val="004A08FA"/>
    <w:rsid w:val="004A5BD3"/>
    <w:rsid w:val="004B34E8"/>
    <w:rsid w:val="004B7582"/>
    <w:rsid w:val="004C7335"/>
    <w:rsid w:val="004D02D3"/>
    <w:rsid w:val="004D1480"/>
    <w:rsid w:val="004D22ED"/>
    <w:rsid w:val="004D79C0"/>
    <w:rsid w:val="004F69F3"/>
    <w:rsid w:val="004F7C74"/>
    <w:rsid w:val="00504787"/>
    <w:rsid w:val="0051006C"/>
    <w:rsid w:val="0051228C"/>
    <w:rsid w:val="00515899"/>
    <w:rsid w:val="00515C39"/>
    <w:rsid w:val="00522770"/>
    <w:rsid w:val="00524D8C"/>
    <w:rsid w:val="00524EFE"/>
    <w:rsid w:val="0052679A"/>
    <w:rsid w:val="00532C40"/>
    <w:rsid w:val="00532E2F"/>
    <w:rsid w:val="005343B1"/>
    <w:rsid w:val="00534681"/>
    <w:rsid w:val="00535FD1"/>
    <w:rsid w:val="00540BDC"/>
    <w:rsid w:val="00544D19"/>
    <w:rsid w:val="00550913"/>
    <w:rsid w:val="0055141C"/>
    <w:rsid w:val="005538A6"/>
    <w:rsid w:val="00553CD0"/>
    <w:rsid w:val="00555D81"/>
    <w:rsid w:val="00556605"/>
    <w:rsid w:val="0056068E"/>
    <w:rsid w:val="00563442"/>
    <w:rsid w:val="0056348E"/>
    <w:rsid w:val="00565B42"/>
    <w:rsid w:val="00565FEA"/>
    <w:rsid w:val="00581085"/>
    <w:rsid w:val="005814FD"/>
    <w:rsid w:val="005A0508"/>
    <w:rsid w:val="005B35E2"/>
    <w:rsid w:val="005B7002"/>
    <w:rsid w:val="005C1BBA"/>
    <w:rsid w:val="005C36DD"/>
    <w:rsid w:val="005C4CE6"/>
    <w:rsid w:val="005C58BA"/>
    <w:rsid w:val="005C6616"/>
    <w:rsid w:val="005D72DA"/>
    <w:rsid w:val="005D7930"/>
    <w:rsid w:val="005E39F4"/>
    <w:rsid w:val="005F2009"/>
    <w:rsid w:val="005F5C1F"/>
    <w:rsid w:val="00605966"/>
    <w:rsid w:val="00607FEB"/>
    <w:rsid w:val="0061132D"/>
    <w:rsid w:val="006122BA"/>
    <w:rsid w:val="00612A4E"/>
    <w:rsid w:val="00613E0F"/>
    <w:rsid w:val="00614085"/>
    <w:rsid w:val="00620D85"/>
    <w:rsid w:val="006254E7"/>
    <w:rsid w:val="00634243"/>
    <w:rsid w:val="0063639E"/>
    <w:rsid w:val="006478BF"/>
    <w:rsid w:val="00650279"/>
    <w:rsid w:val="00650AB2"/>
    <w:rsid w:val="00660B19"/>
    <w:rsid w:val="00665647"/>
    <w:rsid w:val="00667825"/>
    <w:rsid w:val="0067657C"/>
    <w:rsid w:val="00680AB0"/>
    <w:rsid w:val="0068746E"/>
    <w:rsid w:val="006938A2"/>
    <w:rsid w:val="006A0E32"/>
    <w:rsid w:val="006A300E"/>
    <w:rsid w:val="006A73C1"/>
    <w:rsid w:val="006B13EE"/>
    <w:rsid w:val="006B2290"/>
    <w:rsid w:val="006B3801"/>
    <w:rsid w:val="006C4058"/>
    <w:rsid w:val="006C4A75"/>
    <w:rsid w:val="006D25E0"/>
    <w:rsid w:val="006D438F"/>
    <w:rsid w:val="006D5F90"/>
    <w:rsid w:val="006E0AB1"/>
    <w:rsid w:val="006F2B9D"/>
    <w:rsid w:val="006F4F60"/>
    <w:rsid w:val="007011ED"/>
    <w:rsid w:val="00702D70"/>
    <w:rsid w:val="00714499"/>
    <w:rsid w:val="00714D52"/>
    <w:rsid w:val="00717D88"/>
    <w:rsid w:val="0072239A"/>
    <w:rsid w:val="00723CEA"/>
    <w:rsid w:val="00726A43"/>
    <w:rsid w:val="00727EF4"/>
    <w:rsid w:val="00735CDD"/>
    <w:rsid w:val="00743972"/>
    <w:rsid w:val="00744555"/>
    <w:rsid w:val="00745BE7"/>
    <w:rsid w:val="00752555"/>
    <w:rsid w:val="007556B1"/>
    <w:rsid w:val="007655A5"/>
    <w:rsid w:val="00770727"/>
    <w:rsid w:val="00772C64"/>
    <w:rsid w:val="007738C8"/>
    <w:rsid w:val="007745B3"/>
    <w:rsid w:val="00776BBC"/>
    <w:rsid w:val="00781EC6"/>
    <w:rsid w:val="00783CE5"/>
    <w:rsid w:val="00786056"/>
    <w:rsid w:val="00786C19"/>
    <w:rsid w:val="00787265"/>
    <w:rsid w:val="00793F25"/>
    <w:rsid w:val="007942D3"/>
    <w:rsid w:val="007A013F"/>
    <w:rsid w:val="007A1A37"/>
    <w:rsid w:val="007A59C7"/>
    <w:rsid w:val="007A6942"/>
    <w:rsid w:val="007A7039"/>
    <w:rsid w:val="007A7675"/>
    <w:rsid w:val="007A7ABD"/>
    <w:rsid w:val="007B2099"/>
    <w:rsid w:val="007B6C09"/>
    <w:rsid w:val="007B6EB4"/>
    <w:rsid w:val="007B7709"/>
    <w:rsid w:val="007B7741"/>
    <w:rsid w:val="007C244A"/>
    <w:rsid w:val="007C41D0"/>
    <w:rsid w:val="007C4951"/>
    <w:rsid w:val="007C4E70"/>
    <w:rsid w:val="007C7FF3"/>
    <w:rsid w:val="007D021B"/>
    <w:rsid w:val="007D2D67"/>
    <w:rsid w:val="007D7556"/>
    <w:rsid w:val="007E09DA"/>
    <w:rsid w:val="007E0F8A"/>
    <w:rsid w:val="007E23E9"/>
    <w:rsid w:val="007E7223"/>
    <w:rsid w:val="007E7E7D"/>
    <w:rsid w:val="007F675E"/>
    <w:rsid w:val="007F718D"/>
    <w:rsid w:val="00801FAD"/>
    <w:rsid w:val="00811167"/>
    <w:rsid w:val="00813B08"/>
    <w:rsid w:val="00814011"/>
    <w:rsid w:val="008178B6"/>
    <w:rsid w:val="00822565"/>
    <w:rsid w:val="00825540"/>
    <w:rsid w:val="00832368"/>
    <w:rsid w:val="00832D4A"/>
    <w:rsid w:val="00834769"/>
    <w:rsid w:val="00846ACF"/>
    <w:rsid w:val="0084744E"/>
    <w:rsid w:val="00851D43"/>
    <w:rsid w:val="00852DEE"/>
    <w:rsid w:val="008572D6"/>
    <w:rsid w:val="008611BD"/>
    <w:rsid w:val="0086378E"/>
    <w:rsid w:val="00865B74"/>
    <w:rsid w:val="00866063"/>
    <w:rsid w:val="008743B7"/>
    <w:rsid w:val="00877545"/>
    <w:rsid w:val="008875C7"/>
    <w:rsid w:val="00887EB0"/>
    <w:rsid w:val="00890CCE"/>
    <w:rsid w:val="00893785"/>
    <w:rsid w:val="00893F81"/>
    <w:rsid w:val="008974F0"/>
    <w:rsid w:val="008A1499"/>
    <w:rsid w:val="008A3979"/>
    <w:rsid w:val="008B012A"/>
    <w:rsid w:val="008B0B04"/>
    <w:rsid w:val="008B31E7"/>
    <w:rsid w:val="008B516A"/>
    <w:rsid w:val="008C22E8"/>
    <w:rsid w:val="008C5F97"/>
    <w:rsid w:val="008C68B1"/>
    <w:rsid w:val="008C76B3"/>
    <w:rsid w:val="008E268C"/>
    <w:rsid w:val="008E36E7"/>
    <w:rsid w:val="008E738F"/>
    <w:rsid w:val="008F029E"/>
    <w:rsid w:val="008F23D4"/>
    <w:rsid w:val="009011A8"/>
    <w:rsid w:val="009016D9"/>
    <w:rsid w:val="0090257B"/>
    <w:rsid w:val="009037F0"/>
    <w:rsid w:val="00903EB8"/>
    <w:rsid w:val="00904501"/>
    <w:rsid w:val="00906E17"/>
    <w:rsid w:val="0090704E"/>
    <w:rsid w:val="00921F04"/>
    <w:rsid w:val="00930BA1"/>
    <w:rsid w:val="0093169E"/>
    <w:rsid w:val="009378E8"/>
    <w:rsid w:val="00942BFF"/>
    <w:rsid w:val="0094623C"/>
    <w:rsid w:val="009505C9"/>
    <w:rsid w:val="00950752"/>
    <w:rsid w:val="00960562"/>
    <w:rsid w:val="00962801"/>
    <w:rsid w:val="00963E2A"/>
    <w:rsid w:val="00966424"/>
    <w:rsid w:val="00966648"/>
    <w:rsid w:val="00981655"/>
    <w:rsid w:val="009956BD"/>
    <w:rsid w:val="0099625B"/>
    <w:rsid w:val="009B154D"/>
    <w:rsid w:val="009B5CD2"/>
    <w:rsid w:val="009C2DE6"/>
    <w:rsid w:val="009C3FC8"/>
    <w:rsid w:val="009C5078"/>
    <w:rsid w:val="009C7B8F"/>
    <w:rsid w:val="009D390F"/>
    <w:rsid w:val="009D4106"/>
    <w:rsid w:val="009D6087"/>
    <w:rsid w:val="009D6682"/>
    <w:rsid w:val="009E6817"/>
    <w:rsid w:val="009E7E8E"/>
    <w:rsid w:val="009F0207"/>
    <w:rsid w:val="009F16B3"/>
    <w:rsid w:val="009F1721"/>
    <w:rsid w:val="00A0224C"/>
    <w:rsid w:val="00A111D1"/>
    <w:rsid w:val="00A147B1"/>
    <w:rsid w:val="00A14C7E"/>
    <w:rsid w:val="00A21BEB"/>
    <w:rsid w:val="00A246FF"/>
    <w:rsid w:val="00A35168"/>
    <w:rsid w:val="00A35EC9"/>
    <w:rsid w:val="00A5185D"/>
    <w:rsid w:val="00A525CF"/>
    <w:rsid w:val="00A547D4"/>
    <w:rsid w:val="00A556AC"/>
    <w:rsid w:val="00A57E5A"/>
    <w:rsid w:val="00A61C30"/>
    <w:rsid w:val="00A73E8B"/>
    <w:rsid w:val="00A74A28"/>
    <w:rsid w:val="00A7643D"/>
    <w:rsid w:val="00A76EF1"/>
    <w:rsid w:val="00A803CA"/>
    <w:rsid w:val="00A826A3"/>
    <w:rsid w:val="00A83651"/>
    <w:rsid w:val="00A83CD2"/>
    <w:rsid w:val="00A92AA5"/>
    <w:rsid w:val="00A95DD5"/>
    <w:rsid w:val="00AA6129"/>
    <w:rsid w:val="00AA6F92"/>
    <w:rsid w:val="00AB6934"/>
    <w:rsid w:val="00AC0DC6"/>
    <w:rsid w:val="00AC7266"/>
    <w:rsid w:val="00AD6C66"/>
    <w:rsid w:val="00AE376F"/>
    <w:rsid w:val="00AE3C9C"/>
    <w:rsid w:val="00AF3649"/>
    <w:rsid w:val="00AF42DE"/>
    <w:rsid w:val="00AF46BE"/>
    <w:rsid w:val="00AF7C22"/>
    <w:rsid w:val="00B01C9B"/>
    <w:rsid w:val="00B114C8"/>
    <w:rsid w:val="00B16A3C"/>
    <w:rsid w:val="00B23D6F"/>
    <w:rsid w:val="00B30F3F"/>
    <w:rsid w:val="00B311B1"/>
    <w:rsid w:val="00B3369F"/>
    <w:rsid w:val="00B41677"/>
    <w:rsid w:val="00B42194"/>
    <w:rsid w:val="00B423DC"/>
    <w:rsid w:val="00B452A8"/>
    <w:rsid w:val="00B47D38"/>
    <w:rsid w:val="00B51FD2"/>
    <w:rsid w:val="00B52895"/>
    <w:rsid w:val="00B560F6"/>
    <w:rsid w:val="00B61B85"/>
    <w:rsid w:val="00B679BD"/>
    <w:rsid w:val="00B67DFE"/>
    <w:rsid w:val="00B80BF5"/>
    <w:rsid w:val="00B82367"/>
    <w:rsid w:val="00B82A45"/>
    <w:rsid w:val="00B9487B"/>
    <w:rsid w:val="00B94E6C"/>
    <w:rsid w:val="00BA33A8"/>
    <w:rsid w:val="00BA4678"/>
    <w:rsid w:val="00BA559A"/>
    <w:rsid w:val="00BB0FC8"/>
    <w:rsid w:val="00BB4606"/>
    <w:rsid w:val="00BB6855"/>
    <w:rsid w:val="00BB7F95"/>
    <w:rsid w:val="00BC09E3"/>
    <w:rsid w:val="00BC0ED8"/>
    <w:rsid w:val="00BC4036"/>
    <w:rsid w:val="00BC7A87"/>
    <w:rsid w:val="00BD43F2"/>
    <w:rsid w:val="00BD44BC"/>
    <w:rsid w:val="00BD4BA6"/>
    <w:rsid w:val="00BD6DBA"/>
    <w:rsid w:val="00BF7B16"/>
    <w:rsid w:val="00C06FAB"/>
    <w:rsid w:val="00C16663"/>
    <w:rsid w:val="00C16917"/>
    <w:rsid w:val="00C17A23"/>
    <w:rsid w:val="00C23D2F"/>
    <w:rsid w:val="00C250C0"/>
    <w:rsid w:val="00C3153C"/>
    <w:rsid w:val="00C33F27"/>
    <w:rsid w:val="00C41AD8"/>
    <w:rsid w:val="00C41CAB"/>
    <w:rsid w:val="00C425DF"/>
    <w:rsid w:val="00C43244"/>
    <w:rsid w:val="00C4348A"/>
    <w:rsid w:val="00C443BD"/>
    <w:rsid w:val="00C448E7"/>
    <w:rsid w:val="00C451C5"/>
    <w:rsid w:val="00C4535F"/>
    <w:rsid w:val="00C50D72"/>
    <w:rsid w:val="00C5613B"/>
    <w:rsid w:val="00C6032B"/>
    <w:rsid w:val="00C71696"/>
    <w:rsid w:val="00C72321"/>
    <w:rsid w:val="00C75AA0"/>
    <w:rsid w:val="00C8093B"/>
    <w:rsid w:val="00C900D8"/>
    <w:rsid w:val="00C9161D"/>
    <w:rsid w:val="00C964C4"/>
    <w:rsid w:val="00CA0C1D"/>
    <w:rsid w:val="00CA7C53"/>
    <w:rsid w:val="00CB0209"/>
    <w:rsid w:val="00CC10F0"/>
    <w:rsid w:val="00CC315E"/>
    <w:rsid w:val="00CC3224"/>
    <w:rsid w:val="00CC5A73"/>
    <w:rsid w:val="00CC7FBB"/>
    <w:rsid w:val="00CD139E"/>
    <w:rsid w:val="00CD783D"/>
    <w:rsid w:val="00CE1E8D"/>
    <w:rsid w:val="00CE224F"/>
    <w:rsid w:val="00CE2551"/>
    <w:rsid w:val="00CF1848"/>
    <w:rsid w:val="00CF31CB"/>
    <w:rsid w:val="00CF4018"/>
    <w:rsid w:val="00CF4362"/>
    <w:rsid w:val="00D0372E"/>
    <w:rsid w:val="00D07A34"/>
    <w:rsid w:val="00D12044"/>
    <w:rsid w:val="00D13FCC"/>
    <w:rsid w:val="00D152BB"/>
    <w:rsid w:val="00D170D9"/>
    <w:rsid w:val="00D200E4"/>
    <w:rsid w:val="00D23EC8"/>
    <w:rsid w:val="00D27126"/>
    <w:rsid w:val="00D3035D"/>
    <w:rsid w:val="00D320AF"/>
    <w:rsid w:val="00D33EFC"/>
    <w:rsid w:val="00D359F0"/>
    <w:rsid w:val="00D40DBC"/>
    <w:rsid w:val="00D42758"/>
    <w:rsid w:val="00D51B53"/>
    <w:rsid w:val="00D55473"/>
    <w:rsid w:val="00D569E6"/>
    <w:rsid w:val="00D61C85"/>
    <w:rsid w:val="00D66E14"/>
    <w:rsid w:val="00D744A5"/>
    <w:rsid w:val="00D75CA6"/>
    <w:rsid w:val="00D76A18"/>
    <w:rsid w:val="00D77135"/>
    <w:rsid w:val="00D80849"/>
    <w:rsid w:val="00D8139F"/>
    <w:rsid w:val="00D82E8F"/>
    <w:rsid w:val="00D8501A"/>
    <w:rsid w:val="00D85667"/>
    <w:rsid w:val="00D925D9"/>
    <w:rsid w:val="00D931C0"/>
    <w:rsid w:val="00D94C7C"/>
    <w:rsid w:val="00D96E88"/>
    <w:rsid w:val="00DA0F60"/>
    <w:rsid w:val="00DA5E26"/>
    <w:rsid w:val="00DB32D3"/>
    <w:rsid w:val="00DB4DA6"/>
    <w:rsid w:val="00DB54C3"/>
    <w:rsid w:val="00DB5D9E"/>
    <w:rsid w:val="00DB5E0F"/>
    <w:rsid w:val="00DC5A11"/>
    <w:rsid w:val="00DC6FC3"/>
    <w:rsid w:val="00DC760C"/>
    <w:rsid w:val="00DD118C"/>
    <w:rsid w:val="00DD1E60"/>
    <w:rsid w:val="00DE3A2A"/>
    <w:rsid w:val="00DE41EE"/>
    <w:rsid w:val="00DE4759"/>
    <w:rsid w:val="00DE59D7"/>
    <w:rsid w:val="00DE765C"/>
    <w:rsid w:val="00DF0E6F"/>
    <w:rsid w:val="00DF14DB"/>
    <w:rsid w:val="00E03C00"/>
    <w:rsid w:val="00E11EF3"/>
    <w:rsid w:val="00E13C2A"/>
    <w:rsid w:val="00E14A23"/>
    <w:rsid w:val="00E21A5D"/>
    <w:rsid w:val="00E235FD"/>
    <w:rsid w:val="00E348D0"/>
    <w:rsid w:val="00E34C9E"/>
    <w:rsid w:val="00E4076A"/>
    <w:rsid w:val="00E44339"/>
    <w:rsid w:val="00E44BAD"/>
    <w:rsid w:val="00E45D51"/>
    <w:rsid w:val="00E50315"/>
    <w:rsid w:val="00E50D34"/>
    <w:rsid w:val="00E55EF0"/>
    <w:rsid w:val="00E66198"/>
    <w:rsid w:val="00E66235"/>
    <w:rsid w:val="00E7748A"/>
    <w:rsid w:val="00E82F1D"/>
    <w:rsid w:val="00E839AD"/>
    <w:rsid w:val="00E83C24"/>
    <w:rsid w:val="00E83DA7"/>
    <w:rsid w:val="00E924F2"/>
    <w:rsid w:val="00E9318D"/>
    <w:rsid w:val="00E93F3E"/>
    <w:rsid w:val="00E95EF6"/>
    <w:rsid w:val="00E969B6"/>
    <w:rsid w:val="00E96A80"/>
    <w:rsid w:val="00EA1368"/>
    <w:rsid w:val="00EB1588"/>
    <w:rsid w:val="00EB3B45"/>
    <w:rsid w:val="00EB542E"/>
    <w:rsid w:val="00EC7272"/>
    <w:rsid w:val="00ED06F4"/>
    <w:rsid w:val="00ED1C67"/>
    <w:rsid w:val="00ED6CDC"/>
    <w:rsid w:val="00EE0B46"/>
    <w:rsid w:val="00EE1A97"/>
    <w:rsid w:val="00EE4769"/>
    <w:rsid w:val="00EE567D"/>
    <w:rsid w:val="00EF007D"/>
    <w:rsid w:val="00EF444C"/>
    <w:rsid w:val="00EF53C4"/>
    <w:rsid w:val="00EF5B53"/>
    <w:rsid w:val="00F00DAE"/>
    <w:rsid w:val="00F02662"/>
    <w:rsid w:val="00F02A86"/>
    <w:rsid w:val="00F03760"/>
    <w:rsid w:val="00F03E61"/>
    <w:rsid w:val="00F063AF"/>
    <w:rsid w:val="00F063C2"/>
    <w:rsid w:val="00F10E3A"/>
    <w:rsid w:val="00F10EB6"/>
    <w:rsid w:val="00F11203"/>
    <w:rsid w:val="00F143A2"/>
    <w:rsid w:val="00F15084"/>
    <w:rsid w:val="00F210E7"/>
    <w:rsid w:val="00F249A1"/>
    <w:rsid w:val="00F33764"/>
    <w:rsid w:val="00F357FB"/>
    <w:rsid w:val="00F35BB4"/>
    <w:rsid w:val="00F360E5"/>
    <w:rsid w:val="00F37657"/>
    <w:rsid w:val="00F42FAB"/>
    <w:rsid w:val="00F45B26"/>
    <w:rsid w:val="00F5246B"/>
    <w:rsid w:val="00F53193"/>
    <w:rsid w:val="00F5357E"/>
    <w:rsid w:val="00F6094F"/>
    <w:rsid w:val="00F6133A"/>
    <w:rsid w:val="00F6586C"/>
    <w:rsid w:val="00F70CCB"/>
    <w:rsid w:val="00F9038B"/>
    <w:rsid w:val="00F94774"/>
    <w:rsid w:val="00F97B3F"/>
    <w:rsid w:val="00FA0179"/>
    <w:rsid w:val="00FA0F37"/>
    <w:rsid w:val="00FA663B"/>
    <w:rsid w:val="00FB4207"/>
    <w:rsid w:val="00FB5EF3"/>
    <w:rsid w:val="00FB6391"/>
    <w:rsid w:val="00FC0548"/>
    <w:rsid w:val="00FC3A5A"/>
    <w:rsid w:val="00FC53DB"/>
    <w:rsid w:val="00FD17FC"/>
    <w:rsid w:val="00FD29CC"/>
    <w:rsid w:val="00FD5FFD"/>
    <w:rsid w:val="015B2FA8"/>
    <w:rsid w:val="01F516B2"/>
    <w:rsid w:val="02C23D5C"/>
    <w:rsid w:val="031102E7"/>
    <w:rsid w:val="03414D10"/>
    <w:rsid w:val="054A3BF1"/>
    <w:rsid w:val="0569D571"/>
    <w:rsid w:val="057D1065"/>
    <w:rsid w:val="062622E8"/>
    <w:rsid w:val="09428AC2"/>
    <w:rsid w:val="09E08320"/>
    <w:rsid w:val="0A12E7A7"/>
    <w:rsid w:val="0A510DD1"/>
    <w:rsid w:val="0AE64EA5"/>
    <w:rsid w:val="0B334F41"/>
    <w:rsid w:val="0C1016F2"/>
    <w:rsid w:val="0C2922ED"/>
    <w:rsid w:val="0C630A6E"/>
    <w:rsid w:val="0CE2214C"/>
    <w:rsid w:val="0CE4237D"/>
    <w:rsid w:val="0DFDA32A"/>
    <w:rsid w:val="0E21F297"/>
    <w:rsid w:val="0E516E63"/>
    <w:rsid w:val="0EE251D4"/>
    <w:rsid w:val="0F813963"/>
    <w:rsid w:val="0F9D50EE"/>
    <w:rsid w:val="1043287E"/>
    <w:rsid w:val="10D21FE6"/>
    <w:rsid w:val="113E92F1"/>
    <w:rsid w:val="11A1FD9D"/>
    <w:rsid w:val="12A9799C"/>
    <w:rsid w:val="12D3017D"/>
    <w:rsid w:val="12FEDF3A"/>
    <w:rsid w:val="1389FC31"/>
    <w:rsid w:val="139053FA"/>
    <w:rsid w:val="13DA249F"/>
    <w:rsid w:val="14F757D8"/>
    <w:rsid w:val="15CE5A08"/>
    <w:rsid w:val="1682D5B9"/>
    <w:rsid w:val="1739BEF3"/>
    <w:rsid w:val="17514A8A"/>
    <w:rsid w:val="17EEDD5F"/>
    <w:rsid w:val="1889FE0B"/>
    <w:rsid w:val="189B9400"/>
    <w:rsid w:val="1A4D4525"/>
    <w:rsid w:val="1B2ADD5E"/>
    <w:rsid w:val="1B6C77CD"/>
    <w:rsid w:val="1C203FEB"/>
    <w:rsid w:val="1CC0C67E"/>
    <w:rsid w:val="1D541839"/>
    <w:rsid w:val="1D5F7610"/>
    <w:rsid w:val="1D93D67F"/>
    <w:rsid w:val="1F7CBA6D"/>
    <w:rsid w:val="1F9B268F"/>
    <w:rsid w:val="1FB535F6"/>
    <w:rsid w:val="2064DD93"/>
    <w:rsid w:val="207A3B5D"/>
    <w:rsid w:val="2080462C"/>
    <w:rsid w:val="2080ABF3"/>
    <w:rsid w:val="20B202C8"/>
    <w:rsid w:val="21DAE825"/>
    <w:rsid w:val="220ECB09"/>
    <w:rsid w:val="22F397B3"/>
    <w:rsid w:val="250580A9"/>
    <w:rsid w:val="25830CE9"/>
    <w:rsid w:val="266C1CC8"/>
    <w:rsid w:val="277ADA37"/>
    <w:rsid w:val="27F43F0C"/>
    <w:rsid w:val="28761DDB"/>
    <w:rsid w:val="294A1D63"/>
    <w:rsid w:val="29509DDC"/>
    <w:rsid w:val="29D07EF3"/>
    <w:rsid w:val="2A0C21EB"/>
    <w:rsid w:val="2A3C18D7"/>
    <w:rsid w:val="2A895581"/>
    <w:rsid w:val="2B4599C2"/>
    <w:rsid w:val="2BAFF3C0"/>
    <w:rsid w:val="2C022A15"/>
    <w:rsid w:val="2C115141"/>
    <w:rsid w:val="2D14B7B8"/>
    <w:rsid w:val="2E2864F1"/>
    <w:rsid w:val="2E36DB68"/>
    <w:rsid w:val="2EA4CF1C"/>
    <w:rsid w:val="2EB98086"/>
    <w:rsid w:val="307683CD"/>
    <w:rsid w:val="30DDA5E1"/>
    <w:rsid w:val="31B5A2D6"/>
    <w:rsid w:val="3203A947"/>
    <w:rsid w:val="3273CA76"/>
    <w:rsid w:val="3341D2BD"/>
    <w:rsid w:val="335A363C"/>
    <w:rsid w:val="3367AB37"/>
    <w:rsid w:val="338F1080"/>
    <w:rsid w:val="34AD3CB4"/>
    <w:rsid w:val="34C183CC"/>
    <w:rsid w:val="34CA3076"/>
    <w:rsid w:val="35048CBF"/>
    <w:rsid w:val="35365195"/>
    <w:rsid w:val="36091F9C"/>
    <w:rsid w:val="39D296BE"/>
    <w:rsid w:val="3A238844"/>
    <w:rsid w:val="3A2FAEB3"/>
    <w:rsid w:val="3A34D4B6"/>
    <w:rsid w:val="3A38E417"/>
    <w:rsid w:val="3AC511FE"/>
    <w:rsid w:val="3B65744D"/>
    <w:rsid w:val="3BEDAB71"/>
    <w:rsid w:val="3CD4F904"/>
    <w:rsid w:val="3CD52135"/>
    <w:rsid w:val="3D0B2980"/>
    <w:rsid w:val="3D140A42"/>
    <w:rsid w:val="3DCD0692"/>
    <w:rsid w:val="3E40A0E1"/>
    <w:rsid w:val="3EFEB623"/>
    <w:rsid w:val="403A7052"/>
    <w:rsid w:val="415B4EE3"/>
    <w:rsid w:val="41855F1B"/>
    <w:rsid w:val="41CB2D26"/>
    <w:rsid w:val="425E6CCC"/>
    <w:rsid w:val="42733BA0"/>
    <w:rsid w:val="4278B5D8"/>
    <w:rsid w:val="432C7D5F"/>
    <w:rsid w:val="43783ACE"/>
    <w:rsid w:val="449C5CD8"/>
    <w:rsid w:val="4673DD3E"/>
    <w:rsid w:val="46781BA4"/>
    <w:rsid w:val="46EA4E04"/>
    <w:rsid w:val="47C9D8B5"/>
    <w:rsid w:val="47FF465E"/>
    <w:rsid w:val="48417EE5"/>
    <w:rsid w:val="48AA825D"/>
    <w:rsid w:val="490D05A6"/>
    <w:rsid w:val="49522C86"/>
    <w:rsid w:val="4A09DE0B"/>
    <w:rsid w:val="4A22138F"/>
    <w:rsid w:val="4AA90660"/>
    <w:rsid w:val="4B32DFED"/>
    <w:rsid w:val="4B4E3794"/>
    <w:rsid w:val="4C640087"/>
    <w:rsid w:val="4D40C56C"/>
    <w:rsid w:val="4DB6E9E7"/>
    <w:rsid w:val="4DCE218A"/>
    <w:rsid w:val="4DD1DB1F"/>
    <w:rsid w:val="4DFC66F0"/>
    <w:rsid w:val="4E08F73E"/>
    <w:rsid w:val="4E2B9DF4"/>
    <w:rsid w:val="4F9D62EC"/>
    <w:rsid w:val="4FC7D5E6"/>
    <w:rsid w:val="50AAE3D9"/>
    <w:rsid w:val="50F4A216"/>
    <w:rsid w:val="5117110B"/>
    <w:rsid w:val="51A88939"/>
    <w:rsid w:val="525E8CC0"/>
    <w:rsid w:val="528192D8"/>
    <w:rsid w:val="5389517E"/>
    <w:rsid w:val="549EC945"/>
    <w:rsid w:val="5517FA05"/>
    <w:rsid w:val="555B441D"/>
    <w:rsid w:val="556CF1FA"/>
    <w:rsid w:val="5591804A"/>
    <w:rsid w:val="55B2CB42"/>
    <w:rsid w:val="55B6E4B7"/>
    <w:rsid w:val="55EACB24"/>
    <w:rsid w:val="56FD37FC"/>
    <w:rsid w:val="58251660"/>
    <w:rsid w:val="58AF0B7B"/>
    <w:rsid w:val="58B3C024"/>
    <w:rsid w:val="594914B1"/>
    <w:rsid w:val="598A480A"/>
    <w:rsid w:val="5A1D01CE"/>
    <w:rsid w:val="5B1D5782"/>
    <w:rsid w:val="5B60A43E"/>
    <w:rsid w:val="5BF7CF0E"/>
    <w:rsid w:val="5C396ACE"/>
    <w:rsid w:val="5C74F9B2"/>
    <w:rsid w:val="5D17526C"/>
    <w:rsid w:val="5D45A2E9"/>
    <w:rsid w:val="5D577CF8"/>
    <w:rsid w:val="5D813F19"/>
    <w:rsid w:val="5EB4A53A"/>
    <w:rsid w:val="5F683058"/>
    <w:rsid w:val="5FDCE974"/>
    <w:rsid w:val="60FE1123"/>
    <w:rsid w:val="61667905"/>
    <w:rsid w:val="61A4EBB9"/>
    <w:rsid w:val="61CABE20"/>
    <w:rsid w:val="61F14027"/>
    <w:rsid w:val="6214AB84"/>
    <w:rsid w:val="635196D2"/>
    <w:rsid w:val="636B9E07"/>
    <w:rsid w:val="63C96652"/>
    <w:rsid w:val="644B30EC"/>
    <w:rsid w:val="66053882"/>
    <w:rsid w:val="6668795D"/>
    <w:rsid w:val="66708360"/>
    <w:rsid w:val="677D3C0F"/>
    <w:rsid w:val="681DF1DD"/>
    <w:rsid w:val="68246F97"/>
    <w:rsid w:val="684B3A67"/>
    <w:rsid w:val="6887B3E0"/>
    <w:rsid w:val="6891C3DB"/>
    <w:rsid w:val="69911143"/>
    <w:rsid w:val="6A81AA77"/>
    <w:rsid w:val="6B5AC77D"/>
    <w:rsid w:val="6CE3263B"/>
    <w:rsid w:val="6D282BC6"/>
    <w:rsid w:val="6D32760A"/>
    <w:rsid w:val="6D8C0F12"/>
    <w:rsid w:val="6E374A4C"/>
    <w:rsid w:val="6E6EEB81"/>
    <w:rsid w:val="6ED59538"/>
    <w:rsid w:val="6FBFFF5C"/>
    <w:rsid w:val="6FD44F51"/>
    <w:rsid w:val="70D9C2F7"/>
    <w:rsid w:val="70FFE5AE"/>
    <w:rsid w:val="72E71F72"/>
    <w:rsid w:val="73576E4D"/>
    <w:rsid w:val="7497CBEE"/>
    <w:rsid w:val="76158DEC"/>
    <w:rsid w:val="76F6DD58"/>
    <w:rsid w:val="7702FADA"/>
    <w:rsid w:val="771172B6"/>
    <w:rsid w:val="77F2CCAC"/>
    <w:rsid w:val="7835686A"/>
    <w:rsid w:val="78931A54"/>
    <w:rsid w:val="79FF13D7"/>
    <w:rsid w:val="7A0257F9"/>
    <w:rsid w:val="7A307F7E"/>
    <w:rsid w:val="7A30B97F"/>
    <w:rsid w:val="7A3388E5"/>
    <w:rsid w:val="7A497E6E"/>
    <w:rsid w:val="7A6E2A9D"/>
    <w:rsid w:val="7AF88754"/>
    <w:rsid w:val="7B345BFF"/>
    <w:rsid w:val="7B783B54"/>
    <w:rsid w:val="7B7F19F9"/>
    <w:rsid w:val="7B8D8E0E"/>
    <w:rsid w:val="7BD48914"/>
    <w:rsid w:val="7BF84FB5"/>
    <w:rsid w:val="7BFD5AA8"/>
    <w:rsid w:val="7C524FAE"/>
    <w:rsid w:val="7CC86DAD"/>
    <w:rsid w:val="7D103107"/>
    <w:rsid w:val="7D33680F"/>
    <w:rsid w:val="7DA4C10C"/>
    <w:rsid w:val="7DB7E7FE"/>
    <w:rsid w:val="7DDE058F"/>
    <w:rsid w:val="7E54B13A"/>
    <w:rsid w:val="7EB4FF39"/>
    <w:rsid w:val="7F37ECAE"/>
    <w:rsid w:val="7F8F8A14"/>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1711628"/>
  <w15:docId w15:val="{C5FC7903-4AF8-419C-933D-D8030F4C1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Heading1">
    <w:name w:val="heading 1"/>
    <w:basedOn w:val="Normal"/>
    <w:next w:val="Heading2"/>
    <w:link w:val="Heading1Char"/>
    <w:uiPriority w:val="9"/>
    <w:qFormat/>
    <w:rsid w:val="00866063"/>
    <w:pPr>
      <w:keepNext/>
      <w:keepLines/>
      <w:numPr>
        <w:numId w:val="7"/>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7"/>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7"/>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7"/>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7"/>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5"/>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s-ES"/>
    </w:rPr>
  </w:style>
  <w:style w:type="character" w:styleId="PlaceholderText">
    <w:name w:val="Placeholder Text"/>
    <w:basedOn w:val="DefaultParagraphFont"/>
    <w:uiPriority w:val="99"/>
    <w:semiHidden/>
    <w:rsid w:val="00105372"/>
    <w:rPr>
      <w:color w:val="808080"/>
      <w:lang w:val="es-ES"/>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s-ES"/>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s-ES"/>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s-ES"/>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s-ES"/>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s-ES"/>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s-ES"/>
    </w:rPr>
  </w:style>
  <w:style w:type="character" w:styleId="CommentReference">
    <w:name w:val="annotation reference"/>
    <w:basedOn w:val="DefaultParagraphFont"/>
    <w:uiPriority w:val="99"/>
    <w:semiHidden/>
    <w:unhideWhenUsed/>
    <w:rsid w:val="00866063"/>
    <w:rPr>
      <w:sz w:val="16"/>
      <w:szCs w:val="16"/>
      <w:lang w:val="es-ES"/>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es-ES"/>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s-ES"/>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s-ES"/>
    </w:rPr>
  </w:style>
  <w:style w:type="character" w:styleId="FollowedHyperlink">
    <w:name w:val="FollowedHyperlink"/>
    <w:rsid w:val="007E09DA"/>
    <w:rPr>
      <w:color w:val="800080"/>
      <w:u w:val="single"/>
      <w:lang w:val="es-E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rsid w:val="00866063"/>
    <w:rPr>
      <w:vertAlign w:val="superscript"/>
      <w:lang w:val="es-ES"/>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n3,fn,footnote text3"/>
    <w:basedOn w:val="Normal"/>
    <w:link w:val="FootnoteTextChar"/>
    <w:uiPriority w:val="99"/>
    <w:unhideWhenUsed/>
    <w:rsid w:val="0086606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866063"/>
    <w:rPr>
      <w:rFonts w:ascii="Times New Roman" w:eastAsia="SimSun" w:hAnsi="Times New Roman" w:cs="Times New Roman"/>
      <w:sz w:val="18"/>
      <w:szCs w:val="20"/>
      <w:lang w:val="es-ES"/>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s-ES"/>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s-ES"/>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s-ES"/>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s-ES"/>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s-ES"/>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s-ES"/>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s-ES"/>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s-ES"/>
    </w:rPr>
  </w:style>
  <w:style w:type="character" w:styleId="PageNumber">
    <w:name w:val="page number"/>
    <w:rsid w:val="007E09DA"/>
    <w:rPr>
      <w:rFonts w:ascii="Times New Roman" w:hAnsi="Times New Roman"/>
      <w:sz w:val="22"/>
      <w:lang w:val="es-ES"/>
    </w:rPr>
  </w:style>
  <w:style w:type="paragraph" w:customStyle="1" w:styleId="Para1">
    <w:name w:val="Para1"/>
    <w:basedOn w:val="Normal"/>
    <w:link w:val="Para1Char"/>
    <w:rsid w:val="005B35E2"/>
    <w:pPr>
      <w:numPr>
        <w:numId w:val="2"/>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s-ES"/>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s-ES"/>
    </w:rPr>
  </w:style>
  <w:style w:type="character" w:customStyle="1" w:styleId="Para1Char">
    <w:name w:val="Para1 Char"/>
    <w:link w:val="Para1"/>
    <w:locked/>
    <w:rsid w:val="005B35E2"/>
    <w:rPr>
      <w:rFonts w:ascii="Times New Roman" w:eastAsia="SimSun" w:hAnsi="Times New Roman" w:cs="Times New Roman"/>
      <w:snapToGrid w:val="0"/>
      <w:sz w:val="22"/>
      <w:szCs w:val="18"/>
      <w:lang w:val="es-E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8"/>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s-ES"/>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6"/>
      </w:numPr>
    </w:pPr>
  </w:style>
  <w:style w:type="numbering" w:customStyle="1" w:styleId="CBDHeadings">
    <w:name w:val="CBD_Headings"/>
    <w:basedOn w:val="ListCBD"/>
    <w:uiPriority w:val="99"/>
    <w:rsid w:val="00866063"/>
    <w:pPr>
      <w:numPr>
        <w:numId w:val="7"/>
      </w:numPr>
    </w:pPr>
  </w:style>
  <w:style w:type="paragraph" w:customStyle="1" w:styleId="AISpacer">
    <w:name w:val="AI_Spacer"/>
    <w:next w:val="Normal"/>
    <w:unhideWhenUsed/>
    <w:qFormat/>
    <w:rsid w:val="00866063"/>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s-ES"/>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s-ES"/>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s-ES"/>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s-ES"/>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s-ES"/>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s-ES"/>
    </w:rPr>
  </w:style>
  <w:style w:type="character" w:styleId="BookTitle">
    <w:name w:val="Book Title"/>
    <w:basedOn w:val="DefaultParagraphFont"/>
    <w:uiPriority w:val="33"/>
    <w:qFormat/>
    <w:rsid w:val="00A111D1"/>
    <w:rPr>
      <w:b/>
      <w:bCs/>
      <w:i/>
      <w:iCs/>
      <w:spacing w:val="5"/>
      <w:lang w:val="es-ES"/>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s-ES"/>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s-ES"/>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s-ES"/>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s-ES"/>
    </w:rPr>
  </w:style>
  <w:style w:type="character" w:styleId="Emphasis">
    <w:name w:val="Emphasis"/>
    <w:basedOn w:val="DefaultParagraphFont"/>
    <w:uiPriority w:val="20"/>
    <w:qFormat/>
    <w:rsid w:val="00A111D1"/>
    <w:rPr>
      <w:i/>
      <w:iCs/>
      <w:lang w:val="es-ES"/>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s-ES"/>
    </w:rPr>
  </w:style>
  <w:style w:type="character" w:styleId="HTMLAcronym">
    <w:name w:val="HTML Acronym"/>
    <w:basedOn w:val="DefaultParagraphFont"/>
    <w:uiPriority w:val="99"/>
    <w:semiHidden/>
    <w:unhideWhenUsed/>
    <w:rsid w:val="00A111D1"/>
    <w:rPr>
      <w:lang w:val="es-ES"/>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s-ES"/>
    </w:rPr>
  </w:style>
  <w:style w:type="character" w:styleId="HTMLCite">
    <w:name w:val="HTML Cite"/>
    <w:basedOn w:val="DefaultParagraphFont"/>
    <w:uiPriority w:val="99"/>
    <w:semiHidden/>
    <w:unhideWhenUsed/>
    <w:rsid w:val="00A111D1"/>
    <w:rPr>
      <w:i/>
      <w:iCs/>
      <w:lang w:val="es-ES"/>
    </w:rPr>
  </w:style>
  <w:style w:type="character" w:styleId="HTMLCode">
    <w:name w:val="HTML Code"/>
    <w:basedOn w:val="DefaultParagraphFont"/>
    <w:uiPriority w:val="99"/>
    <w:semiHidden/>
    <w:unhideWhenUsed/>
    <w:rsid w:val="00A111D1"/>
    <w:rPr>
      <w:rFonts w:ascii="Consolas" w:hAnsi="Consolas"/>
      <w:sz w:val="20"/>
      <w:szCs w:val="20"/>
      <w:lang w:val="es-ES"/>
    </w:rPr>
  </w:style>
  <w:style w:type="character" w:styleId="HTMLDefinition">
    <w:name w:val="HTML Definition"/>
    <w:basedOn w:val="DefaultParagraphFont"/>
    <w:uiPriority w:val="99"/>
    <w:semiHidden/>
    <w:unhideWhenUsed/>
    <w:rsid w:val="00A111D1"/>
    <w:rPr>
      <w:i/>
      <w:iCs/>
      <w:lang w:val="es-ES"/>
    </w:rPr>
  </w:style>
  <w:style w:type="character" w:styleId="HTMLKeyboard">
    <w:name w:val="HTML Keyboard"/>
    <w:basedOn w:val="DefaultParagraphFont"/>
    <w:uiPriority w:val="99"/>
    <w:semiHidden/>
    <w:unhideWhenUsed/>
    <w:rsid w:val="00A111D1"/>
    <w:rPr>
      <w:rFonts w:ascii="Consolas" w:hAnsi="Consolas"/>
      <w:sz w:val="20"/>
      <w:szCs w:val="20"/>
      <w:lang w:val="es-ES"/>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s-ES"/>
    </w:rPr>
  </w:style>
  <w:style w:type="character" w:styleId="HTMLSample">
    <w:name w:val="HTML Sample"/>
    <w:basedOn w:val="DefaultParagraphFont"/>
    <w:uiPriority w:val="99"/>
    <w:semiHidden/>
    <w:unhideWhenUsed/>
    <w:rsid w:val="00A111D1"/>
    <w:rPr>
      <w:rFonts w:ascii="Consolas" w:hAnsi="Consolas"/>
      <w:sz w:val="24"/>
      <w:szCs w:val="24"/>
      <w:lang w:val="es-ES"/>
    </w:rPr>
  </w:style>
  <w:style w:type="character" w:styleId="HTMLTypewriter">
    <w:name w:val="HTML Typewriter"/>
    <w:basedOn w:val="DefaultParagraphFont"/>
    <w:uiPriority w:val="99"/>
    <w:semiHidden/>
    <w:unhideWhenUsed/>
    <w:rsid w:val="00A111D1"/>
    <w:rPr>
      <w:rFonts w:ascii="Consolas" w:hAnsi="Consolas"/>
      <w:sz w:val="20"/>
      <w:szCs w:val="20"/>
      <w:lang w:val="es-ES"/>
    </w:rPr>
  </w:style>
  <w:style w:type="character" w:styleId="HTMLVariable">
    <w:name w:val="HTML Variable"/>
    <w:basedOn w:val="DefaultParagraphFont"/>
    <w:uiPriority w:val="99"/>
    <w:semiHidden/>
    <w:unhideWhenUsed/>
    <w:rsid w:val="00A111D1"/>
    <w:rPr>
      <w:i/>
      <w:iCs/>
      <w:lang w:val="es-ES"/>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s-ES"/>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s-ES"/>
    </w:rPr>
  </w:style>
  <w:style w:type="character" w:styleId="IntenseReference">
    <w:name w:val="Intense Reference"/>
    <w:basedOn w:val="DefaultParagraphFont"/>
    <w:uiPriority w:val="32"/>
    <w:qFormat/>
    <w:rsid w:val="00A111D1"/>
    <w:rPr>
      <w:b/>
      <w:bCs/>
      <w:smallCaps/>
      <w:color w:val="4F81BD" w:themeColor="accent1"/>
      <w:spacing w:val="5"/>
      <w:lang w:val="es-ES"/>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s-ES"/>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s-ES"/>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s-ES"/>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s-ES"/>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s-ES"/>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s-ES"/>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s-ES"/>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s-ES"/>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s-ES"/>
    </w:rPr>
  </w:style>
  <w:style w:type="character" w:styleId="SmartHyperlink">
    <w:name w:val="Smart Hyperlink"/>
    <w:basedOn w:val="DefaultParagraphFont"/>
    <w:uiPriority w:val="99"/>
    <w:semiHidden/>
    <w:unhideWhenUsed/>
    <w:rsid w:val="00A111D1"/>
    <w:rPr>
      <w:u w:val="dotted"/>
      <w:lang w:val="es-ES"/>
    </w:rPr>
  </w:style>
  <w:style w:type="character" w:styleId="SmartLink">
    <w:name w:val="Smart Link"/>
    <w:basedOn w:val="DefaultParagraphFont"/>
    <w:uiPriority w:val="99"/>
    <w:semiHidden/>
    <w:unhideWhenUsed/>
    <w:rsid w:val="00A111D1"/>
    <w:rPr>
      <w:color w:val="0000FF"/>
      <w:u w:val="single"/>
      <w:shd w:val="clear" w:color="auto" w:fill="F3F2F1"/>
      <w:lang w:val="es-ES"/>
    </w:rPr>
  </w:style>
  <w:style w:type="character" w:styleId="Strong">
    <w:name w:val="Strong"/>
    <w:basedOn w:val="DefaultParagraphFont"/>
    <w:uiPriority w:val="22"/>
    <w:qFormat/>
    <w:rsid w:val="00A111D1"/>
    <w:rPr>
      <w:b/>
      <w:bCs/>
      <w:lang w:val="es-ES"/>
    </w:rPr>
  </w:style>
  <w:style w:type="character" w:styleId="SubtleEmphasis">
    <w:name w:val="Subtle Emphasis"/>
    <w:basedOn w:val="DefaultParagraphFont"/>
    <w:uiPriority w:val="19"/>
    <w:qFormat/>
    <w:rsid w:val="00A111D1"/>
    <w:rPr>
      <w:i/>
      <w:iCs/>
      <w:color w:val="404040" w:themeColor="text1" w:themeTint="BF"/>
      <w:lang w:val="es-ES"/>
    </w:rPr>
  </w:style>
  <w:style w:type="character" w:styleId="SubtleReference">
    <w:name w:val="Subtle Reference"/>
    <w:basedOn w:val="DefaultParagraphFont"/>
    <w:uiPriority w:val="31"/>
    <w:qFormat/>
    <w:rsid w:val="00A111D1"/>
    <w:rPr>
      <w:smallCaps/>
      <w:color w:val="5A5A5A" w:themeColor="text1" w:themeTint="A5"/>
      <w:lang w:val="es-ES"/>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s-ES"/>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paragraph">
    <w:name w:val="paragraph"/>
    <w:basedOn w:val="Normal"/>
    <w:rsid w:val="003F6EC1"/>
    <w:pPr>
      <w:tabs>
        <w:tab w:val="clear" w:pos="567"/>
        <w:tab w:val="clear" w:pos="1134"/>
        <w:tab w:val="clear" w:pos="1701"/>
        <w:tab w:val="clear" w:pos="2268"/>
      </w:tabs>
      <w:spacing w:before="100" w:beforeAutospacing="1" w:after="100" w:afterAutospacing="1"/>
      <w:jc w:val="left"/>
    </w:pPr>
    <w:rPr>
      <w:rFonts w:eastAsia="Times New Roman"/>
      <w:sz w:val="24"/>
      <w:szCs w:val="24"/>
    </w:rPr>
  </w:style>
  <w:style w:type="character" w:customStyle="1" w:styleId="normaltextrun">
    <w:name w:val="normaltextrun"/>
    <w:basedOn w:val="DefaultParagraphFont"/>
    <w:rsid w:val="003F6EC1"/>
  </w:style>
  <w:style w:type="character" w:customStyle="1" w:styleId="scxw207255067">
    <w:name w:val="scxw207255067"/>
    <w:basedOn w:val="DefaultParagraphFont"/>
    <w:rsid w:val="003F6EC1"/>
  </w:style>
  <w:style w:type="character" w:customStyle="1" w:styleId="eop">
    <w:name w:val="eop"/>
    <w:basedOn w:val="DefaultParagraphFont"/>
    <w:rsid w:val="003F6EC1"/>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D1E60"/>
    <w:pPr>
      <w:spacing w:after="160" w:line="240" w:lineRule="exac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4"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cbd.int/documents/CBD/SBI/6/10"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np-mop/?m=np-mop-05"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cbd.int/decisions/mop/?m=cp-mop-11" TargetMode="External"/><Relationship Id="rId20" Type="http://schemas.openxmlformats.org/officeDocument/2006/relationships/hyperlink" Target="https://www.cbd.int/decisions/cop?m=cop-15"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yperlink" Target="https://www.cbd.int/documents/CBD/SBI/7/15/ADD1" TargetMode="Externa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cbd.int/documents/CBD/SBI/7/14/ADD1" TargetMode="External"/><Relationship Id="rId31"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uments/CBD/SBI/6/INF/12" TargetMode="External"/><Relationship Id="rId27" Type="http://schemas.openxmlformats.org/officeDocument/2006/relationships/footer" Target="footer2.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CP/MOP/12/1" TargetMode="External"/><Relationship Id="rId2" Type="http://schemas.openxmlformats.org/officeDocument/2006/relationships/hyperlink" Target="https://www.cbd.int/documents/CBD/COP/17/1/REV1" TargetMode="External"/><Relationship Id="rId1" Type="http://schemas.openxmlformats.org/officeDocument/2006/relationships/hyperlink" Target="https://www.cbd.int/documents/CBD/SBI/7/1" TargetMode="External"/><Relationship Id="rId5" Type="http://schemas.openxmlformats.org/officeDocument/2006/relationships/hyperlink" Target="https://www.cbd.int/documents/CBD/SBI/6/10" TargetMode="External"/><Relationship Id="rId4" Type="http://schemas.openxmlformats.org/officeDocument/2006/relationships/hyperlink" Target="https://www.cbd.int/documents/CBD/NP/MOP/6/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MATTA1\Downloads\sbi-07-template-en%20(1).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330D00C199F4F7295DEF710CB577B8B"/>
        <w:category>
          <w:name w:val="General"/>
          <w:gallery w:val="placeholder"/>
        </w:category>
        <w:types>
          <w:type w:val="bbPlcHdr"/>
        </w:types>
        <w:behaviors>
          <w:behavior w:val="content"/>
        </w:behaviors>
        <w:guid w:val="{AF837FE0-919B-4988-9CC8-84DA66CEEDBD}"/>
      </w:docPartPr>
      <w:docPartBody>
        <w:p w:rsidR="00E75F7B" w:rsidRDefault="00E75F7B">
          <w:pPr>
            <w:pStyle w:val="3330D00C199F4F7295DEF710CB577B8B"/>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5F7B"/>
    <w:rsid w:val="00031B07"/>
    <w:rsid w:val="001111C4"/>
    <w:rsid w:val="00144B54"/>
    <w:rsid w:val="0017767A"/>
    <w:rsid w:val="001B668E"/>
    <w:rsid w:val="00252CCC"/>
    <w:rsid w:val="0028707B"/>
    <w:rsid w:val="002F2E10"/>
    <w:rsid w:val="003209A6"/>
    <w:rsid w:val="00323C88"/>
    <w:rsid w:val="0036679A"/>
    <w:rsid w:val="00413795"/>
    <w:rsid w:val="004665BE"/>
    <w:rsid w:val="00471C2D"/>
    <w:rsid w:val="004D41CA"/>
    <w:rsid w:val="004F013A"/>
    <w:rsid w:val="00532E2F"/>
    <w:rsid w:val="00544D19"/>
    <w:rsid w:val="005814FD"/>
    <w:rsid w:val="00613E0F"/>
    <w:rsid w:val="006B13EE"/>
    <w:rsid w:val="006D4E9D"/>
    <w:rsid w:val="006E3CE0"/>
    <w:rsid w:val="00770727"/>
    <w:rsid w:val="00786C19"/>
    <w:rsid w:val="007A7039"/>
    <w:rsid w:val="007D7556"/>
    <w:rsid w:val="008906FD"/>
    <w:rsid w:val="00893B50"/>
    <w:rsid w:val="008C76B3"/>
    <w:rsid w:val="00963E2A"/>
    <w:rsid w:val="00973D8A"/>
    <w:rsid w:val="00A43C06"/>
    <w:rsid w:val="00A57E5A"/>
    <w:rsid w:val="00A74A28"/>
    <w:rsid w:val="00B74C90"/>
    <w:rsid w:val="00BF7B16"/>
    <w:rsid w:val="00C4723E"/>
    <w:rsid w:val="00CD139E"/>
    <w:rsid w:val="00D41FE4"/>
    <w:rsid w:val="00E14A23"/>
    <w:rsid w:val="00E412C2"/>
    <w:rsid w:val="00E75F7B"/>
    <w:rsid w:val="00F06648"/>
    <w:rsid w:val="00F623A0"/>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3330D00C199F4F7295DEF710CB577B8B">
    <w:name w:val="3330D00C199F4F7295DEF710CB577B8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032C542E-0846-4ECA-A0DF-20348BF5CB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sbi-07-template-en (1).dotm</Template>
  <TotalTime>0</TotalTime>
  <Pages>10</Pages>
  <Words>4759</Words>
  <Characters>27132</Characters>
  <Application>Microsoft Office Word</Application>
  <DocSecurity>0</DocSecurity>
  <Lines>226</Lines>
  <Paragraphs>63</Paragraphs>
  <ScaleCrop>false</ScaleCrop>
  <Company>SCBD</Company>
  <LinksUpToDate>false</LinksUpToDate>
  <CharactersWithSpaces>31828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Administración del Convenio y sus Protocolos para el bienio 2025-2026</dc:title>
  <dc:subject>CBD/SBI/7/14-CBD/COP/17/3-CBD/CP/MOP/12/4-CBD/NP/MOP/6/4</dc:subject>
  <dc:creator>Nada Matta</dc:creator>
  <cp:keywords>Convention on Biological Diversity</cp:keywords>
  <cp:lastModifiedBy>Mariko Nishi</cp:lastModifiedBy>
  <cp:revision>3</cp:revision>
  <cp:lastPrinted>2020-01-21T19:56:00Z</cp:lastPrinted>
  <dcterms:created xsi:type="dcterms:W3CDTF">2026-07-20T20:58:00Z</dcterms:created>
  <dcterms:modified xsi:type="dcterms:W3CDTF">2026-07-20T20:58:00Z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GrammarlyDocumentId">
    <vt:lpwstr>8d5eec71-8248-4d64-80cb-6912b192be57</vt:lpwstr>
  </property>
</Properties>
</file>