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6C3D" w:rsidRPr="009543E3" w14:paraId="72DD5CB7" w14:textId="77777777" w:rsidTr="00845D2F">
        <w:trPr>
          <w:trHeight w:val="844"/>
        </w:trPr>
        <w:tc>
          <w:tcPr>
            <w:tcW w:w="976" w:type="dxa"/>
            <w:tcBorders>
              <w:bottom w:val="single" w:sz="12" w:space="0" w:color="auto"/>
            </w:tcBorders>
          </w:tcPr>
          <w:p w14:paraId="0226AEFA" w14:textId="77777777" w:rsidR="00836C3D" w:rsidRPr="009543E3" w:rsidRDefault="00836C3D" w:rsidP="006914CE">
            <w:pPr>
              <w:suppressLineNumbers/>
              <w:suppressAutoHyphens/>
              <w:rPr>
                <w:kern w:val="22"/>
              </w:rPr>
            </w:pPr>
            <w:bookmarkStart w:id="0" w:name="_Toc522023191"/>
            <w:bookmarkStart w:id="1" w:name="_GoBack"/>
            <w:bookmarkEnd w:id="1"/>
            <w:r w:rsidRPr="009543E3">
              <w:rPr>
                <w:noProof/>
                <w:kern w:val="22"/>
              </w:rPr>
              <w:drawing>
                <wp:anchor distT="0" distB="0" distL="114300" distR="114300" simplePos="0" relativeHeight="251658241" behindDoc="0" locked="0" layoutInCell="1" allowOverlap="1" wp14:anchorId="313ADF94" wp14:editId="3A9FF76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1135E20" w14:textId="77777777" w:rsidR="00836C3D" w:rsidRPr="009543E3" w:rsidRDefault="00836C3D" w:rsidP="006914CE">
            <w:pPr>
              <w:suppressLineNumbers/>
              <w:suppressAutoHyphens/>
              <w:rPr>
                <w:kern w:val="22"/>
              </w:rPr>
            </w:pPr>
            <w:r w:rsidRPr="009543E3">
              <w:rPr>
                <w:noProof/>
              </w:rPr>
              <w:drawing>
                <wp:anchor distT="0" distB="0" distL="114300" distR="114300" simplePos="0" relativeHeight="251658240" behindDoc="0" locked="0" layoutInCell="1" allowOverlap="1" wp14:anchorId="25E3CF17" wp14:editId="2F8C6B91">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F0EB908" w14:textId="77777777" w:rsidR="00836C3D" w:rsidRPr="009543E3" w:rsidRDefault="00836C3D" w:rsidP="006914CE">
            <w:pPr>
              <w:suppressLineNumbers/>
              <w:suppressAutoHyphens/>
              <w:jc w:val="right"/>
              <w:rPr>
                <w:rFonts w:ascii="Arial" w:hAnsi="Arial" w:cs="Arial"/>
                <w:b/>
                <w:kern w:val="22"/>
                <w:sz w:val="32"/>
                <w:szCs w:val="32"/>
              </w:rPr>
            </w:pPr>
            <w:r w:rsidRPr="009543E3">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D85CEF" w:rsidRPr="009543E3" w14:paraId="5C602C9A" w14:textId="77777777" w:rsidTr="00F00110">
        <w:tc>
          <w:tcPr>
            <w:tcW w:w="6117" w:type="dxa"/>
            <w:tcBorders>
              <w:top w:val="single" w:sz="12" w:space="0" w:color="auto"/>
              <w:bottom w:val="single" w:sz="36" w:space="0" w:color="auto"/>
            </w:tcBorders>
            <w:vAlign w:val="center"/>
          </w:tcPr>
          <w:p w14:paraId="1BA41BCF" w14:textId="77777777" w:rsidR="00E1232A" w:rsidRPr="009543E3" w:rsidRDefault="00E1232A" w:rsidP="006914CE">
            <w:pPr>
              <w:suppressLineNumbers/>
              <w:suppressAutoHyphens/>
              <w:rPr>
                <w:color w:val="000000" w:themeColor="text1"/>
                <w:kern w:val="22"/>
                <w:sz w:val="22"/>
                <w:szCs w:val="22"/>
              </w:rPr>
            </w:pPr>
            <w:r w:rsidRPr="009543E3">
              <w:rPr>
                <w:noProof/>
                <w:color w:val="000000" w:themeColor="text1"/>
                <w:kern w:val="22"/>
                <w:szCs w:val="22"/>
              </w:rPr>
              <w:drawing>
                <wp:inline distT="0" distB="0" distL="0" distR="0" wp14:anchorId="1626CFCB" wp14:editId="69FE66C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B537E0" w:rsidRDefault="00E1232A"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Distr.</w:t>
            </w:r>
          </w:p>
          <w:p w14:paraId="79AD77AB" w14:textId="2BBF384A" w:rsidR="00E1232A" w:rsidRPr="00B537E0" w:rsidRDefault="00836C3D"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GENERAL</w:t>
            </w:r>
          </w:p>
          <w:p w14:paraId="0ED4E19F" w14:textId="77777777" w:rsidR="00E1232A" w:rsidRPr="00B537E0" w:rsidRDefault="00E1232A" w:rsidP="006914CE">
            <w:pPr>
              <w:suppressLineNumbers/>
              <w:suppressAutoHyphens/>
              <w:ind w:left="1247"/>
              <w:jc w:val="left"/>
              <w:rPr>
                <w:color w:val="000000" w:themeColor="text1"/>
                <w:kern w:val="22"/>
                <w:sz w:val="22"/>
                <w:szCs w:val="22"/>
              </w:rPr>
            </w:pPr>
          </w:p>
          <w:p w14:paraId="17E05CF7" w14:textId="79F1795D" w:rsidR="00E1232A" w:rsidRPr="00B537E0" w:rsidRDefault="00FE71D2" w:rsidP="006914CE">
            <w:pPr>
              <w:suppressLineNumbers/>
              <w:suppressAutoHyphens/>
              <w:ind w:left="1247"/>
              <w:jc w:val="left"/>
              <w:rPr>
                <w:color w:val="000000" w:themeColor="text1"/>
                <w:kern w:val="22"/>
                <w:sz w:val="22"/>
                <w:szCs w:val="22"/>
              </w:rPr>
            </w:pPr>
            <w:sdt>
              <w:sdtPr>
                <w:rPr>
                  <w:color w:val="000000" w:themeColor="text1"/>
                  <w:kern w:val="22"/>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E97DC4" w:rsidRPr="00B537E0">
                  <w:rPr>
                    <w:color w:val="000000" w:themeColor="text1"/>
                    <w:kern w:val="22"/>
                    <w:sz w:val="22"/>
                    <w:szCs w:val="22"/>
                  </w:rPr>
                  <w:t>CBD/</w:t>
                </w:r>
                <w:proofErr w:type="spellStart"/>
                <w:r w:rsidR="00E97DC4" w:rsidRPr="00B537E0">
                  <w:rPr>
                    <w:color w:val="000000" w:themeColor="text1"/>
                    <w:kern w:val="22"/>
                    <w:sz w:val="22"/>
                    <w:szCs w:val="22"/>
                  </w:rPr>
                  <w:t>ExCOP</w:t>
                </w:r>
                <w:proofErr w:type="spellEnd"/>
                <w:r w:rsidR="00E97DC4" w:rsidRPr="00B537E0">
                  <w:rPr>
                    <w:color w:val="000000" w:themeColor="text1"/>
                    <w:kern w:val="22"/>
                    <w:sz w:val="22"/>
                    <w:szCs w:val="22"/>
                  </w:rPr>
                  <w:t>/2/2 CBD/CP/</w:t>
                </w:r>
                <w:proofErr w:type="spellStart"/>
                <w:r w:rsidR="00E97DC4" w:rsidRPr="00B537E0">
                  <w:rPr>
                    <w:color w:val="000000" w:themeColor="text1"/>
                    <w:kern w:val="22"/>
                    <w:sz w:val="22"/>
                    <w:szCs w:val="22"/>
                  </w:rPr>
                  <w:t>ExMOP</w:t>
                </w:r>
                <w:proofErr w:type="spellEnd"/>
                <w:r w:rsidR="00E97DC4" w:rsidRPr="00B537E0">
                  <w:rPr>
                    <w:color w:val="000000" w:themeColor="text1"/>
                    <w:kern w:val="22"/>
                    <w:sz w:val="22"/>
                    <w:szCs w:val="22"/>
                  </w:rPr>
                  <w:t>/1/2 CBD/NP/</w:t>
                </w:r>
                <w:proofErr w:type="spellStart"/>
                <w:r w:rsidR="00E97DC4" w:rsidRPr="00B537E0">
                  <w:rPr>
                    <w:color w:val="000000" w:themeColor="text1"/>
                    <w:kern w:val="22"/>
                    <w:sz w:val="22"/>
                    <w:szCs w:val="22"/>
                  </w:rPr>
                  <w:t>ExMOP</w:t>
                </w:r>
                <w:proofErr w:type="spellEnd"/>
                <w:r w:rsidR="00E97DC4" w:rsidRPr="00B537E0">
                  <w:rPr>
                    <w:color w:val="000000" w:themeColor="text1"/>
                    <w:kern w:val="22"/>
                    <w:sz w:val="22"/>
                    <w:szCs w:val="22"/>
                  </w:rPr>
                  <w:t>/1/2</w:t>
                </w:r>
              </w:sdtContent>
            </w:sdt>
          </w:p>
          <w:p w14:paraId="155B3F28" w14:textId="6C11C9AA" w:rsidR="00E1232A" w:rsidRPr="00B537E0" w:rsidRDefault="00030DEB"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 xml:space="preserve">7 </w:t>
            </w:r>
            <w:r w:rsidR="00CA64DC" w:rsidRPr="00B537E0">
              <w:rPr>
                <w:color w:val="000000" w:themeColor="text1"/>
                <w:kern w:val="22"/>
                <w:sz w:val="22"/>
                <w:szCs w:val="22"/>
              </w:rPr>
              <w:t>S</w:t>
            </w:r>
            <w:r w:rsidR="00DC6D15" w:rsidRPr="00B537E0">
              <w:rPr>
                <w:color w:val="000000" w:themeColor="text1"/>
                <w:kern w:val="22"/>
                <w:sz w:val="22"/>
                <w:szCs w:val="22"/>
              </w:rPr>
              <w:t>e</w:t>
            </w:r>
            <w:r w:rsidR="00CA64DC" w:rsidRPr="00B537E0">
              <w:rPr>
                <w:color w:val="000000" w:themeColor="text1"/>
                <w:kern w:val="22"/>
                <w:sz w:val="22"/>
                <w:szCs w:val="22"/>
              </w:rPr>
              <w:t xml:space="preserve">ptember </w:t>
            </w:r>
            <w:r w:rsidR="00E1232A" w:rsidRPr="00B537E0">
              <w:rPr>
                <w:color w:val="000000" w:themeColor="text1"/>
                <w:kern w:val="22"/>
                <w:sz w:val="22"/>
                <w:szCs w:val="22"/>
              </w:rPr>
              <w:t>20</w:t>
            </w:r>
            <w:r w:rsidR="00B41A04" w:rsidRPr="00B537E0">
              <w:rPr>
                <w:color w:val="000000" w:themeColor="text1"/>
                <w:kern w:val="22"/>
                <w:sz w:val="22"/>
                <w:szCs w:val="22"/>
              </w:rPr>
              <w:t>20</w:t>
            </w:r>
          </w:p>
          <w:p w14:paraId="6892A9AF" w14:textId="7ADBD0F0" w:rsidR="00E1232A" w:rsidRPr="00B537E0" w:rsidRDefault="00E1232A" w:rsidP="006914CE">
            <w:pPr>
              <w:suppressLineNumbers/>
              <w:suppressAutoHyphens/>
              <w:ind w:left="1247"/>
              <w:jc w:val="left"/>
              <w:rPr>
                <w:color w:val="000000" w:themeColor="text1"/>
                <w:kern w:val="22"/>
                <w:sz w:val="22"/>
                <w:szCs w:val="22"/>
              </w:rPr>
            </w:pPr>
          </w:p>
          <w:p w14:paraId="43562F44" w14:textId="66D6A8EE" w:rsidR="00E1232A" w:rsidRPr="00B537E0" w:rsidRDefault="00E1232A"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ORIGINAL: ENGLISH</w:t>
            </w:r>
          </w:p>
        </w:tc>
      </w:tr>
    </w:tbl>
    <w:tbl>
      <w:tblPr>
        <w:tblStyle w:val="ListTable6Colorful"/>
        <w:tblpPr w:leftFromText="180" w:rightFromText="180" w:vertAnchor="text" w:horzAnchor="margin" w:tblpX="-275" w:tblpY="152"/>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310E11" w:rsidRPr="009543E3" w14:paraId="76D102CB" w14:textId="77777777" w:rsidTr="000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364EEBE6" w14:textId="5E50DC8A" w:rsidR="00D454FF" w:rsidRPr="009543E3" w:rsidRDefault="00310E11" w:rsidP="006914CE">
            <w:pPr>
              <w:pStyle w:val="Heading1"/>
              <w:suppressLineNumbers/>
              <w:tabs>
                <w:tab w:val="clear" w:pos="720"/>
              </w:tabs>
              <w:suppressAutoHyphens/>
              <w:spacing w:before="0" w:after="0"/>
              <w:ind w:left="227" w:hanging="227"/>
              <w:jc w:val="left"/>
              <w:outlineLvl w:val="0"/>
              <w:rPr>
                <w:color w:val="auto"/>
                <w:kern w:val="22"/>
                <w:sz w:val="22"/>
                <w:szCs w:val="22"/>
              </w:rPr>
            </w:pPr>
            <w:r w:rsidRPr="009543E3">
              <w:rPr>
                <w:kern w:val="22"/>
                <w:sz w:val="22"/>
                <w:szCs w:val="22"/>
              </w:rPr>
              <w:t>CONFERENCE OF THE PARTIES TO THE CONVENTION ON BIOLOGICAL DIVERSITY</w:t>
            </w:r>
          </w:p>
          <w:p w14:paraId="601AC10E" w14:textId="77777777" w:rsidR="00D454FF" w:rsidRPr="009543E3" w:rsidRDefault="00D454FF" w:rsidP="006914CE">
            <w:pPr>
              <w:suppressLineNumbers/>
              <w:suppressAutoHyphens/>
              <w:kinsoku w:val="0"/>
              <w:overflowPunct w:val="0"/>
              <w:autoSpaceDE w:val="0"/>
              <w:autoSpaceDN w:val="0"/>
              <w:ind w:left="227" w:hanging="227"/>
              <w:jc w:val="left"/>
              <w:rPr>
                <w:b w:val="0"/>
                <w:kern w:val="22"/>
                <w:sz w:val="22"/>
                <w:szCs w:val="22"/>
              </w:rPr>
            </w:pPr>
            <w:r w:rsidRPr="009543E3">
              <w:rPr>
                <w:b w:val="0"/>
                <w:kern w:val="22"/>
                <w:sz w:val="22"/>
                <w:szCs w:val="22"/>
              </w:rPr>
              <w:t>Second extraordinary meeting</w:t>
            </w:r>
          </w:p>
          <w:p w14:paraId="0CBCB292" w14:textId="18920F1E" w:rsidR="0026109F" w:rsidRPr="009543E3" w:rsidRDefault="004B24CB" w:rsidP="006914CE">
            <w:pPr>
              <w:suppressLineNumbers/>
              <w:suppressAutoHyphens/>
              <w:kinsoku w:val="0"/>
              <w:overflowPunct w:val="0"/>
              <w:autoSpaceDE w:val="0"/>
              <w:autoSpaceDN w:val="0"/>
              <w:ind w:left="227" w:hanging="227"/>
              <w:jc w:val="left"/>
              <w:rPr>
                <w:b w:val="0"/>
                <w:color w:val="auto"/>
                <w:kern w:val="22"/>
                <w:sz w:val="22"/>
                <w:szCs w:val="22"/>
              </w:rPr>
            </w:pPr>
            <w:r w:rsidRPr="009543E3">
              <w:rPr>
                <w:b w:val="0"/>
                <w:kern w:val="22"/>
                <w:sz w:val="22"/>
                <w:szCs w:val="22"/>
              </w:rPr>
              <w:t>Item 4 of the provisional agenda</w:t>
            </w:r>
            <w:r w:rsidR="00C44935" w:rsidRPr="00C37B51">
              <w:rPr>
                <w:rStyle w:val="FootnoteReference"/>
                <w:b w:val="0"/>
                <w:kern w:val="22"/>
                <w:sz w:val="22"/>
                <w:szCs w:val="22"/>
                <w:lang w:val="en-CA"/>
              </w:rPr>
              <w:footnoteReference w:customMarkFollows="1" w:id="2"/>
              <w:t>*</w:t>
            </w:r>
          </w:p>
        </w:tc>
        <w:tc>
          <w:tcPr>
            <w:tcW w:w="3420" w:type="dxa"/>
            <w:tcBorders>
              <w:bottom w:val="none" w:sz="0" w:space="0" w:color="auto"/>
            </w:tcBorders>
          </w:tcPr>
          <w:p w14:paraId="3E1B409D" w14:textId="17316A61" w:rsidR="00D454FF" w:rsidRPr="009543E3" w:rsidRDefault="00310E11" w:rsidP="006914CE">
            <w:pPr>
              <w:pStyle w:val="Heading1"/>
              <w:suppressLineNumbers/>
              <w:tabs>
                <w:tab w:val="clear" w:pos="720"/>
              </w:tabs>
              <w:suppressAutoHyphens/>
              <w:spacing w:before="0" w:after="0"/>
              <w:ind w:left="227" w:hanging="227"/>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9543E3">
              <w:rPr>
                <w:kern w:val="22"/>
                <w:sz w:val="22"/>
                <w:szCs w:val="22"/>
              </w:rPr>
              <w:t>CONFERENCE OF THE PARTIES TO THE CONVENTION ON BIOLOGICAL DIVERSITY SERVING AS THE MEETING OF THE PARTIES TO THE CARTAGENA PROTOCOL ON BIOSAFETY</w:t>
            </w:r>
          </w:p>
          <w:p w14:paraId="6A3C0CD4" w14:textId="77777777" w:rsidR="00D454FF" w:rsidRPr="009543E3" w:rsidRDefault="00D454FF"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kern w:val="22"/>
                <w:sz w:val="22"/>
                <w:szCs w:val="22"/>
              </w:rPr>
            </w:pPr>
            <w:r w:rsidRPr="009543E3">
              <w:rPr>
                <w:b w:val="0"/>
                <w:kern w:val="22"/>
                <w:sz w:val="22"/>
                <w:szCs w:val="22"/>
              </w:rPr>
              <w:t>First extraordinary meeting</w:t>
            </w:r>
          </w:p>
          <w:p w14:paraId="368A9C01" w14:textId="187DAD7B" w:rsidR="004B24CB" w:rsidRPr="009543E3" w:rsidRDefault="004B24CB"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9543E3">
              <w:rPr>
                <w:b w:val="0"/>
                <w:kern w:val="22"/>
                <w:sz w:val="22"/>
                <w:szCs w:val="22"/>
              </w:rPr>
              <w:t>Item 4 of the provisional agenda</w:t>
            </w:r>
            <w:r w:rsidR="00496463" w:rsidRPr="00C37B51">
              <w:rPr>
                <w:rStyle w:val="FootnoteReference"/>
                <w:b w:val="0"/>
                <w:kern w:val="22"/>
                <w:sz w:val="22"/>
                <w:szCs w:val="22"/>
                <w:lang w:val="en-CA"/>
              </w:rPr>
              <w:footnoteReference w:customMarkFollows="1" w:id="3"/>
              <w:t>**</w:t>
            </w:r>
          </w:p>
        </w:tc>
        <w:tc>
          <w:tcPr>
            <w:tcW w:w="3425" w:type="dxa"/>
            <w:tcBorders>
              <w:bottom w:val="none" w:sz="0" w:space="0" w:color="auto"/>
            </w:tcBorders>
          </w:tcPr>
          <w:p w14:paraId="7E8FAB73" w14:textId="630621E2" w:rsidR="00D454FF" w:rsidRPr="009543E3" w:rsidRDefault="00310E11" w:rsidP="006914CE">
            <w:pPr>
              <w:pStyle w:val="Heading1"/>
              <w:suppressLineNumbers/>
              <w:tabs>
                <w:tab w:val="clear" w:pos="720"/>
              </w:tabs>
              <w:suppressAutoHyphens/>
              <w:spacing w:before="0" w:after="0"/>
              <w:ind w:left="227" w:hanging="227"/>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9543E3">
              <w:rPr>
                <w:kern w:val="22"/>
                <w:sz w:val="22"/>
                <w:szCs w:val="22"/>
              </w:rPr>
              <w:t>CONFERENCE OF THE PARTIES TO THE CONVENTION ON BIOLOGICAL DIVERSITY SERVING AS THE MEETING OF THE PARTIES TO THE NAGOYA PROTOCOL ON ACCESS TO GENETIC RESOURCES AND THE FAIR AND EQUITABLE SHARING OF BENEFITS ARISING FROM THEIR UTILIZATION</w:t>
            </w:r>
          </w:p>
          <w:p w14:paraId="535A86CA" w14:textId="77777777" w:rsidR="001124EB" w:rsidRPr="009543E3" w:rsidRDefault="00D454FF"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kern w:val="22"/>
                <w:sz w:val="22"/>
                <w:szCs w:val="22"/>
              </w:rPr>
            </w:pPr>
            <w:r w:rsidRPr="009543E3">
              <w:rPr>
                <w:b w:val="0"/>
                <w:kern w:val="22"/>
                <w:sz w:val="22"/>
                <w:szCs w:val="22"/>
              </w:rPr>
              <w:t>First extraordinary meeting</w:t>
            </w:r>
          </w:p>
          <w:p w14:paraId="68B159DB" w14:textId="5B767E65" w:rsidR="004B24CB" w:rsidRPr="009543E3" w:rsidRDefault="004B24CB"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9543E3">
              <w:rPr>
                <w:b w:val="0"/>
                <w:kern w:val="22"/>
                <w:sz w:val="22"/>
                <w:szCs w:val="22"/>
              </w:rPr>
              <w:t>Item 4 of the provisional agenda</w:t>
            </w:r>
            <w:r w:rsidR="00944C3F" w:rsidRPr="00C37B51">
              <w:rPr>
                <w:rStyle w:val="FootnoteReference"/>
                <w:b w:val="0"/>
                <w:kern w:val="22"/>
                <w:sz w:val="22"/>
                <w:szCs w:val="22"/>
                <w:lang w:val="en-CA"/>
              </w:rPr>
              <w:footnoteReference w:customMarkFollows="1" w:id="4"/>
              <w:t>***</w:t>
            </w:r>
          </w:p>
        </w:tc>
      </w:tr>
    </w:tbl>
    <w:p w14:paraId="68FC0006" w14:textId="23CCB1B7" w:rsidR="005D4898" w:rsidRPr="009543E3" w:rsidRDefault="001124EB" w:rsidP="006914CE">
      <w:pPr>
        <w:suppressLineNumbers/>
        <w:suppressAutoHyphens/>
        <w:autoSpaceDE w:val="0"/>
        <w:autoSpaceDN w:val="0"/>
        <w:adjustRightInd w:val="0"/>
        <w:spacing w:before="120"/>
        <w:jc w:val="center"/>
        <w:rPr>
          <w:rFonts w:eastAsiaTheme="minorEastAsia"/>
          <w:color w:val="000000"/>
          <w:kern w:val="22"/>
          <w:szCs w:val="22"/>
        </w:rPr>
      </w:pPr>
      <w:r w:rsidRPr="009543E3">
        <w:rPr>
          <w:kern w:val="22"/>
          <w:szCs w:val="22"/>
          <w:lang w:eastAsia="ko-KR"/>
        </w:rPr>
        <w:t>Montreal (</w:t>
      </w:r>
      <w:r w:rsidR="00981051" w:rsidRPr="009543E3">
        <w:rPr>
          <w:kern w:val="22"/>
          <w:szCs w:val="22"/>
          <w:lang w:eastAsia="ko-KR"/>
        </w:rPr>
        <w:t>o</w:t>
      </w:r>
      <w:r w:rsidRPr="009543E3">
        <w:rPr>
          <w:kern w:val="22"/>
          <w:szCs w:val="22"/>
          <w:lang w:eastAsia="ko-KR"/>
        </w:rPr>
        <w:t>nline), 16-19 November 2020</w:t>
      </w:r>
    </w:p>
    <w:sdt>
      <w:sdtPr>
        <w:rPr>
          <w:rFonts w:eastAsiaTheme="minorEastAsia"/>
          <w:kern w:val="22"/>
          <w:szCs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7F172AC9" w:rsidR="00CA64DC" w:rsidRPr="009543E3" w:rsidRDefault="007859B8" w:rsidP="006914CE">
          <w:pPr>
            <w:pStyle w:val="HEADING"/>
            <w:suppressLineNumbers/>
            <w:suppressAutoHyphens/>
            <w:rPr>
              <w:rFonts w:eastAsiaTheme="minorEastAsia"/>
              <w:kern w:val="22"/>
            </w:rPr>
          </w:pPr>
          <w:r w:rsidRPr="009543E3">
            <w:rPr>
              <w:rFonts w:eastAsiaTheme="minorEastAsia"/>
              <w:kern w:val="22"/>
              <w:szCs w:val="22"/>
            </w:rPr>
            <w:t>Proposed interim budget for the programme of work of the Convention on Biological Diversity, the Cartagena Protocol on Biosafety and the Nagoya Protocol on Access and Benefit-sharing for the year 2021</w:t>
          </w:r>
        </w:p>
      </w:sdtContent>
    </w:sdt>
    <w:p w14:paraId="05423338" w14:textId="584654A3" w:rsidR="005D4898" w:rsidRPr="009543E3" w:rsidRDefault="00CA64DC" w:rsidP="006914CE">
      <w:pPr>
        <w:pStyle w:val="NoSpacing"/>
        <w:suppressLineNumbers/>
        <w:suppressAutoHyphens/>
        <w:spacing w:before="120" w:after="120"/>
        <w:jc w:val="center"/>
        <w:rPr>
          <w:rFonts w:ascii="Times New Roman" w:hAnsi="Times New Roman"/>
          <w:color w:val="000000" w:themeColor="text1"/>
          <w:kern w:val="22"/>
          <w:lang w:val="en-GB"/>
        </w:rPr>
      </w:pPr>
      <w:r w:rsidRPr="009543E3">
        <w:rPr>
          <w:rFonts w:ascii="Times New Roman" w:eastAsiaTheme="minorEastAsia" w:hAnsi="Times New Roman"/>
          <w:i/>
          <w:iCs/>
          <w:color w:val="000000"/>
          <w:kern w:val="22"/>
          <w:lang w:val="en-GB"/>
        </w:rPr>
        <w:t>Note by the Executive Secretary</w:t>
      </w:r>
    </w:p>
    <w:p w14:paraId="7F2BFB14" w14:textId="7079301C" w:rsidR="0054056A" w:rsidRPr="009543E3" w:rsidRDefault="00B41A04" w:rsidP="006914CE">
      <w:pPr>
        <w:pStyle w:val="Heading1"/>
        <w:suppressLineNumbers/>
        <w:suppressAutoHyphens/>
        <w:rPr>
          <w:rFonts w:eastAsia="Malgun Gothic"/>
          <w:kern w:val="22"/>
          <w:szCs w:val="22"/>
        </w:rPr>
      </w:pPr>
      <w:r w:rsidRPr="009543E3">
        <w:rPr>
          <w:kern w:val="22"/>
          <w:szCs w:val="22"/>
        </w:rPr>
        <w:t>Introduction</w:t>
      </w:r>
      <w:bookmarkEnd w:id="0"/>
    </w:p>
    <w:p w14:paraId="49967D9F" w14:textId="302722D4" w:rsidR="008B784E" w:rsidRPr="009543E3" w:rsidRDefault="008B784E"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pPr>
      <w:r w:rsidRPr="009543E3">
        <w:rPr>
          <w:rFonts w:eastAsia="Malgun Gothic"/>
          <w:iCs/>
          <w:kern w:val="22"/>
          <w:szCs w:val="22"/>
          <w:lang w:eastAsia="x-none"/>
        </w:rPr>
        <w:t xml:space="preserve">By decision </w:t>
      </w:r>
      <w:hyperlink r:id="rId14" w:history="1">
        <w:r w:rsidRPr="009543E3">
          <w:rPr>
            <w:rStyle w:val="Hyperlink"/>
            <w:rFonts w:eastAsia="Malgun Gothic"/>
            <w:iCs/>
            <w:kern w:val="22"/>
            <w:sz w:val="22"/>
            <w:szCs w:val="22"/>
            <w:lang w:eastAsia="x-none"/>
          </w:rPr>
          <w:t>14/37</w:t>
        </w:r>
      </w:hyperlink>
      <w:r w:rsidRPr="009543E3">
        <w:rPr>
          <w:rFonts w:eastAsia="Malgun Gothic"/>
          <w:iCs/>
          <w:kern w:val="22"/>
          <w:szCs w:val="22"/>
          <w:lang w:eastAsia="x-none"/>
        </w:rPr>
        <w:t xml:space="preserve">, the Conference of the Parties, and the respective meetings of the Parties for the protocols, approved an integrated budget for the 2019-2020 biennium and requested the Executive Secretary to prepare an integrated programme of work and budget for the period 2021-2022, to be submitted to the Conference of the Parties at its fifteenth meeting, the tenth meeting of the Parties to Cartagena Protocol and </w:t>
      </w:r>
      <w:r w:rsidR="007C1A31" w:rsidRPr="009543E3">
        <w:rPr>
          <w:rFonts w:eastAsia="Malgun Gothic"/>
          <w:iCs/>
          <w:kern w:val="22"/>
          <w:szCs w:val="22"/>
          <w:lang w:eastAsia="x-none"/>
        </w:rPr>
        <w:t xml:space="preserve">the </w:t>
      </w:r>
      <w:r w:rsidRPr="009543E3">
        <w:rPr>
          <w:rFonts w:eastAsia="Malgun Gothic"/>
          <w:iCs/>
          <w:kern w:val="22"/>
          <w:szCs w:val="22"/>
          <w:lang w:eastAsia="x-none"/>
        </w:rPr>
        <w:t xml:space="preserve">fourth meeting of the Parties to Nagoya Protocol. These meetings had been scheduled to </w:t>
      </w:r>
      <w:r w:rsidR="007C1A31" w:rsidRPr="009543E3">
        <w:rPr>
          <w:rFonts w:eastAsia="Malgun Gothic"/>
          <w:iCs/>
          <w:kern w:val="22"/>
          <w:szCs w:val="22"/>
          <w:lang w:eastAsia="x-none"/>
        </w:rPr>
        <w:t>be held</w:t>
      </w:r>
      <w:r w:rsidRPr="009543E3">
        <w:rPr>
          <w:rFonts w:eastAsia="Malgun Gothic"/>
          <w:iCs/>
          <w:kern w:val="22"/>
          <w:szCs w:val="22"/>
          <w:lang w:eastAsia="x-none"/>
        </w:rPr>
        <w:t xml:space="preserve"> in the last quarter of 2020.</w:t>
      </w:r>
    </w:p>
    <w:p w14:paraId="48D6514A" w14:textId="5998399C" w:rsidR="00DC6DDD" w:rsidRPr="009543E3" w:rsidRDefault="008B784E" w:rsidP="006914CE">
      <w:pPr>
        <w:pStyle w:val="ListParagraph"/>
        <w:numPr>
          <w:ilvl w:val="0"/>
          <w:numId w:val="19"/>
        </w:numPr>
        <w:suppressLineNumbers/>
        <w:suppressAutoHyphens/>
        <w:spacing w:before="120" w:after="120"/>
        <w:ind w:left="0" w:firstLine="0"/>
        <w:contextualSpacing w:val="0"/>
        <w:rPr>
          <w:rFonts w:eastAsia="Malgun Gothic"/>
          <w:kern w:val="22"/>
          <w:szCs w:val="22"/>
          <w:lang w:eastAsia="x-none"/>
        </w:rPr>
      </w:pPr>
      <w:r w:rsidRPr="009543E3">
        <w:rPr>
          <w:rFonts w:eastAsia="Malgun Gothic"/>
          <w:kern w:val="22"/>
          <w:szCs w:val="22"/>
          <w:lang w:eastAsia="x-none"/>
        </w:rPr>
        <w:t xml:space="preserve">Due </w:t>
      </w:r>
      <w:r w:rsidR="00F93645" w:rsidRPr="009543E3">
        <w:rPr>
          <w:rFonts w:eastAsia="Malgun Gothic"/>
          <w:kern w:val="22"/>
          <w:szCs w:val="22"/>
          <w:lang w:eastAsia="x-none"/>
        </w:rPr>
        <w:t xml:space="preserve">to </w:t>
      </w:r>
      <w:r w:rsidRPr="009543E3">
        <w:rPr>
          <w:rFonts w:eastAsia="Malgun Gothic"/>
          <w:kern w:val="22"/>
          <w:szCs w:val="22"/>
          <w:lang w:eastAsia="x-none"/>
        </w:rPr>
        <w:t xml:space="preserve">the pandemic, and the resultant restrictions on travel and the holding of large gatherings in most parts of the world, it has </w:t>
      </w:r>
      <w:r w:rsidR="00583DBE" w:rsidRPr="009543E3">
        <w:rPr>
          <w:rFonts w:eastAsia="Malgun Gothic"/>
          <w:kern w:val="22"/>
          <w:szCs w:val="22"/>
          <w:lang w:eastAsia="x-none"/>
        </w:rPr>
        <w:t xml:space="preserve">become </w:t>
      </w:r>
      <w:r w:rsidRPr="009543E3">
        <w:rPr>
          <w:rFonts w:eastAsia="Malgun Gothic"/>
          <w:kern w:val="22"/>
          <w:szCs w:val="22"/>
          <w:lang w:eastAsia="x-none"/>
        </w:rPr>
        <w:t xml:space="preserve">necessary to reschedule </w:t>
      </w:r>
      <w:r w:rsidR="00A616A5" w:rsidRPr="009543E3">
        <w:rPr>
          <w:rFonts w:eastAsia="Malgun Gothic"/>
          <w:kern w:val="22"/>
          <w:szCs w:val="22"/>
          <w:lang w:eastAsia="x-none"/>
        </w:rPr>
        <w:t>the fifteenth meeting of the Conference of the Parties</w:t>
      </w:r>
      <w:r w:rsidRPr="009543E3">
        <w:rPr>
          <w:rFonts w:eastAsia="Malgun Gothic"/>
          <w:kern w:val="22"/>
          <w:szCs w:val="22"/>
          <w:lang w:eastAsia="x-none"/>
        </w:rPr>
        <w:t xml:space="preserve"> and related meetings until 2021. </w:t>
      </w:r>
      <w:r w:rsidR="00DC6DDD" w:rsidRPr="009543E3">
        <w:rPr>
          <w:rFonts w:eastAsia="Malgun Gothic"/>
          <w:kern w:val="22"/>
          <w:szCs w:val="22"/>
          <w:lang w:eastAsia="x-none"/>
        </w:rPr>
        <w:t>Accordingly, alternative arrangements will be needed to allow the continued operations of the Convention</w:t>
      </w:r>
      <w:r w:rsidR="006D2F97" w:rsidRPr="009543E3">
        <w:rPr>
          <w:rFonts w:eastAsia="Malgun Gothic"/>
          <w:kern w:val="22"/>
          <w:szCs w:val="22"/>
          <w:lang w:eastAsia="x-none"/>
        </w:rPr>
        <w:t xml:space="preserve"> beyond 31 December 2020</w:t>
      </w:r>
      <w:r w:rsidR="003324D8" w:rsidRPr="009543E3">
        <w:rPr>
          <w:rFonts w:eastAsia="Malgun Gothic"/>
          <w:kern w:val="22"/>
          <w:szCs w:val="22"/>
          <w:lang w:eastAsia="x-none"/>
        </w:rPr>
        <w:t>,</w:t>
      </w:r>
      <w:r w:rsidR="00DC6DDD" w:rsidRPr="009543E3">
        <w:rPr>
          <w:rFonts w:eastAsia="Malgun Gothic"/>
          <w:kern w:val="22"/>
          <w:szCs w:val="22"/>
          <w:lang w:eastAsia="x-none"/>
        </w:rPr>
        <w:t xml:space="preserve"> including the functioning of the Secretariat</w:t>
      </w:r>
      <w:r w:rsidR="00765587" w:rsidRPr="009543E3">
        <w:rPr>
          <w:rFonts w:eastAsia="Malgun Gothic"/>
          <w:kern w:val="22"/>
          <w:szCs w:val="22"/>
          <w:lang w:eastAsia="x-none"/>
        </w:rPr>
        <w:t xml:space="preserve"> and the convening of meetings rescheduled to 2021</w:t>
      </w:r>
      <w:r w:rsidR="00DC6DDD" w:rsidRPr="009543E3">
        <w:rPr>
          <w:rFonts w:eastAsia="Malgun Gothic"/>
          <w:kern w:val="22"/>
          <w:szCs w:val="22"/>
          <w:lang w:eastAsia="x-none"/>
        </w:rPr>
        <w:t>.</w:t>
      </w:r>
    </w:p>
    <w:p w14:paraId="5D4C8B04" w14:textId="46C6AA75" w:rsidR="007E0B58" w:rsidRPr="009543E3" w:rsidRDefault="00DC6DDD"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sectPr w:rsidR="007E0B58" w:rsidRPr="009543E3" w:rsidSect="003144C5">
          <w:headerReference w:type="even" r:id="rId15"/>
          <w:headerReference w:type="default" r:id="rId16"/>
          <w:pgSz w:w="12240" w:h="15840"/>
          <w:pgMar w:top="567" w:right="1440" w:bottom="1134" w:left="1440" w:header="709" w:footer="709" w:gutter="0"/>
          <w:cols w:space="708"/>
          <w:titlePg/>
          <w:docGrid w:linePitch="360"/>
        </w:sectPr>
      </w:pPr>
      <w:r w:rsidRPr="009543E3">
        <w:rPr>
          <w:rFonts w:eastAsia="Malgun Gothic"/>
          <w:kern w:val="22"/>
          <w:szCs w:val="22"/>
          <w:lang w:eastAsia="x-none"/>
        </w:rPr>
        <w:t xml:space="preserve">The Bureau of the Conference of the Parties has considered this matter and has proposed that, on an exceptional basis, the Parties consider and approve an interim budget for 2021 through </w:t>
      </w:r>
      <w:r w:rsidR="00CA64DC" w:rsidRPr="009543E3">
        <w:rPr>
          <w:rFonts w:eastAsia="Malgun Gothic"/>
          <w:kern w:val="22"/>
          <w:szCs w:val="22"/>
          <w:lang w:eastAsia="x-none"/>
        </w:rPr>
        <w:t xml:space="preserve">extraordinary </w:t>
      </w:r>
      <w:r w:rsidR="00CA64DC" w:rsidRPr="009543E3">
        <w:rPr>
          <w:rFonts w:eastAsia="Malgun Gothic"/>
          <w:kern w:val="22"/>
          <w:szCs w:val="22"/>
          <w:lang w:eastAsia="x-none"/>
        </w:rPr>
        <w:lastRenderedPageBreak/>
        <w:t>meetings employing a written procedure</w:t>
      </w:r>
      <w:r w:rsidRPr="009543E3">
        <w:rPr>
          <w:rFonts w:eastAsia="Malgun Gothic"/>
          <w:iCs/>
          <w:kern w:val="22"/>
          <w:szCs w:val="22"/>
          <w:lang w:eastAsia="x-none"/>
        </w:rPr>
        <w:t>.</w:t>
      </w:r>
      <w:r w:rsidR="009F31CC" w:rsidRPr="009543E3">
        <w:rPr>
          <w:rStyle w:val="FootnoteReference"/>
          <w:rFonts w:eastAsia="Malgun Gothic"/>
          <w:iCs/>
          <w:kern w:val="22"/>
          <w:szCs w:val="22"/>
          <w:lang w:eastAsia="x-none"/>
        </w:rPr>
        <w:footnoteReference w:id="5"/>
      </w:r>
      <w:r w:rsidRPr="009543E3">
        <w:rPr>
          <w:rFonts w:eastAsia="Malgun Gothic"/>
          <w:iCs/>
          <w:kern w:val="22"/>
          <w:szCs w:val="22"/>
          <w:lang w:eastAsia="x-none"/>
        </w:rPr>
        <w:t xml:space="preserve"> The Executive Secretary has accordingly prepared an interim budget for 2021, as contained herein.</w:t>
      </w:r>
    </w:p>
    <w:p w14:paraId="6BE81DFB" w14:textId="24E4893E" w:rsidR="00765587" w:rsidRPr="009543E3" w:rsidRDefault="005C0582" w:rsidP="006914CE">
      <w:pPr>
        <w:pStyle w:val="ListParagraph"/>
        <w:numPr>
          <w:ilvl w:val="0"/>
          <w:numId w:val="19"/>
        </w:numPr>
        <w:suppressLineNumbers/>
        <w:suppressAutoHyphens/>
        <w:spacing w:before="120" w:after="120"/>
        <w:ind w:left="0" w:firstLine="0"/>
        <w:contextualSpacing w:val="0"/>
        <w:rPr>
          <w:rFonts w:eastAsia="Malgun Gothic"/>
          <w:kern w:val="22"/>
          <w:szCs w:val="22"/>
          <w:lang w:eastAsia="x-none"/>
        </w:rPr>
      </w:pPr>
      <w:r w:rsidRPr="009543E3">
        <w:rPr>
          <w:rFonts w:eastAsia="Malgun Gothic"/>
          <w:iCs/>
          <w:kern w:val="22"/>
          <w:szCs w:val="22"/>
          <w:lang w:eastAsia="x-none"/>
        </w:rPr>
        <w:t>The present document is divided in</w:t>
      </w:r>
      <w:r w:rsidR="00083A28" w:rsidRPr="009543E3">
        <w:rPr>
          <w:rFonts w:eastAsia="Malgun Gothic"/>
          <w:iCs/>
          <w:kern w:val="22"/>
          <w:szCs w:val="22"/>
          <w:lang w:eastAsia="x-none"/>
        </w:rPr>
        <w:t>to</w:t>
      </w:r>
      <w:r w:rsidRPr="009543E3">
        <w:rPr>
          <w:rFonts w:eastAsia="Malgun Gothic"/>
          <w:iCs/>
          <w:kern w:val="22"/>
          <w:szCs w:val="22"/>
          <w:lang w:eastAsia="x-none"/>
        </w:rPr>
        <w:t xml:space="preserve"> </w:t>
      </w:r>
      <w:r w:rsidR="00F64143" w:rsidRPr="009543E3">
        <w:rPr>
          <w:rFonts w:eastAsia="Malgun Gothic"/>
          <w:iCs/>
          <w:kern w:val="22"/>
          <w:szCs w:val="22"/>
          <w:lang w:eastAsia="x-none"/>
        </w:rPr>
        <w:t xml:space="preserve">six </w:t>
      </w:r>
      <w:r w:rsidRPr="009543E3">
        <w:rPr>
          <w:rFonts w:eastAsia="Malgun Gothic"/>
          <w:iCs/>
          <w:kern w:val="22"/>
          <w:szCs w:val="22"/>
          <w:lang w:eastAsia="x-none"/>
        </w:rPr>
        <w:t xml:space="preserve">sections. Section I addresses the income and budget performance for the biennium 2019-2020. In </w:t>
      </w:r>
      <w:r w:rsidR="00C26540" w:rsidRPr="009543E3">
        <w:rPr>
          <w:rFonts w:eastAsia="Malgun Gothic"/>
          <w:iCs/>
          <w:kern w:val="22"/>
          <w:szCs w:val="22"/>
          <w:lang w:eastAsia="x-none"/>
        </w:rPr>
        <w:t>s</w:t>
      </w:r>
      <w:r w:rsidRPr="009543E3">
        <w:rPr>
          <w:rFonts w:eastAsia="Malgun Gothic"/>
          <w:iCs/>
          <w:kern w:val="22"/>
          <w:szCs w:val="22"/>
          <w:lang w:eastAsia="x-none"/>
        </w:rPr>
        <w:t xml:space="preserve">ection II, the Secretariat </w:t>
      </w:r>
      <w:r w:rsidR="00F3122A" w:rsidRPr="009543E3">
        <w:rPr>
          <w:rFonts w:eastAsia="Malgun Gothic"/>
          <w:iCs/>
          <w:kern w:val="22"/>
          <w:szCs w:val="22"/>
          <w:lang w:eastAsia="x-none"/>
        </w:rPr>
        <w:t xml:space="preserve">submits a </w:t>
      </w:r>
      <w:r w:rsidR="00CA64DC" w:rsidRPr="009543E3">
        <w:rPr>
          <w:rFonts w:eastAsia="Malgun Gothic"/>
          <w:iCs/>
          <w:kern w:val="22"/>
          <w:szCs w:val="22"/>
          <w:lang w:eastAsia="x-none"/>
        </w:rPr>
        <w:t xml:space="preserve">proposal </w:t>
      </w:r>
      <w:r w:rsidR="00F3122A" w:rsidRPr="009543E3">
        <w:rPr>
          <w:rFonts w:eastAsia="Malgun Gothic"/>
          <w:iCs/>
          <w:kern w:val="22"/>
          <w:szCs w:val="22"/>
          <w:lang w:eastAsia="x-none"/>
        </w:rPr>
        <w:t>for</w:t>
      </w:r>
      <w:r w:rsidRPr="009543E3">
        <w:rPr>
          <w:rFonts w:eastAsia="Malgun Gothic"/>
          <w:iCs/>
          <w:kern w:val="22"/>
          <w:szCs w:val="22"/>
          <w:lang w:eastAsia="x-none"/>
        </w:rPr>
        <w:t xml:space="preserve"> an extension of one year of the 2019-2020 budget to allow the impleme</w:t>
      </w:r>
      <w:r w:rsidRPr="009543E3">
        <w:rPr>
          <w:rFonts w:eastAsia="Malgun Gothic"/>
          <w:kern w:val="22"/>
          <w:szCs w:val="22"/>
          <w:lang w:eastAsia="x-none"/>
        </w:rPr>
        <w:t xml:space="preserve">ntation of some activities that </w:t>
      </w:r>
      <w:r w:rsidR="00CA64DC" w:rsidRPr="009543E3">
        <w:rPr>
          <w:rFonts w:eastAsia="Malgun Gothic"/>
          <w:kern w:val="22"/>
          <w:szCs w:val="22"/>
          <w:lang w:eastAsia="x-none"/>
        </w:rPr>
        <w:t xml:space="preserve">have been </w:t>
      </w:r>
      <w:r w:rsidRPr="009543E3">
        <w:rPr>
          <w:rFonts w:eastAsia="Malgun Gothic"/>
          <w:kern w:val="22"/>
          <w:szCs w:val="22"/>
          <w:lang w:eastAsia="x-none"/>
        </w:rPr>
        <w:t xml:space="preserve">rescheduled due to the pandemic. </w:t>
      </w:r>
      <w:r w:rsidR="00AE02C7" w:rsidRPr="009543E3">
        <w:rPr>
          <w:rFonts w:eastAsia="Malgun Gothic"/>
          <w:kern w:val="22"/>
          <w:szCs w:val="22"/>
          <w:lang w:eastAsia="x-none"/>
        </w:rPr>
        <w:t xml:space="preserve">In </w:t>
      </w:r>
      <w:r w:rsidR="004B3203" w:rsidRPr="009543E3">
        <w:rPr>
          <w:rFonts w:eastAsia="Malgun Gothic"/>
          <w:kern w:val="22"/>
          <w:szCs w:val="22"/>
          <w:lang w:eastAsia="x-none"/>
        </w:rPr>
        <w:t>s</w:t>
      </w:r>
      <w:r w:rsidR="00AE02C7" w:rsidRPr="009543E3">
        <w:rPr>
          <w:rFonts w:eastAsia="Malgun Gothic"/>
          <w:kern w:val="22"/>
          <w:szCs w:val="22"/>
          <w:lang w:eastAsia="x-none"/>
        </w:rPr>
        <w:t xml:space="preserve">ection III, a proposal for </w:t>
      </w:r>
      <w:r w:rsidRPr="009543E3">
        <w:rPr>
          <w:rFonts w:eastAsia="Malgun Gothic"/>
          <w:kern w:val="22"/>
          <w:szCs w:val="22"/>
          <w:lang w:eastAsia="x-none"/>
        </w:rPr>
        <w:t xml:space="preserve">an interim </w:t>
      </w:r>
      <w:r w:rsidR="00AE02C7" w:rsidRPr="009543E3">
        <w:rPr>
          <w:rFonts w:eastAsia="Malgun Gothic"/>
          <w:kern w:val="22"/>
          <w:szCs w:val="22"/>
          <w:lang w:eastAsia="x-none"/>
        </w:rPr>
        <w:t xml:space="preserve">integrated </w:t>
      </w:r>
      <w:r w:rsidRPr="009543E3">
        <w:rPr>
          <w:rFonts w:eastAsia="Malgun Gothic"/>
          <w:kern w:val="22"/>
          <w:szCs w:val="22"/>
          <w:lang w:eastAsia="x-none"/>
        </w:rPr>
        <w:t>budget</w:t>
      </w:r>
      <w:r w:rsidR="00F3122A" w:rsidRPr="009543E3">
        <w:rPr>
          <w:rFonts w:eastAsia="Malgun Gothic"/>
          <w:kern w:val="22"/>
          <w:szCs w:val="22"/>
          <w:lang w:eastAsia="x-none"/>
        </w:rPr>
        <w:t xml:space="preserve"> </w:t>
      </w:r>
      <w:r w:rsidR="00AE02C7" w:rsidRPr="009543E3">
        <w:rPr>
          <w:rFonts w:eastAsia="Malgun Gothic"/>
          <w:kern w:val="22"/>
          <w:szCs w:val="22"/>
          <w:lang w:eastAsia="x-none"/>
        </w:rPr>
        <w:t xml:space="preserve">is presented </w:t>
      </w:r>
      <w:r w:rsidR="00AE02C7" w:rsidRPr="009543E3">
        <w:rPr>
          <w:kern w:val="22"/>
          <w:szCs w:val="22"/>
        </w:rPr>
        <w:t xml:space="preserve">to provide for the continued operations of the </w:t>
      </w:r>
      <w:r w:rsidR="00CA64DC" w:rsidRPr="009543E3">
        <w:rPr>
          <w:kern w:val="22"/>
          <w:szCs w:val="22"/>
        </w:rPr>
        <w:t xml:space="preserve">Convention and </w:t>
      </w:r>
      <w:r w:rsidR="004B3203" w:rsidRPr="009543E3">
        <w:rPr>
          <w:kern w:val="22"/>
          <w:szCs w:val="22"/>
        </w:rPr>
        <w:t xml:space="preserve">the </w:t>
      </w:r>
      <w:r w:rsidR="00CA64DC" w:rsidRPr="009543E3">
        <w:rPr>
          <w:kern w:val="22"/>
          <w:szCs w:val="22"/>
        </w:rPr>
        <w:t xml:space="preserve">Protocols, including the </w:t>
      </w:r>
      <w:r w:rsidR="00AE02C7" w:rsidRPr="009543E3">
        <w:rPr>
          <w:kern w:val="22"/>
          <w:szCs w:val="22"/>
        </w:rPr>
        <w:t>Secretariat</w:t>
      </w:r>
      <w:r w:rsidR="00CA64DC" w:rsidRPr="009543E3">
        <w:rPr>
          <w:kern w:val="22"/>
          <w:szCs w:val="22"/>
        </w:rPr>
        <w:t>,</w:t>
      </w:r>
      <w:r w:rsidR="00AE02C7" w:rsidRPr="009543E3">
        <w:rPr>
          <w:kern w:val="22"/>
          <w:szCs w:val="22"/>
        </w:rPr>
        <w:t xml:space="preserve"> during the year 2021 pending the adoption of a budget for the biennium </w:t>
      </w:r>
      <w:r w:rsidR="004B3203" w:rsidRPr="009543E3">
        <w:rPr>
          <w:kern w:val="22"/>
          <w:szCs w:val="22"/>
        </w:rPr>
        <w:t xml:space="preserve">2021-2022 </w:t>
      </w:r>
      <w:r w:rsidR="00AE02C7" w:rsidRPr="009543E3">
        <w:rPr>
          <w:kern w:val="22"/>
          <w:szCs w:val="22"/>
        </w:rPr>
        <w:t xml:space="preserve">by the Conference of the Parties at its fifteenth meeting. Draft decisions for the consideration of the Conference of the Parties and the respective meetings of the Parties for the Cartagena and Nagoya Protocols are provided in </w:t>
      </w:r>
      <w:r w:rsidR="00083A28" w:rsidRPr="009543E3">
        <w:rPr>
          <w:kern w:val="22"/>
          <w:szCs w:val="22"/>
        </w:rPr>
        <w:t>s</w:t>
      </w:r>
      <w:r w:rsidR="00AE02C7" w:rsidRPr="009543E3">
        <w:rPr>
          <w:kern w:val="22"/>
          <w:szCs w:val="22"/>
        </w:rPr>
        <w:t>ections IV</w:t>
      </w:r>
      <w:r w:rsidR="00880316" w:rsidRPr="009543E3">
        <w:rPr>
          <w:kern w:val="22"/>
          <w:szCs w:val="22"/>
        </w:rPr>
        <w:t>,</w:t>
      </w:r>
      <w:r w:rsidR="00AE02C7" w:rsidRPr="009543E3">
        <w:rPr>
          <w:kern w:val="22"/>
          <w:szCs w:val="22"/>
        </w:rPr>
        <w:t xml:space="preserve"> V</w:t>
      </w:r>
      <w:r w:rsidR="00880316" w:rsidRPr="009543E3">
        <w:rPr>
          <w:kern w:val="22"/>
          <w:szCs w:val="22"/>
        </w:rPr>
        <w:t xml:space="preserve"> and VI</w:t>
      </w:r>
      <w:r w:rsidR="00AE02C7" w:rsidRPr="009543E3">
        <w:rPr>
          <w:kern w:val="22"/>
          <w:szCs w:val="22"/>
        </w:rPr>
        <w:t>.</w:t>
      </w:r>
    </w:p>
    <w:p w14:paraId="278CE739" w14:textId="1B084950" w:rsidR="00142643" w:rsidRPr="009543E3" w:rsidRDefault="00DC6DDD"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pPr>
      <w:r w:rsidRPr="009543E3">
        <w:rPr>
          <w:rFonts w:eastAsia="Malgun Gothic"/>
          <w:kern w:val="22"/>
          <w:szCs w:val="22"/>
          <w:lang w:eastAsia="x-none"/>
        </w:rPr>
        <w:t xml:space="preserve">It is understood that the </w:t>
      </w:r>
      <w:r w:rsidR="00A778F2" w:rsidRPr="009543E3">
        <w:rPr>
          <w:rFonts w:eastAsia="Malgun Gothic"/>
          <w:kern w:val="22"/>
          <w:szCs w:val="22"/>
          <w:lang w:eastAsia="x-none"/>
        </w:rPr>
        <w:t xml:space="preserve">fifteenth meeting of the </w:t>
      </w:r>
      <w:r w:rsidRPr="009543E3">
        <w:rPr>
          <w:rFonts w:eastAsia="Malgun Gothic"/>
          <w:kern w:val="22"/>
          <w:szCs w:val="22"/>
          <w:lang w:eastAsia="x-none"/>
        </w:rPr>
        <w:t xml:space="preserve">Conference of the Parties </w:t>
      </w:r>
      <w:r w:rsidR="00394460" w:rsidRPr="009543E3">
        <w:rPr>
          <w:rFonts w:eastAsia="Malgun Gothic"/>
          <w:kern w:val="22"/>
          <w:szCs w:val="22"/>
          <w:lang w:eastAsia="x-none"/>
        </w:rPr>
        <w:t xml:space="preserve">and the concurrent meetings of the Parties to the </w:t>
      </w:r>
      <w:r w:rsidR="009844BE" w:rsidRPr="009543E3">
        <w:rPr>
          <w:rFonts w:eastAsia="Malgun Gothic"/>
          <w:kern w:val="22"/>
          <w:szCs w:val="22"/>
          <w:lang w:eastAsia="x-none"/>
        </w:rPr>
        <w:t>P</w:t>
      </w:r>
      <w:r w:rsidR="00394460" w:rsidRPr="009543E3">
        <w:rPr>
          <w:rFonts w:eastAsia="Malgun Gothic"/>
          <w:kern w:val="22"/>
          <w:szCs w:val="22"/>
          <w:lang w:eastAsia="x-none"/>
        </w:rPr>
        <w:t xml:space="preserve">rotocols </w:t>
      </w:r>
      <w:r w:rsidR="00A778F2" w:rsidRPr="009543E3">
        <w:rPr>
          <w:rFonts w:eastAsia="Malgun Gothic"/>
          <w:kern w:val="22"/>
          <w:szCs w:val="22"/>
          <w:lang w:eastAsia="x-none"/>
        </w:rPr>
        <w:t xml:space="preserve">would still consider the full budget for the 2021-2022 biennium, or for any other period as the </w:t>
      </w:r>
      <w:r w:rsidR="00094AC9" w:rsidRPr="009543E3">
        <w:rPr>
          <w:rFonts w:eastAsia="Malgun Gothic"/>
          <w:kern w:val="22"/>
          <w:szCs w:val="22"/>
          <w:lang w:eastAsia="x-none"/>
        </w:rPr>
        <w:t xml:space="preserve">Conference of the Parties </w:t>
      </w:r>
      <w:r w:rsidR="00F64BAC" w:rsidRPr="009543E3">
        <w:rPr>
          <w:rFonts w:eastAsia="Malgun Gothic"/>
          <w:kern w:val="22"/>
          <w:szCs w:val="22"/>
          <w:lang w:eastAsia="x-none"/>
        </w:rPr>
        <w:t xml:space="preserve">and the concurrent meetings of the Parties to the </w:t>
      </w:r>
      <w:r w:rsidR="009844BE" w:rsidRPr="009543E3">
        <w:rPr>
          <w:rFonts w:eastAsia="Malgun Gothic"/>
          <w:kern w:val="22"/>
          <w:szCs w:val="22"/>
          <w:lang w:eastAsia="x-none"/>
        </w:rPr>
        <w:t>P</w:t>
      </w:r>
      <w:r w:rsidR="00F64BAC" w:rsidRPr="009543E3">
        <w:rPr>
          <w:rFonts w:eastAsia="Malgun Gothic"/>
          <w:kern w:val="22"/>
          <w:szCs w:val="22"/>
          <w:lang w:eastAsia="x-none"/>
        </w:rPr>
        <w:t>rotocols</w:t>
      </w:r>
      <w:r w:rsidR="007A7DFE" w:rsidRPr="009543E3">
        <w:rPr>
          <w:rFonts w:eastAsia="Malgun Gothic"/>
          <w:kern w:val="22"/>
          <w:szCs w:val="22"/>
          <w:lang w:eastAsia="x-none"/>
        </w:rPr>
        <w:t xml:space="preserve"> </w:t>
      </w:r>
      <w:r w:rsidR="00A778F2" w:rsidRPr="009543E3">
        <w:rPr>
          <w:rFonts w:eastAsia="Malgun Gothic"/>
          <w:kern w:val="22"/>
          <w:szCs w:val="22"/>
          <w:lang w:eastAsia="x-none"/>
        </w:rPr>
        <w:t>may decide</w:t>
      </w:r>
      <w:r w:rsidR="008D6D32" w:rsidRPr="009543E3">
        <w:rPr>
          <w:rFonts w:eastAsia="Malgun Gothic"/>
          <w:kern w:val="22"/>
          <w:szCs w:val="22"/>
          <w:lang w:eastAsia="x-none"/>
        </w:rPr>
        <w:t>, in line with the Financial Rules</w:t>
      </w:r>
      <w:r w:rsidR="00094AC9" w:rsidRPr="009543E3">
        <w:rPr>
          <w:rFonts w:eastAsia="Malgun Gothic"/>
          <w:kern w:val="22"/>
          <w:szCs w:val="22"/>
          <w:lang w:eastAsia="x-none"/>
        </w:rPr>
        <w:t>.</w:t>
      </w:r>
      <w:r w:rsidR="006D2F97" w:rsidRPr="009543E3">
        <w:rPr>
          <w:rStyle w:val="FootnoteReference"/>
          <w:rFonts w:eastAsia="Malgun Gothic"/>
          <w:iCs/>
          <w:kern w:val="22"/>
          <w:szCs w:val="22"/>
          <w:lang w:val="en-GB" w:eastAsia="x-none"/>
        </w:rPr>
        <w:footnoteReference w:id="6"/>
      </w:r>
      <w:r w:rsidR="00765587" w:rsidRPr="009543E3">
        <w:rPr>
          <w:rFonts w:eastAsia="Malgun Gothic"/>
          <w:iCs/>
          <w:kern w:val="22"/>
          <w:szCs w:val="22"/>
          <w:lang w:eastAsia="x-none"/>
        </w:rPr>
        <w:t xml:space="preserve"> </w:t>
      </w:r>
      <w:r w:rsidR="006D2F97" w:rsidRPr="009543E3">
        <w:rPr>
          <w:rFonts w:eastAsia="Malgun Gothic"/>
          <w:iCs/>
          <w:kern w:val="22"/>
          <w:szCs w:val="22"/>
          <w:lang w:eastAsia="x-none"/>
        </w:rPr>
        <w:t>Accordingly</w:t>
      </w:r>
      <w:r w:rsidR="00765587" w:rsidRPr="009543E3">
        <w:rPr>
          <w:rFonts w:eastAsia="Malgun Gothic"/>
          <w:iCs/>
          <w:kern w:val="22"/>
          <w:szCs w:val="22"/>
          <w:lang w:eastAsia="x-none"/>
        </w:rPr>
        <w:t>, it is understood that the interim budget should be limited in scope to that necessary for the continuing operations of the Convention</w:t>
      </w:r>
      <w:r w:rsidR="00CA64DC" w:rsidRPr="009543E3">
        <w:rPr>
          <w:rFonts w:eastAsia="Malgun Gothic"/>
          <w:iCs/>
          <w:kern w:val="22"/>
          <w:szCs w:val="22"/>
          <w:lang w:eastAsia="x-none"/>
        </w:rPr>
        <w:t xml:space="preserve"> and protocols</w:t>
      </w:r>
      <w:r w:rsidR="00765587" w:rsidRPr="009543E3">
        <w:rPr>
          <w:rFonts w:eastAsia="Malgun Gothic"/>
          <w:iCs/>
          <w:kern w:val="22"/>
          <w:szCs w:val="22"/>
          <w:lang w:eastAsia="x-none"/>
        </w:rPr>
        <w:t xml:space="preserve">, including the preparation and convening of </w:t>
      </w:r>
      <w:r w:rsidR="00906EAC" w:rsidRPr="009543E3">
        <w:rPr>
          <w:rFonts w:eastAsia="Malgun Gothic"/>
          <w:iCs/>
          <w:kern w:val="22"/>
          <w:szCs w:val="22"/>
          <w:lang w:eastAsia="x-none"/>
        </w:rPr>
        <w:t>the fifteenth meeting of the Conference of the Parties</w:t>
      </w:r>
      <w:r w:rsidR="00444839" w:rsidRPr="009543E3">
        <w:rPr>
          <w:rFonts w:eastAsia="Malgun Gothic"/>
          <w:iCs/>
          <w:kern w:val="22"/>
          <w:szCs w:val="22"/>
          <w:lang w:eastAsia="x-none"/>
        </w:rPr>
        <w:t xml:space="preserve"> </w:t>
      </w:r>
      <w:r w:rsidR="003324D8" w:rsidRPr="009543E3">
        <w:rPr>
          <w:rFonts w:eastAsia="Malgun Gothic"/>
          <w:iCs/>
          <w:kern w:val="22"/>
          <w:szCs w:val="22"/>
          <w:lang w:eastAsia="x-none"/>
        </w:rPr>
        <w:t>and other meetings rescheduled to 2021</w:t>
      </w:r>
      <w:r w:rsidR="00765587" w:rsidRPr="009543E3">
        <w:rPr>
          <w:rFonts w:eastAsia="Malgun Gothic"/>
          <w:iCs/>
          <w:kern w:val="22"/>
          <w:szCs w:val="22"/>
          <w:lang w:eastAsia="x-none"/>
        </w:rPr>
        <w:t>.</w:t>
      </w:r>
    </w:p>
    <w:p w14:paraId="215FA090" w14:textId="27F14F04" w:rsidR="00A7578D" w:rsidRPr="009543E3" w:rsidRDefault="00BC63FC" w:rsidP="006914CE">
      <w:pPr>
        <w:pStyle w:val="ListParagraph"/>
        <w:keepNext/>
        <w:numPr>
          <w:ilvl w:val="0"/>
          <w:numId w:val="20"/>
        </w:numPr>
        <w:suppressLineNumbers/>
        <w:suppressAutoHyphens/>
        <w:spacing w:before="120" w:after="120"/>
        <w:ind w:left="1134" w:hanging="425"/>
        <w:contextualSpacing w:val="0"/>
        <w:outlineLvl w:val="0"/>
        <w:rPr>
          <w:rFonts w:eastAsia="Malgun Gothic"/>
          <w:b/>
          <w:bCs/>
          <w:iCs/>
          <w:caps/>
          <w:color w:val="000000" w:themeColor="text1"/>
          <w:kern w:val="22"/>
          <w:szCs w:val="22"/>
          <w:lang w:eastAsia="x-none"/>
        </w:rPr>
      </w:pPr>
      <w:r w:rsidRPr="009543E3">
        <w:rPr>
          <w:rFonts w:eastAsia="Malgun Gothic"/>
          <w:b/>
          <w:bCs/>
          <w:iCs/>
          <w:caps/>
          <w:color w:val="000000" w:themeColor="text1"/>
          <w:kern w:val="22"/>
          <w:szCs w:val="22"/>
          <w:lang w:eastAsia="x-none"/>
        </w:rPr>
        <w:t>Summary</w:t>
      </w:r>
      <w:r w:rsidR="00F11584" w:rsidRPr="009543E3">
        <w:rPr>
          <w:rFonts w:eastAsia="Malgun Gothic"/>
          <w:b/>
          <w:bCs/>
          <w:iCs/>
          <w:caps/>
          <w:color w:val="000000" w:themeColor="text1"/>
          <w:kern w:val="22"/>
          <w:szCs w:val="22"/>
          <w:lang w:eastAsia="x-none"/>
        </w:rPr>
        <w:t xml:space="preserve"> o</w:t>
      </w:r>
      <w:r w:rsidR="00BF53FC" w:rsidRPr="009543E3">
        <w:rPr>
          <w:rFonts w:eastAsia="Malgun Gothic"/>
          <w:b/>
          <w:bCs/>
          <w:iCs/>
          <w:caps/>
          <w:color w:val="000000" w:themeColor="text1"/>
          <w:kern w:val="22"/>
          <w:szCs w:val="22"/>
          <w:lang w:eastAsia="x-none"/>
        </w:rPr>
        <w:t>f</w:t>
      </w:r>
      <w:r w:rsidR="00F11584" w:rsidRPr="009543E3">
        <w:rPr>
          <w:rFonts w:eastAsia="Malgun Gothic"/>
          <w:b/>
          <w:bCs/>
          <w:iCs/>
          <w:caps/>
          <w:color w:val="000000" w:themeColor="text1"/>
          <w:kern w:val="22"/>
          <w:szCs w:val="22"/>
          <w:lang w:eastAsia="x-none"/>
        </w:rPr>
        <w:t xml:space="preserve"> income and budget performance for the biennium 2019-2020</w:t>
      </w:r>
    </w:p>
    <w:p w14:paraId="6747530D" w14:textId="64666959" w:rsidR="000A2755" w:rsidRPr="009543E3" w:rsidRDefault="000A2755"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Income</w:t>
      </w:r>
    </w:p>
    <w:p w14:paraId="10F47F77" w14:textId="1266003E" w:rsidR="00D37156" w:rsidRPr="009543E3" w:rsidRDefault="00BC63FC"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In decision 14/37</w:t>
      </w:r>
      <w:r w:rsidR="00BF53FC" w:rsidRPr="009543E3">
        <w:rPr>
          <w:kern w:val="22"/>
          <w:szCs w:val="22"/>
        </w:rPr>
        <w:t>,</w:t>
      </w:r>
      <w:r w:rsidRPr="009543E3">
        <w:rPr>
          <w:kern w:val="22"/>
          <w:szCs w:val="22"/>
        </w:rPr>
        <w:t xml:space="preserve"> t</w:t>
      </w:r>
      <w:r w:rsidR="00526539" w:rsidRPr="009543E3">
        <w:rPr>
          <w:kern w:val="22"/>
          <w:szCs w:val="22"/>
        </w:rPr>
        <w:t xml:space="preserve">he Conference of the Parties and respective meetings of the Parties </w:t>
      </w:r>
      <w:r w:rsidR="00C647CD" w:rsidRPr="009543E3">
        <w:rPr>
          <w:kern w:val="22"/>
          <w:szCs w:val="22"/>
        </w:rPr>
        <w:t xml:space="preserve">to </w:t>
      </w:r>
      <w:r w:rsidR="00526539" w:rsidRPr="009543E3">
        <w:rPr>
          <w:kern w:val="22"/>
          <w:szCs w:val="22"/>
        </w:rPr>
        <w:t xml:space="preserve">the </w:t>
      </w:r>
      <w:r w:rsidR="00C647CD" w:rsidRPr="009543E3">
        <w:rPr>
          <w:kern w:val="22"/>
          <w:szCs w:val="22"/>
        </w:rPr>
        <w:t>P</w:t>
      </w:r>
      <w:r w:rsidR="00526539" w:rsidRPr="009543E3">
        <w:rPr>
          <w:kern w:val="22"/>
          <w:szCs w:val="22"/>
        </w:rPr>
        <w:t xml:space="preserve">rotocols approved an integrated core budget of US$ 18,949,000 for the year 2019 and US$ 19,895,100 for the year 2020. </w:t>
      </w:r>
      <w:r w:rsidR="002848DE" w:rsidRPr="009543E3">
        <w:rPr>
          <w:kern w:val="22"/>
          <w:szCs w:val="22"/>
        </w:rPr>
        <w:t xml:space="preserve">After the deduction of savings from </w:t>
      </w:r>
      <w:r w:rsidR="008D70C0" w:rsidRPr="009543E3">
        <w:rPr>
          <w:kern w:val="22"/>
          <w:szCs w:val="22"/>
        </w:rPr>
        <w:t xml:space="preserve">the </w:t>
      </w:r>
      <w:r w:rsidR="002848DE" w:rsidRPr="009543E3">
        <w:rPr>
          <w:kern w:val="22"/>
          <w:szCs w:val="22"/>
        </w:rPr>
        <w:t xml:space="preserve">prior period and the contribution of the host country, the total assessed </w:t>
      </w:r>
      <w:r w:rsidR="00763206" w:rsidRPr="009543E3">
        <w:rPr>
          <w:kern w:val="22"/>
          <w:szCs w:val="22"/>
        </w:rPr>
        <w:t>contributions for 2019 and 2020 amounted to US</w:t>
      </w:r>
      <w:r w:rsidR="00912C1B" w:rsidRPr="009543E3">
        <w:rPr>
          <w:kern w:val="22"/>
          <w:szCs w:val="22"/>
        </w:rPr>
        <w:t xml:space="preserve">$ </w:t>
      </w:r>
      <w:r w:rsidR="00B639D0" w:rsidRPr="009543E3">
        <w:rPr>
          <w:kern w:val="22"/>
          <w:szCs w:val="22"/>
        </w:rPr>
        <w:t>32,984,700</w:t>
      </w:r>
      <w:r w:rsidR="00AE02C7" w:rsidRPr="009543E3">
        <w:rPr>
          <w:kern w:val="22"/>
          <w:szCs w:val="22"/>
        </w:rPr>
        <w:t>.</w:t>
      </w:r>
      <w:r w:rsidR="00912C1B" w:rsidRPr="009543E3">
        <w:rPr>
          <w:kern w:val="22"/>
          <w:szCs w:val="22"/>
        </w:rPr>
        <w:t xml:space="preserve"> The assessed contributions of the new </w:t>
      </w:r>
      <w:r w:rsidR="00B265C9" w:rsidRPr="009543E3">
        <w:rPr>
          <w:kern w:val="22"/>
          <w:szCs w:val="22"/>
        </w:rPr>
        <w:t>P</w:t>
      </w:r>
      <w:r w:rsidR="00912C1B" w:rsidRPr="009543E3">
        <w:rPr>
          <w:kern w:val="22"/>
          <w:szCs w:val="22"/>
        </w:rPr>
        <w:t xml:space="preserve">arties to the </w:t>
      </w:r>
      <w:r w:rsidR="00B265C9" w:rsidRPr="009543E3">
        <w:rPr>
          <w:kern w:val="22"/>
          <w:szCs w:val="22"/>
        </w:rPr>
        <w:t>P</w:t>
      </w:r>
      <w:r w:rsidR="00912C1B" w:rsidRPr="009543E3">
        <w:rPr>
          <w:kern w:val="22"/>
          <w:szCs w:val="22"/>
        </w:rPr>
        <w:t xml:space="preserve">rotocols in 2019 and 2020 (15 countries ratified the Nagoya </w:t>
      </w:r>
      <w:r w:rsidR="00F1603B" w:rsidRPr="009543E3">
        <w:rPr>
          <w:kern w:val="22"/>
          <w:szCs w:val="22"/>
        </w:rPr>
        <w:t>P</w:t>
      </w:r>
      <w:r w:rsidR="00912C1B" w:rsidRPr="009543E3">
        <w:rPr>
          <w:kern w:val="22"/>
          <w:szCs w:val="22"/>
        </w:rPr>
        <w:t xml:space="preserve">rotocol and </w:t>
      </w:r>
      <w:r w:rsidR="007A17B4" w:rsidRPr="009543E3">
        <w:rPr>
          <w:kern w:val="22"/>
          <w:szCs w:val="22"/>
        </w:rPr>
        <w:t>1</w:t>
      </w:r>
      <w:r w:rsidR="00232799" w:rsidRPr="009543E3">
        <w:rPr>
          <w:kern w:val="22"/>
          <w:szCs w:val="22"/>
        </w:rPr>
        <w:t> </w:t>
      </w:r>
      <w:r w:rsidR="00912C1B" w:rsidRPr="009543E3">
        <w:rPr>
          <w:kern w:val="22"/>
          <w:szCs w:val="22"/>
        </w:rPr>
        <w:t xml:space="preserve">country became </w:t>
      </w:r>
      <w:r w:rsidR="00232799" w:rsidRPr="009543E3">
        <w:rPr>
          <w:kern w:val="22"/>
          <w:szCs w:val="22"/>
        </w:rPr>
        <w:t xml:space="preserve">a </w:t>
      </w:r>
      <w:r w:rsidR="00B265C9" w:rsidRPr="009543E3">
        <w:rPr>
          <w:kern w:val="22"/>
          <w:szCs w:val="22"/>
        </w:rPr>
        <w:t>P</w:t>
      </w:r>
      <w:r w:rsidR="00912C1B" w:rsidRPr="009543E3">
        <w:rPr>
          <w:kern w:val="22"/>
          <w:szCs w:val="22"/>
        </w:rPr>
        <w:t xml:space="preserve">arty to the Cartagena </w:t>
      </w:r>
      <w:r w:rsidR="00B265C9" w:rsidRPr="009543E3">
        <w:rPr>
          <w:kern w:val="22"/>
          <w:szCs w:val="22"/>
        </w:rPr>
        <w:t>P</w:t>
      </w:r>
      <w:r w:rsidR="00912C1B" w:rsidRPr="009543E3">
        <w:rPr>
          <w:kern w:val="22"/>
          <w:szCs w:val="22"/>
        </w:rPr>
        <w:t xml:space="preserve">rotocol) amount to US$ 90,200. </w:t>
      </w:r>
      <w:r w:rsidR="006D2F97" w:rsidRPr="009543E3">
        <w:rPr>
          <w:kern w:val="22"/>
          <w:szCs w:val="22"/>
        </w:rPr>
        <w:t>Thus</w:t>
      </w:r>
      <w:r w:rsidR="00DF3EFC" w:rsidRPr="009543E3">
        <w:rPr>
          <w:kern w:val="22"/>
          <w:szCs w:val="22"/>
        </w:rPr>
        <w:t>,</w:t>
      </w:r>
      <w:r w:rsidR="006D2F97" w:rsidRPr="009543E3">
        <w:rPr>
          <w:kern w:val="22"/>
          <w:szCs w:val="22"/>
        </w:rPr>
        <w:t xml:space="preserve"> the total assessment of contributions is </w:t>
      </w:r>
      <w:r w:rsidR="004F005F" w:rsidRPr="009543E3">
        <w:rPr>
          <w:kern w:val="22"/>
          <w:szCs w:val="22"/>
        </w:rPr>
        <w:t>US$ </w:t>
      </w:r>
      <w:r w:rsidR="006D2F97" w:rsidRPr="009543E3">
        <w:rPr>
          <w:kern w:val="22"/>
          <w:szCs w:val="22"/>
        </w:rPr>
        <w:t>33,07</w:t>
      </w:r>
      <w:r w:rsidR="00D26CE8" w:rsidRPr="009543E3">
        <w:rPr>
          <w:kern w:val="22"/>
          <w:szCs w:val="22"/>
        </w:rPr>
        <w:t>4,900</w:t>
      </w:r>
      <w:r w:rsidR="006D2F97" w:rsidRPr="009543E3">
        <w:rPr>
          <w:kern w:val="22"/>
          <w:szCs w:val="22"/>
        </w:rPr>
        <w:t xml:space="preserve">, comprising </w:t>
      </w:r>
      <w:r w:rsidR="004F005F" w:rsidRPr="009543E3">
        <w:rPr>
          <w:kern w:val="22"/>
          <w:szCs w:val="22"/>
        </w:rPr>
        <w:t>US$ </w:t>
      </w:r>
      <w:r w:rsidR="00D26CE8" w:rsidRPr="009543E3">
        <w:rPr>
          <w:kern w:val="22"/>
          <w:szCs w:val="22"/>
        </w:rPr>
        <w:t xml:space="preserve">16,045,000 </w:t>
      </w:r>
      <w:r w:rsidR="006D2F97" w:rsidRPr="009543E3">
        <w:rPr>
          <w:kern w:val="22"/>
          <w:szCs w:val="22"/>
        </w:rPr>
        <w:t xml:space="preserve">for 2019 and </w:t>
      </w:r>
      <w:r w:rsidR="004F005F" w:rsidRPr="009543E3">
        <w:rPr>
          <w:kern w:val="22"/>
          <w:szCs w:val="22"/>
        </w:rPr>
        <w:t>US$ </w:t>
      </w:r>
      <w:r w:rsidR="00D26CE8" w:rsidRPr="009543E3">
        <w:rPr>
          <w:kern w:val="22"/>
          <w:szCs w:val="22"/>
        </w:rPr>
        <w:t xml:space="preserve">17,029,900 </w:t>
      </w:r>
      <w:r w:rsidR="006D2F97" w:rsidRPr="009543E3">
        <w:rPr>
          <w:kern w:val="22"/>
          <w:szCs w:val="22"/>
        </w:rPr>
        <w:t xml:space="preserve">for 2020. </w:t>
      </w:r>
      <w:r w:rsidR="007A7F7E" w:rsidRPr="009543E3">
        <w:rPr>
          <w:kern w:val="22"/>
          <w:szCs w:val="22"/>
        </w:rPr>
        <w:t>For the biennium 2019-2020</w:t>
      </w:r>
      <w:r w:rsidR="00190CC8" w:rsidRPr="009543E3">
        <w:rPr>
          <w:kern w:val="22"/>
          <w:szCs w:val="22"/>
        </w:rPr>
        <w:t>,</w:t>
      </w:r>
      <w:r w:rsidR="007A7F7E" w:rsidRPr="009543E3">
        <w:rPr>
          <w:kern w:val="22"/>
          <w:szCs w:val="22"/>
        </w:rPr>
        <w:t xml:space="preserve"> </w:t>
      </w:r>
      <w:r w:rsidR="00763206" w:rsidRPr="009543E3">
        <w:rPr>
          <w:kern w:val="22"/>
          <w:szCs w:val="22"/>
        </w:rPr>
        <w:t xml:space="preserve">the Secretariat </w:t>
      </w:r>
      <w:r w:rsidR="007871E1" w:rsidRPr="009543E3">
        <w:rPr>
          <w:kern w:val="22"/>
          <w:szCs w:val="22"/>
        </w:rPr>
        <w:t xml:space="preserve">has </w:t>
      </w:r>
      <w:r w:rsidR="00763206" w:rsidRPr="009543E3">
        <w:rPr>
          <w:kern w:val="22"/>
          <w:szCs w:val="22"/>
        </w:rPr>
        <w:t xml:space="preserve">received </w:t>
      </w:r>
      <w:r w:rsidR="001D5E2E" w:rsidRPr="009543E3">
        <w:rPr>
          <w:kern w:val="22"/>
          <w:szCs w:val="22"/>
        </w:rPr>
        <w:t>as at 31 August 2020</w:t>
      </w:r>
      <w:r w:rsidR="007871E1" w:rsidRPr="009543E3">
        <w:rPr>
          <w:kern w:val="22"/>
          <w:szCs w:val="22"/>
        </w:rPr>
        <w:t xml:space="preserve"> </w:t>
      </w:r>
      <w:r w:rsidR="00763206" w:rsidRPr="009543E3">
        <w:rPr>
          <w:kern w:val="22"/>
          <w:szCs w:val="22"/>
        </w:rPr>
        <w:t>contributions totalling US$</w:t>
      </w:r>
      <w:r w:rsidR="00AE779C" w:rsidRPr="009543E3">
        <w:rPr>
          <w:kern w:val="22"/>
          <w:szCs w:val="22"/>
        </w:rPr>
        <w:t> </w:t>
      </w:r>
      <w:r w:rsidR="00880316" w:rsidRPr="009543E3">
        <w:rPr>
          <w:kern w:val="22"/>
          <w:szCs w:val="22"/>
        </w:rPr>
        <w:t>23,654,300</w:t>
      </w:r>
      <w:r w:rsidR="007A7F7E" w:rsidRPr="009543E3">
        <w:rPr>
          <w:kern w:val="22"/>
          <w:szCs w:val="22"/>
        </w:rPr>
        <w:t>.</w:t>
      </w:r>
    </w:p>
    <w:p w14:paraId="169105EA" w14:textId="7B6C11A7" w:rsidR="00FC562D" w:rsidRPr="009543E3" w:rsidRDefault="006C5550" w:rsidP="006914CE">
      <w:pPr>
        <w:pStyle w:val="ListParagraph"/>
        <w:numPr>
          <w:ilvl w:val="0"/>
          <w:numId w:val="19"/>
        </w:numPr>
        <w:suppressLineNumbers/>
        <w:suppressAutoHyphens/>
        <w:spacing w:before="120" w:after="120"/>
        <w:ind w:left="0" w:firstLine="0"/>
        <w:contextualSpacing w:val="0"/>
        <w:rPr>
          <w:kern w:val="22"/>
          <w:szCs w:val="22"/>
        </w:rPr>
      </w:pPr>
      <w:bookmarkStart w:id="2" w:name="_Hlk49339275"/>
      <w:r w:rsidRPr="009543E3">
        <w:rPr>
          <w:spacing w:val="-2"/>
          <w:kern w:val="22"/>
          <w:szCs w:val="22"/>
        </w:rPr>
        <w:t xml:space="preserve">The collection rate </w:t>
      </w:r>
      <w:r w:rsidR="00524226" w:rsidRPr="009543E3">
        <w:rPr>
          <w:spacing w:val="-2"/>
          <w:kern w:val="22"/>
          <w:szCs w:val="22"/>
        </w:rPr>
        <w:t xml:space="preserve">to date </w:t>
      </w:r>
      <w:r w:rsidRPr="009543E3">
        <w:rPr>
          <w:spacing w:val="-2"/>
          <w:kern w:val="22"/>
          <w:szCs w:val="22"/>
        </w:rPr>
        <w:t>for 2019 and 2020 respectively is 89.79</w:t>
      </w:r>
      <w:r w:rsidR="00DB5AE0" w:rsidRPr="009543E3">
        <w:rPr>
          <w:spacing w:val="-2"/>
          <w:kern w:val="22"/>
          <w:szCs w:val="22"/>
        </w:rPr>
        <w:t xml:space="preserve"> per cent</w:t>
      </w:r>
      <w:r w:rsidRPr="009543E3">
        <w:rPr>
          <w:spacing w:val="-2"/>
          <w:kern w:val="22"/>
          <w:szCs w:val="22"/>
        </w:rPr>
        <w:t xml:space="preserve"> and 54.31</w:t>
      </w:r>
      <w:r w:rsidR="00DB5AE0" w:rsidRPr="009543E3">
        <w:rPr>
          <w:spacing w:val="-2"/>
          <w:kern w:val="22"/>
          <w:szCs w:val="22"/>
        </w:rPr>
        <w:t xml:space="preserve"> per cent</w:t>
      </w:r>
      <w:r w:rsidRPr="009543E3">
        <w:rPr>
          <w:spacing w:val="-2"/>
          <w:kern w:val="22"/>
          <w:szCs w:val="22"/>
        </w:rPr>
        <w:t>, giving an overall collection rate for the biennium of 71.52</w:t>
      </w:r>
      <w:r w:rsidR="00163A8C" w:rsidRPr="009543E3">
        <w:rPr>
          <w:spacing w:val="-2"/>
          <w:kern w:val="22"/>
          <w:szCs w:val="22"/>
        </w:rPr>
        <w:t xml:space="preserve"> per cent</w:t>
      </w:r>
      <w:r w:rsidRPr="009543E3">
        <w:rPr>
          <w:spacing w:val="-2"/>
          <w:kern w:val="22"/>
          <w:szCs w:val="22"/>
        </w:rPr>
        <w:t xml:space="preserve">. </w:t>
      </w:r>
      <w:r w:rsidR="00E70725" w:rsidRPr="009543E3">
        <w:rPr>
          <w:spacing w:val="-2"/>
          <w:kern w:val="22"/>
          <w:szCs w:val="22"/>
        </w:rPr>
        <w:t xml:space="preserve">The payments of the assessed contributions for 2020 are slower than usual, which is likely due to </w:t>
      </w:r>
      <w:r w:rsidR="006D2F97" w:rsidRPr="009543E3">
        <w:rPr>
          <w:spacing w:val="-2"/>
          <w:kern w:val="22"/>
          <w:szCs w:val="22"/>
        </w:rPr>
        <w:t xml:space="preserve">various causes related to </w:t>
      </w:r>
      <w:r w:rsidR="00E70725" w:rsidRPr="009543E3">
        <w:rPr>
          <w:spacing w:val="-2"/>
          <w:kern w:val="22"/>
          <w:szCs w:val="22"/>
        </w:rPr>
        <w:t>the C</w:t>
      </w:r>
      <w:r w:rsidR="00BD7263" w:rsidRPr="009543E3">
        <w:rPr>
          <w:spacing w:val="-2"/>
          <w:kern w:val="22"/>
          <w:szCs w:val="22"/>
        </w:rPr>
        <w:t>OVID </w:t>
      </w:r>
      <w:r w:rsidR="00E70725" w:rsidRPr="009543E3">
        <w:rPr>
          <w:spacing w:val="-2"/>
          <w:kern w:val="22"/>
          <w:szCs w:val="22"/>
        </w:rPr>
        <w:t>19</w:t>
      </w:r>
      <w:r w:rsidR="006D2F97" w:rsidRPr="009543E3">
        <w:rPr>
          <w:spacing w:val="-2"/>
          <w:kern w:val="22"/>
          <w:szCs w:val="22"/>
        </w:rPr>
        <w:t xml:space="preserve"> pandemic</w:t>
      </w:r>
      <w:r w:rsidR="00E70725" w:rsidRPr="009543E3">
        <w:rPr>
          <w:spacing w:val="-2"/>
          <w:kern w:val="22"/>
          <w:szCs w:val="22"/>
        </w:rPr>
        <w:t>.</w:t>
      </w:r>
      <w:bookmarkEnd w:id="2"/>
    </w:p>
    <w:p w14:paraId="19C44DB8" w14:textId="7BEE2CC0" w:rsidR="00FC562D" w:rsidRPr="009543E3" w:rsidRDefault="00FC562D" w:rsidP="006914CE">
      <w:pPr>
        <w:pStyle w:val="Style1"/>
        <w:suppressLineNumbers/>
        <w:tabs>
          <w:tab w:val="clear" w:pos="720"/>
        </w:tabs>
        <w:suppressAutoHyphens/>
        <w:spacing w:before="0" w:after="0"/>
        <w:jc w:val="left"/>
        <w:rPr>
          <w:i w:val="0"/>
          <w:kern w:val="22"/>
          <w:szCs w:val="22"/>
        </w:rPr>
      </w:pPr>
      <w:r w:rsidRPr="009543E3">
        <w:rPr>
          <w:i w:val="0"/>
          <w:color w:val="000000"/>
          <w:kern w:val="22"/>
          <w:szCs w:val="22"/>
          <w:lang w:eastAsia="en-CA"/>
        </w:rPr>
        <w:t>Table 1</w:t>
      </w:r>
      <w:r w:rsidR="00AF673A" w:rsidRPr="009543E3">
        <w:rPr>
          <w:i w:val="0"/>
          <w:color w:val="000000"/>
          <w:kern w:val="22"/>
          <w:szCs w:val="22"/>
          <w:lang w:eastAsia="en-CA"/>
        </w:rPr>
        <w:br/>
      </w:r>
      <w:r w:rsidR="00DB29B1" w:rsidRPr="009543E3">
        <w:rPr>
          <w:i w:val="0"/>
          <w:color w:val="000000"/>
          <w:kern w:val="22"/>
          <w:szCs w:val="22"/>
          <w:lang w:eastAsia="en-CA"/>
        </w:rPr>
        <w:t xml:space="preserve">Overall </w:t>
      </w:r>
      <w:r w:rsidR="00DB29B1" w:rsidRPr="009543E3">
        <w:rPr>
          <w:i w:val="0"/>
          <w:kern w:val="22"/>
          <w:szCs w:val="22"/>
        </w:rPr>
        <w:t>status of assessed contributions for the biennium 2019-2020</w:t>
      </w:r>
    </w:p>
    <w:p w14:paraId="4A92FEE3" w14:textId="581B2E7E" w:rsidR="00AE779C" w:rsidRPr="009543E3" w:rsidRDefault="00AE779C" w:rsidP="006914CE">
      <w:pPr>
        <w:pStyle w:val="Style1"/>
        <w:suppressLineNumbers/>
        <w:tabs>
          <w:tab w:val="clear" w:pos="720"/>
        </w:tabs>
        <w:suppressAutoHyphens/>
        <w:spacing w:before="0"/>
        <w:jc w:val="left"/>
        <w:rPr>
          <w:b w:val="0"/>
          <w:bCs w:val="0"/>
          <w:color w:val="000000"/>
          <w:kern w:val="22"/>
          <w:szCs w:val="22"/>
          <w:lang w:eastAsia="en-CA"/>
        </w:rPr>
      </w:pPr>
      <w:r w:rsidRPr="009543E3">
        <w:rPr>
          <w:b w:val="0"/>
          <w:bCs w:val="0"/>
          <w:color w:val="000000"/>
          <w:kern w:val="22"/>
          <w:szCs w:val="22"/>
          <w:lang w:eastAsia="en-CA"/>
        </w:rPr>
        <w:t>(</w:t>
      </w:r>
      <w:r w:rsidR="007F3C55" w:rsidRPr="009543E3">
        <w:rPr>
          <w:b w:val="0"/>
          <w:bCs w:val="0"/>
          <w:color w:val="000000"/>
          <w:kern w:val="22"/>
          <w:szCs w:val="22"/>
          <w:lang w:eastAsia="en-CA"/>
        </w:rPr>
        <w:t>T</w:t>
      </w:r>
      <w:r w:rsidRPr="009543E3">
        <w:rPr>
          <w:b w:val="0"/>
          <w:bCs w:val="0"/>
          <w:color w:val="000000"/>
          <w:kern w:val="22"/>
          <w:szCs w:val="22"/>
          <w:lang w:eastAsia="en-CA"/>
        </w:rPr>
        <w:t>housands of United States dollars)</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7B3F34" w:rsidRPr="009543E3" w14:paraId="532B5FAF" w14:textId="77777777" w:rsidTr="006914CE">
        <w:trPr>
          <w:cantSplit/>
          <w:tblHeader/>
          <w:jc w:val="center"/>
        </w:trPr>
        <w:tc>
          <w:tcPr>
            <w:tcW w:w="5193" w:type="dxa"/>
            <w:shd w:val="clear" w:color="auto" w:fill="auto"/>
            <w:vAlign w:val="center"/>
            <w:hideMark/>
          </w:tcPr>
          <w:p w14:paraId="1AE647F0" w14:textId="7918809A" w:rsidR="007B3F34" w:rsidRPr="009543E3" w:rsidRDefault="007B3F34" w:rsidP="006914CE">
            <w:pPr>
              <w:suppressLineNumbers/>
              <w:suppressAutoHyphens/>
              <w:jc w:val="center"/>
              <w:rPr>
                <w:color w:val="000000"/>
                <w:kern w:val="22"/>
                <w:szCs w:val="22"/>
                <w:lang w:eastAsia="en-CA"/>
              </w:rPr>
            </w:pPr>
            <w:r w:rsidRPr="009543E3">
              <w:rPr>
                <w:i/>
                <w:iCs/>
                <w:color w:val="000000"/>
                <w:kern w:val="22"/>
                <w:szCs w:val="22"/>
                <w:lang w:eastAsia="en-CA"/>
              </w:rPr>
              <w:t>Funding source</w:t>
            </w:r>
          </w:p>
        </w:tc>
        <w:tc>
          <w:tcPr>
            <w:tcW w:w="4180" w:type="dxa"/>
            <w:shd w:val="clear" w:color="auto" w:fill="auto"/>
            <w:vAlign w:val="center"/>
            <w:hideMark/>
          </w:tcPr>
          <w:p w14:paraId="0F628F97" w14:textId="7B2BA46F" w:rsidR="007B3F34" w:rsidRPr="009543E3" w:rsidRDefault="007B3F34" w:rsidP="006914CE">
            <w:pPr>
              <w:suppressLineNumbers/>
              <w:suppressAutoHyphens/>
              <w:jc w:val="center"/>
              <w:rPr>
                <w:i/>
                <w:iCs/>
                <w:color w:val="000000"/>
                <w:kern w:val="22"/>
                <w:szCs w:val="22"/>
                <w:lang w:eastAsia="en-CA"/>
              </w:rPr>
            </w:pPr>
            <w:r w:rsidRPr="009543E3">
              <w:rPr>
                <w:i/>
                <w:iCs/>
                <w:color w:val="000000"/>
                <w:kern w:val="22"/>
                <w:szCs w:val="22"/>
                <w:lang w:eastAsia="en-CA"/>
              </w:rPr>
              <w:t>Resources</w:t>
            </w:r>
          </w:p>
        </w:tc>
      </w:tr>
      <w:tr w:rsidR="00FC562D" w:rsidRPr="009543E3" w14:paraId="48783A56" w14:textId="77777777" w:rsidTr="006914CE">
        <w:trPr>
          <w:cantSplit/>
          <w:jc w:val="center"/>
        </w:trPr>
        <w:tc>
          <w:tcPr>
            <w:tcW w:w="5193" w:type="dxa"/>
            <w:shd w:val="clear" w:color="auto" w:fill="auto"/>
            <w:vAlign w:val="center"/>
            <w:hideMark/>
          </w:tcPr>
          <w:p w14:paraId="1D331A98"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Approved budget</w:t>
            </w:r>
          </w:p>
        </w:tc>
        <w:tc>
          <w:tcPr>
            <w:tcW w:w="4180" w:type="dxa"/>
            <w:shd w:val="clear" w:color="auto" w:fill="auto"/>
            <w:vAlign w:val="center"/>
            <w:hideMark/>
          </w:tcPr>
          <w:p w14:paraId="4C8FECB2" w14:textId="21350E3A"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38</w:t>
            </w:r>
            <w:r w:rsidR="00280B0D" w:rsidRPr="009543E3">
              <w:rPr>
                <w:color w:val="000000"/>
                <w:kern w:val="22"/>
                <w:szCs w:val="22"/>
                <w:lang w:eastAsia="en-CA"/>
              </w:rPr>
              <w:t xml:space="preserve"> </w:t>
            </w:r>
            <w:r w:rsidRPr="009543E3">
              <w:rPr>
                <w:color w:val="000000"/>
                <w:kern w:val="22"/>
                <w:szCs w:val="22"/>
                <w:lang w:eastAsia="en-CA"/>
              </w:rPr>
              <w:t>844.1</w:t>
            </w:r>
          </w:p>
        </w:tc>
      </w:tr>
      <w:tr w:rsidR="00FC562D" w:rsidRPr="009543E3" w14:paraId="29502A05" w14:textId="77777777" w:rsidTr="006914CE">
        <w:trPr>
          <w:cantSplit/>
          <w:jc w:val="center"/>
        </w:trPr>
        <w:tc>
          <w:tcPr>
            <w:tcW w:w="5193" w:type="dxa"/>
            <w:shd w:val="clear" w:color="auto" w:fill="auto"/>
            <w:vAlign w:val="center"/>
            <w:hideMark/>
          </w:tcPr>
          <w:p w14:paraId="4762CEA2"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Host country</w:t>
            </w:r>
          </w:p>
        </w:tc>
        <w:tc>
          <w:tcPr>
            <w:tcW w:w="4180" w:type="dxa"/>
            <w:shd w:val="clear" w:color="auto" w:fill="auto"/>
            <w:vAlign w:val="center"/>
            <w:hideMark/>
          </w:tcPr>
          <w:p w14:paraId="349DEB14" w14:textId="52355692"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-2</w:t>
            </w:r>
            <w:r w:rsidR="00280B0D" w:rsidRPr="009543E3">
              <w:rPr>
                <w:color w:val="000000"/>
                <w:kern w:val="22"/>
                <w:szCs w:val="22"/>
                <w:lang w:eastAsia="en-CA"/>
              </w:rPr>
              <w:t xml:space="preserve"> </w:t>
            </w:r>
            <w:r w:rsidRPr="009543E3">
              <w:rPr>
                <w:color w:val="000000"/>
                <w:kern w:val="22"/>
                <w:szCs w:val="22"/>
                <w:lang w:eastAsia="en-CA"/>
              </w:rPr>
              <w:t>652.8</w:t>
            </w:r>
          </w:p>
        </w:tc>
      </w:tr>
      <w:tr w:rsidR="00FC562D" w:rsidRPr="009543E3" w14:paraId="66C98601" w14:textId="77777777" w:rsidTr="006914CE">
        <w:trPr>
          <w:cantSplit/>
          <w:jc w:val="center"/>
        </w:trPr>
        <w:tc>
          <w:tcPr>
            <w:tcW w:w="5193" w:type="dxa"/>
            <w:shd w:val="clear" w:color="auto" w:fill="auto"/>
            <w:vAlign w:val="center"/>
            <w:hideMark/>
          </w:tcPr>
          <w:p w14:paraId="0368CDCC"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Savings from prior year</w:t>
            </w:r>
          </w:p>
        </w:tc>
        <w:tc>
          <w:tcPr>
            <w:tcW w:w="4180" w:type="dxa"/>
            <w:shd w:val="clear" w:color="auto" w:fill="auto"/>
            <w:vAlign w:val="center"/>
            <w:hideMark/>
          </w:tcPr>
          <w:p w14:paraId="66ABC5A0" w14:textId="3398CEFE"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-3</w:t>
            </w:r>
            <w:r w:rsidR="00280B0D" w:rsidRPr="009543E3">
              <w:rPr>
                <w:color w:val="000000"/>
                <w:kern w:val="22"/>
                <w:szCs w:val="22"/>
                <w:lang w:eastAsia="en-CA"/>
              </w:rPr>
              <w:t xml:space="preserve"> </w:t>
            </w:r>
            <w:r w:rsidRPr="009543E3">
              <w:rPr>
                <w:color w:val="000000"/>
                <w:kern w:val="22"/>
                <w:szCs w:val="22"/>
                <w:lang w:eastAsia="en-CA"/>
              </w:rPr>
              <w:t>206.6</w:t>
            </w:r>
          </w:p>
        </w:tc>
      </w:tr>
      <w:tr w:rsidR="00FC562D" w:rsidRPr="009543E3" w14:paraId="290855D9" w14:textId="77777777" w:rsidTr="006914CE">
        <w:trPr>
          <w:cantSplit/>
          <w:jc w:val="center"/>
        </w:trPr>
        <w:tc>
          <w:tcPr>
            <w:tcW w:w="5193" w:type="dxa"/>
            <w:shd w:val="clear" w:color="auto" w:fill="auto"/>
            <w:vAlign w:val="center"/>
            <w:hideMark/>
          </w:tcPr>
          <w:p w14:paraId="5C26D05E"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Additional Parties to the Convention</w:t>
            </w:r>
          </w:p>
        </w:tc>
        <w:tc>
          <w:tcPr>
            <w:tcW w:w="4180" w:type="dxa"/>
            <w:shd w:val="clear" w:color="auto" w:fill="auto"/>
            <w:vAlign w:val="center"/>
            <w:hideMark/>
          </w:tcPr>
          <w:p w14:paraId="58149797" w14:textId="0849A405"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90.2</w:t>
            </w:r>
          </w:p>
        </w:tc>
      </w:tr>
      <w:tr w:rsidR="00FC562D" w:rsidRPr="009543E3" w14:paraId="2698987C" w14:textId="77777777" w:rsidTr="006914CE">
        <w:trPr>
          <w:cantSplit/>
          <w:jc w:val="center"/>
        </w:trPr>
        <w:tc>
          <w:tcPr>
            <w:tcW w:w="5193" w:type="dxa"/>
            <w:shd w:val="clear" w:color="auto" w:fill="auto"/>
            <w:vAlign w:val="center"/>
            <w:hideMark/>
          </w:tcPr>
          <w:p w14:paraId="3FD21F14"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t>Total assessment</w:t>
            </w:r>
          </w:p>
        </w:tc>
        <w:tc>
          <w:tcPr>
            <w:tcW w:w="4180" w:type="dxa"/>
            <w:shd w:val="clear" w:color="auto" w:fill="auto"/>
            <w:vAlign w:val="center"/>
            <w:hideMark/>
          </w:tcPr>
          <w:p w14:paraId="7AFF1369" w14:textId="0C25FAB5" w:rsidR="00FC562D" w:rsidRPr="009543E3" w:rsidRDefault="00FC562D"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33</w:t>
            </w:r>
            <w:r w:rsidR="00280B0D" w:rsidRPr="009543E3">
              <w:rPr>
                <w:b/>
                <w:bCs/>
                <w:color w:val="000000"/>
                <w:kern w:val="22"/>
                <w:szCs w:val="22"/>
                <w:lang w:eastAsia="en-CA"/>
              </w:rPr>
              <w:t xml:space="preserve"> </w:t>
            </w:r>
            <w:r w:rsidRPr="009543E3">
              <w:rPr>
                <w:b/>
                <w:bCs/>
                <w:color w:val="000000"/>
                <w:kern w:val="22"/>
                <w:szCs w:val="22"/>
                <w:lang w:eastAsia="en-CA"/>
              </w:rPr>
              <w:t>074.9</w:t>
            </w:r>
          </w:p>
        </w:tc>
      </w:tr>
      <w:tr w:rsidR="00FC562D" w:rsidRPr="009543E3" w14:paraId="23745AB8" w14:textId="77777777" w:rsidTr="006914CE">
        <w:trPr>
          <w:cantSplit/>
          <w:jc w:val="center"/>
        </w:trPr>
        <w:tc>
          <w:tcPr>
            <w:tcW w:w="5193" w:type="dxa"/>
            <w:shd w:val="clear" w:color="auto" w:fill="auto"/>
            <w:vAlign w:val="center"/>
            <w:hideMark/>
          </w:tcPr>
          <w:p w14:paraId="471E91E8" w14:textId="280FAFA5"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 xml:space="preserve">Amount received as of </w:t>
            </w:r>
            <w:r w:rsidR="00AE779C" w:rsidRPr="009543E3">
              <w:rPr>
                <w:color w:val="000000"/>
                <w:kern w:val="22"/>
                <w:szCs w:val="22"/>
                <w:lang w:eastAsia="en-CA"/>
              </w:rPr>
              <w:t xml:space="preserve">31 August </w:t>
            </w:r>
            <w:r w:rsidRPr="009543E3">
              <w:rPr>
                <w:color w:val="000000"/>
                <w:kern w:val="22"/>
                <w:szCs w:val="22"/>
                <w:lang w:eastAsia="en-CA"/>
              </w:rPr>
              <w:t>2020</w:t>
            </w:r>
          </w:p>
        </w:tc>
        <w:tc>
          <w:tcPr>
            <w:tcW w:w="4180" w:type="dxa"/>
            <w:shd w:val="clear" w:color="auto" w:fill="auto"/>
            <w:vAlign w:val="center"/>
            <w:hideMark/>
          </w:tcPr>
          <w:p w14:paraId="7AD04858" w14:textId="7CD22820" w:rsidR="00FC562D" w:rsidRPr="009543E3" w:rsidRDefault="0076581C" w:rsidP="006914CE">
            <w:pPr>
              <w:suppressLineNumbers/>
              <w:suppressAutoHyphens/>
              <w:ind w:right="1619"/>
              <w:jc w:val="right"/>
              <w:rPr>
                <w:color w:val="000000"/>
                <w:kern w:val="22"/>
                <w:szCs w:val="22"/>
                <w:lang w:eastAsia="en-CA"/>
              </w:rPr>
            </w:pPr>
            <w:r w:rsidRPr="009543E3">
              <w:rPr>
                <w:color w:val="000000"/>
                <w:kern w:val="22"/>
                <w:szCs w:val="22"/>
                <w:lang w:eastAsia="en-CA"/>
              </w:rPr>
              <w:t>23</w:t>
            </w:r>
            <w:r w:rsidR="00280B0D" w:rsidRPr="009543E3">
              <w:rPr>
                <w:color w:val="000000"/>
                <w:kern w:val="22"/>
                <w:szCs w:val="22"/>
                <w:lang w:eastAsia="en-CA"/>
              </w:rPr>
              <w:t xml:space="preserve"> </w:t>
            </w:r>
            <w:r w:rsidRPr="009543E3">
              <w:rPr>
                <w:color w:val="000000"/>
                <w:kern w:val="22"/>
                <w:szCs w:val="22"/>
                <w:lang w:eastAsia="en-CA"/>
              </w:rPr>
              <w:t>654.3</w:t>
            </w:r>
          </w:p>
        </w:tc>
      </w:tr>
      <w:tr w:rsidR="00FC562D" w:rsidRPr="009543E3" w14:paraId="0702653F" w14:textId="77777777" w:rsidTr="006914CE">
        <w:trPr>
          <w:cantSplit/>
          <w:jc w:val="center"/>
        </w:trPr>
        <w:tc>
          <w:tcPr>
            <w:tcW w:w="5193" w:type="dxa"/>
            <w:shd w:val="clear" w:color="auto" w:fill="auto"/>
            <w:vAlign w:val="center"/>
            <w:hideMark/>
          </w:tcPr>
          <w:p w14:paraId="41C91D56"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lastRenderedPageBreak/>
              <w:t>Unpaid balance</w:t>
            </w:r>
          </w:p>
        </w:tc>
        <w:tc>
          <w:tcPr>
            <w:tcW w:w="4180" w:type="dxa"/>
            <w:shd w:val="clear" w:color="auto" w:fill="auto"/>
            <w:vAlign w:val="center"/>
            <w:hideMark/>
          </w:tcPr>
          <w:p w14:paraId="5B773393" w14:textId="255A5601" w:rsidR="00FC562D" w:rsidRPr="009543E3" w:rsidRDefault="0076581C"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9</w:t>
            </w:r>
            <w:r w:rsidR="00280B0D" w:rsidRPr="009543E3">
              <w:rPr>
                <w:b/>
                <w:bCs/>
                <w:color w:val="000000"/>
                <w:kern w:val="22"/>
                <w:szCs w:val="22"/>
                <w:lang w:eastAsia="en-CA"/>
              </w:rPr>
              <w:t xml:space="preserve"> </w:t>
            </w:r>
            <w:r w:rsidRPr="009543E3">
              <w:rPr>
                <w:b/>
                <w:bCs/>
                <w:color w:val="000000"/>
                <w:kern w:val="22"/>
                <w:szCs w:val="22"/>
                <w:lang w:eastAsia="en-CA"/>
              </w:rPr>
              <w:t>420.6</w:t>
            </w:r>
          </w:p>
        </w:tc>
      </w:tr>
      <w:tr w:rsidR="00FC562D" w:rsidRPr="009543E3" w14:paraId="29D72CB4" w14:textId="77777777" w:rsidTr="006914CE">
        <w:trPr>
          <w:cantSplit/>
          <w:jc w:val="center"/>
        </w:trPr>
        <w:tc>
          <w:tcPr>
            <w:tcW w:w="5193" w:type="dxa"/>
            <w:shd w:val="clear" w:color="auto" w:fill="auto"/>
            <w:vAlign w:val="center"/>
            <w:hideMark/>
          </w:tcPr>
          <w:p w14:paraId="01F2E95F"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t>Collection rate</w:t>
            </w:r>
          </w:p>
        </w:tc>
        <w:tc>
          <w:tcPr>
            <w:tcW w:w="4180" w:type="dxa"/>
            <w:shd w:val="clear" w:color="auto" w:fill="auto"/>
            <w:vAlign w:val="center"/>
            <w:hideMark/>
          </w:tcPr>
          <w:p w14:paraId="5EEF9FED" w14:textId="44C0D9B3" w:rsidR="00FC562D" w:rsidRPr="009543E3" w:rsidRDefault="0076581C"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71.52</w:t>
            </w:r>
            <w:r w:rsidR="00FC562D" w:rsidRPr="009543E3">
              <w:rPr>
                <w:b/>
                <w:bCs/>
                <w:color w:val="000000"/>
                <w:kern w:val="22"/>
                <w:szCs w:val="22"/>
                <w:lang w:eastAsia="en-CA"/>
              </w:rPr>
              <w:t>%</w:t>
            </w:r>
          </w:p>
        </w:tc>
      </w:tr>
    </w:tbl>
    <w:p w14:paraId="7BC2E435" w14:textId="77777777" w:rsidR="00FA149F" w:rsidRPr="009543E3" w:rsidRDefault="00FA149F" w:rsidP="006914CE">
      <w:pPr>
        <w:pStyle w:val="ListParagraph"/>
        <w:suppressLineNumbers/>
        <w:suppressAutoHyphens/>
        <w:ind w:left="0"/>
        <w:contextualSpacing w:val="0"/>
        <w:rPr>
          <w:color w:val="000000"/>
          <w:kern w:val="22"/>
          <w:szCs w:val="22"/>
          <w:lang w:eastAsia="en-CA"/>
        </w:rPr>
      </w:pPr>
    </w:p>
    <w:p w14:paraId="5E385302" w14:textId="6BCBBC75" w:rsidR="004077CB" w:rsidRPr="009543E3"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Budget performance</w:t>
      </w:r>
    </w:p>
    <w:p w14:paraId="170E8D2D" w14:textId="01F8B196" w:rsidR="00AC233B" w:rsidRPr="009543E3" w:rsidRDefault="00AC233B" w:rsidP="006914CE">
      <w:pPr>
        <w:pStyle w:val="ListParagraph"/>
        <w:numPr>
          <w:ilvl w:val="0"/>
          <w:numId w:val="19"/>
        </w:numPr>
        <w:suppressLineNumbers/>
        <w:suppressAutoHyphens/>
        <w:spacing w:before="120" w:after="120"/>
        <w:ind w:left="0" w:firstLine="0"/>
        <w:contextualSpacing w:val="0"/>
        <w:rPr>
          <w:kern w:val="22"/>
        </w:rPr>
      </w:pPr>
      <w:r w:rsidRPr="009543E3">
        <w:rPr>
          <w:kern w:val="22"/>
        </w:rPr>
        <w:t xml:space="preserve">As shown in </w:t>
      </w:r>
      <w:r w:rsidR="007B2A27" w:rsidRPr="009543E3">
        <w:rPr>
          <w:kern w:val="22"/>
        </w:rPr>
        <w:t>t</w:t>
      </w:r>
      <w:r w:rsidRPr="009543E3">
        <w:rPr>
          <w:kern w:val="22"/>
        </w:rPr>
        <w:t>able 2 below</w:t>
      </w:r>
      <w:r w:rsidR="000F72CA" w:rsidRPr="009543E3">
        <w:rPr>
          <w:kern w:val="22"/>
        </w:rPr>
        <w:t xml:space="preserve"> (column 3)</w:t>
      </w:r>
      <w:r w:rsidRPr="009543E3">
        <w:rPr>
          <w:kern w:val="22"/>
        </w:rPr>
        <w:t>, a total amount of US$</w:t>
      </w:r>
      <w:r w:rsidR="00AF206C" w:rsidRPr="009543E3">
        <w:rPr>
          <w:kern w:val="22"/>
        </w:rPr>
        <w:t> </w:t>
      </w:r>
      <w:r w:rsidR="005A4571" w:rsidRPr="009543E3">
        <w:rPr>
          <w:kern w:val="22"/>
        </w:rPr>
        <w:t>31,005,390</w:t>
      </w:r>
      <w:r w:rsidRPr="009543E3">
        <w:rPr>
          <w:kern w:val="22"/>
        </w:rPr>
        <w:t xml:space="preserve"> is projected to be spent at the end of the </w:t>
      </w:r>
      <w:r w:rsidR="00AA303B" w:rsidRPr="009543E3">
        <w:rPr>
          <w:kern w:val="22"/>
        </w:rPr>
        <w:t xml:space="preserve">biennium </w:t>
      </w:r>
      <w:r w:rsidRPr="009543E3">
        <w:rPr>
          <w:kern w:val="22"/>
        </w:rPr>
        <w:t>2019-2020</w:t>
      </w:r>
      <w:r w:rsidR="00746D78" w:rsidRPr="009543E3">
        <w:rPr>
          <w:kern w:val="22"/>
        </w:rPr>
        <w:t>,</w:t>
      </w:r>
      <w:r w:rsidRPr="009543E3">
        <w:rPr>
          <w:kern w:val="22"/>
        </w:rPr>
        <w:t xml:space="preserve"> on 31 December 2020</w:t>
      </w:r>
      <w:r w:rsidR="00A51942" w:rsidRPr="009543E3">
        <w:rPr>
          <w:kern w:val="22"/>
        </w:rPr>
        <w:t>.</w:t>
      </w:r>
      <w:r w:rsidRPr="009543E3">
        <w:rPr>
          <w:kern w:val="22"/>
        </w:rPr>
        <w:t xml:space="preserve"> The projected expenditure </w:t>
      </w:r>
      <w:r w:rsidR="006B6426" w:rsidRPr="009543E3">
        <w:rPr>
          <w:kern w:val="22"/>
        </w:rPr>
        <w:t xml:space="preserve">for the period 2019-2020 </w:t>
      </w:r>
      <w:r w:rsidRPr="009543E3">
        <w:rPr>
          <w:kern w:val="22"/>
        </w:rPr>
        <w:t xml:space="preserve">does not include the costs for </w:t>
      </w:r>
      <w:r w:rsidR="00706A7D" w:rsidRPr="009543E3">
        <w:rPr>
          <w:kern w:val="22"/>
        </w:rPr>
        <w:t>the fifteenth meeting of the Conference of the Parties</w:t>
      </w:r>
      <w:r w:rsidRPr="009543E3">
        <w:rPr>
          <w:kern w:val="22"/>
        </w:rPr>
        <w:t xml:space="preserve"> </w:t>
      </w:r>
      <w:r w:rsidR="000D02E4" w:rsidRPr="009543E3">
        <w:rPr>
          <w:kern w:val="22"/>
        </w:rPr>
        <w:t>the ninth meeting of the Parties to the Cartagena Protocol or the third meeting of the Parties to the Nagoya Protocol</w:t>
      </w:r>
      <w:r w:rsidR="007244A4" w:rsidRPr="009543E3">
        <w:rPr>
          <w:kern w:val="22"/>
        </w:rPr>
        <w:t xml:space="preserve">, </w:t>
      </w:r>
      <w:r w:rsidR="006C5550" w:rsidRPr="009543E3">
        <w:rPr>
          <w:kern w:val="22"/>
        </w:rPr>
        <w:t xml:space="preserve">or the full costs of </w:t>
      </w:r>
      <w:r w:rsidR="00495413" w:rsidRPr="009543E3">
        <w:rPr>
          <w:kern w:val="22"/>
        </w:rPr>
        <w:t xml:space="preserve">the twenty-fourth meeting of the </w:t>
      </w:r>
      <w:r w:rsidR="00495413" w:rsidRPr="009543E3">
        <w:rPr>
          <w:rFonts w:eastAsiaTheme="minorEastAsia"/>
          <w:kern w:val="18"/>
          <w:szCs w:val="18"/>
        </w:rPr>
        <w:t>Subsidiary Body on Scientific, Technical and Technological Advice</w:t>
      </w:r>
      <w:r w:rsidR="007244A4" w:rsidRPr="009543E3">
        <w:rPr>
          <w:kern w:val="22"/>
        </w:rPr>
        <w:t xml:space="preserve">, </w:t>
      </w:r>
      <w:r w:rsidR="00495413" w:rsidRPr="009543E3">
        <w:rPr>
          <w:kern w:val="22"/>
        </w:rPr>
        <w:t xml:space="preserve">the </w:t>
      </w:r>
      <w:r w:rsidR="00495413" w:rsidRPr="009543E3">
        <w:rPr>
          <w:rFonts w:eastAsiaTheme="minorEastAsia"/>
          <w:kern w:val="18"/>
          <w:szCs w:val="18"/>
        </w:rPr>
        <w:t>third meeting of the Subsidiary Body on Implementation</w:t>
      </w:r>
      <w:r w:rsidRPr="009543E3">
        <w:rPr>
          <w:kern w:val="22"/>
        </w:rPr>
        <w:t xml:space="preserve"> and the third meeting of </w:t>
      </w:r>
      <w:r w:rsidR="00D32529" w:rsidRPr="009543E3">
        <w:rPr>
          <w:rFonts w:eastAsiaTheme="minorEastAsia"/>
          <w:kern w:val="18"/>
          <w:szCs w:val="18"/>
        </w:rPr>
        <w:t>Working Group on the Post-2020 Global Biodiversity Framework</w:t>
      </w:r>
      <w:r w:rsidR="004C0190" w:rsidRPr="009543E3">
        <w:rPr>
          <w:kern w:val="22"/>
        </w:rPr>
        <w:t>,</w:t>
      </w:r>
      <w:r w:rsidRPr="009543E3">
        <w:rPr>
          <w:kern w:val="22"/>
        </w:rPr>
        <w:t xml:space="preserve"> which have been postponed to 2021 due to the constraints arising from the COVID-19 pandemic.</w:t>
      </w:r>
    </w:p>
    <w:p w14:paraId="257B53BD" w14:textId="5BB457C3" w:rsidR="000641D7" w:rsidRPr="009543E3" w:rsidRDefault="00E76479" w:rsidP="006914CE">
      <w:pPr>
        <w:pStyle w:val="ListParagraph"/>
        <w:numPr>
          <w:ilvl w:val="0"/>
          <w:numId w:val="19"/>
        </w:numPr>
        <w:suppressLineNumbers/>
        <w:suppressAutoHyphens/>
        <w:spacing w:before="120" w:after="120"/>
        <w:ind w:left="0" w:firstLine="0"/>
        <w:contextualSpacing w:val="0"/>
        <w:rPr>
          <w:kern w:val="22"/>
        </w:rPr>
      </w:pPr>
      <w:r w:rsidRPr="009543E3">
        <w:rPr>
          <w:kern w:val="22"/>
        </w:rPr>
        <w:t xml:space="preserve">Table </w:t>
      </w:r>
      <w:r w:rsidR="00655E4E" w:rsidRPr="009543E3">
        <w:rPr>
          <w:kern w:val="22"/>
        </w:rPr>
        <w:t>2</w:t>
      </w:r>
      <w:r w:rsidRPr="009543E3">
        <w:rPr>
          <w:kern w:val="22"/>
        </w:rPr>
        <w:t xml:space="preserve"> </w:t>
      </w:r>
      <w:r w:rsidR="00AC233B" w:rsidRPr="009543E3">
        <w:rPr>
          <w:kern w:val="22"/>
        </w:rPr>
        <w:t xml:space="preserve">also </w:t>
      </w:r>
      <w:r w:rsidR="00A51942" w:rsidRPr="009543E3">
        <w:rPr>
          <w:kern w:val="22"/>
        </w:rPr>
        <w:t xml:space="preserve">reflects </w:t>
      </w:r>
      <w:r w:rsidR="00AC233B" w:rsidRPr="009543E3">
        <w:rPr>
          <w:kern w:val="22"/>
        </w:rPr>
        <w:t xml:space="preserve">the projected expenditure in 2021 related to the </w:t>
      </w:r>
      <w:r w:rsidR="007244A4" w:rsidRPr="009543E3">
        <w:rPr>
          <w:kern w:val="22"/>
        </w:rPr>
        <w:t xml:space="preserve">rescheduled meetings </w:t>
      </w:r>
      <w:r w:rsidR="00CA3782" w:rsidRPr="009543E3">
        <w:rPr>
          <w:kern w:val="22"/>
        </w:rPr>
        <w:t xml:space="preserve">mentioned </w:t>
      </w:r>
      <w:r w:rsidR="00AC233B" w:rsidRPr="009543E3">
        <w:rPr>
          <w:kern w:val="22"/>
        </w:rPr>
        <w:t>above. A total estimated expenditure of US$</w:t>
      </w:r>
      <w:r w:rsidR="00614DB1" w:rsidRPr="009543E3">
        <w:rPr>
          <w:kern w:val="22"/>
        </w:rPr>
        <w:t> </w:t>
      </w:r>
      <w:r w:rsidR="00985DB2" w:rsidRPr="009543E3">
        <w:rPr>
          <w:kern w:val="22"/>
        </w:rPr>
        <w:t>4,011,800</w:t>
      </w:r>
      <w:r w:rsidR="005A4571" w:rsidRPr="009543E3">
        <w:rPr>
          <w:kern w:val="22"/>
        </w:rPr>
        <w:t xml:space="preserve"> </w:t>
      </w:r>
      <w:r w:rsidR="00AC233B" w:rsidRPr="009543E3">
        <w:rPr>
          <w:kern w:val="22"/>
        </w:rPr>
        <w:t xml:space="preserve">will be spent at the end of the 2019-2020 budget </w:t>
      </w:r>
      <w:r w:rsidR="006B6426" w:rsidRPr="009543E3">
        <w:rPr>
          <w:kern w:val="22"/>
        </w:rPr>
        <w:t>period</w:t>
      </w:r>
      <w:r w:rsidR="006E6458" w:rsidRPr="009543E3">
        <w:rPr>
          <w:kern w:val="22"/>
        </w:rPr>
        <w:t>,</w:t>
      </w:r>
      <w:r w:rsidR="006B6426" w:rsidRPr="009543E3">
        <w:rPr>
          <w:kern w:val="22"/>
        </w:rPr>
        <w:t xml:space="preserve"> which would end (upon the approval of </w:t>
      </w:r>
      <w:r w:rsidR="00961D73" w:rsidRPr="009543E3">
        <w:rPr>
          <w:kern w:val="22"/>
        </w:rPr>
        <w:t>the Conference of the Parties and the</w:t>
      </w:r>
      <w:r w:rsidR="00886436" w:rsidRPr="009543E3">
        <w:rPr>
          <w:kern w:val="22"/>
        </w:rPr>
        <w:t xml:space="preserve"> associated meetings of the Parties to the Protocols at this e</w:t>
      </w:r>
      <w:r w:rsidR="006B6426" w:rsidRPr="009543E3">
        <w:rPr>
          <w:kern w:val="22"/>
        </w:rPr>
        <w:t xml:space="preserve">xtraordinary </w:t>
      </w:r>
      <w:r w:rsidR="00886436" w:rsidRPr="009543E3">
        <w:rPr>
          <w:kern w:val="22"/>
        </w:rPr>
        <w:t>meeting</w:t>
      </w:r>
      <w:r w:rsidR="006B6426" w:rsidRPr="009543E3">
        <w:rPr>
          <w:kern w:val="22"/>
        </w:rPr>
        <w:t>) on 31 December 2021</w:t>
      </w:r>
      <w:r w:rsidR="00CA3782" w:rsidRPr="009543E3">
        <w:rPr>
          <w:kern w:val="22"/>
        </w:rPr>
        <w:t>, thus leaving a</w:t>
      </w:r>
      <w:r w:rsidR="0030349E" w:rsidRPr="009543E3">
        <w:rPr>
          <w:kern w:val="22"/>
        </w:rPr>
        <w:t xml:space="preserve"> final </w:t>
      </w:r>
      <w:r w:rsidR="00CA3782" w:rsidRPr="009543E3">
        <w:rPr>
          <w:kern w:val="22"/>
        </w:rPr>
        <w:t xml:space="preserve">unspent amount of US$ </w:t>
      </w:r>
      <w:r w:rsidR="00985DB2" w:rsidRPr="009543E3">
        <w:rPr>
          <w:kern w:val="22"/>
        </w:rPr>
        <w:t>3,639,600</w:t>
      </w:r>
      <w:r w:rsidR="006B6426" w:rsidRPr="009543E3">
        <w:rPr>
          <w:kern w:val="22"/>
        </w:rPr>
        <w:t>.</w:t>
      </w:r>
    </w:p>
    <w:p w14:paraId="5AB7AE04" w14:textId="7F107866" w:rsidR="007871E1" w:rsidRPr="009543E3" w:rsidRDefault="00A51942" w:rsidP="006914CE">
      <w:pPr>
        <w:pStyle w:val="ListParagraph"/>
        <w:numPr>
          <w:ilvl w:val="0"/>
          <w:numId w:val="19"/>
        </w:numPr>
        <w:suppressLineNumbers/>
        <w:suppressAutoHyphens/>
        <w:spacing w:before="120"/>
        <w:ind w:left="0" w:firstLine="0"/>
        <w:contextualSpacing w:val="0"/>
        <w:rPr>
          <w:kern w:val="22"/>
          <w:szCs w:val="22"/>
        </w:rPr>
      </w:pPr>
      <w:r w:rsidRPr="009543E3">
        <w:rPr>
          <w:kern w:val="22"/>
          <w:szCs w:val="22"/>
        </w:rPr>
        <w:t xml:space="preserve">While the meetings of </w:t>
      </w:r>
      <w:r w:rsidR="00787621" w:rsidRPr="009543E3">
        <w:rPr>
          <w:kern w:val="22"/>
          <w:szCs w:val="22"/>
        </w:rPr>
        <w:t>the two subsidiary bodies</w:t>
      </w:r>
      <w:r w:rsidRPr="009543E3">
        <w:rPr>
          <w:kern w:val="22"/>
          <w:szCs w:val="22"/>
        </w:rPr>
        <w:t xml:space="preserve"> </w:t>
      </w:r>
      <w:r w:rsidR="007244A4" w:rsidRPr="009543E3">
        <w:rPr>
          <w:kern w:val="22"/>
          <w:szCs w:val="22"/>
        </w:rPr>
        <w:t>are</w:t>
      </w:r>
      <w:r w:rsidRPr="009543E3">
        <w:rPr>
          <w:kern w:val="22"/>
          <w:szCs w:val="22"/>
        </w:rPr>
        <w:t xml:space="preserve"> postponed, </w:t>
      </w:r>
      <w:r w:rsidR="001E1195" w:rsidRPr="009543E3">
        <w:rPr>
          <w:kern w:val="22"/>
          <w:szCs w:val="22"/>
        </w:rPr>
        <w:t xml:space="preserve">approximately </w:t>
      </w:r>
      <w:r w:rsidR="00CA3782" w:rsidRPr="009543E3">
        <w:rPr>
          <w:kern w:val="22"/>
          <w:szCs w:val="22"/>
        </w:rPr>
        <w:t>US$</w:t>
      </w:r>
      <w:r w:rsidR="00614DB1" w:rsidRPr="009543E3">
        <w:rPr>
          <w:kern w:val="22"/>
          <w:szCs w:val="22"/>
        </w:rPr>
        <w:t> </w:t>
      </w:r>
      <w:r w:rsidR="00CA3782" w:rsidRPr="009543E3">
        <w:rPr>
          <w:kern w:val="22"/>
          <w:szCs w:val="22"/>
        </w:rPr>
        <w:t>278,500</w:t>
      </w:r>
      <w:r w:rsidRPr="009543E3">
        <w:rPr>
          <w:kern w:val="22"/>
          <w:szCs w:val="22"/>
        </w:rPr>
        <w:t xml:space="preserve"> will</w:t>
      </w:r>
      <w:r w:rsidR="00E4160C" w:rsidRPr="009543E3">
        <w:rPr>
          <w:kern w:val="22"/>
          <w:szCs w:val="22"/>
        </w:rPr>
        <w:t>,</w:t>
      </w:r>
      <w:r w:rsidRPr="009543E3">
        <w:rPr>
          <w:kern w:val="22"/>
          <w:szCs w:val="22"/>
        </w:rPr>
        <w:t xml:space="preserve"> </w:t>
      </w:r>
      <w:r w:rsidR="00CA3782" w:rsidRPr="009543E3">
        <w:rPr>
          <w:kern w:val="22"/>
          <w:szCs w:val="22"/>
        </w:rPr>
        <w:t>however</w:t>
      </w:r>
      <w:r w:rsidR="00E4160C" w:rsidRPr="009543E3">
        <w:rPr>
          <w:kern w:val="22"/>
          <w:szCs w:val="22"/>
        </w:rPr>
        <w:t>,</w:t>
      </w:r>
      <w:r w:rsidR="00CA3782" w:rsidRPr="009543E3">
        <w:rPr>
          <w:kern w:val="22"/>
          <w:szCs w:val="22"/>
        </w:rPr>
        <w:t xml:space="preserve"> </w:t>
      </w:r>
      <w:r w:rsidRPr="009543E3">
        <w:rPr>
          <w:kern w:val="22"/>
          <w:szCs w:val="22"/>
        </w:rPr>
        <w:t xml:space="preserve">be </w:t>
      </w:r>
      <w:r w:rsidR="001E1195" w:rsidRPr="009543E3">
        <w:rPr>
          <w:kern w:val="22"/>
          <w:szCs w:val="22"/>
        </w:rPr>
        <w:t xml:space="preserve">spent </w:t>
      </w:r>
      <w:r w:rsidRPr="009543E3">
        <w:rPr>
          <w:kern w:val="22"/>
          <w:szCs w:val="22"/>
        </w:rPr>
        <w:t>in 2020</w:t>
      </w:r>
      <w:r w:rsidR="00CA3782" w:rsidRPr="009543E3">
        <w:rPr>
          <w:kern w:val="22"/>
          <w:szCs w:val="22"/>
        </w:rPr>
        <w:t xml:space="preserve"> for virtual </w:t>
      </w:r>
      <w:r w:rsidR="003E44F4" w:rsidRPr="009543E3">
        <w:rPr>
          <w:kern w:val="22"/>
          <w:szCs w:val="22"/>
        </w:rPr>
        <w:t xml:space="preserve">information, </w:t>
      </w:r>
      <w:r w:rsidR="00CA3782" w:rsidRPr="009543E3">
        <w:rPr>
          <w:kern w:val="22"/>
          <w:szCs w:val="22"/>
        </w:rPr>
        <w:t>preparatory, regional groups and opening meetings</w:t>
      </w:r>
      <w:r w:rsidR="003E44F4" w:rsidRPr="009543E3">
        <w:rPr>
          <w:kern w:val="22"/>
          <w:szCs w:val="22"/>
        </w:rPr>
        <w:t>.</w:t>
      </w:r>
      <w:r w:rsidRPr="009543E3">
        <w:rPr>
          <w:kern w:val="22"/>
          <w:szCs w:val="22"/>
        </w:rPr>
        <w:t xml:space="preserve"> </w:t>
      </w:r>
      <w:r w:rsidR="003E44F4" w:rsidRPr="009543E3">
        <w:rPr>
          <w:kern w:val="22"/>
          <w:szCs w:val="22"/>
        </w:rPr>
        <w:t xml:space="preserve">Hence, </w:t>
      </w:r>
      <w:r w:rsidRPr="009543E3">
        <w:rPr>
          <w:kern w:val="22"/>
          <w:szCs w:val="22"/>
        </w:rPr>
        <w:t>for the present purposes</w:t>
      </w:r>
      <w:r w:rsidR="007A6144" w:rsidRPr="009543E3">
        <w:rPr>
          <w:kern w:val="22"/>
          <w:szCs w:val="22"/>
        </w:rPr>
        <w:t>,</w:t>
      </w:r>
      <w:r w:rsidRPr="009543E3">
        <w:rPr>
          <w:kern w:val="22"/>
          <w:szCs w:val="22"/>
        </w:rPr>
        <w:t xml:space="preserve"> these costs are included under the projected expenditure for 2020.</w:t>
      </w:r>
      <w:r w:rsidR="003E44F4" w:rsidRPr="009543E3">
        <w:rPr>
          <w:kern w:val="22"/>
          <w:szCs w:val="22"/>
        </w:rPr>
        <w:t xml:space="preserve"> </w:t>
      </w:r>
      <w:r w:rsidR="00CA3782" w:rsidRPr="009543E3">
        <w:rPr>
          <w:kern w:val="22"/>
          <w:szCs w:val="22"/>
        </w:rPr>
        <w:t xml:space="preserve">Therefore, </w:t>
      </w:r>
      <w:r w:rsidR="00354C4A" w:rsidRPr="009543E3">
        <w:rPr>
          <w:kern w:val="22"/>
          <w:szCs w:val="22"/>
        </w:rPr>
        <w:t>t</w:t>
      </w:r>
      <w:r w:rsidR="00552148" w:rsidRPr="009543E3">
        <w:rPr>
          <w:kern w:val="22"/>
          <w:szCs w:val="22"/>
        </w:rPr>
        <w:t>h</w:t>
      </w:r>
      <w:r w:rsidR="005A7B5C" w:rsidRPr="009543E3">
        <w:rPr>
          <w:kern w:val="22"/>
          <w:szCs w:val="22"/>
        </w:rPr>
        <w:t>e budget provision for meetings of US$</w:t>
      </w:r>
      <w:r w:rsidR="00614DB1" w:rsidRPr="009543E3">
        <w:rPr>
          <w:kern w:val="22"/>
          <w:szCs w:val="22"/>
        </w:rPr>
        <w:t> </w:t>
      </w:r>
      <w:r w:rsidR="005A7B5C" w:rsidRPr="009543E3">
        <w:rPr>
          <w:kern w:val="22"/>
          <w:szCs w:val="22"/>
        </w:rPr>
        <w:t xml:space="preserve">3,688,000 as approved by </w:t>
      </w:r>
      <w:r w:rsidR="00AC3E8F" w:rsidRPr="009543E3">
        <w:rPr>
          <w:kern w:val="22"/>
          <w:szCs w:val="22"/>
        </w:rPr>
        <w:t>the Conference of the Parties at its fourteenth meeting</w:t>
      </w:r>
      <w:r w:rsidR="0030349E" w:rsidRPr="009543E3">
        <w:rPr>
          <w:kern w:val="22"/>
          <w:szCs w:val="22"/>
        </w:rPr>
        <w:t>, if extended to 2021,</w:t>
      </w:r>
      <w:r w:rsidR="005A7B5C" w:rsidRPr="009543E3">
        <w:rPr>
          <w:kern w:val="22"/>
          <w:szCs w:val="22"/>
        </w:rPr>
        <w:t xml:space="preserve"> is expected to be overspent by</w:t>
      </w:r>
      <w:r w:rsidR="00222FCD" w:rsidRPr="009543E3">
        <w:rPr>
          <w:kern w:val="22"/>
          <w:szCs w:val="22"/>
        </w:rPr>
        <w:t xml:space="preserve"> </w:t>
      </w:r>
      <w:r w:rsidR="0030349E" w:rsidRPr="009543E3">
        <w:rPr>
          <w:kern w:val="22"/>
          <w:szCs w:val="22"/>
        </w:rPr>
        <w:t xml:space="preserve">the end of 2021 </w:t>
      </w:r>
      <w:r w:rsidR="002B3874" w:rsidRPr="009543E3">
        <w:rPr>
          <w:kern w:val="22"/>
          <w:szCs w:val="22"/>
        </w:rPr>
        <w:t xml:space="preserve">by </w:t>
      </w:r>
      <w:r w:rsidR="00222FCD" w:rsidRPr="009543E3">
        <w:rPr>
          <w:kern w:val="22"/>
          <w:szCs w:val="22"/>
        </w:rPr>
        <w:t>US$</w:t>
      </w:r>
      <w:r w:rsidR="00614DB1" w:rsidRPr="009543E3">
        <w:rPr>
          <w:kern w:val="22"/>
          <w:szCs w:val="22"/>
        </w:rPr>
        <w:t> </w:t>
      </w:r>
      <w:r w:rsidR="0055634E" w:rsidRPr="009543E3">
        <w:rPr>
          <w:kern w:val="22"/>
          <w:szCs w:val="22"/>
        </w:rPr>
        <w:t>278,</w:t>
      </w:r>
      <w:r w:rsidR="00CA3782" w:rsidRPr="009543E3">
        <w:rPr>
          <w:kern w:val="22"/>
          <w:szCs w:val="22"/>
        </w:rPr>
        <w:t>5</w:t>
      </w:r>
      <w:r w:rsidR="0055634E" w:rsidRPr="009543E3">
        <w:rPr>
          <w:kern w:val="22"/>
          <w:szCs w:val="22"/>
        </w:rPr>
        <w:t>00</w:t>
      </w:r>
      <w:r w:rsidR="00222FCD" w:rsidRPr="009543E3">
        <w:rPr>
          <w:kern w:val="22"/>
          <w:szCs w:val="22"/>
        </w:rPr>
        <w:t xml:space="preserve"> </w:t>
      </w:r>
      <w:r w:rsidR="00CA3782" w:rsidRPr="009543E3">
        <w:rPr>
          <w:kern w:val="22"/>
          <w:szCs w:val="22"/>
        </w:rPr>
        <w:t>since these</w:t>
      </w:r>
      <w:r w:rsidR="00222FCD" w:rsidRPr="009543E3">
        <w:rPr>
          <w:kern w:val="22"/>
          <w:szCs w:val="22"/>
        </w:rPr>
        <w:t xml:space="preserve"> costs were not budgeted for in the</w:t>
      </w:r>
      <w:r w:rsidR="005A7B5C" w:rsidRPr="009543E3">
        <w:rPr>
          <w:kern w:val="22"/>
          <w:szCs w:val="22"/>
        </w:rPr>
        <w:t xml:space="preserve"> </w:t>
      </w:r>
      <w:r w:rsidR="00222FCD" w:rsidRPr="009543E3">
        <w:rPr>
          <w:kern w:val="22"/>
          <w:szCs w:val="22"/>
        </w:rPr>
        <w:t>2019-2020 budget</w:t>
      </w:r>
      <w:r w:rsidR="005A7B5C" w:rsidRPr="009543E3">
        <w:rPr>
          <w:kern w:val="22"/>
          <w:szCs w:val="22"/>
        </w:rPr>
        <w:t xml:space="preserve"> </w:t>
      </w:r>
      <w:r w:rsidR="00222FCD" w:rsidRPr="009543E3">
        <w:rPr>
          <w:kern w:val="22"/>
          <w:szCs w:val="22"/>
        </w:rPr>
        <w:t xml:space="preserve">approved </w:t>
      </w:r>
      <w:r w:rsidR="007244A4" w:rsidRPr="009543E3">
        <w:rPr>
          <w:kern w:val="22"/>
          <w:szCs w:val="22"/>
        </w:rPr>
        <w:t xml:space="preserve">by </w:t>
      </w:r>
      <w:r w:rsidR="00222FCD" w:rsidRPr="009543E3">
        <w:rPr>
          <w:kern w:val="22"/>
          <w:szCs w:val="22"/>
        </w:rPr>
        <w:t>the Conference of the Parties at its fourteenth meeting.</w:t>
      </w:r>
      <w:r w:rsidR="00E66273" w:rsidRPr="009543E3">
        <w:rPr>
          <w:kern w:val="22"/>
          <w:szCs w:val="22"/>
        </w:rPr>
        <w:t xml:space="preserve"> </w:t>
      </w:r>
      <w:r w:rsidR="0055634E" w:rsidRPr="009543E3">
        <w:rPr>
          <w:kern w:val="22"/>
          <w:szCs w:val="22"/>
        </w:rPr>
        <w:t xml:space="preserve">Furthermore, </w:t>
      </w:r>
      <w:r w:rsidR="00E4723B" w:rsidRPr="009543E3">
        <w:rPr>
          <w:kern w:val="22"/>
          <w:szCs w:val="22"/>
        </w:rPr>
        <w:t xml:space="preserve">as the extraordinary meeting of the Conference of the Parties is to be held virtually in November 2020, </w:t>
      </w:r>
      <w:r w:rsidR="00E66273" w:rsidRPr="009543E3">
        <w:rPr>
          <w:kern w:val="22"/>
          <w:szCs w:val="22"/>
        </w:rPr>
        <w:t>additional cost</w:t>
      </w:r>
      <w:r w:rsidR="00880316" w:rsidRPr="009543E3">
        <w:rPr>
          <w:kern w:val="22"/>
          <w:szCs w:val="22"/>
        </w:rPr>
        <w:t>s</w:t>
      </w:r>
      <w:r w:rsidR="00B95F1B" w:rsidRPr="009543E3">
        <w:rPr>
          <w:kern w:val="22"/>
          <w:szCs w:val="22"/>
        </w:rPr>
        <w:t xml:space="preserve"> </w:t>
      </w:r>
      <w:r w:rsidR="00880316" w:rsidRPr="009543E3">
        <w:rPr>
          <w:kern w:val="22"/>
          <w:szCs w:val="22"/>
        </w:rPr>
        <w:t xml:space="preserve">may </w:t>
      </w:r>
      <w:r w:rsidR="00B95F1B" w:rsidRPr="009543E3">
        <w:rPr>
          <w:kern w:val="22"/>
          <w:szCs w:val="22"/>
        </w:rPr>
        <w:t>be incurred</w:t>
      </w:r>
      <w:r w:rsidR="00880316" w:rsidRPr="009543E3">
        <w:rPr>
          <w:kern w:val="22"/>
          <w:szCs w:val="22"/>
        </w:rPr>
        <w:t xml:space="preserve"> </w:t>
      </w:r>
      <w:r w:rsidR="00BD5925" w:rsidRPr="009543E3">
        <w:rPr>
          <w:kern w:val="22"/>
          <w:szCs w:val="22"/>
        </w:rPr>
        <w:t>and charged</w:t>
      </w:r>
      <w:r w:rsidR="00B95F1B" w:rsidRPr="009543E3">
        <w:rPr>
          <w:kern w:val="22"/>
          <w:szCs w:val="22"/>
        </w:rPr>
        <w:t xml:space="preserve"> to the budget for meetings.</w:t>
      </w:r>
    </w:p>
    <w:p w14:paraId="26BF2A4A" w14:textId="35E7DEC9" w:rsidR="00FC562D" w:rsidRPr="009543E3" w:rsidRDefault="00FC562D" w:rsidP="006914CE">
      <w:pPr>
        <w:suppressLineNumbers/>
        <w:suppressAutoHyphens/>
        <w:rPr>
          <w:rFonts w:eastAsia="Malgun Gothic"/>
          <w:color w:val="000000" w:themeColor="text1"/>
          <w:kern w:val="22"/>
          <w:szCs w:val="22"/>
          <w:lang w:eastAsia="x-none"/>
        </w:rPr>
      </w:pPr>
    </w:p>
    <w:p w14:paraId="37112A07" w14:textId="1361A0E3" w:rsidR="00FE0B22" w:rsidRPr="009543E3" w:rsidRDefault="007871E1" w:rsidP="006914CE">
      <w:pPr>
        <w:pStyle w:val="ListParagraph"/>
        <w:keepNext/>
        <w:suppressLineNumbers/>
        <w:suppressAutoHyphens/>
        <w:ind w:left="0"/>
        <w:contextualSpacing w:val="0"/>
        <w:jc w:val="left"/>
        <w:rPr>
          <w:b/>
          <w:snapToGrid w:val="0"/>
          <w:kern w:val="22"/>
          <w:szCs w:val="22"/>
        </w:rPr>
      </w:pPr>
      <w:r w:rsidRPr="009543E3">
        <w:rPr>
          <w:b/>
          <w:snapToGrid w:val="0"/>
          <w:kern w:val="22"/>
          <w:szCs w:val="22"/>
        </w:rPr>
        <w:t xml:space="preserve">Table </w:t>
      </w:r>
      <w:r w:rsidR="00655E4E" w:rsidRPr="009543E3">
        <w:rPr>
          <w:b/>
          <w:snapToGrid w:val="0"/>
          <w:kern w:val="22"/>
          <w:szCs w:val="22"/>
        </w:rPr>
        <w:t>2</w:t>
      </w:r>
      <w:r w:rsidR="00F83AB5" w:rsidRPr="009543E3">
        <w:rPr>
          <w:b/>
          <w:iCs/>
          <w:snapToGrid w:val="0"/>
          <w:kern w:val="22"/>
          <w:szCs w:val="22"/>
        </w:rPr>
        <w:br/>
      </w:r>
      <w:r w:rsidRPr="009543E3">
        <w:rPr>
          <w:b/>
          <w:snapToGrid w:val="0"/>
          <w:kern w:val="22"/>
          <w:szCs w:val="22"/>
        </w:rPr>
        <w:t xml:space="preserve">Projected expenditures </w:t>
      </w:r>
      <w:r w:rsidR="00A422B2" w:rsidRPr="009543E3">
        <w:rPr>
          <w:b/>
          <w:snapToGrid w:val="0"/>
          <w:kern w:val="22"/>
          <w:szCs w:val="22"/>
        </w:rPr>
        <w:t xml:space="preserve">by object of expenditure </w:t>
      </w:r>
      <w:r w:rsidRPr="009543E3">
        <w:rPr>
          <w:b/>
          <w:snapToGrid w:val="0"/>
          <w:kern w:val="22"/>
          <w:szCs w:val="22"/>
        </w:rPr>
        <w:t xml:space="preserve">in </w:t>
      </w:r>
      <w:r w:rsidR="00AE02C7" w:rsidRPr="009543E3">
        <w:rPr>
          <w:b/>
          <w:snapToGrid w:val="0"/>
          <w:kern w:val="22"/>
          <w:szCs w:val="22"/>
        </w:rPr>
        <w:t xml:space="preserve">relation to the </w:t>
      </w:r>
      <w:r w:rsidRPr="009543E3">
        <w:rPr>
          <w:b/>
          <w:snapToGrid w:val="0"/>
          <w:kern w:val="22"/>
          <w:szCs w:val="22"/>
        </w:rPr>
        <w:t xml:space="preserve">2019-2020 </w:t>
      </w:r>
      <w:r w:rsidR="00A422B2" w:rsidRPr="009543E3">
        <w:rPr>
          <w:b/>
          <w:snapToGrid w:val="0"/>
          <w:kern w:val="22"/>
          <w:szCs w:val="22"/>
        </w:rPr>
        <w:t>approved integrated budget</w:t>
      </w:r>
    </w:p>
    <w:p w14:paraId="5F007346" w14:textId="7195E043" w:rsidR="002B3874" w:rsidRPr="009543E3" w:rsidRDefault="008E06D2" w:rsidP="006914CE">
      <w:pPr>
        <w:pStyle w:val="ListParagraph"/>
        <w:keepNext/>
        <w:suppressLineNumbers/>
        <w:suppressAutoHyphens/>
        <w:spacing w:after="120"/>
        <w:ind w:left="0"/>
        <w:contextualSpacing w:val="0"/>
        <w:jc w:val="left"/>
        <w:rPr>
          <w:bCs/>
          <w:i/>
          <w:snapToGrid w:val="0"/>
          <w:kern w:val="22"/>
          <w:szCs w:val="22"/>
        </w:rPr>
      </w:pPr>
      <w:r w:rsidRPr="009543E3">
        <w:rPr>
          <w:bCs/>
          <w:i/>
          <w:snapToGrid w:val="0"/>
          <w:kern w:val="22"/>
          <w:szCs w:val="22"/>
        </w:rPr>
        <w:t>(Thousands of United States dollars)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258"/>
        <w:gridCol w:w="1259"/>
        <w:gridCol w:w="1258"/>
        <w:gridCol w:w="1259"/>
      </w:tblGrid>
      <w:tr w:rsidR="003C436C" w:rsidRPr="009543E3" w14:paraId="46629605" w14:textId="77777777" w:rsidTr="006914CE">
        <w:trPr>
          <w:cantSplit/>
          <w:tblHeader/>
          <w:jc w:val="center"/>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Object of expenditure</w:t>
            </w:r>
          </w:p>
        </w:tc>
        <w:tc>
          <w:tcPr>
            <w:tcW w:w="1258" w:type="dxa"/>
            <w:tcBorders>
              <w:top w:val="single" w:sz="4" w:space="0" w:color="auto"/>
              <w:left w:val="single" w:sz="4" w:space="0" w:color="auto"/>
              <w:bottom w:val="nil"/>
              <w:right w:val="single" w:sz="4" w:space="0" w:color="auto"/>
            </w:tcBorders>
            <w:shd w:val="clear" w:color="auto" w:fill="auto"/>
            <w:vAlign w:val="center"/>
            <w:hideMark/>
          </w:tcPr>
          <w:p w14:paraId="085B0BEE"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Total approved budget</w:t>
            </w:r>
          </w:p>
        </w:tc>
        <w:tc>
          <w:tcPr>
            <w:tcW w:w="1259" w:type="dxa"/>
            <w:tcBorders>
              <w:top w:val="single" w:sz="4" w:space="0" w:color="auto"/>
              <w:left w:val="single" w:sz="4" w:space="0" w:color="auto"/>
              <w:bottom w:val="nil"/>
              <w:right w:val="single" w:sz="4" w:space="0" w:color="auto"/>
            </w:tcBorders>
            <w:shd w:val="clear" w:color="auto" w:fill="auto"/>
            <w:vAlign w:val="center"/>
          </w:tcPr>
          <w:p w14:paraId="27E56089" w14:textId="2365E5CE" w:rsidR="002B3874" w:rsidRPr="009543E3" w:rsidRDefault="002B3874" w:rsidP="006914CE">
            <w:pPr>
              <w:suppressLineNumbers/>
              <w:suppressAutoHyphens/>
              <w:jc w:val="center"/>
              <w:rPr>
                <w:bCs/>
                <w:i/>
                <w:iCs/>
                <w:color w:val="000000"/>
                <w:spacing w:val="-4"/>
                <w:kern w:val="22"/>
                <w:sz w:val="20"/>
                <w:szCs w:val="20"/>
                <w:lang w:eastAsia="en-CA"/>
              </w:rPr>
            </w:pPr>
            <w:r w:rsidRPr="009543E3">
              <w:rPr>
                <w:bCs/>
                <w:i/>
                <w:iCs/>
                <w:color w:val="000000"/>
                <w:spacing w:val="-4"/>
                <w:kern w:val="22"/>
                <w:sz w:val="20"/>
                <w:szCs w:val="20"/>
                <w:lang w:eastAsia="en-CA"/>
              </w:rPr>
              <w:t>Total expenditure (1 January 2019-31</w:t>
            </w:r>
            <w:r w:rsidR="004C59DE" w:rsidRPr="009543E3">
              <w:rPr>
                <w:bCs/>
                <w:i/>
                <w:iCs/>
                <w:color w:val="000000"/>
                <w:spacing w:val="-4"/>
                <w:kern w:val="22"/>
                <w:sz w:val="20"/>
                <w:szCs w:val="20"/>
                <w:lang w:eastAsia="en-CA"/>
              </w:rPr>
              <w:t> </w:t>
            </w:r>
            <w:r w:rsidRPr="009543E3">
              <w:rPr>
                <w:bCs/>
                <w:i/>
                <w:iCs/>
                <w:color w:val="000000"/>
                <w:spacing w:val="-4"/>
                <w:kern w:val="22"/>
                <w:sz w:val="20"/>
                <w:szCs w:val="20"/>
                <w:lang w:eastAsia="en-CA"/>
              </w:rPr>
              <w:t>December 2020)</w:t>
            </w:r>
          </w:p>
        </w:tc>
        <w:tc>
          <w:tcPr>
            <w:tcW w:w="1258" w:type="dxa"/>
            <w:tcBorders>
              <w:top w:val="single" w:sz="4" w:space="0" w:color="auto"/>
              <w:left w:val="single" w:sz="4" w:space="0" w:color="auto"/>
              <w:bottom w:val="nil"/>
              <w:right w:val="single" w:sz="4" w:space="0" w:color="auto"/>
            </w:tcBorders>
            <w:shd w:val="clear" w:color="auto" w:fill="auto"/>
            <w:vAlign w:val="center"/>
          </w:tcPr>
          <w:p w14:paraId="25B52EA7"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Expenditure from approved budget to be incurred in 2021</w:t>
            </w:r>
          </w:p>
        </w:tc>
        <w:tc>
          <w:tcPr>
            <w:tcW w:w="1259" w:type="dxa"/>
            <w:tcBorders>
              <w:top w:val="single" w:sz="4" w:space="0" w:color="auto"/>
              <w:left w:val="single" w:sz="4" w:space="0" w:color="auto"/>
              <w:bottom w:val="nil"/>
              <w:right w:val="single" w:sz="4" w:space="0" w:color="auto"/>
            </w:tcBorders>
            <w:shd w:val="clear" w:color="auto" w:fill="auto"/>
            <w:vAlign w:val="center"/>
          </w:tcPr>
          <w:p w14:paraId="32CB9010" w14:textId="77777777" w:rsidR="002B3874" w:rsidRPr="009543E3" w:rsidRDefault="002B3874" w:rsidP="006914CE">
            <w:pPr>
              <w:suppressLineNumbers/>
              <w:suppressAutoHyphens/>
              <w:jc w:val="center"/>
              <w:rPr>
                <w:bCs/>
                <w:i/>
                <w:iCs/>
                <w:color w:val="000000"/>
                <w:kern w:val="22"/>
                <w:sz w:val="20"/>
                <w:szCs w:val="20"/>
                <w:lang w:eastAsia="en-CA"/>
              </w:rPr>
            </w:pPr>
            <w:r w:rsidRPr="009543E3">
              <w:rPr>
                <w:bCs/>
                <w:i/>
                <w:iCs/>
                <w:color w:val="000000"/>
                <w:kern w:val="22"/>
                <w:sz w:val="20"/>
                <w:szCs w:val="20"/>
                <w:lang w:eastAsia="en-CA"/>
              </w:rPr>
              <w:t>Variance</w:t>
            </w:r>
          </w:p>
        </w:tc>
      </w:tr>
      <w:tr w:rsidR="003C436C" w:rsidRPr="009543E3" w14:paraId="2217F693" w14:textId="77777777" w:rsidTr="006914CE">
        <w:trPr>
          <w:cantSplit/>
          <w:tblHeader/>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222059" w14:textId="172DD24D" w:rsidR="002B3874" w:rsidRPr="009543E3" w:rsidRDefault="002B3874" w:rsidP="006914CE">
            <w:pPr>
              <w:suppressLineNumbers/>
              <w:suppressAutoHyphens/>
              <w:rPr>
                <w:bCs/>
                <w:i/>
                <w:iCs/>
                <w:color w:val="000000" w:themeColor="text1"/>
                <w:kern w:val="22"/>
                <w:sz w:val="18"/>
                <w:szCs w:val="18"/>
                <w:lang w:eastAsia="en-CA"/>
              </w:rPr>
            </w:pPr>
          </w:p>
        </w:tc>
        <w:tc>
          <w:tcPr>
            <w:tcW w:w="1258" w:type="dxa"/>
            <w:tcBorders>
              <w:top w:val="nil"/>
              <w:left w:val="single" w:sz="4" w:space="0" w:color="auto"/>
              <w:bottom w:val="single" w:sz="4" w:space="0" w:color="auto"/>
              <w:right w:val="single" w:sz="4" w:space="0" w:color="auto"/>
            </w:tcBorders>
            <w:shd w:val="clear" w:color="auto" w:fill="auto"/>
            <w:hideMark/>
          </w:tcPr>
          <w:p w14:paraId="6B3FCAB3" w14:textId="77777777" w:rsidR="002B3874" w:rsidRPr="009543E3" w:rsidRDefault="002B3874" w:rsidP="006914CE">
            <w:pPr>
              <w:suppressLineNumbers/>
              <w:suppressAutoHyphens/>
              <w:jc w:val="center"/>
              <w:rPr>
                <w:bCs/>
                <w:i/>
                <w:iCs/>
                <w:color w:val="000000" w:themeColor="text1"/>
                <w:kern w:val="22"/>
                <w:sz w:val="18"/>
                <w:szCs w:val="18"/>
                <w:lang w:eastAsia="en-CA"/>
              </w:rPr>
            </w:pPr>
          </w:p>
        </w:tc>
        <w:tc>
          <w:tcPr>
            <w:tcW w:w="1259" w:type="dxa"/>
            <w:tcBorders>
              <w:top w:val="nil"/>
              <w:left w:val="single" w:sz="4" w:space="0" w:color="auto"/>
              <w:bottom w:val="single" w:sz="4" w:space="0" w:color="auto"/>
              <w:right w:val="single" w:sz="4" w:space="0" w:color="auto"/>
            </w:tcBorders>
            <w:shd w:val="clear" w:color="auto" w:fill="auto"/>
          </w:tcPr>
          <w:p w14:paraId="0950231A" w14:textId="77777777" w:rsidR="002B3874" w:rsidRPr="009543E3" w:rsidRDefault="002B3874" w:rsidP="006914CE">
            <w:pPr>
              <w:suppressLineNumbers/>
              <w:suppressAutoHyphens/>
              <w:jc w:val="center"/>
              <w:rPr>
                <w:bCs/>
                <w:i/>
                <w:iCs/>
                <w:color w:val="000000"/>
                <w:kern w:val="22"/>
                <w:sz w:val="18"/>
                <w:szCs w:val="18"/>
                <w:lang w:eastAsia="en-CA"/>
              </w:rPr>
            </w:pPr>
          </w:p>
        </w:tc>
        <w:tc>
          <w:tcPr>
            <w:tcW w:w="1258" w:type="dxa"/>
            <w:tcBorders>
              <w:top w:val="nil"/>
              <w:left w:val="single" w:sz="4" w:space="0" w:color="auto"/>
              <w:bottom w:val="single" w:sz="4" w:space="0" w:color="auto"/>
              <w:right w:val="single" w:sz="4" w:space="0" w:color="auto"/>
            </w:tcBorders>
            <w:shd w:val="clear" w:color="auto" w:fill="auto"/>
          </w:tcPr>
          <w:p w14:paraId="625F497A" w14:textId="53E98BDE" w:rsidR="002B3874" w:rsidRPr="009543E3" w:rsidRDefault="002B3874" w:rsidP="006914CE">
            <w:pPr>
              <w:suppressLineNumbers/>
              <w:suppressAutoHyphens/>
              <w:jc w:val="center"/>
              <w:rPr>
                <w:bCs/>
                <w:i/>
                <w:iCs/>
                <w:color w:val="000000" w:themeColor="text1"/>
                <w:kern w:val="22"/>
                <w:sz w:val="18"/>
                <w:szCs w:val="18"/>
                <w:lang w:eastAsia="en-CA"/>
              </w:rPr>
            </w:pPr>
            <w:r w:rsidRPr="009543E3">
              <w:rPr>
                <w:bCs/>
                <w:i/>
                <w:iCs/>
                <w:color w:val="000000" w:themeColor="text1"/>
                <w:kern w:val="22"/>
                <w:sz w:val="18"/>
                <w:szCs w:val="18"/>
                <w:lang w:eastAsia="en-CA"/>
              </w:rPr>
              <w:t>(1 January 2021-31</w:t>
            </w:r>
            <w:r w:rsidR="004C59DE" w:rsidRPr="009543E3">
              <w:rPr>
                <w:bCs/>
                <w:i/>
                <w:iCs/>
                <w:color w:val="000000" w:themeColor="text1"/>
                <w:kern w:val="22"/>
                <w:sz w:val="18"/>
                <w:szCs w:val="18"/>
                <w:lang w:eastAsia="en-CA"/>
              </w:rPr>
              <w:t> </w:t>
            </w:r>
            <w:r w:rsidRPr="009543E3">
              <w:rPr>
                <w:bCs/>
                <w:i/>
                <w:iCs/>
                <w:color w:val="000000" w:themeColor="text1"/>
                <w:kern w:val="22"/>
                <w:sz w:val="18"/>
                <w:szCs w:val="18"/>
                <w:lang w:eastAsia="en-CA"/>
              </w:rPr>
              <w:t>December 2021)</w:t>
            </w:r>
          </w:p>
        </w:tc>
        <w:tc>
          <w:tcPr>
            <w:tcW w:w="1259" w:type="dxa"/>
            <w:tcBorders>
              <w:top w:val="nil"/>
              <w:left w:val="single" w:sz="4" w:space="0" w:color="auto"/>
              <w:bottom w:val="single" w:sz="4" w:space="0" w:color="auto"/>
              <w:right w:val="single" w:sz="4" w:space="0" w:color="auto"/>
            </w:tcBorders>
            <w:shd w:val="clear" w:color="auto" w:fill="auto"/>
          </w:tcPr>
          <w:p w14:paraId="7C92AD86" w14:textId="77777777" w:rsidR="002B3874" w:rsidRPr="009543E3" w:rsidRDefault="002B3874" w:rsidP="006914CE">
            <w:pPr>
              <w:suppressLineNumbers/>
              <w:suppressAutoHyphens/>
              <w:jc w:val="center"/>
              <w:rPr>
                <w:bCs/>
                <w:i/>
                <w:iCs/>
                <w:color w:val="000000"/>
                <w:kern w:val="22"/>
                <w:sz w:val="18"/>
                <w:szCs w:val="18"/>
                <w:lang w:eastAsia="en-CA"/>
              </w:rPr>
            </w:pPr>
          </w:p>
        </w:tc>
      </w:tr>
      <w:tr w:rsidR="001933EA" w:rsidRPr="009543E3" w14:paraId="2DA8383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C5B39DA" w14:textId="41A7B0D2"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A.</w:t>
            </w:r>
            <w:r w:rsidR="00971466" w:rsidRPr="009543E3">
              <w:rPr>
                <w:bCs/>
                <w:color w:val="000000" w:themeColor="text1"/>
                <w:kern w:val="22"/>
                <w:sz w:val="20"/>
                <w:szCs w:val="20"/>
                <w:lang w:eastAsia="en-CA"/>
              </w:rPr>
              <w:tab/>
            </w:r>
            <w:r w:rsidRPr="009543E3">
              <w:rPr>
                <w:bCs/>
                <w:color w:val="000000" w:themeColor="text1"/>
                <w:kern w:val="22"/>
                <w:sz w:val="20"/>
                <w:szCs w:val="20"/>
                <w:lang w:eastAsia="en-CA"/>
              </w:rPr>
              <w:t>Staff costs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22C70882" w14:textId="593734B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23</w:t>
            </w:r>
            <w:r w:rsidR="00652FAD" w:rsidRPr="009543E3">
              <w:rPr>
                <w:color w:val="000000" w:themeColor="text1"/>
                <w:kern w:val="22"/>
                <w:sz w:val="20"/>
                <w:szCs w:val="20"/>
                <w:lang w:eastAsia="en-CA"/>
              </w:rPr>
              <w:t xml:space="preserve"> </w:t>
            </w:r>
            <w:r w:rsidRPr="009543E3">
              <w:rPr>
                <w:color w:val="000000" w:themeColor="text1"/>
                <w:kern w:val="22"/>
                <w:sz w:val="20"/>
                <w:szCs w:val="20"/>
                <w:lang w:eastAsia="en-CA"/>
              </w:rPr>
              <w:t>080.5</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89E326D" w14:textId="35EE34CF"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w:t>
            </w:r>
            <w:r w:rsidR="00652FAD" w:rsidRPr="009543E3">
              <w:rPr>
                <w:color w:val="000000"/>
                <w:kern w:val="22"/>
                <w:sz w:val="20"/>
                <w:szCs w:val="20"/>
                <w:lang w:eastAsia="en-CA"/>
              </w:rPr>
              <w:t xml:space="preserve"> </w:t>
            </w: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8015935" w14:textId="0E6CCB5C"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6C84FBF" w14:textId="7EC239F2"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w:t>
            </w:r>
            <w:r w:rsidR="00652FAD" w:rsidRPr="009543E3">
              <w:rPr>
                <w:color w:val="000000"/>
                <w:kern w:val="22"/>
                <w:sz w:val="20"/>
                <w:szCs w:val="20"/>
                <w:lang w:eastAsia="en-CA"/>
              </w:rPr>
              <w:t xml:space="preserve"> </w:t>
            </w:r>
            <w:r w:rsidRPr="009543E3">
              <w:rPr>
                <w:color w:val="000000"/>
                <w:kern w:val="22"/>
                <w:sz w:val="20"/>
                <w:szCs w:val="20"/>
                <w:lang w:eastAsia="en-CA"/>
              </w:rPr>
              <w:t>980.5</w:t>
            </w:r>
          </w:p>
        </w:tc>
      </w:tr>
      <w:tr w:rsidR="001933EA" w:rsidRPr="009543E3" w14:paraId="6448929F"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9816A0D" w14:textId="7C35FB96"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B.</w:t>
            </w:r>
            <w:r w:rsidR="00971466" w:rsidRPr="009543E3">
              <w:rPr>
                <w:bCs/>
                <w:color w:val="000000" w:themeColor="text1"/>
                <w:kern w:val="22"/>
                <w:sz w:val="20"/>
                <w:szCs w:val="20"/>
                <w:lang w:eastAsia="en-CA"/>
              </w:rPr>
              <w:tab/>
            </w:r>
            <w:r w:rsidRPr="009543E3">
              <w:rPr>
                <w:bCs/>
                <w:color w:val="000000" w:themeColor="text1"/>
                <w:kern w:val="22"/>
                <w:sz w:val="20"/>
                <w:szCs w:val="20"/>
                <w:lang w:eastAsia="en-CA"/>
              </w:rPr>
              <w:t>Bureau 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4CE46EB"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365.0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883892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9325B17"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165.0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BDD4FBB"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00DEBD4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2DC7DC" w14:textId="3E01A14E"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C.</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Travel on official business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2A59248E"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800.0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DC2910"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559.6</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1201D9B" w14:textId="5F95F1E5"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81CB87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240.4</w:t>
            </w:r>
          </w:p>
        </w:tc>
      </w:tr>
      <w:tr w:rsidR="001933EA" w:rsidRPr="009543E3" w14:paraId="7B6FDA9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C0FF7E0" w14:textId="166DBFC0"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D.</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Consultants/subcontractors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BA5373A"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C446BD5"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7E9BA52" w14:textId="0B61EF43"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C9DC3D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43AFF15F"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D219C83" w14:textId="47248DE5"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E.</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Public awareness material/communications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D7E1658"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92C161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B59692C" w14:textId="606458A4"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0248284"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EC9DE75"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CBA73F" w14:textId="04A96C3D"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F.</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Temporary assistance/overtime</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2DBFEA4"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CC4C2DA"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37406E8" w14:textId="72AA1FC6"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539A05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7A1801C"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1682412" w14:textId="0391D0F1"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G.</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Training</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133C79CB"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2191D84"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88E1BD8" w14:textId="0C095125"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ECF0938"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DB95DF0"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69BC990C" w14:textId="6ABD358C"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lastRenderedPageBreak/>
              <w:t>H.</w:t>
            </w:r>
            <w:r w:rsidR="00B47E1E" w:rsidRPr="009543E3">
              <w:rPr>
                <w:bCs/>
                <w:color w:val="000000" w:themeColor="text1"/>
                <w:kern w:val="22"/>
                <w:sz w:val="20"/>
                <w:szCs w:val="20"/>
                <w:lang w:eastAsia="en-CA"/>
              </w:rPr>
              <w:tab/>
            </w:r>
            <w:r w:rsidRPr="009543E3">
              <w:rPr>
                <w:bCs/>
                <w:color w:val="000000" w:themeColor="text1"/>
                <w:kern w:val="22"/>
                <w:sz w:val="20"/>
                <w:szCs w:val="20"/>
                <w:lang w:eastAsia="en-CA"/>
              </w:rPr>
              <w:t>Translation of CHM website/website projects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3484A43"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130.0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755AB35"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130.0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C95D2F0" w14:textId="77BC2DBF"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ACA4B59"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3A7A0005"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B559A67" w14:textId="0933FC30"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I.</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E112F92" w14:textId="2A5E8465"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688.0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45AB8D3"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749.0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77146C0" w14:textId="0709F10F"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939.0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FB41441"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341F4F2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55F83C6" w14:textId="2371822D"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J.</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Expert 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C4F3977"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320.0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65C71DB"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83.7</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388C07E" w14:textId="621D64C8" w:rsidR="002B3874" w:rsidRPr="009543E3" w:rsidRDefault="00985DB2"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236</w:t>
            </w:r>
            <w:r w:rsidR="002B3874" w:rsidRPr="009543E3">
              <w:rPr>
                <w:color w:val="000000" w:themeColor="text1"/>
                <w:kern w:val="22"/>
                <w:sz w:val="20"/>
                <w:szCs w:val="20"/>
                <w:lang w:eastAsia="en-CA"/>
              </w:rPr>
              <w:t>.3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04D64C3" w14:textId="1CB02500" w:rsidR="002B3874" w:rsidRPr="009543E3" w:rsidRDefault="00985DB2"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r w:rsidR="002B3874" w:rsidRPr="009543E3">
              <w:rPr>
                <w:color w:val="000000"/>
                <w:kern w:val="22"/>
                <w:sz w:val="20"/>
                <w:szCs w:val="20"/>
                <w:lang w:eastAsia="en-CA"/>
              </w:rPr>
              <w:t>0</w:t>
            </w:r>
          </w:p>
        </w:tc>
      </w:tr>
      <w:tr w:rsidR="001933EA" w:rsidRPr="009543E3" w14:paraId="47E5459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302C5B7E" w14:textId="549BB4E4"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K.</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Extraordinary meetings on post-2020</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30BECE36" w14:textId="74775FAC"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310.0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2F9B480" w14:textId="229E4950"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w:t>
            </w:r>
            <w:r w:rsidR="00A83ED6" w:rsidRPr="009543E3">
              <w:rPr>
                <w:color w:val="000000"/>
                <w:kern w:val="22"/>
                <w:sz w:val="20"/>
                <w:szCs w:val="20"/>
                <w:lang w:eastAsia="en-CA"/>
              </w:rPr>
              <w:t xml:space="preserve"> </w:t>
            </w: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08E65E5"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1E7E266"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7101C8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1AB5FDD" w14:textId="2D6F5768"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L.</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Rent and associated costs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68968FD" w14:textId="2379065A"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652.9</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08DAB98" w14:textId="74F56ECD"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w:t>
            </w:r>
            <w:r w:rsidR="00A83ED6" w:rsidRPr="009543E3">
              <w:rPr>
                <w:color w:val="000000"/>
                <w:kern w:val="22"/>
                <w:sz w:val="20"/>
                <w:szCs w:val="20"/>
                <w:lang w:eastAsia="en-CA"/>
              </w:rPr>
              <w:t xml:space="preserve"> </w:t>
            </w:r>
            <w:r w:rsidRPr="009543E3">
              <w:rPr>
                <w:color w:val="000000"/>
                <w:kern w:val="22"/>
                <w:sz w:val="20"/>
                <w:szCs w:val="20"/>
                <w:lang w:eastAsia="en-CA"/>
              </w:rPr>
              <w:t>652.9</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5FCBF76" w14:textId="06A8B2F3"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C49D228"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919936E"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0233246" w14:textId="10E5CD27"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M.</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General operating expenses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14C68FF" w14:textId="5AFBFF79"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453.2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B64AFA3" w14:textId="1084A88A"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w:t>
            </w:r>
            <w:r w:rsidR="00A83ED6" w:rsidRPr="009543E3">
              <w:rPr>
                <w:color w:val="000000"/>
                <w:kern w:val="22"/>
                <w:sz w:val="20"/>
                <w:szCs w:val="20"/>
                <w:lang w:eastAsia="en-CA"/>
              </w:rPr>
              <w:t xml:space="preserve"> </w:t>
            </w:r>
            <w:r w:rsidRPr="009543E3">
              <w:rPr>
                <w:color w:val="000000"/>
                <w:kern w:val="22"/>
                <w:sz w:val="20"/>
                <w:szCs w:val="20"/>
                <w:lang w:eastAsia="en-CA"/>
              </w:rPr>
              <w:t>453.2</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0B2F87B" w14:textId="4C4278F8"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CF333D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6D31DC3A"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539BD40" w14:textId="2D279CD5"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Subtotal (I)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31E155E" w14:textId="63B86FF1"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209.6</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4269E2D" w14:textId="35AB6537"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27</w:t>
            </w:r>
            <w:r w:rsidR="00A83ED6" w:rsidRPr="009543E3">
              <w:rPr>
                <w:b/>
                <w:bCs/>
                <w:color w:val="000000"/>
                <w:kern w:val="22"/>
                <w:sz w:val="20"/>
                <w:szCs w:val="20"/>
                <w:lang w:eastAsia="en-CA"/>
              </w:rPr>
              <w:t xml:space="preserve"> </w:t>
            </w:r>
            <w:r w:rsidRPr="009543E3">
              <w:rPr>
                <w:b/>
                <w:color w:val="000000"/>
                <w:kern w:val="22"/>
                <w:sz w:val="20"/>
                <w:szCs w:val="20"/>
                <w:lang w:eastAsia="en-CA"/>
              </w:rPr>
              <w:t>438.4</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88EF4D3" w14:textId="0B56C1B4"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5</w:t>
            </w:r>
            <w:r w:rsidR="00985DB2" w:rsidRPr="009543E3">
              <w:rPr>
                <w:b/>
                <w:color w:val="000000" w:themeColor="text1"/>
                <w:kern w:val="22"/>
                <w:sz w:val="20"/>
                <w:szCs w:val="20"/>
                <w:lang w:eastAsia="en-CA"/>
              </w:rPr>
              <w:t>5</w:t>
            </w:r>
            <w:r w:rsidRPr="009543E3">
              <w:rPr>
                <w:b/>
                <w:color w:val="000000" w:themeColor="text1"/>
                <w:kern w:val="22"/>
                <w:sz w:val="20"/>
                <w:szCs w:val="20"/>
                <w:lang w:eastAsia="en-CA"/>
              </w:rPr>
              <w:t>0.3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F52F947" w14:textId="1A51DE40"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A83ED6" w:rsidRPr="009543E3">
              <w:rPr>
                <w:b/>
                <w:bCs/>
                <w:color w:val="000000"/>
                <w:kern w:val="22"/>
                <w:sz w:val="20"/>
                <w:szCs w:val="20"/>
                <w:lang w:eastAsia="en-CA"/>
              </w:rPr>
              <w:t xml:space="preserve"> </w:t>
            </w:r>
            <w:r w:rsidR="00985DB2" w:rsidRPr="009543E3">
              <w:rPr>
                <w:b/>
                <w:color w:val="000000"/>
                <w:kern w:val="22"/>
                <w:sz w:val="20"/>
                <w:szCs w:val="20"/>
                <w:lang w:eastAsia="en-CA"/>
              </w:rPr>
              <w:t>220</w:t>
            </w:r>
            <w:r w:rsidRPr="009543E3">
              <w:rPr>
                <w:b/>
                <w:color w:val="000000"/>
                <w:kern w:val="22"/>
                <w:sz w:val="20"/>
                <w:szCs w:val="20"/>
                <w:lang w:eastAsia="en-CA"/>
              </w:rPr>
              <w:t>.9</w:t>
            </w:r>
          </w:p>
        </w:tc>
      </w:tr>
      <w:tr w:rsidR="001933EA" w:rsidRPr="009543E3" w14:paraId="5665C340"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CDA8931" w14:textId="77777777"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II. Programme support costs (13%)</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6CDFAD6" w14:textId="51C7F825"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447.2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71CBC02" w14:textId="7F87746F"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A83ED6" w:rsidRPr="009543E3">
              <w:rPr>
                <w:b/>
                <w:bCs/>
                <w:color w:val="000000"/>
                <w:kern w:val="22"/>
                <w:sz w:val="20"/>
                <w:szCs w:val="20"/>
                <w:lang w:eastAsia="en-CA"/>
              </w:rPr>
              <w:t xml:space="preserve"> </w:t>
            </w:r>
            <w:r w:rsidRPr="009543E3">
              <w:rPr>
                <w:b/>
                <w:color w:val="000000"/>
                <w:kern w:val="22"/>
                <w:sz w:val="20"/>
                <w:szCs w:val="20"/>
                <w:lang w:eastAsia="en-CA"/>
              </w:rPr>
              <w:t>567.0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4657184" w14:textId="7067F006"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461.5</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2C0B829" w14:textId="5E700200"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418.7</w:t>
            </w:r>
          </w:p>
        </w:tc>
      </w:tr>
      <w:tr w:rsidR="001933EA" w:rsidRPr="009543E3" w14:paraId="38D69872"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9005D99" w14:textId="0A8AD418"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Sub</w:t>
            </w:r>
            <w:r w:rsidR="00C21DEA" w:rsidRPr="009543E3">
              <w:rPr>
                <w:b/>
                <w:color w:val="000000" w:themeColor="text1"/>
                <w:kern w:val="22"/>
                <w:sz w:val="20"/>
                <w:szCs w:val="20"/>
                <w:lang w:eastAsia="en-CA"/>
              </w:rPr>
              <w:t>t</w:t>
            </w:r>
            <w:r w:rsidRPr="009543E3">
              <w:rPr>
                <w:b/>
                <w:color w:val="000000" w:themeColor="text1"/>
                <w:kern w:val="22"/>
                <w:sz w:val="20"/>
                <w:szCs w:val="20"/>
                <w:lang w:eastAsia="en-CA"/>
              </w:rPr>
              <w:t>otal (I + II)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3E1366E9" w14:textId="0AF7434F"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38</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656.8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95FD88E" w14:textId="4ADDF614"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31</w:t>
            </w:r>
            <w:r w:rsidR="00A83ED6" w:rsidRPr="009543E3">
              <w:rPr>
                <w:b/>
                <w:bCs/>
                <w:color w:val="000000"/>
                <w:kern w:val="22"/>
                <w:sz w:val="20"/>
                <w:szCs w:val="20"/>
                <w:lang w:eastAsia="en-CA"/>
              </w:rPr>
              <w:t xml:space="preserve"> </w:t>
            </w:r>
            <w:r w:rsidRPr="009543E3">
              <w:rPr>
                <w:b/>
                <w:color w:val="000000"/>
                <w:kern w:val="22"/>
                <w:sz w:val="20"/>
                <w:szCs w:val="20"/>
                <w:lang w:eastAsia="en-CA"/>
              </w:rPr>
              <w:t>005.4</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D03863E" w14:textId="403648F0"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011.8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B41DD60" w14:textId="7D98F9B3"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08529C" w:rsidRPr="009543E3">
              <w:rPr>
                <w:b/>
                <w:bCs/>
                <w:color w:val="000000"/>
                <w:kern w:val="22"/>
                <w:sz w:val="20"/>
                <w:szCs w:val="20"/>
                <w:lang w:eastAsia="en-CA"/>
              </w:rPr>
              <w:t xml:space="preserve"> </w:t>
            </w:r>
            <w:r w:rsidRPr="009543E3">
              <w:rPr>
                <w:b/>
                <w:color w:val="000000"/>
                <w:kern w:val="22"/>
                <w:sz w:val="20"/>
                <w:szCs w:val="20"/>
                <w:lang w:eastAsia="en-CA"/>
              </w:rPr>
              <w:t>639.6</w:t>
            </w:r>
          </w:p>
        </w:tc>
      </w:tr>
      <w:tr w:rsidR="001933EA" w:rsidRPr="009543E3" w14:paraId="03C16DBC"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BA32ED3" w14:textId="327CF776"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 xml:space="preserve">III. Working </w:t>
            </w:r>
            <w:r w:rsidR="001150CA" w:rsidRPr="009543E3">
              <w:rPr>
                <w:b/>
                <w:color w:val="000000" w:themeColor="text1"/>
                <w:kern w:val="22"/>
                <w:sz w:val="20"/>
                <w:szCs w:val="20"/>
                <w:lang w:eastAsia="en-CA"/>
              </w:rPr>
              <w:t>c</w:t>
            </w:r>
            <w:r w:rsidRPr="009543E3">
              <w:rPr>
                <w:b/>
                <w:color w:val="000000" w:themeColor="text1"/>
                <w:kern w:val="22"/>
                <w:sz w:val="20"/>
                <w:szCs w:val="20"/>
                <w:lang w:eastAsia="en-CA"/>
              </w:rPr>
              <w:t xml:space="preserve">apital </w:t>
            </w:r>
            <w:r w:rsidR="001150CA" w:rsidRPr="009543E3">
              <w:rPr>
                <w:b/>
                <w:color w:val="000000" w:themeColor="text1"/>
                <w:kern w:val="22"/>
                <w:sz w:val="20"/>
                <w:szCs w:val="20"/>
                <w:lang w:eastAsia="en-CA"/>
              </w:rPr>
              <w:t>r</w:t>
            </w:r>
            <w:r w:rsidRPr="009543E3">
              <w:rPr>
                <w:b/>
                <w:color w:val="000000" w:themeColor="text1"/>
                <w:kern w:val="22"/>
                <w:sz w:val="20"/>
                <w:szCs w:val="20"/>
                <w:lang w:eastAsia="en-CA"/>
              </w:rPr>
              <w:t>eserve</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E480D39"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187.3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D3022DF"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187.3</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AB66C5A" w14:textId="7F2E4281"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3677A09" w14:textId="2CBA4A7F" w:rsidR="002B3874" w:rsidRPr="009543E3" w:rsidRDefault="002B3874" w:rsidP="006914CE">
            <w:pPr>
              <w:suppressLineNumbers/>
              <w:suppressAutoHyphens/>
              <w:jc w:val="right"/>
              <w:rPr>
                <w:color w:val="000000"/>
                <w:kern w:val="22"/>
                <w:sz w:val="20"/>
                <w:szCs w:val="20"/>
                <w:lang w:eastAsia="en-CA"/>
              </w:rPr>
            </w:pPr>
          </w:p>
        </w:tc>
      </w:tr>
      <w:tr w:rsidR="001933EA" w:rsidRPr="009543E3" w14:paraId="3C2197CA"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E9B7D32" w14:textId="77777777"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Grand-Total (I + II + II)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1E1EADF9" w14:textId="01C8B8E4"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38</w:t>
            </w:r>
            <w:r w:rsidR="0008529C"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844.1</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A04F5E3" w14:textId="0C69B2A3"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31</w:t>
            </w:r>
            <w:r w:rsidR="0008529C" w:rsidRPr="009543E3">
              <w:rPr>
                <w:b/>
                <w:bCs/>
                <w:color w:val="000000"/>
                <w:kern w:val="22"/>
                <w:sz w:val="20"/>
                <w:szCs w:val="20"/>
                <w:lang w:eastAsia="en-CA"/>
              </w:rPr>
              <w:t xml:space="preserve"> </w:t>
            </w:r>
            <w:r w:rsidRPr="009543E3">
              <w:rPr>
                <w:b/>
                <w:color w:val="000000"/>
                <w:kern w:val="22"/>
                <w:sz w:val="20"/>
                <w:szCs w:val="20"/>
                <w:lang w:eastAsia="en-CA"/>
              </w:rPr>
              <w:t>192.7</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B59C36E" w14:textId="4DF6C659"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08529C"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011.8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DAB351E" w14:textId="0F241878"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08529C" w:rsidRPr="009543E3">
              <w:rPr>
                <w:b/>
                <w:bCs/>
                <w:color w:val="000000"/>
                <w:kern w:val="22"/>
                <w:sz w:val="20"/>
                <w:szCs w:val="20"/>
                <w:lang w:eastAsia="en-CA"/>
              </w:rPr>
              <w:t xml:space="preserve"> </w:t>
            </w:r>
            <w:r w:rsidRPr="009543E3">
              <w:rPr>
                <w:b/>
                <w:color w:val="000000"/>
                <w:kern w:val="22"/>
                <w:sz w:val="20"/>
                <w:szCs w:val="20"/>
                <w:lang w:eastAsia="en-CA"/>
              </w:rPr>
              <w:t>639.6</w:t>
            </w:r>
          </w:p>
        </w:tc>
      </w:tr>
    </w:tbl>
    <w:p w14:paraId="6E2CE880" w14:textId="77777777" w:rsidR="00986C70" w:rsidRPr="009543E3" w:rsidRDefault="00986C70" w:rsidP="006914CE">
      <w:pPr>
        <w:pStyle w:val="ListParagraph"/>
        <w:suppressLineNumbers/>
        <w:suppressAutoHyphens/>
        <w:ind w:left="0"/>
        <w:contextualSpacing w:val="0"/>
        <w:rPr>
          <w:iCs/>
          <w:kern w:val="22"/>
          <w:szCs w:val="22"/>
        </w:rPr>
      </w:pPr>
    </w:p>
    <w:p w14:paraId="1785C45A" w14:textId="72CE44A8" w:rsidR="007871E1" w:rsidRPr="009543E3"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Working capital reserves as at 31 December 2020</w:t>
      </w:r>
    </w:p>
    <w:p w14:paraId="1B8C3B36" w14:textId="36A6DB86" w:rsidR="00667E82" w:rsidRPr="009543E3" w:rsidRDefault="00667E82" w:rsidP="006914CE">
      <w:pPr>
        <w:pStyle w:val="ListParagraph"/>
        <w:numPr>
          <w:ilvl w:val="0"/>
          <w:numId w:val="19"/>
        </w:numPr>
        <w:suppressLineNumbers/>
        <w:suppressAutoHyphens/>
        <w:spacing w:before="120" w:after="120"/>
        <w:ind w:left="0" w:firstLine="0"/>
        <w:contextualSpacing w:val="0"/>
        <w:rPr>
          <w:spacing w:val="-2"/>
          <w:kern w:val="22"/>
        </w:rPr>
      </w:pPr>
      <w:r w:rsidRPr="009543E3">
        <w:rPr>
          <w:spacing w:val="-2"/>
          <w:kern w:val="22"/>
        </w:rPr>
        <w:t xml:space="preserve">The working capital reserve is calculated each biennium cumulatively so that the total in the reserve is equivalent to 15 per cent of the </w:t>
      </w:r>
      <w:r w:rsidR="002B7A83" w:rsidRPr="009543E3">
        <w:rPr>
          <w:spacing w:val="-2"/>
          <w:kern w:val="22"/>
        </w:rPr>
        <w:t>estimated annual expenditure</w:t>
      </w:r>
      <w:r w:rsidRPr="009543E3">
        <w:rPr>
          <w:spacing w:val="-2"/>
          <w:kern w:val="22"/>
        </w:rPr>
        <w:t>, including programme support costs. The level of the working capital reserve was increased from 7.5 per cent to 15 per cent from the biennium 2019</w:t>
      </w:r>
      <w:r w:rsidR="005B0EBA" w:rsidRPr="009543E3">
        <w:rPr>
          <w:spacing w:val="-2"/>
          <w:kern w:val="22"/>
        </w:rPr>
        <w:noBreakHyphen/>
      </w:r>
      <w:r w:rsidRPr="009543E3">
        <w:rPr>
          <w:spacing w:val="-2"/>
          <w:kern w:val="22"/>
        </w:rPr>
        <w:t>2020 following the recommendation of the Office of the Internal Oversight Services</w:t>
      </w:r>
      <w:r w:rsidR="00BE6B51" w:rsidRPr="009543E3">
        <w:rPr>
          <w:spacing w:val="-2"/>
          <w:kern w:val="22"/>
        </w:rPr>
        <w:t xml:space="preserve"> and in accordance with </w:t>
      </w:r>
      <w:r w:rsidR="007E4877" w:rsidRPr="009543E3">
        <w:rPr>
          <w:spacing w:val="-2"/>
          <w:kern w:val="22"/>
        </w:rPr>
        <w:t xml:space="preserve">Conference of the Parties </w:t>
      </w:r>
      <w:r w:rsidR="00BE6B51" w:rsidRPr="009543E3">
        <w:rPr>
          <w:spacing w:val="-2"/>
          <w:kern w:val="22"/>
        </w:rPr>
        <w:t>decision 14/37</w:t>
      </w:r>
      <w:r w:rsidR="00EF3A8E" w:rsidRPr="009543E3">
        <w:rPr>
          <w:spacing w:val="-2"/>
          <w:kern w:val="22"/>
        </w:rPr>
        <w:t>,</w:t>
      </w:r>
      <w:r w:rsidR="00BE6B51" w:rsidRPr="009543E3">
        <w:rPr>
          <w:spacing w:val="-2"/>
          <w:kern w:val="22"/>
        </w:rPr>
        <w:t xml:space="preserve"> para</w:t>
      </w:r>
      <w:r w:rsidR="00EF3A8E" w:rsidRPr="009543E3">
        <w:rPr>
          <w:spacing w:val="-2"/>
          <w:kern w:val="22"/>
        </w:rPr>
        <w:t>graph</w:t>
      </w:r>
      <w:r w:rsidR="00BE6B51" w:rsidRPr="009543E3">
        <w:rPr>
          <w:spacing w:val="-2"/>
          <w:kern w:val="22"/>
        </w:rPr>
        <w:t xml:space="preserve"> 4</w:t>
      </w:r>
      <w:r w:rsidRPr="009543E3">
        <w:rPr>
          <w:spacing w:val="-2"/>
          <w:kern w:val="22"/>
        </w:rPr>
        <w:t xml:space="preserve">. The purpose of the working capital reserve is to ensure continuity of operations of the </w:t>
      </w:r>
      <w:r w:rsidR="00EF543D" w:rsidRPr="009543E3">
        <w:rPr>
          <w:spacing w:val="-2"/>
          <w:kern w:val="22"/>
        </w:rPr>
        <w:t xml:space="preserve">Secretariat of the </w:t>
      </w:r>
      <w:r w:rsidRPr="009543E3">
        <w:rPr>
          <w:spacing w:val="-2"/>
          <w:kern w:val="22"/>
        </w:rPr>
        <w:t xml:space="preserve">Convention in the event of a temporary shortfall of cash. </w:t>
      </w:r>
      <w:r w:rsidR="001A2412" w:rsidRPr="009543E3">
        <w:rPr>
          <w:spacing w:val="-2"/>
          <w:kern w:val="22"/>
        </w:rPr>
        <w:t>Drawdowns</w:t>
      </w:r>
      <w:r w:rsidRPr="009543E3">
        <w:rPr>
          <w:spacing w:val="-2"/>
          <w:kern w:val="22"/>
        </w:rPr>
        <w:t xml:space="preserve"> from the working capital reserve are restored from contributions as soon as possible.</w:t>
      </w:r>
    </w:p>
    <w:p w14:paraId="650161B3" w14:textId="7E2B2F5A" w:rsidR="00125B31" w:rsidRPr="009543E3" w:rsidRDefault="004D0BE0" w:rsidP="006914CE">
      <w:pPr>
        <w:keepNext/>
        <w:keepLines/>
        <w:suppressLineNumbers/>
        <w:suppressAutoHyphens/>
        <w:spacing w:before="120"/>
        <w:jc w:val="left"/>
        <w:rPr>
          <w:b/>
          <w:iCs/>
          <w:snapToGrid w:val="0"/>
          <w:kern w:val="22"/>
          <w:szCs w:val="22"/>
        </w:rPr>
      </w:pPr>
      <w:r w:rsidRPr="009543E3">
        <w:rPr>
          <w:b/>
          <w:iCs/>
          <w:snapToGrid w:val="0"/>
          <w:kern w:val="22"/>
          <w:szCs w:val="22"/>
        </w:rPr>
        <w:t xml:space="preserve">Table </w:t>
      </w:r>
      <w:r w:rsidR="00655E4E" w:rsidRPr="009543E3">
        <w:rPr>
          <w:b/>
          <w:iCs/>
          <w:snapToGrid w:val="0"/>
          <w:kern w:val="22"/>
          <w:szCs w:val="22"/>
        </w:rPr>
        <w:t>3</w:t>
      </w:r>
      <w:r w:rsidR="00052ADD" w:rsidRPr="009543E3">
        <w:rPr>
          <w:b/>
          <w:iCs/>
          <w:snapToGrid w:val="0"/>
          <w:kern w:val="22"/>
          <w:szCs w:val="22"/>
        </w:rPr>
        <w:br/>
      </w:r>
      <w:r w:rsidR="0099470B" w:rsidRPr="009543E3">
        <w:rPr>
          <w:b/>
          <w:iCs/>
          <w:snapToGrid w:val="0"/>
          <w:kern w:val="22"/>
          <w:szCs w:val="22"/>
        </w:rPr>
        <w:t xml:space="preserve">Working </w:t>
      </w:r>
      <w:r w:rsidR="00125B31" w:rsidRPr="009543E3">
        <w:rPr>
          <w:b/>
          <w:iCs/>
          <w:snapToGrid w:val="0"/>
          <w:kern w:val="22"/>
          <w:szCs w:val="22"/>
        </w:rPr>
        <w:t>c</w:t>
      </w:r>
      <w:r w:rsidR="0099470B" w:rsidRPr="009543E3">
        <w:rPr>
          <w:b/>
          <w:iCs/>
          <w:snapToGrid w:val="0"/>
          <w:kern w:val="22"/>
          <w:szCs w:val="22"/>
        </w:rPr>
        <w:t xml:space="preserve">apital </w:t>
      </w:r>
      <w:r w:rsidR="00125B31" w:rsidRPr="009543E3">
        <w:rPr>
          <w:b/>
          <w:iCs/>
          <w:snapToGrid w:val="0"/>
          <w:kern w:val="22"/>
          <w:szCs w:val="22"/>
        </w:rPr>
        <w:t>r</w:t>
      </w:r>
      <w:r w:rsidR="0099470B" w:rsidRPr="009543E3">
        <w:rPr>
          <w:b/>
          <w:iCs/>
          <w:snapToGrid w:val="0"/>
          <w:kern w:val="22"/>
          <w:szCs w:val="22"/>
        </w:rPr>
        <w:t>eserve</w:t>
      </w:r>
      <w:r w:rsidR="00FA149F" w:rsidRPr="009543E3">
        <w:rPr>
          <w:b/>
          <w:iCs/>
          <w:snapToGrid w:val="0"/>
          <w:kern w:val="22"/>
          <w:szCs w:val="22"/>
        </w:rPr>
        <w:t>s</w:t>
      </w:r>
      <w:r w:rsidR="0099470B" w:rsidRPr="009543E3">
        <w:rPr>
          <w:b/>
          <w:iCs/>
          <w:snapToGrid w:val="0"/>
          <w:kern w:val="22"/>
          <w:szCs w:val="22"/>
        </w:rPr>
        <w:t xml:space="preserve"> as at 31 December 2020</w:t>
      </w:r>
    </w:p>
    <w:p w14:paraId="7C1EFAEE" w14:textId="39899DE2" w:rsidR="007763A4" w:rsidRPr="009543E3" w:rsidRDefault="005170C3" w:rsidP="006914CE">
      <w:pPr>
        <w:keepNext/>
        <w:keepLines/>
        <w:suppressLineNumbers/>
        <w:suppressAutoHyphens/>
        <w:spacing w:after="120"/>
        <w:jc w:val="left"/>
        <w:rPr>
          <w:i/>
          <w:iCs/>
          <w:kern w:val="22"/>
          <w:szCs w:val="22"/>
        </w:rPr>
      </w:pPr>
      <w:r w:rsidRPr="009543E3">
        <w:rPr>
          <w:i/>
          <w:iCs/>
          <w:kern w:val="22"/>
          <w:szCs w:val="22"/>
        </w:rPr>
        <w:t>(Thousands of United States dollars)</w:t>
      </w:r>
    </w:p>
    <w:tbl>
      <w:tblPr>
        <w:tblW w:w="9099" w:type="dxa"/>
        <w:jc w:val="center"/>
        <w:tblLayout w:type="fixed"/>
        <w:tblLook w:val="04A0" w:firstRow="1" w:lastRow="0" w:firstColumn="1" w:lastColumn="0" w:noHBand="0" w:noVBand="1"/>
      </w:tblPr>
      <w:tblGrid>
        <w:gridCol w:w="3545"/>
        <w:gridCol w:w="1110"/>
        <w:gridCol w:w="1111"/>
        <w:gridCol w:w="1111"/>
        <w:gridCol w:w="1111"/>
        <w:gridCol w:w="1111"/>
      </w:tblGrid>
      <w:tr w:rsidR="00FE7EEB" w:rsidRPr="009543E3" w14:paraId="57345646" w14:textId="77777777" w:rsidTr="006914CE">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508EFDBF" w14:textId="59C497B0"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Trust fund</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18A97363"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2003-14</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37BC5F21"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2015-16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509A3760"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2017-18</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474B352B"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2019-20</w:t>
            </w:r>
          </w:p>
        </w:tc>
        <w:tc>
          <w:tcPr>
            <w:tcW w:w="1111" w:type="dxa"/>
            <w:tcBorders>
              <w:top w:val="single" w:sz="4" w:space="0" w:color="auto"/>
              <w:left w:val="single" w:sz="4" w:space="0" w:color="auto"/>
            </w:tcBorders>
            <w:shd w:val="clear" w:color="auto" w:fill="auto"/>
            <w:noWrap/>
            <w:hideMark/>
          </w:tcPr>
          <w:p w14:paraId="2B437D8D"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Total</w:t>
            </w:r>
          </w:p>
        </w:tc>
      </w:tr>
      <w:tr w:rsidR="00FE7EEB" w:rsidRPr="009543E3" w14:paraId="2AD90AF3"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13607B0"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BY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00D1B904" w14:textId="65FC2ED9"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w:t>
            </w:r>
            <w:r w:rsidR="00EC20CF" w:rsidRPr="009543E3">
              <w:rPr>
                <w:color w:val="000000"/>
                <w:kern w:val="22"/>
                <w:szCs w:val="22"/>
                <w:lang w:eastAsia="en-CA"/>
              </w:rPr>
              <w:t xml:space="preserve"> </w:t>
            </w:r>
            <w:r w:rsidRPr="009543E3">
              <w:rPr>
                <w:color w:val="000000"/>
                <w:kern w:val="22"/>
                <w:szCs w:val="22"/>
                <w:lang w:eastAsia="en-CA"/>
              </w:rPr>
              <w:t>324.4</w:t>
            </w:r>
          </w:p>
        </w:tc>
        <w:tc>
          <w:tcPr>
            <w:tcW w:w="1111" w:type="dxa"/>
            <w:tcBorders>
              <w:top w:val="nil"/>
              <w:left w:val="single" w:sz="4" w:space="0" w:color="auto"/>
              <w:bottom w:val="single" w:sz="4" w:space="0" w:color="auto"/>
              <w:right w:val="single" w:sz="4" w:space="0" w:color="auto"/>
            </w:tcBorders>
            <w:shd w:val="clear" w:color="auto" w:fill="auto"/>
            <w:noWrap/>
            <w:hideMark/>
          </w:tcPr>
          <w:p w14:paraId="08B38C46"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765.1</w:t>
            </w:r>
          </w:p>
        </w:tc>
        <w:tc>
          <w:tcPr>
            <w:tcW w:w="1111" w:type="dxa"/>
            <w:tcBorders>
              <w:top w:val="nil"/>
              <w:left w:val="single" w:sz="4" w:space="0" w:color="auto"/>
              <w:bottom w:val="single" w:sz="4" w:space="0" w:color="auto"/>
              <w:right w:val="single" w:sz="4" w:space="0" w:color="auto"/>
            </w:tcBorders>
            <w:shd w:val="clear" w:color="auto" w:fill="auto"/>
            <w:noWrap/>
            <w:hideMark/>
          </w:tcPr>
          <w:p w14:paraId="6B190749"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93.3</w:t>
            </w:r>
          </w:p>
        </w:tc>
        <w:tc>
          <w:tcPr>
            <w:tcW w:w="1111" w:type="dxa"/>
            <w:tcBorders>
              <w:top w:val="nil"/>
              <w:left w:val="single" w:sz="4" w:space="0" w:color="auto"/>
              <w:bottom w:val="single" w:sz="4" w:space="0" w:color="000000"/>
              <w:right w:val="single" w:sz="4" w:space="0" w:color="auto"/>
            </w:tcBorders>
            <w:shd w:val="clear" w:color="auto" w:fill="auto"/>
            <w:hideMark/>
          </w:tcPr>
          <w:p w14:paraId="3A396728"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138.6</w:t>
            </w:r>
          </w:p>
        </w:tc>
        <w:tc>
          <w:tcPr>
            <w:tcW w:w="1111" w:type="dxa"/>
            <w:tcBorders>
              <w:top w:val="nil"/>
              <w:left w:val="single" w:sz="4" w:space="0" w:color="auto"/>
            </w:tcBorders>
            <w:shd w:val="clear" w:color="auto" w:fill="auto"/>
            <w:noWrap/>
            <w:hideMark/>
          </w:tcPr>
          <w:p w14:paraId="47372D7E" w14:textId="169E3AF6"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w:t>
            </w:r>
            <w:r w:rsidR="00EC20CF" w:rsidRPr="009543E3">
              <w:rPr>
                <w:b/>
                <w:bCs/>
                <w:color w:val="000000"/>
                <w:kern w:val="22"/>
                <w:szCs w:val="22"/>
                <w:lang w:eastAsia="en-CA"/>
              </w:rPr>
              <w:t xml:space="preserve"> </w:t>
            </w:r>
            <w:r w:rsidRPr="009543E3">
              <w:rPr>
                <w:b/>
                <w:bCs/>
                <w:color w:val="000000"/>
                <w:kern w:val="22"/>
                <w:szCs w:val="22"/>
                <w:lang w:eastAsia="en-CA"/>
              </w:rPr>
              <w:t>321.4</w:t>
            </w:r>
          </w:p>
        </w:tc>
      </w:tr>
      <w:tr w:rsidR="00FE7EEB" w:rsidRPr="009543E3" w14:paraId="57C69E9F"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775307A5"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BG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475942BF"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293.8</w:t>
            </w:r>
          </w:p>
        </w:tc>
        <w:tc>
          <w:tcPr>
            <w:tcW w:w="1111" w:type="dxa"/>
            <w:tcBorders>
              <w:top w:val="nil"/>
              <w:left w:val="single" w:sz="4" w:space="0" w:color="auto"/>
              <w:bottom w:val="single" w:sz="4" w:space="0" w:color="auto"/>
              <w:right w:val="single" w:sz="4" w:space="0" w:color="auto"/>
            </w:tcBorders>
            <w:shd w:val="clear" w:color="auto" w:fill="auto"/>
            <w:noWrap/>
            <w:hideMark/>
          </w:tcPr>
          <w:p w14:paraId="46627254"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175.5</w:t>
            </w:r>
          </w:p>
        </w:tc>
        <w:tc>
          <w:tcPr>
            <w:tcW w:w="1111" w:type="dxa"/>
            <w:tcBorders>
              <w:top w:val="nil"/>
              <w:left w:val="single" w:sz="4" w:space="0" w:color="auto"/>
              <w:bottom w:val="single" w:sz="4" w:space="0" w:color="auto"/>
              <w:right w:val="single" w:sz="4" w:space="0" w:color="auto"/>
            </w:tcBorders>
            <w:shd w:val="clear" w:color="auto" w:fill="auto"/>
            <w:noWrap/>
            <w:hideMark/>
          </w:tcPr>
          <w:p w14:paraId="49C8CB4B"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19.7</w:t>
            </w:r>
          </w:p>
        </w:tc>
        <w:tc>
          <w:tcPr>
            <w:tcW w:w="1111" w:type="dxa"/>
            <w:tcBorders>
              <w:top w:val="nil"/>
              <w:left w:val="single" w:sz="4" w:space="0" w:color="auto"/>
              <w:bottom w:val="single" w:sz="4" w:space="0" w:color="000000"/>
              <w:right w:val="single" w:sz="4" w:space="0" w:color="auto"/>
            </w:tcBorders>
            <w:shd w:val="clear" w:color="auto" w:fill="auto"/>
            <w:hideMark/>
          </w:tcPr>
          <w:p w14:paraId="372BE0BA"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28.1</w:t>
            </w:r>
          </w:p>
        </w:tc>
        <w:tc>
          <w:tcPr>
            <w:tcW w:w="1111" w:type="dxa"/>
            <w:tcBorders>
              <w:top w:val="nil"/>
              <w:left w:val="single" w:sz="4" w:space="0" w:color="auto"/>
            </w:tcBorders>
            <w:shd w:val="clear" w:color="auto" w:fill="auto"/>
            <w:noWrap/>
            <w:hideMark/>
          </w:tcPr>
          <w:p w14:paraId="2959094D"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517.1</w:t>
            </w:r>
          </w:p>
        </w:tc>
      </w:tr>
      <w:tr w:rsidR="00FE7EEB" w:rsidRPr="009543E3" w14:paraId="206CDF42"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77C69DA3"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BB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199A61BD" w14:textId="2E1092BC" w:rsidR="00FE7EEB" w:rsidRPr="009543E3" w:rsidRDefault="00FE7EEB" w:rsidP="006914CE">
            <w:pPr>
              <w:suppressLineNumbers/>
              <w:suppressAutoHyphens/>
              <w:jc w:val="center"/>
              <w:rPr>
                <w:color w:val="000000"/>
                <w:kern w:val="22"/>
                <w:szCs w:val="22"/>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52A45C50"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95.5</w:t>
            </w:r>
          </w:p>
        </w:tc>
        <w:tc>
          <w:tcPr>
            <w:tcW w:w="1111" w:type="dxa"/>
            <w:tcBorders>
              <w:top w:val="nil"/>
              <w:left w:val="single" w:sz="4" w:space="0" w:color="auto"/>
              <w:bottom w:val="single" w:sz="4" w:space="0" w:color="auto"/>
              <w:right w:val="single" w:sz="4" w:space="0" w:color="auto"/>
            </w:tcBorders>
            <w:shd w:val="clear" w:color="auto" w:fill="auto"/>
            <w:noWrap/>
            <w:hideMark/>
          </w:tcPr>
          <w:p w14:paraId="06763BF0"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9.8</w:t>
            </w:r>
          </w:p>
        </w:tc>
        <w:tc>
          <w:tcPr>
            <w:tcW w:w="1111" w:type="dxa"/>
            <w:tcBorders>
              <w:top w:val="nil"/>
              <w:left w:val="single" w:sz="4" w:space="0" w:color="auto"/>
              <w:bottom w:val="single" w:sz="4" w:space="0" w:color="000000"/>
              <w:right w:val="single" w:sz="4" w:space="0" w:color="auto"/>
            </w:tcBorders>
            <w:shd w:val="clear" w:color="auto" w:fill="auto"/>
            <w:hideMark/>
          </w:tcPr>
          <w:p w14:paraId="00E6159F"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20.6</w:t>
            </w:r>
          </w:p>
        </w:tc>
        <w:tc>
          <w:tcPr>
            <w:tcW w:w="1111" w:type="dxa"/>
            <w:tcBorders>
              <w:top w:val="nil"/>
              <w:left w:val="single" w:sz="4" w:space="0" w:color="auto"/>
            </w:tcBorders>
            <w:shd w:val="clear" w:color="auto" w:fill="auto"/>
            <w:noWrap/>
            <w:hideMark/>
          </w:tcPr>
          <w:p w14:paraId="15D8276B"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125.9</w:t>
            </w:r>
          </w:p>
        </w:tc>
      </w:tr>
      <w:tr w:rsidR="00FE7EEB" w:rsidRPr="009543E3" w14:paraId="3DD85213"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E3E640F" w14:textId="77777777" w:rsidR="00FE7EEB" w:rsidRPr="009543E3" w:rsidRDefault="00FE7EEB" w:rsidP="006914CE">
            <w:pPr>
              <w:suppressLineNumbers/>
              <w:suppressAutoHyphens/>
              <w:rPr>
                <w:b/>
                <w:bCs/>
                <w:color w:val="000000"/>
                <w:kern w:val="22"/>
                <w:szCs w:val="22"/>
                <w:lang w:eastAsia="en-CA"/>
              </w:rPr>
            </w:pPr>
            <w:r w:rsidRPr="009543E3">
              <w:rPr>
                <w:b/>
                <w:bCs/>
                <w:color w:val="000000"/>
                <w:kern w:val="22"/>
                <w:szCs w:val="22"/>
                <w:lang w:eastAsia="en-CA"/>
              </w:rPr>
              <w:t>Total</w:t>
            </w:r>
          </w:p>
        </w:tc>
        <w:tc>
          <w:tcPr>
            <w:tcW w:w="1110" w:type="dxa"/>
            <w:tcBorders>
              <w:top w:val="nil"/>
              <w:left w:val="single" w:sz="4" w:space="0" w:color="auto"/>
              <w:bottom w:val="single" w:sz="4" w:space="0" w:color="auto"/>
              <w:right w:val="single" w:sz="4" w:space="0" w:color="auto"/>
            </w:tcBorders>
            <w:shd w:val="clear" w:color="auto" w:fill="auto"/>
            <w:noWrap/>
            <w:hideMark/>
          </w:tcPr>
          <w:p w14:paraId="2A916187" w14:textId="4F48BA12"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w:t>
            </w:r>
            <w:r w:rsidR="00EC20CF" w:rsidRPr="009543E3">
              <w:rPr>
                <w:b/>
                <w:bCs/>
                <w:color w:val="000000"/>
                <w:kern w:val="22"/>
                <w:szCs w:val="22"/>
                <w:lang w:eastAsia="en-CA"/>
              </w:rPr>
              <w:t xml:space="preserve"> </w:t>
            </w:r>
            <w:r w:rsidRPr="009543E3">
              <w:rPr>
                <w:b/>
                <w:bCs/>
                <w:color w:val="000000"/>
                <w:kern w:val="22"/>
                <w:szCs w:val="22"/>
                <w:lang w:eastAsia="en-CA"/>
              </w:rPr>
              <w:t>618.2</w:t>
            </w:r>
          </w:p>
        </w:tc>
        <w:tc>
          <w:tcPr>
            <w:tcW w:w="1111" w:type="dxa"/>
            <w:tcBorders>
              <w:top w:val="nil"/>
              <w:left w:val="single" w:sz="4" w:space="0" w:color="auto"/>
              <w:bottom w:val="single" w:sz="4" w:space="0" w:color="auto"/>
              <w:right w:val="single" w:sz="4" w:space="0" w:color="auto"/>
            </w:tcBorders>
            <w:shd w:val="clear" w:color="auto" w:fill="auto"/>
            <w:noWrap/>
            <w:hideMark/>
          </w:tcPr>
          <w:p w14:paraId="265735DC" w14:textId="3417220D"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w:t>
            </w:r>
            <w:r w:rsidR="00EC20CF" w:rsidRPr="009543E3">
              <w:rPr>
                <w:b/>
                <w:bCs/>
                <w:color w:val="000000"/>
                <w:kern w:val="22"/>
                <w:szCs w:val="22"/>
                <w:lang w:eastAsia="en-CA"/>
              </w:rPr>
              <w:t xml:space="preserve"> </w:t>
            </w:r>
            <w:r w:rsidRPr="009543E3">
              <w:rPr>
                <w:b/>
                <w:bCs/>
                <w:color w:val="000000"/>
                <w:kern w:val="22"/>
                <w:szCs w:val="22"/>
                <w:lang w:eastAsia="en-CA"/>
              </w:rPr>
              <w:t>036.1</w:t>
            </w:r>
          </w:p>
        </w:tc>
        <w:tc>
          <w:tcPr>
            <w:tcW w:w="1111" w:type="dxa"/>
            <w:tcBorders>
              <w:top w:val="nil"/>
              <w:left w:val="single" w:sz="4" w:space="0" w:color="auto"/>
              <w:bottom w:val="single" w:sz="4" w:space="0" w:color="auto"/>
              <w:right w:val="single" w:sz="4" w:space="0" w:color="auto"/>
            </w:tcBorders>
            <w:shd w:val="clear" w:color="auto" w:fill="auto"/>
            <w:noWrap/>
            <w:hideMark/>
          </w:tcPr>
          <w:p w14:paraId="7ABA0D23"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122.8</w:t>
            </w:r>
          </w:p>
        </w:tc>
        <w:tc>
          <w:tcPr>
            <w:tcW w:w="1111" w:type="dxa"/>
            <w:tcBorders>
              <w:top w:val="nil"/>
              <w:left w:val="single" w:sz="4" w:space="0" w:color="auto"/>
              <w:bottom w:val="single" w:sz="4" w:space="0" w:color="auto"/>
              <w:right w:val="single" w:sz="4" w:space="0" w:color="auto"/>
            </w:tcBorders>
            <w:shd w:val="clear" w:color="auto" w:fill="auto"/>
            <w:noWrap/>
            <w:hideMark/>
          </w:tcPr>
          <w:p w14:paraId="4E96FE36"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187.3</w:t>
            </w:r>
          </w:p>
        </w:tc>
        <w:tc>
          <w:tcPr>
            <w:tcW w:w="1111" w:type="dxa"/>
            <w:tcBorders>
              <w:top w:val="nil"/>
              <w:left w:val="single" w:sz="4" w:space="0" w:color="auto"/>
            </w:tcBorders>
            <w:shd w:val="clear" w:color="auto" w:fill="auto"/>
            <w:noWrap/>
            <w:hideMark/>
          </w:tcPr>
          <w:p w14:paraId="11A33942" w14:textId="76821A92"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w:t>
            </w:r>
            <w:r w:rsidR="00EC20CF" w:rsidRPr="009543E3">
              <w:rPr>
                <w:b/>
                <w:bCs/>
                <w:color w:val="000000"/>
                <w:kern w:val="22"/>
                <w:szCs w:val="22"/>
                <w:lang w:eastAsia="en-CA"/>
              </w:rPr>
              <w:t xml:space="preserve"> </w:t>
            </w:r>
            <w:r w:rsidRPr="009543E3">
              <w:rPr>
                <w:b/>
                <w:bCs/>
                <w:color w:val="000000"/>
                <w:kern w:val="22"/>
                <w:szCs w:val="22"/>
                <w:lang w:eastAsia="en-CA"/>
              </w:rPr>
              <w:t>964.4</w:t>
            </w:r>
          </w:p>
        </w:tc>
      </w:tr>
    </w:tbl>
    <w:p w14:paraId="70100897" w14:textId="4DDC1BC9" w:rsidR="00317D76" w:rsidRPr="009543E3" w:rsidRDefault="005A4571" w:rsidP="006914CE">
      <w:pPr>
        <w:pStyle w:val="ListParagraph"/>
        <w:numPr>
          <w:ilvl w:val="0"/>
          <w:numId w:val="19"/>
        </w:numPr>
        <w:suppressLineNumbers/>
        <w:suppressAutoHyphens/>
        <w:spacing w:before="240" w:after="120"/>
        <w:ind w:left="0" w:firstLine="0"/>
        <w:contextualSpacing w:val="0"/>
        <w:rPr>
          <w:kern w:val="22"/>
          <w:szCs w:val="22"/>
        </w:rPr>
      </w:pPr>
      <w:r w:rsidRPr="009543E3">
        <w:rPr>
          <w:kern w:val="22"/>
          <w:szCs w:val="22"/>
        </w:rPr>
        <w:t>The cumulative surplus (not including the working capital reserve of US$</w:t>
      </w:r>
      <w:r w:rsidR="005B0EBA" w:rsidRPr="009543E3">
        <w:rPr>
          <w:kern w:val="22"/>
          <w:szCs w:val="22"/>
        </w:rPr>
        <w:t> </w:t>
      </w:r>
      <w:r w:rsidRPr="009543E3">
        <w:rPr>
          <w:kern w:val="22"/>
          <w:szCs w:val="22"/>
        </w:rPr>
        <w:t>2,964,</w:t>
      </w:r>
      <w:r w:rsidR="002B3874" w:rsidRPr="009543E3">
        <w:rPr>
          <w:kern w:val="22"/>
          <w:szCs w:val="22"/>
        </w:rPr>
        <w:t>4</w:t>
      </w:r>
      <w:r w:rsidRPr="009543E3">
        <w:rPr>
          <w:kern w:val="22"/>
          <w:szCs w:val="22"/>
        </w:rPr>
        <w:t>00) in the three trust funds (BY, BG and BB) is estimated at US$</w:t>
      </w:r>
      <w:r w:rsidR="005B0EBA" w:rsidRPr="009543E3">
        <w:rPr>
          <w:kern w:val="22"/>
          <w:szCs w:val="22"/>
        </w:rPr>
        <w:t> </w:t>
      </w:r>
      <w:r w:rsidRPr="009543E3">
        <w:rPr>
          <w:kern w:val="22"/>
          <w:szCs w:val="22"/>
        </w:rPr>
        <w:t>7 million at the end of 2020 and US$</w:t>
      </w:r>
      <w:r w:rsidR="00E047D7" w:rsidRPr="009543E3">
        <w:rPr>
          <w:kern w:val="22"/>
          <w:szCs w:val="22"/>
        </w:rPr>
        <w:t> </w:t>
      </w:r>
      <w:r w:rsidRPr="009543E3">
        <w:rPr>
          <w:kern w:val="22"/>
          <w:szCs w:val="22"/>
        </w:rPr>
        <w:t xml:space="preserve">2.9 million after accounting for expenditure in 2021 from the existing budget as at 31 December 2021. The projection </w:t>
      </w:r>
      <w:proofErr w:type="gramStart"/>
      <w:r w:rsidRPr="009543E3">
        <w:rPr>
          <w:kern w:val="22"/>
          <w:szCs w:val="22"/>
        </w:rPr>
        <w:t>is based on the assumption</w:t>
      </w:r>
      <w:proofErr w:type="gramEnd"/>
      <w:r w:rsidRPr="009543E3">
        <w:rPr>
          <w:kern w:val="22"/>
          <w:szCs w:val="22"/>
        </w:rPr>
        <w:t xml:space="preserve"> that no further collection of assessed contributions for 2020 and prior years will be received by the Secretariat.</w:t>
      </w:r>
    </w:p>
    <w:p w14:paraId="518556C9" w14:textId="1022D2E0" w:rsidR="0054727D" w:rsidRPr="009543E3" w:rsidRDefault="0054727D" w:rsidP="006914CE">
      <w:pPr>
        <w:keepNext/>
        <w:suppressLineNumbers/>
        <w:suppressAutoHyphens/>
        <w:spacing w:before="120"/>
        <w:jc w:val="left"/>
        <w:rPr>
          <w:b/>
          <w:bCs/>
          <w:kern w:val="22"/>
          <w:szCs w:val="22"/>
        </w:rPr>
      </w:pPr>
      <w:r w:rsidRPr="009543E3">
        <w:rPr>
          <w:b/>
          <w:bCs/>
          <w:kern w:val="22"/>
          <w:szCs w:val="22"/>
        </w:rPr>
        <w:lastRenderedPageBreak/>
        <w:t xml:space="preserve">Table </w:t>
      </w:r>
      <w:r w:rsidR="00B8572D" w:rsidRPr="009543E3">
        <w:rPr>
          <w:b/>
          <w:bCs/>
          <w:kern w:val="22"/>
          <w:szCs w:val="22"/>
        </w:rPr>
        <w:t>4</w:t>
      </w:r>
      <w:r w:rsidR="009C274E" w:rsidRPr="009543E3">
        <w:rPr>
          <w:b/>
          <w:bCs/>
          <w:kern w:val="22"/>
          <w:szCs w:val="22"/>
        </w:rPr>
        <w:br/>
      </w:r>
      <w:r w:rsidR="0076581C" w:rsidRPr="009543E3">
        <w:rPr>
          <w:b/>
          <w:bCs/>
          <w:kern w:val="22"/>
          <w:szCs w:val="22"/>
        </w:rPr>
        <w:t>Projected cumulative surplus</w:t>
      </w:r>
      <w:r w:rsidR="00E27FDF" w:rsidRPr="009543E3">
        <w:rPr>
          <w:b/>
          <w:bCs/>
          <w:kern w:val="22"/>
          <w:szCs w:val="22"/>
        </w:rPr>
        <w:t xml:space="preserve"> (excluding the working capital reserve)</w:t>
      </w:r>
    </w:p>
    <w:p w14:paraId="5FE2C235" w14:textId="46296C65" w:rsidR="009C274E" w:rsidRPr="009543E3" w:rsidRDefault="00A654EE" w:rsidP="006914CE">
      <w:pPr>
        <w:keepNext/>
        <w:keepLines/>
        <w:suppressLineNumbers/>
        <w:suppressAutoHyphens/>
        <w:spacing w:after="120"/>
        <w:jc w:val="left"/>
        <w:rPr>
          <w:i/>
          <w:iCs/>
          <w:kern w:val="22"/>
          <w:szCs w:val="22"/>
        </w:rPr>
      </w:pPr>
      <w:r w:rsidRPr="009543E3">
        <w:rPr>
          <w:i/>
          <w:iCs/>
          <w:kern w:val="22"/>
          <w:szCs w:val="22"/>
        </w:rPr>
        <w:t>(Millions of United States dollars)</w:t>
      </w:r>
    </w:p>
    <w:tbl>
      <w:tblPr>
        <w:tblStyle w:val="TableGrid"/>
        <w:tblW w:w="0" w:type="auto"/>
        <w:tblLook w:val="04A0" w:firstRow="1" w:lastRow="0" w:firstColumn="1" w:lastColumn="0" w:noHBand="0" w:noVBand="1"/>
      </w:tblPr>
      <w:tblGrid>
        <w:gridCol w:w="2263"/>
        <w:gridCol w:w="1725"/>
        <w:gridCol w:w="1725"/>
        <w:gridCol w:w="1725"/>
        <w:gridCol w:w="1726"/>
      </w:tblGrid>
      <w:tr w:rsidR="0054727D" w:rsidRPr="009543E3" w14:paraId="06490D2A" w14:textId="77777777" w:rsidTr="006914CE">
        <w:tc>
          <w:tcPr>
            <w:tcW w:w="2263" w:type="dxa"/>
          </w:tcPr>
          <w:p w14:paraId="035F2CAC" w14:textId="422510B4" w:rsidR="0054727D" w:rsidRPr="009543E3" w:rsidRDefault="00240F79" w:rsidP="006914CE">
            <w:pPr>
              <w:keepNext/>
              <w:suppressLineNumbers/>
              <w:suppressAutoHyphens/>
              <w:jc w:val="center"/>
              <w:rPr>
                <w:i/>
                <w:iCs/>
                <w:kern w:val="22"/>
                <w:sz w:val="22"/>
                <w:szCs w:val="22"/>
              </w:rPr>
            </w:pPr>
            <w:r w:rsidRPr="009543E3">
              <w:rPr>
                <w:i/>
                <w:iCs/>
                <w:kern w:val="22"/>
                <w:sz w:val="22"/>
                <w:szCs w:val="22"/>
              </w:rPr>
              <w:t>Date</w:t>
            </w:r>
          </w:p>
        </w:tc>
        <w:tc>
          <w:tcPr>
            <w:tcW w:w="1725" w:type="dxa"/>
          </w:tcPr>
          <w:p w14:paraId="7541792E"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Convention</w:t>
            </w:r>
          </w:p>
        </w:tc>
        <w:tc>
          <w:tcPr>
            <w:tcW w:w="1725" w:type="dxa"/>
          </w:tcPr>
          <w:p w14:paraId="6BD2CA7A"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Cartagena Protocol</w:t>
            </w:r>
          </w:p>
        </w:tc>
        <w:tc>
          <w:tcPr>
            <w:tcW w:w="1725" w:type="dxa"/>
          </w:tcPr>
          <w:p w14:paraId="10AE9266"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Nagoya Protocol</w:t>
            </w:r>
          </w:p>
        </w:tc>
        <w:tc>
          <w:tcPr>
            <w:tcW w:w="1726" w:type="dxa"/>
          </w:tcPr>
          <w:p w14:paraId="14331213"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Total</w:t>
            </w:r>
          </w:p>
        </w:tc>
      </w:tr>
      <w:tr w:rsidR="0054727D" w:rsidRPr="009543E3" w14:paraId="1F5CD93B" w14:textId="77777777" w:rsidTr="006914CE">
        <w:tc>
          <w:tcPr>
            <w:tcW w:w="2263" w:type="dxa"/>
          </w:tcPr>
          <w:p w14:paraId="14CEDCD3" w14:textId="22FEA88D" w:rsidR="0054727D" w:rsidRPr="009543E3" w:rsidRDefault="00A10285" w:rsidP="006914CE">
            <w:pPr>
              <w:keepNext/>
              <w:suppressLineNumbers/>
              <w:suppressAutoHyphens/>
              <w:jc w:val="left"/>
              <w:rPr>
                <w:kern w:val="22"/>
                <w:sz w:val="22"/>
                <w:szCs w:val="22"/>
              </w:rPr>
            </w:pPr>
            <w:r w:rsidRPr="009543E3">
              <w:rPr>
                <w:kern w:val="22"/>
                <w:sz w:val="22"/>
                <w:szCs w:val="22"/>
              </w:rPr>
              <w:t>Reserves</w:t>
            </w:r>
            <w:r w:rsidR="0054727D" w:rsidRPr="009543E3">
              <w:rPr>
                <w:kern w:val="22"/>
                <w:sz w:val="22"/>
                <w:szCs w:val="22"/>
              </w:rPr>
              <w:t xml:space="preserve"> as at 31</w:t>
            </w:r>
            <w:r w:rsidR="0045329A" w:rsidRPr="009543E3">
              <w:rPr>
                <w:kern w:val="22"/>
                <w:sz w:val="22"/>
                <w:szCs w:val="22"/>
              </w:rPr>
              <w:t> </w:t>
            </w:r>
            <w:r w:rsidR="0054727D" w:rsidRPr="009543E3">
              <w:rPr>
                <w:kern w:val="22"/>
                <w:sz w:val="22"/>
                <w:szCs w:val="22"/>
              </w:rPr>
              <w:t>December 2020</w:t>
            </w:r>
          </w:p>
        </w:tc>
        <w:tc>
          <w:tcPr>
            <w:tcW w:w="1725" w:type="dxa"/>
            <w:vAlign w:val="center"/>
          </w:tcPr>
          <w:p w14:paraId="5EFA465E" w14:textId="1E94F6ED" w:rsidR="0054727D" w:rsidRPr="009543E3" w:rsidRDefault="0076581C" w:rsidP="006914CE">
            <w:pPr>
              <w:keepNext/>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4.6</w:t>
            </w:r>
          </w:p>
        </w:tc>
        <w:tc>
          <w:tcPr>
            <w:tcW w:w="1725" w:type="dxa"/>
            <w:vAlign w:val="center"/>
          </w:tcPr>
          <w:p w14:paraId="426A7B6F" w14:textId="09600A11" w:rsidR="0054727D" w:rsidRPr="009543E3" w:rsidRDefault="0054727D" w:rsidP="006914CE">
            <w:pPr>
              <w:keepNext/>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1.9</w:t>
            </w:r>
          </w:p>
        </w:tc>
        <w:tc>
          <w:tcPr>
            <w:tcW w:w="1725" w:type="dxa"/>
            <w:vAlign w:val="center"/>
          </w:tcPr>
          <w:p w14:paraId="0A0E31C3" w14:textId="6FB933F9" w:rsidR="0054727D" w:rsidRPr="009543E3" w:rsidRDefault="0054727D" w:rsidP="006914CE">
            <w:pPr>
              <w:keepNext/>
              <w:suppressLineNumbers/>
              <w:suppressAutoHyphens/>
              <w:ind w:right="567"/>
              <w:jc w:val="right"/>
              <w:rPr>
                <w:kern w:val="22"/>
                <w:sz w:val="22"/>
                <w:szCs w:val="22"/>
              </w:rPr>
            </w:pPr>
            <w:r w:rsidRPr="009543E3">
              <w:rPr>
                <w:kern w:val="22"/>
                <w:sz w:val="22"/>
                <w:szCs w:val="22"/>
              </w:rPr>
              <w:t>$0.</w:t>
            </w:r>
            <w:r w:rsidR="00317D76" w:rsidRPr="009543E3">
              <w:rPr>
                <w:kern w:val="22"/>
                <w:sz w:val="22"/>
                <w:szCs w:val="22"/>
              </w:rPr>
              <w:t>5</w:t>
            </w:r>
          </w:p>
        </w:tc>
        <w:tc>
          <w:tcPr>
            <w:tcW w:w="1726" w:type="dxa"/>
            <w:vAlign w:val="center"/>
          </w:tcPr>
          <w:p w14:paraId="5D97B08C" w14:textId="2F0BBBCA" w:rsidR="0054727D" w:rsidRPr="009543E3" w:rsidRDefault="0054727D" w:rsidP="006914CE">
            <w:pPr>
              <w:keepNext/>
              <w:suppressLineNumbers/>
              <w:suppressAutoHyphens/>
              <w:ind w:right="567"/>
              <w:jc w:val="right"/>
              <w:rPr>
                <w:b/>
                <w:kern w:val="22"/>
                <w:sz w:val="22"/>
                <w:szCs w:val="22"/>
              </w:rPr>
            </w:pPr>
            <w:r w:rsidRPr="009543E3">
              <w:rPr>
                <w:b/>
                <w:kern w:val="22"/>
                <w:sz w:val="22"/>
                <w:szCs w:val="22"/>
              </w:rPr>
              <w:t>$</w:t>
            </w:r>
            <w:r w:rsidR="00317D76" w:rsidRPr="009543E3">
              <w:rPr>
                <w:b/>
                <w:kern w:val="22"/>
                <w:sz w:val="22"/>
                <w:szCs w:val="22"/>
              </w:rPr>
              <w:t>7</w:t>
            </w:r>
          </w:p>
        </w:tc>
      </w:tr>
      <w:tr w:rsidR="00814086" w:rsidRPr="009543E3" w14:paraId="27D1D859" w14:textId="77777777" w:rsidTr="006914CE">
        <w:tc>
          <w:tcPr>
            <w:tcW w:w="2263" w:type="dxa"/>
          </w:tcPr>
          <w:p w14:paraId="7799E017" w14:textId="702FF03F" w:rsidR="00814086" w:rsidRPr="009543E3" w:rsidRDefault="00E27FDF" w:rsidP="006914CE">
            <w:pPr>
              <w:suppressLineNumbers/>
              <w:suppressAutoHyphens/>
              <w:jc w:val="left"/>
              <w:rPr>
                <w:kern w:val="22"/>
                <w:sz w:val="22"/>
                <w:szCs w:val="22"/>
              </w:rPr>
            </w:pPr>
            <w:r w:rsidRPr="009543E3">
              <w:rPr>
                <w:kern w:val="22"/>
                <w:sz w:val="22"/>
                <w:szCs w:val="22"/>
              </w:rPr>
              <w:t>Reserves as at 31</w:t>
            </w:r>
            <w:r w:rsidR="0045329A" w:rsidRPr="009543E3">
              <w:rPr>
                <w:kern w:val="22"/>
                <w:sz w:val="22"/>
                <w:szCs w:val="22"/>
              </w:rPr>
              <w:t> </w:t>
            </w:r>
            <w:r w:rsidRPr="009543E3">
              <w:rPr>
                <w:kern w:val="22"/>
                <w:sz w:val="22"/>
                <w:szCs w:val="22"/>
              </w:rPr>
              <w:t>December 2021</w:t>
            </w:r>
          </w:p>
        </w:tc>
        <w:tc>
          <w:tcPr>
            <w:tcW w:w="1725" w:type="dxa"/>
            <w:vAlign w:val="center"/>
          </w:tcPr>
          <w:p w14:paraId="6536C392" w14:textId="7A20A61B"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1.6</w:t>
            </w:r>
            <w:r w:rsidR="00331DC8" w:rsidRPr="009543E3">
              <w:rPr>
                <w:kern w:val="22"/>
                <w:sz w:val="22"/>
                <w:szCs w:val="22"/>
              </w:rPr>
              <w:t xml:space="preserve"> </w:t>
            </w:r>
          </w:p>
        </w:tc>
        <w:tc>
          <w:tcPr>
            <w:tcW w:w="1725" w:type="dxa"/>
            <w:vAlign w:val="center"/>
          </w:tcPr>
          <w:p w14:paraId="00F9A391" w14:textId="4FFD796C"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1.3</w:t>
            </w:r>
          </w:p>
        </w:tc>
        <w:tc>
          <w:tcPr>
            <w:tcW w:w="1725" w:type="dxa"/>
            <w:vAlign w:val="center"/>
          </w:tcPr>
          <w:p w14:paraId="040497E5" w14:textId="4A280A49"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E45988" w:rsidRPr="009543E3">
              <w:rPr>
                <w:kern w:val="22"/>
                <w:sz w:val="22"/>
                <w:szCs w:val="22"/>
              </w:rPr>
              <w:t>0.</w:t>
            </w:r>
            <w:r w:rsidR="00317D76" w:rsidRPr="009543E3">
              <w:rPr>
                <w:kern w:val="22"/>
                <w:sz w:val="22"/>
                <w:szCs w:val="22"/>
              </w:rPr>
              <w:t>05</w:t>
            </w:r>
          </w:p>
        </w:tc>
        <w:tc>
          <w:tcPr>
            <w:tcW w:w="1726" w:type="dxa"/>
            <w:vAlign w:val="center"/>
          </w:tcPr>
          <w:p w14:paraId="3F43D1BB" w14:textId="7D1F7B7E" w:rsidR="00814086" w:rsidRPr="009543E3" w:rsidRDefault="0076581C" w:rsidP="006914CE">
            <w:pPr>
              <w:suppressLineNumbers/>
              <w:suppressAutoHyphens/>
              <w:ind w:right="567"/>
              <w:jc w:val="right"/>
              <w:rPr>
                <w:b/>
                <w:kern w:val="22"/>
                <w:sz w:val="22"/>
                <w:szCs w:val="22"/>
              </w:rPr>
            </w:pPr>
            <w:r w:rsidRPr="009543E3">
              <w:rPr>
                <w:b/>
                <w:kern w:val="22"/>
                <w:sz w:val="22"/>
                <w:szCs w:val="22"/>
              </w:rPr>
              <w:t>$</w:t>
            </w:r>
            <w:r w:rsidR="00317D76" w:rsidRPr="009543E3">
              <w:rPr>
                <w:b/>
                <w:kern w:val="22"/>
                <w:sz w:val="22"/>
                <w:szCs w:val="22"/>
              </w:rPr>
              <w:t>2.95</w:t>
            </w:r>
          </w:p>
        </w:tc>
      </w:tr>
    </w:tbl>
    <w:p w14:paraId="2C859224" w14:textId="0E7D825C" w:rsidR="00321839" w:rsidRPr="009543E3" w:rsidRDefault="00CB5900" w:rsidP="006914CE">
      <w:pPr>
        <w:pStyle w:val="Default"/>
        <w:keepNext/>
        <w:numPr>
          <w:ilvl w:val="0"/>
          <w:numId w:val="20"/>
        </w:numPr>
        <w:suppressLineNumbers/>
        <w:suppressAutoHyphens/>
        <w:spacing w:before="240" w:after="120"/>
        <w:ind w:left="1134" w:hanging="567"/>
        <w:jc w:val="both"/>
        <w:outlineLvl w:val="0"/>
        <w:rPr>
          <w:caps/>
          <w:kern w:val="22"/>
          <w:sz w:val="22"/>
          <w:szCs w:val="22"/>
        </w:rPr>
      </w:pPr>
      <w:r w:rsidRPr="009543E3">
        <w:rPr>
          <w:rFonts w:eastAsiaTheme="minorEastAsia"/>
          <w:b/>
          <w:caps/>
          <w:kern w:val="22"/>
          <w:sz w:val="22"/>
          <w:szCs w:val="22"/>
          <w:lang w:val="en-GB"/>
        </w:rPr>
        <w:t xml:space="preserve">Proposal </w:t>
      </w:r>
      <w:r w:rsidR="00F56269" w:rsidRPr="009543E3">
        <w:rPr>
          <w:rFonts w:eastAsiaTheme="minorEastAsia"/>
          <w:b/>
          <w:caps/>
          <w:kern w:val="22"/>
          <w:sz w:val="22"/>
          <w:szCs w:val="22"/>
          <w:lang w:val="en-GB"/>
        </w:rPr>
        <w:t>to extend the validity of the approved integrated budget for 2019</w:t>
      </w:r>
      <w:r w:rsidR="00A52C8C" w:rsidRPr="009543E3">
        <w:rPr>
          <w:rFonts w:eastAsiaTheme="minorEastAsia"/>
          <w:b/>
          <w:caps/>
          <w:kern w:val="22"/>
          <w:sz w:val="22"/>
          <w:szCs w:val="22"/>
          <w:lang w:val="en-GB"/>
        </w:rPr>
        <w:t>-</w:t>
      </w:r>
      <w:r w:rsidR="00F56269" w:rsidRPr="009543E3">
        <w:rPr>
          <w:rFonts w:eastAsiaTheme="minorEastAsia"/>
          <w:b/>
          <w:caps/>
          <w:kern w:val="22"/>
          <w:sz w:val="22"/>
          <w:szCs w:val="22"/>
          <w:lang w:val="en-GB"/>
        </w:rPr>
        <w:t>2020</w:t>
      </w:r>
    </w:p>
    <w:p w14:paraId="4FBA59BD" w14:textId="76EEF89E" w:rsidR="0058524C" w:rsidRPr="009543E3" w:rsidRDefault="007A57DB"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 xml:space="preserve">Due to the various restrictions imposed by Governments </w:t>
      </w:r>
      <w:r w:rsidR="001A7511" w:rsidRPr="009543E3">
        <w:rPr>
          <w:iCs/>
          <w:kern w:val="22"/>
          <w:szCs w:val="22"/>
        </w:rPr>
        <w:t xml:space="preserve">around </w:t>
      </w:r>
      <w:r w:rsidRPr="009543E3">
        <w:rPr>
          <w:iCs/>
          <w:kern w:val="22"/>
          <w:szCs w:val="22"/>
        </w:rPr>
        <w:t xml:space="preserve">the world to fight </w:t>
      </w:r>
      <w:r w:rsidR="001A7511" w:rsidRPr="009543E3">
        <w:rPr>
          <w:iCs/>
          <w:kern w:val="22"/>
          <w:szCs w:val="22"/>
        </w:rPr>
        <w:t xml:space="preserve">the </w:t>
      </w:r>
      <w:r w:rsidRPr="009543E3">
        <w:rPr>
          <w:iCs/>
          <w:kern w:val="22"/>
          <w:szCs w:val="22"/>
        </w:rPr>
        <w:t xml:space="preserve">COVID-19 pandemic and the uncertainties associated with the pandemic and the nature and duration of the response measures by each Government, </w:t>
      </w:r>
      <w:r w:rsidR="00FC2A54" w:rsidRPr="009543E3">
        <w:rPr>
          <w:iCs/>
          <w:kern w:val="22"/>
          <w:szCs w:val="22"/>
        </w:rPr>
        <w:t>the</w:t>
      </w:r>
      <w:r w:rsidR="00FC2A54" w:rsidRPr="009543E3">
        <w:rPr>
          <w:rFonts w:eastAsia="Malgun Gothic"/>
          <w:color w:val="000000" w:themeColor="text1"/>
          <w:kern w:val="22"/>
          <w:szCs w:val="22"/>
          <w:lang w:eastAsia="x-none"/>
        </w:rPr>
        <w:t xml:space="preserve"> fifteenth meeting of the Conference of the Parties</w:t>
      </w:r>
      <w:r w:rsidRPr="009543E3">
        <w:rPr>
          <w:iCs/>
          <w:kern w:val="22"/>
          <w:szCs w:val="22"/>
        </w:rPr>
        <w:t xml:space="preserve"> </w:t>
      </w:r>
      <w:r w:rsidR="0058524C" w:rsidRPr="009543E3">
        <w:rPr>
          <w:iCs/>
          <w:kern w:val="22"/>
          <w:szCs w:val="22"/>
        </w:rPr>
        <w:t>and the concurrent meetings of the governing bodies of the Protocols</w:t>
      </w:r>
      <w:r w:rsidR="00C97CC3" w:rsidRPr="009543E3">
        <w:rPr>
          <w:iCs/>
          <w:kern w:val="22"/>
          <w:szCs w:val="22"/>
        </w:rPr>
        <w:t xml:space="preserve">, </w:t>
      </w:r>
      <w:r w:rsidR="00CB5900" w:rsidRPr="009543E3">
        <w:rPr>
          <w:iCs/>
          <w:kern w:val="22"/>
          <w:szCs w:val="22"/>
        </w:rPr>
        <w:t xml:space="preserve">physical meetings of </w:t>
      </w:r>
      <w:r w:rsidR="0003781E" w:rsidRPr="009543E3">
        <w:rPr>
          <w:iCs/>
          <w:kern w:val="22"/>
          <w:szCs w:val="22"/>
        </w:rPr>
        <w:t>the two subsidiary bodies</w:t>
      </w:r>
      <w:r w:rsidR="00CA3782" w:rsidRPr="009543E3">
        <w:rPr>
          <w:iCs/>
          <w:kern w:val="22"/>
          <w:szCs w:val="22"/>
        </w:rPr>
        <w:t xml:space="preserve"> </w:t>
      </w:r>
      <w:r w:rsidR="00C97CC3" w:rsidRPr="009543E3">
        <w:rPr>
          <w:iCs/>
          <w:kern w:val="22"/>
          <w:szCs w:val="22"/>
        </w:rPr>
        <w:t xml:space="preserve">as well as the third meeting of </w:t>
      </w:r>
      <w:r w:rsidR="0003781E" w:rsidRPr="009543E3">
        <w:rPr>
          <w:iCs/>
          <w:kern w:val="22"/>
          <w:szCs w:val="22"/>
        </w:rPr>
        <w:t xml:space="preserve">the </w:t>
      </w:r>
      <w:r w:rsidR="0003781E" w:rsidRPr="009543E3">
        <w:rPr>
          <w:rFonts w:eastAsiaTheme="minorEastAsia"/>
          <w:kern w:val="18"/>
          <w:szCs w:val="22"/>
        </w:rPr>
        <w:t>Working Group on the Post-2020 Global Biodiversity Framework</w:t>
      </w:r>
      <w:r w:rsidR="00C97CC3" w:rsidRPr="009543E3">
        <w:rPr>
          <w:iCs/>
          <w:kern w:val="22"/>
          <w:szCs w:val="22"/>
        </w:rPr>
        <w:t>,</w:t>
      </w:r>
      <w:r w:rsidR="0058524C" w:rsidRPr="009543E3">
        <w:rPr>
          <w:iCs/>
          <w:kern w:val="22"/>
          <w:szCs w:val="22"/>
        </w:rPr>
        <w:t xml:space="preserve"> </w:t>
      </w:r>
      <w:r w:rsidRPr="009543E3">
        <w:rPr>
          <w:iCs/>
          <w:kern w:val="22"/>
          <w:szCs w:val="22"/>
        </w:rPr>
        <w:t xml:space="preserve">cannot be convened in 2020. It is currently planned to hold </w:t>
      </w:r>
      <w:r w:rsidR="0058524C" w:rsidRPr="009543E3">
        <w:rPr>
          <w:iCs/>
          <w:kern w:val="22"/>
          <w:szCs w:val="22"/>
        </w:rPr>
        <w:t xml:space="preserve">these meetings in </w:t>
      </w:r>
      <w:r w:rsidRPr="009543E3">
        <w:rPr>
          <w:iCs/>
          <w:kern w:val="22"/>
          <w:szCs w:val="22"/>
        </w:rPr>
        <w:t>2021</w:t>
      </w:r>
      <w:r w:rsidR="00242A84" w:rsidRPr="009543E3">
        <w:rPr>
          <w:kern w:val="22"/>
          <w:szCs w:val="22"/>
        </w:rPr>
        <w:t>.</w:t>
      </w:r>
      <w:r w:rsidR="004D0BE0" w:rsidRPr="009543E3">
        <w:rPr>
          <w:iCs/>
          <w:kern w:val="22"/>
          <w:szCs w:val="22"/>
          <w:vertAlign w:val="superscript"/>
        </w:rPr>
        <w:footnoteReference w:id="7"/>
      </w:r>
      <w:r w:rsidRPr="009543E3">
        <w:rPr>
          <w:iCs/>
          <w:kern w:val="22"/>
          <w:szCs w:val="22"/>
        </w:rPr>
        <w:t xml:space="preserve"> Considering </w:t>
      </w:r>
      <w:r w:rsidR="00D9219A" w:rsidRPr="009543E3">
        <w:rPr>
          <w:iCs/>
          <w:kern w:val="22"/>
          <w:szCs w:val="22"/>
        </w:rPr>
        <w:t>that</w:t>
      </w:r>
      <w:r w:rsidRPr="009543E3">
        <w:rPr>
          <w:iCs/>
          <w:kern w:val="22"/>
          <w:szCs w:val="22"/>
        </w:rPr>
        <w:t xml:space="preserve"> the validity of the </w:t>
      </w:r>
      <w:r w:rsidR="009B2D76" w:rsidRPr="009543E3">
        <w:rPr>
          <w:iCs/>
          <w:kern w:val="22"/>
          <w:szCs w:val="22"/>
        </w:rPr>
        <w:t>approved</w:t>
      </w:r>
      <w:r w:rsidRPr="009543E3">
        <w:rPr>
          <w:iCs/>
          <w:kern w:val="22"/>
          <w:szCs w:val="22"/>
        </w:rPr>
        <w:t xml:space="preserve"> budget </w:t>
      </w:r>
      <w:r w:rsidR="009B2D76" w:rsidRPr="009543E3">
        <w:rPr>
          <w:iCs/>
          <w:kern w:val="22"/>
          <w:szCs w:val="22"/>
        </w:rPr>
        <w:t xml:space="preserve">for 2019-2020 </w:t>
      </w:r>
      <w:r w:rsidR="00D9219A" w:rsidRPr="009543E3">
        <w:rPr>
          <w:iCs/>
          <w:kern w:val="22"/>
          <w:szCs w:val="22"/>
        </w:rPr>
        <w:t xml:space="preserve">will expire </w:t>
      </w:r>
      <w:r w:rsidRPr="009543E3">
        <w:rPr>
          <w:iCs/>
          <w:kern w:val="22"/>
          <w:szCs w:val="22"/>
        </w:rPr>
        <w:t xml:space="preserve">on 31 December 2020, </w:t>
      </w:r>
      <w:r w:rsidR="00240AC5" w:rsidRPr="009543E3">
        <w:rPr>
          <w:iCs/>
          <w:kern w:val="22"/>
          <w:szCs w:val="22"/>
        </w:rPr>
        <w:t>the Secretariat is seeking</w:t>
      </w:r>
      <w:r w:rsidR="009B2D76" w:rsidRPr="009543E3">
        <w:rPr>
          <w:iCs/>
          <w:kern w:val="22"/>
          <w:szCs w:val="22"/>
        </w:rPr>
        <w:t xml:space="preserve"> the authorization of the Parties to extend </w:t>
      </w:r>
      <w:r w:rsidR="007B59C2" w:rsidRPr="009543E3">
        <w:rPr>
          <w:iCs/>
          <w:kern w:val="22"/>
          <w:szCs w:val="22"/>
        </w:rPr>
        <w:t xml:space="preserve">the budget </w:t>
      </w:r>
      <w:r w:rsidR="009B2D76" w:rsidRPr="009543E3">
        <w:rPr>
          <w:kern w:val="22"/>
          <w:szCs w:val="22"/>
        </w:rPr>
        <w:t xml:space="preserve">validity by one year </w:t>
      </w:r>
      <w:r w:rsidR="006B6426" w:rsidRPr="009543E3">
        <w:rPr>
          <w:kern w:val="22"/>
          <w:szCs w:val="22"/>
        </w:rPr>
        <w:t>(up to 31 December 2021)</w:t>
      </w:r>
      <w:r w:rsidR="00CB5900" w:rsidRPr="009543E3">
        <w:rPr>
          <w:kern w:val="22"/>
          <w:szCs w:val="22"/>
        </w:rPr>
        <w:t xml:space="preserve">, or, in the case that </w:t>
      </w:r>
      <w:r w:rsidR="00D614BE" w:rsidRPr="009543E3">
        <w:rPr>
          <w:rFonts w:eastAsia="Malgun Gothic"/>
          <w:color w:val="000000" w:themeColor="text1"/>
          <w:kern w:val="22"/>
          <w:szCs w:val="22"/>
          <w:lang w:eastAsia="x-none"/>
        </w:rPr>
        <w:t>the fifteenth meeting of the Conference of the Parties</w:t>
      </w:r>
      <w:r w:rsidR="00CB5900" w:rsidRPr="009543E3">
        <w:rPr>
          <w:kern w:val="22"/>
          <w:szCs w:val="22"/>
        </w:rPr>
        <w:t xml:space="preserve"> is not held during 2021, until the end of the month following the closure of </w:t>
      </w:r>
      <w:r w:rsidR="00066C0D" w:rsidRPr="009543E3">
        <w:rPr>
          <w:rFonts w:eastAsia="Malgun Gothic"/>
          <w:color w:val="000000" w:themeColor="text1"/>
          <w:kern w:val="22"/>
          <w:szCs w:val="22"/>
          <w:lang w:eastAsia="x-none"/>
        </w:rPr>
        <w:t>the fifteenth meeting</w:t>
      </w:r>
      <w:r w:rsidR="00CB5900" w:rsidRPr="009543E3">
        <w:rPr>
          <w:kern w:val="22"/>
          <w:szCs w:val="22"/>
        </w:rPr>
        <w:t xml:space="preserve">, </w:t>
      </w:r>
      <w:r w:rsidR="009B2D76" w:rsidRPr="009543E3">
        <w:rPr>
          <w:kern w:val="22"/>
          <w:szCs w:val="22"/>
        </w:rPr>
        <w:t xml:space="preserve">to allow the implementation of the following </w:t>
      </w:r>
      <w:r w:rsidR="007B59C2" w:rsidRPr="009543E3">
        <w:rPr>
          <w:kern w:val="22"/>
          <w:szCs w:val="22"/>
        </w:rPr>
        <w:t xml:space="preserve">priority </w:t>
      </w:r>
      <w:r w:rsidR="009B2D76" w:rsidRPr="009543E3">
        <w:rPr>
          <w:kern w:val="22"/>
          <w:szCs w:val="22"/>
        </w:rPr>
        <w:t xml:space="preserve">activities, which were initially planned </w:t>
      </w:r>
      <w:r w:rsidR="00FB06E8" w:rsidRPr="009543E3">
        <w:rPr>
          <w:kern w:val="22"/>
          <w:szCs w:val="22"/>
        </w:rPr>
        <w:t>for</w:t>
      </w:r>
      <w:r w:rsidR="009B2D76" w:rsidRPr="009543E3">
        <w:rPr>
          <w:kern w:val="22"/>
          <w:szCs w:val="22"/>
        </w:rPr>
        <w:t xml:space="preserve"> 2020</w:t>
      </w:r>
      <w:r w:rsidR="007B59C2" w:rsidRPr="009543E3">
        <w:rPr>
          <w:kern w:val="22"/>
          <w:szCs w:val="22"/>
        </w:rPr>
        <w:t xml:space="preserve"> but </w:t>
      </w:r>
      <w:r w:rsidR="00FB06E8" w:rsidRPr="009543E3">
        <w:rPr>
          <w:kern w:val="22"/>
          <w:szCs w:val="22"/>
        </w:rPr>
        <w:t xml:space="preserve">were </w:t>
      </w:r>
      <w:r w:rsidR="007B59C2" w:rsidRPr="009543E3">
        <w:rPr>
          <w:kern w:val="22"/>
          <w:szCs w:val="22"/>
        </w:rPr>
        <w:t>rescheduled</w:t>
      </w:r>
      <w:r w:rsidR="0058524C" w:rsidRPr="009543E3">
        <w:rPr>
          <w:kern w:val="22"/>
          <w:szCs w:val="22"/>
        </w:rPr>
        <w:t>:</w:t>
      </w:r>
    </w:p>
    <w:p w14:paraId="42B96674" w14:textId="339BDC6D"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Fifteenth meeting of the Conference of the Parties</w:t>
      </w:r>
      <w:r w:rsidR="00F26EB8" w:rsidRPr="009543E3">
        <w:rPr>
          <w:rFonts w:eastAsia="Malgun Gothic"/>
          <w:color w:val="000000" w:themeColor="text1"/>
          <w:kern w:val="22"/>
          <w:szCs w:val="22"/>
          <w:lang w:eastAsia="x-none"/>
        </w:rPr>
        <w:t xml:space="preserve"> to the Convention</w:t>
      </w:r>
      <w:r w:rsidR="001C1EB8" w:rsidRPr="009543E3">
        <w:rPr>
          <w:rFonts w:eastAsia="Malgun Gothic"/>
          <w:color w:val="000000" w:themeColor="text1"/>
          <w:kern w:val="22"/>
          <w:szCs w:val="22"/>
          <w:lang w:eastAsia="x-none"/>
        </w:rPr>
        <w:t>;</w:t>
      </w:r>
    </w:p>
    <w:p w14:paraId="3D296961" w14:textId="48C4CDEB"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Tenth meeting of the Conference of the Parties serving as the meeting of the Parties to the Cartagena Protocol on Biosafety</w:t>
      </w:r>
      <w:r w:rsidR="001C1EB8" w:rsidRPr="009543E3">
        <w:rPr>
          <w:rFonts w:eastAsia="Malgun Gothic"/>
          <w:color w:val="000000" w:themeColor="text1"/>
          <w:kern w:val="22"/>
          <w:szCs w:val="22"/>
          <w:lang w:eastAsia="x-none"/>
        </w:rPr>
        <w:t>;</w:t>
      </w:r>
    </w:p>
    <w:p w14:paraId="39D9F0AC" w14:textId="411C8869"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Fourth meeting of the Conference of the Parties serving as the meeting of the Parties to the Nagoya Protocol on Access and Benefit-sharing</w:t>
      </w:r>
      <w:r w:rsidR="001C1EB8" w:rsidRPr="009543E3">
        <w:rPr>
          <w:rFonts w:eastAsia="Malgun Gothic"/>
          <w:color w:val="000000" w:themeColor="text1"/>
          <w:kern w:val="22"/>
          <w:szCs w:val="22"/>
          <w:lang w:eastAsia="x-none"/>
        </w:rPr>
        <w:t>;</w:t>
      </w:r>
    </w:p>
    <w:p w14:paraId="098B061C" w14:textId="16EB8DCD" w:rsidR="00F44669" w:rsidRPr="009543E3" w:rsidRDefault="004D0BE0"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Third meeting of</w:t>
      </w:r>
      <w:r w:rsidR="00E812A9" w:rsidRPr="009543E3">
        <w:rPr>
          <w:rFonts w:eastAsia="Malgun Gothic"/>
          <w:color w:val="000000" w:themeColor="text1"/>
          <w:kern w:val="22"/>
          <w:szCs w:val="22"/>
          <w:lang w:eastAsia="x-none"/>
        </w:rPr>
        <w:t xml:space="preserve"> </w:t>
      </w:r>
      <w:r w:rsidR="001C1EB8" w:rsidRPr="009543E3">
        <w:rPr>
          <w:rFonts w:eastAsia="Malgun Gothic"/>
          <w:color w:val="000000" w:themeColor="text1"/>
          <w:kern w:val="22"/>
          <w:szCs w:val="22"/>
          <w:lang w:eastAsia="x-none"/>
        </w:rPr>
        <w:t>the Open-ended Working Group on the Post-2020 Global Biodiversity Framework;</w:t>
      </w:r>
    </w:p>
    <w:p w14:paraId="0BA26A54" w14:textId="163B5CED" w:rsidR="00240AC5" w:rsidRPr="009543E3" w:rsidRDefault="0058524C"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Twenty-fourth meeting of the Subsidiary Body on Scientific, Technical and Technological Advice</w:t>
      </w:r>
      <w:r w:rsidR="00CB5900" w:rsidRPr="009543E3">
        <w:rPr>
          <w:color w:val="auto"/>
          <w:kern w:val="22"/>
          <w:sz w:val="22"/>
          <w:szCs w:val="22"/>
          <w:lang w:val="en-GB"/>
        </w:rPr>
        <w:t xml:space="preserve"> (</w:t>
      </w:r>
      <w:r w:rsidR="00AC3DC6" w:rsidRPr="009543E3">
        <w:rPr>
          <w:color w:val="auto"/>
          <w:kern w:val="22"/>
          <w:sz w:val="22"/>
          <w:szCs w:val="22"/>
          <w:lang w:val="en-GB"/>
        </w:rPr>
        <w:t>physical meeting</w:t>
      </w:r>
      <w:r w:rsidR="00CB5900" w:rsidRPr="009543E3">
        <w:rPr>
          <w:color w:val="auto"/>
          <w:kern w:val="22"/>
          <w:sz w:val="22"/>
          <w:szCs w:val="22"/>
          <w:lang w:val="en-GB"/>
        </w:rPr>
        <w:t>)</w:t>
      </w:r>
      <w:r w:rsidR="00B741C0" w:rsidRPr="009543E3">
        <w:rPr>
          <w:color w:val="auto"/>
          <w:kern w:val="22"/>
          <w:sz w:val="22"/>
          <w:szCs w:val="22"/>
          <w:lang w:val="en-GB"/>
        </w:rPr>
        <w:t>;</w:t>
      </w:r>
    </w:p>
    <w:p w14:paraId="7CF10AA4" w14:textId="65ABB522" w:rsidR="00F56269" w:rsidRPr="009543E3" w:rsidRDefault="00F56269"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Third meeting of the Subsidiary Body on Implementation</w:t>
      </w:r>
      <w:r w:rsidR="00CB5900" w:rsidRPr="009543E3">
        <w:rPr>
          <w:color w:val="auto"/>
          <w:kern w:val="22"/>
          <w:sz w:val="22"/>
          <w:szCs w:val="22"/>
          <w:lang w:val="en-GB"/>
        </w:rPr>
        <w:t xml:space="preserve"> (</w:t>
      </w:r>
      <w:r w:rsidR="00AC3DC6" w:rsidRPr="009543E3">
        <w:rPr>
          <w:color w:val="auto"/>
          <w:kern w:val="22"/>
          <w:sz w:val="22"/>
          <w:szCs w:val="22"/>
          <w:lang w:val="en-GB"/>
        </w:rPr>
        <w:t>physical meeting</w:t>
      </w:r>
      <w:r w:rsidR="00CB5900" w:rsidRPr="009543E3">
        <w:rPr>
          <w:color w:val="auto"/>
          <w:kern w:val="22"/>
          <w:sz w:val="22"/>
          <w:szCs w:val="22"/>
          <w:lang w:val="en-GB"/>
        </w:rPr>
        <w:t>)</w:t>
      </w:r>
      <w:r w:rsidR="00B741C0" w:rsidRPr="009543E3">
        <w:rPr>
          <w:color w:val="auto"/>
          <w:kern w:val="22"/>
          <w:sz w:val="22"/>
          <w:szCs w:val="22"/>
          <w:lang w:val="en-GB"/>
        </w:rPr>
        <w:t>;</w:t>
      </w:r>
    </w:p>
    <w:p w14:paraId="31A6E03B" w14:textId="5707DFC3" w:rsidR="002A4AE4" w:rsidRPr="009543E3" w:rsidRDefault="002A4AE4"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 xml:space="preserve">Expert meetings </w:t>
      </w:r>
      <w:r w:rsidR="004D0BE0" w:rsidRPr="009543E3">
        <w:rPr>
          <w:color w:val="auto"/>
          <w:kern w:val="22"/>
          <w:sz w:val="22"/>
          <w:szCs w:val="22"/>
          <w:lang w:val="en-GB"/>
        </w:rPr>
        <w:t>–</w:t>
      </w:r>
      <w:r w:rsidRPr="009543E3">
        <w:rPr>
          <w:color w:val="auto"/>
          <w:kern w:val="22"/>
          <w:sz w:val="22"/>
          <w:szCs w:val="22"/>
          <w:lang w:val="en-GB"/>
        </w:rPr>
        <w:t xml:space="preserve"> </w:t>
      </w:r>
      <w:r w:rsidR="004D0BE0" w:rsidRPr="009543E3">
        <w:rPr>
          <w:color w:val="auto"/>
          <w:kern w:val="22"/>
          <w:sz w:val="22"/>
          <w:szCs w:val="22"/>
          <w:lang w:val="en-GB"/>
        </w:rPr>
        <w:t>and any other o</w:t>
      </w:r>
      <w:r w:rsidRPr="009543E3">
        <w:rPr>
          <w:color w:val="auto"/>
          <w:kern w:val="22"/>
          <w:sz w:val="22"/>
          <w:szCs w:val="22"/>
          <w:lang w:val="en-GB"/>
        </w:rPr>
        <w:t>nline meetings</w:t>
      </w:r>
      <w:r w:rsidR="007B59C2" w:rsidRPr="009543E3">
        <w:rPr>
          <w:color w:val="auto"/>
          <w:kern w:val="22"/>
          <w:sz w:val="22"/>
          <w:szCs w:val="22"/>
          <w:lang w:val="en-GB"/>
        </w:rPr>
        <w:t xml:space="preserve"> </w:t>
      </w:r>
      <w:r w:rsidR="004D0BE0" w:rsidRPr="009543E3">
        <w:rPr>
          <w:color w:val="auto"/>
          <w:kern w:val="22"/>
          <w:sz w:val="22"/>
          <w:szCs w:val="22"/>
          <w:lang w:val="en-GB"/>
        </w:rPr>
        <w:t xml:space="preserve">related to </w:t>
      </w:r>
      <w:r w:rsidR="00901097">
        <w:rPr>
          <w:kern w:val="22"/>
          <w:szCs w:val="22"/>
        </w:rPr>
        <w:t>the twenty-fourth meeting of the Subsidiary Body on Scientific, Technical and Technological Advice</w:t>
      </w:r>
      <w:r w:rsidR="004D0BE0" w:rsidRPr="009543E3">
        <w:rPr>
          <w:color w:val="auto"/>
          <w:kern w:val="22"/>
          <w:sz w:val="22"/>
          <w:szCs w:val="22"/>
          <w:lang w:val="en-GB"/>
        </w:rPr>
        <w:t xml:space="preserve"> and </w:t>
      </w:r>
      <w:r w:rsidR="00901097">
        <w:rPr>
          <w:kern w:val="22"/>
          <w:szCs w:val="22"/>
        </w:rPr>
        <w:t xml:space="preserve">the third meeting of the Subsidiary Body on Implementation </w:t>
      </w:r>
      <w:r w:rsidR="004D0BE0" w:rsidRPr="009543E3">
        <w:rPr>
          <w:color w:val="auto"/>
          <w:kern w:val="22"/>
          <w:sz w:val="22"/>
          <w:szCs w:val="22"/>
          <w:lang w:val="en-GB"/>
        </w:rPr>
        <w:t>and</w:t>
      </w:r>
      <w:r w:rsidRPr="009543E3">
        <w:rPr>
          <w:color w:val="auto"/>
          <w:kern w:val="22"/>
          <w:sz w:val="22"/>
          <w:szCs w:val="22"/>
          <w:lang w:val="en-GB"/>
        </w:rPr>
        <w:t xml:space="preserve"> </w:t>
      </w:r>
      <w:r w:rsidR="007B59C2" w:rsidRPr="009543E3">
        <w:rPr>
          <w:color w:val="auto"/>
          <w:kern w:val="22"/>
          <w:sz w:val="22"/>
          <w:szCs w:val="22"/>
          <w:lang w:val="en-GB"/>
        </w:rPr>
        <w:t>for the development of the</w:t>
      </w:r>
      <w:r w:rsidRPr="009543E3">
        <w:rPr>
          <w:color w:val="auto"/>
          <w:kern w:val="22"/>
          <w:sz w:val="22"/>
          <w:szCs w:val="22"/>
          <w:lang w:val="en-GB"/>
        </w:rPr>
        <w:t xml:space="preserve"> </w:t>
      </w:r>
      <w:r w:rsidR="00B741C0" w:rsidRPr="009543E3">
        <w:rPr>
          <w:color w:val="auto"/>
          <w:kern w:val="22"/>
          <w:sz w:val="22"/>
          <w:szCs w:val="22"/>
          <w:lang w:val="en-GB"/>
        </w:rPr>
        <w:t>p</w:t>
      </w:r>
      <w:r w:rsidRPr="009543E3">
        <w:rPr>
          <w:color w:val="auto"/>
          <w:kern w:val="22"/>
          <w:sz w:val="22"/>
          <w:szCs w:val="22"/>
          <w:lang w:val="en-GB"/>
        </w:rPr>
        <w:t>ost</w:t>
      </w:r>
      <w:r w:rsidR="00B741C0" w:rsidRPr="009543E3">
        <w:rPr>
          <w:color w:val="auto"/>
          <w:kern w:val="22"/>
          <w:sz w:val="22"/>
          <w:szCs w:val="22"/>
          <w:lang w:val="en-GB"/>
        </w:rPr>
        <w:t>-</w:t>
      </w:r>
      <w:r w:rsidRPr="009543E3">
        <w:rPr>
          <w:color w:val="auto"/>
          <w:kern w:val="22"/>
          <w:sz w:val="22"/>
          <w:szCs w:val="22"/>
          <w:lang w:val="en-GB"/>
        </w:rPr>
        <w:t>2020</w:t>
      </w:r>
      <w:r w:rsidR="007B59C2" w:rsidRPr="009543E3">
        <w:rPr>
          <w:color w:val="auto"/>
          <w:kern w:val="22"/>
          <w:sz w:val="22"/>
          <w:szCs w:val="22"/>
          <w:lang w:val="en-GB"/>
        </w:rPr>
        <w:t xml:space="preserve"> </w:t>
      </w:r>
      <w:r w:rsidR="00B741C0" w:rsidRPr="009543E3">
        <w:rPr>
          <w:color w:val="auto"/>
          <w:kern w:val="22"/>
          <w:sz w:val="22"/>
          <w:szCs w:val="22"/>
          <w:lang w:val="en-GB"/>
        </w:rPr>
        <w:t>g</w:t>
      </w:r>
      <w:r w:rsidR="007B59C2" w:rsidRPr="009543E3">
        <w:rPr>
          <w:color w:val="auto"/>
          <w:kern w:val="22"/>
          <w:sz w:val="22"/>
          <w:szCs w:val="22"/>
          <w:lang w:val="en-GB"/>
        </w:rPr>
        <w:t xml:space="preserve">lobal </w:t>
      </w:r>
      <w:r w:rsidR="00B741C0" w:rsidRPr="009543E3">
        <w:rPr>
          <w:color w:val="auto"/>
          <w:kern w:val="22"/>
          <w:sz w:val="22"/>
          <w:szCs w:val="22"/>
          <w:lang w:val="en-GB"/>
        </w:rPr>
        <w:t>b</w:t>
      </w:r>
      <w:r w:rsidR="007B59C2" w:rsidRPr="009543E3">
        <w:rPr>
          <w:color w:val="auto"/>
          <w:kern w:val="22"/>
          <w:sz w:val="22"/>
          <w:szCs w:val="22"/>
          <w:lang w:val="en-GB"/>
        </w:rPr>
        <w:t xml:space="preserve">iodiversity </w:t>
      </w:r>
      <w:r w:rsidR="00B741C0" w:rsidRPr="009543E3">
        <w:rPr>
          <w:color w:val="auto"/>
          <w:kern w:val="22"/>
          <w:sz w:val="22"/>
          <w:szCs w:val="22"/>
          <w:lang w:val="en-GB"/>
        </w:rPr>
        <w:t>f</w:t>
      </w:r>
      <w:r w:rsidR="007B59C2" w:rsidRPr="009543E3">
        <w:rPr>
          <w:color w:val="auto"/>
          <w:kern w:val="22"/>
          <w:sz w:val="22"/>
          <w:szCs w:val="22"/>
          <w:lang w:val="en-GB"/>
        </w:rPr>
        <w:t>ramework</w:t>
      </w:r>
      <w:r w:rsidR="00B741C0" w:rsidRPr="009543E3">
        <w:rPr>
          <w:color w:val="auto"/>
          <w:kern w:val="22"/>
          <w:sz w:val="22"/>
          <w:szCs w:val="22"/>
          <w:lang w:val="en-GB"/>
        </w:rPr>
        <w:t>;</w:t>
      </w:r>
    </w:p>
    <w:p w14:paraId="76489A76" w14:textId="060A4D74" w:rsidR="005A4571" w:rsidRPr="009543E3" w:rsidRDefault="00343F4C"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kern w:val="22"/>
          <w:sz w:val="22"/>
          <w:szCs w:val="22"/>
          <w:lang w:val="en-GB"/>
        </w:rPr>
        <w:t>Bureau meetings</w:t>
      </w:r>
      <w:r w:rsidR="001411C6" w:rsidRPr="009543E3">
        <w:rPr>
          <w:kern w:val="22"/>
          <w:sz w:val="22"/>
          <w:szCs w:val="22"/>
          <w:lang w:val="en-GB"/>
        </w:rPr>
        <w:t>.</w:t>
      </w:r>
    </w:p>
    <w:p w14:paraId="5A84E42B" w14:textId="773426ED" w:rsidR="00541278" w:rsidRPr="009543E3" w:rsidRDefault="00686F26"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A total cost of US$</w:t>
      </w:r>
      <w:r w:rsidR="00C77A26" w:rsidRPr="009543E3">
        <w:rPr>
          <w:kern w:val="22"/>
          <w:szCs w:val="22"/>
        </w:rPr>
        <w:t> </w:t>
      </w:r>
      <w:r w:rsidR="004D0BE0" w:rsidRPr="009543E3">
        <w:rPr>
          <w:kern w:val="22"/>
          <w:szCs w:val="22"/>
        </w:rPr>
        <w:t>1</w:t>
      </w:r>
      <w:r w:rsidR="00171F61" w:rsidRPr="009543E3">
        <w:rPr>
          <w:kern w:val="22"/>
          <w:szCs w:val="22"/>
        </w:rPr>
        <w:t>,</w:t>
      </w:r>
      <w:r w:rsidR="004D0BE0" w:rsidRPr="009543E3">
        <w:rPr>
          <w:kern w:val="22"/>
          <w:szCs w:val="22"/>
        </w:rPr>
        <w:t>1</w:t>
      </w:r>
      <w:r w:rsidR="00953322" w:rsidRPr="009543E3">
        <w:rPr>
          <w:kern w:val="22"/>
          <w:szCs w:val="22"/>
        </w:rPr>
        <w:t>10,000</w:t>
      </w:r>
      <w:r w:rsidRPr="009543E3">
        <w:rPr>
          <w:kern w:val="22"/>
          <w:szCs w:val="22"/>
        </w:rPr>
        <w:t xml:space="preserve"> was incu</w:t>
      </w:r>
      <w:r w:rsidR="00780653" w:rsidRPr="009543E3">
        <w:rPr>
          <w:kern w:val="22"/>
          <w:szCs w:val="22"/>
        </w:rPr>
        <w:t xml:space="preserve">rred to convene the first and second </w:t>
      </w:r>
      <w:r w:rsidR="004D0BE0" w:rsidRPr="009543E3">
        <w:rPr>
          <w:kern w:val="22"/>
          <w:szCs w:val="22"/>
        </w:rPr>
        <w:t xml:space="preserve">meetings of the Working Group </w:t>
      </w:r>
      <w:r w:rsidR="00780653" w:rsidRPr="009543E3">
        <w:rPr>
          <w:kern w:val="22"/>
          <w:szCs w:val="22"/>
        </w:rPr>
        <w:t xml:space="preserve">on </w:t>
      </w:r>
      <w:r w:rsidR="004D0BE0" w:rsidRPr="009543E3">
        <w:rPr>
          <w:kern w:val="22"/>
          <w:szCs w:val="22"/>
        </w:rPr>
        <w:t xml:space="preserve">the </w:t>
      </w:r>
      <w:r w:rsidR="00780653" w:rsidRPr="009543E3">
        <w:rPr>
          <w:kern w:val="22"/>
          <w:szCs w:val="22"/>
        </w:rPr>
        <w:t>Post</w:t>
      </w:r>
      <w:r w:rsidR="00B741C0" w:rsidRPr="009543E3">
        <w:rPr>
          <w:kern w:val="22"/>
          <w:szCs w:val="22"/>
        </w:rPr>
        <w:t>-</w:t>
      </w:r>
      <w:r w:rsidR="00780653" w:rsidRPr="009543E3">
        <w:rPr>
          <w:kern w:val="22"/>
          <w:szCs w:val="22"/>
        </w:rPr>
        <w:t>2020</w:t>
      </w:r>
      <w:r w:rsidR="007B59C2" w:rsidRPr="009543E3">
        <w:rPr>
          <w:kern w:val="22"/>
          <w:szCs w:val="22"/>
        </w:rPr>
        <w:t xml:space="preserve"> </w:t>
      </w:r>
      <w:r w:rsidR="00B741C0" w:rsidRPr="009543E3">
        <w:rPr>
          <w:kern w:val="22"/>
          <w:szCs w:val="22"/>
        </w:rPr>
        <w:t>G</w:t>
      </w:r>
      <w:r w:rsidR="004D0BE0" w:rsidRPr="009543E3">
        <w:rPr>
          <w:kern w:val="22"/>
          <w:szCs w:val="22"/>
        </w:rPr>
        <w:t xml:space="preserve">lobal </w:t>
      </w:r>
      <w:r w:rsidR="00B741C0" w:rsidRPr="009543E3">
        <w:rPr>
          <w:kern w:val="22"/>
          <w:szCs w:val="22"/>
        </w:rPr>
        <w:t>B</w:t>
      </w:r>
      <w:r w:rsidR="004D0BE0" w:rsidRPr="009543E3">
        <w:rPr>
          <w:kern w:val="22"/>
          <w:szCs w:val="22"/>
        </w:rPr>
        <w:t xml:space="preserve">iodiversity </w:t>
      </w:r>
      <w:r w:rsidR="00B741C0" w:rsidRPr="009543E3">
        <w:rPr>
          <w:kern w:val="22"/>
          <w:szCs w:val="22"/>
        </w:rPr>
        <w:t>F</w:t>
      </w:r>
      <w:r w:rsidR="004D0BE0" w:rsidRPr="009543E3">
        <w:rPr>
          <w:kern w:val="22"/>
          <w:szCs w:val="22"/>
        </w:rPr>
        <w:t>ramework</w:t>
      </w:r>
      <w:r w:rsidR="00780653" w:rsidRPr="009543E3">
        <w:rPr>
          <w:kern w:val="22"/>
          <w:szCs w:val="22"/>
        </w:rPr>
        <w:t>, which leaves an unspent balance of U</w:t>
      </w:r>
      <w:r w:rsidR="00D74AD1" w:rsidRPr="009543E3">
        <w:rPr>
          <w:kern w:val="22"/>
          <w:szCs w:val="22"/>
        </w:rPr>
        <w:t>S</w:t>
      </w:r>
      <w:r w:rsidR="00953322" w:rsidRPr="009543E3">
        <w:rPr>
          <w:kern w:val="22"/>
          <w:szCs w:val="22"/>
        </w:rPr>
        <w:t>$</w:t>
      </w:r>
      <w:r w:rsidR="002B6B92" w:rsidRPr="009543E3">
        <w:rPr>
          <w:kern w:val="22"/>
          <w:szCs w:val="22"/>
        </w:rPr>
        <w:t> </w:t>
      </w:r>
      <w:r w:rsidR="004D0BE0" w:rsidRPr="009543E3">
        <w:rPr>
          <w:kern w:val="22"/>
          <w:szCs w:val="22"/>
        </w:rPr>
        <w:t>210</w:t>
      </w:r>
      <w:r w:rsidR="00953322" w:rsidRPr="009543E3">
        <w:rPr>
          <w:kern w:val="22"/>
          <w:szCs w:val="22"/>
        </w:rPr>
        <w:t>,000</w:t>
      </w:r>
      <w:r w:rsidR="00780653" w:rsidRPr="009543E3">
        <w:rPr>
          <w:kern w:val="22"/>
          <w:szCs w:val="22"/>
        </w:rPr>
        <w:t xml:space="preserve">. </w:t>
      </w:r>
      <w:r w:rsidRPr="009543E3">
        <w:rPr>
          <w:kern w:val="22"/>
          <w:szCs w:val="22"/>
        </w:rPr>
        <w:lastRenderedPageBreak/>
        <w:t>T</w:t>
      </w:r>
      <w:r w:rsidR="0055651E" w:rsidRPr="009543E3">
        <w:rPr>
          <w:kern w:val="22"/>
          <w:szCs w:val="22"/>
        </w:rPr>
        <w:t>he Secretariat</w:t>
      </w:r>
      <w:r w:rsidRPr="009543E3">
        <w:rPr>
          <w:kern w:val="22"/>
          <w:szCs w:val="22"/>
        </w:rPr>
        <w:t xml:space="preserve"> </w:t>
      </w:r>
      <w:r w:rsidR="00780653" w:rsidRPr="009543E3">
        <w:rPr>
          <w:kern w:val="22"/>
          <w:szCs w:val="22"/>
        </w:rPr>
        <w:t xml:space="preserve">therefore </w:t>
      </w:r>
      <w:r w:rsidR="00CB5900" w:rsidRPr="009543E3">
        <w:rPr>
          <w:kern w:val="22"/>
          <w:szCs w:val="22"/>
        </w:rPr>
        <w:t xml:space="preserve">is seeking the authorization of the Parties to extend the budget validity of the remaining funds to </w:t>
      </w:r>
      <w:r w:rsidR="000F6DC6" w:rsidRPr="009543E3">
        <w:rPr>
          <w:kern w:val="22"/>
          <w:szCs w:val="22"/>
        </w:rPr>
        <w:t>offset</w:t>
      </w:r>
      <w:r w:rsidRPr="009543E3">
        <w:rPr>
          <w:kern w:val="22"/>
          <w:szCs w:val="22"/>
        </w:rPr>
        <w:t xml:space="preserve"> the </w:t>
      </w:r>
      <w:r w:rsidR="000F6DC6" w:rsidRPr="009543E3">
        <w:rPr>
          <w:kern w:val="22"/>
          <w:szCs w:val="22"/>
        </w:rPr>
        <w:t xml:space="preserve">costs </w:t>
      </w:r>
      <w:r w:rsidR="001573C3" w:rsidRPr="009543E3">
        <w:rPr>
          <w:kern w:val="22"/>
          <w:szCs w:val="22"/>
        </w:rPr>
        <w:t xml:space="preserve">of </w:t>
      </w:r>
      <w:r w:rsidR="000F6DC6" w:rsidRPr="009543E3">
        <w:rPr>
          <w:kern w:val="22"/>
          <w:szCs w:val="22"/>
        </w:rPr>
        <w:t xml:space="preserve">the </w:t>
      </w:r>
      <w:r w:rsidR="00B741C0" w:rsidRPr="009543E3">
        <w:rPr>
          <w:kern w:val="22"/>
          <w:szCs w:val="22"/>
        </w:rPr>
        <w:t>t</w:t>
      </w:r>
      <w:r w:rsidR="007871E1" w:rsidRPr="009543E3">
        <w:rPr>
          <w:kern w:val="22"/>
          <w:szCs w:val="22"/>
        </w:rPr>
        <w:t>hird meeting of</w:t>
      </w:r>
      <w:r w:rsidR="0099470B" w:rsidRPr="009543E3">
        <w:rPr>
          <w:kern w:val="22"/>
          <w:szCs w:val="22"/>
        </w:rPr>
        <w:t xml:space="preserve"> </w:t>
      </w:r>
      <w:r w:rsidR="007871E1" w:rsidRPr="009543E3">
        <w:rPr>
          <w:kern w:val="22"/>
          <w:szCs w:val="22"/>
        </w:rPr>
        <w:t xml:space="preserve">the </w:t>
      </w:r>
      <w:r w:rsidR="004D0BE0" w:rsidRPr="009543E3">
        <w:rPr>
          <w:kern w:val="22"/>
          <w:szCs w:val="22"/>
        </w:rPr>
        <w:t>Working Group on the Post</w:t>
      </w:r>
      <w:r w:rsidR="00B741C0" w:rsidRPr="009543E3">
        <w:rPr>
          <w:kern w:val="22"/>
          <w:szCs w:val="22"/>
        </w:rPr>
        <w:t>-</w:t>
      </w:r>
      <w:r w:rsidR="004D0BE0" w:rsidRPr="009543E3">
        <w:rPr>
          <w:kern w:val="22"/>
          <w:szCs w:val="22"/>
        </w:rPr>
        <w:t xml:space="preserve">2020 </w:t>
      </w:r>
      <w:r w:rsidR="00B741C0" w:rsidRPr="009543E3">
        <w:rPr>
          <w:kern w:val="22"/>
          <w:szCs w:val="22"/>
        </w:rPr>
        <w:t>G</w:t>
      </w:r>
      <w:r w:rsidR="004D0BE0" w:rsidRPr="009543E3">
        <w:rPr>
          <w:kern w:val="22"/>
          <w:szCs w:val="22"/>
        </w:rPr>
        <w:t xml:space="preserve">lobal </w:t>
      </w:r>
      <w:r w:rsidR="00B741C0" w:rsidRPr="009543E3">
        <w:rPr>
          <w:kern w:val="22"/>
          <w:szCs w:val="22"/>
        </w:rPr>
        <w:t>B</w:t>
      </w:r>
      <w:r w:rsidR="004D0BE0" w:rsidRPr="009543E3">
        <w:rPr>
          <w:kern w:val="22"/>
          <w:szCs w:val="22"/>
        </w:rPr>
        <w:t xml:space="preserve">iodiversity </w:t>
      </w:r>
      <w:r w:rsidR="00C16528" w:rsidRPr="009543E3">
        <w:rPr>
          <w:kern w:val="22"/>
          <w:szCs w:val="22"/>
        </w:rPr>
        <w:t>F</w:t>
      </w:r>
      <w:r w:rsidR="004D0BE0" w:rsidRPr="009543E3">
        <w:rPr>
          <w:kern w:val="22"/>
          <w:szCs w:val="22"/>
        </w:rPr>
        <w:t>ramework</w:t>
      </w:r>
      <w:r w:rsidR="00CB5900" w:rsidRPr="009543E3">
        <w:rPr>
          <w:kern w:val="22"/>
          <w:szCs w:val="22"/>
        </w:rPr>
        <w:t>, which was not provided for in the approved budget</w:t>
      </w:r>
      <w:r w:rsidR="000F6DC6" w:rsidRPr="009543E3">
        <w:rPr>
          <w:kern w:val="22"/>
          <w:szCs w:val="22"/>
        </w:rPr>
        <w:t>.</w:t>
      </w:r>
    </w:p>
    <w:p w14:paraId="4924722D" w14:textId="06E2B1E4" w:rsidR="00F56269" w:rsidRPr="009543E3" w:rsidRDefault="00F56269" w:rsidP="006914CE">
      <w:pPr>
        <w:pStyle w:val="ListParagraph"/>
        <w:keepNext/>
        <w:numPr>
          <w:ilvl w:val="0"/>
          <w:numId w:val="20"/>
        </w:numPr>
        <w:suppressLineNumbers/>
        <w:suppressAutoHyphens/>
        <w:spacing w:before="120" w:after="120"/>
        <w:ind w:left="1134" w:hanging="567"/>
        <w:contextualSpacing w:val="0"/>
        <w:jc w:val="left"/>
        <w:outlineLvl w:val="0"/>
        <w:rPr>
          <w:rFonts w:eastAsia="Malgun Gothic"/>
          <w:b/>
          <w:bCs/>
          <w:iCs/>
          <w:caps/>
          <w:color w:val="000000" w:themeColor="text1"/>
          <w:kern w:val="22"/>
          <w:szCs w:val="22"/>
          <w:lang w:eastAsia="x-none"/>
        </w:rPr>
      </w:pPr>
      <w:r w:rsidRPr="009543E3">
        <w:rPr>
          <w:b/>
          <w:bCs/>
          <w:caps/>
          <w:kern w:val="22"/>
          <w:szCs w:val="22"/>
        </w:rPr>
        <w:t xml:space="preserve">Proposed interim </w:t>
      </w:r>
      <w:r w:rsidR="000F6DC6" w:rsidRPr="009543E3">
        <w:rPr>
          <w:b/>
          <w:bCs/>
          <w:caps/>
          <w:kern w:val="22"/>
          <w:szCs w:val="22"/>
        </w:rPr>
        <w:t xml:space="preserve">integrated </w:t>
      </w:r>
      <w:r w:rsidRPr="009543E3">
        <w:rPr>
          <w:b/>
          <w:bCs/>
          <w:caps/>
          <w:kern w:val="22"/>
          <w:szCs w:val="22"/>
        </w:rPr>
        <w:t>budget for programme of work of the Convention on Biological Diversity, the Cartagena Protocol on Biosafety and the Nagoya Protocol on Access and Benefit-sharing for 2021</w:t>
      </w:r>
    </w:p>
    <w:p w14:paraId="1891452E" w14:textId="36C729BD" w:rsidR="002A2687" w:rsidRPr="009543E3" w:rsidRDefault="00F56269"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w:t>
      </w:r>
      <w:r w:rsidR="009B2D76" w:rsidRPr="009543E3">
        <w:rPr>
          <w:iCs/>
          <w:kern w:val="22"/>
          <w:szCs w:val="22"/>
        </w:rPr>
        <w:t xml:space="preserve">he Secretariat is </w:t>
      </w:r>
      <w:r w:rsidR="00240AC5" w:rsidRPr="009543E3">
        <w:rPr>
          <w:iCs/>
          <w:kern w:val="22"/>
          <w:szCs w:val="22"/>
        </w:rPr>
        <w:t>submitting for the approval of the Parties a</w:t>
      </w:r>
      <w:r w:rsidR="00EC3327" w:rsidRPr="009543E3">
        <w:rPr>
          <w:iCs/>
          <w:kern w:val="22"/>
          <w:szCs w:val="22"/>
        </w:rPr>
        <w:t>n integrated</w:t>
      </w:r>
      <w:r w:rsidR="00240AC5" w:rsidRPr="009543E3">
        <w:rPr>
          <w:iCs/>
          <w:kern w:val="22"/>
          <w:szCs w:val="22"/>
        </w:rPr>
        <w:t xml:space="preserve"> interim budget to provide for its continued operations during the year 2021</w:t>
      </w:r>
      <w:r w:rsidR="004C529A" w:rsidRPr="009543E3">
        <w:rPr>
          <w:kern w:val="22"/>
          <w:szCs w:val="22"/>
        </w:rPr>
        <w:t xml:space="preserve"> pending</w:t>
      </w:r>
      <w:r w:rsidR="00324111" w:rsidRPr="009543E3">
        <w:rPr>
          <w:kern w:val="22"/>
          <w:szCs w:val="22"/>
        </w:rPr>
        <w:t xml:space="preserve"> the adoption of a budget for the 202</w:t>
      </w:r>
      <w:r w:rsidR="007871E1" w:rsidRPr="009543E3">
        <w:rPr>
          <w:kern w:val="22"/>
          <w:szCs w:val="22"/>
        </w:rPr>
        <w:t>1</w:t>
      </w:r>
      <w:r w:rsidR="00324111" w:rsidRPr="009543E3">
        <w:rPr>
          <w:kern w:val="22"/>
          <w:szCs w:val="22"/>
        </w:rPr>
        <w:t>-202</w:t>
      </w:r>
      <w:r w:rsidR="007871E1" w:rsidRPr="009543E3">
        <w:rPr>
          <w:kern w:val="22"/>
          <w:szCs w:val="22"/>
        </w:rPr>
        <w:t>2</w:t>
      </w:r>
      <w:r w:rsidR="00324111" w:rsidRPr="009543E3">
        <w:rPr>
          <w:kern w:val="22"/>
          <w:szCs w:val="22"/>
        </w:rPr>
        <w:t xml:space="preserve"> biennium by the Conference of the Parties at its </w:t>
      </w:r>
      <w:r w:rsidR="007871E1" w:rsidRPr="009543E3">
        <w:rPr>
          <w:kern w:val="22"/>
          <w:szCs w:val="22"/>
        </w:rPr>
        <w:t xml:space="preserve">fifteenth meeting, or for the period 2021-2023, as the </w:t>
      </w:r>
      <w:r w:rsidR="00C16528" w:rsidRPr="009543E3">
        <w:rPr>
          <w:kern w:val="22"/>
          <w:szCs w:val="22"/>
        </w:rPr>
        <w:t xml:space="preserve">Conference of the Parties </w:t>
      </w:r>
      <w:r w:rsidR="007871E1" w:rsidRPr="009543E3">
        <w:rPr>
          <w:kern w:val="22"/>
          <w:szCs w:val="22"/>
        </w:rPr>
        <w:t>may decide at that time</w:t>
      </w:r>
      <w:r w:rsidR="00CA3782" w:rsidRPr="009543E3">
        <w:rPr>
          <w:kern w:val="22"/>
          <w:szCs w:val="22"/>
        </w:rPr>
        <w:t>.</w:t>
      </w:r>
      <w:r w:rsidR="007871E1" w:rsidRPr="009543E3">
        <w:rPr>
          <w:kern w:val="22"/>
          <w:szCs w:val="22"/>
        </w:rPr>
        <w:t xml:space="preserve"> </w:t>
      </w:r>
      <w:r w:rsidR="009B2D76" w:rsidRPr="009543E3">
        <w:rPr>
          <w:kern w:val="22"/>
          <w:szCs w:val="22"/>
        </w:rPr>
        <w:t xml:space="preserve">The </w:t>
      </w:r>
      <w:r w:rsidR="00637459" w:rsidRPr="009543E3">
        <w:rPr>
          <w:kern w:val="22"/>
          <w:szCs w:val="22"/>
        </w:rPr>
        <w:t>resource requirements for 2021</w:t>
      </w:r>
      <w:r w:rsidR="00CC44B0" w:rsidRPr="009543E3">
        <w:rPr>
          <w:kern w:val="22"/>
          <w:szCs w:val="22"/>
        </w:rPr>
        <w:t xml:space="preserve">, beyond those covered by the extension of the validity as described in </w:t>
      </w:r>
      <w:r w:rsidR="000A59C4" w:rsidRPr="009543E3">
        <w:rPr>
          <w:kern w:val="22"/>
          <w:szCs w:val="22"/>
        </w:rPr>
        <w:t>s</w:t>
      </w:r>
      <w:r w:rsidR="00CC44B0" w:rsidRPr="009543E3">
        <w:rPr>
          <w:kern w:val="22"/>
          <w:szCs w:val="22"/>
        </w:rPr>
        <w:t>ection II,</w:t>
      </w:r>
      <w:r w:rsidR="00637459" w:rsidRPr="009543E3">
        <w:rPr>
          <w:kern w:val="22"/>
          <w:szCs w:val="22"/>
        </w:rPr>
        <w:t xml:space="preserve"> are detailed in </w:t>
      </w:r>
      <w:r w:rsidR="000B554E" w:rsidRPr="009543E3">
        <w:rPr>
          <w:kern w:val="22"/>
          <w:szCs w:val="22"/>
        </w:rPr>
        <w:t>t</w:t>
      </w:r>
      <w:r w:rsidR="00637459" w:rsidRPr="009543E3">
        <w:rPr>
          <w:kern w:val="22"/>
          <w:szCs w:val="22"/>
        </w:rPr>
        <w:t>able</w:t>
      </w:r>
      <w:r w:rsidR="00CA3782" w:rsidRPr="009543E3">
        <w:rPr>
          <w:kern w:val="22"/>
          <w:szCs w:val="22"/>
        </w:rPr>
        <w:t>s 5a and 5b</w:t>
      </w:r>
      <w:r w:rsidR="00183CDA" w:rsidRPr="009543E3">
        <w:rPr>
          <w:kern w:val="22"/>
          <w:szCs w:val="22"/>
        </w:rPr>
        <w:t>. The resource requirements are</w:t>
      </w:r>
      <w:r w:rsidR="00637459" w:rsidRPr="009543E3">
        <w:rPr>
          <w:kern w:val="22"/>
          <w:szCs w:val="22"/>
        </w:rPr>
        <w:t xml:space="preserve"> </w:t>
      </w:r>
      <w:r w:rsidR="00A47936" w:rsidRPr="009543E3">
        <w:rPr>
          <w:kern w:val="22"/>
          <w:szCs w:val="22"/>
        </w:rPr>
        <w:t>estimated with the factors and assumptions</w:t>
      </w:r>
      <w:r w:rsidR="007D2D64" w:rsidRPr="009543E3">
        <w:rPr>
          <w:kern w:val="22"/>
          <w:szCs w:val="22"/>
        </w:rPr>
        <w:t xml:space="preserve"> described below</w:t>
      </w:r>
      <w:r w:rsidR="00C50295" w:rsidRPr="009543E3">
        <w:rPr>
          <w:kern w:val="22"/>
          <w:szCs w:val="22"/>
        </w:rPr>
        <w:t>.</w:t>
      </w:r>
    </w:p>
    <w:p w14:paraId="5F7DEDB0" w14:textId="1F42DD1B" w:rsidR="002A2687" w:rsidRPr="009543E3" w:rsidRDefault="002A2687" w:rsidP="006914CE">
      <w:pPr>
        <w:pStyle w:val="Style1"/>
        <w:suppressLineNumbers/>
        <w:suppressAutoHyphens/>
        <w:rPr>
          <w:i w:val="0"/>
          <w:iCs w:val="0"/>
          <w:kern w:val="22"/>
          <w:szCs w:val="22"/>
        </w:rPr>
      </w:pPr>
      <w:r w:rsidRPr="009543E3">
        <w:rPr>
          <w:i w:val="0"/>
          <w:iCs w:val="0"/>
          <w:kern w:val="22"/>
          <w:szCs w:val="22"/>
        </w:rPr>
        <w:t>Key factors and assumptions used in estimating the resource requirements for 2021</w:t>
      </w:r>
    </w:p>
    <w:p w14:paraId="67BB1216" w14:textId="707E4566" w:rsidR="009C0162" w:rsidRPr="009543E3" w:rsidRDefault="008D6358"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resource </w:t>
      </w:r>
      <w:r w:rsidRPr="009543E3">
        <w:rPr>
          <w:iCs/>
          <w:kern w:val="22"/>
          <w:szCs w:val="22"/>
        </w:rPr>
        <w:t>requirements</w:t>
      </w:r>
      <w:r w:rsidRPr="009543E3">
        <w:rPr>
          <w:kern w:val="22"/>
          <w:szCs w:val="22"/>
        </w:rPr>
        <w:t xml:space="preserve"> for the interim budget for 2021 are based on the assumption that the Conference of the Parties </w:t>
      </w:r>
      <w:r w:rsidR="00A70B5F" w:rsidRPr="009543E3">
        <w:rPr>
          <w:kern w:val="22"/>
          <w:szCs w:val="22"/>
        </w:rPr>
        <w:t xml:space="preserve">at its fifteenth meeting, in 2021, </w:t>
      </w:r>
      <w:r w:rsidR="00FD10F1" w:rsidRPr="009543E3">
        <w:rPr>
          <w:kern w:val="22"/>
          <w:szCs w:val="22"/>
        </w:rPr>
        <w:t xml:space="preserve">and </w:t>
      </w:r>
      <w:r w:rsidR="00FC109B" w:rsidRPr="009543E3">
        <w:rPr>
          <w:kern w:val="22"/>
          <w:szCs w:val="22"/>
        </w:rPr>
        <w:t xml:space="preserve">the </w:t>
      </w:r>
      <w:r w:rsidR="000B5F8B" w:rsidRPr="009543E3">
        <w:rPr>
          <w:kern w:val="22"/>
          <w:szCs w:val="22"/>
        </w:rPr>
        <w:t xml:space="preserve">related </w:t>
      </w:r>
      <w:r w:rsidR="00FC109B" w:rsidRPr="009543E3">
        <w:rPr>
          <w:kern w:val="22"/>
          <w:szCs w:val="22"/>
        </w:rPr>
        <w:t>meeting</w:t>
      </w:r>
      <w:r w:rsidR="000B5F8B" w:rsidRPr="009543E3">
        <w:rPr>
          <w:kern w:val="22"/>
          <w:szCs w:val="22"/>
        </w:rPr>
        <w:t>s</w:t>
      </w:r>
      <w:r w:rsidR="00FC109B" w:rsidRPr="009543E3">
        <w:rPr>
          <w:kern w:val="22"/>
          <w:szCs w:val="22"/>
        </w:rPr>
        <w:t xml:space="preserve"> of the Parties to the </w:t>
      </w:r>
      <w:r w:rsidR="000B554E" w:rsidRPr="009543E3">
        <w:rPr>
          <w:kern w:val="22"/>
          <w:szCs w:val="22"/>
        </w:rPr>
        <w:t>P</w:t>
      </w:r>
      <w:r w:rsidR="00950187" w:rsidRPr="009543E3">
        <w:rPr>
          <w:kern w:val="22"/>
          <w:szCs w:val="22"/>
        </w:rPr>
        <w:t xml:space="preserve">rotocols </w:t>
      </w:r>
      <w:r w:rsidR="009C0162" w:rsidRPr="009543E3">
        <w:rPr>
          <w:kern w:val="22"/>
          <w:szCs w:val="22"/>
        </w:rPr>
        <w:t xml:space="preserve">will approve an integrated </w:t>
      </w:r>
      <w:r w:rsidR="00950187" w:rsidRPr="009543E3">
        <w:rPr>
          <w:kern w:val="22"/>
          <w:szCs w:val="22"/>
        </w:rPr>
        <w:t>results</w:t>
      </w:r>
      <w:r w:rsidR="009C54BD" w:rsidRPr="009543E3">
        <w:rPr>
          <w:kern w:val="22"/>
          <w:szCs w:val="22"/>
        </w:rPr>
        <w:t>-</w:t>
      </w:r>
      <w:r w:rsidR="00950187" w:rsidRPr="009543E3">
        <w:rPr>
          <w:kern w:val="22"/>
          <w:szCs w:val="22"/>
        </w:rPr>
        <w:t xml:space="preserve">based </w:t>
      </w:r>
      <w:r w:rsidR="009C0162" w:rsidRPr="009543E3">
        <w:rPr>
          <w:kern w:val="22"/>
          <w:szCs w:val="22"/>
        </w:rPr>
        <w:t xml:space="preserve">programme of work and budget for the </w:t>
      </w:r>
      <w:r w:rsidR="009C54BD" w:rsidRPr="009543E3">
        <w:rPr>
          <w:kern w:val="22"/>
          <w:szCs w:val="22"/>
        </w:rPr>
        <w:t xml:space="preserve">biennium </w:t>
      </w:r>
      <w:r w:rsidR="007871E1" w:rsidRPr="009543E3">
        <w:rPr>
          <w:kern w:val="22"/>
          <w:szCs w:val="22"/>
        </w:rPr>
        <w:t xml:space="preserve">2021-2022 </w:t>
      </w:r>
      <w:r w:rsidR="00CC44B0" w:rsidRPr="009543E3">
        <w:rPr>
          <w:kern w:val="22"/>
          <w:szCs w:val="22"/>
        </w:rPr>
        <w:t>(or for a period to be determined)</w:t>
      </w:r>
      <w:r w:rsidRPr="009543E3">
        <w:rPr>
          <w:kern w:val="22"/>
          <w:szCs w:val="22"/>
        </w:rPr>
        <w:t>.</w:t>
      </w:r>
    </w:p>
    <w:p w14:paraId="7AD103B9" w14:textId="2EB5A2CF" w:rsidR="004F6235" w:rsidRPr="009543E3" w:rsidRDefault="004F6235"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proposed budget of </w:t>
      </w:r>
      <w:r w:rsidR="00A3487E" w:rsidRPr="009543E3">
        <w:rPr>
          <w:kern w:val="22"/>
          <w:szCs w:val="22"/>
        </w:rPr>
        <w:t>US$ 16,943,8</w:t>
      </w:r>
      <w:r w:rsidR="00324E3A" w:rsidRPr="009543E3">
        <w:rPr>
          <w:kern w:val="22"/>
          <w:szCs w:val="22"/>
        </w:rPr>
        <w:t>0</w:t>
      </w:r>
      <w:r w:rsidR="00A3487E" w:rsidRPr="009543E3">
        <w:rPr>
          <w:kern w:val="22"/>
          <w:szCs w:val="22"/>
        </w:rPr>
        <w:t>0</w:t>
      </w:r>
      <w:r w:rsidRPr="009543E3">
        <w:rPr>
          <w:kern w:val="22"/>
          <w:szCs w:val="22"/>
        </w:rPr>
        <w:t xml:space="preserve"> is 1</w:t>
      </w:r>
      <w:r w:rsidR="00C209DB" w:rsidRPr="009543E3">
        <w:rPr>
          <w:kern w:val="22"/>
          <w:szCs w:val="22"/>
        </w:rPr>
        <w:t>5</w:t>
      </w:r>
      <w:r w:rsidR="00163A8C" w:rsidRPr="009543E3">
        <w:rPr>
          <w:kern w:val="22"/>
          <w:szCs w:val="22"/>
        </w:rPr>
        <w:t xml:space="preserve"> per cent</w:t>
      </w:r>
      <w:r w:rsidRPr="009543E3">
        <w:rPr>
          <w:kern w:val="22"/>
          <w:szCs w:val="22"/>
        </w:rPr>
        <w:t xml:space="preserve"> less than the approved budget for 2020.</w:t>
      </w:r>
    </w:p>
    <w:p w14:paraId="624E307C" w14:textId="5AEEBFAF" w:rsidR="004D0BE0" w:rsidRPr="009543E3" w:rsidRDefault="008D6358"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w:t>
      </w:r>
      <w:r w:rsidR="004D0BE0" w:rsidRPr="009543E3">
        <w:rPr>
          <w:kern w:val="22"/>
          <w:szCs w:val="22"/>
        </w:rPr>
        <w:t xml:space="preserve">he costs of </w:t>
      </w:r>
      <w:r w:rsidR="001F3603" w:rsidRPr="009543E3">
        <w:rPr>
          <w:kern w:val="22"/>
          <w:szCs w:val="22"/>
        </w:rPr>
        <w:t>the fifteenth meeting of the Conference of the Parties</w:t>
      </w:r>
      <w:r w:rsidR="004D0BE0" w:rsidRPr="009543E3">
        <w:rPr>
          <w:kern w:val="22"/>
          <w:szCs w:val="22"/>
        </w:rPr>
        <w:t xml:space="preserve"> and related meetings of the </w:t>
      </w:r>
      <w:r w:rsidR="008F2B32" w:rsidRPr="009543E3">
        <w:rPr>
          <w:kern w:val="22"/>
          <w:szCs w:val="22"/>
        </w:rPr>
        <w:t>P</w:t>
      </w:r>
      <w:r w:rsidR="004D0BE0" w:rsidRPr="009543E3">
        <w:rPr>
          <w:kern w:val="22"/>
          <w:szCs w:val="22"/>
        </w:rPr>
        <w:t xml:space="preserve">rotocols, </w:t>
      </w:r>
      <w:r w:rsidR="004F6235" w:rsidRPr="009543E3">
        <w:rPr>
          <w:kern w:val="22"/>
          <w:szCs w:val="22"/>
        </w:rPr>
        <w:t xml:space="preserve">and most of the costs for </w:t>
      </w:r>
      <w:r w:rsidR="008A4E96">
        <w:rPr>
          <w:kern w:val="22"/>
          <w:szCs w:val="22"/>
        </w:rPr>
        <w:t>the twenty-fourth meeting of the Subsidiary Body on Scientific, Technical and Technological Advice</w:t>
      </w:r>
      <w:r w:rsidR="004D0BE0" w:rsidRPr="009543E3">
        <w:rPr>
          <w:kern w:val="22"/>
          <w:szCs w:val="22"/>
        </w:rPr>
        <w:t xml:space="preserve"> and </w:t>
      </w:r>
      <w:r w:rsidR="008A4E96">
        <w:rPr>
          <w:kern w:val="22"/>
          <w:szCs w:val="22"/>
        </w:rPr>
        <w:t>the third meeti</w:t>
      </w:r>
      <w:r w:rsidR="00901097">
        <w:rPr>
          <w:kern w:val="22"/>
          <w:szCs w:val="22"/>
        </w:rPr>
        <w:t>ng of the Subsidiary Body on Implementation</w:t>
      </w:r>
      <w:r w:rsidR="004F6235" w:rsidRPr="009543E3">
        <w:rPr>
          <w:kern w:val="22"/>
          <w:szCs w:val="22"/>
        </w:rPr>
        <w:t>,</w:t>
      </w:r>
      <w:r w:rsidR="004D0BE0" w:rsidRPr="009543E3">
        <w:rPr>
          <w:kern w:val="22"/>
          <w:szCs w:val="22"/>
        </w:rPr>
        <w:t xml:space="preserve"> </w:t>
      </w:r>
      <w:r w:rsidRPr="009543E3">
        <w:rPr>
          <w:kern w:val="22"/>
          <w:szCs w:val="22"/>
        </w:rPr>
        <w:t>are not included in the interim budget a</w:t>
      </w:r>
      <w:r w:rsidR="00950187" w:rsidRPr="009543E3">
        <w:rPr>
          <w:kern w:val="22"/>
          <w:szCs w:val="22"/>
        </w:rPr>
        <w:t>s they</w:t>
      </w:r>
      <w:r w:rsidRPr="009543E3">
        <w:rPr>
          <w:kern w:val="22"/>
          <w:szCs w:val="22"/>
        </w:rPr>
        <w:t xml:space="preserve"> </w:t>
      </w:r>
      <w:r w:rsidR="004D0BE0" w:rsidRPr="009543E3">
        <w:rPr>
          <w:kern w:val="22"/>
          <w:szCs w:val="22"/>
        </w:rPr>
        <w:t xml:space="preserve">will be covered by the </w:t>
      </w:r>
      <w:r w:rsidR="00950187" w:rsidRPr="009543E3">
        <w:rPr>
          <w:kern w:val="22"/>
          <w:szCs w:val="22"/>
        </w:rPr>
        <w:t xml:space="preserve">approved </w:t>
      </w:r>
      <w:r w:rsidR="004D0BE0" w:rsidRPr="009543E3">
        <w:rPr>
          <w:kern w:val="22"/>
          <w:szCs w:val="22"/>
        </w:rPr>
        <w:t>budget from 2019-2020 extended to 2021.</w:t>
      </w:r>
    </w:p>
    <w:p w14:paraId="07B9A5CF" w14:textId="09E58E4A" w:rsidR="0063185C" w:rsidRPr="009543E3" w:rsidRDefault="008D400E"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The proposed interim budget is limited in scope and only cover</w:t>
      </w:r>
      <w:r w:rsidR="002A2502" w:rsidRPr="009543E3">
        <w:rPr>
          <w:kern w:val="22"/>
          <w:szCs w:val="22"/>
        </w:rPr>
        <w:t>s</w:t>
      </w:r>
      <w:r w:rsidRPr="009543E3">
        <w:rPr>
          <w:kern w:val="22"/>
          <w:szCs w:val="22"/>
        </w:rPr>
        <w:t xml:space="preserve"> the minimum necessary resource requirements to allow for the continuing operations of the Secretariat in 2021.</w:t>
      </w:r>
    </w:p>
    <w:p w14:paraId="5A530D62" w14:textId="33874178" w:rsidR="004B7BD7" w:rsidRPr="009543E3" w:rsidRDefault="004B7BD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Taking into account the estimated low level of reserves in the Nagoya Protocol trust fund and the need for prudence given the slow collection of assessed contributions as highlighted in paragraph 7 </w:t>
      </w:r>
      <w:r w:rsidR="004A3249" w:rsidRPr="009543E3">
        <w:rPr>
          <w:kern w:val="22"/>
          <w:szCs w:val="22"/>
        </w:rPr>
        <w:t>above</w:t>
      </w:r>
      <w:r w:rsidRPr="009543E3">
        <w:rPr>
          <w:kern w:val="22"/>
          <w:szCs w:val="22"/>
        </w:rPr>
        <w:t>, the use of reserves to offset the assessed contributions for 2021 is not proposed.</w:t>
      </w:r>
    </w:p>
    <w:p w14:paraId="3CC7BD80" w14:textId="198CAF97" w:rsidR="004B7BD7" w:rsidRPr="009543E3" w:rsidRDefault="004B7BD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approval of an interim budget will be without any prejudice to a final budget to be approved by the Conference of the Parties at its fifteenth meeting. The Secretariat will prepare and submit a detailed results-based programme of work and budget for the period of 2021-2022 in accordance with </w:t>
      </w:r>
      <w:r w:rsidR="002152F4" w:rsidRPr="009543E3">
        <w:rPr>
          <w:kern w:val="22"/>
          <w:szCs w:val="22"/>
        </w:rPr>
        <w:t>d</w:t>
      </w:r>
      <w:r w:rsidRPr="009543E3">
        <w:rPr>
          <w:kern w:val="22"/>
          <w:szCs w:val="22"/>
        </w:rPr>
        <w:t>ecision 14/37, para</w:t>
      </w:r>
      <w:r w:rsidR="002152F4" w:rsidRPr="009543E3">
        <w:rPr>
          <w:kern w:val="22"/>
          <w:szCs w:val="22"/>
        </w:rPr>
        <w:t>graph</w:t>
      </w:r>
      <w:r w:rsidRPr="009543E3">
        <w:rPr>
          <w:kern w:val="22"/>
          <w:szCs w:val="22"/>
        </w:rPr>
        <w:t xml:space="preserve"> 48. In addition, given that </w:t>
      </w:r>
      <w:r w:rsidR="007223AC" w:rsidRPr="009543E3">
        <w:rPr>
          <w:kern w:val="22"/>
          <w:szCs w:val="22"/>
        </w:rPr>
        <w:t xml:space="preserve">the Conference of the Parties at its fifteenth meeting </w:t>
      </w:r>
      <w:r w:rsidRPr="009543E3">
        <w:rPr>
          <w:kern w:val="22"/>
          <w:szCs w:val="22"/>
        </w:rPr>
        <w:t xml:space="preserve">may consider the periodicity of its future meetings, and taking into account that </w:t>
      </w:r>
      <w:r w:rsidR="0075137E" w:rsidRPr="009543E3">
        <w:rPr>
          <w:kern w:val="22"/>
          <w:szCs w:val="22"/>
        </w:rPr>
        <w:t xml:space="preserve">the fifteenth meeting </w:t>
      </w:r>
      <w:r w:rsidRPr="009543E3">
        <w:rPr>
          <w:kern w:val="22"/>
          <w:szCs w:val="22"/>
        </w:rPr>
        <w:t xml:space="preserve">will be </w:t>
      </w:r>
      <w:r w:rsidR="000544CA" w:rsidRPr="009543E3">
        <w:rPr>
          <w:kern w:val="22"/>
          <w:szCs w:val="22"/>
        </w:rPr>
        <w:t>delayed by one year</w:t>
      </w:r>
      <w:r w:rsidRPr="009543E3">
        <w:rPr>
          <w:kern w:val="22"/>
          <w:szCs w:val="22"/>
        </w:rPr>
        <w:t xml:space="preserve">, </w:t>
      </w:r>
      <w:r w:rsidR="00ED1F9F" w:rsidRPr="009543E3">
        <w:rPr>
          <w:kern w:val="22"/>
          <w:szCs w:val="22"/>
        </w:rPr>
        <w:t xml:space="preserve">the Conference of the Parties at its fifteenth meeting </w:t>
      </w:r>
      <w:r w:rsidRPr="009543E3">
        <w:rPr>
          <w:kern w:val="22"/>
          <w:szCs w:val="22"/>
        </w:rPr>
        <w:t xml:space="preserve">may wish to consider scenarios </w:t>
      </w:r>
      <w:r w:rsidR="00555BA6" w:rsidRPr="009543E3">
        <w:rPr>
          <w:kern w:val="22"/>
          <w:szCs w:val="22"/>
        </w:rPr>
        <w:t xml:space="preserve">in which the sixteenth meeting </w:t>
      </w:r>
      <w:r w:rsidRPr="009543E3">
        <w:rPr>
          <w:kern w:val="22"/>
          <w:szCs w:val="22"/>
        </w:rPr>
        <w:t>will be held either in 2022 (scenario A) or in 2023 (scenario B).</w:t>
      </w:r>
    </w:p>
    <w:p w14:paraId="602CA58D" w14:textId="32350361" w:rsidR="00CE4BBD" w:rsidRPr="009543E3" w:rsidRDefault="002A268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The estimated salary costs are for 78 posts (49 Professional and 29 General Service) as per the staffing table approved by the Conference of the Parties at its fourteenth meeting (</w:t>
      </w:r>
      <w:r w:rsidR="00186F7E" w:rsidRPr="009543E3">
        <w:rPr>
          <w:kern w:val="22"/>
          <w:szCs w:val="22"/>
        </w:rPr>
        <w:t>t</w:t>
      </w:r>
      <w:r w:rsidRPr="009543E3">
        <w:rPr>
          <w:kern w:val="22"/>
          <w:szCs w:val="22"/>
        </w:rPr>
        <w:t xml:space="preserve">able </w:t>
      </w:r>
      <w:r w:rsidR="005A4571" w:rsidRPr="009543E3">
        <w:rPr>
          <w:kern w:val="22"/>
          <w:szCs w:val="22"/>
        </w:rPr>
        <w:t>6</w:t>
      </w:r>
      <w:r w:rsidRPr="009543E3">
        <w:rPr>
          <w:kern w:val="22"/>
          <w:szCs w:val="22"/>
        </w:rPr>
        <w:t>).</w:t>
      </w:r>
    </w:p>
    <w:p w14:paraId="43014C04" w14:textId="7C680D0C" w:rsidR="0052689A" w:rsidRPr="009543E3" w:rsidRDefault="0039109E"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In decision </w:t>
      </w:r>
      <w:r w:rsidR="00496F77" w:rsidRPr="009543E3">
        <w:rPr>
          <w:kern w:val="22"/>
          <w:szCs w:val="22"/>
        </w:rPr>
        <w:t>14/37</w:t>
      </w:r>
      <w:r w:rsidR="00A32412" w:rsidRPr="009543E3">
        <w:rPr>
          <w:kern w:val="22"/>
          <w:szCs w:val="22"/>
        </w:rPr>
        <w:t>, paragraph 2</w:t>
      </w:r>
      <w:r w:rsidRPr="009543E3">
        <w:rPr>
          <w:kern w:val="22"/>
          <w:szCs w:val="22"/>
        </w:rPr>
        <w:t xml:space="preserve">, the Conference of the Parties agreed to share the costs </w:t>
      </w:r>
      <w:r w:rsidR="005D3D9E" w:rsidRPr="009543E3">
        <w:rPr>
          <w:kern w:val="22"/>
          <w:szCs w:val="22"/>
        </w:rPr>
        <w:t xml:space="preserve">of </w:t>
      </w:r>
      <w:r w:rsidRPr="009543E3">
        <w:rPr>
          <w:kern w:val="22"/>
          <w:szCs w:val="22"/>
        </w:rPr>
        <w:t xml:space="preserve">secretariat services </w:t>
      </w:r>
      <w:r w:rsidR="00496F77" w:rsidRPr="009543E3">
        <w:rPr>
          <w:kern w:val="22"/>
          <w:szCs w:val="22"/>
        </w:rPr>
        <w:t xml:space="preserve">among the </w:t>
      </w:r>
      <w:r w:rsidRPr="009543E3">
        <w:rPr>
          <w:kern w:val="22"/>
          <w:szCs w:val="22"/>
        </w:rPr>
        <w:t>Convention</w:t>
      </w:r>
      <w:r w:rsidR="00496F77" w:rsidRPr="009543E3">
        <w:rPr>
          <w:kern w:val="22"/>
          <w:szCs w:val="22"/>
        </w:rPr>
        <w:t>,</w:t>
      </w:r>
      <w:r w:rsidRPr="009543E3">
        <w:rPr>
          <w:kern w:val="22"/>
          <w:szCs w:val="22"/>
        </w:rPr>
        <w:t xml:space="preserve"> the Cartagena Protocol on Biosafety </w:t>
      </w:r>
      <w:r w:rsidR="00496F77" w:rsidRPr="009543E3">
        <w:rPr>
          <w:kern w:val="22"/>
          <w:szCs w:val="22"/>
        </w:rPr>
        <w:t>and the Nagoya Protocol on Access Benefit</w:t>
      </w:r>
      <w:r w:rsidR="00186F7E" w:rsidRPr="009543E3">
        <w:rPr>
          <w:kern w:val="22"/>
          <w:szCs w:val="22"/>
        </w:rPr>
        <w:t>-s</w:t>
      </w:r>
      <w:r w:rsidR="00496F77" w:rsidRPr="009543E3">
        <w:rPr>
          <w:kern w:val="22"/>
          <w:szCs w:val="22"/>
        </w:rPr>
        <w:t>haring on a</w:t>
      </w:r>
      <w:r w:rsidRPr="009543E3">
        <w:rPr>
          <w:kern w:val="22"/>
          <w:szCs w:val="22"/>
        </w:rPr>
        <w:t xml:space="preserve"> ratio </w:t>
      </w:r>
      <w:r w:rsidR="00496F77" w:rsidRPr="009543E3">
        <w:rPr>
          <w:kern w:val="22"/>
          <w:szCs w:val="22"/>
        </w:rPr>
        <w:t xml:space="preserve">of 74:15:11 </w:t>
      </w:r>
      <w:r w:rsidRPr="009543E3">
        <w:rPr>
          <w:kern w:val="22"/>
          <w:szCs w:val="22"/>
        </w:rPr>
        <w:t>for the biennium 20</w:t>
      </w:r>
      <w:r w:rsidR="00496F77" w:rsidRPr="009543E3">
        <w:rPr>
          <w:kern w:val="22"/>
          <w:szCs w:val="22"/>
        </w:rPr>
        <w:t>19</w:t>
      </w:r>
      <w:r w:rsidRPr="009543E3">
        <w:rPr>
          <w:kern w:val="22"/>
          <w:szCs w:val="22"/>
        </w:rPr>
        <w:t>-20</w:t>
      </w:r>
      <w:r w:rsidR="00496F77" w:rsidRPr="009543E3">
        <w:rPr>
          <w:kern w:val="22"/>
          <w:szCs w:val="22"/>
        </w:rPr>
        <w:t xml:space="preserve">20. </w:t>
      </w:r>
      <w:r w:rsidR="0052689A" w:rsidRPr="009543E3">
        <w:rPr>
          <w:kern w:val="22"/>
          <w:szCs w:val="22"/>
        </w:rPr>
        <w:t xml:space="preserve">The same ratio </w:t>
      </w:r>
      <w:r w:rsidR="008206F6" w:rsidRPr="009543E3">
        <w:rPr>
          <w:kern w:val="22"/>
          <w:szCs w:val="22"/>
        </w:rPr>
        <w:t xml:space="preserve">will </w:t>
      </w:r>
      <w:r w:rsidR="0052689A" w:rsidRPr="009543E3">
        <w:rPr>
          <w:kern w:val="22"/>
          <w:szCs w:val="22"/>
        </w:rPr>
        <w:t>be used for the</w:t>
      </w:r>
      <w:r w:rsidR="008206F6" w:rsidRPr="009543E3">
        <w:rPr>
          <w:kern w:val="22"/>
          <w:szCs w:val="22"/>
        </w:rPr>
        <w:t xml:space="preserve"> purpose of the</w:t>
      </w:r>
      <w:r w:rsidR="0052689A" w:rsidRPr="009543E3">
        <w:rPr>
          <w:kern w:val="22"/>
          <w:szCs w:val="22"/>
        </w:rPr>
        <w:t xml:space="preserve"> interim budget</w:t>
      </w:r>
      <w:r w:rsidR="008206F6" w:rsidRPr="009543E3">
        <w:rPr>
          <w:kern w:val="22"/>
          <w:szCs w:val="22"/>
        </w:rPr>
        <w:t xml:space="preserve"> for 2021</w:t>
      </w:r>
      <w:r w:rsidR="0052689A" w:rsidRPr="009543E3">
        <w:rPr>
          <w:kern w:val="22"/>
          <w:szCs w:val="22"/>
        </w:rPr>
        <w:t xml:space="preserve">. The </w:t>
      </w:r>
      <w:r w:rsidR="00496F77" w:rsidRPr="009543E3">
        <w:rPr>
          <w:kern w:val="22"/>
          <w:szCs w:val="22"/>
        </w:rPr>
        <w:t xml:space="preserve">Secretariat </w:t>
      </w:r>
      <w:r w:rsidR="0052689A" w:rsidRPr="009543E3">
        <w:rPr>
          <w:kern w:val="22"/>
          <w:szCs w:val="22"/>
        </w:rPr>
        <w:t xml:space="preserve">will determine a new ratio for the </w:t>
      </w:r>
      <w:r w:rsidR="00C66639" w:rsidRPr="009543E3">
        <w:rPr>
          <w:kern w:val="22"/>
          <w:szCs w:val="22"/>
        </w:rPr>
        <w:t xml:space="preserve">biennium </w:t>
      </w:r>
      <w:r w:rsidR="0052689A" w:rsidRPr="009543E3">
        <w:rPr>
          <w:kern w:val="22"/>
          <w:szCs w:val="22"/>
        </w:rPr>
        <w:t xml:space="preserve">2021-2022 </w:t>
      </w:r>
      <w:r w:rsidR="00C66639" w:rsidRPr="009543E3">
        <w:rPr>
          <w:kern w:val="22"/>
          <w:szCs w:val="22"/>
        </w:rPr>
        <w:t>for</w:t>
      </w:r>
      <w:r w:rsidR="0052689A" w:rsidRPr="009543E3">
        <w:rPr>
          <w:kern w:val="22"/>
          <w:szCs w:val="22"/>
        </w:rPr>
        <w:t xml:space="preserve"> the consideration of the Conference of the Parties at its fifteenth meeting.</w:t>
      </w:r>
    </w:p>
    <w:p w14:paraId="035C689B" w14:textId="50C2DD57" w:rsidR="00315701" w:rsidRPr="009543E3" w:rsidRDefault="00CC21F0" w:rsidP="006914CE">
      <w:pPr>
        <w:keepNext/>
        <w:suppressLineNumbers/>
        <w:suppressAutoHyphens/>
        <w:spacing w:before="120" w:after="120"/>
        <w:jc w:val="left"/>
        <w:rPr>
          <w:b/>
          <w:kern w:val="22"/>
          <w:szCs w:val="22"/>
        </w:rPr>
      </w:pPr>
      <w:r w:rsidRPr="009543E3">
        <w:rPr>
          <w:b/>
          <w:kern w:val="22"/>
          <w:szCs w:val="22"/>
        </w:rPr>
        <w:lastRenderedPageBreak/>
        <w:t>Table 5a</w:t>
      </w:r>
      <w:r w:rsidR="002A34AA" w:rsidRPr="009543E3">
        <w:rPr>
          <w:b/>
          <w:kern w:val="22"/>
          <w:szCs w:val="22"/>
        </w:rPr>
        <w:br/>
      </w:r>
      <w:r w:rsidRPr="009543E3">
        <w:rPr>
          <w:b/>
          <w:kern w:val="22"/>
          <w:szCs w:val="22"/>
        </w:rPr>
        <w:t>Proposed integrated interim budget for 2021</w:t>
      </w:r>
      <w:r w:rsidR="00EE27E1" w:rsidRPr="009543E3">
        <w:rPr>
          <w:b/>
          <w:kern w:val="22"/>
          <w:szCs w:val="22"/>
        </w:rPr>
        <w:t xml:space="preserve"> (by object of expenditure)</w:t>
      </w:r>
    </w:p>
    <w:tbl>
      <w:tblPr>
        <w:tblW w:w="9351" w:type="dxa"/>
        <w:tblLook w:val="04A0" w:firstRow="1" w:lastRow="0" w:firstColumn="1" w:lastColumn="0" w:noHBand="0" w:noVBand="1"/>
      </w:tblPr>
      <w:tblGrid>
        <w:gridCol w:w="4383"/>
        <w:gridCol w:w="1274"/>
        <w:gridCol w:w="1417"/>
        <w:gridCol w:w="1347"/>
        <w:gridCol w:w="930"/>
      </w:tblGrid>
      <w:tr w:rsidR="00FE1779" w:rsidRPr="009543E3" w14:paraId="3A118FCE" w14:textId="77777777" w:rsidTr="002A34AA">
        <w:trPr>
          <w:trHeight w:val="645"/>
        </w:trPr>
        <w:tc>
          <w:tcPr>
            <w:tcW w:w="4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Object of expenditure</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Approved budget 2020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Total proposed budget for 2021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Variance</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Notes</w:t>
            </w:r>
          </w:p>
        </w:tc>
      </w:tr>
      <w:tr w:rsidR="00E127A9" w:rsidRPr="009543E3" w14:paraId="03A58792" w14:textId="77777777" w:rsidTr="006914CE">
        <w:trPr>
          <w:trHeight w:val="458"/>
        </w:trPr>
        <w:tc>
          <w:tcPr>
            <w:tcW w:w="4383"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9543E3" w:rsidRDefault="00315701" w:rsidP="006914CE">
            <w:pPr>
              <w:keepNext/>
              <w:suppressLineNumbers/>
              <w:suppressAutoHyphens/>
              <w:rPr>
                <w:b/>
                <w:i/>
                <w:color w:val="000000"/>
                <w:kern w:val="22"/>
                <w:szCs w:val="22"/>
                <w:lang w:eastAsia="en-C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9543E3" w:rsidRDefault="00315701" w:rsidP="006914CE">
            <w:pPr>
              <w:keepNext/>
              <w:suppressLineNumbers/>
              <w:suppressAutoHyphens/>
              <w:rPr>
                <w:b/>
                <w:i/>
                <w:color w:val="000000"/>
                <w:kern w:val="22"/>
                <w:szCs w:val="22"/>
                <w:lang w:eastAsia="en-C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9543E3" w:rsidRDefault="00315701" w:rsidP="006914CE">
            <w:pPr>
              <w:keepNext/>
              <w:suppressLineNumbers/>
              <w:suppressAutoHyphens/>
              <w:rPr>
                <w:b/>
                <w:i/>
                <w:color w:val="000000"/>
                <w:kern w:val="22"/>
                <w:szCs w:val="22"/>
                <w:lang w:eastAsia="en-CA"/>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9543E3" w:rsidRDefault="00315701" w:rsidP="006914CE">
            <w:pPr>
              <w:keepNext/>
              <w:suppressLineNumbers/>
              <w:suppressAutoHyphens/>
              <w:rPr>
                <w:b/>
                <w:i/>
                <w:color w:val="000000"/>
                <w:kern w:val="22"/>
                <w:szCs w:val="22"/>
                <w:lang w:eastAsia="en-CA"/>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9543E3" w:rsidRDefault="00315701" w:rsidP="006914CE">
            <w:pPr>
              <w:keepNext/>
              <w:suppressLineNumbers/>
              <w:suppressAutoHyphens/>
              <w:rPr>
                <w:b/>
                <w:i/>
                <w:color w:val="000000"/>
                <w:kern w:val="22"/>
                <w:szCs w:val="22"/>
                <w:lang w:eastAsia="en-CA"/>
              </w:rPr>
            </w:pPr>
          </w:p>
        </w:tc>
      </w:tr>
      <w:tr w:rsidR="00315701" w:rsidRPr="009543E3" w14:paraId="5FAFD6F0" w14:textId="77777777" w:rsidTr="006914CE">
        <w:trPr>
          <w:trHeight w:val="300"/>
        </w:trPr>
        <w:tc>
          <w:tcPr>
            <w:tcW w:w="4383"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9543E3" w:rsidRDefault="00315701" w:rsidP="006914CE">
            <w:pPr>
              <w:keepNext/>
              <w:suppressLineNumbers/>
              <w:suppressAutoHyphens/>
              <w:rPr>
                <w:b/>
                <w:i/>
                <w:color w:val="000000"/>
                <w:kern w:val="22"/>
                <w:szCs w:val="22"/>
                <w:lang w:eastAsia="en-CA"/>
              </w:rPr>
            </w:pPr>
          </w:p>
        </w:tc>
        <w:tc>
          <w:tcPr>
            <w:tcW w:w="4038"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(Thousands of United States dollars)</w:t>
            </w:r>
          </w:p>
        </w:tc>
        <w:tc>
          <w:tcPr>
            <w:tcW w:w="930" w:type="dxa"/>
            <w:tcBorders>
              <w:top w:val="nil"/>
              <w:left w:val="nil"/>
              <w:bottom w:val="single" w:sz="4" w:space="0" w:color="auto"/>
              <w:right w:val="single" w:sz="4" w:space="0" w:color="auto"/>
            </w:tcBorders>
            <w:shd w:val="clear" w:color="auto" w:fill="auto"/>
            <w:vAlign w:val="center"/>
            <w:hideMark/>
          </w:tcPr>
          <w:p w14:paraId="6442547B" w14:textId="5EB22B2B" w:rsidR="00315701" w:rsidRPr="009543E3" w:rsidRDefault="00315701" w:rsidP="006914CE">
            <w:pPr>
              <w:keepNext/>
              <w:suppressLineNumbers/>
              <w:suppressAutoHyphens/>
              <w:jc w:val="center"/>
              <w:rPr>
                <w:bCs/>
                <w:iCs/>
                <w:color w:val="000000"/>
                <w:kern w:val="22"/>
                <w:szCs w:val="22"/>
                <w:lang w:eastAsia="en-CA"/>
              </w:rPr>
            </w:pPr>
          </w:p>
        </w:tc>
      </w:tr>
      <w:tr w:rsidR="00FE1779" w:rsidRPr="009543E3" w14:paraId="380D36E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7D5905F"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A. Staff costs</w:t>
            </w:r>
          </w:p>
        </w:tc>
        <w:tc>
          <w:tcPr>
            <w:tcW w:w="1274" w:type="dxa"/>
            <w:tcBorders>
              <w:top w:val="nil"/>
              <w:left w:val="nil"/>
              <w:bottom w:val="single" w:sz="4" w:space="0" w:color="auto"/>
              <w:right w:val="single" w:sz="4" w:space="0" w:color="auto"/>
            </w:tcBorders>
            <w:shd w:val="clear" w:color="auto" w:fill="auto"/>
            <w:vAlign w:val="center"/>
            <w:hideMark/>
          </w:tcPr>
          <w:p w14:paraId="57108EE3" w14:textId="742F0548"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626.6</w:t>
            </w:r>
          </w:p>
        </w:tc>
        <w:tc>
          <w:tcPr>
            <w:tcW w:w="1417" w:type="dxa"/>
            <w:tcBorders>
              <w:top w:val="nil"/>
              <w:left w:val="nil"/>
              <w:bottom w:val="single" w:sz="4" w:space="0" w:color="auto"/>
              <w:right w:val="single" w:sz="4" w:space="0" w:color="auto"/>
            </w:tcBorders>
            <w:shd w:val="clear" w:color="auto" w:fill="auto"/>
            <w:vAlign w:val="center"/>
            <w:hideMark/>
          </w:tcPr>
          <w:p w14:paraId="31467667" w14:textId="4AEA943D"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936.8</w:t>
            </w:r>
          </w:p>
        </w:tc>
        <w:tc>
          <w:tcPr>
            <w:tcW w:w="1347" w:type="dxa"/>
            <w:tcBorders>
              <w:top w:val="nil"/>
              <w:left w:val="nil"/>
              <w:bottom w:val="single" w:sz="4" w:space="0" w:color="auto"/>
              <w:right w:val="single" w:sz="4" w:space="0" w:color="auto"/>
            </w:tcBorders>
            <w:shd w:val="clear" w:color="auto" w:fill="auto"/>
            <w:vAlign w:val="center"/>
            <w:hideMark/>
          </w:tcPr>
          <w:p w14:paraId="77392262"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310.2</w:t>
            </w:r>
          </w:p>
        </w:tc>
        <w:tc>
          <w:tcPr>
            <w:tcW w:w="930" w:type="dxa"/>
            <w:tcBorders>
              <w:top w:val="nil"/>
              <w:left w:val="nil"/>
              <w:bottom w:val="single" w:sz="4" w:space="0" w:color="auto"/>
              <w:right w:val="single" w:sz="4" w:space="0" w:color="auto"/>
            </w:tcBorders>
            <w:shd w:val="clear" w:color="auto" w:fill="auto"/>
            <w:vAlign w:val="center"/>
            <w:hideMark/>
          </w:tcPr>
          <w:p w14:paraId="65E9090D" w14:textId="263E287F"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1</w:t>
            </w:r>
          </w:p>
        </w:tc>
      </w:tr>
      <w:tr w:rsidR="00FE1779" w:rsidRPr="009543E3" w14:paraId="031F465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DFF1294"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B. Bureau meetings</w:t>
            </w:r>
          </w:p>
        </w:tc>
        <w:tc>
          <w:tcPr>
            <w:tcW w:w="1274" w:type="dxa"/>
            <w:tcBorders>
              <w:top w:val="nil"/>
              <w:left w:val="nil"/>
              <w:bottom w:val="single" w:sz="4" w:space="0" w:color="auto"/>
              <w:right w:val="single" w:sz="4" w:space="0" w:color="auto"/>
            </w:tcBorders>
            <w:shd w:val="clear" w:color="auto" w:fill="auto"/>
            <w:vAlign w:val="center"/>
            <w:hideMark/>
          </w:tcPr>
          <w:p w14:paraId="6D78A47C"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215.0</w:t>
            </w:r>
          </w:p>
        </w:tc>
        <w:tc>
          <w:tcPr>
            <w:tcW w:w="1417" w:type="dxa"/>
            <w:tcBorders>
              <w:top w:val="nil"/>
              <w:left w:val="nil"/>
              <w:bottom w:val="single" w:sz="4" w:space="0" w:color="auto"/>
              <w:right w:val="single" w:sz="4" w:space="0" w:color="auto"/>
            </w:tcBorders>
            <w:shd w:val="clear" w:color="auto" w:fill="auto"/>
            <w:vAlign w:val="center"/>
            <w:hideMark/>
          </w:tcPr>
          <w:p w14:paraId="484B1877" w14:textId="4FE53A70" w:rsidR="00315701" w:rsidRPr="009543E3" w:rsidRDefault="00315701" w:rsidP="006914CE">
            <w:pPr>
              <w:keepNext/>
              <w:suppressLineNumbers/>
              <w:suppressAutoHyphens/>
              <w:jc w:val="right"/>
              <w:rPr>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hideMark/>
          </w:tcPr>
          <w:p w14:paraId="03F66AF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-215.0</w:t>
            </w:r>
          </w:p>
        </w:tc>
        <w:tc>
          <w:tcPr>
            <w:tcW w:w="930" w:type="dxa"/>
            <w:tcBorders>
              <w:top w:val="nil"/>
              <w:left w:val="nil"/>
              <w:bottom w:val="single" w:sz="4" w:space="0" w:color="auto"/>
              <w:right w:val="single" w:sz="4" w:space="0" w:color="auto"/>
            </w:tcBorders>
            <w:shd w:val="clear" w:color="auto" w:fill="auto"/>
            <w:vAlign w:val="center"/>
            <w:hideMark/>
          </w:tcPr>
          <w:p w14:paraId="1F72687D" w14:textId="722F3CC0"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2</w:t>
            </w:r>
          </w:p>
        </w:tc>
      </w:tr>
      <w:tr w:rsidR="00FE1779" w:rsidRPr="009543E3" w14:paraId="2BE40C6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1D9997E"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C. Travel on official business</w:t>
            </w:r>
          </w:p>
        </w:tc>
        <w:tc>
          <w:tcPr>
            <w:tcW w:w="1274" w:type="dxa"/>
            <w:tcBorders>
              <w:top w:val="nil"/>
              <w:left w:val="nil"/>
              <w:bottom w:val="single" w:sz="4" w:space="0" w:color="auto"/>
              <w:right w:val="single" w:sz="4" w:space="0" w:color="auto"/>
            </w:tcBorders>
            <w:shd w:val="clear" w:color="auto" w:fill="auto"/>
            <w:vAlign w:val="center"/>
            <w:hideMark/>
          </w:tcPr>
          <w:p w14:paraId="73E2719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400.0</w:t>
            </w:r>
          </w:p>
        </w:tc>
        <w:tc>
          <w:tcPr>
            <w:tcW w:w="1417" w:type="dxa"/>
            <w:tcBorders>
              <w:top w:val="nil"/>
              <w:left w:val="nil"/>
              <w:bottom w:val="single" w:sz="4" w:space="0" w:color="auto"/>
              <w:right w:val="single" w:sz="4" w:space="0" w:color="auto"/>
            </w:tcBorders>
            <w:shd w:val="clear" w:color="auto" w:fill="auto"/>
            <w:vAlign w:val="center"/>
            <w:hideMark/>
          </w:tcPr>
          <w:p w14:paraId="512C46CE"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400.0</w:t>
            </w:r>
          </w:p>
        </w:tc>
        <w:tc>
          <w:tcPr>
            <w:tcW w:w="1347" w:type="dxa"/>
            <w:tcBorders>
              <w:top w:val="nil"/>
              <w:left w:val="nil"/>
              <w:bottom w:val="single" w:sz="4" w:space="0" w:color="auto"/>
              <w:right w:val="single" w:sz="4" w:space="0" w:color="auto"/>
            </w:tcBorders>
            <w:shd w:val="clear" w:color="auto" w:fill="auto"/>
            <w:vAlign w:val="center"/>
            <w:hideMark/>
          </w:tcPr>
          <w:p w14:paraId="2AA5396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F982C31" w14:textId="193A8511" w:rsidR="00315701" w:rsidRPr="009543E3" w:rsidRDefault="00315701" w:rsidP="006914CE">
            <w:pPr>
              <w:keepNext/>
              <w:suppressLineNumbers/>
              <w:suppressAutoHyphens/>
              <w:jc w:val="center"/>
              <w:rPr>
                <w:color w:val="000000"/>
                <w:kern w:val="22"/>
                <w:szCs w:val="22"/>
                <w:lang w:eastAsia="en-CA"/>
              </w:rPr>
            </w:pPr>
          </w:p>
        </w:tc>
      </w:tr>
      <w:tr w:rsidR="00FE1779" w:rsidRPr="009543E3" w14:paraId="486778AF"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D. Consultants/subcontractors</w:t>
            </w:r>
          </w:p>
        </w:tc>
        <w:tc>
          <w:tcPr>
            <w:tcW w:w="1274" w:type="dxa"/>
            <w:tcBorders>
              <w:top w:val="nil"/>
              <w:left w:val="nil"/>
              <w:bottom w:val="single" w:sz="4" w:space="0" w:color="auto"/>
              <w:right w:val="single" w:sz="4" w:space="0" w:color="auto"/>
            </w:tcBorders>
            <w:shd w:val="clear" w:color="auto" w:fill="auto"/>
            <w:vAlign w:val="center"/>
            <w:hideMark/>
          </w:tcPr>
          <w:p w14:paraId="40EACF2F"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417" w:type="dxa"/>
            <w:tcBorders>
              <w:top w:val="nil"/>
              <w:left w:val="nil"/>
              <w:bottom w:val="single" w:sz="4" w:space="0" w:color="auto"/>
              <w:right w:val="single" w:sz="4" w:space="0" w:color="auto"/>
            </w:tcBorders>
            <w:shd w:val="clear" w:color="auto" w:fill="auto"/>
            <w:vAlign w:val="center"/>
            <w:hideMark/>
          </w:tcPr>
          <w:p w14:paraId="0B1B25C7"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347" w:type="dxa"/>
            <w:tcBorders>
              <w:top w:val="nil"/>
              <w:left w:val="nil"/>
              <w:bottom w:val="single" w:sz="4" w:space="0" w:color="auto"/>
              <w:right w:val="single" w:sz="4" w:space="0" w:color="auto"/>
            </w:tcBorders>
            <w:shd w:val="clear" w:color="auto" w:fill="auto"/>
            <w:vAlign w:val="center"/>
            <w:hideMark/>
          </w:tcPr>
          <w:p w14:paraId="2B8505C2"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293A9B60" w14:textId="750FA5A1" w:rsidR="00315701" w:rsidRPr="009543E3" w:rsidRDefault="00315701" w:rsidP="006914CE">
            <w:pPr>
              <w:keepNext/>
              <w:suppressLineNumbers/>
              <w:suppressAutoHyphens/>
              <w:jc w:val="center"/>
              <w:rPr>
                <w:color w:val="000000"/>
                <w:kern w:val="22"/>
                <w:szCs w:val="22"/>
                <w:lang w:eastAsia="en-CA"/>
              </w:rPr>
            </w:pPr>
          </w:p>
        </w:tc>
      </w:tr>
      <w:tr w:rsidR="00FE1779" w:rsidRPr="009543E3" w14:paraId="2AF0B5E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E. Public awareness material/communications</w:t>
            </w:r>
          </w:p>
        </w:tc>
        <w:tc>
          <w:tcPr>
            <w:tcW w:w="1274" w:type="dxa"/>
            <w:tcBorders>
              <w:top w:val="nil"/>
              <w:left w:val="nil"/>
              <w:bottom w:val="single" w:sz="4" w:space="0" w:color="auto"/>
              <w:right w:val="single" w:sz="4" w:space="0" w:color="auto"/>
            </w:tcBorders>
            <w:shd w:val="clear" w:color="auto" w:fill="auto"/>
            <w:vAlign w:val="center"/>
            <w:hideMark/>
          </w:tcPr>
          <w:p w14:paraId="07F34A5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417" w:type="dxa"/>
            <w:tcBorders>
              <w:top w:val="nil"/>
              <w:left w:val="nil"/>
              <w:bottom w:val="single" w:sz="4" w:space="0" w:color="auto"/>
              <w:right w:val="single" w:sz="4" w:space="0" w:color="auto"/>
            </w:tcBorders>
            <w:shd w:val="clear" w:color="auto" w:fill="auto"/>
            <w:vAlign w:val="center"/>
            <w:hideMark/>
          </w:tcPr>
          <w:p w14:paraId="1B775AA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347" w:type="dxa"/>
            <w:tcBorders>
              <w:top w:val="nil"/>
              <w:left w:val="nil"/>
              <w:bottom w:val="single" w:sz="4" w:space="0" w:color="auto"/>
              <w:right w:val="single" w:sz="4" w:space="0" w:color="auto"/>
            </w:tcBorders>
            <w:shd w:val="clear" w:color="auto" w:fill="auto"/>
            <w:vAlign w:val="center"/>
            <w:hideMark/>
          </w:tcPr>
          <w:p w14:paraId="4CDE506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07BE4F31" w14:textId="74520420" w:rsidR="00315701" w:rsidRPr="009543E3" w:rsidRDefault="00315701" w:rsidP="006914CE">
            <w:pPr>
              <w:keepNext/>
              <w:suppressLineNumbers/>
              <w:suppressAutoHyphens/>
              <w:jc w:val="center"/>
              <w:rPr>
                <w:color w:val="000000"/>
                <w:kern w:val="22"/>
                <w:szCs w:val="22"/>
                <w:lang w:eastAsia="en-CA"/>
              </w:rPr>
            </w:pPr>
          </w:p>
        </w:tc>
      </w:tr>
      <w:tr w:rsidR="00FE1779" w:rsidRPr="009543E3" w14:paraId="110A8C16"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F. Temporary assistance/overtime</w:t>
            </w:r>
          </w:p>
        </w:tc>
        <w:tc>
          <w:tcPr>
            <w:tcW w:w="1274" w:type="dxa"/>
            <w:tcBorders>
              <w:top w:val="nil"/>
              <w:left w:val="nil"/>
              <w:bottom w:val="single" w:sz="4" w:space="0" w:color="auto"/>
              <w:right w:val="single" w:sz="4" w:space="0" w:color="auto"/>
            </w:tcBorders>
            <w:shd w:val="clear" w:color="auto" w:fill="auto"/>
            <w:vAlign w:val="center"/>
            <w:hideMark/>
          </w:tcPr>
          <w:p w14:paraId="647F09D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100.0</w:t>
            </w:r>
          </w:p>
        </w:tc>
        <w:tc>
          <w:tcPr>
            <w:tcW w:w="1417" w:type="dxa"/>
            <w:tcBorders>
              <w:top w:val="nil"/>
              <w:left w:val="nil"/>
              <w:bottom w:val="single" w:sz="4" w:space="0" w:color="auto"/>
              <w:right w:val="single" w:sz="4" w:space="0" w:color="auto"/>
            </w:tcBorders>
            <w:shd w:val="clear" w:color="auto" w:fill="auto"/>
            <w:vAlign w:val="center"/>
            <w:hideMark/>
          </w:tcPr>
          <w:p w14:paraId="78AA545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100.0</w:t>
            </w:r>
          </w:p>
        </w:tc>
        <w:tc>
          <w:tcPr>
            <w:tcW w:w="1347" w:type="dxa"/>
            <w:tcBorders>
              <w:top w:val="nil"/>
              <w:left w:val="nil"/>
              <w:bottom w:val="single" w:sz="4" w:space="0" w:color="auto"/>
              <w:right w:val="single" w:sz="4" w:space="0" w:color="auto"/>
            </w:tcBorders>
            <w:shd w:val="clear" w:color="auto" w:fill="auto"/>
            <w:vAlign w:val="center"/>
            <w:hideMark/>
          </w:tcPr>
          <w:p w14:paraId="3972DE3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06C3651C" w14:textId="09753C89" w:rsidR="00315701" w:rsidRPr="009543E3" w:rsidRDefault="00315701" w:rsidP="006914CE">
            <w:pPr>
              <w:keepNext/>
              <w:suppressLineNumbers/>
              <w:suppressAutoHyphens/>
              <w:jc w:val="center"/>
              <w:rPr>
                <w:color w:val="000000"/>
                <w:kern w:val="22"/>
                <w:szCs w:val="22"/>
                <w:lang w:eastAsia="en-CA"/>
              </w:rPr>
            </w:pPr>
          </w:p>
        </w:tc>
      </w:tr>
      <w:tr w:rsidR="00FE1779" w:rsidRPr="009543E3" w14:paraId="20593292"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G. Training</w:t>
            </w:r>
          </w:p>
        </w:tc>
        <w:tc>
          <w:tcPr>
            <w:tcW w:w="1274" w:type="dxa"/>
            <w:tcBorders>
              <w:top w:val="nil"/>
              <w:left w:val="nil"/>
              <w:bottom w:val="single" w:sz="4" w:space="0" w:color="auto"/>
              <w:right w:val="single" w:sz="4" w:space="0" w:color="auto"/>
            </w:tcBorders>
            <w:shd w:val="clear" w:color="auto" w:fill="auto"/>
            <w:vAlign w:val="center"/>
            <w:hideMark/>
          </w:tcPr>
          <w:p w14:paraId="6F6F10A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w:t>
            </w:r>
          </w:p>
        </w:tc>
        <w:tc>
          <w:tcPr>
            <w:tcW w:w="1417" w:type="dxa"/>
            <w:tcBorders>
              <w:top w:val="nil"/>
              <w:left w:val="nil"/>
              <w:bottom w:val="single" w:sz="4" w:space="0" w:color="auto"/>
              <w:right w:val="single" w:sz="4" w:space="0" w:color="auto"/>
            </w:tcBorders>
            <w:shd w:val="clear" w:color="auto" w:fill="auto"/>
            <w:vAlign w:val="center"/>
            <w:hideMark/>
          </w:tcPr>
          <w:p w14:paraId="12DDB041"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w:t>
            </w:r>
          </w:p>
        </w:tc>
        <w:tc>
          <w:tcPr>
            <w:tcW w:w="1347" w:type="dxa"/>
            <w:tcBorders>
              <w:top w:val="nil"/>
              <w:left w:val="nil"/>
              <w:bottom w:val="single" w:sz="4" w:space="0" w:color="auto"/>
              <w:right w:val="single" w:sz="4" w:space="0" w:color="auto"/>
            </w:tcBorders>
            <w:shd w:val="clear" w:color="auto" w:fill="auto"/>
            <w:vAlign w:val="center"/>
            <w:hideMark/>
          </w:tcPr>
          <w:p w14:paraId="5DBF7744"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54F5AC0" w14:textId="719FFF73" w:rsidR="00315701" w:rsidRPr="009543E3" w:rsidRDefault="00315701" w:rsidP="006914CE">
            <w:pPr>
              <w:keepNext/>
              <w:suppressLineNumbers/>
              <w:suppressAutoHyphens/>
              <w:jc w:val="center"/>
              <w:rPr>
                <w:color w:val="000000"/>
                <w:kern w:val="22"/>
                <w:szCs w:val="22"/>
                <w:lang w:eastAsia="en-CA"/>
              </w:rPr>
            </w:pPr>
          </w:p>
        </w:tc>
      </w:tr>
      <w:tr w:rsidR="00FE1779" w:rsidRPr="009543E3" w14:paraId="12BAF00D" w14:textId="77777777" w:rsidTr="002A34AA">
        <w:trPr>
          <w:trHeight w:val="359"/>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H. Translation of CHM website/website projects</w:t>
            </w:r>
          </w:p>
        </w:tc>
        <w:tc>
          <w:tcPr>
            <w:tcW w:w="1274" w:type="dxa"/>
            <w:tcBorders>
              <w:top w:val="nil"/>
              <w:left w:val="nil"/>
              <w:bottom w:val="single" w:sz="4" w:space="0" w:color="auto"/>
              <w:right w:val="single" w:sz="4" w:space="0" w:color="auto"/>
            </w:tcBorders>
            <w:shd w:val="clear" w:color="auto" w:fill="auto"/>
            <w:vAlign w:val="center"/>
            <w:hideMark/>
          </w:tcPr>
          <w:p w14:paraId="29FBD8B3"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65.0</w:t>
            </w:r>
          </w:p>
        </w:tc>
        <w:tc>
          <w:tcPr>
            <w:tcW w:w="1417" w:type="dxa"/>
            <w:tcBorders>
              <w:top w:val="nil"/>
              <w:left w:val="nil"/>
              <w:bottom w:val="single" w:sz="4" w:space="0" w:color="auto"/>
              <w:right w:val="single" w:sz="4" w:space="0" w:color="auto"/>
            </w:tcBorders>
            <w:shd w:val="clear" w:color="auto" w:fill="auto"/>
            <w:vAlign w:val="center"/>
            <w:hideMark/>
          </w:tcPr>
          <w:p w14:paraId="3DB5179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65.0</w:t>
            </w:r>
          </w:p>
        </w:tc>
        <w:tc>
          <w:tcPr>
            <w:tcW w:w="1347" w:type="dxa"/>
            <w:tcBorders>
              <w:top w:val="nil"/>
              <w:left w:val="nil"/>
              <w:bottom w:val="single" w:sz="4" w:space="0" w:color="auto"/>
              <w:right w:val="single" w:sz="4" w:space="0" w:color="auto"/>
            </w:tcBorders>
            <w:shd w:val="clear" w:color="auto" w:fill="auto"/>
            <w:vAlign w:val="center"/>
            <w:hideMark/>
          </w:tcPr>
          <w:p w14:paraId="6757613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E392E89" w14:textId="2217DB03" w:rsidR="00315701" w:rsidRPr="009543E3" w:rsidRDefault="00315701" w:rsidP="006914CE">
            <w:pPr>
              <w:keepNext/>
              <w:suppressLineNumbers/>
              <w:suppressAutoHyphens/>
              <w:jc w:val="center"/>
              <w:rPr>
                <w:color w:val="000000"/>
                <w:kern w:val="22"/>
                <w:szCs w:val="22"/>
                <w:lang w:eastAsia="en-CA"/>
              </w:rPr>
            </w:pPr>
          </w:p>
        </w:tc>
      </w:tr>
      <w:tr w:rsidR="00FE1779" w:rsidRPr="009543E3" w14:paraId="3C86C4ED"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I. Meetings</w:t>
            </w:r>
          </w:p>
        </w:tc>
        <w:tc>
          <w:tcPr>
            <w:tcW w:w="1274" w:type="dxa"/>
            <w:tcBorders>
              <w:top w:val="nil"/>
              <w:left w:val="nil"/>
              <w:bottom w:val="single" w:sz="4" w:space="0" w:color="auto"/>
              <w:right w:val="single" w:sz="4" w:space="0" w:color="auto"/>
            </w:tcBorders>
            <w:shd w:val="clear" w:color="auto" w:fill="auto"/>
            <w:vAlign w:val="center"/>
            <w:hideMark/>
          </w:tcPr>
          <w:p w14:paraId="6351DC16" w14:textId="0839BBDD"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119.0</w:t>
            </w:r>
          </w:p>
        </w:tc>
        <w:tc>
          <w:tcPr>
            <w:tcW w:w="1417" w:type="dxa"/>
            <w:tcBorders>
              <w:top w:val="nil"/>
              <w:left w:val="nil"/>
              <w:bottom w:val="single" w:sz="4" w:space="0" w:color="auto"/>
              <w:right w:val="single" w:sz="4" w:space="0" w:color="auto"/>
            </w:tcBorders>
            <w:shd w:val="clear" w:color="auto" w:fill="auto"/>
            <w:vAlign w:val="center"/>
            <w:hideMark/>
          </w:tcPr>
          <w:p w14:paraId="5675269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278.5</w:t>
            </w:r>
          </w:p>
        </w:tc>
        <w:tc>
          <w:tcPr>
            <w:tcW w:w="1347" w:type="dxa"/>
            <w:tcBorders>
              <w:top w:val="nil"/>
              <w:left w:val="nil"/>
              <w:bottom w:val="single" w:sz="4" w:space="0" w:color="auto"/>
              <w:right w:val="single" w:sz="4" w:space="0" w:color="auto"/>
            </w:tcBorders>
            <w:shd w:val="clear" w:color="auto" w:fill="auto"/>
            <w:vAlign w:val="center"/>
            <w:hideMark/>
          </w:tcPr>
          <w:p w14:paraId="6756263A" w14:textId="29E8C27C"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840.5</w:t>
            </w:r>
          </w:p>
        </w:tc>
        <w:tc>
          <w:tcPr>
            <w:tcW w:w="930" w:type="dxa"/>
            <w:tcBorders>
              <w:top w:val="nil"/>
              <w:left w:val="nil"/>
              <w:bottom w:val="single" w:sz="4" w:space="0" w:color="auto"/>
              <w:right w:val="single" w:sz="4" w:space="0" w:color="auto"/>
            </w:tcBorders>
            <w:shd w:val="clear" w:color="auto" w:fill="auto"/>
            <w:vAlign w:val="center"/>
            <w:hideMark/>
          </w:tcPr>
          <w:p w14:paraId="6F0561D3" w14:textId="1CB46078"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3</w:t>
            </w:r>
          </w:p>
        </w:tc>
      </w:tr>
      <w:tr w:rsidR="00FE1779" w:rsidRPr="009543E3" w14:paraId="7C466E2A"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J. Expert meetings</w:t>
            </w:r>
          </w:p>
        </w:tc>
        <w:tc>
          <w:tcPr>
            <w:tcW w:w="1274" w:type="dxa"/>
            <w:tcBorders>
              <w:top w:val="nil"/>
              <w:left w:val="nil"/>
              <w:bottom w:val="single" w:sz="4" w:space="0" w:color="auto"/>
              <w:right w:val="single" w:sz="4" w:space="0" w:color="auto"/>
            </w:tcBorders>
            <w:shd w:val="clear" w:color="auto" w:fill="auto"/>
            <w:vAlign w:val="center"/>
            <w:hideMark/>
          </w:tcPr>
          <w:p w14:paraId="6B45282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150.0</w:t>
            </w:r>
          </w:p>
        </w:tc>
        <w:tc>
          <w:tcPr>
            <w:tcW w:w="1417" w:type="dxa"/>
            <w:tcBorders>
              <w:top w:val="nil"/>
              <w:left w:val="nil"/>
              <w:bottom w:val="single" w:sz="4" w:space="0" w:color="auto"/>
              <w:right w:val="single" w:sz="4" w:space="0" w:color="auto"/>
            </w:tcBorders>
            <w:shd w:val="clear" w:color="auto" w:fill="auto"/>
            <w:vAlign w:val="center"/>
            <w:hideMark/>
          </w:tcPr>
          <w:p w14:paraId="57222AB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1347" w:type="dxa"/>
            <w:tcBorders>
              <w:top w:val="nil"/>
              <w:left w:val="nil"/>
              <w:bottom w:val="single" w:sz="4" w:space="0" w:color="auto"/>
              <w:right w:val="single" w:sz="4" w:space="0" w:color="auto"/>
            </w:tcBorders>
            <w:shd w:val="clear" w:color="auto" w:fill="auto"/>
            <w:vAlign w:val="center"/>
            <w:hideMark/>
          </w:tcPr>
          <w:p w14:paraId="54CDCAD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-150.0</w:t>
            </w:r>
          </w:p>
        </w:tc>
        <w:tc>
          <w:tcPr>
            <w:tcW w:w="930" w:type="dxa"/>
            <w:tcBorders>
              <w:top w:val="nil"/>
              <w:left w:val="nil"/>
              <w:bottom w:val="single" w:sz="4" w:space="0" w:color="auto"/>
              <w:right w:val="single" w:sz="4" w:space="0" w:color="auto"/>
            </w:tcBorders>
            <w:shd w:val="clear" w:color="auto" w:fill="auto"/>
            <w:vAlign w:val="center"/>
            <w:hideMark/>
          </w:tcPr>
          <w:p w14:paraId="75EC109E" w14:textId="573B7C62"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4</w:t>
            </w:r>
          </w:p>
        </w:tc>
      </w:tr>
      <w:tr w:rsidR="00FE1779" w:rsidRPr="009543E3" w14:paraId="5218E6E4"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K. Extraordinary meetings on post-2020</w:t>
            </w:r>
          </w:p>
        </w:tc>
        <w:tc>
          <w:tcPr>
            <w:tcW w:w="1274" w:type="dxa"/>
            <w:tcBorders>
              <w:top w:val="nil"/>
              <w:left w:val="nil"/>
              <w:bottom w:val="single" w:sz="4" w:space="0" w:color="auto"/>
              <w:right w:val="single" w:sz="4" w:space="0" w:color="auto"/>
            </w:tcBorders>
            <w:shd w:val="clear" w:color="auto" w:fill="auto"/>
            <w:vAlign w:val="center"/>
            <w:hideMark/>
          </w:tcPr>
          <w:p w14:paraId="6F278741"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560.0</w:t>
            </w:r>
          </w:p>
        </w:tc>
        <w:tc>
          <w:tcPr>
            <w:tcW w:w="1417" w:type="dxa"/>
            <w:tcBorders>
              <w:top w:val="nil"/>
              <w:left w:val="nil"/>
              <w:bottom w:val="single" w:sz="4" w:space="0" w:color="auto"/>
              <w:right w:val="single" w:sz="4" w:space="0" w:color="auto"/>
            </w:tcBorders>
            <w:shd w:val="clear" w:color="auto" w:fill="auto"/>
            <w:vAlign w:val="center"/>
            <w:hideMark/>
          </w:tcPr>
          <w:p w14:paraId="5A7CBF9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350.0</w:t>
            </w:r>
          </w:p>
        </w:tc>
        <w:tc>
          <w:tcPr>
            <w:tcW w:w="1347" w:type="dxa"/>
            <w:tcBorders>
              <w:top w:val="nil"/>
              <w:left w:val="nil"/>
              <w:bottom w:val="single" w:sz="4" w:space="0" w:color="auto"/>
              <w:right w:val="single" w:sz="4" w:space="0" w:color="auto"/>
            </w:tcBorders>
            <w:shd w:val="clear" w:color="auto" w:fill="auto"/>
            <w:vAlign w:val="center"/>
            <w:hideMark/>
          </w:tcPr>
          <w:p w14:paraId="7ECF3B8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-210.0</w:t>
            </w:r>
          </w:p>
        </w:tc>
        <w:tc>
          <w:tcPr>
            <w:tcW w:w="930" w:type="dxa"/>
            <w:tcBorders>
              <w:top w:val="nil"/>
              <w:left w:val="nil"/>
              <w:bottom w:val="single" w:sz="4" w:space="0" w:color="auto"/>
              <w:right w:val="single" w:sz="4" w:space="0" w:color="auto"/>
            </w:tcBorders>
            <w:shd w:val="clear" w:color="auto" w:fill="auto"/>
            <w:vAlign w:val="center"/>
            <w:hideMark/>
          </w:tcPr>
          <w:p w14:paraId="6F2AA56B" w14:textId="78588ED7"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5</w:t>
            </w:r>
          </w:p>
        </w:tc>
      </w:tr>
      <w:tr w:rsidR="00FE1779" w:rsidRPr="009543E3" w14:paraId="3EF7FF78"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 Rent and associated costs</w:t>
            </w:r>
          </w:p>
        </w:tc>
        <w:tc>
          <w:tcPr>
            <w:tcW w:w="1274" w:type="dxa"/>
            <w:tcBorders>
              <w:top w:val="nil"/>
              <w:left w:val="nil"/>
              <w:bottom w:val="single" w:sz="4" w:space="0" w:color="auto"/>
              <w:right w:val="single" w:sz="4" w:space="0" w:color="auto"/>
            </w:tcBorders>
            <w:shd w:val="clear" w:color="auto" w:fill="auto"/>
            <w:vAlign w:val="center"/>
            <w:hideMark/>
          </w:tcPr>
          <w:p w14:paraId="68D6E8A7" w14:textId="786CB3A1"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423.4</w:t>
            </w:r>
          </w:p>
        </w:tc>
        <w:tc>
          <w:tcPr>
            <w:tcW w:w="1417" w:type="dxa"/>
            <w:tcBorders>
              <w:top w:val="nil"/>
              <w:left w:val="nil"/>
              <w:bottom w:val="single" w:sz="4" w:space="0" w:color="auto"/>
              <w:right w:val="single" w:sz="4" w:space="0" w:color="auto"/>
            </w:tcBorders>
            <w:shd w:val="clear" w:color="auto" w:fill="auto"/>
            <w:vAlign w:val="center"/>
            <w:hideMark/>
          </w:tcPr>
          <w:p w14:paraId="17A82BF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1,358.2</w:t>
            </w:r>
          </w:p>
        </w:tc>
        <w:tc>
          <w:tcPr>
            <w:tcW w:w="1347" w:type="dxa"/>
            <w:tcBorders>
              <w:top w:val="nil"/>
              <w:left w:val="nil"/>
              <w:bottom w:val="single" w:sz="4" w:space="0" w:color="auto"/>
              <w:right w:val="single" w:sz="4" w:space="0" w:color="auto"/>
            </w:tcBorders>
            <w:shd w:val="clear" w:color="auto" w:fill="auto"/>
            <w:vAlign w:val="center"/>
            <w:hideMark/>
          </w:tcPr>
          <w:p w14:paraId="29AB0EF3"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-65.2</w:t>
            </w:r>
          </w:p>
        </w:tc>
        <w:tc>
          <w:tcPr>
            <w:tcW w:w="930" w:type="dxa"/>
            <w:tcBorders>
              <w:top w:val="nil"/>
              <w:left w:val="nil"/>
              <w:bottom w:val="single" w:sz="4" w:space="0" w:color="auto"/>
              <w:right w:val="single" w:sz="4" w:space="0" w:color="auto"/>
            </w:tcBorders>
            <w:shd w:val="clear" w:color="auto" w:fill="auto"/>
            <w:vAlign w:val="center"/>
            <w:hideMark/>
          </w:tcPr>
          <w:p w14:paraId="22695BEB" w14:textId="7D342C7C" w:rsidR="00315701" w:rsidRPr="009543E3" w:rsidRDefault="00315701" w:rsidP="006914CE">
            <w:pPr>
              <w:keepNext/>
              <w:suppressLineNumbers/>
              <w:suppressAutoHyphens/>
              <w:jc w:val="center"/>
              <w:rPr>
                <w:color w:val="000000"/>
                <w:kern w:val="22"/>
                <w:szCs w:val="22"/>
                <w:lang w:eastAsia="en-CA"/>
              </w:rPr>
            </w:pPr>
          </w:p>
        </w:tc>
      </w:tr>
      <w:tr w:rsidR="00FE1779" w:rsidRPr="009543E3" w14:paraId="15DC0A06"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M. General operating expenses</w:t>
            </w:r>
          </w:p>
        </w:tc>
        <w:tc>
          <w:tcPr>
            <w:tcW w:w="1274" w:type="dxa"/>
            <w:tcBorders>
              <w:top w:val="nil"/>
              <w:left w:val="nil"/>
              <w:bottom w:val="single" w:sz="4" w:space="0" w:color="auto"/>
              <w:right w:val="single" w:sz="4" w:space="0" w:color="auto"/>
            </w:tcBorders>
            <w:shd w:val="clear" w:color="auto" w:fill="auto"/>
            <w:vAlign w:val="center"/>
            <w:hideMark/>
          </w:tcPr>
          <w:p w14:paraId="4E84F30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726.6</w:t>
            </w:r>
          </w:p>
        </w:tc>
        <w:tc>
          <w:tcPr>
            <w:tcW w:w="1417" w:type="dxa"/>
            <w:tcBorders>
              <w:top w:val="nil"/>
              <w:left w:val="nil"/>
              <w:bottom w:val="single" w:sz="4" w:space="0" w:color="auto"/>
              <w:right w:val="single" w:sz="4" w:space="0" w:color="auto"/>
            </w:tcBorders>
            <w:shd w:val="clear" w:color="auto" w:fill="auto"/>
            <w:vAlign w:val="center"/>
            <w:hideMark/>
          </w:tcPr>
          <w:p w14:paraId="5D6D240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726.6</w:t>
            </w:r>
          </w:p>
        </w:tc>
        <w:tc>
          <w:tcPr>
            <w:tcW w:w="1347" w:type="dxa"/>
            <w:tcBorders>
              <w:top w:val="nil"/>
              <w:left w:val="nil"/>
              <w:bottom w:val="single" w:sz="4" w:space="0" w:color="auto"/>
              <w:right w:val="single" w:sz="4" w:space="0" w:color="auto"/>
            </w:tcBorders>
            <w:shd w:val="clear" w:color="auto" w:fill="auto"/>
            <w:vAlign w:val="center"/>
            <w:hideMark/>
          </w:tcPr>
          <w:p w14:paraId="3F0CB08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64DD38E1" w14:textId="559B7AC5" w:rsidR="00315701" w:rsidRPr="009543E3" w:rsidRDefault="00315701" w:rsidP="006914CE">
            <w:pPr>
              <w:keepNext/>
              <w:suppressLineNumbers/>
              <w:suppressAutoHyphens/>
              <w:jc w:val="center"/>
              <w:rPr>
                <w:color w:val="000000"/>
                <w:kern w:val="22"/>
                <w:szCs w:val="22"/>
                <w:lang w:eastAsia="en-CA"/>
              </w:rPr>
            </w:pPr>
          </w:p>
        </w:tc>
      </w:tr>
      <w:tr w:rsidR="00FE1779" w:rsidRPr="009543E3" w14:paraId="74121A9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35794C71" w14:textId="48C1BCCB"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Subtotal (I)</w:t>
            </w:r>
          </w:p>
        </w:tc>
        <w:tc>
          <w:tcPr>
            <w:tcW w:w="1274" w:type="dxa"/>
            <w:tcBorders>
              <w:top w:val="nil"/>
              <w:left w:val="nil"/>
              <w:bottom w:val="single" w:sz="4" w:space="0" w:color="auto"/>
              <w:right w:val="single" w:sz="4" w:space="0" w:color="auto"/>
            </w:tcBorders>
            <w:shd w:val="clear" w:color="auto" w:fill="auto"/>
            <w:vAlign w:val="center"/>
            <w:hideMark/>
          </w:tcPr>
          <w:p w14:paraId="097650BD" w14:textId="4B74A0CC"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17</w:t>
            </w:r>
            <w:r w:rsidR="00787ECE" w:rsidRPr="009543E3">
              <w:rPr>
                <w:b/>
                <w:color w:val="000000"/>
                <w:kern w:val="22"/>
                <w:szCs w:val="22"/>
                <w:lang w:eastAsia="en-CA"/>
              </w:rPr>
              <w:t xml:space="preserve"> </w:t>
            </w:r>
            <w:r w:rsidRPr="009543E3">
              <w:rPr>
                <w:b/>
                <w:color w:val="000000"/>
                <w:kern w:val="22"/>
                <w:szCs w:val="22"/>
                <w:lang w:eastAsia="en-CA"/>
              </w:rPr>
              <w:t>490.6</w:t>
            </w:r>
          </w:p>
        </w:tc>
        <w:tc>
          <w:tcPr>
            <w:tcW w:w="1417" w:type="dxa"/>
            <w:tcBorders>
              <w:top w:val="nil"/>
              <w:left w:val="nil"/>
              <w:bottom w:val="single" w:sz="4" w:space="0" w:color="auto"/>
              <w:right w:val="single" w:sz="4" w:space="0" w:color="auto"/>
            </w:tcBorders>
            <w:shd w:val="clear" w:color="auto" w:fill="auto"/>
            <w:vAlign w:val="center"/>
            <w:hideMark/>
          </w:tcPr>
          <w:p w14:paraId="1B04134B" w14:textId="54497EE9"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15</w:t>
            </w:r>
            <w:r w:rsidR="00787ECE" w:rsidRPr="009543E3">
              <w:rPr>
                <w:b/>
                <w:color w:val="000000"/>
                <w:kern w:val="22"/>
                <w:szCs w:val="22"/>
                <w:lang w:eastAsia="en-CA"/>
              </w:rPr>
              <w:t xml:space="preserve"> </w:t>
            </w:r>
            <w:r w:rsidRPr="009543E3">
              <w:rPr>
                <w:b/>
                <w:color w:val="000000"/>
                <w:kern w:val="22"/>
                <w:szCs w:val="22"/>
                <w:lang w:eastAsia="en-CA"/>
              </w:rPr>
              <w:t>320.1</w:t>
            </w:r>
          </w:p>
        </w:tc>
        <w:tc>
          <w:tcPr>
            <w:tcW w:w="1347" w:type="dxa"/>
            <w:tcBorders>
              <w:top w:val="nil"/>
              <w:left w:val="nil"/>
              <w:bottom w:val="single" w:sz="4" w:space="0" w:color="auto"/>
              <w:right w:val="single" w:sz="4" w:space="0" w:color="auto"/>
            </w:tcBorders>
            <w:shd w:val="clear" w:color="auto" w:fill="auto"/>
            <w:vAlign w:val="center"/>
            <w:hideMark/>
          </w:tcPr>
          <w:p w14:paraId="0664D34E" w14:textId="22969174"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170.5</w:t>
            </w:r>
          </w:p>
        </w:tc>
        <w:tc>
          <w:tcPr>
            <w:tcW w:w="930" w:type="dxa"/>
            <w:tcBorders>
              <w:top w:val="nil"/>
              <w:left w:val="nil"/>
              <w:bottom w:val="single" w:sz="4" w:space="0" w:color="auto"/>
              <w:right w:val="single" w:sz="4" w:space="0" w:color="auto"/>
            </w:tcBorders>
            <w:shd w:val="clear" w:color="auto" w:fill="auto"/>
            <w:vAlign w:val="center"/>
            <w:hideMark/>
          </w:tcPr>
          <w:p w14:paraId="650B0D82" w14:textId="0556DCB2"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5C4FB945"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II. Programme support costs (13%)</w:t>
            </w:r>
          </w:p>
        </w:tc>
        <w:tc>
          <w:tcPr>
            <w:tcW w:w="1274" w:type="dxa"/>
            <w:tcBorders>
              <w:top w:val="nil"/>
              <w:left w:val="nil"/>
              <w:bottom w:val="single" w:sz="4" w:space="0" w:color="auto"/>
              <w:right w:val="single" w:sz="4" w:space="0" w:color="auto"/>
            </w:tcBorders>
            <w:shd w:val="clear" w:color="auto" w:fill="auto"/>
            <w:vAlign w:val="center"/>
            <w:hideMark/>
          </w:tcPr>
          <w:p w14:paraId="1002390A" w14:textId="705D4C10"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273.8</w:t>
            </w:r>
          </w:p>
        </w:tc>
        <w:tc>
          <w:tcPr>
            <w:tcW w:w="1417" w:type="dxa"/>
            <w:tcBorders>
              <w:top w:val="nil"/>
              <w:left w:val="nil"/>
              <w:bottom w:val="single" w:sz="4" w:space="0" w:color="auto"/>
              <w:right w:val="single" w:sz="4" w:space="0" w:color="auto"/>
            </w:tcBorders>
            <w:shd w:val="clear" w:color="auto" w:fill="auto"/>
            <w:vAlign w:val="center"/>
            <w:hideMark/>
          </w:tcPr>
          <w:p w14:paraId="4052FBBD" w14:textId="463BF2E1"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991.6</w:t>
            </w:r>
          </w:p>
        </w:tc>
        <w:tc>
          <w:tcPr>
            <w:tcW w:w="1347" w:type="dxa"/>
            <w:tcBorders>
              <w:top w:val="nil"/>
              <w:left w:val="nil"/>
              <w:bottom w:val="single" w:sz="4" w:space="0" w:color="auto"/>
              <w:right w:val="single" w:sz="4" w:space="0" w:color="auto"/>
            </w:tcBorders>
            <w:shd w:val="clear" w:color="auto" w:fill="auto"/>
            <w:vAlign w:val="center"/>
            <w:hideMark/>
          </w:tcPr>
          <w:p w14:paraId="4A9069F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-282.2</w:t>
            </w:r>
          </w:p>
        </w:tc>
        <w:tc>
          <w:tcPr>
            <w:tcW w:w="930" w:type="dxa"/>
            <w:tcBorders>
              <w:top w:val="nil"/>
              <w:left w:val="nil"/>
              <w:bottom w:val="single" w:sz="4" w:space="0" w:color="auto"/>
              <w:right w:val="single" w:sz="4" w:space="0" w:color="auto"/>
            </w:tcBorders>
            <w:shd w:val="clear" w:color="auto" w:fill="auto"/>
            <w:vAlign w:val="center"/>
            <w:hideMark/>
          </w:tcPr>
          <w:p w14:paraId="213DD637" w14:textId="04E17F54"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4D918EE8"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9837C3B" w14:textId="59DE67F8"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Subtotal (I + II)</w:t>
            </w:r>
          </w:p>
        </w:tc>
        <w:tc>
          <w:tcPr>
            <w:tcW w:w="1274" w:type="dxa"/>
            <w:tcBorders>
              <w:top w:val="nil"/>
              <w:left w:val="nil"/>
              <w:bottom w:val="single" w:sz="4" w:space="0" w:color="auto"/>
              <w:right w:val="single" w:sz="4" w:space="0" w:color="auto"/>
            </w:tcBorders>
            <w:shd w:val="clear" w:color="auto" w:fill="auto"/>
            <w:vAlign w:val="center"/>
            <w:hideMark/>
          </w:tcPr>
          <w:p w14:paraId="4441E06A" w14:textId="4447869C"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19</w:t>
            </w:r>
            <w:r w:rsidR="00787ECE" w:rsidRPr="009543E3">
              <w:rPr>
                <w:b/>
                <w:color w:val="000000"/>
                <w:kern w:val="22"/>
                <w:szCs w:val="22"/>
                <w:lang w:eastAsia="en-CA"/>
              </w:rPr>
              <w:t xml:space="preserve"> </w:t>
            </w:r>
            <w:r w:rsidRPr="009543E3">
              <w:rPr>
                <w:b/>
                <w:color w:val="000000"/>
                <w:kern w:val="22"/>
                <w:szCs w:val="22"/>
                <w:lang w:eastAsia="en-CA"/>
              </w:rPr>
              <w:t>764.4</w:t>
            </w:r>
          </w:p>
        </w:tc>
        <w:tc>
          <w:tcPr>
            <w:tcW w:w="1417" w:type="dxa"/>
            <w:tcBorders>
              <w:top w:val="nil"/>
              <w:left w:val="nil"/>
              <w:bottom w:val="single" w:sz="4" w:space="0" w:color="auto"/>
              <w:right w:val="single" w:sz="4" w:space="0" w:color="auto"/>
            </w:tcBorders>
            <w:shd w:val="clear" w:color="auto" w:fill="auto"/>
            <w:vAlign w:val="center"/>
            <w:hideMark/>
          </w:tcPr>
          <w:p w14:paraId="2E4B1B73" w14:textId="0703EFA2"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17</w:t>
            </w:r>
            <w:r w:rsidR="00787ECE" w:rsidRPr="009543E3">
              <w:rPr>
                <w:b/>
                <w:color w:val="000000"/>
                <w:kern w:val="22"/>
                <w:szCs w:val="22"/>
                <w:lang w:eastAsia="en-CA"/>
              </w:rPr>
              <w:t xml:space="preserve"> </w:t>
            </w:r>
            <w:r w:rsidRPr="009543E3">
              <w:rPr>
                <w:b/>
                <w:color w:val="000000"/>
                <w:kern w:val="22"/>
                <w:szCs w:val="22"/>
                <w:lang w:eastAsia="en-CA"/>
              </w:rPr>
              <w:t>311.7</w:t>
            </w:r>
          </w:p>
        </w:tc>
        <w:tc>
          <w:tcPr>
            <w:tcW w:w="1347" w:type="dxa"/>
            <w:tcBorders>
              <w:top w:val="nil"/>
              <w:left w:val="nil"/>
              <w:bottom w:val="single" w:sz="4" w:space="0" w:color="auto"/>
              <w:right w:val="single" w:sz="4" w:space="0" w:color="auto"/>
            </w:tcBorders>
            <w:shd w:val="clear" w:color="auto" w:fill="auto"/>
            <w:vAlign w:val="center"/>
            <w:hideMark/>
          </w:tcPr>
          <w:p w14:paraId="1268D58F" w14:textId="3D0CCEFA"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452.7</w:t>
            </w:r>
          </w:p>
        </w:tc>
        <w:tc>
          <w:tcPr>
            <w:tcW w:w="930" w:type="dxa"/>
            <w:tcBorders>
              <w:top w:val="nil"/>
              <w:left w:val="nil"/>
              <w:bottom w:val="single" w:sz="4" w:space="0" w:color="auto"/>
              <w:right w:val="single" w:sz="4" w:space="0" w:color="auto"/>
            </w:tcBorders>
            <w:shd w:val="clear" w:color="auto" w:fill="auto"/>
            <w:vAlign w:val="center"/>
            <w:hideMark/>
          </w:tcPr>
          <w:p w14:paraId="5AD58D10" w14:textId="2F6D1E58"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7EE56E6D"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42429EE" w14:textId="7CA1C2B3"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 xml:space="preserve">III. Working </w:t>
            </w:r>
            <w:r w:rsidR="00547997" w:rsidRPr="009543E3">
              <w:rPr>
                <w:b/>
                <w:color w:val="000000"/>
                <w:kern w:val="22"/>
                <w:szCs w:val="22"/>
                <w:lang w:eastAsia="en-CA"/>
              </w:rPr>
              <w:t>c</w:t>
            </w:r>
            <w:r w:rsidRPr="009543E3">
              <w:rPr>
                <w:b/>
                <w:color w:val="000000"/>
                <w:kern w:val="22"/>
                <w:szCs w:val="22"/>
                <w:lang w:eastAsia="en-CA"/>
              </w:rPr>
              <w:t xml:space="preserve">apital </w:t>
            </w:r>
            <w:r w:rsidR="00547997" w:rsidRPr="009543E3">
              <w:rPr>
                <w:b/>
                <w:color w:val="000000"/>
                <w:kern w:val="22"/>
                <w:szCs w:val="22"/>
                <w:lang w:eastAsia="en-CA"/>
              </w:rPr>
              <w:t>r</w:t>
            </w:r>
            <w:r w:rsidRPr="009543E3">
              <w:rPr>
                <w:b/>
                <w:color w:val="000000"/>
                <w:kern w:val="22"/>
                <w:szCs w:val="22"/>
                <w:lang w:eastAsia="en-CA"/>
              </w:rPr>
              <w:t>eserve</w:t>
            </w:r>
          </w:p>
        </w:tc>
        <w:tc>
          <w:tcPr>
            <w:tcW w:w="1274" w:type="dxa"/>
            <w:tcBorders>
              <w:top w:val="nil"/>
              <w:left w:val="nil"/>
              <w:bottom w:val="single" w:sz="4" w:space="0" w:color="auto"/>
              <w:right w:val="single" w:sz="4" w:space="0" w:color="auto"/>
            </w:tcBorders>
            <w:shd w:val="clear" w:color="auto" w:fill="auto"/>
            <w:vAlign w:val="center"/>
            <w:hideMark/>
          </w:tcPr>
          <w:p w14:paraId="5A696C8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130.8</w:t>
            </w:r>
          </w:p>
        </w:tc>
        <w:tc>
          <w:tcPr>
            <w:tcW w:w="1417" w:type="dxa"/>
            <w:tcBorders>
              <w:top w:val="nil"/>
              <w:left w:val="nil"/>
              <w:bottom w:val="single" w:sz="4" w:space="0" w:color="auto"/>
              <w:right w:val="single" w:sz="4" w:space="0" w:color="auto"/>
            </w:tcBorders>
            <w:shd w:val="clear" w:color="auto" w:fill="auto"/>
            <w:vAlign w:val="center"/>
            <w:hideMark/>
          </w:tcPr>
          <w:p w14:paraId="19751B1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-367.9</w:t>
            </w:r>
          </w:p>
        </w:tc>
        <w:tc>
          <w:tcPr>
            <w:tcW w:w="1347" w:type="dxa"/>
            <w:tcBorders>
              <w:top w:val="nil"/>
              <w:left w:val="nil"/>
              <w:bottom w:val="single" w:sz="4" w:space="0" w:color="auto"/>
              <w:right w:val="single" w:sz="4" w:space="0" w:color="auto"/>
            </w:tcBorders>
            <w:shd w:val="clear" w:color="auto" w:fill="auto"/>
            <w:vAlign w:val="center"/>
            <w:hideMark/>
          </w:tcPr>
          <w:p w14:paraId="3C9CDCA1" w14:textId="4E310ABE"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68C8EAD2" w14:textId="64B73E64"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2DCC5D0E"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2CA3A44"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Grand Total (II + III)</w:t>
            </w:r>
          </w:p>
        </w:tc>
        <w:tc>
          <w:tcPr>
            <w:tcW w:w="1274" w:type="dxa"/>
            <w:tcBorders>
              <w:top w:val="nil"/>
              <w:left w:val="nil"/>
              <w:bottom w:val="single" w:sz="4" w:space="0" w:color="auto"/>
              <w:right w:val="single" w:sz="4" w:space="0" w:color="auto"/>
            </w:tcBorders>
            <w:shd w:val="clear" w:color="auto" w:fill="auto"/>
            <w:vAlign w:val="center"/>
            <w:hideMark/>
          </w:tcPr>
          <w:p w14:paraId="632A277B" w14:textId="64E17BC9"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19</w:t>
            </w:r>
            <w:r w:rsidR="00787ECE" w:rsidRPr="009543E3">
              <w:rPr>
                <w:b/>
                <w:color w:val="000000"/>
                <w:kern w:val="22"/>
                <w:szCs w:val="22"/>
                <w:lang w:eastAsia="en-CA"/>
              </w:rPr>
              <w:t xml:space="preserve"> </w:t>
            </w:r>
            <w:r w:rsidRPr="009543E3">
              <w:rPr>
                <w:b/>
                <w:color w:val="000000"/>
                <w:kern w:val="22"/>
                <w:szCs w:val="22"/>
                <w:lang w:eastAsia="en-CA"/>
              </w:rPr>
              <w:t>895.1</w:t>
            </w:r>
          </w:p>
        </w:tc>
        <w:tc>
          <w:tcPr>
            <w:tcW w:w="1417" w:type="dxa"/>
            <w:tcBorders>
              <w:top w:val="nil"/>
              <w:left w:val="nil"/>
              <w:bottom w:val="single" w:sz="4" w:space="0" w:color="auto"/>
              <w:right w:val="single" w:sz="4" w:space="0" w:color="auto"/>
            </w:tcBorders>
            <w:shd w:val="clear" w:color="auto" w:fill="auto"/>
            <w:vAlign w:val="center"/>
            <w:hideMark/>
          </w:tcPr>
          <w:p w14:paraId="63397F49" w14:textId="3956B8B8"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16</w:t>
            </w:r>
            <w:r w:rsidR="00787ECE" w:rsidRPr="009543E3">
              <w:rPr>
                <w:b/>
                <w:color w:val="000000"/>
                <w:kern w:val="22"/>
                <w:szCs w:val="22"/>
                <w:lang w:eastAsia="en-CA"/>
              </w:rPr>
              <w:t xml:space="preserve"> </w:t>
            </w:r>
            <w:r w:rsidRPr="009543E3">
              <w:rPr>
                <w:b/>
                <w:color w:val="000000"/>
                <w:kern w:val="22"/>
                <w:szCs w:val="22"/>
                <w:lang w:eastAsia="en-CA"/>
              </w:rPr>
              <w:t>943.8</w:t>
            </w:r>
          </w:p>
        </w:tc>
        <w:tc>
          <w:tcPr>
            <w:tcW w:w="1347" w:type="dxa"/>
            <w:tcBorders>
              <w:top w:val="nil"/>
              <w:left w:val="nil"/>
              <w:bottom w:val="single" w:sz="4" w:space="0" w:color="auto"/>
              <w:right w:val="single" w:sz="4" w:space="0" w:color="auto"/>
            </w:tcBorders>
            <w:shd w:val="clear" w:color="auto" w:fill="auto"/>
            <w:vAlign w:val="center"/>
            <w:hideMark/>
          </w:tcPr>
          <w:p w14:paraId="2FD4F90C" w14:textId="4EF9377F" w:rsidR="00315701" w:rsidRPr="009543E3" w:rsidRDefault="00DB2109"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452.7</w:t>
            </w:r>
          </w:p>
        </w:tc>
        <w:tc>
          <w:tcPr>
            <w:tcW w:w="930" w:type="dxa"/>
            <w:tcBorders>
              <w:top w:val="nil"/>
              <w:left w:val="nil"/>
              <w:bottom w:val="single" w:sz="4" w:space="0" w:color="auto"/>
              <w:right w:val="single" w:sz="4" w:space="0" w:color="auto"/>
            </w:tcBorders>
            <w:shd w:val="clear" w:color="auto" w:fill="auto"/>
            <w:vAlign w:val="center"/>
            <w:hideMark/>
          </w:tcPr>
          <w:p w14:paraId="18631FEC" w14:textId="49D2D602"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2CD1B3BF"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Contribution from host country</w:t>
            </w:r>
          </w:p>
        </w:tc>
        <w:tc>
          <w:tcPr>
            <w:tcW w:w="1274" w:type="dxa"/>
            <w:tcBorders>
              <w:top w:val="nil"/>
              <w:left w:val="nil"/>
              <w:bottom w:val="single" w:sz="4" w:space="0" w:color="auto"/>
              <w:right w:val="single" w:sz="4" w:space="0" w:color="auto"/>
            </w:tcBorders>
            <w:shd w:val="clear" w:color="auto" w:fill="auto"/>
            <w:vAlign w:val="center"/>
            <w:hideMark/>
          </w:tcPr>
          <w:p w14:paraId="5C2D585E" w14:textId="3868E085"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423.4</w:t>
            </w:r>
          </w:p>
        </w:tc>
        <w:tc>
          <w:tcPr>
            <w:tcW w:w="1417" w:type="dxa"/>
            <w:tcBorders>
              <w:top w:val="nil"/>
              <w:left w:val="nil"/>
              <w:bottom w:val="single" w:sz="4" w:space="0" w:color="auto"/>
              <w:right w:val="single" w:sz="4" w:space="0" w:color="auto"/>
            </w:tcBorders>
            <w:shd w:val="clear" w:color="auto" w:fill="auto"/>
            <w:vAlign w:val="center"/>
            <w:hideMark/>
          </w:tcPr>
          <w:p w14:paraId="52A40895" w14:textId="2A7A2755"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534.8</w:t>
            </w:r>
          </w:p>
        </w:tc>
        <w:tc>
          <w:tcPr>
            <w:tcW w:w="1347" w:type="dxa"/>
            <w:tcBorders>
              <w:top w:val="nil"/>
              <w:left w:val="nil"/>
              <w:bottom w:val="single" w:sz="4" w:space="0" w:color="auto"/>
              <w:right w:val="single" w:sz="4" w:space="0" w:color="auto"/>
            </w:tcBorders>
            <w:shd w:val="clear" w:color="auto" w:fill="auto"/>
            <w:vAlign w:val="center"/>
          </w:tcPr>
          <w:p w14:paraId="79EA0E52" w14:textId="79D84CCF"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233469F5" w14:textId="60350F7B"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6</w:t>
            </w:r>
          </w:p>
        </w:tc>
      </w:tr>
      <w:tr w:rsidR="00FE1779" w:rsidRPr="009543E3" w14:paraId="13004605" w14:textId="77777777" w:rsidTr="002A34AA">
        <w:trPr>
          <w:trHeight w:val="276"/>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Use of reserves for extraordinary meetings</w:t>
            </w:r>
          </w:p>
        </w:tc>
        <w:tc>
          <w:tcPr>
            <w:tcW w:w="1274" w:type="dxa"/>
            <w:tcBorders>
              <w:top w:val="nil"/>
              <w:left w:val="nil"/>
              <w:bottom w:val="single" w:sz="4" w:space="0" w:color="auto"/>
              <w:right w:val="single" w:sz="4" w:space="0" w:color="auto"/>
            </w:tcBorders>
            <w:shd w:val="clear" w:color="auto" w:fill="auto"/>
            <w:vAlign w:val="center"/>
            <w:hideMark/>
          </w:tcPr>
          <w:p w14:paraId="2E31368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-632.8</w:t>
            </w:r>
          </w:p>
        </w:tc>
        <w:tc>
          <w:tcPr>
            <w:tcW w:w="1417" w:type="dxa"/>
            <w:tcBorders>
              <w:top w:val="nil"/>
              <w:left w:val="nil"/>
              <w:bottom w:val="single" w:sz="4" w:space="0" w:color="auto"/>
              <w:right w:val="single" w:sz="4" w:space="0" w:color="auto"/>
            </w:tcBorders>
            <w:shd w:val="clear" w:color="auto" w:fill="auto"/>
            <w:vAlign w:val="center"/>
            <w:hideMark/>
          </w:tcPr>
          <w:p w14:paraId="3105C325" w14:textId="6E9FD226" w:rsidR="00315701" w:rsidRPr="009543E3" w:rsidRDefault="00315701" w:rsidP="006914CE">
            <w:pPr>
              <w:keepNext/>
              <w:suppressLineNumbers/>
              <w:suppressAutoHyphens/>
              <w:jc w:val="right"/>
              <w:rPr>
                <w:bCs/>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tcPr>
          <w:p w14:paraId="451C1DB6" w14:textId="7A079D47"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62AC9C97" w14:textId="044DEE4D"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10A61011"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Use of reserves from previous years</w:t>
            </w:r>
          </w:p>
        </w:tc>
        <w:tc>
          <w:tcPr>
            <w:tcW w:w="1274" w:type="dxa"/>
            <w:tcBorders>
              <w:top w:val="nil"/>
              <w:left w:val="nil"/>
              <w:bottom w:val="single" w:sz="4" w:space="0" w:color="auto"/>
              <w:right w:val="single" w:sz="4" w:space="0" w:color="auto"/>
            </w:tcBorders>
            <w:shd w:val="clear" w:color="auto" w:fill="auto"/>
            <w:vAlign w:val="center"/>
            <w:hideMark/>
          </w:tcPr>
          <w:p w14:paraId="454B3EEE"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-863.1</w:t>
            </w:r>
          </w:p>
        </w:tc>
        <w:tc>
          <w:tcPr>
            <w:tcW w:w="1417" w:type="dxa"/>
            <w:tcBorders>
              <w:top w:val="nil"/>
              <w:left w:val="nil"/>
              <w:bottom w:val="single" w:sz="4" w:space="0" w:color="auto"/>
              <w:right w:val="single" w:sz="4" w:space="0" w:color="auto"/>
            </w:tcBorders>
            <w:shd w:val="clear" w:color="auto" w:fill="auto"/>
            <w:vAlign w:val="center"/>
            <w:hideMark/>
          </w:tcPr>
          <w:p w14:paraId="72BA01D5" w14:textId="3CBBA211" w:rsidR="00315701" w:rsidRPr="009543E3" w:rsidRDefault="00315701" w:rsidP="006914CE">
            <w:pPr>
              <w:keepNext/>
              <w:suppressLineNumbers/>
              <w:suppressAutoHyphens/>
              <w:jc w:val="right"/>
              <w:rPr>
                <w:bCs/>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tcPr>
          <w:p w14:paraId="64E52C42" w14:textId="1129A535"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46DFBEC3" w14:textId="05453275"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702C7F79"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Net total (amount to be shared by Parties)</w:t>
            </w:r>
          </w:p>
        </w:tc>
        <w:tc>
          <w:tcPr>
            <w:tcW w:w="1274" w:type="dxa"/>
            <w:tcBorders>
              <w:top w:val="nil"/>
              <w:left w:val="nil"/>
              <w:bottom w:val="single" w:sz="4" w:space="0" w:color="auto"/>
              <w:right w:val="single" w:sz="4" w:space="0" w:color="auto"/>
            </w:tcBorders>
            <w:shd w:val="clear" w:color="auto" w:fill="auto"/>
            <w:vAlign w:val="center"/>
            <w:hideMark/>
          </w:tcPr>
          <w:p w14:paraId="4EA6D210" w14:textId="4AAD6288"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16</w:t>
            </w:r>
            <w:r w:rsidR="00787ECE" w:rsidRPr="009543E3">
              <w:rPr>
                <w:b/>
                <w:color w:val="000000"/>
                <w:kern w:val="22"/>
                <w:szCs w:val="22"/>
                <w:lang w:eastAsia="en-CA"/>
              </w:rPr>
              <w:t xml:space="preserve"> </w:t>
            </w:r>
            <w:r w:rsidRPr="009543E3">
              <w:rPr>
                <w:b/>
                <w:color w:val="000000"/>
                <w:kern w:val="22"/>
                <w:szCs w:val="22"/>
                <w:lang w:eastAsia="en-CA"/>
              </w:rPr>
              <w:t>975.8</w:t>
            </w:r>
          </w:p>
        </w:tc>
        <w:tc>
          <w:tcPr>
            <w:tcW w:w="1417" w:type="dxa"/>
            <w:tcBorders>
              <w:top w:val="nil"/>
              <w:left w:val="nil"/>
              <w:bottom w:val="single" w:sz="4" w:space="0" w:color="auto"/>
              <w:right w:val="single" w:sz="4" w:space="0" w:color="auto"/>
            </w:tcBorders>
            <w:shd w:val="clear" w:color="auto" w:fill="auto"/>
            <w:vAlign w:val="center"/>
            <w:hideMark/>
          </w:tcPr>
          <w:p w14:paraId="70D59FAE" w14:textId="78A9E5CD"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15</w:t>
            </w:r>
            <w:r w:rsidR="00787ECE" w:rsidRPr="009543E3">
              <w:rPr>
                <w:b/>
                <w:color w:val="000000"/>
                <w:kern w:val="22"/>
                <w:szCs w:val="22"/>
                <w:lang w:eastAsia="en-CA"/>
              </w:rPr>
              <w:t xml:space="preserve"> </w:t>
            </w:r>
            <w:r w:rsidRPr="009543E3">
              <w:rPr>
                <w:b/>
                <w:color w:val="000000"/>
                <w:kern w:val="22"/>
                <w:szCs w:val="22"/>
                <w:lang w:eastAsia="en-CA"/>
              </w:rPr>
              <w:t>409.0</w:t>
            </w:r>
          </w:p>
        </w:tc>
        <w:tc>
          <w:tcPr>
            <w:tcW w:w="1347" w:type="dxa"/>
            <w:tcBorders>
              <w:top w:val="nil"/>
              <w:left w:val="nil"/>
              <w:bottom w:val="single" w:sz="4" w:space="0" w:color="auto"/>
              <w:right w:val="single" w:sz="4" w:space="0" w:color="auto"/>
            </w:tcBorders>
            <w:shd w:val="clear" w:color="auto" w:fill="auto"/>
            <w:vAlign w:val="center"/>
          </w:tcPr>
          <w:p w14:paraId="4E5BB751" w14:textId="05B391D6" w:rsidR="00315701" w:rsidRPr="009543E3" w:rsidRDefault="00315701" w:rsidP="006914CE">
            <w:pPr>
              <w:keepNext/>
              <w:suppressLineNumbers/>
              <w:suppressAutoHyphens/>
              <w:jc w:val="right"/>
              <w:rPr>
                <w:bCs/>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2F9487DA" w14:textId="2D91921C"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1EE4AE9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Convention share of the interim budget (74%)</w:t>
            </w:r>
          </w:p>
        </w:tc>
        <w:tc>
          <w:tcPr>
            <w:tcW w:w="1274" w:type="dxa"/>
            <w:tcBorders>
              <w:top w:val="nil"/>
              <w:left w:val="nil"/>
              <w:bottom w:val="single" w:sz="4" w:space="0" w:color="auto"/>
              <w:right w:val="single" w:sz="4" w:space="0" w:color="auto"/>
            </w:tcBorders>
            <w:shd w:val="clear" w:color="auto" w:fill="auto"/>
            <w:vAlign w:val="center"/>
            <w:hideMark/>
          </w:tcPr>
          <w:p w14:paraId="4015DF2E" w14:textId="28E1E6FB"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12</w:t>
            </w:r>
            <w:r w:rsidR="00787ECE" w:rsidRPr="009543E3">
              <w:rPr>
                <w:color w:val="000000"/>
                <w:kern w:val="22"/>
                <w:szCs w:val="22"/>
                <w:lang w:eastAsia="en-CA"/>
              </w:rPr>
              <w:t xml:space="preserve"> </w:t>
            </w:r>
            <w:r w:rsidRPr="009543E3">
              <w:rPr>
                <w:color w:val="000000"/>
                <w:kern w:val="22"/>
                <w:szCs w:val="22"/>
                <w:lang w:eastAsia="en-CA"/>
              </w:rPr>
              <w:t>562.1</w:t>
            </w:r>
          </w:p>
        </w:tc>
        <w:tc>
          <w:tcPr>
            <w:tcW w:w="1417" w:type="dxa"/>
            <w:tcBorders>
              <w:top w:val="nil"/>
              <w:left w:val="nil"/>
              <w:bottom w:val="single" w:sz="4" w:space="0" w:color="auto"/>
              <w:right w:val="single" w:sz="4" w:space="0" w:color="auto"/>
            </w:tcBorders>
            <w:shd w:val="clear" w:color="auto" w:fill="auto"/>
            <w:vAlign w:val="center"/>
            <w:hideMark/>
          </w:tcPr>
          <w:p w14:paraId="221FB6EA" w14:textId="7D66E83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402.7</w:t>
            </w:r>
          </w:p>
        </w:tc>
        <w:tc>
          <w:tcPr>
            <w:tcW w:w="1347" w:type="dxa"/>
            <w:tcBorders>
              <w:top w:val="nil"/>
              <w:left w:val="nil"/>
              <w:bottom w:val="single" w:sz="4" w:space="0" w:color="auto"/>
              <w:right w:val="single" w:sz="4" w:space="0" w:color="auto"/>
            </w:tcBorders>
            <w:shd w:val="clear" w:color="auto" w:fill="auto"/>
            <w:vAlign w:val="center"/>
            <w:hideMark/>
          </w:tcPr>
          <w:p w14:paraId="35B8E242" w14:textId="6FE8BA83"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10CCE11C" w14:textId="4E4816B8" w:rsidR="00315701" w:rsidRPr="009543E3" w:rsidRDefault="00315701" w:rsidP="006914CE">
            <w:pPr>
              <w:keepNext/>
              <w:suppressLineNumbers/>
              <w:suppressAutoHyphens/>
              <w:jc w:val="center"/>
              <w:rPr>
                <w:color w:val="000000"/>
                <w:kern w:val="22"/>
                <w:szCs w:val="22"/>
                <w:lang w:eastAsia="en-CA"/>
              </w:rPr>
            </w:pPr>
          </w:p>
        </w:tc>
      </w:tr>
      <w:tr w:rsidR="00FE1779" w:rsidRPr="009543E3" w14:paraId="1CB86CC7" w14:textId="77777777" w:rsidTr="002A34AA">
        <w:trPr>
          <w:trHeight w:val="48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315701" w:rsidRPr="009543E3" w:rsidRDefault="00315701" w:rsidP="006914CE">
            <w:pPr>
              <w:keepNext/>
              <w:suppressLineNumbers/>
              <w:suppressAutoHyphens/>
              <w:jc w:val="left"/>
              <w:rPr>
                <w:color w:val="000000"/>
                <w:spacing w:val="-12"/>
                <w:kern w:val="22"/>
                <w:szCs w:val="22"/>
                <w:lang w:eastAsia="en-CA"/>
              </w:rPr>
            </w:pPr>
            <w:r w:rsidRPr="009543E3">
              <w:rPr>
                <w:color w:val="000000"/>
                <w:spacing w:val="-12"/>
                <w:kern w:val="22"/>
                <w:szCs w:val="22"/>
                <w:lang w:eastAsia="en-CA"/>
              </w:rPr>
              <w:t>Cartagena Protocol share of the interim budget (15%)</w:t>
            </w:r>
          </w:p>
        </w:tc>
        <w:tc>
          <w:tcPr>
            <w:tcW w:w="1274" w:type="dxa"/>
            <w:tcBorders>
              <w:top w:val="nil"/>
              <w:left w:val="nil"/>
              <w:bottom w:val="single" w:sz="4" w:space="0" w:color="auto"/>
              <w:right w:val="single" w:sz="4" w:space="0" w:color="auto"/>
            </w:tcBorders>
            <w:shd w:val="clear" w:color="auto" w:fill="auto"/>
            <w:vAlign w:val="center"/>
            <w:hideMark/>
          </w:tcPr>
          <w:p w14:paraId="790293D2" w14:textId="3E9C76AC"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546.4</w:t>
            </w:r>
          </w:p>
        </w:tc>
        <w:tc>
          <w:tcPr>
            <w:tcW w:w="1417" w:type="dxa"/>
            <w:tcBorders>
              <w:top w:val="nil"/>
              <w:left w:val="nil"/>
              <w:bottom w:val="single" w:sz="4" w:space="0" w:color="auto"/>
              <w:right w:val="single" w:sz="4" w:space="0" w:color="auto"/>
            </w:tcBorders>
            <w:shd w:val="clear" w:color="auto" w:fill="auto"/>
            <w:vAlign w:val="center"/>
            <w:hideMark/>
          </w:tcPr>
          <w:p w14:paraId="72EDE914" w14:textId="1381788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311.3</w:t>
            </w:r>
          </w:p>
        </w:tc>
        <w:tc>
          <w:tcPr>
            <w:tcW w:w="1347" w:type="dxa"/>
            <w:tcBorders>
              <w:top w:val="nil"/>
              <w:left w:val="nil"/>
              <w:bottom w:val="single" w:sz="4" w:space="0" w:color="auto"/>
              <w:right w:val="single" w:sz="4" w:space="0" w:color="auto"/>
            </w:tcBorders>
            <w:shd w:val="clear" w:color="auto" w:fill="auto"/>
            <w:vAlign w:val="center"/>
            <w:hideMark/>
          </w:tcPr>
          <w:p w14:paraId="2C13A5F8" w14:textId="68FAB1C8"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08D2DEC2" w14:textId="74832975" w:rsidR="00315701" w:rsidRPr="009543E3" w:rsidRDefault="00315701" w:rsidP="006914CE">
            <w:pPr>
              <w:keepNext/>
              <w:suppressLineNumbers/>
              <w:suppressAutoHyphens/>
              <w:jc w:val="center"/>
              <w:rPr>
                <w:color w:val="000000"/>
                <w:kern w:val="22"/>
                <w:szCs w:val="22"/>
                <w:lang w:eastAsia="en-CA"/>
              </w:rPr>
            </w:pPr>
          </w:p>
        </w:tc>
      </w:tr>
      <w:tr w:rsidR="00FE1779" w:rsidRPr="009543E3" w14:paraId="213414C6" w14:textId="77777777" w:rsidTr="002A34AA">
        <w:trPr>
          <w:trHeight w:val="48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315701" w:rsidRPr="009543E3" w:rsidRDefault="00315701" w:rsidP="006914CE">
            <w:pPr>
              <w:keepNext/>
              <w:suppressLineNumbers/>
              <w:suppressAutoHyphens/>
              <w:jc w:val="left"/>
              <w:rPr>
                <w:color w:val="000000"/>
                <w:spacing w:val="-8"/>
                <w:kern w:val="22"/>
                <w:szCs w:val="22"/>
                <w:lang w:eastAsia="en-CA"/>
              </w:rPr>
            </w:pPr>
            <w:r w:rsidRPr="009543E3">
              <w:rPr>
                <w:color w:val="000000"/>
                <w:spacing w:val="-8"/>
                <w:kern w:val="22"/>
                <w:szCs w:val="22"/>
                <w:lang w:eastAsia="en-CA"/>
              </w:rPr>
              <w:t>Nagoya Protocol share of the interim budget (11%)</w:t>
            </w:r>
          </w:p>
        </w:tc>
        <w:tc>
          <w:tcPr>
            <w:tcW w:w="1274" w:type="dxa"/>
            <w:tcBorders>
              <w:top w:val="nil"/>
              <w:left w:val="nil"/>
              <w:bottom w:val="single" w:sz="4" w:space="0" w:color="auto"/>
              <w:right w:val="single" w:sz="4" w:space="0" w:color="auto"/>
            </w:tcBorders>
            <w:shd w:val="clear" w:color="auto" w:fill="auto"/>
            <w:vAlign w:val="center"/>
            <w:hideMark/>
          </w:tcPr>
          <w:p w14:paraId="16670041" w14:textId="66DA6B9B"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867.3</w:t>
            </w:r>
          </w:p>
        </w:tc>
        <w:tc>
          <w:tcPr>
            <w:tcW w:w="1417" w:type="dxa"/>
            <w:tcBorders>
              <w:top w:val="nil"/>
              <w:left w:val="nil"/>
              <w:bottom w:val="single" w:sz="4" w:space="0" w:color="auto"/>
              <w:right w:val="single" w:sz="4" w:space="0" w:color="auto"/>
            </w:tcBorders>
            <w:shd w:val="clear" w:color="auto" w:fill="auto"/>
            <w:vAlign w:val="center"/>
            <w:hideMark/>
          </w:tcPr>
          <w:p w14:paraId="0881699A" w14:textId="645F0E1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695.0</w:t>
            </w:r>
          </w:p>
        </w:tc>
        <w:tc>
          <w:tcPr>
            <w:tcW w:w="1347" w:type="dxa"/>
            <w:tcBorders>
              <w:top w:val="nil"/>
              <w:left w:val="nil"/>
              <w:bottom w:val="single" w:sz="4" w:space="0" w:color="auto"/>
              <w:right w:val="single" w:sz="4" w:space="0" w:color="auto"/>
            </w:tcBorders>
            <w:shd w:val="clear" w:color="auto" w:fill="auto"/>
            <w:vAlign w:val="center"/>
            <w:hideMark/>
          </w:tcPr>
          <w:p w14:paraId="67BCDDF5" w14:textId="2DAD9BEC"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539BF5DE" w14:textId="78436C58" w:rsidR="00315701" w:rsidRPr="009543E3" w:rsidRDefault="00315701" w:rsidP="006914CE">
            <w:pPr>
              <w:keepNext/>
              <w:suppressLineNumbers/>
              <w:suppressAutoHyphens/>
              <w:jc w:val="center"/>
              <w:rPr>
                <w:color w:val="000000"/>
                <w:kern w:val="22"/>
                <w:szCs w:val="22"/>
                <w:lang w:eastAsia="en-CA"/>
              </w:rPr>
            </w:pPr>
          </w:p>
        </w:tc>
      </w:tr>
    </w:tbl>
    <w:p w14:paraId="6DA93D2E" w14:textId="77777777" w:rsidR="00951BDC" w:rsidRPr="009543E3" w:rsidRDefault="00951BDC" w:rsidP="006914CE">
      <w:pPr>
        <w:suppressLineNumbers/>
        <w:suppressAutoHyphens/>
        <w:spacing w:before="120" w:after="120"/>
        <w:jc w:val="left"/>
        <w:rPr>
          <w:kern w:val="22"/>
          <w:sz w:val="18"/>
          <w:szCs w:val="18"/>
        </w:rPr>
      </w:pPr>
      <w:r w:rsidRPr="009543E3">
        <w:rPr>
          <w:i/>
          <w:iCs/>
          <w:kern w:val="22"/>
          <w:sz w:val="18"/>
          <w:szCs w:val="18"/>
        </w:rPr>
        <w:t>Notes</w:t>
      </w:r>
      <w:r w:rsidRPr="009543E3">
        <w:rPr>
          <w:kern w:val="22"/>
          <w:sz w:val="18"/>
          <w:szCs w:val="18"/>
        </w:rPr>
        <w:t>:</w:t>
      </w:r>
    </w:p>
    <w:p w14:paraId="109CF2A4" w14:textId="1F9BF790" w:rsidR="00951BDC" w:rsidRPr="009543E3" w:rsidRDefault="00CE4BBD"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The estimated resources are based on 2020 actual staff costs with increases in keeping with United Nations salary scales and increments for Professional and General Service staff as follows: ASG: 3</w:t>
      </w:r>
      <w:r w:rsidR="0065222F" w:rsidRPr="009543E3">
        <w:rPr>
          <w:kern w:val="22"/>
          <w:sz w:val="18"/>
          <w:szCs w:val="18"/>
        </w:rPr>
        <w:t>1</w:t>
      </w:r>
      <w:r w:rsidRPr="009543E3">
        <w:rPr>
          <w:kern w:val="22"/>
          <w:sz w:val="18"/>
          <w:szCs w:val="18"/>
        </w:rPr>
        <w:t>5,000;  D-1:</w:t>
      </w:r>
      <w:r w:rsidR="00727DD5" w:rsidRPr="009543E3">
        <w:rPr>
          <w:kern w:val="22"/>
          <w:sz w:val="18"/>
          <w:szCs w:val="18"/>
        </w:rPr>
        <w:t> </w:t>
      </w:r>
      <w:r w:rsidRPr="009543E3">
        <w:rPr>
          <w:kern w:val="22"/>
          <w:sz w:val="18"/>
          <w:szCs w:val="18"/>
        </w:rPr>
        <w:t>262,</w:t>
      </w:r>
      <w:r w:rsidR="0065222F" w:rsidRPr="009543E3">
        <w:rPr>
          <w:kern w:val="22"/>
          <w:sz w:val="18"/>
          <w:szCs w:val="18"/>
        </w:rPr>
        <w:t>000</w:t>
      </w:r>
      <w:r w:rsidRPr="009543E3">
        <w:rPr>
          <w:kern w:val="22"/>
          <w:sz w:val="18"/>
          <w:szCs w:val="18"/>
        </w:rPr>
        <w:t>;  P-5:</w:t>
      </w:r>
      <w:r w:rsidR="00727DD5" w:rsidRPr="009543E3">
        <w:rPr>
          <w:kern w:val="22"/>
          <w:sz w:val="18"/>
          <w:szCs w:val="18"/>
        </w:rPr>
        <w:t> </w:t>
      </w:r>
      <w:r w:rsidR="0065222F" w:rsidRPr="009543E3">
        <w:rPr>
          <w:kern w:val="22"/>
          <w:sz w:val="18"/>
          <w:szCs w:val="18"/>
        </w:rPr>
        <w:t>240,000</w:t>
      </w:r>
      <w:r w:rsidRPr="009543E3">
        <w:rPr>
          <w:kern w:val="22"/>
          <w:sz w:val="18"/>
          <w:szCs w:val="18"/>
        </w:rPr>
        <w:t>;  P</w:t>
      </w:r>
      <w:r w:rsidR="00D3563F" w:rsidRPr="009543E3">
        <w:rPr>
          <w:kern w:val="22"/>
          <w:sz w:val="18"/>
          <w:szCs w:val="18"/>
        </w:rPr>
        <w:noBreakHyphen/>
      </w:r>
      <w:r w:rsidRPr="009543E3">
        <w:rPr>
          <w:kern w:val="22"/>
          <w:sz w:val="18"/>
          <w:szCs w:val="18"/>
        </w:rPr>
        <w:t>4:</w:t>
      </w:r>
      <w:r w:rsidR="00727DD5" w:rsidRPr="009543E3">
        <w:rPr>
          <w:kern w:val="22"/>
          <w:sz w:val="18"/>
          <w:szCs w:val="18"/>
        </w:rPr>
        <w:t> </w:t>
      </w:r>
      <w:r w:rsidRPr="009543E3">
        <w:rPr>
          <w:kern w:val="22"/>
          <w:sz w:val="18"/>
          <w:szCs w:val="18"/>
        </w:rPr>
        <w:t>210,700;  P-3:</w:t>
      </w:r>
      <w:r w:rsidR="00727DD5" w:rsidRPr="009543E3">
        <w:rPr>
          <w:kern w:val="22"/>
          <w:sz w:val="18"/>
          <w:szCs w:val="18"/>
        </w:rPr>
        <w:t> </w:t>
      </w:r>
      <w:r w:rsidRPr="009543E3">
        <w:rPr>
          <w:kern w:val="22"/>
          <w:sz w:val="18"/>
          <w:szCs w:val="18"/>
        </w:rPr>
        <w:t>177,600;  P-2:</w:t>
      </w:r>
      <w:r w:rsidR="00727DD5" w:rsidRPr="009543E3">
        <w:rPr>
          <w:kern w:val="22"/>
          <w:sz w:val="18"/>
          <w:szCs w:val="18"/>
        </w:rPr>
        <w:t> </w:t>
      </w:r>
      <w:r w:rsidR="00377DC9" w:rsidRPr="009543E3">
        <w:rPr>
          <w:kern w:val="22"/>
          <w:sz w:val="18"/>
          <w:szCs w:val="18"/>
        </w:rPr>
        <w:t>132,000</w:t>
      </w:r>
      <w:r w:rsidRPr="009543E3">
        <w:rPr>
          <w:kern w:val="22"/>
          <w:sz w:val="18"/>
          <w:szCs w:val="18"/>
        </w:rPr>
        <w:t>;  General Service: 77,</w:t>
      </w:r>
      <w:r w:rsidR="00377DC9" w:rsidRPr="009543E3">
        <w:rPr>
          <w:kern w:val="22"/>
          <w:sz w:val="18"/>
          <w:szCs w:val="18"/>
        </w:rPr>
        <w:t>000</w:t>
      </w:r>
      <w:r w:rsidR="00951BDC" w:rsidRPr="009543E3">
        <w:rPr>
          <w:kern w:val="22"/>
          <w:sz w:val="18"/>
          <w:szCs w:val="18"/>
        </w:rPr>
        <w:t>.</w:t>
      </w:r>
    </w:p>
    <w:p w14:paraId="70154AD4" w14:textId="3D750D81" w:rsidR="00951BDC" w:rsidRPr="009543E3" w:rsidRDefault="00951BDC"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Projected costs for 2021 are reduced due to carryover of funds from 2019-</w:t>
      </w:r>
      <w:r w:rsidR="001832E2" w:rsidRPr="009543E3">
        <w:rPr>
          <w:kern w:val="22"/>
          <w:sz w:val="18"/>
          <w:szCs w:val="18"/>
        </w:rPr>
        <w:t>20</w:t>
      </w:r>
      <w:r w:rsidRPr="009543E3">
        <w:rPr>
          <w:kern w:val="22"/>
          <w:sz w:val="18"/>
          <w:szCs w:val="18"/>
        </w:rPr>
        <w:t>20.</w:t>
      </w:r>
    </w:p>
    <w:p w14:paraId="7BE48B44" w14:textId="0FC2E68B" w:rsidR="00951BDC" w:rsidRPr="009543E3" w:rsidRDefault="00BC1E35"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 xml:space="preserve">To cover </w:t>
      </w:r>
      <w:r w:rsidR="001832E2" w:rsidRPr="009543E3">
        <w:rPr>
          <w:kern w:val="22"/>
          <w:sz w:val="18"/>
          <w:szCs w:val="18"/>
        </w:rPr>
        <w:t xml:space="preserve">the </w:t>
      </w:r>
      <w:r w:rsidRPr="009543E3">
        <w:rPr>
          <w:kern w:val="22"/>
          <w:sz w:val="18"/>
          <w:szCs w:val="18"/>
        </w:rPr>
        <w:t>shortfall in costs for SBSTTA</w:t>
      </w:r>
      <w:r w:rsidR="00F70C80" w:rsidRPr="009543E3">
        <w:rPr>
          <w:kern w:val="22"/>
          <w:sz w:val="18"/>
          <w:szCs w:val="18"/>
        </w:rPr>
        <w:t>-</w:t>
      </w:r>
      <w:r w:rsidRPr="009543E3">
        <w:rPr>
          <w:kern w:val="22"/>
          <w:sz w:val="18"/>
          <w:szCs w:val="18"/>
        </w:rPr>
        <w:t>24 and SBI-3</w:t>
      </w:r>
      <w:r w:rsidR="00304D73" w:rsidRPr="009543E3">
        <w:rPr>
          <w:kern w:val="22"/>
          <w:sz w:val="18"/>
          <w:szCs w:val="18"/>
        </w:rPr>
        <w:t xml:space="preserve"> </w:t>
      </w:r>
      <w:r w:rsidR="0030349E" w:rsidRPr="009543E3">
        <w:rPr>
          <w:kern w:val="22"/>
          <w:sz w:val="18"/>
          <w:szCs w:val="18"/>
        </w:rPr>
        <w:t>due to costs associated with the virtual meetings held in 2020</w:t>
      </w:r>
      <w:r w:rsidR="00F70C80" w:rsidRPr="009543E3">
        <w:rPr>
          <w:kern w:val="22"/>
          <w:sz w:val="18"/>
          <w:szCs w:val="18"/>
        </w:rPr>
        <w:t>.</w:t>
      </w:r>
    </w:p>
    <w:p w14:paraId="129231A0" w14:textId="43132961" w:rsidR="00951BDC" w:rsidRPr="009543E3" w:rsidRDefault="00831088"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Projected costs for 2021 are reduced due to carryover of funds from 2019-</w:t>
      </w:r>
      <w:r w:rsidR="001832E2" w:rsidRPr="009543E3">
        <w:rPr>
          <w:kern w:val="22"/>
          <w:sz w:val="18"/>
          <w:szCs w:val="18"/>
        </w:rPr>
        <w:t>20</w:t>
      </w:r>
      <w:r w:rsidRPr="009543E3">
        <w:rPr>
          <w:kern w:val="22"/>
          <w:sz w:val="18"/>
          <w:szCs w:val="18"/>
        </w:rPr>
        <w:t>20</w:t>
      </w:r>
      <w:r w:rsidR="00951BDC" w:rsidRPr="009543E3">
        <w:rPr>
          <w:kern w:val="22"/>
          <w:sz w:val="18"/>
          <w:szCs w:val="18"/>
        </w:rPr>
        <w:t>.</w:t>
      </w:r>
    </w:p>
    <w:p w14:paraId="606B54DB" w14:textId="4BBD7328" w:rsidR="00951BDC" w:rsidRPr="009543E3" w:rsidRDefault="00951BDC" w:rsidP="006914CE">
      <w:pPr>
        <w:pStyle w:val="ListParagraph"/>
        <w:numPr>
          <w:ilvl w:val="0"/>
          <w:numId w:val="42"/>
        </w:numPr>
        <w:suppressLineNumbers/>
        <w:suppressAutoHyphens/>
        <w:spacing w:after="120"/>
        <w:ind w:left="142" w:firstLine="284"/>
        <w:contextualSpacing w:val="0"/>
        <w:rPr>
          <w:i/>
          <w:kern w:val="22"/>
          <w:sz w:val="18"/>
          <w:szCs w:val="18"/>
        </w:rPr>
      </w:pPr>
      <w:r w:rsidRPr="009543E3">
        <w:rPr>
          <w:kern w:val="22"/>
          <w:sz w:val="18"/>
          <w:szCs w:val="18"/>
        </w:rPr>
        <w:lastRenderedPageBreak/>
        <w:t xml:space="preserve">At its fourteenth meeting, the Conference of the Parties approved two stand-along extraordinary meetings on </w:t>
      </w:r>
      <w:r w:rsidR="00A24B03" w:rsidRPr="009543E3">
        <w:rPr>
          <w:kern w:val="22"/>
          <w:sz w:val="18"/>
          <w:szCs w:val="18"/>
        </w:rPr>
        <w:t>p</w:t>
      </w:r>
      <w:r w:rsidRPr="009543E3">
        <w:rPr>
          <w:kern w:val="22"/>
          <w:sz w:val="18"/>
          <w:szCs w:val="18"/>
        </w:rPr>
        <w:t>ost</w:t>
      </w:r>
      <w:r w:rsidR="00A24B03" w:rsidRPr="009543E3">
        <w:rPr>
          <w:kern w:val="22"/>
          <w:sz w:val="18"/>
          <w:szCs w:val="18"/>
        </w:rPr>
        <w:noBreakHyphen/>
      </w:r>
      <w:r w:rsidRPr="009543E3">
        <w:rPr>
          <w:kern w:val="22"/>
          <w:sz w:val="18"/>
          <w:szCs w:val="18"/>
        </w:rPr>
        <w:t xml:space="preserve">2020 to be funded from the 2019-2020 budget. Parties also agreed that any additional meeting on </w:t>
      </w:r>
      <w:r w:rsidR="00666284" w:rsidRPr="009543E3">
        <w:rPr>
          <w:kern w:val="22"/>
          <w:sz w:val="18"/>
          <w:szCs w:val="18"/>
        </w:rPr>
        <w:t>p</w:t>
      </w:r>
      <w:r w:rsidRPr="009543E3">
        <w:rPr>
          <w:kern w:val="22"/>
          <w:sz w:val="18"/>
          <w:szCs w:val="18"/>
        </w:rPr>
        <w:t>ost</w:t>
      </w:r>
      <w:r w:rsidR="00666284" w:rsidRPr="009543E3">
        <w:rPr>
          <w:kern w:val="22"/>
          <w:sz w:val="18"/>
          <w:szCs w:val="18"/>
        </w:rPr>
        <w:t>-</w:t>
      </w:r>
      <w:r w:rsidRPr="009543E3">
        <w:rPr>
          <w:kern w:val="22"/>
          <w:sz w:val="18"/>
          <w:szCs w:val="18"/>
        </w:rPr>
        <w:t xml:space="preserve">2020 would need to be funded from voluntary funds. At its meeting of 16 March 2019, </w:t>
      </w:r>
      <w:r w:rsidR="00C8777E" w:rsidRPr="009543E3">
        <w:rPr>
          <w:kern w:val="22"/>
          <w:sz w:val="18"/>
          <w:szCs w:val="18"/>
        </w:rPr>
        <w:t xml:space="preserve">the </w:t>
      </w:r>
      <w:r w:rsidRPr="009543E3">
        <w:rPr>
          <w:kern w:val="22"/>
          <w:sz w:val="18"/>
          <w:szCs w:val="18"/>
        </w:rPr>
        <w:t xml:space="preserve">Bureau </w:t>
      </w:r>
      <w:r w:rsidR="00C8777E" w:rsidRPr="009543E3">
        <w:rPr>
          <w:kern w:val="22"/>
          <w:sz w:val="18"/>
          <w:szCs w:val="18"/>
        </w:rPr>
        <w:t xml:space="preserve">of the Conference of the Parties </w:t>
      </w:r>
      <w:r w:rsidRPr="009543E3">
        <w:rPr>
          <w:kern w:val="22"/>
          <w:sz w:val="18"/>
          <w:szCs w:val="18"/>
        </w:rPr>
        <w:t xml:space="preserve">reviewed the process and decided to have an additional meeting on </w:t>
      </w:r>
      <w:r w:rsidR="00666284" w:rsidRPr="009543E3">
        <w:rPr>
          <w:kern w:val="22"/>
          <w:sz w:val="18"/>
          <w:szCs w:val="18"/>
        </w:rPr>
        <w:t>p</w:t>
      </w:r>
      <w:r w:rsidRPr="009543E3">
        <w:rPr>
          <w:kern w:val="22"/>
          <w:sz w:val="18"/>
          <w:szCs w:val="18"/>
        </w:rPr>
        <w:t>ost</w:t>
      </w:r>
      <w:r w:rsidR="00666284" w:rsidRPr="009543E3">
        <w:rPr>
          <w:kern w:val="22"/>
          <w:sz w:val="18"/>
          <w:szCs w:val="18"/>
        </w:rPr>
        <w:t>-</w:t>
      </w:r>
      <w:r w:rsidRPr="009543E3">
        <w:rPr>
          <w:kern w:val="22"/>
          <w:sz w:val="18"/>
          <w:szCs w:val="18"/>
        </w:rPr>
        <w:t xml:space="preserve">2020. The first meeting was held in Nairobi in August 2019 and was funded from the core budget. </w:t>
      </w:r>
      <w:r w:rsidR="00254C6F" w:rsidRPr="009543E3">
        <w:rPr>
          <w:kern w:val="22"/>
          <w:sz w:val="18"/>
          <w:szCs w:val="18"/>
        </w:rPr>
        <w:t>T</w:t>
      </w:r>
      <w:r w:rsidRPr="009543E3">
        <w:rPr>
          <w:kern w:val="22"/>
          <w:sz w:val="18"/>
          <w:szCs w:val="18"/>
        </w:rPr>
        <w:t xml:space="preserve">he Government of China generously offered to fully fund and host the second meeting in Kunming in February 2020. However, due to the </w:t>
      </w:r>
      <w:r w:rsidR="00DB040A" w:rsidRPr="009543E3">
        <w:rPr>
          <w:kern w:val="22"/>
          <w:sz w:val="18"/>
          <w:szCs w:val="18"/>
        </w:rPr>
        <w:t>COVID</w:t>
      </w:r>
      <w:r w:rsidRPr="009543E3">
        <w:rPr>
          <w:kern w:val="22"/>
          <w:sz w:val="18"/>
          <w:szCs w:val="18"/>
        </w:rPr>
        <w:t>-19 pandemic</w:t>
      </w:r>
      <w:r w:rsidR="00666284" w:rsidRPr="009543E3">
        <w:rPr>
          <w:kern w:val="22"/>
          <w:sz w:val="18"/>
          <w:szCs w:val="18"/>
        </w:rPr>
        <w:t>,</w:t>
      </w:r>
      <w:r w:rsidRPr="009543E3">
        <w:rPr>
          <w:kern w:val="22"/>
          <w:sz w:val="18"/>
          <w:szCs w:val="18"/>
        </w:rPr>
        <w:t xml:space="preserve"> the meeting was moved </w:t>
      </w:r>
      <w:r w:rsidR="00A63570" w:rsidRPr="009543E3">
        <w:rPr>
          <w:kern w:val="22"/>
          <w:sz w:val="18"/>
          <w:szCs w:val="18"/>
        </w:rPr>
        <w:t xml:space="preserve">at </w:t>
      </w:r>
      <w:r w:rsidRPr="009543E3">
        <w:rPr>
          <w:kern w:val="22"/>
          <w:sz w:val="18"/>
          <w:szCs w:val="18"/>
        </w:rPr>
        <w:t xml:space="preserve">the last minute </w:t>
      </w:r>
      <w:r w:rsidR="005817E2" w:rsidRPr="009543E3">
        <w:rPr>
          <w:kern w:val="22"/>
          <w:sz w:val="18"/>
          <w:szCs w:val="18"/>
        </w:rPr>
        <w:t xml:space="preserve">to </w:t>
      </w:r>
      <w:r w:rsidRPr="009543E3">
        <w:rPr>
          <w:kern w:val="22"/>
          <w:sz w:val="18"/>
          <w:szCs w:val="18"/>
        </w:rPr>
        <w:t xml:space="preserve">Rome and funded from the core budget. The Government of Colombia offered to host the third meeting with </w:t>
      </w:r>
      <w:r w:rsidR="005500E1" w:rsidRPr="009543E3">
        <w:rPr>
          <w:kern w:val="22"/>
          <w:sz w:val="18"/>
          <w:szCs w:val="18"/>
        </w:rPr>
        <w:t xml:space="preserve">a </w:t>
      </w:r>
      <w:r w:rsidRPr="009543E3">
        <w:rPr>
          <w:kern w:val="22"/>
          <w:sz w:val="18"/>
          <w:szCs w:val="18"/>
        </w:rPr>
        <w:t xml:space="preserve">generous financial contribution </w:t>
      </w:r>
      <w:r w:rsidR="005500E1" w:rsidRPr="009543E3">
        <w:rPr>
          <w:kern w:val="22"/>
          <w:sz w:val="18"/>
          <w:szCs w:val="18"/>
        </w:rPr>
        <w:t xml:space="preserve">from </w:t>
      </w:r>
      <w:r w:rsidRPr="009543E3">
        <w:rPr>
          <w:kern w:val="22"/>
          <w:sz w:val="18"/>
          <w:szCs w:val="18"/>
        </w:rPr>
        <w:t xml:space="preserve">the Government of Norway to support local costs and the incremental costs </w:t>
      </w:r>
      <w:r w:rsidR="00797BF0" w:rsidRPr="009543E3">
        <w:rPr>
          <w:kern w:val="22"/>
          <w:sz w:val="18"/>
          <w:szCs w:val="18"/>
        </w:rPr>
        <w:t xml:space="preserve">to </w:t>
      </w:r>
      <w:r w:rsidRPr="009543E3">
        <w:rPr>
          <w:kern w:val="22"/>
          <w:sz w:val="18"/>
          <w:szCs w:val="18"/>
        </w:rPr>
        <w:t>the Secretariat result</w:t>
      </w:r>
      <w:r w:rsidR="00456BF5" w:rsidRPr="009543E3">
        <w:rPr>
          <w:kern w:val="22"/>
          <w:sz w:val="18"/>
          <w:szCs w:val="18"/>
        </w:rPr>
        <w:t>ing from</w:t>
      </w:r>
      <w:r w:rsidRPr="009543E3">
        <w:rPr>
          <w:kern w:val="22"/>
          <w:sz w:val="18"/>
          <w:szCs w:val="18"/>
        </w:rPr>
        <w:t xml:space="preserve"> holding the meeting outside Montreal. Resources of US$ 350,000, in addition t</w:t>
      </w:r>
      <w:r w:rsidR="00456BF5" w:rsidRPr="009543E3">
        <w:rPr>
          <w:kern w:val="22"/>
          <w:sz w:val="18"/>
          <w:szCs w:val="18"/>
        </w:rPr>
        <w:t>o</w:t>
      </w:r>
      <w:r w:rsidRPr="009543E3">
        <w:rPr>
          <w:kern w:val="22"/>
          <w:sz w:val="18"/>
          <w:szCs w:val="18"/>
        </w:rPr>
        <w:t xml:space="preserve"> US$</w:t>
      </w:r>
      <w:r w:rsidR="00E811C2" w:rsidRPr="009543E3">
        <w:rPr>
          <w:kern w:val="22"/>
          <w:sz w:val="18"/>
          <w:szCs w:val="18"/>
        </w:rPr>
        <w:t> </w:t>
      </w:r>
      <w:r w:rsidRPr="009543E3">
        <w:rPr>
          <w:kern w:val="22"/>
          <w:sz w:val="18"/>
          <w:szCs w:val="18"/>
        </w:rPr>
        <w:t xml:space="preserve">210,000 from the 2019-2020 budget would </w:t>
      </w:r>
      <w:r w:rsidR="006F3BA7" w:rsidRPr="009543E3">
        <w:rPr>
          <w:kern w:val="22"/>
          <w:sz w:val="18"/>
          <w:szCs w:val="18"/>
        </w:rPr>
        <w:t>total</w:t>
      </w:r>
      <w:r w:rsidRPr="009543E3">
        <w:rPr>
          <w:kern w:val="22"/>
          <w:sz w:val="18"/>
          <w:szCs w:val="18"/>
        </w:rPr>
        <w:t xml:space="preserve"> the cost budgeted for each meeting as per the </w:t>
      </w:r>
      <w:r w:rsidR="00B9594B" w:rsidRPr="009543E3">
        <w:rPr>
          <w:kern w:val="22"/>
          <w:sz w:val="18"/>
          <w:szCs w:val="18"/>
        </w:rPr>
        <w:t>approved figure</w:t>
      </w:r>
      <w:r w:rsidRPr="009543E3">
        <w:rPr>
          <w:kern w:val="22"/>
          <w:sz w:val="18"/>
          <w:szCs w:val="18"/>
        </w:rPr>
        <w:t xml:space="preserve"> </w:t>
      </w:r>
      <w:r w:rsidR="00B9594B" w:rsidRPr="009543E3">
        <w:rPr>
          <w:kern w:val="22"/>
          <w:sz w:val="18"/>
          <w:szCs w:val="18"/>
        </w:rPr>
        <w:t>used in the 2019-2020 budget</w:t>
      </w:r>
      <w:r w:rsidRPr="009543E3">
        <w:rPr>
          <w:kern w:val="22"/>
          <w:sz w:val="18"/>
          <w:szCs w:val="18"/>
        </w:rPr>
        <w:t>, complemented by funding from the Government</w:t>
      </w:r>
      <w:r w:rsidR="006F3BA7" w:rsidRPr="009543E3">
        <w:rPr>
          <w:kern w:val="22"/>
          <w:sz w:val="18"/>
          <w:szCs w:val="18"/>
        </w:rPr>
        <w:t>s</w:t>
      </w:r>
      <w:r w:rsidRPr="009543E3">
        <w:rPr>
          <w:kern w:val="22"/>
          <w:sz w:val="18"/>
          <w:szCs w:val="18"/>
        </w:rPr>
        <w:t xml:space="preserve"> of Norway and Colombia </w:t>
      </w:r>
      <w:r w:rsidR="006F3BA7" w:rsidRPr="009543E3">
        <w:rPr>
          <w:kern w:val="22"/>
          <w:sz w:val="18"/>
          <w:szCs w:val="18"/>
        </w:rPr>
        <w:t>as indicated above</w:t>
      </w:r>
      <w:r w:rsidRPr="009543E3">
        <w:rPr>
          <w:kern w:val="22"/>
          <w:sz w:val="18"/>
          <w:szCs w:val="18"/>
        </w:rPr>
        <w:t>.</w:t>
      </w:r>
    </w:p>
    <w:p w14:paraId="1B7C9660" w14:textId="373F749B" w:rsidR="00393E17" w:rsidRPr="009543E3" w:rsidRDefault="00CE4BBD" w:rsidP="006914CE">
      <w:pPr>
        <w:pStyle w:val="ListParagraph"/>
        <w:numPr>
          <w:ilvl w:val="0"/>
          <w:numId w:val="42"/>
        </w:numPr>
        <w:suppressLineNumbers/>
        <w:suppressAutoHyphens/>
        <w:spacing w:after="120"/>
        <w:ind w:left="142" w:firstLine="284"/>
        <w:contextualSpacing w:val="0"/>
        <w:rPr>
          <w:kern w:val="22"/>
        </w:rPr>
      </w:pPr>
      <w:r w:rsidRPr="009543E3">
        <w:rPr>
          <w:kern w:val="22"/>
          <w:sz w:val="18"/>
          <w:szCs w:val="18"/>
        </w:rPr>
        <w:t xml:space="preserve">The Secretariat renewed its grant agreement with the host country (the Government of Canada and the Province of Quebec) for the rent and associated costs of the office space in Montreal. The agreement covers the period </w:t>
      </w:r>
      <w:r w:rsidR="00352726" w:rsidRPr="009543E3">
        <w:rPr>
          <w:kern w:val="22"/>
          <w:sz w:val="18"/>
          <w:szCs w:val="18"/>
        </w:rPr>
        <w:t xml:space="preserve">from </w:t>
      </w:r>
      <w:r w:rsidRPr="009543E3">
        <w:rPr>
          <w:kern w:val="22"/>
          <w:sz w:val="18"/>
          <w:szCs w:val="18"/>
        </w:rPr>
        <w:t xml:space="preserve">1 October 2019 to 30 September 2029, which corresponds to the period of the current lease agreement </w:t>
      </w:r>
      <w:r w:rsidR="00AA4838" w:rsidRPr="009543E3">
        <w:rPr>
          <w:kern w:val="22"/>
          <w:sz w:val="18"/>
          <w:szCs w:val="18"/>
        </w:rPr>
        <w:t xml:space="preserve">that </w:t>
      </w:r>
      <w:r w:rsidRPr="009543E3">
        <w:rPr>
          <w:kern w:val="22"/>
          <w:sz w:val="18"/>
          <w:szCs w:val="18"/>
        </w:rPr>
        <w:t>the Secretariat</w:t>
      </w:r>
      <w:r w:rsidR="00AA4838" w:rsidRPr="009543E3">
        <w:rPr>
          <w:kern w:val="22"/>
          <w:sz w:val="18"/>
          <w:szCs w:val="18"/>
        </w:rPr>
        <w:t xml:space="preserve"> has signed</w:t>
      </w:r>
      <w:r w:rsidRPr="009543E3">
        <w:rPr>
          <w:kern w:val="22"/>
          <w:sz w:val="18"/>
          <w:szCs w:val="18"/>
        </w:rPr>
        <w:t xml:space="preserve">. The rent and associated costs for 2021 are estimated at CAD 2,072,358. The exchange rate used to convert the Canadian dollar contribution from the host country is CAD 1.35: </w:t>
      </w:r>
      <w:r w:rsidR="00B57D88" w:rsidRPr="009543E3">
        <w:rPr>
          <w:kern w:val="22"/>
          <w:sz w:val="18"/>
          <w:szCs w:val="18"/>
        </w:rPr>
        <w:t xml:space="preserve">US$ </w:t>
      </w:r>
      <w:r w:rsidRPr="009543E3">
        <w:rPr>
          <w:kern w:val="22"/>
          <w:sz w:val="18"/>
          <w:szCs w:val="18"/>
        </w:rPr>
        <w:t>1.0</w:t>
      </w:r>
      <w:r w:rsidR="00E811C2" w:rsidRPr="009543E3">
        <w:rPr>
          <w:kern w:val="22"/>
          <w:sz w:val="18"/>
          <w:szCs w:val="18"/>
        </w:rPr>
        <w:t>0</w:t>
      </w:r>
      <w:r w:rsidRPr="009543E3">
        <w:rPr>
          <w:kern w:val="22"/>
          <w:sz w:val="18"/>
          <w:szCs w:val="18"/>
        </w:rPr>
        <w:t>.</w:t>
      </w:r>
    </w:p>
    <w:p w14:paraId="4620AA0A" w14:textId="42A92EAA" w:rsidR="00EE27E1" w:rsidRPr="009543E3" w:rsidRDefault="00EE27E1" w:rsidP="006914CE">
      <w:pPr>
        <w:keepNext/>
        <w:keepLines/>
        <w:suppressLineNumbers/>
        <w:suppressAutoHyphens/>
        <w:spacing w:before="240" w:after="120"/>
        <w:ind w:left="851"/>
        <w:jc w:val="left"/>
        <w:rPr>
          <w:kern w:val="22"/>
          <w:szCs w:val="22"/>
        </w:rPr>
      </w:pPr>
      <w:r w:rsidRPr="009543E3">
        <w:rPr>
          <w:b/>
          <w:bCs/>
          <w:kern w:val="22"/>
          <w:szCs w:val="22"/>
        </w:rPr>
        <w:t>Table 5b</w:t>
      </w:r>
      <w:r w:rsidR="006B1B85" w:rsidRPr="009543E3">
        <w:rPr>
          <w:b/>
          <w:bCs/>
          <w:kern w:val="22"/>
          <w:szCs w:val="22"/>
        </w:rPr>
        <w:br/>
      </w:r>
      <w:r w:rsidR="00645F7F" w:rsidRPr="009543E3">
        <w:rPr>
          <w:b/>
          <w:bCs/>
          <w:kern w:val="22"/>
          <w:szCs w:val="22"/>
        </w:rPr>
        <w:t>Resource requirements by Division from the integrated core budgets for the year 2021</w:t>
      </w:r>
      <w:r w:rsidR="00B15D84" w:rsidRPr="009543E3">
        <w:rPr>
          <w:b/>
          <w:bCs/>
          <w:kern w:val="22"/>
          <w:szCs w:val="22"/>
        </w:rPr>
        <w:br/>
      </w:r>
      <w:r w:rsidR="00B15D84" w:rsidRPr="009543E3">
        <w:rPr>
          <w:i/>
          <w:iCs/>
          <w:color w:val="000000" w:themeColor="text1"/>
          <w:kern w:val="22"/>
          <w:szCs w:val="22"/>
        </w:rPr>
        <w:t>(Thousands of United States dollars)</w:t>
      </w:r>
    </w:p>
    <w:tbl>
      <w:tblPr>
        <w:tblW w:w="7760" w:type="dxa"/>
        <w:jc w:val="center"/>
        <w:tblLook w:val="04A0" w:firstRow="1" w:lastRow="0" w:firstColumn="1" w:lastColumn="0" w:noHBand="0" w:noVBand="1"/>
      </w:tblPr>
      <w:tblGrid>
        <w:gridCol w:w="4520"/>
        <w:gridCol w:w="1600"/>
        <w:gridCol w:w="1640"/>
      </w:tblGrid>
      <w:tr w:rsidR="001D2433" w:rsidRPr="009543E3" w14:paraId="3230429C" w14:textId="77777777" w:rsidTr="006914C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BD47A0D" w14:textId="4C3DB948" w:rsidR="001D2433" w:rsidRPr="009543E3" w:rsidRDefault="001D2433" w:rsidP="006914CE">
            <w:pPr>
              <w:keepNext/>
              <w:keepLines/>
              <w:suppressLineNumbers/>
              <w:suppressAutoHyphens/>
              <w:rPr>
                <w:i/>
                <w:iCs/>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7CED2BCC" w14:textId="35922242" w:rsidR="001D2433" w:rsidRPr="009543E3" w:rsidRDefault="001D2433" w:rsidP="006914CE">
            <w:pPr>
              <w:keepNext/>
              <w:keepLines/>
              <w:suppressLineNumbers/>
              <w:suppressAutoHyphens/>
              <w:jc w:val="center"/>
              <w:rPr>
                <w:i/>
                <w:color w:val="000000" w:themeColor="text1"/>
                <w:kern w:val="22"/>
                <w:szCs w:val="22"/>
              </w:rPr>
            </w:pPr>
            <w:r w:rsidRPr="009543E3">
              <w:rPr>
                <w:i/>
                <w:iCs/>
                <w:color w:val="000000" w:themeColor="text1"/>
                <w:kern w:val="22"/>
                <w:szCs w:val="22"/>
              </w:rPr>
              <w:t>2020</w:t>
            </w:r>
          </w:p>
        </w:tc>
        <w:tc>
          <w:tcPr>
            <w:tcW w:w="1640" w:type="dxa"/>
            <w:tcBorders>
              <w:top w:val="single" w:sz="12" w:space="0" w:color="auto"/>
              <w:left w:val="nil"/>
            </w:tcBorders>
            <w:shd w:val="clear" w:color="auto" w:fill="auto"/>
            <w:vAlign w:val="center"/>
            <w:hideMark/>
          </w:tcPr>
          <w:p w14:paraId="31B61AD6" w14:textId="22D5044A" w:rsidR="001D2433" w:rsidRPr="009543E3" w:rsidRDefault="001D2433" w:rsidP="006914CE">
            <w:pPr>
              <w:keepNext/>
              <w:keepLines/>
              <w:suppressLineNumbers/>
              <w:suppressAutoHyphens/>
              <w:jc w:val="center"/>
              <w:rPr>
                <w:i/>
                <w:color w:val="000000" w:themeColor="text1"/>
                <w:kern w:val="22"/>
                <w:szCs w:val="22"/>
              </w:rPr>
            </w:pPr>
            <w:r w:rsidRPr="009543E3">
              <w:rPr>
                <w:i/>
                <w:color w:val="000000" w:themeColor="text1"/>
                <w:kern w:val="22"/>
                <w:szCs w:val="22"/>
              </w:rPr>
              <w:t>2021</w:t>
            </w:r>
          </w:p>
        </w:tc>
      </w:tr>
      <w:tr w:rsidR="00764B3C" w:rsidRPr="009543E3" w14:paraId="6F92CA13" w14:textId="77777777" w:rsidTr="006914CE">
        <w:trPr>
          <w:cantSplit/>
          <w:jc w:val="center"/>
        </w:trPr>
        <w:tc>
          <w:tcPr>
            <w:tcW w:w="4520" w:type="dxa"/>
            <w:tcBorders>
              <w:top w:val="single" w:sz="8" w:space="0" w:color="auto"/>
              <w:left w:val="nil"/>
              <w:bottom w:val="nil"/>
              <w:right w:val="nil"/>
            </w:tcBorders>
            <w:shd w:val="clear" w:color="auto" w:fill="auto"/>
            <w:hideMark/>
          </w:tcPr>
          <w:p w14:paraId="756E3191"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I. Programmes:</w:t>
            </w:r>
          </w:p>
        </w:tc>
        <w:tc>
          <w:tcPr>
            <w:tcW w:w="1600" w:type="dxa"/>
            <w:tcBorders>
              <w:top w:val="single" w:sz="8" w:space="0" w:color="auto"/>
              <w:left w:val="nil"/>
              <w:bottom w:val="nil"/>
              <w:right w:val="nil"/>
            </w:tcBorders>
            <w:shd w:val="clear" w:color="auto" w:fill="auto"/>
            <w:vAlign w:val="center"/>
            <w:hideMark/>
          </w:tcPr>
          <w:p w14:paraId="39114BF8" w14:textId="77777777" w:rsidR="00764B3C" w:rsidRPr="009543E3" w:rsidRDefault="00764B3C" w:rsidP="006914C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79C3B10" w14:textId="77777777" w:rsidR="00764B3C" w:rsidRPr="009543E3" w:rsidRDefault="00764B3C" w:rsidP="006914CE">
            <w:pPr>
              <w:keepNext/>
              <w:keepLines/>
              <w:suppressLineNumbers/>
              <w:suppressAutoHyphens/>
              <w:jc w:val="right"/>
              <w:rPr>
                <w:color w:val="000000" w:themeColor="text1"/>
                <w:kern w:val="22"/>
                <w:szCs w:val="22"/>
              </w:rPr>
            </w:pPr>
          </w:p>
        </w:tc>
      </w:tr>
      <w:tr w:rsidR="00764B3C" w:rsidRPr="009543E3" w14:paraId="6D693B20" w14:textId="77777777" w:rsidTr="006914CE">
        <w:trPr>
          <w:trHeight w:val="288"/>
          <w:jc w:val="center"/>
        </w:trPr>
        <w:tc>
          <w:tcPr>
            <w:tcW w:w="4520" w:type="dxa"/>
            <w:tcBorders>
              <w:top w:val="nil"/>
              <w:left w:val="nil"/>
              <w:bottom w:val="nil"/>
              <w:right w:val="nil"/>
            </w:tcBorders>
            <w:shd w:val="clear" w:color="auto" w:fill="auto"/>
            <w:hideMark/>
          </w:tcPr>
          <w:p w14:paraId="6D5F1F01"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Office of the Executive Secretary</w:t>
            </w:r>
          </w:p>
        </w:tc>
        <w:tc>
          <w:tcPr>
            <w:tcW w:w="1600" w:type="dxa"/>
            <w:tcBorders>
              <w:top w:val="nil"/>
              <w:left w:val="nil"/>
              <w:bottom w:val="nil"/>
              <w:right w:val="nil"/>
            </w:tcBorders>
            <w:shd w:val="clear" w:color="auto" w:fill="auto"/>
            <w:hideMark/>
          </w:tcPr>
          <w:p w14:paraId="1B3CC727"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3 444.8</w:t>
            </w:r>
          </w:p>
        </w:tc>
        <w:tc>
          <w:tcPr>
            <w:tcW w:w="1640" w:type="dxa"/>
            <w:tcBorders>
              <w:top w:val="nil"/>
              <w:left w:val="nil"/>
              <w:bottom w:val="nil"/>
              <w:right w:val="nil"/>
            </w:tcBorders>
            <w:shd w:val="clear" w:color="auto" w:fill="auto"/>
            <w:hideMark/>
          </w:tcPr>
          <w:p w14:paraId="05B0DF0A" w14:textId="611259C8"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EB0456" w:rsidRPr="009543E3">
              <w:rPr>
                <w:color w:val="000000" w:themeColor="text1"/>
                <w:kern w:val="22"/>
                <w:szCs w:val="22"/>
              </w:rPr>
              <w:t xml:space="preserve"> </w:t>
            </w:r>
            <w:r w:rsidRPr="009543E3">
              <w:rPr>
                <w:color w:val="000000" w:themeColor="text1"/>
                <w:kern w:val="22"/>
                <w:szCs w:val="22"/>
              </w:rPr>
              <w:t>449.4</w:t>
            </w:r>
          </w:p>
        </w:tc>
      </w:tr>
      <w:tr w:rsidR="00764B3C" w:rsidRPr="009543E3" w14:paraId="32DDD9C1" w14:textId="77777777" w:rsidTr="006914CE">
        <w:trPr>
          <w:trHeight w:val="288"/>
          <w:jc w:val="center"/>
        </w:trPr>
        <w:tc>
          <w:tcPr>
            <w:tcW w:w="4520" w:type="dxa"/>
            <w:tcBorders>
              <w:top w:val="nil"/>
              <w:left w:val="nil"/>
              <w:bottom w:val="nil"/>
              <w:right w:val="nil"/>
            </w:tcBorders>
            <w:shd w:val="clear" w:color="auto" w:fill="auto"/>
            <w:hideMark/>
          </w:tcPr>
          <w:p w14:paraId="790E392D"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ABS and BS Protocols</w:t>
            </w:r>
          </w:p>
        </w:tc>
        <w:tc>
          <w:tcPr>
            <w:tcW w:w="1600" w:type="dxa"/>
            <w:tcBorders>
              <w:top w:val="nil"/>
              <w:left w:val="nil"/>
              <w:bottom w:val="nil"/>
              <w:right w:val="nil"/>
            </w:tcBorders>
            <w:shd w:val="clear" w:color="auto" w:fill="auto"/>
            <w:hideMark/>
          </w:tcPr>
          <w:p w14:paraId="719107AD"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2 375.9</w:t>
            </w:r>
          </w:p>
        </w:tc>
        <w:tc>
          <w:tcPr>
            <w:tcW w:w="1640" w:type="dxa"/>
            <w:tcBorders>
              <w:top w:val="nil"/>
              <w:left w:val="nil"/>
              <w:bottom w:val="nil"/>
              <w:right w:val="nil"/>
            </w:tcBorders>
            <w:shd w:val="clear" w:color="auto" w:fill="auto"/>
            <w:hideMark/>
          </w:tcPr>
          <w:p w14:paraId="63E0670A" w14:textId="180B31C3"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AE3A44" w:rsidRPr="009543E3">
              <w:rPr>
                <w:color w:val="000000" w:themeColor="text1"/>
                <w:kern w:val="22"/>
                <w:szCs w:val="22"/>
              </w:rPr>
              <w:t xml:space="preserve"> </w:t>
            </w:r>
            <w:r w:rsidRPr="009543E3">
              <w:rPr>
                <w:color w:val="000000" w:themeColor="text1"/>
                <w:kern w:val="22"/>
                <w:szCs w:val="22"/>
              </w:rPr>
              <w:t>298.4</w:t>
            </w:r>
          </w:p>
        </w:tc>
      </w:tr>
      <w:tr w:rsidR="00764B3C" w:rsidRPr="009543E3" w14:paraId="65A3EE74" w14:textId="77777777" w:rsidTr="006914CE">
        <w:trPr>
          <w:trHeight w:val="288"/>
          <w:jc w:val="center"/>
        </w:trPr>
        <w:tc>
          <w:tcPr>
            <w:tcW w:w="4520" w:type="dxa"/>
            <w:tcBorders>
              <w:top w:val="nil"/>
              <w:left w:val="nil"/>
              <w:bottom w:val="nil"/>
              <w:right w:val="nil"/>
            </w:tcBorders>
            <w:shd w:val="clear" w:color="auto" w:fill="auto"/>
            <w:hideMark/>
          </w:tcPr>
          <w:p w14:paraId="03F782E8" w14:textId="77777777" w:rsidR="00764B3C" w:rsidRPr="009543E3" w:rsidRDefault="00764B3C" w:rsidP="006914CE">
            <w:pPr>
              <w:keepNext/>
              <w:keepLines/>
              <w:suppressLineNumbers/>
              <w:suppressAutoHyphens/>
              <w:jc w:val="left"/>
              <w:rPr>
                <w:color w:val="000000" w:themeColor="text1"/>
                <w:spacing w:val="-6"/>
                <w:kern w:val="22"/>
                <w:szCs w:val="22"/>
              </w:rPr>
            </w:pPr>
            <w:r w:rsidRPr="009543E3">
              <w:rPr>
                <w:color w:val="000000" w:themeColor="text1"/>
                <w:spacing w:val="-6"/>
                <w:kern w:val="22"/>
                <w:szCs w:val="22"/>
              </w:rPr>
              <w:t xml:space="preserve">  Science, Society and Sustainable Futures Division</w:t>
            </w:r>
          </w:p>
        </w:tc>
        <w:tc>
          <w:tcPr>
            <w:tcW w:w="1600" w:type="dxa"/>
            <w:tcBorders>
              <w:top w:val="nil"/>
              <w:left w:val="nil"/>
              <w:bottom w:val="nil"/>
              <w:right w:val="nil"/>
            </w:tcBorders>
            <w:shd w:val="clear" w:color="auto" w:fill="auto"/>
            <w:hideMark/>
          </w:tcPr>
          <w:p w14:paraId="5A64938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3 909.0</w:t>
            </w:r>
          </w:p>
        </w:tc>
        <w:tc>
          <w:tcPr>
            <w:tcW w:w="1640" w:type="dxa"/>
            <w:tcBorders>
              <w:top w:val="nil"/>
              <w:left w:val="nil"/>
              <w:bottom w:val="nil"/>
              <w:right w:val="nil"/>
            </w:tcBorders>
            <w:shd w:val="clear" w:color="auto" w:fill="auto"/>
            <w:hideMark/>
          </w:tcPr>
          <w:p w14:paraId="5F7D5147" w14:textId="0080D318"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w:t>
            </w:r>
            <w:r w:rsidR="00AE3A44" w:rsidRPr="009543E3">
              <w:rPr>
                <w:color w:val="000000" w:themeColor="text1"/>
                <w:kern w:val="22"/>
                <w:szCs w:val="22"/>
              </w:rPr>
              <w:t xml:space="preserve"> </w:t>
            </w:r>
            <w:r w:rsidRPr="009543E3">
              <w:rPr>
                <w:color w:val="000000" w:themeColor="text1"/>
                <w:kern w:val="22"/>
                <w:szCs w:val="22"/>
              </w:rPr>
              <w:t>350.1</w:t>
            </w:r>
          </w:p>
        </w:tc>
      </w:tr>
      <w:tr w:rsidR="00764B3C" w:rsidRPr="009543E3" w14:paraId="5EE67935"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5CFFB3ED"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Implementation Support Division</w:t>
            </w:r>
          </w:p>
        </w:tc>
        <w:tc>
          <w:tcPr>
            <w:tcW w:w="1600" w:type="dxa"/>
            <w:tcBorders>
              <w:top w:val="nil"/>
              <w:left w:val="nil"/>
              <w:bottom w:val="single" w:sz="8" w:space="0" w:color="auto"/>
              <w:right w:val="nil"/>
            </w:tcBorders>
            <w:shd w:val="clear" w:color="auto" w:fill="auto"/>
            <w:hideMark/>
          </w:tcPr>
          <w:p w14:paraId="05695B1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3 708.2</w:t>
            </w:r>
          </w:p>
        </w:tc>
        <w:tc>
          <w:tcPr>
            <w:tcW w:w="1640" w:type="dxa"/>
            <w:tcBorders>
              <w:top w:val="nil"/>
              <w:left w:val="nil"/>
              <w:bottom w:val="single" w:sz="8" w:space="0" w:color="auto"/>
              <w:right w:val="nil"/>
            </w:tcBorders>
            <w:shd w:val="clear" w:color="auto" w:fill="auto"/>
            <w:hideMark/>
          </w:tcPr>
          <w:p w14:paraId="35D8F2C6" w14:textId="692EFD9B"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4</w:t>
            </w:r>
            <w:r w:rsidR="00AE3A44" w:rsidRPr="009543E3">
              <w:rPr>
                <w:color w:val="000000" w:themeColor="text1"/>
                <w:kern w:val="22"/>
                <w:szCs w:val="22"/>
              </w:rPr>
              <w:t xml:space="preserve"> </w:t>
            </w:r>
            <w:r w:rsidRPr="009543E3">
              <w:rPr>
                <w:color w:val="000000" w:themeColor="text1"/>
                <w:kern w:val="22"/>
                <w:szCs w:val="22"/>
              </w:rPr>
              <w:t>295.5</w:t>
            </w:r>
          </w:p>
        </w:tc>
      </w:tr>
      <w:tr w:rsidR="00764B3C" w:rsidRPr="009543E3" w14:paraId="1206C85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4AC4D9F1"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II. Administration, Finance and Conference Services</w:t>
            </w:r>
          </w:p>
        </w:tc>
        <w:tc>
          <w:tcPr>
            <w:tcW w:w="1600" w:type="dxa"/>
            <w:tcBorders>
              <w:top w:val="nil"/>
              <w:left w:val="nil"/>
              <w:bottom w:val="single" w:sz="8" w:space="0" w:color="auto"/>
              <w:right w:val="nil"/>
            </w:tcBorders>
            <w:shd w:val="clear" w:color="auto" w:fill="auto"/>
            <w:hideMark/>
          </w:tcPr>
          <w:p w14:paraId="32EDCBFF"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4 052.6</w:t>
            </w:r>
          </w:p>
        </w:tc>
        <w:tc>
          <w:tcPr>
            <w:tcW w:w="1640" w:type="dxa"/>
            <w:tcBorders>
              <w:top w:val="nil"/>
              <w:left w:val="nil"/>
              <w:bottom w:val="single" w:sz="8" w:space="0" w:color="auto"/>
              <w:right w:val="nil"/>
            </w:tcBorders>
            <w:shd w:val="clear" w:color="auto" w:fill="auto"/>
            <w:hideMark/>
          </w:tcPr>
          <w:p w14:paraId="67B7D22C" w14:textId="4AC424DC"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AE3A44" w:rsidRPr="009543E3">
              <w:rPr>
                <w:color w:val="000000" w:themeColor="text1"/>
                <w:kern w:val="22"/>
                <w:szCs w:val="22"/>
              </w:rPr>
              <w:t xml:space="preserve"> </w:t>
            </w:r>
            <w:r w:rsidRPr="009543E3">
              <w:rPr>
                <w:color w:val="000000" w:themeColor="text1"/>
                <w:kern w:val="22"/>
                <w:szCs w:val="22"/>
              </w:rPr>
              <w:t>926.7</w:t>
            </w:r>
          </w:p>
        </w:tc>
      </w:tr>
      <w:tr w:rsidR="00764B3C" w:rsidRPr="009543E3" w14:paraId="76A670B8" w14:textId="77777777" w:rsidTr="006914CE">
        <w:trPr>
          <w:trHeight w:val="300"/>
          <w:jc w:val="center"/>
        </w:trPr>
        <w:tc>
          <w:tcPr>
            <w:tcW w:w="4520" w:type="dxa"/>
            <w:tcBorders>
              <w:top w:val="nil"/>
              <w:left w:val="nil"/>
              <w:bottom w:val="single" w:sz="12" w:space="0" w:color="auto"/>
              <w:right w:val="nil"/>
            </w:tcBorders>
            <w:shd w:val="clear" w:color="auto" w:fill="auto"/>
            <w:hideMark/>
          </w:tcPr>
          <w:p w14:paraId="294069BA"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4CBD1095" w14:textId="77777777" w:rsidR="00764B3C" w:rsidRPr="009543E3" w:rsidRDefault="00764B3C"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17 490.5</w:t>
            </w:r>
          </w:p>
        </w:tc>
        <w:tc>
          <w:tcPr>
            <w:tcW w:w="1640" w:type="dxa"/>
            <w:tcBorders>
              <w:top w:val="nil"/>
              <w:left w:val="nil"/>
              <w:bottom w:val="single" w:sz="12" w:space="0" w:color="auto"/>
              <w:right w:val="nil"/>
            </w:tcBorders>
            <w:shd w:val="clear" w:color="auto" w:fill="auto"/>
            <w:hideMark/>
          </w:tcPr>
          <w:p w14:paraId="0C320996" w14:textId="61C6F365" w:rsidR="00764B3C" w:rsidRPr="009543E3" w:rsidRDefault="003B4304"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15</w:t>
            </w:r>
            <w:r w:rsidR="00AE3A44" w:rsidRPr="009543E3">
              <w:rPr>
                <w:b/>
                <w:color w:val="000000" w:themeColor="text1"/>
                <w:kern w:val="22"/>
                <w:szCs w:val="22"/>
              </w:rPr>
              <w:t xml:space="preserve"> </w:t>
            </w:r>
            <w:r w:rsidRPr="009543E3">
              <w:rPr>
                <w:b/>
                <w:color w:val="000000" w:themeColor="text1"/>
                <w:kern w:val="22"/>
                <w:szCs w:val="22"/>
              </w:rPr>
              <w:t>320.1</w:t>
            </w:r>
          </w:p>
        </w:tc>
      </w:tr>
      <w:tr w:rsidR="00764B3C" w:rsidRPr="009543E3" w14:paraId="1276AD69" w14:textId="77777777" w:rsidTr="006914CE">
        <w:trPr>
          <w:trHeight w:val="300"/>
          <w:jc w:val="center"/>
        </w:trPr>
        <w:tc>
          <w:tcPr>
            <w:tcW w:w="4520" w:type="dxa"/>
            <w:tcBorders>
              <w:top w:val="nil"/>
              <w:left w:val="nil"/>
              <w:bottom w:val="nil"/>
              <w:right w:val="nil"/>
            </w:tcBorders>
            <w:shd w:val="clear" w:color="auto" w:fill="auto"/>
            <w:hideMark/>
          </w:tcPr>
          <w:p w14:paraId="6A3F29A5"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Programme support costs</w:t>
            </w:r>
          </w:p>
        </w:tc>
        <w:tc>
          <w:tcPr>
            <w:tcW w:w="1600" w:type="dxa"/>
            <w:tcBorders>
              <w:top w:val="nil"/>
              <w:left w:val="nil"/>
              <w:bottom w:val="nil"/>
              <w:right w:val="nil"/>
            </w:tcBorders>
            <w:shd w:val="clear" w:color="auto" w:fill="auto"/>
            <w:noWrap/>
            <w:hideMark/>
          </w:tcPr>
          <w:p w14:paraId="30B5D45D"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2 273.9</w:t>
            </w:r>
          </w:p>
        </w:tc>
        <w:tc>
          <w:tcPr>
            <w:tcW w:w="1640" w:type="dxa"/>
            <w:tcBorders>
              <w:top w:val="nil"/>
              <w:left w:val="nil"/>
              <w:bottom w:val="nil"/>
              <w:right w:val="nil"/>
            </w:tcBorders>
            <w:shd w:val="clear" w:color="auto" w:fill="auto"/>
            <w:hideMark/>
          </w:tcPr>
          <w:p w14:paraId="4AA0B619" w14:textId="287463FA"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1</w:t>
            </w:r>
            <w:r w:rsidR="00AE3A44" w:rsidRPr="009543E3">
              <w:rPr>
                <w:color w:val="000000" w:themeColor="text1"/>
                <w:kern w:val="22"/>
                <w:szCs w:val="22"/>
              </w:rPr>
              <w:t xml:space="preserve"> </w:t>
            </w:r>
            <w:r w:rsidRPr="009543E3">
              <w:rPr>
                <w:color w:val="000000" w:themeColor="text1"/>
                <w:kern w:val="22"/>
                <w:szCs w:val="22"/>
              </w:rPr>
              <w:t>991.6</w:t>
            </w:r>
          </w:p>
        </w:tc>
      </w:tr>
      <w:tr w:rsidR="00764B3C" w:rsidRPr="009543E3" w14:paraId="55D2402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6DE73DD4" w14:textId="7E8A154F"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 xml:space="preserve">III. Working </w:t>
            </w:r>
            <w:r w:rsidR="00AE3A44" w:rsidRPr="009543E3">
              <w:rPr>
                <w:b/>
                <w:color w:val="000000" w:themeColor="text1"/>
                <w:kern w:val="22"/>
                <w:szCs w:val="22"/>
              </w:rPr>
              <w:t>c</w:t>
            </w:r>
            <w:r w:rsidRPr="009543E3">
              <w:rPr>
                <w:b/>
                <w:color w:val="000000" w:themeColor="text1"/>
                <w:kern w:val="22"/>
                <w:szCs w:val="22"/>
              </w:rPr>
              <w:t xml:space="preserve">apital </w:t>
            </w:r>
            <w:r w:rsidR="00AE3A44" w:rsidRPr="009543E3">
              <w:rPr>
                <w:b/>
                <w:color w:val="000000" w:themeColor="text1"/>
                <w:kern w:val="22"/>
                <w:szCs w:val="22"/>
              </w:rPr>
              <w:t>r</w:t>
            </w:r>
            <w:r w:rsidRPr="009543E3">
              <w:rPr>
                <w:b/>
                <w:color w:val="000000" w:themeColor="text1"/>
                <w:kern w:val="22"/>
                <w:szCs w:val="22"/>
              </w:rPr>
              <w:t>eserve</w:t>
            </w:r>
          </w:p>
        </w:tc>
        <w:tc>
          <w:tcPr>
            <w:tcW w:w="1600" w:type="dxa"/>
            <w:tcBorders>
              <w:top w:val="nil"/>
              <w:left w:val="nil"/>
              <w:bottom w:val="single" w:sz="8" w:space="0" w:color="auto"/>
              <w:right w:val="nil"/>
            </w:tcBorders>
            <w:shd w:val="clear" w:color="auto" w:fill="auto"/>
            <w:noWrap/>
            <w:hideMark/>
          </w:tcPr>
          <w:p w14:paraId="230F649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130.8</w:t>
            </w:r>
          </w:p>
        </w:tc>
        <w:tc>
          <w:tcPr>
            <w:tcW w:w="1640" w:type="dxa"/>
            <w:tcBorders>
              <w:top w:val="nil"/>
              <w:left w:val="nil"/>
              <w:bottom w:val="single" w:sz="8" w:space="0" w:color="auto"/>
              <w:right w:val="nil"/>
            </w:tcBorders>
            <w:shd w:val="clear" w:color="auto" w:fill="auto"/>
            <w:hideMark/>
          </w:tcPr>
          <w:p w14:paraId="20938140" w14:textId="198AAF21"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(367.9)</w:t>
            </w:r>
          </w:p>
        </w:tc>
      </w:tr>
      <w:tr w:rsidR="00764B3C" w:rsidRPr="009543E3" w14:paraId="0102F198"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7DF3F214"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BCD7469" w14:textId="77777777" w:rsidR="00764B3C" w:rsidRPr="009543E3" w:rsidRDefault="00764B3C"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19 895.2</w:t>
            </w:r>
          </w:p>
        </w:tc>
        <w:tc>
          <w:tcPr>
            <w:tcW w:w="1640" w:type="dxa"/>
            <w:tcBorders>
              <w:top w:val="nil"/>
              <w:left w:val="nil"/>
              <w:bottom w:val="single" w:sz="8" w:space="0" w:color="auto"/>
              <w:right w:val="nil"/>
            </w:tcBorders>
            <w:shd w:val="clear" w:color="auto" w:fill="auto"/>
            <w:hideMark/>
          </w:tcPr>
          <w:p w14:paraId="73F7B5B6" w14:textId="1260750F" w:rsidR="00764B3C" w:rsidRPr="009543E3" w:rsidRDefault="003B4304"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16</w:t>
            </w:r>
            <w:r w:rsidR="00AE3A44" w:rsidRPr="009543E3">
              <w:rPr>
                <w:b/>
                <w:color w:val="000000" w:themeColor="text1"/>
                <w:kern w:val="22"/>
                <w:szCs w:val="22"/>
              </w:rPr>
              <w:t xml:space="preserve"> </w:t>
            </w:r>
            <w:r w:rsidRPr="009543E3">
              <w:rPr>
                <w:b/>
                <w:color w:val="000000" w:themeColor="text1"/>
                <w:kern w:val="22"/>
                <w:szCs w:val="22"/>
              </w:rPr>
              <w:t>943.8</w:t>
            </w:r>
          </w:p>
        </w:tc>
      </w:tr>
    </w:tbl>
    <w:p w14:paraId="345F01CA" w14:textId="77777777" w:rsidR="00764B3C" w:rsidRPr="009543E3" w:rsidRDefault="00764B3C" w:rsidP="006914CE">
      <w:pPr>
        <w:suppressLineNumbers/>
        <w:suppressAutoHyphens/>
        <w:spacing w:before="120" w:after="120"/>
        <w:rPr>
          <w:kern w:val="22"/>
          <w:szCs w:val="22"/>
        </w:rPr>
      </w:pPr>
    </w:p>
    <w:p w14:paraId="7840DB23" w14:textId="28138D4D" w:rsidR="00382991" w:rsidRPr="009543E3" w:rsidRDefault="00382991" w:rsidP="00816467">
      <w:pPr>
        <w:pStyle w:val="ListParagraph"/>
        <w:keepNext/>
        <w:numPr>
          <w:ilvl w:val="0"/>
          <w:numId w:val="20"/>
        </w:numPr>
        <w:suppressLineNumbers/>
        <w:suppressAutoHyphens/>
        <w:spacing w:before="120" w:after="120"/>
        <w:ind w:left="1134" w:hanging="567"/>
        <w:contextualSpacing w:val="0"/>
        <w:jc w:val="left"/>
        <w:outlineLvl w:val="0"/>
        <w:rPr>
          <w:b/>
          <w:caps/>
          <w:kern w:val="22"/>
          <w:szCs w:val="22"/>
        </w:rPr>
      </w:pPr>
      <w:r w:rsidRPr="009543E3">
        <w:rPr>
          <w:b/>
          <w:caps/>
          <w:kern w:val="22"/>
          <w:szCs w:val="22"/>
        </w:rPr>
        <w:t xml:space="preserve">Draft decision of the Conference of the Parties to be considered through </w:t>
      </w:r>
      <w:r w:rsidR="000C6AFB" w:rsidRPr="009543E3">
        <w:rPr>
          <w:b/>
          <w:caps/>
          <w:kern w:val="22"/>
          <w:szCs w:val="22"/>
        </w:rPr>
        <w:t xml:space="preserve">either </w:t>
      </w:r>
      <w:r w:rsidRPr="009543E3">
        <w:rPr>
          <w:b/>
          <w:caps/>
          <w:kern w:val="22"/>
          <w:szCs w:val="22"/>
        </w:rPr>
        <w:t>a virtual extraordinary meeting or a written procedure with a view to its</w:t>
      </w:r>
      <w:r w:rsidR="00F04D73" w:rsidRPr="009543E3">
        <w:rPr>
          <w:b/>
          <w:caps/>
          <w:kern w:val="22"/>
          <w:szCs w:val="22"/>
        </w:rPr>
        <w:t xml:space="preserve"> </w:t>
      </w:r>
      <w:r w:rsidRPr="009543E3">
        <w:rPr>
          <w:b/>
          <w:caps/>
          <w:kern w:val="22"/>
          <w:szCs w:val="22"/>
        </w:rPr>
        <w:t>adoption before the end of 2020</w:t>
      </w:r>
    </w:p>
    <w:p w14:paraId="64308D29" w14:textId="3AFF2AD8" w:rsidR="006F2688" w:rsidRPr="009543E3" w:rsidRDefault="00382991" w:rsidP="006914CE">
      <w:pPr>
        <w:pStyle w:val="ListParagraph"/>
        <w:numPr>
          <w:ilvl w:val="0"/>
          <w:numId w:val="19"/>
        </w:numPr>
        <w:suppressLineNumbers/>
        <w:suppressAutoHyphens/>
        <w:spacing w:before="120" w:after="120"/>
        <w:ind w:left="0" w:firstLine="0"/>
        <w:contextualSpacing w:val="0"/>
        <w:rPr>
          <w:iCs/>
          <w:kern w:val="22"/>
          <w:szCs w:val="22"/>
        </w:rPr>
      </w:pPr>
      <w:r w:rsidRPr="009543E3">
        <w:rPr>
          <w:kern w:val="22"/>
          <w:szCs w:val="22"/>
        </w:rPr>
        <w:t>The Conference of the Parties</w:t>
      </w:r>
      <w:r w:rsidR="00B37B17" w:rsidRPr="009543E3">
        <w:rPr>
          <w:kern w:val="22"/>
          <w:szCs w:val="22"/>
        </w:rPr>
        <w:t xml:space="preserve"> may wish to adopt a decision along the following lines</w:t>
      </w:r>
      <w:r w:rsidR="002161DA" w:rsidRPr="009543E3">
        <w:rPr>
          <w:iCs/>
          <w:kern w:val="22"/>
          <w:szCs w:val="22"/>
        </w:rPr>
        <w:t>:</w:t>
      </w:r>
    </w:p>
    <w:p w14:paraId="72D30E6F" w14:textId="7EB9B580" w:rsidR="00CD131D" w:rsidRPr="009543E3" w:rsidRDefault="00CD131D" w:rsidP="006914CE">
      <w:pPr>
        <w:pStyle w:val="ListParagraph"/>
        <w:suppressLineNumbers/>
        <w:suppressAutoHyphens/>
        <w:spacing w:before="120" w:after="120"/>
        <w:ind w:left="0" w:firstLine="720"/>
        <w:contextualSpacing w:val="0"/>
        <w:rPr>
          <w:kern w:val="22"/>
          <w:szCs w:val="22"/>
        </w:rPr>
      </w:pPr>
      <w:r w:rsidRPr="009543E3">
        <w:rPr>
          <w:i/>
          <w:kern w:val="22"/>
          <w:szCs w:val="22"/>
        </w:rPr>
        <w:t>The Conference of the Parties,</w:t>
      </w:r>
    </w:p>
    <w:p w14:paraId="57CAA040" w14:textId="0FC1A3B1" w:rsidR="00382991" w:rsidRPr="009543E3" w:rsidRDefault="00382991" w:rsidP="006914CE">
      <w:pPr>
        <w:suppressLineNumbers/>
        <w:suppressAutoHyphens/>
        <w:spacing w:before="120" w:after="120"/>
        <w:ind w:firstLine="720"/>
        <w:rPr>
          <w:kern w:val="22"/>
          <w:szCs w:val="22"/>
        </w:rPr>
      </w:pPr>
      <w:r w:rsidRPr="009543E3">
        <w:rPr>
          <w:i/>
          <w:iCs/>
          <w:kern w:val="22"/>
          <w:szCs w:val="22"/>
        </w:rPr>
        <w:t>Recalling</w:t>
      </w:r>
      <w:r w:rsidRPr="009543E3">
        <w:rPr>
          <w:kern w:val="22"/>
          <w:szCs w:val="22"/>
        </w:rPr>
        <w:t xml:space="preserve"> its decision 14/37</w:t>
      </w:r>
      <w:r w:rsidR="003B092C" w:rsidRPr="009543E3">
        <w:rPr>
          <w:kern w:val="22"/>
          <w:szCs w:val="22"/>
        </w:rPr>
        <w:t>, in</w:t>
      </w:r>
      <w:r w:rsidRPr="009543E3">
        <w:rPr>
          <w:kern w:val="22"/>
          <w:szCs w:val="22"/>
        </w:rPr>
        <w:t xml:space="preserve"> which </w:t>
      </w:r>
      <w:r w:rsidR="003B092C" w:rsidRPr="009543E3">
        <w:rPr>
          <w:kern w:val="22"/>
          <w:szCs w:val="22"/>
        </w:rPr>
        <w:t xml:space="preserve">it </w:t>
      </w:r>
      <w:r w:rsidR="00AD4567" w:rsidRPr="009543E3">
        <w:rPr>
          <w:kern w:val="22"/>
          <w:szCs w:val="22"/>
        </w:rPr>
        <w:t>approved</w:t>
      </w:r>
      <w:r w:rsidRPr="009543E3">
        <w:rPr>
          <w:kern w:val="22"/>
          <w:szCs w:val="22"/>
        </w:rPr>
        <w:t xml:space="preserve"> </w:t>
      </w:r>
      <w:r w:rsidR="00031E36" w:rsidRPr="009543E3">
        <w:rPr>
          <w:kern w:val="22"/>
          <w:szCs w:val="22"/>
        </w:rPr>
        <w:t>the</w:t>
      </w:r>
      <w:r w:rsidRPr="009543E3">
        <w:rPr>
          <w:kern w:val="22"/>
          <w:szCs w:val="22"/>
        </w:rPr>
        <w:t xml:space="preserve"> budget for the biennium 2019-2020, and request</w:t>
      </w:r>
      <w:r w:rsidR="00AD4567" w:rsidRPr="009543E3">
        <w:rPr>
          <w:kern w:val="22"/>
          <w:szCs w:val="22"/>
        </w:rPr>
        <w:t>ed</w:t>
      </w:r>
      <w:r w:rsidRPr="009543E3">
        <w:rPr>
          <w:kern w:val="22"/>
          <w:szCs w:val="22"/>
        </w:rPr>
        <w:t xml:space="preserve"> the Executive Secretary to prepare proposals for the budget for the </w:t>
      </w:r>
      <w:r w:rsidR="00AD4567" w:rsidRPr="009543E3">
        <w:rPr>
          <w:kern w:val="22"/>
          <w:szCs w:val="22"/>
        </w:rPr>
        <w:t xml:space="preserve">biennium </w:t>
      </w:r>
      <w:r w:rsidRPr="009543E3">
        <w:rPr>
          <w:kern w:val="22"/>
          <w:szCs w:val="22"/>
        </w:rPr>
        <w:t>2021-2022,</w:t>
      </w:r>
    </w:p>
    <w:p w14:paraId="1372AD91" w14:textId="12B16F35" w:rsidR="00382991" w:rsidRPr="009543E3" w:rsidRDefault="00382991" w:rsidP="006914CE">
      <w:pPr>
        <w:suppressLineNumbers/>
        <w:suppressAutoHyphens/>
        <w:spacing w:before="120" w:after="120"/>
        <w:ind w:firstLine="720"/>
        <w:rPr>
          <w:kern w:val="22"/>
          <w:szCs w:val="22"/>
        </w:rPr>
      </w:pPr>
      <w:r w:rsidRPr="009543E3">
        <w:rPr>
          <w:i/>
          <w:iCs/>
          <w:kern w:val="22"/>
          <w:szCs w:val="22"/>
        </w:rPr>
        <w:t>Considering</w:t>
      </w:r>
      <w:r w:rsidRPr="009543E3">
        <w:rPr>
          <w:kern w:val="22"/>
          <w:szCs w:val="22"/>
        </w:rPr>
        <w:t xml:space="preserve"> that the fifteenth meeting of the Conference of the Parties has been postponed until 2021 due to constraints arising from the COVID-19 pandemic,</w:t>
      </w:r>
    </w:p>
    <w:p w14:paraId="31793FE2" w14:textId="3C03F6AE" w:rsidR="00382991" w:rsidRPr="009543E3" w:rsidRDefault="00382991" w:rsidP="006914CE">
      <w:pPr>
        <w:suppressLineNumbers/>
        <w:suppressAutoHyphens/>
        <w:spacing w:before="120" w:after="120"/>
        <w:ind w:firstLine="720"/>
        <w:rPr>
          <w:kern w:val="22"/>
          <w:szCs w:val="22"/>
        </w:rPr>
      </w:pPr>
      <w:r w:rsidRPr="009543E3">
        <w:rPr>
          <w:i/>
          <w:iCs/>
          <w:kern w:val="22"/>
          <w:szCs w:val="22"/>
        </w:rPr>
        <w:t>Noting</w:t>
      </w:r>
      <w:r w:rsidRPr="009543E3">
        <w:rPr>
          <w:kern w:val="22"/>
          <w:szCs w:val="22"/>
        </w:rPr>
        <w:t xml:space="preserve">, therefore, the need to </w:t>
      </w:r>
      <w:proofErr w:type="gramStart"/>
      <w:r w:rsidRPr="009543E3">
        <w:rPr>
          <w:kern w:val="22"/>
          <w:szCs w:val="22"/>
        </w:rPr>
        <w:t>make arrangements</w:t>
      </w:r>
      <w:proofErr w:type="gramEnd"/>
      <w:r w:rsidRPr="009543E3">
        <w:rPr>
          <w:kern w:val="22"/>
          <w:szCs w:val="22"/>
        </w:rPr>
        <w:t xml:space="preserve"> to allow the continued functioning of </w:t>
      </w:r>
      <w:r w:rsidR="00B57938" w:rsidRPr="009543E3">
        <w:rPr>
          <w:kern w:val="22"/>
          <w:szCs w:val="22"/>
        </w:rPr>
        <w:t xml:space="preserve">the </w:t>
      </w:r>
      <w:r w:rsidRPr="009543E3">
        <w:rPr>
          <w:kern w:val="22"/>
          <w:szCs w:val="22"/>
        </w:rPr>
        <w:t>organs of the Convention</w:t>
      </w:r>
      <w:r w:rsidR="00B57938" w:rsidRPr="009543E3">
        <w:rPr>
          <w:kern w:val="22"/>
          <w:szCs w:val="22"/>
        </w:rPr>
        <w:t>,</w:t>
      </w:r>
      <w:r w:rsidRPr="009543E3">
        <w:rPr>
          <w:kern w:val="22"/>
          <w:szCs w:val="22"/>
        </w:rPr>
        <w:t xml:space="preserve"> including its Secretariat and </w:t>
      </w:r>
      <w:r w:rsidR="00353DDB" w:rsidRPr="009543E3">
        <w:rPr>
          <w:kern w:val="22"/>
          <w:szCs w:val="22"/>
        </w:rPr>
        <w:t xml:space="preserve">the </w:t>
      </w:r>
      <w:r w:rsidRPr="009543E3">
        <w:rPr>
          <w:kern w:val="22"/>
          <w:szCs w:val="22"/>
        </w:rPr>
        <w:t xml:space="preserve">meetings of </w:t>
      </w:r>
      <w:r w:rsidR="00485BCF" w:rsidRPr="009543E3">
        <w:rPr>
          <w:kern w:val="22"/>
          <w:szCs w:val="22"/>
        </w:rPr>
        <w:t xml:space="preserve">the </w:t>
      </w:r>
      <w:r w:rsidRPr="009543E3">
        <w:rPr>
          <w:kern w:val="22"/>
          <w:szCs w:val="22"/>
        </w:rPr>
        <w:t>Conference of the Parties and its subsidiary bodies,</w:t>
      </w:r>
    </w:p>
    <w:p w14:paraId="6E758CF8" w14:textId="623A097D" w:rsidR="0039331C" w:rsidRPr="009543E3" w:rsidRDefault="0039331C" w:rsidP="006914CE">
      <w:pPr>
        <w:suppressLineNumbers/>
        <w:suppressAutoHyphens/>
        <w:spacing w:before="120" w:after="120"/>
        <w:ind w:firstLine="720"/>
        <w:rPr>
          <w:kern w:val="22"/>
          <w:szCs w:val="22"/>
        </w:rPr>
      </w:pPr>
      <w:r w:rsidRPr="009543E3">
        <w:rPr>
          <w:i/>
          <w:iCs/>
          <w:kern w:val="22"/>
          <w:szCs w:val="22"/>
        </w:rPr>
        <w:lastRenderedPageBreak/>
        <w:t>Taking note</w:t>
      </w:r>
      <w:r w:rsidRPr="009543E3">
        <w:rPr>
          <w:kern w:val="22"/>
          <w:szCs w:val="22"/>
        </w:rPr>
        <w:t xml:space="preserve"> of the proposal of </w:t>
      </w:r>
      <w:r w:rsidRPr="009543E3">
        <w:rPr>
          <w:rFonts w:eastAsia="Malgun Gothic"/>
          <w:iCs/>
          <w:kern w:val="22"/>
          <w:szCs w:val="22"/>
          <w:lang w:eastAsia="x-none"/>
        </w:rPr>
        <w:t>the Bureau of the Conference of the Parties that, on an exceptional basis, the Parties consider and approve an interim budget for 2021 through agreed modalities,</w:t>
      </w:r>
    </w:p>
    <w:p w14:paraId="1394A163" w14:textId="707DE47B" w:rsidR="00382991" w:rsidRPr="009543E3" w:rsidRDefault="00382991" w:rsidP="006914CE">
      <w:pPr>
        <w:suppressLineNumbers/>
        <w:suppressAutoHyphens/>
        <w:spacing w:before="120" w:after="120"/>
        <w:ind w:firstLine="720"/>
        <w:rPr>
          <w:kern w:val="22"/>
          <w:szCs w:val="22"/>
        </w:rPr>
      </w:pPr>
      <w:r w:rsidRPr="009543E3">
        <w:rPr>
          <w:i/>
          <w:iCs/>
          <w:kern w:val="22"/>
          <w:szCs w:val="22"/>
        </w:rPr>
        <w:t>Taking note</w:t>
      </w:r>
      <w:r w:rsidR="00966DFC" w:rsidRPr="009543E3">
        <w:rPr>
          <w:i/>
          <w:iCs/>
          <w:kern w:val="22"/>
          <w:szCs w:val="22"/>
        </w:rPr>
        <w:t xml:space="preserve"> also</w:t>
      </w:r>
      <w:r w:rsidRPr="009543E3">
        <w:rPr>
          <w:kern w:val="22"/>
          <w:szCs w:val="22"/>
        </w:rPr>
        <w:t xml:space="preserve"> of the </w:t>
      </w:r>
      <w:r w:rsidR="00E639CA" w:rsidRPr="009543E3">
        <w:rPr>
          <w:kern w:val="22"/>
          <w:szCs w:val="22"/>
        </w:rPr>
        <w:t>note by</w:t>
      </w:r>
      <w:r w:rsidRPr="009543E3">
        <w:rPr>
          <w:kern w:val="22"/>
          <w:szCs w:val="22"/>
        </w:rPr>
        <w:t xml:space="preserve"> the Executive Secretary</w:t>
      </w:r>
      <w:r w:rsidR="00600C13" w:rsidRPr="009543E3">
        <w:rPr>
          <w:kern w:val="22"/>
          <w:szCs w:val="22"/>
        </w:rPr>
        <w:t>,</w:t>
      </w:r>
      <w:bookmarkStart w:id="4" w:name="_Ref51446751"/>
      <w:r w:rsidR="000E3B95" w:rsidRPr="009543E3">
        <w:rPr>
          <w:rStyle w:val="FootnoteReference"/>
          <w:kern w:val="22"/>
          <w:szCs w:val="22"/>
        </w:rPr>
        <w:footnoteReference w:id="8"/>
      </w:r>
      <w:bookmarkEnd w:id="4"/>
    </w:p>
    <w:p w14:paraId="465CB3B2" w14:textId="2E211BA3" w:rsidR="00382991" w:rsidRPr="009543E3" w:rsidRDefault="00CC44B0" w:rsidP="006914CE">
      <w:pPr>
        <w:suppressLineNumbers/>
        <w:suppressAutoHyphens/>
        <w:spacing w:before="120" w:after="120"/>
        <w:ind w:firstLine="720"/>
        <w:rPr>
          <w:kern w:val="22"/>
          <w:szCs w:val="22"/>
        </w:rPr>
      </w:pPr>
      <w:r w:rsidRPr="009543E3">
        <w:rPr>
          <w:i/>
          <w:iCs/>
          <w:kern w:val="22"/>
          <w:szCs w:val="22"/>
        </w:rPr>
        <w:t>Recognizing</w:t>
      </w:r>
      <w:r w:rsidRPr="009543E3">
        <w:rPr>
          <w:kern w:val="22"/>
          <w:szCs w:val="22"/>
        </w:rPr>
        <w:t xml:space="preserve"> </w:t>
      </w:r>
      <w:r w:rsidR="00382991" w:rsidRPr="009543E3">
        <w:rPr>
          <w:kern w:val="22"/>
          <w:szCs w:val="22"/>
        </w:rPr>
        <w:t xml:space="preserve">the exceptional nature of </w:t>
      </w:r>
      <w:r w:rsidRPr="009543E3">
        <w:rPr>
          <w:kern w:val="22"/>
          <w:szCs w:val="22"/>
        </w:rPr>
        <w:t xml:space="preserve">the </w:t>
      </w:r>
      <w:r w:rsidR="00382991" w:rsidRPr="009543E3">
        <w:rPr>
          <w:kern w:val="22"/>
          <w:szCs w:val="22"/>
        </w:rPr>
        <w:t>circumstances</w:t>
      </w:r>
      <w:r w:rsidRPr="009543E3">
        <w:rPr>
          <w:kern w:val="22"/>
          <w:szCs w:val="22"/>
        </w:rPr>
        <w:t xml:space="preserve"> arising from the pandemic and expressing solidary among all Parties as they face its human and economic impacts</w:t>
      </w:r>
      <w:r w:rsidR="00382991" w:rsidRPr="009543E3">
        <w:rPr>
          <w:kern w:val="22"/>
          <w:szCs w:val="22"/>
        </w:rPr>
        <w:t>,</w:t>
      </w:r>
    </w:p>
    <w:p w14:paraId="6D667BBE" w14:textId="3D908024" w:rsidR="00382991" w:rsidRPr="009543E3" w:rsidRDefault="00B44B43"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w:t>
      </w:r>
      <w:r w:rsidR="006B6426" w:rsidRPr="009543E3">
        <w:rPr>
          <w:kern w:val="22"/>
          <w:szCs w:val="22"/>
        </w:rPr>
        <w:t>, up to 31 December 2021,</w:t>
      </w:r>
      <w:r w:rsidRPr="009543E3">
        <w:rPr>
          <w:kern w:val="22"/>
          <w:szCs w:val="22"/>
        </w:rPr>
        <w:t xml:space="preserve"> </w:t>
      </w:r>
      <w:r w:rsidR="00CC44B0" w:rsidRPr="009543E3">
        <w:rPr>
          <w:kern w:val="22"/>
          <w:szCs w:val="22"/>
        </w:rPr>
        <w:t xml:space="preserve">or, in the case that </w:t>
      </w:r>
      <w:r w:rsidR="006E54BA" w:rsidRPr="009543E3">
        <w:rPr>
          <w:kern w:val="22"/>
          <w:szCs w:val="22"/>
        </w:rPr>
        <w:t>the fifteenth meeti</w:t>
      </w:r>
      <w:r w:rsidR="002A3832" w:rsidRPr="009543E3">
        <w:rPr>
          <w:kern w:val="22"/>
          <w:szCs w:val="22"/>
        </w:rPr>
        <w:t>ng of the Conference of the Parties</w:t>
      </w:r>
      <w:r w:rsidR="00CC44B0" w:rsidRPr="009543E3">
        <w:rPr>
          <w:kern w:val="22"/>
          <w:szCs w:val="22"/>
        </w:rPr>
        <w:t xml:space="preserve"> is not held during 2021, until the end of the month following the closure of </w:t>
      </w:r>
      <w:r w:rsidR="002261A9" w:rsidRPr="009543E3">
        <w:rPr>
          <w:kern w:val="22"/>
          <w:szCs w:val="22"/>
        </w:rPr>
        <w:t>the fifteenth meeting of the Conference of the Parties</w:t>
      </w:r>
      <w:r w:rsidR="00CC44B0" w:rsidRPr="009543E3">
        <w:rPr>
          <w:kern w:val="22"/>
          <w:szCs w:val="22"/>
        </w:rPr>
        <w:t xml:space="preserve">, </w:t>
      </w:r>
      <w:r w:rsidRPr="009543E3">
        <w:rPr>
          <w:kern w:val="22"/>
          <w:szCs w:val="22"/>
        </w:rPr>
        <w:t xml:space="preserve">the validity of the </w:t>
      </w:r>
      <w:r w:rsidR="00382991" w:rsidRPr="009543E3">
        <w:rPr>
          <w:kern w:val="22"/>
          <w:szCs w:val="22"/>
        </w:rPr>
        <w:t xml:space="preserve">funds allocated in the 2019-2020 budget associated with the costs of </w:t>
      </w:r>
      <w:r w:rsidR="00757386" w:rsidRPr="009543E3">
        <w:rPr>
          <w:kern w:val="22"/>
          <w:szCs w:val="22"/>
        </w:rPr>
        <w:t xml:space="preserve">the </w:t>
      </w:r>
      <w:r w:rsidR="00382991" w:rsidRPr="009543E3">
        <w:rPr>
          <w:kern w:val="22"/>
          <w:szCs w:val="22"/>
        </w:rPr>
        <w:t xml:space="preserve">meetings of the </w:t>
      </w:r>
      <w:r w:rsidR="002261A9" w:rsidRPr="009543E3">
        <w:rPr>
          <w:kern w:val="22"/>
          <w:szCs w:val="22"/>
        </w:rPr>
        <w:t xml:space="preserve">Conference of the Parties </w:t>
      </w:r>
      <w:r w:rsidR="00382991" w:rsidRPr="009543E3">
        <w:rPr>
          <w:kern w:val="22"/>
          <w:szCs w:val="22"/>
        </w:rPr>
        <w:t xml:space="preserve">and its subsidiary bodies that are postponed from the </w:t>
      </w:r>
      <w:r w:rsidR="0086245F" w:rsidRPr="009543E3">
        <w:rPr>
          <w:kern w:val="22"/>
          <w:szCs w:val="22"/>
        </w:rPr>
        <w:t xml:space="preserve">biennium </w:t>
      </w:r>
      <w:r w:rsidR="00382991" w:rsidRPr="009543E3">
        <w:rPr>
          <w:kern w:val="22"/>
          <w:szCs w:val="22"/>
        </w:rPr>
        <w:t>2019-2020;</w:t>
      </w:r>
    </w:p>
    <w:p w14:paraId="72E0DC25" w14:textId="2BAB4707" w:rsidR="00382991" w:rsidRPr="009543E3" w:rsidRDefault="00EE27E1"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iCs/>
          <w:color w:val="000000" w:themeColor="text1"/>
          <w:kern w:val="22"/>
          <w:szCs w:val="22"/>
          <w:lang w:eastAsia="x-none"/>
        </w:rPr>
        <w:t>Approves,</w:t>
      </w:r>
      <w:r w:rsidRPr="009543E3">
        <w:rPr>
          <w:rFonts w:eastAsia="Malgun Gothic"/>
          <w:color w:val="000000" w:themeColor="text1"/>
          <w:kern w:val="22"/>
          <w:szCs w:val="22"/>
          <w:lang w:eastAsia="x-none"/>
        </w:rPr>
        <w:t xml:space="preserve"> on an exceptional basis,</w:t>
      </w:r>
      <w:r w:rsidRPr="009543E3">
        <w:rPr>
          <w:rFonts w:eastAsia="Malgun Gothic"/>
          <w:iCs/>
          <w:color w:val="000000" w:themeColor="text1"/>
          <w:kern w:val="22"/>
          <w:szCs w:val="22"/>
          <w:lang w:eastAsia="x-none"/>
        </w:rPr>
        <w:t xml:space="preserve"> a core programme budget for the Convention of </w:t>
      </w:r>
      <w:r w:rsidR="009B396E" w:rsidRPr="009543E3">
        <w:rPr>
          <w:rFonts w:eastAsia="Malgun Gothic"/>
          <w:iCs/>
          <w:color w:val="000000" w:themeColor="text1"/>
          <w:kern w:val="22"/>
          <w:szCs w:val="22"/>
          <w:lang w:eastAsia="x-none"/>
        </w:rPr>
        <w:t>12,538,</w:t>
      </w:r>
      <w:r w:rsidR="00DB2109" w:rsidRPr="009543E3">
        <w:rPr>
          <w:rFonts w:eastAsia="Malgun Gothic"/>
          <w:iCs/>
          <w:color w:val="000000" w:themeColor="text1"/>
          <w:kern w:val="22"/>
          <w:szCs w:val="22"/>
          <w:lang w:eastAsia="x-none"/>
        </w:rPr>
        <w:t xml:space="preserve">412 </w:t>
      </w:r>
      <w:r w:rsidRPr="009543E3">
        <w:rPr>
          <w:rFonts w:eastAsia="Malgun Gothic"/>
          <w:iCs/>
          <w:color w:val="000000" w:themeColor="text1"/>
          <w:kern w:val="22"/>
          <w:szCs w:val="22"/>
          <w:lang w:eastAsia="x-none"/>
        </w:rPr>
        <w:t>United States dollars for the year 2021, representing 74</w:t>
      </w:r>
      <w:r w:rsidRPr="009543E3">
        <w:rPr>
          <w:color w:val="000000" w:themeColor="text1"/>
          <w:kern w:val="22"/>
          <w:szCs w:val="22"/>
        </w:rPr>
        <w:t> per cent</w:t>
      </w:r>
      <w:r w:rsidRPr="009543E3">
        <w:rPr>
          <w:rFonts w:eastAsia="Malgun Gothic"/>
          <w:iCs/>
          <w:color w:val="000000" w:themeColor="text1"/>
          <w:kern w:val="22"/>
          <w:szCs w:val="22"/>
          <w:lang w:eastAsia="x-none"/>
        </w:rPr>
        <w:t xml:space="preserve"> of the integrated interim budget of 16,943,</w:t>
      </w:r>
      <w:r w:rsidR="00DB2109" w:rsidRPr="009543E3">
        <w:rPr>
          <w:rFonts w:eastAsia="Malgun Gothic"/>
          <w:color w:val="000000" w:themeColor="text1"/>
          <w:kern w:val="22"/>
          <w:szCs w:val="22"/>
          <w:lang w:eastAsia="x-none"/>
        </w:rPr>
        <w:t xml:space="preserve">800 </w:t>
      </w:r>
      <w:r w:rsidRPr="009543E3">
        <w:rPr>
          <w:rFonts w:eastAsia="Malgun Gothic"/>
          <w:color w:val="000000" w:themeColor="text1"/>
          <w:kern w:val="22"/>
          <w:szCs w:val="22"/>
          <w:lang w:eastAsia="x-none"/>
        </w:rPr>
        <w:t xml:space="preserve">United States dollars for the year 2021, for the purposes listed in tables 5a and 5b </w:t>
      </w:r>
      <w:r w:rsidR="0057463E" w:rsidRPr="009543E3">
        <w:rPr>
          <w:rFonts w:eastAsia="Malgun Gothic"/>
          <w:color w:val="000000" w:themeColor="text1"/>
          <w:kern w:val="22"/>
          <w:szCs w:val="22"/>
          <w:lang w:eastAsia="x-none"/>
        </w:rPr>
        <w:t>above</w:t>
      </w:r>
      <w:r w:rsidRPr="009543E3">
        <w:rPr>
          <w:rFonts w:eastAsia="Malgun Gothic"/>
          <w:color w:val="000000" w:themeColor="text1"/>
          <w:kern w:val="22"/>
          <w:szCs w:val="22"/>
          <w:lang w:eastAsia="x-none"/>
        </w:rPr>
        <w:t>;</w:t>
      </w:r>
    </w:p>
    <w:p w14:paraId="7754C6DF" w14:textId="64D0979B" w:rsidR="006C0462" w:rsidRPr="009543E3" w:rsidRDefault="006C518D"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ko-KR"/>
        </w:rPr>
        <w:t>D</w:t>
      </w:r>
      <w:r w:rsidR="006C0462" w:rsidRPr="009543E3">
        <w:rPr>
          <w:rFonts w:eastAsia="Malgun Gothic"/>
          <w:i/>
          <w:color w:val="000000" w:themeColor="text1"/>
          <w:kern w:val="22"/>
          <w:szCs w:val="22"/>
          <w:lang w:eastAsia="ko-KR"/>
        </w:rPr>
        <w:t>ecides</w:t>
      </w:r>
      <w:r w:rsidR="006C0462" w:rsidRPr="009543E3">
        <w:rPr>
          <w:rFonts w:eastAsia="Malgun Gothic"/>
          <w:color w:val="000000" w:themeColor="text1"/>
          <w:kern w:val="22"/>
          <w:szCs w:val="22"/>
          <w:lang w:eastAsia="x-none"/>
        </w:rPr>
        <w:t xml:space="preserve"> to share all costs for secretariat services among the Convention, the Cartagena Protocol and the Nagoya Protocol on a ratio of 74:15:11 for the year 2021</w:t>
      </w:r>
      <w:r w:rsidR="003411DF" w:rsidRPr="009543E3">
        <w:rPr>
          <w:rFonts w:eastAsia="Malgun Gothic"/>
          <w:color w:val="000000" w:themeColor="text1"/>
          <w:kern w:val="22"/>
          <w:szCs w:val="22"/>
          <w:lang w:eastAsia="x-none"/>
        </w:rPr>
        <w:t>;</w:t>
      </w:r>
    </w:p>
    <w:p w14:paraId="693AA11B" w14:textId="3154FAC3" w:rsidR="00380D5A" w:rsidRPr="009543E3" w:rsidRDefault="00380D5A"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rPr>
        <w:t>Expresses</w:t>
      </w:r>
      <w:r w:rsidRPr="009543E3">
        <w:rPr>
          <w:color w:val="000000" w:themeColor="text1"/>
          <w:kern w:val="22"/>
          <w:szCs w:val="22"/>
        </w:rPr>
        <w:t xml:space="preserve"> its appreciation to </w:t>
      </w:r>
      <w:r w:rsidR="00F62669" w:rsidRPr="009543E3">
        <w:rPr>
          <w:color w:val="000000" w:themeColor="text1"/>
          <w:kern w:val="22"/>
          <w:szCs w:val="22"/>
        </w:rPr>
        <w:t xml:space="preserve">the Government of </w:t>
      </w:r>
      <w:r w:rsidRPr="009543E3">
        <w:rPr>
          <w:color w:val="000000" w:themeColor="text1"/>
          <w:kern w:val="22"/>
          <w:szCs w:val="22"/>
        </w:rPr>
        <w:t xml:space="preserve">Canada as the host country for its renewed support to the Secretariat, and </w:t>
      </w:r>
      <w:r w:rsidRPr="009543E3">
        <w:rPr>
          <w:i/>
          <w:color w:val="000000" w:themeColor="text1"/>
          <w:kern w:val="22"/>
          <w:szCs w:val="22"/>
        </w:rPr>
        <w:t xml:space="preserve">welcomes </w:t>
      </w:r>
      <w:r w:rsidRPr="009543E3">
        <w:rPr>
          <w:color w:val="000000" w:themeColor="text1"/>
          <w:kern w:val="22"/>
          <w:szCs w:val="22"/>
        </w:rPr>
        <w:t xml:space="preserve">the contribution of </w:t>
      </w:r>
      <w:r w:rsidR="009E6C83" w:rsidRPr="009543E3">
        <w:rPr>
          <w:color w:val="000000" w:themeColor="text1"/>
          <w:kern w:val="22"/>
          <w:szCs w:val="22"/>
        </w:rPr>
        <w:t>2,072,000</w:t>
      </w:r>
      <w:r w:rsidRPr="009543E3">
        <w:rPr>
          <w:color w:val="000000" w:themeColor="text1"/>
          <w:kern w:val="22"/>
          <w:szCs w:val="22"/>
        </w:rPr>
        <w:t xml:space="preserve"> Canadian dollars for the year 2021 from the host country and the Province of Quebec for the rental and associated costs of the Secretariat in Montreal, to be allocated on a ratio of 74:15:11 and</w:t>
      </w:r>
      <w:r w:rsidR="00553DFB" w:rsidRPr="009543E3">
        <w:rPr>
          <w:color w:val="000000" w:themeColor="text1"/>
          <w:kern w:val="22"/>
          <w:szCs w:val="22"/>
        </w:rPr>
        <w:t xml:space="preserve"> to</w:t>
      </w:r>
      <w:r w:rsidRPr="009543E3">
        <w:rPr>
          <w:color w:val="000000" w:themeColor="text1"/>
          <w:kern w:val="22"/>
          <w:szCs w:val="22"/>
        </w:rPr>
        <w:t xml:space="preserve"> offset contributions from the Parties to the Convention, the Cartagena Protocol and the Nagoya Protocol, respectively, for the year 2021;</w:t>
      </w:r>
    </w:p>
    <w:p w14:paraId="034F77BE" w14:textId="306CCD4B" w:rsidR="00B31CD9" w:rsidRPr="009543E3" w:rsidRDefault="00B31CD9"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x-none"/>
        </w:rPr>
        <w:t>Adopts</w:t>
      </w:r>
      <w:r w:rsidRPr="009543E3">
        <w:rPr>
          <w:rFonts w:eastAsia="Malgun Gothic"/>
          <w:color w:val="000000" w:themeColor="text1"/>
          <w:kern w:val="22"/>
          <w:szCs w:val="22"/>
          <w:lang w:eastAsia="x-none"/>
        </w:rPr>
        <w:t xml:space="preserve"> the scale of assessments for the apportionment of expenses for 2021, in accordance with the current scale of assessments of the United Nations, as contained in </w:t>
      </w:r>
      <w:r w:rsidRPr="009543E3">
        <w:rPr>
          <w:color w:val="000000" w:themeColor="text1"/>
          <w:kern w:val="22"/>
          <w:szCs w:val="22"/>
        </w:rPr>
        <w:t>table</w:t>
      </w:r>
      <w:r w:rsidR="00BD3513" w:rsidRPr="009543E3">
        <w:rPr>
          <w:color w:val="000000" w:themeColor="text1"/>
          <w:kern w:val="22"/>
          <w:szCs w:val="22"/>
        </w:rPr>
        <w:t xml:space="preserve">s </w:t>
      </w:r>
      <w:r w:rsidR="00EE27E1" w:rsidRPr="009543E3">
        <w:rPr>
          <w:color w:val="000000" w:themeColor="text1"/>
          <w:kern w:val="22"/>
          <w:szCs w:val="22"/>
        </w:rPr>
        <w:t>7</w:t>
      </w:r>
      <w:r w:rsidR="00BD3513" w:rsidRPr="009543E3">
        <w:rPr>
          <w:color w:val="000000" w:themeColor="text1"/>
          <w:kern w:val="22"/>
          <w:szCs w:val="22"/>
        </w:rPr>
        <w:t xml:space="preserve">, </w:t>
      </w:r>
      <w:r w:rsidR="00EE27E1" w:rsidRPr="009543E3">
        <w:rPr>
          <w:color w:val="000000" w:themeColor="text1"/>
          <w:kern w:val="22"/>
          <w:szCs w:val="22"/>
        </w:rPr>
        <w:t xml:space="preserve">8 </w:t>
      </w:r>
      <w:r w:rsidR="00BD3513" w:rsidRPr="009543E3">
        <w:rPr>
          <w:color w:val="000000" w:themeColor="text1"/>
          <w:kern w:val="22"/>
          <w:szCs w:val="22"/>
        </w:rPr>
        <w:t>and</w:t>
      </w:r>
      <w:r w:rsidR="007871E1" w:rsidRPr="009543E3">
        <w:rPr>
          <w:color w:val="000000" w:themeColor="text1"/>
          <w:kern w:val="22"/>
          <w:szCs w:val="22"/>
        </w:rPr>
        <w:t xml:space="preserve"> </w:t>
      </w:r>
      <w:r w:rsidR="00EE27E1" w:rsidRPr="009543E3">
        <w:rPr>
          <w:color w:val="000000" w:themeColor="text1"/>
          <w:kern w:val="22"/>
          <w:szCs w:val="22"/>
        </w:rPr>
        <w:t>9</w:t>
      </w:r>
      <w:r w:rsidR="00EE27E1" w:rsidRPr="009543E3">
        <w:rPr>
          <w:rFonts w:eastAsia="Malgun Gothic"/>
          <w:color w:val="000000" w:themeColor="text1"/>
          <w:kern w:val="22"/>
          <w:szCs w:val="22"/>
          <w:lang w:eastAsia="x-none"/>
        </w:rPr>
        <w:t xml:space="preserve"> </w:t>
      </w:r>
      <w:r w:rsidRPr="009543E3">
        <w:rPr>
          <w:rFonts w:eastAsia="Malgun Gothic"/>
          <w:color w:val="000000" w:themeColor="text1"/>
          <w:kern w:val="22"/>
          <w:szCs w:val="22"/>
          <w:lang w:eastAsia="x-none"/>
        </w:rPr>
        <w:t>of the present decision;</w:t>
      </w:r>
    </w:p>
    <w:p w14:paraId="487700B0" w14:textId="36E6EBA1" w:rsidR="00917298" w:rsidRPr="009543E3" w:rsidRDefault="00917298"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fr-FR"/>
        </w:rPr>
        <w:t>Also a</w:t>
      </w:r>
      <w:r w:rsidRPr="009543E3">
        <w:rPr>
          <w:rFonts w:eastAsia="Malgun Gothic"/>
          <w:i/>
          <w:color w:val="000000" w:themeColor="text1"/>
          <w:kern w:val="22"/>
          <w:szCs w:val="22"/>
          <w:lang w:eastAsia="ko-KR"/>
        </w:rPr>
        <w:t>dopt</w:t>
      </w:r>
      <w:r w:rsidRPr="009543E3">
        <w:rPr>
          <w:color w:val="000000" w:themeColor="text1"/>
          <w:kern w:val="22"/>
          <w:szCs w:val="22"/>
          <w:lang w:eastAsia="fr-FR"/>
        </w:rPr>
        <w:t>s the staffing table</w:t>
      </w:r>
      <w:r w:rsidRPr="009543E3">
        <w:rPr>
          <w:rFonts w:eastAsia="Malgun Gothic"/>
          <w:color w:val="000000" w:themeColor="text1"/>
          <w:kern w:val="22"/>
          <w:szCs w:val="22"/>
          <w:lang w:eastAsia="ko-KR"/>
        </w:rPr>
        <w:t xml:space="preserve"> </w:t>
      </w:r>
      <w:r w:rsidR="00A973DA" w:rsidRPr="009543E3">
        <w:rPr>
          <w:rFonts w:eastAsia="Malgun Gothic"/>
          <w:color w:val="000000" w:themeColor="text1"/>
          <w:kern w:val="22"/>
          <w:szCs w:val="22"/>
          <w:lang w:eastAsia="ko-KR"/>
        </w:rPr>
        <w:t>(table </w:t>
      </w:r>
      <w:r w:rsidR="00EE27E1" w:rsidRPr="009543E3">
        <w:rPr>
          <w:rFonts w:eastAsia="Malgun Gothic"/>
          <w:color w:val="000000" w:themeColor="text1"/>
          <w:kern w:val="22"/>
          <w:szCs w:val="22"/>
          <w:lang w:eastAsia="ko-KR"/>
        </w:rPr>
        <w:t>6</w:t>
      </w:r>
      <w:r w:rsidR="00A973DA" w:rsidRPr="009543E3">
        <w:rPr>
          <w:rFonts w:eastAsia="Malgun Gothic"/>
          <w:color w:val="000000" w:themeColor="text1"/>
          <w:kern w:val="22"/>
          <w:szCs w:val="22"/>
          <w:lang w:eastAsia="ko-KR"/>
        </w:rPr>
        <w:t>)</w:t>
      </w:r>
      <w:r w:rsidR="00EE27E1" w:rsidRPr="009543E3">
        <w:rPr>
          <w:rFonts w:eastAsia="Malgun Gothic"/>
          <w:color w:val="000000" w:themeColor="text1"/>
          <w:kern w:val="22"/>
          <w:szCs w:val="22"/>
          <w:lang w:eastAsia="ko-KR"/>
        </w:rPr>
        <w:t xml:space="preserve"> </w:t>
      </w:r>
      <w:r w:rsidRPr="009543E3">
        <w:rPr>
          <w:rFonts w:eastAsia="Malgun Gothic"/>
          <w:color w:val="000000" w:themeColor="text1"/>
          <w:kern w:val="22"/>
          <w:szCs w:val="22"/>
          <w:lang w:eastAsia="ko-KR"/>
        </w:rPr>
        <w:t xml:space="preserve">of </w:t>
      </w:r>
      <w:r w:rsidRPr="009543E3">
        <w:rPr>
          <w:rFonts w:eastAsia="Malgun Gothic"/>
          <w:color w:val="000000" w:themeColor="text1"/>
          <w:kern w:val="22"/>
          <w:szCs w:val="22"/>
          <w:lang w:eastAsia="x-none"/>
        </w:rPr>
        <w:t>the</w:t>
      </w:r>
      <w:r w:rsidRPr="009543E3">
        <w:rPr>
          <w:rFonts w:eastAsia="Malgun Gothic"/>
          <w:color w:val="000000" w:themeColor="text1"/>
          <w:kern w:val="22"/>
          <w:szCs w:val="22"/>
          <w:lang w:eastAsia="ko-KR"/>
        </w:rPr>
        <w:t xml:space="preserve"> Secretariat for the year 2021</w:t>
      </w:r>
      <w:r w:rsidR="002439CC" w:rsidRPr="009543E3">
        <w:rPr>
          <w:rFonts w:eastAsia="Malgun Gothic"/>
          <w:color w:val="000000" w:themeColor="text1"/>
          <w:kern w:val="22"/>
          <w:szCs w:val="22"/>
          <w:lang w:eastAsia="ko-KR"/>
        </w:rPr>
        <w:t>, to be</w:t>
      </w:r>
      <w:r w:rsidRPr="009543E3">
        <w:rPr>
          <w:rFonts w:eastAsia="Malgun Gothic"/>
          <w:color w:val="000000" w:themeColor="text1"/>
          <w:kern w:val="22"/>
          <w:szCs w:val="22"/>
          <w:lang w:eastAsia="ko-KR"/>
        </w:rPr>
        <w:t xml:space="preserve"> used for costing purposes to set the overall budget</w:t>
      </w:r>
      <w:r w:rsidR="00847C80" w:rsidRPr="009543E3">
        <w:rPr>
          <w:rFonts w:eastAsia="Malgun Gothic"/>
          <w:color w:val="000000" w:themeColor="text1"/>
          <w:kern w:val="22"/>
          <w:szCs w:val="22"/>
          <w:lang w:eastAsia="ko-KR"/>
        </w:rPr>
        <w:t>;</w:t>
      </w:r>
    </w:p>
    <w:p w14:paraId="5FA0D655" w14:textId="23B7A232" w:rsidR="00AB2856" w:rsidRPr="009543E3" w:rsidRDefault="00847C80" w:rsidP="006914CE">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Authorizes</w:t>
      </w:r>
      <w:r w:rsidRPr="009543E3">
        <w:rPr>
          <w:rFonts w:eastAsia="Malgun Gothic"/>
          <w:color w:val="000000" w:themeColor="text1"/>
          <w:kern w:val="22"/>
          <w:szCs w:val="22"/>
          <w:lang w:eastAsia="x-none"/>
        </w:rPr>
        <w:t xml:space="preserve"> the Executive Secretary to </w:t>
      </w:r>
      <w:proofErr w:type="gramStart"/>
      <w:r w:rsidRPr="009543E3">
        <w:rPr>
          <w:rFonts w:eastAsia="Malgun Gothic"/>
          <w:color w:val="000000" w:themeColor="text1"/>
          <w:kern w:val="22"/>
          <w:szCs w:val="22"/>
          <w:lang w:eastAsia="x-none"/>
        </w:rPr>
        <w:t>enter into</w:t>
      </w:r>
      <w:proofErr w:type="gramEnd"/>
      <w:r w:rsidRPr="009543E3">
        <w:rPr>
          <w:rFonts w:eastAsia="Malgun Gothic"/>
          <w:color w:val="000000" w:themeColor="text1"/>
          <w:kern w:val="22"/>
          <w:szCs w:val="22"/>
          <w:lang w:eastAsia="x-none"/>
        </w:rPr>
        <w:t xml:space="preserve"> commitments up to the level of the approved budget, drawing on available cash resources, including unspent balances, contributions from previous financial periods and miscellaneous income, in accordance with the Financial Rules and Regulations of the United Nations Environment Programme;</w:t>
      </w:r>
    </w:p>
    <w:p w14:paraId="36E3F395" w14:textId="496049F7" w:rsidR="00F92890" w:rsidRPr="009543E3" w:rsidRDefault="009A68A9" w:rsidP="006914CE">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Also authorizes</w:t>
      </w:r>
      <w:r w:rsidRPr="009543E3">
        <w:rPr>
          <w:rFonts w:eastAsia="Malgun Gothic"/>
          <w:color w:val="000000" w:themeColor="text1"/>
          <w:kern w:val="22"/>
          <w:szCs w:val="22"/>
          <w:lang w:eastAsia="x-none"/>
        </w:rPr>
        <w:t xml:space="preserve"> the Executive Secretary to transfer resources among the programmes between each of the main appropriation lines set out in table 5b </w:t>
      </w:r>
      <w:r w:rsidR="00A71970" w:rsidRPr="009543E3">
        <w:rPr>
          <w:rFonts w:eastAsia="Malgun Gothic"/>
          <w:color w:val="000000" w:themeColor="text1"/>
          <w:kern w:val="22"/>
          <w:szCs w:val="22"/>
          <w:lang w:eastAsia="x-none"/>
        </w:rPr>
        <w:t>of the note by the Executive Secretary</w:t>
      </w:r>
      <w:r w:rsidR="00A71970" w:rsidRPr="009543E3">
        <w:rPr>
          <w:rFonts w:eastAsia="Malgun Gothic"/>
          <w:color w:val="000000" w:themeColor="text1"/>
          <w:kern w:val="22"/>
          <w:szCs w:val="22"/>
          <w:vertAlign w:val="superscript"/>
          <w:lang w:eastAsia="x-none"/>
        </w:rPr>
        <w:fldChar w:fldCharType="begin"/>
      </w:r>
      <w:r w:rsidR="00A71970" w:rsidRPr="009543E3">
        <w:rPr>
          <w:rFonts w:eastAsia="Malgun Gothic"/>
          <w:color w:val="000000" w:themeColor="text1"/>
          <w:kern w:val="22"/>
          <w:szCs w:val="22"/>
          <w:vertAlign w:val="superscript"/>
          <w:lang w:eastAsia="x-none"/>
        </w:rPr>
        <w:instrText xml:space="preserve"> NOTEREF _Ref51446751 \h  \* MERGEFORMAT </w:instrText>
      </w:r>
      <w:r w:rsidR="00A71970" w:rsidRPr="009543E3">
        <w:rPr>
          <w:rFonts w:eastAsia="Malgun Gothic"/>
          <w:color w:val="000000" w:themeColor="text1"/>
          <w:kern w:val="22"/>
          <w:szCs w:val="22"/>
          <w:vertAlign w:val="superscript"/>
          <w:lang w:eastAsia="x-none"/>
        </w:rPr>
      </w:r>
      <w:r w:rsidR="00A71970" w:rsidRPr="009543E3">
        <w:rPr>
          <w:rFonts w:eastAsia="Malgun Gothic"/>
          <w:color w:val="000000" w:themeColor="text1"/>
          <w:kern w:val="22"/>
          <w:szCs w:val="22"/>
          <w:vertAlign w:val="superscript"/>
          <w:lang w:eastAsia="x-none"/>
        </w:rPr>
        <w:fldChar w:fldCharType="separate"/>
      </w:r>
      <w:r w:rsidR="00742386">
        <w:rPr>
          <w:rFonts w:eastAsia="Malgun Gothic"/>
          <w:color w:val="000000" w:themeColor="text1"/>
          <w:kern w:val="22"/>
          <w:szCs w:val="22"/>
          <w:vertAlign w:val="superscript"/>
          <w:lang w:eastAsia="x-none"/>
        </w:rPr>
        <w:t>4</w:t>
      </w:r>
      <w:r w:rsidR="00A71970" w:rsidRPr="009543E3">
        <w:rPr>
          <w:rFonts w:eastAsia="Malgun Gothic"/>
          <w:color w:val="000000" w:themeColor="text1"/>
          <w:kern w:val="22"/>
          <w:szCs w:val="22"/>
          <w:vertAlign w:val="superscript"/>
          <w:lang w:eastAsia="x-none"/>
        </w:rPr>
        <w:fldChar w:fldCharType="end"/>
      </w:r>
      <w:r w:rsidR="00A71970" w:rsidRPr="009543E3">
        <w:rPr>
          <w:rFonts w:eastAsia="Malgun Gothic"/>
          <w:color w:val="000000" w:themeColor="text1"/>
          <w:kern w:val="22"/>
          <w:szCs w:val="22"/>
          <w:lang w:eastAsia="x-none"/>
        </w:rPr>
        <w:t xml:space="preserve"> </w:t>
      </w:r>
      <w:r w:rsidRPr="009543E3">
        <w:rPr>
          <w:rFonts w:eastAsia="Malgun Gothic"/>
          <w:color w:val="000000" w:themeColor="text1"/>
          <w:kern w:val="22"/>
          <w:szCs w:val="22"/>
          <w:lang w:eastAsia="x-none"/>
        </w:rPr>
        <w:t>up to an aggregate of 15 per cent of the total programme budget, provided that a further limitation of up to a maximum of 25 per cent of each such appropriation line shall apply;</w:t>
      </w:r>
    </w:p>
    <w:p w14:paraId="7C72FDCC" w14:textId="66D31258" w:rsidR="0078385D" w:rsidRPr="009543E3" w:rsidRDefault="0078385D"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x-none"/>
        </w:rPr>
        <w:t>Invites</w:t>
      </w:r>
      <w:r w:rsidRPr="009543E3">
        <w:rPr>
          <w:rFonts w:eastAsia="Malgun Gothic"/>
          <w:color w:val="000000" w:themeColor="text1"/>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9543E3">
        <w:rPr>
          <w:rFonts w:eastAsia="Malgun Gothic"/>
          <w:i/>
          <w:color w:val="000000" w:themeColor="text1"/>
          <w:kern w:val="22"/>
          <w:szCs w:val="22"/>
          <w:lang w:eastAsia="x-none"/>
        </w:rPr>
        <w:t>requests</w:t>
      </w:r>
      <w:r w:rsidRPr="009543E3">
        <w:rPr>
          <w:rFonts w:eastAsia="Malgun Gothic"/>
          <w:color w:val="000000" w:themeColor="text1"/>
          <w:kern w:val="22"/>
          <w:szCs w:val="22"/>
          <w:lang w:eastAsia="x-none"/>
        </w:rPr>
        <w:t xml:space="preserve"> that Parties be notified of the amount of their contributions as early as possible in the year preceding the year in which the contributions are due;</w:t>
      </w:r>
    </w:p>
    <w:p w14:paraId="4A73B4ED" w14:textId="0B3226C6" w:rsidR="0078385D" w:rsidRPr="009543E3" w:rsidRDefault="0078385D"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x-none"/>
        </w:rPr>
        <w:t>Notes with concern</w:t>
      </w:r>
      <w:r w:rsidRPr="009543E3">
        <w:rPr>
          <w:color w:val="000000" w:themeColor="text1"/>
          <w:kern w:val="22"/>
          <w:szCs w:val="22"/>
          <w:lang w:eastAsia="x-none"/>
        </w:rPr>
        <w:t xml:space="preserve"> that </w:t>
      </w:r>
      <w:proofErr w:type="gramStart"/>
      <w:r w:rsidRPr="009543E3">
        <w:rPr>
          <w:color w:val="000000" w:themeColor="text1"/>
          <w:kern w:val="22"/>
          <w:szCs w:val="22"/>
          <w:lang w:eastAsia="x-none"/>
        </w:rPr>
        <w:t>a number of</w:t>
      </w:r>
      <w:proofErr w:type="gramEnd"/>
      <w:r w:rsidRPr="009543E3">
        <w:rPr>
          <w:color w:val="000000" w:themeColor="text1"/>
          <w:kern w:val="22"/>
          <w:szCs w:val="22"/>
          <w:lang w:eastAsia="x-none"/>
        </w:rPr>
        <w:t xml:space="preserve"> Parties have not paid their contributions to the core budgets (BY, BG and BB Trust Funds) for 2020 and prior years,</w:t>
      </w:r>
      <w:r w:rsidRPr="009543E3">
        <w:rPr>
          <w:color w:val="000000" w:themeColor="text1"/>
          <w:kern w:val="22"/>
          <w:szCs w:val="22"/>
          <w:lang w:eastAsia="ko-KR"/>
        </w:rPr>
        <w:t xml:space="preserve"> including Parties that have never </w:t>
      </w:r>
      <w:r w:rsidRPr="009543E3">
        <w:rPr>
          <w:rFonts w:eastAsia="Malgun Gothic"/>
          <w:color w:val="000000" w:themeColor="text1"/>
          <w:kern w:val="22"/>
          <w:szCs w:val="22"/>
          <w:lang w:eastAsia="x-none"/>
        </w:rPr>
        <w:t>paid</w:t>
      </w:r>
      <w:r w:rsidRPr="009543E3">
        <w:rPr>
          <w:color w:val="000000" w:themeColor="text1"/>
          <w:kern w:val="22"/>
          <w:szCs w:val="22"/>
          <w:lang w:eastAsia="ko-KR"/>
        </w:rPr>
        <w:t xml:space="preserve"> their contributions;</w:t>
      </w:r>
    </w:p>
    <w:p w14:paraId="061D48E5" w14:textId="1E063CEB" w:rsidR="00117EF9" w:rsidRPr="009543E3" w:rsidRDefault="00117EF9"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ko-KR"/>
        </w:rPr>
        <w:t>Notes</w:t>
      </w:r>
      <w:r w:rsidRPr="009543E3">
        <w:rPr>
          <w:rFonts w:eastAsia="Malgun Gothic"/>
          <w:color w:val="000000" w:themeColor="text1"/>
          <w:kern w:val="22"/>
          <w:szCs w:val="22"/>
          <w:lang w:eastAsia="x-none"/>
        </w:rPr>
        <w:t xml:space="preserve"> that the trust funds for the Convention and its Protocols (BY, BG and BB) should be extended for a period of two years beginning 1 January 2022 and ending 31 December 2023, </w:t>
      </w:r>
      <w:r w:rsidRPr="009543E3">
        <w:rPr>
          <w:rFonts w:eastAsia="Malgun Gothic"/>
          <w:color w:val="000000" w:themeColor="text1"/>
          <w:kern w:val="22"/>
          <w:szCs w:val="22"/>
          <w:lang w:eastAsia="ko-KR"/>
        </w:rPr>
        <w:t xml:space="preserve">and </w:t>
      </w:r>
      <w:r w:rsidRPr="009543E3">
        <w:rPr>
          <w:rFonts w:eastAsia="Malgun Gothic"/>
          <w:i/>
          <w:color w:val="000000" w:themeColor="text1"/>
          <w:kern w:val="22"/>
          <w:szCs w:val="22"/>
          <w:lang w:eastAsia="ko-KR"/>
        </w:rPr>
        <w:t>requests</w:t>
      </w:r>
      <w:r w:rsidRPr="009543E3">
        <w:rPr>
          <w:rFonts w:eastAsia="Malgun Gothic"/>
          <w:color w:val="000000" w:themeColor="text1"/>
          <w:kern w:val="22"/>
          <w:szCs w:val="22"/>
          <w:lang w:eastAsia="ko-KR"/>
        </w:rPr>
        <w:t xml:space="preserve"> </w:t>
      </w:r>
      <w:r w:rsidRPr="009543E3">
        <w:rPr>
          <w:rFonts w:eastAsia="Malgun Gothic"/>
          <w:color w:val="000000" w:themeColor="text1"/>
          <w:kern w:val="22"/>
          <w:szCs w:val="22"/>
          <w:lang w:eastAsia="ko-KR"/>
        </w:rPr>
        <w:lastRenderedPageBreak/>
        <w:t xml:space="preserve">the Executive </w:t>
      </w:r>
      <w:r w:rsidRPr="009543E3">
        <w:rPr>
          <w:rFonts w:eastAsia="Malgun Gothic"/>
          <w:color w:val="000000" w:themeColor="text1"/>
          <w:kern w:val="22"/>
          <w:szCs w:val="22"/>
          <w:lang w:eastAsia="x-none"/>
        </w:rPr>
        <w:t>Director</w:t>
      </w:r>
      <w:r w:rsidRPr="009543E3">
        <w:rPr>
          <w:rFonts w:eastAsia="Malgun Gothic"/>
          <w:color w:val="000000" w:themeColor="text1"/>
          <w:kern w:val="22"/>
          <w:szCs w:val="22"/>
          <w:lang w:eastAsia="ko-KR"/>
        </w:rPr>
        <w:t xml:space="preserve"> of the United Nations Environment Programme to seek the approval of the United Nations Environment Assembly for their extension;</w:t>
      </w:r>
    </w:p>
    <w:p w14:paraId="2B0CBA65" w14:textId="3D6F2579" w:rsidR="000C3ABA" w:rsidRPr="009543E3" w:rsidRDefault="000C3ABA"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kern w:val="22"/>
          <w:szCs w:val="22"/>
          <w:lang w:eastAsia="ko-KR"/>
        </w:rPr>
        <w:t>Notes</w:t>
      </w:r>
      <w:r w:rsidRPr="009543E3">
        <w:rPr>
          <w:rFonts w:eastAsia="Malgun Gothic"/>
          <w:color w:val="000000"/>
          <w:kern w:val="22"/>
          <w:szCs w:val="22"/>
          <w:lang w:eastAsia="x-none"/>
        </w:rPr>
        <w:t xml:space="preserve"> that the voluntary trust funds (BE, BZ, VB) for the Convention and its Protocols should be extended for a period of four years beginning 1 January 2022 and ending 31 December 2025, </w:t>
      </w:r>
      <w:r w:rsidRPr="009543E3">
        <w:rPr>
          <w:rFonts w:eastAsia="Malgun Gothic"/>
          <w:color w:val="000000"/>
          <w:kern w:val="22"/>
          <w:szCs w:val="22"/>
          <w:lang w:eastAsia="ko-KR"/>
        </w:rPr>
        <w:t xml:space="preserve">and </w:t>
      </w:r>
      <w:r w:rsidRPr="009543E3">
        <w:rPr>
          <w:rFonts w:eastAsia="Malgun Gothic"/>
          <w:i/>
          <w:color w:val="000000"/>
          <w:kern w:val="22"/>
          <w:szCs w:val="22"/>
          <w:lang w:eastAsia="ko-KR"/>
        </w:rPr>
        <w:t>requests</w:t>
      </w:r>
      <w:r w:rsidRPr="009543E3">
        <w:rPr>
          <w:rFonts w:eastAsia="Malgun Gothic"/>
          <w:color w:val="000000"/>
          <w:kern w:val="22"/>
          <w:szCs w:val="22"/>
          <w:lang w:eastAsia="ko-KR"/>
        </w:rPr>
        <w:t xml:space="preserve"> the Executive Director of the </w:t>
      </w:r>
      <w:r w:rsidRPr="009543E3">
        <w:rPr>
          <w:rFonts w:eastAsia="Malgun Gothic"/>
          <w:color w:val="000000" w:themeColor="text1"/>
          <w:kern w:val="22"/>
          <w:szCs w:val="22"/>
          <w:lang w:eastAsia="x-none"/>
        </w:rPr>
        <w:t>United</w:t>
      </w:r>
      <w:r w:rsidRPr="009543E3">
        <w:rPr>
          <w:rFonts w:eastAsia="Malgun Gothic"/>
          <w:color w:val="000000"/>
          <w:kern w:val="22"/>
          <w:szCs w:val="22"/>
          <w:lang w:eastAsia="ko-KR"/>
        </w:rPr>
        <w:t xml:space="preserve"> Nations Environment Programme to seek the approval of the United Nations Environment Assembly for their extension;</w:t>
      </w:r>
    </w:p>
    <w:p w14:paraId="69C000A2" w14:textId="359F63A9" w:rsidR="006518E7" w:rsidRPr="009543E3" w:rsidRDefault="006518E7"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iCs/>
          <w:kern w:val="22"/>
          <w:szCs w:val="22"/>
        </w:rPr>
        <w:t>Affirms</w:t>
      </w:r>
      <w:r w:rsidRPr="009543E3">
        <w:rPr>
          <w:kern w:val="22"/>
          <w:szCs w:val="22"/>
        </w:rPr>
        <w:t xml:space="preserve"> that this decision is without prejudice to </w:t>
      </w:r>
      <w:r w:rsidR="00CC44B0" w:rsidRPr="009543E3">
        <w:rPr>
          <w:kern w:val="22"/>
          <w:szCs w:val="22"/>
        </w:rPr>
        <w:t xml:space="preserve">further </w:t>
      </w:r>
      <w:r w:rsidRPr="009543E3">
        <w:rPr>
          <w:kern w:val="22"/>
          <w:szCs w:val="22"/>
        </w:rPr>
        <w:t xml:space="preserve">decisions to be taken by the Conference of the Parties at its fifteenth </w:t>
      </w:r>
      <w:r w:rsidRPr="009543E3">
        <w:rPr>
          <w:rFonts w:eastAsia="Malgun Gothic"/>
          <w:iCs/>
          <w:color w:val="000000" w:themeColor="text1"/>
          <w:kern w:val="22"/>
          <w:szCs w:val="22"/>
          <w:lang w:eastAsia="x-none"/>
        </w:rPr>
        <w:t>meeting</w:t>
      </w:r>
      <w:r w:rsidRPr="009543E3">
        <w:rPr>
          <w:kern w:val="22"/>
          <w:szCs w:val="22"/>
        </w:rPr>
        <w:t>;</w:t>
      </w:r>
    </w:p>
    <w:p w14:paraId="123F9C9C" w14:textId="705BC5AE" w:rsidR="00382991" w:rsidRPr="009543E3" w:rsidRDefault="00382991"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iCs/>
          <w:kern w:val="22"/>
          <w:szCs w:val="22"/>
        </w:rPr>
        <w:t>Requests</w:t>
      </w:r>
      <w:r w:rsidRPr="009543E3">
        <w:rPr>
          <w:kern w:val="22"/>
          <w:szCs w:val="22"/>
        </w:rPr>
        <w:t xml:space="preserve"> the Executive Secretary</w:t>
      </w:r>
      <w:r w:rsidR="00D0240D" w:rsidRPr="009543E3">
        <w:rPr>
          <w:kern w:val="22"/>
          <w:szCs w:val="22"/>
        </w:rPr>
        <w:t>:</w:t>
      </w:r>
    </w:p>
    <w:p w14:paraId="2D67C41F" w14:textId="3732389B" w:rsidR="00382991" w:rsidRPr="009543E3" w:rsidRDefault="00382991" w:rsidP="006914CE">
      <w:pPr>
        <w:pStyle w:val="ListParagraph"/>
        <w:numPr>
          <w:ilvl w:val="1"/>
          <w:numId w:val="35"/>
        </w:numPr>
        <w:suppressLineNumbers/>
        <w:suppressAutoHyphens/>
        <w:spacing w:before="120" w:after="120"/>
        <w:ind w:left="0" w:firstLine="720"/>
        <w:contextualSpacing w:val="0"/>
        <w:rPr>
          <w:kern w:val="22"/>
          <w:szCs w:val="22"/>
        </w:rPr>
      </w:pPr>
      <w:r w:rsidRPr="009543E3">
        <w:rPr>
          <w:kern w:val="22"/>
          <w:szCs w:val="22"/>
        </w:rPr>
        <w:t xml:space="preserve">To </w:t>
      </w:r>
      <w:proofErr w:type="gramStart"/>
      <w:r w:rsidRPr="009543E3">
        <w:rPr>
          <w:kern w:val="22"/>
          <w:szCs w:val="22"/>
        </w:rPr>
        <w:t>take into account</w:t>
      </w:r>
      <w:proofErr w:type="gramEnd"/>
      <w:r w:rsidRPr="009543E3">
        <w:rPr>
          <w:kern w:val="22"/>
          <w:szCs w:val="22"/>
        </w:rPr>
        <w:t xml:space="preserve"> the results of this decision in preparing proposals for the budget for the </w:t>
      </w:r>
      <w:r w:rsidR="00B55072" w:rsidRPr="009543E3">
        <w:rPr>
          <w:kern w:val="22"/>
          <w:szCs w:val="22"/>
        </w:rPr>
        <w:t xml:space="preserve">biennium </w:t>
      </w:r>
      <w:r w:rsidRPr="009543E3">
        <w:rPr>
          <w:kern w:val="22"/>
          <w:szCs w:val="22"/>
        </w:rPr>
        <w:t xml:space="preserve">2021-2022, in line with decision 14/37, paragraph </w:t>
      </w:r>
      <w:r w:rsidR="009E6C83" w:rsidRPr="009543E3">
        <w:rPr>
          <w:kern w:val="22"/>
          <w:szCs w:val="22"/>
        </w:rPr>
        <w:t>48</w:t>
      </w:r>
      <w:r w:rsidRPr="009543E3">
        <w:rPr>
          <w:kern w:val="22"/>
          <w:szCs w:val="22"/>
        </w:rPr>
        <w:t>;</w:t>
      </w:r>
    </w:p>
    <w:p w14:paraId="385151A5" w14:textId="1C215760" w:rsidR="00640C7F" w:rsidRPr="009543E3" w:rsidRDefault="00382991" w:rsidP="006914CE">
      <w:pPr>
        <w:pStyle w:val="ListParagraph"/>
        <w:numPr>
          <w:ilvl w:val="1"/>
          <w:numId w:val="35"/>
        </w:numPr>
        <w:suppressLineNumbers/>
        <w:suppressAutoHyphens/>
        <w:spacing w:before="120" w:after="120"/>
        <w:ind w:left="0" w:firstLine="720"/>
        <w:contextualSpacing w:val="0"/>
        <w:rPr>
          <w:kern w:val="22"/>
          <w:szCs w:val="22"/>
        </w:rPr>
      </w:pPr>
      <w:r w:rsidRPr="009543E3">
        <w:rPr>
          <w:kern w:val="22"/>
          <w:szCs w:val="22"/>
        </w:rPr>
        <w:t>To also prepare budget proposals for the period 202</w:t>
      </w:r>
      <w:r w:rsidR="004C529A" w:rsidRPr="009543E3">
        <w:rPr>
          <w:kern w:val="22"/>
          <w:szCs w:val="22"/>
        </w:rPr>
        <w:t>3</w:t>
      </w:r>
      <w:r w:rsidRPr="009543E3">
        <w:rPr>
          <w:kern w:val="22"/>
          <w:szCs w:val="22"/>
        </w:rPr>
        <w:t>-202</w:t>
      </w:r>
      <w:r w:rsidR="004C529A" w:rsidRPr="009543E3">
        <w:rPr>
          <w:kern w:val="22"/>
          <w:szCs w:val="22"/>
        </w:rPr>
        <w:t>4</w:t>
      </w:r>
      <w:r w:rsidRPr="009543E3">
        <w:rPr>
          <w:kern w:val="22"/>
          <w:szCs w:val="22"/>
        </w:rPr>
        <w:t>, pending a decision by the Conference of the Parties</w:t>
      </w:r>
      <w:r w:rsidR="00F62669" w:rsidRPr="009543E3">
        <w:rPr>
          <w:kern w:val="22"/>
          <w:szCs w:val="22"/>
        </w:rPr>
        <w:t xml:space="preserve"> and </w:t>
      </w:r>
      <w:r w:rsidR="00164488" w:rsidRPr="009543E3">
        <w:rPr>
          <w:kern w:val="22"/>
          <w:szCs w:val="22"/>
        </w:rPr>
        <w:t xml:space="preserve">the </w:t>
      </w:r>
      <w:r w:rsidR="00F62669" w:rsidRPr="009543E3">
        <w:rPr>
          <w:kern w:val="22"/>
          <w:szCs w:val="22"/>
        </w:rPr>
        <w:t>meetings of the Parties</w:t>
      </w:r>
      <w:r w:rsidRPr="009543E3">
        <w:rPr>
          <w:kern w:val="22"/>
          <w:szCs w:val="22"/>
        </w:rPr>
        <w:t xml:space="preserve"> </w:t>
      </w:r>
      <w:r w:rsidR="00164488" w:rsidRPr="009543E3">
        <w:rPr>
          <w:kern w:val="22"/>
          <w:szCs w:val="22"/>
        </w:rPr>
        <w:t xml:space="preserve">to the </w:t>
      </w:r>
      <w:r w:rsidR="00260088" w:rsidRPr="009543E3">
        <w:rPr>
          <w:kern w:val="22"/>
          <w:szCs w:val="22"/>
        </w:rPr>
        <w:t xml:space="preserve">Cartagena and Nagoya </w:t>
      </w:r>
      <w:r w:rsidR="00164488" w:rsidRPr="009543E3">
        <w:rPr>
          <w:kern w:val="22"/>
          <w:szCs w:val="22"/>
        </w:rPr>
        <w:t xml:space="preserve">Protocols </w:t>
      </w:r>
      <w:r w:rsidRPr="009543E3">
        <w:rPr>
          <w:kern w:val="22"/>
          <w:szCs w:val="22"/>
        </w:rPr>
        <w:t xml:space="preserve">regarding the dates for </w:t>
      </w:r>
      <w:r w:rsidR="00374DB8" w:rsidRPr="009543E3">
        <w:rPr>
          <w:kern w:val="22"/>
          <w:szCs w:val="22"/>
        </w:rPr>
        <w:t xml:space="preserve">their </w:t>
      </w:r>
      <w:r w:rsidRPr="009543E3">
        <w:rPr>
          <w:kern w:val="22"/>
          <w:szCs w:val="22"/>
        </w:rPr>
        <w:t>sixteenth</w:t>
      </w:r>
      <w:r w:rsidR="00F62669" w:rsidRPr="009543E3">
        <w:rPr>
          <w:kern w:val="22"/>
          <w:szCs w:val="22"/>
        </w:rPr>
        <w:t>, eleventh and fifth</w:t>
      </w:r>
      <w:r w:rsidRPr="009543E3">
        <w:rPr>
          <w:kern w:val="22"/>
          <w:szCs w:val="22"/>
        </w:rPr>
        <w:t xml:space="preserve"> meeting</w:t>
      </w:r>
      <w:r w:rsidR="00F62669" w:rsidRPr="009543E3">
        <w:rPr>
          <w:kern w:val="22"/>
          <w:szCs w:val="22"/>
        </w:rPr>
        <w:t>s</w:t>
      </w:r>
      <w:r w:rsidR="00260088" w:rsidRPr="009543E3">
        <w:rPr>
          <w:kern w:val="22"/>
          <w:szCs w:val="22"/>
        </w:rPr>
        <w:t>,</w:t>
      </w:r>
      <w:r w:rsidR="00F62669" w:rsidRPr="009543E3">
        <w:rPr>
          <w:kern w:val="22"/>
          <w:szCs w:val="22"/>
        </w:rPr>
        <w:t xml:space="preserve"> respectively</w:t>
      </w:r>
      <w:r w:rsidRPr="009543E3">
        <w:rPr>
          <w:kern w:val="22"/>
          <w:szCs w:val="22"/>
        </w:rPr>
        <w:t>.</w:t>
      </w:r>
    </w:p>
    <w:p w14:paraId="20F7DC40" w14:textId="1A82F9FD" w:rsidR="00ED54E7" w:rsidRPr="009543E3" w:rsidRDefault="00ED54E7" w:rsidP="006914CE">
      <w:pPr>
        <w:pStyle w:val="ListParagraph"/>
        <w:keepNext/>
        <w:numPr>
          <w:ilvl w:val="0"/>
          <w:numId w:val="20"/>
        </w:numPr>
        <w:suppressLineNumbers/>
        <w:suppressAutoHyphens/>
        <w:spacing w:before="120" w:after="120"/>
        <w:ind w:left="1134" w:hanging="567"/>
        <w:contextualSpacing w:val="0"/>
        <w:outlineLvl w:val="0"/>
        <w:rPr>
          <w:bCs/>
          <w:iCs/>
          <w:caps/>
          <w:kern w:val="22"/>
          <w:szCs w:val="22"/>
        </w:rPr>
      </w:pPr>
      <w:r w:rsidRPr="009543E3">
        <w:rPr>
          <w:b/>
          <w:iCs/>
          <w:caps/>
          <w:kern w:val="22"/>
          <w:szCs w:val="22"/>
        </w:rPr>
        <w:t>Draft decision for the consideration of the Conference of the Parties serving as the meeting of the Parties to the Cartagena Protocol on Biosafety</w:t>
      </w:r>
    </w:p>
    <w:p w14:paraId="192CAF11" w14:textId="2DBD0F2A" w:rsidR="001467DF" w:rsidRPr="009543E3" w:rsidRDefault="001467DF"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The Conference of the Parties serving as the meeting of the Parties to the Cartagena Protocol on Biosafety</w:t>
      </w:r>
      <w:r w:rsidR="00AC3DC6" w:rsidRPr="009543E3">
        <w:rPr>
          <w:iCs/>
          <w:kern w:val="22"/>
          <w:szCs w:val="22"/>
        </w:rPr>
        <w:t xml:space="preserve"> may wish to adopt a decision on the following lines</w:t>
      </w:r>
      <w:r w:rsidR="002C1D98" w:rsidRPr="009543E3">
        <w:rPr>
          <w:kern w:val="22"/>
          <w:szCs w:val="22"/>
        </w:rPr>
        <w:t>:</w:t>
      </w:r>
    </w:p>
    <w:p w14:paraId="313A6C84" w14:textId="1ED473D4" w:rsidR="002C1D98" w:rsidRPr="009543E3" w:rsidRDefault="002C1D98" w:rsidP="006914CE">
      <w:pPr>
        <w:pStyle w:val="ListParagraph"/>
        <w:suppressLineNumbers/>
        <w:suppressAutoHyphens/>
        <w:spacing w:before="120" w:after="120"/>
        <w:ind w:left="0" w:firstLine="720"/>
        <w:contextualSpacing w:val="0"/>
        <w:rPr>
          <w:kern w:val="22"/>
          <w:szCs w:val="22"/>
        </w:rPr>
      </w:pPr>
      <w:r w:rsidRPr="009543E3">
        <w:rPr>
          <w:i/>
          <w:kern w:val="22"/>
          <w:szCs w:val="22"/>
        </w:rPr>
        <w:t xml:space="preserve">The Conference on the Parties serving as the </w:t>
      </w:r>
      <w:r w:rsidR="006868FE" w:rsidRPr="009543E3">
        <w:rPr>
          <w:i/>
          <w:kern w:val="22"/>
          <w:szCs w:val="22"/>
        </w:rPr>
        <w:t>meeting of the Parties to the Cartagena Protocol,</w:t>
      </w:r>
    </w:p>
    <w:p w14:paraId="68CAAB90" w14:textId="75736729" w:rsidR="00C857BF" w:rsidRPr="009543E3" w:rsidRDefault="00C857BF" w:rsidP="006914CE">
      <w:pPr>
        <w:suppressLineNumbers/>
        <w:suppressAutoHyphens/>
        <w:spacing w:before="120" w:after="120"/>
        <w:ind w:firstLine="720"/>
        <w:rPr>
          <w:kern w:val="22"/>
          <w:szCs w:val="22"/>
        </w:rPr>
      </w:pPr>
      <w:r w:rsidRPr="009543E3">
        <w:rPr>
          <w:i/>
          <w:kern w:val="22"/>
          <w:szCs w:val="22"/>
        </w:rPr>
        <w:t>Recalling</w:t>
      </w:r>
      <w:r w:rsidRPr="009543E3">
        <w:rPr>
          <w:kern w:val="22"/>
          <w:szCs w:val="22"/>
        </w:rPr>
        <w:t xml:space="preserve"> its decision 9/16</w:t>
      </w:r>
      <w:r w:rsidR="00547D33" w:rsidRPr="009543E3">
        <w:rPr>
          <w:kern w:val="22"/>
          <w:szCs w:val="22"/>
        </w:rPr>
        <w:t>, in</w:t>
      </w:r>
      <w:r w:rsidRPr="009543E3">
        <w:rPr>
          <w:kern w:val="22"/>
          <w:szCs w:val="22"/>
        </w:rPr>
        <w:t xml:space="preserve"> which </w:t>
      </w:r>
      <w:r w:rsidR="00547D33" w:rsidRPr="009543E3">
        <w:rPr>
          <w:kern w:val="22"/>
          <w:szCs w:val="22"/>
        </w:rPr>
        <w:t>it approved the</w:t>
      </w:r>
      <w:r w:rsidRPr="009543E3">
        <w:rPr>
          <w:kern w:val="22"/>
          <w:szCs w:val="22"/>
        </w:rPr>
        <w:t xml:space="preserve"> budget for the biennium 2019-2020,</w:t>
      </w:r>
    </w:p>
    <w:p w14:paraId="42249578" w14:textId="09E81AE7" w:rsidR="00C857BF" w:rsidRPr="009543E3" w:rsidRDefault="00C857BF" w:rsidP="006914CE">
      <w:pPr>
        <w:suppressLineNumbers/>
        <w:suppressAutoHyphens/>
        <w:spacing w:before="120" w:after="120"/>
        <w:ind w:firstLine="720"/>
        <w:rPr>
          <w:kern w:val="22"/>
          <w:szCs w:val="22"/>
        </w:rPr>
      </w:pPr>
      <w:r w:rsidRPr="009543E3">
        <w:rPr>
          <w:i/>
          <w:kern w:val="22"/>
          <w:szCs w:val="22"/>
        </w:rPr>
        <w:t>Considering</w:t>
      </w:r>
      <w:r w:rsidRPr="009543E3">
        <w:rPr>
          <w:kern w:val="22"/>
          <w:szCs w:val="22"/>
        </w:rPr>
        <w:t xml:space="preserve"> that the tenth meeting of the Conference of the Parties serving as the meeting of the Parties to the Cartagena Protocol has been postponed until 2021 due to constraints arising from the COVID</w:t>
      </w:r>
      <w:r w:rsidR="006314DF" w:rsidRPr="009543E3">
        <w:rPr>
          <w:kern w:val="22"/>
          <w:szCs w:val="22"/>
        </w:rPr>
        <w:noBreakHyphen/>
      </w:r>
      <w:r w:rsidRPr="009543E3">
        <w:rPr>
          <w:kern w:val="22"/>
          <w:szCs w:val="22"/>
        </w:rPr>
        <w:t>19 pandemic,</w:t>
      </w:r>
    </w:p>
    <w:p w14:paraId="1086F47D" w14:textId="096D6F1E" w:rsidR="00C857BF" w:rsidRPr="009543E3" w:rsidRDefault="00C857BF" w:rsidP="006914CE">
      <w:pPr>
        <w:suppressLineNumbers/>
        <w:suppressAutoHyphens/>
        <w:spacing w:before="120" w:after="120"/>
        <w:ind w:firstLine="720"/>
        <w:rPr>
          <w:kern w:val="22"/>
          <w:szCs w:val="22"/>
        </w:rPr>
      </w:pPr>
      <w:r w:rsidRPr="009543E3">
        <w:rPr>
          <w:i/>
          <w:kern w:val="22"/>
          <w:szCs w:val="22"/>
        </w:rPr>
        <w:t>Noting</w:t>
      </w:r>
      <w:r w:rsidRPr="009543E3">
        <w:rPr>
          <w:kern w:val="22"/>
          <w:szCs w:val="22"/>
        </w:rPr>
        <w:t xml:space="preserve">, therefore, the need to </w:t>
      </w:r>
      <w:proofErr w:type="gramStart"/>
      <w:r w:rsidRPr="009543E3">
        <w:rPr>
          <w:kern w:val="22"/>
          <w:szCs w:val="22"/>
        </w:rPr>
        <w:t>make arrangements</w:t>
      </w:r>
      <w:proofErr w:type="gramEnd"/>
      <w:r w:rsidRPr="009543E3">
        <w:rPr>
          <w:kern w:val="22"/>
          <w:szCs w:val="22"/>
        </w:rPr>
        <w:t xml:space="preserve"> to allow the continued functioning of </w:t>
      </w:r>
      <w:r w:rsidR="00D51494" w:rsidRPr="009543E3">
        <w:rPr>
          <w:kern w:val="22"/>
          <w:szCs w:val="22"/>
        </w:rPr>
        <w:t xml:space="preserve">the </w:t>
      </w:r>
      <w:r w:rsidRPr="009543E3">
        <w:rPr>
          <w:kern w:val="22"/>
          <w:szCs w:val="22"/>
        </w:rPr>
        <w:t xml:space="preserve">organs of the </w:t>
      </w:r>
      <w:r w:rsidR="00CA56B5" w:rsidRPr="009543E3">
        <w:rPr>
          <w:kern w:val="22"/>
          <w:szCs w:val="22"/>
        </w:rPr>
        <w:t>Protocol</w:t>
      </w:r>
      <w:r w:rsidR="00D51494" w:rsidRPr="009543E3">
        <w:rPr>
          <w:kern w:val="22"/>
          <w:szCs w:val="22"/>
        </w:rPr>
        <w:t>,</w:t>
      </w:r>
      <w:r w:rsidRPr="009543E3">
        <w:rPr>
          <w:kern w:val="22"/>
          <w:szCs w:val="22"/>
        </w:rPr>
        <w:t xml:space="preserve"> including its Secretariat and </w:t>
      </w:r>
      <w:r w:rsidR="00D51494" w:rsidRPr="009543E3">
        <w:rPr>
          <w:kern w:val="22"/>
          <w:szCs w:val="22"/>
        </w:rPr>
        <w:t xml:space="preserve">the </w:t>
      </w:r>
      <w:r w:rsidRPr="009543E3">
        <w:rPr>
          <w:kern w:val="22"/>
          <w:szCs w:val="22"/>
        </w:rPr>
        <w:t>meetings of its Parties and its subsidiary bodies,</w:t>
      </w:r>
    </w:p>
    <w:p w14:paraId="5D4F8C5C" w14:textId="0DA9F83F" w:rsidR="00C857BF" w:rsidRPr="009543E3" w:rsidRDefault="00C857BF">
      <w:pPr>
        <w:suppressLineNumbers/>
        <w:suppressAutoHyphens/>
        <w:spacing w:before="120" w:after="120"/>
        <w:ind w:firstLine="720"/>
        <w:rPr>
          <w:rFonts w:eastAsia="Malgun Gothic"/>
          <w:kern w:val="22"/>
          <w:szCs w:val="22"/>
          <w:lang w:eastAsia="x-none"/>
        </w:rPr>
      </w:pPr>
      <w:r w:rsidRPr="009543E3">
        <w:rPr>
          <w:i/>
          <w:kern w:val="22"/>
          <w:szCs w:val="22"/>
        </w:rPr>
        <w:t>Taking note</w:t>
      </w:r>
      <w:r w:rsidRPr="009543E3">
        <w:rPr>
          <w:kern w:val="22"/>
          <w:szCs w:val="22"/>
        </w:rPr>
        <w:t xml:space="preserve"> of the proposal of </w:t>
      </w:r>
      <w:r w:rsidRPr="009543E3">
        <w:rPr>
          <w:rFonts w:eastAsia="Malgun Gothic"/>
          <w:kern w:val="22"/>
          <w:szCs w:val="22"/>
          <w:lang w:eastAsia="x-none"/>
        </w:rPr>
        <w:t>the Bureau of the Conference of the Parties that, on an exceptional basis, the Parties consider and approve an interim budget for 2021 through agreed modalities</w:t>
      </w:r>
      <w:r w:rsidR="005F009D" w:rsidRPr="009543E3">
        <w:rPr>
          <w:rFonts w:eastAsia="Malgun Gothic"/>
          <w:kern w:val="22"/>
          <w:szCs w:val="22"/>
          <w:lang w:eastAsia="x-none"/>
        </w:rPr>
        <w:t>,</w:t>
      </w:r>
    </w:p>
    <w:p w14:paraId="4CA54607" w14:textId="32AB7BB9" w:rsidR="0062541A" w:rsidRPr="009543E3" w:rsidRDefault="0062541A" w:rsidP="006914CE">
      <w:pPr>
        <w:suppressLineNumbers/>
        <w:suppressAutoHyphens/>
        <w:spacing w:before="120" w:after="120"/>
        <w:ind w:firstLine="720"/>
        <w:rPr>
          <w:kern w:val="22"/>
          <w:szCs w:val="22"/>
        </w:rPr>
      </w:pPr>
      <w:r w:rsidRPr="009543E3">
        <w:rPr>
          <w:i/>
          <w:iCs/>
          <w:kern w:val="22"/>
          <w:szCs w:val="22"/>
        </w:rPr>
        <w:t>Taking note also</w:t>
      </w:r>
      <w:r w:rsidRPr="009543E3">
        <w:rPr>
          <w:kern w:val="22"/>
          <w:szCs w:val="22"/>
        </w:rPr>
        <w:t xml:space="preserve"> of the note by the Executive Secretary,</w:t>
      </w:r>
      <w:r w:rsidRPr="009543E3">
        <w:rPr>
          <w:rStyle w:val="FootnoteReference"/>
          <w:kern w:val="22"/>
          <w:szCs w:val="22"/>
        </w:rPr>
        <w:footnoteReference w:id="9"/>
      </w:r>
    </w:p>
    <w:p w14:paraId="3A033D73" w14:textId="09C37419" w:rsidR="00254C6F" w:rsidRPr="009543E3" w:rsidRDefault="00254C6F" w:rsidP="006914CE">
      <w:pPr>
        <w:pStyle w:val="ListParagraph"/>
        <w:numPr>
          <w:ilvl w:val="0"/>
          <w:numId w:val="33"/>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 up to 31 December 2021, or</w:t>
      </w:r>
      <w:r w:rsidR="00650DAD" w:rsidRPr="009543E3">
        <w:rPr>
          <w:kern w:val="22"/>
          <w:szCs w:val="22"/>
        </w:rPr>
        <w:t>,</w:t>
      </w:r>
      <w:r w:rsidRPr="009543E3">
        <w:rPr>
          <w:kern w:val="22"/>
          <w:szCs w:val="22"/>
        </w:rPr>
        <w:t xml:space="preserve"> in the case that </w:t>
      </w:r>
      <w:r w:rsidR="004C75F7" w:rsidRPr="009543E3">
        <w:rPr>
          <w:kern w:val="22"/>
          <w:szCs w:val="22"/>
        </w:rPr>
        <w:t>the tenth meeting of the Conference of the Parties serving as the meeting of the Parties to the Cartagena Protocol</w:t>
      </w:r>
      <w:r w:rsidRPr="009543E3">
        <w:rPr>
          <w:kern w:val="22"/>
          <w:szCs w:val="22"/>
        </w:rPr>
        <w:t xml:space="preserve"> is not held during 2021, until the end of the month following the closure of </w:t>
      </w:r>
      <w:r w:rsidR="005E7D7D" w:rsidRPr="009543E3">
        <w:rPr>
          <w:kern w:val="22"/>
          <w:szCs w:val="22"/>
        </w:rPr>
        <w:t>the tenth meeting of the Conference of the Parties serving as the meeting of the Parties to the Cartagena Protocol</w:t>
      </w:r>
      <w:r w:rsidRPr="009543E3">
        <w:rPr>
          <w:kern w:val="22"/>
          <w:szCs w:val="22"/>
        </w:rPr>
        <w:t xml:space="preserve">, the validity of the funds allocated in the 2019-2020 budget </w:t>
      </w:r>
      <w:r w:rsidR="007D3F4B" w:rsidRPr="009543E3">
        <w:rPr>
          <w:kern w:val="22"/>
          <w:szCs w:val="22"/>
        </w:rPr>
        <w:t xml:space="preserve">and </w:t>
      </w:r>
      <w:r w:rsidRPr="009543E3">
        <w:rPr>
          <w:kern w:val="22"/>
          <w:szCs w:val="22"/>
        </w:rPr>
        <w:t xml:space="preserve">associated with the costs of </w:t>
      </w:r>
      <w:r w:rsidR="00757386" w:rsidRPr="009543E3">
        <w:rPr>
          <w:kern w:val="22"/>
          <w:szCs w:val="22"/>
        </w:rPr>
        <w:t xml:space="preserve">the </w:t>
      </w:r>
      <w:r w:rsidRPr="009543E3">
        <w:rPr>
          <w:kern w:val="22"/>
          <w:szCs w:val="22"/>
        </w:rPr>
        <w:t xml:space="preserve">meetings of the </w:t>
      </w:r>
      <w:r w:rsidR="00A835E1" w:rsidRPr="009543E3">
        <w:rPr>
          <w:kern w:val="22"/>
          <w:szCs w:val="22"/>
        </w:rPr>
        <w:t xml:space="preserve">Conference of the Parties </w:t>
      </w:r>
      <w:r w:rsidR="000B12BB" w:rsidRPr="009543E3">
        <w:rPr>
          <w:iCs/>
          <w:kern w:val="22"/>
          <w:szCs w:val="22"/>
        </w:rPr>
        <w:t xml:space="preserve"> serving as the meeting of the Parties to the Cartagena Protocol </w:t>
      </w:r>
      <w:r w:rsidRPr="009543E3">
        <w:rPr>
          <w:kern w:val="22"/>
          <w:szCs w:val="22"/>
        </w:rPr>
        <w:t xml:space="preserve">and its subsidiary bodies that are postponed from the </w:t>
      </w:r>
      <w:r w:rsidR="00067F2D" w:rsidRPr="009543E3">
        <w:rPr>
          <w:kern w:val="22"/>
          <w:szCs w:val="22"/>
        </w:rPr>
        <w:t xml:space="preserve">biennium </w:t>
      </w:r>
      <w:r w:rsidRPr="009543E3">
        <w:rPr>
          <w:kern w:val="22"/>
          <w:szCs w:val="22"/>
        </w:rPr>
        <w:t>2019-2020;</w:t>
      </w:r>
    </w:p>
    <w:p w14:paraId="5EEA6126" w14:textId="63EB2014" w:rsidR="004F00A1" w:rsidRPr="009543E3" w:rsidRDefault="004F00A1">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Approves,</w:t>
      </w:r>
      <w:r w:rsidRPr="009543E3">
        <w:rPr>
          <w:rFonts w:eastAsia="Malgun Gothic"/>
          <w:color w:val="000000" w:themeColor="text1"/>
          <w:kern w:val="22"/>
          <w:szCs w:val="22"/>
          <w:lang w:eastAsia="x-none"/>
        </w:rPr>
        <w:t xml:space="preserve"> on an exceptional basis, an interim core programme budget for the </w:t>
      </w:r>
      <w:r w:rsidRPr="009543E3">
        <w:rPr>
          <w:rFonts w:eastAsia="Malgun Gothic"/>
          <w:snapToGrid w:val="0"/>
          <w:kern w:val="22"/>
          <w:szCs w:val="22"/>
          <w:lang w:eastAsia="x-none"/>
        </w:rPr>
        <w:t>Cartagena Protocol on Biosafety</w:t>
      </w:r>
      <w:r w:rsidRPr="009543E3">
        <w:rPr>
          <w:rFonts w:eastAsia="Malgun Gothic"/>
          <w:color w:val="000000" w:themeColor="text1"/>
          <w:kern w:val="22"/>
          <w:szCs w:val="22"/>
          <w:lang w:eastAsia="x-none"/>
        </w:rPr>
        <w:t xml:space="preserve"> of </w:t>
      </w:r>
      <w:r w:rsidRPr="009543E3">
        <w:rPr>
          <w:rFonts w:eastAsia="Malgun Gothic"/>
          <w:kern w:val="22"/>
          <w:szCs w:val="22"/>
          <w:lang w:eastAsia="x-none"/>
        </w:rPr>
        <w:t>2,</w:t>
      </w:r>
      <w:r w:rsidR="009B396E" w:rsidRPr="009543E3">
        <w:rPr>
          <w:rFonts w:eastAsia="Malgun Gothic"/>
          <w:kern w:val="22"/>
          <w:szCs w:val="22"/>
          <w:lang w:eastAsia="x-none"/>
        </w:rPr>
        <w:t>541,57</w:t>
      </w:r>
      <w:r w:rsidR="0012481C" w:rsidRPr="009543E3">
        <w:rPr>
          <w:rFonts w:eastAsia="Malgun Gothic"/>
          <w:kern w:val="22"/>
          <w:szCs w:val="22"/>
          <w:lang w:eastAsia="x-none"/>
        </w:rPr>
        <w:t>0</w:t>
      </w:r>
      <w:r w:rsidRPr="009543E3">
        <w:rPr>
          <w:rFonts w:eastAsia="Malgun Gothic"/>
          <w:kern w:val="22"/>
          <w:szCs w:val="22"/>
          <w:lang w:eastAsia="x-none"/>
        </w:rPr>
        <w:t xml:space="preserve"> United States dollars for the year 2021, representing 15</w:t>
      </w:r>
      <w:r w:rsidRPr="009543E3">
        <w:rPr>
          <w:kern w:val="22"/>
          <w:szCs w:val="22"/>
        </w:rPr>
        <w:t> per cent</w:t>
      </w:r>
      <w:r w:rsidRPr="009543E3">
        <w:rPr>
          <w:rFonts w:eastAsia="Malgun Gothic"/>
          <w:kern w:val="22"/>
          <w:szCs w:val="22"/>
          <w:lang w:eastAsia="x-none"/>
        </w:rPr>
        <w:t xml:space="preserve"> of the integrated interim budget of 16,943,8</w:t>
      </w:r>
      <w:r w:rsidR="0012481C" w:rsidRPr="009543E3">
        <w:rPr>
          <w:rFonts w:eastAsia="Malgun Gothic"/>
          <w:kern w:val="22"/>
          <w:szCs w:val="22"/>
          <w:lang w:eastAsia="x-none"/>
        </w:rPr>
        <w:t>0</w:t>
      </w:r>
      <w:r w:rsidRPr="009543E3">
        <w:rPr>
          <w:rFonts w:eastAsia="Malgun Gothic"/>
          <w:kern w:val="22"/>
          <w:szCs w:val="22"/>
          <w:lang w:eastAsia="x-none"/>
        </w:rPr>
        <w:t xml:space="preserve">0 </w:t>
      </w:r>
      <w:r w:rsidRPr="009543E3">
        <w:rPr>
          <w:rFonts w:eastAsia="Malgun Gothic"/>
          <w:color w:val="000000" w:themeColor="text1"/>
          <w:kern w:val="22"/>
          <w:szCs w:val="22"/>
          <w:lang w:eastAsia="x-none"/>
        </w:rPr>
        <w:t xml:space="preserve">United States dollars for the year 2021, for the purposes listed in tables 5a and 5b </w:t>
      </w:r>
      <w:r w:rsidR="0062541A" w:rsidRPr="009543E3">
        <w:rPr>
          <w:rFonts w:eastAsia="Malgun Gothic"/>
          <w:color w:val="000000" w:themeColor="text1"/>
          <w:kern w:val="22"/>
          <w:szCs w:val="22"/>
          <w:lang w:eastAsia="x-none"/>
        </w:rPr>
        <w:t>above</w:t>
      </w:r>
      <w:r w:rsidRPr="009543E3">
        <w:rPr>
          <w:rFonts w:eastAsia="Malgun Gothic"/>
          <w:color w:val="000000" w:themeColor="text1"/>
          <w:kern w:val="22"/>
          <w:szCs w:val="22"/>
          <w:lang w:eastAsia="x-none"/>
        </w:rPr>
        <w:t>;</w:t>
      </w:r>
    </w:p>
    <w:p w14:paraId="023EC23C" w14:textId="33D43BD6" w:rsidR="00ED4E22" w:rsidRPr="009543E3" w:rsidRDefault="00ED4E22" w:rsidP="006914CE">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i/>
          <w:iCs/>
          <w:kern w:val="22"/>
          <w:szCs w:val="22"/>
        </w:rPr>
        <w:lastRenderedPageBreak/>
        <w:t>Requests</w:t>
      </w:r>
      <w:r w:rsidRPr="009543E3">
        <w:rPr>
          <w:kern w:val="22"/>
          <w:szCs w:val="22"/>
        </w:rPr>
        <w:t xml:space="preserve"> the Executive Secretary to prepare proposals for the budget for the </w:t>
      </w:r>
      <w:r w:rsidR="005C30B9" w:rsidRPr="009543E3">
        <w:rPr>
          <w:kern w:val="22"/>
          <w:szCs w:val="22"/>
        </w:rPr>
        <w:t xml:space="preserve">biennium </w:t>
      </w:r>
      <w:r w:rsidRPr="009543E3">
        <w:rPr>
          <w:kern w:val="22"/>
          <w:szCs w:val="22"/>
        </w:rPr>
        <w:t>2021-2022;</w:t>
      </w:r>
    </w:p>
    <w:p w14:paraId="6000C905" w14:textId="2117A947" w:rsidR="001467DF" w:rsidRPr="009543E3" w:rsidRDefault="001467DF" w:rsidP="006914CE">
      <w:pPr>
        <w:pStyle w:val="ListParagraph"/>
        <w:numPr>
          <w:ilvl w:val="0"/>
          <w:numId w:val="33"/>
        </w:numPr>
        <w:suppressLineNumbers/>
        <w:shd w:val="clear" w:color="auto" w:fill="FFFFFF" w:themeFill="background1"/>
        <w:suppressAutoHyphens/>
        <w:spacing w:before="120" w:after="120"/>
        <w:ind w:left="0" w:firstLine="720"/>
        <w:contextualSpacing w:val="0"/>
        <w:rPr>
          <w:bCs/>
          <w:iCs/>
          <w:kern w:val="22"/>
          <w:szCs w:val="22"/>
        </w:rPr>
      </w:pPr>
      <w:r w:rsidRPr="009543E3">
        <w:rPr>
          <w:rFonts w:eastAsia="Malgun Gothic"/>
          <w:i/>
          <w:iCs/>
          <w:snapToGrid w:val="0"/>
          <w:kern w:val="22"/>
          <w:szCs w:val="22"/>
          <w:lang w:eastAsia="x-none"/>
        </w:rPr>
        <w:t>Decides</w:t>
      </w:r>
      <w:r w:rsidRPr="009543E3">
        <w:rPr>
          <w:rFonts w:eastAsia="Malgun Gothic"/>
          <w:snapToGrid w:val="0"/>
          <w:kern w:val="22"/>
          <w:szCs w:val="22"/>
          <w:lang w:eastAsia="x-none"/>
        </w:rPr>
        <w:t xml:space="preserve"> to apply, </w:t>
      </w:r>
      <w:r w:rsidRPr="009543E3">
        <w:rPr>
          <w:kern w:val="22"/>
          <w:szCs w:val="22"/>
        </w:rPr>
        <w:t>mutatis mutandis</w:t>
      </w:r>
      <w:r w:rsidRPr="009543E3">
        <w:rPr>
          <w:rFonts w:eastAsia="Malgun Gothic"/>
          <w:snapToGrid w:val="0"/>
          <w:kern w:val="22"/>
          <w:szCs w:val="22"/>
          <w:lang w:eastAsia="x-none"/>
        </w:rPr>
        <w:t>, paragraph</w:t>
      </w:r>
      <w:r w:rsidR="007611ED" w:rsidRPr="009543E3">
        <w:rPr>
          <w:rFonts w:eastAsia="Malgun Gothic"/>
          <w:snapToGrid w:val="0"/>
          <w:kern w:val="22"/>
          <w:szCs w:val="22"/>
          <w:lang w:eastAsia="x-none"/>
        </w:rPr>
        <w:t xml:space="preserve"> </w:t>
      </w:r>
      <w:r w:rsidR="00CC005F" w:rsidRPr="009543E3">
        <w:rPr>
          <w:rFonts w:eastAsia="Malgun Gothic"/>
          <w:snapToGrid w:val="0"/>
          <w:kern w:val="22"/>
          <w:szCs w:val="22"/>
          <w:lang w:eastAsia="x-none"/>
        </w:rPr>
        <w:t>24</w:t>
      </w:r>
      <w:r w:rsidR="007611ED" w:rsidRPr="009543E3">
        <w:rPr>
          <w:rFonts w:eastAsia="Malgun Gothic"/>
          <w:snapToGrid w:val="0"/>
          <w:kern w:val="22"/>
          <w:szCs w:val="22"/>
          <w:lang w:eastAsia="x-none"/>
        </w:rPr>
        <w:t xml:space="preserve">(3) to paragraph </w:t>
      </w:r>
      <w:r w:rsidR="00CC005F" w:rsidRPr="009543E3">
        <w:rPr>
          <w:rFonts w:eastAsia="Malgun Gothic"/>
          <w:snapToGrid w:val="0"/>
          <w:kern w:val="22"/>
          <w:szCs w:val="22"/>
          <w:lang w:eastAsia="x-none"/>
        </w:rPr>
        <w:t>24</w:t>
      </w:r>
      <w:r w:rsidR="007611ED" w:rsidRPr="009543E3">
        <w:rPr>
          <w:rFonts w:eastAsia="Malgun Gothic"/>
          <w:snapToGrid w:val="0"/>
          <w:kern w:val="22"/>
          <w:szCs w:val="22"/>
          <w:lang w:eastAsia="x-none"/>
        </w:rPr>
        <w:t>(14)</w:t>
      </w:r>
      <w:r w:rsidR="005E50F9" w:rsidRPr="009543E3">
        <w:rPr>
          <w:rFonts w:eastAsia="Malgun Gothic"/>
          <w:snapToGrid w:val="0"/>
          <w:kern w:val="22"/>
          <w:szCs w:val="22"/>
          <w:lang w:eastAsia="x-none"/>
        </w:rPr>
        <w:t xml:space="preserve"> </w:t>
      </w:r>
      <w:r w:rsidRPr="009543E3">
        <w:rPr>
          <w:rFonts w:eastAsia="Malgun Gothic"/>
          <w:snapToGrid w:val="0"/>
          <w:kern w:val="22"/>
          <w:szCs w:val="22"/>
          <w:lang w:eastAsia="x-none"/>
        </w:rPr>
        <w:t xml:space="preserve">of </w:t>
      </w:r>
      <w:r w:rsidR="00870E64" w:rsidRPr="009543E3">
        <w:rPr>
          <w:rFonts w:eastAsia="Malgun Gothic"/>
          <w:snapToGrid w:val="0"/>
          <w:kern w:val="22"/>
          <w:szCs w:val="22"/>
          <w:lang w:eastAsia="x-none"/>
        </w:rPr>
        <w:t xml:space="preserve">the </w:t>
      </w:r>
      <w:r w:rsidR="00CC44B0" w:rsidRPr="009543E3">
        <w:rPr>
          <w:rFonts w:eastAsia="Malgun Gothic"/>
          <w:snapToGrid w:val="0"/>
          <w:kern w:val="22"/>
          <w:szCs w:val="22"/>
          <w:lang w:eastAsia="x-none"/>
        </w:rPr>
        <w:t>decision</w:t>
      </w:r>
      <w:r w:rsidR="00870E64" w:rsidRPr="009543E3">
        <w:rPr>
          <w:rFonts w:eastAsia="Malgun Gothic"/>
          <w:snapToGrid w:val="0"/>
          <w:kern w:val="22"/>
          <w:szCs w:val="22"/>
          <w:lang w:eastAsia="x-none"/>
        </w:rPr>
        <w:t xml:space="preserve"> of </w:t>
      </w:r>
      <w:r w:rsidRPr="009543E3">
        <w:rPr>
          <w:rFonts w:eastAsia="Malgun Gothic"/>
          <w:snapToGrid w:val="0"/>
          <w:kern w:val="22"/>
          <w:szCs w:val="22"/>
          <w:lang w:eastAsia="x-none"/>
        </w:rPr>
        <w:t>the Conference of the Parties</w:t>
      </w:r>
      <w:r w:rsidR="002406DC" w:rsidRPr="009543E3">
        <w:rPr>
          <w:rFonts w:eastAsia="Malgun Gothic"/>
          <w:snapToGrid w:val="0"/>
          <w:kern w:val="22"/>
          <w:szCs w:val="22"/>
          <w:lang w:eastAsia="x-none"/>
        </w:rPr>
        <w:t xml:space="preserve"> </w:t>
      </w:r>
      <w:r w:rsidR="00ED4E22" w:rsidRPr="009543E3">
        <w:rPr>
          <w:rFonts w:eastAsia="Malgun Gothic"/>
          <w:snapToGrid w:val="0"/>
          <w:kern w:val="22"/>
          <w:szCs w:val="22"/>
          <w:lang w:eastAsia="x-none"/>
        </w:rPr>
        <w:t>at its second</w:t>
      </w:r>
      <w:r w:rsidR="002406DC" w:rsidRPr="009543E3">
        <w:rPr>
          <w:rFonts w:eastAsia="Malgun Gothic"/>
          <w:snapToGrid w:val="0"/>
          <w:kern w:val="22"/>
          <w:szCs w:val="22"/>
          <w:lang w:eastAsia="x-none"/>
        </w:rPr>
        <w:t xml:space="preserve"> extraordinary meeting</w:t>
      </w:r>
      <w:r w:rsidRPr="009543E3">
        <w:rPr>
          <w:rFonts w:eastAsia="Malgun Gothic"/>
          <w:snapToGrid w:val="0"/>
          <w:kern w:val="22"/>
          <w:szCs w:val="22"/>
          <w:lang w:eastAsia="x-none"/>
        </w:rPr>
        <w:t>.</w:t>
      </w:r>
    </w:p>
    <w:p w14:paraId="631A668F" w14:textId="43D42D72" w:rsidR="00ED54E7" w:rsidRPr="009543E3" w:rsidRDefault="00ED54E7" w:rsidP="006914CE">
      <w:pPr>
        <w:pStyle w:val="ListParagraph"/>
        <w:keepNext/>
        <w:numPr>
          <w:ilvl w:val="0"/>
          <w:numId w:val="20"/>
        </w:numPr>
        <w:suppressLineNumbers/>
        <w:suppressAutoHyphens/>
        <w:spacing w:before="120" w:after="120"/>
        <w:ind w:left="1134" w:hanging="567"/>
        <w:contextualSpacing w:val="0"/>
        <w:outlineLvl w:val="0"/>
        <w:rPr>
          <w:kern w:val="22"/>
          <w:szCs w:val="22"/>
        </w:rPr>
      </w:pPr>
      <w:r w:rsidRPr="009543E3">
        <w:rPr>
          <w:b/>
          <w:iCs/>
          <w:caps/>
          <w:kern w:val="22"/>
          <w:szCs w:val="22"/>
        </w:rPr>
        <w:t>Draft decision for the consideration of the Conference of the Parties serving as the meeting of the Parties</w:t>
      </w:r>
      <w:r w:rsidRPr="009543E3">
        <w:rPr>
          <w:b/>
          <w:iCs/>
          <w:caps/>
          <w:kern w:val="22"/>
          <w:szCs w:val="22"/>
          <w:lang w:eastAsia="x-none"/>
        </w:rPr>
        <w:t xml:space="preserve"> Nagoya Protocol on Access and Benefit</w:t>
      </w:r>
      <w:r w:rsidR="00B56368" w:rsidRPr="009543E3">
        <w:rPr>
          <w:b/>
          <w:iCs/>
          <w:caps/>
          <w:kern w:val="22"/>
          <w:szCs w:val="22"/>
          <w:lang w:eastAsia="x-none"/>
        </w:rPr>
        <w:t>-</w:t>
      </w:r>
      <w:r w:rsidR="0014040C" w:rsidRPr="009543E3">
        <w:rPr>
          <w:b/>
          <w:iCs/>
          <w:caps/>
          <w:kern w:val="22"/>
          <w:szCs w:val="22"/>
          <w:lang w:eastAsia="x-none"/>
        </w:rPr>
        <w:t>s</w:t>
      </w:r>
      <w:r w:rsidRPr="009543E3">
        <w:rPr>
          <w:b/>
          <w:iCs/>
          <w:caps/>
          <w:kern w:val="22"/>
          <w:szCs w:val="22"/>
          <w:lang w:eastAsia="x-none"/>
        </w:rPr>
        <w:t>haring</w:t>
      </w:r>
    </w:p>
    <w:p w14:paraId="33B26116" w14:textId="62E438E4" w:rsidR="00C857BF" w:rsidRPr="009543E3" w:rsidRDefault="00AC3DC6"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The Conference of the Parties serving as the meeting of the Parties to the Nagoya Protocol on Access Benefit-</w:t>
      </w:r>
      <w:r w:rsidR="0014040C" w:rsidRPr="009543E3">
        <w:rPr>
          <w:kern w:val="22"/>
          <w:szCs w:val="22"/>
        </w:rPr>
        <w:t>s</w:t>
      </w:r>
      <w:r w:rsidRPr="009543E3">
        <w:rPr>
          <w:iCs/>
          <w:kern w:val="22"/>
          <w:szCs w:val="22"/>
        </w:rPr>
        <w:t>haring</w:t>
      </w:r>
      <w:r w:rsidRPr="009543E3">
        <w:rPr>
          <w:kern w:val="22"/>
          <w:szCs w:val="22"/>
        </w:rPr>
        <w:t xml:space="preserve"> may wish to adopt a decision along the following lines</w:t>
      </w:r>
      <w:r w:rsidR="009168F9" w:rsidRPr="009543E3">
        <w:rPr>
          <w:kern w:val="22"/>
          <w:szCs w:val="22"/>
        </w:rPr>
        <w:t>:</w:t>
      </w:r>
    </w:p>
    <w:p w14:paraId="4EB8E6D1" w14:textId="68677936" w:rsidR="009168F9" w:rsidRPr="009543E3" w:rsidRDefault="009168F9" w:rsidP="006914CE">
      <w:pPr>
        <w:pStyle w:val="ListParagraph"/>
        <w:suppressLineNumbers/>
        <w:suppressAutoHyphens/>
        <w:spacing w:before="120" w:after="120"/>
        <w:ind w:left="0" w:firstLine="720"/>
        <w:contextualSpacing w:val="0"/>
        <w:rPr>
          <w:kern w:val="22"/>
          <w:szCs w:val="22"/>
        </w:rPr>
      </w:pPr>
      <w:r w:rsidRPr="009543E3">
        <w:rPr>
          <w:i/>
          <w:kern w:val="22"/>
          <w:szCs w:val="22"/>
        </w:rPr>
        <w:t xml:space="preserve">The </w:t>
      </w:r>
      <w:r w:rsidR="0014040C" w:rsidRPr="009543E3">
        <w:rPr>
          <w:i/>
          <w:kern w:val="22"/>
          <w:szCs w:val="22"/>
        </w:rPr>
        <w:t>Conference of the Parties serving as the meeting of the Parties to the Nagoya Protocol on Access Benefit-</w:t>
      </w:r>
      <w:r w:rsidR="00020831" w:rsidRPr="009543E3">
        <w:rPr>
          <w:i/>
          <w:kern w:val="22"/>
          <w:szCs w:val="22"/>
        </w:rPr>
        <w:t>s</w:t>
      </w:r>
      <w:r w:rsidR="0014040C" w:rsidRPr="009543E3">
        <w:rPr>
          <w:i/>
          <w:kern w:val="22"/>
          <w:szCs w:val="22"/>
        </w:rPr>
        <w:t>haring,</w:t>
      </w:r>
    </w:p>
    <w:p w14:paraId="5D435A4A" w14:textId="1485E6AC" w:rsidR="00C857BF" w:rsidRPr="009543E3" w:rsidRDefault="00C857BF" w:rsidP="006914CE">
      <w:pPr>
        <w:suppressLineNumbers/>
        <w:suppressAutoHyphens/>
        <w:spacing w:before="120" w:after="120"/>
        <w:ind w:firstLine="720"/>
        <w:rPr>
          <w:kern w:val="22"/>
          <w:szCs w:val="22"/>
        </w:rPr>
      </w:pPr>
      <w:r w:rsidRPr="009543E3">
        <w:rPr>
          <w:i/>
          <w:kern w:val="22"/>
          <w:szCs w:val="22"/>
        </w:rPr>
        <w:t>Recalling</w:t>
      </w:r>
      <w:r w:rsidRPr="009543E3">
        <w:rPr>
          <w:kern w:val="22"/>
          <w:szCs w:val="22"/>
        </w:rPr>
        <w:t xml:space="preserve"> its decision </w:t>
      </w:r>
      <w:r w:rsidR="009A7A14" w:rsidRPr="009543E3">
        <w:rPr>
          <w:kern w:val="22"/>
          <w:szCs w:val="22"/>
        </w:rPr>
        <w:t>3</w:t>
      </w:r>
      <w:r w:rsidRPr="009543E3">
        <w:rPr>
          <w:kern w:val="22"/>
          <w:szCs w:val="22"/>
        </w:rPr>
        <w:t>/16</w:t>
      </w:r>
      <w:r w:rsidR="006D7DDC" w:rsidRPr="009543E3">
        <w:rPr>
          <w:kern w:val="22"/>
          <w:szCs w:val="22"/>
        </w:rPr>
        <w:t>, in</w:t>
      </w:r>
      <w:r w:rsidRPr="009543E3">
        <w:rPr>
          <w:kern w:val="22"/>
          <w:szCs w:val="22"/>
        </w:rPr>
        <w:t xml:space="preserve"> which </w:t>
      </w:r>
      <w:r w:rsidR="006D7DDC" w:rsidRPr="009543E3">
        <w:rPr>
          <w:kern w:val="22"/>
          <w:szCs w:val="22"/>
        </w:rPr>
        <w:t>it approved the</w:t>
      </w:r>
      <w:r w:rsidRPr="009543E3">
        <w:rPr>
          <w:kern w:val="22"/>
          <w:szCs w:val="22"/>
        </w:rPr>
        <w:t xml:space="preserve"> budget for the biennium 2019-2020,</w:t>
      </w:r>
    </w:p>
    <w:p w14:paraId="7BEBA5CA" w14:textId="3ED7E823" w:rsidR="00C857BF" w:rsidRPr="009543E3" w:rsidRDefault="00C857BF" w:rsidP="006914CE">
      <w:pPr>
        <w:suppressLineNumbers/>
        <w:suppressAutoHyphens/>
        <w:spacing w:before="120" w:after="120"/>
        <w:ind w:firstLine="720"/>
        <w:rPr>
          <w:kern w:val="22"/>
          <w:szCs w:val="22"/>
        </w:rPr>
      </w:pPr>
      <w:r w:rsidRPr="009543E3">
        <w:rPr>
          <w:i/>
          <w:kern w:val="22"/>
          <w:szCs w:val="22"/>
        </w:rPr>
        <w:t>Considering</w:t>
      </w:r>
      <w:r w:rsidRPr="009543E3">
        <w:rPr>
          <w:kern w:val="22"/>
          <w:szCs w:val="22"/>
        </w:rPr>
        <w:t xml:space="preserve"> that the </w:t>
      </w:r>
      <w:r w:rsidR="009A7A14" w:rsidRPr="009543E3">
        <w:rPr>
          <w:kern w:val="22"/>
          <w:szCs w:val="22"/>
        </w:rPr>
        <w:t>fourth</w:t>
      </w:r>
      <w:r w:rsidRPr="009543E3">
        <w:rPr>
          <w:kern w:val="22"/>
          <w:szCs w:val="22"/>
        </w:rPr>
        <w:t xml:space="preserve"> meeting of the Conference of the Parties serving as the meeting of the Parties to the </w:t>
      </w:r>
      <w:r w:rsidR="009A7A14" w:rsidRPr="009543E3">
        <w:rPr>
          <w:kern w:val="22"/>
          <w:szCs w:val="22"/>
        </w:rPr>
        <w:t>Nagoya</w:t>
      </w:r>
      <w:r w:rsidRPr="009543E3">
        <w:rPr>
          <w:kern w:val="22"/>
          <w:szCs w:val="22"/>
        </w:rPr>
        <w:t xml:space="preserve"> Protocol has been postponed until 2021 due to constraints arising from the COVID</w:t>
      </w:r>
      <w:r w:rsidR="00757EB0" w:rsidRPr="009543E3">
        <w:rPr>
          <w:kern w:val="22"/>
          <w:szCs w:val="22"/>
        </w:rPr>
        <w:noBreakHyphen/>
      </w:r>
      <w:r w:rsidRPr="009543E3">
        <w:rPr>
          <w:kern w:val="22"/>
          <w:szCs w:val="22"/>
        </w:rPr>
        <w:t>19 pandemic,</w:t>
      </w:r>
    </w:p>
    <w:p w14:paraId="1A443F94" w14:textId="74574D2C" w:rsidR="00C857BF" w:rsidRPr="009543E3" w:rsidRDefault="00C857BF" w:rsidP="006914CE">
      <w:pPr>
        <w:suppressLineNumbers/>
        <w:suppressAutoHyphens/>
        <w:spacing w:before="120" w:after="120"/>
        <w:ind w:firstLine="720"/>
        <w:rPr>
          <w:kern w:val="22"/>
          <w:szCs w:val="22"/>
        </w:rPr>
      </w:pPr>
      <w:r w:rsidRPr="009543E3">
        <w:rPr>
          <w:i/>
          <w:kern w:val="22"/>
          <w:szCs w:val="22"/>
        </w:rPr>
        <w:t>Noting</w:t>
      </w:r>
      <w:r w:rsidRPr="009543E3">
        <w:rPr>
          <w:kern w:val="22"/>
          <w:szCs w:val="22"/>
        </w:rPr>
        <w:t xml:space="preserve">, therefore, the need to </w:t>
      </w:r>
      <w:proofErr w:type="gramStart"/>
      <w:r w:rsidRPr="009543E3">
        <w:rPr>
          <w:kern w:val="22"/>
          <w:szCs w:val="22"/>
        </w:rPr>
        <w:t>make arrangements</w:t>
      </w:r>
      <w:proofErr w:type="gramEnd"/>
      <w:r w:rsidRPr="009543E3">
        <w:rPr>
          <w:kern w:val="22"/>
          <w:szCs w:val="22"/>
        </w:rPr>
        <w:t xml:space="preserve"> to allow the continued functioning of </w:t>
      </w:r>
      <w:r w:rsidR="00FE411D" w:rsidRPr="009543E3">
        <w:rPr>
          <w:kern w:val="22"/>
          <w:szCs w:val="22"/>
        </w:rPr>
        <w:t xml:space="preserve">the </w:t>
      </w:r>
      <w:r w:rsidRPr="009543E3">
        <w:rPr>
          <w:kern w:val="22"/>
          <w:szCs w:val="22"/>
        </w:rPr>
        <w:t xml:space="preserve">organs of the </w:t>
      </w:r>
      <w:r w:rsidR="00FE411D" w:rsidRPr="009543E3">
        <w:rPr>
          <w:kern w:val="22"/>
          <w:szCs w:val="22"/>
        </w:rPr>
        <w:t xml:space="preserve">Protocol, </w:t>
      </w:r>
      <w:r w:rsidRPr="009543E3">
        <w:rPr>
          <w:kern w:val="22"/>
          <w:szCs w:val="22"/>
        </w:rPr>
        <w:t xml:space="preserve">including its Secretariat and </w:t>
      </w:r>
      <w:r w:rsidR="00FE411D" w:rsidRPr="009543E3">
        <w:rPr>
          <w:kern w:val="22"/>
          <w:szCs w:val="22"/>
        </w:rPr>
        <w:t xml:space="preserve">the </w:t>
      </w:r>
      <w:r w:rsidRPr="009543E3">
        <w:rPr>
          <w:kern w:val="22"/>
          <w:szCs w:val="22"/>
        </w:rPr>
        <w:t>meetings of its Parties and its subsidiary bodies,</w:t>
      </w:r>
    </w:p>
    <w:p w14:paraId="2A9EA966" w14:textId="7C41E0FC" w:rsidR="00C857BF" w:rsidRPr="009543E3" w:rsidRDefault="00C857BF">
      <w:pPr>
        <w:suppressLineNumbers/>
        <w:suppressAutoHyphens/>
        <w:spacing w:before="120" w:after="120"/>
        <w:ind w:firstLine="720"/>
        <w:rPr>
          <w:rFonts w:eastAsia="Malgun Gothic"/>
          <w:kern w:val="22"/>
          <w:szCs w:val="22"/>
          <w:lang w:eastAsia="x-none"/>
        </w:rPr>
      </w:pPr>
      <w:r w:rsidRPr="009543E3">
        <w:rPr>
          <w:i/>
          <w:kern w:val="22"/>
          <w:szCs w:val="22"/>
        </w:rPr>
        <w:t>Taking note</w:t>
      </w:r>
      <w:r w:rsidRPr="009543E3">
        <w:rPr>
          <w:kern w:val="22"/>
          <w:szCs w:val="22"/>
        </w:rPr>
        <w:t xml:space="preserve"> of the proposal of </w:t>
      </w:r>
      <w:r w:rsidRPr="009543E3">
        <w:rPr>
          <w:rFonts w:eastAsia="Malgun Gothic"/>
          <w:kern w:val="22"/>
          <w:szCs w:val="22"/>
          <w:lang w:eastAsia="x-none"/>
        </w:rPr>
        <w:t>the Bureau of the Conference of the Parties that, on an exceptional basis, the Parties consider and approve an interim budget for 2021 through agreed modalities,</w:t>
      </w:r>
    </w:p>
    <w:p w14:paraId="06612FAB" w14:textId="36B70D3F" w:rsidR="00443939" w:rsidRPr="009543E3" w:rsidRDefault="00443939" w:rsidP="006914CE">
      <w:pPr>
        <w:suppressLineNumbers/>
        <w:suppressAutoHyphens/>
        <w:spacing w:before="120" w:after="120"/>
        <w:ind w:firstLine="720"/>
        <w:rPr>
          <w:kern w:val="22"/>
          <w:szCs w:val="22"/>
        </w:rPr>
      </w:pPr>
      <w:r w:rsidRPr="009543E3">
        <w:rPr>
          <w:i/>
          <w:iCs/>
          <w:kern w:val="22"/>
          <w:szCs w:val="22"/>
        </w:rPr>
        <w:t>Taking note also</w:t>
      </w:r>
      <w:r w:rsidRPr="009543E3">
        <w:rPr>
          <w:kern w:val="22"/>
          <w:szCs w:val="22"/>
        </w:rPr>
        <w:t xml:space="preserve"> of the note by the Executive Secretary,</w:t>
      </w:r>
      <w:r w:rsidRPr="009543E3">
        <w:rPr>
          <w:rStyle w:val="FootnoteReference"/>
          <w:kern w:val="22"/>
          <w:szCs w:val="22"/>
        </w:rPr>
        <w:footnoteReference w:id="10"/>
      </w:r>
    </w:p>
    <w:p w14:paraId="0E54D9F2" w14:textId="6E3253C4" w:rsidR="0065222F" w:rsidRPr="009543E3" w:rsidRDefault="0065222F" w:rsidP="006914CE">
      <w:pPr>
        <w:pStyle w:val="ListParagraph"/>
        <w:numPr>
          <w:ilvl w:val="0"/>
          <w:numId w:val="34"/>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 up to 31 December 2021, or</w:t>
      </w:r>
      <w:r w:rsidR="007645D0" w:rsidRPr="009543E3">
        <w:rPr>
          <w:kern w:val="22"/>
          <w:szCs w:val="22"/>
        </w:rPr>
        <w:t>,</w:t>
      </w:r>
      <w:r w:rsidRPr="009543E3">
        <w:rPr>
          <w:kern w:val="22"/>
          <w:szCs w:val="22"/>
        </w:rPr>
        <w:t xml:space="preserve"> in the case that </w:t>
      </w:r>
      <w:r w:rsidR="00550B90" w:rsidRPr="009543E3">
        <w:rPr>
          <w:kern w:val="22"/>
          <w:szCs w:val="22"/>
        </w:rPr>
        <w:t>the fourth meeting of the Conference of the Parties serving as the meeting of the Parties to the Nagoya Protocol</w:t>
      </w:r>
      <w:r w:rsidRPr="009543E3">
        <w:rPr>
          <w:kern w:val="22"/>
          <w:szCs w:val="22"/>
        </w:rPr>
        <w:t xml:space="preserve"> is not held during 2021, until the end of the month following the closure of </w:t>
      </w:r>
      <w:r w:rsidR="00550B90" w:rsidRPr="009543E3">
        <w:rPr>
          <w:kern w:val="22"/>
          <w:szCs w:val="22"/>
        </w:rPr>
        <w:t xml:space="preserve">the </w:t>
      </w:r>
      <w:r w:rsidR="00481281" w:rsidRPr="009543E3">
        <w:rPr>
          <w:kern w:val="22"/>
          <w:szCs w:val="22"/>
        </w:rPr>
        <w:t>fourth meeting of the Conference of the Parties serving as the meeting of the Parties to the Nagoya Protocol</w:t>
      </w:r>
      <w:r w:rsidRPr="009543E3">
        <w:rPr>
          <w:kern w:val="22"/>
          <w:szCs w:val="22"/>
        </w:rPr>
        <w:t>, the validity of the funds allocated in the 2019</w:t>
      </w:r>
      <w:r w:rsidR="00481281" w:rsidRPr="009543E3">
        <w:rPr>
          <w:kern w:val="22"/>
          <w:szCs w:val="22"/>
        </w:rPr>
        <w:noBreakHyphen/>
      </w:r>
      <w:r w:rsidRPr="009543E3">
        <w:rPr>
          <w:kern w:val="22"/>
          <w:szCs w:val="22"/>
        </w:rPr>
        <w:t xml:space="preserve">2020 budget </w:t>
      </w:r>
      <w:r w:rsidR="003470DA" w:rsidRPr="009543E3">
        <w:rPr>
          <w:kern w:val="22"/>
          <w:szCs w:val="22"/>
        </w:rPr>
        <w:t xml:space="preserve">and </w:t>
      </w:r>
      <w:r w:rsidRPr="009543E3">
        <w:rPr>
          <w:kern w:val="22"/>
          <w:szCs w:val="22"/>
        </w:rPr>
        <w:t xml:space="preserve">associated with the costs of </w:t>
      </w:r>
      <w:r w:rsidR="007E3995" w:rsidRPr="009543E3">
        <w:rPr>
          <w:kern w:val="22"/>
          <w:szCs w:val="22"/>
        </w:rPr>
        <w:t xml:space="preserve">the </w:t>
      </w:r>
      <w:r w:rsidRPr="009543E3">
        <w:rPr>
          <w:kern w:val="22"/>
          <w:szCs w:val="22"/>
        </w:rPr>
        <w:t xml:space="preserve">meetings of the </w:t>
      </w:r>
      <w:r w:rsidR="00481281" w:rsidRPr="009543E3">
        <w:rPr>
          <w:kern w:val="22"/>
          <w:szCs w:val="22"/>
        </w:rPr>
        <w:t xml:space="preserve">Conference of the Parties </w:t>
      </w:r>
      <w:r w:rsidR="007E3995" w:rsidRPr="009543E3">
        <w:rPr>
          <w:iCs/>
          <w:kern w:val="22"/>
          <w:szCs w:val="22"/>
        </w:rPr>
        <w:t xml:space="preserve">serving as the meeting of the Parties to the Nagoya Protocol </w:t>
      </w:r>
      <w:r w:rsidRPr="009543E3">
        <w:rPr>
          <w:kern w:val="22"/>
          <w:szCs w:val="22"/>
        </w:rPr>
        <w:t xml:space="preserve">and its subsidiary bodies that are postponed from the </w:t>
      </w:r>
      <w:r w:rsidR="008E6569" w:rsidRPr="009543E3">
        <w:rPr>
          <w:kern w:val="22"/>
          <w:szCs w:val="22"/>
        </w:rPr>
        <w:t xml:space="preserve">biennium </w:t>
      </w:r>
      <w:r w:rsidRPr="009543E3">
        <w:rPr>
          <w:kern w:val="22"/>
          <w:szCs w:val="22"/>
        </w:rPr>
        <w:t>2019-2020;</w:t>
      </w:r>
    </w:p>
    <w:p w14:paraId="238F404F" w14:textId="2F51CCAF" w:rsidR="00645F7F" w:rsidRPr="009543E3" w:rsidRDefault="00645F7F">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ko-KR"/>
        </w:rPr>
      </w:pPr>
      <w:r w:rsidRPr="009543E3">
        <w:rPr>
          <w:rFonts w:eastAsia="Malgun Gothic"/>
          <w:i/>
          <w:kern w:val="22"/>
          <w:szCs w:val="22"/>
          <w:lang w:eastAsia="x-none"/>
        </w:rPr>
        <w:t>Approves,</w:t>
      </w:r>
      <w:r w:rsidRPr="009543E3">
        <w:rPr>
          <w:rFonts w:eastAsia="Malgun Gothic"/>
          <w:kern w:val="22"/>
          <w:szCs w:val="22"/>
          <w:lang w:eastAsia="x-none"/>
        </w:rPr>
        <w:t xml:space="preserve"> on an exceptional basis, an interim core programme budget for the Nagoya</w:t>
      </w:r>
      <w:r w:rsidRPr="009543E3">
        <w:rPr>
          <w:rFonts w:eastAsia="Malgun Gothic"/>
          <w:snapToGrid w:val="0"/>
          <w:kern w:val="22"/>
          <w:szCs w:val="22"/>
          <w:lang w:eastAsia="x-none"/>
        </w:rPr>
        <w:t xml:space="preserve"> Protocol on </w:t>
      </w:r>
      <w:r w:rsidRPr="009543E3">
        <w:rPr>
          <w:rFonts w:eastAsia="Malgun Gothic"/>
          <w:kern w:val="22"/>
          <w:szCs w:val="22"/>
          <w:lang w:eastAsia="x-none"/>
        </w:rPr>
        <w:t>Access and Benefit</w:t>
      </w:r>
      <w:r w:rsidR="00DC203F" w:rsidRPr="009543E3">
        <w:rPr>
          <w:rFonts w:eastAsia="Malgun Gothic"/>
          <w:kern w:val="22"/>
          <w:szCs w:val="22"/>
          <w:lang w:eastAsia="x-none"/>
        </w:rPr>
        <w:t>-s</w:t>
      </w:r>
      <w:r w:rsidRPr="009543E3">
        <w:rPr>
          <w:rFonts w:eastAsia="Malgun Gothic"/>
          <w:kern w:val="22"/>
          <w:szCs w:val="22"/>
          <w:lang w:eastAsia="x-none"/>
        </w:rPr>
        <w:t>haring of 1,863,</w:t>
      </w:r>
      <w:r w:rsidR="00DB2109" w:rsidRPr="009543E3">
        <w:rPr>
          <w:rFonts w:eastAsia="Malgun Gothic"/>
          <w:kern w:val="22"/>
          <w:szCs w:val="22"/>
          <w:lang w:eastAsia="x-none"/>
        </w:rPr>
        <w:t xml:space="preserve">818 </w:t>
      </w:r>
      <w:r w:rsidRPr="009543E3">
        <w:rPr>
          <w:rFonts w:eastAsia="Malgun Gothic"/>
          <w:kern w:val="22"/>
          <w:szCs w:val="22"/>
          <w:lang w:eastAsia="x-none"/>
        </w:rPr>
        <w:t>United States dollars for the year 2021, representing 11</w:t>
      </w:r>
      <w:r w:rsidRPr="009543E3">
        <w:rPr>
          <w:kern w:val="22"/>
          <w:szCs w:val="22"/>
        </w:rPr>
        <w:t> per cent</w:t>
      </w:r>
      <w:r w:rsidRPr="009543E3">
        <w:rPr>
          <w:rFonts w:eastAsia="Malgun Gothic"/>
          <w:kern w:val="22"/>
          <w:szCs w:val="22"/>
          <w:lang w:eastAsia="x-none"/>
        </w:rPr>
        <w:t xml:space="preserve"> of the integrated interim budget of 16,943,</w:t>
      </w:r>
      <w:r w:rsidR="00DB2109" w:rsidRPr="009543E3">
        <w:rPr>
          <w:rFonts w:eastAsia="Malgun Gothic"/>
          <w:kern w:val="22"/>
          <w:szCs w:val="22"/>
          <w:lang w:eastAsia="x-none"/>
        </w:rPr>
        <w:t xml:space="preserve">800 </w:t>
      </w:r>
      <w:r w:rsidRPr="009543E3">
        <w:rPr>
          <w:rFonts w:eastAsia="Malgun Gothic"/>
          <w:kern w:val="22"/>
          <w:szCs w:val="22"/>
          <w:lang w:eastAsia="x-none"/>
        </w:rPr>
        <w:t xml:space="preserve">United States dollars for the year 2021, for the purposes listed in tables 5a and 5b </w:t>
      </w:r>
      <w:r w:rsidR="007E3995" w:rsidRPr="009543E3">
        <w:rPr>
          <w:rFonts w:eastAsia="Malgun Gothic"/>
          <w:color w:val="000000" w:themeColor="text1"/>
          <w:kern w:val="22"/>
          <w:szCs w:val="22"/>
          <w:lang w:eastAsia="x-none"/>
        </w:rPr>
        <w:t>above</w:t>
      </w:r>
      <w:r w:rsidRPr="009543E3">
        <w:rPr>
          <w:rFonts w:eastAsia="Malgun Gothic"/>
          <w:kern w:val="22"/>
          <w:szCs w:val="22"/>
          <w:lang w:eastAsia="x-none"/>
        </w:rPr>
        <w:t>;</w:t>
      </w:r>
    </w:p>
    <w:p w14:paraId="0C352D65" w14:textId="6B2EFF0E" w:rsidR="001D1246" w:rsidRPr="009543E3" w:rsidRDefault="005C30B9" w:rsidP="006914CE">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ko-KR"/>
        </w:rPr>
      </w:pPr>
      <w:r w:rsidRPr="009543E3">
        <w:rPr>
          <w:i/>
          <w:iCs/>
          <w:kern w:val="22"/>
          <w:szCs w:val="22"/>
        </w:rPr>
        <w:t>R</w:t>
      </w:r>
      <w:r w:rsidR="001D1246" w:rsidRPr="009543E3">
        <w:rPr>
          <w:i/>
          <w:iCs/>
          <w:kern w:val="22"/>
          <w:szCs w:val="22"/>
        </w:rPr>
        <w:t>equests</w:t>
      </w:r>
      <w:r w:rsidR="001D1246" w:rsidRPr="009543E3">
        <w:rPr>
          <w:kern w:val="22"/>
          <w:szCs w:val="22"/>
        </w:rPr>
        <w:t xml:space="preserve"> the Executive Secretary to prepare proposals for the budget for the </w:t>
      </w:r>
      <w:r w:rsidRPr="009543E3">
        <w:rPr>
          <w:kern w:val="22"/>
          <w:szCs w:val="22"/>
        </w:rPr>
        <w:t xml:space="preserve">biennium </w:t>
      </w:r>
      <w:r w:rsidR="001D1246" w:rsidRPr="009543E3">
        <w:rPr>
          <w:kern w:val="22"/>
          <w:szCs w:val="22"/>
        </w:rPr>
        <w:t>2021-2022;</w:t>
      </w:r>
    </w:p>
    <w:p w14:paraId="27D546FE" w14:textId="646E304D" w:rsidR="001467DF" w:rsidRPr="009543E3" w:rsidRDefault="007611ED" w:rsidP="006914CE">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x-none"/>
        </w:rPr>
      </w:pPr>
      <w:r w:rsidRPr="009543E3">
        <w:rPr>
          <w:rFonts w:eastAsia="Malgun Gothic"/>
          <w:i/>
          <w:snapToGrid w:val="0"/>
          <w:kern w:val="22"/>
          <w:szCs w:val="22"/>
          <w:lang w:eastAsia="x-none"/>
        </w:rPr>
        <w:t>Decides</w:t>
      </w:r>
      <w:r w:rsidRPr="009543E3">
        <w:rPr>
          <w:rFonts w:eastAsia="Malgun Gothic"/>
          <w:snapToGrid w:val="0"/>
          <w:kern w:val="22"/>
          <w:szCs w:val="22"/>
          <w:lang w:eastAsia="x-none"/>
        </w:rPr>
        <w:t xml:space="preserve"> to apply, </w:t>
      </w:r>
      <w:r w:rsidRPr="009543E3">
        <w:rPr>
          <w:kern w:val="22"/>
          <w:szCs w:val="22"/>
        </w:rPr>
        <w:t>mutatis mutandis</w:t>
      </w:r>
      <w:r w:rsidRPr="009543E3">
        <w:rPr>
          <w:rFonts w:eastAsia="Malgun Gothic"/>
          <w:snapToGrid w:val="0"/>
          <w:kern w:val="22"/>
          <w:szCs w:val="22"/>
          <w:lang w:eastAsia="x-none"/>
        </w:rPr>
        <w:t>, paragraph 2</w:t>
      </w:r>
      <w:r w:rsidR="00CC005F" w:rsidRPr="009543E3">
        <w:rPr>
          <w:rFonts w:eastAsia="Malgun Gothic"/>
          <w:snapToGrid w:val="0"/>
          <w:kern w:val="22"/>
          <w:szCs w:val="22"/>
          <w:lang w:eastAsia="x-none"/>
        </w:rPr>
        <w:t>4</w:t>
      </w:r>
      <w:r w:rsidRPr="009543E3">
        <w:rPr>
          <w:rFonts w:eastAsia="Malgun Gothic"/>
          <w:snapToGrid w:val="0"/>
          <w:kern w:val="22"/>
          <w:szCs w:val="22"/>
          <w:lang w:eastAsia="x-none"/>
        </w:rPr>
        <w:t xml:space="preserve">(3) to paragraph </w:t>
      </w:r>
      <w:r w:rsidR="00CC005F" w:rsidRPr="009543E3">
        <w:rPr>
          <w:rFonts w:eastAsia="Malgun Gothic"/>
          <w:snapToGrid w:val="0"/>
          <w:kern w:val="22"/>
          <w:szCs w:val="22"/>
          <w:lang w:eastAsia="x-none"/>
        </w:rPr>
        <w:t>24</w:t>
      </w:r>
      <w:r w:rsidRPr="009543E3">
        <w:rPr>
          <w:rFonts w:eastAsia="Malgun Gothic"/>
          <w:snapToGrid w:val="0"/>
          <w:kern w:val="22"/>
          <w:szCs w:val="22"/>
          <w:lang w:eastAsia="x-none"/>
        </w:rPr>
        <w:t>(14)</w:t>
      </w:r>
      <w:r w:rsidR="00DC203F" w:rsidRPr="009543E3">
        <w:rPr>
          <w:rFonts w:eastAsia="Malgun Gothic"/>
          <w:snapToGrid w:val="0"/>
          <w:kern w:val="22"/>
          <w:szCs w:val="22"/>
          <w:lang w:eastAsia="x-none"/>
        </w:rPr>
        <w:t xml:space="preserve"> </w:t>
      </w:r>
      <w:r w:rsidRPr="009543E3">
        <w:rPr>
          <w:rFonts w:eastAsia="Malgun Gothic"/>
          <w:snapToGrid w:val="0"/>
          <w:kern w:val="22"/>
          <w:szCs w:val="22"/>
          <w:lang w:eastAsia="x-none"/>
        </w:rPr>
        <w:t xml:space="preserve">of the decision </w:t>
      </w:r>
      <w:r w:rsidR="008E0743" w:rsidRPr="009543E3">
        <w:rPr>
          <w:rFonts w:eastAsia="Malgun Gothic"/>
          <w:snapToGrid w:val="0"/>
          <w:kern w:val="22"/>
          <w:szCs w:val="22"/>
          <w:lang w:eastAsia="x-none"/>
        </w:rPr>
        <w:t xml:space="preserve">of </w:t>
      </w:r>
      <w:r w:rsidRPr="009543E3">
        <w:rPr>
          <w:rFonts w:eastAsia="Malgun Gothic"/>
          <w:snapToGrid w:val="0"/>
          <w:kern w:val="22"/>
          <w:szCs w:val="22"/>
          <w:lang w:eastAsia="x-none"/>
        </w:rPr>
        <w:t>the Conference of the Parties</w:t>
      </w:r>
      <w:r w:rsidR="00ED6D69" w:rsidRPr="009543E3">
        <w:rPr>
          <w:rFonts w:eastAsia="Malgun Gothic"/>
          <w:snapToGrid w:val="0"/>
          <w:kern w:val="22"/>
          <w:szCs w:val="22"/>
          <w:lang w:eastAsia="x-none"/>
        </w:rPr>
        <w:t xml:space="preserve"> at its </w:t>
      </w:r>
      <w:r w:rsidR="008E0743" w:rsidRPr="009543E3">
        <w:rPr>
          <w:rFonts w:eastAsia="Malgun Gothic"/>
          <w:snapToGrid w:val="0"/>
          <w:kern w:val="22"/>
          <w:szCs w:val="22"/>
          <w:lang w:eastAsia="x-none"/>
        </w:rPr>
        <w:t xml:space="preserve">second </w:t>
      </w:r>
      <w:r w:rsidR="00ED6D69" w:rsidRPr="009543E3">
        <w:rPr>
          <w:rFonts w:eastAsia="Malgun Gothic"/>
          <w:snapToGrid w:val="0"/>
          <w:kern w:val="22"/>
          <w:szCs w:val="22"/>
          <w:lang w:eastAsia="x-none"/>
        </w:rPr>
        <w:t>extraordinary meeting</w:t>
      </w:r>
      <w:r w:rsidR="00870E64" w:rsidRPr="009543E3">
        <w:rPr>
          <w:rFonts w:eastAsia="Malgun Gothic"/>
          <w:snapToGrid w:val="0"/>
          <w:kern w:val="22"/>
          <w:szCs w:val="22"/>
          <w:lang w:eastAsia="x-none"/>
        </w:rPr>
        <w:t>.</w:t>
      </w:r>
    </w:p>
    <w:p w14:paraId="7632870B" w14:textId="0B73A3CA" w:rsidR="00AF01C2" w:rsidRPr="009543E3" w:rsidRDefault="00AF01C2" w:rsidP="006914CE">
      <w:pPr>
        <w:suppressLineNumbers/>
        <w:suppressAutoHyphens/>
        <w:spacing w:before="120" w:after="120"/>
        <w:rPr>
          <w:bCs/>
          <w:kern w:val="22"/>
          <w:szCs w:val="22"/>
        </w:rPr>
      </w:pPr>
    </w:p>
    <w:p w14:paraId="3782C0FB" w14:textId="03DED81F" w:rsidR="001168DF" w:rsidRPr="009543E3" w:rsidRDefault="00ED362B" w:rsidP="006914CE">
      <w:pPr>
        <w:pStyle w:val="Default"/>
        <w:keepNext/>
        <w:keepLines/>
        <w:suppressLineNumbers/>
        <w:suppressAutoHyphens/>
        <w:jc w:val="both"/>
        <w:rPr>
          <w:b/>
          <w:color w:val="000000" w:themeColor="text1"/>
          <w:kern w:val="22"/>
          <w:sz w:val="22"/>
          <w:szCs w:val="22"/>
          <w:lang w:val="en-GB"/>
        </w:rPr>
      </w:pPr>
      <w:r w:rsidRPr="009543E3">
        <w:rPr>
          <w:b/>
          <w:color w:val="000000" w:themeColor="text1"/>
          <w:kern w:val="22"/>
          <w:sz w:val="22"/>
          <w:szCs w:val="22"/>
          <w:lang w:val="en-GB"/>
        </w:rPr>
        <w:lastRenderedPageBreak/>
        <w:t xml:space="preserve">Table </w:t>
      </w:r>
      <w:r w:rsidR="004A4638" w:rsidRPr="009543E3">
        <w:rPr>
          <w:b/>
          <w:color w:val="000000" w:themeColor="text1"/>
          <w:kern w:val="22"/>
          <w:sz w:val="22"/>
          <w:szCs w:val="22"/>
          <w:lang w:val="en-GB"/>
        </w:rPr>
        <w:t>6</w:t>
      </w:r>
    </w:p>
    <w:p w14:paraId="4618EE10" w14:textId="1631DE4A" w:rsidR="0074350D" w:rsidRPr="009543E3" w:rsidRDefault="00ED362B" w:rsidP="006914CE">
      <w:pPr>
        <w:pStyle w:val="Default"/>
        <w:keepNext/>
        <w:keepLines/>
        <w:suppressLineNumbers/>
        <w:suppressAutoHyphens/>
        <w:jc w:val="both"/>
        <w:rPr>
          <w:bCs/>
          <w:color w:val="000000" w:themeColor="text1"/>
          <w:kern w:val="22"/>
          <w:sz w:val="22"/>
          <w:szCs w:val="22"/>
          <w:lang w:val="en-GB"/>
        </w:rPr>
      </w:pPr>
      <w:r w:rsidRPr="009543E3">
        <w:rPr>
          <w:b/>
          <w:color w:val="000000" w:themeColor="text1"/>
          <w:kern w:val="22"/>
          <w:sz w:val="22"/>
          <w:szCs w:val="22"/>
          <w:lang w:val="en-GB"/>
        </w:rPr>
        <w:t>Secretariat staffing requirements from the core budgets of the Convention and its Protocols 2021</w:t>
      </w:r>
    </w:p>
    <w:p w14:paraId="386F0107" w14:textId="77777777" w:rsidR="0074350D" w:rsidRPr="009543E3" w:rsidRDefault="0074350D" w:rsidP="006914CE">
      <w:pPr>
        <w:keepNext/>
        <w:keepLines/>
        <w:suppressLineNumbers/>
        <w:suppressAutoHyphens/>
        <w:rPr>
          <w:kern w:val="22"/>
          <w:szCs w:val="22"/>
        </w:rPr>
      </w:pPr>
    </w:p>
    <w:tbl>
      <w:tblPr>
        <w:tblW w:w="9073" w:type="dxa"/>
        <w:jc w:val="center"/>
        <w:tblLook w:val="04A0" w:firstRow="1" w:lastRow="0" w:firstColumn="1" w:lastColumn="0" w:noHBand="0" w:noVBand="1"/>
      </w:tblPr>
      <w:tblGrid>
        <w:gridCol w:w="3651"/>
        <w:gridCol w:w="1807"/>
        <w:gridCol w:w="1807"/>
        <w:gridCol w:w="1808"/>
      </w:tblGrid>
      <w:tr w:rsidR="00C302BB" w:rsidRPr="009543E3" w14:paraId="54EBEB76" w14:textId="41668475" w:rsidTr="006914CE">
        <w:trPr>
          <w:cantSplit/>
          <w:jc w:val="center"/>
        </w:trPr>
        <w:tc>
          <w:tcPr>
            <w:tcW w:w="3651" w:type="dxa"/>
            <w:tcBorders>
              <w:top w:val="nil"/>
              <w:left w:val="nil"/>
              <w:bottom w:val="single" w:sz="8" w:space="0" w:color="auto"/>
              <w:right w:val="nil"/>
            </w:tcBorders>
            <w:shd w:val="clear" w:color="auto" w:fill="auto"/>
            <w:vAlign w:val="center"/>
            <w:hideMark/>
          </w:tcPr>
          <w:p w14:paraId="0717C7E7" w14:textId="0A6AF1AF" w:rsidR="00C302BB" w:rsidRPr="009543E3" w:rsidRDefault="00A145FB" w:rsidP="006914CE">
            <w:pPr>
              <w:keepNext/>
              <w:keepLines/>
              <w:suppressLineNumbers/>
              <w:suppressAutoHyphens/>
              <w:jc w:val="center"/>
              <w:rPr>
                <w:i/>
                <w:color w:val="000000" w:themeColor="text1"/>
                <w:kern w:val="22"/>
                <w:szCs w:val="22"/>
              </w:rPr>
            </w:pPr>
            <w:r w:rsidRPr="009543E3">
              <w:rPr>
                <w:i/>
                <w:color w:val="000000" w:themeColor="text1"/>
                <w:kern w:val="22"/>
                <w:szCs w:val="22"/>
              </w:rPr>
              <w:t>Category and l</w:t>
            </w:r>
            <w:r w:rsidR="00967657" w:rsidRPr="009543E3">
              <w:rPr>
                <w:i/>
                <w:color w:val="000000" w:themeColor="text1"/>
                <w:kern w:val="22"/>
                <w:szCs w:val="22"/>
              </w:rPr>
              <w:t>eve</w:t>
            </w:r>
            <w:r w:rsidRPr="009543E3">
              <w:rPr>
                <w:i/>
                <w:color w:val="000000" w:themeColor="text1"/>
                <w:kern w:val="22"/>
                <w:szCs w:val="22"/>
              </w:rPr>
              <w:t>l</w:t>
            </w:r>
          </w:p>
        </w:tc>
        <w:tc>
          <w:tcPr>
            <w:tcW w:w="1807" w:type="dxa"/>
            <w:tcBorders>
              <w:top w:val="nil"/>
              <w:left w:val="nil"/>
              <w:bottom w:val="single" w:sz="8" w:space="0" w:color="auto"/>
              <w:right w:val="nil"/>
            </w:tcBorders>
            <w:shd w:val="clear" w:color="auto" w:fill="auto"/>
            <w:vAlign w:val="center"/>
            <w:hideMark/>
          </w:tcPr>
          <w:p w14:paraId="365CA888" w14:textId="77777777"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Approved 2019/2020</w:t>
            </w:r>
          </w:p>
        </w:tc>
        <w:tc>
          <w:tcPr>
            <w:tcW w:w="1807" w:type="dxa"/>
            <w:tcBorders>
              <w:top w:val="nil"/>
              <w:left w:val="nil"/>
              <w:bottom w:val="single" w:sz="8" w:space="0" w:color="auto"/>
              <w:right w:val="nil"/>
            </w:tcBorders>
            <w:shd w:val="clear" w:color="auto" w:fill="auto"/>
            <w:vAlign w:val="center"/>
            <w:hideMark/>
          </w:tcPr>
          <w:p w14:paraId="1BBA4B6A" w14:textId="77777777"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Proposed 2021</w:t>
            </w:r>
          </w:p>
        </w:tc>
        <w:tc>
          <w:tcPr>
            <w:tcW w:w="1808" w:type="dxa"/>
            <w:tcBorders>
              <w:top w:val="nil"/>
              <w:left w:val="nil"/>
              <w:bottom w:val="single" w:sz="8" w:space="0" w:color="auto"/>
              <w:right w:val="nil"/>
            </w:tcBorders>
            <w:vAlign w:val="center"/>
          </w:tcPr>
          <w:p w14:paraId="14F449C2" w14:textId="669DE84B"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Variance</w:t>
            </w:r>
          </w:p>
        </w:tc>
      </w:tr>
      <w:tr w:rsidR="00C302BB" w:rsidRPr="009543E3" w14:paraId="598DD700" w14:textId="7ABE555D" w:rsidTr="006914CE">
        <w:trPr>
          <w:trHeight w:val="288"/>
          <w:jc w:val="center"/>
        </w:trPr>
        <w:tc>
          <w:tcPr>
            <w:tcW w:w="3651" w:type="dxa"/>
            <w:tcBorders>
              <w:top w:val="nil"/>
              <w:left w:val="nil"/>
              <w:bottom w:val="nil"/>
              <w:right w:val="nil"/>
            </w:tcBorders>
            <w:shd w:val="clear" w:color="auto" w:fill="auto"/>
            <w:noWrap/>
            <w:vAlign w:val="center"/>
            <w:hideMark/>
          </w:tcPr>
          <w:p w14:paraId="79B4F26B"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Professional and higher</w:t>
            </w:r>
          </w:p>
        </w:tc>
        <w:tc>
          <w:tcPr>
            <w:tcW w:w="1807" w:type="dxa"/>
            <w:tcBorders>
              <w:top w:val="nil"/>
              <w:left w:val="nil"/>
              <w:bottom w:val="nil"/>
              <w:right w:val="nil"/>
            </w:tcBorders>
            <w:shd w:val="clear" w:color="auto" w:fill="auto"/>
            <w:vAlign w:val="center"/>
            <w:hideMark/>
          </w:tcPr>
          <w:p w14:paraId="2DC4E9EF" w14:textId="77777777" w:rsidR="00C302BB" w:rsidRPr="009543E3" w:rsidRDefault="00C302BB" w:rsidP="006914CE">
            <w:pPr>
              <w:keepNext/>
              <w:keepLines/>
              <w:suppressLineNumbers/>
              <w:suppressAutoHyphens/>
              <w:rPr>
                <w:bCs/>
                <w:color w:val="000000" w:themeColor="text1"/>
                <w:kern w:val="22"/>
                <w:szCs w:val="22"/>
              </w:rPr>
            </w:pPr>
          </w:p>
        </w:tc>
        <w:tc>
          <w:tcPr>
            <w:tcW w:w="1807" w:type="dxa"/>
            <w:tcBorders>
              <w:top w:val="nil"/>
              <w:left w:val="nil"/>
              <w:bottom w:val="nil"/>
              <w:right w:val="nil"/>
            </w:tcBorders>
            <w:shd w:val="clear" w:color="auto" w:fill="auto"/>
            <w:vAlign w:val="center"/>
            <w:hideMark/>
          </w:tcPr>
          <w:p w14:paraId="764F416D" w14:textId="77777777" w:rsidR="00C302BB" w:rsidRPr="009543E3" w:rsidRDefault="00C302BB" w:rsidP="006914CE">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72DDD255" w14:textId="77777777" w:rsidR="00C302BB" w:rsidRPr="009543E3" w:rsidRDefault="00C302BB" w:rsidP="006914CE">
            <w:pPr>
              <w:keepNext/>
              <w:keepLines/>
              <w:suppressLineNumbers/>
              <w:suppressAutoHyphens/>
              <w:rPr>
                <w:color w:val="000000" w:themeColor="text1"/>
                <w:kern w:val="22"/>
                <w:szCs w:val="22"/>
              </w:rPr>
            </w:pPr>
          </w:p>
        </w:tc>
      </w:tr>
      <w:tr w:rsidR="00C302BB" w:rsidRPr="009543E3" w14:paraId="36EFE52A" w14:textId="42DB0954" w:rsidTr="006914CE">
        <w:trPr>
          <w:trHeight w:val="288"/>
          <w:jc w:val="center"/>
        </w:trPr>
        <w:tc>
          <w:tcPr>
            <w:tcW w:w="3651" w:type="dxa"/>
            <w:tcBorders>
              <w:top w:val="nil"/>
              <w:left w:val="nil"/>
              <w:bottom w:val="nil"/>
              <w:right w:val="nil"/>
            </w:tcBorders>
            <w:shd w:val="clear" w:color="auto" w:fill="auto"/>
            <w:vAlign w:val="center"/>
            <w:hideMark/>
          </w:tcPr>
          <w:p w14:paraId="317E0420"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ASG</w:t>
            </w:r>
          </w:p>
        </w:tc>
        <w:tc>
          <w:tcPr>
            <w:tcW w:w="1807" w:type="dxa"/>
            <w:tcBorders>
              <w:top w:val="nil"/>
              <w:left w:val="nil"/>
              <w:bottom w:val="nil"/>
              <w:right w:val="nil"/>
            </w:tcBorders>
            <w:shd w:val="clear" w:color="auto" w:fill="auto"/>
            <w:vAlign w:val="center"/>
            <w:hideMark/>
          </w:tcPr>
          <w:p w14:paraId="4A711365"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6F01E660"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w:t>
            </w:r>
          </w:p>
        </w:tc>
        <w:tc>
          <w:tcPr>
            <w:tcW w:w="1808" w:type="dxa"/>
            <w:tcBorders>
              <w:top w:val="nil"/>
              <w:left w:val="nil"/>
              <w:bottom w:val="nil"/>
              <w:right w:val="nil"/>
            </w:tcBorders>
          </w:tcPr>
          <w:p w14:paraId="6801BE7E" w14:textId="52E5793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6E1F209" w14:textId="25F5E5F4" w:rsidTr="006914CE">
        <w:trPr>
          <w:trHeight w:val="288"/>
          <w:jc w:val="center"/>
        </w:trPr>
        <w:tc>
          <w:tcPr>
            <w:tcW w:w="3651" w:type="dxa"/>
            <w:tcBorders>
              <w:top w:val="nil"/>
              <w:left w:val="nil"/>
              <w:bottom w:val="nil"/>
              <w:right w:val="nil"/>
            </w:tcBorders>
            <w:shd w:val="clear" w:color="auto" w:fill="auto"/>
            <w:vAlign w:val="center"/>
            <w:hideMark/>
          </w:tcPr>
          <w:p w14:paraId="669D4665"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3AA27AB7"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064A9926"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3</w:t>
            </w:r>
          </w:p>
        </w:tc>
        <w:tc>
          <w:tcPr>
            <w:tcW w:w="1808" w:type="dxa"/>
            <w:tcBorders>
              <w:top w:val="nil"/>
              <w:left w:val="nil"/>
              <w:bottom w:val="nil"/>
              <w:right w:val="nil"/>
            </w:tcBorders>
          </w:tcPr>
          <w:p w14:paraId="658396FB" w14:textId="4868D38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6E6810E3" w14:textId="0444171E" w:rsidTr="006914CE">
        <w:trPr>
          <w:trHeight w:val="288"/>
          <w:jc w:val="center"/>
        </w:trPr>
        <w:tc>
          <w:tcPr>
            <w:tcW w:w="3651" w:type="dxa"/>
            <w:tcBorders>
              <w:top w:val="nil"/>
              <w:left w:val="nil"/>
              <w:bottom w:val="nil"/>
              <w:right w:val="nil"/>
            </w:tcBorders>
            <w:shd w:val="clear" w:color="auto" w:fill="auto"/>
            <w:vAlign w:val="center"/>
            <w:hideMark/>
          </w:tcPr>
          <w:p w14:paraId="550F3C0E"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47FB76F"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72ACE8B3"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10</w:t>
            </w:r>
          </w:p>
        </w:tc>
        <w:tc>
          <w:tcPr>
            <w:tcW w:w="1808" w:type="dxa"/>
            <w:tcBorders>
              <w:top w:val="nil"/>
              <w:left w:val="nil"/>
              <w:bottom w:val="nil"/>
              <w:right w:val="nil"/>
            </w:tcBorders>
          </w:tcPr>
          <w:p w14:paraId="43379E02" w14:textId="7887CEF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205E80A" w14:textId="47B590D6" w:rsidTr="006914CE">
        <w:trPr>
          <w:trHeight w:val="288"/>
          <w:jc w:val="center"/>
        </w:trPr>
        <w:tc>
          <w:tcPr>
            <w:tcW w:w="3651" w:type="dxa"/>
            <w:tcBorders>
              <w:top w:val="nil"/>
              <w:left w:val="nil"/>
              <w:bottom w:val="nil"/>
              <w:right w:val="nil"/>
            </w:tcBorders>
            <w:shd w:val="clear" w:color="auto" w:fill="auto"/>
            <w:vAlign w:val="center"/>
            <w:hideMark/>
          </w:tcPr>
          <w:p w14:paraId="295CCA07"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P-4</w:t>
            </w:r>
          </w:p>
        </w:tc>
        <w:tc>
          <w:tcPr>
            <w:tcW w:w="1807" w:type="dxa"/>
            <w:tcBorders>
              <w:top w:val="nil"/>
              <w:left w:val="nil"/>
              <w:bottom w:val="nil"/>
              <w:right w:val="nil"/>
            </w:tcBorders>
            <w:shd w:val="clear" w:color="auto" w:fill="auto"/>
            <w:vAlign w:val="center"/>
            <w:hideMark/>
          </w:tcPr>
          <w:p w14:paraId="67BF483B"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3042E989"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12</w:t>
            </w:r>
          </w:p>
        </w:tc>
        <w:tc>
          <w:tcPr>
            <w:tcW w:w="1808" w:type="dxa"/>
            <w:tcBorders>
              <w:top w:val="nil"/>
              <w:left w:val="nil"/>
              <w:bottom w:val="nil"/>
              <w:right w:val="nil"/>
            </w:tcBorders>
          </w:tcPr>
          <w:p w14:paraId="1B8240FB" w14:textId="0D1C9DC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5113981" w14:textId="6F038B7D" w:rsidTr="006914CE">
        <w:trPr>
          <w:trHeight w:val="288"/>
          <w:jc w:val="center"/>
        </w:trPr>
        <w:tc>
          <w:tcPr>
            <w:tcW w:w="3651" w:type="dxa"/>
            <w:tcBorders>
              <w:top w:val="nil"/>
              <w:left w:val="nil"/>
              <w:bottom w:val="nil"/>
              <w:right w:val="nil"/>
            </w:tcBorders>
            <w:shd w:val="clear" w:color="auto" w:fill="auto"/>
            <w:vAlign w:val="center"/>
            <w:hideMark/>
          </w:tcPr>
          <w:p w14:paraId="07A3951D"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299C25F8"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666969EB"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14</w:t>
            </w:r>
          </w:p>
        </w:tc>
        <w:tc>
          <w:tcPr>
            <w:tcW w:w="1808" w:type="dxa"/>
            <w:tcBorders>
              <w:top w:val="nil"/>
              <w:left w:val="nil"/>
              <w:bottom w:val="nil"/>
              <w:right w:val="nil"/>
            </w:tcBorders>
          </w:tcPr>
          <w:p w14:paraId="760B1DFD" w14:textId="1DDE6584"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22322CE" w14:textId="238A5C30" w:rsidTr="006914CE">
        <w:trPr>
          <w:trHeight w:val="300"/>
          <w:jc w:val="center"/>
        </w:trPr>
        <w:tc>
          <w:tcPr>
            <w:tcW w:w="3651" w:type="dxa"/>
            <w:tcBorders>
              <w:top w:val="nil"/>
              <w:left w:val="nil"/>
              <w:bottom w:val="nil"/>
              <w:right w:val="nil"/>
            </w:tcBorders>
            <w:shd w:val="clear" w:color="auto" w:fill="auto"/>
            <w:vAlign w:val="center"/>
            <w:hideMark/>
          </w:tcPr>
          <w:p w14:paraId="30D8019A"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69C22E9C"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59830351"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9</w:t>
            </w:r>
          </w:p>
        </w:tc>
        <w:tc>
          <w:tcPr>
            <w:tcW w:w="1808" w:type="dxa"/>
            <w:tcBorders>
              <w:top w:val="nil"/>
              <w:left w:val="nil"/>
              <w:bottom w:val="nil"/>
              <w:right w:val="nil"/>
            </w:tcBorders>
          </w:tcPr>
          <w:p w14:paraId="0DFF58DC" w14:textId="77E93A96"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C826BF3" w14:textId="1800A4F9" w:rsidTr="006914C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8FAED49"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D6DE90D"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7C928843"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49</w:t>
            </w:r>
          </w:p>
        </w:tc>
        <w:tc>
          <w:tcPr>
            <w:tcW w:w="1808" w:type="dxa"/>
            <w:tcBorders>
              <w:top w:val="single" w:sz="8" w:space="0" w:color="auto"/>
              <w:left w:val="nil"/>
              <w:bottom w:val="single" w:sz="8" w:space="0" w:color="auto"/>
              <w:right w:val="nil"/>
            </w:tcBorders>
          </w:tcPr>
          <w:p w14:paraId="6BC5AF02" w14:textId="49799131"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w:t>
            </w:r>
          </w:p>
        </w:tc>
      </w:tr>
      <w:tr w:rsidR="00C302BB" w:rsidRPr="009543E3" w14:paraId="3DCC06E9" w14:textId="19D7D5AB" w:rsidTr="006914CE">
        <w:trPr>
          <w:trHeight w:val="300"/>
          <w:jc w:val="center"/>
        </w:trPr>
        <w:tc>
          <w:tcPr>
            <w:tcW w:w="3651" w:type="dxa"/>
            <w:tcBorders>
              <w:top w:val="nil"/>
              <w:left w:val="nil"/>
              <w:bottom w:val="single" w:sz="8" w:space="0" w:color="auto"/>
              <w:right w:val="nil"/>
            </w:tcBorders>
            <w:shd w:val="clear" w:color="auto" w:fill="auto"/>
            <w:vAlign w:val="center"/>
            <w:hideMark/>
          </w:tcPr>
          <w:p w14:paraId="52741B9F"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General Service</w:t>
            </w:r>
          </w:p>
        </w:tc>
        <w:tc>
          <w:tcPr>
            <w:tcW w:w="1807" w:type="dxa"/>
            <w:tcBorders>
              <w:top w:val="nil"/>
              <w:left w:val="nil"/>
              <w:bottom w:val="single" w:sz="8" w:space="0" w:color="auto"/>
              <w:right w:val="nil"/>
            </w:tcBorders>
            <w:shd w:val="clear" w:color="auto" w:fill="auto"/>
            <w:vAlign w:val="center"/>
            <w:hideMark/>
          </w:tcPr>
          <w:p w14:paraId="4B549481"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06D1E85E"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29</w:t>
            </w:r>
          </w:p>
        </w:tc>
        <w:tc>
          <w:tcPr>
            <w:tcW w:w="1808" w:type="dxa"/>
            <w:tcBorders>
              <w:top w:val="nil"/>
              <w:left w:val="nil"/>
              <w:bottom w:val="single" w:sz="8" w:space="0" w:color="auto"/>
              <w:right w:val="nil"/>
            </w:tcBorders>
          </w:tcPr>
          <w:p w14:paraId="082CB101" w14:textId="57C3D2A6"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F2DC48E" w14:textId="358F2976" w:rsidTr="006914CE">
        <w:trPr>
          <w:trHeight w:val="300"/>
          <w:jc w:val="center"/>
        </w:trPr>
        <w:tc>
          <w:tcPr>
            <w:tcW w:w="3651" w:type="dxa"/>
            <w:tcBorders>
              <w:top w:val="nil"/>
              <w:left w:val="nil"/>
              <w:bottom w:val="single" w:sz="12" w:space="0" w:color="auto"/>
              <w:right w:val="nil"/>
            </w:tcBorders>
            <w:shd w:val="clear" w:color="auto" w:fill="auto"/>
            <w:vAlign w:val="center"/>
            <w:hideMark/>
          </w:tcPr>
          <w:p w14:paraId="5731EB4A"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311C5D23"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282DC6BB"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78</w:t>
            </w:r>
          </w:p>
        </w:tc>
        <w:tc>
          <w:tcPr>
            <w:tcW w:w="1808" w:type="dxa"/>
            <w:tcBorders>
              <w:top w:val="nil"/>
              <w:left w:val="nil"/>
              <w:bottom w:val="single" w:sz="12" w:space="0" w:color="auto"/>
              <w:right w:val="nil"/>
            </w:tcBorders>
          </w:tcPr>
          <w:p w14:paraId="50367340" w14:textId="0E751FF2"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w:t>
            </w:r>
          </w:p>
        </w:tc>
      </w:tr>
    </w:tbl>
    <w:p w14:paraId="1766E1FC" w14:textId="77777777" w:rsidR="005B4FB5" w:rsidRPr="009543E3" w:rsidRDefault="005B4FB5" w:rsidP="006914CE">
      <w:pPr>
        <w:pStyle w:val="ListParagraph"/>
        <w:suppressLineNumbers/>
        <w:suppressAutoHyphens/>
        <w:ind w:left="0"/>
        <w:contextualSpacing w:val="0"/>
        <w:rPr>
          <w:rFonts w:eastAsia="Malgun Gothic"/>
          <w:bCs/>
          <w:color w:val="000000" w:themeColor="text1"/>
          <w:kern w:val="22"/>
          <w:szCs w:val="22"/>
          <w:lang w:eastAsia="ko-KR"/>
        </w:rPr>
      </w:pPr>
    </w:p>
    <w:p w14:paraId="3E7C65EB" w14:textId="234B7617" w:rsidR="00315701" w:rsidRPr="009543E3" w:rsidRDefault="00315701" w:rsidP="006914CE">
      <w:pPr>
        <w:suppressLineNumbers/>
        <w:suppressAutoHyphens/>
        <w:spacing w:after="160" w:line="259" w:lineRule="auto"/>
        <w:rPr>
          <w:kern w:val="22"/>
          <w:szCs w:val="22"/>
        </w:rPr>
      </w:pPr>
      <w:r w:rsidRPr="009543E3">
        <w:rPr>
          <w:kern w:val="22"/>
          <w:szCs w:val="22"/>
        </w:rPr>
        <w:br w:type="page"/>
      </w:r>
    </w:p>
    <w:p w14:paraId="3301E5A3" w14:textId="12297229" w:rsidR="0079737F" w:rsidRPr="009543E3" w:rsidRDefault="0079737F" w:rsidP="006914CE">
      <w:pPr>
        <w:keepNext/>
        <w:suppressLineNumbers/>
        <w:suppressAutoHyphens/>
        <w:autoSpaceDE w:val="0"/>
        <w:autoSpaceDN w:val="0"/>
        <w:adjustRightInd w:val="0"/>
        <w:jc w:val="left"/>
        <w:rPr>
          <w:rFonts w:eastAsiaTheme="minorEastAsia"/>
          <w:b/>
          <w:bCs/>
          <w:kern w:val="22"/>
          <w:szCs w:val="22"/>
        </w:rPr>
      </w:pPr>
      <w:r w:rsidRPr="009543E3">
        <w:rPr>
          <w:rFonts w:eastAsiaTheme="minorEastAsia"/>
          <w:b/>
          <w:kern w:val="22"/>
          <w:szCs w:val="22"/>
        </w:rPr>
        <w:lastRenderedPageBreak/>
        <w:t xml:space="preserve">Table </w:t>
      </w:r>
      <w:r w:rsidR="004A4638" w:rsidRPr="009543E3">
        <w:rPr>
          <w:rFonts w:eastAsiaTheme="minorEastAsia"/>
          <w:b/>
          <w:kern w:val="22"/>
          <w:szCs w:val="22"/>
        </w:rPr>
        <w:t>7</w:t>
      </w:r>
      <w:r w:rsidR="00B77230" w:rsidRPr="009543E3">
        <w:rPr>
          <w:rFonts w:eastAsiaTheme="minorEastAsia"/>
          <w:kern w:val="22"/>
          <w:szCs w:val="22"/>
        </w:rPr>
        <w:br/>
      </w:r>
      <w:r w:rsidRPr="009543E3">
        <w:rPr>
          <w:rFonts w:eastAsiaTheme="minorEastAsia"/>
          <w:b/>
          <w:bCs/>
          <w:kern w:val="22"/>
          <w:szCs w:val="22"/>
        </w:rPr>
        <w:t>Contributions to the Trust Fund for the Convention on the Biological Diversity for2021</w:t>
      </w:r>
    </w:p>
    <w:p w14:paraId="7711D838" w14:textId="77777777" w:rsidR="00B77230" w:rsidRPr="009543E3" w:rsidRDefault="00B77230" w:rsidP="006914CE">
      <w:pPr>
        <w:suppressLineNumbers/>
        <w:suppressAutoHyphens/>
        <w:autoSpaceDE w:val="0"/>
        <w:autoSpaceDN w:val="0"/>
        <w:adjustRightInd w:val="0"/>
        <w:rPr>
          <w:rFonts w:eastAsiaTheme="minorEastAsia"/>
          <w:kern w:val="22"/>
          <w:szCs w:val="22"/>
        </w:rPr>
      </w:pPr>
    </w:p>
    <w:tbl>
      <w:tblPr>
        <w:tblW w:w="9420" w:type="dxa"/>
        <w:tblLook w:val="04A0" w:firstRow="1" w:lastRow="0" w:firstColumn="1" w:lastColumn="0" w:noHBand="0" w:noVBand="1"/>
      </w:tblPr>
      <w:tblGrid>
        <w:gridCol w:w="4800"/>
        <w:gridCol w:w="1540"/>
        <w:gridCol w:w="1540"/>
        <w:gridCol w:w="1540"/>
      </w:tblGrid>
      <w:tr w:rsidR="00315701" w:rsidRPr="009543E3" w14:paraId="49F5508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7F66" w14:textId="5B0D47FD" w:rsidR="00315701" w:rsidRPr="009543E3" w:rsidRDefault="00315701" w:rsidP="006914CE">
            <w:pPr>
              <w:suppressLineNumbers/>
              <w:suppressAutoHyphens/>
              <w:jc w:val="center"/>
              <w:rPr>
                <w:b/>
                <w:kern w:val="22"/>
                <w:szCs w:val="22"/>
                <w:lang w:eastAsia="en-CA"/>
              </w:rPr>
            </w:pPr>
            <w:r w:rsidRPr="009543E3">
              <w:rPr>
                <w:b/>
                <w:kern w:val="22"/>
                <w:szCs w:val="22"/>
                <w:lang w:eastAsia="en-CA"/>
              </w:rPr>
              <w:t xml:space="preserve">Member </w:t>
            </w:r>
            <w:r w:rsidR="004B4BD8"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EA6344" w14:textId="6EC209E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EF012B"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CA3D0" w14:textId="18F23EAA"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00DB2109" w:rsidRPr="009543E3">
              <w:rPr>
                <w:b/>
                <w:color w:val="000000"/>
                <w:kern w:val="22"/>
                <w:szCs w:val="22"/>
                <w:lang w:eastAsia="en-CA"/>
              </w:rPr>
              <w:t>2021</w:t>
            </w:r>
          </w:p>
        </w:tc>
      </w:tr>
      <w:tr w:rsidR="00315701" w:rsidRPr="009543E3" w14:paraId="3636D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04A4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68CF4955" w14:textId="205ACF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33D2827" w14:textId="56E7C4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C3A5E0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17F1C6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A87DA" w14:textId="147AFF1C"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AAA9F2C" w14:textId="4D99996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EA920E4" w14:textId="189FFD0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95FB6B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B54F2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DC5C9" w14:textId="4CBA0CB8"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Algeria</w:t>
            </w:r>
          </w:p>
        </w:tc>
        <w:tc>
          <w:tcPr>
            <w:tcW w:w="1540" w:type="dxa"/>
            <w:tcBorders>
              <w:top w:val="nil"/>
              <w:left w:val="nil"/>
              <w:bottom w:val="single" w:sz="4" w:space="0" w:color="auto"/>
              <w:right w:val="single" w:sz="4" w:space="0" w:color="auto"/>
            </w:tcBorders>
            <w:shd w:val="clear" w:color="auto" w:fill="auto"/>
            <w:vAlign w:val="center"/>
            <w:hideMark/>
          </w:tcPr>
          <w:p w14:paraId="75798BCE" w14:textId="1886C44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52F54B3B" w14:textId="05241A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0.173</w:t>
            </w:r>
          </w:p>
        </w:tc>
        <w:tc>
          <w:tcPr>
            <w:tcW w:w="1540" w:type="dxa"/>
            <w:tcBorders>
              <w:top w:val="nil"/>
              <w:left w:val="nil"/>
              <w:bottom w:val="single" w:sz="4" w:space="0" w:color="auto"/>
              <w:right w:val="single" w:sz="4" w:space="0" w:color="auto"/>
            </w:tcBorders>
            <w:shd w:val="clear" w:color="auto" w:fill="auto"/>
            <w:noWrap/>
            <w:vAlign w:val="center"/>
            <w:hideMark/>
          </w:tcPr>
          <w:p w14:paraId="2753F7C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19,673</w:t>
            </w:r>
          </w:p>
        </w:tc>
      </w:tr>
      <w:tr w:rsidR="00315701" w:rsidRPr="009543E3" w14:paraId="66B76E8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DB3EE6" w14:textId="5527E9BA"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Andorra</w:t>
            </w:r>
          </w:p>
        </w:tc>
        <w:tc>
          <w:tcPr>
            <w:tcW w:w="1540" w:type="dxa"/>
            <w:tcBorders>
              <w:top w:val="nil"/>
              <w:left w:val="nil"/>
              <w:bottom w:val="single" w:sz="4" w:space="0" w:color="auto"/>
              <w:right w:val="single" w:sz="4" w:space="0" w:color="auto"/>
            </w:tcBorders>
            <w:shd w:val="clear" w:color="auto" w:fill="auto"/>
            <w:vAlign w:val="center"/>
            <w:hideMark/>
          </w:tcPr>
          <w:p w14:paraId="4A08F13E" w14:textId="773E63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41BC2BF" w14:textId="2F6AEB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80AF0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65A63A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09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032FB43C" w14:textId="33E4D7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8221665" w14:textId="6D2D88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EC20E2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AD9E4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814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485471D1" w14:textId="06CFCA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A9F28A7" w14:textId="6C90AC7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6E784A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49BC5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171BF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Argentina</w:t>
            </w:r>
          </w:p>
        </w:tc>
        <w:tc>
          <w:tcPr>
            <w:tcW w:w="1540" w:type="dxa"/>
            <w:tcBorders>
              <w:top w:val="nil"/>
              <w:left w:val="nil"/>
              <w:bottom w:val="single" w:sz="4" w:space="0" w:color="auto"/>
              <w:right w:val="single" w:sz="4" w:space="0" w:color="auto"/>
            </w:tcBorders>
            <w:shd w:val="clear" w:color="auto" w:fill="auto"/>
            <w:vAlign w:val="center"/>
            <w:hideMark/>
          </w:tcPr>
          <w:p w14:paraId="05996220" w14:textId="0535F9F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0.915</w:t>
            </w:r>
          </w:p>
        </w:tc>
        <w:tc>
          <w:tcPr>
            <w:tcW w:w="1540" w:type="dxa"/>
            <w:tcBorders>
              <w:top w:val="nil"/>
              <w:left w:val="nil"/>
              <w:bottom w:val="single" w:sz="4" w:space="0" w:color="auto"/>
              <w:right w:val="single" w:sz="4" w:space="0" w:color="auto"/>
            </w:tcBorders>
            <w:shd w:val="clear" w:color="auto" w:fill="auto"/>
            <w:noWrap/>
            <w:vAlign w:val="center"/>
            <w:hideMark/>
          </w:tcPr>
          <w:p w14:paraId="6856155A" w14:textId="02C29E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1.144</w:t>
            </w:r>
          </w:p>
        </w:tc>
        <w:tc>
          <w:tcPr>
            <w:tcW w:w="1540" w:type="dxa"/>
            <w:tcBorders>
              <w:top w:val="nil"/>
              <w:left w:val="nil"/>
              <w:bottom w:val="single" w:sz="4" w:space="0" w:color="auto"/>
              <w:right w:val="single" w:sz="4" w:space="0" w:color="auto"/>
            </w:tcBorders>
            <w:shd w:val="clear" w:color="auto" w:fill="auto"/>
            <w:noWrap/>
            <w:vAlign w:val="center"/>
            <w:hideMark/>
          </w:tcPr>
          <w:p w14:paraId="497E129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130,442</w:t>
            </w:r>
          </w:p>
        </w:tc>
      </w:tr>
      <w:tr w:rsidR="00315701" w:rsidRPr="009543E3" w14:paraId="08AF7C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E5EF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Armenia</w:t>
            </w:r>
          </w:p>
        </w:tc>
        <w:tc>
          <w:tcPr>
            <w:tcW w:w="1540" w:type="dxa"/>
            <w:tcBorders>
              <w:top w:val="nil"/>
              <w:left w:val="nil"/>
              <w:bottom w:val="single" w:sz="4" w:space="0" w:color="auto"/>
              <w:right w:val="single" w:sz="4" w:space="0" w:color="auto"/>
            </w:tcBorders>
            <w:shd w:val="clear" w:color="auto" w:fill="auto"/>
            <w:vAlign w:val="center"/>
            <w:hideMark/>
          </w:tcPr>
          <w:p w14:paraId="478E3279" w14:textId="7F39B4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53338C1" w14:textId="63C022C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915141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404D00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39BE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Australia</w:t>
            </w:r>
          </w:p>
        </w:tc>
        <w:tc>
          <w:tcPr>
            <w:tcW w:w="1540" w:type="dxa"/>
            <w:tcBorders>
              <w:top w:val="nil"/>
              <w:left w:val="nil"/>
              <w:bottom w:val="single" w:sz="4" w:space="0" w:color="auto"/>
              <w:right w:val="single" w:sz="4" w:space="0" w:color="auto"/>
            </w:tcBorders>
            <w:shd w:val="clear" w:color="auto" w:fill="auto"/>
            <w:vAlign w:val="center"/>
            <w:hideMark/>
          </w:tcPr>
          <w:p w14:paraId="6FC01699" w14:textId="5D03973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2.210</w:t>
            </w:r>
          </w:p>
        </w:tc>
        <w:tc>
          <w:tcPr>
            <w:tcW w:w="1540" w:type="dxa"/>
            <w:tcBorders>
              <w:top w:val="nil"/>
              <w:left w:val="nil"/>
              <w:bottom w:val="single" w:sz="4" w:space="0" w:color="auto"/>
              <w:right w:val="single" w:sz="4" w:space="0" w:color="auto"/>
            </w:tcBorders>
            <w:shd w:val="clear" w:color="auto" w:fill="auto"/>
            <w:noWrap/>
            <w:vAlign w:val="center"/>
            <w:hideMark/>
          </w:tcPr>
          <w:p w14:paraId="372FE232" w14:textId="6DCC1D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2.763</w:t>
            </w:r>
          </w:p>
        </w:tc>
        <w:tc>
          <w:tcPr>
            <w:tcW w:w="1540" w:type="dxa"/>
            <w:tcBorders>
              <w:top w:val="nil"/>
              <w:left w:val="nil"/>
              <w:bottom w:val="single" w:sz="4" w:space="0" w:color="auto"/>
              <w:right w:val="single" w:sz="4" w:space="0" w:color="auto"/>
            </w:tcBorders>
            <w:shd w:val="clear" w:color="auto" w:fill="auto"/>
            <w:noWrap/>
            <w:vAlign w:val="center"/>
            <w:hideMark/>
          </w:tcPr>
          <w:p w14:paraId="4305605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315,056</w:t>
            </w:r>
          </w:p>
        </w:tc>
      </w:tr>
      <w:tr w:rsidR="00315701" w:rsidRPr="009543E3" w14:paraId="335FD5E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B2E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5ED24DC4" w14:textId="4A9A43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44FE3D6E" w14:textId="1B2B72E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0.846</w:t>
            </w:r>
          </w:p>
        </w:tc>
        <w:tc>
          <w:tcPr>
            <w:tcW w:w="1540" w:type="dxa"/>
            <w:tcBorders>
              <w:top w:val="nil"/>
              <w:left w:val="nil"/>
              <w:bottom w:val="single" w:sz="4" w:space="0" w:color="auto"/>
              <w:right w:val="single" w:sz="4" w:space="0" w:color="auto"/>
            </w:tcBorders>
            <w:shd w:val="clear" w:color="auto" w:fill="auto"/>
            <w:noWrap/>
            <w:vAlign w:val="center"/>
            <w:hideMark/>
          </w:tcPr>
          <w:p w14:paraId="68878E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96,513</w:t>
            </w:r>
          </w:p>
        </w:tc>
      </w:tr>
      <w:tr w:rsidR="00315701" w:rsidRPr="009543E3" w14:paraId="3C53A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9D6CA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Azerbaijan</w:t>
            </w:r>
          </w:p>
        </w:tc>
        <w:tc>
          <w:tcPr>
            <w:tcW w:w="1540" w:type="dxa"/>
            <w:tcBorders>
              <w:top w:val="nil"/>
              <w:left w:val="nil"/>
              <w:bottom w:val="single" w:sz="4" w:space="0" w:color="auto"/>
              <w:right w:val="single" w:sz="4" w:space="0" w:color="auto"/>
            </w:tcBorders>
            <w:shd w:val="clear" w:color="auto" w:fill="auto"/>
            <w:vAlign w:val="center"/>
            <w:hideMark/>
          </w:tcPr>
          <w:p w14:paraId="785D76C3" w14:textId="6CE398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34A2170B" w14:textId="7265FF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0.061</w:t>
            </w:r>
          </w:p>
        </w:tc>
        <w:tc>
          <w:tcPr>
            <w:tcW w:w="1540" w:type="dxa"/>
            <w:tcBorders>
              <w:top w:val="nil"/>
              <w:left w:val="nil"/>
              <w:bottom w:val="single" w:sz="4" w:space="0" w:color="auto"/>
              <w:right w:val="single" w:sz="4" w:space="0" w:color="auto"/>
            </w:tcBorders>
            <w:shd w:val="clear" w:color="auto" w:fill="auto"/>
            <w:noWrap/>
            <w:vAlign w:val="center"/>
            <w:hideMark/>
          </w:tcPr>
          <w:p w14:paraId="495AD2B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w:t>
            </w:r>
          </w:p>
        </w:tc>
      </w:tr>
      <w:tr w:rsidR="00315701" w:rsidRPr="009543E3" w14:paraId="73ED36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FB0B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Bahamas</w:t>
            </w:r>
          </w:p>
        </w:tc>
        <w:tc>
          <w:tcPr>
            <w:tcW w:w="1540" w:type="dxa"/>
            <w:tcBorders>
              <w:top w:val="nil"/>
              <w:left w:val="nil"/>
              <w:bottom w:val="single" w:sz="4" w:space="0" w:color="auto"/>
              <w:right w:val="single" w:sz="4" w:space="0" w:color="auto"/>
            </w:tcBorders>
            <w:shd w:val="clear" w:color="auto" w:fill="auto"/>
            <w:vAlign w:val="center"/>
            <w:hideMark/>
          </w:tcPr>
          <w:p w14:paraId="421ADBE2" w14:textId="4DFDBC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1B72358F" w14:textId="1A439EA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077D7B3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2,566</w:t>
            </w:r>
          </w:p>
        </w:tc>
      </w:tr>
      <w:tr w:rsidR="00315701" w:rsidRPr="009543E3" w14:paraId="57C8F1D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F374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Bahrain</w:t>
            </w:r>
          </w:p>
        </w:tc>
        <w:tc>
          <w:tcPr>
            <w:tcW w:w="1540" w:type="dxa"/>
            <w:tcBorders>
              <w:top w:val="nil"/>
              <w:left w:val="nil"/>
              <w:bottom w:val="single" w:sz="4" w:space="0" w:color="auto"/>
              <w:right w:val="single" w:sz="4" w:space="0" w:color="auto"/>
            </w:tcBorders>
            <w:shd w:val="clear" w:color="auto" w:fill="auto"/>
            <w:vAlign w:val="center"/>
            <w:hideMark/>
          </w:tcPr>
          <w:p w14:paraId="700802D8" w14:textId="2F29B5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7E61FBE5" w14:textId="6E1455E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0.063</w:t>
            </w:r>
          </w:p>
        </w:tc>
        <w:tc>
          <w:tcPr>
            <w:tcW w:w="1540" w:type="dxa"/>
            <w:tcBorders>
              <w:top w:val="nil"/>
              <w:left w:val="nil"/>
              <w:bottom w:val="single" w:sz="4" w:space="0" w:color="auto"/>
              <w:right w:val="single" w:sz="4" w:space="0" w:color="auto"/>
            </w:tcBorders>
            <w:shd w:val="clear" w:color="auto" w:fill="auto"/>
            <w:noWrap/>
            <w:vAlign w:val="center"/>
            <w:hideMark/>
          </w:tcPr>
          <w:p w14:paraId="100981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7,128</w:t>
            </w:r>
          </w:p>
        </w:tc>
      </w:tr>
      <w:tr w:rsidR="00315701" w:rsidRPr="009543E3" w14:paraId="0B90E81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312D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Bangladesh</w:t>
            </w:r>
          </w:p>
        </w:tc>
        <w:tc>
          <w:tcPr>
            <w:tcW w:w="1540" w:type="dxa"/>
            <w:tcBorders>
              <w:top w:val="nil"/>
              <w:left w:val="nil"/>
              <w:bottom w:val="single" w:sz="4" w:space="0" w:color="auto"/>
              <w:right w:val="single" w:sz="4" w:space="0" w:color="auto"/>
            </w:tcBorders>
            <w:shd w:val="clear" w:color="auto" w:fill="auto"/>
            <w:vAlign w:val="center"/>
            <w:hideMark/>
          </w:tcPr>
          <w:p w14:paraId="52275385" w14:textId="1D3105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9BBE7BD" w14:textId="7CA012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8B610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A18444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234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Barbados</w:t>
            </w:r>
          </w:p>
        </w:tc>
        <w:tc>
          <w:tcPr>
            <w:tcW w:w="1540" w:type="dxa"/>
            <w:tcBorders>
              <w:top w:val="nil"/>
              <w:left w:val="nil"/>
              <w:bottom w:val="single" w:sz="4" w:space="0" w:color="auto"/>
              <w:right w:val="single" w:sz="4" w:space="0" w:color="auto"/>
            </w:tcBorders>
            <w:shd w:val="clear" w:color="auto" w:fill="auto"/>
            <w:vAlign w:val="center"/>
            <w:hideMark/>
          </w:tcPr>
          <w:p w14:paraId="18C85CD4" w14:textId="23F53D9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599DDD4C" w14:textId="12496A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83F93D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22CF3EF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010E9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7399C823" w14:textId="25785E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6D9FEEB5" w14:textId="15DCCC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0.061</w:t>
            </w:r>
          </w:p>
        </w:tc>
        <w:tc>
          <w:tcPr>
            <w:tcW w:w="1540" w:type="dxa"/>
            <w:tcBorders>
              <w:top w:val="nil"/>
              <w:left w:val="nil"/>
              <w:bottom w:val="single" w:sz="4" w:space="0" w:color="auto"/>
              <w:right w:val="single" w:sz="4" w:space="0" w:color="auto"/>
            </w:tcBorders>
            <w:shd w:val="clear" w:color="auto" w:fill="auto"/>
            <w:noWrap/>
            <w:vAlign w:val="center"/>
            <w:hideMark/>
          </w:tcPr>
          <w:p w14:paraId="2B9589A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w:t>
            </w:r>
          </w:p>
        </w:tc>
      </w:tr>
      <w:tr w:rsidR="00315701" w:rsidRPr="009543E3" w14:paraId="0AA9E6C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F350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73929A05" w14:textId="528F17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5A2BA667" w14:textId="56724A1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1.026</w:t>
            </w:r>
          </w:p>
        </w:tc>
        <w:tc>
          <w:tcPr>
            <w:tcW w:w="1540" w:type="dxa"/>
            <w:tcBorders>
              <w:top w:val="nil"/>
              <w:left w:val="nil"/>
              <w:bottom w:val="single" w:sz="4" w:space="0" w:color="auto"/>
              <w:right w:val="single" w:sz="4" w:space="0" w:color="auto"/>
            </w:tcBorders>
            <w:shd w:val="clear" w:color="auto" w:fill="auto"/>
            <w:noWrap/>
            <w:vAlign w:val="center"/>
            <w:hideMark/>
          </w:tcPr>
          <w:p w14:paraId="579BAF8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117,041</w:t>
            </w:r>
          </w:p>
        </w:tc>
      </w:tr>
      <w:tr w:rsidR="00315701" w:rsidRPr="009543E3" w14:paraId="18779F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60E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Belize</w:t>
            </w:r>
          </w:p>
        </w:tc>
        <w:tc>
          <w:tcPr>
            <w:tcW w:w="1540" w:type="dxa"/>
            <w:tcBorders>
              <w:top w:val="nil"/>
              <w:left w:val="nil"/>
              <w:bottom w:val="single" w:sz="4" w:space="0" w:color="auto"/>
              <w:right w:val="single" w:sz="4" w:space="0" w:color="auto"/>
            </w:tcBorders>
            <w:shd w:val="clear" w:color="auto" w:fill="auto"/>
            <w:vAlign w:val="center"/>
            <w:hideMark/>
          </w:tcPr>
          <w:p w14:paraId="0A5E4197" w14:textId="7992490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06ED22" w14:textId="7C093DA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DC422C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02AE38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37CE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380C4B4D" w14:textId="098E35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AB193D3" w14:textId="2FA5BF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980F11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1DF29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9411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2833A8B7" w14:textId="04C2473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DC4148" w14:textId="2C33C7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C147F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1B6EA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24F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Bolivia (</w:t>
            </w:r>
            <w:proofErr w:type="spellStart"/>
            <w:r w:rsidRPr="009543E3">
              <w:rPr>
                <w:color w:val="000000"/>
                <w:kern w:val="22"/>
                <w:szCs w:val="22"/>
                <w:lang w:eastAsia="en-CA"/>
              </w:rPr>
              <w:t>Plurinational</w:t>
            </w:r>
            <w:proofErr w:type="spellEnd"/>
            <w:r w:rsidRPr="009543E3">
              <w:rPr>
                <w:color w:val="000000"/>
                <w:kern w:val="22"/>
                <w:szCs w:val="22"/>
                <w:lang w:eastAsia="en-CA"/>
              </w:rPr>
              <w:t xml:space="preserve"> State of)</w:t>
            </w:r>
          </w:p>
        </w:tc>
        <w:tc>
          <w:tcPr>
            <w:tcW w:w="1540" w:type="dxa"/>
            <w:tcBorders>
              <w:top w:val="nil"/>
              <w:left w:val="nil"/>
              <w:bottom w:val="single" w:sz="4" w:space="0" w:color="auto"/>
              <w:right w:val="single" w:sz="4" w:space="0" w:color="auto"/>
            </w:tcBorders>
            <w:shd w:val="clear" w:color="auto" w:fill="auto"/>
            <w:vAlign w:val="center"/>
            <w:hideMark/>
          </w:tcPr>
          <w:p w14:paraId="79A3BB4E" w14:textId="596DD9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9559F3E" w14:textId="6648707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04CAC3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2,281</w:t>
            </w:r>
          </w:p>
        </w:tc>
      </w:tr>
      <w:tr w:rsidR="00315701" w:rsidRPr="009543E3" w14:paraId="0B5436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0526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Bosnia and Herzegovina</w:t>
            </w:r>
          </w:p>
        </w:tc>
        <w:tc>
          <w:tcPr>
            <w:tcW w:w="1540" w:type="dxa"/>
            <w:tcBorders>
              <w:top w:val="nil"/>
              <w:left w:val="nil"/>
              <w:bottom w:val="single" w:sz="4" w:space="0" w:color="auto"/>
              <w:right w:val="single" w:sz="4" w:space="0" w:color="auto"/>
            </w:tcBorders>
            <w:shd w:val="clear" w:color="auto" w:fill="auto"/>
            <w:vAlign w:val="center"/>
            <w:hideMark/>
          </w:tcPr>
          <w:p w14:paraId="5175072A" w14:textId="0410A3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11A0AB61" w14:textId="0D6636D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5BDB68E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w:t>
            </w:r>
          </w:p>
        </w:tc>
      </w:tr>
      <w:tr w:rsidR="00315701" w:rsidRPr="009543E3" w14:paraId="771DA8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7775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716921DC" w14:textId="2552C4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6944E10B" w14:textId="733FA58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127A410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1,996</w:t>
            </w:r>
          </w:p>
        </w:tc>
      </w:tr>
      <w:tr w:rsidR="00315701" w:rsidRPr="009543E3" w14:paraId="5E3532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978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Brazil</w:t>
            </w:r>
          </w:p>
        </w:tc>
        <w:tc>
          <w:tcPr>
            <w:tcW w:w="1540" w:type="dxa"/>
            <w:tcBorders>
              <w:top w:val="nil"/>
              <w:left w:val="nil"/>
              <w:bottom w:val="single" w:sz="4" w:space="0" w:color="auto"/>
              <w:right w:val="single" w:sz="4" w:space="0" w:color="auto"/>
            </w:tcBorders>
            <w:shd w:val="clear" w:color="auto" w:fill="auto"/>
            <w:vAlign w:val="center"/>
            <w:hideMark/>
          </w:tcPr>
          <w:p w14:paraId="172B2736" w14:textId="6BBE744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2.948</w:t>
            </w:r>
          </w:p>
        </w:tc>
        <w:tc>
          <w:tcPr>
            <w:tcW w:w="1540" w:type="dxa"/>
            <w:tcBorders>
              <w:top w:val="nil"/>
              <w:left w:val="nil"/>
              <w:bottom w:val="single" w:sz="4" w:space="0" w:color="auto"/>
              <w:right w:val="single" w:sz="4" w:space="0" w:color="auto"/>
            </w:tcBorders>
            <w:shd w:val="clear" w:color="auto" w:fill="auto"/>
            <w:noWrap/>
            <w:vAlign w:val="center"/>
            <w:hideMark/>
          </w:tcPr>
          <w:p w14:paraId="6D8C0FF1" w14:textId="047EA24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3.686</w:t>
            </w:r>
          </w:p>
        </w:tc>
        <w:tc>
          <w:tcPr>
            <w:tcW w:w="1540" w:type="dxa"/>
            <w:tcBorders>
              <w:top w:val="nil"/>
              <w:left w:val="nil"/>
              <w:bottom w:val="single" w:sz="4" w:space="0" w:color="auto"/>
              <w:right w:val="single" w:sz="4" w:space="0" w:color="auto"/>
            </w:tcBorders>
            <w:shd w:val="clear" w:color="auto" w:fill="auto"/>
            <w:noWrap/>
            <w:vAlign w:val="center"/>
            <w:hideMark/>
          </w:tcPr>
          <w:p w14:paraId="314C7BC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420,265</w:t>
            </w:r>
          </w:p>
        </w:tc>
      </w:tr>
      <w:tr w:rsidR="00315701" w:rsidRPr="009543E3" w14:paraId="5BE312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EBFE5" w14:textId="09244E58"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Brunei</w:t>
            </w:r>
            <w:r w:rsidR="00FE1779" w:rsidRPr="009543E3">
              <w:rPr>
                <w:color w:val="000000"/>
                <w:kern w:val="22"/>
                <w:szCs w:val="22"/>
                <w:lang w:eastAsia="en-CA"/>
              </w:rPr>
              <w:t xml:space="preserve"> </w:t>
            </w:r>
            <w:r w:rsidRPr="009543E3">
              <w:rPr>
                <w:color w:val="000000"/>
                <w:kern w:val="22"/>
                <w:szCs w:val="22"/>
                <w:lang w:eastAsia="en-CA"/>
              </w:rPr>
              <w:t>Darussalam</w:t>
            </w:r>
          </w:p>
        </w:tc>
        <w:tc>
          <w:tcPr>
            <w:tcW w:w="1540" w:type="dxa"/>
            <w:tcBorders>
              <w:top w:val="nil"/>
              <w:left w:val="nil"/>
              <w:bottom w:val="single" w:sz="4" w:space="0" w:color="auto"/>
              <w:right w:val="single" w:sz="4" w:space="0" w:color="auto"/>
            </w:tcBorders>
            <w:shd w:val="clear" w:color="auto" w:fill="auto"/>
            <w:vAlign w:val="center"/>
            <w:hideMark/>
          </w:tcPr>
          <w:p w14:paraId="4BA4887C" w14:textId="50DE43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0214E427" w14:textId="79D2AA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0.031</w:t>
            </w:r>
          </w:p>
        </w:tc>
        <w:tc>
          <w:tcPr>
            <w:tcW w:w="1540" w:type="dxa"/>
            <w:tcBorders>
              <w:top w:val="nil"/>
              <w:left w:val="nil"/>
              <w:bottom w:val="single" w:sz="4" w:space="0" w:color="auto"/>
              <w:right w:val="single" w:sz="4" w:space="0" w:color="auto"/>
            </w:tcBorders>
            <w:shd w:val="clear" w:color="auto" w:fill="auto"/>
            <w:noWrap/>
            <w:vAlign w:val="center"/>
            <w:hideMark/>
          </w:tcPr>
          <w:p w14:paraId="76815D3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w:t>
            </w:r>
          </w:p>
        </w:tc>
      </w:tr>
      <w:tr w:rsidR="00315701" w:rsidRPr="009543E3" w14:paraId="1FCF88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3510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64575380" w14:textId="21E8A8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052B41ED" w14:textId="7599B63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0.058</w:t>
            </w:r>
          </w:p>
        </w:tc>
        <w:tc>
          <w:tcPr>
            <w:tcW w:w="1540" w:type="dxa"/>
            <w:tcBorders>
              <w:top w:val="nil"/>
              <w:left w:val="nil"/>
              <w:bottom w:val="single" w:sz="4" w:space="0" w:color="auto"/>
              <w:right w:val="single" w:sz="4" w:space="0" w:color="auto"/>
            </w:tcBorders>
            <w:shd w:val="clear" w:color="auto" w:fill="auto"/>
            <w:noWrap/>
            <w:vAlign w:val="center"/>
            <w:hideMark/>
          </w:tcPr>
          <w:p w14:paraId="678CCE3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6,558</w:t>
            </w:r>
          </w:p>
        </w:tc>
      </w:tr>
      <w:tr w:rsidR="00315701" w:rsidRPr="009543E3" w14:paraId="5A0C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3D2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62D2993C" w14:textId="24EFA5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4D7D6B" w14:textId="18B024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D15DE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79A88A1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EE04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04DEE74D" w14:textId="38645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65C30D6" w14:textId="7CB616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9CA86F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bl>
    <w:p w14:paraId="5ACDA63E" w14:textId="12BBC973" w:rsidR="00315701" w:rsidRPr="009543E3" w:rsidRDefault="00315701" w:rsidP="006914CE">
      <w:pPr>
        <w:suppressLineNumbers/>
        <w:suppressAutoHyphens/>
        <w:autoSpaceDE w:val="0"/>
        <w:autoSpaceDN w:val="0"/>
        <w:adjustRightInd w:val="0"/>
        <w:rPr>
          <w:rFonts w:eastAsiaTheme="minorEastAsia"/>
          <w:kern w:val="22"/>
          <w:szCs w:val="22"/>
        </w:rPr>
      </w:pPr>
    </w:p>
    <w:p w14:paraId="492C0C25"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0DE663F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032" w14:textId="707CE43B"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D061FF5"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04D0C5"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C9FC72" w14:textId="168D78D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00DB2109" w:rsidRPr="009543E3">
              <w:rPr>
                <w:b/>
                <w:color w:val="000000"/>
                <w:kern w:val="22"/>
                <w:szCs w:val="22"/>
                <w:lang w:eastAsia="en-CA"/>
              </w:rPr>
              <w:t>2021</w:t>
            </w:r>
          </w:p>
        </w:tc>
      </w:tr>
      <w:tr w:rsidR="00315701" w:rsidRPr="009543E3" w14:paraId="5132844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4681" w14:textId="4C61AF6A" w:rsidR="00315701" w:rsidRPr="009543E3" w:rsidRDefault="00BA64CB" w:rsidP="006914CE">
            <w:pPr>
              <w:suppressLineNumbers/>
              <w:suppressAutoHyphens/>
              <w:rPr>
                <w:color w:val="000000"/>
                <w:kern w:val="22"/>
                <w:szCs w:val="22"/>
                <w:lang w:eastAsia="en-CA"/>
              </w:rPr>
            </w:pPr>
            <w:r w:rsidRPr="009543E3">
              <w:rPr>
                <w:color w:val="000000"/>
                <w:kern w:val="22"/>
                <w:szCs w:val="22"/>
                <w:lang w:eastAsia="en-CA"/>
              </w:rPr>
              <w:t xml:space="preserve">Cabo </w:t>
            </w:r>
            <w:r w:rsidR="00315701" w:rsidRPr="009543E3">
              <w:rPr>
                <w:color w:val="000000"/>
                <w:kern w:val="22"/>
                <w:szCs w:val="22"/>
                <w:lang w:eastAsia="en-CA"/>
              </w:rPr>
              <w:t>Verde</w:t>
            </w:r>
          </w:p>
        </w:tc>
        <w:tc>
          <w:tcPr>
            <w:tcW w:w="1540" w:type="dxa"/>
            <w:tcBorders>
              <w:top w:val="nil"/>
              <w:left w:val="nil"/>
              <w:bottom w:val="single" w:sz="4" w:space="0" w:color="auto"/>
              <w:right w:val="single" w:sz="4" w:space="0" w:color="auto"/>
            </w:tcBorders>
            <w:shd w:val="clear" w:color="auto" w:fill="auto"/>
            <w:vAlign w:val="center"/>
            <w:hideMark/>
          </w:tcPr>
          <w:p w14:paraId="2BBEABEA" w14:textId="5A9351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CD5FCCF" w14:textId="609CD7E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85072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D616A9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9718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775645A6" w14:textId="7C137C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3BAF52E" w14:textId="128DD5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765CB38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739BB6D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42DD3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092DC0A8" w14:textId="6639163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3B44A4B4" w14:textId="37160C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536F65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1,853</w:t>
            </w:r>
          </w:p>
        </w:tc>
      </w:tr>
      <w:tr w:rsidR="00315701" w:rsidRPr="009543E3" w14:paraId="628749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1797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Canada</w:t>
            </w:r>
          </w:p>
        </w:tc>
        <w:tc>
          <w:tcPr>
            <w:tcW w:w="1540" w:type="dxa"/>
            <w:tcBorders>
              <w:top w:val="nil"/>
              <w:left w:val="nil"/>
              <w:bottom w:val="single" w:sz="4" w:space="0" w:color="auto"/>
              <w:right w:val="single" w:sz="4" w:space="0" w:color="auto"/>
            </w:tcBorders>
            <w:shd w:val="clear" w:color="auto" w:fill="auto"/>
            <w:vAlign w:val="center"/>
            <w:hideMark/>
          </w:tcPr>
          <w:p w14:paraId="145EC37F" w14:textId="63DD1BA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2.734</w:t>
            </w:r>
          </w:p>
        </w:tc>
        <w:tc>
          <w:tcPr>
            <w:tcW w:w="1540" w:type="dxa"/>
            <w:tcBorders>
              <w:top w:val="nil"/>
              <w:left w:val="nil"/>
              <w:bottom w:val="single" w:sz="4" w:space="0" w:color="auto"/>
              <w:right w:val="single" w:sz="4" w:space="0" w:color="auto"/>
            </w:tcBorders>
            <w:shd w:val="clear" w:color="auto" w:fill="auto"/>
            <w:noWrap/>
            <w:vAlign w:val="center"/>
            <w:hideMark/>
          </w:tcPr>
          <w:p w14:paraId="127EA81F" w14:textId="347A5CD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3.418</w:t>
            </w:r>
          </w:p>
        </w:tc>
        <w:tc>
          <w:tcPr>
            <w:tcW w:w="1540" w:type="dxa"/>
            <w:tcBorders>
              <w:top w:val="nil"/>
              <w:left w:val="nil"/>
              <w:bottom w:val="single" w:sz="4" w:space="0" w:color="auto"/>
              <w:right w:val="single" w:sz="4" w:space="0" w:color="auto"/>
            </w:tcBorders>
            <w:shd w:val="clear" w:color="auto" w:fill="auto"/>
            <w:noWrap/>
            <w:vAlign w:val="center"/>
            <w:hideMark/>
          </w:tcPr>
          <w:p w14:paraId="20045D9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389,757</w:t>
            </w:r>
          </w:p>
        </w:tc>
      </w:tr>
      <w:tr w:rsidR="00315701" w:rsidRPr="009543E3" w14:paraId="643337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25AAD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6F189EC6" w14:textId="55494E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E8FFEA7" w14:textId="785716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52915B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38348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31B7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58705EB8" w14:textId="4008A9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9EE9A2C" w14:textId="275AF5E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19D885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14A66A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7B254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Chile</w:t>
            </w:r>
          </w:p>
        </w:tc>
        <w:tc>
          <w:tcPr>
            <w:tcW w:w="1540" w:type="dxa"/>
            <w:tcBorders>
              <w:top w:val="nil"/>
              <w:left w:val="nil"/>
              <w:bottom w:val="single" w:sz="4" w:space="0" w:color="auto"/>
              <w:right w:val="single" w:sz="4" w:space="0" w:color="auto"/>
            </w:tcBorders>
            <w:shd w:val="clear" w:color="auto" w:fill="auto"/>
            <w:vAlign w:val="center"/>
            <w:hideMark/>
          </w:tcPr>
          <w:p w14:paraId="4552A4F8" w14:textId="679882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0.407</w:t>
            </w:r>
          </w:p>
        </w:tc>
        <w:tc>
          <w:tcPr>
            <w:tcW w:w="1540" w:type="dxa"/>
            <w:tcBorders>
              <w:top w:val="nil"/>
              <w:left w:val="nil"/>
              <w:bottom w:val="single" w:sz="4" w:space="0" w:color="auto"/>
              <w:right w:val="single" w:sz="4" w:space="0" w:color="auto"/>
            </w:tcBorders>
            <w:shd w:val="clear" w:color="auto" w:fill="auto"/>
            <w:noWrap/>
            <w:vAlign w:val="center"/>
            <w:hideMark/>
          </w:tcPr>
          <w:p w14:paraId="0E8FA3D0" w14:textId="60D04B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0.509</w:t>
            </w:r>
          </w:p>
        </w:tc>
        <w:tc>
          <w:tcPr>
            <w:tcW w:w="1540" w:type="dxa"/>
            <w:tcBorders>
              <w:top w:val="nil"/>
              <w:left w:val="nil"/>
              <w:bottom w:val="single" w:sz="4" w:space="0" w:color="auto"/>
              <w:right w:val="single" w:sz="4" w:space="0" w:color="auto"/>
            </w:tcBorders>
            <w:shd w:val="clear" w:color="auto" w:fill="auto"/>
            <w:noWrap/>
            <w:vAlign w:val="center"/>
            <w:hideMark/>
          </w:tcPr>
          <w:p w14:paraId="378C18F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58,022</w:t>
            </w:r>
          </w:p>
        </w:tc>
      </w:tr>
      <w:tr w:rsidR="00315701" w:rsidRPr="009543E3" w14:paraId="15CA54F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75E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7FFFB1B3" w14:textId="31EBF31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0F512242" w14:textId="43D991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15.009</w:t>
            </w:r>
          </w:p>
        </w:tc>
        <w:tc>
          <w:tcPr>
            <w:tcW w:w="1540" w:type="dxa"/>
            <w:tcBorders>
              <w:top w:val="nil"/>
              <w:left w:val="nil"/>
              <w:bottom w:val="single" w:sz="4" w:space="0" w:color="auto"/>
              <w:right w:val="single" w:sz="4" w:space="0" w:color="auto"/>
            </w:tcBorders>
            <w:shd w:val="clear" w:color="auto" w:fill="auto"/>
            <w:noWrap/>
            <w:vAlign w:val="center"/>
            <w:hideMark/>
          </w:tcPr>
          <w:p w14:paraId="369BE5C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1,711,425</w:t>
            </w:r>
          </w:p>
        </w:tc>
      </w:tr>
      <w:tr w:rsidR="00315701" w:rsidRPr="009543E3" w14:paraId="15DAC4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B3E0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Colombia</w:t>
            </w:r>
          </w:p>
        </w:tc>
        <w:tc>
          <w:tcPr>
            <w:tcW w:w="1540" w:type="dxa"/>
            <w:tcBorders>
              <w:top w:val="nil"/>
              <w:left w:val="nil"/>
              <w:bottom w:val="single" w:sz="4" w:space="0" w:color="auto"/>
              <w:right w:val="single" w:sz="4" w:space="0" w:color="auto"/>
            </w:tcBorders>
            <w:shd w:val="clear" w:color="auto" w:fill="auto"/>
            <w:vAlign w:val="center"/>
            <w:hideMark/>
          </w:tcPr>
          <w:p w14:paraId="2BF6B33C" w14:textId="0CB179A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0.288</w:t>
            </w:r>
          </w:p>
        </w:tc>
        <w:tc>
          <w:tcPr>
            <w:tcW w:w="1540" w:type="dxa"/>
            <w:tcBorders>
              <w:top w:val="nil"/>
              <w:left w:val="nil"/>
              <w:bottom w:val="single" w:sz="4" w:space="0" w:color="auto"/>
              <w:right w:val="single" w:sz="4" w:space="0" w:color="auto"/>
            </w:tcBorders>
            <w:shd w:val="clear" w:color="auto" w:fill="auto"/>
            <w:noWrap/>
            <w:vAlign w:val="center"/>
            <w:hideMark/>
          </w:tcPr>
          <w:p w14:paraId="3246DCD7" w14:textId="0F95EF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0.360</w:t>
            </w:r>
          </w:p>
        </w:tc>
        <w:tc>
          <w:tcPr>
            <w:tcW w:w="1540" w:type="dxa"/>
            <w:tcBorders>
              <w:top w:val="nil"/>
              <w:left w:val="nil"/>
              <w:bottom w:val="single" w:sz="4" w:space="0" w:color="auto"/>
              <w:right w:val="single" w:sz="4" w:space="0" w:color="auto"/>
            </w:tcBorders>
            <w:shd w:val="clear" w:color="auto" w:fill="auto"/>
            <w:noWrap/>
            <w:vAlign w:val="center"/>
            <w:hideMark/>
          </w:tcPr>
          <w:p w14:paraId="6392E7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41,057</w:t>
            </w:r>
          </w:p>
        </w:tc>
      </w:tr>
      <w:tr w:rsidR="00315701" w:rsidRPr="009543E3" w14:paraId="3B824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067E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7E8F75EA" w14:textId="061347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AB8027" w14:textId="2C9C16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E6032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7898B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F8999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4F284743" w14:textId="7B14325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742AB48" w14:textId="50DC84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3B1D01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4FBB16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C04CF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Cook Islands</w:t>
            </w:r>
          </w:p>
        </w:tc>
        <w:tc>
          <w:tcPr>
            <w:tcW w:w="1540" w:type="dxa"/>
            <w:tcBorders>
              <w:top w:val="nil"/>
              <w:left w:val="nil"/>
              <w:bottom w:val="single" w:sz="4" w:space="0" w:color="auto"/>
              <w:right w:val="single" w:sz="4" w:space="0" w:color="auto"/>
            </w:tcBorders>
            <w:shd w:val="clear" w:color="auto" w:fill="auto"/>
            <w:vAlign w:val="center"/>
            <w:hideMark/>
          </w:tcPr>
          <w:p w14:paraId="26551611" w14:textId="36DCD2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93C5376" w14:textId="507BA73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A5A92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21BC5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A0F4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Costa Rica</w:t>
            </w:r>
          </w:p>
        </w:tc>
        <w:tc>
          <w:tcPr>
            <w:tcW w:w="1540" w:type="dxa"/>
            <w:tcBorders>
              <w:top w:val="nil"/>
              <w:left w:val="nil"/>
              <w:bottom w:val="single" w:sz="4" w:space="0" w:color="auto"/>
              <w:right w:val="single" w:sz="4" w:space="0" w:color="auto"/>
            </w:tcBorders>
            <w:shd w:val="clear" w:color="auto" w:fill="auto"/>
            <w:vAlign w:val="center"/>
            <w:hideMark/>
          </w:tcPr>
          <w:p w14:paraId="3509D3AA" w14:textId="32C9BB8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550A00AA" w14:textId="002BCA6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0.078</w:t>
            </w:r>
          </w:p>
        </w:tc>
        <w:tc>
          <w:tcPr>
            <w:tcW w:w="1540" w:type="dxa"/>
            <w:tcBorders>
              <w:top w:val="nil"/>
              <w:left w:val="nil"/>
              <w:bottom w:val="single" w:sz="4" w:space="0" w:color="auto"/>
              <w:right w:val="single" w:sz="4" w:space="0" w:color="auto"/>
            </w:tcBorders>
            <w:shd w:val="clear" w:color="auto" w:fill="auto"/>
            <w:noWrap/>
            <w:vAlign w:val="center"/>
            <w:hideMark/>
          </w:tcPr>
          <w:p w14:paraId="7BC866C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8,839</w:t>
            </w:r>
          </w:p>
        </w:tc>
      </w:tr>
      <w:tr w:rsidR="00315701" w:rsidRPr="009543E3" w14:paraId="02CE58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7092A" w14:textId="23B3A1E1" w:rsidR="00315701" w:rsidRPr="009543E3" w:rsidRDefault="00BE5018" w:rsidP="006914CE">
            <w:pPr>
              <w:suppressLineNumbers/>
              <w:suppressAutoHyphens/>
              <w:rPr>
                <w:color w:val="000000"/>
                <w:kern w:val="22"/>
                <w:szCs w:val="22"/>
                <w:lang w:eastAsia="en-CA"/>
              </w:rPr>
            </w:pPr>
            <w:r w:rsidRPr="009543E3">
              <w:rPr>
                <w:color w:val="000000"/>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21D7593D" w14:textId="3D560B5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5D874FDA" w14:textId="28FE7B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2B0F3E1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1,853</w:t>
            </w:r>
          </w:p>
        </w:tc>
      </w:tr>
      <w:tr w:rsidR="00315701" w:rsidRPr="009543E3" w14:paraId="36859A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4B21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37D0BC34" w14:textId="45C179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5DD0E8F0" w14:textId="2A69AB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3285150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10,977</w:t>
            </w:r>
          </w:p>
        </w:tc>
      </w:tr>
      <w:tr w:rsidR="00315701" w:rsidRPr="009543E3" w14:paraId="587F61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74722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144C95FE" w14:textId="32EF94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5922F7DB" w14:textId="2C26E7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0.100</w:t>
            </w:r>
          </w:p>
        </w:tc>
        <w:tc>
          <w:tcPr>
            <w:tcW w:w="1540" w:type="dxa"/>
            <w:tcBorders>
              <w:top w:val="nil"/>
              <w:left w:val="nil"/>
              <w:bottom w:val="single" w:sz="4" w:space="0" w:color="auto"/>
              <w:right w:val="single" w:sz="4" w:space="0" w:color="auto"/>
            </w:tcBorders>
            <w:shd w:val="clear" w:color="auto" w:fill="auto"/>
            <w:noWrap/>
            <w:vAlign w:val="center"/>
            <w:hideMark/>
          </w:tcPr>
          <w:p w14:paraId="2D8B6A7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11,405</w:t>
            </w:r>
          </w:p>
        </w:tc>
      </w:tr>
      <w:tr w:rsidR="00315701" w:rsidRPr="009543E3" w14:paraId="5301878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5970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Cyprus</w:t>
            </w:r>
          </w:p>
        </w:tc>
        <w:tc>
          <w:tcPr>
            <w:tcW w:w="1540" w:type="dxa"/>
            <w:tcBorders>
              <w:top w:val="nil"/>
              <w:left w:val="nil"/>
              <w:bottom w:val="single" w:sz="4" w:space="0" w:color="auto"/>
              <w:right w:val="single" w:sz="4" w:space="0" w:color="auto"/>
            </w:tcBorders>
            <w:shd w:val="clear" w:color="auto" w:fill="auto"/>
            <w:vAlign w:val="center"/>
            <w:hideMark/>
          </w:tcPr>
          <w:p w14:paraId="0210D68C" w14:textId="6B7A6E0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B035FE5" w14:textId="52DCFFD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2B82C66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5,132</w:t>
            </w:r>
          </w:p>
        </w:tc>
      </w:tr>
      <w:tr w:rsidR="00315701" w:rsidRPr="009543E3" w14:paraId="771EB58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B9FFEA" w14:textId="03503646"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Czech</w:t>
            </w:r>
            <w:r w:rsidR="001F2347" w:rsidRPr="009543E3">
              <w:rPr>
                <w:color w:val="000000"/>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069BB018" w14:textId="373EDA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1DBF3468" w14:textId="014C38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0.389</w:t>
            </w:r>
          </w:p>
        </w:tc>
        <w:tc>
          <w:tcPr>
            <w:tcW w:w="1540" w:type="dxa"/>
            <w:tcBorders>
              <w:top w:val="nil"/>
              <w:left w:val="nil"/>
              <w:bottom w:val="single" w:sz="4" w:space="0" w:color="auto"/>
              <w:right w:val="single" w:sz="4" w:space="0" w:color="auto"/>
            </w:tcBorders>
            <w:shd w:val="clear" w:color="auto" w:fill="auto"/>
            <w:noWrap/>
            <w:vAlign w:val="center"/>
            <w:hideMark/>
          </w:tcPr>
          <w:p w14:paraId="4B4A294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44,336</w:t>
            </w:r>
          </w:p>
        </w:tc>
      </w:tr>
      <w:tr w:rsidR="00315701" w:rsidRPr="009543E3" w14:paraId="591E95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5E37D" w14:textId="6413A94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Democratic People</w:t>
            </w:r>
            <w:r w:rsidR="009F7E91" w:rsidRPr="009543E3">
              <w:rPr>
                <w:color w:val="000000"/>
                <w:kern w:val="22"/>
                <w:szCs w:val="22"/>
                <w:lang w:eastAsia="en-CA"/>
              </w:rPr>
              <w:t>’</w:t>
            </w:r>
            <w:r w:rsidRPr="009543E3">
              <w:rPr>
                <w:color w:val="000000"/>
                <w:kern w:val="22"/>
                <w:szCs w:val="22"/>
                <w:lang w:eastAsia="en-CA"/>
              </w:rPr>
              <w:t>s Republic of Korea</w:t>
            </w:r>
          </w:p>
        </w:tc>
        <w:tc>
          <w:tcPr>
            <w:tcW w:w="1540" w:type="dxa"/>
            <w:tcBorders>
              <w:top w:val="nil"/>
              <w:left w:val="nil"/>
              <w:bottom w:val="single" w:sz="4" w:space="0" w:color="auto"/>
              <w:right w:val="single" w:sz="4" w:space="0" w:color="auto"/>
            </w:tcBorders>
            <w:shd w:val="clear" w:color="auto" w:fill="auto"/>
            <w:vAlign w:val="center"/>
            <w:hideMark/>
          </w:tcPr>
          <w:p w14:paraId="78951324" w14:textId="6152ED7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A0C391A" w14:textId="456C517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1F759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0FE47B4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512E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16847F39" w14:textId="677DD8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41162FA" w14:textId="61F824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A0F16A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51F6E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5B1E2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019F93B6" w14:textId="078D42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61F257AD" w14:textId="514F22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0.693</w:t>
            </w:r>
          </w:p>
        </w:tc>
        <w:tc>
          <w:tcPr>
            <w:tcW w:w="1540" w:type="dxa"/>
            <w:tcBorders>
              <w:top w:val="nil"/>
              <w:left w:val="nil"/>
              <w:bottom w:val="single" w:sz="4" w:space="0" w:color="auto"/>
              <w:right w:val="single" w:sz="4" w:space="0" w:color="auto"/>
            </w:tcBorders>
            <w:shd w:val="clear" w:color="auto" w:fill="auto"/>
            <w:noWrap/>
            <w:vAlign w:val="center"/>
            <w:hideMark/>
          </w:tcPr>
          <w:p w14:paraId="291A684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78,978</w:t>
            </w:r>
          </w:p>
        </w:tc>
      </w:tr>
      <w:tr w:rsidR="00315701" w:rsidRPr="009543E3" w14:paraId="3A0E3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E662A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0E637F4E" w14:textId="63E2ACC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A1796A0" w14:textId="0A0AFD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5FA2F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663F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B787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Dominica</w:t>
            </w:r>
          </w:p>
        </w:tc>
        <w:tc>
          <w:tcPr>
            <w:tcW w:w="1540" w:type="dxa"/>
            <w:tcBorders>
              <w:top w:val="nil"/>
              <w:left w:val="nil"/>
              <w:bottom w:val="single" w:sz="4" w:space="0" w:color="auto"/>
              <w:right w:val="single" w:sz="4" w:space="0" w:color="auto"/>
            </w:tcBorders>
            <w:shd w:val="clear" w:color="auto" w:fill="auto"/>
            <w:vAlign w:val="center"/>
            <w:hideMark/>
          </w:tcPr>
          <w:p w14:paraId="1D58915F" w14:textId="62ABDB9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CDA8D3" w14:textId="7614CD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1D2932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26CDB1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77749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28C0308D" w14:textId="172750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70136271" w14:textId="5A570F9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0.066</w:t>
            </w:r>
          </w:p>
        </w:tc>
        <w:tc>
          <w:tcPr>
            <w:tcW w:w="1540" w:type="dxa"/>
            <w:tcBorders>
              <w:top w:val="nil"/>
              <w:left w:val="nil"/>
              <w:bottom w:val="single" w:sz="4" w:space="0" w:color="auto"/>
              <w:right w:val="single" w:sz="4" w:space="0" w:color="auto"/>
            </w:tcBorders>
            <w:shd w:val="clear" w:color="auto" w:fill="auto"/>
            <w:noWrap/>
            <w:vAlign w:val="center"/>
            <w:hideMark/>
          </w:tcPr>
          <w:p w14:paraId="32B485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7,556</w:t>
            </w:r>
          </w:p>
        </w:tc>
      </w:tr>
      <w:tr w:rsidR="00315701" w:rsidRPr="009543E3" w14:paraId="31ED7A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DAB7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4E47D137" w14:textId="58FD3E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343214C8" w14:textId="0656E5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0.100</w:t>
            </w:r>
          </w:p>
        </w:tc>
        <w:tc>
          <w:tcPr>
            <w:tcW w:w="1540" w:type="dxa"/>
            <w:tcBorders>
              <w:top w:val="nil"/>
              <w:left w:val="nil"/>
              <w:bottom w:val="single" w:sz="4" w:space="0" w:color="auto"/>
              <w:right w:val="single" w:sz="4" w:space="0" w:color="auto"/>
            </w:tcBorders>
            <w:shd w:val="clear" w:color="auto" w:fill="auto"/>
            <w:noWrap/>
            <w:vAlign w:val="center"/>
            <w:hideMark/>
          </w:tcPr>
          <w:p w14:paraId="005402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11,405</w:t>
            </w:r>
          </w:p>
        </w:tc>
      </w:tr>
      <w:tr w:rsidR="00315701" w:rsidRPr="009543E3" w14:paraId="09CE683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801EE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142DFC21" w14:textId="4EB1ED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432E35A9" w14:textId="1AE3C6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0.233</w:t>
            </w:r>
          </w:p>
        </w:tc>
        <w:tc>
          <w:tcPr>
            <w:tcW w:w="1540" w:type="dxa"/>
            <w:tcBorders>
              <w:top w:val="nil"/>
              <w:left w:val="nil"/>
              <w:bottom w:val="single" w:sz="4" w:space="0" w:color="auto"/>
              <w:right w:val="single" w:sz="4" w:space="0" w:color="auto"/>
            </w:tcBorders>
            <w:shd w:val="clear" w:color="auto" w:fill="auto"/>
            <w:noWrap/>
            <w:vAlign w:val="center"/>
            <w:hideMark/>
          </w:tcPr>
          <w:p w14:paraId="5ECD6C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26,516</w:t>
            </w:r>
          </w:p>
        </w:tc>
      </w:tr>
      <w:tr w:rsidR="00315701" w:rsidRPr="009543E3" w14:paraId="53EBC8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FB64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El Salvador</w:t>
            </w:r>
          </w:p>
        </w:tc>
        <w:tc>
          <w:tcPr>
            <w:tcW w:w="1540" w:type="dxa"/>
            <w:tcBorders>
              <w:top w:val="nil"/>
              <w:left w:val="nil"/>
              <w:bottom w:val="single" w:sz="4" w:space="0" w:color="auto"/>
              <w:right w:val="single" w:sz="4" w:space="0" w:color="auto"/>
            </w:tcBorders>
            <w:shd w:val="clear" w:color="auto" w:fill="auto"/>
            <w:vAlign w:val="center"/>
            <w:hideMark/>
          </w:tcPr>
          <w:p w14:paraId="1480AE84" w14:textId="2F37E5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27B3C6EF" w14:textId="0E72F2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36E3958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w:t>
            </w:r>
          </w:p>
        </w:tc>
      </w:tr>
      <w:tr w:rsidR="00315701" w:rsidRPr="009543E3" w14:paraId="0B046A3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8C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Equatorial Guinea</w:t>
            </w:r>
          </w:p>
        </w:tc>
        <w:tc>
          <w:tcPr>
            <w:tcW w:w="1540" w:type="dxa"/>
            <w:tcBorders>
              <w:top w:val="nil"/>
              <w:left w:val="nil"/>
              <w:bottom w:val="single" w:sz="4" w:space="0" w:color="auto"/>
              <w:right w:val="single" w:sz="4" w:space="0" w:color="auto"/>
            </w:tcBorders>
            <w:shd w:val="clear" w:color="auto" w:fill="auto"/>
            <w:vAlign w:val="center"/>
            <w:hideMark/>
          </w:tcPr>
          <w:p w14:paraId="797CDE67" w14:textId="6ACBB5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466D01FD" w14:textId="240501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EF2286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bl>
    <w:p w14:paraId="0651FF4C" w14:textId="3A18CAC0" w:rsidR="00315701" w:rsidRPr="009543E3" w:rsidRDefault="00315701" w:rsidP="006914CE">
      <w:pPr>
        <w:suppressLineNumbers/>
        <w:suppressAutoHyphens/>
        <w:autoSpaceDE w:val="0"/>
        <w:autoSpaceDN w:val="0"/>
        <w:adjustRightInd w:val="0"/>
        <w:rPr>
          <w:rFonts w:eastAsiaTheme="minorEastAsia"/>
          <w:kern w:val="22"/>
          <w:szCs w:val="22"/>
        </w:rPr>
      </w:pPr>
    </w:p>
    <w:p w14:paraId="64270363"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7B7ABC20" w14:textId="77777777" w:rsidTr="006914CE">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667" w14:textId="6F1FA3EB"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DE11265" w14:textId="25029173"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E8B7047"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5F277D" w14:textId="4861BD9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3402E0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0100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67C3FF36" w14:textId="68B231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522A191" w14:textId="171D179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9D278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55A7F7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F5D5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645DCECA" w14:textId="521E4B3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7DD30E18" w14:textId="6F38CE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24D0B27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5,560</w:t>
            </w:r>
          </w:p>
        </w:tc>
      </w:tr>
      <w:tr w:rsidR="00315701" w:rsidRPr="009543E3" w14:paraId="73244A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950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4AFC93AC" w14:textId="715059A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6B9FBDC" w14:textId="328D817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800009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7AE35B2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5493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2CE5F714" w14:textId="79AB910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D449408" w14:textId="45E8D17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AEFC19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147B5C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2DE7E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1F273E73" w14:textId="0FB8234A" w:rsidR="00315701" w:rsidRPr="009543E3" w:rsidRDefault="00315701"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3F93830A" w14:textId="262E80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1916F87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285,068</w:t>
            </w:r>
          </w:p>
        </w:tc>
      </w:tr>
      <w:tr w:rsidR="00315701" w:rsidRPr="009543E3" w14:paraId="0EFC32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15F32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001EFBAA" w14:textId="610B994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FA954F7" w14:textId="150351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E2D68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4899BE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3C6C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35128FE6" w14:textId="3B4AD0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242735B6" w14:textId="40305C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0.526</w:t>
            </w:r>
          </w:p>
        </w:tc>
        <w:tc>
          <w:tcPr>
            <w:tcW w:w="1540" w:type="dxa"/>
            <w:tcBorders>
              <w:top w:val="nil"/>
              <w:left w:val="nil"/>
              <w:bottom w:val="single" w:sz="4" w:space="0" w:color="auto"/>
              <w:right w:val="single" w:sz="4" w:space="0" w:color="auto"/>
            </w:tcBorders>
            <w:shd w:val="clear" w:color="auto" w:fill="auto"/>
            <w:noWrap/>
            <w:vAlign w:val="center"/>
            <w:hideMark/>
          </w:tcPr>
          <w:p w14:paraId="0F4441B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60,017</w:t>
            </w:r>
          </w:p>
        </w:tc>
      </w:tr>
      <w:tr w:rsidR="00315701" w:rsidRPr="009543E3" w14:paraId="56C38F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211D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14E2E3D6" w14:textId="1A58ED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5F4B38D8" w14:textId="6089A8D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5.535</w:t>
            </w:r>
          </w:p>
        </w:tc>
        <w:tc>
          <w:tcPr>
            <w:tcW w:w="1540" w:type="dxa"/>
            <w:tcBorders>
              <w:top w:val="nil"/>
              <w:left w:val="nil"/>
              <w:bottom w:val="single" w:sz="4" w:space="0" w:color="auto"/>
              <w:right w:val="single" w:sz="4" w:space="0" w:color="auto"/>
            </w:tcBorders>
            <w:shd w:val="clear" w:color="auto" w:fill="auto"/>
            <w:noWrap/>
            <w:vAlign w:val="center"/>
            <w:hideMark/>
          </w:tcPr>
          <w:p w14:paraId="63D0A7D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631,110</w:t>
            </w:r>
          </w:p>
        </w:tc>
      </w:tr>
      <w:tr w:rsidR="00315701" w:rsidRPr="009543E3" w14:paraId="44F00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F0F9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6AB524CF" w14:textId="1C1F19A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252120F" w14:textId="7027AB1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618BA2C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2,138</w:t>
            </w:r>
          </w:p>
        </w:tc>
      </w:tr>
      <w:tr w:rsidR="00315701" w:rsidRPr="009543E3" w14:paraId="1702D9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E7EB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4C610AA0" w14:textId="3CDBEE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1E18087" w14:textId="5C528C9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30CA42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B7C80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5AAE0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Georgia</w:t>
            </w:r>
          </w:p>
        </w:tc>
        <w:tc>
          <w:tcPr>
            <w:tcW w:w="1540" w:type="dxa"/>
            <w:tcBorders>
              <w:top w:val="nil"/>
              <w:left w:val="nil"/>
              <w:bottom w:val="single" w:sz="4" w:space="0" w:color="auto"/>
              <w:right w:val="single" w:sz="4" w:space="0" w:color="auto"/>
            </w:tcBorders>
            <w:shd w:val="clear" w:color="auto" w:fill="auto"/>
            <w:vAlign w:val="center"/>
            <w:hideMark/>
          </w:tcPr>
          <w:p w14:paraId="28D2B462" w14:textId="65E85D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65EE0C7" w14:textId="1E5E105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E20F9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F265EA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4A348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53CE7197" w14:textId="19A480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31E8976E" w14:textId="56E11F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7.614</w:t>
            </w:r>
          </w:p>
        </w:tc>
        <w:tc>
          <w:tcPr>
            <w:tcW w:w="1540" w:type="dxa"/>
            <w:tcBorders>
              <w:top w:val="nil"/>
              <w:left w:val="nil"/>
              <w:bottom w:val="single" w:sz="4" w:space="0" w:color="auto"/>
              <w:right w:val="single" w:sz="4" w:space="0" w:color="auto"/>
            </w:tcBorders>
            <w:shd w:val="clear" w:color="auto" w:fill="auto"/>
            <w:noWrap/>
            <w:vAlign w:val="center"/>
            <w:hideMark/>
          </w:tcPr>
          <w:p w14:paraId="43062E2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868,187</w:t>
            </w:r>
          </w:p>
        </w:tc>
      </w:tr>
      <w:tr w:rsidR="00315701" w:rsidRPr="009543E3" w14:paraId="21BF16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0ABCA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5CF46081" w14:textId="1592F15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26272F26" w14:textId="41413E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484889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2,138</w:t>
            </w:r>
          </w:p>
        </w:tc>
      </w:tr>
      <w:tr w:rsidR="00315701" w:rsidRPr="009543E3" w14:paraId="2C3169E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CCCE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43AE026D" w14:textId="7EF7EDF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059FEC23" w14:textId="087209D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0.458</w:t>
            </w:r>
          </w:p>
        </w:tc>
        <w:tc>
          <w:tcPr>
            <w:tcW w:w="1540" w:type="dxa"/>
            <w:tcBorders>
              <w:top w:val="nil"/>
              <w:left w:val="nil"/>
              <w:bottom w:val="single" w:sz="4" w:space="0" w:color="auto"/>
              <w:right w:val="single" w:sz="4" w:space="0" w:color="auto"/>
            </w:tcBorders>
            <w:shd w:val="clear" w:color="auto" w:fill="auto"/>
            <w:noWrap/>
            <w:vAlign w:val="center"/>
            <w:hideMark/>
          </w:tcPr>
          <w:p w14:paraId="6332BA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52,177</w:t>
            </w:r>
          </w:p>
        </w:tc>
      </w:tr>
      <w:tr w:rsidR="00315701" w:rsidRPr="009543E3" w14:paraId="4D929EB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B7921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Grenada</w:t>
            </w:r>
          </w:p>
        </w:tc>
        <w:tc>
          <w:tcPr>
            <w:tcW w:w="1540" w:type="dxa"/>
            <w:tcBorders>
              <w:top w:val="nil"/>
              <w:left w:val="nil"/>
              <w:bottom w:val="single" w:sz="4" w:space="0" w:color="auto"/>
              <w:right w:val="single" w:sz="4" w:space="0" w:color="auto"/>
            </w:tcBorders>
            <w:shd w:val="clear" w:color="auto" w:fill="auto"/>
            <w:vAlign w:val="center"/>
            <w:hideMark/>
          </w:tcPr>
          <w:p w14:paraId="636C3C6B" w14:textId="19F0F5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A56BA66" w14:textId="4C0C81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39B9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827C3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FB4D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7D2A48B7" w14:textId="16D78F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A348ACA" w14:textId="66A18B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2CBD606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5,132</w:t>
            </w:r>
          </w:p>
        </w:tc>
      </w:tr>
      <w:tr w:rsidR="00315701" w:rsidRPr="009543E3" w14:paraId="22EE474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86EA2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5AD15E23" w14:textId="5E7C7F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D15569B" w14:textId="693FB6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6A855B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3EA3F55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30F57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33459014" w14:textId="4C57ED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EB50B70" w14:textId="642CA86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8475B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AC223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910D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7DD7949D" w14:textId="2044DA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26D580D" w14:textId="0C7C2F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7D7BE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54412EB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E4C2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Haiti</w:t>
            </w:r>
          </w:p>
        </w:tc>
        <w:tc>
          <w:tcPr>
            <w:tcW w:w="1540" w:type="dxa"/>
            <w:tcBorders>
              <w:top w:val="nil"/>
              <w:left w:val="nil"/>
              <w:bottom w:val="single" w:sz="4" w:space="0" w:color="auto"/>
              <w:right w:val="single" w:sz="4" w:space="0" w:color="auto"/>
            </w:tcBorders>
            <w:shd w:val="clear" w:color="auto" w:fill="auto"/>
            <w:vAlign w:val="center"/>
            <w:hideMark/>
          </w:tcPr>
          <w:p w14:paraId="16FCC301" w14:textId="13410D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9D1C837" w14:textId="41A080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FFAD1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7ABE25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AA26E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11A25E02" w14:textId="4566EC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CFD2528" w14:textId="1886257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6872C6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2181F10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737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0913A423" w14:textId="6D5922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518C9A45" w14:textId="0F95E5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0.258</w:t>
            </w:r>
          </w:p>
        </w:tc>
        <w:tc>
          <w:tcPr>
            <w:tcW w:w="1540" w:type="dxa"/>
            <w:tcBorders>
              <w:top w:val="nil"/>
              <w:left w:val="nil"/>
              <w:bottom w:val="single" w:sz="4" w:space="0" w:color="auto"/>
              <w:right w:val="single" w:sz="4" w:space="0" w:color="auto"/>
            </w:tcBorders>
            <w:shd w:val="clear" w:color="auto" w:fill="auto"/>
            <w:noWrap/>
            <w:vAlign w:val="center"/>
            <w:hideMark/>
          </w:tcPr>
          <w:p w14:paraId="1A0734D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29,367</w:t>
            </w:r>
          </w:p>
        </w:tc>
      </w:tr>
      <w:tr w:rsidR="00315701" w:rsidRPr="009543E3" w14:paraId="6DC955D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0918E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Iceland</w:t>
            </w:r>
          </w:p>
        </w:tc>
        <w:tc>
          <w:tcPr>
            <w:tcW w:w="1540" w:type="dxa"/>
            <w:tcBorders>
              <w:top w:val="nil"/>
              <w:left w:val="nil"/>
              <w:bottom w:val="single" w:sz="4" w:space="0" w:color="auto"/>
              <w:right w:val="single" w:sz="4" w:space="0" w:color="auto"/>
            </w:tcBorders>
            <w:shd w:val="clear" w:color="auto" w:fill="auto"/>
            <w:vAlign w:val="center"/>
            <w:hideMark/>
          </w:tcPr>
          <w:p w14:paraId="250D0A98" w14:textId="049CE3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005C374C" w14:textId="11D927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0.035</w:t>
            </w:r>
          </w:p>
        </w:tc>
        <w:tc>
          <w:tcPr>
            <w:tcW w:w="1540" w:type="dxa"/>
            <w:tcBorders>
              <w:top w:val="nil"/>
              <w:left w:val="nil"/>
              <w:bottom w:val="single" w:sz="4" w:space="0" w:color="auto"/>
              <w:right w:val="single" w:sz="4" w:space="0" w:color="auto"/>
            </w:tcBorders>
            <w:shd w:val="clear" w:color="auto" w:fill="auto"/>
            <w:noWrap/>
            <w:vAlign w:val="center"/>
            <w:hideMark/>
          </w:tcPr>
          <w:p w14:paraId="6CC21C6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3,992</w:t>
            </w:r>
          </w:p>
        </w:tc>
      </w:tr>
      <w:tr w:rsidR="00315701" w:rsidRPr="009543E3" w14:paraId="3C0418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E217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D85E941" w14:textId="52D2ACF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25525076" w14:textId="7741AF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1.043</w:t>
            </w:r>
          </w:p>
        </w:tc>
        <w:tc>
          <w:tcPr>
            <w:tcW w:w="1540" w:type="dxa"/>
            <w:tcBorders>
              <w:top w:val="nil"/>
              <w:left w:val="nil"/>
              <w:bottom w:val="single" w:sz="4" w:space="0" w:color="auto"/>
              <w:right w:val="single" w:sz="4" w:space="0" w:color="auto"/>
            </w:tcBorders>
            <w:shd w:val="clear" w:color="auto" w:fill="auto"/>
            <w:noWrap/>
            <w:vAlign w:val="center"/>
            <w:hideMark/>
          </w:tcPr>
          <w:p w14:paraId="61E57D4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118,895</w:t>
            </w:r>
          </w:p>
        </w:tc>
      </w:tr>
      <w:tr w:rsidR="00315701" w:rsidRPr="009543E3" w14:paraId="61B049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36B00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410AF4EC" w14:textId="2DE78DE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5C62E46A" w14:textId="273CA5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0.679</w:t>
            </w:r>
          </w:p>
        </w:tc>
        <w:tc>
          <w:tcPr>
            <w:tcW w:w="1540" w:type="dxa"/>
            <w:tcBorders>
              <w:top w:val="nil"/>
              <w:left w:val="nil"/>
              <w:bottom w:val="single" w:sz="4" w:space="0" w:color="auto"/>
              <w:right w:val="single" w:sz="4" w:space="0" w:color="auto"/>
            </w:tcBorders>
            <w:shd w:val="clear" w:color="auto" w:fill="auto"/>
            <w:noWrap/>
            <w:vAlign w:val="center"/>
            <w:hideMark/>
          </w:tcPr>
          <w:p w14:paraId="58E198D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77,410</w:t>
            </w:r>
          </w:p>
        </w:tc>
      </w:tr>
      <w:tr w:rsidR="00315701" w:rsidRPr="009543E3" w14:paraId="5D8842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FC556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Iran (Islamic Republic of)</w:t>
            </w:r>
          </w:p>
        </w:tc>
        <w:tc>
          <w:tcPr>
            <w:tcW w:w="1540" w:type="dxa"/>
            <w:tcBorders>
              <w:top w:val="nil"/>
              <w:left w:val="nil"/>
              <w:bottom w:val="single" w:sz="4" w:space="0" w:color="auto"/>
              <w:right w:val="single" w:sz="4" w:space="0" w:color="auto"/>
            </w:tcBorders>
            <w:shd w:val="clear" w:color="auto" w:fill="auto"/>
            <w:vAlign w:val="center"/>
            <w:hideMark/>
          </w:tcPr>
          <w:p w14:paraId="6564FC40" w14:textId="5C9F2E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0.398</w:t>
            </w:r>
          </w:p>
        </w:tc>
        <w:tc>
          <w:tcPr>
            <w:tcW w:w="1540" w:type="dxa"/>
            <w:tcBorders>
              <w:top w:val="nil"/>
              <w:left w:val="nil"/>
              <w:bottom w:val="single" w:sz="4" w:space="0" w:color="auto"/>
              <w:right w:val="single" w:sz="4" w:space="0" w:color="auto"/>
            </w:tcBorders>
            <w:shd w:val="clear" w:color="auto" w:fill="auto"/>
            <w:noWrap/>
            <w:vAlign w:val="center"/>
            <w:hideMark/>
          </w:tcPr>
          <w:p w14:paraId="6E2E070D" w14:textId="61B5AA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0.498</w:t>
            </w:r>
          </w:p>
        </w:tc>
        <w:tc>
          <w:tcPr>
            <w:tcW w:w="1540" w:type="dxa"/>
            <w:tcBorders>
              <w:top w:val="nil"/>
              <w:left w:val="nil"/>
              <w:bottom w:val="single" w:sz="4" w:space="0" w:color="auto"/>
              <w:right w:val="single" w:sz="4" w:space="0" w:color="auto"/>
            </w:tcBorders>
            <w:shd w:val="clear" w:color="auto" w:fill="auto"/>
            <w:noWrap/>
            <w:vAlign w:val="center"/>
            <w:hideMark/>
          </w:tcPr>
          <w:p w14:paraId="76D17BD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56,739</w:t>
            </w:r>
          </w:p>
        </w:tc>
      </w:tr>
      <w:tr w:rsidR="00315701" w:rsidRPr="009543E3" w14:paraId="1D7BFA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6AAFF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Iraq</w:t>
            </w:r>
          </w:p>
        </w:tc>
        <w:tc>
          <w:tcPr>
            <w:tcW w:w="1540" w:type="dxa"/>
            <w:tcBorders>
              <w:top w:val="nil"/>
              <w:left w:val="nil"/>
              <w:bottom w:val="single" w:sz="4" w:space="0" w:color="auto"/>
              <w:right w:val="single" w:sz="4" w:space="0" w:color="auto"/>
            </w:tcBorders>
            <w:shd w:val="clear" w:color="auto" w:fill="auto"/>
            <w:vAlign w:val="center"/>
            <w:hideMark/>
          </w:tcPr>
          <w:p w14:paraId="4AED5D50" w14:textId="1153D53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0.129</w:t>
            </w:r>
          </w:p>
        </w:tc>
        <w:tc>
          <w:tcPr>
            <w:tcW w:w="1540" w:type="dxa"/>
            <w:tcBorders>
              <w:top w:val="nil"/>
              <w:left w:val="nil"/>
              <w:bottom w:val="single" w:sz="4" w:space="0" w:color="auto"/>
              <w:right w:val="single" w:sz="4" w:space="0" w:color="auto"/>
            </w:tcBorders>
            <w:shd w:val="clear" w:color="auto" w:fill="auto"/>
            <w:noWrap/>
            <w:vAlign w:val="center"/>
            <w:hideMark/>
          </w:tcPr>
          <w:p w14:paraId="0F21A3F3" w14:textId="58279F7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0.161</w:t>
            </w:r>
          </w:p>
        </w:tc>
        <w:tc>
          <w:tcPr>
            <w:tcW w:w="1540" w:type="dxa"/>
            <w:tcBorders>
              <w:top w:val="nil"/>
              <w:left w:val="nil"/>
              <w:bottom w:val="single" w:sz="4" w:space="0" w:color="auto"/>
              <w:right w:val="single" w:sz="4" w:space="0" w:color="auto"/>
            </w:tcBorders>
            <w:shd w:val="clear" w:color="auto" w:fill="auto"/>
            <w:noWrap/>
            <w:vAlign w:val="center"/>
            <w:hideMark/>
          </w:tcPr>
          <w:p w14:paraId="189B6B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18,390</w:t>
            </w:r>
          </w:p>
        </w:tc>
      </w:tr>
      <w:tr w:rsidR="00315701" w:rsidRPr="009543E3" w14:paraId="3FD919B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3FBE1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Ireland</w:t>
            </w:r>
          </w:p>
        </w:tc>
        <w:tc>
          <w:tcPr>
            <w:tcW w:w="1540" w:type="dxa"/>
            <w:tcBorders>
              <w:top w:val="nil"/>
              <w:left w:val="nil"/>
              <w:bottom w:val="single" w:sz="4" w:space="0" w:color="auto"/>
              <w:right w:val="single" w:sz="4" w:space="0" w:color="auto"/>
            </w:tcBorders>
            <w:shd w:val="clear" w:color="auto" w:fill="auto"/>
            <w:vAlign w:val="center"/>
            <w:hideMark/>
          </w:tcPr>
          <w:p w14:paraId="006B3938" w14:textId="031E1F3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0.371</w:t>
            </w:r>
          </w:p>
        </w:tc>
        <w:tc>
          <w:tcPr>
            <w:tcW w:w="1540" w:type="dxa"/>
            <w:tcBorders>
              <w:top w:val="nil"/>
              <w:left w:val="nil"/>
              <w:bottom w:val="single" w:sz="4" w:space="0" w:color="auto"/>
              <w:right w:val="single" w:sz="4" w:space="0" w:color="auto"/>
            </w:tcBorders>
            <w:shd w:val="clear" w:color="auto" w:fill="auto"/>
            <w:noWrap/>
            <w:vAlign w:val="center"/>
            <w:hideMark/>
          </w:tcPr>
          <w:p w14:paraId="2C7EBECF" w14:textId="35A0E3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0.464</w:t>
            </w:r>
          </w:p>
        </w:tc>
        <w:tc>
          <w:tcPr>
            <w:tcW w:w="1540" w:type="dxa"/>
            <w:tcBorders>
              <w:top w:val="nil"/>
              <w:left w:val="nil"/>
              <w:bottom w:val="single" w:sz="4" w:space="0" w:color="auto"/>
              <w:right w:val="single" w:sz="4" w:space="0" w:color="auto"/>
            </w:tcBorders>
            <w:shd w:val="clear" w:color="auto" w:fill="auto"/>
            <w:noWrap/>
            <w:vAlign w:val="center"/>
            <w:hideMark/>
          </w:tcPr>
          <w:p w14:paraId="156ADE2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52,890</w:t>
            </w:r>
          </w:p>
        </w:tc>
      </w:tr>
    </w:tbl>
    <w:p w14:paraId="6ECFEF36" w14:textId="03129E20" w:rsidR="00315701" w:rsidRPr="009543E3" w:rsidRDefault="00315701" w:rsidP="006914CE">
      <w:pPr>
        <w:suppressLineNumbers/>
        <w:suppressAutoHyphens/>
        <w:autoSpaceDE w:val="0"/>
        <w:autoSpaceDN w:val="0"/>
        <w:adjustRightInd w:val="0"/>
        <w:rPr>
          <w:rFonts w:eastAsiaTheme="minorEastAsia"/>
          <w:kern w:val="22"/>
          <w:szCs w:val="22"/>
        </w:rPr>
      </w:pPr>
    </w:p>
    <w:p w14:paraId="7C48F595"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75B3C5E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BD60" w14:textId="783E5054"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460D94" w14:textId="6E92BAF9"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3AA6C"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DF242" w14:textId="4B3C80A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158EDD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BD5A9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Israel</w:t>
            </w:r>
          </w:p>
        </w:tc>
        <w:tc>
          <w:tcPr>
            <w:tcW w:w="1540" w:type="dxa"/>
            <w:tcBorders>
              <w:top w:val="nil"/>
              <w:left w:val="nil"/>
              <w:bottom w:val="single" w:sz="4" w:space="0" w:color="auto"/>
              <w:right w:val="single" w:sz="4" w:space="0" w:color="auto"/>
            </w:tcBorders>
            <w:shd w:val="clear" w:color="auto" w:fill="auto"/>
            <w:vAlign w:val="center"/>
            <w:hideMark/>
          </w:tcPr>
          <w:p w14:paraId="5749E504" w14:textId="6B1F7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0.490</w:t>
            </w:r>
          </w:p>
        </w:tc>
        <w:tc>
          <w:tcPr>
            <w:tcW w:w="1540" w:type="dxa"/>
            <w:tcBorders>
              <w:top w:val="nil"/>
              <w:left w:val="nil"/>
              <w:bottom w:val="single" w:sz="4" w:space="0" w:color="auto"/>
              <w:right w:val="single" w:sz="4" w:space="0" w:color="auto"/>
            </w:tcBorders>
            <w:shd w:val="clear" w:color="auto" w:fill="auto"/>
            <w:noWrap/>
            <w:vAlign w:val="center"/>
            <w:hideMark/>
          </w:tcPr>
          <w:p w14:paraId="48E3BC32" w14:textId="308B06D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0.613</w:t>
            </w:r>
          </w:p>
        </w:tc>
        <w:tc>
          <w:tcPr>
            <w:tcW w:w="1540" w:type="dxa"/>
            <w:tcBorders>
              <w:top w:val="nil"/>
              <w:left w:val="nil"/>
              <w:bottom w:val="single" w:sz="4" w:space="0" w:color="auto"/>
              <w:right w:val="single" w:sz="4" w:space="0" w:color="auto"/>
            </w:tcBorders>
            <w:shd w:val="clear" w:color="auto" w:fill="auto"/>
            <w:noWrap/>
            <w:vAlign w:val="center"/>
            <w:hideMark/>
          </w:tcPr>
          <w:p w14:paraId="63B799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69,854</w:t>
            </w:r>
          </w:p>
        </w:tc>
      </w:tr>
      <w:tr w:rsidR="00315701" w:rsidRPr="009543E3" w14:paraId="455847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2F9C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Italy</w:t>
            </w:r>
          </w:p>
        </w:tc>
        <w:tc>
          <w:tcPr>
            <w:tcW w:w="1540" w:type="dxa"/>
            <w:tcBorders>
              <w:top w:val="nil"/>
              <w:left w:val="nil"/>
              <w:bottom w:val="single" w:sz="4" w:space="0" w:color="auto"/>
              <w:right w:val="single" w:sz="4" w:space="0" w:color="auto"/>
            </w:tcBorders>
            <w:shd w:val="clear" w:color="auto" w:fill="auto"/>
            <w:vAlign w:val="center"/>
            <w:hideMark/>
          </w:tcPr>
          <w:p w14:paraId="3293FBA4" w14:textId="609313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3.307</w:t>
            </w:r>
          </w:p>
        </w:tc>
        <w:tc>
          <w:tcPr>
            <w:tcW w:w="1540" w:type="dxa"/>
            <w:tcBorders>
              <w:top w:val="nil"/>
              <w:left w:val="nil"/>
              <w:bottom w:val="single" w:sz="4" w:space="0" w:color="auto"/>
              <w:right w:val="single" w:sz="4" w:space="0" w:color="auto"/>
            </w:tcBorders>
            <w:shd w:val="clear" w:color="auto" w:fill="auto"/>
            <w:noWrap/>
            <w:vAlign w:val="center"/>
            <w:hideMark/>
          </w:tcPr>
          <w:p w14:paraId="72298197" w14:textId="05618B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4.134</w:t>
            </w:r>
          </w:p>
        </w:tc>
        <w:tc>
          <w:tcPr>
            <w:tcW w:w="1540" w:type="dxa"/>
            <w:tcBorders>
              <w:top w:val="nil"/>
              <w:left w:val="nil"/>
              <w:bottom w:val="single" w:sz="4" w:space="0" w:color="auto"/>
              <w:right w:val="single" w:sz="4" w:space="0" w:color="auto"/>
            </w:tcBorders>
            <w:shd w:val="clear" w:color="auto" w:fill="auto"/>
            <w:noWrap/>
            <w:vAlign w:val="center"/>
            <w:hideMark/>
          </w:tcPr>
          <w:p w14:paraId="3D5D74D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471,444</w:t>
            </w:r>
          </w:p>
        </w:tc>
      </w:tr>
      <w:tr w:rsidR="00315701" w:rsidRPr="009543E3" w14:paraId="6F3334B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A9B91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Jamaica</w:t>
            </w:r>
          </w:p>
        </w:tc>
        <w:tc>
          <w:tcPr>
            <w:tcW w:w="1540" w:type="dxa"/>
            <w:tcBorders>
              <w:top w:val="nil"/>
              <w:left w:val="nil"/>
              <w:bottom w:val="single" w:sz="4" w:space="0" w:color="auto"/>
              <w:right w:val="single" w:sz="4" w:space="0" w:color="auto"/>
            </w:tcBorders>
            <w:shd w:val="clear" w:color="auto" w:fill="auto"/>
            <w:vAlign w:val="center"/>
            <w:hideMark/>
          </w:tcPr>
          <w:p w14:paraId="182EE0F5" w14:textId="0A2C871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5978C78E" w14:textId="694847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98C87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BBDB6B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A101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Japan</w:t>
            </w:r>
          </w:p>
        </w:tc>
        <w:tc>
          <w:tcPr>
            <w:tcW w:w="1540" w:type="dxa"/>
            <w:tcBorders>
              <w:top w:val="nil"/>
              <w:left w:val="nil"/>
              <w:bottom w:val="single" w:sz="4" w:space="0" w:color="auto"/>
              <w:right w:val="single" w:sz="4" w:space="0" w:color="auto"/>
            </w:tcBorders>
            <w:shd w:val="clear" w:color="auto" w:fill="auto"/>
            <w:vAlign w:val="center"/>
            <w:hideMark/>
          </w:tcPr>
          <w:p w14:paraId="57C84ACC" w14:textId="14FCAB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39EA6B65" w14:textId="3C44EF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10.707</w:t>
            </w:r>
          </w:p>
        </w:tc>
        <w:tc>
          <w:tcPr>
            <w:tcW w:w="1540" w:type="dxa"/>
            <w:tcBorders>
              <w:top w:val="nil"/>
              <w:left w:val="nil"/>
              <w:bottom w:val="single" w:sz="4" w:space="0" w:color="auto"/>
              <w:right w:val="single" w:sz="4" w:space="0" w:color="auto"/>
            </w:tcBorders>
            <w:shd w:val="clear" w:color="auto" w:fill="auto"/>
            <w:noWrap/>
            <w:vAlign w:val="center"/>
            <w:hideMark/>
          </w:tcPr>
          <w:p w14:paraId="7126E21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1,220,878</w:t>
            </w:r>
          </w:p>
        </w:tc>
      </w:tr>
      <w:tr w:rsidR="00315701" w:rsidRPr="009543E3" w14:paraId="1855051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6B9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5ACB16EA" w14:textId="3BB19B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3C3AFCDA" w14:textId="2796A91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3E031BF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2,994</w:t>
            </w:r>
          </w:p>
        </w:tc>
      </w:tr>
      <w:tr w:rsidR="00315701" w:rsidRPr="009543E3" w14:paraId="6F7998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AFF5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497C5661" w14:textId="59E220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420AA9EB" w14:textId="530CDC6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0.223</w:t>
            </w:r>
          </w:p>
        </w:tc>
        <w:tc>
          <w:tcPr>
            <w:tcW w:w="1540" w:type="dxa"/>
            <w:tcBorders>
              <w:top w:val="nil"/>
              <w:left w:val="nil"/>
              <w:bottom w:val="single" w:sz="4" w:space="0" w:color="auto"/>
              <w:right w:val="single" w:sz="4" w:space="0" w:color="auto"/>
            </w:tcBorders>
            <w:shd w:val="clear" w:color="auto" w:fill="auto"/>
            <w:noWrap/>
            <w:vAlign w:val="center"/>
            <w:hideMark/>
          </w:tcPr>
          <w:p w14:paraId="2E257E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25,376</w:t>
            </w:r>
          </w:p>
        </w:tc>
      </w:tr>
      <w:tr w:rsidR="00315701" w:rsidRPr="009543E3" w14:paraId="6A5CA5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E2F8E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6C7421B7" w14:textId="2F70147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3E3E5B39" w14:textId="79CCEF4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793E695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3,421</w:t>
            </w:r>
          </w:p>
        </w:tc>
      </w:tr>
      <w:tr w:rsidR="00315701" w:rsidRPr="009543E3" w14:paraId="5F527E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3760D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Kiribati</w:t>
            </w:r>
          </w:p>
        </w:tc>
        <w:tc>
          <w:tcPr>
            <w:tcW w:w="1540" w:type="dxa"/>
            <w:tcBorders>
              <w:top w:val="nil"/>
              <w:left w:val="nil"/>
              <w:bottom w:val="single" w:sz="4" w:space="0" w:color="auto"/>
              <w:right w:val="single" w:sz="4" w:space="0" w:color="auto"/>
            </w:tcBorders>
            <w:shd w:val="clear" w:color="auto" w:fill="auto"/>
            <w:vAlign w:val="center"/>
            <w:hideMark/>
          </w:tcPr>
          <w:p w14:paraId="0A8A0181" w14:textId="4604EB9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B6861BD" w14:textId="45CE9D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E7A927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76BB9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CEE44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6E197DCB" w14:textId="226FBB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62FBBF84" w14:textId="3385AB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0.315</w:t>
            </w:r>
          </w:p>
        </w:tc>
        <w:tc>
          <w:tcPr>
            <w:tcW w:w="1540" w:type="dxa"/>
            <w:tcBorders>
              <w:top w:val="nil"/>
              <w:left w:val="nil"/>
              <w:bottom w:val="single" w:sz="4" w:space="0" w:color="auto"/>
              <w:right w:val="single" w:sz="4" w:space="0" w:color="auto"/>
            </w:tcBorders>
            <w:shd w:val="clear" w:color="auto" w:fill="auto"/>
            <w:noWrap/>
            <w:vAlign w:val="center"/>
            <w:hideMark/>
          </w:tcPr>
          <w:p w14:paraId="6EEF25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35,925</w:t>
            </w:r>
          </w:p>
        </w:tc>
      </w:tr>
      <w:tr w:rsidR="00315701" w:rsidRPr="009543E3" w14:paraId="3361327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C40C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3E16A2C1" w14:textId="2A23683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56EA61A" w14:textId="2B62E4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0E6DA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42A71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AABFF" w14:textId="0BF30A6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Lao People</w:t>
            </w:r>
            <w:r w:rsidR="009F7E91" w:rsidRPr="009543E3">
              <w:rPr>
                <w:color w:val="000000"/>
                <w:kern w:val="22"/>
                <w:szCs w:val="22"/>
                <w:lang w:eastAsia="en-CA"/>
              </w:rPr>
              <w:t>’</w:t>
            </w:r>
            <w:r w:rsidRPr="009543E3">
              <w:rPr>
                <w:color w:val="000000"/>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0A0518AA" w14:textId="05E26D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08FE460" w14:textId="5A9C2D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B38F1F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61B85DE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9A06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Latvia</w:t>
            </w:r>
          </w:p>
        </w:tc>
        <w:tc>
          <w:tcPr>
            <w:tcW w:w="1540" w:type="dxa"/>
            <w:tcBorders>
              <w:top w:val="nil"/>
              <w:left w:val="nil"/>
              <w:bottom w:val="single" w:sz="4" w:space="0" w:color="auto"/>
              <w:right w:val="single" w:sz="4" w:space="0" w:color="auto"/>
            </w:tcBorders>
            <w:shd w:val="clear" w:color="auto" w:fill="auto"/>
            <w:vAlign w:val="center"/>
            <w:hideMark/>
          </w:tcPr>
          <w:p w14:paraId="16092817" w14:textId="347C90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7853BA57" w14:textId="29C8F0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0.059</w:t>
            </w:r>
          </w:p>
        </w:tc>
        <w:tc>
          <w:tcPr>
            <w:tcW w:w="1540" w:type="dxa"/>
            <w:tcBorders>
              <w:top w:val="nil"/>
              <w:left w:val="nil"/>
              <w:bottom w:val="single" w:sz="4" w:space="0" w:color="auto"/>
              <w:right w:val="single" w:sz="4" w:space="0" w:color="auto"/>
            </w:tcBorders>
            <w:shd w:val="clear" w:color="auto" w:fill="auto"/>
            <w:noWrap/>
            <w:vAlign w:val="center"/>
            <w:hideMark/>
          </w:tcPr>
          <w:p w14:paraId="3F20A0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6,700</w:t>
            </w:r>
          </w:p>
        </w:tc>
      </w:tr>
      <w:tr w:rsidR="00315701" w:rsidRPr="009543E3" w14:paraId="40D8A5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F83A7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65E8D51A" w14:textId="1CBD9D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304444DA" w14:textId="315EB7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0.059</w:t>
            </w:r>
          </w:p>
        </w:tc>
        <w:tc>
          <w:tcPr>
            <w:tcW w:w="1540" w:type="dxa"/>
            <w:tcBorders>
              <w:top w:val="nil"/>
              <w:left w:val="nil"/>
              <w:bottom w:val="single" w:sz="4" w:space="0" w:color="auto"/>
              <w:right w:val="single" w:sz="4" w:space="0" w:color="auto"/>
            </w:tcBorders>
            <w:shd w:val="clear" w:color="auto" w:fill="auto"/>
            <w:noWrap/>
            <w:vAlign w:val="center"/>
            <w:hideMark/>
          </w:tcPr>
          <w:p w14:paraId="4612231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6,700</w:t>
            </w:r>
          </w:p>
        </w:tc>
      </w:tr>
      <w:tr w:rsidR="00315701" w:rsidRPr="009543E3" w14:paraId="40DEFC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EC7F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192A955E" w14:textId="19BB1F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1B0FEEF" w14:textId="3AA616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E30CA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B72DA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7B7A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686E3852" w14:textId="10BBBF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7737EC6" w14:textId="0DA9501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D35BB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3A25F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C964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Libya</w:t>
            </w:r>
          </w:p>
        </w:tc>
        <w:tc>
          <w:tcPr>
            <w:tcW w:w="1540" w:type="dxa"/>
            <w:tcBorders>
              <w:top w:val="nil"/>
              <w:left w:val="nil"/>
              <w:bottom w:val="single" w:sz="4" w:space="0" w:color="auto"/>
              <w:right w:val="single" w:sz="4" w:space="0" w:color="auto"/>
            </w:tcBorders>
            <w:shd w:val="clear" w:color="auto" w:fill="auto"/>
            <w:vAlign w:val="center"/>
            <w:hideMark/>
          </w:tcPr>
          <w:p w14:paraId="7F5D59A2" w14:textId="33716A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3B449F20" w14:textId="21145C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0.038</w:t>
            </w:r>
          </w:p>
        </w:tc>
        <w:tc>
          <w:tcPr>
            <w:tcW w:w="1540" w:type="dxa"/>
            <w:tcBorders>
              <w:top w:val="nil"/>
              <w:left w:val="nil"/>
              <w:bottom w:val="single" w:sz="4" w:space="0" w:color="auto"/>
              <w:right w:val="single" w:sz="4" w:space="0" w:color="auto"/>
            </w:tcBorders>
            <w:shd w:val="clear" w:color="auto" w:fill="auto"/>
            <w:noWrap/>
            <w:vAlign w:val="center"/>
            <w:hideMark/>
          </w:tcPr>
          <w:p w14:paraId="529971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4,277</w:t>
            </w:r>
          </w:p>
        </w:tc>
      </w:tr>
      <w:tr w:rsidR="00315701" w:rsidRPr="009543E3" w14:paraId="2D3BFE6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3210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Liechtenstein</w:t>
            </w:r>
          </w:p>
        </w:tc>
        <w:tc>
          <w:tcPr>
            <w:tcW w:w="1540" w:type="dxa"/>
            <w:tcBorders>
              <w:top w:val="nil"/>
              <w:left w:val="nil"/>
              <w:bottom w:val="single" w:sz="4" w:space="0" w:color="auto"/>
              <w:right w:val="single" w:sz="4" w:space="0" w:color="auto"/>
            </w:tcBorders>
            <w:shd w:val="clear" w:color="auto" w:fill="auto"/>
            <w:vAlign w:val="center"/>
            <w:hideMark/>
          </w:tcPr>
          <w:p w14:paraId="06A3D643" w14:textId="25384AA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565F6D21" w14:textId="7B940A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25EA6B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3EC3B9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9B86F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Lithuania</w:t>
            </w:r>
          </w:p>
        </w:tc>
        <w:tc>
          <w:tcPr>
            <w:tcW w:w="1540" w:type="dxa"/>
            <w:tcBorders>
              <w:top w:val="nil"/>
              <w:left w:val="nil"/>
              <w:bottom w:val="single" w:sz="4" w:space="0" w:color="auto"/>
              <w:right w:val="single" w:sz="4" w:space="0" w:color="auto"/>
            </w:tcBorders>
            <w:shd w:val="clear" w:color="auto" w:fill="auto"/>
            <w:vAlign w:val="center"/>
            <w:hideMark/>
          </w:tcPr>
          <w:p w14:paraId="76949700" w14:textId="797163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3D71D7E8" w14:textId="0E116D0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0.089</w:t>
            </w:r>
          </w:p>
        </w:tc>
        <w:tc>
          <w:tcPr>
            <w:tcW w:w="1540" w:type="dxa"/>
            <w:tcBorders>
              <w:top w:val="nil"/>
              <w:left w:val="nil"/>
              <w:bottom w:val="single" w:sz="4" w:space="0" w:color="auto"/>
              <w:right w:val="single" w:sz="4" w:space="0" w:color="auto"/>
            </w:tcBorders>
            <w:shd w:val="clear" w:color="auto" w:fill="auto"/>
            <w:noWrap/>
            <w:vAlign w:val="center"/>
            <w:hideMark/>
          </w:tcPr>
          <w:p w14:paraId="5374B15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10,122</w:t>
            </w:r>
          </w:p>
        </w:tc>
      </w:tr>
      <w:tr w:rsidR="00315701" w:rsidRPr="009543E3" w14:paraId="094F3C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ABC4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59A17C1E" w14:textId="4D8F97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23236BA2" w14:textId="18A4B53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0.084</w:t>
            </w:r>
          </w:p>
        </w:tc>
        <w:tc>
          <w:tcPr>
            <w:tcW w:w="1540" w:type="dxa"/>
            <w:tcBorders>
              <w:top w:val="nil"/>
              <w:left w:val="nil"/>
              <w:bottom w:val="single" w:sz="4" w:space="0" w:color="auto"/>
              <w:right w:val="single" w:sz="4" w:space="0" w:color="auto"/>
            </w:tcBorders>
            <w:shd w:val="clear" w:color="auto" w:fill="auto"/>
            <w:noWrap/>
            <w:vAlign w:val="center"/>
            <w:hideMark/>
          </w:tcPr>
          <w:p w14:paraId="20E4EC7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9,551</w:t>
            </w:r>
          </w:p>
        </w:tc>
      </w:tr>
      <w:tr w:rsidR="00315701" w:rsidRPr="009543E3" w14:paraId="450FE8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C5AD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1DAEFDF3" w14:textId="01C7A5C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D510F5E" w14:textId="632F13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9C77CE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0435F8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42CB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341338B3" w14:textId="201CBF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072FFEB" w14:textId="09F7BF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6D0D2D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64D580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87168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4A791396" w14:textId="0084B2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21F13EB5" w14:textId="7DB8DD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0.426</w:t>
            </w:r>
          </w:p>
        </w:tc>
        <w:tc>
          <w:tcPr>
            <w:tcW w:w="1540" w:type="dxa"/>
            <w:tcBorders>
              <w:top w:val="nil"/>
              <w:left w:val="nil"/>
              <w:bottom w:val="single" w:sz="4" w:space="0" w:color="auto"/>
              <w:right w:val="single" w:sz="4" w:space="0" w:color="auto"/>
            </w:tcBorders>
            <w:shd w:val="clear" w:color="auto" w:fill="auto"/>
            <w:noWrap/>
            <w:vAlign w:val="center"/>
            <w:hideMark/>
          </w:tcPr>
          <w:p w14:paraId="3EFF57B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48,613</w:t>
            </w:r>
          </w:p>
        </w:tc>
      </w:tr>
      <w:tr w:rsidR="00315701" w:rsidRPr="009543E3" w14:paraId="0D4AAB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B6E56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1C8ACDB3" w14:textId="380D0A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402117D" w14:textId="6746F7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E65AA8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64250F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231C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432CB693" w14:textId="2894A95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64F4FA" w14:textId="6A31D19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D16F0E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542688C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D1BC0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152760C4" w14:textId="144162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22B7FB5F" w14:textId="2B698C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07333FE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2,424</w:t>
            </w:r>
          </w:p>
        </w:tc>
      </w:tr>
      <w:tr w:rsidR="00315701" w:rsidRPr="009543E3" w14:paraId="2F0AE2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5B408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78C7078E" w14:textId="0B3808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679B93E" w14:textId="7FB9DF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6C42D4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342F7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028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4E326B30" w14:textId="18AE05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F4701A7" w14:textId="670F560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2174F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3B74940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23C5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166F7293" w14:textId="52646E0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C8B27F3" w14:textId="71DE36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1188781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bl>
    <w:p w14:paraId="1425A409" w14:textId="1430CD03" w:rsidR="00315701" w:rsidRPr="009543E3" w:rsidRDefault="00315701" w:rsidP="006914CE">
      <w:pPr>
        <w:suppressLineNumbers/>
        <w:suppressAutoHyphens/>
        <w:autoSpaceDE w:val="0"/>
        <w:autoSpaceDN w:val="0"/>
        <w:adjustRightInd w:val="0"/>
        <w:rPr>
          <w:rFonts w:eastAsiaTheme="minorEastAsia"/>
          <w:kern w:val="22"/>
          <w:szCs w:val="22"/>
        </w:rPr>
      </w:pPr>
    </w:p>
    <w:p w14:paraId="2F359813"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0A729A68"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6D3" w14:textId="74D01257"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817260" w14:textId="0E1BC64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0DAFC7"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D5C82" w14:textId="4C1364B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6BD0521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A3D9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5D3940A3" w14:textId="1F0B576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7871A04D" w14:textId="112520F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1.615</w:t>
            </w:r>
          </w:p>
        </w:tc>
        <w:tc>
          <w:tcPr>
            <w:tcW w:w="1540" w:type="dxa"/>
            <w:tcBorders>
              <w:top w:val="nil"/>
              <w:left w:val="nil"/>
              <w:bottom w:val="single" w:sz="4" w:space="0" w:color="auto"/>
              <w:right w:val="single" w:sz="4" w:space="0" w:color="auto"/>
            </w:tcBorders>
            <w:shd w:val="clear" w:color="auto" w:fill="auto"/>
            <w:noWrap/>
            <w:vAlign w:val="center"/>
            <w:hideMark/>
          </w:tcPr>
          <w:p w14:paraId="3A1FAA2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184,187</w:t>
            </w:r>
          </w:p>
        </w:tc>
      </w:tr>
      <w:tr w:rsidR="00315701" w:rsidRPr="009543E3" w14:paraId="278F30F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A4314" w14:textId="586DE0E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Micronesia (Federated States of)</w:t>
            </w:r>
          </w:p>
        </w:tc>
        <w:tc>
          <w:tcPr>
            <w:tcW w:w="1540" w:type="dxa"/>
            <w:tcBorders>
              <w:top w:val="nil"/>
              <w:left w:val="nil"/>
              <w:bottom w:val="single" w:sz="4" w:space="0" w:color="auto"/>
              <w:right w:val="single" w:sz="4" w:space="0" w:color="auto"/>
            </w:tcBorders>
            <w:shd w:val="clear" w:color="auto" w:fill="auto"/>
            <w:vAlign w:val="center"/>
            <w:hideMark/>
          </w:tcPr>
          <w:p w14:paraId="031C2086" w14:textId="0A598A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186861" w14:textId="281505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86937D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0E653B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55ED4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Monaco</w:t>
            </w:r>
          </w:p>
        </w:tc>
        <w:tc>
          <w:tcPr>
            <w:tcW w:w="1540" w:type="dxa"/>
            <w:tcBorders>
              <w:top w:val="nil"/>
              <w:left w:val="nil"/>
              <w:bottom w:val="single" w:sz="4" w:space="0" w:color="auto"/>
              <w:right w:val="single" w:sz="4" w:space="0" w:color="auto"/>
            </w:tcBorders>
            <w:shd w:val="clear" w:color="auto" w:fill="auto"/>
            <w:vAlign w:val="center"/>
            <w:hideMark/>
          </w:tcPr>
          <w:p w14:paraId="6A7CF1E4" w14:textId="4972A7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5658B901" w14:textId="4E8F70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24BE3AE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r w:rsidR="00315701" w:rsidRPr="009543E3" w14:paraId="6BD065E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27266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6BF8B506" w14:textId="6FD4EF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F459A32" w14:textId="5700688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C39431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5D2A03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E356D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hideMark/>
          </w:tcPr>
          <w:p w14:paraId="108862C9" w14:textId="45B71A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B426E38" w14:textId="1C79B1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E8B32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2AC6CE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C4C6B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Morocco</w:t>
            </w:r>
          </w:p>
        </w:tc>
        <w:tc>
          <w:tcPr>
            <w:tcW w:w="1540" w:type="dxa"/>
            <w:tcBorders>
              <w:top w:val="nil"/>
              <w:left w:val="nil"/>
              <w:bottom w:val="single" w:sz="4" w:space="0" w:color="auto"/>
              <w:right w:val="single" w:sz="4" w:space="0" w:color="auto"/>
            </w:tcBorders>
            <w:shd w:val="clear" w:color="auto" w:fill="auto"/>
            <w:vAlign w:val="center"/>
            <w:hideMark/>
          </w:tcPr>
          <w:p w14:paraId="2B0954DF" w14:textId="03A402A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2009AD6E" w14:textId="4607024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0.069</w:t>
            </w:r>
          </w:p>
        </w:tc>
        <w:tc>
          <w:tcPr>
            <w:tcW w:w="1540" w:type="dxa"/>
            <w:tcBorders>
              <w:top w:val="nil"/>
              <w:left w:val="nil"/>
              <w:bottom w:val="single" w:sz="4" w:space="0" w:color="auto"/>
              <w:right w:val="single" w:sz="4" w:space="0" w:color="auto"/>
            </w:tcBorders>
            <w:shd w:val="clear" w:color="auto" w:fill="auto"/>
            <w:noWrap/>
            <w:vAlign w:val="center"/>
            <w:hideMark/>
          </w:tcPr>
          <w:p w14:paraId="2E4F143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7,841</w:t>
            </w:r>
          </w:p>
        </w:tc>
      </w:tr>
      <w:tr w:rsidR="00315701" w:rsidRPr="009543E3" w14:paraId="064FB37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DBCDA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66D159F" w14:textId="15EF6B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1E35712" w14:textId="1D06B9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9900D0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0FC27A5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A37B8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2CC6811F" w14:textId="2607B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6545A00" w14:textId="114FEE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D0DA6B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F31A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C928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52ED4776" w14:textId="428C70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73DB6995" w14:textId="20CF54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36E72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16894A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1B811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Nauru</w:t>
            </w:r>
          </w:p>
        </w:tc>
        <w:tc>
          <w:tcPr>
            <w:tcW w:w="1540" w:type="dxa"/>
            <w:tcBorders>
              <w:top w:val="nil"/>
              <w:left w:val="nil"/>
              <w:bottom w:val="single" w:sz="4" w:space="0" w:color="auto"/>
              <w:right w:val="single" w:sz="4" w:space="0" w:color="auto"/>
            </w:tcBorders>
            <w:shd w:val="clear" w:color="auto" w:fill="auto"/>
            <w:vAlign w:val="center"/>
            <w:hideMark/>
          </w:tcPr>
          <w:p w14:paraId="2A33F426" w14:textId="4CF782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62A1067" w14:textId="4E58DE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6C3F48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B1154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E96D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Nepal</w:t>
            </w:r>
          </w:p>
        </w:tc>
        <w:tc>
          <w:tcPr>
            <w:tcW w:w="1540" w:type="dxa"/>
            <w:tcBorders>
              <w:top w:val="nil"/>
              <w:left w:val="nil"/>
              <w:bottom w:val="single" w:sz="4" w:space="0" w:color="auto"/>
              <w:right w:val="single" w:sz="4" w:space="0" w:color="auto"/>
            </w:tcBorders>
            <w:shd w:val="clear" w:color="auto" w:fill="auto"/>
            <w:vAlign w:val="center"/>
            <w:hideMark/>
          </w:tcPr>
          <w:p w14:paraId="3511C689" w14:textId="425034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05FA40C7" w14:textId="19FE99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C93BE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5BDD0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D0A19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78D35DF0" w14:textId="5759DE8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5FC7C2B6" w14:textId="2DBBD8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1.695</w:t>
            </w:r>
          </w:p>
        </w:tc>
        <w:tc>
          <w:tcPr>
            <w:tcW w:w="1540" w:type="dxa"/>
            <w:tcBorders>
              <w:top w:val="nil"/>
              <w:left w:val="nil"/>
              <w:bottom w:val="single" w:sz="4" w:space="0" w:color="auto"/>
              <w:right w:val="single" w:sz="4" w:space="0" w:color="auto"/>
            </w:tcBorders>
            <w:shd w:val="clear" w:color="auto" w:fill="auto"/>
            <w:noWrap/>
            <w:vAlign w:val="center"/>
            <w:hideMark/>
          </w:tcPr>
          <w:p w14:paraId="0D85AA2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193,310</w:t>
            </w:r>
          </w:p>
        </w:tc>
      </w:tr>
      <w:tr w:rsidR="00315701" w:rsidRPr="009543E3" w14:paraId="1CC1428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98A79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New Zealand</w:t>
            </w:r>
          </w:p>
        </w:tc>
        <w:tc>
          <w:tcPr>
            <w:tcW w:w="1540" w:type="dxa"/>
            <w:tcBorders>
              <w:top w:val="nil"/>
              <w:left w:val="nil"/>
              <w:bottom w:val="single" w:sz="4" w:space="0" w:color="auto"/>
              <w:right w:val="single" w:sz="4" w:space="0" w:color="auto"/>
            </w:tcBorders>
            <w:shd w:val="clear" w:color="auto" w:fill="auto"/>
            <w:vAlign w:val="center"/>
            <w:hideMark/>
          </w:tcPr>
          <w:p w14:paraId="2363512F" w14:textId="1A70B4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0.291</w:t>
            </w:r>
          </w:p>
        </w:tc>
        <w:tc>
          <w:tcPr>
            <w:tcW w:w="1540" w:type="dxa"/>
            <w:tcBorders>
              <w:top w:val="nil"/>
              <w:left w:val="nil"/>
              <w:bottom w:val="single" w:sz="4" w:space="0" w:color="auto"/>
              <w:right w:val="single" w:sz="4" w:space="0" w:color="auto"/>
            </w:tcBorders>
            <w:shd w:val="clear" w:color="auto" w:fill="auto"/>
            <w:noWrap/>
            <w:vAlign w:val="center"/>
            <w:hideMark/>
          </w:tcPr>
          <w:p w14:paraId="342E4A6C" w14:textId="70CF536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0.364</w:t>
            </w:r>
          </w:p>
        </w:tc>
        <w:tc>
          <w:tcPr>
            <w:tcW w:w="1540" w:type="dxa"/>
            <w:tcBorders>
              <w:top w:val="nil"/>
              <w:left w:val="nil"/>
              <w:bottom w:val="single" w:sz="4" w:space="0" w:color="auto"/>
              <w:right w:val="single" w:sz="4" w:space="0" w:color="auto"/>
            </w:tcBorders>
            <w:shd w:val="clear" w:color="auto" w:fill="auto"/>
            <w:noWrap/>
            <w:vAlign w:val="center"/>
            <w:hideMark/>
          </w:tcPr>
          <w:p w14:paraId="6EE9DC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41,485</w:t>
            </w:r>
          </w:p>
        </w:tc>
      </w:tr>
      <w:tr w:rsidR="00315701" w:rsidRPr="009543E3" w14:paraId="108566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2250F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688913B5" w14:textId="5CC007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DC5E9E2" w14:textId="4DDFA14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CAA68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7BDECA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C5F77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0DB2F855" w14:textId="173A5A5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5ED8A88" w14:textId="34A95F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4E838F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81358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E134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Nigeria</w:t>
            </w:r>
          </w:p>
        </w:tc>
        <w:tc>
          <w:tcPr>
            <w:tcW w:w="1540" w:type="dxa"/>
            <w:tcBorders>
              <w:top w:val="nil"/>
              <w:left w:val="nil"/>
              <w:bottom w:val="single" w:sz="4" w:space="0" w:color="auto"/>
              <w:right w:val="single" w:sz="4" w:space="0" w:color="auto"/>
            </w:tcBorders>
            <w:shd w:val="clear" w:color="auto" w:fill="auto"/>
            <w:vAlign w:val="center"/>
            <w:hideMark/>
          </w:tcPr>
          <w:p w14:paraId="2A35A3C5" w14:textId="60B42B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0.250</w:t>
            </w:r>
          </w:p>
        </w:tc>
        <w:tc>
          <w:tcPr>
            <w:tcW w:w="1540" w:type="dxa"/>
            <w:tcBorders>
              <w:top w:val="nil"/>
              <w:left w:val="nil"/>
              <w:bottom w:val="single" w:sz="4" w:space="0" w:color="auto"/>
              <w:right w:val="single" w:sz="4" w:space="0" w:color="auto"/>
            </w:tcBorders>
            <w:shd w:val="clear" w:color="auto" w:fill="auto"/>
            <w:noWrap/>
            <w:vAlign w:val="center"/>
            <w:hideMark/>
          </w:tcPr>
          <w:p w14:paraId="66D87968" w14:textId="7B068F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0.313</w:t>
            </w:r>
          </w:p>
        </w:tc>
        <w:tc>
          <w:tcPr>
            <w:tcW w:w="1540" w:type="dxa"/>
            <w:tcBorders>
              <w:top w:val="nil"/>
              <w:left w:val="nil"/>
              <w:bottom w:val="single" w:sz="4" w:space="0" w:color="auto"/>
              <w:right w:val="single" w:sz="4" w:space="0" w:color="auto"/>
            </w:tcBorders>
            <w:shd w:val="clear" w:color="auto" w:fill="auto"/>
            <w:noWrap/>
            <w:vAlign w:val="center"/>
            <w:hideMark/>
          </w:tcPr>
          <w:p w14:paraId="19B6778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35,640</w:t>
            </w:r>
          </w:p>
        </w:tc>
      </w:tr>
      <w:tr w:rsidR="00315701" w:rsidRPr="009543E3" w14:paraId="036F129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42D2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Niue</w:t>
            </w:r>
          </w:p>
        </w:tc>
        <w:tc>
          <w:tcPr>
            <w:tcW w:w="1540" w:type="dxa"/>
            <w:tcBorders>
              <w:top w:val="nil"/>
              <w:left w:val="nil"/>
              <w:bottom w:val="single" w:sz="4" w:space="0" w:color="auto"/>
              <w:right w:val="single" w:sz="4" w:space="0" w:color="auto"/>
            </w:tcBorders>
            <w:shd w:val="clear" w:color="auto" w:fill="auto"/>
            <w:vAlign w:val="center"/>
            <w:hideMark/>
          </w:tcPr>
          <w:p w14:paraId="77855DCD" w14:textId="45AA98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6C6E7E" w14:textId="3CAFEC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4D7BC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FA4592" w:rsidRPr="009543E3" w14:paraId="46BF5F0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6877C9D1" w14:textId="17AC4D78" w:rsidR="00FA4592" w:rsidRPr="009543E3" w:rsidRDefault="00FA4592" w:rsidP="00FA4592">
            <w:pPr>
              <w:suppressLineNumbers/>
              <w:suppressAutoHyphens/>
              <w:rPr>
                <w:color w:val="000000"/>
                <w:kern w:val="22"/>
                <w:szCs w:val="22"/>
                <w:lang w:eastAsia="en-CA"/>
              </w:rPr>
            </w:pPr>
            <w:r w:rsidRPr="009543E3">
              <w:rPr>
                <w:color w:val="000000"/>
                <w:kern w:val="22"/>
                <w:szCs w:val="22"/>
                <w:lang w:eastAsia="en-CA"/>
              </w:rPr>
              <w:t>North Macedonia</w:t>
            </w:r>
          </w:p>
        </w:tc>
        <w:tc>
          <w:tcPr>
            <w:tcW w:w="1540" w:type="dxa"/>
            <w:tcBorders>
              <w:top w:val="nil"/>
              <w:left w:val="nil"/>
              <w:bottom w:val="single" w:sz="4" w:space="0" w:color="auto"/>
              <w:right w:val="single" w:sz="4" w:space="0" w:color="auto"/>
            </w:tcBorders>
            <w:shd w:val="clear" w:color="auto" w:fill="auto"/>
            <w:vAlign w:val="center"/>
          </w:tcPr>
          <w:p w14:paraId="56864837" w14:textId="42D77A9F"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788D5865" w14:textId="5F880E23"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tcPr>
          <w:p w14:paraId="6185028A" w14:textId="01932F88"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998</w:t>
            </w:r>
          </w:p>
        </w:tc>
      </w:tr>
      <w:tr w:rsidR="00FA4592" w:rsidRPr="009543E3" w14:paraId="0FC3077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2821F6"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39ABB9AD" w14:textId="440197A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0BFEFD7D" w14:textId="0C24E02E"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0.943</w:t>
            </w:r>
          </w:p>
        </w:tc>
        <w:tc>
          <w:tcPr>
            <w:tcW w:w="1540" w:type="dxa"/>
            <w:tcBorders>
              <w:top w:val="nil"/>
              <w:left w:val="nil"/>
              <w:bottom w:val="single" w:sz="4" w:space="0" w:color="auto"/>
              <w:right w:val="single" w:sz="4" w:space="0" w:color="auto"/>
            </w:tcBorders>
            <w:shd w:val="clear" w:color="auto" w:fill="auto"/>
            <w:noWrap/>
            <w:vAlign w:val="center"/>
            <w:hideMark/>
          </w:tcPr>
          <w:p w14:paraId="504F5D8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107,490</w:t>
            </w:r>
          </w:p>
        </w:tc>
      </w:tr>
      <w:tr w:rsidR="00FA4592" w:rsidRPr="009543E3" w14:paraId="1704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012AE7"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6FD7CA3D" w14:textId="7DB902C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44767CB2" w14:textId="3DAB68E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0.144</w:t>
            </w:r>
          </w:p>
        </w:tc>
        <w:tc>
          <w:tcPr>
            <w:tcW w:w="1540" w:type="dxa"/>
            <w:tcBorders>
              <w:top w:val="nil"/>
              <w:left w:val="nil"/>
              <w:bottom w:val="single" w:sz="4" w:space="0" w:color="auto"/>
              <w:right w:val="single" w:sz="4" w:space="0" w:color="auto"/>
            </w:tcBorders>
            <w:shd w:val="clear" w:color="auto" w:fill="auto"/>
            <w:noWrap/>
            <w:vAlign w:val="center"/>
            <w:hideMark/>
          </w:tcPr>
          <w:p w14:paraId="109AA04B"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16,394</w:t>
            </w:r>
          </w:p>
        </w:tc>
      </w:tr>
      <w:tr w:rsidR="00FA4592" w:rsidRPr="009543E3" w14:paraId="41E343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5ED0B"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16D3856E" w14:textId="73E32D38"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4BB29CE9" w14:textId="6D4AA0F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0.144</w:t>
            </w:r>
          </w:p>
        </w:tc>
        <w:tc>
          <w:tcPr>
            <w:tcW w:w="1540" w:type="dxa"/>
            <w:tcBorders>
              <w:top w:val="nil"/>
              <w:left w:val="nil"/>
              <w:bottom w:val="single" w:sz="4" w:space="0" w:color="auto"/>
              <w:right w:val="single" w:sz="4" w:space="0" w:color="auto"/>
            </w:tcBorders>
            <w:shd w:val="clear" w:color="auto" w:fill="auto"/>
            <w:noWrap/>
            <w:vAlign w:val="center"/>
            <w:hideMark/>
          </w:tcPr>
          <w:p w14:paraId="1E3A6938"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16,394</w:t>
            </w:r>
          </w:p>
        </w:tc>
      </w:tr>
      <w:tr w:rsidR="00FA4592" w:rsidRPr="009543E3" w14:paraId="387BF5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984AD7"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5B7BEA5A" w14:textId="630F46F4"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BDA6D24" w14:textId="5C21E34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599CDE0"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FA4592" w:rsidRPr="009543E3" w14:paraId="7B82797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1260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239D1005" w14:textId="1B18A5BC"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5B7C671B" w14:textId="1B9AE4B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0.056</w:t>
            </w:r>
          </w:p>
        </w:tc>
        <w:tc>
          <w:tcPr>
            <w:tcW w:w="1540" w:type="dxa"/>
            <w:tcBorders>
              <w:top w:val="nil"/>
              <w:left w:val="nil"/>
              <w:bottom w:val="single" w:sz="4" w:space="0" w:color="auto"/>
              <w:right w:val="single" w:sz="4" w:space="0" w:color="auto"/>
            </w:tcBorders>
            <w:shd w:val="clear" w:color="auto" w:fill="auto"/>
            <w:noWrap/>
            <w:vAlign w:val="center"/>
            <w:hideMark/>
          </w:tcPr>
          <w:p w14:paraId="4E8C6819"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6,415</w:t>
            </w:r>
          </w:p>
        </w:tc>
      </w:tr>
      <w:tr w:rsidR="00FA4592" w:rsidRPr="009543E3" w14:paraId="0A43593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BE4FC"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Papua New Guinea</w:t>
            </w:r>
          </w:p>
        </w:tc>
        <w:tc>
          <w:tcPr>
            <w:tcW w:w="1540" w:type="dxa"/>
            <w:tcBorders>
              <w:top w:val="nil"/>
              <w:left w:val="nil"/>
              <w:bottom w:val="single" w:sz="4" w:space="0" w:color="auto"/>
              <w:right w:val="single" w:sz="4" w:space="0" w:color="auto"/>
            </w:tcBorders>
            <w:shd w:val="clear" w:color="auto" w:fill="auto"/>
            <w:vAlign w:val="center"/>
            <w:hideMark/>
          </w:tcPr>
          <w:p w14:paraId="470C8E75" w14:textId="2044AB34"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7C20275" w14:textId="0568AD41"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8E5282E"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1,426</w:t>
            </w:r>
          </w:p>
        </w:tc>
      </w:tr>
      <w:tr w:rsidR="00FA4592" w:rsidRPr="009543E3" w14:paraId="71C0E5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C220B1"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Paraguay</w:t>
            </w:r>
          </w:p>
        </w:tc>
        <w:tc>
          <w:tcPr>
            <w:tcW w:w="1540" w:type="dxa"/>
            <w:tcBorders>
              <w:top w:val="nil"/>
              <w:left w:val="nil"/>
              <w:bottom w:val="single" w:sz="4" w:space="0" w:color="auto"/>
              <w:right w:val="single" w:sz="4" w:space="0" w:color="auto"/>
            </w:tcBorders>
            <w:shd w:val="clear" w:color="auto" w:fill="auto"/>
            <w:vAlign w:val="center"/>
            <w:hideMark/>
          </w:tcPr>
          <w:p w14:paraId="366D095B" w14:textId="1BCB5568"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00CC6D9" w14:textId="6298327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55351DB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2,281</w:t>
            </w:r>
          </w:p>
        </w:tc>
      </w:tr>
      <w:tr w:rsidR="00FA4592" w:rsidRPr="009543E3" w14:paraId="447544A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27627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51F9ABF9" w14:textId="03D6296D"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72475E7F" w14:textId="49FFF4AB"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0.190</w:t>
            </w:r>
          </w:p>
        </w:tc>
        <w:tc>
          <w:tcPr>
            <w:tcW w:w="1540" w:type="dxa"/>
            <w:tcBorders>
              <w:top w:val="nil"/>
              <w:left w:val="nil"/>
              <w:bottom w:val="single" w:sz="4" w:space="0" w:color="auto"/>
              <w:right w:val="single" w:sz="4" w:space="0" w:color="auto"/>
            </w:tcBorders>
            <w:shd w:val="clear" w:color="auto" w:fill="auto"/>
            <w:noWrap/>
            <w:vAlign w:val="center"/>
            <w:hideMark/>
          </w:tcPr>
          <w:p w14:paraId="370135AF"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21,669</w:t>
            </w:r>
          </w:p>
        </w:tc>
      </w:tr>
      <w:tr w:rsidR="00FA4592" w:rsidRPr="009543E3" w14:paraId="4E2210C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D89356"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C993910" w14:textId="7B5A1531"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2D2EE717" w14:textId="49EBE72B"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0.256</w:t>
            </w:r>
          </w:p>
        </w:tc>
        <w:tc>
          <w:tcPr>
            <w:tcW w:w="1540" w:type="dxa"/>
            <w:tcBorders>
              <w:top w:val="nil"/>
              <w:left w:val="nil"/>
              <w:bottom w:val="single" w:sz="4" w:space="0" w:color="auto"/>
              <w:right w:val="single" w:sz="4" w:space="0" w:color="auto"/>
            </w:tcBorders>
            <w:shd w:val="clear" w:color="auto" w:fill="auto"/>
            <w:noWrap/>
            <w:vAlign w:val="center"/>
            <w:hideMark/>
          </w:tcPr>
          <w:p w14:paraId="7B6433BF"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29,225</w:t>
            </w:r>
          </w:p>
        </w:tc>
      </w:tr>
      <w:tr w:rsidR="00FA4592" w:rsidRPr="009543E3" w14:paraId="0CB485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EAC62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Poland</w:t>
            </w:r>
          </w:p>
        </w:tc>
        <w:tc>
          <w:tcPr>
            <w:tcW w:w="1540" w:type="dxa"/>
            <w:tcBorders>
              <w:top w:val="nil"/>
              <w:left w:val="nil"/>
              <w:bottom w:val="single" w:sz="4" w:space="0" w:color="auto"/>
              <w:right w:val="single" w:sz="4" w:space="0" w:color="auto"/>
            </w:tcBorders>
            <w:shd w:val="clear" w:color="auto" w:fill="auto"/>
            <w:vAlign w:val="center"/>
            <w:hideMark/>
          </w:tcPr>
          <w:p w14:paraId="48C0F640" w14:textId="7A104BE3"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0.802</w:t>
            </w:r>
          </w:p>
        </w:tc>
        <w:tc>
          <w:tcPr>
            <w:tcW w:w="1540" w:type="dxa"/>
            <w:tcBorders>
              <w:top w:val="nil"/>
              <w:left w:val="nil"/>
              <w:bottom w:val="single" w:sz="4" w:space="0" w:color="auto"/>
              <w:right w:val="single" w:sz="4" w:space="0" w:color="auto"/>
            </w:tcBorders>
            <w:shd w:val="clear" w:color="auto" w:fill="auto"/>
            <w:noWrap/>
            <w:vAlign w:val="center"/>
            <w:hideMark/>
          </w:tcPr>
          <w:p w14:paraId="2DB3C98C" w14:textId="5E3C398D"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1.003</w:t>
            </w:r>
          </w:p>
        </w:tc>
        <w:tc>
          <w:tcPr>
            <w:tcW w:w="1540" w:type="dxa"/>
            <w:tcBorders>
              <w:top w:val="nil"/>
              <w:left w:val="nil"/>
              <w:bottom w:val="single" w:sz="4" w:space="0" w:color="auto"/>
              <w:right w:val="single" w:sz="4" w:space="0" w:color="auto"/>
            </w:tcBorders>
            <w:shd w:val="clear" w:color="auto" w:fill="auto"/>
            <w:noWrap/>
            <w:vAlign w:val="center"/>
            <w:hideMark/>
          </w:tcPr>
          <w:p w14:paraId="6547C098"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114,333</w:t>
            </w:r>
          </w:p>
        </w:tc>
      </w:tr>
      <w:tr w:rsidR="00FA4592" w:rsidRPr="009543E3" w14:paraId="1E9046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60100C"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7454602B" w14:textId="4778BA4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63FA3A38" w14:textId="7D8E15E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0.438</w:t>
            </w:r>
          </w:p>
        </w:tc>
        <w:tc>
          <w:tcPr>
            <w:tcW w:w="1540" w:type="dxa"/>
            <w:tcBorders>
              <w:top w:val="nil"/>
              <w:left w:val="nil"/>
              <w:bottom w:val="single" w:sz="4" w:space="0" w:color="auto"/>
              <w:right w:val="single" w:sz="4" w:space="0" w:color="auto"/>
            </w:tcBorders>
            <w:shd w:val="clear" w:color="auto" w:fill="auto"/>
            <w:noWrap/>
            <w:vAlign w:val="center"/>
            <w:hideMark/>
          </w:tcPr>
          <w:p w14:paraId="1198661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49,896</w:t>
            </w:r>
          </w:p>
        </w:tc>
      </w:tr>
    </w:tbl>
    <w:p w14:paraId="5E984F8D" w14:textId="24EF39F0" w:rsidR="00315701" w:rsidRPr="009543E3" w:rsidRDefault="00315701" w:rsidP="006914CE">
      <w:pPr>
        <w:suppressLineNumbers/>
        <w:suppressAutoHyphens/>
        <w:autoSpaceDE w:val="0"/>
        <w:autoSpaceDN w:val="0"/>
        <w:adjustRightInd w:val="0"/>
        <w:rPr>
          <w:rFonts w:eastAsiaTheme="minorEastAsia"/>
          <w:kern w:val="22"/>
          <w:szCs w:val="22"/>
        </w:rPr>
      </w:pPr>
    </w:p>
    <w:p w14:paraId="088E7FD0"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5CF7EECD"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45C" w14:textId="4EEADA91"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CCC43F6" w14:textId="5A91D01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582CB3"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8B7C471" w14:textId="48DCA8FC"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288761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120D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10A4AC73" w14:textId="544B9F0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187865F0" w14:textId="742043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0.353</w:t>
            </w:r>
          </w:p>
        </w:tc>
        <w:tc>
          <w:tcPr>
            <w:tcW w:w="1540" w:type="dxa"/>
            <w:tcBorders>
              <w:top w:val="nil"/>
              <w:left w:val="nil"/>
              <w:bottom w:val="single" w:sz="4" w:space="0" w:color="auto"/>
              <w:right w:val="single" w:sz="4" w:space="0" w:color="auto"/>
            </w:tcBorders>
            <w:shd w:val="clear" w:color="auto" w:fill="auto"/>
            <w:noWrap/>
            <w:vAlign w:val="center"/>
            <w:hideMark/>
          </w:tcPr>
          <w:p w14:paraId="5DEB577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40,202</w:t>
            </w:r>
          </w:p>
        </w:tc>
      </w:tr>
      <w:tr w:rsidR="00315701" w:rsidRPr="009543E3" w14:paraId="3D11133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BADD7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57CF4A90" w14:textId="14CF55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466C6DD3" w14:textId="711F2D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2.834</w:t>
            </w:r>
          </w:p>
        </w:tc>
        <w:tc>
          <w:tcPr>
            <w:tcW w:w="1540" w:type="dxa"/>
            <w:tcBorders>
              <w:top w:val="nil"/>
              <w:left w:val="nil"/>
              <w:bottom w:val="single" w:sz="4" w:space="0" w:color="auto"/>
              <w:right w:val="single" w:sz="4" w:space="0" w:color="auto"/>
            </w:tcBorders>
            <w:shd w:val="clear" w:color="auto" w:fill="auto"/>
            <w:noWrap/>
            <w:vAlign w:val="center"/>
            <w:hideMark/>
          </w:tcPr>
          <w:p w14:paraId="48BE06A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323,182</w:t>
            </w:r>
          </w:p>
        </w:tc>
      </w:tr>
      <w:tr w:rsidR="00315701" w:rsidRPr="009543E3" w14:paraId="7C4E473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1A54A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342E95A9" w14:textId="5419A7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A304C0F" w14:textId="772E8E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9E2C93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49AAC8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F6CC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04CC55E0" w14:textId="5027918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2E072E78" w14:textId="1906B4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0.248</w:t>
            </w:r>
          </w:p>
        </w:tc>
        <w:tc>
          <w:tcPr>
            <w:tcW w:w="1540" w:type="dxa"/>
            <w:tcBorders>
              <w:top w:val="nil"/>
              <w:left w:val="nil"/>
              <w:bottom w:val="single" w:sz="4" w:space="0" w:color="auto"/>
              <w:right w:val="single" w:sz="4" w:space="0" w:color="auto"/>
            </w:tcBorders>
            <w:shd w:val="clear" w:color="auto" w:fill="auto"/>
            <w:noWrap/>
            <w:vAlign w:val="center"/>
            <w:hideMark/>
          </w:tcPr>
          <w:p w14:paraId="648E7EF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28,227</w:t>
            </w:r>
          </w:p>
        </w:tc>
      </w:tr>
      <w:tr w:rsidR="00315701" w:rsidRPr="009543E3" w14:paraId="643F3C7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D9502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Russian Federation</w:t>
            </w:r>
          </w:p>
        </w:tc>
        <w:tc>
          <w:tcPr>
            <w:tcW w:w="1540" w:type="dxa"/>
            <w:tcBorders>
              <w:top w:val="nil"/>
              <w:left w:val="nil"/>
              <w:bottom w:val="single" w:sz="4" w:space="0" w:color="auto"/>
              <w:right w:val="single" w:sz="4" w:space="0" w:color="auto"/>
            </w:tcBorders>
            <w:shd w:val="clear" w:color="auto" w:fill="auto"/>
            <w:vAlign w:val="center"/>
            <w:hideMark/>
          </w:tcPr>
          <w:p w14:paraId="26E5AB1C" w14:textId="315A63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2.405</w:t>
            </w:r>
          </w:p>
        </w:tc>
        <w:tc>
          <w:tcPr>
            <w:tcW w:w="1540" w:type="dxa"/>
            <w:tcBorders>
              <w:top w:val="nil"/>
              <w:left w:val="nil"/>
              <w:bottom w:val="single" w:sz="4" w:space="0" w:color="auto"/>
              <w:right w:val="single" w:sz="4" w:space="0" w:color="auto"/>
            </w:tcBorders>
            <w:shd w:val="clear" w:color="auto" w:fill="auto"/>
            <w:noWrap/>
            <w:vAlign w:val="center"/>
            <w:hideMark/>
          </w:tcPr>
          <w:p w14:paraId="53E22611" w14:textId="73957C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3.007</w:t>
            </w:r>
          </w:p>
        </w:tc>
        <w:tc>
          <w:tcPr>
            <w:tcW w:w="1540" w:type="dxa"/>
            <w:tcBorders>
              <w:top w:val="nil"/>
              <w:left w:val="nil"/>
              <w:bottom w:val="single" w:sz="4" w:space="0" w:color="auto"/>
              <w:right w:val="single" w:sz="4" w:space="0" w:color="auto"/>
            </w:tcBorders>
            <w:shd w:val="clear" w:color="auto" w:fill="auto"/>
            <w:noWrap/>
            <w:vAlign w:val="center"/>
            <w:hideMark/>
          </w:tcPr>
          <w:p w14:paraId="25DB2C4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342,855</w:t>
            </w:r>
          </w:p>
        </w:tc>
      </w:tr>
      <w:tr w:rsidR="00315701" w:rsidRPr="009543E3" w14:paraId="29390C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FEBD4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0FB01ACC" w14:textId="48C7B2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200BAF4" w14:textId="3009D2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111215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37CE2F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CFA8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6313CFA7" w14:textId="03E677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A1225DE" w14:textId="3B7C7C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543743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43FE5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F3EEF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Lucia</w:t>
            </w:r>
          </w:p>
        </w:tc>
        <w:tc>
          <w:tcPr>
            <w:tcW w:w="1540" w:type="dxa"/>
            <w:tcBorders>
              <w:top w:val="nil"/>
              <w:left w:val="nil"/>
              <w:bottom w:val="single" w:sz="4" w:space="0" w:color="auto"/>
              <w:right w:val="single" w:sz="4" w:space="0" w:color="auto"/>
            </w:tcBorders>
            <w:shd w:val="clear" w:color="auto" w:fill="auto"/>
            <w:vAlign w:val="center"/>
            <w:hideMark/>
          </w:tcPr>
          <w:p w14:paraId="582366FA" w14:textId="31CAA4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132585D" w14:textId="4608FE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374D5E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0E9C49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DCBD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Vincent and the Grenadines</w:t>
            </w:r>
          </w:p>
        </w:tc>
        <w:tc>
          <w:tcPr>
            <w:tcW w:w="1540" w:type="dxa"/>
            <w:tcBorders>
              <w:top w:val="nil"/>
              <w:left w:val="nil"/>
              <w:bottom w:val="single" w:sz="4" w:space="0" w:color="auto"/>
              <w:right w:val="single" w:sz="4" w:space="0" w:color="auto"/>
            </w:tcBorders>
            <w:shd w:val="clear" w:color="auto" w:fill="auto"/>
            <w:vAlign w:val="center"/>
            <w:hideMark/>
          </w:tcPr>
          <w:p w14:paraId="1362EAAE" w14:textId="6211CE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D1BF65" w14:textId="6022897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A869A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6C57B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28CDE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7F6FA4A0" w14:textId="2800DC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90B979E" w14:textId="4415D4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CC46E3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79AC7F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14C62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San Marino</w:t>
            </w:r>
          </w:p>
        </w:tc>
        <w:tc>
          <w:tcPr>
            <w:tcW w:w="1540" w:type="dxa"/>
            <w:tcBorders>
              <w:top w:val="nil"/>
              <w:left w:val="nil"/>
              <w:bottom w:val="single" w:sz="4" w:space="0" w:color="auto"/>
              <w:right w:val="single" w:sz="4" w:space="0" w:color="auto"/>
            </w:tcBorders>
            <w:shd w:val="clear" w:color="auto" w:fill="auto"/>
            <w:vAlign w:val="center"/>
            <w:hideMark/>
          </w:tcPr>
          <w:p w14:paraId="15025921" w14:textId="14752AB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621F8BF" w14:textId="6DF3FA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50676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00D209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6617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Sao Tome and Principe</w:t>
            </w:r>
          </w:p>
        </w:tc>
        <w:tc>
          <w:tcPr>
            <w:tcW w:w="1540" w:type="dxa"/>
            <w:tcBorders>
              <w:top w:val="nil"/>
              <w:left w:val="nil"/>
              <w:bottom w:val="single" w:sz="4" w:space="0" w:color="auto"/>
              <w:right w:val="single" w:sz="4" w:space="0" w:color="auto"/>
            </w:tcBorders>
            <w:shd w:val="clear" w:color="auto" w:fill="auto"/>
            <w:vAlign w:val="center"/>
            <w:hideMark/>
          </w:tcPr>
          <w:p w14:paraId="3206687D" w14:textId="43DA38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AE35977" w14:textId="25B2B25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EEC08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0738C0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A8CBA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Saudi Arabia</w:t>
            </w:r>
          </w:p>
        </w:tc>
        <w:tc>
          <w:tcPr>
            <w:tcW w:w="1540" w:type="dxa"/>
            <w:tcBorders>
              <w:top w:val="nil"/>
              <w:left w:val="nil"/>
              <w:bottom w:val="single" w:sz="4" w:space="0" w:color="auto"/>
              <w:right w:val="single" w:sz="4" w:space="0" w:color="auto"/>
            </w:tcBorders>
            <w:shd w:val="clear" w:color="auto" w:fill="auto"/>
            <w:vAlign w:val="center"/>
            <w:hideMark/>
          </w:tcPr>
          <w:p w14:paraId="709A7EDE" w14:textId="537095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1.172</w:t>
            </w:r>
          </w:p>
        </w:tc>
        <w:tc>
          <w:tcPr>
            <w:tcW w:w="1540" w:type="dxa"/>
            <w:tcBorders>
              <w:top w:val="nil"/>
              <w:left w:val="nil"/>
              <w:bottom w:val="single" w:sz="4" w:space="0" w:color="auto"/>
              <w:right w:val="single" w:sz="4" w:space="0" w:color="auto"/>
            </w:tcBorders>
            <w:shd w:val="clear" w:color="auto" w:fill="auto"/>
            <w:noWrap/>
            <w:vAlign w:val="center"/>
            <w:hideMark/>
          </w:tcPr>
          <w:p w14:paraId="7201FC08" w14:textId="211732C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1.465</w:t>
            </w:r>
          </w:p>
        </w:tc>
        <w:tc>
          <w:tcPr>
            <w:tcW w:w="1540" w:type="dxa"/>
            <w:tcBorders>
              <w:top w:val="nil"/>
              <w:left w:val="nil"/>
              <w:bottom w:val="single" w:sz="4" w:space="0" w:color="auto"/>
              <w:right w:val="single" w:sz="4" w:space="0" w:color="auto"/>
            </w:tcBorders>
            <w:shd w:val="clear" w:color="auto" w:fill="auto"/>
            <w:noWrap/>
            <w:vAlign w:val="center"/>
            <w:hideMark/>
          </w:tcPr>
          <w:p w14:paraId="512EB0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167,080</w:t>
            </w:r>
          </w:p>
        </w:tc>
      </w:tr>
      <w:tr w:rsidR="00315701" w:rsidRPr="009543E3" w14:paraId="30E316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2AE6F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33EA79B4" w14:textId="120360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454BB32D" w14:textId="268B53B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425957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183CFFD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333C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17161D2E" w14:textId="4A174D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466A36EA" w14:textId="7B0F8A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0.035</w:t>
            </w:r>
          </w:p>
        </w:tc>
        <w:tc>
          <w:tcPr>
            <w:tcW w:w="1540" w:type="dxa"/>
            <w:tcBorders>
              <w:top w:val="nil"/>
              <w:left w:val="nil"/>
              <w:bottom w:val="single" w:sz="4" w:space="0" w:color="auto"/>
              <w:right w:val="single" w:sz="4" w:space="0" w:color="auto"/>
            </w:tcBorders>
            <w:shd w:val="clear" w:color="auto" w:fill="auto"/>
            <w:noWrap/>
            <w:vAlign w:val="center"/>
            <w:hideMark/>
          </w:tcPr>
          <w:p w14:paraId="73C99A9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3,992</w:t>
            </w:r>
          </w:p>
        </w:tc>
      </w:tr>
      <w:tr w:rsidR="00315701" w:rsidRPr="009543E3" w14:paraId="13D245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303C6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108A8FC5" w14:textId="1E50C84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EBA235A" w14:textId="1C2088D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5EB02A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6832D43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5584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3C0919E0" w14:textId="272E5E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4327E0B" w14:textId="38E45A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1A33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318505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049EC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Singapore</w:t>
            </w:r>
          </w:p>
        </w:tc>
        <w:tc>
          <w:tcPr>
            <w:tcW w:w="1540" w:type="dxa"/>
            <w:tcBorders>
              <w:top w:val="nil"/>
              <w:left w:val="nil"/>
              <w:bottom w:val="single" w:sz="4" w:space="0" w:color="auto"/>
              <w:right w:val="single" w:sz="4" w:space="0" w:color="auto"/>
            </w:tcBorders>
            <w:shd w:val="clear" w:color="auto" w:fill="auto"/>
            <w:vAlign w:val="center"/>
            <w:hideMark/>
          </w:tcPr>
          <w:p w14:paraId="294CB6E7" w14:textId="2B69543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0.485</w:t>
            </w:r>
          </w:p>
        </w:tc>
        <w:tc>
          <w:tcPr>
            <w:tcW w:w="1540" w:type="dxa"/>
            <w:tcBorders>
              <w:top w:val="nil"/>
              <w:left w:val="nil"/>
              <w:bottom w:val="single" w:sz="4" w:space="0" w:color="auto"/>
              <w:right w:val="single" w:sz="4" w:space="0" w:color="auto"/>
            </w:tcBorders>
            <w:shd w:val="clear" w:color="auto" w:fill="auto"/>
            <w:noWrap/>
            <w:vAlign w:val="center"/>
            <w:hideMark/>
          </w:tcPr>
          <w:p w14:paraId="7F1177A2" w14:textId="02D1128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0.606</w:t>
            </w:r>
          </w:p>
        </w:tc>
        <w:tc>
          <w:tcPr>
            <w:tcW w:w="1540" w:type="dxa"/>
            <w:tcBorders>
              <w:top w:val="nil"/>
              <w:left w:val="nil"/>
              <w:bottom w:val="single" w:sz="4" w:space="0" w:color="auto"/>
              <w:right w:val="single" w:sz="4" w:space="0" w:color="auto"/>
            </w:tcBorders>
            <w:shd w:val="clear" w:color="auto" w:fill="auto"/>
            <w:noWrap/>
            <w:vAlign w:val="center"/>
            <w:hideMark/>
          </w:tcPr>
          <w:p w14:paraId="5C2784A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69,141</w:t>
            </w:r>
          </w:p>
        </w:tc>
      </w:tr>
      <w:tr w:rsidR="00315701" w:rsidRPr="009543E3" w14:paraId="3FB7C2C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CEB50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4303B9F7" w14:textId="29BFCC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01020C34" w14:textId="3E06219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0.191</w:t>
            </w:r>
          </w:p>
        </w:tc>
        <w:tc>
          <w:tcPr>
            <w:tcW w:w="1540" w:type="dxa"/>
            <w:tcBorders>
              <w:top w:val="nil"/>
              <w:left w:val="nil"/>
              <w:bottom w:val="single" w:sz="4" w:space="0" w:color="auto"/>
              <w:right w:val="single" w:sz="4" w:space="0" w:color="auto"/>
            </w:tcBorders>
            <w:shd w:val="clear" w:color="auto" w:fill="auto"/>
            <w:noWrap/>
            <w:vAlign w:val="center"/>
            <w:hideMark/>
          </w:tcPr>
          <w:p w14:paraId="469AE7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21,812</w:t>
            </w:r>
          </w:p>
        </w:tc>
      </w:tr>
      <w:tr w:rsidR="00315701" w:rsidRPr="009543E3" w14:paraId="47C30E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B912A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Slovenia</w:t>
            </w:r>
          </w:p>
        </w:tc>
        <w:tc>
          <w:tcPr>
            <w:tcW w:w="1540" w:type="dxa"/>
            <w:tcBorders>
              <w:top w:val="nil"/>
              <w:left w:val="nil"/>
              <w:bottom w:val="single" w:sz="4" w:space="0" w:color="auto"/>
              <w:right w:val="single" w:sz="4" w:space="0" w:color="auto"/>
            </w:tcBorders>
            <w:shd w:val="clear" w:color="auto" w:fill="auto"/>
            <w:vAlign w:val="center"/>
            <w:hideMark/>
          </w:tcPr>
          <w:p w14:paraId="620E7FBD" w14:textId="0C42AE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61477064" w14:textId="753C13E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0.095</w:t>
            </w:r>
          </w:p>
        </w:tc>
        <w:tc>
          <w:tcPr>
            <w:tcW w:w="1540" w:type="dxa"/>
            <w:tcBorders>
              <w:top w:val="nil"/>
              <w:left w:val="nil"/>
              <w:bottom w:val="single" w:sz="4" w:space="0" w:color="auto"/>
              <w:right w:val="single" w:sz="4" w:space="0" w:color="auto"/>
            </w:tcBorders>
            <w:shd w:val="clear" w:color="auto" w:fill="auto"/>
            <w:noWrap/>
            <w:vAlign w:val="center"/>
            <w:hideMark/>
          </w:tcPr>
          <w:p w14:paraId="0CAF9A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10,835</w:t>
            </w:r>
          </w:p>
        </w:tc>
      </w:tr>
      <w:tr w:rsidR="00315701" w:rsidRPr="009543E3" w14:paraId="4E33BC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0B521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4A5A0930" w14:textId="1CD566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B1F4A6E" w14:textId="41D002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A774F8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7A1D39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5D5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Somalia</w:t>
            </w:r>
          </w:p>
        </w:tc>
        <w:tc>
          <w:tcPr>
            <w:tcW w:w="1540" w:type="dxa"/>
            <w:tcBorders>
              <w:top w:val="nil"/>
              <w:left w:val="nil"/>
              <w:bottom w:val="single" w:sz="4" w:space="0" w:color="auto"/>
              <w:right w:val="single" w:sz="4" w:space="0" w:color="auto"/>
            </w:tcBorders>
            <w:shd w:val="clear" w:color="auto" w:fill="auto"/>
            <w:vAlign w:val="center"/>
            <w:hideMark/>
          </w:tcPr>
          <w:p w14:paraId="0D92AAC1" w14:textId="6405DF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EAD71EC" w14:textId="506E79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EF8535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BC0E0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F67D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697F0249" w14:textId="39350AE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4887954B" w14:textId="42EF7A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0.340</w:t>
            </w:r>
          </w:p>
        </w:tc>
        <w:tc>
          <w:tcPr>
            <w:tcW w:w="1540" w:type="dxa"/>
            <w:tcBorders>
              <w:top w:val="nil"/>
              <w:left w:val="nil"/>
              <w:bottom w:val="single" w:sz="4" w:space="0" w:color="auto"/>
              <w:right w:val="single" w:sz="4" w:space="0" w:color="auto"/>
            </w:tcBorders>
            <w:shd w:val="clear" w:color="auto" w:fill="auto"/>
            <w:noWrap/>
            <w:vAlign w:val="center"/>
            <w:hideMark/>
          </w:tcPr>
          <w:p w14:paraId="147731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38,776</w:t>
            </w:r>
          </w:p>
        </w:tc>
      </w:tr>
      <w:tr w:rsidR="00315701" w:rsidRPr="009543E3" w14:paraId="3B037F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6D7F3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South Sudan</w:t>
            </w:r>
          </w:p>
        </w:tc>
        <w:tc>
          <w:tcPr>
            <w:tcW w:w="1540" w:type="dxa"/>
            <w:tcBorders>
              <w:top w:val="nil"/>
              <w:left w:val="nil"/>
              <w:bottom w:val="single" w:sz="4" w:space="0" w:color="auto"/>
              <w:right w:val="single" w:sz="4" w:space="0" w:color="auto"/>
            </w:tcBorders>
            <w:shd w:val="clear" w:color="auto" w:fill="auto"/>
            <w:vAlign w:val="center"/>
            <w:hideMark/>
          </w:tcPr>
          <w:p w14:paraId="10B68334" w14:textId="7839CC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4D41F1B" w14:textId="5C579C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8BA38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4CE3C0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DD0C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2E7FF069" w14:textId="28213D6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7D36BEDD" w14:textId="1E3CB1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2.683</w:t>
            </w:r>
          </w:p>
        </w:tc>
        <w:tc>
          <w:tcPr>
            <w:tcW w:w="1540" w:type="dxa"/>
            <w:tcBorders>
              <w:top w:val="nil"/>
              <w:left w:val="nil"/>
              <w:bottom w:val="single" w:sz="4" w:space="0" w:color="auto"/>
              <w:right w:val="single" w:sz="4" w:space="0" w:color="auto"/>
            </w:tcBorders>
            <w:shd w:val="clear" w:color="auto" w:fill="auto"/>
            <w:noWrap/>
            <w:vAlign w:val="center"/>
            <w:hideMark/>
          </w:tcPr>
          <w:p w14:paraId="3845128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305,932</w:t>
            </w:r>
          </w:p>
        </w:tc>
      </w:tr>
      <w:tr w:rsidR="00315701" w:rsidRPr="009543E3" w14:paraId="4E1C464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51162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Sri Lanka</w:t>
            </w:r>
          </w:p>
        </w:tc>
        <w:tc>
          <w:tcPr>
            <w:tcW w:w="1540" w:type="dxa"/>
            <w:tcBorders>
              <w:top w:val="nil"/>
              <w:left w:val="nil"/>
              <w:bottom w:val="single" w:sz="4" w:space="0" w:color="auto"/>
              <w:right w:val="single" w:sz="4" w:space="0" w:color="auto"/>
            </w:tcBorders>
            <w:shd w:val="clear" w:color="auto" w:fill="auto"/>
            <w:vAlign w:val="center"/>
            <w:hideMark/>
          </w:tcPr>
          <w:p w14:paraId="39CAD345" w14:textId="19710C6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0.044</w:t>
            </w:r>
          </w:p>
        </w:tc>
        <w:tc>
          <w:tcPr>
            <w:tcW w:w="1540" w:type="dxa"/>
            <w:tcBorders>
              <w:top w:val="nil"/>
              <w:left w:val="nil"/>
              <w:bottom w:val="single" w:sz="4" w:space="0" w:color="auto"/>
              <w:right w:val="single" w:sz="4" w:space="0" w:color="auto"/>
            </w:tcBorders>
            <w:shd w:val="clear" w:color="auto" w:fill="auto"/>
            <w:noWrap/>
            <w:vAlign w:val="center"/>
            <w:hideMark/>
          </w:tcPr>
          <w:p w14:paraId="3517CB65" w14:textId="20F5B4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6CE2A68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6,273</w:t>
            </w:r>
          </w:p>
        </w:tc>
      </w:tr>
      <w:tr w:rsidR="00315701" w:rsidRPr="009543E3" w14:paraId="42903B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C1616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State of Palestine</w:t>
            </w:r>
          </w:p>
        </w:tc>
        <w:tc>
          <w:tcPr>
            <w:tcW w:w="1540" w:type="dxa"/>
            <w:tcBorders>
              <w:top w:val="nil"/>
              <w:left w:val="nil"/>
              <w:bottom w:val="single" w:sz="4" w:space="0" w:color="auto"/>
              <w:right w:val="single" w:sz="4" w:space="0" w:color="auto"/>
            </w:tcBorders>
            <w:shd w:val="clear" w:color="auto" w:fill="auto"/>
            <w:vAlign w:val="center"/>
            <w:hideMark/>
          </w:tcPr>
          <w:p w14:paraId="6EC32C38" w14:textId="0D07ED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50846531" w14:textId="042284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22AE49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1DFC1C8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5654C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35000514" w14:textId="3B34BD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CCFAA7A" w14:textId="7163834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5CBFE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bl>
    <w:p w14:paraId="05D70533" w14:textId="6448B71B" w:rsidR="00315701" w:rsidRPr="009543E3" w:rsidRDefault="00315701" w:rsidP="006914CE">
      <w:pPr>
        <w:suppressLineNumbers/>
        <w:suppressAutoHyphens/>
        <w:autoSpaceDE w:val="0"/>
        <w:autoSpaceDN w:val="0"/>
        <w:adjustRightInd w:val="0"/>
        <w:rPr>
          <w:rFonts w:eastAsiaTheme="minorEastAsia"/>
          <w:kern w:val="22"/>
          <w:szCs w:val="22"/>
        </w:rPr>
      </w:pPr>
    </w:p>
    <w:p w14:paraId="54A56E49"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221A22B"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D90" w14:textId="11AFE7AE"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93D0323" w14:textId="26E8840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4AE1914"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04D30F" w14:textId="0BACA300"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as of</w:t>
            </w:r>
            <w:r w:rsidRPr="009543E3">
              <w:rPr>
                <w:b/>
                <w:color w:val="000000"/>
                <w:kern w:val="22"/>
                <w:szCs w:val="22"/>
                <w:lang w:eastAsia="en-CA"/>
              </w:rPr>
              <w:t xml:space="preserve"> 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79CEAB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571C8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Suriname</w:t>
            </w:r>
          </w:p>
        </w:tc>
        <w:tc>
          <w:tcPr>
            <w:tcW w:w="1540" w:type="dxa"/>
            <w:tcBorders>
              <w:top w:val="nil"/>
              <w:left w:val="nil"/>
              <w:bottom w:val="single" w:sz="4" w:space="0" w:color="auto"/>
              <w:right w:val="single" w:sz="4" w:space="0" w:color="auto"/>
            </w:tcBorders>
            <w:shd w:val="clear" w:color="auto" w:fill="auto"/>
            <w:vAlign w:val="center"/>
            <w:hideMark/>
          </w:tcPr>
          <w:p w14:paraId="4BEEE0EE" w14:textId="78F5DF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637DB9C" w14:textId="0B960E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7F0BEA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345F4FA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83819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380F15C2" w14:textId="16B692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35C28B25" w14:textId="751A32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1.133</w:t>
            </w:r>
          </w:p>
        </w:tc>
        <w:tc>
          <w:tcPr>
            <w:tcW w:w="1540" w:type="dxa"/>
            <w:tcBorders>
              <w:top w:val="nil"/>
              <w:left w:val="nil"/>
              <w:bottom w:val="single" w:sz="4" w:space="0" w:color="auto"/>
              <w:right w:val="single" w:sz="4" w:space="0" w:color="auto"/>
            </w:tcBorders>
            <w:shd w:val="clear" w:color="auto" w:fill="auto"/>
            <w:noWrap/>
            <w:vAlign w:val="center"/>
            <w:hideMark/>
          </w:tcPr>
          <w:p w14:paraId="0360D1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129,159</w:t>
            </w:r>
          </w:p>
        </w:tc>
      </w:tr>
      <w:tr w:rsidR="00315701" w:rsidRPr="009543E3" w14:paraId="6D3E0D3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7F304D" w14:textId="091DEE6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756CDF1F" w14:textId="5C50909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6CB8B0B4" w14:textId="19C86F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1.439</w:t>
            </w:r>
          </w:p>
        </w:tc>
        <w:tc>
          <w:tcPr>
            <w:tcW w:w="1540" w:type="dxa"/>
            <w:tcBorders>
              <w:top w:val="nil"/>
              <w:left w:val="nil"/>
              <w:bottom w:val="single" w:sz="4" w:space="0" w:color="auto"/>
              <w:right w:val="single" w:sz="4" w:space="0" w:color="auto"/>
            </w:tcBorders>
            <w:shd w:val="clear" w:color="auto" w:fill="auto"/>
            <w:noWrap/>
            <w:vAlign w:val="center"/>
            <w:hideMark/>
          </w:tcPr>
          <w:p w14:paraId="045FE0C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164,086</w:t>
            </w:r>
          </w:p>
        </w:tc>
      </w:tr>
      <w:tr w:rsidR="00315701" w:rsidRPr="009543E3" w14:paraId="1184B4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8E3DF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6BECFD88" w14:textId="396324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7DC73673" w14:textId="2B70DE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5E80E2A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r w:rsidR="00315701" w:rsidRPr="009543E3" w14:paraId="68B896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1DDD2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33B956EA" w14:textId="24118E8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848289F" w14:textId="5096B5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34B3E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78C777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759F3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Thailand</w:t>
            </w:r>
          </w:p>
        </w:tc>
        <w:tc>
          <w:tcPr>
            <w:tcW w:w="1540" w:type="dxa"/>
            <w:tcBorders>
              <w:top w:val="nil"/>
              <w:left w:val="nil"/>
              <w:bottom w:val="single" w:sz="4" w:space="0" w:color="auto"/>
              <w:right w:val="single" w:sz="4" w:space="0" w:color="auto"/>
            </w:tcBorders>
            <w:shd w:val="clear" w:color="auto" w:fill="auto"/>
            <w:vAlign w:val="center"/>
            <w:hideMark/>
          </w:tcPr>
          <w:p w14:paraId="176A70C1" w14:textId="40C5853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6974592D" w14:textId="749586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0.384</w:t>
            </w:r>
          </w:p>
        </w:tc>
        <w:tc>
          <w:tcPr>
            <w:tcW w:w="1540" w:type="dxa"/>
            <w:tcBorders>
              <w:top w:val="nil"/>
              <w:left w:val="nil"/>
              <w:bottom w:val="single" w:sz="4" w:space="0" w:color="auto"/>
              <w:right w:val="single" w:sz="4" w:space="0" w:color="auto"/>
            </w:tcBorders>
            <w:shd w:val="clear" w:color="auto" w:fill="auto"/>
            <w:noWrap/>
            <w:vAlign w:val="center"/>
            <w:hideMark/>
          </w:tcPr>
          <w:p w14:paraId="2F8E14F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43,766</w:t>
            </w:r>
          </w:p>
        </w:tc>
      </w:tr>
      <w:tr w:rsidR="00315701" w:rsidRPr="009543E3" w14:paraId="33BA16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A208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Timor-Leste</w:t>
            </w:r>
          </w:p>
        </w:tc>
        <w:tc>
          <w:tcPr>
            <w:tcW w:w="1540" w:type="dxa"/>
            <w:tcBorders>
              <w:top w:val="nil"/>
              <w:left w:val="nil"/>
              <w:bottom w:val="single" w:sz="4" w:space="0" w:color="auto"/>
              <w:right w:val="single" w:sz="4" w:space="0" w:color="auto"/>
            </w:tcBorders>
            <w:shd w:val="clear" w:color="auto" w:fill="auto"/>
            <w:vAlign w:val="center"/>
            <w:hideMark/>
          </w:tcPr>
          <w:p w14:paraId="64CE1642" w14:textId="2767C4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138C58E" w14:textId="52D990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9FFC1C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502E48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07E90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1B84194C" w14:textId="7F80AD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5CB4B55" w14:textId="069DA83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315C3B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4BBE4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06EC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33AEF788" w14:textId="694BA36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5AE95B" w14:textId="15C829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CB736C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3FC7A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C600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Trinidad and Tobago</w:t>
            </w:r>
          </w:p>
        </w:tc>
        <w:tc>
          <w:tcPr>
            <w:tcW w:w="1540" w:type="dxa"/>
            <w:tcBorders>
              <w:top w:val="nil"/>
              <w:left w:val="nil"/>
              <w:bottom w:val="single" w:sz="4" w:space="0" w:color="auto"/>
              <w:right w:val="single" w:sz="4" w:space="0" w:color="auto"/>
            </w:tcBorders>
            <w:shd w:val="clear" w:color="auto" w:fill="auto"/>
            <w:vAlign w:val="center"/>
            <w:hideMark/>
          </w:tcPr>
          <w:p w14:paraId="58FCDD89" w14:textId="3AFAEA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77CBA74F" w14:textId="470D0E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5ADE7A0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5,702</w:t>
            </w:r>
          </w:p>
        </w:tc>
      </w:tr>
      <w:tr w:rsidR="00315701" w:rsidRPr="009543E3" w14:paraId="7B661D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ED677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Tunisia</w:t>
            </w:r>
          </w:p>
        </w:tc>
        <w:tc>
          <w:tcPr>
            <w:tcW w:w="1540" w:type="dxa"/>
            <w:tcBorders>
              <w:top w:val="nil"/>
              <w:left w:val="nil"/>
              <w:bottom w:val="single" w:sz="4" w:space="0" w:color="auto"/>
              <w:right w:val="single" w:sz="4" w:space="0" w:color="auto"/>
            </w:tcBorders>
            <w:shd w:val="clear" w:color="auto" w:fill="auto"/>
            <w:vAlign w:val="center"/>
            <w:hideMark/>
          </w:tcPr>
          <w:p w14:paraId="59A72B9A" w14:textId="5AFC131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7D4097F2" w14:textId="137592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0.031</w:t>
            </w:r>
          </w:p>
        </w:tc>
        <w:tc>
          <w:tcPr>
            <w:tcW w:w="1540" w:type="dxa"/>
            <w:tcBorders>
              <w:top w:val="nil"/>
              <w:left w:val="nil"/>
              <w:bottom w:val="single" w:sz="4" w:space="0" w:color="auto"/>
              <w:right w:val="single" w:sz="4" w:space="0" w:color="auto"/>
            </w:tcBorders>
            <w:shd w:val="clear" w:color="auto" w:fill="auto"/>
            <w:noWrap/>
            <w:vAlign w:val="center"/>
            <w:hideMark/>
          </w:tcPr>
          <w:p w14:paraId="3212196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w:t>
            </w:r>
          </w:p>
        </w:tc>
      </w:tr>
      <w:tr w:rsidR="00315701" w:rsidRPr="009543E3" w14:paraId="2052097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919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Turkey</w:t>
            </w:r>
          </w:p>
        </w:tc>
        <w:tc>
          <w:tcPr>
            <w:tcW w:w="1540" w:type="dxa"/>
            <w:tcBorders>
              <w:top w:val="nil"/>
              <w:left w:val="nil"/>
              <w:bottom w:val="single" w:sz="4" w:space="0" w:color="auto"/>
              <w:right w:val="single" w:sz="4" w:space="0" w:color="auto"/>
            </w:tcBorders>
            <w:shd w:val="clear" w:color="auto" w:fill="auto"/>
            <w:vAlign w:val="center"/>
            <w:hideMark/>
          </w:tcPr>
          <w:p w14:paraId="7A2FE1D0" w14:textId="2073D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1.371</w:t>
            </w:r>
          </w:p>
        </w:tc>
        <w:tc>
          <w:tcPr>
            <w:tcW w:w="1540" w:type="dxa"/>
            <w:tcBorders>
              <w:top w:val="nil"/>
              <w:left w:val="nil"/>
              <w:bottom w:val="single" w:sz="4" w:space="0" w:color="auto"/>
              <w:right w:val="single" w:sz="4" w:space="0" w:color="auto"/>
            </w:tcBorders>
            <w:shd w:val="clear" w:color="auto" w:fill="auto"/>
            <w:noWrap/>
            <w:vAlign w:val="center"/>
            <w:hideMark/>
          </w:tcPr>
          <w:p w14:paraId="19F6E818" w14:textId="1671BC9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1.714</w:t>
            </w:r>
          </w:p>
        </w:tc>
        <w:tc>
          <w:tcPr>
            <w:tcW w:w="1540" w:type="dxa"/>
            <w:tcBorders>
              <w:top w:val="nil"/>
              <w:left w:val="nil"/>
              <w:bottom w:val="single" w:sz="4" w:space="0" w:color="auto"/>
              <w:right w:val="single" w:sz="4" w:space="0" w:color="auto"/>
            </w:tcBorders>
            <w:shd w:val="clear" w:color="auto" w:fill="auto"/>
            <w:noWrap/>
            <w:vAlign w:val="center"/>
            <w:hideMark/>
          </w:tcPr>
          <w:p w14:paraId="30329A3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195,449</w:t>
            </w:r>
          </w:p>
        </w:tc>
      </w:tr>
      <w:tr w:rsidR="00315701" w:rsidRPr="009543E3" w14:paraId="45A22D7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2E96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Turkmenistan</w:t>
            </w:r>
          </w:p>
        </w:tc>
        <w:tc>
          <w:tcPr>
            <w:tcW w:w="1540" w:type="dxa"/>
            <w:tcBorders>
              <w:top w:val="nil"/>
              <w:left w:val="nil"/>
              <w:bottom w:val="single" w:sz="4" w:space="0" w:color="auto"/>
              <w:right w:val="single" w:sz="4" w:space="0" w:color="auto"/>
            </w:tcBorders>
            <w:shd w:val="clear" w:color="auto" w:fill="auto"/>
            <w:vAlign w:val="center"/>
            <w:hideMark/>
          </w:tcPr>
          <w:p w14:paraId="500040CC" w14:textId="245D3C7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0.033</w:t>
            </w:r>
          </w:p>
        </w:tc>
        <w:tc>
          <w:tcPr>
            <w:tcW w:w="1540" w:type="dxa"/>
            <w:tcBorders>
              <w:top w:val="nil"/>
              <w:left w:val="nil"/>
              <w:bottom w:val="single" w:sz="4" w:space="0" w:color="auto"/>
              <w:right w:val="single" w:sz="4" w:space="0" w:color="auto"/>
            </w:tcBorders>
            <w:shd w:val="clear" w:color="auto" w:fill="auto"/>
            <w:noWrap/>
            <w:vAlign w:val="center"/>
            <w:hideMark/>
          </w:tcPr>
          <w:p w14:paraId="34C2B70A" w14:textId="27E621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2CF4C7C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4,704</w:t>
            </w:r>
          </w:p>
        </w:tc>
      </w:tr>
      <w:tr w:rsidR="00315701" w:rsidRPr="009543E3" w14:paraId="78CEA7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7CD5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Tuvalu</w:t>
            </w:r>
          </w:p>
        </w:tc>
        <w:tc>
          <w:tcPr>
            <w:tcW w:w="1540" w:type="dxa"/>
            <w:tcBorders>
              <w:top w:val="nil"/>
              <w:left w:val="nil"/>
              <w:bottom w:val="single" w:sz="4" w:space="0" w:color="auto"/>
              <w:right w:val="single" w:sz="4" w:space="0" w:color="auto"/>
            </w:tcBorders>
            <w:shd w:val="clear" w:color="auto" w:fill="auto"/>
            <w:vAlign w:val="center"/>
            <w:hideMark/>
          </w:tcPr>
          <w:p w14:paraId="1B4DF7B3" w14:textId="428E34C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9244733" w14:textId="648AAB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FCC39B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C47B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0A1A8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3DA8A00F" w14:textId="36EEA41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09113253" w14:textId="7C1978B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3C4499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FE2B86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A07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Ukraine</w:t>
            </w:r>
          </w:p>
        </w:tc>
        <w:tc>
          <w:tcPr>
            <w:tcW w:w="1540" w:type="dxa"/>
            <w:tcBorders>
              <w:top w:val="nil"/>
              <w:left w:val="nil"/>
              <w:bottom w:val="single" w:sz="4" w:space="0" w:color="auto"/>
              <w:right w:val="single" w:sz="4" w:space="0" w:color="auto"/>
            </w:tcBorders>
            <w:shd w:val="clear" w:color="auto" w:fill="auto"/>
            <w:vAlign w:val="center"/>
            <w:hideMark/>
          </w:tcPr>
          <w:p w14:paraId="4B429CCC" w14:textId="7839026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5586085D" w14:textId="3E1F43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11FBB1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8,126</w:t>
            </w:r>
          </w:p>
        </w:tc>
      </w:tr>
      <w:tr w:rsidR="00315701" w:rsidRPr="009543E3" w14:paraId="2717A15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9612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43A1A455" w14:textId="5061E4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2B2A386E" w14:textId="5687EE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0.770</w:t>
            </w:r>
          </w:p>
        </w:tc>
        <w:tc>
          <w:tcPr>
            <w:tcW w:w="1540" w:type="dxa"/>
            <w:tcBorders>
              <w:top w:val="nil"/>
              <w:left w:val="nil"/>
              <w:bottom w:val="single" w:sz="4" w:space="0" w:color="auto"/>
              <w:right w:val="single" w:sz="4" w:space="0" w:color="auto"/>
            </w:tcBorders>
            <w:shd w:val="clear" w:color="auto" w:fill="auto"/>
            <w:noWrap/>
            <w:vAlign w:val="center"/>
            <w:hideMark/>
          </w:tcPr>
          <w:p w14:paraId="0DC3AE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87,817</w:t>
            </w:r>
          </w:p>
        </w:tc>
      </w:tr>
      <w:tr w:rsidR="00315701" w:rsidRPr="009543E3" w14:paraId="63C9136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95264D" w14:textId="77777777" w:rsidR="00315701" w:rsidRPr="009543E3" w:rsidRDefault="00315701" w:rsidP="006914CE">
            <w:pPr>
              <w:suppressLineNumbers/>
              <w:suppressAutoHyphens/>
              <w:jc w:val="left"/>
              <w:rPr>
                <w:color w:val="000000"/>
                <w:kern w:val="22"/>
                <w:szCs w:val="22"/>
                <w:lang w:eastAsia="en-CA"/>
              </w:rPr>
            </w:pPr>
            <w:r w:rsidRPr="009543E3">
              <w:rPr>
                <w:color w:val="000000"/>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04EB2B72" w14:textId="37DD07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4CEE753A" w14:textId="35791F6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5.710</w:t>
            </w:r>
          </w:p>
        </w:tc>
        <w:tc>
          <w:tcPr>
            <w:tcW w:w="1540" w:type="dxa"/>
            <w:tcBorders>
              <w:top w:val="nil"/>
              <w:left w:val="nil"/>
              <w:bottom w:val="single" w:sz="4" w:space="0" w:color="auto"/>
              <w:right w:val="single" w:sz="4" w:space="0" w:color="auto"/>
            </w:tcBorders>
            <w:shd w:val="clear" w:color="auto" w:fill="auto"/>
            <w:noWrap/>
            <w:vAlign w:val="center"/>
            <w:hideMark/>
          </w:tcPr>
          <w:p w14:paraId="7314107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651,069</w:t>
            </w:r>
          </w:p>
        </w:tc>
      </w:tr>
      <w:tr w:rsidR="00315701" w:rsidRPr="009543E3" w14:paraId="691522C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FB273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451C7B64" w14:textId="02B64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B68251" w14:textId="253450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4B2593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E741D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485B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5BEB5BC8" w14:textId="62F2DD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6F2CE371" w14:textId="1A2D399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281E537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12,403</w:t>
            </w:r>
          </w:p>
        </w:tc>
      </w:tr>
      <w:tr w:rsidR="00315701" w:rsidRPr="009543E3" w14:paraId="084C6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6005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Uzbekistan</w:t>
            </w:r>
          </w:p>
        </w:tc>
        <w:tc>
          <w:tcPr>
            <w:tcW w:w="1540" w:type="dxa"/>
            <w:tcBorders>
              <w:top w:val="nil"/>
              <w:left w:val="nil"/>
              <w:bottom w:val="single" w:sz="4" w:space="0" w:color="auto"/>
              <w:right w:val="single" w:sz="4" w:space="0" w:color="auto"/>
            </w:tcBorders>
            <w:shd w:val="clear" w:color="auto" w:fill="auto"/>
            <w:vAlign w:val="center"/>
            <w:hideMark/>
          </w:tcPr>
          <w:p w14:paraId="76685FF9" w14:textId="540710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hideMark/>
          </w:tcPr>
          <w:p w14:paraId="1D36C726" w14:textId="2DFDA8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5982C1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4,562</w:t>
            </w:r>
          </w:p>
        </w:tc>
      </w:tr>
      <w:tr w:rsidR="00315701" w:rsidRPr="009543E3" w14:paraId="1906E31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1E140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Vanuatu</w:t>
            </w:r>
          </w:p>
        </w:tc>
        <w:tc>
          <w:tcPr>
            <w:tcW w:w="1540" w:type="dxa"/>
            <w:tcBorders>
              <w:top w:val="nil"/>
              <w:left w:val="nil"/>
              <w:bottom w:val="single" w:sz="4" w:space="0" w:color="auto"/>
              <w:right w:val="single" w:sz="4" w:space="0" w:color="auto"/>
            </w:tcBorders>
            <w:shd w:val="clear" w:color="auto" w:fill="auto"/>
            <w:vAlign w:val="center"/>
            <w:hideMark/>
          </w:tcPr>
          <w:p w14:paraId="57F39C0C" w14:textId="772471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7B65F16" w14:textId="4C31B4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A6AA9F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24A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439179" w14:textId="2506BA4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Venezuela</w:t>
            </w:r>
            <w:r w:rsidR="0028705C" w:rsidRPr="009543E3">
              <w:rPr>
                <w:color w:val="000000"/>
                <w:kern w:val="22"/>
                <w:szCs w:val="22"/>
                <w:lang w:eastAsia="en-CA"/>
              </w:rPr>
              <w:t xml:space="preserve">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1330A2CE" w14:textId="29DF000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4BE27620" w14:textId="6B1027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0.910</w:t>
            </w:r>
          </w:p>
        </w:tc>
        <w:tc>
          <w:tcPr>
            <w:tcW w:w="1540" w:type="dxa"/>
            <w:tcBorders>
              <w:top w:val="nil"/>
              <w:left w:val="nil"/>
              <w:bottom w:val="single" w:sz="4" w:space="0" w:color="auto"/>
              <w:right w:val="single" w:sz="4" w:space="0" w:color="auto"/>
            </w:tcBorders>
            <w:shd w:val="clear" w:color="auto" w:fill="auto"/>
            <w:noWrap/>
            <w:vAlign w:val="center"/>
            <w:hideMark/>
          </w:tcPr>
          <w:p w14:paraId="49DA99C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103,783</w:t>
            </w:r>
          </w:p>
        </w:tc>
      </w:tr>
      <w:tr w:rsidR="00315701" w:rsidRPr="009543E3" w14:paraId="308210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4E3B9" w14:textId="65BE392F"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Viet</w:t>
            </w:r>
            <w:r w:rsidR="00FE1779" w:rsidRPr="009543E3">
              <w:rPr>
                <w:color w:val="000000"/>
                <w:kern w:val="22"/>
                <w:szCs w:val="22"/>
                <w:lang w:eastAsia="en-CA"/>
              </w:rPr>
              <w:t xml:space="preserve"> </w:t>
            </w:r>
            <w:r w:rsidRPr="009543E3">
              <w:rPr>
                <w:color w:val="000000"/>
                <w:kern w:val="22"/>
                <w:szCs w:val="22"/>
                <w:lang w:eastAsia="en-CA"/>
              </w:rPr>
              <w:t>Nam</w:t>
            </w:r>
          </w:p>
        </w:tc>
        <w:tc>
          <w:tcPr>
            <w:tcW w:w="1540" w:type="dxa"/>
            <w:tcBorders>
              <w:top w:val="nil"/>
              <w:left w:val="nil"/>
              <w:bottom w:val="single" w:sz="4" w:space="0" w:color="auto"/>
              <w:right w:val="single" w:sz="4" w:space="0" w:color="auto"/>
            </w:tcBorders>
            <w:shd w:val="clear" w:color="auto" w:fill="auto"/>
            <w:vAlign w:val="center"/>
            <w:hideMark/>
          </w:tcPr>
          <w:p w14:paraId="44112159" w14:textId="4DA49AD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603937F6" w14:textId="3ED3F62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0E24B00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10,977</w:t>
            </w:r>
          </w:p>
        </w:tc>
      </w:tr>
      <w:tr w:rsidR="00315701" w:rsidRPr="009543E3" w14:paraId="3E62BAF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C69AA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Yemen</w:t>
            </w:r>
          </w:p>
        </w:tc>
        <w:tc>
          <w:tcPr>
            <w:tcW w:w="1540" w:type="dxa"/>
            <w:tcBorders>
              <w:top w:val="nil"/>
              <w:left w:val="nil"/>
              <w:bottom w:val="single" w:sz="4" w:space="0" w:color="auto"/>
              <w:right w:val="single" w:sz="4" w:space="0" w:color="auto"/>
            </w:tcBorders>
            <w:shd w:val="clear" w:color="auto" w:fill="auto"/>
            <w:vAlign w:val="center"/>
            <w:hideMark/>
          </w:tcPr>
          <w:p w14:paraId="462808C1" w14:textId="64961E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8E4B945" w14:textId="6E14CF9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9A447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72C9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AA8F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6662879E" w14:textId="2F6D35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CF9A6EA" w14:textId="0B9D6D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0855C2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2FBCF4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DFF67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22004320" w14:textId="318211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7F1BE60F" w14:textId="65F288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C55B9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34E9923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7EEC553D" w14:textId="77777777" w:rsidR="00315701" w:rsidRPr="009543E3" w:rsidRDefault="00315701"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4B8F0B48" w14:textId="246E165E"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78.010</w:t>
            </w:r>
          </w:p>
        </w:tc>
        <w:tc>
          <w:tcPr>
            <w:tcW w:w="1540" w:type="dxa"/>
            <w:tcBorders>
              <w:top w:val="nil"/>
              <w:left w:val="nil"/>
              <w:bottom w:val="single" w:sz="4" w:space="0" w:color="auto"/>
              <w:right w:val="single" w:sz="4" w:space="0" w:color="auto"/>
            </w:tcBorders>
            <w:shd w:val="clear" w:color="auto" w:fill="auto"/>
            <w:noWrap/>
            <w:vAlign w:val="center"/>
            <w:hideMark/>
          </w:tcPr>
          <w:p w14:paraId="49B0A864" w14:textId="2E5CD902"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1938D900" w14:textId="77777777"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11,402,700</w:t>
            </w:r>
          </w:p>
        </w:tc>
      </w:tr>
    </w:tbl>
    <w:p w14:paraId="41BF55BB" w14:textId="48EC298C" w:rsidR="00315701" w:rsidRPr="009543E3" w:rsidRDefault="00315701" w:rsidP="006914CE">
      <w:pPr>
        <w:suppressLineNumbers/>
        <w:suppressAutoHyphens/>
        <w:autoSpaceDE w:val="0"/>
        <w:autoSpaceDN w:val="0"/>
        <w:adjustRightInd w:val="0"/>
        <w:rPr>
          <w:rFonts w:eastAsiaTheme="minorEastAsia"/>
          <w:kern w:val="22"/>
          <w:szCs w:val="22"/>
        </w:rPr>
      </w:pPr>
    </w:p>
    <w:p w14:paraId="6AAA5353" w14:textId="0905411D"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p w14:paraId="4480FF7F" w14:textId="3AFDF8CB" w:rsidR="0079737F" w:rsidRPr="009543E3" w:rsidRDefault="0079737F" w:rsidP="006914CE">
      <w:pPr>
        <w:keepNext/>
        <w:suppressLineNumbers/>
        <w:suppressAutoHyphens/>
        <w:spacing w:after="120"/>
        <w:jc w:val="left"/>
        <w:rPr>
          <w:rFonts w:eastAsiaTheme="minorEastAsia"/>
          <w:b/>
          <w:bCs/>
          <w:kern w:val="22"/>
          <w:szCs w:val="22"/>
        </w:rPr>
      </w:pPr>
      <w:r w:rsidRPr="009543E3">
        <w:rPr>
          <w:rFonts w:eastAsiaTheme="minorEastAsia"/>
          <w:b/>
          <w:kern w:val="22"/>
          <w:szCs w:val="22"/>
        </w:rPr>
        <w:lastRenderedPageBreak/>
        <w:t xml:space="preserve">Table </w:t>
      </w:r>
      <w:r w:rsidR="004A4638" w:rsidRPr="009543E3">
        <w:rPr>
          <w:rFonts w:eastAsiaTheme="minorEastAsia"/>
          <w:b/>
          <w:kern w:val="22"/>
          <w:szCs w:val="22"/>
        </w:rPr>
        <w:t>8</w:t>
      </w:r>
      <w:r w:rsidR="00FE1779" w:rsidRPr="009543E3">
        <w:rPr>
          <w:rFonts w:eastAsiaTheme="minorEastAsia"/>
          <w:kern w:val="22"/>
          <w:szCs w:val="22"/>
        </w:rPr>
        <w:br/>
      </w:r>
      <w:r w:rsidRPr="009543E3">
        <w:rPr>
          <w:rFonts w:eastAsiaTheme="minorEastAsia"/>
          <w:b/>
          <w:bCs/>
          <w:kern w:val="22"/>
          <w:szCs w:val="22"/>
        </w:rPr>
        <w:t>Contributions to the Trust Fund for the Cartagena Protocol on Biosafety for 2021</w:t>
      </w:r>
    </w:p>
    <w:tbl>
      <w:tblPr>
        <w:tblW w:w="9420" w:type="dxa"/>
        <w:jc w:val="center"/>
        <w:tblLook w:val="04A0" w:firstRow="1" w:lastRow="0" w:firstColumn="1" w:lastColumn="0" w:noHBand="0" w:noVBand="1"/>
      </w:tblPr>
      <w:tblGrid>
        <w:gridCol w:w="4800"/>
        <w:gridCol w:w="1540"/>
        <w:gridCol w:w="1540"/>
        <w:gridCol w:w="1540"/>
      </w:tblGrid>
      <w:tr w:rsidR="001F110D" w:rsidRPr="009543E3" w14:paraId="75B15CF1" w14:textId="77777777" w:rsidTr="006914CE">
        <w:trPr>
          <w:trHeight w:val="840"/>
          <w:jc w:val="cent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DF3" w14:textId="3C3E6022" w:rsidR="001F110D" w:rsidRPr="009543E3" w:rsidRDefault="001F110D" w:rsidP="006914CE">
            <w:pPr>
              <w:suppressLineNumbers/>
              <w:suppressAutoHyphens/>
              <w:jc w:val="center"/>
              <w:rPr>
                <w:b/>
                <w:kern w:val="22"/>
                <w:szCs w:val="22"/>
                <w:lang w:eastAsia="en-CA"/>
              </w:rPr>
            </w:pPr>
            <w:r w:rsidRPr="009543E3">
              <w:rPr>
                <w:b/>
                <w:kern w:val="22"/>
                <w:szCs w:val="22"/>
                <w:lang w:eastAsia="en-CA"/>
              </w:rPr>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634135" w14:textId="411CF40D"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C93E23"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617AD0" w14:textId="5746E66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0B4ADA71"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47928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44CCD3A7" w14:textId="5602AAB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00E0979F" w14:textId="3F5BA3B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3255C1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49775AFE"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AAD832" w14:textId="39A39125"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234EA61" w14:textId="53041C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3105A83" w14:textId="5FB6B4E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56D342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7349DE2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EAA868" w14:textId="7F463F14"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Algeria</w:t>
            </w:r>
          </w:p>
        </w:tc>
        <w:tc>
          <w:tcPr>
            <w:tcW w:w="1540" w:type="dxa"/>
            <w:tcBorders>
              <w:top w:val="nil"/>
              <w:left w:val="nil"/>
              <w:bottom w:val="single" w:sz="4" w:space="0" w:color="auto"/>
              <w:right w:val="single" w:sz="4" w:space="0" w:color="auto"/>
            </w:tcBorders>
            <w:shd w:val="clear" w:color="auto" w:fill="auto"/>
            <w:vAlign w:val="center"/>
            <w:hideMark/>
          </w:tcPr>
          <w:p w14:paraId="7F4B40FE" w14:textId="44EEE1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05095EB8" w14:textId="1B5068E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0.197</w:t>
            </w:r>
          </w:p>
        </w:tc>
        <w:tc>
          <w:tcPr>
            <w:tcW w:w="1540" w:type="dxa"/>
            <w:tcBorders>
              <w:top w:val="nil"/>
              <w:left w:val="nil"/>
              <w:bottom w:val="single" w:sz="4" w:space="0" w:color="auto"/>
              <w:right w:val="single" w:sz="4" w:space="0" w:color="auto"/>
            </w:tcBorders>
            <w:shd w:val="clear" w:color="auto" w:fill="auto"/>
            <w:noWrap/>
            <w:vAlign w:val="center"/>
            <w:hideMark/>
          </w:tcPr>
          <w:p w14:paraId="5383686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4,557</w:t>
            </w:r>
          </w:p>
        </w:tc>
      </w:tr>
      <w:tr w:rsidR="001F110D" w:rsidRPr="009543E3" w14:paraId="2BA0EE51"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DDA0F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18741EBC" w14:textId="76D4DE4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9CBDC67" w14:textId="5F600F6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CD3278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1F2D7F6D"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365B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49C180C8" w14:textId="033BB28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F76630F" w14:textId="243C527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BC2E73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55226AD4"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E4CE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Armenia</w:t>
            </w:r>
          </w:p>
        </w:tc>
        <w:tc>
          <w:tcPr>
            <w:tcW w:w="1540" w:type="dxa"/>
            <w:tcBorders>
              <w:top w:val="nil"/>
              <w:left w:val="nil"/>
              <w:bottom w:val="single" w:sz="4" w:space="0" w:color="auto"/>
              <w:right w:val="single" w:sz="4" w:space="0" w:color="auto"/>
            </w:tcBorders>
            <w:shd w:val="clear" w:color="auto" w:fill="auto"/>
            <w:vAlign w:val="center"/>
            <w:hideMark/>
          </w:tcPr>
          <w:p w14:paraId="1B58ADEF" w14:textId="393450E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4155AE7" w14:textId="2710D58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24D28C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10BB9E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692F9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725489C0" w14:textId="4BDCA8E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30358449" w14:textId="6B48B8B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0.967</w:t>
            </w:r>
          </w:p>
        </w:tc>
        <w:tc>
          <w:tcPr>
            <w:tcW w:w="1540" w:type="dxa"/>
            <w:tcBorders>
              <w:top w:val="nil"/>
              <w:left w:val="nil"/>
              <w:bottom w:val="single" w:sz="4" w:space="0" w:color="auto"/>
              <w:right w:val="single" w:sz="4" w:space="0" w:color="auto"/>
            </w:tcBorders>
            <w:shd w:val="clear" w:color="auto" w:fill="auto"/>
            <w:noWrap/>
            <w:vAlign w:val="center"/>
            <w:hideMark/>
          </w:tcPr>
          <w:p w14:paraId="1020AFF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22,358</w:t>
            </w:r>
          </w:p>
        </w:tc>
      </w:tr>
      <w:tr w:rsidR="001F110D" w:rsidRPr="009543E3" w14:paraId="3FEF217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841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Azerbaijan</w:t>
            </w:r>
          </w:p>
        </w:tc>
        <w:tc>
          <w:tcPr>
            <w:tcW w:w="1540" w:type="dxa"/>
            <w:tcBorders>
              <w:top w:val="nil"/>
              <w:left w:val="nil"/>
              <w:bottom w:val="single" w:sz="4" w:space="0" w:color="auto"/>
              <w:right w:val="single" w:sz="4" w:space="0" w:color="auto"/>
            </w:tcBorders>
            <w:shd w:val="clear" w:color="auto" w:fill="auto"/>
            <w:vAlign w:val="center"/>
            <w:hideMark/>
          </w:tcPr>
          <w:p w14:paraId="7820AC76" w14:textId="5FE2A4D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188534F6" w14:textId="14DB73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0.070</w:t>
            </w:r>
          </w:p>
        </w:tc>
        <w:tc>
          <w:tcPr>
            <w:tcW w:w="1540" w:type="dxa"/>
            <w:tcBorders>
              <w:top w:val="nil"/>
              <w:left w:val="nil"/>
              <w:bottom w:val="single" w:sz="4" w:space="0" w:color="auto"/>
              <w:right w:val="single" w:sz="4" w:space="0" w:color="auto"/>
            </w:tcBorders>
            <w:shd w:val="clear" w:color="auto" w:fill="auto"/>
            <w:noWrap/>
            <w:vAlign w:val="center"/>
            <w:hideMark/>
          </w:tcPr>
          <w:p w14:paraId="494D923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1,618</w:t>
            </w:r>
          </w:p>
        </w:tc>
      </w:tr>
      <w:tr w:rsidR="001F110D" w:rsidRPr="009543E3" w14:paraId="0F512DE4"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2E7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Bahamas</w:t>
            </w:r>
          </w:p>
        </w:tc>
        <w:tc>
          <w:tcPr>
            <w:tcW w:w="1540" w:type="dxa"/>
            <w:tcBorders>
              <w:top w:val="nil"/>
              <w:left w:val="nil"/>
              <w:bottom w:val="single" w:sz="4" w:space="0" w:color="auto"/>
              <w:right w:val="single" w:sz="4" w:space="0" w:color="auto"/>
            </w:tcBorders>
            <w:shd w:val="clear" w:color="auto" w:fill="auto"/>
            <w:vAlign w:val="center"/>
            <w:hideMark/>
          </w:tcPr>
          <w:p w14:paraId="42DC134E" w14:textId="41E1243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0FDD63B1" w14:textId="7537DE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3B4634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594</w:t>
            </w:r>
          </w:p>
        </w:tc>
      </w:tr>
      <w:tr w:rsidR="001F110D" w:rsidRPr="009543E3" w14:paraId="018782A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5A34F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Bahrain</w:t>
            </w:r>
          </w:p>
        </w:tc>
        <w:tc>
          <w:tcPr>
            <w:tcW w:w="1540" w:type="dxa"/>
            <w:tcBorders>
              <w:top w:val="nil"/>
              <w:left w:val="nil"/>
              <w:bottom w:val="single" w:sz="4" w:space="0" w:color="auto"/>
              <w:right w:val="single" w:sz="4" w:space="0" w:color="auto"/>
            </w:tcBorders>
            <w:shd w:val="clear" w:color="auto" w:fill="auto"/>
            <w:vAlign w:val="center"/>
            <w:hideMark/>
          </w:tcPr>
          <w:p w14:paraId="77AF6104" w14:textId="7B57F4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1E29BC82" w14:textId="785B465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423189F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1,651</w:t>
            </w:r>
          </w:p>
        </w:tc>
      </w:tr>
      <w:tr w:rsidR="001F110D" w:rsidRPr="009543E3" w14:paraId="027CACA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AD29E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Bangladesh</w:t>
            </w:r>
          </w:p>
        </w:tc>
        <w:tc>
          <w:tcPr>
            <w:tcW w:w="1540" w:type="dxa"/>
            <w:tcBorders>
              <w:top w:val="nil"/>
              <w:left w:val="nil"/>
              <w:bottom w:val="single" w:sz="4" w:space="0" w:color="auto"/>
              <w:right w:val="single" w:sz="4" w:space="0" w:color="auto"/>
            </w:tcBorders>
            <w:shd w:val="clear" w:color="auto" w:fill="auto"/>
            <w:vAlign w:val="center"/>
            <w:hideMark/>
          </w:tcPr>
          <w:p w14:paraId="7C2D2A7A" w14:textId="60A569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BC39263" w14:textId="44D7640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8D3DAC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04369F6A"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9656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Barbados</w:t>
            </w:r>
          </w:p>
        </w:tc>
        <w:tc>
          <w:tcPr>
            <w:tcW w:w="1540" w:type="dxa"/>
            <w:tcBorders>
              <w:top w:val="nil"/>
              <w:left w:val="nil"/>
              <w:bottom w:val="single" w:sz="4" w:space="0" w:color="auto"/>
              <w:right w:val="single" w:sz="4" w:space="0" w:color="auto"/>
            </w:tcBorders>
            <w:shd w:val="clear" w:color="auto" w:fill="auto"/>
            <w:vAlign w:val="center"/>
            <w:hideMark/>
          </w:tcPr>
          <w:p w14:paraId="11B30FBD" w14:textId="1625935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D6F736F" w14:textId="3A9199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7AC33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61058A95"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8E650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77C75865" w14:textId="7EC4BA0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35970F22" w14:textId="5C21D0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0.070</w:t>
            </w:r>
          </w:p>
        </w:tc>
        <w:tc>
          <w:tcPr>
            <w:tcW w:w="1540" w:type="dxa"/>
            <w:tcBorders>
              <w:top w:val="nil"/>
              <w:left w:val="nil"/>
              <w:bottom w:val="single" w:sz="4" w:space="0" w:color="auto"/>
              <w:right w:val="single" w:sz="4" w:space="0" w:color="auto"/>
            </w:tcBorders>
            <w:shd w:val="clear" w:color="auto" w:fill="auto"/>
            <w:noWrap/>
            <w:vAlign w:val="center"/>
            <w:hideMark/>
          </w:tcPr>
          <w:p w14:paraId="7F2C495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1,618</w:t>
            </w:r>
          </w:p>
        </w:tc>
      </w:tr>
      <w:tr w:rsidR="001F110D" w:rsidRPr="009543E3" w14:paraId="7AF02F4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24E2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699DB1DE" w14:textId="183D01C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61BD8137" w14:textId="777A138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1.173</w:t>
            </w:r>
          </w:p>
        </w:tc>
        <w:tc>
          <w:tcPr>
            <w:tcW w:w="1540" w:type="dxa"/>
            <w:tcBorders>
              <w:top w:val="nil"/>
              <w:left w:val="nil"/>
              <w:bottom w:val="single" w:sz="4" w:space="0" w:color="auto"/>
              <w:right w:val="single" w:sz="4" w:space="0" w:color="auto"/>
            </w:tcBorders>
            <w:shd w:val="clear" w:color="auto" w:fill="auto"/>
            <w:noWrap/>
            <w:vAlign w:val="center"/>
            <w:hideMark/>
          </w:tcPr>
          <w:p w14:paraId="3E13069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27,113</w:t>
            </w:r>
          </w:p>
        </w:tc>
      </w:tr>
      <w:tr w:rsidR="001F110D" w:rsidRPr="009543E3" w14:paraId="12C67FA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53D7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Belize</w:t>
            </w:r>
          </w:p>
        </w:tc>
        <w:tc>
          <w:tcPr>
            <w:tcW w:w="1540" w:type="dxa"/>
            <w:tcBorders>
              <w:top w:val="nil"/>
              <w:left w:val="nil"/>
              <w:bottom w:val="single" w:sz="4" w:space="0" w:color="auto"/>
              <w:right w:val="single" w:sz="4" w:space="0" w:color="auto"/>
            </w:tcBorders>
            <w:shd w:val="clear" w:color="auto" w:fill="auto"/>
            <w:vAlign w:val="center"/>
            <w:hideMark/>
          </w:tcPr>
          <w:p w14:paraId="0A8C53E9" w14:textId="214CBD0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47BCE69" w14:textId="17FD517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CAA77E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C03AC6B"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C265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26F807C4" w14:textId="6C2A655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44E9F1B" w14:textId="317DCBA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73A8B6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0E35A43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A33D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30A407C4" w14:textId="41FA05C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FCAAE51" w14:textId="2FBB99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D8E112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8CFC39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E9CD0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Bolivia (</w:t>
            </w:r>
            <w:proofErr w:type="spellStart"/>
            <w:r w:rsidRPr="009543E3">
              <w:rPr>
                <w:color w:val="000000"/>
                <w:kern w:val="22"/>
                <w:szCs w:val="22"/>
                <w:lang w:eastAsia="en-CA"/>
              </w:rPr>
              <w:t>Plurinational</w:t>
            </w:r>
            <w:proofErr w:type="spellEnd"/>
            <w:r w:rsidRPr="009543E3">
              <w:rPr>
                <w:color w:val="000000"/>
                <w:kern w:val="22"/>
                <w:szCs w:val="22"/>
                <w:lang w:eastAsia="en-CA"/>
              </w:rPr>
              <w:t xml:space="preserve"> State of)</w:t>
            </w:r>
          </w:p>
        </w:tc>
        <w:tc>
          <w:tcPr>
            <w:tcW w:w="1540" w:type="dxa"/>
            <w:tcBorders>
              <w:top w:val="nil"/>
              <w:left w:val="nil"/>
              <w:bottom w:val="single" w:sz="4" w:space="0" w:color="auto"/>
              <w:right w:val="single" w:sz="4" w:space="0" w:color="auto"/>
            </w:tcBorders>
            <w:shd w:val="clear" w:color="auto" w:fill="auto"/>
            <w:vAlign w:val="center"/>
            <w:hideMark/>
          </w:tcPr>
          <w:p w14:paraId="366ACFAC" w14:textId="4AF3FC4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3AADBC52" w14:textId="0D2309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361E708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528</w:t>
            </w:r>
          </w:p>
        </w:tc>
      </w:tr>
      <w:tr w:rsidR="001F110D" w:rsidRPr="009543E3" w14:paraId="3F1CC0D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005F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Bosnia and Herzegovina</w:t>
            </w:r>
          </w:p>
        </w:tc>
        <w:tc>
          <w:tcPr>
            <w:tcW w:w="1540" w:type="dxa"/>
            <w:tcBorders>
              <w:top w:val="nil"/>
              <w:left w:val="nil"/>
              <w:bottom w:val="single" w:sz="4" w:space="0" w:color="auto"/>
              <w:right w:val="single" w:sz="4" w:space="0" w:color="auto"/>
            </w:tcBorders>
            <w:shd w:val="clear" w:color="auto" w:fill="auto"/>
            <w:vAlign w:val="center"/>
            <w:hideMark/>
          </w:tcPr>
          <w:p w14:paraId="6141F42D" w14:textId="141F84A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3A415091" w14:textId="1830CC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76BCABE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w:t>
            </w:r>
          </w:p>
        </w:tc>
      </w:tr>
      <w:tr w:rsidR="001F110D" w:rsidRPr="009543E3" w14:paraId="52257FC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1E1FC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17B57620" w14:textId="231BFE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27816DE3" w14:textId="04124AD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2B61632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462</w:t>
            </w:r>
          </w:p>
        </w:tc>
      </w:tr>
      <w:tr w:rsidR="001F110D" w:rsidRPr="009543E3" w14:paraId="67FF2550"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48A8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Brazil</w:t>
            </w:r>
          </w:p>
        </w:tc>
        <w:tc>
          <w:tcPr>
            <w:tcW w:w="1540" w:type="dxa"/>
            <w:tcBorders>
              <w:top w:val="nil"/>
              <w:left w:val="nil"/>
              <w:bottom w:val="single" w:sz="4" w:space="0" w:color="auto"/>
              <w:right w:val="single" w:sz="4" w:space="0" w:color="auto"/>
            </w:tcBorders>
            <w:shd w:val="clear" w:color="auto" w:fill="auto"/>
            <w:vAlign w:val="center"/>
            <w:hideMark/>
          </w:tcPr>
          <w:p w14:paraId="5A633994" w14:textId="4CCECC0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2.948</w:t>
            </w:r>
          </w:p>
        </w:tc>
        <w:tc>
          <w:tcPr>
            <w:tcW w:w="1540" w:type="dxa"/>
            <w:tcBorders>
              <w:top w:val="nil"/>
              <w:left w:val="nil"/>
              <w:bottom w:val="single" w:sz="4" w:space="0" w:color="auto"/>
              <w:right w:val="single" w:sz="4" w:space="0" w:color="auto"/>
            </w:tcBorders>
            <w:shd w:val="clear" w:color="auto" w:fill="auto"/>
            <w:noWrap/>
            <w:vAlign w:val="center"/>
            <w:hideMark/>
          </w:tcPr>
          <w:p w14:paraId="2BA4C91F" w14:textId="347667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4.212</w:t>
            </w:r>
          </w:p>
        </w:tc>
        <w:tc>
          <w:tcPr>
            <w:tcW w:w="1540" w:type="dxa"/>
            <w:tcBorders>
              <w:top w:val="nil"/>
              <w:left w:val="nil"/>
              <w:bottom w:val="single" w:sz="4" w:space="0" w:color="auto"/>
              <w:right w:val="single" w:sz="4" w:space="0" w:color="auto"/>
            </w:tcBorders>
            <w:shd w:val="clear" w:color="auto" w:fill="auto"/>
            <w:noWrap/>
            <w:vAlign w:val="center"/>
            <w:hideMark/>
          </w:tcPr>
          <w:p w14:paraId="6BC462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97,356</w:t>
            </w:r>
          </w:p>
        </w:tc>
      </w:tr>
      <w:tr w:rsidR="001F110D" w:rsidRPr="009543E3" w14:paraId="5C614947"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47547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458124DD" w14:textId="3D71AC8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067009E1" w14:textId="4CF5981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0.066</w:t>
            </w:r>
          </w:p>
        </w:tc>
        <w:tc>
          <w:tcPr>
            <w:tcW w:w="1540" w:type="dxa"/>
            <w:tcBorders>
              <w:top w:val="nil"/>
              <w:left w:val="nil"/>
              <w:bottom w:val="single" w:sz="4" w:space="0" w:color="auto"/>
              <w:right w:val="single" w:sz="4" w:space="0" w:color="auto"/>
            </w:tcBorders>
            <w:shd w:val="clear" w:color="auto" w:fill="auto"/>
            <w:noWrap/>
            <w:vAlign w:val="center"/>
            <w:hideMark/>
          </w:tcPr>
          <w:p w14:paraId="1337BD2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1,519</w:t>
            </w:r>
          </w:p>
        </w:tc>
      </w:tr>
      <w:tr w:rsidR="001F110D" w:rsidRPr="009543E3" w14:paraId="5908C86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45122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43D5D7C1" w14:textId="04D9197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DC2D76F" w14:textId="17B2423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6CFB2B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67F76717"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FD567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51EBB3EE" w14:textId="2CA3385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6285FB" w14:textId="0CB4F47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0BAC3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7297F2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3ADDB6" w14:textId="1514308F"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w:t>
            </w:r>
            <w:r w:rsidR="00FE1779" w:rsidRPr="009543E3">
              <w:rPr>
                <w:color w:val="000000"/>
                <w:kern w:val="22"/>
                <w:szCs w:val="22"/>
                <w:lang w:eastAsia="en-CA"/>
              </w:rPr>
              <w:t>bo</w:t>
            </w:r>
            <w:r w:rsidRPr="009543E3">
              <w:rPr>
                <w:color w:val="000000"/>
                <w:kern w:val="22"/>
                <w:szCs w:val="22"/>
                <w:lang w:eastAsia="en-CA"/>
              </w:rPr>
              <w:t xml:space="preserve"> Verde</w:t>
            </w:r>
          </w:p>
        </w:tc>
        <w:tc>
          <w:tcPr>
            <w:tcW w:w="1540" w:type="dxa"/>
            <w:tcBorders>
              <w:top w:val="nil"/>
              <w:left w:val="nil"/>
              <w:bottom w:val="single" w:sz="4" w:space="0" w:color="auto"/>
              <w:right w:val="single" w:sz="4" w:space="0" w:color="auto"/>
            </w:tcBorders>
            <w:shd w:val="clear" w:color="auto" w:fill="auto"/>
            <w:vAlign w:val="center"/>
            <w:hideMark/>
          </w:tcPr>
          <w:p w14:paraId="0258485E" w14:textId="4297ACE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FDCE8F0" w14:textId="4FD1C4C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8E0E7C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71B5148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01148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3A7C57F4" w14:textId="3D78025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F470362" w14:textId="3FFE352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725994F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0A2AD33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E0A96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27CF96BB" w14:textId="1649A41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61D65441" w14:textId="22298D9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766B370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429</w:t>
            </w:r>
          </w:p>
        </w:tc>
      </w:tr>
      <w:tr w:rsidR="001F110D" w:rsidRPr="009543E3" w14:paraId="70F0DE26"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5F6D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220C6F3A" w14:textId="2F29449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13CFF9" w14:textId="5D38A5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1E5D5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bl>
    <w:p w14:paraId="5829C3B5" w14:textId="79C14539" w:rsidR="001F110D" w:rsidRPr="009543E3" w:rsidRDefault="001F110D" w:rsidP="006914CE">
      <w:pPr>
        <w:suppressLineNumbers/>
        <w:suppressAutoHyphens/>
        <w:spacing w:after="160" w:line="259" w:lineRule="auto"/>
        <w:rPr>
          <w:rFonts w:eastAsiaTheme="minorEastAsia"/>
          <w:kern w:val="22"/>
          <w:szCs w:val="22"/>
        </w:rPr>
      </w:pPr>
    </w:p>
    <w:p w14:paraId="0689A44E"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7BBD6894"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7CF" w14:textId="6123A1C7"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E8FBA9" w14:textId="0ECB80D3"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B435C"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23FD69" w14:textId="1384728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542FBF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61E1E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42239F80" w14:textId="5B2B0F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AAC9C3" w14:textId="1E01330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120B3CF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E4FC81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D477E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600910DE" w14:textId="2F1039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56D8EBB7" w14:textId="1C7A39F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17.153</w:t>
            </w:r>
          </w:p>
        </w:tc>
        <w:tc>
          <w:tcPr>
            <w:tcW w:w="1540" w:type="dxa"/>
            <w:tcBorders>
              <w:top w:val="nil"/>
              <w:left w:val="nil"/>
              <w:bottom w:val="single" w:sz="4" w:space="0" w:color="auto"/>
              <w:right w:val="single" w:sz="4" w:space="0" w:color="auto"/>
            </w:tcBorders>
            <w:shd w:val="clear" w:color="auto" w:fill="auto"/>
            <w:noWrap/>
            <w:vAlign w:val="center"/>
            <w:hideMark/>
          </w:tcPr>
          <w:p w14:paraId="5AD7A7D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396,458</w:t>
            </w:r>
          </w:p>
        </w:tc>
      </w:tr>
      <w:tr w:rsidR="001F110D" w:rsidRPr="009543E3" w14:paraId="321D26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BAF48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Colombia</w:t>
            </w:r>
          </w:p>
        </w:tc>
        <w:tc>
          <w:tcPr>
            <w:tcW w:w="1540" w:type="dxa"/>
            <w:tcBorders>
              <w:top w:val="nil"/>
              <w:left w:val="nil"/>
              <w:bottom w:val="single" w:sz="4" w:space="0" w:color="auto"/>
              <w:right w:val="single" w:sz="4" w:space="0" w:color="auto"/>
            </w:tcBorders>
            <w:shd w:val="clear" w:color="auto" w:fill="auto"/>
            <w:vAlign w:val="center"/>
            <w:hideMark/>
          </w:tcPr>
          <w:p w14:paraId="20442D19" w14:textId="180F86F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0.288</w:t>
            </w:r>
          </w:p>
        </w:tc>
        <w:tc>
          <w:tcPr>
            <w:tcW w:w="1540" w:type="dxa"/>
            <w:tcBorders>
              <w:top w:val="nil"/>
              <w:left w:val="nil"/>
              <w:bottom w:val="single" w:sz="4" w:space="0" w:color="auto"/>
              <w:right w:val="single" w:sz="4" w:space="0" w:color="auto"/>
            </w:tcBorders>
            <w:shd w:val="clear" w:color="auto" w:fill="auto"/>
            <w:noWrap/>
            <w:vAlign w:val="center"/>
            <w:hideMark/>
          </w:tcPr>
          <w:p w14:paraId="7282DF56" w14:textId="26BA56D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0.412</w:t>
            </w:r>
          </w:p>
        </w:tc>
        <w:tc>
          <w:tcPr>
            <w:tcW w:w="1540" w:type="dxa"/>
            <w:tcBorders>
              <w:top w:val="nil"/>
              <w:left w:val="nil"/>
              <w:bottom w:val="single" w:sz="4" w:space="0" w:color="auto"/>
              <w:right w:val="single" w:sz="4" w:space="0" w:color="auto"/>
            </w:tcBorders>
            <w:shd w:val="clear" w:color="auto" w:fill="auto"/>
            <w:noWrap/>
            <w:vAlign w:val="center"/>
            <w:hideMark/>
          </w:tcPr>
          <w:p w14:paraId="21BEDC7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9,511</w:t>
            </w:r>
          </w:p>
        </w:tc>
      </w:tr>
      <w:tr w:rsidR="001F110D" w:rsidRPr="009543E3" w14:paraId="42F2DAA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862A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10CDF4A5" w14:textId="55A2B2D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82F0C19" w14:textId="5DB41DE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EFF0B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353AA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AEC4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1307D8DC" w14:textId="61EAFB8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F171AB5" w14:textId="0EC166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246860B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60A833B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C6451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Costa Rica</w:t>
            </w:r>
          </w:p>
        </w:tc>
        <w:tc>
          <w:tcPr>
            <w:tcW w:w="1540" w:type="dxa"/>
            <w:tcBorders>
              <w:top w:val="nil"/>
              <w:left w:val="nil"/>
              <w:bottom w:val="single" w:sz="4" w:space="0" w:color="auto"/>
              <w:right w:val="single" w:sz="4" w:space="0" w:color="auto"/>
            </w:tcBorders>
            <w:shd w:val="clear" w:color="auto" w:fill="auto"/>
            <w:vAlign w:val="center"/>
            <w:hideMark/>
          </w:tcPr>
          <w:p w14:paraId="1054A82C" w14:textId="2C9870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1AC4514A" w14:textId="6F1AAC8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0.089</w:t>
            </w:r>
          </w:p>
        </w:tc>
        <w:tc>
          <w:tcPr>
            <w:tcW w:w="1540" w:type="dxa"/>
            <w:tcBorders>
              <w:top w:val="nil"/>
              <w:left w:val="nil"/>
              <w:bottom w:val="single" w:sz="4" w:space="0" w:color="auto"/>
              <w:right w:val="single" w:sz="4" w:space="0" w:color="auto"/>
            </w:tcBorders>
            <w:shd w:val="clear" w:color="auto" w:fill="auto"/>
            <w:noWrap/>
            <w:vAlign w:val="center"/>
            <w:hideMark/>
          </w:tcPr>
          <w:p w14:paraId="786F4B4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2,048</w:t>
            </w:r>
          </w:p>
        </w:tc>
      </w:tr>
      <w:tr w:rsidR="001F110D" w:rsidRPr="009543E3" w14:paraId="4208B93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D3F707" w14:textId="74B900B2" w:rsidR="001F110D" w:rsidRPr="009543E3" w:rsidRDefault="00BE5018" w:rsidP="006914CE">
            <w:pPr>
              <w:suppressLineNumbers/>
              <w:suppressAutoHyphens/>
              <w:rPr>
                <w:color w:val="000000"/>
                <w:kern w:val="22"/>
                <w:szCs w:val="22"/>
                <w:lang w:eastAsia="en-CA"/>
              </w:rPr>
            </w:pPr>
            <w:r w:rsidRPr="009543E3">
              <w:rPr>
                <w:color w:val="000000"/>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71B88655" w14:textId="785CAB2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4F064CF6" w14:textId="161E75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3FC34A5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429</w:t>
            </w:r>
          </w:p>
        </w:tc>
      </w:tr>
      <w:tr w:rsidR="001F110D" w:rsidRPr="009543E3" w14:paraId="5479A63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B5336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39814BB6" w14:textId="2986A9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0424A6D" w14:textId="2E2BB72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0.110</w:t>
            </w:r>
          </w:p>
        </w:tc>
        <w:tc>
          <w:tcPr>
            <w:tcW w:w="1540" w:type="dxa"/>
            <w:tcBorders>
              <w:top w:val="nil"/>
              <w:left w:val="nil"/>
              <w:bottom w:val="single" w:sz="4" w:space="0" w:color="auto"/>
              <w:right w:val="single" w:sz="4" w:space="0" w:color="auto"/>
            </w:tcBorders>
            <w:shd w:val="clear" w:color="auto" w:fill="auto"/>
            <w:noWrap/>
            <w:vAlign w:val="center"/>
            <w:hideMark/>
          </w:tcPr>
          <w:p w14:paraId="7A2E121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2,543</w:t>
            </w:r>
          </w:p>
        </w:tc>
      </w:tr>
      <w:tr w:rsidR="001F110D" w:rsidRPr="009543E3" w14:paraId="320C34E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9A6E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73B4C47B" w14:textId="5E1DD2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78E29758" w14:textId="391B53E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0.114</w:t>
            </w:r>
          </w:p>
        </w:tc>
        <w:tc>
          <w:tcPr>
            <w:tcW w:w="1540" w:type="dxa"/>
            <w:tcBorders>
              <w:top w:val="nil"/>
              <w:left w:val="nil"/>
              <w:bottom w:val="single" w:sz="4" w:space="0" w:color="auto"/>
              <w:right w:val="single" w:sz="4" w:space="0" w:color="auto"/>
            </w:tcBorders>
            <w:shd w:val="clear" w:color="auto" w:fill="auto"/>
            <w:noWrap/>
            <w:vAlign w:val="center"/>
            <w:hideMark/>
          </w:tcPr>
          <w:p w14:paraId="27D5042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2,642</w:t>
            </w:r>
          </w:p>
        </w:tc>
      </w:tr>
      <w:tr w:rsidR="001F110D" w:rsidRPr="009543E3" w14:paraId="1D5893E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55CC9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Cyprus</w:t>
            </w:r>
          </w:p>
        </w:tc>
        <w:tc>
          <w:tcPr>
            <w:tcW w:w="1540" w:type="dxa"/>
            <w:tcBorders>
              <w:top w:val="nil"/>
              <w:left w:val="nil"/>
              <w:bottom w:val="single" w:sz="4" w:space="0" w:color="auto"/>
              <w:right w:val="single" w:sz="4" w:space="0" w:color="auto"/>
            </w:tcBorders>
            <w:shd w:val="clear" w:color="auto" w:fill="auto"/>
            <w:vAlign w:val="center"/>
            <w:hideMark/>
          </w:tcPr>
          <w:p w14:paraId="0B95CA4B" w14:textId="686DDD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0C7E5D24" w14:textId="59E0974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0.051</w:t>
            </w:r>
          </w:p>
        </w:tc>
        <w:tc>
          <w:tcPr>
            <w:tcW w:w="1540" w:type="dxa"/>
            <w:tcBorders>
              <w:top w:val="nil"/>
              <w:left w:val="nil"/>
              <w:bottom w:val="single" w:sz="4" w:space="0" w:color="auto"/>
              <w:right w:val="single" w:sz="4" w:space="0" w:color="auto"/>
            </w:tcBorders>
            <w:shd w:val="clear" w:color="auto" w:fill="auto"/>
            <w:noWrap/>
            <w:vAlign w:val="center"/>
            <w:hideMark/>
          </w:tcPr>
          <w:p w14:paraId="66C7E2E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1,189</w:t>
            </w:r>
          </w:p>
        </w:tc>
      </w:tr>
      <w:tr w:rsidR="001F110D" w:rsidRPr="009543E3" w14:paraId="1AD6F1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2FED65" w14:textId="1818E6D9"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Czech</w:t>
            </w:r>
            <w:r w:rsidR="0028705C" w:rsidRPr="009543E3">
              <w:rPr>
                <w:color w:val="000000"/>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4BB33706" w14:textId="0E5CDB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3552BA45" w14:textId="1B4CD28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0.444</w:t>
            </w:r>
          </w:p>
        </w:tc>
        <w:tc>
          <w:tcPr>
            <w:tcW w:w="1540" w:type="dxa"/>
            <w:tcBorders>
              <w:top w:val="nil"/>
              <w:left w:val="nil"/>
              <w:bottom w:val="single" w:sz="4" w:space="0" w:color="auto"/>
              <w:right w:val="single" w:sz="4" w:space="0" w:color="auto"/>
            </w:tcBorders>
            <w:shd w:val="clear" w:color="auto" w:fill="auto"/>
            <w:noWrap/>
            <w:vAlign w:val="center"/>
            <w:hideMark/>
          </w:tcPr>
          <w:p w14:paraId="41C0C1C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10,271</w:t>
            </w:r>
          </w:p>
        </w:tc>
      </w:tr>
      <w:tr w:rsidR="001F110D" w:rsidRPr="009543E3" w14:paraId="22534E9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0AA8AC" w14:textId="6D36279D"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Democratic People</w:t>
            </w:r>
            <w:r w:rsidR="009F7E91" w:rsidRPr="009543E3">
              <w:rPr>
                <w:color w:val="000000"/>
                <w:kern w:val="22"/>
                <w:szCs w:val="22"/>
                <w:lang w:eastAsia="en-CA"/>
              </w:rPr>
              <w:t>’</w:t>
            </w:r>
            <w:r w:rsidRPr="009543E3">
              <w:rPr>
                <w:color w:val="000000"/>
                <w:kern w:val="22"/>
                <w:szCs w:val="22"/>
                <w:lang w:eastAsia="en-CA"/>
              </w:rPr>
              <w:t>s Republic of Korea</w:t>
            </w:r>
          </w:p>
        </w:tc>
        <w:tc>
          <w:tcPr>
            <w:tcW w:w="1540" w:type="dxa"/>
            <w:tcBorders>
              <w:top w:val="nil"/>
              <w:left w:val="nil"/>
              <w:bottom w:val="single" w:sz="4" w:space="0" w:color="auto"/>
              <w:right w:val="single" w:sz="4" w:space="0" w:color="auto"/>
            </w:tcBorders>
            <w:shd w:val="clear" w:color="auto" w:fill="auto"/>
            <w:vAlign w:val="center"/>
            <w:hideMark/>
          </w:tcPr>
          <w:p w14:paraId="0AF59718" w14:textId="519A9B4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AB22793" w14:textId="3345077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FA4DA3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30C2B5A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FAA0B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59F5611A" w14:textId="7A3CD5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59B18C2" w14:textId="0AC7EAA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A119D0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446152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F3E1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1BBD5584" w14:textId="32813ED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49867109" w14:textId="2355815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0.792</w:t>
            </w:r>
          </w:p>
        </w:tc>
        <w:tc>
          <w:tcPr>
            <w:tcW w:w="1540" w:type="dxa"/>
            <w:tcBorders>
              <w:top w:val="nil"/>
              <w:left w:val="nil"/>
              <w:bottom w:val="single" w:sz="4" w:space="0" w:color="auto"/>
              <w:right w:val="single" w:sz="4" w:space="0" w:color="auto"/>
            </w:tcBorders>
            <w:shd w:val="clear" w:color="auto" w:fill="auto"/>
            <w:noWrap/>
            <w:vAlign w:val="center"/>
            <w:hideMark/>
          </w:tcPr>
          <w:p w14:paraId="45AB361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18,296</w:t>
            </w:r>
          </w:p>
        </w:tc>
      </w:tr>
      <w:tr w:rsidR="001F110D" w:rsidRPr="009543E3" w14:paraId="4F52764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A7218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69BD60F9" w14:textId="224FFD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13E2E1D" w14:textId="71C5FD4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7BD97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32795A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90900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Dominica</w:t>
            </w:r>
          </w:p>
        </w:tc>
        <w:tc>
          <w:tcPr>
            <w:tcW w:w="1540" w:type="dxa"/>
            <w:tcBorders>
              <w:top w:val="nil"/>
              <w:left w:val="nil"/>
              <w:bottom w:val="single" w:sz="4" w:space="0" w:color="auto"/>
              <w:right w:val="single" w:sz="4" w:space="0" w:color="auto"/>
            </w:tcBorders>
            <w:shd w:val="clear" w:color="auto" w:fill="auto"/>
            <w:vAlign w:val="center"/>
            <w:hideMark/>
          </w:tcPr>
          <w:p w14:paraId="29F16D20" w14:textId="53932AF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DF43AA5" w14:textId="4FE353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7A938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4A093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A0719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4A324708" w14:textId="5F11557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05DBD8F3" w14:textId="370909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5E1E89F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1,750</w:t>
            </w:r>
          </w:p>
        </w:tc>
      </w:tr>
      <w:tr w:rsidR="001F110D" w:rsidRPr="009543E3" w14:paraId="54079FD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37AD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060AC08A" w14:textId="70CDC1E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65892354" w14:textId="2095873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0.114</w:t>
            </w:r>
          </w:p>
        </w:tc>
        <w:tc>
          <w:tcPr>
            <w:tcW w:w="1540" w:type="dxa"/>
            <w:tcBorders>
              <w:top w:val="nil"/>
              <w:left w:val="nil"/>
              <w:bottom w:val="single" w:sz="4" w:space="0" w:color="auto"/>
              <w:right w:val="single" w:sz="4" w:space="0" w:color="auto"/>
            </w:tcBorders>
            <w:shd w:val="clear" w:color="auto" w:fill="auto"/>
            <w:noWrap/>
            <w:vAlign w:val="center"/>
            <w:hideMark/>
          </w:tcPr>
          <w:p w14:paraId="591D4C5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2,642</w:t>
            </w:r>
          </w:p>
        </w:tc>
      </w:tr>
      <w:tr w:rsidR="001F110D" w:rsidRPr="009543E3" w14:paraId="07FA7C4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8BF85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6BC1DC8B" w14:textId="237185B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0736A547" w14:textId="5523F9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0.266</w:t>
            </w:r>
          </w:p>
        </w:tc>
        <w:tc>
          <w:tcPr>
            <w:tcW w:w="1540" w:type="dxa"/>
            <w:tcBorders>
              <w:top w:val="nil"/>
              <w:left w:val="nil"/>
              <w:bottom w:val="single" w:sz="4" w:space="0" w:color="auto"/>
              <w:right w:val="single" w:sz="4" w:space="0" w:color="auto"/>
            </w:tcBorders>
            <w:shd w:val="clear" w:color="auto" w:fill="auto"/>
            <w:noWrap/>
            <w:vAlign w:val="center"/>
            <w:hideMark/>
          </w:tcPr>
          <w:p w14:paraId="566F541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6,143</w:t>
            </w:r>
          </w:p>
        </w:tc>
      </w:tr>
      <w:tr w:rsidR="001F110D" w:rsidRPr="009543E3" w14:paraId="0610BF6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F96C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El Salvador</w:t>
            </w:r>
          </w:p>
        </w:tc>
        <w:tc>
          <w:tcPr>
            <w:tcW w:w="1540" w:type="dxa"/>
            <w:tcBorders>
              <w:top w:val="nil"/>
              <w:left w:val="nil"/>
              <w:bottom w:val="single" w:sz="4" w:space="0" w:color="auto"/>
              <w:right w:val="single" w:sz="4" w:space="0" w:color="auto"/>
            </w:tcBorders>
            <w:shd w:val="clear" w:color="auto" w:fill="auto"/>
            <w:vAlign w:val="center"/>
            <w:hideMark/>
          </w:tcPr>
          <w:p w14:paraId="4CC80CFC" w14:textId="601DED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31A6FE55" w14:textId="772A855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6E77D41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w:t>
            </w:r>
          </w:p>
        </w:tc>
      </w:tr>
      <w:tr w:rsidR="001F110D" w:rsidRPr="009543E3" w14:paraId="60C39BD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8B1FF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335723BF" w14:textId="354AB9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1033360" w14:textId="0EB0660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2D6AD4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12A767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3DA54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16F9598D" w14:textId="2045BA8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76ED2CC4" w14:textId="2E10E3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0.056</w:t>
            </w:r>
          </w:p>
        </w:tc>
        <w:tc>
          <w:tcPr>
            <w:tcW w:w="1540" w:type="dxa"/>
            <w:tcBorders>
              <w:top w:val="nil"/>
              <w:left w:val="nil"/>
              <w:bottom w:val="single" w:sz="4" w:space="0" w:color="auto"/>
              <w:right w:val="single" w:sz="4" w:space="0" w:color="auto"/>
            </w:tcBorders>
            <w:shd w:val="clear" w:color="auto" w:fill="auto"/>
            <w:noWrap/>
            <w:vAlign w:val="center"/>
            <w:hideMark/>
          </w:tcPr>
          <w:p w14:paraId="03DB646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1,288</w:t>
            </w:r>
          </w:p>
        </w:tc>
      </w:tr>
      <w:tr w:rsidR="001F110D" w:rsidRPr="009543E3" w14:paraId="1DABCAD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279C4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79A346DA" w14:textId="58E20FD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07E20B17" w14:textId="7386301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0.029</w:t>
            </w:r>
          </w:p>
        </w:tc>
        <w:tc>
          <w:tcPr>
            <w:tcW w:w="1540" w:type="dxa"/>
            <w:tcBorders>
              <w:top w:val="nil"/>
              <w:left w:val="nil"/>
              <w:bottom w:val="single" w:sz="4" w:space="0" w:color="auto"/>
              <w:right w:val="single" w:sz="4" w:space="0" w:color="auto"/>
            </w:tcBorders>
            <w:shd w:val="clear" w:color="auto" w:fill="auto"/>
            <w:noWrap/>
            <w:vAlign w:val="center"/>
            <w:hideMark/>
          </w:tcPr>
          <w:p w14:paraId="05D0286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660</w:t>
            </w:r>
          </w:p>
        </w:tc>
      </w:tr>
      <w:tr w:rsidR="001F110D" w:rsidRPr="009543E3" w14:paraId="4DA0B87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9193D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05E2657F" w14:textId="7DF11B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95C754E" w14:textId="25CB5CC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B0D05B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2AA3E4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15A3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5F7DBCAD" w14:textId="05B3FE9E" w:rsidR="001F110D" w:rsidRPr="009543E3" w:rsidRDefault="001F110D"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75BC1F7F" w14:textId="653B943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4D1145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57,783</w:t>
            </w:r>
          </w:p>
        </w:tc>
      </w:tr>
      <w:tr w:rsidR="001F110D" w:rsidRPr="009543E3" w14:paraId="6E4A145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7F8B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741AA65F" w14:textId="39B1F1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D6D8339" w14:textId="7A80F3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D4FED2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087C8B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FBFEC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206A5E7B" w14:textId="401C7B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2BB75905" w14:textId="1FBA30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0.602</w:t>
            </w:r>
          </w:p>
        </w:tc>
        <w:tc>
          <w:tcPr>
            <w:tcW w:w="1540" w:type="dxa"/>
            <w:tcBorders>
              <w:top w:val="nil"/>
              <w:left w:val="nil"/>
              <w:bottom w:val="single" w:sz="4" w:space="0" w:color="auto"/>
              <w:right w:val="single" w:sz="4" w:space="0" w:color="auto"/>
            </w:tcBorders>
            <w:shd w:val="clear" w:color="auto" w:fill="auto"/>
            <w:noWrap/>
            <w:vAlign w:val="center"/>
            <w:hideMark/>
          </w:tcPr>
          <w:p w14:paraId="33DEE17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13,903</w:t>
            </w:r>
          </w:p>
        </w:tc>
      </w:tr>
      <w:tr w:rsidR="001F110D" w:rsidRPr="009543E3" w14:paraId="1D84BB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F2A0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53FC0132" w14:textId="44EDBE8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05C6ACEA" w14:textId="6FB3D78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6.325</w:t>
            </w:r>
          </w:p>
        </w:tc>
        <w:tc>
          <w:tcPr>
            <w:tcW w:w="1540" w:type="dxa"/>
            <w:tcBorders>
              <w:top w:val="nil"/>
              <w:left w:val="nil"/>
              <w:bottom w:val="single" w:sz="4" w:space="0" w:color="auto"/>
              <w:right w:val="single" w:sz="4" w:space="0" w:color="auto"/>
            </w:tcBorders>
            <w:shd w:val="clear" w:color="auto" w:fill="auto"/>
            <w:noWrap/>
            <w:vAlign w:val="center"/>
            <w:hideMark/>
          </w:tcPr>
          <w:p w14:paraId="31E4470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146,199</w:t>
            </w:r>
          </w:p>
        </w:tc>
      </w:tr>
    </w:tbl>
    <w:p w14:paraId="39973B0D" w14:textId="77777777" w:rsidR="00315701" w:rsidRPr="009543E3" w:rsidRDefault="00315701" w:rsidP="006914CE">
      <w:pPr>
        <w:suppressLineNumbers/>
        <w:suppressAutoHyphens/>
        <w:spacing w:after="160" w:line="259" w:lineRule="auto"/>
        <w:rPr>
          <w:rFonts w:eastAsiaTheme="minorEastAsia"/>
          <w:kern w:val="22"/>
          <w:szCs w:val="22"/>
        </w:rPr>
      </w:pPr>
    </w:p>
    <w:p w14:paraId="015F90EB"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2D44B059"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D7CA" w14:textId="61611C21"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4F696D" w14:textId="3019D9E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8C5CFA"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CF9D" w14:textId="10A48A5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031D833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E18F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66811612" w14:textId="135BE6A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013895EC" w14:textId="47AC4D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72DC28F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495</w:t>
            </w:r>
          </w:p>
        </w:tc>
      </w:tr>
      <w:tr w:rsidR="001F110D" w:rsidRPr="009543E3" w14:paraId="090E9E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3F025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724969AB" w14:textId="381BFC5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567C075" w14:textId="24ABA37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84EFB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3A4841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F264F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Georgia</w:t>
            </w:r>
          </w:p>
        </w:tc>
        <w:tc>
          <w:tcPr>
            <w:tcW w:w="1540" w:type="dxa"/>
            <w:tcBorders>
              <w:top w:val="nil"/>
              <w:left w:val="nil"/>
              <w:bottom w:val="single" w:sz="4" w:space="0" w:color="auto"/>
              <w:right w:val="single" w:sz="4" w:space="0" w:color="auto"/>
            </w:tcBorders>
            <w:shd w:val="clear" w:color="auto" w:fill="auto"/>
            <w:vAlign w:val="center"/>
            <w:hideMark/>
          </w:tcPr>
          <w:p w14:paraId="3E187D9F" w14:textId="67ABDA1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4C981C72" w14:textId="46DB4C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288198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5D6BF83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C6C6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6ED86E35" w14:textId="6625B0E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0008D494" w14:textId="4F002E5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8.702</w:t>
            </w:r>
          </w:p>
        </w:tc>
        <w:tc>
          <w:tcPr>
            <w:tcW w:w="1540" w:type="dxa"/>
            <w:tcBorders>
              <w:top w:val="nil"/>
              <w:left w:val="nil"/>
              <w:bottom w:val="single" w:sz="4" w:space="0" w:color="auto"/>
              <w:right w:val="single" w:sz="4" w:space="0" w:color="auto"/>
            </w:tcBorders>
            <w:shd w:val="clear" w:color="auto" w:fill="auto"/>
            <w:noWrap/>
            <w:vAlign w:val="center"/>
            <w:hideMark/>
          </w:tcPr>
          <w:p w14:paraId="6DCFF1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201,118</w:t>
            </w:r>
          </w:p>
        </w:tc>
      </w:tr>
      <w:tr w:rsidR="001F110D" w:rsidRPr="009543E3" w14:paraId="775530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1F60A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58CACEDD" w14:textId="54FF723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776ECDF9" w14:textId="66CD65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70E0B38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495</w:t>
            </w:r>
          </w:p>
        </w:tc>
      </w:tr>
      <w:tr w:rsidR="001F110D" w:rsidRPr="009543E3" w14:paraId="7B76837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7A1E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7D7AA807" w14:textId="70CCD7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658D0C93" w14:textId="7D63A56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0.523</w:t>
            </w:r>
          </w:p>
        </w:tc>
        <w:tc>
          <w:tcPr>
            <w:tcW w:w="1540" w:type="dxa"/>
            <w:tcBorders>
              <w:top w:val="nil"/>
              <w:left w:val="nil"/>
              <w:bottom w:val="single" w:sz="4" w:space="0" w:color="auto"/>
              <w:right w:val="single" w:sz="4" w:space="0" w:color="auto"/>
            </w:tcBorders>
            <w:shd w:val="clear" w:color="auto" w:fill="auto"/>
            <w:noWrap/>
            <w:vAlign w:val="center"/>
            <w:hideMark/>
          </w:tcPr>
          <w:p w14:paraId="6F28634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12,087</w:t>
            </w:r>
          </w:p>
        </w:tc>
      </w:tr>
      <w:tr w:rsidR="001F110D" w:rsidRPr="009543E3" w14:paraId="3F74B0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9F892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Grenada</w:t>
            </w:r>
          </w:p>
        </w:tc>
        <w:tc>
          <w:tcPr>
            <w:tcW w:w="1540" w:type="dxa"/>
            <w:tcBorders>
              <w:top w:val="nil"/>
              <w:left w:val="nil"/>
              <w:bottom w:val="single" w:sz="4" w:space="0" w:color="auto"/>
              <w:right w:val="single" w:sz="4" w:space="0" w:color="auto"/>
            </w:tcBorders>
            <w:shd w:val="clear" w:color="auto" w:fill="auto"/>
            <w:vAlign w:val="center"/>
            <w:hideMark/>
          </w:tcPr>
          <w:p w14:paraId="5F5DC4A2" w14:textId="72CE49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B4D536B" w14:textId="6EE0B3D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085FE2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66D172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ABD7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2D7B5CEE" w14:textId="3D5F6D0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70A8E79B" w14:textId="10E7B65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0.051</w:t>
            </w:r>
          </w:p>
        </w:tc>
        <w:tc>
          <w:tcPr>
            <w:tcW w:w="1540" w:type="dxa"/>
            <w:tcBorders>
              <w:top w:val="nil"/>
              <w:left w:val="nil"/>
              <w:bottom w:val="single" w:sz="4" w:space="0" w:color="auto"/>
              <w:right w:val="single" w:sz="4" w:space="0" w:color="auto"/>
            </w:tcBorders>
            <w:shd w:val="clear" w:color="auto" w:fill="auto"/>
            <w:noWrap/>
            <w:vAlign w:val="center"/>
            <w:hideMark/>
          </w:tcPr>
          <w:p w14:paraId="1ACA1AA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1,189</w:t>
            </w:r>
          </w:p>
        </w:tc>
      </w:tr>
      <w:tr w:rsidR="001F110D" w:rsidRPr="009543E3" w14:paraId="4325D17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1E7D5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56BAB58A" w14:textId="244ACB9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3D3478C" w14:textId="6470811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6CAC9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4661DA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E13CC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07E4D4B8" w14:textId="4B1471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C13C15" w14:textId="6A66110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2AD60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5183C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F638A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2AE92189" w14:textId="68A8787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CB852B2" w14:textId="222219D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6494CE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3585AD6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DF246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14848C64" w14:textId="11451D5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C0A8D4E" w14:textId="2382CE0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BDBACE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50CC912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5B2AC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18840721" w14:textId="6C27747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1C124EBD" w14:textId="40AC6F8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0.294</w:t>
            </w:r>
          </w:p>
        </w:tc>
        <w:tc>
          <w:tcPr>
            <w:tcW w:w="1540" w:type="dxa"/>
            <w:tcBorders>
              <w:top w:val="nil"/>
              <w:left w:val="nil"/>
              <w:bottom w:val="single" w:sz="4" w:space="0" w:color="auto"/>
              <w:right w:val="single" w:sz="4" w:space="0" w:color="auto"/>
            </w:tcBorders>
            <w:shd w:val="clear" w:color="auto" w:fill="auto"/>
            <w:noWrap/>
            <w:vAlign w:val="center"/>
            <w:hideMark/>
          </w:tcPr>
          <w:p w14:paraId="056362A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6,803</w:t>
            </w:r>
          </w:p>
        </w:tc>
      </w:tr>
      <w:tr w:rsidR="001F110D" w:rsidRPr="009543E3" w14:paraId="039FC51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E8B7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4E1A1ED" w14:textId="323F1D4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1F0DCD61" w14:textId="3A521B9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1.192</w:t>
            </w:r>
          </w:p>
        </w:tc>
        <w:tc>
          <w:tcPr>
            <w:tcW w:w="1540" w:type="dxa"/>
            <w:tcBorders>
              <w:top w:val="nil"/>
              <w:left w:val="nil"/>
              <w:bottom w:val="single" w:sz="4" w:space="0" w:color="auto"/>
              <w:right w:val="single" w:sz="4" w:space="0" w:color="auto"/>
            </w:tcBorders>
            <w:shd w:val="clear" w:color="auto" w:fill="auto"/>
            <w:noWrap/>
            <w:vAlign w:val="center"/>
            <w:hideMark/>
          </w:tcPr>
          <w:p w14:paraId="6F8CB24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27,542</w:t>
            </w:r>
          </w:p>
        </w:tc>
      </w:tr>
      <w:tr w:rsidR="001F110D" w:rsidRPr="009543E3" w14:paraId="028DF00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94D9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340256D9" w14:textId="7AF8FC3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58CA9720" w14:textId="3CF0C90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0.776</w:t>
            </w:r>
          </w:p>
        </w:tc>
        <w:tc>
          <w:tcPr>
            <w:tcW w:w="1540" w:type="dxa"/>
            <w:tcBorders>
              <w:top w:val="nil"/>
              <w:left w:val="nil"/>
              <w:bottom w:val="single" w:sz="4" w:space="0" w:color="auto"/>
              <w:right w:val="single" w:sz="4" w:space="0" w:color="auto"/>
            </w:tcBorders>
            <w:shd w:val="clear" w:color="auto" w:fill="auto"/>
            <w:noWrap/>
            <w:vAlign w:val="center"/>
            <w:hideMark/>
          </w:tcPr>
          <w:p w14:paraId="6F148DB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17,932</w:t>
            </w:r>
          </w:p>
        </w:tc>
      </w:tr>
      <w:tr w:rsidR="001F110D" w:rsidRPr="009543E3" w14:paraId="1D71F3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3D7C0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Iran (Islamic Republic of)</w:t>
            </w:r>
          </w:p>
        </w:tc>
        <w:tc>
          <w:tcPr>
            <w:tcW w:w="1540" w:type="dxa"/>
            <w:tcBorders>
              <w:top w:val="nil"/>
              <w:left w:val="nil"/>
              <w:bottom w:val="single" w:sz="4" w:space="0" w:color="auto"/>
              <w:right w:val="single" w:sz="4" w:space="0" w:color="auto"/>
            </w:tcBorders>
            <w:shd w:val="clear" w:color="auto" w:fill="auto"/>
            <w:vAlign w:val="center"/>
            <w:hideMark/>
          </w:tcPr>
          <w:p w14:paraId="43CC09B0" w14:textId="7C5E20A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0.398</w:t>
            </w:r>
          </w:p>
        </w:tc>
        <w:tc>
          <w:tcPr>
            <w:tcW w:w="1540" w:type="dxa"/>
            <w:tcBorders>
              <w:top w:val="nil"/>
              <w:left w:val="nil"/>
              <w:bottom w:val="single" w:sz="4" w:space="0" w:color="auto"/>
              <w:right w:val="single" w:sz="4" w:space="0" w:color="auto"/>
            </w:tcBorders>
            <w:shd w:val="clear" w:color="auto" w:fill="auto"/>
            <w:noWrap/>
            <w:vAlign w:val="center"/>
            <w:hideMark/>
          </w:tcPr>
          <w:p w14:paraId="059C7A0F" w14:textId="4218CA6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0.569</w:t>
            </w:r>
          </w:p>
        </w:tc>
        <w:tc>
          <w:tcPr>
            <w:tcW w:w="1540" w:type="dxa"/>
            <w:tcBorders>
              <w:top w:val="nil"/>
              <w:left w:val="nil"/>
              <w:bottom w:val="single" w:sz="4" w:space="0" w:color="auto"/>
              <w:right w:val="single" w:sz="4" w:space="0" w:color="auto"/>
            </w:tcBorders>
            <w:shd w:val="clear" w:color="auto" w:fill="auto"/>
            <w:noWrap/>
            <w:vAlign w:val="center"/>
            <w:hideMark/>
          </w:tcPr>
          <w:p w14:paraId="5F03521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13,144</w:t>
            </w:r>
          </w:p>
        </w:tc>
      </w:tr>
      <w:tr w:rsidR="001F110D" w:rsidRPr="009543E3" w14:paraId="648D4E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8470B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Iraq</w:t>
            </w:r>
          </w:p>
        </w:tc>
        <w:tc>
          <w:tcPr>
            <w:tcW w:w="1540" w:type="dxa"/>
            <w:tcBorders>
              <w:top w:val="nil"/>
              <w:left w:val="nil"/>
              <w:bottom w:val="single" w:sz="4" w:space="0" w:color="auto"/>
              <w:right w:val="single" w:sz="4" w:space="0" w:color="auto"/>
            </w:tcBorders>
            <w:shd w:val="clear" w:color="auto" w:fill="auto"/>
            <w:vAlign w:val="center"/>
            <w:hideMark/>
          </w:tcPr>
          <w:p w14:paraId="6EE4DFEA" w14:textId="4C1A33A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0.129</w:t>
            </w:r>
          </w:p>
        </w:tc>
        <w:tc>
          <w:tcPr>
            <w:tcW w:w="1540" w:type="dxa"/>
            <w:tcBorders>
              <w:top w:val="nil"/>
              <w:left w:val="nil"/>
              <w:bottom w:val="single" w:sz="4" w:space="0" w:color="auto"/>
              <w:right w:val="single" w:sz="4" w:space="0" w:color="auto"/>
            </w:tcBorders>
            <w:shd w:val="clear" w:color="auto" w:fill="auto"/>
            <w:noWrap/>
            <w:vAlign w:val="center"/>
            <w:hideMark/>
          </w:tcPr>
          <w:p w14:paraId="5D6F0021" w14:textId="243B69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0.184</w:t>
            </w:r>
          </w:p>
        </w:tc>
        <w:tc>
          <w:tcPr>
            <w:tcW w:w="1540" w:type="dxa"/>
            <w:tcBorders>
              <w:top w:val="nil"/>
              <w:left w:val="nil"/>
              <w:bottom w:val="single" w:sz="4" w:space="0" w:color="auto"/>
              <w:right w:val="single" w:sz="4" w:space="0" w:color="auto"/>
            </w:tcBorders>
            <w:shd w:val="clear" w:color="auto" w:fill="auto"/>
            <w:noWrap/>
            <w:vAlign w:val="center"/>
            <w:hideMark/>
          </w:tcPr>
          <w:p w14:paraId="0664D00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4,260</w:t>
            </w:r>
          </w:p>
        </w:tc>
      </w:tr>
      <w:tr w:rsidR="001F110D" w:rsidRPr="009543E3" w14:paraId="72F538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07443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Ireland</w:t>
            </w:r>
          </w:p>
        </w:tc>
        <w:tc>
          <w:tcPr>
            <w:tcW w:w="1540" w:type="dxa"/>
            <w:tcBorders>
              <w:top w:val="nil"/>
              <w:left w:val="nil"/>
              <w:bottom w:val="single" w:sz="4" w:space="0" w:color="auto"/>
              <w:right w:val="single" w:sz="4" w:space="0" w:color="auto"/>
            </w:tcBorders>
            <w:shd w:val="clear" w:color="auto" w:fill="auto"/>
            <w:vAlign w:val="center"/>
            <w:hideMark/>
          </w:tcPr>
          <w:p w14:paraId="5DD06218" w14:textId="16428EB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0.371</w:t>
            </w:r>
          </w:p>
        </w:tc>
        <w:tc>
          <w:tcPr>
            <w:tcW w:w="1540" w:type="dxa"/>
            <w:tcBorders>
              <w:top w:val="nil"/>
              <w:left w:val="nil"/>
              <w:bottom w:val="single" w:sz="4" w:space="0" w:color="auto"/>
              <w:right w:val="single" w:sz="4" w:space="0" w:color="auto"/>
            </w:tcBorders>
            <w:shd w:val="clear" w:color="auto" w:fill="auto"/>
            <w:noWrap/>
            <w:vAlign w:val="center"/>
            <w:hideMark/>
          </w:tcPr>
          <w:p w14:paraId="1E501F71" w14:textId="126954E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0.530</w:t>
            </w:r>
          </w:p>
        </w:tc>
        <w:tc>
          <w:tcPr>
            <w:tcW w:w="1540" w:type="dxa"/>
            <w:tcBorders>
              <w:top w:val="nil"/>
              <w:left w:val="nil"/>
              <w:bottom w:val="single" w:sz="4" w:space="0" w:color="auto"/>
              <w:right w:val="single" w:sz="4" w:space="0" w:color="auto"/>
            </w:tcBorders>
            <w:shd w:val="clear" w:color="auto" w:fill="auto"/>
            <w:noWrap/>
            <w:vAlign w:val="center"/>
            <w:hideMark/>
          </w:tcPr>
          <w:p w14:paraId="02D2FB0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12,252</w:t>
            </w:r>
          </w:p>
        </w:tc>
      </w:tr>
      <w:tr w:rsidR="001F110D" w:rsidRPr="009543E3" w14:paraId="14200D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89257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Italy</w:t>
            </w:r>
          </w:p>
        </w:tc>
        <w:tc>
          <w:tcPr>
            <w:tcW w:w="1540" w:type="dxa"/>
            <w:tcBorders>
              <w:top w:val="nil"/>
              <w:left w:val="nil"/>
              <w:bottom w:val="single" w:sz="4" w:space="0" w:color="auto"/>
              <w:right w:val="single" w:sz="4" w:space="0" w:color="auto"/>
            </w:tcBorders>
            <w:shd w:val="clear" w:color="auto" w:fill="auto"/>
            <w:vAlign w:val="center"/>
            <w:hideMark/>
          </w:tcPr>
          <w:p w14:paraId="5C703082" w14:textId="6DEBD12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3.307</w:t>
            </w:r>
          </w:p>
        </w:tc>
        <w:tc>
          <w:tcPr>
            <w:tcW w:w="1540" w:type="dxa"/>
            <w:tcBorders>
              <w:top w:val="nil"/>
              <w:left w:val="nil"/>
              <w:bottom w:val="single" w:sz="4" w:space="0" w:color="auto"/>
              <w:right w:val="single" w:sz="4" w:space="0" w:color="auto"/>
            </w:tcBorders>
            <w:shd w:val="clear" w:color="auto" w:fill="auto"/>
            <w:noWrap/>
            <w:vAlign w:val="center"/>
            <w:hideMark/>
          </w:tcPr>
          <w:p w14:paraId="5701CDFB" w14:textId="0AC3A2D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4.725</w:t>
            </w:r>
          </w:p>
        </w:tc>
        <w:tc>
          <w:tcPr>
            <w:tcW w:w="1540" w:type="dxa"/>
            <w:tcBorders>
              <w:top w:val="nil"/>
              <w:left w:val="nil"/>
              <w:bottom w:val="single" w:sz="4" w:space="0" w:color="auto"/>
              <w:right w:val="single" w:sz="4" w:space="0" w:color="auto"/>
            </w:tcBorders>
            <w:shd w:val="clear" w:color="auto" w:fill="auto"/>
            <w:noWrap/>
            <w:vAlign w:val="center"/>
            <w:hideMark/>
          </w:tcPr>
          <w:p w14:paraId="7B47FF7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109,212</w:t>
            </w:r>
          </w:p>
        </w:tc>
      </w:tr>
      <w:tr w:rsidR="001F110D" w:rsidRPr="009543E3" w14:paraId="2EAEF8A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7A51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Jamaica</w:t>
            </w:r>
          </w:p>
        </w:tc>
        <w:tc>
          <w:tcPr>
            <w:tcW w:w="1540" w:type="dxa"/>
            <w:tcBorders>
              <w:top w:val="nil"/>
              <w:left w:val="nil"/>
              <w:bottom w:val="single" w:sz="4" w:space="0" w:color="auto"/>
              <w:right w:val="single" w:sz="4" w:space="0" w:color="auto"/>
            </w:tcBorders>
            <w:shd w:val="clear" w:color="auto" w:fill="auto"/>
            <w:vAlign w:val="center"/>
            <w:hideMark/>
          </w:tcPr>
          <w:p w14:paraId="3674257D" w14:textId="0E4A7A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20CEFB9D" w14:textId="5A5BB7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F97694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2B27859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85DE1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Japan</w:t>
            </w:r>
          </w:p>
        </w:tc>
        <w:tc>
          <w:tcPr>
            <w:tcW w:w="1540" w:type="dxa"/>
            <w:tcBorders>
              <w:top w:val="nil"/>
              <w:left w:val="nil"/>
              <w:bottom w:val="single" w:sz="4" w:space="0" w:color="auto"/>
              <w:right w:val="single" w:sz="4" w:space="0" w:color="auto"/>
            </w:tcBorders>
            <w:shd w:val="clear" w:color="auto" w:fill="auto"/>
            <w:vAlign w:val="center"/>
            <w:hideMark/>
          </w:tcPr>
          <w:p w14:paraId="6FA4B28C" w14:textId="0B9FB4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1C62A18B" w14:textId="08E6758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12.236</w:t>
            </w:r>
          </w:p>
        </w:tc>
        <w:tc>
          <w:tcPr>
            <w:tcW w:w="1540" w:type="dxa"/>
            <w:tcBorders>
              <w:top w:val="nil"/>
              <w:left w:val="nil"/>
              <w:bottom w:val="single" w:sz="4" w:space="0" w:color="auto"/>
              <w:right w:val="single" w:sz="4" w:space="0" w:color="auto"/>
            </w:tcBorders>
            <w:shd w:val="clear" w:color="auto" w:fill="auto"/>
            <w:noWrap/>
            <w:vAlign w:val="center"/>
            <w:hideMark/>
          </w:tcPr>
          <w:p w14:paraId="0EDC0E9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282,821</w:t>
            </w:r>
          </w:p>
        </w:tc>
      </w:tr>
      <w:tr w:rsidR="001F110D" w:rsidRPr="009543E3" w14:paraId="6F19C83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C3B6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6FBEF66A" w14:textId="0C38A4D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0C003C38" w14:textId="7417FD2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0012DFA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694</w:t>
            </w:r>
          </w:p>
        </w:tc>
      </w:tr>
      <w:tr w:rsidR="001F110D" w:rsidRPr="009543E3" w14:paraId="29E8F4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24CE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7DEC410E" w14:textId="5756C9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6B88B6CF" w14:textId="378E964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0.254</w:t>
            </w:r>
          </w:p>
        </w:tc>
        <w:tc>
          <w:tcPr>
            <w:tcW w:w="1540" w:type="dxa"/>
            <w:tcBorders>
              <w:top w:val="nil"/>
              <w:left w:val="nil"/>
              <w:bottom w:val="single" w:sz="4" w:space="0" w:color="auto"/>
              <w:right w:val="single" w:sz="4" w:space="0" w:color="auto"/>
            </w:tcBorders>
            <w:shd w:val="clear" w:color="auto" w:fill="auto"/>
            <w:noWrap/>
            <w:vAlign w:val="center"/>
            <w:hideMark/>
          </w:tcPr>
          <w:p w14:paraId="76DA25C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5,878</w:t>
            </w:r>
          </w:p>
        </w:tc>
      </w:tr>
      <w:tr w:rsidR="001F110D" w:rsidRPr="009543E3" w14:paraId="2E092C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E6803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6DD0B4DC" w14:textId="7428905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AB74CB0" w14:textId="533726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0.034</w:t>
            </w:r>
          </w:p>
        </w:tc>
        <w:tc>
          <w:tcPr>
            <w:tcW w:w="1540" w:type="dxa"/>
            <w:tcBorders>
              <w:top w:val="nil"/>
              <w:left w:val="nil"/>
              <w:bottom w:val="single" w:sz="4" w:space="0" w:color="auto"/>
              <w:right w:val="single" w:sz="4" w:space="0" w:color="auto"/>
            </w:tcBorders>
            <w:shd w:val="clear" w:color="auto" w:fill="auto"/>
            <w:noWrap/>
            <w:vAlign w:val="center"/>
            <w:hideMark/>
          </w:tcPr>
          <w:p w14:paraId="6505E403"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793</w:t>
            </w:r>
          </w:p>
        </w:tc>
      </w:tr>
      <w:tr w:rsidR="001F110D" w:rsidRPr="009543E3" w14:paraId="0D4678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FBC83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Kiribati</w:t>
            </w:r>
          </w:p>
        </w:tc>
        <w:tc>
          <w:tcPr>
            <w:tcW w:w="1540" w:type="dxa"/>
            <w:tcBorders>
              <w:top w:val="nil"/>
              <w:left w:val="nil"/>
              <w:bottom w:val="single" w:sz="4" w:space="0" w:color="auto"/>
              <w:right w:val="single" w:sz="4" w:space="0" w:color="auto"/>
            </w:tcBorders>
            <w:shd w:val="clear" w:color="auto" w:fill="auto"/>
            <w:vAlign w:val="center"/>
            <w:hideMark/>
          </w:tcPr>
          <w:p w14:paraId="463CD0E7" w14:textId="05D8CA1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6270F7A" w14:textId="68CE78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38981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2CD7416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9A374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2E475917" w14:textId="53E3494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023186F9" w14:textId="517FFB7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0.360</w:t>
            </w:r>
          </w:p>
        </w:tc>
        <w:tc>
          <w:tcPr>
            <w:tcW w:w="1540" w:type="dxa"/>
            <w:tcBorders>
              <w:top w:val="nil"/>
              <w:left w:val="nil"/>
              <w:bottom w:val="single" w:sz="4" w:space="0" w:color="auto"/>
              <w:right w:val="single" w:sz="4" w:space="0" w:color="auto"/>
            </w:tcBorders>
            <w:shd w:val="clear" w:color="auto" w:fill="auto"/>
            <w:noWrap/>
            <w:vAlign w:val="center"/>
            <w:hideMark/>
          </w:tcPr>
          <w:p w14:paraId="4113BA1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8,322</w:t>
            </w:r>
          </w:p>
        </w:tc>
      </w:tr>
      <w:tr w:rsidR="001F110D" w:rsidRPr="009543E3" w14:paraId="4734AFB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F4E19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45800BAB" w14:textId="35DF050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C4C6B79" w14:textId="47D0E6F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AC3DE5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262544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4563FB" w14:textId="34394A2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Lao People</w:t>
            </w:r>
            <w:r w:rsidR="009F7E91" w:rsidRPr="009543E3">
              <w:rPr>
                <w:color w:val="000000"/>
                <w:kern w:val="22"/>
                <w:szCs w:val="22"/>
                <w:lang w:eastAsia="en-CA"/>
              </w:rPr>
              <w:t>’</w:t>
            </w:r>
            <w:r w:rsidRPr="009543E3">
              <w:rPr>
                <w:color w:val="000000"/>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40197AFC" w14:textId="14DE8B6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C8FF77B" w14:textId="3896514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A15ECA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bl>
    <w:p w14:paraId="06A9F413" w14:textId="1201BB1E" w:rsidR="001F110D" w:rsidRPr="009543E3" w:rsidRDefault="001F110D" w:rsidP="006914CE">
      <w:pPr>
        <w:suppressLineNumbers/>
        <w:suppressAutoHyphens/>
        <w:rPr>
          <w:rFonts w:eastAsiaTheme="minorEastAsia"/>
          <w:kern w:val="22"/>
          <w:szCs w:val="22"/>
        </w:rPr>
      </w:pPr>
    </w:p>
    <w:p w14:paraId="67741C0D"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7759955E"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E865" w14:textId="79B8AB04"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B91C4B" w14:textId="6ACA0035"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7F4C87"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1A7A45E" w14:textId="398B447D"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2E69F4A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C434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Latvia</w:t>
            </w:r>
          </w:p>
        </w:tc>
        <w:tc>
          <w:tcPr>
            <w:tcW w:w="1540" w:type="dxa"/>
            <w:tcBorders>
              <w:top w:val="nil"/>
              <w:left w:val="nil"/>
              <w:bottom w:val="single" w:sz="4" w:space="0" w:color="auto"/>
              <w:right w:val="single" w:sz="4" w:space="0" w:color="auto"/>
            </w:tcBorders>
            <w:shd w:val="clear" w:color="auto" w:fill="auto"/>
            <w:vAlign w:val="center"/>
            <w:hideMark/>
          </w:tcPr>
          <w:p w14:paraId="7C21EE4C" w14:textId="2ECF34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3CBFE653" w14:textId="5E20919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28F3DCC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1,552</w:t>
            </w:r>
          </w:p>
        </w:tc>
      </w:tr>
      <w:tr w:rsidR="001F110D" w:rsidRPr="009543E3" w14:paraId="2F4789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DC224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651CF089" w14:textId="227F264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2244AEAF" w14:textId="02ED31E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3FEE2D2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1,552</w:t>
            </w:r>
          </w:p>
        </w:tc>
      </w:tr>
      <w:tr w:rsidR="001F110D" w:rsidRPr="009543E3" w14:paraId="604159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83825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5E2B5E3A" w14:textId="609FAA1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CABA20" w14:textId="684DA31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C533C6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D30AD1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0E411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2BE3F64F" w14:textId="05761BD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36CFE34" w14:textId="1F17F92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760F1F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1D05B37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6C081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Libya</w:t>
            </w:r>
          </w:p>
        </w:tc>
        <w:tc>
          <w:tcPr>
            <w:tcW w:w="1540" w:type="dxa"/>
            <w:tcBorders>
              <w:top w:val="nil"/>
              <w:left w:val="nil"/>
              <w:bottom w:val="single" w:sz="4" w:space="0" w:color="auto"/>
              <w:right w:val="single" w:sz="4" w:space="0" w:color="auto"/>
            </w:tcBorders>
            <w:shd w:val="clear" w:color="auto" w:fill="auto"/>
            <w:vAlign w:val="center"/>
            <w:hideMark/>
          </w:tcPr>
          <w:p w14:paraId="0E7F4CED" w14:textId="75BF11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44B6C929" w14:textId="3E1ED3F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0.043</w:t>
            </w:r>
          </w:p>
        </w:tc>
        <w:tc>
          <w:tcPr>
            <w:tcW w:w="1540" w:type="dxa"/>
            <w:tcBorders>
              <w:top w:val="nil"/>
              <w:left w:val="nil"/>
              <w:bottom w:val="single" w:sz="4" w:space="0" w:color="auto"/>
              <w:right w:val="single" w:sz="4" w:space="0" w:color="auto"/>
            </w:tcBorders>
            <w:shd w:val="clear" w:color="auto" w:fill="auto"/>
            <w:noWrap/>
            <w:vAlign w:val="center"/>
            <w:hideMark/>
          </w:tcPr>
          <w:p w14:paraId="334FF20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991</w:t>
            </w:r>
          </w:p>
        </w:tc>
      </w:tr>
      <w:tr w:rsidR="001F110D" w:rsidRPr="009543E3" w14:paraId="7B37012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C3A94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Lithuania</w:t>
            </w:r>
          </w:p>
        </w:tc>
        <w:tc>
          <w:tcPr>
            <w:tcW w:w="1540" w:type="dxa"/>
            <w:tcBorders>
              <w:top w:val="nil"/>
              <w:left w:val="nil"/>
              <w:bottom w:val="single" w:sz="4" w:space="0" w:color="auto"/>
              <w:right w:val="single" w:sz="4" w:space="0" w:color="auto"/>
            </w:tcBorders>
            <w:shd w:val="clear" w:color="auto" w:fill="auto"/>
            <w:vAlign w:val="center"/>
            <w:hideMark/>
          </w:tcPr>
          <w:p w14:paraId="33423E6C" w14:textId="3FB666C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0F61741A" w14:textId="53909A2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0.101</w:t>
            </w:r>
          </w:p>
        </w:tc>
        <w:tc>
          <w:tcPr>
            <w:tcW w:w="1540" w:type="dxa"/>
            <w:tcBorders>
              <w:top w:val="nil"/>
              <w:left w:val="nil"/>
              <w:bottom w:val="single" w:sz="4" w:space="0" w:color="auto"/>
              <w:right w:val="single" w:sz="4" w:space="0" w:color="auto"/>
            </w:tcBorders>
            <w:shd w:val="clear" w:color="auto" w:fill="auto"/>
            <w:noWrap/>
            <w:vAlign w:val="center"/>
            <w:hideMark/>
          </w:tcPr>
          <w:p w14:paraId="28AFCC2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2,345</w:t>
            </w:r>
          </w:p>
        </w:tc>
      </w:tr>
      <w:tr w:rsidR="001F110D" w:rsidRPr="009543E3" w14:paraId="3E8C9AA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3415F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513BE55F" w14:textId="6D77CD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01DB4748" w14:textId="280131C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544A39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2,213</w:t>
            </w:r>
          </w:p>
        </w:tc>
      </w:tr>
      <w:tr w:rsidR="001F110D" w:rsidRPr="009543E3" w14:paraId="6AC4673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15B72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6320661A" w14:textId="50DE732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CF9D4DA" w14:textId="00F5A32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7678E2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BDD07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8CA6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4B38A874" w14:textId="6A80B0C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7A35357" w14:textId="660BE46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FC10B5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385CAF3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6E11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30A54243" w14:textId="7145CAE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4EEBCC32" w14:textId="1D862CC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0.487</w:t>
            </w:r>
          </w:p>
        </w:tc>
        <w:tc>
          <w:tcPr>
            <w:tcW w:w="1540" w:type="dxa"/>
            <w:tcBorders>
              <w:top w:val="nil"/>
              <w:left w:val="nil"/>
              <w:bottom w:val="single" w:sz="4" w:space="0" w:color="auto"/>
              <w:right w:val="single" w:sz="4" w:space="0" w:color="auto"/>
            </w:tcBorders>
            <w:shd w:val="clear" w:color="auto" w:fill="auto"/>
            <w:noWrap/>
            <w:vAlign w:val="center"/>
            <w:hideMark/>
          </w:tcPr>
          <w:p w14:paraId="47057B6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11,261</w:t>
            </w:r>
          </w:p>
        </w:tc>
      </w:tr>
      <w:tr w:rsidR="001F110D" w:rsidRPr="009543E3" w14:paraId="332D3B7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BB51D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6B3F4BB1" w14:textId="3F70A9E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647B40B" w14:textId="6033EEE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37D2F5D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0A91902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E938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067E7957" w14:textId="436196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D01A32C" w14:textId="11E8992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2DD9B0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373D8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2C5A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3B75D168" w14:textId="2347715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31EF5861" w14:textId="06D2DA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461E4CC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561</w:t>
            </w:r>
          </w:p>
        </w:tc>
      </w:tr>
      <w:tr w:rsidR="001F110D" w:rsidRPr="009543E3" w14:paraId="1BB2CFC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4AD27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7778CC42" w14:textId="620B174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41068C" w14:textId="5E88AC5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A50B6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7EE10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D9AD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7AE5E281" w14:textId="3C48BC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02F6ED7" w14:textId="4D85C8B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6BC11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416B82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DBE5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2B7B4C79" w14:textId="2070DEE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4317B06" w14:textId="252525E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6949707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363</w:t>
            </w:r>
          </w:p>
        </w:tc>
      </w:tr>
      <w:tr w:rsidR="001F110D" w:rsidRPr="009543E3" w14:paraId="6A5632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6844B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3F21428D" w14:textId="1D2B05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7A02F0CA" w14:textId="167634C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1.846</w:t>
            </w:r>
          </w:p>
        </w:tc>
        <w:tc>
          <w:tcPr>
            <w:tcW w:w="1540" w:type="dxa"/>
            <w:tcBorders>
              <w:top w:val="nil"/>
              <w:left w:val="nil"/>
              <w:bottom w:val="single" w:sz="4" w:space="0" w:color="auto"/>
              <w:right w:val="single" w:sz="4" w:space="0" w:color="auto"/>
            </w:tcBorders>
            <w:shd w:val="clear" w:color="auto" w:fill="auto"/>
            <w:noWrap/>
            <w:vAlign w:val="center"/>
            <w:hideMark/>
          </w:tcPr>
          <w:p w14:paraId="5DDC5FD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42,668</w:t>
            </w:r>
          </w:p>
        </w:tc>
      </w:tr>
      <w:tr w:rsidR="001F110D" w:rsidRPr="009543E3" w14:paraId="6FB6FA0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E5893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0BCE469F" w14:textId="4FD3BB2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377FF5B" w14:textId="08BF2FC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D8C056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23859F3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A1F92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hideMark/>
          </w:tcPr>
          <w:p w14:paraId="35E0A364" w14:textId="29993E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05E8F2B9" w14:textId="770B70A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4B449F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3901151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3A7DD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Morocco</w:t>
            </w:r>
          </w:p>
        </w:tc>
        <w:tc>
          <w:tcPr>
            <w:tcW w:w="1540" w:type="dxa"/>
            <w:tcBorders>
              <w:top w:val="nil"/>
              <w:left w:val="nil"/>
              <w:bottom w:val="single" w:sz="4" w:space="0" w:color="auto"/>
              <w:right w:val="single" w:sz="4" w:space="0" w:color="auto"/>
            </w:tcBorders>
            <w:shd w:val="clear" w:color="auto" w:fill="auto"/>
            <w:vAlign w:val="center"/>
            <w:hideMark/>
          </w:tcPr>
          <w:p w14:paraId="56FB628C" w14:textId="0CED8E4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050077D8" w14:textId="107760D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0.079</w:t>
            </w:r>
          </w:p>
        </w:tc>
        <w:tc>
          <w:tcPr>
            <w:tcW w:w="1540" w:type="dxa"/>
            <w:tcBorders>
              <w:top w:val="nil"/>
              <w:left w:val="nil"/>
              <w:bottom w:val="single" w:sz="4" w:space="0" w:color="auto"/>
              <w:right w:val="single" w:sz="4" w:space="0" w:color="auto"/>
            </w:tcBorders>
            <w:shd w:val="clear" w:color="auto" w:fill="auto"/>
            <w:noWrap/>
            <w:vAlign w:val="center"/>
            <w:hideMark/>
          </w:tcPr>
          <w:p w14:paraId="7E024AE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1,816</w:t>
            </w:r>
          </w:p>
        </w:tc>
      </w:tr>
      <w:tr w:rsidR="001F110D" w:rsidRPr="009543E3" w14:paraId="1248A9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9275E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02C236BA" w14:textId="4ECB74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FBA3158" w14:textId="6E31A1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503EA8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32A01A4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AC29D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4FCCF14B" w14:textId="011EA9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451B732" w14:textId="106B35A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DEDB0A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3BE2AC9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1C83B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37F6A5C1" w14:textId="7BF742F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C41AA85" w14:textId="57D081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4E3755C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0814B25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046CB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Nauru</w:t>
            </w:r>
          </w:p>
        </w:tc>
        <w:tc>
          <w:tcPr>
            <w:tcW w:w="1540" w:type="dxa"/>
            <w:tcBorders>
              <w:top w:val="nil"/>
              <w:left w:val="nil"/>
              <w:bottom w:val="single" w:sz="4" w:space="0" w:color="auto"/>
              <w:right w:val="single" w:sz="4" w:space="0" w:color="auto"/>
            </w:tcBorders>
            <w:shd w:val="clear" w:color="auto" w:fill="auto"/>
            <w:vAlign w:val="center"/>
            <w:hideMark/>
          </w:tcPr>
          <w:p w14:paraId="7ECB30A5" w14:textId="7510F1D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16226D" w14:textId="261A807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33A38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52D58A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0B17E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4DA13117" w14:textId="61BE90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3BE52B54" w14:textId="66AFA96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1.937</w:t>
            </w:r>
          </w:p>
        </w:tc>
        <w:tc>
          <w:tcPr>
            <w:tcW w:w="1540" w:type="dxa"/>
            <w:tcBorders>
              <w:top w:val="nil"/>
              <w:left w:val="nil"/>
              <w:bottom w:val="single" w:sz="4" w:space="0" w:color="auto"/>
              <w:right w:val="single" w:sz="4" w:space="0" w:color="auto"/>
            </w:tcBorders>
            <w:shd w:val="clear" w:color="auto" w:fill="auto"/>
            <w:noWrap/>
            <w:vAlign w:val="center"/>
            <w:hideMark/>
          </w:tcPr>
          <w:p w14:paraId="61BC058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44,781</w:t>
            </w:r>
          </w:p>
        </w:tc>
      </w:tr>
      <w:tr w:rsidR="001F110D" w:rsidRPr="009543E3" w14:paraId="065323E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F9AA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New Zealand</w:t>
            </w:r>
          </w:p>
        </w:tc>
        <w:tc>
          <w:tcPr>
            <w:tcW w:w="1540" w:type="dxa"/>
            <w:tcBorders>
              <w:top w:val="nil"/>
              <w:left w:val="nil"/>
              <w:bottom w:val="single" w:sz="4" w:space="0" w:color="auto"/>
              <w:right w:val="single" w:sz="4" w:space="0" w:color="auto"/>
            </w:tcBorders>
            <w:shd w:val="clear" w:color="auto" w:fill="auto"/>
            <w:vAlign w:val="center"/>
            <w:hideMark/>
          </w:tcPr>
          <w:p w14:paraId="66CC95D0" w14:textId="7C01E3C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0.291</w:t>
            </w:r>
          </w:p>
        </w:tc>
        <w:tc>
          <w:tcPr>
            <w:tcW w:w="1540" w:type="dxa"/>
            <w:tcBorders>
              <w:top w:val="nil"/>
              <w:left w:val="nil"/>
              <w:bottom w:val="single" w:sz="4" w:space="0" w:color="auto"/>
              <w:right w:val="single" w:sz="4" w:space="0" w:color="auto"/>
            </w:tcBorders>
            <w:shd w:val="clear" w:color="auto" w:fill="auto"/>
            <w:noWrap/>
            <w:vAlign w:val="center"/>
            <w:hideMark/>
          </w:tcPr>
          <w:p w14:paraId="519C3FA7" w14:textId="6F8D09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0.416</w:t>
            </w:r>
          </w:p>
        </w:tc>
        <w:tc>
          <w:tcPr>
            <w:tcW w:w="1540" w:type="dxa"/>
            <w:tcBorders>
              <w:top w:val="nil"/>
              <w:left w:val="nil"/>
              <w:bottom w:val="single" w:sz="4" w:space="0" w:color="auto"/>
              <w:right w:val="single" w:sz="4" w:space="0" w:color="auto"/>
            </w:tcBorders>
            <w:shd w:val="clear" w:color="auto" w:fill="auto"/>
            <w:noWrap/>
            <w:vAlign w:val="center"/>
            <w:hideMark/>
          </w:tcPr>
          <w:p w14:paraId="7242C38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9,610</w:t>
            </w:r>
          </w:p>
        </w:tc>
      </w:tr>
      <w:tr w:rsidR="001F110D" w:rsidRPr="009543E3" w14:paraId="4B004E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5081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76645CE1" w14:textId="10A274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34C0D9E" w14:textId="434DAF1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7B30CD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3D7E3A9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D25BC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5217B1FD" w14:textId="1642D9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428CC" w14:textId="1D9BFCC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A6E1DE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bl>
    <w:p w14:paraId="2794C978" w14:textId="6DCEE460" w:rsidR="001F110D" w:rsidRPr="009543E3" w:rsidRDefault="001F110D" w:rsidP="006914CE">
      <w:pPr>
        <w:suppressLineNumbers/>
        <w:suppressAutoHyphens/>
        <w:spacing w:after="160" w:line="259" w:lineRule="auto"/>
        <w:rPr>
          <w:rFonts w:eastAsiaTheme="minorEastAsia"/>
          <w:kern w:val="22"/>
          <w:szCs w:val="22"/>
        </w:rPr>
      </w:pPr>
    </w:p>
    <w:p w14:paraId="351C326F"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6B886C36"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986A" w14:textId="043DDB8E"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91013C" w14:textId="6276EA69"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E935C3"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5C040F2" w14:textId="34672E80"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504DA7B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C4DD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Nigeria</w:t>
            </w:r>
          </w:p>
        </w:tc>
        <w:tc>
          <w:tcPr>
            <w:tcW w:w="1540" w:type="dxa"/>
            <w:tcBorders>
              <w:top w:val="nil"/>
              <w:left w:val="nil"/>
              <w:bottom w:val="single" w:sz="4" w:space="0" w:color="auto"/>
              <w:right w:val="single" w:sz="4" w:space="0" w:color="auto"/>
            </w:tcBorders>
            <w:shd w:val="clear" w:color="auto" w:fill="auto"/>
            <w:vAlign w:val="center"/>
            <w:hideMark/>
          </w:tcPr>
          <w:p w14:paraId="4C327B62" w14:textId="756FA83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0.250</w:t>
            </w:r>
          </w:p>
        </w:tc>
        <w:tc>
          <w:tcPr>
            <w:tcW w:w="1540" w:type="dxa"/>
            <w:tcBorders>
              <w:top w:val="nil"/>
              <w:left w:val="nil"/>
              <w:bottom w:val="single" w:sz="4" w:space="0" w:color="auto"/>
              <w:right w:val="single" w:sz="4" w:space="0" w:color="auto"/>
            </w:tcBorders>
            <w:shd w:val="clear" w:color="auto" w:fill="auto"/>
            <w:noWrap/>
            <w:vAlign w:val="center"/>
            <w:hideMark/>
          </w:tcPr>
          <w:p w14:paraId="47B42F73" w14:textId="5795E76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0.357</w:t>
            </w:r>
          </w:p>
        </w:tc>
        <w:tc>
          <w:tcPr>
            <w:tcW w:w="1540" w:type="dxa"/>
            <w:tcBorders>
              <w:top w:val="nil"/>
              <w:left w:val="nil"/>
              <w:bottom w:val="single" w:sz="4" w:space="0" w:color="auto"/>
              <w:right w:val="single" w:sz="4" w:space="0" w:color="auto"/>
            </w:tcBorders>
            <w:shd w:val="clear" w:color="auto" w:fill="auto"/>
            <w:noWrap/>
            <w:vAlign w:val="center"/>
            <w:hideMark/>
          </w:tcPr>
          <w:p w14:paraId="668D28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8,256</w:t>
            </w:r>
          </w:p>
        </w:tc>
      </w:tr>
      <w:tr w:rsidR="001F110D" w:rsidRPr="009543E3" w14:paraId="7B505E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8057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Niue</w:t>
            </w:r>
          </w:p>
        </w:tc>
        <w:tc>
          <w:tcPr>
            <w:tcW w:w="1540" w:type="dxa"/>
            <w:tcBorders>
              <w:top w:val="nil"/>
              <w:left w:val="nil"/>
              <w:bottom w:val="single" w:sz="4" w:space="0" w:color="auto"/>
              <w:right w:val="single" w:sz="4" w:space="0" w:color="auto"/>
            </w:tcBorders>
            <w:shd w:val="clear" w:color="auto" w:fill="auto"/>
            <w:vAlign w:val="center"/>
            <w:hideMark/>
          </w:tcPr>
          <w:p w14:paraId="7066E5AB" w14:textId="2CDC348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685D4D9" w14:textId="16D75F5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74348E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381082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74ED04E1" w14:textId="29EA9D48" w:rsidR="00C728F5" w:rsidRPr="009543E3" w:rsidRDefault="00C728F5" w:rsidP="00C728F5">
            <w:pPr>
              <w:suppressLineNumbers/>
              <w:suppressAutoHyphens/>
              <w:rPr>
                <w:color w:val="000000"/>
                <w:kern w:val="22"/>
                <w:szCs w:val="22"/>
                <w:lang w:eastAsia="en-CA"/>
              </w:rPr>
            </w:pPr>
            <w:r w:rsidRPr="009543E3">
              <w:rPr>
                <w:color w:val="000000"/>
                <w:kern w:val="22"/>
                <w:szCs w:val="22"/>
                <w:lang w:eastAsia="en-CA"/>
              </w:rPr>
              <w:t>North Macedonia</w:t>
            </w:r>
          </w:p>
        </w:tc>
        <w:tc>
          <w:tcPr>
            <w:tcW w:w="1540" w:type="dxa"/>
            <w:tcBorders>
              <w:top w:val="nil"/>
              <w:left w:val="nil"/>
              <w:bottom w:val="single" w:sz="4" w:space="0" w:color="auto"/>
              <w:right w:val="single" w:sz="4" w:space="0" w:color="auto"/>
            </w:tcBorders>
            <w:shd w:val="clear" w:color="auto" w:fill="auto"/>
            <w:vAlign w:val="center"/>
          </w:tcPr>
          <w:p w14:paraId="43E11B3B" w14:textId="31C9E17B"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2DDE8B10" w14:textId="28DBFDCF"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tcPr>
          <w:p w14:paraId="4D89BC7A" w14:textId="1AA4A4AD"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231</w:t>
            </w:r>
          </w:p>
        </w:tc>
      </w:tr>
      <w:tr w:rsidR="00C728F5" w:rsidRPr="009543E3" w14:paraId="5459861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BB78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54CCC348" w14:textId="5F71F0C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4E6C8A0E" w14:textId="312E465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1.077</w:t>
            </w:r>
          </w:p>
        </w:tc>
        <w:tc>
          <w:tcPr>
            <w:tcW w:w="1540" w:type="dxa"/>
            <w:tcBorders>
              <w:top w:val="nil"/>
              <w:left w:val="nil"/>
              <w:bottom w:val="single" w:sz="4" w:space="0" w:color="auto"/>
              <w:right w:val="single" w:sz="4" w:space="0" w:color="auto"/>
            </w:tcBorders>
            <w:shd w:val="clear" w:color="auto" w:fill="auto"/>
            <w:noWrap/>
            <w:vAlign w:val="center"/>
            <w:hideMark/>
          </w:tcPr>
          <w:p w14:paraId="34F92051"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24,900</w:t>
            </w:r>
          </w:p>
        </w:tc>
      </w:tr>
      <w:tr w:rsidR="00C728F5" w:rsidRPr="009543E3" w14:paraId="0899BAD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AD35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480A6B0D" w14:textId="574DB88B"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2B99F46" w14:textId="5BADA22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0.164</w:t>
            </w:r>
          </w:p>
        </w:tc>
        <w:tc>
          <w:tcPr>
            <w:tcW w:w="1540" w:type="dxa"/>
            <w:tcBorders>
              <w:top w:val="nil"/>
              <w:left w:val="nil"/>
              <w:bottom w:val="single" w:sz="4" w:space="0" w:color="auto"/>
              <w:right w:val="single" w:sz="4" w:space="0" w:color="auto"/>
            </w:tcBorders>
            <w:shd w:val="clear" w:color="auto" w:fill="auto"/>
            <w:noWrap/>
            <w:vAlign w:val="center"/>
            <w:hideMark/>
          </w:tcPr>
          <w:p w14:paraId="36201A32"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3,798</w:t>
            </w:r>
          </w:p>
        </w:tc>
      </w:tr>
      <w:tr w:rsidR="00C728F5" w:rsidRPr="009543E3" w14:paraId="3111E8D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2B42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58E656BE" w14:textId="2F31D2E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179AACAA" w14:textId="2575F9D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0.164</w:t>
            </w:r>
          </w:p>
        </w:tc>
        <w:tc>
          <w:tcPr>
            <w:tcW w:w="1540" w:type="dxa"/>
            <w:tcBorders>
              <w:top w:val="nil"/>
              <w:left w:val="nil"/>
              <w:bottom w:val="single" w:sz="4" w:space="0" w:color="auto"/>
              <w:right w:val="single" w:sz="4" w:space="0" w:color="auto"/>
            </w:tcBorders>
            <w:shd w:val="clear" w:color="auto" w:fill="auto"/>
            <w:noWrap/>
            <w:vAlign w:val="center"/>
            <w:hideMark/>
          </w:tcPr>
          <w:p w14:paraId="23DEAFF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3,798</w:t>
            </w:r>
          </w:p>
        </w:tc>
      </w:tr>
      <w:tr w:rsidR="00C728F5" w:rsidRPr="009543E3" w14:paraId="178CBCE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1DF325"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73059C05" w14:textId="39FE468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93F53E4" w14:textId="6AE3B2C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D82373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7F56D3B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36C84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09AEED2B" w14:textId="3C4F70E9"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16CD5122" w14:textId="4EAB800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0.064</w:t>
            </w:r>
          </w:p>
        </w:tc>
        <w:tc>
          <w:tcPr>
            <w:tcW w:w="1540" w:type="dxa"/>
            <w:tcBorders>
              <w:top w:val="nil"/>
              <w:left w:val="nil"/>
              <w:bottom w:val="single" w:sz="4" w:space="0" w:color="auto"/>
              <w:right w:val="single" w:sz="4" w:space="0" w:color="auto"/>
            </w:tcBorders>
            <w:shd w:val="clear" w:color="auto" w:fill="auto"/>
            <w:noWrap/>
            <w:vAlign w:val="center"/>
            <w:hideMark/>
          </w:tcPr>
          <w:p w14:paraId="5DAE35E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1,486</w:t>
            </w:r>
          </w:p>
        </w:tc>
      </w:tr>
      <w:tr w:rsidR="00C728F5" w:rsidRPr="009543E3" w14:paraId="1C962F5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058D9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Papua New Guinea</w:t>
            </w:r>
          </w:p>
        </w:tc>
        <w:tc>
          <w:tcPr>
            <w:tcW w:w="1540" w:type="dxa"/>
            <w:tcBorders>
              <w:top w:val="nil"/>
              <w:left w:val="nil"/>
              <w:bottom w:val="single" w:sz="4" w:space="0" w:color="auto"/>
              <w:right w:val="single" w:sz="4" w:space="0" w:color="auto"/>
            </w:tcBorders>
            <w:shd w:val="clear" w:color="auto" w:fill="auto"/>
            <w:vAlign w:val="center"/>
            <w:hideMark/>
          </w:tcPr>
          <w:p w14:paraId="0D15BFFC" w14:textId="245B36C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672F021" w14:textId="5A5241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5272E3B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330</w:t>
            </w:r>
          </w:p>
        </w:tc>
      </w:tr>
      <w:tr w:rsidR="00C728F5" w:rsidRPr="009543E3" w14:paraId="1AB42E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29989"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Paraguay</w:t>
            </w:r>
          </w:p>
        </w:tc>
        <w:tc>
          <w:tcPr>
            <w:tcW w:w="1540" w:type="dxa"/>
            <w:tcBorders>
              <w:top w:val="nil"/>
              <w:left w:val="nil"/>
              <w:bottom w:val="single" w:sz="4" w:space="0" w:color="auto"/>
              <w:right w:val="single" w:sz="4" w:space="0" w:color="auto"/>
            </w:tcBorders>
            <w:shd w:val="clear" w:color="auto" w:fill="auto"/>
            <w:vAlign w:val="center"/>
            <w:hideMark/>
          </w:tcPr>
          <w:p w14:paraId="20E8E574" w14:textId="20A3A140"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21B74DF6" w14:textId="406DDAC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1036A066"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528</w:t>
            </w:r>
          </w:p>
        </w:tc>
      </w:tr>
      <w:tr w:rsidR="00C728F5" w:rsidRPr="009543E3" w14:paraId="05C3ECD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DC090"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60B0F9DA" w14:textId="516E1B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006DFA1D" w14:textId="081DC02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0.217</w:t>
            </w:r>
          </w:p>
        </w:tc>
        <w:tc>
          <w:tcPr>
            <w:tcW w:w="1540" w:type="dxa"/>
            <w:tcBorders>
              <w:top w:val="nil"/>
              <w:left w:val="nil"/>
              <w:bottom w:val="single" w:sz="4" w:space="0" w:color="auto"/>
              <w:right w:val="single" w:sz="4" w:space="0" w:color="auto"/>
            </w:tcBorders>
            <w:shd w:val="clear" w:color="auto" w:fill="auto"/>
            <w:noWrap/>
            <w:vAlign w:val="center"/>
            <w:hideMark/>
          </w:tcPr>
          <w:p w14:paraId="1620DCD1"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5,020</w:t>
            </w:r>
          </w:p>
        </w:tc>
      </w:tr>
      <w:tr w:rsidR="00C728F5" w:rsidRPr="009543E3" w14:paraId="55FC12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61817B"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5FB12290" w14:textId="786105B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2987CC6D" w14:textId="3D25E34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0.293</w:t>
            </w:r>
          </w:p>
        </w:tc>
        <w:tc>
          <w:tcPr>
            <w:tcW w:w="1540" w:type="dxa"/>
            <w:tcBorders>
              <w:top w:val="nil"/>
              <w:left w:val="nil"/>
              <w:bottom w:val="single" w:sz="4" w:space="0" w:color="auto"/>
              <w:right w:val="single" w:sz="4" w:space="0" w:color="auto"/>
            </w:tcBorders>
            <w:shd w:val="clear" w:color="auto" w:fill="auto"/>
            <w:noWrap/>
            <w:vAlign w:val="center"/>
            <w:hideMark/>
          </w:tcPr>
          <w:p w14:paraId="59BA2A7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6,770</w:t>
            </w:r>
          </w:p>
        </w:tc>
      </w:tr>
      <w:tr w:rsidR="00C728F5" w:rsidRPr="009543E3" w14:paraId="31D522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5577EB"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Poland</w:t>
            </w:r>
          </w:p>
        </w:tc>
        <w:tc>
          <w:tcPr>
            <w:tcW w:w="1540" w:type="dxa"/>
            <w:tcBorders>
              <w:top w:val="nil"/>
              <w:left w:val="nil"/>
              <w:bottom w:val="single" w:sz="4" w:space="0" w:color="auto"/>
              <w:right w:val="single" w:sz="4" w:space="0" w:color="auto"/>
            </w:tcBorders>
            <w:shd w:val="clear" w:color="auto" w:fill="auto"/>
            <w:vAlign w:val="center"/>
            <w:hideMark/>
          </w:tcPr>
          <w:p w14:paraId="63E65B92" w14:textId="718CD68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0.802</w:t>
            </w:r>
          </w:p>
        </w:tc>
        <w:tc>
          <w:tcPr>
            <w:tcW w:w="1540" w:type="dxa"/>
            <w:tcBorders>
              <w:top w:val="nil"/>
              <w:left w:val="nil"/>
              <w:bottom w:val="single" w:sz="4" w:space="0" w:color="auto"/>
              <w:right w:val="single" w:sz="4" w:space="0" w:color="auto"/>
            </w:tcBorders>
            <w:shd w:val="clear" w:color="auto" w:fill="auto"/>
            <w:noWrap/>
            <w:vAlign w:val="center"/>
            <w:hideMark/>
          </w:tcPr>
          <w:p w14:paraId="1753CAC8" w14:textId="430E308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1.146</w:t>
            </w:r>
          </w:p>
        </w:tc>
        <w:tc>
          <w:tcPr>
            <w:tcW w:w="1540" w:type="dxa"/>
            <w:tcBorders>
              <w:top w:val="nil"/>
              <w:left w:val="nil"/>
              <w:bottom w:val="single" w:sz="4" w:space="0" w:color="auto"/>
              <w:right w:val="single" w:sz="4" w:space="0" w:color="auto"/>
            </w:tcBorders>
            <w:shd w:val="clear" w:color="auto" w:fill="auto"/>
            <w:noWrap/>
            <w:vAlign w:val="center"/>
            <w:hideMark/>
          </w:tcPr>
          <w:p w14:paraId="04970CDD"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26,486</w:t>
            </w:r>
          </w:p>
        </w:tc>
      </w:tr>
      <w:tr w:rsidR="00C728F5" w:rsidRPr="009543E3" w14:paraId="1D5E06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8EB76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761FBED0" w14:textId="1267F20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3AE8392F" w14:textId="38BCA141"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0.500</w:t>
            </w:r>
          </w:p>
        </w:tc>
        <w:tc>
          <w:tcPr>
            <w:tcW w:w="1540" w:type="dxa"/>
            <w:tcBorders>
              <w:top w:val="nil"/>
              <w:left w:val="nil"/>
              <w:bottom w:val="single" w:sz="4" w:space="0" w:color="auto"/>
              <w:right w:val="single" w:sz="4" w:space="0" w:color="auto"/>
            </w:tcBorders>
            <w:shd w:val="clear" w:color="auto" w:fill="auto"/>
            <w:noWrap/>
            <w:vAlign w:val="center"/>
            <w:hideMark/>
          </w:tcPr>
          <w:p w14:paraId="79E6913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11,559</w:t>
            </w:r>
          </w:p>
        </w:tc>
      </w:tr>
      <w:tr w:rsidR="00C728F5" w:rsidRPr="009543E3" w14:paraId="26D2CCE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332C6F"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353C7564" w14:textId="3783029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6B7059B6" w14:textId="38085698"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0.403</w:t>
            </w:r>
          </w:p>
        </w:tc>
        <w:tc>
          <w:tcPr>
            <w:tcW w:w="1540" w:type="dxa"/>
            <w:tcBorders>
              <w:top w:val="nil"/>
              <w:left w:val="nil"/>
              <w:bottom w:val="single" w:sz="4" w:space="0" w:color="auto"/>
              <w:right w:val="single" w:sz="4" w:space="0" w:color="auto"/>
            </w:tcBorders>
            <w:shd w:val="clear" w:color="auto" w:fill="auto"/>
            <w:noWrap/>
            <w:vAlign w:val="center"/>
            <w:hideMark/>
          </w:tcPr>
          <w:p w14:paraId="502E99E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9,313</w:t>
            </w:r>
          </w:p>
        </w:tc>
      </w:tr>
      <w:tr w:rsidR="00C728F5" w:rsidRPr="009543E3" w14:paraId="47B3788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0C2E5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6E5A6059" w14:textId="32EECDF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1C2F1EA3" w14:textId="0E60B19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3.239</w:t>
            </w:r>
          </w:p>
        </w:tc>
        <w:tc>
          <w:tcPr>
            <w:tcW w:w="1540" w:type="dxa"/>
            <w:tcBorders>
              <w:top w:val="nil"/>
              <w:left w:val="nil"/>
              <w:bottom w:val="single" w:sz="4" w:space="0" w:color="auto"/>
              <w:right w:val="single" w:sz="4" w:space="0" w:color="auto"/>
            </w:tcBorders>
            <w:shd w:val="clear" w:color="auto" w:fill="auto"/>
            <w:noWrap/>
            <w:vAlign w:val="center"/>
            <w:hideMark/>
          </w:tcPr>
          <w:p w14:paraId="56B70E7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74,866</w:t>
            </w:r>
          </w:p>
        </w:tc>
      </w:tr>
      <w:tr w:rsidR="00C728F5" w:rsidRPr="009543E3" w14:paraId="5F858F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37F7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2BDE3A25" w14:textId="2E8A739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7697A95" w14:textId="1080E0A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490512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C728F5" w:rsidRPr="009543E3" w14:paraId="1AB8BE4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29901"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0D148C97" w14:textId="3B37A2D0"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68622C6F" w14:textId="606DE339"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0.283</w:t>
            </w:r>
          </w:p>
        </w:tc>
        <w:tc>
          <w:tcPr>
            <w:tcW w:w="1540" w:type="dxa"/>
            <w:tcBorders>
              <w:top w:val="nil"/>
              <w:left w:val="nil"/>
              <w:bottom w:val="single" w:sz="4" w:space="0" w:color="auto"/>
              <w:right w:val="single" w:sz="4" w:space="0" w:color="auto"/>
            </w:tcBorders>
            <w:shd w:val="clear" w:color="auto" w:fill="auto"/>
            <w:noWrap/>
            <w:vAlign w:val="center"/>
            <w:hideMark/>
          </w:tcPr>
          <w:p w14:paraId="194F854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6,539</w:t>
            </w:r>
          </w:p>
        </w:tc>
      </w:tr>
      <w:tr w:rsidR="00C728F5" w:rsidRPr="009543E3" w14:paraId="3F393F6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694AB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2E6437E8" w14:textId="72B2DD7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5C1888F" w14:textId="52E8182B"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CA0C88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C728F5" w:rsidRPr="009543E3" w14:paraId="5B0A05F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413466"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6A83DD75" w14:textId="2CF40AF4"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FD3B861" w14:textId="29550A9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8554A2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50D4EC3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92D79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Lucia</w:t>
            </w:r>
          </w:p>
        </w:tc>
        <w:tc>
          <w:tcPr>
            <w:tcW w:w="1540" w:type="dxa"/>
            <w:tcBorders>
              <w:top w:val="nil"/>
              <w:left w:val="nil"/>
              <w:bottom w:val="single" w:sz="4" w:space="0" w:color="auto"/>
              <w:right w:val="single" w:sz="4" w:space="0" w:color="auto"/>
            </w:tcBorders>
            <w:shd w:val="clear" w:color="auto" w:fill="auto"/>
            <w:vAlign w:val="center"/>
            <w:hideMark/>
          </w:tcPr>
          <w:p w14:paraId="5E65FBBF" w14:textId="3E84BF9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77AF33" w14:textId="05B6D12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88DEB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395F91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7F79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Vincent and the Grenadines</w:t>
            </w:r>
          </w:p>
        </w:tc>
        <w:tc>
          <w:tcPr>
            <w:tcW w:w="1540" w:type="dxa"/>
            <w:tcBorders>
              <w:top w:val="nil"/>
              <w:left w:val="nil"/>
              <w:bottom w:val="single" w:sz="4" w:space="0" w:color="auto"/>
              <w:right w:val="single" w:sz="4" w:space="0" w:color="auto"/>
            </w:tcBorders>
            <w:shd w:val="clear" w:color="auto" w:fill="auto"/>
            <w:vAlign w:val="center"/>
            <w:hideMark/>
          </w:tcPr>
          <w:p w14:paraId="7C62395D" w14:textId="5183BCE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F3F98FF" w14:textId="45F3F3E4"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5DD645A"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62DB75C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6C65FE"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3391816A" w14:textId="3AE04E3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1E8590" w14:textId="4A256C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F6DF2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13E76AD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41CC8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Saudi Arabia</w:t>
            </w:r>
          </w:p>
        </w:tc>
        <w:tc>
          <w:tcPr>
            <w:tcW w:w="1540" w:type="dxa"/>
            <w:tcBorders>
              <w:top w:val="nil"/>
              <w:left w:val="nil"/>
              <w:bottom w:val="single" w:sz="4" w:space="0" w:color="auto"/>
              <w:right w:val="single" w:sz="4" w:space="0" w:color="auto"/>
            </w:tcBorders>
            <w:shd w:val="clear" w:color="auto" w:fill="auto"/>
            <w:vAlign w:val="center"/>
            <w:hideMark/>
          </w:tcPr>
          <w:p w14:paraId="2F5109BA" w14:textId="18BC456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1.172</w:t>
            </w:r>
          </w:p>
        </w:tc>
        <w:tc>
          <w:tcPr>
            <w:tcW w:w="1540" w:type="dxa"/>
            <w:tcBorders>
              <w:top w:val="nil"/>
              <w:left w:val="nil"/>
              <w:bottom w:val="single" w:sz="4" w:space="0" w:color="auto"/>
              <w:right w:val="single" w:sz="4" w:space="0" w:color="auto"/>
            </w:tcBorders>
            <w:shd w:val="clear" w:color="auto" w:fill="auto"/>
            <w:noWrap/>
            <w:vAlign w:val="center"/>
            <w:hideMark/>
          </w:tcPr>
          <w:p w14:paraId="52EEE981" w14:textId="09BFF4D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1.675</w:t>
            </w:r>
          </w:p>
        </w:tc>
        <w:tc>
          <w:tcPr>
            <w:tcW w:w="1540" w:type="dxa"/>
            <w:tcBorders>
              <w:top w:val="nil"/>
              <w:left w:val="nil"/>
              <w:bottom w:val="single" w:sz="4" w:space="0" w:color="auto"/>
              <w:right w:val="single" w:sz="4" w:space="0" w:color="auto"/>
            </w:tcBorders>
            <w:shd w:val="clear" w:color="auto" w:fill="auto"/>
            <w:noWrap/>
            <w:vAlign w:val="center"/>
            <w:hideMark/>
          </w:tcPr>
          <w:p w14:paraId="3280D7E6"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38,705</w:t>
            </w:r>
          </w:p>
        </w:tc>
      </w:tr>
      <w:tr w:rsidR="00C728F5" w:rsidRPr="009543E3" w14:paraId="1F77FD7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9D315"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1E238979" w14:textId="24207CD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545DAD50" w14:textId="0D62792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8CEC56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C728F5" w:rsidRPr="009543E3" w14:paraId="0A34522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3EAD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1D960D4F" w14:textId="15CDE13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20894E31" w14:textId="16451ED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4E897402"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925</w:t>
            </w:r>
          </w:p>
        </w:tc>
      </w:tr>
      <w:tr w:rsidR="00C728F5" w:rsidRPr="009543E3" w14:paraId="4670BE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3FC14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6CE6ECAD" w14:textId="74BC281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29CE9" w14:textId="715AF75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F1A7E6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713476" w:rsidRPr="009543E3" w14:paraId="642F5B2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6605AA47" w14:textId="206B5777" w:rsidR="00713476" w:rsidRPr="009543E3" w:rsidRDefault="00713476" w:rsidP="00713476">
            <w:pPr>
              <w:suppressLineNumbers/>
              <w:suppressAutoHyphens/>
              <w:rPr>
                <w:color w:val="000000"/>
                <w:kern w:val="22"/>
                <w:szCs w:val="22"/>
                <w:lang w:eastAsia="en-CA"/>
              </w:rPr>
            </w:pPr>
            <w:r w:rsidRPr="009543E3">
              <w:rPr>
                <w:color w:val="000000"/>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tcPr>
          <w:p w14:paraId="02625537" w14:textId="1D6CC056"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116BD648" w14:textId="701B7117"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71083D94" w14:textId="67CE74FE"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33</w:t>
            </w:r>
          </w:p>
        </w:tc>
      </w:tr>
      <w:tr w:rsidR="00713476" w:rsidRPr="009543E3" w14:paraId="44F90D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5239C4"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637EFDA0" w14:textId="49CF772F"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19D4D2D9" w14:textId="371C10EE"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0.219</w:t>
            </w:r>
          </w:p>
        </w:tc>
        <w:tc>
          <w:tcPr>
            <w:tcW w:w="1540" w:type="dxa"/>
            <w:tcBorders>
              <w:top w:val="nil"/>
              <w:left w:val="nil"/>
              <w:bottom w:val="single" w:sz="4" w:space="0" w:color="auto"/>
              <w:right w:val="single" w:sz="4" w:space="0" w:color="auto"/>
            </w:tcBorders>
            <w:shd w:val="clear" w:color="auto" w:fill="auto"/>
            <w:noWrap/>
            <w:vAlign w:val="center"/>
            <w:hideMark/>
          </w:tcPr>
          <w:p w14:paraId="14A97BA4"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5,053</w:t>
            </w:r>
          </w:p>
        </w:tc>
      </w:tr>
      <w:tr w:rsidR="00713476" w:rsidRPr="009543E3" w14:paraId="471524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965FA2"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Slovenia</w:t>
            </w:r>
          </w:p>
        </w:tc>
        <w:tc>
          <w:tcPr>
            <w:tcW w:w="1540" w:type="dxa"/>
            <w:tcBorders>
              <w:top w:val="nil"/>
              <w:left w:val="nil"/>
              <w:bottom w:val="single" w:sz="4" w:space="0" w:color="auto"/>
              <w:right w:val="single" w:sz="4" w:space="0" w:color="auto"/>
            </w:tcBorders>
            <w:shd w:val="clear" w:color="auto" w:fill="auto"/>
            <w:vAlign w:val="center"/>
            <w:hideMark/>
          </w:tcPr>
          <w:p w14:paraId="20DF9D19" w14:textId="4AC23F8B"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3D9A9A5B" w14:textId="190CA378"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6F205977"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2,510</w:t>
            </w:r>
          </w:p>
        </w:tc>
      </w:tr>
    </w:tbl>
    <w:p w14:paraId="2CCA73F2" w14:textId="44681088" w:rsidR="001F110D" w:rsidRPr="009543E3" w:rsidRDefault="001F110D" w:rsidP="006914CE">
      <w:pPr>
        <w:suppressLineNumbers/>
        <w:suppressAutoHyphens/>
        <w:spacing w:after="160" w:line="259" w:lineRule="auto"/>
        <w:rPr>
          <w:rFonts w:eastAsiaTheme="minorEastAsia"/>
          <w:kern w:val="22"/>
          <w:szCs w:val="22"/>
        </w:rPr>
      </w:pPr>
    </w:p>
    <w:p w14:paraId="674F1057"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3C1807EC"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ED67" w14:textId="14E8029F"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C850E0" w14:textId="070BB369"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D36DA6"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22760F" w14:textId="4BDC2735"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41D80DF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4C6D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497D2BB4" w14:textId="57D8E8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2026D0F" w14:textId="376EBF0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21EC7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A10FD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9C3A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Somalia</w:t>
            </w:r>
          </w:p>
        </w:tc>
        <w:tc>
          <w:tcPr>
            <w:tcW w:w="1540" w:type="dxa"/>
            <w:tcBorders>
              <w:top w:val="nil"/>
              <w:left w:val="nil"/>
              <w:bottom w:val="single" w:sz="4" w:space="0" w:color="auto"/>
              <w:right w:val="single" w:sz="4" w:space="0" w:color="auto"/>
            </w:tcBorders>
            <w:shd w:val="clear" w:color="auto" w:fill="auto"/>
            <w:vAlign w:val="center"/>
            <w:hideMark/>
          </w:tcPr>
          <w:p w14:paraId="3C6B306E" w14:textId="2EA31AD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72DB889" w14:textId="4249F69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00D520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ECB5D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D0AC9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0879C7A5" w14:textId="2A85A6B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42ECAD8D" w14:textId="6459AC9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0.389</w:t>
            </w:r>
          </w:p>
        </w:tc>
        <w:tc>
          <w:tcPr>
            <w:tcW w:w="1540" w:type="dxa"/>
            <w:tcBorders>
              <w:top w:val="nil"/>
              <w:left w:val="nil"/>
              <w:bottom w:val="single" w:sz="4" w:space="0" w:color="auto"/>
              <w:right w:val="single" w:sz="4" w:space="0" w:color="auto"/>
            </w:tcBorders>
            <w:shd w:val="clear" w:color="auto" w:fill="auto"/>
            <w:noWrap/>
            <w:vAlign w:val="center"/>
            <w:hideMark/>
          </w:tcPr>
          <w:p w14:paraId="0CCAE5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8,983</w:t>
            </w:r>
          </w:p>
        </w:tc>
      </w:tr>
      <w:tr w:rsidR="001F110D" w:rsidRPr="009543E3" w14:paraId="38E3615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8004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0B8FEE8D" w14:textId="5F3F358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2BBF5EA2" w14:textId="16F68FD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3.066</w:t>
            </w:r>
          </w:p>
        </w:tc>
        <w:tc>
          <w:tcPr>
            <w:tcW w:w="1540" w:type="dxa"/>
            <w:tcBorders>
              <w:top w:val="nil"/>
              <w:left w:val="nil"/>
              <w:bottom w:val="single" w:sz="4" w:space="0" w:color="auto"/>
              <w:right w:val="single" w:sz="4" w:space="0" w:color="auto"/>
            </w:tcBorders>
            <w:shd w:val="clear" w:color="auto" w:fill="auto"/>
            <w:noWrap/>
            <w:vAlign w:val="center"/>
            <w:hideMark/>
          </w:tcPr>
          <w:p w14:paraId="679E24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70,870</w:t>
            </w:r>
          </w:p>
        </w:tc>
      </w:tr>
      <w:tr w:rsidR="001F110D" w:rsidRPr="009543E3" w14:paraId="7B7838A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19DF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Sri Lanka</w:t>
            </w:r>
          </w:p>
        </w:tc>
        <w:tc>
          <w:tcPr>
            <w:tcW w:w="1540" w:type="dxa"/>
            <w:tcBorders>
              <w:top w:val="nil"/>
              <w:left w:val="nil"/>
              <w:bottom w:val="single" w:sz="4" w:space="0" w:color="auto"/>
              <w:right w:val="single" w:sz="4" w:space="0" w:color="auto"/>
            </w:tcBorders>
            <w:shd w:val="clear" w:color="auto" w:fill="auto"/>
            <w:vAlign w:val="center"/>
            <w:hideMark/>
          </w:tcPr>
          <w:p w14:paraId="298E17FD" w14:textId="0BF8B2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0.044</w:t>
            </w:r>
          </w:p>
        </w:tc>
        <w:tc>
          <w:tcPr>
            <w:tcW w:w="1540" w:type="dxa"/>
            <w:tcBorders>
              <w:top w:val="nil"/>
              <w:left w:val="nil"/>
              <w:bottom w:val="single" w:sz="4" w:space="0" w:color="auto"/>
              <w:right w:val="single" w:sz="4" w:space="0" w:color="auto"/>
            </w:tcBorders>
            <w:shd w:val="clear" w:color="auto" w:fill="auto"/>
            <w:noWrap/>
            <w:vAlign w:val="center"/>
            <w:hideMark/>
          </w:tcPr>
          <w:p w14:paraId="4B3B15D5" w14:textId="5EF3F7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0.063</w:t>
            </w:r>
          </w:p>
        </w:tc>
        <w:tc>
          <w:tcPr>
            <w:tcW w:w="1540" w:type="dxa"/>
            <w:tcBorders>
              <w:top w:val="nil"/>
              <w:left w:val="nil"/>
              <w:bottom w:val="single" w:sz="4" w:space="0" w:color="auto"/>
              <w:right w:val="single" w:sz="4" w:space="0" w:color="auto"/>
            </w:tcBorders>
            <w:shd w:val="clear" w:color="auto" w:fill="auto"/>
            <w:noWrap/>
            <w:vAlign w:val="center"/>
            <w:hideMark/>
          </w:tcPr>
          <w:p w14:paraId="34C16CD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1,453</w:t>
            </w:r>
          </w:p>
        </w:tc>
      </w:tr>
      <w:tr w:rsidR="001F110D" w:rsidRPr="009543E3" w14:paraId="0349E19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18D3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State of Palestine</w:t>
            </w:r>
          </w:p>
        </w:tc>
        <w:tc>
          <w:tcPr>
            <w:tcW w:w="1540" w:type="dxa"/>
            <w:tcBorders>
              <w:top w:val="nil"/>
              <w:left w:val="nil"/>
              <w:bottom w:val="single" w:sz="4" w:space="0" w:color="auto"/>
              <w:right w:val="single" w:sz="4" w:space="0" w:color="auto"/>
            </w:tcBorders>
            <w:shd w:val="clear" w:color="auto" w:fill="auto"/>
            <w:vAlign w:val="center"/>
            <w:hideMark/>
          </w:tcPr>
          <w:p w14:paraId="78338C9C" w14:textId="505F2A9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CA632C2" w14:textId="6DF256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EF6208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51EF5A8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60007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31FEF8A7" w14:textId="04E5813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D95EF38" w14:textId="739B12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C06F4F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4655EB9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6FCCF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Suriname</w:t>
            </w:r>
          </w:p>
        </w:tc>
        <w:tc>
          <w:tcPr>
            <w:tcW w:w="1540" w:type="dxa"/>
            <w:tcBorders>
              <w:top w:val="nil"/>
              <w:left w:val="nil"/>
              <w:bottom w:val="single" w:sz="4" w:space="0" w:color="auto"/>
              <w:right w:val="single" w:sz="4" w:space="0" w:color="auto"/>
            </w:tcBorders>
            <w:shd w:val="clear" w:color="auto" w:fill="auto"/>
            <w:vAlign w:val="center"/>
            <w:hideMark/>
          </w:tcPr>
          <w:p w14:paraId="6A182D13" w14:textId="1F213AC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C8614F5" w14:textId="58D79C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EDED9C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0C16DB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3C6F4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4E84D133" w14:textId="629FE3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585A8165" w14:textId="2AF0A60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1.295</w:t>
            </w:r>
          </w:p>
        </w:tc>
        <w:tc>
          <w:tcPr>
            <w:tcW w:w="1540" w:type="dxa"/>
            <w:tcBorders>
              <w:top w:val="nil"/>
              <w:left w:val="nil"/>
              <w:bottom w:val="single" w:sz="4" w:space="0" w:color="auto"/>
              <w:right w:val="single" w:sz="4" w:space="0" w:color="auto"/>
            </w:tcBorders>
            <w:shd w:val="clear" w:color="auto" w:fill="auto"/>
            <w:noWrap/>
            <w:vAlign w:val="center"/>
            <w:hideMark/>
          </w:tcPr>
          <w:p w14:paraId="2322E0C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29,920</w:t>
            </w:r>
          </w:p>
        </w:tc>
      </w:tr>
      <w:tr w:rsidR="001F110D" w:rsidRPr="009543E3" w14:paraId="717D95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F0E00C" w14:textId="6D1EF2C6"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2AD01EED" w14:textId="57547CA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0D3F3986" w14:textId="5F3F14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1.645</w:t>
            </w:r>
          </w:p>
        </w:tc>
        <w:tc>
          <w:tcPr>
            <w:tcW w:w="1540" w:type="dxa"/>
            <w:tcBorders>
              <w:top w:val="nil"/>
              <w:left w:val="nil"/>
              <w:bottom w:val="single" w:sz="4" w:space="0" w:color="auto"/>
              <w:right w:val="single" w:sz="4" w:space="0" w:color="auto"/>
            </w:tcBorders>
            <w:shd w:val="clear" w:color="auto" w:fill="auto"/>
            <w:noWrap/>
            <w:vAlign w:val="center"/>
            <w:hideMark/>
          </w:tcPr>
          <w:p w14:paraId="4D8E91D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38,011</w:t>
            </w:r>
          </w:p>
        </w:tc>
      </w:tr>
      <w:tr w:rsidR="001F110D" w:rsidRPr="009543E3" w14:paraId="0E27A5E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DD831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41FB656C" w14:textId="11F1C49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646EA624" w14:textId="03109F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3E89EF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363</w:t>
            </w:r>
          </w:p>
        </w:tc>
      </w:tr>
      <w:tr w:rsidR="001F110D" w:rsidRPr="009543E3" w14:paraId="58A7A0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3600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5C58150E" w14:textId="2FB8D53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A2CA77B" w14:textId="60D7E5A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E21FB0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53BC9FB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20C2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Thailand</w:t>
            </w:r>
          </w:p>
        </w:tc>
        <w:tc>
          <w:tcPr>
            <w:tcW w:w="1540" w:type="dxa"/>
            <w:tcBorders>
              <w:top w:val="nil"/>
              <w:left w:val="nil"/>
              <w:bottom w:val="single" w:sz="4" w:space="0" w:color="auto"/>
              <w:right w:val="single" w:sz="4" w:space="0" w:color="auto"/>
            </w:tcBorders>
            <w:shd w:val="clear" w:color="auto" w:fill="auto"/>
            <w:vAlign w:val="center"/>
            <w:hideMark/>
          </w:tcPr>
          <w:p w14:paraId="7C59017E" w14:textId="559276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7D9B29FE" w14:textId="6EEA8AC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0.439</w:t>
            </w:r>
          </w:p>
        </w:tc>
        <w:tc>
          <w:tcPr>
            <w:tcW w:w="1540" w:type="dxa"/>
            <w:tcBorders>
              <w:top w:val="nil"/>
              <w:left w:val="nil"/>
              <w:bottom w:val="single" w:sz="4" w:space="0" w:color="auto"/>
              <w:right w:val="single" w:sz="4" w:space="0" w:color="auto"/>
            </w:tcBorders>
            <w:shd w:val="clear" w:color="auto" w:fill="auto"/>
            <w:noWrap/>
            <w:vAlign w:val="center"/>
            <w:hideMark/>
          </w:tcPr>
          <w:p w14:paraId="44A6F2C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10,138</w:t>
            </w:r>
          </w:p>
        </w:tc>
      </w:tr>
      <w:tr w:rsidR="001F110D" w:rsidRPr="009543E3" w14:paraId="435E85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3655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75937259" w14:textId="36DB55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496C5EE" w14:textId="177B55C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734103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7CB5A24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31FEC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45078051" w14:textId="7195E15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BD27878" w14:textId="1DF1EB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46473A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8F134F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EC0F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Trinidad and Tobago</w:t>
            </w:r>
          </w:p>
        </w:tc>
        <w:tc>
          <w:tcPr>
            <w:tcW w:w="1540" w:type="dxa"/>
            <w:tcBorders>
              <w:top w:val="nil"/>
              <w:left w:val="nil"/>
              <w:bottom w:val="single" w:sz="4" w:space="0" w:color="auto"/>
              <w:right w:val="single" w:sz="4" w:space="0" w:color="auto"/>
            </w:tcBorders>
            <w:shd w:val="clear" w:color="auto" w:fill="auto"/>
            <w:vAlign w:val="center"/>
            <w:hideMark/>
          </w:tcPr>
          <w:p w14:paraId="39DD1799" w14:textId="64E6FF5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71DF22F1" w14:textId="0CDF0C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184C7A0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1,321</w:t>
            </w:r>
          </w:p>
        </w:tc>
      </w:tr>
      <w:tr w:rsidR="001F110D" w:rsidRPr="009543E3" w14:paraId="64B151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8A58F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Tunisia</w:t>
            </w:r>
          </w:p>
        </w:tc>
        <w:tc>
          <w:tcPr>
            <w:tcW w:w="1540" w:type="dxa"/>
            <w:tcBorders>
              <w:top w:val="nil"/>
              <w:left w:val="nil"/>
              <w:bottom w:val="single" w:sz="4" w:space="0" w:color="auto"/>
              <w:right w:val="single" w:sz="4" w:space="0" w:color="auto"/>
            </w:tcBorders>
            <w:shd w:val="clear" w:color="auto" w:fill="auto"/>
            <w:vAlign w:val="center"/>
            <w:hideMark/>
          </w:tcPr>
          <w:p w14:paraId="1E852A58" w14:textId="63E38E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75B64789" w14:textId="2BD49D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6CE33D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826</w:t>
            </w:r>
          </w:p>
        </w:tc>
      </w:tr>
      <w:tr w:rsidR="001F110D" w:rsidRPr="009543E3" w14:paraId="6C0AAC4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9873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Turkey</w:t>
            </w:r>
          </w:p>
        </w:tc>
        <w:tc>
          <w:tcPr>
            <w:tcW w:w="1540" w:type="dxa"/>
            <w:tcBorders>
              <w:top w:val="nil"/>
              <w:left w:val="nil"/>
              <w:bottom w:val="single" w:sz="4" w:space="0" w:color="auto"/>
              <w:right w:val="single" w:sz="4" w:space="0" w:color="auto"/>
            </w:tcBorders>
            <w:shd w:val="clear" w:color="auto" w:fill="auto"/>
            <w:vAlign w:val="center"/>
            <w:hideMark/>
          </w:tcPr>
          <w:p w14:paraId="5081D16C" w14:textId="16A025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1.371</w:t>
            </w:r>
          </w:p>
        </w:tc>
        <w:tc>
          <w:tcPr>
            <w:tcW w:w="1540" w:type="dxa"/>
            <w:tcBorders>
              <w:top w:val="nil"/>
              <w:left w:val="nil"/>
              <w:bottom w:val="single" w:sz="4" w:space="0" w:color="auto"/>
              <w:right w:val="single" w:sz="4" w:space="0" w:color="auto"/>
            </w:tcBorders>
            <w:shd w:val="clear" w:color="auto" w:fill="auto"/>
            <w:noWrap/>
            <w:vAlign w:val="center"/>
            <w:hideMark/>
          </w:tcPr>
          <w:p w14:paraId="1F4BFC12" w14:textId="18D5A1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1.959</w:t>
            </w:r>
          </w:p>
        </w:tc>
        <w:tc>
          <w:tcPr>
            <w:tcW w:w="1540" w:type="dxa"/>
            <w:tcBorders>
              <w:top w:val="nil"/>
              <w:left w:val="nil"/>
              <w:bottom w:val="single" w:sz="4" w:space="0" w:color="auto"/>
              <w:right w:val="single" w:sz="4" w:space="0" w:color="auto"/>
            </w:tcBorders>
            <w:shd w:val="clear" w:color="auto" w:fill="auto"/>
            <w:noWrap/>
            <w:vAlign w:val="center"/>
            <w:hideMark/>
          </w:tcPr>
          <w:p w14:paraId="411209B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45,276</w:t>
            </w:r>
          </w:p>
        </w:tc>
      </w:tr>
      <w:tr w:rsidR="001F110D" w:rsidRPr="009543E3" w14:paraId="667AD5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7F3B7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Turkmenistan</w:t>
            </w:r>
          </w:p>
        </w:tc>
        <w:tc>
          <w:tcPr>
            <w:tcW w:w="1540" w:type="dxa"/>
            <w:tcBorders>
              <w:top w:val="nil"/>
              <w:left w:val="nil"/>
              <w:bottom w:val="single" w:sz="4" w:space="0" w:color="auto"/>
              <w:right w:val="single" w:sz="4" w:space="0" w:color="auto"/>
            </w:tcBorders>
            <w:shd w:val="clear" w:color="auto" w:fill="auto"/>
            <w:vAlign w:val="center"/>
            <w:hideMark/>
          </w:tcPr>
          <w:p w14:paraId="5C1915D3" w14:textId="569EA88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0.033</w:t>
            </w:r>
          </w:p>
        </w:tc>
        <w:tc>
          <w:tcPr>
            <w:tcW w:w="1540" w:type="dxa"/>
            <w:tcBorders>
              <w:top w:val="nil"/>
              <w:left w:val="nil"/>
              <w:bottom w:val="single" w:sz="4" w:space="0" w:color="auto"/>
              <w:right w:val="single" w:sz="4" w:space="0" w:color="auto"/>
            </w:tcBorders>
            <w:shd w:val="clear" w:color="auto" w:fill="auto"/>
            <w:noWrap/>
            <w:vAlign w:val="center"/>
            <w:hideMark/>
          </w:tcPr>
          <w:p w14:paraId="49673883" w14:textId="1FB49D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17EFD2E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1,090</w:t>
            </w:r>
          </w:p>
        </w:tc>
      </w:tr>
      <w:tr w:rsidR="001F110D" w:rsidRPr="009543E3" w14:paraId="009CCCF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EDF0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7F9E1B53" w14:textId="6EFB1E7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F8B49EB" w14:textId="32CDCF3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D9FA5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78ABE42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09C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Ukraine</w:t>
            </w:r>
          </w:p>
        </w:tc>
        <w:tc>
          <w:tcPr>
            <w:tcW w:w="1540" w:type="dxa"/>
            <w:tcBorders>
              <w:top w:val="nil"/>
              <w:left w:val="nil"/>
              <w:bottom w:val="single" w:sz="4" w:space="0" w:color="auto"/>
              <w:right w:val="single" w:sz="4" w:space="0" w:color="auto"/>
            </w:tcBorders>
            <w:shd w:val="clear" w:color="auto" w:fill="auto"/>
            <w:vAlign w:val="center"/>
            <w:hideMark/>
          </w:tcPr>
          <w:p w14:paraId="6D3DADE9" w14:textId="1C9466F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7245A5C3" w14:textId="043E419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0.081</w:t>
            </w:r>
          </w:p>
        </w:tc>
        <w:tc>
          <w:tcPr>
            <w:tcW w:w="1540" w:type="dxa"/>
            <w:tcBorders>
              <w:top w:val="nil"/>
              <w:left w:val="nil"/>
              <w:bottom w:val="single" w:sz="4" w:space="0" w:color="auto"/>
              <w:right w:val="single" w:sz="4" w:space="0" w:color="auto"/>
            </w:tcBorders>
            <w:shd w:val="clear" w:color="auto" w:fill="auto"/>
            <w:noWrap/>
            <w:vAlign w:val="center"/>
            <w:hideMark/>
          </w:tcPr>
          <w:p w14:paraId="74F5117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1,882</w:t>
            </w:r>
          </w:p>
        </w:tc>
      </w:tr>
      <w:tr w:rsidR="001F110D" w:rsidRPr="009543E3" w14:paraId="73A7B5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5CE25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07632D26" w14:textId="6365D72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02C7B7B1" w14:textId="54FBC29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0.880</w:t>
            </w:r>
          </w:p>
        </w:tc>
        <w:tc>
          <w:tcPr>
            <w:tcW w:w="1540" w:type="dxa"/>
            <w:tcBorders>
              <w:top w:val="nil"/>
              <w:left w:val="nil"/>
              <w:bottom w:val="single" w:sz="4" w:space="0" w:color="auto"/>
              <w:right w:val="single" w:sz="4" w:space="0" w:color="auto"/>
            </w:tcBorders>
            <w:shd w:val="clear" w:color="auto" w:fill="auto"/>
            <w:noWrap/>
            <w:vAlign w:val="center"/>
            <w:hideMark/>
          </w:tcPr>
          <w:p w14:paraId="42DEAD3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20,343</w:t>
            </w:r>
          </w:p>
        </w:tc>
      </w:tr>
      <w:tr w:rsidR="001F110D" w:rsidRPr="009543E3" w14:paraId="0CD6269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D8B82C" w14:textId="77777777" w:rsidR="001F110D" w:rsidRPr="009543E3" w:rsidRDefault="001F110D" w:rsidP="006914CE">
            <w:pPr>
              <w:suppressLineNumbers/>
              <w:suppressAutoHyphens/>
              <w:jc w:val="left"/>
              <w:rPr>
                <w:color w:val="000000"/>
                <w:kern w:val="22"/>
                <w:szCs w:val="22"/>
                <w:lang w:eastAsia="en-CA"/>
              </w:rPr>
            </w:pPr>
            <w:r w:rsidRPr="009543E3">
              <w:rPr>
                <w:color w:val="000000"/>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2C1E0F62" w14:textId="5965096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1840DA33" w14:textId="14257EA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6.525</w:t>
            </w:r>
          </w:p>
        </w:tc>
        <w:tc>
          <w:tcPr>
            <w:tcW w:w="1540" w:type="dxa"/>
            <w:tcBorders>
              <w:top w:val="nil"/>
              <w:left w:val="nil"/>
              <w:bottom w:val="single" w:sz="4" w:space="0" w:color="auto"/>
              <w:right w:val="single" w:sz="4" w:space="0" w:color="auto"/>
            </w:tcBorders>
            <w:shd w:val="clear" w:color="auto" w:fill="auto"/>
            <w:noWrap/>
            <w:vAlign w:val="center"/>
            <w:hideMark/>
          </w:tcPr>
          <w:p w14:paraId="0AFFA7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150,822</w:t>
            </w:r>
          </w:p>
        </w:tc>
      </w:tr>
      <w:tr w:rsidR="001F110D" w:rsidRPr="009543E3" w14:paraId="37B00FD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92452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1C736653" w14:textId="7D78407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2293561" w14:textId="094D8B0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1F178B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3E7AFE8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5BA5E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6EF7AA96" w14:textId="7EDBE3D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2E583474" w14:textId="54C157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0.124</w:t>
            </w:r>
          </w:p>
        </w:tc>
        <w:tc>
          <w:tcPr>
            <w:tcW w:w="1540" w:type="dxa"/>
            <w:tcBorders>
              <w:top w:val="nil"/>
              <w:left w:val="nil"/>
              <w:bottom w:val="single" w:sz="4" w:space="0" w:color="auto"/>
              <w:right w:val="single" w:sz="4" w:space="0" w:color="auto"/>
            </w:tcBorders>
            <w:shd w:val="clear" w:color="auto" w:fill="auto"/>
            <w:noWrap/>
            <w:vAlign w:val="center"/>
            <w:hideMark/>
          </w:tcPr>
          <w:p w14:paraId="08E118A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2,873</w:t>
            </w:r>
          </w:p>
        </w:tc>
      </w:tr>
      <w:tr w:rsidR="00713476" w:rsidRPr="009543E3" w14:paraId="089500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322EC9E3" w14:textId="34F07748" w:rsidR="00713476" w:rsidRPr="009543E3" w:rsidRDefault="00713476" w:rsidP="00713476">
            <w:pPr>
              <w:suppressLineNumbers/>
              <w:suppressAutoHyphens/>
              <w:rPr>
                <w:color w:val="000000"/>
                <w:kern w:val="22"/>
                <w:szCs w:val="22"/>
                <w:lang w:eastAsia="en-CA"/>
              </w:rPr>
            </w:pPr>
            <w:r w:rsidRPr="009543E3">
              <w:rPr>
                <w:color w:val="000000"/>
                <w:kern w:val="22"/>
                <w:szCs w:val="22"/>
                <w:lang w:eastAsia="en-CA"/>
              </w:rPr>
              <w:t>Uzbekistan</w:t>
            </w:r>
          </w:p>
        </w:tc>
        <w:tc>
          <w:tcPr>
            <w:tcW w:w="1540" w:type="dxa"/>
            <w:tcBorders>
              <w:top w:val="nil"/>
              <w:left w:val="nil"/>
              <w:bottom w:val="single" w:sz="4" w:space="0" w:color="auto"/>
              <w:right w:val="single" w:sz="4" w:space="0" w:color="auto"/>
            </w:tcBorders>
            <w:shd w:val="clear" w:color="auto" w:fill="auto"/>
            <w:vAlign w:val="center"/>
          </w:tcPr>
          <w:p w14:paraId="4803D91D" w14:textId="081CD0EA"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tcPr>
          <w:p w14:paraId="56AD0A98" w14:textId="5487469F"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tcPr>
          <w:p w14:paraId="477C59FC" w14:textId="64AD22A4"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1,057</w:t>
            </w:r>
          </w:p>
        </w:tc>
      </w:tr>
      <w:tr w:rsidR="00713476" w:rsidRPr="009543E3" w14:paraId="7740889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836EAB" w14:textId="09EE90F6"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Venezuela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40393FA2" w14:textId="1858B869"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6F4AF574" w14:textId="1EA75C8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1.040</w:t>
            </w:r>
          </w:p>
        </w:tc>
        <w:tc>
          <w:tcPr>
            <w:tcW w:w="1540" w:type="dxa"/>
            <w:tcBorders>
              <w:top w:val="nil"/>
              <w:left w:val="nil"/>
              <w:bottom w:val="single" w:sz="4" w:space="0" w:color="auto"/>
              <w:right w:val="single" w:sz="4" w:space="0" w:color="auto"/>
            </w:tcBorders>
            <w:shd w:val="clear" w:color="auto" w:fill="auto"/>
            <w:noWrap/>
            <w:vAlign w:val="center"/>
            <w:hideMark/>
          </w:tcPr>
          <w:p w14:paraId="29B7478C"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24,042</w:t>
            </w:r>
          </w:p>
        </w:tc>
      </w:tr>
      <w:tr w:rsidR="00713476" w:rsidRPr="009543E3" w14:paraId="2723DB3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60F89"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Viet Nam</w:t>
            </w:r>
          </w:p>
        </w:tc>
        <w:tc>
          <w:tcPr>
            <w:tcW w:w="1540" w:type="dxa"/>
            <w:tcBorders>
              <w:top w:val="nil"/>
              <w:left w:val="nil"/>
              <w:bottom w:val="single" w:sz="4" w:space="0" w:color="auto"/>
              <w:right w:val="single" w:sz="4" w:space="0" w:color="auto"/>
            </w:tcBorders>
            <w:shd w:val="clear" w:color="auto" w:fill="auto"/>
            <w:vAlign w:val="center"/>
            <w:hideMark/>
          </w:tcPr>
          <w:p w14:paraId="264EB13F" w14:textId="15956C5B"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3F27364" w14:textId="206A9336"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0.110</w:t>
            </w:r>
          </w:p>
        </w:tc>
        <w:tc>
          <w:tcPr>
            <w:tcW w:w="1540" w:type="dxa"/>
            <w:tcBorders>
              <w:top w:val="nil"/>
              <w:left w:val="nil"/>
              <w:bottom w:val="single" w:sz="4" w:space="0" w:color="auto"/>
              <w:right w:val="single" w:sz="4" w:space="0" w:color="auto"/>
            </w:tcBorders>
            <w:shd w:val="clear" w:color="auto" w:fill="auto"/>
            <w:noWrap/>
            <w:vAlign w:val="center"/>
            <w:hideMark/>
          </w:tcPr>
          <w:p w14:paraId="774181F7"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2,543</w:t>
            </w:r>
          </w:p>
        </w:tc>
      </w:tr>
    </w:tbl>
    <w:p w14:paraId="73E8C8B0" w14:textId="0C79B0C0" w:rsidR="001F110D" w:rsidRPr="009543E3" w:rsidRDefault="001F110D" w:rsidP="006914CE">
      <w:pPr>
        <w:suppressLineNumbers/>
        <w:suppressAutoHyphens/>
        <w:spacing w:after="160" w:line="259" w:lineRule="auto"/>
        <w:rPr>
          <w:rFonts w:eastAsiaTheme="minorEastAsia"/>
          <w:kern w:val="22"/>
          <w:szCs w:val="22"/>
        </w:rPr>
      </w:pPr>
    </w:p>
    <w:p w14:paraId="337E66C1"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176B1755"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4C21" w14:textId="339E4247"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F251E1" w14:textId="66EE80E2"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3BC795"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64645D" w14:textId="2192A1DE"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39EC664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6ADFA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Yemen</w:t>
            </w:r>
          </w:p>
        </w:tc>
        <w:tc>
          <w:tcPr>
            <w:tcW w:w="1540" w:type="dxa"/>
            <w:tcBorders>
              <w:top w:val="nil"/>
              <w:left w:val="nil"/>
              <w:bottom w:val="single" w:sz="4" w:space="0" w:color="auto"/>
              <w:right w:val="single" w:sz="4" w:space="0" w:color="auto"/>
            </w:tcBorders>
            <w:shd w:val="clear" w:color="auto" w:fill="auto"/>
            <w:vAlign w:val="center"/>
            <w:hideMark/>
          </w:tcPr>
          <w:p w14:paraId="591330AF" w14:textId="115893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03F7EB2" w14:textId="0E3269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EEC4A5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8BA8C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1CDC5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173D6C3E" w14:textId="3EF38DF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2A6E4551" w14:textId="209998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6365F02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1F1FEE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A7AC3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4686B16B" w14:textId="3F8669D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8511DE1" w14:textId="229791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AF4099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1895679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354BC5D7" w14:textId="77777777" w:rsidR="001F110D" w:rsidRPr="009543E3" w:rsidRDefault="001F110D"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36F18A4B" w14:textId="2BA5B802"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68.263</w:t>
            </w:r>
          </w:p>
        </w:tc>
        <w:tc>
          <w:tcPr>
            <w:tcW w:w="1540" w:type="dxa"/>
            <w:tcBorders>
              <w:top w:val="nil"/>
              <w:left w:val="nil"/>
              <w:bottom w:val="single" w:sz="4" w:space="0" w:color="auto"/>
              <w:right w:val="single" w:sz="4" w:space="0" w:color="auto"/>
            </w:tcBorders>
            <w:shd w:val="clear" w:color="auto" w:fill="auto"/>
            <w:noWrap/>
            <w:vAlign w:val="center"/>
            <w:hideMark/>
          </w:tcPr>
          <w:p w14:paraId="6B533A22" w14:textId="0F90F55A"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72EA10DA" w14:textId="77777777"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2,311,300</w:t>
            </w:r>
          </w:p>
        </w:tc>
      </w:tr>
    </w:tbl>
    <w:p w14:paraId="0D0B7AFB" w14:textId="08DDF282" w:rsidR="001F110D" w:rsidRPr="009543E3" w:rsidRDefault="001F110D" w:rsidP="006914CE">
      <w:pPr>
        <w:suppressLineNumbers/>
        <w:suppressAutoHyphens/>
        <w:spacing w:after="160" w:line="259" w:lineRule="auto"/>
        <w:rPr>
          <w:rFonts w:eastAsiaTheme="minorEastAsia"/>
          <w:kern w:val="22"/>
          <w:szCs w:val="22"/>
        </w:rPr>
      </w:pPr>
    </w:p>
    <w:p w14:paraId="45AD0F56"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p w14:paraId="34324DC3" w14:textId="77777777" w:rsidR="00315701" w:rsidRPr="009543E3" w:rsidRDefault="00315701" w:rsidP="006914CE">
      <w:pPr>
        <w:suppressLineNumbers/>
        <w:suppressAutoHyphens/>
        <w:rPr>
          <w:rFonts w:eastAsiaTheme="minorEastAsia"/>
          <w:kern w:val="22"/>
          <w:szCs w:val="22"/>
        </w:rPr>
      </w:pPr>
    </w:p>
    <w:p w14:paraId="4532B380" w14:textId="72BBF37D" w:rsidR="008A687D" w:rsidRPr="009543E3" w:rsidRDefault="0079737F" w:rsidP="006914CE">
      <w:pPr>
        <w:keepNext/>
        <w:suppressLineNumbers/>
        <w:suppressAutoHyphens/>
        <w:autoSpaceDE w:val="0"/>
        <w:autoSpaceDN w:val="0"/>
        <w:adjustRightInd w:val="0"/>
        <w:spacing w:after="120"/>
        <w:jc w:val="left"/>
        <w:rPr>
          <w:b/>
          <w:color w:val="000000" w:themeColor="text1"/>
          <w:kern w:val="22"/>
          <w:szCs w:val="22"/>
        </w:rPr>
      </w:pPr>
      <w:r w:rsidRPr="009543E3">
        <w:rPr>
          <w:rFonts w:eastAsiaTheme="minorEastAsia"/>
          <w:b/>
          <w:kern w:val="22"/>
          <w:szCs w:val="22"/>
        </w:rPr>
        <w:t xml:space="preserve">Table </w:t>
      </w:r>
      <w:r w:rsidR="004A4638" w:rsidRPr="009543E3">
        <w:rPr>
          <w:rFonts w:eastAsiaTheme="minorEastAsia"/>
          <w:b/>
          <w:kern w:val="22"/>
          <w:szCs w:val="22"/>
        </w:rPr>
        <w:t>9</w:t>
      </w:r>
      <w:r w:rsidR="00FE1779" w:rsidRPr="009543E3">
        <w:rPr>
          <w:rFonts w:eastAsiaTheme="minorEastAsia"/>
          <w:kern w:val="22"/>
          <w:szCs w:val="22"/>
        </w:rPr>
        <w:br/>
      </w:r>
      <w:r w:rsidRPr="009543E3">
        <w:rPr>
          <w:rFonts w:eastAsiaTheme="minorEastAsia"/>
          <w:b/>
          <w:bCs/>
          <w:kern w:val="22"/>
          <w:szCs w:val="22"/>
        </w:rPr>
        <w:t>Contributions to the Trust Fund for the Nagoya Protocol on Access and Benefit</w:t>
      </w:r>
      <w:r w:rsidR="00FE1779" w:rsidRPr="009543E3">
        <w:rPr>
          <w:rFonts w:eastAsiaTheme="minorEastAsia"/>
          <w:b/>
          <w:bCs/>
          <w:kern w:val="22"/>
          <w:szCs w:val="22"/>
        </w:rPr>
        <w:t>-s</w:t>
      </w:r>
      <w:r w:rsidRPr="009543E3">
        <w:rPr>
          <w:rFonts w:eastAsiaTheme="minorEastAsia"/>
          <w:b/>
          <w:bCs/>
          <w:kern w:val="22"/>
          <w:szCs w:val="22"/>
        </w:rPr>
        <w:t>haring</w:t>
      </w:r>
      <w:r w:rsidR="00FE1779" w:rsidRPr="009543E3">
        <w:rPr>
          <w:rFonts w:eastAsiaTheme="minorEastAsia"/>
          <w:b/>
          <w:bCs/>
          <w:kern w:val="22"/>
          <w:szCs w:val="22"/>
        </w:rPr>
        <w:t xml:space="preserve"> </w:t>
      </w:r>
      <w:r w:rsidRPr="009543E3">
        <w:rPr>
          <w:rFonts w:eastAsiaTheme="minorEastAsia"/>
          <w:b/>
          <w:bCs/>
          <w:kern w:val="22"/>
          <w:szCs w:val="22"/>
        </w:rPr>
        <w:t>for 2021</w:t>
      </w:r>
    </w:p>
    <w:tbl>
      <w:tblPr>
        <w:tblW w:w="9420" w:type="dxa"/>
        <w:tblLook w:val="04A0" w:firstRow="1" w:lastRow="0" w:firstColumn="1" w:lastColumn="0" w:noHBand="0" w:noVBand="1"/>
      </w:tblPr>
      <w:tblGrid>
        <w:gridCol w:w="4800"/>
        <w:gridCol w:w="1540"/>
        <w:gridCol w:w="1540"/>
        <w:gridCol w:w="1540"/>
      </w:tblGrid>
      <w:tr w:rsidR="00315701" w:rsidRPr="009543E3" w14:paraId="7B0A7F86"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CF39" w14:textId="2F78FFB1" w:rsidR="00315701" w:rsidRPr="009543E3" w:rsidRDefault="00315701" w:rsidP="006914CE">
            <w:pPr>
              <w:suppressLineNumbers/>
              <w:suppressAutoHyphens/>
              <w:jc w:val="center"/>
              <w:rPr>
                <w:b/>
                <w:kern w:val="22"/>
                <w:szCs w:val="22"/>
                <w:lang w:eastAsia="en-CA"/>
              </w:rPr>
            </w:pPr>
            <w:r w:rsidRPr="009543E3">
              <w:rPr>
                <w:b/>
                <w:kern w:val="22"/>
                <w:szCs w:val="22"/>
                <w:lang w:eastAsia="en-CA"/>
              </w:rPr>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9CCA" w14:textId="66D351B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6DE7B"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B1DA25" w14:textId="505BB8C2"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04DE599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B3FD3" w14:textId="77777777" w:rsidR="00315701" w:rsidRPr="009543E3" w:rsidRDefault="00315701" w:rsidP="006914CE">
            <w:pPr>
              <w:suppressLineNumbers/>
              <w:suppressAutoHyphens/>
              <w:rPr>
                <w:kern w:val="22"/>
                <w:szCs w:val="22"/>
                <w:lang w:eastAsia="en-CA"/>
              </w:rPr>
            </w:pPr>
            <w:r w:rsidRPr="009543E3">
              <w:rPr>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7C5C5D23" w14:textId="69CBCC7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E6DFF99" w14:textId="4A707B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5CF382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205</w:t>
            </w:r>
          </w:p>
        </w:tc>
      </w:tr>
      <w:tr w:rsidR="00315701" w:rsidRPr="009543E3" w14:paraId="0282A12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20148D" w14:textId="582B938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6C15A7D" w14:textId="1AC87F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2B92B26" w14:textId="18C7DF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74B944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w:t>
            </w:r>
          </w:p>
        </w:tc>
      </w:tr>
      <w:tr w:rsidR="00315701" w:rsidRPr="009543E3" w14:paraId="57DC22A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6C23F6" w14:textId="77777777" w:rsidR="00315701" w:rsidRPr="009543E3" w:rsidRDefault="00315701" w:rsidP="006914CE">
            <w:pPr>
              <w:suppressLineNumbers/>
              <w:suppressAutoHyphens/>
              <w:rPr>
                <w:kern w:val="22"/>
                <w:szCs w:val="22"/>
                <w:lang w:eastAsia="en-CA"/>
              </w:rPr>
            </w:pPr>
            <w:r w:rsidRPr="009543E3">
              <w:rPr>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17AC7E52" w14:textId="46C4ACC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F76D420" w14:textId="0225D4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CB49C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3B729B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2AA98D" w14:textId="77777777" w:rsidR="00315701" w:rsidRPr="009543E3" w:rsidRDefault="00315701" w:rsidP="006914CE">
            <w:pPr>
              <w:suppressLineNumbers/>
              <w:suppressAutoHyphens/>
              <w:rPr>
                <w:kern w:val="22"/>
                <w:szCs w:val="22"/>
                <w:lang w:eastAsia="en-CA"/>
              </w:rPr>
            </w:pPr>
            <w:r w:rsidRPr="009543E3">
              <w:rPr>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06B75F3E" w14:textId="0068E7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3CD78E8" w14:textId="538C6B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CA43CA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2A038E7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C6EAB4" w14:textId="77777777" w:rsidR="00315701" w:rsidRPr="009543E3" w:rsidRDefault="00315701" w:rsidP="006914CE">
            <w:pPr>
              <w:suppressLineNumbers/>
              <w:suppressAutoHyphens/>
              <w:rPr>
                <w:kern w:val="22"/>
                <w:szCs w:val="22"/>
                <w:lang w:eastAsia="en-CA"/>
              </w:rPr>
            </w:pPr>
            <w:r w:rsidRPr="009543E3">
              <w:rPr>
                <w:kern w:val="22"/>
                <w:szCs w:val="22"/>
                <w:lang w:eastAsia="en-CA"/>
              </w:rPr>
              <w:t>Argentina</w:t>
            </w:r>
          </w:p>
        </w:tc>
        <w:tc>
          <w:tcPr>
            <w:tcW w:w="1540" w:type="dxa"/>
            <w:tcBorders>
              <w:top w:val="nil"/>
              <w:left w:val="nil"/>
              <w:bottom w:val="single" w:sz="4" w:space="0" w:color="auto"/>
              <w:right w:val="single" w:sz="4" w:space="0" w:color="auto"/>
            </w:tcBorders>
            <w:shd w:val="clear" w:color="auto" w:fill="auto"/>
            <w:vAlign w:val="center"/>
            <w:hideMark/>
          </w:tcPr>
          <w:p w14:paraId="7E26C3D8" w14:textId="4CFE6F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0.915</w:t>
            </w:r>
          </w:p>
        </w:tc>
        <w:tc>
          <w:tcPr>
            <w:tcW w:w="1540" w:type="dxa"/>
            <w:tcBorders>
              <w:top w:val="nil"/>
              <w:left w:val="nil"/>
              <w:bottom w:val="single" w:sz="4" w:space="0" w:color="auto"/>
              <w:right w:val="single" w:sz="4" w:space="0" w:color="auto"/>
            </w:tcBorders>
            <w:shd w:val="clear" w:color="auto" w:fill="auto"/>
            <w:noWrap/>
            <w:vAlign w:val="center"/>
            <w:hideMark/>
          </w:tcPr>
          <w:p w14:paraId="3034281C" w14:textId="57F6DA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1.579</w:t>
            </w:r>
          </w:p>
        </w:tc>
        <w:tc>
          <w:tcPr>
            <w:tcW w:w="1540" w:type="dxa"/>
            <w:tcBorders>
              <w:top w:val="nil"/>
              <w:left w:val="nil"/>
              <w:bottom w:val="single" w:sz="4" w:space="0" w:color="auto"/>
              <w:right w:val="single" w:sz="4" w:space="0" w:color="auto"/>
            </w:tcBorders>
            <w:shd w:val="clear" w:color="auto" w:fill="auto"/>
            <w:noWrap/>
            <w:vAlign w:val="center"/>
            <w:hideMark/>
          </w:tcPr>
          <w:p w14:paraId="5BF390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26,758</w:t>
            </w:r>
          </w:p>
        </w:tc>
      </w:tr>
      <w:tr w:rsidR="00315701" w:rsidRPr="009543E3" w14:paraId="30DFC59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7CC70A" w14:textId="77777777" w:rsidR="00315701" w:rsidRPr="009543E3" w:rsidRDefault="00315701" w:rsidP="006914CE">
            <w:pPr>
              <w:suppressLineNumbers/>
              <w:suppressAutoHyphens/>
              <w:rPr>
                <w:kern w:val="22"/>
                <w:szCs w:val="22"/>
                <w:lang w:eastAsia="en-CA"/>
              </w:rPr>
            </w:pPr>
            <w:r w:rsidRPr="009543E3">
              <w:rPr>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7EECAEBC" w14:textId="342580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58F855E9" w14:textId="1DB9DB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1.168</w:t>
            </w:r>
          </w:p>
        </w:tc>
        <w:tc>
          <w:tcPr>
            <w:tcW w:w="1540" w:type="dxa"/>
            <w:tcBorders>
              <w:top w:val="nil"/>
              <w:left w:val="nil"/>
              <w:bottom w:val="single" w:sz="4" w:space="0" w:color="auto"/>
              <w:right w:val="single" w:sz="4" w:space="0" w:color="auto"/>
            </w:tcBorders>
            <w:shd w:val="clear" w:color="auto" w:fill="auto"/>
            <w:noWrap/>
            <w:vAlign w:val="center"/>
            <w:hideMark/>
          </w:tcPr>
          <w:p w14:paraId="4A04AFF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19,798</w:t>
            </w:r>
          </w:p>
        </w:tc>
      </w:tr>
      <w:tr w:rsidR="00315701" w:rsidRPr="009543E3" w14:paraId="4583E6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ACEFEE" w14:textId="77777777" w:rsidR="00315701" w:rsidRPr="009543E3" w:rsidRDefault="00315701" w:rsidP="006914CE">
            <w:pPr>
              <w:suppressLineNumbers/>
              <w:suppressAutoHyphens/>
              <w:rPr>
                <w:kern w:val="22"/>
                <w:szCs w:val="22"/>
                <w:lang w:eastAsia="en-CA"/>
              </w:rPr>
            </w:pPr>
            <w:r w:rsidRPr="009543E3">
              <w:rPr>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6C7D3368" w14:textId="7E342E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1A2A1498" w14:textId="32DF81A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0.085</w:t>
            </w:r>
          </w:p>
        </w:tc>
        <w:tc>
          <w:tcPr>
            <w:tcW w:w="1540" w:type="dxa"/>
            <w:tcBorders>
              <w:top w:val="nil"/>
              <w:left w:val="nil"/>
              <w:bottom w:val="single" w:sz="4" w:space="0" w:color="auto"/>
              <w:right w:val="single" w:sz="4" w:space="0" w:color="auto"/>
            </w:tcBorders>
            <w:shd w:val="clear" w:color="auto" w:fill="auto"/>
            <w:noWrap/>
            <w:vAlign w:val="center"/>
            <w:hideMark/>
          </w:tcPr>
          <w:p w14:paraId="5B64CFC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1,433</w:t>
            </w:r>
          </w:p>
        </w:tc>
      </w:tr>
      <w:tr w:rsidR="00315701" w:rsidRPr="009543E3" w14:paraId="7C8F6AD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3BFFB3" w14:textId="77777777" w:rsidR="00315701" w:rsidRPr="009543E3" w:rsidRDefault="00315701" w:rsidP="006914CE">
            <w:pPr>
              <w:suppressLineNumbers/>
              <w:suppressAutoHyphens/>
              <w:rPr>
                <w:kern w:val="22"/>
                <w:szCs w:val="22"/>
                <w:lang w:eastAsia="en-CA"/>
              </w:rPr>
            </w:pPr>
            <w:r w:rsidRPr="009543E3">
              <w:rPr>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48CD734F" w14:textId="437EB2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0CCD6C27" w14:textId="6E994EB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1.416</w:t>
            </w:r>
          </w:p>
        </w:tc>
        <w:tc>
          <w:tcPr>
            <w:tcW w:w="1540" w:type="dxa"/>
            <w:tcBorders>
              <w:top w:val="nil"/>
              <w:left w:val="nil"/>
              <w:bottom w:val="single" w:sz="4" w:space="0" w:color="auto"/>
              <w:right w:val="single" w:sz="4" w:space="0" w:color="auto"/>
            </w:tcBorders>
            <w:shd w:val="clear" w:color="auto" w:fill="auto"/>
            <w:noWrap/>
            <w:vAlign w:val="center"/>
            <w:hideMark/>
          </w:tcPr>
          <w:p w14:paraId="3FBACE7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24,009</w:t>
            </w:r>
          </w:p>
        </w:tc>
      </w:tr>
      <w:tr w:rsidR="00315701" w:rsidRPr="009543E3" w14:paraId="1C65A5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02C27A" w14:textId="77777777" w:rsidR="00315701" w:rsidRPr="009543E3" w:rsidRDefault="00315701" w:rsidP="006914CE">
            <w:pPr>
              <w:suppressLineNumbers/>
              <w:suppressAutoHyphens/>
              <w:rPr>
                <w:kern w:val="22"/>
                <w:szCs w:val="22"/>
                <w:lang w:eastAsia="en-CA"/>
              </w:rPr>
            </w:pPr>
            <w:r w:rsidRPr="009543E3">
              <w:rPr>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75EB8C46" w14:textId="0A6EBC3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8713DFB" w14:textId="553696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B63BD6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70E93D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7DC4BB" w14:textId="77777777" w:rsidR="00315701" w:rsidRPr="009543E3" w:rsidRDefault="00315701" w:rsidP="006914CE">
            <w:pPr>
              <w:suppressLineNumbers/>
              <w:suppressAutoHyphens/>
              <w:rPr>
                <w:kern w:val="22"/>
                <w:szCs w:val="22"/>
                <w:lang w:eastAsia="en-CA"/>
              </w:rPr>
            </w:pPr>
            <w:r w:rsidRPr="009543E3">
              <w:rPr>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2DF0DB34" w14:textId="2A3EE3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C162640" w14:textId="49996E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8C60CE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8624A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EFEE30" w14:textId="77777777" w:rsidR="00315701" w:rsidRPr="009543E3" w:rsidRDefault="00315701" w:rsidP="006914CE">
            <w:pPr>
              <w:suppressLineNumbers/>
              <w:suppressAutoHyphens/>
              <w:rPr>
                <w:kern w:val="22"/>
                <w:szCs w:val="22"/>
                <w:lang w:eastAsia="en-CA"/>
              </w:rPr>
            </w:pPr>
            <w:r w:rsidRPr="009543E3">
              <w:rPr>
                <w:kern w:val="22"/>
                <w:szCs w:val="22"/>
                <w:lang w:eastAsia="en-CA"/>
              </w:rPr>
              <w:t>Bolivia (</w:t>
            </w:r>
            <w:proofErr w:type="spellStart"/>
            <w:r w:rsidRPr="009543E3">
              <w:rPr>
                <w:kern w:val="22"/>
                <w:szCs w:val="22"/>
                <w:lang w:eastAsia="en-CA"/>
              </w:rPr>
              <w:t>Plurinational</w:t>
            </w:r>
            <w:proofErr w:type="spellEnd"/>
            <w:r w:rsidRPr="009543E3">
              <w:rPr>
                <w:kern w:val="22"/>
                <w:szCs w:val="22"/>
                <w:lang w:eastAsia="en-CA"/>
              </w:rPr>
              <w:t xml:space="preserve"> State of)</w:t>
            </w:r>
          </w:p>
        </w:tc>
        <w:tc>
          <w:tcPr>
            <w:tcW w:w="1540" w:type="dxa"/>
            <w:tcBorders>
              <w:top w:val="nil"/>
              <w:left w:val="nil"/>
              <w:bottom w:val="single" w:sz="4" w:space="0" w:color="auto"/>
              <w:right w:val="single" w:sz="4" w:space="0" w:color="auto"/>
            </w:tcBorders>
            <w:shd w:val="clear" w:color="auto" w:fill="auto"/>
            <w:vAlign w:val="center"/>
            <w:hideMark/>
          </w:tcPr>
          <w:p w14:paraId="15918746" w14:textId="1E22738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AFF481F" w14:textId="2AB6DA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7E7E8FD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468</w:t>
            </w:r>
          </w:p>
        </w:tc>
      </w:tr>
      <w:tr w:rsidR="00315701" w:rsidRPr="009543E3" w14:paraId="6B57C9E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C5B82F" w14:textId="77777777" w:rsidR="00315701" w:rsidRPr="009543E3" w:rsidRDefault="00315701" w:rsidP="006914CE">
            <w:pPr>
              <w:suppressLineNumbers/>
              <w:suppressAutoHyphens/>
              <w:rPr>
                <w:kern w:val="22"/>
                <w:szCs w:val="22"/>
                <w:lang w:eastAsia="en-CA"/>
              </w:rPr>
            </w:pPr>
            <w:r w:rsidRPr="009543E3">
              <w:rPr>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3537B040" w14:textId="43F600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34716489" w14:textId="4F8140D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D2ABB1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409</w:t>
            </w:r>
          </w:p>
        </w:tc>
      </w:tr>
      <w:tr w:rsidR="00315701" w:rsidRPr="009543E3" w14:paraId="657177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98274" w14:textId="77777777" w:rsidR="00315701" w:rsidRPr="009543E3" w:rsidRDefault="00315701" w:rsidP="006914CE">
            <w:pPr>
              <w:suppressLineNumbers/>
              <w:suppressAutoHyphens/>
              <w:rPr>
                <w:kern w:val="22"/>
                <w:szCs w:val="22"/>
                <w:lang w:eastAsia="en-CA"/>
              </w:rPr>
            </w:pPr>
            <w:r w:rsidRPr="009543E3">
              <w:rPr>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163E6666" w14:textId="2CA1B4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72EB0AC1" w14:textId="5289F9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0.079</w:t>
            </w:r>
          </w:p>
        </w:tc>
        <w:tc>
          <w:tcPr>
            <w:tcW w:w="1540" w:type="dxa"/>
            <w:tcBorders>
              <w:top w:val="nil"/>
              <w:left w:val="nil"/>
              <w:bottom w:val="single" w:sz="4" w:space="0" w:color="auto"/>
              <w:right w:val="single" w:sz="4" w:space="0" w:color="auto"/>
            </w:tcBorders>
            <w:shd w:val="clear" w:color="auto" w:fill="auto"/>
            <w:noWrap/>
            <w:vAlign w:val="center"/>
            <w:hideMark/>
          </w:tcPr>
          <w:p w14:paraId="3E0874B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1,345</w:t>
            </w:r>
          </w:p>
        </w:tc>
      </w:tr>
      <w:tr w:rsidR="00315701" w:rsidRPr="009543E3" w14:paraId="050D4C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FE80BC" w14:textId="77777777" w:rsidR="00315701" w:rsidRPr="009543E3" w:rsidRDefault="00315701" w:rsidP="006914CE">
            <w:pPr>
              <w:suppressLineNumbers/>
              <w:suppressAutoHyphens/>
              <w:rPr>
                <w:kern w:val="22"/>
                <w:szCs w:val="22"/>
                <w:lang w:eastAsia="en-CA"/>
              </w:rPr>
            </w:pPr>
            <w:r w:rsidRPr="009543E3">
              <w:rPr>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5A9D8FBA" w14:textId="1223D4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99FADD5" w14:textId="039D9F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DDCA7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61E78E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329580" w14:textId="77777777" w:rsidR="00315701" w:rsidRPr="009543E3" w:rsidRDefault="00315701" w:rsidP="006914CE">
            <w:pPr>
              <w:suppressLineNumbers/>
              <w:suppressAutoHyphens/>
              <w:rPr>
                <w:kern w:val="22"/>
                <w:szCs w:val="22"/>
                <w:lang w:eastAsia="en-CA"/>
              </w:rPr>
            </w:pPr>
            <w:r w:rsidRPr="009543E3">
              <w:rPr>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319E4B6F" w14:textId="50EF80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0C0A570" w14:textId="0F0F2C6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997717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4ABF9A2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54D89F" w14:textId="77777777" w:rsidR="00315701" w:rsidRPr="009543E3" w:rsidRDefault="00315701" w:rsidP="006914CE">
            <w:pPr>
              <w:suppressLineNumbers/>
              <w:suppressAutoHyphens/>
              <w:rPr>
                <w:kern w:val="22"/>
                <w:szCs w:val="22"/>
                <w:lang w:eastAsia="en-CA"/>
              </w:rPr>
            </w:pPr>
            <w:r w:rsidRPr="009543E3">
              <w:rPr>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510708FA" w14:textId="5426B3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15F04806" w14:textId="6BBC22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E07C28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492E73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899878" w14:textId="77777777" w:rsidR="00315701" w:rsidRPr="009543E3" w:rsidRDefault="00315701" w:rsidP="006914CE">
            <w:pPr>
              <w:suppressLineNumbers/>
              <w:suppressAutoHyphens/>
              <w:rPr>
                <w:kern w:val="22"/>
                <w:szCs w:val="22"/>
                <w:lang w:eastAsia="en-CA"/>
              </w:rPr>
            </w:pPr>
            <w:r w:rsidRPr="009543E3">
              <w:rPr>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40AB0651" w14:textId="2B824E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C1E1947" w14:textId="410D2B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29BCC06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380</w:t>
            </w:r>
          </w:p>
        </w:tc>
      </w:tr>
      <w:tr w:rsidR="00315701" w:rsidRPr="009543E3" w14:paraId="0FDE1E4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17C302" w14:textId="77777777" w:rsidR="00315701" w:rsidRPr="009543E3" w:rsidRDefault="00315701" w:rsidP="006914CE">
            <w:pPr>
              <w:suppressLineNumbers/>
              <w:suppressAutoHyphens/>
              <w:rPr>
                <w:kern w:val="22"/>
                <w:szCs w:val="22"/>
                <w:lang w:eastAsia="en-CA"/>
              </w:rPr>
            </w:pPr>
            <w:r w:rsidRPr="009543E3">
              <w:rPr>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28A0E870" w14:textId="31412BE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01D9D1" w14:textId="2C3D84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20E0B8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15071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3B6B05" w14:textId="77777777" w:rsidR="00315701" w:rsidRPr="009543E3" w:rsidRDefault="00315701" w:rsidP="006914CE">
            <w:pPr>
              <w:suppressLineNumbers/>
              <w:suppressAutoHyphens/>
              <w:rPr>
                <w:kern w:val="22"/>
                <w:szCs w:val="22"/>
                <w:lang w:eastAsia="en-CA"/>
              </w:rPr>
            </w:pPr>
            <w:r w:rsidRPr="009543E3">
              <w:rPr>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1D857CA1" w14:textId="4EFF9F5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0AEFDA" w14:textId="3F91BF4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FA03C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60B3634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23FE68" w14:textId="77777777" w:rsidR="00315701" w:rsidRPr="009543E3" w:rsidRDefault="00315701" w:rsidP="006914CE">
            <w:pPr>
              <w:suppressLineNumbers/>
              <w:suppressAutoHyphens/>
              <w:rPr>
                <w:kern w:val="22"/>
                <w:szCs w:val="22"/>
                <w:lang w:eastAsia="en-CA"/>
              </w:rPr>
            </w:pPr>
            <w:r w:rsidRPr="009543E3">
              <w:rPr>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5DE3E293" w14:textId="5563D0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0A7818EB" w14:textId="713DB4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20.712</w:t>
            </w:r>
          </w:p>
        </w:tc>
        <w:tc>
          <w:tcPr>
            <w:tcW w:w="1540" w:type="dxa"/>
            <w:tcBorders>
              <w:top w:val="nil"/>
              <w:left w:val="nil"/>
              <w:bottom w:val="single" w:sz="4" w:space="0" w:color="auto"/>
              <w:right w:val="single" w:sz="4" w:space="0" w:color="auto"/>
            </w:tcBorders>
            <w:shd w:val="clear" w:color="auto" w:fill="auto"/>
            <w:noWrap/>
            <w:vAlign w:val="center"/>
            <w:hideMark/>
          </w:tcPr>
          <w:p w14:paraId="3C6097F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351,076</w:t>
            </w:r>
          </w:p>
        </w:tc>
      </w:tr>
      <w:tr w:rsidR="00315701" w:rsidRPr="009543E3" w14:paraId="658F690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3A41B" w14:textId="77777777" w:rsidR="00315701" w:rsidRPr="009543E3" w:rsidRDefault="00315701" w:rsidP="006914CE">
            <w:pPr>
              <w:suppressLineNumbers/>
              <w:suppressAutoHyphens/>
              <w:rPr>
                <w:kern w:val="22"/>
                <w:szCs w:val="22"/>
                <w:lang w:eastAsia="en-CA"/>
              </w:rPr>
            </w:pPr>
            <w:r w:rsidRPr="009543E3">
              <w:rPr>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09EB8471" w14:textId="6745C3C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B44945B" w14:textId="7A7532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0FC2E7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6B5987B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BD8E5C" w14:textId="77777777" w:rsidR="00315701" w:rsidRPr="009543E3" w:rsidRDefault="00315701" w:rsidP="006914CE">
            <w:pPr>
              <w:suppressLineNumbers/>
              <w:suppressAutoHyphens/>
              <w:rPr>
                <w:kern w:val="22"/>
                <w:szCs w:val="22"/>
                <w:lang w:eastAsia="en-CA"/>
              </w:rPr>
            </w:pPr>
            <w:r w:rsidRPr="009543E3">
              <w:rPr>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080B29AE" w14:textId="7D2951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F4AABEA" w14:textId="35372C6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EB1F03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3286E9D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B906A5" w14:textId="6BD5FA79" w:rsidR="00315701" w:rsidRPr="009543E3" w:rsidRDefault="00045C28" w:rsidP="006914CE">
            <w:pPr>
              <w:suppressLineNumbers/>
              <w:suppressAutoHyphens/>
              <w:rPr>
                <w:kern w:val="22"/>
                <w:szCs w:val="22"/>
                <w:lang w:eastAsia="en-CA"/>
              </w:rPr>
            </w:pPr>
            <w:r w:rsidRPr="009543E3">
              <w:rPr>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2940CF92" w14:textId="0AF6DF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3667CF88" w14:textId="3BEB1E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479176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380</w:t>
            </w:r>
          </w:p>
        </w:tc>
      </w:tr>
      <w:tr w:rsidR="00315701" w:rsidRPr="009543E3" w14:paraId="791F61C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C4C6DF" w14:textId="77777777" w:rsidR="00315701" w:rsidRPr="009543E3" w:rsidRDefault="00315701" w:rsidP="006914CE">
            <w:pPr>
              <w:suppressLineNumbers/>
              <w:suppressAutoHyphens/>
              <w:rPr>
                <w:kern w:val="22"/>
                <w:szCs w:val="22"/>
                <w:lang w:eastAsia="en-CA"/>
              </w:rPr>
            </w:pPr>
            <w:r w:rsidRPr="009543E3">
              <w:rPr>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240E51F3" w14:textId="45EFC6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546A9159" w14:textId="1A90E0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0.133</w:t>
            </w:r>
          </w:p>
        </w:tc>
        <w:tc>
          <w:tcPr>
            <w:tcW w:w="1540" w:type="dxa"/>
            <w:tcBorders>
              <w:top w:val="nil"/>
              <w:left w:val="nil"/>
              <w:bottom w:val="single" w:sz="4" w:space="0" w:color="auto"/>
              <w:right w:val="single" w:sz="4" w:space="0" w:color="auto"/>
            </w:tcBorders>
            <w:shd w:val="clear" w:color="auto" w:fill="auto"/>
            <w:noWrap/>
            <w:vAlign w:val="center"/>
            <w:hideMark/>
          </w:tcPr>
          <w:p w14:paraId="1756D46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2,252</w:t>
            </w:r>
          </w:p>
        </w:tc>
      </w:tr>
      <w:tr w:rsidR="00315701" w:rsidRPr="009543E3" w14:paraId="3E629B1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F74B37" w14:textId="77777777" w:rsidR="00315701" w:rsidRPr="009543E3" w:rsidRDefault="00315701" w:rsidP="006914CE">
            <w:pPr>
              <w:suppressLineNumbers/>
              <w:suppressAutoHyphens/>
              <w:rPr>
                <w:kern w:val="22"/>
                <w:szCs w:val="22"/>
                <w:lang w:eastAsia="en-CA"/>
              </w:rPr>
            </w:pPr>
            <w:r w:rsidRPr="009543E3">
              <w:rPr>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010D45BD" w14:textId="4306C8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75392572" w14:textId="764E3B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2C5E72B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r>
      <w:tr w:rsidR="00315701" w:rsidRPr="009543E3" w14:paraId="18DF672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E469F7" w14:textId="3254C5C6" w:rsidR="00315701" w:rsidRPr="009543E3" w:rsidRDefault="00315701" w:rsidP="006914CE">
            <w:pPr>
              <w:suppressLineNumbers/>
              <w:suppressAutoHyphens/>
              <w:rPr>
                <w:kern w:val="22"/>
                <w:szCs w:val="22"/>
                <w:lang w:eastAsia="en-CA"/>
              </w:rPr>
            </w:pPr>
            <w:r w:rsidRPr="009543E3">
              <w:rPr>
                <w:kern w:val="22"/>
                <w:szCs w:val="22"/>
                <w:lang w:eastAsia="en-CA"/>
              </w:rPr>
              <w:t>Czech</w:t>
            </w:r>
            <w:r w:rsidR="0032485E" w:rsidRPr="009543E3">
              <w:rPr>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40C213CE" w14:textId="79341A1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707E8EF7" w14:textId="5ED8CF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0.537</w:t>
            </w:r>
          </w:p>
        </w:tc>
        <w:tc>
          <w:tcPr>
            <w:tcW w:w="1540" w:type="dxa"/>
            <w:tcBorders>
              <w:top w:val="nil"/>
              <w:left w:val="nil"/>
              <w:bottom w:val="single" w:sz="4" w:space="0" w:color="auto"/>
              <w:right w:val="single" w:sz="4" w:space="0" w:color="auto"/>
            </w:tcBorders>
            <w:shd w:val="clear" w:color="auto" w:fill="auto"/>
            <w:noWrap/>
            <w:vAlign w:val="center"/>
            <w:hideMark/>
          </w:tcPr>
          <w:p w14:paraId="423F7E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9,095</w:t>
            </w:r>
          </w:p>
        </w:tc>
      </w:tr>
      <w:tr w:rsidR="00315701" w:rsidRPr="009543E3" w14:paraId="18D84A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8584A2" w14:textId="77777777" w:rsidR="00315701" w:rsidRPr="009543E3" w:rsidRDefault="00315701" w:rsidP="006914CE">
            <w:pPr>
              <w:suppressLineNumbers/>
              <w:suppressAutoHyphens/>
              <w:rPr>
                <w:kern w:val="22"/>
                <w:szCs w:val="22"/>
                <w:lang w:eastAsia="en-CA"/>
              </w:rPr>
            </w:pPr>
            <w:r w:rsidRPr="009543E3">
              <w:rPr>
                <w:kern w:val="22"/>
                <w:szCs w:val="22"/>
                <w:lang w:eastAsia="en-CA"/>
              </w:rPr>
              <w:t>Democratic Republic of Korea</w:t>
            </w:r>
          </w:p>
        </w:tc>
        <w:tc>
          <w:tcPr>
            <w:tcW w:w="1540" w:type="dxa"/>
            <w:tcBorders>
              <w:top w:val="nil"/>
              <w:left w:val="nil"/>
              <w:bottom w:val="single" w:sz="4" w:space="0" w:color="auto"/>
              <w:right w:val="single" w:sz="4" w:space="0" w:color="auto"/>
            </w:tcBorders>
            <w:shd w:val="clear" w:color="auto" w:fill="auto"/>
            <w:vAlign w:val="center"/>
            <w:hideMark/>
          </w:tcPr>
          <w:p w14:paraId="163E148B" w14:textId="3E9F11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6A6DC3B" w14:textId="777E1E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A5BA51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3C5D340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B4BB77" w14:textId="77777777" w:rsidR="00315701" w:rsidRPr="009543E3" w:rsidRDefault="00315701" w:rsidP="006914CE">
            <w:pPr>
              <w:suppressLineNumbers/>
              <w:suppressAutoHyphens/>
              <w:rPr>
                <w:kern w:val="22"/>
                <w:szCs w:val="22"/>
                <w:lang w:eastAsia="en-CA"/>
              </w:rPr>
            </w:pPr>
            <w:r w:rsidRPr="009543E3">
              <w:rPr>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7C88930D" w14:textId="3C5600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E7E5D39" w14:textId="4A5FD5B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CB252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bl>
    <w:p w14:paraId="7ED77C70" w14:textId="3298B83B" w:rsidR="00315701" w:rsidRPr="009543E3" w:rsidRDefault="00315701" w:rsidP="006914CE">
      <w:pPr>
        <w:suppressLineNumbers/>
        <w:suppressAutoHyphens/>
        <w:spacing w:after="160" w:line="259" w:lineRule="auto"/>
        <w:rPr>
          <w:bCs/>
          <w:snapToGrid w:val="0"/>
          <w:kern w:val="22"/>
          <w:szCs w:val="22"/>
        </w:rPr>
      </w:pPr>
    </w:p>
    <w:p w14:paraId="27E07D36" w14:textId="77777777" w:rsidR="00315701" w:rsidRPr="009543E3" w:rsidRDefault="00315701" w:rsidP="006914CE">
      <w:pPr>
        <w:suppressLineNumbers/>
        <w:suppressAutoHyphens/>
        <w:spacing w:after="160" w:line="259" w:lineRule="auto"/>
        <w:rPr>
          <w:b/>
          <w:snapToGrid w:val="0"/>
          <w:kern w:val="22"/>
          <w:szCs w:val="22"/>
        </w:rPr>
      </w:pPr>
      <w:r w:rsidRPr="009543E3">
        <w:rPr>
          <w:b/>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834528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1982" w14:textId="5997E6E3"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787CCC" w14:textId="53F2BDBC"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87F98"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23A9C2" w14:textId="7BD0C0FF"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4C3B51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4E6006" w14:textId="77777777" w:rsidR="00315701" w:rsidRPr="009543E3" w:rsidRDefault="00315701" w:rsidP="006914CE">
            <w:pPr>
              <w:suppressLineNumbers/>
              <w:suppressAutoHyphens/>
              <w:rPr>
                <w:kern w:val="22"/>
                <w:szCs w:val="22"/>
                <w:lang w:eastAsia="en-CA"/>
              </w:rPr>
            </w:pPr>
            <w:r w:rsidRPr="009543E3">
              <w:rPr>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2BC6D0B9" w14:textId="1288FB6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05421D81" w14:textId="2C21BF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0.956</w:t>
            </w:r>
          </w:p>
        </w:tc>
        <w:tc>
          <w:tcPr>
            <w:tcW w:w="1540" w:type="dxa"/>
            <w:tcBorders>
              <w:top w:val="nil"/>
              <w:left w:val="nil"/>
              <w:bottom w:val="single" w:sz="4" w:space="0" w:color="auto"/>
              <w:right w:val="single" w:sz="4" w:space="0" w:color="auto"/>
            </w:tcBorders>
            <w:shd w:val="clear" w:color="auto" w:fill="auto"/>
            <w:noWrap/>
            <w:vAlign w:val="center"/>
            <w:hideMark/>
          </w:tcPr>
          <w:p w14:paraId="54729E9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16,201</w:t>
            </w:r>
          </w:p>
        </w:tc>
      </w:tr>
      <w:tr w:rsidR="00315701" w:rsidRPr="009543E3" w14:paraId="70A5C5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AE1BD5" w14:textId="77777777" w:rsidR="00315701" w:rsidRPr="009543E3" w:rsidRDefault="00315701" w:rsidP="006914CE">
            <w:pPr>
              <w:suppressLineNumbers/>
              <w:suppressAutoHyphens/>
              <w:rPr>
                <w:kern w:val="22"/>
                <w:szCs w:val="22"/>
                <w:lang w:eastAsia="en-CA"/>
              </w:rPr>
            </w:pPr>
            <w:r w:rsidRPr="009543E3">
              <w:rPr>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246E7E31" w14:textId="25CB520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DEBE00A" w14:textId="041622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CFEA8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CB9A34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8681EF" w14:textId="77777777" w:rsidR="00315701" w:rsidRPr="009543E3" w:rsidRDefault="00315701" w:rsidP="006914CE">
            <w:pPr>
              <w:suppressLineNumbers/>
              <w:suppressAutoHyphens/>
              <w:rPr>
                <w:kern w:val="22"/>
                <w:szCs w:val="22"/>
                <w:lang w:eastAsia="en-CA"/>
              </w:rPr>
            </w:pPr>
            <w:r w:rsidRPr="009543E3">
              <w:rPr>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1D33766F" w14:textId="6029A6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5A53342C" w14:textId="38EE4F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0.091</w:t>
            </w:r>
          </w:p>
        </w:tc>
        <w:tc>
          <w:tcPr>
            <w:tcW w:w="1540" w:type="dxa"/>
            <w:tcBorders>
              <w:top w:val="nil"/>
              <w:left w:val="nil"/>
              <w:bottom w:val="single" w:sz="4" w:space="0" w:color="auto"/>
              <w:right w:val="single" w:sz="4" w:space="0" w:color="auto"/>
            </w:tcBorders>
            <w:shd w:val="clear" w:color="auto" w:fill="auto"/>
            <w:noWrap/>
            <w:vAlign w:val="center"/>
            <w:hideMark/>
          </w:tcPr>
          <w:p w14:paraId="4505707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1,550</w:t>
            </w:r>
          </w:p>
        </w:tc>
      </w:tr>
      <w:tr w:rsidR="00315701" w:rsidRPr="009543E3" w14:paraId="1420CA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B9F79D" w14:textId="77777777" w:rsidR="00315701" w:rsidRPr="009543E3" w:rsidRDefault="00315701" w:rsidP="006914CE">
            <w:pPr>
              <w:suppressLineNumbers/>
              <w:suppressAutoHyphens/>
              <w:rPr>
                <w:kern w:val="22"/>
                <w:szCs w:val="22"/>
                <w:lang w:eastAsia="en-CA"/>
              </w:rPr>
            </w:pPr>
            <w:r w:rsidRPr="009543E3">
              <w:rPr>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115D48FC" w14:textId="29669C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42C5A445" w14:textId="6094FA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333BB1C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r>
      <w:tr w:rsidR="00315701" w:rsidRPr="009543E3" w14:paraId="4F825B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15F4E9" w14:textId="77777777" w:rsidR="00315701" w:rsidRPr="009543E3" w:rsidRDefault="00315701" w:rsidP="006914CE">
            <w:pPr>
              <w:suppressLineNumbers/>
              <w:suppressAutoHyphens/>
              <w:rPr>
                <w:kern w:val="22"/>
                <w:szCs w:val="22"/>
                <w:lang w:eastAsia="en-CA"/>
              </w:rPr>
            </w:pPr>
            <w:r w:rsidRPr="009543E3">
              <w:rPr>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6A61706C" w14:textId="4E552B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3722E103" w14:textId="346B3C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0.321</w:t>
            </w:r>
          </w:p>
        </w:tc>
        <w:tc>
          <w:tcPr>
            <w:tcW w:w="1540" w:type="dxa"/>
            <w:tcBorders>
              <w:top w:val="nil"/>
              <w:left w:val="nil"/>
              <w:bottom w:val="single" w:sz="4" w:space="0" w:color="auto"/>
              <w:right w:val="single" w:sz="4" w:space="0" w:color="auto"/>
            </w:tcBorders>
            <w:shd w:val="clear" w:color="auto" w:fill="auto"/>
            <w:noWrap/>
            <w:vAlign w:val="center"/>
            <w:hideMark/>
          </w:tcPr>
          <w:p w14:paraId="501EFAA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5,439</w:t>
            </w:r>
          </w:p>
        </w:tc>
      </w:tr>
      <w:tr w:rsidR="00315701" w:rsidRPr="009543E3" w14:paraId="730940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FDAD0B" w14:textId="77777777" w:rsidR="00315701" w:rsidRPr="009543E3" w:rsidRDefault="00315701" w:rsidP="006914CE">
            <w:pPr>
              <w:suppressLineNumbers/>
              <w:suppressAutoHyphens/>
              <w:rPr>
                <w:kern w:val="22"/>
                <w:szCs w:val="22"/>
                <w:lang w:eastAsia="en-CA"/>
              </w:rPr>
            </w:pPr>
            <w:r w:rsidRPr="009543E3">
              <w:rPr>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5CE473E2" w14:textId="1102D36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33E8CBA" w14:textId="3474A5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1A99D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C0140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EA39E" w14:textId="77777777" w:rsidR="00315701" w:rsidRPr="009543E3" w:rsidRDefault="00315701" w:rsidP="006914CE">
            <w:pPr>
              <w:suppressLineNumbers/>
              <w:suppressAutoHyphens/>
              <w:rPr>
                <w:kern w:val="22"/>
                <w:szCs w:val="22"/>
                <w:lang w:eastAsia="en-CA"/>
              </w:rPr>
            </w:pPr>
            <w:r w:rsidRPr="009543E3">
              <w:rPr>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5DA7B458" w14:textId="7A08A63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05BE8CE8" w14:textId="38DCC3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7A305A3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1,141</w:t>
            </w:r>
          </w:p>
        </w:tc>
      </w:tr>
      <w:tr w:rsidR="00315701" w:rsidRPr="009543E3" w14:paraId="535B63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021CCB" w14:textId="77777777" w:rsidR="00315701" w:rsidRPr="009543E3" w:rsidRDefault="00315701" w:rsidP="006914CE">
            <w:pPr>
              <w:suppressLineNumbers/>
              <w:suppressAutoHyphens/>
              <w:rPr>
                <w:kern w:val="22"/>
                <w:szCs w:val="22"/>
                <w:lang w:eastAsia="en-CA"/>
              </w:rPr>
            </w:pPr>
            <w:r w:rsidRPr="009543E3">
              <w:rPr>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37175FD4" w14:textId="0840136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6C417D1" w14:textId="1D35A5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BD2718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57F2B0D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0401C7" w14:textId="77777777" w:rsidR="00315701" w:rsidRPr="009543E3" w:rsidRDefault="00315701" w:rsidP="006914CE">
            <w:pPr>
              <w:suppressLineNumbers/>
              <w:suppressAutoHyphens/>
              <w:rPr>
                <w:kern w:val="22"/>
                <w:szCs w:val="22"/>
                <w:lang w:eastAsia="en-CA"/>
              </w:rPr>
            </w:pPr>
            <w:r w:rsidRPr="009543E3">
              <w:rPr>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58C533EA" w14:textId="2E217A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0658555" w14:textId="5578555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1B8C1E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4070F29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7671A3" w14:textId="77777777" w:rsidR="00315701" w:rsidRPr="009543E3" w:rsidRDefault="00315701" w:rsidP="006914CE">
            <w:pPr>
              <w:suppressLineNumbers/>
              <w:suppressAutoHyphens/>
              <w:rPr>
                <w:kern w:val="22"/>
                <w:szCs w:val="22"/>
                <w:lang w:eastAsia="en-CA"/>
              </w:rPr>
            </w:pPr>
            <w:r w:rsidRPr="009543E3">
              <w:rPr>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1EF22BAB" w14:textId="046FAAA1" w:rsidR="00315701" w:rsidRPr="009543E3" w:rsidRDefault="00315701"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4B821477" w14:textId="4AF18D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5857EEC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42,375</w:t>
            </w:r>
          </w:p>
        </w:tc>
      </w:tr>
      <w:tr w:rsidR="00315701" w:rsidRPr="009543E3" w14:paraId="7AA39C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171C3D" w14:textId="77777777" w:rsidR="00315701" w:rsidRPr="009543E3" w:rsidRDefault="00315701" w:rsidP="006914CE">
            <w:pPr>
              <w:suppressLineNumbers/>
              <w:suppressAutoHyphens/>
              <w:rPr>
                <w:kern w:val="22"/>
                <w:szCs w:val="22"/>
                <w:lang w:eastAsia="en-CA"/>
              </w:rPr>
            </w:pPr>
            <w:r w:rsidRPr="009543E3">
              <w:rPr>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39A32F65" w14:textId="2FD9A4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5E0A5C" w14:textId="4B8890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6C04F0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3ECE69D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AC2B43" w14:textId="77777777" w:rsidR="00315701" w:rsidRPr="009543E3" w:rsidRDefault="00315701" w:rsidP="006914CE">
            <w:pPr>
              <w:suppressLineNumbers/>
              <w:suppressAutoHyphens/>
              <w:rPr>
                <w:kern w:val="22"/>
                <w:szCs w:val="22"/>
                <w:lang w:eastAsia="en-CA"/>
              </w:rPr>
            </w:pPr>
            <w:r w:rsidRPr="009543E3">
              <w:rPr>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7504A857" w14:textId="5124FB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4EBB0D50" w14:textId="12CA6B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0.726</w:t>
            </w:r>
          </w:p>
        </w:tc>
        <w:tc>
          <w:tcPr>
            <w:tcW w:w="1540" w:type="dxa"/>
            <w:tcBorders>
              <w:top w:val="nil"/>
              <w:left w:val="nil"/>
              <w:bottom w:val="single" w:sz="4" w:space="0" w:color="auto"/>
              <w:right w:val="single" w:sz="4" w:space="0" w:color="auto"/>
            </w:tcBorders>
            <w:shd w:val="clear" w:color="auto" w:fill="auto"/>
            <w:noWrap/>
            <w:vAlign w:val="center"/>
            <w:hideMark/>
          </w:tcPr>
          <w:p w14:paraId="78FA8B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12,312</w:t>
            </w:r>
          </w:p>
        </w:tc>
      </w:tr>
      <w:tr w:rsidR="00315701" w:rsidRPr="009543E3" w14:paraId="08F16BE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BEEA85" w14:textId="77777777" w:rsidR="00315701" w:rsidRPr="009543E3" w:rsidRDefault="00315701" w:rsidP="006914CE">
            <w:pPr>
              <w:suppressLineNumbers/>
              <w:suppressAutoHyphens/>
              <w:rPr>
                <w:kern w:val="22"/>
                <w:szCs w:val="22"/>
                <w:lang w:eastAsia="en-CA"/>
              </w:rPr>
            </w:pPr>
            <w:r w:rsidRPr="009543E3">
              <w:rPr>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2A37B780" w14:textId="7A7CB1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36877268" w14:textId="1CC08C8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7.638</w:t>
            </w:r>
          </w:p>
        </w:tc>
        <w:tc>
          <w:tcPr>
            <w:tcW w:w="1540" w:type="dxa"/>
            <w:tcBorders>
              <w:top w:val="nil"/>
              <w:left w:val="nil"/>
              <w:bottom w:val="single" w:sz="4" w:space="0" w:color="auto"/>
              <w:right w:val="single" w:sz="4" w:space="0" w:color="auto"/>
            </w:tcBorders>
            <w:shd w:val="clear" w:color="auto" w:fill="auto"/>
            <w:noWrap/>
            <w:vAlign w:val="center"/>
            <w:hideMark/>
          </w:tcPr>
          <w:p w14:paraId="053CCF8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129,464</w:t>
            </w:r>
          </w:p>
        </w:tc>
      </w:tr>
      <w:tr w:rsidR="00315701" w:rsidRPr="009543E3" w14:paraId="7B3F23E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C4F67A" w14:textId="77777777" w:rsidR="00315701" w:rsidRPr="009543E3" w:rsidRDefault="00315701" w:rsidP="006914CE">
            <w:pPr>
              <w:suppressLineNumbers/>
              <w:suppressAutoHyphens/>
              <w:rPr>
                <w:kern w:val="22"/>
                <w:szCs w:val="22"/>
                <w:lang w:eastAsia="en-CA"/>
              </w:rPr>
            </w:pPr>
            <w:r w:rsidRPr="009543E3">
              <w:rPr>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0F306856" w14:textId="21DC13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F1F5FB1" w14:textId="12D3A4C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01A6E8D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439</w:t>
            </w:r>
          </w:p>
        </w:tc>
      </w:tr>
      <w:tr w:rsidR="00315701" w:rsidRPr="009543E3" w14:paraId="28BE12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51E7D5" w14:textId="77777777" w:rsidR="00315701" w:rsidRPr="009543E3" w:rsidRDefault="00315701" w:rsidP="006914CE">
            <w:pPr>
              <w:suppressLineNumbers/>
              <w:suppressAutoHyphens/>
              <w:rPr>
                <w:kern w:val="22"/>
                <w:szCs w:val="22"/>
                <w:lang w:eastAsia="en-CA"/>
              </w:rPr>
            </w:pPr>
            <w:r w:rsidRPr="009543E3">
              <w:rPr>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2137A654" w14:textId="5C6626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EF4B716" w14:textId="55DE5C7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D20A7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12B79D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C58795" w14:textId="77777777" w:rsidR="00315701" w:rsidRPr="009543E3" w:rsidRDefault="00315701" w:rsidP="006914CE">
            <w:pPr>
              <w:suppressLineNumbers/>
              <w:suppressAutoHyphens/>
              <w:rPr>
                <w:kern w:val="22"/>
                <w:szCs w:val="22"/>
                <w:lang w:eastAsia="en-CA"/>
              </w:rPr>
            </w:pPr>
            <w:r w:rsidRPr="009543E3">
              <w:rPr>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1AEF2317" w14:textId="4E8E85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6321F987" w14:textId="4CA31B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10.507</w:t>
            </w:r>
          </w:p>
        </w:tc>
        <w:tc>
          <w:tcPr>
            <w:tcW w:w="1540" w:type="dxa"/>
            <w:tcBorders>
              <w:top w:val="nil"/>
              <w:left w:val="nil"/>
              <w:bottom w:val="single" w:sz="4" w:space="0" w:color="auto"/>
              <w:right w:val="single" w:sz="4" w:space="0" w:color="auto"/>
            </w:tcBorders>
            <w:shd w:val="clear" w:color="auto" w:fill="auto"/>
            <w:noWrap/>
            <w:vAlign w:val="center"/>
            <w:hideMark/>
          </w:tcPr>
          <w:p w14:paraId="296E978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178,097</w:t>
            </w:r>
          </w:p>
        </w:tc>
      </w:tr>
      <w:tr w:rsidR="00315701" w:rsidRPr="009543E3" w14:paraId="42D0BB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17F16C" w14:textId="77777777" w:rsidR="00315701" w:rsidRPr="009543E3" w:rsidRDefault="00315701" w:rsidP="006914CE">
            <w:pPr>
              <w:suppressLineNumbers/>
              <w:suppressAutoHyphens/>
              <w:rPr>
                <w:kern w:val="22"/>
                <w:szCs w:val="22"/>
                <w:lang w:eastAsia="en-CA"/>
              </w:rPr>
            </w:pPr>
            <w:r w:rsidRPr="009543E3">
              <w:rPr>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169581EC" w14:textId="286574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00A5EB5E" w14:textId="573CB2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7843243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439</w:t>
            </w:r>
          </w:p>
        </w:tc>
      </w:tr>
      <w:tr w:rsidR="00315701" w:rsidRPr="009543E3" w14:paraId="3C1E1D1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B33690" w14:textId="77777777" w:rsidR="00315701" w:rsidRPr="009543E3" w:rsidRDefault="00315701" w:rsidP="006914CE">
            <w:pPr>
              <w:suppressLineNumbers/>
              <w:suppressAutoHyphens/>
              <w:rPr>
                <w:kern w:val="22"/>
                <w:szCs w:val="22"/>
                <w:lang w:eastAsia="en-CA"/>
              </w:rPr>
            </w:pPr>
            <w:r w:rsidRPr="009543E3">
              <w:rPr>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624116B7" w14:textId="4EA7465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7611539A" w14:textId="02435BD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0.631</w:t>
            </w:r>
          </w:p>
        </w:tc>
        <w:tc>
          <w:tcPr>
            <w:tcW w:w="1540" w:type="dxa"/>
            <w:tcBorders>
              <w:top w:val="nil"/>
              <w:left w:val="nil"/>
              <w:bottom w:val="single" w:sz="4" w:space="0" w:color="auto"/>
              <w:right w:val="single" w:sz="4" w:space="0" w:color="auto"/>
            </w:tcBorders>
            <w:shd w:val="clear" w:color="auto" w:fill="auto"/>
            <w:noWrap/>
            <w:vAlign w:val="center"/>
            <w:hideMark/>
          </w:tcPr>
          <w:p w14:paraId="11C1351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10,703</w:t>
            </w:r>
          </w:p>
        </w:tc>
      </w:tr>
      <w:tr w:rsidR="00315701" w:rsidRPr="009543E3" w14:paraId="09BA68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4F4A4E" w14:textId="77777777" w:rsidR="00315701" w:rsidRPr="009543E3" w:rsidRDefault="00315701" w:rsidP="006914CE">
            <w:pPr>
              <w:suppressLineNumbers/>
              <w:suppressAutoHyphens/>
              <w:rPr>
                <w:kern w:val="22"/>
                <w:szCs w:val="22"/>
                <w:lang w:eastAsia="en-CA"/>
              </w:rPr>
            </w:pPr>
            <w:r w:rsidRPr="009543E3">
              <w:rPr>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7EE286B2" w14:textId="6D2628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3565E3D" w14:textId="6BE622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336A228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1,053</w:t>
            </w:r>
          </w:p>
        </w:tc>
      </w:tr>
      <w:tr w:rsidR="00315701" w:rsidRPr="009543E3" w14:paraId="04D18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3E8B0F" w14:textId="77777777" w:rsidR="00315701" w:rsidRPr="009543E3" w:rsidRDefault="00315701" w:rsidP="006914CE">
            <w:pPr>
              <w:suppressLineNumbers/>
              <w:suppressAutoHyphens/>
              <w:rPr>
                <w:kern w:val="22"/>
                <w:szCs w:val="22"/>
                <w:lang w:eastAsia="en-CA"/>
              </w:rPr>
            </w:pPr>
            <w:r w:rsidRPr="009543E3">
              <w:rPr>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2D69AB8C" w14:textId="76CDBAB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9E6DF51" w14:textId="4D81C7C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9120EE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6137F6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79EF1" w14:textId="77777777" w:rsidR="00315701" w:rsidRPr="009543E3" w:rsidRDefault="00315701" w:rsidP="006914CE">
            <w:pPr>
              <w:suppressLineNumbers/>
              <w:suppressAutoHyphens/>
              <w:rPr>
                <w:kern w:val="22"/>
                <w:szCs w:val="22"/>
                <w:lang w:eastAsia="en-CA"/>
              </w:rPr>
            </w:pPr>
            <w:r w:rsidRPr="009543E3">
              <w:rPr>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6EE97477" w14:textId="06DA76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25EF3F" w14:textId="05F5C9B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357FA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F4AA6F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2A115" w14:textId="77777777" w:rsidR="00315701" w:rsidRPr="009543E3" w:rsidRDefault="00315701" w:rsidP="006914CE">
            <w:pPr>
              <w:suppressLineNumbers/>
              <w:suppressAutoHyphens/>
              <w:rPr>
                <w:kern w:val="22"/>
                <w:szCs w:val="22"/>
                <w:lang w:eastAsia="en-CA"/>
              </w:rPr>
            </w:pPr>
            <w:r w:rsidRPr="009543E3">
              <w:rPr>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6EEA8156" w14:textId="414737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570B0DC" w14:textId="641AF7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F3DC2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00EB64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F54D8B" w14:textId="77777777" w:rsidR="00315701" w:rsidRPr="009543E3" w:rsidRDefault="00315701" w:rsidP="006914CE">
            <w:pPr>
              <w:suppressLineNumbers/>
              <w:suppressAutoHyphens/>
              <w:rPr>
                <w:kern w:val="22"/>
                <w:szCs w:val="22"/>
                <w:lang w:eastAsia="en-CA"/>
              </w:rPr>
            </w:pPr>
            <w:r w:rsidRPr="009543E3">
              <w:rPr>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36AC9D38" w14:textId="7988914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7185160" w14:textId="0739F8C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AF6962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23CEAC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8AF318" w14:textId="77777777" w:rsidR="00315701" w:rsidRPr="009543E3" w:rsidRDefault="00315701" w:rsidP="006914CE">
            <w:pPr>
              <w:suppressLineNumbers/>
              <w:suppressAutoHyphens/>
              <w:rPr>
                <w:kern w:val="22"/>
                <w:szCs w:val="22"/>
                <w:lang w:eastAsia="en-CA"/>
              </w:rPr>
            </w:pPr>
            <w:r w:rsidRPr="009543E3">
              <w:rPr>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2A9CBF41" w14:textId="560AD0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5A61F641" w14:textId="77F44E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0.355</w:t>
            </w:r>
          </w:p>
        </w:tc>
        <w:tc>
          <w:tcPr>
            <w:tcW w:w="1540" w:type="dxa"/>
            <w:tcBorders>
              <w:top w:val="nil"/>
              <w:left w:val="nil"/>
              <w:bottom w:val="single" w:sz="4" w:space="0" w:color="auto"/>
              <w:right w:val="single" w:sz="4" w:space="0" w:color="auto"/>
            </w:tcBorders>
            <w:shd w:val="clear" w:color="auto" w:fill="auto"/>
            <w:noWrap/>
            <w:vAlign w:val="center"/>
            <w:hideMark/>
          </w:tcPr>
          <w:p w14:paraId="7B310D0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6,024</w:t>
            </w:r>
          </w:p>
        </w:tc>
      </w:tr>
      <w:tr w:rsidR="00315701" w:rsidRPr="009543E3" w14:paraId="6976889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AC3496" w14:textId="77777777" w:rsidR="00315701" w:rsidRPr="009543E3" w:rsidRDefault="00315701" w:rsidP="006914CE">
            <w:pPr>
              <w:suppressLineNumbers/>
              <w:suppressAutoHyphens/>
              <w:rPr>
                <w:kern w:val="22"/>
                <w:szCs w:val="22"/>
                <w:lang w:eastAsia="en-CA"/>
              </w:rPr>
            </w:pPr>
            <w:r w:rsidRPr="009543E3">
              <w:rPr>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B6A369C" w14:textId="72751DB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44BDC986" w14:textId="120177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1.439</w:t>
            </w:r>
          </w:p>
        </w:tc>
        <w:tc>
          <w:tcPr>
            <w:tcW w:w="1540" w:type="dxa"/>
            <w:tcBorders>
              <w:top w:val="nil"/>
              <w:left w:val="nil"/>
              <w:bottom w:val="single" w:sz="4" w:space="0" w:color="auto"/>
              <w:right w:val="single" w:sz="4" w:space="0" w:color="auto"/>
            </w:tcBorders>
            <w:shd w:val="clear" w:color="auto" w:fill="auto"/>
            <w:noWrap/>
            <w:vAlign w:val="center"/>
            <w:hideMark/>
          </w:tcPr>
          <w:p w14:paraId="3FE9052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24,390</w:t>
            </w:r>
          </w:p>
        </w:tc>
      </w:tr>
      <w:tr w:rsidR="00315701" w:rsidRPr="009543E3" w14:paraId="2B9444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63259C" w14:textId="77777777" w:rsidR="00315701" w:rsidRPr="009543E3" w:rsidRDefault="00315701" w:rsidP="006914CE">
            <w:pPr>
              <w:suppressLineNumbers/>
              <w:suppressAutoHyphens/>
              <w:rPr>
                <w:kern w:val="22"/>
                <w:szCs w:val="22"/>
                <w:lang w:eastAsia="en-CA"/>
              </w:rPr>
            </w:pPr>
            <w:r w:rsidRPr="009543E3">
              <w:rPr>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0DA684DA" w14:textId="5D4126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484354FE" w14:textId="277D7AE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0.937</w:t>
            </w:r>
          </w:p>
        </w:tc>
        <w:tc>
          <w:tcPr>
            <w:tcW w:w="1540" w:type="dxa"/>
            <w:tcBorders>
              <w:top w:val="nil"/>
              <w:left w:val="nil"/>
              <w:bottom w:val="single" w:sz="4" w:space="0" w:color="auto"/>
              <w:right w:val="single" w:sz="4" w:space="0" w:color="auto"/>
            </w:tcBorders>
            <w:shd w:val="clear" w:color="auto" w:fill="auto"/>
            <w:noWrap/>
            <w:vAlign w:val="center"/>
            <w:hideMark/>
          </w:tcPr>
          <w:p w14:paraId="5A207E2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15,880</w:t>
            </w:r>
          </w:p>
        </w:tc>
      </w:tr>
      <w:tr w:rsidR="00315701" w:rsidRPr="009543E3" w14:paraId="636BCD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15EF3E" w14:textId="77777777" w:rsidR="00315701" w:rsidRPr="009543E3" w:rsidRDefault="00315701" w:rsidP="006914CE">
            <w:pPr>
              <w:suppressLineNumbers/>
              <w:suppressAutoHyphens/>
              <w:rPr>
                <w:kern w:val="22"/>
                <w:szCs w:val="22"/>
                <w:lang w:eastAsia="en-CA"/>
              </w:rPr>
            </w:pPr>
            <w:r w:rsidRPr="009543E3">
              <w:rPr>
                <w:kern w:val="22"/>
                <w:szCs w:val="22"/>
                <w:lang w:eastAsia="en-CA"/>
              </w:rPr>
              <w:t>Japan</w:t>
            </w:r>
          </w:p>
        </w:tc>
        <w:tc>
          <w:tcPr>
            <w:tcW w:w="1540" w:type="dxa"/>
            <w:tcBorders>
              <w:top w:val="nil"/>
              <w:left w:val="nil"/>
              <w:bottom w:val="single" w:sz="4" w:space="0" w:color="auto"/>
              <w:right w:val="single" w:sz="4" w:space="0" w:color="auto"/>
            </w:tcBorders>
            <w:shd w:val="clear" w:color="auto" w:fill="auto"/>
            <w:noWrap/>
            <w:vAlign w:val="center"/>
            <w:hideMark/>
          </w:tcPr>
          <w:p w14:paraId="4E88158F" w14:textId="13E1B3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55AFE87D" w14:textId="54A5D6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14.776</w:t>
            </w:r>
          </w:p>
        </w:tc>
        <w:tc>
          <w:tcPr>
            <w:tcW w:w="1540" w:type="dxa"/>
            <w:tcBorders>
              <w:top w:val="nil"/>
              <w:left w:val="nil"/>
              <w:bottom w:val="single" w:sz="4" w:space="0" w:color="auto"/>
              <w:right w:val="single" w:sz="4" w:space="0" w:color="auto"/>
            </w:tcBorders>
            <w:shd w:val="clear" w:color="auto" w:fill="auto"/>
            <w:noWrap/>
            <w:vAlign w:val="center"/>
            <w:hideMark/>
          </w:tcPr>
          <w:p w14:paraId="5876DF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250,447</w:t>
            </w:r>
          </w:p>
        </w:tc>
      </w:tr>
      <w:tr w:rsidR="00315701" w:rsidRPr="009543E3" w14:paraId="3CF5E8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756BC" w14:textId="77777777" w:rsidR="00315701" w:rsidRPr="009543E3" w:rsidRDefault="00315701" w:rsidP="006914CE">
            <w:pPr>
              <w:suppressLineNumbers/>
              <w:suppressAutoHyphens/>
              <w:rPr>
                <w:kern w:val="22"/>
                <w:szCs w:val="22"/>
                <w:lang w:eastAsia="en-CA"/>
              </w:rPr>
            </w:pPr>
            <w:r w:rsidRPr="009543E3">
              <w:rPr>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2F574423" w14:textId="7916137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41DDC463" w14:textId="5EF6F4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73C3E35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614</w:t>
            </w:r>
          </w:p>
        </w:tc>
      </w:tr>
    </w:tbl>
    <w:p w14:paraId="59EB4A92" w14:textId="42980662" w:rsidR="00315701" w:rsidRPr="009543E3" w:rsidRDefault="00315701" w:rsidP="006914CE">
      <w:pPr>
        <w:suppressLineNumbers/>
        <w:suppressAutoHyphens/>
        <w:spacing w:after="160" w:line="259" w:lineRule="auto"/>
        <w:rPr>
          <w:bCs/>
          <w:snapToGrid w:val="0"/>
          <w:kern w:val="22"/>
          <w:szCs w:val="22"/>
        </w:rPr>
      </w:pPr>
    </w:p>
    <w:p w14:paraId="5D39AB87"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687C1360"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A6E8" w14:textId="430385DF"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C57D5A4" w14:textId="2265B07D"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ABD9BC"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BCCBD04" w14:textId="6F7064C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3806F45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02A4E" w14:textId="77777777" w:rsidR="00315701" w:rsidRPr="009543E3" w:rsidRDefault="00315701" w:rsidP="006914CE">
            <w:pPr>
              <w:suppressLineNumbers/>
              <w:suppressAutoHyphens/>
              <w:rPr>
                <w:kern w:val="22"/>
                <w:szCs w:val="22"/>
                <w:lang w:eastAsia="en-CA"/>
              </w:rPr>
            </w:pPr>
            <w:r w:rsidRPr="009543E3">
              <w:rPr>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5063E9C5" w14:textId="45D7495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240C1916" w14:textId="6F254BA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7F2B37C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5,205</w:t>
            </w:r>
          </w:p>
        </w:tc>
      </w:tr>
      <w:tr w:rsidR="00315701" w:rsidRPr="009543E3" w14:paraId="53CFE8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D909AB" w14:textId="77777777" w:rsidR="00315701" w:rsidRPr="009543E3" w:rsidRDefault="00315701" w:rsidP="006914CE">
            <w:pPr>
              <w:suppressLineNumbers/>
              <w:suppressAutoHyphens/>
              <w:rPr>
                <w:kern w:val="22"/>
                <w:szCs w:val="22"/>
                <w:lang w:eastAsia="en-CA"/>
              </w:rPr>
            </w:pPr>
            <w:r w:rsidRPr="009543E3">
              <w:rPr>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0A54D152" w14:textId="04D4E0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2EEF55A" w14:textId="75BEE2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5447713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702</w:t>
            </w:r>
          </w:p>
        </w:tc>
      </w:tr>
      <w:tr w:rsidR="00315701" w:rsidRPr="009543E3" w14:paraId="7DB0DF6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0D0CAD" w14:textId="77777777" w:rsidR="00315701" w:rsidRPr="009543E3" w:rsidRDefault="00315701" w:rsidP="006914CE">
            <w:pPr>
              <w:suppressLineNumbers/>
              <w:suppressAutoHyphens/>
              <w:rPr>
                <w:kern w:val="22"/>
                <w:szCs w:val="22"/>
                <w:lang w:eastAsia="en-CA"/>
              </w:rPr>
            </w:pPr>
            <w:r w:rsidRPr="009543E3">
              <w:rPr>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11AC429C" w14:textId="3704C7B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18841485" w14:textId="4D6E380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0.435</w:t>
            </w:r>
          </w:p>
        </w:tc>
        <w:tc>
          <w:tcPr>
            <w:tcW w:w="1540" w:type="dxa"/>
            <w:tcBorders>
              <w:top w:val="nil"/>
              <w:left w:val="nil"/>
              <w:bottom w:val="single" w:sz="4" w:space="0" w:color="auto"/>
              <w:right w:val="single" w:sz="4" w:space="0" w:color="auto"/>
            </w:tcBorders>
            <w:shd w:val="clear" w:color="auto" w:fill="auto"/>
            <w:noWrap/>
            <w:vAlign w:val="center"/>
            <w:hideMark/>
          </w:tcPr>
          <w:p w14:paraId="1E13EE7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7,370</w:t>
            </w:r>
          </w:p>
        </w:tc>
      </w:tr>
      <w:tr w:rsidR="00315701" w:rsidRPr="009543E3" w14:paraId="35A3CB3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77D395" w14:textId="77777777" w:rsidR="00315701" w:rsidRPr="009543E3" w:rsidRDefault="00315701" w:rsidP="006914CE">
            <w:pPr>
              <w:suppressLineNumbers/>
              <w:suppressAutoHyphens/>
              <w:rPr>
                <w:kern w:val="22"/>
                <w:szCs w:val="22"/>
                <w:lang w:eastAsia="en-CA"/>
              </w:rPr>
            </w:pPr>
            <w:r w:rsidRPr="009543E3">
              <w:rPr>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60FCA829" w14:textId="1867629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7CC0D1A" w14:textId="513F22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A1F80F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69F80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B6DE81" w14:textId="7E1EB080" w:rsidR="00315701" w:rsidRPr="009543E3" w:rsidRDefault="00315701" w:rsidP="006914CE">
            <w:pPr>
              <w:suppressLineNumbers/>
              <w:suppressAutoHyphens/>
              <w:rPr>
                <w:kern w:val="22"/>
                <w:szCs w:val="22"/>
                <w:lang w:eastAsia="en-CA"/>
              </w:rPr>
            </w:pPr>
            <w:r w:rsidRPr="009543E3">
              <w:rPr>
                <w:kern w:val="22"/>
                <w:szCs w:val="22"/>
                <w:lang w:eastAsia="en-CA"/>
              </w:rPr>
              <w:t>Lao People</w:t>
            </w:r>
            <w:r w:rsidR="009F7E91" w:rsidRPr="009543E3">
              <w:rPr>
                <w:kern w:val="22"/>
                <w:szCs w:val="22"/>
                <w:lang w:eastAsia="en-CA"/>
              </w:rPr>
              <w:t>’</w:t>
            </w:r>
            <w:r w:rsidRPr="009543E3">
              <w:rPr>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6D82F48B" w14:textId="7A6620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3EC7819" w14:textId="3B052D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1C83DC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5CACAA0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84575D" w14:textId="77777777" w:rsidR="00315701" w:rsidRPr="009543E3" w:rsidRDefault="00315701" w:rsidP="006914CE">
            <w:pPr>
              <w:suppressLineNumbers/>
              <w:suppressAutoHyphens/>
              <w:rPr>
                <w:kern w:val="22"/>
                <w:szCs w:val="22"/>
                <w:lang w:eastAsia="en-CA"/>
              </w:rPr>
            </w:pPr>
            <w:r w:rsidRPr="009543E3">
              <w:rPr>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4F187316" w14:textId="50B001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7803E6D5" w14:textId="0B2684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0.081</w:t>
            </w:r>
          </w:p>
        </w:tc>
        <w:tc>
          <w:tcPr>
            <w:tcW w:w="1540" w:type="dxa"/>
            <w:tcBorders>
              <w:top w:val="nil"/>
              <w:left w:val="nil"/>
              <w:bottom w:val="single" w:sz="4" w:space="0" w:color="auto"/>
              <w:right w:val="single" w:sz="4" w:space="0" w:color="auto"/>
            </w:tcBorders>
            <w:shd w:val="clear" w:color="auto" w:fill="auto"/>
            <w:noWrap/>
            <w:vAlign w:val="center"/>
            <w:hideMark/>
          </w:tcPr>
          <w:p w14:paraId="48BB83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1,374</w:t>
            </w:r>
          </w:p>
        </w:tc>
      </w:tr>
      <w:tr w:rsidR="00315701" w:rsidRPr="009543E3" w14:paraId="0BBED1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02F347" w14:textId="77777777" w:rsidR="00315701" w:rsidRPr="009543E3" w:rsidRDefault="00315701" w:rsidP="006914CE">
            <w:pPr>
              <w:suppressLineNumbers/>
              <w:suppressAutoHyphens/>
              <w:rPr>
                <w:kern w:val="22"/>
                <w:szCs w:val="22"/>
                <w:lang w:eastAsia="en-CA"/>
              </w:rPr>
            </w:pPr>
            <w:r w:rsidRPr="009543E3">
              <w:rPr>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773BE1DA" w14:textId="5FB814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545A16" w14:textId="33E70A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0DB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DA3E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851F04" w14:textId="77777777" w:rsidR="00315701" w:rsidRPr="009543E3" w:rsidRDefault="00315701" w:rsidP="006914CE">
            <w:pPr>
              <w:suppressLineNumbers/>
              <w:suppressAutoHyphens/>
              <w:rPr>
                <w:kern w:val="22"/>
                <w:szCs w:val="22"/>
                <w:lang w:eastAsia="en-CA"/>
              </w:rPr>
            </w:pPr>
            <w:r w:rsidRPr="009543E3">
              <w:rPr>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3803A43C" w14:textId="418E66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EC06C15" w14:textId="0EFC2B1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6FF5D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666FCB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298F01" w14:textId="77777777" w:rsidR="00315701" w:rsidRPr="009543E3" w:rsidRDefault="00315701" w:rsidP="006914CE">
            <w:pPr>
              <w:suppressLineNumbers/>
              <w:suppressAutoHyphens/>
              <w:rPr>
                <w:kern w:val="22"/>
                <w:szCs w:val="22"/>
                <w:lang w:eastAsia="en-CA"/>
              </w:rPr>
            </w:pPr>
            <w:r w:rsidRPr="009543E3">
              <w:rPr>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3C5FD023" w14:textId="7B0D83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42C0A016" w14:textId="506922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0.116</w:t>
            </w:r>
          </w:p>
        </w:tc>
        <w:tc>
          <w:tcPr>
            <w:tcW w:w="1540" w:type="dxa"/>
            <w:tcBorders>
              <w:top w:val="nil"/>
              <w:left w:val="nil"/>
              <w:bottom w:val="single" w:sz="4" w:space="0" w:color="auto"/>
              <w:right w:val="single" w:sz="4" w:space="0" w:color="auto"/>
            </w:tcBorders>
            <w:shd w:val="clear" w:color="auto" w:fill="auto"/>
            <w:noWrap/>
            <w:vAlign w:val="center"/>
            <w:hideMark/>
          </w:tcPr>
          <w:p w14:paraId="72CA4F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1,959</w:t>
            </w:r>
          </w:p>
        </w:tc>
      </w:tr>
      <w:tr w:rsidR="00315701" w:rsidRPr="009543E3" w14:paraId="2AD67E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A0F76" w14:textId="77777777" w:rsidR="00315701" w:rsidRPr="009543E3" w:rsidRDefault="00315701" w:rsidP="006914CE">
            <w:pPr>
              <w:suppressLineNumbers/>
              <w:suppressAutoHyphens/>
              <w:rPr>
                <w:kern w:val="22"/>
                <w:szCs w:val="22"/>
                <w:lang w:eastAsia="en-CA"/>
              </w:rPr>
            </w:pPr>
            <w:r w:rsidRPr="009543E3">
              <w:rPr>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5F2FFBEE" w14:textId="6C612D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4EE0C00A" w14:textId="670C69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F340C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010EF2F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92694" w14:textId="77777777" w:rsidR="00315701" w:rsidRPr="009543E3" w:rsidRDefault="00315701" w:rsidP="006914CE">
            <w:pPr>
              <w:suppressLineNumbers/>
              <w:suppressAutoHyphens/>
              <w:rPr>
                <w:kern w:val="22"/>
                <w:szCs w:val="22"/>
                <w:lang w:eastAsia="en-CA"/>
              </w:rPr>
            </w:pPr>
            <w:r w:rsidRPr="009543E3">
              <w:rPr>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1CD9B04B" w14:textId="62410D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64CED63" w14:textId="74B9E21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3BCC0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046894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8B15EA" w14:textId="77777777" w:rsidR="00315701" w:rsidRPr="009543E3" w:rsidRDefault="00315701" w:rsidP="006914CE">
            <w:pPr>
              <w:suppressLineNumbers/>
              <w:suppressAutoHyphens/>
              <w:rPr>
                <w:kern w:val="22"/>
                <w:szCs w:val="22"/>
                <w:lang w:eastAsia="en-CA"/>
              </w:rPr>
            </w:pPr>
            <w:r w:rsidRPr="009543E3">
              <w:rPr>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33D49058" w14:textId="1A231D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7CB25934" w14:textId="50249B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0.588</w:t>
            </w:r>
          </w:p>
        </w:tc>
        <w:tc>
          <w:tcPr>
            <w:tcW w:w="1540" w:type="dxa"/>
            <w:tcBorders>
              <w:top w:val="nil"/>
              <w:left w:val="nil"/>
              <w:bottom w:val="single" w:sz="4" w:space="0" w:color="auto"/>
              <w:right w:val="single" w:sz="4" w:space="0" w:color="auto"/>
            </w:tcBorders>
            <w:shd w:val="clear" w:color="auto" w:fill="auto"/>
            <w:noWrap/>
            <w:vAlign w:val="center"/>
            <w:hideMark/>
          </w:tcPr>
          <w:p w14:paraId="61152CE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9,972</w:t>
            </w:r>
          </w:p>
        </w:tc>
      </w:tr>
      <w:tr w:rsidR="00315701" w:rsidRPr="009543E3" w14:paraId="65178A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12F2C3" w14:textId="77777777" w:rsidR="00315701" w:rsidRPr="009543E3" w:rsidRDefault="00315701" w:rsidP="006914CE">
            <w:pPr>
              <w:suppressLineNumbers/>
              <w:suppressAutoHyphens/>
              <w:rPr>
                <w:kern w:val="22"/>
                <w:szCs w:val="22"/>
                <w:lang w:eastAsia="en-CA"/>
              </w:rPr>
            </w:pPr>
            <w:r w:rsidRPr="009543E3">
              <w:rPr>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60F80286" w14:textId="277CB2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85A6CC" w14:textId="75D88E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35CAAF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7DFF821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353989" w14:textId="77777777" w:rsidR="00315701" w:rsidRPr="009543E3" w:rsidRDefault="00315701" w:rsidP="006914CE">
            <w:pPr>
              <w:suppressLineNumbers/>
              <w:suppressAutoHyphens/>
              <w:rPr>
                <w:kern w:val="22"/>
                <w:szCs w:val="22"/>
                <w:lang w:eastAsia="en-CA"/>
              </w:rPr>
            </w:pPr>
            <w:r w:rsidRPr="009543E3">
              <w:rPr>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3BED0CCB" w14:textId="0FF1C2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010A14A" w14:textId="48B891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690849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71EC050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E52B8" w14:textId="77777777" w:rsidR="00315701" w:rsidRPr="009543E3" w:rsidRDefault="00315701" w:rsidP="006914CE">
            <w:pPr>
              <w:suppressLineNumbers/>
              <w:suppressAutoHyphens/>
              <w:rPr>
                <w:kern w:val="22"/>
                <w:szCs w:val="22"/>
                <w:lang w:eastAsia="en-CA"/>
              </w:rPr>
            </w:pPr>
            <w:r w:rsidRPr="009543E3">
              <w:rPr>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622836AE" w14:textId="6BC38F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3BC6A93F" w14:textId="485EA6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0.029</w:t>
            </w:r>
          </w:p>
        </w:tc>
        <w:tc>
          <w:tcPr>
            <w:tcW w:w="1540" w:type="dxa"/>
            <w:tcBorders>
              <w:top w:val="nil"/>
              <w:left w:val="nil"/>
              <w:bottom w:val="single" w:sz="4" w:space="0" w:color="auto"/>
              <w:right w:val="single" w:sz="4" w:space="0" w:color="auto"/>
            </w:tcBorders>
            <w:shd w:val="clear" w:color="auto" w:fill="auto"/>
            <w:noWrap/>
            <w:vAlign w:val="center"/>
            <w:hideMark/>
          </w:tcPr>
          <w:p w14:paraId="4F57AF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497</w:t>
            </w:r>
          </w:p>
        </w:tc>
      </w:tr>
      <w:tr w:rsidR="00315701" w:rsidRPr="009543E3" w14:paraId="4E9C20A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95C93" w14:textId="77777777" w:rsidR="00315701" w:rsidRPr="009543E3" w:rsidRDefault="00315701" w:rsidP="006914CE">
            <w:pPr>
              <w:suppressLineNumbers/>
              <w:suppressAutoHyphens/>
              <w:rPr>
                <w:kern w:val="22"/>
                <w:szCs w:val="22"/>
                <w:lang w:eastAsia="en-CA"/>
              </w:rPr>
            </w:pPr>
            <w:r w:rsidRPr="009543E3">
              <w:rPr>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5EB11917" w14:textId="7220382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B1C6F35" w14:textId="591868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CE314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4B5E52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9EC77E" w14:textId="77777777" w:rsidR="00315701" w:rsidRPr="009543E3" w:rsidRDefault="00315701" w:rsidP="006914CE">
            <w:pPr>
              <w:suppressLineNumbers/>
              <w:suppressAutoHyphens/>
              <w:rPr>
                <w:kern w:val="22"/>
                <w:szCs w:val="22"/>
                <w:lang w:eastAsia="en-CA"/>
              </w:rPr>
            </w:pPr>
            <w:r w:rsidRPr="009543E3">
              <w:rPr>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24581886" w14:textId="186BC3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2B187CC" w14:textId="793975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FB383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1D4AEE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3F110" w14:textId="77777777" w:rsidR="00315701" w:rsidRPr="009543E3" w:rsidRDefault="00315701" w:rsidP="006914CE">
            <w:pPr>
              <w:suppressLineNumbers/>
              <w:suppressAutoHyphens/>
              <w:rPr>
                <w:kern w:val="22"/>
                <w:szCs w:val="22"/>
                <w:lang w:eastAsia="en-CA"/>
              </w:rPr>
            </w:pPr>
            <w:r w:rsidRPr="009543E3">
              <w:rPr>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1AE3D6FF" w14:textId="2C4D41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1BBA27E" w14:textId="2AE8F93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06559BE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322</w:t>
            </w:r>
          </w:p>
        </w:tc>
      </w:tr>
      <w:tr w:rsidR="00315701" w:rsidRPr="009543E3" w14:paraId="0D1E41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B9ACF5" w14:textId="77777777" w:rsidR="00315701" w:rsidRPr="009543E3" w:rsidRDefault="00315701" w:rsidP="006914CE">
            <w:pPr>
              <w:suppressLineNumbers/>
              <w:suppressAutoHyphens/>
              <w:rPr>
                <w:kern w:val="22"/>
                <w:szCs w:val="22"/>
                <w:lang w:eastAsia="en-CA"/>
              </w:rPr>
            </w:pPr>
            <w:r w:rsidRPr="009543E3">
              <w:rPr>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142D20B4" w14:textId="46ACEA2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224C49DF" w14:textId="729F9E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2.229</w:t>
            </w:r>
          </w:p>
        </w:tc>
        <w:tc>
          <w:tcPr>
            <w:tcW w:w="1540" w:type="dxa"/>
            <w:tcBorders>
              <w:top w:val="nil"/>
              <w:left w:val="nil"/>
              <w:bottom w:val="single" w:sz="4" w:space="0" w:color="auto"/>
              <w:right w:val="single" w:sz="4" w:space="0" w:color="auto"/>
            </w:tcBorders>
            <w:shd w:val="clear" w:color="auto" w:fill="auto"/>
            <w:noWrap/>
            <w:vAlign w:val="center"/>
            <w:hideMark/>
          </w:tcPr>
          <w:p w14:paraId="63BAB77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37,783</w:t>
            </w:r>
          </w:p>
        </w:tc>
      </w:tr>
      <w:tr w:rsidR="00315701" w:rsidRPr="009543E3" w14:paraId="7877F8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5A3D3" w14:textId="70992720" w:rsidR="00315701" w:rsidRPr="009543E3" w:rsidRDefault="00315701" w:rsidP="006914CE">
            <w:pPr>
              <w:suppressLineNumbers/>
              <w:suppressAutoHyphens/>
              <w:rPr>
                <w:kern w:val="22"/>
                <w:szCs w:val="22"/>
                <w:lang w:eastAsia="en-CA"/>
              </w:rPr>
            </w:pPr>
            <w:r w:rsidRPr="009543E3">
              <w:rPr>
                <w:kern w:val="22"/>
                <w:szCs w:val="22"/>
                <w:lang w:eastAsia="en-CA"/>
              </w:rPr>
              <w:t>Micronesia (Federated States of)</w:t>
            </w:r>
          </w:p>
        </w:tc>
        <w:tc>
          <w:tcPr>
            <w:tcW w:w="1540" w:type="dxa"/>
            <w:tcBorders>
              <w:top w:val="nil"/>
              <w:left w:val="nil"/>
              <w:bottom w:val="single" w:sz="4" w:space="0" w:color="auto"/>
              <w:right w:val="single" w:sz="4" w:space="0" w:color="auto"/>
            </w:tcBorders>
            <w:shd w:val="clear" w:color="auto" w:fill="auto"/>
            <w:vAlign w:val="center"/>
            <w:hideMark/>
          </w:tcPr>
          <w:p w14:paraId="252ABB2F" w14:textId="3E7EE3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35BB245" w14:textId="24F015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FD2E3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7CB7DC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8F6400" w14:textId="77777777" w:rsidR="00315701" w:rsidRPr="009543E3" w:rsidRDefault="00315701" w:rsidP="006914CE">
            <w:pPr>
              <w:suppressLineNumbers/>
              <w:suppressAutoHyphens/>
              <w:rPr>
                <w:kern w:val="22"/>
                <w:szCs w:val="22"/>
                <w:lang w:eastAsia="en-CA"/>
              </w:rPr>
            </w:pPr>
            <w:r w:rsidRPr="009543E3">
              <w:rPr>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70FC23F2" w14:textId="2983D93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3FBF3DA" w14:textId="422FE3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43C6AC4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CC230C" w:rsidRPr="009543E3" w14:paraId="2D49C8B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7B86061F" w14:textId="347E9160" w:rsidR="00CC230C" w:rsidRPr="009543E3" w:rsidRDefault="00CC230C" w:rsidP="006914CE">
            <w:pPr>
              <w:suppressLineNumbers/>
              <w:suppressAutoHyphens/>
              <w:rPr>
                <w:kern w:val="22"/>
                <w:szCs w:val="22"/>
                <w:lang w:eastAsia="en-CA"/>
              </w:rPr>
            </w:pPr>
            <w:r w:rsidRPr="009543E3">
              <w:rPr>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tcPr>
          <w:p w14:paraId="5FA5D70F" w14:textId="49C36DCB" w:rsidR="00CC230C" w:rsidRPr="009543E3" w:rsidRDefault="00622739"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tcPr>
          <w:p w14:paraId="783847C4" w14:textId="478615FF" w:rsidR="00CC230C" w:rsidRPr="009543E3" w:rsidRDefault="00622739"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22262AEF" w14:textId="2FEF3FC3" w:rsidR="00CC230C" w:rsidRPr="009543E3" w:rsidRDefault="00224A1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225303A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A5034D" w14:textId="77777777" w:rsidR="00315701" w:rsidRPr="009543E3" w:rsidRDefault="00315701" w:rsidP="006914CE">
            <w:pPr>
              <w:suppressLineNumbers/>
              <w:suppressAutoHyphens/>
              <w:rPr>
                <w:kern w:val="22"/>
                <w:szCs w:val="22"/>
                <w:lang w:eastAsia="en-CA"/>
              </w:rPr>
            </w:pPr>
            <w:r w:rsidRPr="009543E3">
              <w:rPr>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197C69CE" w14:textId="42400F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4F3CC97" w14:textId="2EA016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7FCA5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44E97CD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BF49BF" w14:textId="77777777" w:rsidR="00315701" w:rsidRPr="009543E3" w:rsidRDefault="00315701" w:rsidP="006914CE">
            <w:pPr>
              <w:suppressLineNumbers/>
              <w:suppressAutoHyphens/>
              <w:rPr>
                <w:kern w:val="22"/>
                <w:szCs w:val="22"/>
                <w:lang w:eastAsia="en-CA"/>
              </w:rPr>
            </w:pPr>
            <w:r w:rsidRPr="009543E3">
              <w:rPr>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767D13CD" w14:textId="4E8F7E5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76DA37F" w14:textId="71EDACA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4261B1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2FFD9C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68501A" w14:textId="77777777" w:rsidR="00315701" w:rsidRPr="009543E3" w:rsidRDefault="00315701" w:rsidP="006914CE">
            <w:pPr>
              <w:suppressLineNumbers/>
              <w:suppressAutoHyphens/>
              <w:rPr>
                <w:kern w:val="22"/>
                <w:szCs w:val="22"/>
                <w:lang w:eastAsia="en-CA"/>
              </w:rPr>
            </w:pPr>
            <w:r w:rsidRPr="009543E3">
              <w:rPr>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58D5CE29" w14:textId="4604C06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D52D722" w14:textId="3F5726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E13FDD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2D57425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C49C3" w14:textId="77777777" w:rsidR="00315701" w:rsidRPr="009543E3" w:rsidRDefault="00315701" w:rsidP="006914CE">
            <w:pPr>
              <w:suppressLineNumbers/>
              <w:suppressAutoHyphens/>
              <w:rPr>
                <w:kern w:val="22"/>
                <w:szCs w:val="22"/>
                <w:lang w:eastAsia="en-CA"/>
              </w:rPr>
            </w:pPr>
            <w:r w:rsidRPr="009543E3">
              <w:rPr>
                <w:kern w:val="22"/>
                <w:szCs w:val="22"/>
                <w:lang w:eastAsia="en-CA"/>
              </w:rPr>
              <w:t>Nepal</w:t>
            </w:r>
          </w:p>
        </w:tc>
        <w:tc>
          <w:tcPr>
            <w:tcW w:w="1540" w:type="dxa"/>
            <w:tcBorders>
              <w:top w:val="nil"/>
              <w:left w:val="nil"/>
              <w:bottom w:val="single" w:sz="4" w:space="0" w:color="auto"/>
              <w:right w:val="single" w:sz="4" w:space="0" w:color="auto"/>
            </w:tcBorders>
            <w:shd w:val="clear" w:color="auto" w:fill="auto"/>
            <w:vAlign w:val="center"/>
            <w:hideMark/>
          </w:tcPr>
          <w:p w14:paraId="4E268BFD" w14:textId="0D648E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7D5540F" w14:textId="65C303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0E06938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205</w:t>
            </w:r>
          </w:p>
        </w:tc>
      </w:tr>
      <w:tr w:rsidR="00315701" w:rsidRPr="009543E3" w14:paraId="192CF0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99E831" w14:textId="77777777" w:rsidR="00315701" w:rsidRPr="009543E3" w:rsidRDefault="00315701" w:rsidP="006914CE">
            <w:pPr>
              <w:suppressLineNumbers/>
              <w:suppressAutoHyphens/>
              <w:rPr>
                <w:kern w:val="22"/>
                <w:szCs w:val="22"/>
                <w:lang w:eastAsia="en-CA"/>
              </w:rPr>
            </w:pPr>
            <w:r w:rsidRPr="009543E3">
              <w:rPr>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366D63B0" w14:textId="0574BD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1D962025" w14:textId="6A8BAB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c>
          <w:tcPr>
            <w:tcW w:w="1540" w:type="dxa"/>
            <w:tcBorders>
              <w:top w:val="nil"/>
              <w:left w:val="nil"/>
              <w:bottom w:val="single" w:sz="4" w:space="0" w:color="auto"/>
              <w:right w:val="single" w:sz="4" w:space="0" w:color="auto"/>
            </w:tcBorders>
            <w:shd w:val="clear" w:color="auto" w:fill="auto"/>
            <w:noWrap/>
            <w:vAlign w:val="center"/>
            <w:hideMark/>
          </w:tcPr>
          <w:p w14:paraId="235BF0A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39,655</w:t>
            </w:r>
          </w:p>
        </w:tc>
      </w:tr>
      <w:tr w:rsidR="00315701" w:rsidRPr="009543E3" w14:paraId="397E0B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0F1A78" w14:textId="77777777" w:rsidR="00315701" w:rsidRPr="009543E3" w:rsidRDefault="00315701" w:rsidP="006914CE">
            <w:pPr>
              <w:suppressLineNumbers/>
              <w:suppressAutoHyphens/>
              <w:rPr>
                <w:kern w:val="22"/>
                <w:szCs w:val="22"/>
                <w:lang w:eastAsia="en-CA"/>
              </w:rPr>
            </w:pPr>
            <w:r w:rsidRPr="009543E3">
              <w:rPr>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1A776E40" w14:textId="0B352F3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72CD3C14" w14:textId="1260DB4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4686B94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14F401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9362AA" w14:textId="77777777" w:rsidR="00315701" w:rsidRPr="009543E3" w:rsidRDefault="00315701" w:rsidP="006914CE">
            <w:pPr>
              <w:suppressLineNumbers/>
              <w:suppressAutoHyphens/>
              <w:rPr>
                <w:kern w:val="22"/>
                <w:szCs w:val="22"/>
                <w:lang w:eastAsia="en-CA"/>
              </w:rPr>
            </w:pPr>
            <w:r w:rsidRPr="009543E3">
              <w:rPr>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383CD3AC" w14:textId="28C7D5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0914501" w14:textId="154EED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10F0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bl>
    <w:p w14:paraId="569F915A" w14:textId="6877B399" w:rsidR="00315701" w:rsidRPr="009543E3" w:rsidRDefault="00315701" w:rsidP="006914CE">
      <w:pPr>
        <w:suppressLineNumbers/>
        <w:suppressAutoHyphens/>
        <w:spacing w:after="160" w:line="259" w:lineRule="auto"/>
        <w:rPr>
          <w:bCs/>
          <w:snapToGrid w:val="0"/>
          <w:kern w:val="22"/>
          <w:szCs w:val="22"/>
        </w:rPr>
      </w:pPr>
    </w:p>
    <w:p w14:paraId="5331D3E4"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68558A6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140B" w14:textId="10086A5E"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67C242" w14:textId="3C81027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945D21"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0C59E44" w14:textId="691FB2B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0E65646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AB098D" w14:textId="77777777" w:rsidR="00315701" w:rsidRPr="009543E3" w:rsidRDefault="00315701" w:rsidP="006914CE">
            <w:pPr>
              <w:suppressLineNumbers/>
              <w:suppressAutoHyphens/>
              <w:rPr>
                <w:kern w:val="22"/>
                <w:szCs w:val="22"/>
                <w:lang w:eastAsia="en-CA"/>
              </w:rPr>
            </w:pPr>
            <w:r w:rsidRPr="009543E3">
              <w:rPr>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209A3D4B" w14:textId="001822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582E1C45" w14:textId="38E895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1.301</w:t>
            </w:r>
          </w:p>
        </w:tc>
        <w:tc>
          <w:tcPr>
            <w:tcW w:w="1540" w:type="dxa"/>
            <w:tcBorders>
              <w:top w:val="nil"/>
              <w:left w:val="nil"/>
              <w:bottom w:val="single" w:sz="4" w:space="0" w:color="auto"/>
              <w:right w:val="single" w:sz="4" w:space="0" w:color="auto"/>
            </w:tcBorders>
            <w:shd w:val="clear" w:color="auto" w:fill="auto"/>
            <w:noWrap/>
            <w:vAlign w:val="center"/>
            <w:hideMark/>
          </w:tcPr>
          <w:p w14:paraId="7BFF5B7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22,050</w:t>
            </w:r>
          </w:p>
        </w:tc>
      </w:tr>
      <w:tr w:rsidR="00315701" w:rsidRPr="009543E3" w14:paraId="4BE10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9EB2E" w14:textId="77777777" w:rsidR="00315701" w:rsidRPr="009543E3" w:rsidRDefault="00315701" w:rsidP="006914CE">
            <w:pPr>
              <w:suppressLineNumbers/>
              <w:suppressAutoHyphens/>
              <w:rPr>
                <w:kern w:val="22"/>
                <w:szCs w:val="22"/>
                <w:lang w:eastAsia="en-CA"/>
              </w:rPr>
            </w:pPr>
            <w:r w:rsidRPr="009543E3">
              <w:rPr>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77503825" w14:textId="4DB0AC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B86EDFC" w14:textId="0DD002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6264B0D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3,363</w:t>
            </w:r>
          </w:p>
        </w:tc>
      </w:tr>
      <w:tr w:rsidR="00315701" w:rsidRPr="009543E3" w14:paraId="2D4B9C5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113BB3" w14:textId="77777777" w:rsidR="00315701" w:rsidRPr="009543E3" w:rsidRDefault="00315701" w:rsidP="006914CE">
            <w:pPr>
              <w:suppressLineNumbers/>
              <w:suppressAutoHyphens/>
              <w:rPr>
                <w:kern w:val="22"/>
                <w:szCs w:val="22"/>
                <w:lang w:eastAsia="en-CA"/>
              </w:rPr>
            </w:pPr>
            <w:r w:rsidRPr="009543E3">
              <w:rPr>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742BF487" w14:textId="7FECCB3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550C937" w14:textId="3A3D439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17442B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3,363</w:t>
            </w:r>
          </w:p>
        </w:tc>
      </w:tr>
      <w:tr w:rsidR="00315701" w:rsidRPr="009543E3" w14:paraId="4C0B175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BA1E1C" w14:textId="77777777" w:rsidR="00315701" w:rsidRPr="009543E3" w:rsidRDefault="00315701" w:rsidP="006914CE">
            <w:pPr>
              <w:suppressLineNumbers/>
              <w:suppressAutoHyphens/>
              <w:rPr>
                <w:kern w:val="22"/>
                <w:szCs w:val="22"/>
                <w:lang w:eastAsia="en-CA"/>
              </w:rPr>
            </w:pPr>
            <w:r w:rsidRPr="009543E3">
              <w:rPr>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2721E3DA" w14:textId="5B57CC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2EE734" w14:textId="5243BA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4689A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20BD88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8B1768" w14:textId="77777777" w:rsidR="00315701" w:rsidRPr="009543E3" w:rsidRDefault="00315701" w:rsidP="006914CE">
            <w:pPr>
              <w:suppressLineNumbers/>
              <w:suppressAutoHyphens/>
              <w:rPr>
                <w:kern w:val="22"/>
                <w:szCs w:val="22"/>
                <w:lang w:eastAsia="en-CA"/>
              </w:rPr>
            </w:pPr>
            <w:r w:rsidRPr="009543E3">
              <w:rPr>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530DD077" w14:textId="0B64CE0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54033D58" w14:textId="35400A2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0.078</w:t>
            </w:r>
          </w:p>
        </w:tc>
        <w:tc>
          <w:tcPr>
            <w:tcW w:w="1540" w:type="dxa"/>
            <w:tcBorders>
              <w:top w:val="nil"/>
              <w:left w:val="nil"/>
              <w:bottom w:val="single" w:sz="4" w:space="0" w:color="auto"/>
              <w:right w:val="single" w:sz="4" w:space="0" w:color="auto"/>
            </w:tcBorders>
            <w:shd w:val="clear" w:color="auto" w:fill="auto"/>
            <w:noWrap/>
            <w:vAlign w:val="center"/>
            <w:hideMark/>
          </w:tcPr>
          <w:p w14:paraId="1B554A3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1,316</w:t>
            </w:r>
          </w:p>
        </w:tc>
      </w:tr>
      <w:tr w:rsidR="00315701" w:rsidRPr="009543E3" w14:paraId="6B425EC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7E524B" w14:textId="77777777" w:rsidR="00315701" w:rsidRPr="009543E3" w:rsidRDefault="00315701" w:rsidP="006914CE">
            <w:pPr>
              <w:suppressLineNumbers/>
              <w:suppressAutoHyphens/>
              <w:rPr>
                <w:kern w:val="22"/>
                <w:szCs w:val="22"/>
                <w:lang w:eastAsia="en-CA"/>
              </w:rPr>
            </w:pPr>
            <w:r w:rsidRPr="009543E3">
              <w:rPr>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0827B0E9" w14:textId="74D160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75BA8DD1" w14:textId="1F80C5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0.262</w:t>
            </w:r>
          </w:p>
        </w:tc>
        <w:tc>
          <w:tcPr>
            <w:tcW w:w="1540" w:type="dxa"/>
            <w:tcBorders>
              <w:top w:val="nil"/>
              <w:left w:val="nil"/>
              <w:bottom w:val="single" w:sz="4" w:space="0" w:color="auto"/>
              <w:right w:val="single" w:sz="4" w:space="0" w:color="auto"/>
            </w:tcBorders>
            <w:shd w:val="clear" w:color="auto" w:fill="auto"/>
            <w:noWrap/>
            <w:vAlign w:val="center"/>
            <w:hideMark/>
          </w:tcPr>
          <w:p w14:paraId="10DF8D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4,445</w:t>
            </w:r>
          </w:p>
        </w:tc>
      </w:tr>
      <w:tr w:rsidR="00315701" w:rsidRPr="009543E3" w14:paraId="740643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BB922" w14:textId="77777777" w:rsidR="00315701" w:rsidRPr="009543E3" w:rsidRDefault="00315701" w:rsidP="006914CE">
            <w:pPr>
              <w:suppressLineNumbers/>
              <w:suppressAutoHyphens/>
              <w:rPr>
                <w:kern w:val="22"/>
                <w:szCs w:val="22"/>
                <w:lang w:eastAsia="en-CA"/>
              </w:rPr>
            </w:pPr>
            <w:r w:rsidRPr="009543E3">
              <w:rPr>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A3A4576" w14:textId="2A3627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3887A04D" w14:textId="7A8DDD9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0.354</w:t>
            </w:r>
          </w:p>
        </w:tc>
        <w:tc>
          <w:tcPr>
            <w:tcW w:w="1540" w:type="dxa"/>
            <w:tcBorders>
              <w:top w:val="nil"/>
              <w:left w:val="nil"/>
              <w:bottom w:val="single" w:sz="4" w:space="0" w:color="auto"/>
              <w:right w:val="single" w:sz="4" w:space="0" w:color="auto"/>
            </w:tcBorders>
            <w:shd w:val="clear" w:color="auto" w:fill="auto"/>
            <w:noWrap/>
            <w:vAlign w:val="center"/>
            <w:hideMark/>
          </w:tcPr>
          <w:p w14:paraId="461D7B0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5,995</w:t>
            </w:r>
          </w:p>
        </w:tc>
      </w:tr>
      <w:tr w:rsidR="00315701" w:rsidRPr="009543E3" w14:paraId="7A62157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5335FB" w14:textId="77777777" w:rsidR="00315701" w:rsidRPr="009543E3" w:rsidRDefault="00315701" w:rsidP="006914CE">
            <w:pPr>
              <w:suppressLineNumbers/>
              <w:suppressAutoHyphens/>
              <w:rPr>
                <w:kern w:val="22"/>
                <w:szCs w:val="22"/>
                <w:lang w:eastAsia="en-CA"/>
              </w:rPr>
            </w:pPr>
            <w:r w:rsidRPr="009543E3">
              <w:rPr>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264AA6F1" w14:textId="2F7B651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18F32D57" w14:textId="2BE1FED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0.604</w:t>
            </w:r>
          </w:p>
        </w:tc>
        <w:tc>
          <w:tcPr>
            <w:tcW w:w="1540" w:type="dxa"/>
            <w:tcBorders>
              <w:top w:val="nil"/>
              <w:left w:val="nil"/>
              <w:bottom w:val="single" w:sz="4" w:space="0" w:color="auto"/>
              <w:right w:val="single" w:sz="4" w:space="0" w:color="auto"/>
            </w:tcBorders>
            <w:shd w:val="clear" w:color="auto" w:fill="auto"/>
            <w:noWrap/>
            <w:vAlign w:val="center"/>
            <w:hideMark/>
          </w:tcPr>
          <w:p w14:paraId="441F288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10,235</w:t>
            </w:r>
          </w:p>
        </w:tc>
      </w:tr>
      <w:tr w:rsidR="00315701" w:rsidRPr="009543E3" w14:paraId="12F3368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DF2578" w14:textId="77777777" w:rsidR="00315701" w:rsidRPr="009543E3" w:rsidRDefault="00315701" w:rsidP="006914CE">
            <w:pPr>
              <w:suppressLineNumbers/>
              <w:suppressAutoHyphens/>
              <w:rPr>
                <w:kern w:val="22"/>
                <w:szCs w:val="22"/>
                <w:lang w:eastAsia="en-CA"/>
              </w:rPr>
            </w:pPr>
            <w:r w:rsidRPr="009543E3">
              <w:rPr>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4EAD23F7" w14:textId="17FA75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63499D7C" w14:textId="7E8D5C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0.487</w:t>
            </w:r>
          </w:p>
        </w:tc>
        <w:tc>
          <w:tcPr>
            <w:tcW w:w="1540" w:type="dxa"/>
            <w:tcBorders>
              <w:top w:val="nil"/>
              <w:left w:val="nil"/>
              <w:bottom w:val="single" w:sz="4" w:space="0" w:color="auto"/>
              <w:right w:val="single" w:sz="4" w:space="0" w:color="auto"/>
            </w:tcBorders>
            <w:shd w:val="clear" w:color="auto" w:fill="auto"/>
            <w:noWrap/>
            <w:vAlign w:val="center"/>
            <w:hideMark/>
          </w:tcPr>
          <w:p w14:paraId="1A2B875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8,247</w:t>
            </w:r>
          </w:p>
        </w:tc>
      </w:tr>
      <w:tr w:rsidR="00315701" w:rsidRPr="009543E3" w14:paraId="431BCD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7E7A95" w14:textId="77777777" w:rsidR="00315701" w:rsidRPr="009543E3" w:rsidRDefault="00315701" w:rsidP="006914CE">
            <w:pPr>
              <w:suppressLineNumbers/>
              <w:suppressAutoHyphens/>
              <w:rPr>
                <w:kern w:val="22"/>
                <w:szCs w:val="22"/>
                <w:lang w:eastAsia="en-CA"/>
              </w:rPr>
            </w:pPr>
            <w:r w:rsidRPr="009543E3">
              <w:rPr>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6A3174CD" w14:textId="102B22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065AD20A" w14:textId="61C5A4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3.911</w:t>
            </w:r>
          </w:p>
        </w:tc>
        <w:tc>
          <w:tcPr>
            <w:tcW w:w="1540" w:type="dxa"/>
            <w:tcBorders>
              <w:top w:val="nil"/>
              <w:left w:val="nil"/>
              <w:bottom w:val="single" w:sz="4" w:space="0" w:color="auto"/>
              <w:right w:val="single" w:sz="4" w:space="0" w:color="auto"/>
            </w:tcBorders>
            <w:shd w:val="clear" w:color="auto" w:fill="auto"/>
            <w:noWrap/>
            <w:vAlign w:val="center"/>
            <w:hideMark/>
          </w:tcPr>
          <w:p w14:paraId="65387CE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66,296</w:t>
            </w:r>
          </w:p>
        </w:tc>
      </w:tr>
      <w:tr w:rsidR="00315701" w:rsidRPr="009543E3" w14:paraId="524BBF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3630" w14:textId="77777777" w:rsidR="00315701" w:rsidRPr="009543E3" w:rsidRDefault="00315701" w:rsidP="006914CE">
            <w:pPr>
              <w:suppressLineNumbers/>
              <w:suppressAutoHyphens/>
              <w:rPr>
                <w:kern w:val="22"/>
                <w:szCs w:val="22"/>
                <w:lang w:eastAsia="en-CA"/>
              </w:rPr>
            </w:pPr>
            <w:r w:rsidRPr="009543E3">
              <w:rPr>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56349C8A" w14:textId="764F93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B663073" w14:textId="65ECB9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A5D8F3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58FB887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FF0DEF" w14:textId="77777777" w:rsidR="00315701" w:rsidRPr="009543E3" w:rsidRDefault="00315701" w:rsidP="006914CE">
            <w:pPr>
              <w:suppressLineNumbers/>
              <w:suppressAutoHyphens/>
              <w:rPr>
                <w:kern w:val="22"/>
                <w:szCs w:val="22"/>
                <w:lang w:eastAsia="en-CA"/>
              </w:rPr>
            </w:pPr>
            <w:r w:rsidRPr="009543E3">
              <w:rPr>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59C661A4" w14:textId="458DDD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2A9CA5EC" w14:textId="6E6F7F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0.342</w:t>
            </w:r>
          </w:p>
        </w:tc>
        <w:tc>
          <w:tcPr>
            <w:tcW w:w="1540" w:type="dxa"/>
            <w:tcBorders>
              <w:top w:val="nil"/>
              <w:left w:val="nil"/>
              <w:bottom w:val="single" w:sz="4" w:space="0" w:color="auto"/>
              <w:right w:val="single" w:sz="4" w:space="0" w:color="auto"/>
            </w:tcBorders>
            <w:shd w:val="clear" w:color="auto" w:fill="auto"/>
            <w:noWrap/>
            <w:vAlign w:val="center"/>
            <w:hideMark/>
          </w:tcPr>
          <w:p w14:paraId="5696244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5,790</w:t>
            </w:r>
          </w:p>
        </w:tc>
      </w:tr>
      <w:tr w:rsidR="00315701" w:rsidRPr="009543E3" w14:paraId="723A658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AE5B86" w14:textId="77777777" w:rsidR="00315701" w:rsidRPr="009543E3" w:rsidRDefault="00315701" w:rsidP="006914CE">
            <w:pPr>
              <w:suppressLineNumbers/>
              <w:suppressAutoHyphens/>
              <w:rPr>
                <w:kern w:val="22"/>
                <w:szCs w:val="22"/>
                <w:lang w:eastAsia="en-CA"/>
              </w:rPr>
            </w:pPr>
            <w:r w:rsidRPr="009543E3">
              <w:rPr>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6FFA02E9" w14:textId="466928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54E9FAD" w14:textId="4B3A11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450939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59FEDF0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5631A1" w14:textId="77777777" w:rsidR="00315701" w:rsidRPr="009543E3" w:rsidRDefault="00315701" w:rsidP="006914CE">
            <w:pPr>
              <w:suppressLineNumbers/>
              <w:suppressAutoHyphens/>
              <w:rPr>
                <w:kern w:val="22"/>
                <w:szCs w:val="22"/>
                <w:lang w:eastAsia="en-CA"/>
              </w:rPr>
            </w:pPr>
            <w:r w:rsidRPr="009543E3">
              <w:rPr>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16BAC6E1" w14:textId="0DAD8F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66C73F7" w14:textId="566C77F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9A9967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7B79D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BECA10" w14:textId="77777777" w:rsidR="00315701" w:rsidRPr="009543E3" w:rsidRDefault="00315701" w:rsidP="006914CE">
            <w:pPr>
              <w:suppressLineNumbers/>
              <w:suppressAutoHyphens/>
              <w:rPr>
                <w:kern w:val="22"/>
                <w:szCs w:val="22"/>
                <w:lang w:eastAsia="en-CA"/>
              </w:rPr>
            </w:pPr>
            <w:r w:rsidRPr="009543E3">
              <w:rPr>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2F5A9C55" w14:textId="1A4251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22C3E86" w14:textId="7D4E218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66765C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8C05A8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0BDD7" w14:textId="77777777" w:rsidR="00315701" w:rsidRPr="009543E3" w:rsidRDefault="00315701" w:rsidP="006914CE">
            <w:pPr>
              <w:suppressLineNumbers/>
              <w:suppressAutoHyphens/>
              <w:rPr>
                <w:kern w:val="22"/>
                <w:szCs w:val="22"/>
                <w:lang w:eastAsia="en-CA"/>
              </w:rPr>
            </w:pPr>
            <w:r w:rsidRPr="009543E3">
              <w:rPr>
                <w:kern w:val="22"/>
                <w:szCs w:val="22"/>
                <w:lang w:eastAsia="en-CA"/>
              </w:rPr>
              <w:t>Sao Tome and Principe</w:t>
            </w:r>
          </w:p>
        </w:tc>
        <w:tc>
          <w:tcPr>
            <w:tcW w:w="1540" w:type="dxa"/>
            <w:tcBorders>
              <w:top w:val="nil"/>
              <w:left w:val="nil"/>
              <w:bottom w:val="single" w:sz="4" w:space="0" w:color="auto"/>
              <w:right w:val="single" w:sz="4" w:space="0" w:color="auto"/>
            </w:tcBorders>
            <w:shd w:val="clear" w:color="auto" w:fill="auto"/>
            <w:vAlign w:val="center"/>
            <w:hideMark/>
          </w:tcPr>
          <w:p w14:paraId="751FB240" w14:textId="396A155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C063696" w14:textId="35C23D1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56903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230951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5E8965" w14:textId="77777777" w:rsidR="00315701" w:rsidRPr="009543E3" w:rsidRDefault="00315701" w:rsidP="006914CE">
            <w:pPr>
              <w:suppressLineNumbers/>
              <w:suppressAutoHyphens/>
              <w:rPr>
                <w:kern w:val="22"/>
                <w:szCs w:val="22"/>
                <w:lang w:eastAsia="en-CA"/>
              </w:rPr>
            </w:pPr>
            <w:r w:rsidRPr="009543E3">
              <w:rPr>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53C9CE0B" w14:textId="77AD9C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FF25A7A" w14:textId="5A56E6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F85FC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01A23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D5855A" w14:textId="77777777" w:rsidR="00315701" w:rsidRPr="009543E3" w:rsidRDefault="00315701" w:rsidP="006914CE">
            <w:pPr>
              <w:suppressLineNumbers/>
              <w:suppressAutoHyphens/>
              <w:rPr>
                <w:kern w:val="22"/>
                <w:szCs w:val="22"/>
                <w:lang w:eastAsia="en-CA"/>
              </w:rPr>
            </w:pPr>
            <w:r w:rsidRPr="009543E3">
              <w:rPr>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6669A549" w14:textId="52E7D5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7DF6C851" w14:textId="22F71AD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0.048</w:t>
            </w:r>
          </w:p>
        </w:tc>
        <w:tc>
          <w:tcPr>
            <w:tcW w:w="1540" w:type="dxa"/>
            <w:tcBorders>
              <w:top w:val="nil"/>
              <w:left w:val="nil"/>
              <w:bottom w:val="single" w:sz="4" w:space="0" w:color="auto"/>
              <w:right w:val="single" w:sz="4" w:space="0" w:color="auto"/>
            </w:tcBorders>
            <w:shd w:val="clear" w:color="auto" w:fill="auto"/>
            <w:noWrap/>
            <w:vAlign w:val="center"/>
            <w:hideMark/>
          </w:tcPr>
          <w:p w14:paraId="7F6FD3B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819</w:t>
            </w:r>
          </w:p>
        </w:tc>
      </w:tr>
      <w:tr w:rsidR="00315701" w:rsidRPr="009543E3" w14:paraId="65C15F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C7D76D" w14:textId="77777777" w:rsidR="00315701" w:rsidRPr="009543E3" w:rsidRDefault="00315701" w:rsidP="006914CE">
            <w:pPr>
              <w:suppressLineNumbers/>
              <w:suppressAutoHyphens/>
              <w:rPr>
                <w:kern w:val="22"/>
                <w:szCs w:val="22"/>
                <w:lang w:eastAsia="en-CA"/>
              </w:rPr>
            </w:pPr>
            <w:r w:rsidRPr="009543E3">
              <w:rPr>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5EA01D68" w14:textId="7CCDAD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F94F875" w14:textId="799564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10C73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1A0B4D1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672D97" w14:textId="77777777" w:rsidR="00315701" w:rsidRPr="009543E3" w:rsidRDefault="00315701" w:rsidP="006914CE">
            <w:pPr>
              <w:suppressLineNumbers/>
              <w:suppressAutoHyphens/>
              <w:rPr>
                <w:kern w:val="22"/>
                <w:szCs w:val="22"/>
                <w:lang w:eastAsia="en-CA"/>
              </w:rPr>
            </w:pPr>
            <w:r w:rsidRPr="009543E3">
              <w:rPr>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7F4CCD79" w14:textId="733072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739012" w14:textId="24B110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C6AD8C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0BD2567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A5748" w14:textId="77777777" w:rsidR="00315701" w:rsidRPr="009543E3" w:rsidRDefault="00315701" w:rsidP="006914CE">
            <w:pPr>
              <w:suppressLineNumbers/>
              <w:suppressAutoHyphens/>
              <w:rPr>
                <w:kern w:val="22"/>
                <w:szCs w:val="22"/>
                <w:lang w:eastAsia="en-CA"/>
              </w:rPr>
            </w:pPr>
            <w:r w:rsidRPr="009543E3">
              <w:rPr>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421347C3" w14:textId="37DA37A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78B4DF2D" w14:textId="499519D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0.264</w:t>
            </w:r>
          </w:p>
        </w:tc>
        <w:tc>
          <w:tcPr>
            <w:tcW w:w="1540" w:type="dxa"/>
            <w:tcBorders>
              <w:top w:val="nil"/>
              <w:left w:val="nil"/>
              <w:bottom w:val="single" w:sz="4" w:space="0" w:color="auto"/>
              <w:right w:val="single" w:sz="4" w:space="0" w:color="auto"/>
            </w:tcBorders>
            <w:shd w:val="clear" w:color="auto" w:fill="auto"/>
            <w:noWrap/>
            <w:vAlign w:val="center"/>
            <w:hideMark/>
          </w:tcPr>
          <w:p w14:paraId="4DE2AB4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4,474</w:t>
            </w:r>
          </w:p>
        </w:tc>
      </w:tr>
      <w:tr w:rsidR="00315701" w:rsidRPr="009543E3" w14:paraId="3435170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4B83CC" w14:textId="77777777" w:rsidR="00315701" w:rsidRPr="009543E3" w:rsidRDefault="00315701" w:rsidP="006914CE">
            <w:pPr>
              <w:suppressLineNumbers/>
              <w:suppressAutoHyphens/>
              <w:rPr>
                <w:kern w:val="22"/>
                <w:szCs w:val="22"/>
                <w:lang w:eastAsia="en-CA"/>
              </w:rPr>
            </w:pPr>
            <w:r w:rsidRPr="009543E3">
              <w:rPr>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2F0BF2EA" w14:textId="780C4A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872D19F" w14:textId="0A87A09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7E0C0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3953B4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C152FD" w14:textId="77777777" w:rsidR="00315701" w:rsidRPr="009543E3" w:rsidRDefault="00315701" w:rsidP="006914CE">
            <w:pPr>
              <w:suppressLineNumbers/>
              <w:suppressAutoHyphens/>
              <w:rPr>
                <w:kern w:val="22"/>
                <w:szCs w:val="22"/>
                <w:lang w:eastAsia="en-CA"/>
              </w:rPr>
            </w:pPr>
            <w:r w:rsidRPr="009543E3">
              <w:rPr>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5A999FE1" w14:textId="102838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52977133" w14:textId="721F1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0.469</w:t>
            </w:r>
          </w:p>
        </w:tc>
        <w:tc>
          <w:tcPr>
            <w:tcW w:w="1540" w:type="dxa"/>
            <w:tcBorders>
              <w:top w:val="nil"/>
              <w:left w:val="nil"/>
              <w:bottom w:val="single" w:sz="4" w:space="0" w:color="auto"/>
              <w:right w:val="single" w:sz="4" w:space="0" w:color="auto"/>
            </w:tcBorders>
            <w:shd w:val="clear" w:color="auto" w:fill="auto"/>
            <w:noWrap/>
            <w:vAlign w:val="center"/>
            <w:hideMark/>
          </w:tcPr>
          <w:p w14:paraId="16DE920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7,954</w:t>
            </w:r>
          </w:p>
        </w:tc>
      </w:tr>
      <w:tr w:rsidR="00315701" w:rsidRPr="009543E3" w14:paraId="597072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112FF3" w14:textId="77777777" w:rsidR="00315701" w:rsidRPr="009543E3" w:rsidRDefault="00315701" w:rsidP="006914CE">
            <w:pPr>
              <w:suppressLineNumbers/>
              <w:suppressAutoHyphens/>
              <w:rPr>
                <w:kern w:val="22"/>
                <w:szCs w:val="22"/>
                <w:lang w:eastAsia="en-CA"/>
              </w:rPr>
            </w:pPr>
            <w:r w:rsidRPr="009543E3">
              <w:rPr>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116946A3" w14:textId="2E0E0B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0EC78806" w14:textId="6BD0C8B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3.703</w:t>
            </w:r>
          </w:p>
        </w:tc>
        <w:tc>
          <w:tcPr>
            <w:tcW w:w="1540" w:type="dxa"/>
            <w:tcBorders>
              <w:top w:val="nil"/>
              <w:left w:val="nil"/>
              <w:bottom w:val="single" w:sz="4" w:space="0" w:color="auto"/>
              <w:right w:val="single" w:sz="4" w:space="0" w:color="auto"/>
            </w:tcBorders>
            <w:shd w:val="clear" w:color="auto" w:fill="auto"/>
            <w:noWrap/>
            <w:vAlign w:val="center"/>
            <w:hideMark/>
          </w:tcPr>
          <w:p w14:paraId="17BA197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62,758</w:t>
            </w:r>
          </w:p>
        </w:tc>
      </w:tr>
      <w:tr w:rsidR="00315701" w:rsidRPr="009543E3" w14:paraId="3E6742A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6B03" w14:textId="77777777" w:rsidR="00315701" w:rsidRPr="009543E3" w:rsidRDefault="00315701" w:rsidP="006914CE">
            <w:pPr>
              <w:suppressLineNumbers/>
              <w:suppressAutoHyphens/>
              <w:rPr>
                <w:kern w:val="22"/>
                <w:szCs w:val="22"/>
                <w:lang w:eastAsia="en-CA"/>
              </w:rPr>
            </w:pPr>
            <w:r w:rsidRPr="009543E3">
              <w:rPr>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745E245C" w14:textId="43B20E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AA5C832" w14:textId="20EB7F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4FDF9D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8842B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45FA1" w14:textId="77777777" w:rsidR="00315701" w:rsidRPr="009543E3" w:rsidRDefault="00315701" w:rsidP="006914CE">
            <w:pPr>
              <w:suppressLineNumbers/>
              <w:suppressAutoHyphens/>
              <w:rPr>
                <w:kern w:val="22"/>
                <w:szCs w:val="22"/>
                <w:lang w:eastAsia="en-CA"/>
              </w:rPr>
            </w:pPr>
            <w:r w:rsidRPr="009543E3">
              <w:rPr>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7D8552FD" w14:textId="058E4A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7ECDBA41" w14:textId="3EC9CFA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1.563</w:t>
            </w:r>
          </w:p>
        </w:tc>
        <w:tc>
          <w:tcPr>
            <w:tcW w:w="1540" w:type="dxa"/>
            <w:tcBorders>
              <w:top w:val="nil"/>
              <w:left w:val="nil"/>
              <w:bottom w:val="single" w:sz="4" w:space="0" w:color="auto"/>
              <w:right w:val="single" w:sz="4" w:space="0" w:color="auto"/>
            </w:tcBorders>
            <w:shd w:val="clear" w:color="auto" w:fill="auto"/>
            <w:noWrap/>
            <w:vAlign w:val="center"/>
            <w:hideMark/>
          </w:tcPr>
          <w:p w14:paraId="356F43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26,495</w:t>
            </w:r>
          </w:p>
        </w:tc>
      </w:tr>
      <w:tr w:rsidR="00315701" w:rsidRPr="009543E3" w14:paraId="3D654D8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8A628E" w14:textId="5F2FF8E8" w:rsidR="00315701" w:rsidRPr="009543E3" w:rsidRDefault="00315701" w:rsidP="006914CE">
            <w:pPr>
              <w:suppressLineNumbers/>
              <w:suppressAutoHyphens/>
              <w:rPr>
                <w:kern w:val="22"/>
                <w:szCs w:val="22"/>
                <w:lang w:eastAsia="en-CA"/>
              </w:rPr>
            </w:pPr>
            <w:r w:rsidRPr="009543E3">
              <w:rPr>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44F3BBBA" w14:textId="4E6CC1C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557595C0" w14:textId="3D5400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1.986</w:t>
            </w:r>
          </w:p>
        </w:tc>
        <w:tc>
          <w:tcPr>
            <w:tcW w:w="1540" w:type="dxa"/>
            <w:tcBorders>
              <w:top w:val="nil"/>
              <w:left w:val="nil"/>
              <w:bottom w:val="single" w:sz="4" w:space="0" w:color="auto"/>
              <w:right w:val="single" w:sz="4" w:space="0" w:color="auto"/>
            </w:tcBorders>
            <w:shd w:val="clear" w:color="auto" w:fill="auto"/>
            <w:noWrap/>
            <w:vAlign w:val="center"/>
            <w:hideMark/>
          </w:tcPr>
          <w:p w14:paraId="1AFED60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33,660</w:t>
            </w:r>
          </w:p>
        </w:tc>
      </w:tr>
      <w:tr w:rsidR="00315701" w:rsidRPr="009543E3" w14:paraId="0B5D06F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C8B29" w14:textId="77777777" w:rsidR="00315701" w:rsidRPr="009543E3" w:rsidRDefault="00315701" w:rsidP="006914CE">
            <w:pPr>
              <w:suppressLineNumbers/>
              <w:suppressAutoHyphens/>
              <w:rPr>
                <w:kern w:val="22"/>
                <w:szCs w:val="22"/>
                <w:lang w:eastAsia="en-CA"/>
              </w:rPr>
            </w:pPr>
            <w:r w:rsidRPr="009543E3">
              <w:rPr>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6353908A" w14:textId="5AADF5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17DCE6A9" w14:textId="5EA2E1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1089A3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322</w:t>
            </w:r>
          </w:p>
        </w:tc>
      </w:tr>
    </w:tbl>
    <w:p w14:paraId="1E922A91" w14:textId="4B3420C2" w:rsidR="00315701" w:rsidRPr="009543E3" w:rsidRDefault="00315701" w:rsidP="006914CE">
      <w:pPr>
        <w:suppressLineNumbers/>
        <w:suppressAutoHyphens/>
        <w:spacing w:after="160" w:line="259" w:lineRule="auto"/>
        <w:rPr>
          <w:bCs/>
          <w:snapToGrid w:val="0"/>
          <w:kern w:val="22"/>
          <w:szCs w:val="22"/>
        </w:rPr>
      </w:pPr>
    </w:p>
    <w:p w14:paraId="29D9A066"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53317D2"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2E9" w14:textId="29BEB492"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18FE26" w14:textId="39B367B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AD8E9"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C04C12" w14:textId="191C0EF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7205D0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259F7E" w14:textId="77777777" w:rsidR="00315701" w:rsidRPr="009543E3" w:rsidRDefault="00315701" w:rsidP="006914CE">
            <w:pPr>
              <w:suppressLineNumbers/>
              <w:suppressAutoHyphens/>
              <w:rPr>
                <w:kern w:val="22"/>
                <w:szCs w:val="22"/>
                <w:lang w:eastAsia="en-CA"/>
              </w:rPr>
            </w:pPr>
            <w:r w:rsidRPr="009543E3">
              <w:rPr>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22647433" w14:textId="64767E6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02CA90B0" w14:textId="30DB43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01D605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1D65A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BFE96" w14:textId="77777777" w:rsidR="00315701" w:rsidRPr="009543E3" w:rsidRDefault="00315701" w:rsidP="006914CE">
            <w:pPr>
              <w:suppressLineNumbers/>
              <w:suppressAutoHyphens/>
              <w:rPr>
                <w:kern w:val="22"/>
                <w:szCs w:val="22"/>
                <w:lang w:eastAsia="en-CA"/>
              </w:rPr>
            </w:pPr>
            <w:r w:rsidRPr="009543E3">
              <w:rPr>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21029CBB" w14:textId="66CBA78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C437C69" w14:textId="2DE610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08B7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297588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CA4CC5" w14:textId="77777777" w:rsidR="00315701" w:rsidRPr="009543E3" w:rsidRDefault="00315701" w:rsidP="006914CE">
            <w:pPr>
              <w:suppressLineNumbers/>
              <w:suppressAutoHyphens/>
              <w:rPr>
                <w:kern w:val="22"/>
                <w:szCs w:val="22"/>
                <w:lang w:eastAsia="en-CA"/>
              </w:rPr>
            </w:pPr>
            <w:r w:rsidRPr="009543E3">
              <w:rPr>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4BF00898" w14:textId="6E0D21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867FB1" w14:textId="08D5E9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CDD864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6B207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B778D" w14:textId="77777777" w:rsidR="00315701" w:rsidRPr="009543E3" w:rsidRDefault="00315701" w:rsidP="006914CE">
            <w:pPr>
              <w:suppressLineNumbers/>
              <w:suppressAutoHyphens/>
              <w:rPr>
                <w:kern w:val="22"/>
                <w:szCs w:val="22"/>
                <w:lang w:eastAsia="en-CA"/>
              </w:rPr>
            </w:pPr>
            <w:r w:rsidRPr="009543E3">
              <w:rPr>
                <w:kern w:val="22"/>
                <w:szCs w:val="22"/>
                <w:lang w:eastAsia="en-CA"/>
              </w:rPr>
              <w:t>Tuvalu</w:t>
            </w:r>
          </w:p>
        </w:tc>
        <w:tc>
          <w:tcPr>
            <w:tcW w:w="1540" w:type="dxa"/>
            <w:tcBorders>
              <w:top w:val="nil"/>
              <w:left w:val="nil"/>
              <w:bottom w:val="single" w:sz="4" w:space="0" w:color="auto"/>
              <w:right w:val="single" w:sz="4" w:space="0" w:color="auto"/>
            </w:tcBorders>
            <w:shd w:val="clear" w:color="auto" w:fill="auto"/>
            <w:vAlign w:val="center"/>
            <w:hideMark/>
          </w:tcPr>
          <w:p w14:paraId="762613D1" w14:textId="116B80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DD33096" w14:textId="641D826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9FBC77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5CB1B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6CD405" w14:textId="77777777" w:rsidR="00315701" w:rsidRPr="009543E3" w:rsidRDefault="00315701" w:rsidP="006914CE">
            <w:pPr>
              <w:suppressLineNumbers/>
              <w:suppressAutoHyphens/>
              <w:rPr>
                <w:kern w:val="22"/>
                <w:szCs w:val="22"/>
                <w:lang w:eastAsia="en-CA"/>
              </w:rPr>
            </w:pPr>
            <w:r w:rsidRPr="009543E3">
              <w:rPr>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620EA1DA" w14:textId="5B200B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6640075" w14:textId="775B5B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57287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69FBEF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E0B984" w14:textId="77777777" w:rsidR="00315701" w:rsidRPr="009543E3" w:rsidRDefault="00315701" w:rsidP="006914CE">
            <w:pPr>
              <w:suppressLineNumbers/>
              <w:suppressAutoHyphens/>
              <w:rPr>
                <w:kern w:val="22"/>
                <w:szCs w:val="22"/>
                <w:lang w:eastAsia="en-CA"/>
              </w:rPr>
            </w:pPr>
            <w:r w:rsidRPr="009543E3">
              <w:rPr>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0739EC4D" w14:textId="06DEB0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542AF64D" w14:textId="283377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1.063</w:t>
            </w:r>
          </w:p>
        </w:tc>
        <w:tc>
          <w:tcPr>
            <w:tcW w:w="1540" w:type="dxa"/>
            <w:tcBorders>
              <w:top w:val="nil"/>
              <w:left w:val="nil"/>
              <w:bottom w:val="single" w:sz="4" w:space="0" w:color="auto"/>
              <w:right w:val="single" w:sz="4" w:space="0" w:color="auto"/>
            </w:tcBorders>
            <w:shd w:val="clear" w:color="auto" w:fill="auto"/>
            <w:noWrap/>
            <w:vAlign w:val="center"/>
            <w:hideMark/>
          </w:tcPr>
          <w:p w14:paraId="0F37C7E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18,014</w:t>
            </w:r>
          </w:p>
        </w:tc>
      </w:tr>
      <w:tr w:rsidR="00315701" w:rsidRPr="009543E3" w14:paraId="5A168E4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29CA56" w14:textId="77777777" w:rsidR="00315701" w:rsidRPr="009543E3" w:rsidRDefault="00315701" w:rsidP="006914CE">
            <w:pPr>
              <w:suppressLineNumbers/>
              <w:suppressAutoHyphens/>
              <w:jc w:val="left"/>
              <w:rPr>
                <w:kern w:val="22"/>
                <w:szCs w:val="22"/>
                <w:lang w:eastAsia="en-CA"/>
              </w:rPr>
            </w:pPr>
            <w:r w:rsidRPr="009543E3">
              <w:rPr>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3B43E516" w14:textId="596E28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36B85E67" w14:textId="720DAA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7.880</w:t>
            </w:r>
          </w:p>
        </w:tc>
        <w:tc>
          <w:tcPr>
            <w:tcW w:w="1540" w:type="dxa"/>
            <w:tcBorders>
              <w:top w:val="nil"/>
              <w:left w:val="nil"/>
              <w:bottom w:val="single" w:sz="4" w:space="0" w:color="auto"/>
              <w:right w:val="single" w:sz="4" w:space="0" w:color="auto"/>
            </w:tcBorders>
            <w:shd w:val="clear" w:color="auto" w:fill="auto"/>
            <w:noWrap/>
            <w:vAlign w:val="center"/>
            <w:hideMark/>
          </w:tcPr>
          <w:p w14:paraId="5A0A59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133,565</w:t>
            </w:r>
          </w:p>
        </w:tc>
      </w:tr>
      <w:tr w:rsidR="00315701" w:rsidRPr="009543E3" w14:paraId="6DF1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5D4383" w14:textId="77777777" w:rsidR="00315701" w:rsidRPr="009543E3" w:rsidRDefault="00315701" w:rsidP="006914CE">
            <w:pPr>
              <w:suppressLineNumbers/>
              <w:suppressAutoHyphens/>
              <w:rPr>
                <w:kern w:val="22"/>
                <w:szCs w:val="22"/>
                <w:lang w:eastAsia="en-CA"/>
              </w:rPr>
            </w:pPr>
            <w:r w:rsidRPr="009543E3">
              <w:rPr>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4AF3CCE2" w14:textId="1161527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607E135" w14:textId="5DA508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7575F5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4AE07D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F1B59" w14:textId="77777777" w:rsidR="00315701" w:rsidRPr="009543E3" w:rsidRDefault="00315701" w:rsidP="006914CE">
            <w:pPr>
              <w:suppressLineNumbers/>
              <w:suppressAutoHyphens/>
              <w:rPr>
                <w:kern w:val="22"/>
                <w:szCs w:val="22"/>
                <w:lang w:eastAsia="en-CA"/>
              </w:rPr>
            </w:pPr>
            <w:r w:rsidRPr="009543E3">
              <w:rPr>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56D8F594" w14:textId="1F3F3B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5C521D35" w14:textId="57E2CA7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0.150</w:t>
            </w:r>
          </w:p>
        </w:tc>
        <w:tc>
          <w:tcPr>
            <w:tcW w:w="1540" w:type="dxa"/>
            <w:tcBorders>
              <w:top w:val="nil"/>
              <w:left w:val="nil"/>
              <w:bottom w:val="single" w:sz="4" w:space="0" w:color="auto"/>
              <w:right w:val="single" w:sz="4" w:space="0" w:color="auto"/>
            </w:tcBorders>
            <w:shd w:val="clear" w:color="auto" w:fill="auto"/>
            <w:noWrap/>
            <w:vAlign w:val="center"/>
            <w:hideMark/>
          </w:tcPr>
          <w:p w14:paraId="5537706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2,544</w:t>
            </w:r>
          </w:p>
        </w:tc>
      </w:tr>
      <w:tr w:rsidR="00315701" w:rsidRPr="009543E3" w14:paraId="7FA978F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3BA664" w14:textId="77777777" w:rsidR="00315701" w:rsidRPr="009543E3" w:rsidRDefault="00315701" w:rsidP="006914CE">
            <w:pPr>
              <w:suppressLineNumbers/>
              <w:suppressAutoHyphens/>
              <w:rPr>
                <w:kern w:val="22"/>
                <w:szCs w:val="22"/>
                <w:lang w:eastAsia="en-CA"/>
              </w:rPr>
            </w:pPr>
            <w:r w:rsidRPr="009543E3">
              <w:rPr>
                <w:kern w:val="22"/>
                <w:szCs w:val="22"/>
                <w:lang w:eastAsia="en-CA"/>
              </w:rPr>
              <w:t>Vanuatu</w:t>
            </w:r>
          </w:p>
        </w:tc>
        <w:tc>
          <w:tcPr>
            <w:tcW w:w="1540" w:type="dxa"/>
            <w:tcBorders>
              <w:top w:val="nil"/>
              <w:left w:val="nil"/>
              <w:bottom w:val="single" w:sz="4" w:space="0" w:color="auto"/>
              <w:right w:val="single" w:sz="4" w:space="0" w:color="auto"/>
            </w:tcBorders>
            <w:shd w:val="clear" w:color="auto" w:fill="auto"/>
            <w:vAlign w:val="center"/>
            <w:hideMark/>
          </w:tcPr>
          <w:p w14:paraId="086B0CB8" w14:textId="327D77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D39FC6" w14:textId="127119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AA539D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4E775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2D04F" w14:textId="53D34B0E" w:rsidR="00315701" w:rsidRPr="009543E3" w:rsidRDefault="00315701" w:rsidP="006914CE">
            <w:pPr>
              <w:suppressLineNumbers/>
              <w:suppressAutoHyphens/>
              <w:rPr>
                <w:kern w:val="22"/>
                <w:szCs w:val="22"/>
                <w:lang w:eastAsia="en-CA"/>
              </w:rPr>
            </w:pPr>
            <w:r w:rsidRPr="009543E3">
              <w:rPr>
                <w:kern w:val="22"/>
                <w:szCs w:val="22"/>
                <w:lang w:eastAsia="en-CA"/>
              </w:rPr>
              <w:t>Venezuela</w:t>
            </w:r>
            <w:r w:rsidR="00E2367E" w:rsidRPr="009543E3">
              <w:rPr>
                <w:kern w:val="22"/>
                <w:szCs w:val="22"/>
                <w:lang w:eastAsia="en-CA"/>
              </w:rPr>
              <w:t xml:space="preserve">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524E373F" w14:textId="17E92F6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1DAA4FD8" w14:textId="67CB92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1.256</w:t>
            </w:r>
          </w:p>
        </w:tc>
        <w:tc>
          <w:tcPr>
            <w:tcW w:w="1540" w:type="dxa"/>
            <w:tcBorders>
              <w:top w:val="nil"/>
              <w:left w:val="nil"/>
              <w:bottom w:val="single" w:sz="4" w:space="0" w:color="auto"/>
              <w:right w:val="single" w:sz="4" w:space="0" w:color="auto"/>
            </w:tcBorders>
            <w:shd w:val="clear" w:color="auto" w:fill="auto"/>
            <w:noWrap/>
            <w:vAlign w:val="center"/>
            <w:hideMark/>
          </w:tcPr>
          <w:p w14:paraId="29C5D0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21,290</w:t>
            </w:r>
          </w:p>
        </w:tc>
      </w:tr>
      <w:tr w:rsidR="00315701" w:rsidRPr="009543E3" w14:paraId="10B07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86339B" w14:textId="77777777" w:rsidR="00315701" w:rsidRPr="009543E3" w:rsidRDefault="00315701" w:rsidP="006914CE">
            <w:pPr>
              <w:suppressLineNumbers/>
              <w:suppressAutoHyphens/>
              <w:rPr>
                <w:kern w:val="22"/>
                <w:szCs w:val="22"/>
                <w:lang w:eastAsia="en-CA"/>
              </w:rPr>
            </w:pPr>
            <w:r w:rsidRPr="009543E3">
              <w:rPr>
                <w:kern w:val="22"/>
                <w:szCs w:val="22"/>
                <w:lang w:eastAsia="en-CA"/>
              </w:rPr>
              <w:t>Viet Nam</w:t>
            </w:r>
          </w:p>
        </w:tc>
        <w:tc>
          <w:tcPr>
            <w:tcW w:w="1540" w:type="dxa"/>
            <w:tcBorders>
              <w:top w:val="nil"/>
              <w:left w:val="nil"/>
              <w:bottom w:val="single" w:sz="4" w:space="0" w:color="auto"/>
              <w:right w:val="single" w:sz="4" w:space="0" w:color="auto"/>
            </w:tcBorders>
            <w:shd w:val="clear" w:color="auto" w:fill="auto"/>
            <w:vAlign w:val="center"/>
            <w:hideMark/>
          </w:tcPr>
          <w:p w14:paraId="5D76A45D" w14:textId="07C7BD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2B8C6292" w14:textId="14BF08D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0.133</w:t>
            </w:r>
          </w:p>
        </w:tc>
        <w:tc>
          <w:tcPr>
            <w:tcW w:w="1540" w:type="dxa"/>
            <w:tcBorders>
              <w:top w:val="nil"/>
              <w:left w:val="nil"/>
              <w:bottom w:val="single" w:sz="4" w:space="0" w:color="auto"/>
              <w:right w:val="single" w:sz="4" w:space="0" w:color="auto"/>
            </w:tcBorders>
            <w:shd w:val="clear" w:color="auto" w:fill="auto"/>
            <w:noWrap/>
            <w:vAlign w:val="center"/>
            <w:hideMark/>
          </w:tcPr>
          <w:p w14:paraId="43AE4C4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2,252</w:t>
            </w:r>
          </w:p>
        </w:tc>
      </w:tr>
      <w:tr w:rsidR="00315701" w:rsidRPr="009543E3" w14:paraId="0762D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9CBD1B" w14:textId="77777777" w:rsidR="00315701" w:rsidRPr="009543E3" w:rsidRDefault="00315701" w:rsidP="006914CE">
            <w:pPr>
              <w:suppressLineNumbers/>
              <w:suppressAutoHyphens/>
              <w:rPr>
                <w:kern w:val="22"/>
                <w:szCs w:val="22"/>
                <w:lang w:eastAsia="en-CA"/>
              </w:rPr>
            </w:pPr>
            <w:r w:rsidRPr="009543E3">
              <w:rPr>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610FA4AD" w14:textId="7FC1D7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02D61F5" w14:textId="4A731F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5813B7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45957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E3E4B4" w14:textId="77777777" w:rsidR="00315701" w:rsidRPr="009543E3" w:rsidRDefault="00315701" w:rsidP="006914CE">
            <w:pPr>
              <w:suppressLineNumbers/>
              <w:suppressAutoHyphens/>
              <w:rPr>
                <w:kern w:val="22"/>
                <w:szCs w:val="22"/>
                <w:lang w:eastAsia="en-CA"/>
              </w:rPr>
            </w:pPr>
            <w:r w:rsidRPr="009543E3">
              <w:rPr>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65C9C32D" w14:textId="3D9ECB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85183DF" w14:textId="0FFF6B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A3CB2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5ED48B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1785F81" w14:textId="77777777" w:rsidR="00315701" w:rsidRPr="009543E3" w:rsidRDefault="00315701"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51F496BA" w14:textId="54BB7B90"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56.540</w:t>
            </w:r>
          </w:p>
        </w:tc>
        <w:tc>
          <w:tcPr>
            <w:tcW w:w="1540" w:type="dxa"/>
            <w:tcBorders>
              <w:top w:val="nil"/>
              <w:left w:val="nil"/>
              <w:bottom w:val="single" w:sz="4" w:space="0" w:color="auto"/>
              <w:right w:val="single" w:sz="4" w:space="0" w:color="auto"/>
            </w:tcBorders>
            <w:shd w:val="clear" w:color="auto" w:fill="auto"/>
            <w:noWrap/>
            <w:vAlign w:val="center"/>
            <w:hideMark/>
          </w:tcPr>
          <w:p w14:paraId="2F47469F" w14:textId="37801DFA"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5C6D0E90" w14:textId="77777777"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1,695,000</w:t>
            </w:r>
          </w:p>
        </w:tc>
      </w:tr>
    </w:tbl>
    <w:p w14:paraId="67E33E1B" w14:textId="77777777" w:rsidR="00FE1779" w:rsidRPr="009543E3" w:rsidRDefault="00FE1779" w:rsidP="006914CE">
      <w:pPr>
        <w:suppressLineNumbers/>
        <w:suppressAutoHyphens/>
        <w:jc w:val="left"/>
        <w:rPr>
          <w:bCs/>
          <w:snapToGrid w:val="0"/>
          <w:kern w:val="22"/>
          <w:szCs w:val="22"/>
        </w:rPr>
      </w:pPr>
    </w:p>
    <w:p w14:paraId="4C1E8DD6" w14:textId="2E615AC0" w:rsidR="000311B5" w:rsidRPr="001154FB" w:rsidRDefault="00BE58BB" w:rsidP="006914CE">
      <w:pPr>
        <w:suppressLineNumbers/>
        <w:suppressAutoHyphens/>
        <w:jc w:val="center"/>
        <w:rPr>
          <w:bCs/>
          <w:snapToGrid w:val="0"/>
          <w:kern w:val="22"/>
          <w:szCs w:val="22"/>
        </w:rPr>
      </w:pPr>
      <w:r w:rsidRPr="009543E3">
        <w:rPr>
          <w:bCs/>
          <w:snapToGrid w:val="0"/>
          <w:kern w:val="22"/>
          <w:szCs w:val="22"/>
        </w:rPr>
        <w:t>__________</w:t>
      </w:r>
    </w:p>
    <w:sectPr w:rsidR="000311B5" w:rsidRPr="001154FB" w:rsidSect="000322A9">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448D" w14:textId="77777777" w:rsidR="009F3B62" w:rsidRDefault="009F3B62" w:rsidP="00451B9F">
      <w:r>
        <w:separator/>
      </w:r>
    </w:p>
  </w:endnote>
  <w:endnote w:type="continuationSeparator" w:id="0">
    <w:p w14:paraId="60F01F8C" w14:textId="77777777" w:rsidR="009F3B62" w:rsidRDefault="009F3B62" w:rsidP="00451B9F">
      <w:r>
        <w:continuationSeparator/>
      </w:r>
    </w:p>
  </w:endnote>
  <w:endnote w:type="continuationNotice" w:id="1">
    <w:p w14:paraId="02322A3C" w14:textId="77777777" w:rsidR="009F3B62" w:rsidRDefault="009F3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F4D0" w14:textId="77777777" w:rsidR="009F3B62" w:rsidRDefault="009F3B62" w:rsidP="00451B9F">
      <w:r>
        <w:separator/>
      </w:r>
    </w:p>
  </w:footnote>
  <w:footnote w:type="continuationSeparator" w:id="0">
    <w:p w14:paraId="3262E236" w14:textId="77777777" w:rsidR="009F3B62" w:rsidRDefault="009F3B62" w:rsidP="00451B9F">
      <w:r>
        <w:continuationSeparator/>
      </w:r>
    </w:p>
  </w:footnote>
  <w:footnote w:type="continuationNotice" w:id="1">
    <w:p w14:paraId="3AA468B2" w14:textId="77777777" w:rsidR="009F3B62" w:rsidRDefault="009F3B62"/>
  </w:footnote>
  <w:footnote w:id="2">
    <w:p w14:paraId="365AA3E0" w14:textId="748330A0" w:rsidR="00C44935" w:rsidRPr="00B63096" w:rsidRDefault="00C44935"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1" w:history="1">
        <w:r w:rsidR="002A0EED" w:rsidRPr="00B63096">
          <w:rPr>
            <w:rStyle w:val="Hyperlink"/>
            <w:kern w:val="18"/>
          </w:rPr>
          <w:t>CBD/</w:t>
        </w:r>
        <w:proofErr w:type="spellStart"/>
        <w:r w:rsidR="002A0EED" w:rsidRPr="00B63096">
          <w:rPr>
            <w:rStyle w:val="Hyperlink"/>
            <w:kern w:val="18"/>
          </w:rPr>
          <w:t>ExCOP</w:t>
        </w:r>
        <w:proofErr w:type="spellEnd"/>
        <w:r w:rsidR="002A0EED" w:rsidRPr="00B63096">
          <w:rPr>
            <w:rStyle w:val="Hyperlink"/>
            <w:kern w:val="18"/>
          </w:rPr>
          <w:t>/2/1</w:t>
        </w:r>
      </w:hyperlink>
      <w:r w:rsidR="00496463" w:rsidRPr="00B63096">
        <w:rPr>
          <w:kern w:val="18"/>
        </w:rPr>
        <w:t>.</w:t>
      </w:r>
    </w:p>
  </w:footnote>
  <w:footnote w:id="3">
    <w:p w14:paraId="2874F398" w14:textId="2839BE7B" w:rsidR="00496463" w:rsidRPr="00B63096" w:rsidRDefault="00496463"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2" w:history="1">
        <w:r w:rsidRPr="00B63096">
          <w:rPr>
            <w:rStyle w:val="Hyperlink"/>
            <w:kern w:val="18"/>
          </w:rPr>
          <w:t>CBD/CP/</w:t>
        </w:r>
        <w:proofErr w:type="spellStart"/>
        <w:r w:rsidRPr="00B63096">
          <w:rPr>
            <w:rStyle w:val="Hyperlink"/>
            <w:kern w:val="18"/>
          </w:rPr>
          <w:t>ExMOP</w:t>
        </w:r>
        <w:proofErr w:type="spellEnd"/>
        <w:r w:rsidRPr="00B63096">
          <w:rPr>
            <w:rStyle w:val="Hyperlink"/>
            <w:kern w:val="18"/>
          </w:rPr>
          <w:t>/1</w:t>
        </w:r>
      </w:hyperlink>
      <w:r w:rsidR="00B4463E">
        <w:rPr>
          <w:rStyle w:val="Hyperlink"/>
          <w:kern w:val="18"/>
        </w:rPr>
        <w:t>/1</w:t>
      </w:r>
      <w:r w:rsidR="00944C3F" w:rsidRPr="00B63096">
        <w:rPr>
          <w:kern w:val="18"/>
        </w:rPr>
        <w:t>.</w:t>
      </w:r>
    </w:p>
  </w:footnote>
  <w:footnote w:id="4">
    <w:p w14:paraId="6BDBD33D" w14:textId="0E57EF91" w:rsidR="00944C3F" w:rsidRPr="00B63096" w:rsidRDefault="00944C3F"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3" w:history="1">
        <w:r w:rsidRPr="00B63096">
          <w:rPr>
            <w:rStyle w:val="Hyperlink"/>
            <w:kern w:val="18"/>
          </w:rPr>
          <w:t>CBD/NP/</w:t>
        </w:r>
        <w:proofErr w:type="spellStart"/>
        <w:r w:rsidRPr="00B63096">
          <w:rPr>
            <w:rStyle w:val="Hyperlink"/>
            <w:kern w:val="18"/>
          </w:rPr>
          <w:t>ExMOP</w:t>
        </w:r>
        <w:proofErr w:type="spellEnd"/>
        <w:r w:rsidRPr="00B63096">
          <w:rPr>
            <w:rStyle w:val="Hyperlink"/>
            <w:kern w:val="18"/>
          </w:rPr>
          <w:t>/1</w:t>
        </w:r>
      </w:hyperlink>
      <w:r w:rsidR="00B4463E">
        <w:rPr>
          <w:rStyle w:val="Hyperlink"/>
          <w:kern w:val="18"/>
        </w:rPr>
        <w:t>/1</w:t>
      </w:r>
      <w:r w:rsidRPr="00B63096">
        <w:rPr>
          <w:kern w:val="18"/>
        </w:rPr>
        <w:t>.</w:t>
      </w:r>
    </w:p>
  </w:footnote>
  <w:footnote w:id="5">
    <w:p w14:paraId="43C772F6" w14:textId="05BDB860" w:rsidR="009F31CC" w:rsidRPr="00B63096" w:rsidRDefault="009F31CC"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00B27F30" w:rsidRPr="00B63096">
        <w:rPr>
          <w:rFonts w:eastAsia="Malgun Gothic"/>
          <w:kern w:val="18"/>
          <w:szCs w:val="22"/>
          <w:lang w:eastAsia="x-none"/>
        </w:rPr>
        <w:t xml:space="preserve">See </w:t>
      </w:r>
      <w:r w:rsidR="00E12AB4" w:rsidRPr="00B63096">
        <w:rPr>
          <w:rFonts w:eastAsia="Malgun Gothic"/>
          <w:kern w:val="18"/>
          <w:szCs w:val="22"/>
          <w:lang w:eastAsia="x-none"/>
        </w:rPr>
        <w:t>the annotated provisional agenda (</w:t>
      </w:r>
      <w:hyperlink r:id="rId4" w:history="1">
        <w:r w:rsidR="00B27F30" w:rsidRPr="00B63096">
          <w:rPr>
            <w:rStyle w:val="Hyperlink"/>
            <w:kern w:val="18"/>
          </w:rPr>
          <w:t>CBD/</w:t>
        </w:r>
        <w:proofErr w:type="spellStart"/>
        <w:r w:rsidR="00B27F30" w:rsidRPr="00B63096">
          <w:rPr>
            <w:rStyle w:val="Hyperlink"/>
            <w:kern w:val="18"/>
          </w:rPr>
          <w:t>ExCOP</w:t>
        </w:r>
        <w:proofErr w:type="spellEnd"/>
        <w:r w:rsidR="00B27F30" w:rsidRPr="00B63096">
          <w:rPr>
            <w:rStyle w:val="Hyperlink"/>
            <w:kern w:val="18"/>
          </w:rPr>
          <w:t>/2/1/Add.1</w:t>
        </w:r>
      </w:hyperlink>
      <w:r w:rsidR="00E12AB4" w:rsidRPr="00B63096">
        <w:rPr>
          <w:kern w:val="18"/>
        </w:rPr>
        <w:t xml:space="preserve">, </w:t>
      </w:r>
      <w:hyperlink r:id="rId5" w:history="1">
        <w:r w:rsidR="00711690" w:rsidRPr="00B63096">
          <w:rPr>
            <w:rStyle w:val="Hyperlink"/>
            <w:kern w:val="18"/>
          </w:rPr>
          <w:t>CBD/CP/</w:t>
        </w:r>
        <w:proofErr w:type="spellStart"/>
        <w:r w:rsidR="00711690" w:rsidRPr="00B63096">
          <w:rPr>
            <w:rStyle w:val="Hyperlink"/>
            <w:kern w:val="18"/>
          </w:rPr>
          <w:t>ExMOP</w:t>
        </w:r>
        <w:proofErr w:type="spellEnd"/>
        <w:r w:rsidR="00711690" w:rsidRPr="00B63096">
          <w:rPr>
            <w:rStyle w:val="Hyperlink"/>
            <w:kern w:val="18"/>
          </w:rPr>
          <w:t>/1/</w:t>
        </w:r>
        <w:r w:rsidR="00C37B51">
          <w:rPr>
            <w:rStyle w:val="Hyperlink"/>
            <w:kern w:val="18"/>
          </w:rPr>
          <w:t>1/</w:t>
        </w:r>
        <w:r w:rsidR="00711690" w:rsidRPr="00B63096">
          <w:rPr>
            <w:rStyle w:val="Hyperlink"/>
            <w:kern w:val="18"/>
          </w:rPr>
          <w:t>Add.1</w:t>
        </w:r>
      </w:hyperlink>
      <w:r w:rsidR="00711690" w:rsidRPr="00B63096">
        <w:rPr>
          <w:kern w:val="18"/>
        </w:rPr>
        <w:t xml:space="preserve">, </w:t>
      </w:r>
      <w:hyperlink r:id="rId6" w:history="1">
        <w:r w:rsidR="00711690" w:rsidRPr="00B63096">
          <w:rPr>
            <w:rStyle w:val="Hyperlink"/>
            <w:kern w:val="18"/>
          </w:rPr>
          <w:t>CBD/NP/</w:t>
        </w:r>
        <w:proofErr w:type="spellStart"/>
        <w:r w:rsidR="00711690" w:rsidRPr="00B63096">
          <w:rPr>
            <w:rStyle w:val="Hyperlink"/>
            <w:kern w:val="18"/>
          </w:rPr>
          <w:t>ExMOP</w:t>
        </w:r>
        <w:proofErr w:type="spellEnd"/>
        <w:r w:rsidR="00711690" w:rsidRPr="00B63096">
          <w:rPr>
            <w:rStyle w:val="Hyperlink"/>
            <w:kern w:val="18"/>
          </w:rPr>
          <w:t>/1/</w:t>
        </w:r>
        <w:r w:rsidR="00C37B51">
          <w:rPr>
            <w:rStyle w:val="Hyperlink"/>
            <w:kern w:val="18"/>
          </w:rPr>
          <w:t>1/</w:t>
        </w:r>
        <w:r w:rsidR="00711690" w:rsidRPr="00B63096">
          <w:rPr>
            <w:rStyle w:val="Hyperlink"/>
            <w:kern w:val="18"/>
          </w:rPr>
          <w:t>Add.1</w:t>
        </w:r>
      </w:hyperlink>
      <w:r w:rsidR="00B27F30" w:rsidRPr="00B63096">
        <w:rPr>
          <w:rFonts w:eastAsia="Malgun Gothic"/>
          <w:iCs/>
          <w:kern w:val="18"/>
          <w:szCs w:val="22"/>
          <w:lang w:eastAsia="x-none"/>
        </w:rPr>
        <w:t>)</w:t>
      </w:r>
    </w:p>
  </w:footnote>
  <w:footnote w:id="6">
    <w:p w14:paraId="382D1363" w14:textId="1225ED65" w:rsidR="00985DB2" w:rsidRPr="00B63096" w:rsidRDefault="00985DB2"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Financial </w:t>
      </w:r>
      <w:r w:rsidR="00560CF3" w:rsidRPr="00B63096">
        <w:rPr>
          <w:kern w:val="18"/>
        </w:rPr>
        <w:t>r</w:t>
      </w:r>
      <w:r w:rsidRPr="00B63096">
        <w:rPr>
          <w:kern w:val="18"/>
        </w:rPr>
        <w:t xml:space="preserve">ules for the </w:t>
      </w:r>
      <w:r w:rsidR="00560CF3" w:rsidRPr="00B63096">
        <w:rPr>
          <w:kern w:val="18"/>
        </w:rPr>
        <w:t>a</w:t>
      </w:r>
      <w:r w:rsidRPr="00B63096">
        <w:rPr>
          <w:kern w:val="18"/>
        </w:rPr>
        <w:t>dministration of the Trust Fund for the Convention</w:t>
      </w:r>
      <w:r w:rsidR="001B21CD" w:rsidRPr="00B63096">
        <w:rPr>
          <w:kern w:val="18"/>
        </w:rPr>
        <w:t xml:space="preserve"> on Biological Diversity</w:t>
      </w:r>
      <w:r w:rsidRPr="00B63096">
        <w:rPr>
          <w:kern w:val="18"/>
        </w:rPr>
        <w:t xml:space="preserve"> </w:t>
      </w:r>
      <w:r w:rsidR="003203FB" w:rsidRPr="00B63096">
        <w:rPr>
          <w:kern w:val="18"/>
        </w:rPr>
        <w:t>(</w:t>
      </w:r>
      <w:r w:rsidR="003475EE" w:rsidRPr="00B63096">
        <w:rPr>
          <w:kern w:val="18"/>
        </w:rPr>
        <w:t>d</w:t>
      </w:r>
      <w:r w:rsidRPr="00B63096">
        <w:rPr>
          <w:kern w:val="18"/>
        </w:rPr>
        <w:t xml:space="preserve">ecision </w:t>
      </w:r>
      <w:hyperlink r:id="rId7" w:history="1">
        <w:r w:rsidRPr="00B63096">
          <w:rPr>
            <w:rStyle w:val="Hyperlink"/>
            <w:kern w:val="18"/>
          </w:rPr>
          <w:t>I/6</w:t>
        </w:r>
      </w:hyperlink>
      <w:r w:rsidRPr="00B63096">
        <w:rPr>
          <w:kern w:val="18"/>
        </w:rPr>
        <w:t xml:space="preserve"> </w:t>
      </w:r>
      <w:r w:rsidR="003475EE" w:rsidRPr="00B63096">
        <w:rPr>
          <w:kern w:val="18"/>
        </w:rPr>
        <w:t>a</w:t>
      </w:r>
      <w:r w:rsidRPr="00B63096">
        <w:rPr>
          <w:kern w:val="18"/>
        </w:rPr>
        <w:t>nnex</w:t>
      </w:r>
      <w:r w:rsidR="0061581C" w:rsidRPr="00B63096">
        <w:rPr>
          <w:kern w:val="18"/>
        </w:rPr>
        <w:t> I</w:t>
      </w:r>
      <w:r w:rsidR="003203FB" w:rsidRPr="00B63096">
        <w:rPr>
          <w:kern w:val="18"/>
        </w:rPr>
        <w:t>)</w:t>
      </w:r>
      <w:r w:rsidRPr="00B63096">
        <w:rPr>
          <w:kern w:val="18"/>
        </w:rPr>
        <w:t>.</w:t>
      </w:r>
    </w:p>
  </w:footnote>
  <w:footnote w:id="7">
    <w:p w14:paraId="128FB6F8" w14:textId="31A387DE" w:rsidR="00985DB2" w:rsidRPr="00B63096" w:rsidRDefault="00985DB2"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rFonts w:eastAsiaTheme="minorEastAsia"/>
          <w:kern w:val="18"/>
          <w:szCs w:val="18"/>
        </w:rPr>
        <w:t xml:space="preserve">Currently </w:t>
      </w:r>
      <w:r w:rsidR="00747950" w:rsidRPr="00B63096">
        <w:rPr>
          <w:rFonts w:eastAsiaTheme="minorEastAsia"/>
          <w:kern w:val="18"/>
          <w:szCs w:val="18"/>
        </w:rPr>
        <w:t>the fifteenth meeting of the Conference of the Parties</w:t>
      </w:r>
      <w:r w:rsidRPr="00B63096">
        <w:rPr>
          <w:rFonts w:eastAsiaTheme="minorEastAsia"/>
          <w:kern w:val="18"/>
          <w:szCs w:val="18"/>
        </w:rPr>
        <w:t xml:space="preserve"> and </w:t>
      </w:r>
      <w:r w:rsidR="00747950" w:rsidRPr="00B63096">
        <w:rPr>
          <w:rFonts w:eastAsiaTheme="minorEastAsia"/>
          <w:kern w:val="18"/>
          <w:szCs w:val="18"/>
        </w:rPr>
        <w:t xml:space="preserve">the </w:t>
      </w:r>
      <w:r w:rsidRPr="00B63096">
        <w:rPr>
          <w:rFonts w:eastAsiaTheme="minorEastAsia"/>
          <w:kern w:val="18"/>
          <w:szCs w:val="18"/>
        </w:rPr>
        <w:t xml:space="preserve">related meetings of the Protocols are scheduled for May 2020, but further postponement may be needed depending upon the timing of </w:t>
      </w:r>
      <w:bookmarkStart w:id="3" w:name="_Hlk51514804"/>
      <w:r w:rsidR="00747950" w:rsidRPr="00B63096">
        <w:rPr>
          <w:rFonts w:eastAsiaTheme="minorEastAsia"/>
          <w:kern w:val="18"/>
          <w:szCs w:val="18"/>
        </w:rPr>
        <w:t>the twenty-fourth meeting of the Subsidiary Body on Scientific, Technical and Technological Advice</w:t>
      </w:r>
      <w:r w:rsidRPr="00B63096">
        <w:rPr>
          <w:rFonts w:eastAsiaTheme="minorEastAsia"/>
          <w:kern w:val="18"/>
          <w:szCs w:val="18"/>
        </w:rPr>
        <w:t xml:space="preserve">, </w:t>
      </w:r>
      <w:r w:rsidR="00FC180C" w:rsidRPr="00B63096">
        <w:rPr>
          <w:rFonts w:eastAsiaTheme="minorEastAsia"/>
          <w:kern w:val="18"/>
          <w:szCs w:val="18"/>
        </w:rPr>
        <w:t>the third meeting of the Subsidiary Body on Implementation</w:t>
      </w:r>
      <w:r w:rsidR="00FC180C" w:rsidRPr="00B63096" w:rsidDel="00FC180C">
        <w:rPr>
          <w:rFonts w:eastAsiaTheme="minorEastAsia"/>
          <w:kern w:val="18"/>
          <w:szCs w:val="18"/>
        </w:rPr>
        <w:t xml:space="preserve"> </w:t>
      </w:r>
      <w:r w:rsidRPr="00B63096">
        <w:rPr>
          <w:rFonts w:eastAsiaTheme="minorEastAsia"/>
          <w:kern w:val="18"/>
          <w:szCs w:val="18"/>
        </w:rPr>
        <w:t xml:space="preserve">and </w:t>
      </w:r>
      <w:r w:rsidR="00FC180C" w:rsidRPr="00B63096">
        <w:rPr>
          <w:rFonts w:eastAsiaTheme="minorEastAsia"/>
          <w:kern w:val="18"/>
          <w:szCs w:val="18"/>
        </w:rPr>
        <w:t>the third meeting of the Working Group on the Post-2020 Global Biodiversity Framework</w:t>
      </w:r>
      <w:bookmarkEnd w:id="3"/>
      <w:r w:rsidRPr="00B63096">
        <w:rPr>
          <w:rFonts w:eastAsiaTheme="minorEastAsia"/>
          <w:kern w:val="18"/>
          <w:szCs w:val="18"/>
        </w:rPr>
        <w:t>.</w:t>
      </w:r>
    </w:p>
  </w:footnote>
  <w:footnote w:id="8">
    <w:p w14:paraId="55F7A91F" w14:textId="12EB7A85" w:rsidR="000E3B95" w:rsidRPr="00B63096" w:rsidRDefault="000E3B95"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kern w:val="18"/>
          <w:szCs w:val="22"/>
        </w:rPr>
        <w:t>CBD/</w:t>
      </w:r>
      <w:proofErr w:type="spellStart"/>
      <w:r w:rsidRPr="00B63096">
        <w:rPr>
          <w:kern w:val="18"/>
          <w:szCs w:val="22"/>
        </w:rPr>
        <w:t>ExCOP</w:t>
      </w:r>
      <w:proofErr w:type="spellEnd"/>
      <w:r w:rsidRPr="00B63096">
        <w:rPr>
          <w:kern w:val="18"/>
          <w:szCs w:val="22"/>
        </w:rPr>
        <w:t>/2/2.</w:t>
      </w:r>
    </w:p>
  </w:footnote>
  <w:footnote w:id="9">
    <w:p w14:paraId="6CFFF6C9" w14:textId="70E5856A" w:rsidR="0062541A" w:rsidRPr="00B63096" w:rsidRDefault="0062541A" w:rsidP="0062541A">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CBD/CP/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 w:id="10">
    <w:p w14:paraId="05736359" w14:textId="74B59A98" w:rsidR="00443939" w:rsidRPr="00B63096" w:rsidRDefault="00443939" w:rsidP="00443939">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007E3995" w:rsidRPr="00B63096">
        <w:rPr>
          <w:iCs/>
          <w:snapToGrid w:val="0"/>
          <w:kern w:val="18"/>
          <w:szCs w:val="22"/>
        </w:rPr>
        <w:t>CBD/NP/</w:t>
      </w:r>
      <w:proofErr w:type="spellStart"/>
      <w:r w:rsidR="007E3995" w:rsidRPr="00B63096">
        <w:rPr>
          <w:iCs/>
          <w:snapToGrid w:val="0"/>
          <w:kern w:val="18"/>
          <w:szCs w:val="22"/>
        </w:rPr>
        <w:t>ExMOP</w:t>
      </w:r>
      <w:proofErr w:type="spellEnd"/>
      <w:r w:rsidR="007E3995"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1224254221"/>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69B6921F" w14:textId="0BF6BC22" w:rsidR="00985DB2" w:rsidRPr="006914CE" w:rsidRDefault="00E97DC4" w:rsidP="000322A9">
        <w:pPr>
          <w:ind w:right="7375"/>
          <w:jc w:val="left"/>
          <w:rPr>
            <w:noProof/>
            <w:color w:val="000000" w:themeColor="text1"/>
            <w:kern w:val="20"/>
            <w:szCs w:val="22"/>
          </w:rPr>
        </w:pPr>
        <w:r w:rsidRPr="00993F06">
          <w:rPr>
            <w:iCs/>
            <w:noProof/>
            <w:snapToGrid w:val="0"/>
            <w:kern w:val="22"/>
            <w:szCs w:val="22"/>
          </w:rPr>
          <w:t>CBD/ExCOP/2/2 CBD/CP/ExMOP/1/2 CBD/NP/ExMOP/1/2</w:t>
        </w:r>
      </w:p>
    </w:sdtContent>
  </w:sdt>
  <w:p w14:paraId="2AC5E781" w14:textId="24DEB033" w:rsidR="00985DB2" w:rsidRPr="006914CE" w:rsidRDefault="00985DB2" w:rsidP="000322A9">
    <w:pPr>
      <w:pStyle w:val="Header"/>
      <w:ind w:right="7092"/>
      <w:jc w:val="left"/>
      <w:rPr>
        <w:noProof/>
        <w:kern w:val="22"/>
      </w:rPr>
    </w:pPr>
    <w:r w:rsidRPr="006914CE">
      <w:rPr>
        <w:noProof/>
        <w:kern w:val="22"/>
      </w:rPr>
      <w:t>Page</w:t>
    </w:r>
    <w:r w:rsidR="00A70A3E" w:rsidRPr="006914CE">
      <w:rPr>
        <w:noProof/>
        <w:kern w:val="22"/>
      </w:rPr>
      <w:t>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sidRPr="006914CE">
      <w:rPr>
        <w:noProof/>
        <w:kern w:val="22"/>
      </w:rPr>
      <w:t>8</w:t>
    </w:r>
    <w:r w:rsidRPr="009A62CC">
      <w:rPr>
        <w:noProof/>
        <w:kern w:val="22"/>
      </w:rPr>
      <w:fldChar w:fldCharType="end"/>
    </w:r>
  </w:p>
  <w:p w14:paraId="01A518A8" w14:textId="77777777" w:rsidR="00985DB2" w:rsidRPr="006914CE" w:rsidRDefault="00985DB2" w:rsidP="00791E0A">
    <w:pPr>
      <w:pStyle w:val="Header"/>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41671026"/>
      <w:placeholder>
        <w:docPart w:val="6CFC5E2F02354C2C8E983EEEA5016617"/>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29AF2D00" w14:textId="77777777" w:rsidR="00E97DC4" w:rsidRPr="006914CE" w:rsidRDefault="00E97DC4" w:rsidP="000322A9">
        <w:pPr>
          <w:ind w:left="6379" w:right="4"/>
          <w:jc w:val="right"/>
          <w:rPr>
            <w:noProof/>
            <w:color w:val="000000" w:themeColor="text1"/>
            <w:kern w:val="20"/>
            <w:szCs w:val="22"/>
          </w:rPr>
        </w:pPr>
        <w:r w:rsidRPr="00777EEF">
          <w:rPr>
            <w:iCs/>
            <w:noProof/>
            <w:snapToGrid w:val="0"/>
            <w:kern w:val="22"/>
            <w:szCs w:val="22"/>
          </w:rPr>
          <w:t>CBD/ExCOP/2/2 CBD/CP/ExMOP/1/2 CBD/NP/ExMOP/1/2</w:t>
        </w:r>
      </w:p>
    </w:sdtContent>
  </w:sdt>
  <w:p w14:paraId="405E27FA" w14:textId="77777777" w:rsidR="00E97DC4" w:rsidRPr="006914CE" w:rsidRDefault="00E97DC4" w:rsidP="000322A9">
    <w:pPr>
      <w:pStyle w:val="Header"/>
      <w:ind w:left="6379" w:right="4"/>
      <w:jc w:val="right"/>
      <w:rPr>
        <w:noProof/>
        <w:kern w:val="22"/>
      </w:rPr>
    </w:pPr>
    <w:r w:rsidRPr="006914CE">
      <w:rPr>
        <w:noProof/>
        <w:kern w:val="22"/>
      </w:rPr>
      <w:t xml:space="preserve">Page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sidRPr="00777EEF">
      <w:rPr>
        <w:kern w:val="22"/>
      </w:rPr>
      <w:t>2</w:t>
    </w:r>
    <w:r w:rsidRPr="009A62CC">
      <w:rPr>
        <w:noProof/>
        <w:kern w:val="22"/>
      </w:rPr>
      <w:fldChar w:fldCharType="end"/>
    </w:r>
  </w:p>
  <w:p w14:paraId="67859B16" w14:textId="77777777" w:rsidR="00985DB2" w:rsidRPr="006914CE" w:rsidRDefault="00985DB2" w:rsidP="00791E0A">
    <w:pPr>
      <w:pStyle w:val="Header"/>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9"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6"/>
  </w:num>
  <w:num w:numId="8">
    <w:abstractNumId w:val="18"/>
  </w:num>
  <w:num w:numId="9">
    <w:abstractNumId w:val="38"/>
  </w:num>
  <w:num w:numId="10">
    <w:abstractNumId w:val="1"/>
  </w:num>
  <w:num w:numId="11">
    <w:abstractNumId w:val="27"/>
  </w:num>
  <w:num w:numId="12">
    <w:abstractNumId w:val="2"/>
  </w:num>
  <w:num w:numId="13">
    <w:abstractNumId w:val="37"/>
  </w:num>
  <w:num w:numId="14">
    <w:abstractNumId w:val="32"/>
  </w:num>
  <w:num w:numId="15">
    <w:abstractNumId w:val="30"/>
  </w:num>
  <w:num w:numId="16">
    <w:abstractNumId w:val="39"/>
  </w:num>
  <w:num w:numId="17">
    <w:abstractNumId w:val="36"/>
  </w:num>
  <w:num w:numId="18">
    <w:abstractNumId w:val="13"/>
  </w:num>
  <w:num w:numId="19">
    <w:abstractNumId w:val="4"/>
  </w:num>
  <w:num w:numId="20">
    <w:abstractNumId w:val="29"/>
  </w:num>
  <w:num w:numId="21">
    <w:abstractNumId w:val="7"/>
  </w:num>
  <w:num w:numId="22">
    <w:abstractNumId w:val="8"/>
  </w:num>
  <w:num w:numId="23">
    <w:abstractNumId w:val="0"/>
  </w:num>
  <w:num w:numId="24">
    <w:abstractNumId w:val="6"/>
  </w:num>
  <w:num w:numId="25">
    <w:abstractNumId w:val="31"/>
  </w:num>
  <w:num w:numId="26">
    <w:abstractNumId w:val="4"/>
    <w:lvlOverride w:ilvl="0">
      <w:startOverride w:val="17"/>
    </w:lvlOverride>
  </w:num>
  <w:num w:numId="27">
    <w:abstractNumId w:val="3"/>
  </w:num>
  <w:num w:numId="28">
    <w:abstractNumId w:val="12"/>
  </w:num>
  <w:num w:numId="29">
    <w:abstractNumId w:val="20"/>
  </w:num>
  <w:num w:numId="30">
    <w:abstractNumId w:val="15"/>
  </w:num>
  <w:num w:numId="31">
    <w:abstractNumId w:val="10"/>
  </w:num>
  <w:num w:numId="32">
    <w:abstractNumId w:val="26"/>
  </w:num>
  <w:num w:numId="33">
    <w:abstractNumId w:val="11"/>
  </w:num>
  <w:num w:numId="34">
    <w:abstractNumId w:val="33"/>
  </w:num>
  <w:num w:numId="35">
    <w:abstractNumId w:val="23"/>
  </w:num>
  <w:num w:numId="36">
    <w:abstractNumId w:val="35"/>
  </w:num>
  <w:num w:numId="37">
    <w:abstractNumId w:val="21"/>
  </w:num>
  <w:num w:numId="38">
    <w:abstractNumId w:val="14"/>
  </w:num>
  <w:num w:numId="39">
    <w:abstractNumId w:val="25"/>
  </w:num>
  <w:num w:numId="40">
    <w:abstractNumId w:val="24"/>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proofState w:spelling="clean" w:grammar="clean"/>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4B94"/>
    <w:rsid w:val="00017720"/>
    <w:rsid w:val="00020831"/>
    <w:rsid w:val="00021164"/>
    <w:rsid w:val="000213E9"/>
    <w:rsid w:val="000228E8"/>
    <w:rsid w:val="000231BD"/>
    <w:rsid w:val="00025493"/>
    <w:rsid w:val="000258D2"/>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81E"/>
    <w:rsid w:val="00037E37"/>
    <w:rsid w:val="00040B48"/>
    <w:rsid w:val="000413C5"/>
    <w:rsid w:val="00041CC2"/>
    <w:rsid w:val="00045C28"/>
    <w:rsid w:val="000461BE"/>
    <w:rsid w:val="000478D3"/>
    <w:rsid w:val="0005171F"/>
    <w:rsid w:val="00051F11"/>
    <w:rsid w:val="00052ADD"/>
    <w:rsid w:val="00053772"/>
    <w:rsid w:val="00053972"/>
    <w:rsid w:val="000544CA"/>
    <w:rsid w:val="00056F85"/>
    <w:rsid w:val="0006126C"/>
    <w:rsid w:val="00062627"/>
    <w:rsid w:val="000627AB"/>
    <w:rsid w:val="000641D7"/>
    <w:rsid w:val="00064499"/>
    <w:rsid w:val="00065000"/>
    <w:rsid w:val="00065235"/>
    <w:rsid w:val="00065EE0"/>
    <w:rsid w:val="00066C0D"/>
    <w:rsid w:val="00067F2D"/>
    <w:rsid w:val="00070B88"/>
    <w:rsid w:val="00074CC9"/>
    <w:rsid w:val="00075F4E"/>
    <w:rsid w:val="00083A28"/>
    <w:rsid w:val="00084D62"/>
    <w:rsid w:val="0008529C"/>
    <w:rsid w:val="000925AC"/>
    <w:rsid w:val="00093DE2"/>
    <w:rsid w:val="0009465B"/>
    <w:rsid w:val="00094AC9"/>
    <w:rsid w:val="000A0039"/>
    <w:rsid w:val="000A2755"/>
    <w:rsid w:val="000A33DA"/>
    <w:rsid w:val="000A59C4"/>
    <w:rsid w:val="000B12BB"/>
    <w:rsid w:val="000B2250"/>
    <w:rsid w:val="000B23EF"/>
    <w:rsid w:val="000B2EC2"/>
    <w:rsid w:val="000B312C"/>
    <w:rsid w:val="000B35E1"/>
    <w:rsid w:val="000B4667"/>
    <w:rsid w:val="000B554E"/>
    <w:rsid w:val="000B5F8B"/>
    <w:rsid w:val="000B7B72"/>
    <w:rsid w:val="000C049C"/>
    <w:rsid w:val="000C18CF"/>
    <w:rsid w:val="000C252F"/>
    <w:rsid w:val="000C3ABA"/>
    <w:rsid w:val="000C44C3"/>
    <w:rsid w:val="000C562C"/>
    <w:rsid w:val="000C58C2"/>
    <w:rsid w:val="000C6AFB"/>
    <w:rsid w:val="000C7391"/>
    <w:rsid w:val="000D02E4"/>
    <w:rsid w:val="000D0E73"/>
    <w:rsid w:val="000D19CC"/>
    <w:rsid w:val="000D38D0"/>
    <w:rsid w:val="000D447D"/>
    <w:rsid w:val="000D5C82"/>
    <w:rsid w:val="000E0CAA"/>
    <w:rsid w:val="000E100D"/>
    <w:rsid w:val="000E10D1"/>
    <w:rsid w:val="000E1180"/>
    <w:rsid w:val="000E205B"/>
    <w:rsid w:val="000E35DD"/>
    <w:rsid w:val="000E3B95"/>
    <w:rsid w:val="000E61DF"/>
    <w:rsid w:val="000E7027"/>
    <w:rsid w:val="000E7ACC"/>
    <w:rsid w:val="000F1208"/>
    <w:rsid w:val="000F1F71"/>
    <w:rsid w:val="000F20D0"/>
    <w:rsid w:val="000F2113"/>
    <w:rsid w:val="000F5F9C"/>
    <w:rsid w:val="000F6DC6"/>
    <w:rsid w:val="000F72CA"/>
    <w:rsid w:val="00100491"/>
    <w:rsid w:val="00100515"/>
    <w:rsid w:val="001007DD"/>
    <w:rsid w:val="00100802"/>
    <w:rsid w:val="0010148C"/>
    <w:rsid w:val="00106652"/>
    <w:rsid w:val="00107EB6"/>
    <w:rsid w:val="00111B04"/>
    <w:rsid w:val="001124EB"/>
    <w:rsid w:val="00114257"/>
    <w:rsid w:val="001150CA"/>
    <w:rsid w:val="001154FB"/>
    <w:rsid w:val="001168DF"/>
    <w:rsid w:val="00116979"/>
    <w:rsid w:val="00116AD9"/>
    <w:rsid w:val="00117EF9"/>
    <w:rsid w:val="00120230"/>
    <w:rsid w:val="0012097B"/>
    <w:rsid w:val="0012127B"/>
    <w:rsid w:val="00121DD4"/>
    <w:rsid w:val="0012481C"/>
    <w:rsid w:val="00125847"/>
    <w:rsid w:val="00125B31"/>
    <w:rsid w:val="001272D6"/>
    <w:rsid w:val="00133C8B"/>
    <w:rsid w:val="00134435"/>
    <w:rsid w:val="00134C2E"/>
    <w:rsid w:val="001351C3"/>
    <w:rsid w:val="00136EA5"/>
    <w:rsid w:val="0013718A"/>
    <w:rsid w:val="0014040C"/>
    <w:rsid w:val="001411C6"/>
    <w:rsid w:val="00141310"/>
    <w:rsid w:val="00141C95"/>
    <w:rsid w:val="00142643"/>
    <w:rsid w:val="001427F2"/>
    <w:rsid w:val="001435D7"/>
    <w:rsid w:val="00143ACD"/>
    <w:rsid w:val="00144988"/>
    <w:rsid w:val="001467DF"/>
    <w:rsid w:val="00151001"/>
    <w:rsid w:val="001522F2"/>
    <w:rsid w:val="00152B4D"/>
    <w:rsid w:val="00152D01"/>
    <w:rsid w:val="00154A35"/>
    <w:rsid w:val="001573C3"/>
    <w:rsid w:val="00157B7F"/>
    <w:rsid w:val="0016035B"/>
    <w:rsid w:val="0016045C"/>
    <w:rsid w:val="001616CA"/>
    <w:rsid w:val="00163A8C"/>
    <w:rsid w:val="00164084"/>
    <w:rsid w:val="00164488"/>
    <w:rsid w:val="00166DC4"/>
    <w:rsid w:val="00167735"/>
    <w:rsid w:val="00171DF6"/>
    <w:rsid w:val="00171F61"/>
    <w:rsid w:val="0017362E"/>
    <w:rsid w:val="00173D56"/>
    <w:rsid w:val="0017409A"/>
    <w:rsid w:val="00174B7C"/>
    <w:rsid w:val="001760EF"/>
    <w:rsid w:val="0018136B"/>
    <w:rsid w:val="001832E2"/>
    <w:rsid w:val="00183CDA"/>
    <w:rsid w:val="00185E50"/>
    <w:rsid w:val="00186162"/>
    <w:rsid w:val="00186472"/>
    <w:rsid w:val="00186F7E"/>
    <w:rsid w:val="00190606"/>
    <w:rsid w:val="00190BE3"/>
    <w:rsid w:val="00190CC8"/>
    <w:rsid w:val="001922FB"/>
    <w:rsid w:val="001933EA"/>
    <w:rsid w:val="001939F4"/>
    <w:rsid w:val="00193FAD"/>
    <w:rsid w:val="00195C84"/>
    <w:rsid w:val="00195FC3"/>
    <w:rsid w:val="00196105"/>
    <w:rsid w:val="001A0ECD"/>
    <w:rsid w:val="001A1E20"/>
    <w:rsid w:val="001A2412"/>
    <w:rsid w:val="001A2DBD"/>
    <w:rsid w:val="001A31F1"/>
    <w:rsid w:val="001A73CF"/>
    <w:rsid w:val="001A7511"/>
    <w:rsid w:val="001B21CD"/>
    <w:rsid w:val="001B2AA2"/>
    <w:rsid w:val="001B3EDB"/>
    <w:rsid w:val="001B4CC6"/>
    <w:rsid w:val="001C1EB8"/>
    <w:rsid w:val="001C1FBB"/>
    <w:rsid w:val="001C2122"/>
    <w:rsid w:val="001C3537"/>
    <w:rsid w:val="001C57A1"/>
    <w:rsid w:val="001C75BE"/>
    <w:rsid w:val="001C77D7"/>
    <w:rsid w:val="001D1246"/>
    <w:rsid w:val="001D1411"/>
    <w:rsid w:val="001D146C"/>
    <w:rsid w:val="001D2379"/>
    <w:rsid w:val="001D2433"/>
    <w:rsid w:val="001D28A9"/>
    <w:rsid w:val="001D5882"/>
    <w:rsid w:val="001D5E2E"/>
    <w:rsid w:val="001D75B1"/>
    <w:rsid w:val="001D79EB"/>
    <w:rsid w:val="001D7DC8"/>
    <w:rsid w:val="001E0E0E"/>
    <w:rsid w:val="001E1195"/>
    <w:rsid w:val="001E16CA"/>
    <w:rsid w:val="001E1F05"/>
    <w:rsid w:val="001E32E2"/>
    <w:rsid w:val="001E3820"/>
    <w:rsid w:val="001E460F"/>
    <w:rsid w:val="001E52B3"/>
    <w:rsid w:val="001E68E8"/>
    <w:rsid w:val="001E7054"/>
    <w:rsid w:val="001F0FCE"/>
    <w:rsid w:val="001F110D"/>
    <w:rsid w:val="001F2347"/>
    <w:rsid w:val="001F247D"/>
    <w:rsid w:val="001F3603"/>
    <w:rsid w:val="001F3795"/>
    <w:rsid w:val="001F3A86"/>
    <w:rsid w:val="001F67EA"/>
    <w:rsid w:val="001F6D78"/>
    <w:rsid w:val="00201911"/>
    <w:rsid w:val="00201E35"/>
    <w:rsid w:val="0020245A"/>
    <w:rsid w:val="002036EB"/>
    <w:rsid w:val="00203CD4"/>
    <w:rsid w:val="00205BAE"/>
    <w:rsid w:val="002108B1"/>
    <w:rsid w:val="00211DBF"/>
    <w:rsid w:val="00212811"/>
    <w:rsid w:val="002152F4"/>
    <w:rsid w:val="00215A0C"/>
    <w:rsid w:val="002161DA"/>
    <w:rsid w:val="00217524"/>
    <w:rsid w:val="002208A8"/>
    <w:rsid w:val="00221321"/>
    <w:rsid w:val="0022255E"/>
    <w:rsid w:val="00222FCD"/>
    <w:rsid w:val="00223E7F"/>
    <w:rsid w:val="00224A11"/>
    <w:rsid w:val="002261A9"/>
    <w:rsid w:val="0023005D"/>
    <w:rsid w:val="002304A0"/>
    <w:rsid w:val="00231858"/>
    <w:rsid w:val="00232799"/>
    <w:rsid w:val="002340BA"/>
    <w:rsid w:val="0024026F"/>
    <w:rsid w:val="00240526"/>
    <w:rsid w:val="002406DC"/>
    <w:rsid w:val="00240A83"/>
    <w:rsid w:val="00240AC5"/>
    <w:rsid w:val="00240EC8"/>
    <w:rsid w:val="00240F79"/>
    <w:rsid w:val="0024162D"/>
    <w:rsid w:val="00242A84"/>
    <w:rsid w:val="002439CC"/>
    <w:rsid w:val="00245ACE"/>
    <w:rsid w:val="00251166"/>
    <w:rsid w:val="0025348A"/>
    <w:rsid w:val="00253F07"/>
    <w:rsid w:val="00254C6F"/>
    <w:rsid w:val="00255C09"/>
    <w:rsid w:val="002560A7"/>
    <w:rsid w:val="00260088"/>
    <w:rsid w:val="0026109F"/>
    <w:rsid w:val="002625A4"/>
    <w:rsid w:val="00264378"/>
    <w:rsid w:val="002654FA"/>
    <w:rsid w:val="0026551A"/>
    <w:rsid w:val="0026671C"/>
    <w:rsid w:val="0027398D"/>
    <w:rsid w:val="002805E4"/>
    <w:rsid w:val="00280B0D"/>
    <w:rsid w:val="00281899"/>
    <w:rsid w:val="0028237D"/>
    <w:rsid w:val="00283D56"/>
    <w:rsid w:val="002848DE"/>
    <w:rsid w:val="00284FB3"/>
    <w:rsid w:val="0028705C"/>
    <w:rsid w:val="0028749D"/>
    <w:rsid w:val="00287C19"/>
    <w:rsid w:val="00290CEA"/>
    <w:rsid w:val="0029196F"/>
    <w:rsid w:val="00292535"/>
    <w:rsid w:val="00293630"/>
    <w:rsid w:val="00294F4F"/>
    <w:rsid w:val="002951AA"/>
    <w:rsid w:val="00295C00"/>
    <w:rsid w:val="00296B5E"/>
    <w:rsid w:val="00297C7E"/>
    <w:rsid w:val="002A0EED"/>
    <w:rsid w:val="002A1164"/>
    <w:rsid w:val="002A1E0B"/>
    <w:rsid w:val="002A2502"/>
    <w:rsid w:val="002A2687"/>
    <w:rsid w:val="002A30AA"/>
    <w:rsid w:val="002A34AA"/>
    <w:rsid w:val="002A3832"/>
    <w:rsid w:val="002A4384"/>
    <w:rsid w:val="002A4AE4"/>
    <w:rsid w:val="002A4C87"/>
    <w:rsid w:val="002A7CA3"/>
    <w:rsid w:val="002B12DD"/>
    <w:rsid w:val="002B291B"/>
    <w:rsid w:val="002B2DED"/>
    <w:rsid w:val="002B2ECB"/>
    <w:rsid w:val="002B3874"/>
    <w:rsid w:val="002B3C4A"/>
    <w:rsid w:val="002B3E9C"/>
    <w:rsid w:val="002B6B92"/>
    <w:rsid w:val="002B702F"/>
    <w:rsid w:val="002B7A83"/>
    <w:rsid w:val="002C020C"/>
    <w:rsid w:val="002C0B8B"/>
    <w:rsid w:val="002C165E"/>
    <w:rsid w:val="002C1B04"/>
    <w:rsid w:val="002C1D98"/>
    <w:rsid w:val="002C27AA"/>
    <w:rsid w:val="002C35F6"/>
    <w:rsid w:val="002C3FA4"/>
    <w:rsid w:val="002C5643"/>
    <w:rsid w:val="002C72E7"/>
    <w:rsid w:val="002C7F51"/>
    <w:rsid w:val="002D34E9"/>
    <w:rsid w:val="002D5696"/>
    <w:rsid w:val="002D6CE4"/>
    <w:rsid w:val="002D7B60"/>
    <w:rsid w:val="002E3314"/>
    <w:rsid w:val="002E3675"/>
    <w:rsid w:val="002E3A3B"/>
    <w:rsid w:val="002E65EB"/>
    <w:rsid w:val="002E71B3"/>
    <w:rsid w:val="002F06FB"/>
    <w:rsid w:val="002F0BB5"/>
    <w:rsid w:val="002F12C7"/>
    <w:rsid w:val="002F2058"/>
    <w:rsid w:val="002F39A2"/>
    <w:rsid w:val="002F3C77"/>
    <w:rsid w:val="002F3F7F"/>
    <w:rsid w:val="002F4947"/>
    <w:rsid w:val="0030091E"/>
    <w:rsid w:val="00301330"/>
    <w:rsid w:val="003021E0"/>
    <w:rsid w:val="003028C4"/>
    <w:rsid w:val="00302A05"/>
    <w:rsid w:val="00302FCB"/>
    <w:rsid w:val="0030349E"/>
    <w:rsid w:val="0030420B"/>
    <w:rsid w:val="003042B5"/>
    <w:rsid w:val="00304D73"/>
    <w:rsid w:val="00307AC2"/>
    <w:rsid w:val="00310E11"/>
    <w:rsid w:val="00314251"/>
    <w:rsid w:val="003144C5"/>
    <w:rsid w:val="00315701"/>
    <w:rsid w:val="00317D76"/>
    <w:rsid w:val="003203FB"/>
    <w:rsid w:val="00321839"/>
    <w:rsid w:val="003223D5"/>
    <w:rsid w:val="0032384F"/>
    <w:rsid w:val="00323AAB"/>
    <w:rsid w:val="00324111"/>
    <w:rsid w:val="0032485E"/>
    <w:rsid w:val="0032491D"/>
    <w:rsid w:val="00324E3A"/>
    <w:rsid w:val="00325204"/>
    <w:rsid w:val="003272E1"/>
    <w:rsid w:val="00327D86"/>
    <w:rsid w:val="00331DC8"/>
    <w:rsid w:val="00331E81"/>
    <w:rsid w:val="003324D8"/>
    <w:rsid w:val="00332522"/>
    <w:rsid w:val="0033367C"/>
    <w:rsid w:val="00333900"/>
    <w:rsid w:val="00334C76"/>
    <w:rsid w:val="00336097"/>
    <w:rsid w:val="00336D57"/>
    <w:rsid w:val="003375D2"/>
    <w:rsid w:val="003411DF"/>
    <w:rsid w:val="00343D19"/>
    <w:rsid w:val="00343F4C"/>
    <w:rsid w:val="0034409E"/>
    <w:rsid w:val="0034430F"/>
    <w:rsid w:val="0034522D"/>
    <w:rsid w:val="00345821"/>
    <w:rsid w:val="003470DA"/>
    <w:rsid w:val="00347522"/>
    <w:rsid w:val="003475EE"/>
    <w:rsid w:val="003501F8"/>
    <w:rsid w:val="00351059"/>
    <w:rsid w:val="00351BFE"/>
    <w:rsid w:val="00351EDD"/>
    <w:rsid w:val="003521AB"/>
    <w:rsid w:val="00352726"/>
    <w:rsid w:val="00353DDB"/>
    <w:rsid w:val="00354C4A"/>
    <w:rsid w:val="00354F22"/>
    <w:rsid w:val="00355922"/>
    <w:rsid w:val="0035676A"/>
    <w:rsid w:val="00360ABA"/>
    <w:rsid w:val="00364E6F"/>
    <w:rsid w:val="0036631D"/>
    <w:rsid w:val="00367D00"/>
    <w:rsid w:val="003746C3"/>
    <w:rsid w:val="00374DB8"/>
    <w:rsid w:val="0037591F"/>
    <w:rsid w:val="00375C4D"/>
    <w:rsid w:val="003766CB"/>
    <w:rsid w:val="0037695F"/>
    <w:rsid w:val="00377DC9"/>
    <w:rsid w:val="00380D5A"/>
    <w:rsid w:val="00382991"/>
    <w:rsid w:val="00382EBA"/>
    <w:rsid w:val="00385624"/>
    <w:rsid w:val="00386B5F"/>
    <w:rsid w:val="00387134"/>
    <w:rsid w:val="00390AF4"/>
    <w:rsid w:val="0039109E"/>
    <w:rsid w:val="003919C6"/>
    <w:rsid w:val="00391F32"/>
    <w:rsid w:val="00392F65"/>
    <w:rsid w:val="0039331C"/>
    <w:rsid w:val="003933ED"/>
    <w:rsid w:val="00393E17"/>
    <w:rsid w:val="00394460"/>
    <w:rsid w:val="00394FE6"/>
    <w:rsid w:val="0039569D"/>
    <w:rsid w:val="00396947"/>
    <w:rsid w:val="003A2C9A"/>
    <w:rsid w:val="003A453F"/>
    <w:rsid w:val="003A7491"/>
    <w:rsid w:val="003B092C"/>
    <w:rsid w:val="003B0C76"/>
    <w:rsid w:val="003B13F8"/>
    <w:rsid w:val="003B4254"/>
    <w:rsid w:val="003B4304"/>
    <w:rsid w:val="003B4514"/>
    <w:rsid w:val="003B5979"/>
    <w:rsid w:val="003B6789"/>
    <w:rsid w:val="003B7CB1"/>
    <w:rsid w:val="003C2A99"/>
    <w:rsid w:val="003C3782"/>
    <w:rsid w:val="003C436C"/>
    <w:rsid w:val="003C4F2D"/>
    <w:rsid w:val="003C5F26"/>
    <w:rsid w:val="003D287C"/>
    <w:rsid w:val="003D3999"/>
    <w:rsid w:val="003D3F16"/>
    <w:rsid w:val="003D7A7F"/>
    <w:rsid w:val="003E1795"/>
    <w:rsid w:val="003E44F4"/>
    <w:rsid w:val="003E64BB"/>
    <w:rsid w:val="003F0938"/>
    <w:rsid w:val="003F2355"/>
    <w:rsid w:val="003F3965"/>
    <w:rsid w:val="003F47FD"/>
    <w:rsid w:val="003F50CF"/>
    <w:rsid w:val="003F762E"/>
    <w:rsid w:val="003F7FDA"/>
    <w:rsid w:val="0040063B"/>
    <w:rsid w:val="00400E7E"/>
    <w:rsid w:val="00401128"/>
    <w:rsid w:val="00401CCC"/>
    <w:rsid w:val="00401DDB"/>
    <w:rsid w:val="00403FB5"/>
    <w:rsid w:val="00407239"/>
    <w:rsid w:val="004074D2"/>
    <w:rsid w:val="004077CB"/>
    <w:rsid w:val="00407E1E"/>
    <w:rsid w:val="004224F5"/>
    <w:rsid w:val="004225A0"/>
    <w:rsid w:val="00423820"/>
    <w:rsid w:val="00425901"/>
    <w:rsid w:val="00426EC7"/>
    <w:rsid w:val="00432F49"/>
    <w:rsid w:val="004334BB"/>
    <w:rsid w:val="0043419D"/>
    <w:rsid w:val="004351D7"/>
    <w:rsid w:val="004352F7"/>
    <w:rsid w:val="00435DF4"/>
    <w:rsid w:val="004366AF"/>
    <w:rsid w:val="004368E7"/>
    <w:rsid w:val="00437DE2"/>
    <w:rsid w:val="00441F78"/>
    <w:rsid w:val="00442330"/>
    <w:rsid w:val="00443939"/>
    <w:rsid w:val="00444839"/>
    <w:rsid w:val="004460B0"/>
    <w:rsid w:val="004463EC"/>
    <w:rsid w:val="00446B51"/>
    <w:rsid w:val="004475B0"/>
    <w:rsid w:val="00450A67"/>
    <w:rsid w:val="00451B9F"/>
    <w:rsid w:val="00451ECC"/>
    <w:rsid w:val="0045329A"/>
    <w:rsid w:val="00453CFC"/>
    <w:rsid w:val="00455DCD"/>
    <w:rsid w:val="00456BF5"/>
    <w:rsid w:val="00460832"/>
    <w:rsid w:val="00461112"/>
    <w:rsid w:val="0046287B"/>
    <w:rsid w:val="00463760"/>
    <w:rsid w:val="00463DB1"/>
    <w:rsid w:val="00463F19"/>
    <w:rsid w:val="004653D2"/>
    <w:rsid w:val="00465CAA"/>
    <w:rsid w:val="004700A4"/>
    <w:rsid w:val="004709AC"/>
    <w:rsid w:val="00472411"/>
    <w:rsid w:val="00474498"/>
    <w:rsid w:val="004760C1"/>
    <w:rsid w:val="0047688B"/>
    <w:rsid w:val="004772C9"/>
    <w:rsid w:val="00480D83"/>
    <w:rsid w:val="00480E3D"/>
    <w:rsid w:val="00481281"/>
    <w:rsid w:val="00481716"/>
    <w:rsid w:val="00481AB9"/>
    <w:rsid w:val="00482395"/>
    <w:rsid w:val="004827A2"/>
    <w:rsid w:val="00484DBC"/>
    <w:rsid w:val="004854D4"/>
    <w:rsid w:val="00485760"/>
    <w:rsid w:val="00485BCF"/>
    <w:rsid w:val="00490747"/>
    <w:rsid w:val="00490D77"/>
    <w:rsid w:val="00491186"/>
    <w:rsid w:val="00495413"/>
    <w:rsid w:val="00496463"/>
    <w:rsid w:val="00496F77"/>
    <w:rsid w:val="0049750D"/>
    <w:rsid w:val="004A16D7"/>
    <w:rsid w:val="004A1B96"/>
    <w:rsid w:val="004A3249"/>
    <w:rsid w:val="004A45EE"/>
    <w:rsid w:val="004A4638"/>
    <w:rsid w:val="004B0C5F"/>
    <w:rsid w:val="004B1629"/>
    <w:rsid w:val="004B24CB"/>
    <w:rsid w:val="004B3203"/>
    <w:rsid w:val="004B44D9"/>
    <w:rsid w:val="004B4BD8"/>
    <w:rsid w:val="004B4E75"/>
    <w:rsid w:val="004B5E31"/>
    <w:rsid w:val="004B6212"/>
    <w:rsid w:val="004B691B"/>
    <w:rsid w:val="004B7446"/>
    <w:rsid w:val="004B7BD7"/>
    <w:rsid w:val="004C0190"/>
    <w:rsid w:val="004C26B5"/>
    <w:rsid w:val="004C4211"/>
    <w:rsid w:val="004C529A"/>
    <w:rsid w:val="004C59DE"/>
    <w:rsid w:val="004C5A7C"/>
    <w:rsid w:val="004C72D8"/>
    <w:rsid w:val="004C75F7"/>
    <w:rsid w:val="004D09B4"/>
    <w:rsid w:val="004D0BE0"/>
    <w:rsid w:val="004D18DE"/>
    <w:rsid w:val="004D2E6B"/>
    <w:rsid w:val="004D3419"/>
    <w:rsid w:val="004D5A76"/>
    <w:rsid w:val="004D5ADB"/>
    <w:rsid w:val="004D7ECE"/>
    <w:rsid w:val="004E31EE"/>
    <w:rsid w:val="004E62F8"/>
    <w:rsid w:val="004E74A3"/>
    <w:rsid w:val="004F005F"/>
    <w:rsid w:val="004F00A1"/>
    <w:rsid w:val="004F0E8B"/>
    <w:rsid w:val="004F1608"/>
    <w:rsid w:val="004F233D"/>
    <w:rsid w:val="004F5BE1"/>
    <w:rsid w:val="004F6235"/>
    <w:rsid w:val="004F645A"/>
    <w:rsid w:val="004F6EE9"/>
    <w:rsid w:val="004F7750"/>
    <w:rsid w:val="004F7E91"/>
    <w:rsid w:val="00503DE5"/>
    <w:rsid w:val="00505D34"/>
    <w:rsid w:val="00507137"/>
    <w:rsid w:val="005074D6"/>
    <w:rsid w:val="00511135"/>
    <w:rsid w:val="005170C3"/>
    <w:rsid w:val="0051766B"/>
    <w:rsid w:val="00517D8B"/>
    <w:rsid w:val="00520E0C"/>
    <w:rsid w:val="00521523"/>
    <w:rsid w:val="00523BCC"/>
    <w:rsid w:val="00524226"/>
    <w:rsid w:val="0052536C"/>
    <w:rsid w:val="00526539"/>
    <w:rsid w:val="0052689A"/>
    <w:rsid w:val="00530AE9"/>
    <w:rsid w:val="00532735"/>
    <w:rsid w:val="0053526E"/>
    <w:rsid w:val="005375A7"/>
    <w:rsid w:val="005377B6"/>
    <w:rsid w:val="00540203"/>
    <w:rsid w:val="0054056A"/>
    <w:rsid w:val="00541278"/>
    <w:rsid w:val="00542CDD"/>
    <w:rsid w:val="00542CDF"/>
    <w:rsid w:val="00544062"/>
    <w:rsid w:val="0054727D"/>
    <w:rsid w:val="00547997"/>
    <w:rsid w:val="00547D33"/>
    <w:rsid w:val="005500E1"/>
    <w:rsid w:val="00550B90"/>
    <w:rsid w:val="00552148"/>
    <w:rsid w:val="005527D0"/>
    <w:rsid w:val="00552CFD"/>
    <w:rsid w:val="00553DFB"/>
    <w:rsid w:val="0055428B"/>
    <w:rsid w:val="00555BA6"/>
    <w:rsid w:val="0055634E"/>
    <w:rsid w:val="0055651E"/>
    <w:rsid w:val="005570E2"/>
    <w:rsid w:val="00560686"/>
    <w:rsid w:val="00560CF3"/>
    <w:rsid w:val="00561F54"/>
    <w:rsid w:val="005636F6"/>
    <w:rsid w:val="00564562"/>
    <w:rsid w:val="005669FC"/>
    <w:rsid w:val="00567DBB"/>
    <w:rsid w:val="0057463E"/>
    <w:rsid w:val="00575DC0"/>
    <w:rsid w:val="00577299"/>
    <w:rsid w:val="00577789"/>
    <w:rsid w:val="0057790B"/>
    <w:rsid w:val="005805F6"/>
    <w:rsid w:val="0058100B"/>
    <w:rsid w:val="005817E2"/>
    <w:rsid w:val="00581E53"/>
    <w:rsid w:val="005827EA"/>
    <w:rsid w:val="00582DB4"/>
    <w:rsid w:val="00583701"/>
    <w:rsid w:val="00583DBE"/>
    <w:rsid w:val="0058524C"/>
    <w:rsid w:val="0058669C"/>
    <w:rsid w:val="0059126B"/>
    <w:rsid w:val="00591B77"/>
    <w:rsid w:val="00591F63"/>
    <w:rsid w:val="005936A3"/>
    <w:rsid w:val="005950BF"/>
    <w:rsid w:val="00596F95"/>
    <w:rsid w:val="005A2EE8"/>
    <w:rsid w:val="005A4571"/>
    <w:rsid w:val="005A7B5C"/>
    <w:rsid w:val="005A7B6D"/>
    <w:rsid w:val="005A7BF0"/>
    <w:rsid w:val="005B0EBA"/>
    <w:rsid w:val="005B1967"/>
    <w:rsid w:val="005B2B20"/>
    <w:rsid w:val="005B4FB5"/>
    <w:rsid w:val="005B6140"/>
    <w:rsid w:val="005B77B6"/>
    <w:rsid w:val="005C0582"/>
    <w:rsid w:val="005C202E"/>
    <w:rsid w:val="005C30B9"/>
    <w:rsid w:val="005C5DED"/>
    <w:rsid w:val="005C6F76"/>
    <w:rsid w:val="005D00CC"/>
    <w:rsid w:val="005D0218"/>
    <w:rsid w:val="005D0C05"/>
    <w:rsid w:val="005D2DE2"/>
    <w:rsid w:val="005D3D9E"/>
    <w:rsid w:val="005D4898"/>
    <w:rsid w:val="005D65AE"/>
    <w:rsid w:val="005D7AD4"/>
    <w:rsid w:val="005E0CA8"/>
    <w:rsid w:val="005E1BCA"/>
    <w:rsid w:val="005E4A59"/>
    <w:rsid w:val="005E50A1"/>
    <w:rsid w:val="005E50F9"/>
    <w:rsid w:val="005E5116"/>
    <w:rsid w:val="005E53E9"/>
    <w:rsid w:val="005E76AB"/>
    <w:rsid w:val="005E7D7D"/>
    <w:rsid w:val="005F009D"/>
    <w:rsid w:val="005F1354"/>
    <w:rsid w:val="005F418C"/>
    <w:rsid w:val="005F4F70"/>
    <w:rsid w:val="005F5017"/>
    <w:rsid w:val="005F62DB"/>
    <w:rsid w:val="005F77C2"/>
    <w:rsid w:val="00600A9C"/>
    <w:rsid w:val="00600C13"/>
    <w:rsid w:val="006014FF"/>
    <w:rsid w:val="00603F9A"/>
    <w:rsid w:val="00605855"/>
    <w:rsid w:val="00606337"/>
    <w:rsid w:val="0060788F"/>
    <w:rsid w:val="00614DB1"/>
    <w:rsid w:val="00614E12"/>
    <w:rsid w:val="0061581C"/>
    <w:rsid w:val="00615A39"/>
    <w:rsid w:val="00617573"/>
    <w:rsid w:val="006210CD"/>
    <w:rsid w:val="00621D88"/>
    <w:rsid w:val="00622739"/>
    <w:rsid w:val="00622F79"/>
    <w:rsid w:val="0062377A"/>
    <w:rsid w:val="00623902"/>
    <w:rsid w:val="00623F84"/>
    <w:rsid w:val="00624062"/>
    <w:rsid w:val="0062426A"/>
    <w:rsid w:val="00624D2B"/>
    <w:rsid w:val="0062541A"/>
    <w:rsid w:val="0062557C"/>
    <w:rsid w:val="006314DF"/>
    <w:rsid w:val="0063185C"/>
    <w:rsid w:val="00631915"/>
    <w:rsid w:val="0063259F"/>
    <w:rsid w:val="00637459"/>
    <w:rsid w:val="0064092C"/>
    <w:rsid w:val="00640C7F"/>
    <w:rsid w:val="00641BCA"/>
    <w:rsid w:val="00644AED"/>
    <w:rsid w:val="00645F7F"/>
    <w:rsid w:val="006464E8"/>
    <w:rsid w:val="00650DAD"/>
    <w:rsid w:val="00651635"/>
    <w:rsid w:val="00651832"/>
    <w:rsid w:val="006518E7"/>
    <w:rsid w:val="006520EF"/>
    <w:rsid w:val="0065222F"/>
    <w:rsid w:val="00652FAD"/>
    <w:rsid w:val="00653FCF"/>
    <w:rsid w:val="0065486E"/>
    <w:rsid w:val="00654A81"/>
    <w:rsid w:val="00655E2A"/>
    <w:rsid w:val="00655E4E"/>
    <w:rsid w:val="00657526"/>
    <w:rsid w:val="00660B61"/>
    <w:rsid w:val="006613BE"/>
    <w:rsid w:val="00666284"/>
    <w:rsid w:val="00667E82"/>
    <w:rsid w:val="006749DE"/>
    <w:rsid w:val="00675DAD"/>
    <w:rsid w:val="00685FC1"/>
    <w:rsid w:val="0068622A"/>
    <w:rsid w:val="006867A1"/>
    <w:rsid w:val="006868FE"/>
    <w:rsid w:val="00686F26"/>
    <w:rsid w:val="006876F3"/>
    <w:rsid w:val="006914CE"/>
    <w:rsid w:val="00694D2A"/>
    <w:rsid w:val="00695116"/>
    <w:rsid w:val="006972AA"/>
    <w:rsid w:val="00697A96"/>
    <w:rsid w:val="006A02BC"/>
    <w:rsid w:val="006A39BF"/>
    <w:rsid w:val="006A576F"/>
    <w:rsid w:val="006A5A37"/>
    <w:rsid w:val="006A5EE6"/>
    <w:rsid w:val="006A6EAF"/>
    <w:rsid w:val="006A794F"/>
    <w:rsid w:val="006B0BFC"/>
    <w:rsid w:val="006B18C9"/>
    <w:rsid w:val="006B1B85"/>
    <w:rsid w:val="006B53F5"/>
    <w:rsid w:val="006B6426"/>
    <w:rsid w:val="006B7A7A"/>
    <w:rsid w:val="006B7E6E"/>
    <w:rsid w:val="006C0462"/>
    <w:rsid w:val="006C21D9"/>
    <w:rsid w:val="006C241A"/>
    <w:rsid w:val="006C4B51"/>
    <w:rsid w:val="006C518D"/>
    <w:rsid w:val="006C5550"/>
    <w:rsid w:val="006C5FC9"/>
    <w:rsid w:val="006D03B0"/>
    <w:rsid w:val="006D062E"/>
    <w:rsid w:val="006D0753"/>
    <w:rsid w:val="006D0E54"/>
    <w:rsid w:val="006D2283"/>
    <w:rsid w:val="006D2735"/>
    <w:rsid w:val="006D2A28"/>
    <w:rsid w:val="006D2F97"/>
    <w:rsid w:val="006D3AC2"/>
    <w:rsid w:val="006D4F8C"/>
    <w:rsid w:val="006D57EF"/>
    <w:rsid w:val="006D6796"/>
    <w:rsid w:val="006D7829"/>
    <w:rsid w:val="006D7DDC"/>
    <w:rsid w:val="006E1A2E"/>
    <w:rsid w:val="006E2181"/>
    <w:rsid w:val="006E39CA"/>
    <w:rsid w:val="006E3A31"/>
    <w:rsid w:val="006E486D"/>
    <w:rsid w:val="006E54BA"/>
    <w:rsid w:val="006E6458"/>
    <w:rsid w:val="006E73CF"/>
    <w:rsid w:val="006E7AC8"/>
    <w:rsid w:val="006F0EF5"/>
    <w:rsid w:val="006F2688"/>
    <w:rsid w:val="006F3BA7"/>
    <w:rsid w:val="006F43D8"/>
    <w:rsid w:val="006F5745"/>
    <w:rsid w:val="006F7606"/>
    <w:rsid w:val="006F7FE1"/>
    <w:rsid w:val="00701924"/>
    <w:rsid w:val="00702A50"/>
    <w:rsid w:val="00706474"/>
    <w:rsid w:val="007064ED"/>
    <w:rsid w:val="00706A7D"/>
    <w:rsid w:val="00706F6B"/>
    <w:rsid w:val="00710FD3"/>
    <w:rsid w:val="00711690"/>
    <w:rsid w:val="00711D95"/>
    <w:rsid w:val="00712969"/>
    <w:rsid w:val="00713476"/>
    <w:rsid w:val="00713722"/>
    <w:rsid w:val="00714C2F"/>
    <w:rsid w:val="00714DB8"/>
    <w:rsid w:val="007158FB"/>
    <w:rsid w:val="0071721E"/>
    <w:rsid w:val="007223AC"/>
    <w:rsid w:val="00722E61"/>
    <w:rsid w:val="00723153"/>
    <w:rsid w:val="0072401A"/>
    <w:rsid w:val="007244A4"/>
    <w:rsid w:val="00725176"/>
    <w:rsid w:val="00725D1B"/>
    <w:rsid w:val="00725F4A"/>
    <w:rsid w:val="00727AF6"/>
    <w:rsid w:val="00727DD5"/>
    <w:rsid w:val="007318FD"/>
    <w:rsid w:val="00732D97"/>
    <w:rsid w:val="007332D5"/>
    <w:rsid w:val="00733A20"/>
    <w:rsid w:val="0073690B"/>
    <w:rsid w:val="00736F55"/>
    <w:rsid w:val="00737C67"/>
    <w:rsid w:val="00741ABD"/>
    <w:rsid w:val="00742386"/>
    <w:rsid w:val="00742C21"/>
    <w:rsid w:val="0074350D"/>
    <w:rsid w:val="00744888"/>
    <w:rsid w:val="00746D78"/>
    <w:rsid w:val="00747950"/>
    <w:rsid w:val="00747EAE"/>
    <w:rsid w:val="007510DA"/>
    <w:rsid w:val="0075137E"/>
    <w:rsid w:val="00753C2B"/>
    <w:rsid w:val="007561AC"/>
    <w:rsid w:val="00756C46"/>
    <w:rsid w:val="00757386"/>
    <w:rsid w:val="00757EB0"/>
    <w:rsid w:val="007611ED"/>
    <w:rsid w:val="00762FC6"/>
    <w:rsid w:val="00763206"/>
    <w:rsid w:val="007645D0"/>
    <w:rsid w:val="00764B3C"/>
    <w:rsid w:val="00765587"/>
    <w:rsid w:val="0076581C"/>
    <w:rsid w:val="00766F37"/>
    <w:rsid w:val="00772CE2"/>
    <w:rsid w:val="00775CAB"/>
    <w:rsid w:val="007763A4"/>
    <w:rsid w:val="00777EEF"/>
    <w:rsid w:val="00780653"/>
    <w:rsid w:val="00781A60"/>
    <w:rsid w:val="00781E29"/>
    <w:rsid w:val="00782FC7"/>
    <w:rsid w:val="007833EC"/>
    <w:rsid w:val="0078385D"/>
    <w:rsid w:val="0078400E"/>
    <w:rsid w:val="00785152"/>
    <w:rsid w:val="007859B8"/>
    <w:rsid w:val="007863D7"/>
    <w:rsid w:val="007864F7"/>
    <w:rsid w:val="007871E1"/>
    <w:rsid w:val="00787455"/>
    <w:rsid w:val="00787621"/>
    <w:rsid w:val="00787ECE"/>
    <w:rsid w:val="0079147E"/>
    <w:rsid w:val="00791E0A"/>
    <w:rsid w:val="00793D44"/>
    <w:rsid w:val="007958B1"/>
    <w:rsid w:val="00795F00"/>
    <w:rsid w:val="00796CE6"/>
    <w:rsid w:val="0079737F"/>
    <w:rsid w:val="00797BF0"/>
    <w:rsid w:val="007A14A8"/>
    <w:rsid w:val="007A17B4"/>
    <w:rsid w:val="007A532F"/>
    <w:rsid w:val="007A57DB"/>
    <w:rsid w:val="007A58A9"/>
    <w:rsid w:val="007A6144"/>
    <w:rsid w:val="007A6EAA"/>
    <w:rsid w:val="007A7DFE"/>
    <w:rsid w:val="007A7F7E"/>
    <w:rsid w:val="007B02F6"/>
    <w:rsid w:val="007B201A"/>
    <w:rsid w:val="007B2A27"/>
    <w:rsid w:val="007B3F34"/>
    <w:rsid w:val="007B59C2"/>
    <w:rsid w:val="007B706D"/>
    <w:rsid w:val="007C07B4"/>
    <w:rsid w:val="007C1A31"/>
    <w:rsid w:val="007C202E"/>
    <w:rsid w:val="007C265B"/>
    <w:rsid w:val="007C610C"/>
    <w:rsid w:val="007C7504"/>
    <w:rsid w:val="007C7547"/>
    <w:rsid w:val="007D0975"/>
    <w:rsid w:val="007D2D64"/>
    <w:rsid w:val="007D3F4B"/>
    <w:rsid w:val="007D44DF"/>
    <w:rsid w:val="007D5791"/>
    <w:rsid w:val="007D6DE4"/>
    <w:rsid w:val="007D740C"/>
    <w:rsid w:val="007D7950"/>
    <w:rsid w:val="007E0010"/>
    <w:rsid w:val="007E0B58"/>
    <w:rsid w:val="007E3995"/>
    <w:rsid w:val="007E4877"/>
    <w:rsid w:val="007E6F83"/>
    <w:rsid w:val="007F0042"/>
    <w:rsid w:val="007F11A8"/>
    <w:rsid w:val="007F2DF3"/>
    <w:rsid w:val="007F3704"/>
    <w:rsid w:val="007F3C55"/>
    <w:rsid w:val="007F51C5"/>
    <w:rsid w:val="007F5706"/>
    <w:rsid w:val="007F57F3"/>
    <w:rsid w:val="00800F16"/>
    <w:rsid w:val="008017F1"/>
    <w:rsid w:val="00802881"/>
    <w:rsid w:val="00803491"/>
    <w:rsid w:val="00803687"/>
    <w:rsid w:val="00803AA9"/>
    <w:rsid w:val="008048AB"/>
    <w:rsid w:val="00805A1B"/>
    <w:rsid w:val="00806360"/>
    <w:rsid w:val="00806C29"/>
    <w:rsid w:val="00806E02"/>
    <w:rsid w:val="008103B5"/>
    <w:rsid w:val="00810843"/>
    <w:rsid w:val="00811007"/>
    <w:rsid w:val="00814086"/>
    <w:rsid w:val="00815890"/>
    <w:rsid w:val="00815A86"/>
    <w:rsid w:val="00815EA9"/>
    <w:rsid w:val="00816467"/>
    <w:rsid w:val="008177D8"/>
    <w:rsid w:val="008179FB"/>
    <w:rsid w:val="00817E68"/>
    <w:rsid w:val="00820399"/>
    <w:rsid w:val="008206F6"/>
    <w:rsid w:val="00822C87"/>
    <w:rsid w:val="0082397A"/>
    <w:rsid w:val="008277BA"/>
    <w:rsid w:val="008300A0"/>
    <w:rsid w:val="00831088"/>
    <w:rsid w:val="00831A68"/>
    <w:rsid w:val="00832D97"/>
    <w:rsid w:val="00833548"/>
    <w:rsid w:val="00836C3D"/>
    <w:rsid w:val="00840124"/>
    <w:rsid w:val="008403D3"/>
    <w:rsid w:val="00841CCF"/>
    <w:rsid w:val="00841FBB"/>
    <w:rsid w:val="00844E21"/>
    <w:rsid w:val="00845D2F"/>
    <w:rsid w:val="008471D2"/>
    <w:rsid w:val="00847C80"/>
    <w:rsid w:val="00852EA6"/>
    <w:rsid w:val="00856455"/>
    <w:rsid w:val="00857088"/>
    <w:rsid w:val="00857173"/>
    <w:rsid w:val="00857D73"/>
    <w:rsid w:val="00860239"/>
    <w:rsid w:val="0086245F"/>
    <w:rsid w:val="00862536"/>
    <w:rsid w:val="00863858"/>
    <w:rsid w:val="0086570B"/>
    <w:rsid w:val="00870E64"/>
    <w:rsid w:val="00871336"/>
    <w:rsid w:val="00872C3C"/>
    <w:rsid w:val="00873A14"/>
    <w:rsid w:val="008745D7"/>
    <w:rsid w:val="00876513"/>
    <w:rsid w:val="00880316"/>
    <w:rsid w:val="00880A72"/>
    <w:rsid w:val="008814B8"/>
    <w:rsid w:val="00882935"/>
    <w:rsid w:val="008840BB"/>
    <w:rsid w:val="008850A5"/>
    <w:rsid w:val="00886436"/>
    <w:rsid w:val="00886ED4"/>
    <w:rsid w:val="00887B40"/>
    <w:rsid w:val="00892CCD"/>
    <w:rsid w:val="0089395F"/>
    <w:rsid w:val="0089499B"/>
    <w:rsid w:val="00895EDC"/>
    <w:rsid w:val="0089630D"/>
    <w:rsid w:val="008965D0"/>
    <w:rsid w:val="00896E82"/>
    <w:rsid w:val="00897DCF"/>
    <w:rsid w:val="008A0214"/>
    <w:rsid w:val="008A0717"/>
    <w:rsid w:val="008A0786"/>
    <w:rsid w:val="008A10D0"/>
    <w:rsid w:val="008A3221"/>
    <w:rsid w:val="008A3A53"/>
    <w:rsid w:val="008A4E96"/>
    <w:rsid w:val="008A52AE"/>
    <w:rsid w:val="008A58C9"/>
    <w:rsid w:val="008A687D"/>
    <w:rsid w:val="008A6984"/>
    <w:rsid w:val="008A7247"/>
    <w:rsid w:val="008B0862"/>
    <w:rsid w:val="008B3080"/>
    <w:rsid w:val="008B43A8"/>
    <w:rsid w:val="008B6B20"/>
    <w:rsid w:val="008B784E"/>
    <w:rsid w:val="008C0DBA"/>
    <w:rsid w:val="008C0E06"/>
    <w:rsid w:val="008C46C9"/>
    <w:rsid w:val="008C47E3"/>
    <w:rsid w:val="008C5221"/>
    <w:rsid w:val="008C6DDB"/>
    <w:rsid w:val="008C6F6C"/>
    <w:rsid w:val="008C7459"/>
    <w:rsid w:val="008D09B8"/>
    <w:rsid w:val="008D1B5A"/>
    <w:rsid w:val="008D1EDF"/>
    <w:rsid w:val="008D1F91"/>
    <w:rsid w:val="008D21A1"/>
    <w:rsid w:val="008D21AD"/>
    <w:rsid w:val="008D31E1"/>
    <w:rsid w:val="008D336F"/>
    <w:rsid w:val="008D38DE"/>
    <w:rsid w:val="008D400E"/>
    <w:rsid w:val="008D6358"/>
    <w:rsid w:val="008D68AE"/>
    <w:rsid w:val="008D6D32"/>
    <w:rsid w:val="008D70C0"/>
    <w:rsid w:val="008D7F4A"/>
    <w:rsid w:val="008E02C3"/>
    <w:rsid w:val="008E06D2"/>
    <w:rsid w:val="008E0743"/>
    <w:rsid w:val="008E2E05"/>
    <w:rsid w:val="008E3F04"/>
    <w:rsid w:val="008E41ED"/>
    <w:rsid w:val="008E59D3"/>
    <w:rsid w:val="008E6294"/>
    <w:rsid w:val="008E6569"/>
    <w:rsid w:val="008E7BAD"/>
    <w:rsid w:val="008F0A98"/>
    <w:rsid w:val="008F1FE8"/>
    <w:rsid w:val="008F2B32"/>
    <w:rsid w:val="008F3348"/>
    <w:rsid w:val="008F3470"/>
    <w:rsid w:val="008F52F2"/>
    <w:rsid w:val="0090023B"/>
    <w:rsid w:val="00901097"/>
    <w:rsid w:val="00902EBD"/>
    <w:rsid w:val="00904A3A"/>
    <w:rsid w:val="0090517A"/>
    <w:rsid w:val="009058FE"/>
    <w:rsid w:val="00905AC1"/>
    <w:rsid w:val="0090613E"/>
    <w:rsid w:val="00906DA7"/>
    <w:rsid w:val="00906EAC"/>
    <w:rsid w:val="00906FF6"/>
    <w:rsid w:val="0090786C"/>
    <w:rsid w:val="009107BF"/>
    <w:rsid w:val="00912C1B"/>
    <w:rsid w:val="009143B0"/>
    <w:rsid w:val="00914FAE"/>
    <w:rsid w:val="00916783"/>
    <w:rsid w:val="009168F9"/>
    <w:rsid w:val="00916B62"/>
    <w:rsid w:val="00917298"/>
    <w:rsid w:val="00920673"/>
    <w:rsid w:val="00921824"/>
    <w:rsid w:val="00921FE9"/>
    <w:rsid w:val="00922CFD"/>
    <w:rsid w:val="00923621"/>
    <w:rsid w:val="009249D2"/>
    <w:rsid w:val="00925686"/>
    <w:rsid w:val="00931647"/>
    <w:rsid w:val="00932F37"/>
    <w:rsid w:val="0093358E"/>
    <w:rsid w:val="0093398C"/>
    <w:rsid w:val="009368B1"/>
    <w:rsid w:val="00937A13"/>
    <w:rsid w:val="009423F8"/>
    <w:rsid w:val="00942920"/>
    <w:rsid w:val="00944C3F"/>
    <w:rsid w:val="00945A8A"/>
    <w:rsid w:val="00945C0B"/>
    <w:rsid w:val="00945C99"/>
    <w:rsid w:val="00947723"/>
    <w:rsid w:val="00947F8F"/>
    <w:rsid w:val="00950187"/>
    <w:rsid w:val="009504FA"/>
    <w:rsid w:val="0095060D"/>
    <w:rsid w:val="00951587"/>
    <w:rsid w:val="00951BDC"/>
    <w:rsid w:val="00953322"/>
    <w:rsid w:val="009543E3"/>
    <w:rsid w:val="0095441F"/>
    <w:rsid w:val="00954B33"/>
    <w:rsid w:val="00961D73"/>
    <w:rsid w:val="00963839"/>
    <w:rsid w:val="009648B2"/>
    <w:rsid w:val="00966DFC"/>
    <w:rsid w:val="00967657"/>
    <w:rsid w:val="00970BC6"/>
    <w:rsid w:val="0097131F"/>
    <w:rsid w:val="00971466"/>
    <w:rsid w:val="0097225F"/>
    <w:rsid w:val="00973C5F"/>
    <w:rsid w:val="00974E77"/>
    <w:rsid w:val="00977BBA"/>
    <w:rsid w:val="00981051"/>
    <w:rsid w:val="009822D9"/>
    <w:rsid w:val="00982602"/>
    <w:rsid w:val="009844BE"/>
    <w:rsid w:val="00985DB2"/>
    <w:rsid w:val="00986C70"/>
    <w:rsid w:val="00987605"/>
    <w:rsid w:val="0099059E"/>
    <w:rsid w:val="009909C4"/>
    <w:rsid w:val="00990ED5"/>
    <w:rsid w:val="0099292C"/>
    <w:rsid w:val="009931F2"/>
    <w:rsid w:val="00993F06"/>
    <w:rsid w:val="0099470B"/>
    <w:rsid w:val="00994C6B"/>
    <w:rsid w:val="00994F4A"/>
    <w:rsid w:val="00996302"/>
    <w:rsid w:val="00996FBC"/>
    <w:rsid w:val="00997A27"/>
    <w:rsid w:val="00997BD5"/>
    <w:rsid w:val="00997E84"/>
    <w:rsid w:val="009A2983"/>
    <w:rsid w:val="009A29BF"/>
    <w:rsid w:val="009A2C3A"/>
    <w:rsid w:val="009A5546"/>
    <w:rsid w:val="009A62CC"/>
    <w:rsid w:val="009A63D4"/>
    <w:rsid w:val="009A67A5"/>
    <w:rsid w:val="009A68A9"/>
    <w:rsid w:val="009A78CC"/>
    <w:rsid w:val="009A7A14"/>
    <w:rsid w:val="009B23AF"/>
    <w:rsid w:val="009B2D76"/>
    <w:rsid w:val="009B383F"/>
    <w:rsid w:val="009B396E"/>
    <w:rsid w:val="009B6954"/>
    <w:rsid w:val="009B7C4F"/>
    <w:rsid w:val="009C0162"/>
    <w:rsid w:val="009C080A"/>
    <w:rsid w:val="009C1ADE"/>
    <w:rsid w:val="009C274E"/>
    <w:rsid w:val="009C54BD"/>
    <w:rsid w:val="009C66D7"/>
    <w:rsid w:val="009C7DE8"/>
    <w:rsid w:val="009C7EEC"/>
    <w:rsid w:val="009C7F3E"/>
    <w:rsid w:val="009D073E"/>
    <w:rsid w:val="009D1191"/>
    <w:rsid w:val="009D1473"/>
    <w:rsid w:val="009D16EA"/>
    <w:rsid w:val="009D1DD6"/>
    <w:rsid w:val="009D3529"/>
    <w:rsid w:val="009D49FF"/>
    <w:rsid w:val="009D61F2"/>
    <w:rsid w:val="009E0FA4"/>
    <w:rsid w:val="009E1D3C"/>
    <w:rsid w:val="009E51B3"/>
    <w:rsid w:val="009E6C83"/>
    <w:rsid w:val="009F090B"/>
    <w:rsid w:val="009F18DE"/>
    <w:rsid w:val="009F1EEB"/>
    <w:rsid w:val="009F2756"/>
    <w:rsid w:val="009F31CC"/>
    <w:rsid w:val="009F32DC"/>
    <w:rsid w:val="009F3B62"/>
    <w:rsid w:val="009F618A"/>
    <w:rsid w:val="009F7E91"/>
    <w:rsid w:val="00A019D4"/>
    <w:rsid w:val="00A03939"/>
    <w:rsid w:val="00A10285"/>
    <w:rsid w:val="00A10383"/>
    <w:rsid w:val="00A1094E"/>
    <w:rsid w:val="00A145FB"/>
    <w:rsid w:val="00A15C35"/>
    <w:rsid w:val="00A162AE"/>
    <w:rsid w:val="00A17B87"/>
    <w:rsid w:val="00A215B4"/>
    <w:rsid w:val="00A24B03"/>
    <w:rsid w:val="00A2761F"/>
    <w:rsid w:val="00A30981"/>
    <w:rsid w:val="00A31ED9"/>
    <w:rsid w:val="00A32412"/>
    <w:rsid w:val="00A32866"/>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2C8C"/>
    <w:rsid w:val="00A53907"/>
    <w:rsid w:val="00A53FB5"/>
    <w:rsid w:val="00A54FD0"/>
    <w:rsid w:val="00A5581B"/>
    <w:rsid w:val="00A55CC9"/>
    <w:rsid w:val="00A55DFD"/>
    <w:rsid w:val="00A616A5"/>
    <w:rsid w:val="00A624ED"/>
    <w:rsid w:val="00A63186"/>
    <w:rsid w:val="00A63570"/>
    <w:rsid w:val="00A63EE5"/>
    <w:rsid w:val="00A654EE"/>
    <w:rsid w:val="00A6579B"/>
    <w:rsid w:val="00A661E7"/>
    <w:rsid w:val="00A70A3E"/>
    <w:rsid w:val="00A70B5F"/>
    <w:rsid w:val="00A70B92"/>
    <w:rsid w:val="00A71312"/>
    <w:rsid w:val="00A71970"/>
    <w:rsid w:val="00A7404F"/>
    <w:rsid w:val="00A74C88"/>
    <w:rsid w:val="00A75069"/>
    <w:rsid w:val="00A7578D"/>
    <w:rsid w:val="00A761CE"/>
    <w:rsid w:val="00A76539"/>
    <w:rsid w:val="00A778F2"/>
    <w:rsid w:val="00A814BA"/>
    <w:rsid w:val="00A8306F"/>
    <w:rsid w:val="00A831AD"/>
    <w:rsid w:val="00A835E1"/>
    <w:rsid w:val="00A836EF"/>
    <w:rsid w:val="00A83ED6"/>
    <w:rsid w:val="00A87154"/>
    <w:rsid w:val="00A87C18"/>
    <w:rsid w:val="00A91462"/>
    <w:rsid w:val="00A92BD7"/>
    <w:rsid w:val="00A96CB7"/>
    <w:rsid w:val="00A973DA"/>
    <w:rsid w:val="00AA27BF"/>
    <w:rsid w:val="00AA2AAF"/>
    <w:rsid w:val="00AA303B"/>
    <w:rsid w:val="00AA3E8E"/>
    <w:rsid w:val="00AA3FF0"/>
    <w:rsid w:val="00AA4838"/>
    <w:rsid w:val="00AA6169"/>
    <w:rsid w:val="00AA71A4"/>
    <w:rsid w:val="00AB2856"/>
    <w:rsid w:val="00AB2B38"/>
    <w:rsid w:val="00AB3276"/>
    <w:rsid w:val="00AB368D"/>
    <w:rsid w:val="00AB46DF"/>
    <w:rsid w:val="00AB47DC"/>
    <w:rsid w:val="00AB5A16"/>
    <w:rsid w:val="00AC071B"/>
    <w:rsid w:val="00AC0B11"/>
    <w:rsid w:val="00AC1FCA"/>
    <w:rsid w:val="00AC233B"/>
    <w:rsid w:val="00AC3299"/>
    <w:rsid w:val="00AC3588"/>
    <w:rsid w:val="00AC3DC6"/>
    <w:rsid w:val="00AC3E8F"/>
    <w:rsid w:val="00AC5789"/>
    <w:rsid w:val="00AC5867"/>
    <w:rsid w:val="00AC58E7"/>
    <w:rsid w:val="00AC67DB"/>
    <w:rsid w:val="00AC7439"/>
    <w:rsid w:val="00AC7690"/>
    <w:rsid w:val="00AD1BEF"/>
    <w:rsid w:val="00AD274D"/>
    <w:rsid w:val="00AD3633"/>
    <w:rsid w:val="00AD38A7"/>
    <w:rsid w:val="00AD4567"/>
    <w:rsid w:val="00AD4BF7"/>
    <w:rsid w:val="00AD4CCE"/>
    <w:rsid w:val="00AD4F29"/>
    <w:rsid w:val="00AD5428"/>
    <w:rsid w:val="00AE02C7"/>
    <w:rsid w:val="00AE1032"/>
    <w:rsid w:val="00AE3A44"/>
    <w:rsid w:val="00AE3EE2"/>
    <w:rsid w:val="00AE4660"/>
    <w:rsid w:val="00AE5A53"/>
    <w:rsid w:val="00AE779C"/>
    <w:rsid w:val="00AE7855"/>
    <w:rsid w:val="00AF01C2"/>
    <w:rsid w:val="00AF0B11"/>
    <w:rsid w:val="00AF0FCC"/>
    <w:rsid w:val="00AF206C"/>
    <w:rsid w:val="00AF673A"/>
    <w:rsid w:val="00AF69B0"/>
    <w:rsid w:val="00AF7024"/>
    <w:rsid w:val="00B020C7"/>
    <w:rsid w:val="00B03220"/>
    <w:rsid w:val="00B05DC5"/>
    <w:rsid w:val="00B1064C"/>
    <w:rsid w:val="00B115EA"/>
    <w:rsid w:val="00B15D84"/>
    <w:rsid w:val="00B23F01"/>
    <w:rsid w:val="00B265B2"/>
    <w:rsid w:val="00B265C9"/>
    <w:rsid w:val="00B27F30"/>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63E"/>
    <w:rsid w:val="00B44B43"/>
    <w:rsid w:val="00B47BA0"/>
    <w:rsid w:val="00B47D47"/>
    <w:rsid w:val="00B47E1E"/>
    <w:rsid w:val="00B5017B"/>
    <w:rsid w:val="00B5336B"/>
    <w:rsid w:val="00B537E0"/>
    <w:rsid w:val="00B54EF4"/>
    <w:rsid w:val="00B55072"/>
    <w:rsid w:val="00B56368"/>
    <w:rsid w:val="00B57021"/>
    <w:rsid w:val="00B57938"/>
    <w:rsid w:val="00B57D88"/>
    <w:rsid w:val="00B61A15"/>
    <w:rsid w:val="00B624D7"/>
    <w:rsid w:val="00B62E44"/>
    <w:rsid w:val="00B63096"/>
    <w:rsid w:val="00B63488"/>
    <w:rsid w:val="00B639D0"/>
    <w:rsid w:val="00B652AA"/>
    <w:rsid w:val="00B65FB7"/>
    <w:rsid w:val="00B70A57"/>
    <w:rsid w:val="00B70DC8"/>
    <w:rsid w:val="00B718EF"/>
    <w:rsid w:val="00B720F5"/>
    <w:rsid w:val="00B73631"/>
    <w:rsid w:val="00B741C0"/>
    <w:rsid w:val="00B75872"/>
    <w:rsid w:val="00B77230"/>
    <w:rsid w:val="00B7748A"/>
    <w:rsid w:val="00B77A5E"/>
    <w:rsid w:val="00B825A0"/>
    <w:rsid w:val="00B83267"/>
    <w:rsid w:val="00B84B86"/>
    <w:rsid w:val="00B8572D"/>
    <w:rsid w:val="00B85ED6"/>
    <w:rsid w:val="00B8761E"/>
    <w:rsid w:val="00B91132"/>
    <w:rsid w:val="00B92518"/>
    <w:rsid w:val="00B93D18"/>
    <w:rsid w:val="00B94429"/>
    <w:rsid w:val="00B9594B"/>
    <w:rsid w:val="00B95F1B"/>
    <w:rsid w:val="00BA083C"/>
    <w:rsid w:val="00BA1DBF"/>
    <w:rsid w:val="00BA6006"/>
    <w:rsid w:val="00BA64CB"/>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263"/>
    <w:rsid w:val="00BD78D7"/>
    <w:rsid w:val="00BE07AC"/>
    <w:rsid w:val="00BE2264"/>
    <w:rsid w:val="00BE49AB"/>
    <w:rsid w:val="00BE5018"/>
    <w:rsid w:val="00BE507F"/>
    <w:rsid w:val="00BE58BB"/>
    <w:rsid w:val="00BE5966"/>
    <w:rsid w:val="00BE6B51"/>
    <w:rsid w:val="00BF1C4E"/>
    <w:rsid w:val="00BF53FC"/>
    <w:rsid w:val="00BF608C"/>
    <w:rsid w:val="00C00D44"/>
    <w:rsid w:val="00C02059"/>
    <w:rsid w:val="00C02BA5"/>
    <w:rsid w:val="00C0348A"/>
    <w:rsid w:val="00C044BB"/>
    <w:rsid w:val="00C045E4"/>
    <w:rsid w:val="00C05306"/>
    <w:rsid w:val="00C0702C"/>
    <w:rsid w:val="00C07F02"/>
    <w:rsid w:val="00C112A7"/>
    <w:rsid w:val="00C127AC"/>
    <w:rsid w:val="00C1302F"/>
    <w:rsid w:val="00C1307F"/>
    <w:rsid w:val="00C13A65"/>
    <w:rsid w:val="00C1509B"/>
    <w:rsid w:val="00C16528"/>
    <w:rsid w:val="00C17449"/>
    <w:rsid w:val="00C17A6B"/>
    <w:rsid w:val="00C209DB"/>
    <w:rsid w:val="00C21DEA"/>
    <w:rsid w:val="00C25232"/>
    <w:rsid w:val="00C262A4"/>
    <w:rsid w:val="00C26540"/>
    <w:rsid w:val="00C302BB"/>
    <w:rsid w:val="00C34150"/>
    <w:rsid w:val="00C34497"/>
    <w:rsid w:val="00C353C6"/>
    <w:rsid w:val="00C35762"/>
    <w:rsid w:val="00C364C5"/>
    <w:rsid w:val="00C37B51"/>
    <w:rsid w:val="00C40643"/>
    <w:rsid w:val="00C41844"/>
    <w:rsid w:val="00C428F6"/>
    <w:rsid w:val="00C44935"/>
    <w:rsid w:val="00C44F0F"/>
    <w:rsid w:val="00C457B7"/>
    <w:rsid w:val="00C46519"/>
    <w:rsid w:val="00C47424"/>
    <w:rsid w:val="00C50295"/>
    <w:rsid w:val="00C51DA1"/>
    <w:rsid w:val="00C53DC0"/>
    <w:rsid w:val="00C6023D"/>
    <w:rsid w:val="00C60D77"/>
    <w:rsid w:val="00C62DAE"/>
    <w:rsid w:val="00C647CD"/>
    <w:rsid w:val="00C66094"/>
    <w:rsid w:val="00C6618F"/>
    <w:rsid w:val="00C66639"/>
    <w:rsid w:val="00C669FF"/>
    <w:rsid w:val="00C66F16"/>
    <w:rsid w:val="00C70E5F"/>
    <w:rsid w:val="00C728F5"/>
    <w:rsid w:val="00C72B9B"/>
    <w:rsid w:val="00C73C48"/>
    <w:rsid w:val="00C75023"/>
    <w:rsid w:val="00C75856"/>
    <w:rsid w:val="00C76656"/>
    <w:rsid w:val="00C76C17"/>
    <w:rsid w:val="00C7782F"/>
    <w:rsid w:val="00C77A26"/>
    <w:rsid w:val="00C77E27"/>
    <w:rsid w:val="00C80A90"/>
    <w:rsid w:val="00C846FD"/>
    <w:rsid w:val="00C849C9"/>
    <w:rsid w:val="00C84AC0"/>
    <w:rsid w:val="00C85107"/>
    <w:rsid w:val="00C857BF"/>
    <w:rsid w:val="00C85831"/>
    <w:rsid w:val="00C85BBC"/>
    <w:rsid w:val="00C86D82"/>
    <w:rsid w:val="00C87047"/>
    <w:rsid w:val="00C8777E"/>
    <w:rsid w:val="00C9243C"/>
    <w:rsid w:val="00C97CC3"/>
    <w:rsid w:val="00CA3782"/>
    <w:rsid w:val="00CA41C2"/>
    <w:rsid w:val="00CA50F9"/>
    <w:rsid w:val="00CA5287"/>
    <w:rsid w:val="00CA56B5"/>
    <w:rsid w:val="00CA64DC"/>
    <w:rsid w:val="00CB000E"/>
    <w:rsid w:val="00CB28EE"/>
    <w:rsid w:val="00CB3044"/>
    <w:rsid w:val="00CB3C6D"/>
    <w:rsid w:val="00CB5900"/>
    <w:rsid w:val="00CB5CEC"/>
    <w:rsid w:val="00CB5E9E"/>
    <w:rsid w:val="00CB6710"/>
    <w:rsid w:val="00CC005F"/>
    <w:rsid w:val="00CC11E8"/>
    <w:rsid w:val="00CC21F0"/>
    <w:rsid w:val="00CC230C"/>
    <w:rsid w:val="00CC255D"/>
    <w:rsid w:val="00CC409C"/>
    <w:rsid w:val="00CC44B0"/>
    <w:rsid w:val="00CC6B7C"/>
    <w:rsid w:val="00CD131D"/>
    <w:rsid w:val="00CD1F13"/>
    <w:rsid w:val="00CD54F0"/>
    <w:rsid w:val="00CE0B57"/>
    <w:rsid w:val="00CE2B0B"/>
    <w:rsid w:val="00CE2E84"/>
    <w:rsid w:val="00CE4BBD"/>
    <w:rsid w:val="00CE52D2"/>
    <w:rsid w:val="00CE5EB5"/>
    <w:rsid w:val="00CE63AE"/>
    <w:rsid w:val="00CE7D8A"/>
    <w:rsid w:val="00CF00DE"/>
    <w:rsid w:val="00CF1C02"/>
    <w:rsid w:val="00CF26A3"/>
    <w:rsid w:val="00CF756B"/>
    <w:rsid w:val="00CF7CC5"/>
    <w:rsid w:val="00D002A7"/>
    <w:rsid w:val="00D003AA"/>
    <w:rsid w:val="00D0059B"/>
    <w:rsid w:val="00D01973"/>
    <w:rsid w:val="00D01F74"/>
    <w:rsid w:val="00D0240D"/>
    <w:rsid w:val="00D028C1"/>
    <w:rsid w:val="00D02B93"/>
    <w:rsid w:val="00D040DB"/>
    <w:rsid w:val="00D07139"/>
    <w:rsid w:val="00D10AB6"/>
    <w:rsid w:val="00D12F39"/>
    <w:rsid w:val="00D154E0"/>
    <w:rsid w:val="00D222BC"/>
    <w:rsid w:val="00D234B2"/>
    <w:rsid w:val="00D24EFF"/>
    <w:rsid w:val="00D26176"/>
    <w:rsid w:val="00D26CE8"/>
    <w:rsid w:val="00D26DD0"/>
    <w:rsid w:val="00D319CD"/>
    <w:rsid w:val="00D31FEB"/>
    <w:rsid w:val="00D32529"/>
    <w:rsid w:val="00D32595"/>
    <w:rsid w:val="00D34FC1"/>
    <w:rsid w:val="00D354E8"/>
    <w:rsid w:val="00D3563F"/>
    <w:rsid w:val="00D36660"/>
    <w:rsid w:val="00D37156"/>
    <w:rsid w:val="00D37178"/>
    <w:rsid w:val="00D40242"/>
    <w:rsid w:val="00D4065E"/>
    <w:rsid w:val="00D40A81"/>
    <w:rsid w:val="00D41115"/>
    <w:rsid w:val="00D41545"/>
    <w:rsid w:val="00D422CE"/>
    <w:rsid w:val="00D42D76"/>
    <w:rsid w:val="00D439FE"/>
    <w:rsid w:val="00D454FF"/>
    <w:rsid w:val="00D4610B"/>
    <w:rsid w:val="00D46426"/>
    <w:rsid w:val="00D47E8F"/>
    <w:rsid w:val="00D5099E"/>
    <w:rsid w:val="00D50FCB"/>
    <w:rsid w:val="00D51229"/>
    <w:rsid w:val="00D51494"/>
    <w:rsid w:val="00D518BE"/>
    <w:rsid w:val="00D53497"/>
    <w:rsid w:val="00D537BD"/>
    <w:rsid w:val="00D54E6F"/>
    <w:rsid w:val="00D5584E"/>
    <w:rsid w:val="00D55E0C"/>
    <w:rsid w:val="00D560C8"/>
    <w:rsid w:val="00D56652"/>
    <w:rsid w:val="00D57889"/>
    <w:rsid w:val="00D57E96"/>
    <w:rsid w:val="00D614BE"/>
    <w:rsid w:val="00D62C19"/>
    <w:rsid w:val="00D65AD9"/>
    <w:rsid w:val="00D67E80"/>
    <w:rsid w:val="00D74AD1"/>
    <w:rsid w:val="00D8201D"/>
    <w:rsid w:val="00D84754"/>
    <w:rsid w:val="00D85CEF"/>
    <w:rsid w:val="00D90429"/>
    <w:rsid w:val="00D9219A"/>
    <w:rsid w:val="00D92451"/>
    <w:rsid w:val="00D95527"/>
    <w:rsid w:val="00D95C7E"/>
    <w:rsid w:val="00D97496"/>
    <w:rsid w:val="00D976EA"/>
    <w:rsid w:val="00DA0689"/>
    <w:rsid w:val="00DA10B5"/>
    <w:rsid w:val="00DA3769"/>
    <w:rsid w:val="00DA676E"/>
    <w:rsid w:val="00DA6DDE"/>
    <w:rsid w:val="00DA7092"/>
    <w:rsid w:val="00DA709C"/>
    <w:rsid w:val="00DA746F"/>
    <w:rsid w:val="00DA7C2F"/>
    <w:rsid w:val="00DB040A"/>
    <w:rsid w:val="00DB16C8"/>
    <w:rsid w:val="00DB2109"/>
    <w:rsid w:val="00DB29B1"/>
    <w:rsid w:val="00DB42F8"/>
    <w:rsid w:val="00DB5211"/>
    <w:rsid w:val="00DB5AE0"/>
    <w:rsid w:val="00DB620E"/>
    <w:rsid w:val="00DC1697"/>
    <w:rsid w:val="00DC1BB0"/>
    <w:rsid w:val="00DC203F"/>
    <w:rsid w:val="00DC26BE"/>
    <w:rsid w:val="00DC2AFF"/>
    <w:rsid w:val="00DC2E00"/>
    <w:rsid w:val="00DC44B1"/>
    <w:rsid w:val="00DC6D15"/>
    <w:rsid w:val="00DC6DDD"/>
    <w:rsid w:val="00DD02F6"/>
    <w:rsid w:val="00DD304C"/>
    <w:rsid w:val="00DD51BC"/>
    <w:rsid w:val="00DD7939"/>
    <w:rsid w:val="00DE04AF"/>
    <w:rsid w:val="00DE0C0F"/>
    <w:rsid w:val="00DE137E"/>
    <w:rsid w:val="00DE59D5"/>
    <w:rsid w:val="00DE5EAF"/>
    <w:rsid w:val="00DE704E"/>
    <w:rsid w:val="00DF13B7"/>
    <w:rsid w:val="00DF1457"/>
    <w:rsid w:val="00DF309F"/>
    <w:rsid w:val="00DF3937"/>
    <w:rsid w:val="00DF3EFC"/>
    <w:rsid w:val="00DF465B"/>
    <w:rsid w:val="00E01D6F"/>
    <w:rsid w:val="00E047D7"/>
    <w:rsid w:val="00E05917"/>
    <w:rsid w:val="00E07B32"/>
    <w:rsid w:val="00E1232A"/>
    <w:rsid w:val="00E127A9"/>
    <w:rsid w:val="00E12AB4"/>
    <w:rsid w:val="00E12DDB"/>
    <w:rsid w:val="00E1440C"/>
    <w:rsid w:val="00E15A7A"/>
    <w:rsid w:val="00E17473"/>
    <w:rsid w:val="00E17C6F"/>
    <w:rsid w:val="00E203B1"/>
    <w:rsid w:val="00E21D2E"/>
    <w:rsid w:val="00E2367E"/>
    <w:rsid w:val="00E2621C"/>
    <w:rsid w:val="00E27FDF"/>
    <w:rsid w:val="00E3019A"/>
    <w:rsid w:val="00E30350"/>
    <w:rsid w:val="00E308F8"/>
    <w:rsid w:val="00E31577"/>
    <w:rsid w:val="00E3280D"/>
    <w:rsid w:val="00E345AB"/>
    <w:rsid w:val="00E34A1A"/>
    <w:rsid w:val="00E36E06"/>
    <w:rsid w:val="00E408B8"/>
    <w:rsid w:val="00E4160C"/>
    <w:rsid w:val="00E4447C"/>
    <w:rsid w:val="00E446EF"/>
    <w:rsid w:val="00E44E4C"/>
    <w:rsid w:val="00E45988"/>
    <w:rsid w:val="00E45A28"/>
    <w:rsid w:val="00E45E23"/>
    <w:rsid w:val="00E46C35"/>
    <w:rsid w:val="00E4723B"/>
    <w:rsid w:val="00E47791"/>
    <w:rsid w:val="00E519E2"/>
    <w:rsid w:val="00E53AD7"/>
    <w:rsid w:val="00E54ACA"/>
    <w:rsid w:val="00E56595"/>
    <w:rsid w:val="00E57987"/>
    <w:rsid w:val="00E613A3"/>
    <w:rsid w:val="00E61DC8"/>
    <w:rsid w:val="00E623C2"/>
    <w:rsid w:val="00E628AF"/>
    <w:rsid w:val="00E639CA"/>
    <w:rsid w:val="00E648D4"/>
    <w:rsid w:val="00E66273"/>
    <w:rsid w:val="00E67F0E"/>
    <w:rsid w:val="00E70725"/>
    <w:rsid w:val="00E71386"/>
    <w:rsid w:val="00E71642"/>
    <w:rsid w:val="00E72487"/>
    <w:rsid w:val="00E73814"/>
    <w:rsid w:val="00E7442E"/>
    <w:rsid w:val="00E75301"/>
    <w:rsid w:val="00E760C7"/>
    <w:rsid w:val="00E76479"/>
    <w:rsid w:val="00E80C90"/>
    <w:rsid w:val="00E811C2"/>
    <w:rsid w:val="00E81287"/>
    <w:rsid w:val="00E812A9"/>
    <w:rsid w:val="00E83D5B"/>
    <w:rsid w:val="00E87322"/>
    <w:rsid w:val="00E9000D"/>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56"/>
    <w:rsid w:val="00EB0A50"/>
    <w:rsid w:val="00EB11DC"/>
    <w:rsid w:val="00EB1BEB"/>
    <w:rsid w:val="00EB5280"/>
    <w:rsid w:val="00EC0049"/>
    <w:rsid w:val="00EC0141"/>
    <w:rsid w:val="00EC0638"/>
    <w:rsid w:val="00EC1A78"/>
    <w:rsid w:val="00EC20CF"/>
    <w:rsid w:val="00EC3171"/>
    <w:rsid w:val="00EC3327"/>
    <w:rsid w:val="00EC39A7"/>
    <w:rsid w:val="00EC53E4"/>
    <w:rsid w:val="00EC7940"/>
    <w:rsid w:val="00ED0CFF"/>
    <w:rsid w:val="00ED1F9F"/>
    <w:rsid w:val="00ED2A3B"/>
    <w:rsid w:val="00ED3342"/>
    <w:rsid w:val="00ED362B"/>
    <w:rsid w:val="00ED3974"/>
    <w:rsid w:val="00ED48FB"/>
    <w:rsid w:val="00ED4B5B"/>
    <w:rsid w:val="00ED4E14"/>
    <w:rsid w:val="00ED4E22"/>
    <w:rsid w:val="00ED54E7"/>
    <w:rsid w:val="00ED647F"/>
    <w:rsid w:val="00ED6D69"/>
    <w:rsid w:val="00ED6F9A"/>
    <w:rsid w:val="00EE0213"/>
    <w:rsid w:val="00EE1650"/>
    <w:rsid w:val="00EE27E1"/>
    <w:rsid w:val="00EE372B"/>
    <w:rsid w:val="00EE3CD3"/>
    <w:rsid w:val="00EE68D4"/>
    <w:rsid w:val="00EE7F06"/>
    <w:rsid w:val="00EF07DE"/>
    <w:rsid w:val="00EF1FB5"/>
    <w:rsid w:val="00EF2616"/>
    <w:rsid w:val="00EF2A36"/>
    <w:rsid w:val="00EF3A8E"/>
    <w:rsid w:val="00EF3B3A"/>
    <w:rsid w:val="00EF49B4"/>
    <w:rsid w:val="00EF543D"/>
    <w:rsid w:val="00EF6526"/>
    <w:rsid w:val="00EF75E3"/>
    <w:rsid w:val="00F000C6"/>
    <w:rsid w:val="00F00110"/>
    <w:rsid w:val="00F00E03"/>
    <w:rsid w:val="00F01E2A"/>
    <w:rsid w:val="00F03747"/>
    <w:rsid w:val="00F03818"/>
    <w:rsid w:val="00F04A3C"/>
    <w:rsid w:val="00F04D73"/>
    <w:rsid w:val="00F06BF7"/>
    <w:rsid w:val="00F07800"/>
    <w:rsid w:val="00F11584"/>
    <w:rsid w:val="00F11EE1"/>
    <w:rsid w:val="00F1603B"/>
    <w:rsid w:val="00F164B3"/>
    <w:rsid w:val="00F167ED"/>
    <w:rsid w:val="00F175A1"/>
    <w:rsid w:val="00F26EB8"/>
    <w:rsid w:val="00F3122A"/>
    <w:rsid w:val="00F34E53"/>
    <w:rsid w:val="00F35EB7"/>
    <w:rsid w:val="00F37C1C"/>
    <w:rsid w:val="00F40562"/>
    <w:rsid w:val="00F442C8"/>
    <w:rsid w:val="00F44669"/>
    <w:rsid w:val="00F44814"/>
    <w:rsid w:val="00F44DB5"/>
    <w:rsid w:val="00F46708"/>
    <w:rsid w:val="00F50572"/>
    <w:rsid w:val="00F51354"/>
    <w:rsid w:val="00F53CAD"/>
    <w:rsid w:val="00F548D5"/>
    <w:rsid w:val="00F54D6E"/>
    <w:rsid w:val="00F56269"/>
    <w:rsid w:val="00F62669"/>
    <w:rsid w:val="00F64143"/>
    <w:rsid w:val="00F641E2"/>
    <w:rsid w:val="00F64BAC"/>
    <w:rsid w:val="00F651B7"/>
    <w:rsid w:val="00F656CA"/>
    <w:rsid w:val="00F65BF8"/>
    <w:rsid w:val="00F67CE3"/>
    <w:rsid w:val="00F67D99"/>
    <w:rsid w:val="00F705A6"/>
    <w:rsid w:val="00F706B1"/>
    <w:rsid w:val="00F70847"/>
    <w:rsid w:val="00F70BCE"/>
    <w:rsid w:val="00F70C80"/>
    <w:rsid w:val="00F71089"/>
    <w:rsid w:val="00F71F4E"/>
    <w:rsid w:val="00F72185"/>
    <w:rsid w:val="00F72CD4"/>
    <w:rsid w:val="00F73ABA"/>
    <w:rsid w:val="00F750BF"/>
    <w:rsid w:val="00F7751D"/>
    <w:rsid w:val="00F82588"/>
    <w:rsid w:val="00F82E31"/>
    <w:rsid w:val="00F83AB5"/>
    <w:rsid w:val="00F84A15"/>
    <w:rsid w:val="00F8627D"/>
    <w:rsid w:val="00F8762E"/>
    <w:rsid w:val="00F87BA0"/>
    <w:rsid w:val="00F92890"/>
    <w:rsid w:val="00F93645"/>
    <w:rsid w:val="00F94C04"/>
    <w:rsid w:val="00F9538C"/>
    <w:rsid w:val="00F9567C"/>
    <w:rsid w:val="00F96021"/>
    <w:rsid w:val="00F9783B"/>
    <w:rsid w:val="00FA03AB"/>
    <w:rsid w:val="00FA149F"/>
    <w:rsid w:val="00FA2548"/>
    <w:rsid w:val="00FA380C"/>
    <w:rsid w:val="00FA3A35"/>
    <w:rsid w:val="00FA4592"/>
    <w:rsid w:val="00FA4D65"/>
    <w:rsid w:val="00FA5CF7"/>
    <w:rsid w:val="00FB06E8"/>
    <w:rsid w:val="00FB12A2"/>
    <w:rsid w:val="00FB27C1"/>
    <w:rsid w:val="00FB27FB"/>
    <w:rsid w:val="00FB3171"/>
    <w:rsid w:val="00FB67F5"/>
    <w:rsid w:val="00FB7C1F"/>
    <w:rsid w:val="00FC109B"/>
    <w:rsid w:val="00FC180C"/>
    <w:rsid w:val="00FC1AEE"/>
    <w:rsid w:val="00FC2473"/>
    <w:rsid w:val="00FC2538"/>
    <w:rsid w:val="00FC278D"/>
    <w:rsid w:val="00FC2A54"/>
    <w:rsid w:val="00FC2FFC"/>
    <w:rsid w:val="00FC46D5"/>
    <w:rsid w:val="00FC477A"/>
    <w:rsid w:val="00FC5060"/>
    <w:rsid w:val="00FC52DD"/>
    <w:rsid w:val="00FC562D"/>
    <w:rsid w:val="00FC5AF5"/>
    <w:rsid w:val="00FC5EC7"/>
    <w:rsid w:val="00FC76C3"/>
    <w:rsid w:val="00FC79D1"/>
    <w:rsid w:val="00FD10F1"/>
    <w:rsid w:val="00FD1FAE"/>
    <w:rsid w:val="00FD2384"/>
    <w:rsid w:val="00FD273A"/>
    <w:rsid w:val="00FD5E7D"/>
    <w:rsid w:val="00FE0B22"/>
    <w:rsid w:val="00FE0C1C"/>
    <w:rsid w:val="00FE1779"/>
    <w:rsid w:val="00FE2388"/>
    <w:rsid w:val="00FE2538"/>
    <w:rsid w:val="00FE411D"/>
    <w:rsid w:val="00FE4B76"/>
    <w:rsid w:val="00FE5EFF"/>
    <w:rsid w:val="00FE6D4D"/>
    <w:rsid w:val="00FE71D2"/>
    <w:rsid w:val="00FE72FF"/>
    <w:rsid w:val="00FE7E09"/>
    <w:rsid w:val="00FE7EEB"/>
    <w:rsid w:val="00FF2C9D"/>
    <w:rsid w:val="00FF3C72"/>
    <w:rsid w:val="00FF6D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A2868"/>
  <w15:docId w15:val="{053B3224-F72C-4C00-8562-2F7944B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45d/763b/a6882419c8c618ae3f6a0547/np-exmop-01-01-en.pdf" TargetMode="External"/><Relationship Id="rId7" Type="http://schemas.openxmlformats.org/officeDocument/2006/relationships/hyperlink" Target="https://www.cbd.int/doc/decisions/cop-01/cop-01-dec-06-en.pdf" TargetMode="External"/><Relationship Id="rId2" Type="http://schemas.openxmlformats.org/officeDocument/2006/relationships/hyperlink" Target="https://www.cbd.int/doc/c/b1e1/b95a/3ad8c71e6d4082b90ff169b1/cp-exmop-01-01-en.pdf" TargetMode="External"/><Relationship Id="rId1" Type="http://schemas.openxmlformats.org/officeDocument/2006/relationships/hyperlink" Target="https://www.cbd.int/doc/c/0105/47c2/536a2998bc7bfe50d5e4376a/excop-02-01-en.pdf" TargetMode="External"/><Relationship Id="rId6" Type="http://schemas.openxmlformats.org/officeDocument/2006/relationships/hyperlink" Target="https://www.cbd.int/doc/c/23ed/1224/8e9918a3a9e4e5ab9608dade/np-exmop-01-01-add1-en.pdf" TargetMode="External"/><Relationship Id="rId5" Type="http://schemas.openxmlformats.org/officeDocument/2006/relationships/hyperlink" Target="https://www.cbd.int/doc/c/572d/e2be/a14d239f588364e539192102/cp-exmop-01-01-add1-en.pdf" TargetMode="External"/><Relationship Id="rId4" Type="http://schemas.openxmlformats.org/officeDocument/2006/relationships/hyperlink" Target="https://www.cbd.int/doc/c/7f4b/9ea8/c493788c5f7d6d7a0c4e1291/excop-02-01-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50662C" w:rsidRDefault="00821B57">
          <w:r w:rsidRPr="00FD577A">
            <w:rPr>
              <w:rStyle w:val="PlaceholderText"/>
            </w:rPr>
            <w:t>[Subject]</w:t>
          </w:r>
        </w:p>
      </w:docPartBody>
    </w:docPart>
    <w:docPart>
      <w:docPartPr>
        <w:name w:val="6CFC5E2F02354C2C8E983EEEA5016617"/>
        <w:category>
          <w:name w:val="General"/>
          <w:gallery w:val="placeholder"/>
        </w:category>
        <w:types>
          <w:type w:val="bbPlcHdr"/>
        </w:types>
        <w:behaviors>
          <w:behavior w:val="content"/>
        </w:behaviors>
        <w:guid w:val="{1CA74211-91FB-426C-9EEB-63288A0791A8}"/>
      </w:docPartPr>
      <w:docPartBody>
        <w:p w:rsidR="0050662C" w:rsidRDefault="00821B57" w:rsidP="00821B57">
          <w:pPr>
            <w:pStyle w:val="6CFC5E2F02354C2C8E983EEEA5016617"/>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001F13AC"/>
    <w:rsid w:val="00261379"/>
    <w:rsid w:val="0026180A"/>
    <w:rsid w:val="002E7D99"/>
    <w:rsid w:val="002F3E5D"/>
    <w:rsid w:val="002F6C69"/>
    <w:rsid w:val="00362C2A"/>
    <w:rsid w:val="00392B5E"/>
    <w:rsid w:val="003B1AB2"/>
    <w:rsid w:val="003B35E9"/>
    <w:rsid w:val="003C0FB5"/>
    <w:rsid w:val="00405D71"/>
    <w:rsid w:val="00456EC7"/>
    <w:rsid w:val="004672ED"/>
    <w:rsid w:val="00474990"/>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5767"/>
    <w:rsid w:val="007C6D8E"/>
    <w:rsid w:val="00821B57"/>
    <w:rsid w:val="00843A25"/>
    <w:rsid w:val="00854F5D"/>
    <w:rsid w:val="00890EC3"/>
    <w:rsid w:val="00907F2A"/>
    <w:rsid w:val="0094071B"/>
    <w:rsid w:val="009730A3"/>
    <w:rsid w:val="009A0018"/>
    <w:rsid w:val="009C1B69"/>
    <w:rsid w:val="009C36BA"/>
    <w:rsid w:val="00A01219"/>
    <w:rsid w:val="00A93287"/>
    <w:rsid w:val="00AE58B1"/>
    <w:rsid w:val="00B47579"/>
    <w:rsid w:val="00B703A1"/>
    <w:rsid w:val="00BF5047"/>
    <w:rsid w:val="00C17BF8"/>
    <w:rsid w:val="00C2320C"/>
    <w:rsid w:val="00C31730"/>
    <w:rsid w:val="00CB1FEB"/>
    <w:rsid w:val="00CC18BD"/>
    <w:rsid w:val="00CE0CC0"/>
    <w:rsid w:val="00D56826"/>
    <w:rsid w:val="00DF32E1"/>
    <w:rsid w:val="00E036DC"/>
    <w:rsid w:val="00E338C9"/>
    <w:rsid w:val="00E44D43"/>
    <w:rsid w:val="00E54A1E"/>
    <w:rsid w:val="00E72777"/>
    <w:rsid w:val="00E80355"/>
    <w:rsid w:val="00E8517D"/>
    <w:rsid w:val="00EB11E6"/>
    <w:rsid w:val="00EE3C2F"/>
    <w:rsid w:val="00EF3032"/>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57"/>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 w:type="paragraph" w:customStyle="1" w:styleId="54C688505F4A4F188D19C3B27E422107">
    <w:name w:val="54C688505F4A4F188D19C3B27E422107"/>
    <w:rsid w:val="0082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E9647A16-9062-4D1B-A676-20428592331E}">
  <ds:schemaRefs>
    <ds:schemaRef ds:uri="http://schemas.microsoft.com/office/2006/documentManagement/types"/>
    <ds:schemaRef ds:uri="http://purl.org/dc/dcmitype/"/>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960889-874C-4A30-B2EC-ACB0AA7C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7384</Words>
  <Characters>42092</Characters>
  <Application>Microsoft Office Word</Application>
  <DocSecurity>0</DocSecurity>
  <Lines>350</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2021</vt:lpstr>
      <vt:lpstr>COP 14-Budget-Draft decisions-27Nov18 (revised 10 30pm)-clean</vt:lpstr>
    </vt:vector>
  </TitlesOfParts>
  <Company>SCBD</Company>
  <LinksUpToDate>false</LinksUpToDate>
  <CharactersWithSpaces>49378</CharactersWithSpaces>
  <SharedDoc>false</SharedDoc>
  <HLinks>
    <vt:vector size="6" baseType="variant">
      <vt:variant>
        <vt:i4>524361</vt:i4>
      </vt:variant>
      <vt:variant>
        <vt:i4>0</vt:i4>
      </vt:variant>
      <vt:variant>
        <vt:i4>0</vt:i4>
      </vt:variant>
      <vt:variant>
        <vt:i4>5</vt:i4>
      </vt:variant>
      <vt:variant>
        <vt:lpwstr>https://www.cbd.int/doc/decisions/cop-14/cop-14-dec-37-en.pdf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Veronique Lefebvre</cp:lastModifiedBy>
  <cp:revision>2</cp:revision>
  <cp:lastPrinted>2020-09-22T16:14:00Z</cp:lastPrinted>
  <dcterms:created xsi:type="dcterms:W3CDTF">2020-09-22T16:17:00Z</dcterms:created>
  <dcterms:modified xsi:type="dcterms:W3CDTF">2020-09-22T16:17:00Z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