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166BA" w:rsidRPr="00A8649E" w14:paraId="3560896C" w14:textId="77777777" w:rsidTr="00807261">
        <w:trPr>
          <w:trHeight w:val="851"/>
        </w:trPr>
        <w:tc>
          <w:tcPr>
            <w:tcW w:w="976" w:type="dxa"/>
            <w:tcBorders>
              <w:bottom w:val="single" w:sz="12" w:space="0" w:color="auto"/>
            </w:tcBorders>
          </w:tcPr>
          <w:p w14:paraId="2E693BBF" w14:textId="77777777" w:rsidR="00E166BA" w:rsidRPr="00700732" w:rsidRDefault="00E166BA" w:rsidP="00700732">
            <w:pPr>
              <w:suppressLineNumbers/>
              <w:suppressAutoHyphens/>
              <w:kinsoku w:val="0"/>
              <w:overflowPunct w:val="0"/>
              <w:autoSpaceDE w:val="0"/>
              <w:autoSpaceDN w:val="0"/>
              <w:adjustRightInd w:val="0"/>
              <w:snapToGrid w:val="0"/>
              <w:rPr>
                <w:snapToGrid w:val="0"/>
                <w:kern w:val="22"/>
              </w:rPr>
            </w:pPr>
            <w:r w:rsidRPr="00700732">
              <w:rPr>
                <w:noProof/>
                <w:snapToGrid w:val="0"/>
                <w:kern w:val="22"/>
              </w:rPr>
              <w:drawing>
                <wp:inline distT="0" distB="0" distL="0" distR="0" wp14:anchorId="5384B2A6" wp14:editId="24C66FE9">
                  <wp:extent cx="476494" cy="403200"/>
                  <wp:effectExtent l="0" t="0" r="6350" b="3810"/>
                  <wp:docPr id="7" name="Picture 7"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625D5B9" w14:textId="77777777" w:rsidR="00E166BA" w:rsidRPr="00700732" w:rsidRDefault="00E166BA" w:rsidP="00700732">
            <w:pPr>
              <w:suppressLineNumbers/>
              <w:suppressAutoHyphens/>
              <w:kinsoku w:val="0"/>
              <w:overflowPunct w:val="0"/>
              <w:autoSpaceDE w:val="0"/>
              <w:autoSpaceDN w:val="0"/>
              <w:adjustRightInd w:val="0"/>
              <w:snapToGrid w:val="0"/>
              <w:rPr>
                <w:snapToGrid w:val="0"/>
                <w:kern w:val="22"/>
              </w:rPr>
            </w:pPr>
            <w:r w:rsidRPr="00700732">
              <w:rPr>
                <w:noProof/>
                <w:snapToGrid w:val="0"/>
              </w:rPr>
              <w:drawing>
                <wp:inline distT="0" distB="0" distL="0" distR="0" wp14:anchorId="6BBFFCCF" wp14:editId="3F526FC2">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4484CAB0" w14:textId="77777777" w:rsidR="00E166BA" w:rsidRPr="00700732" w:rsidRDefault="00E166BA" w:rsidP="00700732">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700732">
              <w:rPr>
                <w:rFonts w:ascii="Arial" w:hAnsi="Arial" w:cs="Arial"/>
                <w:b/>
                <w:snapToGrid w:val="0"/>
                <w:kern w:val="22"/>
                <w:sz w:val="32"/>
                <w:szCs w:val="32"/>
              </w:rPr>
              <w:t>CBD</w:t>
            </w:r>
          </w:p>
        </w:tc>
      </w:tr>
      <w:tr w:rsidR="00C9161D" w:rsidRPr="00A8649E" w14:paraId="1078384E" w14:textId="77777777" w:rsidTr="00CF1848">
        <w:tc>
          <w:tcPr>
            <w:tcW w:w="6117" w:type="dxa"/>
            <w:gridSpan w:val="2"/>
            <w:tcBorders>
              <w:top w:val="single" w:sz="12" w:space="0" w:color="auto"/>
              <w:bottom w:val="single" w:sz="36" w:space="0" w:color="auto"/>
            </w:tcBorders>
            <w:vAlign w:val="center"/>
          </w:tcPr>
          <w:p w14:paraId="063C0763" w14:textId="77777777" w:rsidR="00C9161D" w:rsidRPr="00700732" w:rsidRDefault="00C9161D" w:rsidP="00700732">
            <w:pPr>
              <w:suppressLineNumbers/>
              <w:suppressAutoHyphens/>
              <w:kinsoku w:val="0"/>
              <w:overflowPunct w:val="0"/>
              <w:autoSpaceDE w:val="0"/>
              <w:autoSpaceDN w:val="0"/>
              <w:adjustRightInd w:val="0"/>
              <w:snapToGrid w:val="0"/>
              <w:rPr>
                <w:snapToGrid w:val="0"/>
                <w:kern w:val="22"/>
              </w:rPr>
            </w:pPr>
            <w:r w:rsidRPr="00700732">
              <w:rPr>
                <w:noProof/>
                <w:snapToGrid w:val="0"/>
                <w:kern w:val="22"/>
              </w:rPr>
              <w:drawing>
                <wp:inline distT="0" distB="0" distL="0" distR="0" wp14:anchorId="16C2746E" wp14:editId="3CF96B6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700732" w:rsidRDefault="00C9161D" w:rsidP="00700732">
            <w:pPr>
              <w:suppressLineNumbers/>
              <w:suppressAutoHyphens/>
              <w:kinsoku w:val="0"/>
              <w:overflowPunct w:val="0"/>
              <w:autoSpaceDE w:val="0"/>
              <w:autoSpaceDN w:val="0"/>
              <w:adjustRightInd w:val="0"/>
              <w:snapToGrid w:val="0"/>
              <w:ind w:left="1215"/>
              <w:rPr>
                <w:snapToGrid w:val="0"/>
                <w:kern w:val="22"/>
                <w:szCs w:val="22"/>
              </w:rPr>
            </w:pPr>
            <w:r w:rsidRPr="00700732">
              <w:rPr>
                <w:snapToGrid w:val="0"/>
                <w:kern w:val="22"/>
                <w:szCs w:val="22"/>
              </w:rPr>
              <w:t>Distr.</w:t>
            </w:r>
          </w:p>
          <w:p w14:paraId="77B2FC63" w14:textId="77777777" w:rsidR="00C9161D" w:rsidRPr="00700732" w:rsidRDefault="004A561B" w:rsidP="00700732">
            <w:pPr>
              <w:suppressLineNumbers/>
              <w:suppressAutoHyphens/>
              <w:kinsoku w:val="0"/>
              <w:overflowPunct w:val="0"/>
              <w:autoSpaceDE w:val="0"/>
              <w:autoSpaceDN w:val="0"/>
              <w:adjustRightInd w:val="0"/>
              <w:snapToGrid w:val="0"/>
              <w:ind w:left="1215"/>
              <w:rPr>
                <w:snapToGrid w:val="0"/>
                <w:kern w:val="22"/>
                <w:szCs w:val="22"/>
              </w:rPr>
            </w:pPr>
            <w:sdt>
              <w:sdtPr>
                <w:rPr>
                  <w:caps/>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54D7F" w:rsidRPr="00700732">
                  <w:rPr>
                    <w:caps/>
                    <w:snapToGrid w:val="0"/>
                    <w:kern w:val="22"/>
                    <w:szCs w:val="22"/>
                  </w:rPr>
                  <w:t>GENERAL</w:t>
                </w:r>
              </w:sdtContent>
            </w:sdt>
          </w:p>
          <w:p w14:paraId="2889549B" w14:textId="77777777" w:rsidR="00C9161D" w:rsidRPr="00700732" w:rsidRDefault="00C9161D" w:rsidP="00700732">
            <w:pPr>
              <w:suppressLineNumbers/>
              <w:suppressAutoHyphens/>
              <w:kinsoku w:val="0"/>
              <w:overflowPunct w:val="0"/>
              <w:autoSpaceDE w:val="0"/>
              <w:autoSpaceDN w:val="0"/>
              <w:adjustRightInd w:val="0"/>
              <w:snapToGrid w:val="0"/>
              <w:ind w:left="1215"/>
              <w:rPr>
                <w:snapToGrid w:val="0"/>
                <w:kern w:val="22"/>
                <w:szCs w:val="22"/>
              </w:rPr>
            </w:pPr>
          </w:p>
          <w:p w14:paraId="377F94DA" w14:textId="2BE0ECE0" w:rsidR="00C9161D" w:rsidRPr="00700732" w:rsidRDefault="004A561B" w:rsidP="00700732">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54D7F" w:rsidRPr="00700732">
                  <w:rPr>
                    <w:snapToGrid w:val="0"/>
                    <w:kern w:val="22"/>
                  </w:rPr>
                  <w:t>CBD/SBI/3/7/Add.2</w:t>
                </w:r>
              </w:sdtContent>
            </w:sdt>
          </w:p>
          <w:p w14:paraId="347E412B" w14:textId="367980B4" w:rsidR="00C9161D" w:rsidRPr="00700732" w:rsidRDefault="007A462F" w:rsidP="00700732">
            <w:pPr>
              <w:suppressLineNumbers/>
              <w:suppressAutoHyphens/>
              <w:kinsoku w:val="0"/>
              <w:overflowPunct w:val="0"/>
              <w:autoSpaceDE w:val="0"/>
              <w:autoSpaceDN w:val="0"/>
              <w:adjustRightInd w:val="0"/>
              <w:snapToGrid w:val="0"/>
              <w:ind w:left="1215"/>
              <w:rPr>
                <w:snapToGrid w:val="0"/>
                <w:kern w:val="22"/>
                <w:szCs w:val="22"/>
              </w:rPr>
            </w:pPr>
            <w:r w:rsidRPr="00700732">
              <w:rPr>
                <w:snapToGrid w:val="0"/>
                <w:kern w:val="22"/>
                <w:szCs w:val="22"/>
              </w:rPr>
              <w:t xml:space="preserve">23 October </w:t>
            </w:r>
            <w:r w:rsidR="00BA769C" w:rsidRPr="00700732">
              <w:rPr>
                <w:snapToGrid w:val="0"/>
                <w:kern w:val="22"/>
                <w:szCs w:val="22"/>
              </w:rPr>
              <w:t>2020</w:t>
            </w:r>
          </w:p>
          <w:p w14:paraId="6A96DD85" w14:textId="77777777" w:rsidR="00C9161D" w:rsidRPr="00700732" w:rsidRDefault="00C9161D" w:rsidP="00700732">
            <w:pPr>
              <w:suppressLineNumbers/>
              <w:suppressAutoHyphens/>
              <w:kinsoku w:val="0"/>
              <w:overflowPunct w:val="0"/>
              <w:autoSpaceDE w:val="0"/>
              <w:autoSpaceDN w:val="0"/>
              <w:adjustRightInd w:val="0"/>
              <w:snapToGrid w:val="0"/>
              <w:ind w:left="1215"/>
              <w:rPr>
                <w:snapToGrid w:val="0"/>
                <w:kern w:val="22"/>
                <w:szCs w:val="22"/>
              </w:rPr>
            </w:pPr>
          </w:p>
          <w:p w14:paraId="38BD1B6C" w14:textId="77777777" w:rsidR="00C9161D" w:rsidRPr="00700732" w:rsidRDefault="006B2290" w:rsidP="00700732">
            <w:pPr>
              <w:suppressLineNumbers/>
              <w:suppressAutoHyphens/>
              <w:kinsoku w:val="0"/>
              <w:overflowPunct w:val="0"/>
              <w:autoSpaceDE w:val="0"/>
              <w:autoSpaceDN w:val="0"/>
              <w:adjustRightInd w:val="0"/>
              <w:snapToGrid w:val="0"/>
              <w:ind w:left="1215"/>
              <w:rPr>
                <w:snapToGrid w:val="0"/>
                <w:kern w:val="22"/>
                <w:szCs w:val="22"/>
              </w:rPr>
            </w:pPr>
            <w:r w:rsidRPr="00700732">
              <w:rPr>
                <w:snapToGrid w:val="0"/>
                <w:kern w:val="22"/>
                <w:szCs w:val="22"/>
              </w:rPr>
              <w:t xml:space="preserve">ORIGINAL: </w:t>
            </w:r>
            <w:r w:rsidR="00C9161D" w:rsidRPr="00700732">
              <w:rPr>
                <w:snapToGrid w:val="0"/>
                <w:kern w:val="22"/>
                <w:szCs w:val="22"/>
              </w:rPr>
              <w:t>ENGLISH</w:t>
            </w:r>
          </w:p>
          <w:p w14:paraId="49D1CB7C" w14:textId="77777777" w:rsidR="00C9161D" w:rsidRPr="00700732" w:rsidRDefault="00C9161D" w:rsidP="00700732">
            <w:pPr>
              <w:suppressLineNumbers/>
              <w:suppressAutoHyphens/>
              <w:kinsoku w:val="0"/>
              <w:overflowPunct w:val="0"/>
              <w:autoSpaceDE w:val="0"/>
              <w:autoSpaceDN w:val="0"/>
              <w:adjustRightInd w:val="0"/>
              <w:snapToGrid w:val="0"/>
              <w:rPr>
                <w:snapToGrid w:val="0"/>
                <w:kern w:val="22"/>
              </w:rPr>
            </w:pPr>
          </w:p>
        </w:tc>
      </w:tr>
    </w:tbl>
    <w:p w14:paraId="6F14BD28" w14:textId="77777777" w:rsidR="00BA769C" w:rsidRPr="00700732" w:rsidRDefault="00BA769C" w:rsidP="00700732">
      <w:pPr>
        <w:pStyle w:val="meetingname"/>
        <w:suppressLineNumbers/>
        <w:suppressAutoHyphens/>
        <w:kinsoku w:val="0"/>
        <w:overflowPunct w:val="0"/>
        <w:autoSpaceDE w:val="0"/>
        <w:autoSpaceDN w:val="0"/>
        <w:adjustRightInd w:val="0"/>
        <w:snapToGrid w:val="0"/>
        <w:ind w:left="284" w:right="4398" w:hanging="284"/>
        <w:rPr>
          <w:snapToGrid w:val="0"/>
          <w:kern w:val="22"/>
        </w:rPr>
      </w:pPr>
      <w:bookmarkStart w:id="0" w:name="Meeting"/>
      <w:r w:rsidRPr="00700732">
        <w:rPr>
          <w:snapToGrid w:val="0"/>
          <w:kern w:val="22"/>
        </w:rPr>
        <w:t>SUBSIDIARY BODY ON IMPLEMENTATION</w:t>
      </w:r>
      <w:bookmarkEnd w:id="0"/>
    </w:p>
    <w:p w14:paraId="09A9A9E9" w14:textId="77777777" w:rsidR="00BA769C" w:rsidRPr="00A8649E" w:rsidRDefault="00BA769C" w:rsidP="00700732">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A8649E">
        <w:rPr>
          <w:snapToGrid w:val="0"/>
          <w:kern w:val="22"/>
          <w:szCs w:val="22"/>
          <w:lang w:eastAsia="nb-NO"/>
        </w:rPr>
        <w:t>Third meeting</w:t>
      </w:r>
    </w:p>
    <w:p w14:paraId="4CE80538" w14:textId="7905A988" w:rsidR="00BA769C" w:rsidRPr="00A8649E" w:rsidRDefault="00E166BA" w:rsidP="00700732">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A8649E">
        <w:rPr>
          <w:snapToGrid w:val="0"/>
          <w:kern w:val="22"/>
          <w:szCs w:val="22"/>
          <w:lang w:eastAsia="nb-NO"/>
        </w:rPr>
        <w:t>Venue and dates to be determined</w:t>
      </w:r>
    </w:p>
    <w:p w14:paraId="3C67DBA6" w14:textId="7D2016BF" w:rsidR="008A2D07" w:rsidRPr="00700732" w:rsidRDefault="008A2D07" w:rsidP="00700732">
      <w:pPr>
        <w:suppressLineNumbers/>
        <w:suppressAutoHyphens/>
        <w:kinsoku w:val="0"/>
        <w:overflowPunct w:val="0"/>
        <w:autoSpaceDE w:val="0"/>
        <w:autoSpaceDN w:val="0"/>
        <w:adjustRightInd w:val="0"/>
        <w:snapToGrid w:val="0"/>
        <w:rPr>
          <w:snapToGrid w:val="0"/>
          <w:kern w:val="22"/>
        </w:rPr>
      </w:pPr>
      <w:r w:rsidRPr="00A8649E">
        <w:rPr>
          <w:snapToGrid w:val="0"/>
          <w:kern w:val="22"/>
          <w:szCs w:val="22"/>
        </w:rPr>
        <w:t>Item 7 of the provisional agenda</w:t>
      </w:r>
      <w:r w:rsidRPr="00700732">
        <w:rPr>
          <w:rStyle w:val="FootnoteReference"/>
          <w:snapToGrid w:val="0"/>
          <w:kern w:val="22"/>
          <w:szCs w:val="22"/>
          <w:vertAlign w:val="baseline"/>
        </w:rPr>
        <w:footnoteReference w:customMarkFollows="1" w:id="2"/>
        <w:t>*</w:t>
      </w:r>
    </w:p>
    <w:p w14:paraId="0AD71FE1" w14:textId="203C1D3B" w:rsidR="000E0406" w:rsidRPr="00700732" w:rsidRDefault="004A561B" w:rsidP="00700732">
      <w:pPr>
        <w:pStyle w:val="Style1"/>
        <w:suppressLineNumbers/>
        <w:suppressAutoHyphens/>
        <w:kinsoku w:val="0"/>
        <w:overflowPunct w:val="0"/>
        <w:autoSpaceDE w:val="0"/>
        <w:autoSpaceDN w:val="0"/>
        <w:adjustRightInd w:val="0"/>
        <w:snapToGrid w:val="0"/>
        <w:spacing w:before="240"/>
        <w:outlineLvl w:val="9"/>
        <w:rPr>
          <w:bCs w:val="0"/>
          <w:i w:val="0"/>
          <w:snapToGrid w:val="0"/>
          <w:kern w:val="22"/>
        </w:rPr>
      </w:pPr>
      <w:sdt>
        <w:sdtPr>
          <w:rPr>
            <w:bCs w:val="0"/>
            <w:i w:val="0"/>
            <w:caps/>
            <w:snapToGrid w:val="0"/>
            <w:kern w:val="22"/>
            <w:szCs w:val="22"/>
          </w:rPr>
          <w:alias w:val="Title"/>
          <w:tag w:val=""/>
          <w:id w:val="501471663"/>
          <w:placeholder>
            <w:docPart w:val="0F05713B7094497293C8F3832A2DBE21"/>
          </w:placeholder>
          <w:dataBinding w:prefixMappings="xmlns:ns0='http://purl.org/dc/elements/1.1/' xmlns:ns1='http://schemas.openxmlformats.org/package/2006/metadata/core-properties' " w:xpath="/ns1:coreProperties[1]/ns0:title[1]" w:storeItemID="{6C3C8BC8-F283-45AE-878A-BAB7291924A1}"/>
          <w:text/>
        </w:sdtPr>
        <w:sdtEndPr/>
        <w:sdtContent>
          <w:r w:rsidR="00254D7F" w:rsidRPr="00700732">
            <w:rPr>
              <w:bCs w:val="0"/>
              <w:i w:val="0"/>
              <w:caps/>
              <w:snapToGrid w:val="0"/>
              <w:kern w:val="22"/>
              <w:szCs w:val="22"/>
            </w:rPr>
            <w:t>Proposals to strengthen technical and scientific cooperation in support of the post-2020 global biodiversity framework</w:t>
          </w:r>
        </w:sdtContent>
      </w:sdt>
    </w:p>
    <w:p w14:paraId="24B3ED4C" w14:textId="43622BDF" w:rsidR="006467D6" w:rsidRPr="00700732" w:rsidRDefault="006467D6" w:rsidP="00700732">
      <w:pPr>
        <w:suppressLineNumbers/>
        <w:suppressAutoHyphens/>
        <w:kinsoku w:val="0"/>
        <w:overflowPunct w:val="0"/>
        <w:autoSpaceDE w:val="0"/>
        <w:autoSpaceDN w:val="0"/>
        <w:adjustRightInd w:val="0"/>
        <w:snapToGrid w:val="0"/>
        <w:spacing w:before="240" w:after="240"/>
        <w:jc w:val="center"/>
        <w:rPr>
          <w:i/>
          <w:iCs/>
          <w:snapToGrid w:val="0"/>
          <w:kern w:val="22"/>
        </w:rPr>
      </w:pPr>
      <w:r w:rsidRPr="00700732">
        <w:rPr>
          <w:i/>
          <w:iCs/>
          <w:snapToGrid w:val="0"/>
          <w:kern w:val="22"/>
        </w:rPr>
        <w:t>Note by the Executive Secretary</w:t>
      </w:r>
    </w:p>
    <w:p w14:paraId="72754F72" w14:textId="7866E50A" w:rsidR="00B04DF6" w:rsidRPr="00700732" w:rsidRDefault="00B04DF6" w:rsidP="00700732">
      <w:pPr>
        <w:pStyle w:val="Heading1"/>
        <w:numPr>
          <w:ilvl w:val="0"/>
          <w:numId w:val="51"/>
        </w:numPr>
        <w:suppressLineNumbers/>
        <w:tabs>
          <w:tab w:val="clear" w:pos="720"/>
        </w:tabs>
        <w:suppressAutoHyphens/>
        <w:kinsoku w:val="0"/>
        <w:overflowPunct w:val="0"/>
        <w:autoSpaceDE w:val="0"/>
        <w:autoSpaceDN w:val="0"/>
        <w:adjustRightInd w:val="0"/>
        <w:snapToGrid w:val="0"/>
        <w:ind w:left="720"/>
        <w:rPr>
          <w:snapToGrid w:val="0"/>
          <w:kern w:val="22"/>
        </w:rPr>
      </w:pPr>
      <w:r w:rsidRPr="00700732">
        <w:rPr>
          <w:snapToGrid w:val="0"/>
          <w:kern w:val="22"/>
        </w:rPr>
        <w:t>Introduction</w:t>
      </w:r>
    </w:p>
    <w:p w14:paraId="1975C745" w14:textId="1D3E8AE4" w:rsidR="00B04DF6" w:rsidRPr="00700732" w:rsidRDefault="00B04DF6"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 xml:space="preserve">Article 18(1) of the Convention </w:t>
      </w:r>
      <w:r w:rsidR="002A3B93" w:rsidRPr="00700732">
        <w:rPr>
          <w:snapToGrid w:val="0"/>
          <w:kern w:val="22"/>
          <w:lang w:val="en-GB"/>
        </w:rPr>
        <w:t xml:space="preserve">on Biological Diversity </w:t>
      </w:r>
      <w:r w:rsidRPr="00700732">
        <w:rPr>
          <w:snapToGrid w:val="0"/>
          <w:kern w:val="22"/>
          <w:lang w:val="en-GB"/>
        </w:rPr>
        <w:t>requires Parties to promote international technical and scientific cooperation in the field of conservation and sustainable use of biological diversity</w:t>
      </w:r>
      <w:r w:rsidR="00024835" w:rsidRPr="00700732">
        <w:rPr>
          <w:snapToGrid w:val="0"/>
          <w:kern w:val="22"/>
          <w:lang w:val="en-GB"/>
        </w:rPr>
        <w:t>, where necessary, through the appropriate international and national channels</w:t>
      </w:r>
      <w:r w:rsidR="00051169" w:rsidRPr="00700732">
        <w:rPr>
          <w:snapToGrid w:val="0"/>
          <w:kern w:val="22"/>
          <w:lang w:val="en-GB"/>
        </w:rPr>
        <w:t>.</w:t>
      </w:r>
      <w:r w:rsidR="00F31A97" w:rsidRPr="00700732">
        <w:rPr>
          <w:rStyle w:val="FootnoteReference"/>
          <w:snapToGrid w:val="0"/>
          <w:kern w:val="22"/>
          <w:lang w:val="en-GB"/>
        </w:rPr>
        <w:footnoteReference w:id="3"/>
      </w:r>
      <w:r w:rsidR="00B436BB" w:rsidRPr="00700732">
        <w:rPr>
          <w:snapToGrid w:val="0"/>
          <w:kern w:val="22"/>
          <w:lang w:val="en-GB"/>
        </w:rPr>
        <w:t xml:space="preserve"> </w:t>
      </w:r>
      <w:r w:rsidRPr="00700732">
        <w:rPr>
          <w:snapToGrid w:val="0"/>
          <w:kern w:val="22"/>
          <w:lang w:val="en-GB"/>
        </w:rPr>
        <w:t>Article 18 also require Parties, in accordance with national legislation and policies, to encourage and develop methods of cooperation for the development and use of technologies, including indigenous and traditional technologies, in pursuit of the objectives of the Convention, and, subject to mutual agreement, promote the establishment of joint research programmes and joint ventures for t</w:t>
      </w:r>
      <w:bookmarkStart w:id="1" w:name="_GoBack"/>
      <w:bookmarkEnd w:id="1"/>
      <w:r w:rsidRPr="00700732">
        <w:rPr>
          <w:snapToGrid w:val="0"/>
          <w:kern w:val="22"/>
          <w:lang w:val="en-GB"/>
        </w:rPr>
        <w:t>he development of relevant technologies. In addition, related articles are also relevant to technical and scientific cooperation, such as Articles 7, 12, 14, 16, 17 and 19</w:t>
      </w:r>
      <w:r w:rsidR="00A96C61" w:rsidRPr="00700732">
        <w:rPr>
          <w:snapToGrid w:val="0"/>
          <w:kern w:val="22"/>
          <w:lang w:val="en-GB"/>
        </w:rPr>
        <w:t>.</w:t>
      </w:r>
    </w:p>
    <w:p w14:paraId="5139CEB0" w14:textId="05D8A658" w:rsidR="00EE7AD4" w:rsidRPr="00700732" w:rsidRDefault="00EE7AD4" w:rsidP="00700732">
      <w:pPr>
        <w:pStyle w:val="CBD-Para"/>
        <w:keepLines w:val="0"/>
        <w:numPr>
          <w:ilvl w:val="0"/>
          <w:numId w:val="22"/>
        </w:numPr>
        <w:suppressLineNumbers/>
        <w:suppressAutoHyphens/>
        <w:kinsoku w:val="0"/>
        <w:overflowPunct w:val="0"/>
        <w:autoSpaceDE w:val="0"/>
        <w:autoSpaceDN w:val="0"/>
        <w:adjustRightInd w:val="0"/>
        <w:snapToGrid w:val="0"/>
        <w:rPr>
          <w:snapToGrid w:val="0"/>
          <w:kern w:val="22"/>
          <w:lang w:val="en-GB"/>
        </w:rPr>
      </w:pPr>
      <w:r w:rsidRPr="00700732">
        <w:rPr>
          <w:snapToGrid w:val="0"/>
          <w:kern w:val="22"/>
          <w:lang w:val="en-GB"/>
        </w:rPr>
        <w:t xml:space="preserve">Various provisions of other biodiversity-related conventions require Parties to promote, technical and scientific cooperation. For example, the preamble of </w:t>
      </w:r>
      <w:r w:rsidR="00ED6ECC" w:rsidRPr="00700732">
        <w:rPr>
          <w:snapToGrid w:val="0"/>
          <w:kern w:val="22"/>
          <w:lang w:val="en-GB"/>
        </w:rPr>
        <w:t>the Convention on International Trade in Endangered Species of Wild Fauna and Flora (</w:t>
      </w:r>
      <w:r w:rsidRPr="00700732">
        <w:rPr>
          <w:snapToGrid w:val="0"/>
          <w:kern w:val="22"/>
          <w:lang w:val="en-GB"/>
        </w:rPr>
        <w:t>CITES</w:t>
      </w:r>
      <w:r w:rsidR="00ED6ECC" w:rsidRPr="00700732">
        <w:rPr>
          <w:snapToGrid w:val="0"/>
          <w:kern w:val="22"/>
          <w:lang w:val="en-GB"/>
        </w:rPr>
        <w:t>)</w:t>
      </w:r>
      <w:r w:rsidRPr="00700732">
        <w:rPr>
          <w:snapToGrid w:val="0"/>
          <w:kern w:val="22"/>
          <w:lang w:val="en-GB"/>
        </w:rPr>
        <w:t xml:space="preserve"> also recognizes the importance of international cooperation for the protection of certain species of wild fauna and flora. Article 2 of the Convention on Migratory Species </w:t>
      </w:r>
      <w:r w:rsidR="0066181D" w:rsidRPr="00700732">
        <w:rPr>
          <w:snapToGrid w:val="0"/>
          <w:kern w:val="22"/>
          <w:lang w:val="en-GB"/>
        </w:rPr>
        <w:t xml:space="preserve">of Wild Animals </w:t>
      </w:r>
      <w:r w:rsidRPr="00700732">
        <w:rPr>
          <w:snapToGrid w:val="0"/>
          <w:kern w:val="22"/>
          <w:lang w:val="en-GB"/>
        </w:rPr>
        <w:t>requires Parties to promote, cooperate in and support research relating to migratory species. The International Treaty on Plant Genetic Resources for Food and Agriculture also stresses the importance of international cooperation. Article 4 of the World Heritage Convention requires each State Party to do all it can, including with international assistance and cooperation, to ensure the identification, protection and conservation of its cultural and natural heritage.</w:t>
      </w:r>
    </w:p>
    <w:p w14:paraId="02E50723" w14:textId="421CABBB" w:rsidR="00627D36" w:rsidRPr="00700732" w:rsidRDefault="00B04DF6"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The Conference of the Parties has adopted a number of decisions relating to technical and scientific cooperation and technology transfer.</w:t>
      </w:r>
      <w:r w:rsidR="0038685C" w:rsidRPr="00700732">
        <w:rPr>
          <w:rStyle w:val="FootnoteReference"/>
          <w:snapToGrid w:val="0"/>
          <w:kern w:val="22"/>
          <w:lang w:val="en-GB"/>
        </w:rPr>
        <w:footnoteReference w:id="4"/>
      </w:r>
      <w:r w:rsidRPr="00700732">
        <w:rPr>
          <w:snapToGrid w:val="0"/>
          <w:kern w:val="22"/>
          <w:lang w:val="en-GB"/>
        </w:rPr>
        <w:t xml:space="preserve"> In decisions </w:t>
      </w:r>
      <w:hyperlink r:id="rId15" w:history="1">
        <w:r w:rsidRPr="00700732">
          <w:rPr>
            <w:rStyle w:val="Hyperlink"/>
            <w:snapToGrid w:val="0"/>
            <w:kern w:val="22"/>
            <w:sz w:val="22"/>
            <w:lang w:val="en-GB"/>
          </w:rPr>
          <w:t>XI/2</w:t>
        </w:r>
      </w:hyperlink>
      <w:r w:rsidRPr="00700732">
        <w:rPr>
          <w:snapToGrid w:val="0"/>
          <w:kern w:val="22"/>
          <w:lang w:val="en-GB"/>
        </w:rPr>
        <w:t xml:space="preserve"> and </w:t>
      </w:r>
      <w:hyperlink r:id="rId16" w:history="1">
        <w:r w:rsidRPr="00700732">
          <w:rPr>
            <w:rStyle w:val="Hyperlink"/>
            <w:snapToGrid w:val="0"/>
            <w:kern w:val="22"/>
            <w:sz w:val="22"/>
            <w:lang w:val="en-GB"/>
          </w:rPr>
          <w:t>XII/2</w:t>
        </w:r>
      </w:hyperlink>
      <w:r w:rsidR="00DA6398" w:rsidRPr="00700732">
        <w:rPr>
          <w:snapToGrid w:val="0"/>
          <w:kern w:val="22"/>
          <w:lang w:val="en-GB"/>
        </w:rPr>
        <w:t> </w:t>
      </w:r>
      <w:r w:rsidRPr="00700732">
        <w:rPr>
          <w:snapToGrid w:val="0"/>
          <w:kern w:val="22"/>
          <w:lang w:val="en-GB"/>
        </w:rPr>
        <w:t xml:space="preserve">B, the Executive Secretary was requested to develop a coherent, consistent and coordinated approach to technical and scientific cooperation and technology transfer. In response, </w:t>
      </w:r>
      <w:proofErr w:type="gramStart"/>
      <w:r w:rsidRPr="00700732">
        <w:rPr>
          <w:snapToGrid w:val="0"/>
          <w:kern w:val="22"/>
          <w:lang w:val="en-GB"/>
        </w:rPr>
        <w:t>a number of</w:t>
      </w:r>
      <w:proofErr w:type="gramEnd"/>
      <w:r w:rsidRPr="00700732">
        <w:rPr>
          <w:snapToGrid w:val="0"/>
          <w:kern w:val="22"/>
          <w:lang w:val="en-GB"/>
        </w:rPr>
        <w:t xml:space="preserve"> </w:t>
      </w:r>
      <w:r w:rsidR="004B11C1" w:rsidRPr="00700732">
        <w:rPr>
          <w:snapToGrid w:val="0"/>
          <w:kern w:val="22"/>
          <w:lang w:val="en-GB"/>
        </w:rPr>
        <w:t>measures</w:t>
      </w:r>
      <w:r w:rsidRPr="00700732">
        <w:rPr>
          <w:snapToGrid w:val="0"/>
          <w:kern w:val="22"/>
          <w:lang w:val="en-GB"/>
        </w:rPr>
        <w:t xml:space="preserve"> and initiatives</w:t>
      </w:r>
      <w:r w:rsidR="00CB58AC" w:rsidRPr="00700732">
        <w:rPr>
          <w:snapToGrid w:val="0"/>
          <w:kern w:val="22"/>
          <w:lang w:val="en-GB"/>
        </w:rPr>
        <w:t xml:space="preserve"> </w:t>
      </w:r>
      <w:r w:rsidR="004B11C1" w:rsidRPr="00700732">
        <w:rPr>
          <w:snapToGrid w:val="0"/>
          <w:kern w:val="22"/>
          <w:lang w:val="en-GB"/>
        </w:rPr>
        <w:t xml:space="preserve">were </w:t>
      </w:r>
      <w:r w:rsidRPr="00700732">
        <w:rPr>
          <w:snapToGrid w:val="0"/>
          <w:kern w:val="22"/>
          <w:lang w:val="en-GB"/>
        </w:rPr>
        <w:t xml:space="preserve">developed. However, those </w:t>
      </w:r>
      <w:r w:rsidRPr="00700732">
        <w:rPr>
          <w:snapToGrid w:val="0"/>
          <w:kern w:val="22"/>
          <w:lang w:val="en-GB"/>
        </w:rPr>
        <w:lastRenderedPageBreak/>
        <w:t xml:space="preserve">efforts have been beset by various challenges and limitations. For example, the number of </w:t>
      </w:r>
      <w:r w:rsidR="002A04DF" w:rsidRPr="00700732">
        <w:rPr>
          <w:snapToGrid w:val="0"/>
          <w:kern w:val="22"/>
          <w:lang w:val="en-GB"/>
        </w:rPr>
        <w:t xml:space="preserve">reported </w:t>
      </w:r>
      <w:r w:rsidRPr="00700732">
        <w:rPr>
          <w:snapToGrid w:val="0"/>
          <w:kern w:val="22"/>
          <w:lang w:val="en-GB"/>
        </w:rPr>
        <w:t>successful cases of technology transfer in the context of the Convention on Biological Diversity remains low.</w:t>
      </w:r>
    </w:p>
    <w:p w14:paraId="4B5D24C4" w14:textId="08118BCD" w:rsidR="00B04DF6" w:rsidRPr="00700732" w:rsidRDefault="00BB54DA"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The present proposals were prepared in response to paragraphs 8 and 9 of decision 14/24 B of the Conference of the Parties and in the context of the preparation of the post-2020 global biodiversity framework</w:t>
      </w:r>
      <w:r w:rsidR="0090158D" w:rsidRPr="00700732">
        <w:rPr>
          <w:snapToGrid w:val="0"/>
          <w:kern w:val="22"/>
          <w:lang w:val="en-GB"/>
        </w:rPr>
        <w:t>.</w:t>
      </w:r>
      <w:r w:rsidR="00B04DF6" w:rsidRPr="00700732">
        <w:rPr>
          <w:snapToGrid w:val="0"/>
          <w:kern w:val="22"/>
          <w:lang w:val="en-GB"/>
        </w:rPr>
        <w:t xml:space="preserve"> </w:t>
      </w:r>
      <w:r w:rsidRPr="00700732">
        <w:rPr>
          <w:snapToGrid w:val="0"/>
          <w:kern w:val="22"/>
          <w:lang w:val="en-GB"/>
        </w:rPr>
        <w:t xml:space="preserve">It was recognized </w:t>
      </w:r>
      <w:r w:rsidR="004B11C1" w:rsidRPr="00700732">
        <w:rPr>
          <w:snapToGrid w:val="0"/>
          <w:kern w:val="22"/>
          <w:lang w:val="en-GB"/>
        </w:rPr>
        <w:t xml:space="preserve">that the effective implementation of the framework </w:t>
      </w:r>
      <w:r w:rsidR="006219C5" w:rsidRPr="00700732">
        <w:rPr>
          <w:snapToGrid w:val="0"/>
          <w:kern w:val="22"/>
          <w:lang w:val="en-GB"/>
        </w:rPr>
        <w:t xml:space="preserve">will </w:t>
      </w:r>
      <w:r w:rsidR="004B11C1" w:rsidRPr="00700732">
        <w:rPr>
          <w:snapToGrid w:val="0"/>
          <w:kern w:val="22"/>
          <w:lang w:val="en-GB"/>
        </w:rPr>
        <w:t xml:space="preserve">require </w:t>
      </w:r>
      <w:r w:rsidR="001E51BB" w:rsidRPr="00700732">
        <w:rPr>
          <w:snapToGrid w:val="0"/>
          <w:kern w:val="22"/>
          <w:lang w:val="en-GB"/>
        </w:rPr>
        <w:t xml:space="preserve">effective </w:t>
      </w:r>
      <w:r w:rsidR="00B04DF6" w:rsidRPr="00700732">
        <w:rPr>
          <w:snapToGrid w:val="0"/>
          <w:kern w:val="22"/>
          <w:lang w:val="en-GB"/>
        </w:rPr>
        <w:t>means of implementation</w:t>
      </w:r>
      <w:r w:rsidR="00AB516F" w:rsidRPr="00700732">
        <w:rPr>
          <w:snapToGrid w:val="0"/>
          <w:kern w:val="22"/>
          <w:lang w:val="en-GB"/>
        </w:rPr>
        <w:t xml:space="preserve">, including enhanced technical and scientific cooperation, technology transfer and promotion of innovative solutions, </w:t>
      </w:r>
      <w:r w:rsidR="00B04DF6" w:rsidRPr="00700732">
        <w:rPr>
          <w:snapToGrid w:val="0"/>
          <w:kern w:val="22"/>
          <w:lang w:val="en-GB"/>
        </w:rPr>
        <w:t>if meaningful change is to occur on the ground.</w:t>
      </w:r>
      <w:r w:rsidR="00AC42D4" w:rsidRPr="00700732">
        <w:rPr>
          <w:snapToGrid w:val="0"/>
          <w:kern w:val="22"/>
          <w:lang w:val="en-GB"/>
        </w:rPr>
        <w:t xml:space="preserve"> </w:t>
      </w:r>
    </w:p>
    <w:p w14:paraId="5F14C9BF" w14:textId="19589F59" w:rsidR="00DE3BB3" w:rsidRPr="00700732" w:rsidRDefault="007C51B1" w:rsidP="001F69A7">
      <w:pPr>
        <w:pStyle w:val="CBD-Para"/>
        <w:keepLines w:val="0"/>
        <w:numPr>
          <w:ilvl w:val="0"/>
          <w:numId w:val="22"/>
        </w:numPr>
        <w:suppressLineNumbers/>
        <w:suppressAutoHyphens/>
        <w:kinsoku w:val="0"/>
        <w:overflowPunct w:val="0"/>
        <w:autoSpaceDE w:val="0"/>
        <w:autoSpaceDN w:val="0"/>
        <w:adjustRightInd w:val="0"/>
        <w:snapToGrid w:val="0"/>
        <w:rPr>
          <w:snapToGrid w:val="0"/>
          <w:kern w:val="22"/>
          <w:lang w:val="en-GB"/>
        </w:rPr>
      </w:pPr>
      <w:r w:rsidRPr="00700732">
        <w:rPr>
          <w:snapToGrid w:val="0"/>
          <w:kern w:val="22"/>
          <w:lang w:val="en-GB"/>
        </w:rPr>
        <w:t xml:space="preserve">The Executive Secretary prepared </w:t>
      </w:r>
      <w:r w:rsidR="009842EF" w:rsidRPr="00700732">
        <w:rPr>
          <w:snapToGrid w:val="0"/>
          <w:kern w:val="22"/>
          <w:lang w:val="en-GB"/>
        </w:rPr>
        <w:t xml:space="preserve">draft proposals which were </w:t>
      </w:r>
      <w:r w:rsidR="00000DF3" w:rsidRPr="00700732">
        <w:rPr>
          <w:iCs/>
          <w:snapToGrid w:val="0"/>
          <w:kern w:val="22"/>
          <w:lang w:val="en-GB"/>
        </w:rPr>
        <w:t>consider</w:t>
      </w:r>
      <w:r w:rsidR="009842EF" w:rsidRPr="00700732">
        <w:rPr>
          <w:iCs/>
          <w:snapToGrid w:val="0"/>
          <w:kern w:val="22"/>
          <w:lang w:val="en-GB"/>
        </w:rPr>
        <w:t xml:space="preserve">ed </w:t>
      </w:r>
      <w:r w:rsidR="00000DF3" w:rsidRPr="00700732">
        <w:rPr>
          <w:iCs/>
          <w:snapToGrid w:val="0"/>
          <w:kern w:val="22"/>
          <w:lang w:val="en-GB"/>
        </w:rPr>
        <w:t xml:space="preserve">by the Subsidiary Body on Scientific, Technical and Technological Advice </w:t>
      </w:r>
      <w:r w:rsidR="0050671A" w:rsidRPr="00700732">
        <w:rPr>
          <w:iCs/>
          <w:snapToGrid w:val="0"/>
          <w:kern w:val="22"/>
          <w:lang w:val="en-GB"/>
        </w:rPr>
        <w:t xml:space="preserve">at its twenty-third meeting. </w:t>
      </w:r>
      <w:r w:rsidR="001A7310" w:rsidRPr="00700732">
        <w:rPr>
          <w:snapToGrid w:val="0"/>
          <w:kern w:val="22"/>
          <w:lang w:val="en-GB"/>
        </w:rPr>
        <w:t xml:space="preserve">In </w:t>
      </w:r>
      <w:r w:rsidR="00445F34" w:rsidRPr="00700732">
        <w:rPr>
          <w:snapToGrid w:val="0"/>
          <w:kern w:val="22"/>
          <w:lang w:val="en-GB"/>
        </w:rPr>
        <w:t xml:space="preserve">response to </w:t>
      </w:r>
      <w:r w:rsidR="001A7310" w:rsidRPr="00700732">
        <w:rPr>
          <w:snapToGrid w:val="0"/>
          <w:kern w:val="22"/>
          <w:lang w:val="en-GB"/>
        </w:rPr>
        <w:t xml:space="preserve">recommendation </w:t>
      </w:r>
      <w:hyperlink r:id="rId17" w:history="1">
        <w:r w:rsidR="001A7310" w:rsidRPr="00700732">
          <w:rPr>
            <w:rStyle w:val="Hyperlink"/>
            <w:snapToGrid w:val="0"/>
            <w:kern w:val="22"/>
            <w:sz w:val="22"/>
            <w:lang w:val="en-GB"/>
          </w:rPr>
          <w:t>23/6</w:t>
        </w:r>
      </w:hyperlink>
      <w:r w:rsidR="001A7310" w:rsidRPr="00700732">
        <w:rPr>
          <w:snapToGrid w:val="0"/>
          <w:kern w:val="22"/>
          <w:lang w:val="en-GB"/>
        </w:rPr>
        <w:t xml:space="preserve"> </w:t>
      </w:r>
      <w:r w:rsidR="00CE1A01" w:rsidRPr="00700732">
        <w:rPr>
          <w:snapToGrid w:val="0"/>
          <w:kern w:val="22"/>
          <w:lang w:val="en-GB"/>
        </w:rPr>
        <w:t xml:space="preserve">of </w:t>
      </w:r>
      <w:r w:rsidR="001A7310" w:rsidRPr="00700732">
        <w:rPr>
          <w:snapToGrid w:val="0"/>
          <w:kern w:val="22"/>
          <w:lang w:val="en-GB"/>
        </w:rPr>
        <w:t xml:space="preserve">the </w:t>
      </w:r>
      <w:r w:rsidR="00CE1A01" w:rsidRPr="00700732">
        <w:rPr>
          <w:snapToGrid w:val="0"/>
          <w:kern w:val="22"/>
          <w:lang w:val="en-GB"/>
        </w:rPr>
        <w:t xml:space="preserve">Subsidiary Body, </w:t>
      </w:r>
      <w:r w:rsidR="00E2430D" w:rsidRPr="00700732">
        <w:rPr>
          <w:snapToGrid w:val="0"/>
          <w:kern w:val="22"/>
          <w:lang w:val="en-GB"/>
        </w:rPr>
        <w:t xml:space="preserve">the </w:t>
      </w:r>
      <w:r w:rsidR="001A7310" w:rsidRPr="00700732">
        <w:rPr>
          <w:snapToGrid w:val="0"/>
          <w:kern w:val="22"/>
          <w:lang w:val="en-GB"/>
        </w:rPr>
        <w:t>Executive Secretary further develop</w:t>
      </w:r>
      <w:r w:rsidR="00445F34" w:rsidRPr="00700732">
        <w:rPr>
          <w:snapToGrid w:val="0"/>
          <w:kern w:val="22"/>
          <w:lang w:val="en-GB"/>
        </w:rPr>
        <w:t>ed the proposals</w:t>
      </w:r>
      <w:r w:rsidR="00CE1A01" w:rsidRPr="00700732">
        <w:rPr>
          <w:snapToGrid w:val="0"/>
          <w:kern w:val="22"/>
          <w:lang w:val="en-GB"/>
        </w:rPr>
        <w:t>,</w:t>
      </w:r>
      <w:r w:rsidR="001A7310" w:rsidRPr="00700732">
        <w:rPr>
          <w:snapToGrid w:val="0"/>
          <w:kern w:val="22"/>
          <w:lang w:val="en-GB"/>
        </w:rPr>
        <w:t xml:space="preserve"> taking into account views and suggestions from Parties, other Governments</w:t>
      </w:r>
      <w:r w:rsidR="00445F34" w:rsidRPr="00700732">
        <w:rPr>
          <w:snapToGrid w:val="0"/>
          <w:kern w:val="22"/>
          <w:lang w:val="en-GB"/>
        </w:rPr>
        <w:t>,</w:t>
      </w:r>
      <w:r w:rsidR="001A7310" w:rsidRPr="00700732">
        <w:rPr>
          <w:snapToGrid w:val="0"/>
          <w:kern w:val="22"/>
          <w:lang w:val="en-GB"/>
        </w:rPr>
        <w:t xml:space="preserve"> </w:t>
      </w:r>
      <w:r w:rsidR="00445F34" w:rsidRPr="00700732">
        <w:rPr>
          <w:snapToGrid w:val="0"/>
          <w:kern w:val="22"/>
          <w:lang w:val="en-GB"/>
        </w:rPr>
        <w:t xml:space="preserve">indigenous peoples and local communities, and relevant stakeholders </w:t>
      </w:r>
      <w:r w:rsidR="001A7310" w:rsidRPr="00700732">
        <w:rPr>
          <w:snapToGrid w:val="0"/>
          <w:kern w:val="22"/>
          <w:lang w:val="en-GB"/>
        </w:rPr>
        <w:t xml:space="preserve">and organizations. </w:t>
      </w:r>
      <w:r w:rsidR="00DE3BB3" w:rsidRPr="00700732">
        <w:rPr>
          <w:snapToGrid w:val="0"/>
          <w:kern w:val="22"/>
          <w:lang w:val="en-GB"/>
        </w:rPr>
        <w:t xml:space="preserve">The present document </w:t>
      </w:r>
      <w:r w:rsidR="00A04F9B" w:rsidRPr="00700732">
        <w:rPr>
          <w:snapToGrid w:val="0"/>
          <w:kern w:val="22"/>
          <w:lang w:val="en-GB"/>
        </w:rPr>
        <w:t xml:space="preserve">presents </w:t>
      </w:r>
      <w:r w:rsidR="00DE3BB3" w:rsidRPr="00700732">
        <w:rPr>
          <w:snapToGrid w:val="0"/>
          <w:kern w:val="22"/>
          <w:lang w:val="en-GB"/>
        </w:rPr>
        <w:t xml:space="preserve">the revised proposals. </w:t>
      </w:r>
    </w:p>
    <w:p w14:paraId="1A7CFBE8" w14:textId="6F6E204B" w:rsidR="00B04DF6" w:rsidRPr="00700732" w:rsidRDefault="00BB54DA"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T</w:t>
      </w:r>
      <w:r w:rsidR="00B04DF6" w:rsidRPr="00700732">
        <w:rPr>
          <w:snapToGrid w:val="0"/>
          <w:kern w:val="22"/>
          <w:lang w:val="en-GB"/>
        </w:rPr>
        <w:t>he proposals build on previous work on technical and scientific cooperation and technology transfer under the Convention</w:t>
      </w:r>
      <w:r w:rsidR="009B6AA5" w:rsidRPr="00700732">
        <w:rPr>
          <w:snapToGrid w:val="0"/>
          <w:kern w:val="22"/>
          <w:lang w:val="en-GB"/>
        </w:rPr>
        <w:t xml:space="preserve"> </w:t>
      </w:r>
      <w:r w:rsidR="00563665" w:rsidRPr="00700732">
        <w:rPr>
          <w:snapToGrid w:val="0"/>
          <w:kern w:val="22"/>
          <w:lang w:val="en-GB"/>
        </w:rPr>
        <w:t xml:space="preserve">and </w:t>
      </w:r>
      <w:r w:rsidR="00B04DF6" w:rsidRPr="00700732">
        <w:rPr>
          <w:snapToGrid w:val="0"/>
          <w:kern w:val="22"/>
          <w:lang w:val="en-GB"/>
        </w:rPr>
        <w:t>draw on the experiences and lessons learned from various initiatives within and outside the Convention</w:t>
      </w:r>
      <w:r w:rsidR="00DC6236" w:rsidRPr="00700732">
        <w:rPr>
          <w:snapToGrid w:val="0"/>
          <w:kern w:val="22"/>
          <w:lang w:val="en-GB"/>
        </w:rPr>
        <w:t>.</w:t>
      </w:r>
      <w:r w:rsidR="00B04DF6" w:rsidRPr="00700732">
        <w:rPr>
          <w:rStyle w:val="FootnoteReference"/>
          <w:snapToGrid w:val="0"/>
          <w:kern w:val="22"/>
          <w:lang w:val="en-GB"/>
        </w:rPr>
        <w:footnoteReference w:id="5"/>
      </w:r>
      <w:r w:rsidR="00563665" w:rsidRPr="00700732">
        <w:rPr>
          <w:snapToGrid w:val="0"/>
          <w:kern w:val="22"/>
          <w:lang w:val="en-GB"/>
        </w:rPr>
        <w:t xml:space="preserve"> </w:t>
      </w:r>
      <w:r w:rsidR="00F33E1A" w:rsidRPr="00700732">
        <w:rPr>
          <w:snapToGrid w:val="0"/>
          <w:kern w:val="22"/>
          <w:lang w:val="en-GB"/>
        </w:rPr>
        <w:t>Furthermore, they take into account</w:t>
      </w:r>
      <w:r w:rsidR="009B6AA5" w:rsidRPr="00700732">
        <w:rPr>
          <w:snapToGrid w:val="0"/>
          <w:kern w:val="22"/>
          <w:lang w:val="en-GB"/>
        </w:rPr>
        <w:t xml:space="preserve"> </w:t>
      </w:r>
      <w:r w:rsidR="00F33E1A" w:rsidRPr="00700732">
        <w:rPr>
          <w:snapToGrid w:val="0"/>
          <w:kern w:val="22"/>
          <w:lang w:val="en-GB"/>
        </w:rPr>
        <w:t xml:space="preserve">the </w:t>
      </w:r>
      <w:r w:rsidR="00B04DF6" w:rsidRPr="00700732">
        <w:rPr>
          <w:snapToGrid w:val="0"/>
          <w:kern w:val="22"/>
          <w:lang w:val="en-GB"/>
        </w:rPr>
        <w:t>earlier proposals regarding the development of a coherent approach to technical and scientific cooperation and technology transfer,</w:t>
      </w:r>
      <w:r w:rsidR="00B04DF6" w:rsidRPr="00700732">
        <w:rPr>
          <w:rStyle w:val="FootnoteReference"/>
          <w:snapToGrid w:val="0"/>
          <w:kern w:val="22"/>
          <w:lang w:val="en-GB"/>
        </w:rPr>
        <w:footnoteReference w:id="6"/>
      </w:r>
      <w:r w:rsidR="00B04DF6" w:rsidRPr="00700732">
        <w:rPr>
          <w:snapToGrid w:val="0"/>
          <w:kern w:val="22"/>
          <w:lang w:val="en-GB"/>
        </w:rPr>
        <w:t xml:space="preserve"> proposals on options for measures and mechanisms to facilitate access to and adaptation of technologies</w:t>
      </w:r>
      <w:r w:rsidR="00DC6236" w:rsidRPr="00700732">
        <w:rPr>
          <w:snapToGrid w:val="0"/>
          <w:kern w:val="22"/>
          <w:lang w:val="en-GB"/>
        </w:rPr>
        <w:t>,</w:t>
      </w:r>
      <w:r w:rsidR="00B04DF6" w:rsidRPr="00700732">
        <w:rPr>
          <w:rStyle w:val="FootnoteReference"/>
          <w:snapToGrid w:val="0"/>
          <w:kern w:val="22"/>
          <w:lang w:val="en-GB"/>
        </w:rPr>
        <w:footnoteReference w:id="7"/>
      </w:r>
      <w:r w:rsidR="00B04DF6" w:rsidRPr="00700732">
        <w:rPr>
          <w:snapToGrid w:val="0"/>
          <w:kern w:val="22"/>
          <w:lang w:val="en-GB"/>
        </w:rPr>
        <w:t xml:space="preserve"> </w:t>
      </w:r>
      <w:r w:rsidR="00F33E1A" w:rsidRPr="00700732">
        <w:rPr>
          <w:snapToGrid w:val="0"/>
          <w:kern w:val="22"/>
          <w:lang w:val="en-GB"/>
        </w:rPr>
        <w:t xml:space="preserve">as well as </w:t>
      </w:r>
      <w:r w:rsidR="00B04DF6" w:rsidRPr="00700732">
        <w:rPr>
          <w:snapToGrid w:val="0"/>
          <w:kern w:val="22"/>
          <w:lang w:val="en-GB"/>
        </w:rPr>
        <w:t>proposals for the establishment of a biodiversity technology initiative.</w:t>
      </w:r>
      <w:r w:rsidR="00B04DF6" w:rsidRPr="00700732">
        <w:rPr>
          <w:rStyle w:val="FootnoteReference"/>
          <w:snapToGrid w:val="0"/>
          <w:kern w:val="22"/>
          <w:lang w:val="en-GB"/>
        </w:rPr>
        <w:footnoteReference w:id="8"/>
      </w:r>
    </w:p>
    <w:p w14:paraId="0D701802" w14:textId="20271E09" w:rsidR="00B04DF6" w:rsidRPr="00700732" w:rsidRDefault="00B04DF6" w:rsidP="004A2C1C">
      <w:pPr>
        <w:pStyle w:val="Heading1"/>
        <w:numPr>
          <w:ilvl w:val="0"/>
          <w:numId w:val="51"/>
        </w:numPr>
        <w:suppressLineNumbers/>
        <w:tabs>
          <w:tab w:val="clear" w:pos="720"/>
        </w:tabs>
        <w:suppressAutoHyphens/>
        <w:kinsoku w:val="0"/>
        <w:overflowPunct w:val="0"/>
        <w:autoSpaceDE w:val="0"/>
        <w:autoSpaceDN w:val="0"/>
        <w:adjustRightInd w:val="0"/>
        <w:snapToGrid w:val="0"/>
        <w:spacing w:before="120"/>
        <w:ind w:left="720"/>
        <w:rPr>
          <w:snapToGrid w:val="0"/>
          <w:kern w:val="22"/>
        </w:rPr>
      </w:pPr>
      <w:r w:rsidRPr="00700732">
        <w:rPr>
          <w:snapToGrid w:val="0"/>
          <w:kern w:val="22"/>
        </w:rPr>
        <w:t>Goal, objectives and guiding principles</w:t>
      </w:r>
    </w:p>
    <w:p w14:paraId="2055CD7C" w14:textId="77777777" w:rsidR="00B04DF6" w:rsidRPr="00700732" w:rsidRDefault="00B04DF6" w:rsidP="00700732">
      <w:pPr>
        <w:pStyle w:val="Heading2"/>
        <w:numPr>
          <w:ilvl w:val="0"/>
          <w:numId w:val="32"/>
        </w:numPr>
        <w:suppressLineNumbers/>
        <w:suppressAutoHyphens/>
        <w:kinsoku w:val="0"/>
        <w:overflowPunct w:val="0"/>
        <w:autoSpaceDE w:val="0"/>
        <w:autoSpaceDN w:val="0"/>
        <w:adjustRightInd w:val="0"/>
        <w:snapToGrid w:val="0"/>
        <w:rPr>
          <w:snapToGrid w:val="0"/>
          <w:kern w:val="22"/>
        </w:rPr>
      </w:pPr>
      <w:r w:rsidRPr="00700732">
        <w:rPr>
          <w:snapToGrid w:val="0"/>
          <w:kern w:val="22"/>
        </w:rPr>
        <w:t>Goal and objectives</w:t>
      </w:r>
    </w:p>
    <w:p w14:paraId="16B8CFD6" w14:textId="58C7FDF3" w:rsidR="00B04DF6" w:rsidRPr="00700732" w:rsidRDefault="00B04DF6"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The overall goal is to promote and facilitate collaboration and cooperation among Parties and relevant organizations to enable them to effectively utilize science, technology</w:t>
      </w:r>
      <w:r w:rsidR="00B8128A" w:rsidRPr="00700732">
        <w:rPr>
          <w:snapToGrid w:val="0"/>
          <w:kern w:val="22"/>
          <w:lang w:val="en-GB"/>
        </w:rPr>
        <w:t>, best practices</w:t>
      </w:r>
      <w:r w:rsidR="002C5302" w:rsidRPr="00700732">
        <w:rPr>
          <w:snapToGrid w:val="0"/>
          <w:kern w:val="22"/>
          <w:lang w:val="en-GB"/>
        </w:rPr>
        <w:t>,</w:t>
      </w:r>
      <w:r w:rsidRPr="00700732">
        <w:rPr>
          <w:snapToGrid w:val="0"/>
          <w:kern w:val="22"/>
          <w:lang w:val="en-GB"/>
        </w:rPr>
        <w:t xml:space="preserve"> and innovation</w:t>
      </w:r>
      <w:r w:rsidR="00A74165" w:rsidRPr="00700732">
        <w:rPr>
          <w:snapToGrid w:val="0"/>
          <w:kern w:val="22"/>
          <w:lang w:val="en-GB"/>
        </w:rPr>
        <w:t xml:space="preserve"> </w:t>
      </w:r>
      <w:r w:rsidRPr="00700732">
        <w:rPr>
          <w:snapToGrid w:val="0"/>
          <w:kern w:val="22"/>
          <w:lang w:val="en-GB"/>
        </w:rPr>
        <w:t xml:space="preserve">to support the implementation of the post-2020 global biodiversity framework in order to achieve the objectives of the Convention and its </w:t>
      </w:r>
      <w:r w:rsidR="00E65EF8" w:rsidRPr="00700732">
        <w:rPr>
          <w:snapToGrid w:val="0"/>
          <w:kern w:val="22"/>
          <w:lang w:val="en-GB"/>
        </w:rPr>
        <w:t>P</w:t>
      </w:r>
      <w:r w:rsidRPr="00700732">
        <w:rPr>
          <w:snapToGrid w:val="0"/>
          <w:kern w:val="22"/>
          <w:lang w:val="en-GB"/>
        </w:rPr>
        <w:t xml:space="preserve">rotocols. The specific objectives </w:t>
      </w:r>
      <w:r w:rsidR="00BE6AB4" w:rsidRPr="00700732">
        <w:rPr>
          <w:snapToGrid w:val="0"/>
          <w:kern w:val="22"/>
          <w:lang w:val="en-GB"/>
        </w:rPr>
        <w:t>are</w:t>
      </w:r>
      <w:r w:rsidRPr="00700732">
        <w:rPr>
          <w:snapToGrid w:val="0"/>
          <w:kern w:val="22"/>
          <w:lang w:val="en-GB"/>
        </w:rPr>
        <w:t xml:space="preserve"> as follows:</w:t>
      </w:r>
    </w:p>
    <w:p w14:paraId="4B0A0AA6" w14:textId="10D41D63" w:rsidR="00B04DF6" w:rsidRPr="00A8649E" w:rsidRDefault="00B04DF6"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rPr>
      </w:pPr>
      <w:r w:rsidRPr="00A8649E">
        <w:rPr>
          <w:kern w:val="22"/>
          <w:szCs w:val="22"/>
        </w:rPr>
        <w:t xml:space="preserve">To </w:t>
      </w:r>
      <w:r w:rsidR="00EA0D90" w:rsidRPr="00A8649E">
        <w:rPr>
          <w:kern w:val="22"/>
          <w:szCs w:val="22"/>
        </w:rPr>
        <w:t xml:space="preserve">enhance </w:t>
      </w:r>
      <w:r w:rsidRPr="00A8649E">
        <w:rPr>
          <w:kern w:val="22"/>
          <w:szCs w:val="22"/>
        </w:rPr>
        <w:t>local, national, regional and international capacities in relation to science, technology and innovation</w:t>
      </w:r>
      <w:r w:rsidR="002C7875" w:rsidRPr="00A8649E">
        <w:rPr>
          <w:kern w:val="22"/>
          <w:szCs w:val="22"/>
        </w:rPr>
        <w:t xml:space="preserve"> </w:t>
      </w:r>
      <w:r w:rsidRPr="00A8649E">
        <w:rPr>
          <w:kern w:val="22"/>
          <w:szCs w:val="22"/>
        </w:rPr>
        <w:t>by means of human resources development and institutional capacity</w:t>
      </w:r>
      <w:r w:rsidR="00B8128A" w:rsidRPr="00A8649E">
        <w:rPr>
          <w:kern w:val="22"/>
          <w:szCs w:val="22"/>
        </w:rPr>
        <w:t xml:space="preserve"> development</w:t>
      </w:r>
      <w:r w:rsidRPr="00A8649E">
        <w:rPr>
          <w:kern w:val="22"/>
          <w:szCs w:val="22"/>
        </w:rPr>
        <w:t>;</w:t>
      </w:r>
      <w:r w:rsidRPr="00A8649E">
        <w:rPr>
          <w:rStyle w:val="FootnoteReference"/>
          <w:kern w:val="22"/>
          <w:szCs w:val="22"/>
        </w:rPr>
        <w:footnoteReference w:id="9"/>
      </w:r>
    </w:p>
    <w:p w14:paraId="5B476E33" w14:textId="0B6640AD" w:rsidR="00B04DF6" w:rsidRPr="00A8649E" w:rsidRDefault="00B04DF6"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rPr>
      </w:pPr>
      <w:r w:rsidRPr="00A8649E">
        <w:rPr>
          <w:kern w:val="22"/>
          <w:szCs w:val="22"/>
        </w:rPr>
        <w:t>To enable technology horizon scanning, assessment</w:t>
      </w:r>
      <w:r w:rsidR="00AA4408" w:rsidRPr="001F69A7">
        <w:rPr>
          <w:kern w:val="22"/>
          <w:szCs w:val="22"/>
        </w:rPr>
        <w:t>,</w:t>
      </w:r>
      <w:r w:rsidRPr="00FD0CD1">
        <w:rPr>
          <w:kern w:val="22"/>
          <w:szCs w:val="22"/>
        </w:rPr>
        <w:t xml:space="preserve"> monitoring, and</w:t>
      </w:r>
      <w:r w:rsidRPr="00700732">
        <w:rPr>
          <w:kern w:val="22"/>
        </w:rPr>
        <w:t xml:space="preserve"> </w:t>
      </w:r>
      <w:r w:rsidRPr="00A8649E">
        <w:rPr>
          <w:kern w:val="22"/>
          <w:szCs w:val="22"/>
        </w:rPr>
        <w:t>judg</w:t>
      </w:r>
      <w:r w:rsidR="00E840B6" w:rsidRPr="00A8649E">
        <w:rPr>
          <w:kern w:val="22"/>
          <w:szCs w:val="22"/>
        </w:rPr>
        <w:t>ement</w:t>
      </w:r>
      <w:r w:rsidRPr="001F69A7">
        <w:rPr>
          <w:kern w:val="22"/>
          <w:szCs w:val="22"/>
        </w:rPr>
        <w:t xml:space="preserve"> </w:t>
      </w:r>
      <w:r w:rsidR="00E840B6" w:rsidRPr="00FD0CD1">
        <w:rPr>
          <w:kern w:val="22"/>
          <w:szCs w:val="22"/>
        </w:rPr>
        <w:t xml:space="preserve">on </w:t>
      </w:r>
      <w:r w:rsidRPr="003B5AB1">
        <w:rPr>
          <w:kern w:val="22"/>
          <w:szCs w:val="22"/>
        </w:rPr>
        <w:t>the appropriate technolog</w:t>
      </w:r>
      <w:r w:rsidR="00FB6CA2" w:rsidRPr="003B5AB1">
        <w:rPr>
          <w:kern w:val="22"/>
          <w:szCs w:val="22"/>
        </w:rPr>
        <w:t>ies</w:t>
      </w:r>
      <w:r w:rsidRPr="00146C5A">
        <w:rPr>
          <w:kern w:val="22"/>
          <w:szCs w:val="22"/>
        </w:rPr>
        <w:t>;</w:t>
      </w:r>
    </w:p>
    <w:p w14:paraId="5E5B89F2" w14:textId="39B4118E" w:rsidR="00B04DF6" w:rsidRPr="00A8649E" w:rsidRDefault="00B04DF6"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rPr>
      </w:pPr>
      <w:r w:rsidRPr="00A8649E">
        <w:rPr>
          <w:kern w:val="22"/>
          <w:szCs w:val="22"/>
        </w:rPr>
        <w:t>To promote and facilitate the development, transfer and use of appropriate technologies, including indigenous and traditional technologies</w:t>
      </w:r>
      <w:r w:rsidRPr="00700732">
        <w:rPr>
          <w:kern w:val="22"/>
        </w:rPr>
        <w:t xml:space="preserve"> </w:t>
      </w:r>
      <w:r w:rsidR="00574428" w:rsidRPr="00A8649E">
        <w:rPr>
          <w:kern w:val="22"/>
          <w:szCs w:val="22"/>
        </w:rPr>
        <w:t>s</w:t>
      </w:r>
      <w:r w:rsidR="00E428A8" w:rsidRPr="00A8649E">
        <w:rPr>
          <w:kern w:val="22"/>
          <w:szCs w:val="22"/>
        </w:rPr>
        <w:t xml:space="preserve">ubject to </w:t>
      </w:r>
      <w:r w:rsidRPr="001F69A7">
        <w:rPr>
          <w:kern w:val="22"/>
          <w:szCs w:val="22"/>
        </w:rPr>
        <w:t>prior informed consent</w:t>
      </w:r>
      <w:r w:rsidR="0045218E" w:rsidRPr="00700732">
        <w:rPr>
          <w:kern w:val="22"/>
        </w:rPr>
        <w:t xml:space="preserve"> </w:t>
      </w:r>
      <w:r w:rsidR="0045218E" w:rsidRPr="00A8649E">
        <w:rPr>
          <w:kern w:val="22"/>
          <w:szCs w:val="22"/>
        </w:rPr>
        <w:t>of indigenous people and local communities</w:t>
      </w:r>
      <w:r w:rsidR="00E428A8" w:rsidRPr="00700732">
        <w:rPr>
          <w:kern w:val="22"/>
        </w:rPr>
        <w:t>, as applicable</w:t>
      </w:r>
      <w:r w:rsidRPr="00A8649E">
        <w:rPr>
          <w:kern w:val="22"/>
          <w:szCs w:val="22"/>
        </w:rPr>
        <w:t>;</w:t>
      </w:r>
      <w:r w:rsidRPr="00A8649E">
        <w:rPr>
          <w:rStyle w:val="FootnoteReference"/>
          <w:kern w:val="22"/>
          <w:szCs w:val="22"/>
        </w:rPr>
        <w:footnoteReference w:id="10"/>
      </w:r>
    </w:p>
    <w:p w14:paraId="78C7E692" w14:textId="59C7224F" w:rsidR="00B04DF6" w:rsidRPr="00A8649E" w:rsidRDefault="00B04DF6"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rPr>
      </w:pPr>
      <w:r w:rsidRPr="001F69A7">
        <w:rPr>
          <w:kern w:val="22"/>
          <w:szCs w:val="22"/>
        </w:rPr>
        <w:t>To promote and en</w:t>
      </w:r>
      <w:r w:rsidRPr="00FD0CD1">
        <w:rPr>
          <w:kern w:val="22"/>
          <w:szCs w:val="22"/>
        </w:rPr>
        <w:t xml:space="preserve">courage joint research, cooperation and collaboration in the use of scientific advances </w:t>
      </w:r>
      <w:r w:rsidR="007718E5" w:rsidRPr="003B5AB1">
        <w:rPr>
          <w:kern w:val="22"/>
          <w:szCs w:val="22"/>
        </w:rPr>
        <w:t xml:space="preserve">and </w:t>
      </w:r>
      <w:r w:rsidR="004E4F8F" w:rsidRPr="00146C5A">
        <w:rPr>
          <w:kern w:val="22"/>
          <w:szCs w:val="22"/>
        </w:rPr>
        <w:t xml:space="preserve">good </w:t>
      </w:r>
      <w:r w:rsidR="007718E5" w:rsidRPr="00A8649E">
        <w:rPr>
          <w:kern w:val="22"/>
          <w:szCs w:val="22"/>
        </w:rPr>
        <w:t xml:space="preserve">practices </w:t>
      </w:r>
      <w:r w:rsidRPr="00A8649E">
        <w:rPr>
          <w:kern w:val="22"/>
          <w:szCs w:val="22"/>
        </w:rPr>
        <w:t>in research</w:t>
      </w:r>
      <w:r w:rsidR="00E428A8" w:rsidRPr="00A8649E">
        <w:rPr>
          <w:kern w:val="22"/>
          <w:szCs w:val="22"/>
        </w:rPr>
        <w:t xml:space="preserve">, </w:t>
      </w:r>
      <w:r w:rsidR="00E428A8" w:rsidRPr="00A8649E">
        <w:rPr>
          <w:kern w:val="22"/>
        </w:rPr>
        <w:t>including as a modality for sharing the benefits arising from research and development on genetic resources and traditional knowledge, as applicable</w:t>
      </w:r>
      <w:r w:rsidRPr="00A8649E">
        <w:rPr>
          <w:kern w:val="22"/>
          <w:szCs w:val="22"/>
        </w:rPr>
        <w:t>;</w:t>
      </w:r>
      <w:r w:rsidRPr="00A8649E">
        <w:rPr>
          <w:rStyle w:val="FootnoteReference"/>
          <w:kern w:val="22"/>
          <w:szCs w:val="22"/>
        </w:rPr>
        <w:footnoteReference w:id="11"/>
      </w:r>
    </w:p>
    <w:p w14:paraId="27E57131" w14:textId="6CCBE7D0" w:rsidR="00B04DF6" w:rsidRPr="001F69A7" w:rsidRDefault="00B04DF6"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rPr>
      </w:pPr>
      <w:r w:rsidRPr="00A8649E">
        <w:rPr>
          <w:kern w:val="22"/>
          <w:szCs w:val="22"/>
        </w:rPr>
        <w:lastRenderedPageBreak/>
        <w:t>To promote the development</w:t>
      </w:r>
      <w:r w:rsidR="00447F27" w:rsidRPr="00A8649E">
        <w:rPr>
          <w:kern w:val="22"/>
          <w:szCs w:val="22"/>
        </w:rPr>
        <w:t>,</w:t>
      </w:r>
      <w:r w:rsidRPr="001F69A7">
        <w:rPr>
          <w:kern w:val="22"/>
          <w:szCs w:val="22"/>
        </w:rPr>
        <w:t xml:space="preserve"> implementation</w:t>
      </w:r>
      <w:r w:rsidR="00447F27" w:rsidRPr="00FD0CD1">
        <w:rPr>
          <w:kern w:val="22"/>
          <w:szCs w:val="22"/>
        </w:rPr>
        <w:t xml:space="preserve"> and scaling up</w:t>
      </w:r>
      <w:r w:rsidRPr="003B5AB1">
        <w:rPr>
          <w:kern w:val="22"/>
          <w:szCs w:val="22"/>
        </w:rPr>
        <w:t xml:space="preserve"> of appropriate and responsible innovative solutions</w:t>
      </w:r>
      <w:r w:rsidR="003F5F56" w:rsidRPr="003B5AB1">
        <w:rPr>
          <w:kern w:val="22"/>
          <w:szCs w:val="22"/>
        </w:rPr>
        <w:t>,</w:t>
      </w:r>
      <w:r w:rsidRPr="00A8649E">
        <w:rPr>
          <w:rStyle w:val="FootnoteReference"/>
          <w:kern w:val="22"/>
          <w:szCs w:val="22"/>
        </w:rPr>
        <w:footnoteReference w:id="12"/>
      </w:r>
      <w:r w:rsidRPr="00A8649E">
        <w:rPr>
          <w:kern w:val="22"/>
          <w:szCs w:val="22"/>
        </w:rPr>
        <w:t xml:space="preserve"> including biodiversity-supportive technologies, modern biotechnology and other emerging technologies, such as artificial intelligence, use of big data and blockchains, according to national and international regulations</w:t>
      </w:r>
      <w:r w:rsidR="00447F27" w:rsidRPr="001F69A7">
        <w:rPr>
          <w:kern w:val="22"/>
          <w:szCs w:val="22"/>
        </w:rPr>
        <w:t>,</w:t>
      </w:r>
      <w:r w:rsidR="00366483" w:rsidRPr="00FD0CD1">
        <w:rPr>
          <w:kern w:val="22"/>
          <w:szCs w:val="22"/>
        </w:rPr>
        <w:t xml:space="preserve"> </w:t>
      </w:r>
      <w:r w:rsidRPr="003B5AB1">
        <w:rPr>
          <w:kern w:val="22"/>
          <w:szCs w:val="22"/>
        </w:rPr>
        <w:t>based on a precautionary approach</w:t>
      </w:r>
      <w:r w:rsidR="00447F27" w:rsidRPr="003B5AB1">
        <w:rPr>
          <w:kern w:val="22"/>
          <w:szCs w:val="22"/>
        </w:rPr>
        <w:t>,</w:t>
      </w:r>
      <w:r w:rsidRPr="00700732">
        <w:rPr>
          <w:kern w:val="22"/>
        </w:rPr>
        <w:t xml:space="preserve"> and </w:t>
      </w:r>
      <w:r w:rsidRPr="00A8649E">
        <w:rPr>
          <w:kern w:val="22"/>
          <w:szCs w:val="22"/>
        </w:rPr>
        <w:t>in line with the objectives of the Convention on Biological Diversity;</w:t>
      </w:r>
    </w:p>
    <w:p w14:paraId="28342BE9" w14:textId="658914E4" w:rsidR="00B04DF6" w:rsidRPr="00A8649E" w:rsidRDefault="00B04DF6"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rPr>
      </w:pPr>
      <w:r w:rsidRPr="003B5AB1">
        <w:rPr>
          <w:kern w:val="22"/>
          <w:szCs w:val="22"/>
        </w:rPr>
        <w:t>To facilitate access to and exchange of relevant technical and scientific data, information and knowledge, including, but not limited to, results of technical, scientific and socio</w:t>
      </w:r>
      <w:r w:rsidRPr="00A8649E">
        <w:rPr>
          <w:kern w:val="22"/>
          <w:szCs w:val="22"/>
        </w:rPr>
        <w:t xml:space="preserve">economic research, specialized knowledge, </w:t>
      </w:r>
      <w:r w:rsidR="001419F3" w:rsidRPr="00A8649E">
        <w:rPr>
          <w:kern w:val="22"/>
          <w:szCs w:val="22"/>
        </w:rPr>
        <w:t xml:space="preserve">including policy-based information, </w:t>
      </w:r>
      <w:r w:rsidRPr="00A8649E">
        <w:rPr>
          <w:kern w:val="22"/>
          <w:szCs w:val="22"/>
        </w:rPr>
        <w:t>indigenous and traditional knowledge, and best practices</w:t>
      </w:r>
      <w:r w:rsidR="003F5F56" w:rsidRPr="00A8649E">
        <w:rPr>
          <w:kern w:val="22"/>
          <w:szCs w:val="22"/>
        </w:rPr>
        <w:t>.</w:t>
      </w:r>
      <w:r w:rsidRPr="00A8649E">
        <w:rPr>
          <w:rStyle w:val="FootnoteReference"/>
          <w:kern w:val="22"/>
          <w:szCs w:val="22"/>
        </w:rPr>
        <w:footnoteReference w:id="13"/>
      </w:r>
    </w:p>
    <w:p w14:paraId="74854B94" w14:textId="77777777" w:rsidR="00B04DF6" w:rsidRPr="00700732" w:rsidRDefault="00B04DF6" w:rsidP="00700732">
      <w:pPr>
        <w:pStyle w:val="Heading2"/>
        <w:numPr>
          <w:ilvl w:val="0"/>
          <w:numId w:val="32"/>
        </w:numPr>
        <w:suppressLineNumbers/>
        <w:suppressAutoHyphens/>
        <w:kinsoku w:val="0"/>
        <w:overflowPunct w:val="0"/>
        <w:autoSpaceDE w:val="0"/>
        <w:autoSpaceDN w:val="0"/>
        <w:adjustRightInd w:val="0"/>
        <w:snapToGrid w:val="0"/>
        <w:rPr>
          <w:snapToGrid w:val="0"/>
          <w:kern w:val="22"/>
        </w:rPr>
      </w:pPr>
      <w:r w:rsidRPr="00700732">
        <w:rPr>
          <w:snapToGrid w:val="0"/>
          <w:kern w:val="22"/>
        </w:rPr>
        <w:t>Guiding principles</w:t>
      </w:r>
    </w:p>
    <w:p w14:paraId="38B166F9" w14:textId="7A1DA050" w:rsidR="00B04DF6" w:rsidRPr="00700732" w:rsidRDefault="00B04DF6"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In the light of past operational experience, best practices</w:t>
      </w:r>
      <w:r w:rsidR="00447F27" w:rsidRPr="00700732">
        <w:rPr>
          <w:snapToGrid w:val="0"/>
          <w:kern w:val="22"/>
          <w:lang w:val="en-GB"/>
        </w:rPr>
        <w:t>,</w:t>
      </w:r>
      <w:r w:rsidRPr="00700732">
        <w:rPr>
          <w:snapToGrid w:val="0"/>
          <w:kern w:val="22"/>
          <w:lang w:val="en-GB"/>
        </w:rPr>
        <w:t xml:space="preserve"> and lessons learned, technical and scientific cooperation </w:t>
      </w:r>
      <w:bookmarkStart w:id="2" w:name="_Hlk50997244"/>
      <w:r w:rsidR="004B7ECF" w:rsidRPr="00700732">
        <w:rPr>
          <w:snapToGrid w:val="0"/>
          <w:kern w:val="22"/>
          <w:lang w:val="en-GB"/>
        </w:rPr>
        <w:t>initiatives (</w:t>
      </w:r>
      <w:r w:rsidR="00DE271B" w:rsidRPr="00700732">
        <w:rPr>
          <w:snapToGrid w:val="0"/>
          <w:kern w:val="22"/>
          <w:lang w:val="en-GB"/>
        </w:rPr>
        <w:t>activities</w:t>
      </w:r>
      <w:r w:rsidR="007A5359" w:rsidRPr="00700732">
        <w:rPr>
          <w:snapToGrid w:val="0"/>
          <w:kern w:val="22"/>
          <w:lang w:val="en-GB"/>
        </w:rPr>
        <w:t xml:space="preserve">, projects and </w:t>
      </w:r>
      <w:r w:rsidR="004B7ECF" w:rsidRPr="00700732">
        <w:rPr>
          <w:snapToGrid w:val="0"/>
          <w:kern w:val="22"/>
          <w:lang w:val="en-GB"/>
        </w:rPr>
        <w:t>programmes</w:t>
      </w:r>
      <w:r w:rsidR="00301A9C" w:rsidRPr="00700732">
        <w:rPr>
          <w:snapToGrid w:val="0"/>
          <w:kern w:val="22"/>
          <w:lang w:val="en-GB"/>
        </w:rPr>
        <w:t>)</w:t>
      </w:r>
      <w:r w:rsidR="000979F3" w:rsidRPr="00700732">
        <w:rPr>
          <w:snapToGrid w:val="0"/>
          <w:kern w:val="22"/>
          <w:lang w:val="en-GB"/>
        </w:rPr>
        <w:t>,</w:t>
      </w:r>
      <w:r w:rsidRPr="00700732">
        <w:rPr>
          <w:snapToGrid w:val="0"/>
          <w:kern w:val="22"/>
          <w:lang w:val="en-GB"/>
        </w:rPr>
        <w:t xml:space="preserve"> </w:t>
      </w:r>
      <w:bookmarkEnd w:id="2"/>
      <w:r w:rsidR="000979F3" w:rsidRPr="00700732">
        <w:rPr>
          <w:snapToGrid w:val="0"/>
          <w:kern w:val="22"/>
          <w:lang w:val="en-GB"/>
        </w:rPr>
        <w:t xml:space="preserve">including technology assessment, horizon scanning and monitoring, </w:t>
      </w:r>
      <w:r w:rsidRPr="00700732">
        <w:rPr>
          <w:snapToGrid w:val="0"/>
          <w:kern w:val="22"/>
          <w:lang w:val="en-GB"/>
        </w:rPr>
        <w:t>would be guided by the following principles:</w:t>
      </w:r>
      <w:r w:rsidRPr="00700732">
        <w:rPr>
          <w:rStyle w:val="FootnoteReference"/>
          <w:snapToGrid w:val="0"/>
          <w:kern w:val="22"/>
          <w:lang w:val="en-GB"/>
        </w:rPr>
        <w:footnoteReference w:id="14"/>
      </w:r>
    </w:p>
    <w:p w14:paraId="08C84231" w14:textId="682347A6"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kern w:val="22"/>
          <w:szCs w:val="22"/>
        </w:rPr>
        <w:t>Demand-driven:</w:t>
      </w:r>
      <w:r w:rsidRPr="00A8649E">
        <w:rPr>
          <w:kern w:val="22"/>
          <w:szCs w:val="22"/>
        </w:rPr>
        <w:t xml:space="preserve"> </w:t>
      </w:r>
      <w:r w:rsidR="00F36A1E" w:rsidRPr="00A8649E">
        <w:rPr>
          <w:kern w:val="22"/>
          <w:szCs w:val="22"/>
        </w:rPr>
        <w:t>Initiatives</w:t>
      </w:r>
      <w:r w:rsidRPr="00A8649E">
        <w:rPr>
          <w:kern w:val="22"/>
          <w:szCs w:val="22"/>
        </w:rPr>
        <w:t xml:space="preserve"> </w:t>
      </w:r>
      <w:r w:rsidR="00ED5450" w:rsidRPr="00A8649E">
        <w:rPr>
          <w:kern w:val="22"/>
          <w:szCs w:val="22"/>
        </w:rPr>
        <w:t>should be</w:t>
      </w:r>
      <w:r w:rsidR="00C66004" w:rsidRPr="00A8649E">
        <w:rPr>
          <w:kern w:val="22"/>
          <w:szCs w:val="22"/>
        </w:rPr>
        <w:t xml:space="preserve"> started</w:t>
      </w:r>
      <w:r w:rsidR="00ED5450" w:rsidRPr="00A8649E">
        <w:rPr>
          <w:kern w:val="22"/>
          <w:szCs w:val="22"/>
        </w:rPr>
        <w:t xml:space="preserve"> </w:t>
      </w:r>
      <w:r w:rsidR="00B666CB" w:rsidRPr="00A8649E">
        <w:rPr>
          <w:kern w:val="22"/>
          <w:szCs w:val="22"/>
        </w:rPr>
        <w:t>at</w:t>
      </w:r>
      <w:r w:rsidRPr="00A8649E">
        <w:rPr>
          <w:kern w:val="22"/>
          <w:szCs w:val="22"/>
        </w:rPr>
        <w:t xml:space="preserve"> the request of Parties and relevant institutions and stakeholders, including indigenous peoples and local communities, </w:t>
      </w:r>
      <w:r w:rsidR="00C52AFE" w:rsidRPr="00A8649E">
        <w:rPr>
          <w:kern w:val="22"/>
          <w:szCs w:val="22"/>
        </w:rPr>
        <w:t>in response</w:t>
      </w:r>
      <w:r w:rsidR="00065BD3" w:rsidRPr="00A8649E">
        <w:rPr>
          <w:kern w:val="22"/>
          <w:szCs w:val="22"/>
        </w:rPr>
        <w:t xml:space="preserve"> to</w:t>
      </w:r>
      <w:r w:rsidRPr="00A8649E">
        <w:rPr>
          <w:kern w:val="22"/>
          <w:szCs w:val="22"/>
        </w:rPr>
        <w:t xml:space="preserve"> their identified and prioritized needs and in accordance with national legislation;</w:t>
      </w:r>
    </w:p>
    <w:p w14:paraId="6DAA5022" w14:textId="41DB1458" w:rsidR="0081219D"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kern w:val="22"/>
          <w:szCs w:val="22"/>
        </w:rPr>
        <w:t>Flexibility:</w:t>
      </w:r>
      <w:r w:rsidRPr="00A8649E">
        <w:rPr>
          <w:kern w:val="22"/>
          <w:szCs w:val="22"/>
        </w:rPr>
        <w:t xml:space="preserve"> </w:t>
      </w:r>
      <w:r w:rsidR="00F36A1E" w:rsidRPr="00A8649E">
        <w:rPr>
          <w:kern w:val="22"/>
          <w:szCs w:val="22"/>
        </w:rPr>
        <w:t>Initiatives</w:t>
      </w:r>
      <w:r w:rsidR="00ED5450" w:rsidRPr="00A8649E">
        <w:rPr>
          <w:kern w:val="22"/>
          <w:szCs w:val="22"/>
        </w:rPr>
        <w:t xml:space="preserve"> should be</w:t>
      </w:r>
      <w:r w:rsidRPr="00A8649E">
        <w:rPr>
          <w:kern w:val="22"/>
          <w:szCs w:val="22"/>
        </w:rPr>
        <w:t xml:space="preserve"> implemented in a flexible and adaptive manner, </w:t>
      </w:r>
      <w:proofErr w:type="gramStart"/>
      <w:r w:rsidRPr="00A8649E">
        <w:rPr>
          <w:kern w:val="22"/>
          <w:szCs w:val="22"/>
        </w:rPr>
        <w:t>taking into account</w:t>
      </w:r>
      <w:proofErr w:type="gramEnd"/>
      <w:r w:rsidRPr="00A8649E">
        <w:rPr>
          <w:kern w:val="22"/>
          <w:szCs w:val="22"/>
        </w:rPr>
        <w:t xml:space="preserve"> the varying needs, conditions and circumstances of the Parties and stakeholders involved,</w:t>
      </w:r>
      <w:r w:rsidR="00F81F83" w:rsidRPr="00A8649E">
        <w:rPr>
          <w:kern w:val="22"/>
          <w:szCs w:val="22"/>
        </w:rPr>
        <w:t xml:space="preserve"> </w:t>
      </w:r>
      <w:r w:rsidR="00221D3A" w:rsidRPr="00A8649E">
        <w:rPr>
          <w:kern w:val="22"/>
          <w:szCs w:val="22"/>
        </w:rPr>
        <w:t>and in accordance with the precautionary approach</w:t>
      </w:r>
      <w:r w:rsidRPr="00A8649E">
        <w:rPr>
          <w:kern w:val="22"/>
          <w:szCs w:val="22"/>
        </w:rPr>
        <w:t>;</w:t>
      </w:r>
    </w:p>
    <w:p w14:paraId="1324C2E9" w14:textId="5D8203C7" w:rsidR="0081219D"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kern w:val="22"/>
          <w:szCs w:val="22"/>
        </w:rPr>
        <w:t>Efficiency:</w:t>
      </w:r>
      <w:r w:rsidRPr="00A8649E">
        <w:rPr>
          <w:kern w:val="22"/>
          <w:szCs w:val="22"/>
        </w:rPr>
        <w:t xml:space="preserve"> </w:t>
      </w:r>
      <w:r w:rsidR="00C20A1B" w:rsidRPr="00A8649E">
        <w:rPr>
          <w:kern w:val="22"/>
          <w:szCs w:val="22"/>
        </w:rPr>
        <w:t>M</w:t>
      </w:r>
      <w:r w:rsidR="006C0A44" w:rsidRPr="00A8649E">
        <w:rPr>
          <w:kern w:val="22"/>
          <w:szCs w:val="22"/>
        </w:rPr>
        <w:t xml:space="preserve">easures should be taken to ensure that </w:t>
      </w:r>
      <w:r w:rsidR="00F36A1E" w:rsidRPr="00A8649E">
        <w:rPr>
          <w:kern w:val="22"/>
          <w:szCs w:val="22"/>
        </w:rPr>
        <w:t>the initiatives</w:t>
      </w:r>
      <w:r w:rsidR="006C0A44" w:rsidRPr="00A8649E">
        <w:rPr>
          <w:kern w:val="22"/>
          <w:szCs w:val="22"/>
        </w:rPr>
        <w:t xml:space="preserve"> achieve the intended results on time and with the least possible resources</w:t>
      </w:r>
      <w:r w:rsidR="003539F0" w:rsidRPr="00A8649E">
        <w:rPr>
          <w:kern w:val="22"/>
          <w:szCs w:val="22"/>
        </w:rPr>
        <w:t>;</w:t>
      </w:r>
    </w:p>
    <w:p w14:paraId="180F0FDA" w14:textId="5FD7D8EF"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kern w:val="22"/>
          <w:szCs w:val="22"/>
        </w:rPr>
        <w:t>Efficacy:</w:t>
      </w:r>
      <w:r w:rsidRPr="00A8649E">
        <w:rPr>
          <w:kern w:val="22"/>
          <w:szCs w:val="22"/>
        </w:rPr>
        <w:t xml:space="preserve"> </w:t>
      </w:r>
      <w:r w:rsidR="00C20A1B" w:rsidRPr="00A8649E">
        <w:rPr>
          <w:kern w:val="22"/>
          <w:szCs w:val="22"/>
        </w:rPr>
        <w:t>M</w:t>
      </w:r>
      <w:r w:rsidRPr="00A8649E">
        <w:rPr>
          <w:kern w:val="22"/>
          <w:szCs w:val="22"/>
        </w:rPr>
        <w:t>easures</w:t>
      </w:r>
      <w:r w:rsidR="00080E33" w:rsidRPr="00A8649E">
        <w:rPr>
          <w:kern w:val="22"/>
          <w:szCs w:val="22"/>
        </w:rPr>
        <w:t xml:space="preserve"> </w:t>
      </w:r>
      <w:r w:rsidR="00FA7BAE" w:rsidRPr="00A8649E">
        <w:rPr>
          <w:kern w:val="22"/>
          <w:szCs w:val="22"/>
        </w:rPr>
        <w:t>should</w:t>
      </w:r>
      <w:r w:rsidR="00785A2A" w:rsidRPr="00A8649E">
        <w:rPr>
          <w:kern w:val="22"/>
          <w:szCs w:val="22"/>
        </w:rPr>
        <w:t xml:space="preserve"> be taken to ensure that </w:t>
      </w:r>
      <w:r w:rsidR="00F36A1E" w:rsidRPr="00A8649E">
        <w:rPr>
          <w:kern w:val="22"/>
          <w:szCs w:val="22"/>
        </w:rPr>
        <w:t>the initiatives</w:t>
      </w:r>
      <w:r w:rsidRPr="00A8649E">
        <w:rPr>
          <w:kern w:val="22"/>
          <w:szCs w:val="22"/>
        </w:rPr>
        <w:t xml:space="preserve"> generate the desired changes</w:t>
      </w:r>
      <w:r w:rsidR="00785A2A" w:rsidRPr="00A8649E">
        <w:rPr>
          <w:kern w:val="22"/>
          <w:szCs w:val="22"/>
        </w:rPr>
        <w:t xml:space="preserve"> while</w:t>
      </w:r>
      <w:r w:rsidR="00C450E7" w:rsidRPr="00A8649E">
        <w:rPr>
          <w:kern w:val="22"/>
          <w:szCs w:val="22"/>
        </w:rPr>
        <w:t xml:space="preserve"> </w:t>
      </w:r>
      <w:proofErr w:type="gramStart"/>
      <w:r w:rsidR="00785A2A" w:rsidRPr="00A8649E">
        <w:rPr>
          <w:kern w:val="22"/>
          <w:szCs w:val="22"/>
        </w:rPr>
        <w:t>taking into account</w:t>
      </w:r>
      <w:proofErr w:type="gramEnd"/>
      <w:r w:rsidR="00785A2A" w:rsidRPr="00A8649E">
        <w:rPr>
          <w:kern w:val="22"/>
          <w:szCs w:val="22"/>
        </w:rPr>
        <w:t xml:space="preserve"> the potential interconnections and unintended impacts, and that </w:t>
      </w:r>
      <w:r w:rsidR="00C450E7" w:rsidRPr="00A8649E">
        <w:rPr>
          <w:kern w:val="22"/>
          <w:szCs w:val="22"/>
        </w:rPr>
        <w:t>results</w:t>
      </w:r>
      <w:r w:rsidRPr="00A8649E">
        <w:rPr>
          <w:kern w:val="22"/>
          <w:szCs w:val="22"/>
        </w:rPr>
        <w:t xml:space="preserve"> can be monitored, assessed and evaluated quantitatively and qualitatively;</w:t>
      </w:r>
    </w:p>
    <w:p w14:paraId="14DFE575" w14:textId="2D330F33" w:rsidR="00B04DF6" w:rsidRPr="00146C5A"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kern w:val="22"/>
          <w:szCs w:val="22"/>
        </w:rPr>
        <w:t>Tailored:</w:t>
      </w:r>
      <w:r w:rsidRPr="00A8649E">
        <w:rPr>
          <w:kern w:val="22"/>
          <w:szCs w:val="22"/>
        </w:rPr>
        <w:t xml:space="preserve"> </w:t>
      </w:r>
      <w:r w:rsidR="00F36A1E" w:rsidRPr="00A8649E">
        <w:rPr>
          <w:kern w:val="22"/>
          <w:szCs w:val="22"/>
        </w:rPr>
        <w:t>Initiatives</w:t>
      </w:r>
      <w:r w:rsidR="00ED5450" w:rsidRPr="00A8649E">
        <w:rPr>
          <w:kern w:val="22"/>
          <w:szCs w:val="22"/>
        </w:rPr>
        <w:t xml:space="preserve"> should be adapted to local conditions and circumstances,</w:t>
      </w:r>
      <w:r w:rsidRPr="00A8649E">
        <w:rPr>
          <w:kern w:val="22"/>
          <w:szCs w:val="22"/>
        </w:rPr>
        <w:t xml:space="preserve"> </w:t>
      </w:r>
      <w:r w:rsidR="00ED5450" w:rsidRPr="00A8649E">
        <w:rPr>
          <w:kern w:val="22"/>
          <w:szCs w:val="22"/>
        </w:rPr>
        <w:t xml:space="preserve">also </w:t>
      </w:r>
      <w:proofErr w:type="gramStart"/>
      <w:r w:rsidRPr="00700732">
        <w:rPr>
          <w:kern w:val="22"/>
        </w:rPr>
        <w:t>tak</w:t>
      </w:r>
      <w:r w:rsidR="00ED5450" w:rsidRPr="00700732">
        <w:rPr>
          <w:kern w:val="22"/>
        </w:rPr>
        <w:t>ing</w:t>
      </w:r>
      <w:r w:rsidRPr="00700732">
        <w:rPr>
          <w:kern w:val="22"/>
        </w:rPr>
        <w:t xml:space="preserve"> into account</w:t>
      </w:r>
      <w:proofErr w:type="gramEnd"/>
      <w:r w:rsidRPr="00700732">
        <w:rPr>
          <w:kern w:val="22"/>
        </w:rPr>
        <w:t xml:space="preserve"> cultural and other considerations</w:t>
      </w:r>
      <w:r w:rsidR="00ED5450" w:rsidRPr="00700732">
        <w:rPr>
          <w:kern w:val="22"/>
        </w:rPr>
        <w:t>,</w:t>
      </w:r>
      <w:r w:rsidRPr="00700732">
        <w:rPr>
          <w:kern w:val="22"/>
        </w:rPr>
        <w:t xml:space="preserve"> to</w:t>
      </w:r>
      <w:r w:rsidRPr="00A8649E">
        <w:rPr>
          <w:kern w:val="22"/>
          <w:szCs w:val="22"/>
        </w:rPr>
        <w:t xml:space="preserve"> foster buy-in and uptake, ownership, and sustainability</w:t>
      </w:r>
      <w:r w:rsidR="005B1C68" w:rsidRPr="00A8649E">
        <w:rPr>
          <w:kern w:val="22"/>
          <w:szCs w:val="22"/>
        </w:rPr>
        <w:t xml:space="preserve"> </w:t>
      </w:r>
      <w:r w:rsidR="00ED5450" w:rsidRPr="001F69A7">
        <w:rPr>
          <w:kern w:val="22"/>
          <w:szCs w:val="22"/>
        </w:rPr>
        <w:t>at the local level</w:t>
      </w:r>
      <w:r w:rsidRPr="003B5AB1">
        <w:rPr>
          <w:kern w:val="22"/>
          <w:szCs w:val="22"/>
        </w:rPr>
        <w:t>;</w:t>
      </w:r>
    </w:p>
    <w:p w14:paraId="2D69E4F2" w14:textId="20C7C597" w:rsidR="000568CC"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kern w:val="22"/>
          <w:szCs w:val="22"/>
        </w:rPr>
        <w:t>Programmatic:</w:t>
      </w:r>
      <w:r w:rsidR="00755F05" w:rsidRPr="00A8649E">
        <w:rPr>
          <w:kern w:val="22"/>
          <w:szCs w:val="22"/>
        </w:rPr>
        <w:t xml:space="preserve"> D</w:t>
      </w:r>
      <w:r w:rsidRPr="00A8649E">
        <w:rPr>
          <w:kern w:val="22"/>
          <w:szCs w:val="22"/>
        </w:rPr>
        <w:t xml:space="preserve">elivery </w:t>
      </w:r>
      <w:r w:rsidR="00F61E6C" w:rsidRPr="00A8649E">
        <w:rPr>
          <w:kern w:val="22"/>
          <w:szCs w:val="22"/>
        </w:rPr>
        <w:t xml:space="preserve">should </w:t>
      </w:r>
      <w:r w:rsidR="000F417A" w:rsidRPr="00A8649E">
        <w:rPr>
          <w:kern w:val="22"/>
          <w:szCs w:val="22"/>
        </w:rPr>
        <w:t>be done through</w:t>
      </w:r>
      <w:r w:rsidR="00F23EC2" w:rsidRPr="00A8649E">
        <w:rPr>
          <w:kern w:val="22"/>
          <w:szCs w:val="22"/>
        </w:rPr>
        <w:t xml:space="preserve"> </w:t>
      </w:r>
      <w:r w:rsidR="0006714A" w:rsidRPr="00A8649E">
        <w:rPr>
          <w:kern w:val="22"/>
          <w:szCs w:val="22"/>
        </w:rPr>
        <w:t xml:space="preserve">sustained long-term engagement and </w:t>
      </w:r>
      <w:r w:rsidR="00D53106" w:rsidRPr="00A8649E">
        <w:rPr>
          <w:kern w:val="22"/>
          <w:szCs w:val="22"/>
        </w:rPr>
        <w:t xml:space="preserve">in a </w:t>
      </w:r>
      <w:r w:rsidR="00FE0C10" w:rsidRPr="00A8649E">
        <w:rPr>
          <w:kern w:val="22"/>
          <w:szCs w:val="22"/>
        </w:rPr>
        <w:t xml:space="preserve">holistic and </w:t>
      </w:r>
      <w:r w:rsidR="006177BA" w:rsidRPr="00A8649E">
        <w:rPr>
          <w:kern w:val="22"/>
          <w:szCs w:val="22"/>
        </w:rPr>
        <w:t xml:space="preserve">integrated </w:t>
      </w:r>
      <w:r w:rsidR="00CE5ECF" w:rsidRPr="00A8649E">
        <w:rPr>
          <w:kern w:val="22"/>
          <w:szCs w:val="22"/>
        </w:rPr>
        <w:t>manner</w:t>
      </w:r>
      <w:r w:rsidR="0000750E" w:rsidRPr="00A8649E">
        <w:rPr>
          <w:kern w:val="22"/>
          <w:szCs w:val="22"/>
        </w:rPr>
        <w:t xml:space="preserve">, </w:t>
      </w:r>
      <w:r w:rsidR="001F76D4" w:rsidRPr="00A8649E">
        <w:rPr>
          <w:kern w:val="22"/>
          <w:szCs w:val="22"/>
        </w:rPr>
        <w:t>whereby</w:t>
      </w:r>
      <w:r w:rsidR="0083625E" w:rsidRPr="00A8649E">
        <w:rPr>
          <w:kern w:val="22"/>
          <w:szCs w:val="22"/>
        </w:rPr>
        <w:t xml:space="preserve"> </w:t>
      </w:r>
      <w:r w:rsidR="00F23EC2" w:rsidRPr="00A8649E">
        <w:rPr>
          <w:kern w:val="22"/>
          <w:szCs w:val="22"/>
        </w:rPr>
        <w:t xml:space="preserve">various interventions (activities, projects and other initiatives) </w:t>
      </w:r>
      <w:r w:rsidR="00644736" w:rsidRPr="00A8649E">
        <w:rPr>
          <w:kern w:val="22"/>
          <w:szCs w:val="22"/>
        </w:rPr>
        <w:t>unified by an overarching vision and common objectives</w:t>
      </w:r>
      <w:r w:rsidR="000F417A" w:rsidRPr="00A8649E">
        <w:rPr>
          <w:kern w:val="22"/>
          <w:szCs w:val="22"/>
        </w:rPr>
        <w:t>,</w:t>
      </w:r>
      <w:r w:rsidR="00644736" w:rsidRPr="00A8649E">
        <w:rPr>
          <w:kern w:val="22"/>
          <w:szCs w:val="22"/>
        </w:rPr>
        <w:t xml:space="preserve"> </w:t>
      </w:r>
      <w:r w:rsidR="00F6237F" w:rsidRPr="00A8649E">
        <w:rPr>
          <w:kern w:val="22"/>
          <w:szCs w:val="22"/>
        </w:rPr>
        <w:t>are</w:t>
      </w:r>
      <w:r w:rsidR="003011C5" w:rsidRPr="00A8649E">
        <w:rPr>
          <w:kern w:val="22"/>
          <w:szCs w:val="22"/>
        </w:rPr>
        <w:t xml:space="preserve"> </w:t>
      </w:r>
      <w:r w:rsidR="006177BA" w:rsidRPr="00A8649E">
        <w:rPr>
          <w:kern w:val="22"/>
          <w:szCs w:val="22"/>
        </w:rPr>
        <w:t xml:space="preserve">interconnected </w:t>
      </w:r>
      <w:r w:rsidR="003D62D4" w:rsidRPr="00A8649E">
        <w:rPr>
          <w:kern w:val="22"/>
          <w:szCs w:val="22"/>
        </w:rPr>
        <w:t xml:space="preserve">to </w:t>
      </w:r>
      <w:r w:rsidR="006177BA" w:rsidRPr="00A8649E">
        <w:rPr>
          <w:kern w:val="22"/>
          <w:szCs w:val="22"/>
        </w:rPr>
        <w:t>achiev</w:t>
      </w:r>
      <w:r w:rsidR="003D62D4" w:rsidRPr="00A8649E">
        <w:rPr>
          <w:kern w:val="22"/>
          <w:szCs w:val="22"/>
        </w:rPr>
        <w:t>e</w:t>
      </w:r>
      <w:r w:rsidR="0083625E" w:rsidRPr="00A8649E">
        <w:rPr>
          <w:kern w:val="22"/>
          <w:szCs w:val="22"/>
        </w:rPr>
        <w:t xml:space="preserve"> </w:t>
      </w:r>
      <w:r w:rsidR="006177BA" w:rsidRPr="00A8649E">
        <w:rPr>
          <w:kern w:val="22"/>
          <w:szCs w:val="22"/>
        </w:rPr>
        <w:t>larger-scale and sustained impact</w:t>
      </w:r>
      <w:r w:rsidR="00CF7487" w:rsidRPr="00A8649E">
        <w:rPr>
          <w:kern w:val="22"/>
          <w:szCs w:val="22"/>
        </w:rPr>
        <w:t xml:space="preserve"> </w:t>
      </w:r>
      <w:r w:rsidR="00917236" w:rsidRPr="00A8649E">
        <w:rPr>
          <w:kern w:val="22"/>
          <w:szCs w:val="22"/>
        </w:rPr>
        <w:t xml:space="preserve">that </w:t>
      </w:r>
      <w:r w:rsidR="00CF7487" w:rsidRPr="00A8649E">
        <w:rPr>
          <w:kern w:val="22"/>
          <w:szCs w:val="22"/>
        </w:rPr>
        <w:t xml:space="preserve">is </w:t>
      </w:r>
      <w:r w:rsidR="00917236" w:rsidRPr="00A8649E">
        <w:rPr>
          <w:kern w:val="22"/>
          <w:szCs w:val="22"/>
        </w:rPr>
        <w:t>more than the sum of its components</w:t>
      </w:r>
      <w:r w:rsidR="003446DC" w:rsidRPr="00A8649E">
        <w:rPr>
          <w:kern w:val="22"/>
          <w:szCs w:val="22"/>
        </w:rPr>
        <w:t>;</w:t>
      </w:r>
    </w:p>
    <w:p w14:paraId="75DEFC73" w14:textId="2AF3FA2A" w:rsidR="001419F3" w:rsidRPr="00A8649E" w:rsidRDefault="001419F3"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iCs/>
          <w:kern w:val="22"/>
          <w:szCs w:val="22"/>
        </w:rPr>
      </w:pPr>
      <w:r w:rsidRPr="00A8649E">
        <w:rPr>
          <w:i/>
          <w:kern w:val="22"/>
          <w:szCs w:val="22"/>
        </w:rPr>
        <w:t xml:space="preserve">Synergistic: </w:t>
      </w:r>
      <w:r w:rsidR="00C34EA8" w:rsidRPr="00A8649E">
        <w:rPr>
          <w:iCs/>
          <w:kern w:val="22"/>
          <w:szCs w:val="22"/>
        </w:rPr>
        <w:t>I</w:t>
      </w:r>
      <w:r w:rsidRPr="00A8649E">
        <w:rPr>
          <w:iCs/>
          <w:kern w:val="22"/>
          <w:szCs w:val="22"/>
        </w:rPr>
        <w:t xml:space="preserve">nitiatives </w:t>
      </w:r>
      <w:r w:rsidR="001B118B" w:rsidRPr="00A8649E">
        <w:rPr>
          <w:iCs/>
          <w:kern w:val="22"/>
          <w:szCs w:val="22"/>
        </w:rPr>
        <w:t xml:space="preserve">should </w:t>
      </w:r>
      <w:bookmarkStart w:id="3" w:name="_Hlk50997464"/>
      <w:r w:rsidR="00050156" w:rsidRPr="00A8649E">
        <w:rPr>
          <w:iCs/>
          <w:kern w:val="22"/>
          <w:szCs w:val="22"/>
        </w:rPr>
        <w:t xml:space="preserve">be implemented in </w:t>
      </w:r>
      <w:r w:rsidR="00CE1032" w:rsidRPr="00A8649E">
        <w:rPr>
          <w:iCs/>
          <w:kern w:val="22"/>
          <w:szCs w:val="22"/>
        </w:rPr>
        <w:t>a</w:t>
      </w:r>
      <w:r w:rsidR="004231AC" w:rsidRPr="00A8649E">
        <w:rPr>
          <w:iCs/>
          <w:kern w:val="22"/>
          <w:szCs w:val="22"/>
        </w:rPr>
        <w:t xml:space="preserve"> collab</w:t>
      </w:r>
      <w:r w:rsidR="00CB2550" w:rsidRPr="00A8649E">
        <w:rPr>
          <w:iCs/>
          <w:kern w:val="22"/>
          <w:szCs w:val="22"/>
        </w:rPr>
        <w:t xml:space="preserve">orative, </w:t>
      </w:r>
      <w:r w:rsidR="00CF3020" w:rsidRPr="00A8649E">
        <w:rPr>
          <w:iCs/>
          <w:kern w:val="22"/>
          <w:szCs w:val="22"/>
        </w:rPr>
        <w:t>interlinked</w:t>
      </w:r>
      <w:r w:rsidR="00414457" w:rsidRPr="00A8649E">
        <w:rPr>
          <w:iCs/>
          <w:kern w:val="22"/>
          <w:szCs w:val="22"/>
        </w:rPr>
        <w:t xml:space="preserve">, </w:t>
      </w:r>
      <w:r w:rsidR="00BF6C2C" w:rsidRPr="00A8649E">
        <w:rPr>
          <w:iCs/>
          <w:kern w:val="22"/>
          <w:szCs w:val="22"/>
        </w:rPr>
        <w:t>compl</w:t>
      </w:r>
      <w:r w:rsidR="00E25DBC" w:rsidRPr="00A8649E">
        <w:rPr>
          <w:iCs/>
          <w:kern w:val="22"/>
          <w:szCs w:val="22"/>
        </w:rPr>
        <w:t>ement</w:t>
      </w:r>
      <w:r w:rsidR="003D36B6" w:rsidRPr="00A8649E">
        <w:rPr>
          <w:iCs/>
          <w:kern w:val="22"/>
          <w:szCs w:val="22"/>
        </w:rPr>
        <w:t xml:space="preserve">ary </w:t>
      </w:r>
      <w:r w:rsidR="00B65225" w:rsidRPr="00A8649E">
        <w:rPr>
          <w:iCs/>
          <w:kern w:val="22"/>
          <w:szCs w:val="22"/>
        </w:rPr>
        <w:t xml:space="preserve">and mutually </w:t>
      </w:r>
      <w:r w:rsidR="00414457" w:rsidRPr="00A8649E">
        <w:rPr>
          <w:iCs/>
          <w:kern w:val="22"/>
          <w:szCs w:val="22"/>
        </w:rPr>
        <w:t xml:space="preserve">supportive </w:t>
      </w:r>
      <w:r w:rsidR="003D36B6" w:rsidRPr="00A8649E">
        <w:rPr>
          <w:iCs/>
          <w:kern w:val="22"/>
          <w:szCs w:val="22"/>
        </w:rPr>
        <w:t>manner</w:t>
      </w:r>
      <w:r w:rsidR="00E25DBC" w:rsidRPr="00A8649E">
        <w:rPr>
          <w:iCs/>
          <w:kern w:val="22"/>
          <w:szCs w:val="22"/>
        </w:rPr>
        <w:t xml:space="preserve"> </w:t>
      </w:r>
      <w:r w:rsidR="00055221" w:rsidRPr="00A8649E">
        <w:rPr>
          <w:iCs/>
          <w:kern w:val="22"/>
          <w:szCs w:val="22"/>
        </w:rPr>
        <w:t xml:space="preserve">to </w:t>
      </w:r>
      <w:r w:rsidR="003D36B6" w:rsidRPr="00A8649E">
        <w:rPr>
          <w:iCs/>
          <w:kern w:val="22"/>
          <w:szCs w:val="22"/>
        </w:rPr>
        <w:t xml:space="preserve">achieve </w:t>
      </w:r>
      <w:bookmarkEnd w:id="3"/>
      <w:r w:rsidR="00055221" w:rsidRPr="00A8649E">
        <w:rPr>
          <w:iCs/>
          <w:kern w:val="22"/>
          <w:szCs w:val="22"/>
        </w:rPr>
        <w:t xml:space="preserve">enhanced impact in </w:t>
      </w:r>
      <w:r w:rsidRPr="00A8649E">
        <w:rPr>
          <w:iCs/>
          <w:kern w:val="22"/>
          <w:szCs w:val="22"/>
        </w:rPr>
        <w:t>support</w:t>
      </w:r>
      <w:r w:rsidR="00055221" w:rsidRPr="00A8649E">
        <w:rPr>
          <w:iCs/>
          <w:kern w:val="22"/>
          <w:szCs w:val="22"/>
        </w:rPr>
        <w:t>ing the implementation</w:t>
      </w:r>
      <w:r w:rsidRPr="00A8649E">
        <w:rPr>
          <w:iCs/>
          <w:kern w:val="22"/>
          <w:szCs w:val="22"/>
        </w:rPr>
        <w:t xml:space="preserve"> of the post-2020 global biodiversity framework at all levels and across </w:t>
      </w:r>
      <w:r w:rsidR="00E53B27" w:rsidRPr="00A8649E">
        <w:rPr>
          <w:iCs/>
          <w:kern w:val="22"/>
          <w:szCs w:val="22"/>
        </w:rPr>
        <w:t>c</w:t>
      </w:r>
      <w:r w:rsidRPr="00A8649E">
        <w:rPr>
          <w:iCs/>
          <w:kern w:val="22"/>
          <w:szCs w:val="22"/>
        </w:rPr>
        <w:t>onventions, processes and sector</w:t>
      </w:r>
      <w:r w:rsidR="005177CA" w:rsidRPr="00A8649E">
        <w:rPr>
          <w:iCs/>
          <w:kern w:val="22"/>
          <w:szCs w:val="22"/>
        </w:rPr>
        <w:t>s</w:t>
      </w:r>
      <w:r w:rsidRPr="00A8649E">
        <w:rPr>
          <w:iCs/>
          <w:kern w:val="22"/>
          <w:szCs w:val="22"/>
        </w:rPr>
        <w:t>;</w:t>
      </w:r>
    </w:p>
    <w:p w14:paraId="7B4D5C0D" w14:textId="52847C8B" w:rsidR="00B04DF6" w:rsidRPr="00A8649E" w:rsidRDefault="00E04BC8"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kern w:val="22"/>
          <w:szCs w:val="22"/>
        </w:rPr>
        <w:t>Multi-stakeholder engag</w:t>
      </w:r>
      <w:r w:rsidR="0054390D" w:rsidRPr="00A8649E">
        <w:rPr>
          <w:i/>
          <w:kern w:val="22"/>
          <w:szCs w:val="22"/>
        </w:rPr>
        <w:t>e</w:t>
      </w:r>
      <w:r w:rsidRPr="00A8649E">
        <w:rPr>
          <w:i/>
          <w:kern w:val="22"/>
          <w:szCs w:val="22"/>
        </w:rPr>
        <w:t>ment</w:t>
      </w:r>
      <w:r w:rsidR="00B04DF6" w:rsidRPr="00A8649E">
        <w:rPr>
          <w:i/>
          <w:kern w:val="22"/>
          <w:szCs w:val="22"/>
        </w:rPr>
        <w:t>:</w:t>
      </w:r>
      <w:r w:rsidR="00B04DF6" w:rsidRPr="00A8649E">
        <w:rPr>
          <w:kern w:val="22"/>
          <w:szCs w:val="22"/>
        </w:rPr>
        <w:t xml:space="preserve"> </w:t>
      </w:r>
      <w:r w:rsidR="00C34EA8" w:rsidRPr="00A8649E">
        <w:rPr>
          <w:kern w:val="22"/>
          <w:szCs w:val="22"/>
        </w:rPr>
        <w:t>I</w:t>
      </w:r>
      <w:r w:rsidR="00B04DF6" w:rsidRPr="00A8649E">
        <w:rPr>
          <w:kern w:val="22"/>
          <w:szCs w:val="22"/>
        </w:rPr>
        <w:t xml:space="preserve">nitiatives </w:t>
      </w:r>
      <w:r w:rsidR="00142389" w:rsidRPr="00A8649E">
        <w:rPr>
          <w:kern w:val="22"/>
          <w:szCs w:val="22"/>
        </w:rPr>
        <w:t xml:space="preserve">should </w:t>
      </w:r>
      <w:r w:rsidR="00B04DF6" w:rsidRPr="00A8649E">
        <w:rPr>
          <w:kern w:val="22"/>
          <w:szCs w:val="22"/>
        </w:rPr>
        <w:t>active</w:t>
      </w:r>
      <w:r w:rsidR="001D5E8B" w:rsidRPr="00A8649E">
        <w:rPr>
          <w:kern w:val="22"/>
          <w:szCs w:val="22"/>
        </w:rPr>
        <w:t>ly</w:t>
      </w:r>
      <w:r w:rsidR="00B04DF6" w:rsidRPr="00A8649E">
        <w:rPr>
          <w:kern w:val="22"/>
          <w:szCs w:val="22"/>
        </w:rPr>
        <w:t xml:space="preserve"> engage relevant societal actors, institutional partners and providers of technical assistance, including (</w:t>
      </w:r>
      <w:proofErr w:type="spellStart"/>
      <w:r w:rsidR="00B04DF6" w:rsidRPr="00A8649E">
        <w:rPr>
          <w:kern w:val="22"/>
          <w:szCs w:val="22"/>
        </w:rPr>
        <w:t>i</w:t>
      </w:r>
      <w:proofErr w:type="spellEnd"/>
      <w:r w:rsidR="00B04DF6" w:rsidRPr="00A8649E">
        <w:rPr>
          <w:kern w:val="22"/>
          <w:szCs w:val="22"/>
        </w:rPr>
        <w:t>) </w:t>
      </w:r>
      <w:r w:rsidR="00B04DF6" w:rsidRPr="00700732">
        <w:rPr>
          <w:kern w:val="22"/>
        </w:rPr>
        <w:t>indigenous peoples and local communities and their networks;</w:t>
      </w:r>
      <w:r w:rsidR="00B04DF6" w:rsidRPr="00A8649E">
        <w:rPr>
          <w:kern w:val="22"/>
          <w:szCs w:val="22"/>
        </w:rPr>
        <w:t xml:space="preserve"> (ii) multidisciplinary research and professional networks</w:t>
      </w:r>
      <w:r w:rsidR="00142389" w:rsidRPr="00A8649E">
        <w:rPr>
          <w:kern w:val="22"/>
          <w:szCs w:val="22"/>
        </w:rPr>
        <w:t>;</w:t>
      </w:r>
      <w:r w:rsidR="00B04DF6" w:rsidRPr="00700732">
        <w:rPr>
          <w:kern w:val="22"/>
        </w:rPr>
        <w:t xml:space="preserve"> (iii) civil society, including youth networks</w:t>
      </w:r>
      <w:r w:rsidR="00142389" w:rsidRPr="00700732">
        <w:rPr>
          <w:kern w:val="22"/>
        </w:rPr>
        <w:t>;</w:t>
      </w:r>
      <w:r w:rsidR="00B04DF6" w:rsidRPr="00A8649E">
        <w:rPr>
          <w:kern w:val="22"/>
          <w:szCs w:val="22"/>
        </w:rPr>
        <w:t xml:space="preserve"> (iv) academic and scientific institutions</w:t>
      </w:r>
      <w:r w:rsidR="00142389" w:rsidRPr="00A8649E">
        <w:rPr>
          <w:kern w:val="22"/>
          <w:szCs w:val="22"/>
        </w:rPr>
        <w:t>;</w:t>
      </w:r>
      <w:r w:rsidR="00B04DF6" w:rsidRPr="001F69A7">
        <w:rPr>
          <w:kern w:val="22"/>
          <w:szCs w:val="22"/>
        </w:rPr>
        <w:t xml:space="preserve"> (v) the private sector</w:t>
      </w:r>
      <w:r w:rsidR="00142389" w:rsidRPr="00FD0CD1">
        <w:rPr>
          <w:kern w:val="22"/>
          <w:szCs w:val="22"/>
        </w:rPr>
        <w:t>;</w:t>
      </w:r>
      <w:r w:rsidR="00B04DF6" w:rsidRPr="003B5AB1">
        <w:rPr>
          <w:kern w:val="22"/>
          <w:szCs w:val="22"/>
        </w:rPr>
        <w:t xml:space="preserve"> (vi) subnational, national and regional governmental institutions</w:t>
      </w:r>
      <w:r w:rsidR="00142389" w:rsidRPr="003B5AB1">
        <w:rPr>
          <w:kern w:val="22"/>
          <w:szCs w:val="22"/>
        </w:rPr>
        <w:t>;</w:t>
      </w:r>
      <w:r w:rsidR="00B04DF6" w:rsidRPr="00146C5A">
        <w:rPr>
          <w:kern w:val="22"/>
          <w:szCs w:val="22"/>
        </w:rPr>
        <w:t xml:space="preserve"> (vii) national and international non-governmental </w:t>
      </w:r>
      <w:r w:rsidR="00B04DF6" w:rsidRPr="00146C5A">
        <w:rPr>
          <w:kern w:val="22"/>
          <w:szCs w:val="22"/>
        </w:rPr>
        <w:lastRenderedPageBreak/>
        <w:t>organizations, including organizations engaging in citizen science</w:t>
      </w:r>
      <w:r w:rsidR="00142389" w:rsidRPr="00A8649E">
        <w:rPr>
          <w:kern w:val="22"/>
          <w:szCs w:val="22"/>
        </w:rPr>
        <w:t>;</w:t>
      </w:r>
      <w:r w:rsidR="00B04DF6" w:rsidRPr="00A8649E">
        <w:rPr>
          <w:kern w:val="22"/>
          <w:szCs w:val="22"/>
        </w:rPr>
        <w:t xml:space="preserve"> (viii) bilateral and multilateral institutions</w:t>
      </w:r>
      <w:r w:rsidR="00142389" w:rsidRPr="00A8649E">
        <w:rPr>
          <w:kern w:val="22"/>
          <w:szCs w:val="22"/>
        </w:rPr>
        <w:t>;</w:t>
      </w:r>
      <w:r w:rsidR="00B04DF6" w:rsidRPr="00A8649E">
        <w:rPr>
          <w:kern w:val="22"/>
          <w:szCs w:val="22"/>
        </w:rPr>
        <w:t xml:space="preserve"> and (</w:t>
      </w:r>
      <w:r w:rsidR="00960E0F" w:rsidRPr="00A8649E">
        <w:rPr>
          <w:kern w:val="22"/>
          <w:szCs w:val="22"/>
        </w:rPr>
        <w:t>i</w:t>
      </w:r>
      <w:r w:rsidR="00B04DF6" w:rsidRPr="00A8649E">
        <w:rPr>
          <w:kern w:val="22"/>
          <w:szCs w:val="22"/>
        </w:rPr>
        <w:t>x) funding institutions;</w:t>
      </w:r>
    </w:p>
    <w:p w14:paraId="61D16990" w14:textId="4EAB2A35"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kern w:val="22"/>
          <w:szCs w:val="22"/>
        </w:rPr>
        <w:t>Mutual respect:</w:t>
      </w:r>
      <w:r w:rsidRPr="00A8649E">
        <w:rPr>
          <w:kern w:val="22"/>
          <w:szCs w:val="22"/>
        </w:rPr>
        <w:t xml:space="preserve"> </w:t>
      </w:r>
      <w:r w:rsidR="00C34EA8" w:rsidRPr="00A8649E">
        <w:rPr>
          <w:kern w:val="22"/>
          <w:szCs w:val="22"/>
        </w:rPr>
        <w:t>I</w:t>
      </w:r>
      <w:r w:rsidRPr="00A8649E">
        <w:rPr>
          <w:kern w:val="22"/>
          <w:szCs w:val="22"/>
        </w:rPr>
        <w:t>nitiatives</w:t>
      </w:r>
      <w:r w:rsidR="00C34EA8" w:rsidRPr="00A8649E">
        <w:rPr>
          <w:kern w:val="22"/>
          <w:szCs w:val="22"/>
        </w:rPr>
        <w:t xml:space="preserve"> </w:t>
      </w:r>
      <w:r w:rsidR="00D50FFC" w:rsidRPr="00A8649E">
        <w:rPr>
          <w:kern w:val="22"/>
          <w:szCs w:val="22"/>
        </w:rPr>
        <w:t>should</w:t>
      </w:r>
      <w:r w:rsidRPr="00A8649E">
        <w:rPr>
          <w:kern w:val="22"/>
          <w:szCs w:val="22"/>
        </w:rPr>
        <w:t xml:space="preserve"> adhere to the principles of mutual respect and equality</w:t>
      </w:r>
      <w:r w:rsidR="005701BF" w:rsidRPr="00A8649E">
        <w:rPr>
          <w:kern w:val="22"/>
          <w:szCs w:val="22"/>
        </w:rPr>
        <w:t xml:space="preserve"> </w:t>
      </w:r>
      <w:r w:rsidRPr="00A8649E">
        <w:rPr>
          <w:kern w:val="22"/>
          <w:szCs w:val="22"/>
        </w:rPr>
        <w:t>and mutual benefit, under a human rights approach,</w:t>
      </w:r>
      <w:r w:rsidRPr="00700732">
        <w:rPr>
          <w:kern w:val="22"/>
        </w:rPr>
        <w:t xml:space="preserve"> including respect for diverse knowledge systems including the knowledge and experience of practitioners, indigenous peoples and local communities</w:t>
      </w:r>
      <w:r w:rsidRPr="00A8649E">
        <w:rPr>
          <w:kern w:val="22"/>
          <w:szCs w:val="22"/>
        </w:rPr>
        <w:t>;</w:t>
      </w:r>
    </w:p>
    <w:p w14:paraId="39CBA97B" w14:textId="23B5EC74"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1F69A7">
        <w:rPr>
          <w:i/>
          <w:kern w:val="22"/>
          <w:szCs w:val="22"/>
        </w:rPr>
        <w:t>R</w:t>
      </w:r>
      <w:r w:rsidRPr="00FD0CD1">
        <w:rPr>
          <w:i/>
          <w:kern w:val="22"/>
          <w:szCs w:val="22"/>
        </w:rPr>
        <w:t>espect for regulatory requirements:</w:t>
      </w:r>
      <w:r w:rsidRPr="003B5AB1">
        <w:rPr>
          <w:kern w:val="22"/>
          <w:szCs w:val="22"/>
        </w:rPr>
        <w:t xml:space="preserve"> </w:t>
      </w:r>
      <w:r w:rsidR="00C34EA8" w:rsidRPr="003B5AB1">
        <w:rPr>
          <w:kern w:val="22"/>
          <w:szCs w:val="22"/>
        </w:rPr>
        <w:t>I</w:t>
      </w:r>
      <w:r w:rsidR="00D50FFC" w:rsidRPr="003B5AB1">
        <w:rPr>
          <w:kern w:val="22"/>
          <w:szCs w:val="22"/>
        </w:rPr>
        <w:t xml:space="preserve">nitiatives should </w:t>
      </w:r>
      <w:r w:rsidR="00EA1E37" w:rsidRPr="003B5AB1">
        <w:rPr>
          <w:kern w:val="22"/>
          <w:szCs w:val="22"/>
        </w:rPr>
        <w:t xml:space="preserve">adhere </w:t>
      </w:r>
      <w:r w:rsidRPr="00146C5A">
        <w:rPr>
          <w:kern w:val="22"/>
          <w:szCs w:val="22"/>
        </w:rPr>
        <w:t>to appropriate and proportionate safeguards and comply with the legal and regulatory requirements of collaborating countries;</w:t>
      </w:r>
    </w:p>
    <w:p w14:paraId="5531AA4D" w14:textId="3FAAC294"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kern w:val="22"/>
          <w:szCs w:val="22"/>
        </w:rPr>
        <w:t xml:space="preserve">Continuous </w:t>
      </w:r>
      <w:r w:rsidR="003253DD" w:rsidRPr="00A8649E">
        <w:rPr>
          <w:i/>
          <w:kern w:val="22"/>
          <w:szCs w:val="22"/>
        </w:rPr>
        <w:t>learning</w:t>
      </w:r>
      <w:r w:rsidRPr="00A8649E">
        <w:rPr>
          <w:i/>
          <w:kern w:val="22"/>
          <w:szCs w:val="22"/>
        </w:rPr>
        <w:t xml:space="preserve">: </w:t>
      </w:r>
      <w:r w:rsidR="00C34EA8" w:rsidRPr="00A8649E">
        <w:rPr>
          <w:iCs/>
          <w:kern w:val="22"/>
          <w:szCs w:val="22"/>
        </w:rPr>
        <w:t>I</w:t>
      </w:r>
      <w:r w:rsidRPr="00A8649E">
        <w:rPr>
          <w:kern w:val="22"/>
          <w:szCs w:val="22"/>
        </w:rPr>
        <w:t xml:space="preserve">nitiatives </w:t>
      </w:r>
      <w:r w:rsidR="00D50FFC" w:rsidRPr="00A8649E">
        <w:rPr>
          <w:kern w:val="22"/>
          <w:szCs w:val="22"/>
        </w:rPr>
        <w:t>should incorporate</w:t>
      </w:r>
      <w:r w:rsidRPr="00A8649E">
        <w:rPr>
          <w:kern w:val="22"/>
          <w:szCs w:val="22"/>
        </w:rPr>
        <w:t xml:space="preserve"> provisions for continuous education and learning opportunities, including interdisciplinary education in the research and development of new and emerging technologies, as a part of the long-term programmatic approach to strengthen the technical knowledge of the recipients</w:t>
      </w:r>
      <w:r w:rsidR="00A2705B" w:rsidRPr="00A8649E">
        <w:rPr>
          <w:kern w:val="22"/>
          <w:szCs w:val="22"/>
        </w:rPr>
        <w:t>;</w:t>
      </w:r>
    </w:p>
    <w:p w14:paraId="6D5F24E9" w14:textId="0EBBA807"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i/>
          <w:kern w:val="22"/>
          <w:szCs w:val="22"/>
        </w:rPr>
      </w:pPr>
      <w:r w:rsidRPr="00A8649E">
        <w:rPr>
          <w:i/>
          <w:kern w:val="22"/>
          <w:szCs w:val="22"/>
        </w:rPr>
        <w:t xml:space="preserve">Participation: </w:t>
      </w:r>
      <w:r w:rsidR="00822E9D" w:rsidRPr="00A8649E">
        <w:rPr>
          <w:iCs/>
          <w:kern w:val="22"/>
          <w:szCs w:val="22"/>
        </w:rPr>
        <w:t>I</w:t>
      </w:r>
      <w:r w:rsidR="00D50FFC" w:rsidRPr="00A8649E">
        <w:rPr>
          <w:iCs/>
          <w:kern w:val="22"/>
          <w:szCs w:val="22"/>
        </w:rPr>
        <w:t xml:space="preserve">nitiatives </w:t>
      </w:r>
      <w:r w:rsidRPr="00A8649E">
        <w:rPr>
          <w:iCs/>
          <w:kern w:val="22"/>
          <w:szCs w:val="22"/>
        </w:rPr>
        <w:t>s</w:t>
      </w:r>
      <w:r w:rsidR="00142389" w:rsidRPr="00A8649E">
        <w:rPr>
          <w:iCs/>
          <w:kern w:val="22"/>
          <w:szCs w:val="22"/>
        </w:rPr>
        <w:t>hould s</w:t>
      </w:r>
      <w:r w:rsidRPr="00A8649E">
        <w:rPr>
          <w:iCs/>
          <w:kern w:val="22"/>
          <w:szCs w:val="22"/>
        </w:rPr>
        <w:t>eek to maximize participatory approaches, recognizing the value of drawing on diverse perspectives</w:t>
      </w:r>
      <w:r w:rsidR="005948ED" w:rsidRPr="00A8649E">
        <w:rPr>
          <w:iCs/>
          <w:kern w:val="22"/>
          <w:szCs w:val="22"/>
        </w:rPr>
        <w:t>,</w:t>
      </w:r>
      <w:r w:rsidRPr="00A8649E">
        <w:rPr>
          <w:iCs/>
          <w:kern w:val="22"/>
          <w:szCs w:val="22"/>
        </w:rPr>
        <w:t xml:space="preserve"> including those from outside the technical and scientific realm;</w:t>
      </w:r>
      <w:r w:rsidRPr="00A8649E">
        <w:rPr>
          <w:i/>
          <w:kern w:val="22"/>
          <w:szCs w:val="22"/>
        </w:rPr>
        <w:t xml:space="preserve"> </w:t>
      </w:r>
    </w:p>
    <w:p w14:paraId="7617EFC9" w14:textId="14F778B1"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iCs/>
          <w:kern w:val="22"/>
          <w:szCs w:val="22"/>
        </w:rPr>
      </w:pPr>
      <w:r w:rsidRPr="00A8649E">
        <w:rPr>
          <w:i/>
          <w:kern w:val="22"/>
          <w:szCs w:val="22"/>
        </w:rPr>
        <w:t xml:space="preserve">Precaution: </w:t>
      </w:r>
      <w:r w:rsidR="00174CCA" w:rsidRPr="00A8649E">
        <w:rPr>
          <w:iCs/>
          <w:kern w:val="22"/>
          <w:szCs w:val="22"/>
        </w:rPr>
        <w:t>I</w:t>
      </w:r>
      <w:r w:rsidR="00D50FFC" w:rsidRPr="00A8649E">
        <w:rPr>
          <w:iCs/>
          <w:kern w:val="22"/>
          <w:szCs w:val="22"/>
        </w:rPr>
        <w:t xml:space="preserve">nitiatives should </w:t>
      </w:r>
      <w:r w:rsidRPr="00A8649E">
        <w:rPr>
          <w:iCs/>
          <w:kern w:val="22"/>
          <w:szCs w:val="22"/>
        </w:rPr>
        <w:t>operationali</w:t>
      </w:r>
      <w:r w:rsidR="00886446" w:rsidRPr="00A8649E">
        <w:rPr>
          <w:iCs/>
          <w:kern w:val="22"/>
          <w:szCs w:val="22"/>
        </w:rPr>
        <w:t>z</w:t>
      </w:r>
      <w:r w:rsidRPr="00A8649E">
        <w:rPr>
          <w:iCs/>
          <w:kern w:val="22"/>
          <w:szCs w:val="22"/>
        </w:rPr>
        <w:t>e the precautionary approach as set out in the Convention</w:t>
      </w:r>
      <w:r w:rsidR="00784A90" w:rsidRPr="00A8649E">
        <w:rPr>
          <w:iCs/>
          <w:kern w:val="22"/>
          <w:szCs w:val="22"/>
        </w:rPr>
        <w:t xml:space="preserve"> on Biological Diversity</w:t>
      </w:r>
      <w:r w:rsidRPr="00A8649E">
        <w:rPr>
          <w:iCs/>
          <w:kern w:val="22"/>
          <w:szCs w:val="22"/>
        </w:rPr>
        <w:t xml:space="preserve"> and its protocols as a balance against risks arising from new technological threats;</w:t>
      </w:r>
    </w:p>
    <w:p w14:paraId="0F56D6A7" w14:textId="0FC57F9F"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iCs/>
          <w:kern w:val="22"/>
          <w:szCs w:val="22"/>
        </w:rPr>
      </w:pPr>
      <w:r w:rsidRPr="00A8649E">
        <w:rPr>
          <w:i/>
          <w:kern w:val="22"/>
          <w:szCs w:val="22"/>
        </w:rPr>
        <w:t>Free</w:t>
      </w:r>
      <w:r w:rsidR="00A15B1F" w:rsidRPr="00A8649E">
        <w:rPr>
          <w:i/>
          <w:kern w:val="22"/>
          <w:szCs w:val="22"/>
        </w:rPr>
        <w:t>,</w:t>
      </w:r>
      <w:r w:rsidRPr="00A8649E">
        <w:rPr>
          <w:i/>
          <w:kern w:val="22"/>
          <w:szCs w:val="22"/>
        </w:rPr>
        <w:t xml:space="preserve"> </w:t>
      </w:r>
      <w:r w:rsidR="007446CC" w:rsidRPr="00A8649E">
        <w:rPr>
          <w:i/>
          <w:kern w:val="22"/>
          <w:szCs w:val="22"/>
        </w:rPr>
        <w:t>prior and informed consent</w:t>
      </w:r>
      <w:r w:rsidRPr="00A8649E">
        <w:rPr>
          <w:i/>
          <w:kern w:val="22"/>
          <w:szCs w:val="22"/>
        </w:rPr>
        <w:t xml:space="preserve">: </w:t>
      </w:r>
      <w:r w:rsidR="00822E9D" w:rsidRPr="00A8649E">
        <w:rPr>
          <w:iCs/>
          <w:kern w:val="22"/>
          <w:szCs w:val="22"/>
        </w:rPr>
        <w:t>I</w:t>
      </w:r>
      <w:r w:rsidR="00D50FFC" w:rsidRPr="00A8649E">
        <w:rPr>
          <w:iCs/>
          <w:kern w:val="22"/>
          <w:szCs w:val="22"/>
        </w:rPr>
        <w:t>nitiatives</w:t>
      </w:r>
      <w:r w:rsidR="00170BCA" w:rsidRPr="00A8649E">
        <w:rPr>
          <w:iCs/>
          <w:kern w:val="22"/>
          <w:szCs w:val="22"/>
        </w:rPr>
        <w:t xml:space="preserve"> should</w:t>
      </w:r>
      <w:r w:rsidR="00D50FFC" w:rsidRPr="00A8649E">
        <w:rPr>
          <w:iCs/>
          <w:kern w:val="22"/>
          <w:szCs w:val="22"/>
        </w:rPr>
        <w:t xml:space="preserve"> </w:t>
      </w:r>
      <w:r w:rsidRPr="00A8649E">
        <w:rPr>
          <w:iCs/>
          <w:kern w:val="22"/>
          <w:szCs w:val="22"/>
        </w:rPr>
        <w:t>respect the principle of free</w:t>
      </w:r>
      <w:r w:rsidR="00A15B1F" w:rsidRPr="00A8649E">
        <w:rPr>
          <w:iCs/>
          <w:kern w:val="22"/>
          <w:szCs w:val="22"/>
        </w:rPr>
        <w:t>,</w:t>
      </w:r>
      <w:r w:rsidRPr="00A8649E">
        <w:rPr>
          <w:iCs/>
          <w:kern w:val="22"/>
          <w:szCs w:val="22"/>
        </w:rPr>
        <w:t xml:space="preserve"> prior and informed consent of </w:t>
      </w:r>
      <w:r w:rsidR="00886446" w:rsidRPr="00A8649E">
        <w:rPr>
          <w:iCs/>
          <w:kern w:val="22"/>
          <w:szCs w:val="22"/>
        </w:rPr>
        <w:t>i</w:t>
      </w:r>
      <w:r w:rsidRPr="00A8649E">
        <w:rPr>
          <w:iCs/>
          <w:kern w:val="22"/>
          <w:szCs w:val="22"/>
        </w:rPr>
        <w:t>ndigenous peoples and local communities when considering the introduction, dissemination or use of innovations that may potentially impact the</w:t>
      </w:r>
      <w:r w:rsidR="00142389" w:rsidRPr="00A8649E">
        <w:rPr>
          <w:iCs/>
          <w:kern w:val="22"/>
          <w:szCs w:val="22"/>
        </w:rPr>
        <w:t>ir</w:t>
      </w:r>
      <w:r w:rsidRPr="00A8649E">
        <w:rPr>
          <w:iCs/>
          <w:kern w:val="22"/>
          <w:szCs w:val="22"/>
        </w:rPr>
        <w:t xml:space="preserve"> rights, traditional practices and territories;</w:t>
      </w:r>
    </w:p>
    <w:p w14:paraId="1175760D" w14:textId="74DDD85E"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iCs/>
          <w:kern w:val="22"/>
          <w:szCs w:val="22"/>
        </w:rPr>
      </w:pPr>
      <w:r w:rsidRPr="00A8649E">
        <w:rPr>
          <w:i/>
          <w:kern w:val="22"/>
          <w:szCs w:val="22"/>
        </w:rPr>
        <w:t xml:space="preserve">Liability and </w:t>
      </w:r>
      <w:r w:rsidR="007446CC" w:rsidRPr="00A8649E">
        <w:rPr>
          <w:i/>
          <w:kern w:val="22"/>
          <w:szCs w:val="22"/>
        </w:rPr>
        <w:t>r</w:t>
      </w:r>
      <w:r w:rsidRPr="00A8649E">
        <w:rPr>
          <w:i/>
          <w:kern w:val="22"/>
          <w:szCs w:val="22"/>
        </w:rPr>
        <w:t xml:space="preserve">edress: </w:t>
      </w:r>
      <w:r w:rsidR="00822E9D" w:rsidRPr="00A8649E">
        <w:rPr>
          <w:iCs/>
          <w:kern w:val="22"/>
          <w:szCs w:val="22"/>
        </w:rPr>
        <w:t>I</w:t>
      </w:r>
      <w:r w:rsidRPr="00A8649E">
        <w:rPr>
          <w:iCs/>
          <w:kern w:val="22"/>
          <w:szCs w:val="22"/>
        </w:rPr>
        <w:t>nitiatives</w:t>
      </w:r>
      <w:r w:rsidR="00D50FFC" w:rsidRPr="00A8649E">
        <w:rPr>
          <w:iCs/>
          <w:kern w:val="22"/>
          <w:szCs w:val="22"/>
        </w:rPr>
        <w:t xml:space="preserve"> should</w:t>
      </w:r>
      <w:r w:rsidRPr="00A8649E">
        <w:rPr>
          <w:iCs/>
          <w:kern w:val="22"/>
          <w:szCs w:val="22"/>
        </w:rPr>
        <w:t xml:space="preserve"> </w:t>
      </w:r>
      <w:proofErr w:type="gramStart"/>
      <w:r w:rsidRPr="00A8649E">
        <w:rPr>
          <w:iCs/>
          <w:kern w:val="22"/>
          <w:szCs w:val="22"/>
        </w:rPr>
        <w:t>take into account</w:t>
      </w:r>
      <w:proofErr w:type="gramEnd"/>
      <w:r w:rsidRPr="00A8649E">
        <w:rPr>
          <w:iCs/>
          <w:kern w:val="22"/>
          <w:szCs w:val="22"/>
        </w:rPr>
        <w:t xml:space="preserve"> the requirement for ensuring liability and redress</w:t>
      </w:r>
      <w:r w:rsidR="00886446" w:rsidRPr="00A8649E">
        <w:rPr>
          <w:iCs/>
          <w:kern w:val="22"/>
          <w:szCs w:val="22"/>
        </w:rPr>
        <w:t>,</w:t>
      </w:r>
      <w:r w:rsidRPr="00A8649E">
        <w:rPr>
          <w:iCs/>
          <w:kern w:val="22"/>
          <w:szCs w:val="22"/>
        </w:rPr>
        <w:t xml:space="preserve"> as well as options for recall in the event the introduction or use of innovations cause unexpected or unanticipated adverse effects </w:t>
      </w:r>
      <w:r w:rsidR="00657166" w:rsidRPr="00A8649E">
        <w:rPr>
          <w:iCs/>
          <w:kern w:val="22"/>
          <w:szCs w:val="22"/>
        </w:rPr>
        <w:t>on</w:t>
      </w:r>
      <w:r w:rsidRPr="00A8649E">
        <w:rPr>
          <w:iCs/>
          <w:kern w:val="22"/>
          <w:szCs w:val="22"/>
        </w:rPr>
        <w:t xml:space="preserve"> </w:t>
      </w:r>
      <w:bookmarkStart w:id="4" w:name="_Hlk50998340"/>
      <w:r w:rsidR="0037237F" w:rsidRPr="00A8649E">
        <w:rPr>
          <w:iCs/>
          <w:kern w:val="22"/>
          <w:szCs w:val="22"/>
        </w:rPr>
        <w:t xml:space="preserve">the conservation and sustainable use of </w:t>
      </w:r>
      <w:bookmarkEnd w:id="4"/>
      <w:r w:rsidRPr="00A8649E">
        <w:rPr>
          <w:iCs/>
          <w:kern w:val="22"/>
          <w:szCs w:val="22"/>
        </w:rPr>
        <w:t>biodiversity.</w:t>
      </w:r>
    </w:p>
    <w:p w14:paraId="623E78BC" w14:textId="6FA8391E" w:rsidR="00B04DF6" w:rsidRPr="00700732" w:rsidRDefault="00B04DF6" w:rsidP="00DA01EF">
      <w:pPr>
        <w:pStyle w:val="Heading1"/>
        <w:numPr>
          <w:ilvl w:val="0"/>
          <w:numId w:val="51"/>
        </w:numPr>
        <w:suppressLineNumbers/>
        <w:tabs>
          <w:tab w:val="clear" w:pos="720"/>
        </w:tabs>
        <w:suppressAutoHyphens/>
        <w:kinsoku w:val="0"/>
        <w:overflowPunct w:val="0"/>
        <w:autoSpaceDE w:val="0"/>
        <w:autoSpaceDN w:val="0"/>
        <w:adjustRightInd w:val="0"/>
        <w:snapToGrid w:val="0"/>
        <w:spacing w:before="120"/>
        <w:ind w:left="720"/>
        <w:rPr>
          <w:snapToGrid w:val="0"/>
          <w:kern w:val="22"/>
        </w:rPr>
      </w:pPr>
      <w:r w:rsidRPr="00700732">
        <w:rPr>
          <w:snapToGrid w:val="0"/>
          <w:kern w:val="22"/>
        </w:rPr>
        <w:t>Main focal areas</w:t>
      </w:r>
    </w:p>
    <w:p w14:paraId="11AA9DFD" w14:textId="77777777" w:rsidR="00B04DF6" w:rsidRPr="00700732" w:rsidRDefault="00B04DF6"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Technical and scientific cooperation work in support of the post-2020 global biodiversity framework could be organized around the following focal areas:</w:t>
      </w:r>
    </w:p>
    <w:p w14:paraId="597BB6A5" w14:textId="09556AC8"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kern w:val="22"/>
          <w:szCs w:val="22"/>
        </w:rPr>
        <w:t>Science</w:t>
      </w:r>
      <w:r w:rsidRPr="00A8649E">
        <w:rPr>
          <w:kern w:val="22"/>
          <w:szCs w:val="22"/>
        </w:rPr>
        <w:t>: Promotion of research cooperation to foster effective generation and use of relevant scientific</w:t>
      </w:r>
      <w:r w:rsidRPr="00700732">
        <w:rPr>
          <w:color w:val="000000"/>
          <w:kern w:val="22"/>
          <w:szCs w:val="22"/>
        </w:rPr>
        <w:t xml:space="preserve"> and analytical</w:t>
      </w:r>
      <w:r w:rsidRPr="00A8649E">
        <w:rPr>
          <w:kern w:val="22"/>
          <w:szCs w:val="22"/>
        </w:rPr>
        <w:t xml:space="preserve"> information and facilitate science-policy dialogue to support evidence-based policies, actions, tools and mechanisms</w:t>
      </w:r>
      <w:r w:rsidR="00751CF1" w:rsidRPr="00A8649E">
        <w:rPr>
          <w:kern w:val="22"/>
          <w:szCs w:val="22"/>
        </w:rPr>
        <w:t>, based on or informed by the best available science</w:t>
      </w:r>
      <w:r w:rsidRPr="001F69A7">
        <w:rPr>
          <w:kern w:val="22"/>
          <w:szCs w:val="22"/>
        </w:rPr>
        <w:t>;</w:t>
      </w:r>
      <w:r w:rsidRPr="00A8649E">
        <w:rPr>
          <w:rStyle w:val="FootnoteReference"/>
          <w:kern w:val="22"/>
          <w:szCs w:val="22"/>
        </w:rPr>
        <w:footnoteReference w:id="15"/>
      </w:r>
    </w:p>
    <w:p w14:paraId="7A1AB992" w14:textId="57B00964"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1F69A7">
        <w:rPr>
          <w:i/>
          <w:kern w:val="22"/>
          <w:szCs w:val="22"/>
        </w:rPr>
        <w:t>Technology</w:t>
      </w:r>
      <w:r w:rsidRPr="00FD0CD1">
        <w:rPr>
          <w:kern w:val="22"/>
          <w:szCs w:val="22"/>
        </w:rPr>
        <w:t xml:space="preserve">: Horizon scanning, technology assessment, </w:t>
      </w:r>
      <w:r w:rsidR="00147F73" w:rsidRPr="003B5AB1">
        <w:rPr>
          <w:kern w:val="22"/>
          <w:szCs w:val="22"/>
        </w:rPr>
        <w:t>d</w:t>
      </w:r>
      <w:r w:rsidRPr="003B5AB1">
        <w:rPr>
          <w:kern w:val="22"/>
          <w:szCs w:val="22"/>
        </w:rPr>
        <w:t>evelopment, transfer, promotion</w:t>
      </w:r>
      <w:r w:rsidR="00886446" w:rsidRPr="003B5AB1">
        <w:rPr>
          <w:kern w:val="22"/>
          <w:szCs w:val="22"/>
        </w:rPr>
        <w:t>,</w:t>
      </w:r>
      <w:r w:rsidRPr="00146C5A">
        <w:rPr>
          <w:kern w:val="22"/>
          <w:szCs w:val="22"/>
        </w:rPr>
        <w:t xml:space="preserve"> monitoring</w:t>
      </w:r>
      <w:r w:rsidR="00886446" w:rsidRPr="00A8649E">
        <w:rPr>
          <w:kern w:val="22"/>
          <w:szCs w:val="22"/>
        </w:rPr>
        <w:t>,</w:t>
      </w:r>
      <w:r w:rsidRPr="00A8649E">
        <w:rPr>
          <w:kern w:val="22"/>
          <w:szCs w:val="22"/>
        </w:rPr>
        <w:t xml:space="preserve"> governance, and use of appropriate technologies,</w:t>
      </w:r>
      <w:r w:rsidRPr="00700732">
        <w:rPr>
          <w:kern w:val="22"/>
        </w:rPr>
        <w:t xml:space="preserve"> </w:t>
      </w:r>
      <w:r w:rsidRPr="00A8649E">
        <w:rPr>
          <w:kern w:val="22"/>
          <w:szCs w:val="22"/>
        </w:rPr>
        <w:t xml:space="preserve">including </w:t>
      </w:r>
      <w:r w:rsidR="009239BE" w:rsidRPr="00A8649E">
        <w:rPr>
          <w:kern w:val="22"/>
          <w:szCs w:val="22"/>
        </w:rPr>
        <w:t>biotechnology</w:t>
      </w:r>
      <w:r w:rsidR="00751CF1" w:rsidRPr="001F69A7">
        <w:rPr>
          <w:kern w:val="22"/>
          <w:szCs w:val="22"/>
        </w:rPr>
        <w:t>, existing know-how of relevant sectors and</w:t>
      </w:r>
      <w:r w:rsidR="009239BE" w:rsidRPr="003B5AB1">
        <w:rPr>
          <w:kern w:val="22"/>
          <w:szCs w:val="22"/>
        </w:rPr>
        <w:t xml:space="preserve"> </w:t>
      </w:r>
      <w:r w:rsidRPr="00146C5A">
        <w:rPr>
          <w:kern w:val="22"/>
          <w:szCs w:val="22"/>
        </w:rPr>
        <w:t>indigenous and traditional technologies and knowledge, to scale up solutions;</w:t>
      </w:r>
    </w:p>
    <w:p w14:paraId="6E4E09E0" w14:textId="798AE857" w:rsidR="00B04DF6" w:rsidRPr="001F69A7"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kern w:val="22"/>
          <w:szCs w:val="22"/>
        </w:rPr>
        <w:t>Innovation:</w:t>
      </w:r>
      <w:r w:rsidRPr="00A8649E">
        <w:rPr>
          <w:kern w:val="22"/>
          <w:szCs w:val="22"/>
        </w:rPr>
        <w:t xml:space="preserve"> Promotion of appropriate, supportive and socially responsible innovation,</w:t>
      </w:r>
      <w:r w:rsidRPr="00700732">
        <w:rPr>
          <w:kern w:val="22"/>
        </w:rPr>
        <w:t xml:space="preserve"> </w:t>
      </w:r>
      <w:r w:rsidRPr="00A8649E">
        <w:rPr>
          <w:kern w:val="22"/>
          <w:szCs w:val="22"/>
        </w:rPr>
        <w:t>in line with the needs of people and the environment.</w:t>
      </w:r>
    </w:p>
    <w:p w14:paraId="42DDCFAF" w14:textId="2A8B93A6" w:rsidR="00B04DF6" w:rsidRPr="00700732" w:rsidDel="00690EEB" w:rsidRDefault="00132092" w:rsidP="00DA01EF">
      <w:pPr>
        <w:pStyle w:val="Heading1"/>
        <w:numPr>
          <w:ilvl w:val="0"/>
          <w:numId w:val="51"/>
        </w:numPr>
        <w:suppressLineNumbers/>
        <w:tabs>
          <w:tab w:val="clear" w:pos="720"/>
        </w:tabs>
        <w:suppressAutoHyphens/>
        <w:kinsoku w:val="0"/>
        <w:overflowPunct w:val="0"/>
        <w:autoSpaceDE w:val="0"/>
        <w:autoSpaceDN w:val="0"/>
        <w:adjustRightInd w:val="0"/>
        <w:snapToGrid w:val="0"/>
        <w:spacing w:before="120"/>
        <w:ind w:left="720"/>
        <w:rPr>
          <w:snapToGrid w:val="0"/>
          <w:kern w:val="22"/>
        </w:rPr>
      </w:pPr>
      <w:r w:rsidRPr="00700732" w:rsidDel="00690EEB">
        <w:rPr>
          <w:snapToGrid w:val="0"/>
          <w:kern w:val="22"/>
        </w:rPr>
        <w:t>Possible</w:t>
      </w:r>
      <w:r w:rsidR="003F3FBC" w:rsidRPr="00700732" w:rsidDel="00690EEB">
        <w:rPr>
          <w:snapToGrid w:val="0"/>
          <w:kern w:val="22"/>
        </w:rPr>
        <w:t xml:space="preserve"> </w:t>
      </w:r>
      <w:r w:rsidR="00B04DF6" w:rsidRPr="00700732" w:rsidDel="00690EEB">
        <w:rPr>
          <w:snapToGrid w:val="0"/>
          <w:kern w:val="22"/>
        </w:rPr>
        <w:t>pathways</w:t>
      </w:r>
      <w:r w:rsidR="00E755CD" w:rsidRPr="00700732" w:rsidDel="00690EEB">
        <w:rPr>
          <w:snapToGrid w:val="0"/>
          <w:kern w:val="22"/>
        </w:rPr>
        <w:t xml:space="preserve"> and</w:t>
      </w:r>
      <w:r w:rsidRPr="00700732" w:rsidDel="00690EEB">
        <w:rPr>
          <w:snapToGrid w:val="0"/>
          <w:kern w:val="22"/>
        </w:rPr>
        <w:t xml:space="preserve"> actions</w:t>
      </w:r>
    </w:p>
    <w:p w14:paraId="52754969" w14:textId="6242CCBA" w:rsidR="00B04DF6" w:rsidRPr="00700732" w:rsidDel="00690EEB" w:rsidRDefault="00B04DF6" w:rsidP="00700732">
      <w:pPr>
        <w:pStyle w:val="CBD-Para"/>
        <w:keepLines w:val="0"/>
        <w:suppressLineNumbers/>
        <w:suppressAutoHyphens/>
        <w:kinsoku w:val="0"/>
        <w:overflowPunct w:val="0"/>
        <w:autoSpaceDE w:val="0"/>
        <w:autoSpaceDN w:val="0"/>
        <w:adjustRightInd w:val="0"/>
        <w:snapToGrid w:val="0"/>
        <w:rPr>
          <w:snapToGrid w:val="0"/>
          <w:kern w:val="22"/>
          <w:lang w:val="en-GB"/>
        </w:rPr>
      </w:pPr>
      <w:r w:rsidRPr="00700732" w:rsidDel="00690EEB">
        <w:rPr>
          <w:snapToGrid w:val="0"/>
          <w:kern w:val="22"/>
          <w:lang w:val="en-GB"/>
        </w:rPr>
        <w:t xml:space="preserve">Technical and scientific cooperation and technology transfer </w:t>
      </w:r>
      <w:r w:rsidR="00076487" w:rsidRPr="00700732" w:rsidDel="00690EEB">
        <w:rPr>
          <w:snapToGrid w:val="0"/>
          <w:kern w:val="22"/>
          <w:lang w:val="en-GB"/>
        </w:rPr>
        <w:t xml:space="preserve">in support of the post-2020 global biodiversity framework </w:t>
      </w:r>
      <w:r w:rsidRPr="00700732" w:rsidDel="00690EEB">
        <w:rPr>
          <w:snapToGrid w:val="0"/>
          <w:kern w:val="22"/>
          <w:lang w:val="en-GB"/>
        </w:rPr>
        <w:t xml:space="preserve">could be facilitated and strengthened through </w:t>
      </w:r>
      <w:proofErr w:type="gramStart"/>
      <w:r w:rsidRPr="00700732" w:rsidDel="00690EEB">
        <w:rPr>
          <w:snapToGrid w:val="0"/>
          <w:kern w:val="22"/>
          <w:lang w:val="en-GB"/>
        </w:rPr>
        <w:t>a number of</w:t>
      </w:r>
      <w:proofErr w:type="gramEnd"/>
      <w:r w:rsidRPr="00700732" w:rsidDel="00690EEB">
        <w:rPr>
          <w:snapToGrid w:val="0"/>
          <w:kern w:val="22"/>
          <w:lang w:val="en-GB"/>
        </w:rPr>
        <w:t xml:space="preserve"> strategic pathways and acti</w:t>
      </w:r>
      <w:r w:rsidR="003D3ED2" w:rsidRPr="00700732" w:rsidDel="00690EEB">
        <w:rPr>
          <w:snapToGrid w:val="0"/>
          <w:kern w:val="22"/>
          <w:lang w:val="en-GB"/>
        </w:rPr>
        <w:t>ons</w:t>
      </w:r>
      <w:r w:rsidR="00700F97" w:rsidRPr="00700732">
        <w:rPr>
          <w:snapToGrid w:val="0"/>
          <w:kern w:val="22"/>
          <w:lang w:val="en-GB"/>
        </w:rPr>
        <w:t>,</w:t>
      </w:r>
      <w:r w:rsidRPr="00700732" w:rsidDel="00690EEB">
        <w:rPr>
          <w:snapToGrid w:val="0"/>
          <w:kern w:val="22"/>
          <w:lang w:val="en-GB"/>
        </w:rPr>
        <w:t xml:space="preserve"> subject to the availability of resources</w:t>
      </w:r>
      <w:r w:rsidR="003656E5" w:rsidRPr="00700732" w:rsidDel="00690EEB">
        <w:rPr>
          <w:snapToGrid w:val="0"/>
          <w:kern w:val="22"/>
          <w:lang w:val="en-GB"/>
        </w:rPr>
        <w:t>,</w:t>
      </w:r>
      <w:r w:rsidRPr="00700732" w:rsidDel="00690EEB">
        <w:rPr>
          <w:snapToGrid w:val="0"/>
          <w:kern w:val="22"/>
          <w:lang w:val="en-GB"/>
        </w:rPr>
        <w:t xml:space="preserve"> and in line with the long-term strategic framework for capacity-building beyond 2020. </w:t>
      </w:r>
      <w:r w:rsidR="002C5302" w:rsidRPr="00700732" w:rsidDel="00690EEB">
        <w:rPr>
          <w:snapToGrid w:val="0"/>
          <w:kern w:val="22"/>
          <w:lang w:val="en-GB"/>
        </w:rPr>
        <w:t xml:space="preserve">These </w:t>
      </w:r>
      <w:r w:rsidR="003F3FBC" w:rsidRPr="00700732" w:rsidDel="00690EEB">
        <w:rPr>
          <w:snapToGrid w:val="0"/>
          <w:kern w:val="22"/>
          <w:lang w:val="en-GB"/>
        </w:rPr>
        <w:t>pathways and</w:t>
      </w:r>
      <w:r w:rsidR="003656E5" w:rsidRPr="00700732" w:rsidDel="00690EEB">
        <w:rPr>
          <w:snapToGrid w:val="0"/>
          <w:kern w:val="22"/>
          <w:lang w:val="en-GB"/>
        </w:rPr>
        <w:t xml:space="preserve"> </w:t>
      </w:r>
      <w:r w:rsidR="005B288A" w:rsidRPr="00700732" w:rsidDel="00690EEB">
        <w:rPr>
          <w:snapToGrid w:val="0"/>
          <w:kern w:val="22"/>
          <w:lang w:val="en-GB"/>
        </w:rPr>
        <w:t xml:space="preserve">possible </w:t>
      </w:r>
      <w:r w:rsidR="003F3FBC" w:rsidRPr="00700732" w:rsidDel="00690EEB">
        <w:rPr>
          <w:snapToGrid w:val="0"/>
          <w:kern w:val="22"/>
          <w:lang w:val="en-GB"/>
        </w:rPr>
        <w:t>acti</w:t>
      </w:r>
      <w:r w:rsidR="003D3ED2" w:rsidRPr="00700732" w:rsidDel="00690EEB">
        <w:rPr>
          <w:snapToGrid w:val="0"/>
          <w:kern w:val="22"/>
          <w:lang w:val="en-GB"/>
        </w:rPr>
        <w:t>on</w:t>
      </w:r>
      <w:r w:rsidR="003656E5" w:rsidRPr="00700732" w:rsidDel="00690EEB">
        <w:rPr>
          <w:snapToGrid w:val="0"/>
          <w:kern w:val="22"/>
          <w:lang w:val="en-GB"/>
        </w:rPr>
        <w:t>s</w:t>
      </w:r>
      <w:r w:rsidR="003F3FBC" w:rsidRPr="00700732" w:rsidDel="00690EEB">
        <w:rPr>
          <w:snapToGrid w:val="0"/>
          <w:kern w:val="22"/>
          <w:lang w:val="en-GB"/>
        </w:rPr>
        <w:t>, which Parties, relevant organization</w:t>
      </w:r>
      <w:r w:rsidR="002C5302" w:rsidRPr="00700732" w:rsidDel="00690EEB">
        <w:rPr>
          <w:snapToGrid w:val="0"/>
          <w:kern w:val="22"/>
          <w:lang w:val="en-GB"/>
        </w:rPr>
        <w:t>s,</w:t>
      </w:r>
      <w:r w:rsidR="003F3FBC" w:rsidRPr="00700732" w:rsidDel="00690EEB">
        <w:rPr>
          <w:snapToGrid w:val="0"/>
          <w:kern w:val="22"/>
          <w:lang w:val="en-GB"/>
        </w:rPr>
        <w:t xml:space="preserve"> and other stakeholder</w:t>
      </w:r>
      <w:r w:rsidR="002C5302" w:rsidRPr="00700732" w:rsidDel="00690EEB">
        <w:rPr>
          <w:snapToGrid w:val="0"/>
          <w:kern w:val="22"/>
          <w:lang w:val="en-GB"/>
        </w:rPr>
        <w:t>s</w:t>
      </w:r>
      <w:r w:rsidR="003F3FBC" w:rsidRPr="00700732" w:rsidDel="00690EEB">
        <w:rPr>
          <w:snapToGrid w:val="0"/>
          <w:kern w:val="22"/>
          <w:lang w:val="en-GB"/>
        </w:rPr>
        <w:t xml:space="preserve"> </w:t>
      </w:r>
      <w:r w:rsidRPr="00700732" w:rsidDel="00690EEB">
        <w:rPr>
          <w:snapToGrid w:val="0"/>
          <w:kern w:val="22"/>
          <w:lang w:val="en-GB"/>
        </w:rPr>
        <w:t>could</w:t>
      </w:r>
      <w:r w:rsidR="00F21E07" w:rsidRPr="00700732" w:rsidDel="00690EEB">
        <w:rPr>
          <w:snapToGrid w:val="0"/>
          <w:kern w:val="22"/>
          <w:lang w:val="en-GB"/>
        </w:rPr>
        <w:t xml:space="preserve"> pursue or implement</w:t>
      </w:r>
      <w:r w:rsidR="00076487" w:rsidRPr="00700732" w:rsidDel="00690EEB">
        <w:rPr>
          <w:snapToGrid w:val="0"/>
          <w:kern w:val="22"/>
          <w:lang w:val="en-GB"/>
        </w:rPr>
        <w:t>,</w:t>
      </w:r>
      <w:r w:rsidR="00F21E07" w:rsidRPr="00700732" w:rsidDel="00690EEB">
        <w:rPr>
          <w:snapToGrid w:val="0"/>
          <w:kern w:val="22"/>
          <w:lang w:val="en-GB"/>
        </w:rPr>
        <w:t xml:space="preserve"> as appropriate,</w:t>
      </w:r>
      <w:r w:rsidR="005B288A" w:rsidRPr="00700732" w:rsidDel="00690EEB">
        <w:rPr>
          <w:snapToGrid w:val="0"/>
          <w:kern w:val="22"/>
          <w:lang w:val="en-GB"/>
        </w:rPr>
        <w:t xml:space="preserve"> </w:t>
      </w:r>
      <w:r w:rsidRPr="00700732" w:rsidDel="00690EEB">
        <w:rPr>
          <w:snapToGrid w:val="0"/>
          <w:kern w:val="22"/>
          <w:lang w:val="en-GB"/>
        </w:rPr>
        <w:t>include the following:</w:t>
      </w:r>
    </w:p>
    <w:p w14:paraId="57F3BB28" w14:textId="64E99C02" w:rsidR="00B04DF6" w:rsidRPr="00700732" w:rsidDel="00690EEB" w:rsidRDefault="00B04DF6"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rPr>
      </w:pPr>
      <w:bookmarkStart w:id="5" w:name="_Hlk15485596"/>
      <w:r w:rsidRPr="00A8649E" w:rsidDel="00690EEB">
        <w:rPr>
          <w:i/>
          <w:kern w:val="22"/>
          <w:szCs w:val="22"/>
        </w:rPr>
        <w:lastRenderedPageBreak/>
        <w:t>Matchmaking</w:t>
      </w:r>
    </w:p>
    <w:p w14:paraId="123EA0EE" w14:textId="47AC1E25" w:rsidR="0065277B" w:rsidRPr="00700732" w:rsidDel="00690EEB" w:rsidRDefault="0065277B" w:rsidP="00700732">
      <w:pPr>
        <w:pStyle w:val="CBD-Para-a"/>
        <w:keepLines w:val="0"/>
        <w:numPr>
          <w:ilvl w:val="0"/>
          <w:numId w:val="24"/>
        </w:numPr>
        <w:suppressLineNumbers/>
        <w:tabs>
          <w:tab w:val="clear" w:pos="2160"/>
        </w:tabs>
        <w:suppressAutoHyphens/>
        <w:kinsoku w:val="0"/>
        <w:overflowPunct w:val="0"/>
        <w:autoSpaceDE w:val="0"/>
        <w:autoSpaceDN w:val="0"/>
        <w:adjustRightInd w:val="0"/>
        <w:snapToGrid w:val="0"/>
        <w:ind w:left="1985" w:hanging="518"/>
        <w:rPr>
          <w:snapToGrid w:val="0"/>
          <w:kern w:val="22"/>
          <w:lang w:val="en-GB"/>
        </w:rPr>
      </w:pPr>
      <w:r w:rsidRPr="00700732" w:rsidDel="00690EEB">
        <w:rPr>
          <w:snapToGrid w:val="0"/>
          <w:kern w:val="22"/>
          <w:lang w:val="en-GB"/>
        </w:rPr>
        <w:t>Provi</w:t>
      </w:r>
      <w:r w:rsidR="00E755CD" w:rsidRPr="00700732" w:rsidDel="00690EEB">
        <w:rPr>
          <w:snapToGrid w:val="0"/>
          <w:kern w:val="22"/>
          <w:lang w:val="en-GB"/>
        </w:rPr>
        <w:t>ding</w:t>
      </w:r>
      <w:r w:rsidR="002D7C5F" w:rsidRPr="00700732" w:rsidDel="00690EEB">
        <w:rPr>
          <w:snapToGrid w:val="0"/>
          <w:kern w:val="22"/>
          <w:lang w:val="en-GB"/>
        </w:rPr>
        <w:t xml:space="preserve"> </w:t>
      </w:r>
      <w:r w:rsidRPr="00700732" w:rsidDel="00690EEB">
        <w:rPr>
          <w:snapToGrid w:val="0"/>
          <w:kern w:val="22"/>
          <w:lang w:val="en-GB"/>
        </w:rPr>
        <w:t xml:space="preserve">information and </w:t>
      </w:r>
      <w:r w:rsidR="00F21E07" w:rsidRPr="00700732" w:rsidDel="00690EEB">
        <w:rPr>
          <w:snapToGrid w:val="0"/>
          <w:kern w:val="22"/>
          <w:lang w:val="en-GB"/>
        </w:rPr>
        <w:t>guidance</w:t>
      </w:r>
      <w:r w:rsidRPr="00700732" w:rsidDel="00690EEB">
        <w:rPr>
          <w:snapToGrid w:val="0"/>
          <w:kern w:val="22"/>
          <w:lang w:val="en-GB"/>
        </w:rPr>
        <w:t xml:space="preserve"> </w:t>
      </w:r>
      <w:r w:rsidR="00CB71A2" w:rsidRPr="00700732">
        <w:rPr>
          <w:snapToGrid w:val="0"/>
          <w:kern w:val="22"/>
          <w:lang w:val="en-GB"/>
        </w:rPr>
        <w:t>regarding</w:t>
      </w:r>
      <w:r w:rsidRPr="00700732" w:rsidDel="00690EEB">
        <w:rPr>
          <w:snapToGrid w:val="0"/>
          <w:kern w:val="22"/>
          <w:lang w:val="en-GB"/>
        </w:rPr>
        <w:t xml:space="preserve"> technical and scientific cooperation</w:t>
      </w:r>
      <w:r w:rsidR="00CB71A2" w:rsidRPr="00700732">
        <w:rPr>
          <w:snapToGrid w:val="0"/>
          <w:kern w:val="22"/>
          <w:lang w:val="en-GB"/>
        </w:rPr>
        <w:t>,</w:t>
      </w:r>
      <w:r w:rsidRPr="00700732" w:rsidDel="00690EEB">
        <w:rPr>
          <w:snapToGrid w:val="0"/>
          <w:kern w:val="22"/>
          <w:lang w:val="en-GB"/>
        </w:rPr>
        <w:t xml:space="preserve"> with a view to facilitating access to technical expertise and know-how;</w:t>
      </w:r>
    </w:p>
    <w:p w14:paraId="3C5FC8DF" w14:textId="26D9DA05" w:rsidR="00B04DF6" w:rsidRPr="00700732" w:rsidDel="00690EEB" w:rsidRDefault="00215606" w:rsidP="00700732">
      <w:pPr>
        <w:pStyle w:val="CBD-Para-a"/>
        <w:keepLines w:val="0"/>
        <w:numPr>
          <w:ilvl w:val="0"/>
          <w:numId w:val="24"/>
        </w:numPr>
        <w:suppressLineNumbers/>
        <w:tabs>
          <w:tab w:val="clear" w:pos="2160"/>
        </w:tabs>
        <w:suppressAutoHyphens/>
        <w:kinsoku w:val="0"/>
        <w:overflowPunct w:val="0"/>
        <w:autoSpaceDE w:val="0"/>
        <w:autoSpaceDN w:val="0"/>
        <w:adjustRightInd w:val="0"/>
        <w:snapToGrid w:val="0"/>
        <w:ind w:left="1985" w:hanging="518"/>
        <w:rPr>
          <w:snapToGrid w:val="0"/>
          <w:kern w:val="22"/>
          <w:lang w:val="en-GB"/>
        </w:rPr>
      </w:pPr>
      <w:r w:rsidRPr="00700732" w:rsidDel="00690EEB">
        <w:rPr>
          <w:snapToGrid w:val="0"/>
          <w:kern w:val="22"/>
          <w:lang w:val="en-GB"/>
        </w:rPr>
        <w:t>Fostering</w:t>
      </w:r>
      <w:r w:rsidR="00B12866" w:rsidRPr="00700732" w:rsidDel="00690EEB">
        <w:rPr>
          <w:snapToGrid w:val="0"/>
          <w:kern w:val="22"/>
          <w:lang w:val="en-GB"/>
        </w:rPr>
        <w:t xml:space="preserve"> </w:t>
      </w:r>
      <w:r w:rsidR="00B04DF6" w:rsidRPr="00700732" w:rsidDel="00690EEB">
        <w:rPr>
          <w:snapToGrid w:val="0"/>
          <w:kern w:val="22"/>
          <w:lang w:val="en-GB"/>
        </w:rPr>
        <w:t>interdisciplinary network</w:t>
      </w:r>
      <w:r w:rsidRPr="00700732" w:rsidDel="00690EEB">
        <w:rPr>
          <w:snapToGrid w:val="0"/>
          <w:kern w:val="22"/>
          <w:lang w:val="en-GB"/>
        </w:rPr>
        <w:t>ing among</w:t>
      </w:r>
      <w:r w:rsidR="00B04DF6" w:rsidRPr="00700732" w:rsidDel="00690EEB">
        <w:rPr>
          <w:snapToGrid w:val="0"/>
          <w:kern w:val="22"/>
          <w:lang w:val="en-GB"/>
        </w:rPr>
        <w:t xml:space="preserve"> international, regional and national providers and partners</w:t>
      </w:r>
      <w:r w:rsidR="00B04DF6" w:rsidRPr="00700732" w:rsidDel="00690EEB">
        <w:rPr>
          <w:rStyle w:val="FootnoteReference"/>
          <w:snapToGrid w:val="0"/>
          <w:kern w:val="22"/>
          <w:lang w:val="en-GB"/>
        </w:rPr>
        <w:footnoteReference w:id="16"/>
      </w:r>
      <w:r w:rsidR="00B04DF6" w:rsidRPr="00700732" w:rsidDel="00690EEB">
        <w:rPr>
          <w:snapToGrid w:val="0"/>
          <w:kern w:val="22"/>
          <w:lang w:val="en-GB"/>
        </w:rPr>
        <w:t xml:space="preserve"> to harness technical and institutional knowledge in biodiversity-related fields;</w:t>
      </w:r>
    </w:p>
    <w:p w14:paraId="41A9D699" w14:textId="310D5F4A" w:rsidR="00B04DF6" w:rsidRPr="00700732" w:rsidDel="00690EEB" w:rsidRDefault="00B04DF6" w:rsidP="00700732">
      <w:pPr>
        <w:pStyle w:val="CBD-Para-a"/>
        <w:keepLines w:val="0"/>
        <w:numPr>
          <w:ilvl w:val="0"/>
          <w:numId w:val="24"/>
        </w:numPr>
        <w:suppressLineNumbers/>
        <w:tabs>
          <w:tab w:val="clear" w:pos="2160"/>
        </w:tabs>
        <w:suppressAutoHyphens/>
        <w:kinsoku w:val="0"/>
        <w:overflowPunct w:val="0"/>
        <w:autoSpaceDE w:val="0"/>
        <w:autoSpaceDN w:val="0"/>
        <w:adjustRightInd w:val="0"/>
        <w:snapToGrid w:val="0"/>
        <w:ind w:left="1985" w:hanging="518"/>
        <w:rPr>
          <w:snapToGrid w:val="0"/>
          <w:kern w:val="22"/>
          <w:lang w:val="en-GB"/>
        </w:rPr>
      </w:pPr>
      <w:r w:rsidRPr="00700732" w:rsidDel="00690EEB">
        <w:rPr>
          <w:snapToGrid w:val="0"/>
          <w:kern w:val="22"/>
          <w:lang w:val="en-GB"/>
        </w:rPr>
        <w:t>Mobiliz</w:t>
      </w:r>
      <w:r w:rsidR="00E755CD" w:rsidRPr="00700732" w:rsidDel="00690EEB">
        <w:rPr>
          <w:snapToGrid w:val="0"/>
          <w:kern w:val="22"/>
          <w:lang w:val="en-GB"/>
        </w:rPr>
        <w:t>ing</w:t>
      </w:r>
      <w:r w:rsidR="00B12866" w:rsidRPr="00700732" w:rsidDel="00690EEB">
        <w:rPr>
          <w:snapToGrid w:val="0"/>
          <w:kern w:val="22"/>
          <w:lang w:val="en-GB"/>
        </w:rPr>
        <w:t xml:space="preserve"> </w:t>
      </w:r>
      <w:r w:rsidRPr="00700732" w:rsidDel="00690EEB">
        <w:rPr>
          <w:snapToGrid w:val="0"/>
          <w:kern w:val="22"/>
          <w:lang w:val="en-GB"/>
        </w:rPr>
        <w:t>technical assistance through matchmaking between requesting Parties, based on self-identified needs, and Parties and/or relevant institutions and stakeholders in a position to assist;</w:t>
      </w:r>
      <w:r w:rsidRPr="00700732" w:rsidDel="00690EEB">
        <w:rPr>
          <w:rStyle w:val="FootnoteReference"/>
          <w:snapToGrid w:val="0"/>
          <w:kern w:val="22"/>
          <w:lang w:val="en-GB"/>
        </w:rPr>
        <w:footnoteReference w:id="17"/>
      </w:r>
    </w:p>
    <w:p w14:paraId="2B9A7F47" w14:textId="6EB47EBB" w:rsidR="00B04DF6" w:rsidRPr="00700732" w:rsidDel="00690EEB" w:rsidRDefault="00B04DF6" w:rsidP="00700732">
      <w:pPr>
        <w:pStyle w:val="CBD-Para-a"/>
        <w:keepLines w:val="0"/>
        <w:numPr>
          <w:ilvl w:val="0"/>
          <w:numId w:val="24"/>
        </w:numPr>
        <w:suppressLineNumbers/>
        <w:tabs>
          <w:tab w:val="clear" w:pos="2160"/>
        </w:tabs>
        <w:suppressAutoHyphens/>
        <w:kinsoku w:val="0"/>
        <w:overflowPunct w:val="0"/>
        <w:autoSpaceDE w:val="0"/>
        <w:autoSpaceDN w:val="0"/>
        <w:adjustRightInd w:val="0"/>
        <w:snapToGrid w:val="0"/>
        <w:ind w:left="1985" w:hanging="518"/>
        <w:rPr>
          <w:snapToGrid w:val="0"/>
          <w:kern w:val="22"/>
          <w:lang w:val="en-GB"/>
        </w:rPr>
      </w:pPr>
      <w:r w:rsidRPr="00700732" w:rsidDel="00690EEB">
        <w:rPr>
          <w:snapToGrid w:val="0"/>
          <w:kern w:val="22"/>
          <w:lang w:val="en-GB"/>
        </w:rPr>
        <w:t>Promot</w:t>
      </w:r>
      <w:r w:rsidR="00B12866" w:rsidRPr="00700732" w:rsidDel="00690EEB">
        <w:rPr>
          <w:snapToGrid w:val="0"/>
          <w:kern w:val="22"/>
          <w:lang w:val="en-GB"/>
        </w:rPr>
        <w:t>in</w:t>
      </w:r>
      <w:r w:rsidR="00E755CD" w:rsidRPr="00700732" w:rsidDel="00690EEB">
        <w:rPr>
          <w:snapToGrid w:val="0"/>
          <w:kern w:val="22"/>
          <w:lang w:val="en-GB"/>
        </w:rPr>
        <w:t>g</w:t>
      </w:r>
      <w:r w:rsidR="00B12866" w:rsidRPr="00700732" w:rsidDel="00690EEB">
        <w:rPr>
          <w:snapToGrid w:val="0"/>
          <w:kern w:val="22"/>
          <w:lang w:val="en-GB"/>
        </w:rPr>
        <w:t xml:space="preserve"> </w:t>
      </w:r>
      <w:r w:rsidRPr="00700732" w:rsidDel="00690EEB">
        <w:rPr>
          <w:snapToGrid w:val="0"/>
          <w:kern w:val="22"/>
          <w:lang w:val="en-GB"/>
        </w:rPr>
        <w:t>partnerships and joint ventures to accelerate the development and diffusion of appropriate technologies and equitable scalable solutions;</w:t>
      </w:r>
    </w:p>
    <w:p w14:paraId="61119C82" w14:textId="690D584C" w:rsidR="00B04DF6" w:rsidRPr="00700732" w:rsidDel="00690EEB" w:rsidRDefault="00654AED" w:rsidP="00700732">
      <w:pPr>
        <w:pStyle w:val="CBD-Para-a"/>
        <w:keepLines w:val="0"/>
        <w:numPr>
          <w:ilvl w:val="0"/>
          <w:numId w:val="24"/>
        </w:numPr>
        <w:suppressLineNumbers/>
        <w:tabs>
          <w:tab w:val="clear" w:pos="2160"/>
        </w:tabs>
        <w:suppressAutoHyphens/>
        <w:kinsoku w:val="0"/>
        <w:overflowPunct w:val="0"/>
        <w:autoSpaceDE w:val="0"/>
        <w:autoSpaceDN w:val="0"/>
        <w:adjustRightInd w:val="0"/>
        <w:snapToGrid w:val="0"/>
        <w:ind w:left="1985" w:hanging="518"/>
        <w:rPr>
          <w:snapToGrid w:val="0"/>
          <w:kern w:val="22"/>
          <w:lang w:val="en-GB"/>
        </w:rPr>
      </w:pPr>
      <w:r w:rsidRPr="00700732" w:rsidDel="00690EEB">
        <w:rPr>
          <w:snapToGrid w:val="0"/>
          <w:kern w:val="22"/>
          <w:lang w:val="en-GB"/>
        </w:rPr>
        <w:t>Promot</w:t>
      </w:r>
      <w:r w:rsidR="00E755CD" w:rsidRPr="00700732" w:rsidDel="00690EEB">
        <w:rPr>
          <w:snapToGrid w:val="0"/>
          <w:kern w:val="22"/>
          <w:lang w:val="en-GB"/>
        </w:rPr>
        <w:t>ing</w:t>
      </w:r>
      <w:r w:rsidRPr="00700732" w:rsidDel="00690EEB">
        <w:rPr>
          <w:snapToGrid w:val="0"/>
          <w:kern w:val="22"/>
          <w:lang w:val="en-GB"/>
        </w:rPr>
        <w:t xml:space="preserve"> </w:t>
      </w:r>
      <w:r w:rsidR="00B04DF6" w:rsidRPr="00700732" w:rsidDel="00690EEB">
        <w:rPr>
          <w:snapToGrid w:val="0"/>
          <w:kern w:val="22"/>
          <w:lang w:val="en-GB"/>
        </w:rPr>
        <w:t>the engagement of all sectors</w:t>
      </w:r>
      <w:r w:rsidR="003558D8" w:rsidRPr="00700732" w:rsidDel="00690EEB">
        <w:rPr>
          <w:snapToGrid w:val="0"/>
          <w:kern w:val="22"/>
          <w:lang w:val="en-GB"/>
        </w:rPr>
        <w:t>, including the</w:t>
      </w:r>
      <w:r w:rsidR="00B04DF6" w:rsidRPr="00700732" w:rsidDel="00690EEB">
        <w:rPr>
          <w:snapToGrid w:val="0"/>
          <w:kern w:val="22"/>
          <w:lang w:val="en-GB"/>
        </w:rPr>
        <w:t xml:space="preserve"> private sector</w:t>
      </w:r>
      <w:r w:rsidR="003558D8" w:rsidRPr="00700732" w:rsidDel="00690EEB">
        <w:rPr>
          <w:snapToGrid w:val="0"/>
          <w:kern w:val="22"/>
          <w:lang w:val="en-GB"/>
        </w:rPr>
        <w:t>,</w:t>
      </w:r>
      <w:r w:rsidR="00B04DF6" w:rsidRPr="00700732" w:rsidDel="00690EEB">
        <w:rPr>
          <w:snapToGrid w:val="0"/>
          <w:kern w:val="22"/>
          <w:lang w:val="en-GB"/>
        </w:rPr>
        <w:t xml:space="preserve"> in the development and application of innovative solutions</w:t>
      </w:r>
      <w:r w:rsidR="00B12866" w:rsidRPr="00700732" w:rsidDel="00690EEB">
        <w:rPr>
          <w:snapToGrid w:val="0"/>
          <w:kern w:val="22"/>
          <w:lang w:val="en-GB"/>
        </w:rPr>
        <w:t>,</w:t>
      </w:r>
      <w:r w:rsidR="00B04DF6" w:rsidRPr="00700732" w:rsidDel="00690EEB">
        <w:rPr>
          <w:snapToGrid w:val="0"/>
          <w:kern w:val="22"/>
          <w:lang w:val="en-GB"/>
        </w:rPr>
        <w:t xml:space="preserve"> </w:t>
      </w:r>
      <w:r w:rsidR="003558D8" w:rsidRPr="00700732" w:rsidDel="00690EEB">
        <w:rPr>
          <w:snapToGrid w:val="0"/>
          <w:kern w:val="22"/>
          <w:lang w:val="en-GB"/>
        </w:rPr>
        <w:t xml:space="preserve">while </w:t>
      </w:r>
      <w:r w:rsidR="00B04DF6" w:rsidRPr="00700732" w:rsidDel="00690EEB">
        <w:rPr>
          <w:snapToGrid w:val="0"/>
          <w:kern w:val="22"/>
          <w:lang w:val="en-GB"/>
        </w:rPr>
        <w:t xml:space="preserve">ensuring that </w:t>
      </w:r>
      <w:r w:rsidR="003558D8" w:rsidRPr="00700732" w:rsidDel="00690EEB">
        <w:rPr>
          <w:snapToGrid w:val="0"/>
          <w:kern w:val="22"/>
          <w:lang w:val="en-GB"/>
        </w:rPr>
        <w:t>such</w:t>
      </w:r>
      <w:r w:rsidR="00B04DF6" w:rsidRPr="00700732" w:rsidDel="00690EEB">
        <w:rPr>
          <w:snapToGrid w:val="0"/>
          <w:kern w:val="22"/>
          <w:lang w:val="en-GB"/>
        </w:rPr>
        <w:t xml:space="preserve"> engagement does not overshadow, marginalize or take advantage of the actions of the public sector and communit</w:t>
      </w:r>
      <w:r w:rsidR="00B33472" w:rsidRPr="00700732">
        <w:rPr>
          <w:snapToGrid w:val="0"/>
          <w:kern w:val="22"/>
          <w:lang w:val="en-GB"/>
        </w:rPr>
        <w:t>ies</w:t>
      </w:r>
      <w:r w:rsidR="00B04DF6" w:rsidRPr="00700732" w:rsidDel="00690EEB">
        <w:rPr>
          <w:snapToGrid w:val="0"/>
          <w:kern w:val="22"/>
          <w:lang w:val="en-GB"/>
        </w:rPr>
        <w:t>;</w:t>
      </w:r>
    </w:p>
    <w:bookmarkEnd w:id="5"/>
    <w:p w14:paraId="7BAE1FA2" w14:textId="1B338147" w:rsidR="00B04DF6" w:rsidRPr="00A8649E" w:rsidDel="00690EEB" w:rsidRDefault="00B04DF6"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rPr>
      </w:pPr>
      <w:r w:rsidRPr="00A8649E" w:rsidDel="00690EEB">
        <w:rPr>
          <w:i/>
          <w:kern w:val="22"/>
          <w:szCs w:val="22"/>
        </w:rPr>
        <w:t>Network development and partnership-building</w:t>
      </w:r>
    </w:p>
    <w:p w14:paraId="62008615" w14:textId="00946425" w:rsidR="00B04DF6" w:rsidRPr="00700732" w:rsidDel="00690EEB" w:rsidRDefault="00B844A6"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Catalysing and s</w:t>
      </w:r>
      <w:r w:rsidR="00B04DF6" w:rsidRPr="00700732" w:rsidDel="00690EEB">
        <w:rPr>
          <w:snapToGrid w:val="0"/>
          <w:kern w:val="22"/>
          <w:lang w:val="en-GB"/>
        </w:rPr>
        <w:t>trengthen</w:t>
      </w:r>
      <w:r w:rsidR="00654AED" w:rsidRPr="00700732" w:rsidDel="00690EEB">
        <w:rPr>
          <w:snapToGrid w:val="0"/>
          <w:kern w:val="22"/>
          <w:lang w:val="en-GB"/>
        </w:rPr>
        <w:t xml:space="preserve">ing </w:t>
      </w:r>
      <w:r w:rsidR="00B04DF6" w:rsidRPr="00700732" w:rsidDel="00690EEB">
        <w:rPr>
          <w:snapToGrid w:val="0"/>
          <w:kern w:val="22"/>
          <w:lang w:val="en-GB"/>
        </w:rPr>
        <w:t>international and regional technical and scientific cooperation networks</w:t>
      </w:r>
      <w:r w:rsidR="005059EE" w:rsidRPr="00700732" w:rsidDel="00690EEB">
        <w:rPr>
          <w:snapToGrid w:val="0"/>
          <w:kern w:val="22"/>
          <w:lang w:val="en-GB"/>
        </w:rPr>
        <w:t xml:space="preserve"> and </w:t>
      </w:r>
      <w:r w:rsidR="00272BE9" w:rsidRPr="00700732" w:rsidDel="00690EEB">
        <w:rPr>
          <w:snapToGrid w:val="0"/>
          <w:kern w:val="22"/>
          <w:lang w:val="en-GB"/>
        </w:rPr>
        <w:t>partnerships</w:t>
      </w:r>
      <w:r w:rsidR="00B04DF6" w:rsidRPr="00700732" w:rsidDel="00690EEB">
        <w:rPr>
          <w:snapToGrid w:val="0"/>
          <w:kern w:val="22"/>
          <w:lang w:val="en-GB"/>
        </w:rPr>
        <w:t xml:space="preserve">, including regional </w:t>
      </w:r>
      <w:r w:rsidR="009A5873" w:rsidRPr="00700732" w:rsidDel="00690EEB">
        <w:rPr>
          <w:snapToGrid w:val="0"/>
          <w:kern w:val="22"/>
          <w:lang w:val="en-GB"/>
        </w:rPr>
        <w:t>t</w:t>
      </w:r>
      <w:r w:rsidR="00B04DF6" w:rsidRPr="00700732" w:rsidDel="00690EEB">
        <w:rPr>
          <w:snapToGrid w:val="0"/>
          <w:kern w:val="22"/>
          <w:lang w:val="en-GB"/>
        </w:rPr>
        <w:t xml:space="preserve">echnology </w:t>
      </w:r>
      <w:r w:rsidR="009A5873" w:rsidRPr="00700732" w:rsidDel="00690EEB">
        <w:rPr>
          <w:snapToGrid w:val="0"/>
          <w:kern w:val="22"/>
          <w:lang w:val="en-GB"/>
        </w:rPr>
        <w:t>a</w:t>
      </w:r>
      <w:r w:rsidR="00B04DF6" w:rsidRPr="00700732" w:rsidDel="00690EEB">
        <w:rPr>
          <w:snapToGrid w:val="0"/>
          <w:kern w:val="22"/>
          <w:lang w:val="en-GB"/>
        </w:rPr>
        <w:t xml:space="preserve">ssessment </w:t>
      </w:r>
      <w:r w:rsidR="009A5873" w:rsidRPr="00700732" w:rsidDel="00690EEB">
        <w:rPr>
          <w:snapToGrid w:val="0"/>
          <w:kern w:val="22"/>
          <w:lang w:val="en-GB"/>
        </w:rPr>
        <w:t>p</w:t>
      </w:r>
      <w:r w:rsidR="00B04DF6" w:rsidRPr="00700732" w:rsidDel="00690EEB">
        <w:rPr>
          <w:snapToGrid w:val="0"/>
          <w:kern w:val="22"/>
          <w:lang w:val="en-GB"/>
        </w:rPr>
        <w:t>latforms</w:t>
      </w:r>
      <w:r w:rsidR="008A4D71" w:rsidRPr="00700732" w:rsidDel="00690EEB">
        <w:rPr>
          <w:snapToGrid w:val="0"/>
          <w:kern w:val="22"/>
          <w:lang w:val="en-GB"/>
        </w:rPr>
        <w:t>, the Consortium of Sc</w:t>
      </w:r>
      <w:r w:rsidR="00C66C20" w:rsidRPr="00700732" w:rsidDel="00690EEB">
        <w:rPr>
          <w:snapToGrid w:val="0"/>
          <w:kern w:val="22"/>
          <w:lang w:val="en-GB"/>
        </w:rPr>
        <w:t xml:space="preserve">ientific Partners </w:t>
      </w:r>
      <w:r w:rsidR="00740F92" w:rsidRPr="00700732">
        <w:rPr>
          <w:snapToGrid w:val="0"/>
          <w:kern w:val="22"/>
          <w:lang w:val="en-GB"/>
        </w:rPr>
        <w:t>on</w:t>
      </w:r>
      <w:r w:rsidR="00C66C20" w:rsidRPr="00700732" w:rsidDel="00690EEB">
        <w:rPr>
          <w:snapToGrid w:val="0"/>
          <w:kern w:val="22"/>
          <w:lang w:val="en-GB"/>
        </w:rPr>
        <w:t xml:space="preserve"> Biodiversity</w:t>
      </w:r>
      <w:r w:rsidR="00654AED" w:rsidRPr="00700732" w:rsidDel="00690EEB">
        <w:rPr>
          <w:snapToGrid w:val="0"/>
          <w:kern w:val="22"/>
          <w:lang w:val="en-GB"/>
        </w:rPr>
        <w:t>,</w:t>
      </w:r>
      <w:r w:rsidR="00C66C20" w:rsidRPr="00700732" w:rsidDel="00690EEB">
        <w:rPr>
          <w:snapToGrid w:val="0"/>
          <w:kern w:val="22"/>
          <w:lang w:val="en-GB"/>
        </w:rPr>
        <w:t xml:space="preserve"> and others</w:t>
      </w:r>
      <w:r w:rsidR="00B04DF6" w:rsidRPr="00700732" w:rsidDel="00690EEB">
        <w:rPr>
          <w:snapToGrid w:val="0"/>
          <w:kern w:val="22"/>
          <w:lang w:val="en-GB"/>
        </w:rPr>
        <w:t>;</w:t>
      </w:r>
    </w:p>
    <w:p w14:paraId="4924B3C3" w14:textId="430DA20C" w:rsidR="00B04DF6" w:rsidRPr="00700732" w:rsidDel="00690EEB" w:rsidRDefault="00654AED"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P</w:t>
      </w:r>
      <w:r w:rsidR="00B04DF6" w:rsidRPr="00700732" w:rsidDel="00690EEB">
        <w:rPr>
          <w:snapToGrid w:val="0"/>
          <w:kern w:val="22"/>
          <w:lang w:val="en-GB"/>
        </w:rPr>
        <w:t>romot</w:t>
      </w:r>
      <w:r w:rsidRPr="00700732" w:rsidDel="00690EEB">
        <w:rPr>
          <w:snapToGrid w:val="0"/>
          <w:kern w:val="22"/>
          <w:lang w:val="en-GB"/>
        </w:rPr>
        <w:t>i</w:t>
      </w:r>
      <w:r w:rsidR="003656E5" w:rsidRPr="00700732" w:rsidDel="00690EEB">
        <w:rPr>
          <w:snapToGrid w:val="0"/>
          <w:kern w:val="22"/>
          <w:lang w:val="en-GB"/>
        </w:rPr>
        <w:t>ng</w:t>
      </w:r>
      <w:r w:rsidRPr="00700732" w:rsidDel="00690EEB">
        <w:rPr>
          <w:snapToGrid w:val="0"/>
          <w:kern w:val="22"/>
          <w:lang w:val="en-GB"/>
        </w:rPr>
        <w:t xml:space="preserve"> </w:t>
      </w:r>
      <w:r w:rsidR="00B04DF6" w:rsidRPr="00700732" w:rsidDel="00690EEB">
        <w:rPr>
          <w:snapToGrid w:val="0"/>
          <w:kern w:val="22"/>
          <w:lang w:val="en-GB"/>
        </w:rPr>
        <w:t>the use o</w:t>
      </w:r>
      <w:bookmarkStart w:id="6" w:name="_Hlk50040933"/>
      <w:r w:rsidR="00B04DF6" w:rsidRPr="00700732" w:rsidDel="00690EEB">
        <w:rPr>
          <w:snapToGrid w:val="0"/>
          <w:kern w:val="22"/>
          <w:lang w:val="en-GB"/>
        </w:rPr>
        <w:t>f relevant commu</w:t>
      </w:r>
      <w:bookmarkEnd w:id="6"/>
      <w:r w:rsidR="00B04DF6" w:rsidRPr="00700732" w:rsidDel="00690EEB">
        <w:rPr>
          <w:snapToGrid w:val="0"/>
          <w:kern w:val="22"/>
          <w:lang w:val="en-GB"/>
        </w:rPr>
        <w:t xml:space="preserve">nities of practice, </w:t>
      </w:r>
      <w:r w:rsidR="00003325" w:rsidRPr="00700732" w:rsidDel="00690EEB">
        <w:rPr>
          <w:snapToGrid w:val="0"/>
          <w:kern w:val="22"/>
          <w:lang w:val="en-GB"/>
        </w:rPr>
        <w:t>including</w:t>
      </w:r>
      <w:r w:rsidR="00B04DF6" w:rsidRPr="00700732" w:rsidDel="00690EEB">
        <w:rPr>
          <w:snapToGrid w:val="0"/>
          <w:kern w:val="22"/>
          <w:lang w:val="en-GB"/>
        </w:rPr>
        <w:t xml:space="preserve"> the NBSAP Forum, the Global ABS Community, </w:t>
      </w:r>
      <w:r w:rsidR="0011160C" w:rsidRPr="00700732">
        <w:rPr>
          <w:snapToGrid w:val="0"/>
          <w:kern w:val="22"/>
          <w:lang w:val="en-GB"/>
        </w:rPr>
        <w:t>the Biodiversity and Ecosystem Services Network</w:t>
      </w:r>
      <w:r w:rsidR="0011160C" w:rsidRPr="00700732" w:rsidDel="00690EEB">
        <w:rPr>
          <w:snapToGrid w:val="0"/>
          <w:kern w:val="22"/>
          <w:lang w:val="en-GB"/>
        </w:rPr>
        <w:t xml:space="preserve"> </w:t>
      </w:r>
      <w:r w:rsidR="0011160C" w:rsidRPr="00700732">
        <w:rPr>
          <w:snapToGrid w:val="0"/>
          <w:kern w:val="22"/>
          <w:lang w:val="en-GB"/>
        </w:rPr>
        <w:t>(</w:t>
      </w:r>
      <w:r w:rsidR="00B04DF6" w:rsidRPr="00700732" w:rsidDel="00690EEB">
        <w:rPr>
          <w:snapToGrid w:val="0"/>
          <w:kern w:val="22"/>
          <w:lang w:val="en-GB"/>
        </w:rPr>
        <w:t>BES-Net</w:t>
      </w:r>
      <w:r w:rsidR="0011160C" w:rsidRPr="00700732">
        <w:rPr>
          <w:snapToGrid w:val="0"/>
          <w:kern w:val="22"/>
          <w:lang w:val="en-GB"/>
        </w:rPr>
        <w:t>)</w:t>
      </w:r>
      <w:r w:rsidR="009F14F8" w:rsidRPr="00700732">
        <w:rPr>
          <w:snapToGrid w:val="0"/>
          <w:kern w:val="22"/>
          <w:lang w:val="en-GB"/>
        </w:rPr>
        <w:t>,</w:t>
      </w:r>
      <w:r w:rsidR="00B04DF6" w:rsidRPr="00700732" w:rsidDel="00690EEB">
        <w:rPr>
          <w:snapToGrid w:val="0"/>
          <w:kern w:val="22"/>
          <w:lang w:val="en-GB"/>
        </w:rPr>
        <w:t xml:space="preserve"> the Sub-Global Assessment Network</w:t>
      </w:r>
      <w:r w:rsidR="00003325" w:rsidRPr="00700732" w:rsidDel="00690EEB">
        <w:rPr>
          <w:snapToGrid w:val="0"/>
          <w:kern w:val="22"/>
          <w:lang w:val="en-GB"/>
        </w:rPr>
        <w:t xml:space="preserve"> and others</w:t>
      </w:r>
      <w:r w:rsidR="00B04DF6" w:rsidRPr="00700732" w:rsidDel="00690EEB">
        <w:rPr>
          <w:snapToGrid w:val="0"/>
          <w:kern w:val="22"/>
          <w:lang w:val="en-GB"/>
        </w:rPr>
        <w:t>;</w:t>
      </w:r>
    </w:p>
    <w:p w14:paraId="20111B68" w14:textId="2EE626E2" w:rsidR="00B04DF6" w:rsidRPr="00700732" w:rsidDel="00690EEB" w:rsidRDefault="00B04DF6"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Promot</w:t>
      </w:r>
      <w:r w:rsidR="00654AED" w:rsidRPr="00700732" w:rsidDel="00690EEB">
        <w:rPr>
          <w:snapToGrid w:val="0"/>
          <w:kern w:val="22"/>
          <w:lang w:val="en-GB"/>
        </w:rPr>
        <w:t>in</w:t>
      </w:r>
      <w:r w:rsidR="003656E5" w:rsidRPr="00700732" w:rsidDel="00690EEB">
        <w:rPr>
          <w:snapToGrid w:val="0"/>
          <w:kern w:val="22"/>
          <w:lang w:val="en-GB"/>
        </w:rPr>
        <w:t>g</w:t>
      </w:r>
      <w:r w:rsidR="00654AED" w:rsidRPr="00700732" w:rsidDel="00690EEB">
        <w:rPr>
          <w:snapToGrid w:val="0"/>
          <w:kern w:val="22"/>
          <w:lang w:val="en-GB"/>
        </w:rPr>
        <w:t xml:space="preserve"> </w:t>
      </w:r>
      <w:r w:rsidR="00076487" w:rsidRPr="00700732" w:rsidDel="00690EEB">
        <w:rPr>
          <w:snapToGrid w:val="0"/>
          <w:kern w:val="22"/>
          <w:lang w:val="en-GB"/>
        </w:rPr>
        <w:t xml:space="preserve">the sharing of </w:t>
      </w:r>
      <w:r w:rsidRPr="00700732" w:rsidDel="00690EEB">
        <w:rPr>
          <w:snapToGrid w:val="0"/>
          <w:kern w:val="22"/>
          <w:lang w:val="en-GB"/>
        </w:rPr>
        <w:t>relevant and appropriate biodiversity research data</w:t>
      </w:r>
      <w:r w:rsidR="007F00DA" w:rsidRPr="00700732" w:rsidDel="00690EEB">
        <w:rPr>
          <w:snapToGrid w:val="0"/>
          <w:kern w:val="22"/>
          <w:lang w:val="en-GB"/>
        </w:rPr>
        <w:t>,</w:t>
      </w:r>
      <w:r w:rsidRPr="00700732" w:rsidDel="00690EEB">
        <w:rPr>
          <w:snapToGrid w:val="0"/>
          <w:kern w:val="22"/>
          <w:lang w:val="en-GB"/>
        </w:rPr>
        <w:t xml:space="preserve"> </w:t>
      </w:r>
      <w:r w:rsidR="007F00DA" w:rsidRPr="00700732" w:rsidDel="00690EEB">
        <w:rPr>
          <w:snapToGrid w:val="0"/>
          <w:kern w:val="22"/>
          <w:lang w:val="en-GB"/>
        </w:rPr>
        <w:t xml:space="preserve">including </w:t>
      </w:r>
      <w:r w:rsidRPr="00700732" w:rsidDel="00690EEB">
        <w:rPr>
          <w:snapToGrid w:val="0"/>
          <w:kern w:val="22"/>
          <w:lang w:val="en-GB"/>
        </w:rPr>
        <w:t>through platforms that</w:t>
      </w:r>
      <w:r w:rsidR="007F00DA" w:rsidRPr="00700732" w:rsidDel="00690EEB">
        <w:rPr>
          <w:snapToGrid w:val="0"/>
          <w:kern w:val="22"/>
          <w:lang w:val="en-GB"/>
        </w:rPr>
        <w:t xml:space="preserve"> facilitate </w:t>
      </w:r>
      <w:r w:rsidRPr="00700732" w:rsidDel="00690EEB">
        <w:rPr>
          <w:snapToGrid w:val="0"/>
          <w:kern w:val="22"/>
          <w:lang w:val="en-GB"/>
        </w:rPr>
        <w:t>systematization and data backup in an open-source setting</w:t>
      </w:r>
      <w:r w:rsidR="009A5873" w:rsidRPr="00700732" w:rsidDel="00690EEB">
        <w:rPr>
          <w:snapToGrid w:val="0"/>
          <w:kern w:val="22"/>
          <w:lang w:val="en-GB"/>
        </w:rPr>
        <w:t xml:space="preserve">, provide </w:t>
      </w:r>
      <w:r w:rsidRPr="00700732" w:rsidDel="00690EEB">
        <w:rPr>
          <w:snapToGrid w:val="0"/>
          <w:kern w:val="22"/>
          <w:lang w:val="en-GB"/>
        </w:rPr>
        <w:t xml:space="preserve">adequate protection against exploitation and appropriation, </w:t>
      </w:r>
      <w:r w:rsidR="009A5873" w:rsidRPr="00700732" w:rsidDel="00690EEB">
        <w:rPr>
          <w:snapToGrid w:val="0"/>
          <w:kern w:val="22"/>
          <w:lang w:val="en-GB"/>
        </w:rPr>
        <w:t xml:space="preserve">and </w:t>
      </w:r>
      <w:r w:rsidRPr="00700732" w:rsidDel="00690EEB">
        <w:rPr>
          <w:snapToGrid w:val="0"/>
          <w:kern w:val="22"/>
          <w:lang w:val="en-GB"/>
        </w:rPr>
        <w:t>respect principles of free</w:t>
      </w:r>
      <w:r w:rsidR="00A15B1F" w:rsidRPr="00700732">
        <w:rPr>
          <w:snapToGrid w:val="0"/>
          <w:kern w:val="22"/>
          <w:lang w:val="en-GB"/>
        </w:rPr>
        <w:t>,</w:t>
      </w:r>
      <w:r w:rsidRPr="00700732" w:rsidDel="00690EEB">
        <w:rPr>
          <w:snapToGrid w:val="0"/>
          <w:kern w:val="22"/>
          <w:lang w:val="en-GB"/>
        </w:rPr>
        <w:t xml:space="preserve"> prior and informed consent</w:t>
      </w:r>
      <w:r w:rsidR="006C4F11" w:rsidRPr="00700732">
        <w:rPr>
          <w:snapToGrid w:val="0"/>
          <w:kern w:val="22"/>
          <w:lang w:val="en-GB"/>
        </w:rPr>
        <w:t>;</w:t>
      </w:r>
      <w:r w:rsidR="00B844A6" w:rsidRPr="00700732" w:rsidDel="00690EEB">
        <w:rPr>
          <w:snapToGrid w:val="0"/>
          <w:kern w:val="22"/>
          <w:lang w:val="en-GB"/>
        </w:rPr>
        <w:t xml:space="preserve"> and developing safeguards against misuse and extractive data</w:t>
      </w:r>
      <w:r w:rsidR="00FB3032" w:rsidRPr="00700732">
        <w:rPr>
          <w:snapToGrid w:val="0"/>
          <w:kern w:val="22"/>
          <w:lang w:val="en-GB"/>
        </w:rPr>
        <w:t> </w:t>
      </w:r>
      <w:r w:rsidR="00B844A6" w:rsidRPr="00700732" w:rsidDel="00690EEB">
        <w:rPr>
          <w:snapToGrid w:val="0"/>
          <w:kern w:val="22"/>
          <w:lang w:val="en-GB"/>
        </w:rPr>
        <w:t>mining by or commercial or other data aggregators</w:t>
      </w:r>
      <w:r w:rsidRPr="00700732" w:rsidDel="00690EEB">
        <w:rPr>
          <w:snapToGrid w:val="0"/>
          <w:kern w:val="22"/>
          <w:lang w:val="en-GB"/>
        </w:rPr>
        <w:t>;</w:t>
      </w:r>
    </w:p>
    <w:p w14:paraId="68B88483" w14:textId="0DD960A1" w:rsidR="00B07B4D" w:rsidRPr="00700732" w:rsidDel="00690EEB" w:rsidRDefault="00B04DF6"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Further improv</w:t>
      </w:r>
      <w:r w:rsidR="00136E6A" w:rsidRPr="00700732" w:rsidDel="00690EEB">
        <w:rPr>
          <w:snapToGrid w:val="0"/>
          <w:kern w:val="22"/>
          <w:lang w:val="en-GB"/>
        </w:rPr>
        <w:t>ing</w:t>
      </w:r>
      <w:r w:rsidRPr="00700732" w:rsidDel="00690EEB">
        <w:rPr>
          <w:snapToGrid w:val="0"/>
          <w:kern w:val="22"/>
          <w:lang w:val="en-GB"/>
        </w:rPr>
        <w:t xml:space="preserve"> biodiversity monitoring through cooperation with, inter alia, the Committee on Earth Observation Satellites and the Group on Earth Observations </w:t>
      </w:r>
      <w:r w:rsidR="0019352E" w:rsidRPr="00700732" w:rsidDel="00690EEB">
        <w:rPr>
          <w:snapToGrid w:val="0"/>
          <w:kern w:val="22"/>
          <w:lang w:val="en-GB"/>
        </w:rPr>
        <w:t xml:space="preserve">Biodiversity Observation Network </w:t>
      </w:r>
      <w:r w:rsidRPr="00700732" w:rsidDel="00690EEB">
        <w:rPr>
          <w:snapToGrid w:val="0"/>
          <w:kern w:val="22"/>
          <w:lang w:val="en-GB"/>
        </w:rPr>
        <w:t>(GEO-BON)</w:t>
      </w:r>
      <w:r w:rsidR="004623D9" w:rsidRPr="00700732">
        <w:rPr>
          <w:snapToGrid w:val="0"/>
          <w:kern w:val="22"/>
          <w:lang w:val="en-GB"/>
        </w:rPr>
        <w:t>;</w:t>
      </w:r>
    </w:p>
    <w:p w14:paraId="4B5516E8" w14:textId="20474FE5" w:rsidR="00B04DF6" w:rsidRPr="00700732" w:rsidDel="00690EEB" w:rsidRDefault="00B07B4D"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I</w:t>
      </w:r>
      <w:r w:rsidR="00B04DF6" w:rsidRPr="00700732" w:rsidDel="00690EEB">
        <w:rPr>
          <w:snapToGrid w:val="0"/>
          <w:kern w:val="22"/>
          <w:lang w:val="en-GB"/>
        </w:rPr>
        <w:t>mprov</w:t>
      </w:r>
      <w:r w:rsidRPr="00700732" w:rsidDel="00690EEB">
        <w:rPr>
          <w:snapToGrid w:val="0"/>
          <w:kern w:val="22"/>
          <w:lang w:val="en-GB"/>
        </w:rPr>
        <w:t>ing</w:t>
      </w:r>
      <w:r w:rsidR="00B04DF6" w:rsidRPr="00700732" w:rsidDel="00690EEB">
        <w:rPr>
          <w:snapToGrid w:val="0"/>
          <w:kern w:val="22"/>
          <w:lang w:val="en-GB"/>
        </w:rPr>
        <w:t xml:space="preserve"> the governance, fair acquisition, coordination, delivery and controlled use of biodiversity-related Earth observation data and related services;</w:t>
      </w:r>
    </w:p>
    <w:p w14:paraId="1A5CAFFB" w14:textId="75D7DB23" w:rsidR="00B04DF6" w:rsidRPr="00700732" w:rsidDel="00690EEB" w:rsidRDefault="00B04DF6"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Strengthen</w:t>
      </w:r>
      <w:r w:rsidR="00540DB2" w:rsidRPr="00700732" w:rsidDel="00690EEB">
        <w:rPr>
          <w:snapToGrid w:val="0"/>
          <w:kern w:val="22"/>
          <w:lang w:val="en-GB"/>
        </w:rPr>
        <w:t xml:space="preserve">ing </w:t>
      </w:r>
      <w:r w:rsidRPr="00700732" w:rsidDel="00690EEB">
        <w:rPr>
          <w:snapToGrid w:val="0"/>
          <w:kern w:val="22"/>
          <w:lang w:val="en-GB"/>
        </w:rPr>
        <w:t>long-term field monitoring programmes for biodiversity through cooperation, exchange of experiences, methodology transfer and data-sharing;</w:t>
      </w:r>
    </w:p>
    <w:p w14:paraId="251E2EFF" w14:textId="422154B4" w:rsidR="000B7BAD" w:rsidRPr="00700732" w:rsidDel="00690EEB" w:rsidRDefault="00B04DF6"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Identif</w:t>
      </w:r>
      <w:r w:rsidR="009A5873" w:rsidRPr="00700732" w:rsidDel="00690EEB">
        <w:rPr>
          <w:snapToGrid w:val="0"/>
          <w:kern w:val="22"/>
          <w:lang w:val="en-GB"/>
        </w:rPr>
        <w:t>ying,</w:t>
      </w:r>
      <w:r w:rsidR="00540DB2" w:rsidRPr="00700732" w:rsidDel="00690EEB">
        <w:rPr>
          <w:snapToGrid w:val="0"/>
          <w:kern w:val="22"/>
          <w:lang w:val="en-GB"/>
        </w:rPr>
        <w:t xml:space="preserve"> publiciz</w:t>
      </w:r>
      <w:r w:rsidR="009A5873" w:rsidRPr="00700732" w:rsidDel="00690EEB">
        <w:rPr>
          <w:snapToGrid w:val="0"/>
          <w:kern w:val="22"/>
          <w:lang w:val="en-GB"/>
        </w:rPr>
        <w:t>ing and linking</w:t>
      </w:r>
      <w:r w:rsidRPr="00700732" w:rsidDel="00690EEB">
        <w:rPr>
          <w:snapToGrid w:val="0"/>
          <w:kern w:val="22"/>
          <w:lang w:val="en-GB"/>
        </w:rPr>
        <w:t xml:space="preserve"> centres of expertise;</w:t>
      </w:r>
    </w:p>
    <w:p w14:paraId="24D2A13E" w14:textId="57BF198F" w:rsidR="00B04DF6" w:rsidRPr="00A8649E" w:rsidDel="00690EEB" w:rsidRDefault="00B04DF6"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rPr>
      </w:pPr>
      <w:r w:rsidRPr="00A8649E" w:rsidDel="00690EEB">
        <w:rPr>
          <w:i/>
          <w:kern w:val="22"/>
          <w:szCs w:val="22"/>
        </w:rPr>
        <w:t>Capacity</w:t>
      </w:r>
      <w:r w:rsidR="00CF28F6" w:rsidRPr="00A8649E" w:rsidDel="00690EEB">
        <w:rPr>
          <w:i/>
          <w:kern w:val="22"/>
          <w:szCs w:val="22"/>
        </w:rPr>
        <w:t xml:space="preserve"> development</w:t>
      </w:r>
      <w:r w:rsidRPr="00A8649E" w:rsidDel="00690EEB">
        <w:rPr>
          <w:i/>
          <w:kern w:val="22"/>
          <w:szCs w:val="22"/>
        </w:rPr>
        <w:t xml:space="preserve"> in areas related to technical and scientific cooperation</w:t>
      </w:r>
    </w:p>
    <w:p w14:paraId="319FB96D" w14:textId="7DF8F231" w:rsidR="00DE7960" w:rsidRPr="00700732" w:rsidDel="00690EEB" w:rsidRDefault="00DE7960" w:rsidP="00700732">
      <w:pPr>
        <w:pStyle w:val="CBD-Para-a"/>
        <w:keepLines w:val="0"/>
        <w:numPr>
          <w:ilvl w:val="0"/>
          <w:numId w:val="26"/>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bookmarkStart w:id="7" w:name="_Hlk19884745"/>
      <w:r w:rsidRPr="00700732" w:rsidDel="00690EEB">
        <w:rPr>
          <w:snapToGrid w:val="0"/>
          <w:kern w:val="22"/>
          <w:lang w:val="en-GB"/>
        </w:rPr>
        <w:t>Supporting Parties to develop and implement enabling and synergistic policies, regulatory frameworks, institutional arrangements and incentives to catalyse and scale up innovation;</w:t>
      </w:r>
    </w:p>
    <w:p w14:paraId="3F808617" w14:textId="7184EF2E" w:rsidR="00B04DF6" w:rsidRPr="00700732" w:rsidDel="00690EEB" w:rsidRDefault="00B04DF6" w:rsidP="00700732">
      <w:pPr>
        <w:pStyle w:val="CBD-Para-a"/>
        <w:keepLines w:val="0"/>
        <w:numPr>
          <w:ilvl w:val="0"/>
          <w:numId w:val="26"/>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Strengthen</w:t>
      </w:r>
      <w:r w:rsidR="005B288A" w:rsidRPr="00700732" w:rsidDel="00690EEB">
        <w:rPr>
          <w:snapToGrid w:val="0"/>
          <w:kern w:val="22"/>
          <w:lang w:val="en-GB"/>
        </w:rPr>
        <w:t>ing</w:t>
      </w:r>
      <w:r w:rsidR="00DE7960" w:rsidRPr="00700732" w:rsidDel="00690EEB">
        <w:rPr>
          <w:snapToGrid w:val="0"/>
          <w:kern w:val="22"/>
          <w:lang w:val="en-GB"/>
        </w:rPr>
        <w:t xml:space="preserve"> the organizational capacities of</w:t>
      </w:r>
      <w:r w:rsidRPr="00700732" w:rsidDel="00690EEB">
        <w:rPr>
          <w:snapToGrid w:val="0"/>
          <w:kern w:val="22"/>
          <w:lang w:val="en-GB"/>
        </w:rPr>
        <w:t xml:space="preserve"> scientific institutions</w:t>
      </w:r>
      <w:r w:rsidR="00E22AD9" w:rsidRPr="00700732" w:rsidDel="00690EEB">
        <w:rPr>
          <w:snapToGrid w:val="0"/>
          <w:kern w:val="22"/>
          <w:lang w:val="en-GB"/>
        </w:rPr>
        <w:t>, including</w:t>
      </w:r>
      <w:r w:rsidR="00CD1485" w:rsidRPr="00700732" w:rsidDel="00690EEB">
        <w:rPr>
          <w:snapToGrid w:val="0"/>
          <w:kern w:val="22"/>
          <w:lang w:val="en-GB"/>
        </w:rPr>
        <w:t xml:space="preserve"> </w:t>
      </w:r>
      <w:r w:rsidRPr="00700732" w:rsidDel="00690EEB">
        <w:rPr>
          <w:snapToGrid w:val="0"/>
          <w:kern w:val="22"/>
          <w:lang w:val="en-GB"/>
        </w:rPr>
        <w:t xml:space="preserve">through educational programmes, </w:t>
      </w:r>
      <w:r w:rsidR="00E22AD9" w:rsidRPr="00700732" w:rsidDel="00690EEB">
        <w:rPr>
          <w:snapToGrid w:val="0"/>
          <w:kern w:val="22"/>
          <w:lang w:val="en-GB"/>
        </w:rPr>
        <w:t xml:space="preserve">exchange of experts and </w:t>
      </w:r>
      <w:r w:rsidRPr="00700732" w:rsidDel="00690EEB">
        <w:rPr>
          <w:snapToGrid w:val="0"/>
          <w:kern w:val="22"/>
          <w:lang w:val="en-GB"/>
        </w:rPr>
        <w:t>mentoring of young scientists;</w:t>
      </w:r>
      <w:bookmarkEnd w:id="7"/>
    </w:p>
    <w:p w14:paraId="123957B2" w14:textId="72267382" w:rsidR="00B04DF6" w:rsidRPr="00700732" w:rsidDel="00690EEB" w:rsidRDefault="00B04DF6" w:rsidP="00700732">
      <w:pPr>
        <w:pStyle w:val="CBD-Para-a"/>
        <w:keepLines w:val="0"/>
        <w:numPr>
          <w:ilvl w:val="0"/>
          <w:numId w:val="26"/>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lastRenderedPageBreak/>
        <w:t>Facilitat</w:t>
      </w:r>
      <w:r w:rsidR="003D3ED2" w:rsidRPr="00700732" w:rsidDel="00690EEB">
        <w:rPr>
          <w:snapToGrid w:val="0"/>
          <w:kern w:val="22"/>
          <w:lang w:val="en-GB"/>
        </w:rPr>
        <w:t>ing</w:t>
      </w:r>
      <w:r w:rsidRPr="00700732" w:rsidDel="00690EEB">
        <w:rPr>
          <w:snapToGrid w:val="0"/>
          <w:kern w:val="22"/>
          <w:lang w:val="en-GB"/>
        </w:rPr>
        <w:t xml:space="preserve"> the provision of skills training to develop technical know-how in specialized areas, such as remote sensing, scenario analyses and modelling, valuation of biodiversity and ecosystem functions and services, modern biotechnology, DNA technologies, gene editing, synthetic biology, digital sequence information, status assessments for species and ecosystems, identification of spatial biodiversity priority areas, and others;</w:t>
      </w:r>
      <w:r w:rsidRPr="00700732" w:rsidDel="00690EEB">
        <w:rPr>
          <w:rStyle w:val="FootnoteReference"/>
          <w:snapToGrid w:val="0"/>
          <w:kern w:val="22"/>
          <w:lang w:val="en-GB"/>
        </w:rPr>
        <w:footnoteReference w:id="18"/>
      </w:r>
    </w:p>
    <w:p w14:paraId="3CE6009C" w14:textId="594C4610" w:rsidR="00B04DF6" w:rsidRPr="00700732" w:rsidDel="00690EEB" w:rsidRDefault="00CD1485" w:rsidP="00700732">
      <w:pPr>
        <w:pStyle w:val="CBD-Para-a"/>
        <w:keepLines w:val="0"/>
        <w:numPr>
          <w:ilvl w:val="0"/>
          <w:numId w:val="26"/>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 xml:space="preserve">Facilitating the provision of </w:t>
      </w:r>
      <w:r w:rsidR="00B04DF6" w:rsidRPr="00700732" w:rsidDel="00690EEB">
        <w:rPr>
          <w:snapToGrid w:val="0"/>
          <w:kern w:val="22"/>
          <w:lang w:val="en-GB"/>
        </w:rPr>
        <w:t>guidance material on social and ethical matters related to science and technology</w:t>
      </w:r>
      <w:r w:rsidR="00BE5A3D" w:rsidRPr="00700732" w:rsidDel="00690EEB">
        <w:rPr>
          <w:snapToGrid w:val="0"/>
          <w:kern w:val="22"/>
          <w:lang w:val="en-GB"/>
        </w:rPr>
        <w:t>;</w:t>
      </w:r>
    </w:p>
    <w:p w14:paraId="5EB23C4F" w14:textId="5A5588EF" w:rsidR="00B04DF6" w:rsidRPr="00A8649E" w:rsidDel="00690EEB" w:rsidRDefault="00B04DF6"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rPr>
      </w:pPr>
      <w:r w:rsidRPr="00A8649E" w:rsidDel="00690EEB">
        <w:rPr>
          <w:i/>
          <w:kern w:val="22"/>
          <w:szCs w:val="22"/>
        </w:rPr>
        <w:t>Facilitation of research and development</w:t>
      </w:r>
    </w:p>
    <w:p w14:paraId="76C08228" w14:textId="548D3A98" w:rsidR="00B04DF6" w:rsidRPr="00700732" w:rsidDel="00690EEB" w:rsidRDefault="0081219D" w:rsidP="00700732">
      <w:pPr>
        <w:pStyle w:val="CBD-Para-a"/>
        <w:keepLines w:val="0"/>
        <w:numPr>
          <w:ilvl w:val="0"/>
          <w:numId w:val="27"/>
        </w:numPr>
        <w:suppressLineNumbers/>
        <w:tabs>
          <w:tab w:val="clear" w:pos="2160"/>
        </w:tabs>
        <w:suppressAutoHyphens/>
        <w:kinsoku w:val="0"/>
        <w:overflowPunct w:val="0"/>
        <w:autoSpaceDE w:val="0"/>
        <w:autoSpaceDN w:val="0"/>
        <w:adjustRightInd w:val="0"/>
        <w:snapToGrid w:val="0"/>
        <w:ind w:left="1985" w:hanging="562"/>
        <w:rPr>
          <w:snapToGrid w:val="0"/>
          <w:spacing w:val="-4"/>
          <w:kern w:val="22"/>
          <w:lang w:val="en-GB"/>
        </w:rPr>
      </w:pPr>
      <w:r w:rsidRPr="00700732" w:rsidDel="00690EEB">
        <w:rPr>
          <w:snapToGrid w:val="0"/>
          <w:spacing w:val="-4"/>
          <w:kern w:val="22"/>
          <w:lang w:val="en-GB"/>
        </w:rPr>
        <w:t>Strengthening</w:t>
      </w:r>
      <w:r w:rsidR="003B034E" w:rsidRPr="00700732" w:rsidDel="00690EEB">
        <w:rPr>
          <w:snapToGrid w:val="0"/>
          <w:spacing w:val="-4"/>
          <w:kern w:val="22"/>
          <w:lang w:val="en-GB"/>
        </w:rPr>
        <w:t xml:space="preserve"> the </w:t>
      </w:r>
      <w:r w:rsidRPr="00700732" w:rsidDel="00690EEB">
        <w:rPr>
          <w:snapToGrid w:val="0"/>
          <w:spacing w:val="-4"/>
          <w:kern w:val="22"/>
          <w:lang w:val="en-GB"/>
        </w:rPr>
        <w:t>organizational</w:t>
      </w:r>
      <w:r w:rsidR="003B034E" w:rsidRPr="00700732" w:rsidDel="00690EEB">
        <w:rPr>
          <w:snapToGrid w:val="0"/>
          <w:spacing w:val="-4"/>
          <w:kern w:val="22"/>
          <w:lang w:val="en-GB"/>
        </w:rPr>
        <w:t xml:space="preserve"> </w:t>
      </w:r>
      <w:r w:rsidRPr="00700732" w:rsidDel="00690EEB">
        <w:rPr>
          <w:snapToGrid w:val="0"/>
          <w:spacing w:val="-4"/>
          <w:kern w:val="22"/>
          <w:lang w:val="en-GB"/>
        </w:rPr>
        <w:t>capacities</w:t>
      </w:r>
      <w:r w:rsidR="003B034E" w:rsidRPr="00700732" w:rsidDel="00690EEB">
        <w:rPr>
          <w:snapToGrid w:val="0"/>
          <w:spacing w:val="-4"/>
          <w:kern w:val="22"/>
          <w:lang w:val="en-GB"/>
        </w:rPr>
        <w:t xml:space="preserve"> of </w:t>
      </w:r>
      <w:r w:rsidR="00B04DF6" w:rsidRPr="00700732" w:rsidDel="00690EEB">
        <w:rPr>
          <w:snapToGrid w:val="0"/>
          <w:spacing w:val="-4"/>
          <w:kern w:val="22"/>
          <w:lang w:val="en-GB"/>
        </w:rPr>
        <w:t>national and subnational scientific institutions to conduct relevant research</w:t>
      </w:r>
      <w:r w:rsidR="00A04FDC" w:rsidRPr="00700732" w:rsidDel="00690EEB">
        <w:rPr>
          <w:snapToGrid w:val="0"/>
          <w:spacing w:val="-4"/>
          <w:kern w:val="22"/>
          <w:lang w:val="en-GB"/>
        </w:rPr>
        <w:t xml:space="preserve"> </w:t>
      </w:r>
      <w:r w:rsidR="003B034E" w:rsidRPr="00700732" w:rsidDel="00690EEB">
        <w:rPr>
          <w:snapToGrid w:val="0"/>
          <w:spacing w:val="-4"/>
          <w:kern w:val="22"/>
          <w:lang w:val="en-GB"/>
        </w:rPr>
        <w:t xml:space="preserve">by facilitating </w:t>
      </w:r>
      <w:r w:rsidR="00B04DF6" w:rsidRPr="00700732" w:rsidDel="00690EEB">
        <w:rPr>
          <w:snapToGrid w:val="0"/>
          <w:spacing w:val="-4"/>
          <w:kern w:val="22"/>
          <w:lang w:val="en-GB"/>
        </w:rPr>
        <w:t>partnerships with counterpart organizations in other countries, joint research projects, and exchange of experts and staff;</w:t>
      </w:r>
    </w:p>
    <w:p w14:paraId="524E221B" w14:textId="3BF687E0" w:rsidR="00B04DF6" w:rsidRPr="00700732" w:rsidDel="00690EEB" w:rsidRDefault="003B034E" w:rsidP="00700732">
      <w:pPr>
        <w:pStyle w:val="CBD-Para-a"/>
        <w:keepLines w:val="0"/>
        <w:numPr>
          <w:ilvl w:val="0"/>
          <w:numId w:val="27"/>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Supporting the e</w:t>
      </w:r>
      <w:r w:rsidR="00B04DF6" w:rsidRPr="00700732" w:rsidDel="00690EEB">
        <w:rPr>
          <w:snapToGrid w:val="0"/>
          <w:kern w:val="22"/>
          <w:lang w:val="en-GB"/>
        </w:rPr>
        <w:t>stablish</w:t>
      </w:r>
      <w:r w:rsidRPr="00700732" w:rsidDel="00690EEB">
        <w:rPr>
          <w:snapToGrid w:val="0"/>
          <w:kern w:val="22"/>
          <w:lang w:val="en-GB"/>
        </w:rPr>
        <w:t>ment</w:t>
      </w:r>
      <w:r w:rsidR="00B04DF6" w:rsidRPr="00700732" w:rsidDel="00690EEB">
        <w:rPr>
          <w:snapToGrid w:val="0"/>
          <w:kern w:val="22"/>
          <w:lang w:val="en-GB"/>
        </w:rPr>
        <w:t xml:space="preserve"> or strengthen</w:t>
      </w:r>
      <w:r w:rsidRPr="00700732" w:rsidDel="00690EEB">
        <w:rPr>
          <w:snapToGrid w:val="0"/>
          <w:kern w:val="22"/>
          <w:lang w:val="en-GB"/>
        </w:rPr>
        <w:t>ing of</w:t>
      </w:r>
      <w:r w:rsidR="00B04DF6" w:rsidRPr="00700732" w:rsidDel="00690EEB">
        <w:rPr>
          <w:snapToGrid w:val="0"/>
          <w:kern w:val="22"/>
          <w:lang w:val="en-GB"/>
        </w:rPr>
        <w:t xml:space="preserve"> technology incubator programmes and accelerator mechanisms to promote and facilitate the development of biodiversity-related innovations and solutions, including locally designed technologies and solutions, and indigenous technologies;</w:t>
      </w:r>
    </w:p>
    <w:p w14:paraId="1A7F3D1A" w14:textId="2BBCB373" w:rsidR="00B04DF6" w:rsidRPr="00A8649E" w:rsidDel="00690EEB"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sidDel="00690EEB">
        <w:rPr>
          <w:i/>
          <w:kern w:val="22"/>
          <w:szCs w:val="22"/>
        </w:rPr>
        <w:t>Identification and promotion of exemplary cooperation initiatives</w:t>
      </w:r>
    </w:p>
    <w:p w14:paraId="1E57D960" w14:textId="2B39274C" w:rsidR="00B04DF6" w:rsidRPr="00700732" w:rsidDel="00690EEB" w:rsidRDefault="00B04DF6" w:rsidP="00700732">
      <w:pPr>
        <w:pStyle w:val="CBD-Para-a"/>
        <w:keepLines w:val="0"/>
        <w:numPr>
          <w:ilvl w:val="0"/>
          <w:numId w:val="28"/>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bookmarkStart w:id="8" w:name="_Ref28605028"/>
      <w:r w:rsidRPr="00700732" w:rsidDel="00690EEB">
        <w:rPr>
          <w:snapToGrid w:val="0"/>
          <w:kern w:val="22"/>
          <w:lang w:val="en-GB"/>
        </w:rPr>
        <w:t>Facilitat</w:t>
      </w:r>
      <w:r w:rsidR="00C01945" w:rsidRPr="00700732" w:rsidDel="00690EEB">
        <w:rPr>
          <w:snapToGrid w:val="0"/>
          <w:kern w:val="22"/>
          <w:lang w:val="en-GB"/>
        </w:rPr>
        <w:t>ing</w:t>
      </w:r>
      <w:r w:rsidRPr="00700732" w:rsidDel="00690EEB">
        <w:rPr>
          <w:snapToGrid w:val="0"/>
          <w:kern w:val="22"/>
          <w:lang w:val="en-GB"/>
        </w:rPr>
        <w:t xml:space="preserve"> the sharing of relevant information, success stories</w:t>
      </w:r>
      <w:r w:rsidR="00927B44" w:rsidRPr="00700732" w:rsidDel="00690EEB">
        <w:rPr>
          <w:snapToGrid w:val="0"/>
          <w:kern w:val="22"/>
          <w:lang w:val="en-GB"/>
        </w:rPr>
        <w:t>,</w:t>
      </w:r>
      <w:r w:rsidRPr="00700732" w:rsidDel="00690EEB">
        <w:rPr>
          <w:snapToGrid w:val="0"/>
          <w:kern w:val="22"/>
          <w:lang w:val="en-GB"/>
        </w:rPr>
        <w:t xml:space="preserve"> </w:t>
      </w:r>
      <w:r w:rsidR="00927B44" w:rsidRPr="00700732" w:rsidDel="00690EEB">
        <w:rPr>
          <w:snapToGrid w:val="0"/>
          <w:kern w:val="22"/>
          <w:lang w:val="en-GB"/>
        </w:rPr>
        <w:t xml:space="preserve">exemplary cooperation projects (bright spots), case studies, </w:t>
      </w:r>
      <w:r w:rsidRPr="00700732" w:rsidDel="00690EEB">
        <w:rPr>
          <w:snapToGrid w:val="0"/>
          <w:kern w:val="22"/>
          <w:lang w:val="en-GB"/>
        </w:rPr>
        <w:t xml:space="preserve">and best practices, in line with the </w:t>
      </w:r>
      <w:r w:rsidR="00B33472" w:rsidRPr="00700732">
        <w:rPr>
          <w:snapToGrid w:val="0"/>
          <w:kern w:val="22"/>
          <w:lang w:val="en-GB"/>
        </w:rPr>
        <w:t>k</w:t>
      </w:r>
      <w:r w:rsidRPr="00700732" w:rsidDel="00690EEB">
        <w:rPr>
          <w:snapToGrid w:val="0"/>
          <w:kern w:val="22"/>
          <w:lang w:val="en-GB"/>
        </w:rPr>
        <w:t xml:space="preserve">nowledge </w:t>
      </w:r>
      <w:r w:rsidR="00B33472" w:rsidRPr="00700732">
        <w:rPr>
          <w:snapToGrid w:val="0"/>
          <w:kern w:val="22"/>
          <w:lang w:val="en-GB"/>
        </w:rPr>
        <w:t>m</w:t>
      </w:r>
      <w:r w:rsidRPr="00700732" w:rsidDel="00690EEB">
        <w:rPr>
          <w:snapToGrid w:val="0"/>
          <w:kern w:val="22"/>
          <w:lang w:val="en-GB"/>
        </w:rPr>
        <w:t xml:space="preserve">anagement </w:t>
      </w:r>
      <w:r w:rsidR="00B33472" w:rsidRPr="00700732">
        <w:rPr>
          <w:snapToGrid w:val="0"/>
          <w:kern w:val="22"/>
          <w:lang w:val="en-GB"/>
        </w:rPr>
        <w:t>component of the post-2020 global biodiversity framework</w:t>
      </w:r>
      <w:r w:rsidRPr="00700732" w:rsidDel="00690EEB">
        <w:rPr>
          <w:snapToGrid w:val="0"/>
          <w:kern w:val="22"/>
          <w:lang w:val="en-GB"/>
        </w:rPr>
        <w:t>,</w:t>
      </w:r>
      <w:r w:rsidR="00A43A8A" w:rsidRPr="00700732">
        <w:rPr>
          <w:rStyle w:val="FootnoteReference"/>
          <w:snapToGrid w:val="0"/>
          <w:kern w:val="22"/>
          <w:lang w:val="en-GB"/>
        </w:rPr>
        <w:footnoteReference w:id="19"/>
      </w:r>
      <w:r w:rsidRPr="00700732" w:rsidDel="00690EEB">
        <w:rPr>
          <w:snapToGrid w:val="0"/>
          <w:kern w:val="22"/>
          <w:lang w:val="en-GB"/>
        </w:rPr>
        <w:t xml:space="preserve"> including information on results of technical and scientific research, relevant training and technical assistance programmes, and funding mechanisms;</w:t>
      </w:r>
      <w:bookmarkEnd w:id="8"/>
    </w:p>
    <w:p w14:paraId="2B3B03EE" w14:textId="25446A16" w:rsidR="00B04DF6" w:rsidRPr="00700732" w:rsidDel="00690EEB" w:rsidRDefault="00B04DF6" w:rsidP="00700732">
      <w:pPr>
        <w:pStyle w:val="CBD-Para-a"/>
        <w:keepLines w:val="0"/>
        <w:numPr>
          <w:ilvl w:val="0"/>
          <w:numId w:val="28"/>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Identify</w:t>
      </w:r>
      <w:r w:rsidR="00C01945" w:rsidRPr="00700732" w:rsidDel="00690EEB">
        <w:rPr>
          <w:snapToGrid w:val="0"/>
          <w:kern w:val="22"/>
          <w:lang w:val="en-GB"/>
        </w:rPr>
        <w:t>ing</w:t>
      </w:r>
      <w:r w:rsidRPr="00700732" w:rsidDel="00690EEB">
        <w:rPr>
          <w:snapToGrid w:val="0"/>
          <w:kern w:val="22"/>
          <w:lang w:val="en-GB"/>
        </w:rPr>
        <w:t>, map</w:t>
      </w:r>
      <w:r w:rsidR="00C01945" w:rsidRPr="00700732" w:rsidDel="00690EEB">
        <w:rPr>
          <w:snapToGrid w:val="0"/>
          <w:kern w:val="22"/>
          <w:lang w:val="en-GB"/>
        </w:rPr>
        <w:t>ping</w:t>
      </w:r>
      <w:r w:rsidRPr="00700732" w:rsidDel="00690EEB">
        <w:rPr>
          <w:snapToGrid w:val="0"/>
          <w:kern w:val="22"/>
          <w:lang w:val="en-GB"/>
        </w:rPr>
        <w:t xml:space="preserve"> and publiciz</w:t>
      </w:r>
      <w:r w:rsidR="00C01945" w:rsidRPr="00700732" w:rsidDel="00690EEB">
        <w:rPr>
          <w:snapToGrid w:val="0"/>
          <w:kern w:val="22"/>
          <w:lang w:val="en-GB"/>
        </w:rPr>
        <w:t>ing</w:t>
      </w:r>
      <w:r w:rsidRPr="00700732" w:rsidDel="00690EEB">
        <w:rPr>
          <w:snapToGrid w:val="0"/>
          <w:kern w:val="22"/>
          <w:lang w:val="en-GB"/>
        </w:rPr>
        <w:t xml:space="preserve"> existing relevant technologies with a view to facilitating their accessibility and utilization;</w:t>
      </w:r>
    </w:p>
    <w:p w14:paraId="121282F4" w14:textId="030C027F" w:rsidR="00B04DF6" w:rsidRPr="00700732" w:rsidDel="00690EEB" w:rsidRDefault="00B04DF6" w:rsidP="00700732">
      <w:pPr>
        <w:pStyle w:val="CBD-Para-a"/>
        <w:keepLines w:val="0"/>
        <w:numPr>
          <w:ilvl w:val="0"/>
          <w:numId w:val="28"/>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Identify</w:t>
      </w:r>
      <w:r w:rsidR="00A37020" w:rsidRPr="00700732" w:rsidDel="00690EEB">
        <w:rPr>
          <w:snapToGrid w:val="0"/>
          <w:kern w:val="22"/>
          <w:lang w:val="en-GB"/>
        </w:rPr>
        <w:t>ing</w:t>
      </w:r>
      <w:r w:rsidRPr="00700732" w:rsidDel="00690EEB">
        <w:rPr>
          <w:snapToGrid w:val="0"/>
          <w:kern w:val="22"/>
          <w:lang w:val="en-GB"/>
        </w:rPr>
        <w:t xml:space="preserve">, </w:t>
      </w:r>
      <w:r w:rsidR="00927B44" w:rsidRPr="00700732" w:rsidDel="00690EEB">
        <w:rPr>
          <w:snapToGrid w:val="0"/>
          <w:kern w:val="22"/>
          <w:lang w:val="en-GB"/>
        </w:rPr>
        <w:t>mapping and publicizing impactful innovations</w:t>
      </w:r>
      <w:r w:rsidRPr="00700732" w:rsidDel="00690EEB">
        <w:rPr>
          <w:snapToGrid w:val="0"/>
          <w:kern w:val="22"/>
          <w:lang w:val="en-GB"/>
        </w:rPr>
        <w:t xml:space="preserve"> </w:t>
      </w:r>
      <w:r w:rsidR="00927B44" w:rsidRPr="00700732" w:rsidDel="00690EEB">
        <w:rPr>
          <w:snapToGrid w:val="0"/>
          <w:kern w:val="22"/>
          <w:lang w:val="en-GB"/>
        </w:rPr>
        <w:t xml:space="preserve">with a view to facilitating </w:t>
      </w:r>
      <w:r w:rsidRPr="00700732" w:rsidDel="00690EEB">
        <w:rPr>
          <w:snapToGrid w:val="0"/>
          <w:kern w:val="22"/>
          <w:lang w:val="en-GB"/>
        </w:rPr>
        <w:t>the</w:t>
      </w:r>
      <w:r w:rsidR="00927B44" w:rsidRPr="00700732" w:rsidDel="00690EEB">
        <w:rPr>
          <w:snapToGrid w:val="0"/>
          <w:kern w:val="22"/>
          <w:lang w:val="en-GB"/>
        </w:rPr>
        <w:t>ir</w:t>
      </w:r>
      <w:r w:rsidRPr="00700732" w:rsidDel="00690EEB">
        <w:rPr>
          <w:snapToGrid w:val="0"/>
          <w:kern w:val="22"/>
          <w:lang w:val="en-GB"/>
        </w:rPr>
        <w:t xml:space="preserve"> implementation and scaling up;</w:t>
      </w:r>
    </w:p>
    <w:p w14:paraId="2326E6DE" w14:textId="5C72F6E2" w:rsidR="00B04DF6" w:rsidRPr="00700732" w:rsidDel="00690EEB" w:rsidRDefault="00B04DF6" w:rsidP="00700732">
      <w:pPr>
        <w:pStyle w:val="CBD-Para-a"/>
        <w:keepLines w:val="0"/>
        <w:numPr>
          <w:ilvl w:val="0"/>
          <w:numId w:val="28"/>
        </w:numPr>
        <w:suppressLineNumbers/>
        <w:tabs>
          <w:tab w:val="clear" w:pos="2160"/>
        </w:tabs>
        <w:suppressAutoHyphens/>
        <w:kinsoku w:val="0"/>
        <w:overflowPunct w:val="0"/>
        <w:autoSpaceDE w:val="0"/>
        <w:autoSpaceDN w:val="0"/>
        <w:adjustRightInd w:val="0"/>
        <w:snapToGrid w:val="0"/>
        <w:ind w:left="1985" w:hanging="562"/>
        <w:rPr>
          <w:snapToGrid w:val="0"/>
          <w:kern w:val="22"/>
          <w:lang w:val="en-GB"/>
        </w:rPr>
      </w:pPr>
      <w:r w:rsidRPr="00700732" w:rsidDel="00690EEB">
        <w:rPr>
          <w:snapToGrid w:val="0"/>
          <w:kern w:val="22"/>
          <w:lang w:val="en-GB"/>
        </w:rPr>
        <w:t>Organiz</w:t>
      </w:r>
      <w:r w:rsidR="00E30B24" w:rsidRPr="00700732" w:rsidDel="00690EEB">
        <w:rPr>
          <w:snapToGrid w:val="0"/>
          <w:kern w:val="22"/>
          <w:lang w:val="en-GB"/>
        </w:rPr>
        <w:t>ing</w:t>
      </w:r>
      <w:r w:rsidRPr="00700732" w:rsidDel="00690EEB">
        <w:rPr>
          <w:snapToGrid w:val="0"/>
          <w:kern w:val="22"/>
          <w:lang w:val="en-GB"/>
        </w:rPr>
        <w:t xml:space="preserve"> technology and innovation fairs and expos to showcase cutting-edge technologies and solutions.</w:t>
      </w:r>
    </w:p>
    <w:p w14:paraId="26739A35" w14:textId="42DA6969" w:rsidR="00B04DF6" w:rsidRPr="00700732" w:rsidDel="00690EEB"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sidDel="00690EEB">
        <w:rPr>
          <w:snapToGrid w:val="0"/>
          <w:kern w:val="22"/>
          <w:lang w:val="en-GB"/>
        </w:rPr>
        <w:t xml:space="preserve">The choice of which </w:t>
      </w:r>
      <w:r w:rsidR="001F34D9" w:rsidRPr="00700732" w:rsidDel="00690EEB">
        <w:rPr>
          <w:snapToGrid w:val="0"/>
          <w:kern w:val="22"/>
          <w:lang w:val="en-GB"/>
        </w:rPr>
        <w:t xml:space="preserve">actions </w:t>
      </w:r>
      <w:r w:rsidRPr="00700732" w:rsidDel="00690EEB">
        <w:rPr>
          <w:snapToGrid w:val="0"/>
          <w:kern w:val="22"/>
          <w:lang w:val="en-GB"/>
        </w:rPr>
        <w:t xml:space="preserve">to apply would be determined on a case-by-case basis depending on </w:t>
      </w:r>
      <w:r w:rsidR="00087518" w:rsidRPr="00700732" w:rsidDel="00690EEB">
        <w:rPr>
          <w:snapToGrid w:val="0"/>
          <w:kern w:val="22"/>
          <w:lang w:val="en-GB"/>
        </w:rPr>
        <w:t xml:space="preserve">various </w:t>
      </w:r>
      <w:r w:rsidRPr="00700732" w:rsidDel="00690EEB">
        <w:rPr>
          <w:snapToGrid w:val="0"/>
          <w:kern w:val="22"/>
          <w:lang w:val="en-GB"/>
        </w:rPr>
        <w:t>factors, including the needs and circumstances of the Party(</w:t>
      </w:r>
      <w:proofErr w:type="spellStart"/>
      <w:r w:rsidRPr="00700732" w:rsidDel="00690EEB">
        <w:rPr>
          <w:snapToGrid w:val="0"/>
          <w:kern w:val="22"/>
          <w:lang w:val="en-GB"/>
        </w:rPr>
        <w:t>ies</w:t>
      </w:r>
      <w:proofErr w:type="spellEnd"/>
      <w:r w:rsidRPr="00700732" w:rsidDel="00690EEB">
        <w:rPr>
          <w:snapToGrid w:val="0"/>
          <w:kern w:val="22"/>
          <w:lang w:val="en-GB"/>
        </w:rPr>
        <w:t>) requesting assistance, the level of technical and financial resources required, the ability of the countries to absorb and sustain the technologies, and other considerations.</w:t>
      </w:r>
    </w:p>
    <w:p w14:paraId="3BEFA8A3" w14:textId="22235E37" w:rsidR="00B04DF6" w:rsidRPr="00700732" w:rsidDel="00690EEB"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sidDel="00690EEB">
        <w:rPr>
          <w:snapToGrid w:val="0"/>
          <w:kern w:val="22"/>
          <w:lang w:val="en-GB"/>
        </w:rPr>
        <w:t xml:space="preserve">Based on previous experience, it is anticipated that the pathways and actions listed above could help address some of </w:t>
      </w:r>
      <w:r w:rsidR="00061800" w:rsidRPr="00700732">
        <w:rPr>
          <w:snapToGrid w:val="0"/>
          <w:kern w:val="22"/>
          <w:lang w:val="en-GB"/>
        </w:rPr>
        <w:t xml:space="preserve">the </w:t>
      </w:r>
      <w:r w:rsidRPr="00700732" w:rsidDel="00690EEB">
        <w:rPr>
          <w:snapToGrid w:val="0"/>
          <w:kern w:val="22"/>
          <w:lang w:val="en-GB"/>
        </w:rPr>
        <w:t>obstacles and challenges that have beset technical and scientific cooperation efforts. For example, they could help to:</w:t>
      </w:r>
    </w:p>
    <w:p w14:paraId="742556B2" w14:textId="55AABD6B" w:rsidR="00B04DF6" w:rsidRPr="00A8649E" w:rsidDel="00690EEB"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sidDel="00690EEB">
        <w:rPr>
          <w:i/>
          <w:kern w:val="22"/>
          <w:szCs w:val="22"/>
        </w:rPr>
        <w:t>Increase the number of successful cooperation partnerships established:</w:t>
      </w:r>
      <w:r w:rsidRPr="00A8649E" w:rsidDel="00690EEB">
        <w:rPr>
          <w:kern w:val="22"/>
          <w:szCs w:val="22"/>
        </w:rPr>
        <w:t xml:space="preserve"> By scaling up activities and resources to respond to most requests for assistance submitted by Parties and relevant institutions to meet technical and scientific needs;</w:t>
      </w:r>
    </w:p>
    <w:p w14:paraId="577BD091" w14:textId="7EC88040" w:rsidR="00B04DF6" w:rsidRPr="00A8649E" w:rsidDel="00690EEB"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sidDel="00690EEB">
        <w:rPr>
          <w:i/>
          <w:kern w:val="22"/>
          <w:szCs w:val="22"/>
        </w:rPr>
        <w:t>Strengthen existing networks:</w:t>
      </w:r>
      <w:r w:rsidRPr="00A8649E" w:rsidDel="00690EEB">
        <w:rPr>
          <w:kern w:val="22"/>
          <w:szCs w:val="22"/>
        </w:rPr>
        <w:t xml:space="preserve"> Through partnerships and exchange programmes between Parties and technical partners, technical training, local knowledge transfer, and sharing of equipment and expertise </w:t>
      </w:r>
      <w:r w:rsidR="003145E4" w:rsidRPr="00A8649E">
        <w:rPr>
          <w:kern w:val="22"/>
          <w:szCs w:val="22"/>
        </w:rPr>
        <w:t>among</w:t>
      </w:r>
      <w:r w:rsidRPr="00A8649E" w:rsidDel="00690EEB">
        <w:rPr>
          <w:kern w:val="22"/>
          <w:szCs w:val="22"/>
        </w:rPr>
        <w:t xml:space="preserve"> institutions and countries;</w:t>
      </w:r>
    </w:p>
    <w:p w14:paraId="43FD25B7" w14:textId="6CED0758" w:rsidR="00B04DF6" w:rsidRPr="00A8649E" w:rsidDel="00690EEB"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sidDel="00690EEB">
        <w:rPr>
          <w:i/>
          <w:kern w:val="22"/>
          <w:szCs w:val="22"/>
        </w:rPr>
        <w:t>Increase the visibility and use of local and indigenous technologies and solutions:</w:t>
      </w:r>
      <w:r w:rsidRPr="00A8649E" w:rsidDel="00690EEB">
        <w:rPr>
          <w:kern w:val="22"/>
          <w:szCs w:val="22"/>
        </w:rPr>
        <w:t xml:space="preserve"> Support the development and promotion of endogenous technologies and solutions to foster sustainability and reduce dependence on external technologies</w:t>
      </w:r>
      <w:r w:rsidR="000F76A3" w:rsidRPr="00A8649E">
        <w:rPr>
          <w:kern w:val="22"/>
          <w:szCs w:val="22"/>
        </w:rPr>
        <w:t>;</w:t>
      </w:r>
    </w:p>
    <w:p w14:paraId="619CAB8E" w14:textId="5C3FA1B2" w:rsidR="00B04DF6" w:rsidRPr="00A8649E" w:rsidDel="00690EEB"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700732" w:rsidDel="00690EEB">
        <w:rPr>
          <w:i/>
          <w:iCs/>
          <w:kern w:val="22"/>
        </w:rPr>
        <w:lastRenderedPageBreak/>
        <w:t>Better technology governance</w:t>
      </w:r>
      <w:r w:rsidRPr="00700732" w:rsidDel="00690EEB">
        <w:rPr>
          <w:kern w:val="22"/>
        </w:rPr>
        <w:t>: Ensure that technology and innovation intended for attaining biodiversity</w:t>
      </w:r>
      <w:r w:rsidR="00545AA3" w:rsidRPr="00700732" w:rsidDel="00690EEB">
        <w:rPr>
          <w:kern w:val="22"/>
        </w:rPr>
        <w:t>-related</w:t>
      </w:r>
      <w:r w:rsidRPr="00700732" w:rsidDel="00690EEB">
        <w:rPr>
          <w:kern w:val="22"/>
        </w:rPr>
        <w:t xml:space="preserve"> goals</w:t>
      </w:r>
      <w:r w:rsidR="001730B4" w:rsidRPr="00700732">
        <w:rPr>
          <w:kern w:val="22"/>
        </w:rPr>
        <w:t>,</w:t>
      </w:r>
      <w:r w:rsidR="00356F88" w:rsidRPr="00700732" w:rsidDel="00690EEB">
        <w:rPr>
          <w:kern w:val="22"/>
        </w:rPr>
        <w:t xml:space="preserve"> </w:t>
      </w:r>
      <w:r w:rsidRPr="00700732" w:rsidDel="00690EEB">
        <w:rPr>
          <w:kern w:val="22"/>
        </w:rPr>
        <w:t>or with potential impact on biodiversity</w:t>
      </w:r>
      <w:r w:rsidR="00545AA3" w:rsidRPr="00700732" w:rsidDel="00690EEB">
        <w:rPr>
          <w:kern w:val="22"/>
        </w:rPr>
        <w:t>,</w:t>
      </w:r>
      <w:r w:rsidRPr="00700732" w:rsidDel="00690EEB">
        <w:rPr>
          <w:kern w:val="22"/>
        </w:rPr>
        <w:t xml:space="preserve"> is first evaluated to be in line with the aims of the </w:t>
      </w:r>
      <w:r w:rsidR="00545AA3" w:rsidRPr="00700732" w:rsidDel="00690EEB">
        <w:rPr>
          <w:kern w:val="22"/>
        </w:rPr>
        <w:t>C</w:t>
      </w:r>
      <w:r w:rsidRPr="00700732" w:rsidDel="00690EEB">
        <w:rPr>
          <w:kern w:val="22"/>
        </w:rPr>
        <w:t>onvention</w:t>
      </w:r>
      <w:r w:rsidR="0015089C" w:rsidRPr="00700732" w:rsidDel="00690EEB">
        <w:rPr>
          <w:kern w:val="22"/>
        </w:rPr>
        <w:t xml:space="preserve"> on Biological Diversity</w:t>
      </w:r>
      <w:r w:rsidRPr="00700732" w:rsidDel="00690EEB">
        <w:rPr>
          <w:kern w:val="22"/>
        </w:rPr>
        <w:t>, the rights-based approach (including</w:t>
      </w:r>
      <w:r w:rsidR="00545AA3" w:rsidRPr="00700732" w:rsidDel="00690EEB">
        <w:rPr>
          <w:kern w:val="22"/>
        </w:rPr>
        <w:t xml:space="preserve"> free, prior and informed consent</w:t>
      </w:r>
      <w:r w:rsidRPr="00700732" w:rsidDel="00690EEB">
        <w:rPr>
          <w:kern w:val="22"/>
        </w:rPr>
        <w:t>)</w:t>
      </w:r>
      <w:r w:rsidR="00545AA3" w:rsidRPr="00700732" w:rsidDel="00690EEB">
        <w:rPr>
          <w:kern w:val="22"/>
        </w:rPr>
        <w:t>,</w:t>
      </w:r>
      <w:r w:rsidRPr="00700732" w:rsidDel="00690EEB">
        <w:rPr>
          <w:kern w:val="22"/>
        </w:rPr>
        <w:t xml:space="preserve"> and the precautionary approach</w:t>
      </w:r>
      <w:r w:rsidR="000F76A3" w:rsidRPr="00700732">
        <w:rPr>
          <w:kern w:val="22"/>
        </w:rPr>
        <w:t>;</w:t>
      </w:r>
    </w:p>
    <w:p w14:paraId="2C7F26FB" w14:textId="19397D40" w:rsidR="00035FC6" w:rsidRPr="00700732" w:rsidDel="00690EEB" w:rsidRDefault="00035FC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rPr>
      </w:pPr>
      <w:r w:rsidRPr="00700732" w:rsidDel="00690EEB">
        <w:rPr>
          <w:i/>
          <w:iCs/>
          <w:kern w:val="22"/>
        </w:rPr>
        <w:t xml:space="preserve">Establish channels for synergistic implementation at the national level: </w:t>
      </w:r>
      <w:r w:rsidR="00545AA3" w:rsidRPr="00700732" w:rsidDel="00690EEB">
        <w:rPr>
          <w:kern w:val="22"/>
        </w:rPr>
        <w:t>E</w:t>
      </w:r>
      <w:r w:rsidRPr="00700732" w:rsidDel="00690EEB">
        <w:rPr>
          <w:kern w:val="22"/>
        </w:rPr>
        <w:t>nsure uptake of technologies and solutions for increasing effectiveness of national efforts.</w:t>
      </w:r>
    </w:p>
    <w:p w14:paraId="526E4AC4" w14:textId="5C223619" w:rsidR="00B04DF6" w:rsidRPr="00700732" w:rsidRDefault="00B04DF6" w:rsidP="00700732">
      <w:pPr>
        <w:pStyle w:val="Heading1"/>
        <w:numPr>
          <w:ilvl w:val="0"/>
          <w:numId w:val="51"/>
        </w:numPr>
        <w:suppressLineNumbers/>
        <w:tabs>
          <w:tab w:val="clear" w:pos="720"/>
        </w:tabs>
        <w:suppressAutoHyphens/>
        <w:kinsoku w:val="0"/>
        <w:overflowPunct w:val="0"/>
        <w:autoSpaceDE w:val="0"/>
        <w:autoSpaceDN w:val="0"/>
        <w:adjustRightInd w:val="0"/>
        <w:snapToGrid w:val="0"/>
        <w:ind w:left="720"/>
        <w:rPr>
          <w:snapToGrid w:val="0"/>
          <w:kern w:val="22"/>
        </w:rPr>
      </w:pPr>
      <w:r w:rsidRPr="00700732">
        <w:rPr>
          <w:snapToGrid w:val="0"/>
          <w:kern w:val="22"/>
        </w:rPr>
        <w:t>Options for institutional mechanisms and modalities</w:t>
      </w:r>
    </w:p>
    <w:p w14:paraId="6C37156C" w14:textId="102B04B5" w:rsidR="00B04DF6"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 xml:space="preserve">Enhanced technical and scientific cooperation in support of the post-2020 global biodiversity framework </w:t>
      </w:r>
      <w:r w:rsidR="004767ED" w:rsidRPr="00700732">
        <w:rPr>
          <w:snapToGrid w:val="0"/>
          <w:kern w:val="22"/>
          <w:lang w:val="en-GB"/>
        </w:rPr>
        <w:t>will</w:t>
      </w:r>
      <w:r w:rsidRPr="00700732">
        <w:rPr>
          <w:snapToGrid w:val="0"/>
          <w:kern w:val="22"/>
          <w:lang w:val="en-GB"/>
        </w:rPr>
        <w:t xml:space="preserve"> require an effective governance structure, efficient operational mechanisms, transparent processes and procedures</w:t>
      </w:r>
      <w:r w:rsidR="002C7875" w:rsidRPr="00700732">
        <w:rPr>
          <w:snapToGrid w:val="0"/>
          <w:kern w:val="22"/>
          <w:lang w:val="en-GB"/>
        </w:rPr>
        <w:t xml:space="preserve"> based on a synergistic approach</w:t>
      </w:r>
      <w:r w:rsidRPr="00700732">
        <w:rPr>
          <w:snapToGrid w:val="0"/>
          <w:kern w:val="22"/>
          <w:lang w:val="en-GB"/>
        </w:rPr>
        <w:t>, and adequate financial and human resources.</w:t>
      </w:r>
    </w:p>
    <w:p w14:paraId="183DB05F" w14:textId="5D603B77" w:rsidR="00B04DF6"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bookmarkStart w:id="9" w:name="_Ref28604334"/>
      <w:proofErr w:type="gramStart"/>
      <w:r w:rsidRPr="00700732">
        <w:rPr>
          <w:snapToGrid w:val="0"/>
          <w:kern w:val="22"/>
          <w:lang w:val="en-GB"/>
        </w:rPr>
        <w:t>With regard to</w:t>
      </w:r>
      <w:proofErr w:type="gramEnd"/>
      <w:r w:rsidRPr="00700732">
        <w:rPr>
          <w:snapToGrid w:val="0"/>
          <w:kern w:val="22"/>
          <w:lang w:val="en-GB"/>
        </w:rPr>
        <w:t xml:space="preserve"> governance, the Conference of the Parties would provide the overall strategic and policy/political guidance. The Informal Advisory Group on Technical and Scientific Cooperation, </w:t>
      </w:r>
      <w:r w:rsidR="00C570B0" w:rsidRPr="00700732">
        <w:rPr>
          <w:snapToGrid w:val="0"/>
          <w:kern w:val="22"/>
          <w:lang w:val="en-GB"/>
        </w:rPr>
        <w:t xml:space="preserve">whose establishment is </w:t>
      </w:r>
      <w:r w:rsidRPr="00700732">
        <w:rPr>
          <w:snapToGrid w:val="0"/>
          <w:kern w:val="22"/>
          <w:lang w:val="en-GB"/>
        </w:rPr>
        <w:t>to be</w:t>
      </w:r>
      <w:r w:rsidR="0032514D" w:rsidRPr="00700732">
        <w:rPr>
          <w:snapToGrid w:val="0"/>
          <w:kern w:val="22"/>
          <w:lang w:val="en-GB"/>
        </w:rPr>
        <w:t xml:space="preserve"> </w:t>
      </w:r>
      <w:r w:rsidR="003453EE" w:rsidRPr="00700732">
        <w:rPr>
          <w:snapToGrid w:val="0"/>
          <w:kern w:val="22"/>
          <w:lang w:val="en-GB"/>
        </w:rPr>
        <w:t xml:space="preserve">considered </w:t>
      </w:r>
      <w:r w:rsidRPr="00700732">
        <w:rPr>
          <w:snapToGrid w:val="0"/>
          <w:kern w:val="22"/>
          <w:lang w:val="en-GB"/>
        </w:rPr>
        <w:t xml:space="preserve">by the Conference of the Parties at its fifteenth meeting pursuant to decision 14/24 B, paragraph 5, would provide advice and recommendations on programmatic and operational matters. The proposed terms of reference of the Informal Advisory Group are presented in </w:t>
      </w:r>
      <w:r w:rsidR="00DF2AA8" w:rsidRPr="00700732">
        <w:rPr>
          <w:snapToGrid w:val="0"/>
          <w:kern w:val="22"/>
          <w:lang w:val="en-GB"/>
        </w:rPr>
        <w:t xml:space="preserve">document CBD/SBI/3/7, annex </w:t>
      </w:r>
      <w:r w:rsidR="00A83C04" w:rsidRPr="00700732">
        <w:rPr>
          <w:snapToGrid w:val="0"/>
          <w:kern w:val="22"/>
          <w:lang w:val="en-GB"/>
        </w:rPr>
        <w:t>III</w:t>
      </w:r>
      <w:r w:rsidRPr="00700732">
        <w:rPr>
          <w:snapToGrid w:val="0"/>
          <w:kern w:val="22"/>
          <w:lang w:val="en-GB"/>
        </w:rPr>
        <w:t>.</w:t>
      </w:r>
      <w:bookmarkEnd w:id="9"/>
    </w:p>
    <w:p w14:paraId="11A3E1CA" w14:textId="7E5C4B28" w:rsidR="00B04DF6"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 xml:space="preserve">Possible options for operational institutional mechanisms to facilitate and enhance technical and scientific cooperation </w:t>
      </w:r>
      <w:r w:rsidR="00134A38" w:rsidRPr="00700732">
        <w:rPr>
          <w:snapToGrid w:val="0"/>
          <w:kern w:val="22"/>
          <w:lang w:val="en-GB"/>
        </w:rPr>
        <w:t>in support of the post-2020 global biodiversity framework</w:t>
      </w:r>
      <w:r w:rsidRPr="00700732">
        <w:rPr>
          <w:snapToGrid w:val="0"/>
          <w:kern w:val="22"/>
          <w:lang w:val="en-GB"/>
        </w:rPr>
        <w:t xml:space="preserve"> could include the following:</w:t>
      </w:r>
    </w:p>
    <w:p w14:paraId="5719BB7A" w14:textId="77777777"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kern w:val="22"/>
          <w:szCs w:val="22"/>
        </w:rPr>
        <w:t>A global technical and scientific cooperation support centre autonomous from the Secretariat, working in close collaboration with various technical assistance providers;</w:t>
      </w:r>
    </w:p>
    <w:p w14:paraId="113A20E6" w14:textId="77777777"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kern w:val="22"/>
          <w:szCs w:val="22"/>
        </w:rPr>
        <w:t>Regional and/or subregional technical and scientific cooperation support centres designated by the Conference of the Parties;</w:t>
      </w:r>
    </w:p>
    <w:p w14:paraId="7E0CC868" w14:textId="3DF50713"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kern w:val="22"/>
          <w:szCs w:val="22"/>
        </w:rPr>
        <w:t>Initiatives and programmes implemented/coordinated by the Secretariat</w:t>
      </w:r>
      <w:r w:rsidR="002F1B49" w:rsidRPr="00A8649E">
        <w:rPr>
          <w:kern w:val="22"/>
          <w:szCs w:val="22"/>
        </w:rPr>
        <w:t xml:space="preserve"> of the Convention on Biological Diversity</w:t>
      </w:r>
      <w:r w:rsidRPr="00A8649E">
        <w:rPr>
          <w:kern w:val="22"/>
          <w:szCs w:val="22"/>
        </w:rPr>
        <w:t>, in collaboration with partners.</w:t>
      </w:r>
    </w:p>
    <w:p w14:paraId="4B71281B" w14:textId="77777777" w:rsidR="00B04DF6" w:rsidRPr="00700732" w:rsidRDefault="00B04DF6" w:rsidP="00700732">
      <w:pPr>
        <w:pStyle w:val="Heading2"/>
        <w:suppressLineNumbers/>
        <w:suppressAutoHyphens/>
        <w:kinsoku w:val="0"/>
        <w:overflowPunct w:val="0"/>
        <w:autoSpaceDE w:val="0"/>
        <w:autoSpaceDN w:val="0"/>
        <w:adjustRightInd w:val="0"/>
        <w:snapToGrid w:val="0"/>
        <w:rPr>
          <w:b w:val="0"/>
          <w:i/>
          <w:snapToGrid w:val="0"/>
          <w:kern w:val="22"/>
        </w:rPr>
      </w:pPr>
      <w:r w:rsidRPr="00700732">
        <w:rPr>
          <w:b w:val="0"/>
          <w:i/>
          <w:snapToGrid w:val="0"/>
          <w:kern w:val="22"/>
        </w:rPr>
        <w:t>Option A: Global technical and scientific cooperation support centre</w:t>
      </w:r>
    </w:p>
    <w:p w14:paraId="45073425" w14:textId="04DD694E" w:rsidR="00F932DE"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Under this option, technical and scientific cooperation and technology transfer would be promoted and facilitated by an autonomous global technical and scientific cooperation support centre that would be separate from the Secretariat of the Convention</w:t>
      </w:r>
      <w:r w:rsidR="00387EAE" w:rsidRPr="00700732">
        <w:rPr>
          <w:snapToGrid w:val="0"/>
          <w:kern w:val="22"/>
          <w:lang w:val="en-GB"/>
        </w:rPr>
        <w:t xml:space="preserve"> on Biological Diversity</w:t>
      </w:r>
      <w:r w:rsidRPr="00700732">
        <w:rPr>
          <w:snapToGrid w:val="0"/>
          <w:kern w:val="22"/>
          <w:lang w:val="en-GB"/>
        </w:rPr>
        <w:t xml:space="preserve">. This operational entity would be hosted and managed by a reputable international institution designated by the Conference of the Parties and could operate in a manner similar to such entities as the Climate Technology Centre and Network (CTCN), an operational arm of the United Nations Framework Convention on Climate Change (UNFCCC) Technology Mechanism </w:t>
      </w:r>
      <w:r w:rsidR="007F3EBF" w:rsidRPr="00700732">
        <w:rPr>
          <w:snapToGrid w:val="0"/>
          <w:kern w:val="22"/>
          <w:lang w:val="en-GB"/>
        </w:rPr>
        <w:t xml:space="preserve">and </w:t>
      </w:r>
      <w:r w:rsidRPr="00700732">
        <w:rPr>
          <w:snapToGrid w:val="0"/>
          <w:kern w:val="22"/>
          <w:lang w:val="en-GB"/>
        </w:rPr>
        <w:t>hosted by the United Nations Environment Programme and the United Nations Industrial Development Organization (UNIDO).</w:t>
      </w:r>
      <w:r w:rsidRPr="00700732">
        <w:rPr>
          <w:rStyle w:val="FootnoteReference"/>
          <w:snapToGrid w:val="0"/>
          <w:kern w:val="22"/>
          <w:lang w:val="en-GB"/>
        </w:rPr>
        <w:footnoteReference w:id="20"/>
      </w:r>
    </w:p>
    <w:p w14:paraId="4F1C640E" w14:textId="21DA0BE6" w:rsidR="00B04DF6"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 xml:space="preserve">Criteria for selecting the host institution for the centre would be considered and approved by the Conference of the Parties at its fifteenth meeting. </w:t>
      </w:r>
      <w:r w:rsidR="007A6C36" w:rsidRPr="00700732">
        <w:rPr>
          <w:snapToGrid w:val="0"/>
          <w:kern w:val="22"/>
          <w:lang w:val="en-GB"/>
        </w:rPr>
        <w:t xml:space="preserve">The Conference of the Parties may, for example, require </w:t>
      </w:r>
      <w:r w:rsidR="00E7470A" w:rsidRPr="00700732">
        <w:rPr>
          <w:snapToGrid w:val="0"/>
          <w:kern w:val="22"/>
          <w:lang w:val="en-GB"/>
        </w:rPr>
        <w:t>that</w:t>
      </w:r>
      <w:r w:rsidRPr="00700732">
        <w:rPr>
          <w:snapToGrid w:val="0"/>
          <w:kern w:val="22"/>
          <w:lang w:val="en-GB"/>
        </w:rPr>
        <w:t xml:space="preserve"> any organization or consortium wishing to </w:t>
      </w:r>
      <w:r w:rsidR="00406AA4" w:rsidRPr="00700732">
        <w:rPr>
          <w:snapToGrid w:val="0"/>
          <w:kern w:val="22"/>
          <w:lang w:val="en-GB"/>
        </w:rPr>
        <w:t>hos</w:t>
      </w:r>
      <w:r w:rsidR="00A06032" w:rsidRPr="00700732">
        <w:rPr>
          <w:snapToGrid w:val="0"/>
          <w:kern w:val="22"/>
          <w:lang w:val="en-GB"/>
        </w:rPr>
        <w:t xml:space="preserve">t </w:t>
      </w:r>
      <w:r w:rsidR="005E3D3A" w:rsidRPr="00700732">
        <w:rPr>
          <w:snapToGrid w:val="0"/>
          <w:kern w:val="22"/>
          <w:lang w:val="en-GB"/>
        </w:rPr>
        <w:t xml:space="preserve">such </w:t>
      </w:r>
      <w:r w:rsidR="00406AA4" w:rsidRPr="00700732">
        <w:rPr>
          <w:snapToGrid w:val="0"/>
          <w:kern w:val="22"/>
          <w:lang w:val="en-GB"/>
        </w:rPr>
        <w:t xml:space="preserve">a global support centre </w:t>
      </w:r>
      <w:r w:rsidRPr="00700732">
        <w:rPr>
          <w:snapToGrid w:val="0"/>
          <w:kern w:val="22"/>
          <w:lang w:val="en-GB"/>
        </w:rPr>
        <w:t>should have:</w:t>
      </w:r>
    </w:p>
    <w:p w14:paraId="0F375B89" w14:textId="4E688651"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kern w:val="22"/>
          <w:szCs w:val="22"/>
        </w:rPr>
        <w:t xml:space="preserve">Demonstrated ability to provide </w:t>
      </w:r>
      <w:r w:rsidR="002B7D8D" w:rsidRPr="00A8649E">
        <w:rPr>
          <w:kern w:val="22"/>
          <w:szCs w:val="22"/>
        </w:rPr>
        <w:t>tech</w:t>
      </w:r>
      <w:r w:rsidR="007C6317" w:rsidRPr="00A8649E">
        <w:rPr>
          <w:kern w:val="22"/>
          <w:szCs w:val="22"/>
        </w:rPr>
        <w:t xml:space="preserve">nical advice and </w:t>
      </w:r>
      <w:r w:rsidRPr="00A8649E">
        <w:rPr>
          <w:kern w:val="22"/>
          <w:szCs w:val="22"/>
        </w:rPr>
        <w:t>support to Parties in planning and implementing country-led projects and/or programmes;</w:t>
      </w:r>
    </w:p>
    <w:p w14:paraId="59BF4034" w14:textId="658A2520"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kern w:val="22"/>
          <w:szCs w:val="22"/>
        </w:rPr>
        <w:t>Broad experience in the areas of work undertaken by Parties in implementing the Convention</w:t>
      </w:r>
      <w:r w:rsidR="00377919" w:rsidRPr="00A8649E">
        <w:rPr>
          <w:kern w:val="22"/>
          <w:szCs w:val="22"/>
        </w:rPr>
        <w:t xml:space="preserve"> on Biological D</w:t>
      </w:r>
      <w:r w:rsidR="003F3308" w:rsidRPr="00A8649E">
        <w:rPr>
          <w:kern w:val="22"/>
          <w:szCs w:val="22"/>
        </w:rPr>
        <w:t>iversity</w:t>
      </w:r>
      <w:r w:rsidRPr="00A8649E">
        <w:rPr>
          <w:kern w:val="22"/>
          <w:szCs w:val="22"/>
        </w:rPr>
        <w:t xml:space="preserve"> and its protocols;</w:t>
      </w:r>
    </w:p>
    <w:p w14:paraId="4BFDA756" w14:textId="29FC7BB0" w:rsidR="002B7D8D" w:rsidRPr="00A8649E" w:rsidRDefault="002B7D8D"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kern w:val="22"/>
        </w:rPr>
        <w:t>Capacity to mobilize resources for technical scientific cooperation programmes;</w:t>
      </w:r>
    </w:p>
    <w:p w14:paraId="5621C7A8" w14:textId="431C500B" w:rsidR="00F86638" w:rsidRPr="00A8649E" w:rsidRDefault="00F86638"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rPr>
      </w:pPr>
      <w:r w:rsidRPr="00A8649E">
        <w:rPr>
          <w:kern w:val="22"/>
        </w:rPr>
        <w:lastRenderedPageBreak/>
        <w:t>Appropriate policies, procedures and other institutional mechanisms and demonstrated ability in place to manage multiple complex projects and programmes;</w:t>
      </w:r>
    </w:p>
    <w:p w14:paraId="190EF5E4" w14:textId="2EF15DF0" w:rsidR="00B04DF6" w:rsidRPr="00FD0CD1" w:rsidRDefault="00F86638"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kern w:val="22"/>
          <w:szCs w:val="22"/>
        </w:rPr>
        <w:t xml:space="preserve">Active </w:t>
      </w:r>
      <w:r w:rsidR="00B04DF6" w:rsidRPr="00A8649E">
        <w:rPr>
          <w:kern w:val="22"/>
          <w:szCs w:val="22"/>
        </w:rPr>
        <w:t xml:space="preserve">networks of collaborators, including institutions working at both </w:t>
      </w:r>
      <w:r w:rsidR="00680895">
        <w:rPr>
          <w:kern w:val="22"/>
          <w:szCs w:val="22"/>
        </w:rPr>
        <w:t xml:space="preserve">the </w:t>
      </w:r>
      <w:r w:rsidR="00B04DF6" w:rsidRPr="00680895">
        <w:rPr>
          <w:kern w:val="22"/>
          <w:szCs w:val="22"/>
        </w:rPr>
        <w:t>global and regional levels on biodiversity-relevant issues;</w:t>
      </w:r>
    </w:p>
    <w:p w14:paraId="6DFBEDFD" w14:textId="6419A73A"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3B5AB1">
        <w:rPr>
          <w:kern w:val="22"/>
          <w:szCs w:val="22"/>
        </w:rPr>
        <w:t>Experience of working with other biodiversity-related conve</w:t>
      </w:r>
      <w:r w:rsidRPr="00146C5A">
        <w:rPr>
          <w:kern w:val="22"/>
          <w:szCs w:val="22"/>
        </w:rPr>
        <w:t>ntions</w:t>
      </w:r>
      <w:r w:rsidR="00C0325E" w:rsidRPr="00A8649E">
        <w:rPr>
          <w:kern w:val="22"/>
          <w:szCs w:val="22"/>
        </w:rPr>
        <w:t xml:space="preserve">, intergovernmental processes, </w:t>
      </w:r>
      <w:r w:rsidR="00C0325E" w:rsidRPr="00700732">
        <w:rPr>
          <w:kern w:val="22"/>
        </w:rPr>
        <w:t>indigenous peoples and local communities, civil society and other stakeholders</w:t>
      </w:r>
      <w:r w:rsidR="00F86638" w:rsidRPr="00A8649E">
        <w:rPr>
          <w:kern w:val="22"/>
          <w:szCs w:val="22"/>
        </w:rPr>
        <w:t>.</w:t>
      </w:r>
    </w:p>
    <w:p w14:paraId="338E89D6" w14:textId="7CAD8711" w:rsidR="00B04DF6"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The global support centre would have a mandate to mobilize resources to promote and facilitate technical and scientific cooperation and technology transfer in support of the post-2020 global biodiversity framework.</w:t>
      </w:r>
      <w:bookmarkStart w:id="10" w:name="_Hlk20999857"/>
      <w:r w:rsidRPr="00700732">
        <w:rPr>
          <w:snapToGrid w:val="0"/>
          <w:kern w:val="22"/>
          <w:lang w:val="en-GB"/>
        </w:rPr>
        <w:t xml:space="preserve"> It would provide a central “one-stop shop” for Parties to submit their requests for assistance or opportunities for technical and scientific cooperation and support. Its specific proposed functions would include the following:</w:t>
      </w:r>
    </w:p>
    <w:p w14:paraId="7E4AAFAE" w14:textId="282390F0"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iCs/>
          <w:kern w:val="22"/>
          <w:szCs w:val="22"/>
        </w:rPr>
        <w:t>Operate a help desk:</w:t>
      </w:r>
      <w:r w:rsidRPr="00A8649E">
        <w:rPr>
          <w:kern w:val="22"/>
          <w:szCs w:val="22"/>
        </w:rPr>
        <w:t xml:space="preserve"> to provide, at the request of Parties and relevant institutions and stakeholders, including indigenous peoples and local communities, information, advice, and technical support</w:t>
      </w:r>
      <w:r w:rsidR="00AD4F57" w:rsidRPr="00A8649E">
        <w:rPr>
          <w:kern w:val="22"/>
          <w:szCs w:val="22"/>
        </w:rPr>
        <w:t>,</w:t>
      </w:r>
      <w:r w:rsidRPr="00A8649E">
        <w:rPr>
          <w:kern w:val="22"/>
          <w:szCs w:val="22"/>
        </w:rPr>
        <w:t xml:space="preserve"> </w:t>
      </w:r>
      <w:r w:rsidR="00022F41" w:rsidRPr="00A8649E">
        <w:rPr>
          <w:kern w:val="22"/>
          <w:szCs w:val="22"/>
        </w:rPr>
        <w:t xml:space="preserve">including </w:t>
      </w:r>
      <w:r w:rsidRPr="00A8649E">
        <w:rPr>
          <w:kern w:val="22"/>
          <w:szCs w:val="22"/>
        </w:rPr>
        <w:t xml:space="preserve">in terms of articulating their needs and developing targeted project proposals, in collaboration with a network of institutional partners and providers of technical assistance to harness </w:t>
      </w:r>
      <w:r w:rsidR="00192E10" w:rsidRPr="00A8649E">
        <w:rPr>
          <w:kern w:val="22"/>
          <w:szCs w:val="22"/>
        </w:rPr>
        <w:t xml:space="preserve">a broader pool of </w:t>
      </w:r>
      <w:r w:rsidRPr="00A8649E">
        <w:rPr>
          <w:kern w:val="22"/>
          <w:szCs w:val="22"/>
        </w:rPr>
        <w:t>institutional knowledge and technical expertise;</w:t>
      </w:r>
    </w:p>
    <w:p w14:paraId="1242975B" w14:textId="22A87048"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iCs/>
          <w:kern w:val="22"/>
          <w:szCs w:val="22"/>
        </w:rPr>
        <w:t>Facilitate matchmaking:</w:t>
      </w:r>
      <w:r w:rsidRPr="00A8649E">
        <w:rPr>
          <w:kern w:val="22"/>
          <w:szCs w:val="22"/>
        </w:rPr>
        <w:t xml:space="preserve"> to connect requesting Parties and relevant partners selected </w:t>
      </w:r>
      <w:r w:rsidR="00253071" w:rsidRPr="00A8649E">
        <w:rPr>
          <w:kern w:val="22"/>
          <w:szCs w:val="22"/>
        </w:rPr>
        <w:t xml:space="preserve">from </w:t>
      </w:r>
      <w:r w:rsidRPr="00A8649E">
        <w:rPr>
          <w:kern w:val="22"/>
          <w:szCs w:val="22"/>
        </w:rPr>
        <w:t>among the members of the above-mentioned network of partners and providers, in order to respond to self-identified and self-prioritized needs;</w:t>
      </w:r>
    </w:p>
    <w:p w14:paraId="1FB53C54" w14:textId="58E8AE34"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i/>
          <w:iCs/>
          <w:kern w:val="22"/>
          <w:szCs w:val="22"/>
        </w:rPr>
        <w:t>Provide project support services:</w:t>
      </w:r>
      <w:r w:rsidRPr="00A8649E">
        <w:rPr>
          <w:kern w:val="22"/>
          <w:szCs w:val="22"/>
        </w:rPr>
        <w:t xml:space="preserve"> to assist with the implementation of technical and scientific cooperation projects </w:t>
      </w:r>
      <w:r w:rsidR="00410337" w:rsidRPr="00A8649E">
        <w:rPr>
          <w:kern w:val="22"/>
          <w:szCs w:val="22"/>
        </w:rPr>
        <w:t xml:space="preserve">in order </w:t>
      </w:r>
      <w:r w:rsidRPr="00A8649E">
        <w:rPr>
          <w:kern w:val="22"/>
          <w:szCs w:val="22"/>
        </w:rPr>
        <w:t>to:</w:t>
      </w:r>
    </w:p>
    <w:p w14:paraId="06D813D2" w14:textId="77777777" w:rsidR="00B04DF6" w:rsidRPr="00A8649E" w:rsidRDefault="00B04DF6" w:rsidP="00700732">
      <w:pPr>
        <w:pStyle w:val="Para1"/>
        <w:numPr>
          <w:ilvl w:val="0"/>
          <w:numId w:val="0"/>
        </w:numPr>
        <w:suppressLineNumbers/>
        <w:suppressAutoHyphens/>
        <w:kinsoku w:val="0"/>
        <w:overflowPunct w:val="0"/>
        <w:autoSpaceDE w:val="0"/>
        <w:autoSpaceDN w:val="0"/>
        <w:adjustRightInd w:val="0"/>
        <w:snapToGrid w:val="0"/>
        <w:spacing w:before="60" w:after="60"/>
        <w:ind w:left="1469" w:hanging="562"/>
        <w:rPr>
          <w:kern w:val="22"/>
          <w:szCs w:val="22"/>
        </w:rPr>
      </w:pPr>
      <w:r w:rsidRPr="00A8649E">
        <w:rPr>
          <w:kern w:val="22"/>
          <w:szCs w:val="22"/>
        </w:rPr>
        <w:t>(</w:t>
      </w:r>
      <w:proofErr w:type="spellStart"/>
      <w:r w:rsidRPr="00A8649E">
        <w:rPr>
          <w:kern w:val="22"/>
          <w:szCs w:val="22"/>
        </w:rPr>
        <w:t>i</w:t>
      </w:r>
      <w:proofErr w:type="spellEnd"/>
      <w:r w:rsidRPr="00A8649E">
        <w:rPr>
          <w:kern w:val="22"/>
          <w:szCs w:val="22"/>
        </w:rPr>
        <w:t>)</w:t>
      </w:r>
      <w:r w:rsidRPr="00A8649E">
        <w:rPr>
          <w:kern w:val="22"/>
          <w:szCs w:val="22"/>
        </w:rPr>
        <w:tab/>
        <w:t>Foster North-South, South-South and triangular partnerships, using a programmatic approach;</w:t>
      </w:r>
    </w:p>
    <w:p w14:paraId="2A7D26B3" w14:textId="77777777" w:rsidR="00B04DF6" w:rsidRPr="00A8649E" w:rsidRDefault="00B04DF6" w:rsidP="00700732">
      <w:pPr>
        <w:pStyle w:val="Para1"/>
        <w:numPr>
          <w:ilvl w:val="0"/>
          <w:numId w:val="0"/>
        </w:numPr>
        <w:suppressLineNumbers/>
        <w:suppressAutoHyphens/>
        <w:kinsoku w:val="0"/>
        <w:overflowPunct w:val="0"/>
        <w:autoSpaceDE w:val="0"/>
        <w:autoSpaceDN w:val="0"/>
        <w:adjustRightInd w:val="0"/>
        <w:snapToGrid w:val="0"/>
        <w:spacing w:before="60" w:after="60"/>
        <w:ind w:left="1469" w:hanging="562"/>
        <w:rPr>
          <w:kern w:val="22"/>
          <w:szCs w:val="22"/>
        </w:rPr>
      </w:pPr>
      <w:r w:rsidRPr="00A8649E">
        <w:rPr>
          <w:kern w:val="22"/>
          <w:szCs w:val="22"/>
        </w:rPr>
        <w:t>(ii)</w:t>
      </w:r>
      <w:r w:rsidRPr="00A8649E">
        <w:rPr>
          <w:kern w:val="22"/>
          <w:szCs w:val="22"/>
        </w:rPr>
        <w:tab/>
        <w:t>Facilitate the development, transfer and diffusion of technologies, including existing tools and techniques, scalable initiatives, and innovative local solutions;</w:t>
      </w:r>
    </w:p>
    <w:p w14:paraId="1E42587A" w14:textId="77777777" w:rsidR="00B04DF6" w:rsidRPr="00A8649E" w:rsidRDefault="00B04DF6" w:rsidP="00700732">
      <w:pPr>
        <w:pStyle w:val="Para1"/>
        <w:numPr>
          <w:ilvl w:val="0"/>
          <w:numId w:val="0"/>
        </w:numPr>
        <w:suppressLineNumbers/>
        <w:suppressAutoHyphens/>
        <w:kinsoku w:val="0"/>
        <w:overflowPunct w:val="0"/>
        <w:autoSpaceDE w:val="0"/>
        <w:autoSpaceDN w:val="0"/>
        <w:adjustRightInd w:val="0"/>
        <w:snapToGrid w:val="0"/>
        <w:spacing w:before="60" w:after="60"/>
        <w:ind w:left="1469" w:hanging="562"/>
        <w:rPr>
          <w:kern w:val="22"/>
          <w:szCs w:val="22"/>
        </w:rPr>
      </w:pPr>
      <w:r w:rsidRPr="00A8649E">
        <w:rPr>
          <w:kern w:val="22"/>
          <w:szCs w:val="22"/>
        </w:rPr>
        <w:t>(iii)</w:t>
      </w:r>
      <w:r w:rsidRPr="00A8649E">
        <w:rPr>
          <w:kern w:val="22"/>
          <w:szCs w:val="22"/>
        </w:rPr>
        <w:tab/>
        <w:t>Facilitate access to and utilization of scientific knowledge, information, and data, as well as indigenous and traditional knowledge;</w:t>
      </w:r>
    </w:p>
    <w:p w14:paraId="724903AE" w14:textId="6B43524E"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700732">
        <w:rPr>
          <w:i/>
          <w:kern w:val="22"/>
        </w:rPr>
        <w:t>Facilitate information-sharing</w:t>
      </w:r>
      <w:r w:rsidRPr="00A8649E">
        <w:rPr>
          <w:kern w:val="22"/>
          <w:szCs w:val="22"/>
        </w:rPr>
        <w:t xml:space="preserve"> through the ident</w:t>
      </w:r>
      <w:r w:rsidRPr="001F69A7">
        <w:rPr>
          <w:kern w:val="22"/>
          <w:szCs w:val="22"/>
        </w:rPr>
        <w:t>ification and submission to the clearing</w:t>
      </w:r>
      <w:r w:rsidRPr="001F69A7">
        <w:rPr>
          <w:kern w:val="22"/>
          <w:szCs w:val="22"/>
        </w:rPr>
        <w:noBreakHyphen/>
        <w:t xml:space="preserve">house mechanism of information </w:t>
      </w:r>
      <w:r w:rsidR="00186334" w:rsidRPr="00FD0CD1">
        <w:rPr>
          <w:kern w:val="22"/>
          <w:szCs w:val="22"/>
        </w:rPr>
        <w:t>referred to</w:t>
      </w:r>
      <w:r w:rsidRPr="00FD0CD1">
        <w:rPr>
          <w:kern w:val="22"/>
          <w:szCs w:val="22"/>
        </w:rPr>
        <w:t xml:space="preserve"> in paragraph </w:t>
      </w:r>
      <w:r w:rsidR="003A4426" w:rsidRPr="00700732">
        <w:rPr>
          <w:kern w:val="22"/>
          <w:szCs w:val="22"/>
        </w:rPr>
        <w:t>10</w:t>
      </w:r>
      <w:r w:rsidRPr="00A8649E">
        <w:rPr>
          <w:kern w:val="22"/>
          <w:szCs w:val="22"/>
        </w:rPr>
        <w:t>, subparagraph (</w:t>
      </w:r>
      <w:r w:rsidR="005D1C67" w:rsidRPr="001F69A7">
        <w:rPr>
          <w:kern w:val="22"/>
          <w:szCs w:val="22"/>
        </w:rPr>
        <w:t>e</w:t>
      </w:r>
      <w:r w:rsidRPr="001F69A7">
        <w:rPr>
          <w:kern w:val="22"/>
          <w:szCs w:val="22"/>
        </w:rPr>
        <w:t>)</w:t>
      </w:r>
      <w:r w:rsidR="002C55A1" w:rsidRPr="00FD0CD1">
        <w:rPr>
          <w:kern w:val="22"/>
          <w:szCs w:val="22"/>
        </w:rPr>
        <w:t>(</w:t>
      </w:r>
      <w:proofErr w:type="spellStart"/>
      <w:r w:rsidR="002C55A1" w:rsidRPr="00FD0CD1">
        <w:rPr>
          <w:kern w:val="22"/>
          <w:szCs w:val="22"/>
        </w:rPr>
        <w:t>i</w:t>
      </w:r>
      <w:proofErr w:type="spellEnd"/>
      <w:r w:rsidR="002C55A1" w:rsidRPr="00FD0CD1">
        <w:rPr>
          <w:kern w:val="22"/>
          <w:szCs w:val="22"/>
        </w:rPr>
        <w:t>)</w:t>
      </w:r>
      <w:r w:rsidRPr="00FD0CD1">
        <w:rPr>
          <w:kern w:val="22"/>
          <w:szCs w:val="22"/>
        </w:rPr>
        <w:t xml:space="preserve"> above;</w:t>
      </w:r>
    </w:p>
    <w:p w14:paraId="761F0F5C" w14:textId="77777777" w:rsidR="00B04DF6" w:rsidRPr="00FD0CD1"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1F69A7">
        <w:rPr>
          <w:kern w:val="22"/>
          <w:szCs w:val="22"/>
        </w:rPr>
        <w:t>Perform such other activities as may be necessary to carry out its functions.</w:t>
      </w:r>
    </w:p>
    <w:p w14:paraId="209D4505" w14:textId="61384EDB" w:rsidR="00B04DF6"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 xml:space="preserve">The global centre would work under the strategic guidance of the Conference of the Parties and would take into consideration the </w:t>
      </w:r>
      <w:r w:rsidR="00362BF4" w:rsidRPr="00700732">
        <w:rPr>
          <w:snapToGrid w:val="0"/>
          <w:kern w:val="22"/>
          <w:lang w:val="en-GB"/>
        </w:rPr>
        <w:t xml:space="preserve">advice </w:t>
      </w:r>
      <w:r w:rsidRPr="00700732">
        <w:rPr>
          <w:snapToGrid w:val="0"/>
          <w:kern w:val="22"/>
          <w:lang w:val="en-GB"/>
        </w:rPr>
        <w:t xml:space="preserve">and recommendations of the </w:t>
      </w:r>
      <w:r w:rsidR="000A24C7" w:rsidRPr="00700732">
        <w:rPr>
          <w:snapToGrid w:val="0"/>
          <w:kern w:val="22"/>
          <w:lang w:val="en-GB"/>
        </w:rPr>
        <w:t xml:space="preserve">above-mentioned </w:t>
      </w:r>
      <w:r w:rsidRPr="00700732">
        <w:rPr>
          <w:snapToGrid w:val="0"/>
          <w:kern w:val="22"/>
          <w:lang w:val="en-GB"/>
        </w:rPr>
        <w:t>Informal Advisory Group</w:t>
      </w:r>
      <w:r w:rsidR="00352880" w:rsidRPr="00700732">
        <w:rPr>
          <w:snapToGrid w:val="0"/>
          <w:kern w:val="22"/>
          <w:lang w:val="en-GB"/>
        </w:rPr>
        <w:t xml:space="preserve"> on Technical and Scientific Cooperation</w:t>
      </w:r>
      <w:r w:rsidRPr="00700732">
        <w:rPr>
          <w:snapToGrid w:val="0"/>
          <w:kern w:val="22"/>
          <w:lang w:val="en-GB"/>
        </w:rPr>
        <w:t xml:space="preserve">. </w:t>
      </w:r>
      <w:bookmarkEnd w:id="10"/>
      <w:r w:rsidRPr="00700732">
        <w:rPr>
          <w:snapToGrid w:val="0"/>
          <w:kern w:val="22"/>
          <w:lang w:val="en-GB"/>
        </w:rPr>
        <w:t>The centre would submit progress reports on its activities to the Conference of the Parties through the Secretariat of the Convention</w:t>
      </w:r>
      <w:r w:rsidR="000F3E7D" w:rsidRPr="00700732">
        <w:rPr>
          <w:snapToGrid w:val="0"/>
          <w:kern w:val="22"/>
          <w:lang w:val="en-GB"/>
        </w:rPr>
        <w:t xml:space="preserve"> on Biological Diversity</w:t>
      </w:r>
      <w:r w:rsidRPr="00700732">
        <w:rPr>
          <w:snapToGrid w:val="0"/>
          <w:kern w:val="22"/>
          <w:lang w:val="en-GB"/>
        </w:rPr>
        <w:t xml:space="preserve">. </w:t>
      </w:r>
      <w:bookmarkStart w:id="11" w:name="_Hlk11163018"/>
      <w:r w:rsidRPr="00700732">
        <w:rPr>
          <w:snapToGrid w:val="0"/>
          <w:kern w:val="22"/>
          <w:lang w:val="en-GB"/>
        </w:rPr>
        <w:t>A schematic illustration of the possible operational framework of the global centre</w:t>
      </w:r>
      <w:r w:rsidR="0015162A" w:rsidRPr="00700732">
        <w:rPr>
          <w:snapToGrid w:val="0"/>
          <w:kern w:val="22"/>
          <w:lang w:val="en-GB"/>
        </w:rPr>
        <w:t>,</w:t>
      </w:r>
      <w:r w:rsidRPr="00700732">
        <w:rPr>
          <w:snapToGrid w:val="0"/>
          <w:kern w:val="22"/>
          <w:lang w:val="en-GB"/>
        </w:rPr>
        <w:t xml:space="preserve"> and its relationship with the Conference of the Parties and other stakeholders, is presented in figure 1 below.</w:t>
      </w:r>
    </w:p>
    <w:p w14:paraId="2ACAA59D" w14:textId="4319FC35" w:rsidR="005701BF" w:rsidRPr="00700732" w:rsidRDefault="005701BF"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The global support centre would require dedicated resources for its operations. If this option is selected, the Conference of the Parties may wish to invite the financial mechanism of the Convention and other donors to provide the global centre with funding to enable it to provide Parties with timely support so that they can access relevant technologies, expertise and other technical support required in order to implement the post-2020 global biodiversity framework effectively.</w:t>
      </w:r>
    </w:p>
    <w:p w14:paraId="530E99B3" w14:textId="2996C703" w:rsidR="00C55412" w:rsidRPr="00700732" w:rsidRDefault="00C55412" w:rsidP="00700732">
      <w:pPr>
        <w:pStyle w:val="CBD-Para"/>
        <w:keepNext/>
        <w:keepLines w:val="0"/>
        <w:numPr>
          <w:ilvl w:val="0"/>
          <w:numId w:val="0"/>
        </w:numPr>
        <w:suppressLineNumbers/>
        <w:suppressAutoHyphens/>
        <w:kinsoku w:val="0"/>
        <w:overflowPunct w:val="0"/>
        <w:autoSpaceDE w:val="0"/>
        <w:autoSpaceDN w:val="0"/>
        <w:adjustRightInd w:val="0"/>
        <w:snapToGrid w:val="0"/>
        <w:ind w:left="1984" w:hanging="907"/>
        <w:jc w:val="left"/>
        <w:rPr>
          <w:b/>
          <w:snapToGrid w:val="0"/>
          <w:kern w:val="22"/>
          <w:lang w:val="en-GB"/>
        </w:rPr>
      </w:pPr>
      <w:r w:rsidRPr="00700732">
        <w:rPr>
          <w:b/>
          <w:snapToGrid w:val="0"/>
          <w:kern w:val="22"/>
          <w:lang w:val="en-GB"/>
        </w:rPr>
        <w:lastRenderedPageBreak/>
        <w:t>Figure 1.</w:t>
      </w:r>
      <w:r w:rsidR="00FD0CD1">
        <w:rPr>
          <w:b/>
          <w:snapToGrid w:val="0"/>
          <w:kern w:val="22"/>
          <w:lang w:val="en-GB"/>
        </w:rPr>
        <w:tab/>
      </w:r>
      <w:r w:rsidRPr="00700732">
        <w:rPr>
          <w:b/>
          <w:snapToGrid w:val="0"/>
          <w:kern w:val="22"/>
          <w:lang w:val="en-GB"/>
        </w:rPr>
        <w:t>Schematic illustration of the global institutional mechanism to support technical and scientific cooperation</w:t>
      </w:r>
      <w:r w:rsidR="000752D9" w:rsidRPr="00700732">
        <w:rPr>
          <w:b/>
          <w:snapToGrid w:val="0"/>
          <w:kern w:val="22"/>
          <w:lang w:val="en-GB"/>
        </w:rPr>
        <w:t xml:space="preserve"> (</w:t>
      </w:r>
      <w:r w:rsidRPr="00700732">
        <w:rPr>
          <w:b/>
          <w:snapToGrid w:val="0"/>
          <w:kern w:val="22"/>
          <w:lang w:val="en-GB"/>
        </w:rPr>
        <w:t xml:space="preserve">proposed option </w:t>
      </w:r>
      <w:r w:rsidR="00136D2E" w:rsidRPr="00700732">
        <w:rPr>
          <w:b/>
          <w:snapToGrid w:val="0"/>
          <w:kern w:val="22"/>
          <w:lang w:val="en-GB"/>
        </w:rPr>
        <w:t>“</w:t>
      </w:r>
      <w:r w:rsidRPr="00700732">
        <w:rPr>
          <w:b/>
          <w:snapToGrid w:val="0"/>
          <w:kern w:val="22"/>
          <w:lang w:val="en-GB"/>
        </w:rPr>
        <w:t>A</w:t>
      </w:r>
      <w:r w:rsidR="00136D2E" w:rsidRPr="00700732">
        <w:rPr>
          <w:b/>
          <w:snapToGrid w:val="0"/>
          <w:kern w:val="22"/>
          <w:lang w:val="en-GB"/>
        </w:rPr>
        <w:t>”</w:t>
      </w:r>
      <w:r w:rsidRPr="00700732">
        <w:rPr>
          <w:b/>
          <w:snapToGrid w:val="0"/>
          <w:kern w:val="22"/>
          <w:lang w:val="en-GB"/>
        </w:rPr>
        <w:t>)</w:t>
      </w:r>
    </w:p>
    <w:p w14:paraId="722B4CCE" w14:textId="185D7A7C" w:rsidR="00C55412" w:rsidRPr="00700732" w:rsidRDefault="00A3416C" w:rsidP="00700732">
      <w:pPr>
        <w:pStyle w:val="CBD-Para"/>
        <w:keepLines w:val="0"/>
        <w:numPr>
          <w:ilvl w:val="0"/>
          <w:numId w:val="0"/>
        </w:numPr>
        <w:suppressLineNumbers/>
        <w:tabs>
          <w:tab w:val="left" w:pos="720"/>
        </w:tabs>
        <w:suppressAutoHyphens/>
        <w:kinsoku w:val="0"/>
        <w:overflowPunct w:val="0"/>
        <w:autoSpaceDE w:val="0"/>
        <w:autoSpaceDN w:val="0"/>
        <w:adjustRightInd w:val="0"/>
        <w:snapToGrid w:val="0"/>
        <w:jc w:val="center"/>
        <w:rPr>
          <w:b/>
          <w:snapToGrid w:val="0"/>
          <w:kern w:val="22"/>
          <w:lang w:val="en-GB"/>
        </w:rPr>
      </w:pPr>
      <w:r w:rsidRPr="00700732">
        <w:rPr>
          <w:b/>
          <w:noProof/>
          <w:snapToGrid w:val="0"/>
          <w:kern w:val="22"/>
          <w:lang w:val="en-GB"/>
        </w:rPr>
        <w:drawing>
          <wp:inline distT="0" distB="0" distL="0" distR="0" wp14:anchorId="6B4F5723" wp14:editId="0F9894CD">
            <wp:extent cx="5446345" cy="312621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4988" cy="3142658"/>
                    </a:xfrm>
                    <a:prstGeom prst="rect">
                      <a:avLst/>
                    </a:prstGeom>
                    <a:noFill/>
                  </pic:spPr>
                </pic:pic>
              </a:graphicData>
            </a:graphic>
          </wp:inline>
        </w:drawing>
      </w:r>
    </w:p>
    <w:p w14:paraId="182DEF53" w14:textId="77777777" w:rsidR="00E8544B" w:rsidRPr="00700732" w:rsidRDefault="00E8544B" w:rsidP="00700732">
      <w:pPr>
        <w:pStyle w:val="Heading2"/>
        <w:suppressLineNumbers/>
        <w:suppressAutoHyphens/>
        <w:kinsoku w:val="0"/>
        <w:overflowPunct w:val="0"/>
        <w:autoSpaceDE w:val="0"/>
        <w:autoSpaceDN w:val="0"/>
        <w:adjustRightInd w:val="0"/>
        <w:snapToGrid w:val="0"/>
        <w:spacing w:before="360"/>
        <w:rPr>
          <w:b w:val="0"/>
          <w:i/>
          <w:snapToGrid w:val="0"/>
          <w:kern w:val="22"/>
        </w:rPr>
      </w:pPr>
      <w:r w:rsidRPr="00700732">
        <w:rPr>
          <w:b w:val="0"/>
          <w:i/>
          <w:snapToGrid w:val="0"/>
          <w:kern w:val="22"/>
        </w:rPr>
        <w:t>Option B: Regional and/or subregional technical and scientific cooperation support centres</w:t>
      </w:r>
    </w:p>
    <w:p w14:paraId="499B1527" w14:textId="5530A9F5" w:rsidR="00B04DF6" w:rsidRPr="00700732" w:rsidRDefault="00E8544B"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Under this option, technical and scientific cooperation and technology transfer would be promoted and facilitated through regional and/or subregional centres designated by the Conference of the Parties. The regional support centres would be hosted in existing partner institutions that possess relevant expertise and institutional capacity to provide technical assistance to countries in the region or subregion, upon request, as well as capacity to mobilize resources for technical scientific cooperation projects and programmes in their respective regions.</w:t>
      </w:r>
      <w:r w:rsidRPr="00700732">
        <w:rPr>
          <w:rStyle w:val="FootnoteReference"/>
          <w:snapToGrid w:val="0"/>
          <w:kern w:val="22"/>
          <w:lang w:val="en-GB"/>
        </w:rPr>
        <w:footnoteReference w:id="21"/>
      </w:r>
    </w:p>
    <w:p w14:paraId="0F90B206" w14:textId="76395A8E" w:rsidR="00B04DF6" w:rsidRPr="00700732" w:rsidRDefault="00F932DE" w:rsidP="00700732">
      <w:pPr>
        <w:pStyle w:val="CBD-Para"/>
        <w:keepLines w:val="0"/>
        <w:suppressLineNumbers/>
        <w:tabs>
          <w:tab w:val="clear" w:pos="720"/>
        </w:tabs>
        <w:suppressAutoHyphens/>
        <w:kinsoku w:val="0"/>
        <w:overflowPunct w:val="0"/>
        <w:autoSpaceDE w:val="0"/>
        <w:autoSpaceDN w:val="0"/>
        <w:adjustRightInd w:val="0"/>
        <w:snapToGrid w:val="0"/>
        <w:rPr>
          <w:b/>
          <w:bCs/>
          <w:snapToGrid w:val="0"/>
          <w:kern w:val="22"/>
          <w:lang w:val="en-GB"/>
        </w:rPr>
      </w:pPr>
      <w:bookmarkStart w:id="12" w:name="_Hlk20991592"/>
      <w:bookmarkEnd w:id="11"/>
      <w:r w:rsidRPr="00700732">
        <w:rPr>
          <w:snapToGrid w:val="0"/>
          <w:kern w:val="22"/>
          <w:lang w:val="en-GB"/>
        </w:rPr>
        <w:t xml:space="preserve">Criteria for selecting the host institutions for the centres would be considered and approved by the Conference of the Parties at its fifteenth meeting. </w:t>
      </w:r>
      <w:r w:rsidR="00BF7B9F" w:rsidRPr="00700732">
        <w:rPr>
          <w:snapToGrid w:val="0"/>
          <w:kern w:val="22"/>
          <w:lang w:val="en-GB"/>
        </w:rPr>
        <w:t xml:space="preserve">The </w:t>
      </w:r>
      <w:r w:rsidR="007A3267" w:rsidRPr="00700732">
        <w:rPr>
          <w:snapToGrid w:val="0"/>
          <w:kern w:val="22"/>
          <w:lang w:val="en-GB"/>
        </w:rPr>
        <w:t>Conference of the Parties may, f</w:t>
      </w:r>
      <w:r w:rsidR="00B04DF6" w:rsidRPr="00700732">
        <w:rPr>
          <w:snapToGrid w:val="0"/>
          <w:kern w:val="22"/>
          <w:lang w:val="en-GB"/>
        </w:rPr>
        <w:t xml:space="preserve">or example, </w:t>
      </w:r>
      <w:r w:rsidR="007A3267" w:rsidRPr="00700732">
        <w:rPr>
          <w:snapToGrid w:val="0"/>
          <w:kern w:val="22"/>
          <w:lang w:val="en-GB"/>
        </w:rPr>
        <w:t xml:space="preserve">require that </w:t>
      </w:r>
      <w:r w:rsidR="00B04DF6" w:rsidRPr="00700732">
        <w:rPr>
          <w:snapToGrid w:val="0"/>
          <w:kern w:val="22"/>
          <w:lang w:val="en-GB"/>
        </w:rPr>
        <w:t xml:space="preserve">any organization or institution wishing to host such a </w:t>
      </w:r>
      <w:r w:rsidR="005701BF" w:rsidRPr="00700732">
        <w:rPr>
          <w:snapToGrid w:val="0"/>
          <w:kern w:val="22"/>
          <w:lang w:val="en-GB"/>
        </w:rPr>
        <w:t>centre should</w:t>
      </w:r>
      <w:r w:rsidR="00B04DF6" w:rsidRPr="00700732">
        <w:rPr>
          <w:snapToGrid w:val="0"/>
          <w:kern w:val="22"/>
          <w:lang w:val="en-GB"/>
        </w:rPr>
        <w:t xml:space="preserve"> have:</w:t>
      </w:r>
    </w:p>
    <w:p w14:paraId="3D0A4814" w14:textId="39491D62"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kern w:val="22"/>
          <w:szCs w:val="22"/>
        </w:rPr>
        <w:t xml:space="preserve">Demonstrated ability to provide </w:t>
      </w:r>
      <w:r w:rsidR="007C6317" w:rsidRPr="00A8649E">
        <w:rPr>
          <w:kern w:val="22"/>
          <w:szCs w:val="22"/>
        </w:rPr>
        <w:t>technical advice and support</w:t>
      </w:r>
      <w:r w:rsidRPr="00A8649E">
        <w:rPr>
          <w:kern w:val="22"/>
          <w:szCs w:val="22"/>
        </w:rPr>
        <w:t xml:space="preserve"> to Parties in planning and implementing country-led projects and/or programmes;</w:t>
      </w:r>
    </w:p>
    <w:p w14:paraId="4E7BEE13" w14:textId="7A7FC093"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kern w:val="22"/>
          <w:szCs w:val="22"/>
        </w:rPr>
        <w:t>Broad experience in the areas of work undertaken by Parties in implementing the Convention</w:t>
      </w:r>
      <w:r w:rsidR="00E9736B" w:rsidRPr="00A8649E">
        <w:rPr>
          <w:kern w:val="22"/>
          <w:szCs w:val="22"/>
        </w:rPr>
        <w:t xml:space="preserve"> on Biological Diversity</w:t>
      </w:r>
      <w:r w:rsidRPr="00A8649E">
        <w:rPr>
          <w:kern w:val="22"/>
          <w:szCs w:val="22"/>
        </w:rPr>
        <w:t xml:space="preserve"> and its protocols;</w:t>
      </w:r>
    </w:p>
    <w:p w14:paraId="6CF6E2E3" w14:textId="0746CBB9" w:rsidR="00D84DA0" w:rsidRPr="00A8649E" w:rsidRDefault="002B7D8D"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kern w:val="22"/>
        </w:rPr>
        <w:t>C</w:t>
      </w:r>
      <w:r w:rsidR="00D84DA0" w:rsidRPr="00A8649E">
        <w:rPr>
          <w:kern w:val="22"/>
        </w:rPr>
        <w:t>apacity to mobilize resources for technical scientific cooperation programmes</w:t>
      </w:r>
      <w:r w:rsidRPr="00A8649E">
        <w:rPr>
          <w:kern w:val="22"/>
        </w:rPr>
        <w:t>;</w:t>
      </w:r>
    </w:p>
    <w:p w14:paraId="42023DAA" w14:textId="336BB8D3" w:rsidR="008B1C79" w:rsidRPr="00A8649E" w:rsidRDefault="008B1C79"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rPr>
      </w:pPr>
      <w:r w:rsidRPr="00A8649E">
        <w:rPr>
          <w:kern w:val="22"/>
        </w:rPr>
        <w:t>Appropriate policies, procedures and other institutional mechanisms and demonstrated ability in place to manage multiple complex projects and programmes;</w:t>
      </w:r>
    </w:p>
    <w:p w14:paraId="03691B55" w14:textId="1153ED0E" w:rsidR="00B04DF6" w:rsidRPr="00A8649E" w:rsidRDefault="008B1C79"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kern w:val="22"/>
          <w:szCs w:val="22"/>
        </w:rPr>
        <w:t>Active</w:t>
      </w:r>
      <w:r w:rsidR="00B04DF6" w:rsidRPr="00A8649E">
        <w:rPr>
          <w:kern w:val="22"/>
          <w:szCs w:val="22"/>
        </w:rPr>
        <w:t xml:space="preserve"> networks of collaborators, including institutions working at regional and subregional levels on biodiversity-relevant issues;</w:t>
      </w:r>
    </w:p>
    <w:p w14:paraId="724A49D8" w14:textId="2991F954" w:rsidR="00B04DF6" w:rsidRPr="00A8649E"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rPr>
      </w:pPr>
      <w:r w:rsidRPr="00A8649E">
        <w:rPr>
          <w:kern w:val="22"/>
          <w:szCs w:val="22"/>
        </w:rPr>
        <w:lastRenderedPageBreak/>
        <w:t>Experience of working with other biodiversity-related conventions, intergovernmental processes</w:t>
      </w:r>
      <w:r w:rsidR="00C0325E" w:rsidRPr="00A8649E">
        <w:rPr>
          <w:kern w:val="22"/>
          <w:szCs w:val="22"/>
        </w:rPr>
        <w:t xml:space="preserve">, </w:t>
      </w:r>
      <w:r w:rsidR="00C0325E" w:rsidRPr="00700732">
        <w:rPr>
          <w:kern w:val="22"/>
        </w:rPr>
        <w:t>indigenous peoples and local communities, civil society and other stakeholders</w:t>
      </w:r>
      <w:r w:rsidR="008B1C79" w:rsidRPr="00A8649E">
        <w:rPr>
          <w:kern w:val="22"/>
          <w:szCs w:val="22"/>
        </w:rPr>
        <w:t>.</w:t>
      </w:r>
    </w:p>
    <w:p w14:paraId="3D4D632B" w14:textId="05245CF0" w:rsidR="00B04DF6"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bookmarkStart w:id="13" w:name="_Hlk20998139"/>
      <w:r w:rsidRPr="00700732">
        <w:rPr>
          <w:snapToGrid w:val="0"/>
          <w:kern w:val="22"/>
          <w:lang w:val="en-GB"/>
        </w:rPr>
        <w:t xml:space="preserve">The regional support centres </w:t>
      </w:r>
      <w:bookmarkEnd w:id="13"/>
      <w:r w:rsidRPr="00700732">
        <w:rPr>
          <w:snapToGrid w:val="0"/>
          <w:kern w:val="22"/>
          <w:lang w:val="en-GB"/>
        </w:rPr>
        <w:t xml:space="preserve">would carry out functions </w:t>
      </w:r>
      <w:proofErr w:type="gramStart"/>
      <w:r w:rsidRPr="00700732">
        <w:rPr>
          <w:snapToGrid w:val="0"/>
          <w:kern w:val="22"/>
          <w:lang w:val="en-GB"/>
        </w:rPr>
        <w:t>similar to</w:t>
      </w:r>
      <w:proofErr w:type="gramEnd"/>
      <w:r w:rsidRPr="00700732">
        <w:rPr>
          <w:snapToGrid w:val="0"/>
          <w:kern w:val="22"/>
          <w:lang w:val="en-GB"/>
        </w:rPr>
        <w:t xml:space="preserve"> those of the global centre as described above but would operate within their respective regions or subregions. Where necessary, they would coordinate with other centres to mobilize all the expertise required to fully support the implementation of the post-2020 global biodiversity framework and address priorities identified in their regions or subregions. They would also collaborate with and support </w:t>
      </w:r>
      <w:r w:rsidR="003271AB" w:rsidRPr="00700732">
        <w:rPr>
          <w:snapToGrid w:val="0"/>
          <w:kern w:val="22"/>
          <w:lang w:val="en-GB"/>
        </w:rPr>
        <w:t xml:space="preserve">any existing </w:t>
      </w:r>
      <w:r w:rsidRPr="00700732">
        <w:rPr>
          <w:snapToGrid w:val="0"/>
          <w:kern w:val="22"/>
          <w:lang w:val="en-GB"/>
        </w:rPr>
        <w:t xml:space="preserve">regional </w:t>
      </w:r>
      <w:r w:rsidR="00545AA3" w:rsidRPr="00700732">
        <w:rPr>
          <w:snapToGrid w:val="0"/>
          <w:kern w:val="22"/>
          <w:lang w:val="en-GB"/>
        </w:rPr>
        <w:t>technology assessment platforms</w:t>
      </w:r>
      <w:r w:rsidR="00236AD4" w:rsidRPr="00700732">
        <w:rPr>
          <w:snapToGrid w:val="0"/>
          <w:kern w:val="22"/>
          <w:lang w:val="en-GB"/>
        </w:rPr>
        <w:t xml:space="preserve"> that engage a range of stakeholders in a participat</w:t>
      </w:r>
      <w:r w:rsidR="009233F8" w:rsidRPr="00700732">
        <w:rPr>
          <w:snapToGrid w:val="0"/>
          <w:kern w:val="22"/>
          <w:lang w:val="en-GB"/>
        </w:rPr>
        <w:t>ory</w:t>
      </w:r>
      <w:r w:rsidR="00236AD4" w:rsidRPr="00700732">
        <w:rPr>
          <w:snapToGrid w:val="0"/>
          <w:kern w:val="22"/>
          <w:lang w:val="en-GB"/>
        </w:rPr>
        <w:t xml:space="preserve"> approach to horizon scanning, technology assessment, monitoring, capacity development, citizen science and other activities to support responsible research and innovation</w:t>
      </w:r>
      <w:r w:rsidRPr="00700732">
        <w:rPr>
          <w:snapToGrid w:val="0"/>
          <w:kern w:val="22"/>
          <w:lang w:val="en-GB"/>
        </w:rPr>
        <w:t>.</w:t>
      </w:r>
    </w:p>
    <w:p w14:paraId="5CE22C81" w14:textId="628B359E" w:rsidR="00B04DF6"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The centres would work under the strategic guidance of the Conference of the Parties and would take into consideration the relevant guidance and recommendations of the Informal Advisory Group</w:t>
      </w:r>
      <w:r w:rsidR="00352880" w:rsidRPr="00700732">
        <w:rPr>
          <w:snapToGrid w:val="0"/>
          <w:kern w:val="22"/>
          <w:lang w:val="en-GB"/>
        </w:rPr>
        <w:t xml:space="preserve"> on Technical and Scientific Cooperation</w:t>
      </w:r>
      <w:r w:rsidRPr="00700732">
        <w:rPr>
          <w:snapToGrid w:val="0"/>
          <w:kern w:val="22"/>
          <w:lang w:val="en-GB"/>
        </w:rPr>
        <w:t>. The centres would submit progress reports on their activities to the Conference of the Parties through the Secretariat of the Convention. A schematic illustration of the proposed regionally based institutional mechanism to promote and support technical and scientific cooperation, including the relationship between the above components, the Conference of the Parties and other stakeholders, is presented in figure 2 below.</w:t>
      </w:r>
    </w:p>
    <w:p w14:paraId="369DFCDA" w14:textId="664DBE9C" w:rsidR="00545AA3" w:rsidRPr="00700732" w:rsidRDefault="00545AA3"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The regional support centres would require dedicated resources for their operations. If this option is selected, the Conference of the Parties may wish to invite the financial mechanism of the Convention and other donors to provide the regional centres with funding to enable them to provide Parties with timely support so that they can access relevant technologies, expertise and other technical support required in order to implement the post-2020 global biodiversity framework effectively.</w:t>
      </w:r>
    </w:p>
    <w:p w14:paraId="722D2B09" w14:textId="7FE22E1E" w:rsidR="0032343C" w:rsidRPr="00700732" w:rsidRDefault="00B04DF6" w:rsidP="00700732">
      <w:pPr>
        <w:pStyle w:val="CBD-Para"/>
        <w:keepNext/>
        <w:keepLines w:val="0"/>
        <w:numPr>
          <w:ilvl w:val="0"/>
          <w:numId w:val="0"/>
        </w:numPr>
        <w:suppressLineNumbers/>
        <w:suppressAutoHyphens/>
        <w:kinsoku w:val="0"/>
        <w:overflowPunct w:val="0"/>
        <w:autoSpaceDE w:val="0"/>
        <w:autoSpaceDN w:val="0"/>
        <w:adjustRightInd w:val="0"/>
        <w:snapToGrid w:val="0"/>
        <w:spacing w:before="240" w:after="0"/>
        <w:ind w:left="1220" w:hanging="936"/>
        <w:jc w:val="left"/>
        <w:rPr>
          <w:b/>
          <w:snapToGrid w:val="0"/>
          <w:kern w:val="22"/>
          <w:lang w:val="en-GB"/>
        </w:rPr>
      </w:pPr>
      <w:r w:rsidRPr="00700732">
        <w:rPr>
          <w:b/>
          <w:snapToGrid w:val="0"/>
          <w:kern w:val="22"/>
        </w:rPr>
        <w:t>Figure 2.</w:t>
      </w:r>
      <w:r w:rsidR="000A613B">
        <w:rPr>
          <w:b/>
          <w:snapToGrid w:val="0"/>
          <w:kern w:val="22"/>
          <w:lang w:val="en-GB"/>
        </w:rPr>
        <w:tab/>
      </w:r>
      <w:r w:rsidRPr="00700732">
        <w:rPr>
          <w:b/>
          <w:snapToGrid w:val="0"/>
          <w:kern w:val="22"/>
        </w:rPr>
        <w:t>Schematic illustration of the regional institutional mechanism to support technical and scientific cooperation</w:t>
      </w:r>
      <w:r w:rsidR="00755544" w:rsidRPr="00700732">
        <w:rPr>
          <w:b/>
          <w:snapToGrid w:val="0"/>
          <w:kern w:val="22"/>
        </w:rPr>
        <w:t xml:space="preserve"> </w:t>
      </w:r>
      <w:r w:rsidR="00CF710E" w:rsidRPr="00700732">
        <w:rPr>
          <w:b/>
          <w:snapToGrid w:val="0"/>
          <w:kern w:val="22"/>
        </w:rPr>
        <w:t xml:space="preserve">(proposed option </w:t>
      </w:r>
      <w:r w:rsidR="00136D2E" w:rsidRPr="00700732">
        <w:rPr>
          <w:b/>
          <w:snapToGrid w:val="0"/>
          <w:kern w:val="22"/>
        </w:rPr>
        <w:t>“</w:t>
      </w:r>
      <w:r w:rsidR="00CF710E" w:rsidRPr="00700732">
        <w:rPr>
          <w:b/>
          <w:snapToGrid w:val="0"/>
          <w:kern w:val="22"/>
        </w:rPr>
        <w:t>B”)</w:t>
      </w:r>
    </w:p>
    <w:p w14:paraId="7BFEA78E" w14:textId="2310249E" w:rsidR="00B04DF6" w:rsidRPr="00700732" w:rsidRDefault="0032343C" w:rsidP="00700732">
      <w:pPr>
        <w:pStyle w:val="CBD-Para"/>
        <w:keepLines w:val="0"/>
        <w:numPr>
          <w:ilvl w:val="0"/>
          <w:numId w:val="0"/>
        </w:numPr>
        <w:suppressLineNumbers/>
        <w:suppressAutoHyphens/>
        <w:kinsoku w:val="0"/>
        <w:overflowPunct w:val="0"/>
        <w:autoSpaceDE w:val="0"/>
        <w:autoSpaceDN w:val="0"/>
        <w:adjustRightInd w:val="0"/>
        <w:snapToGrid w:val="0"/>
        <w:spacing w:before="240"/>
        <w:ind w:left="1170" w:hanging="900"/>
        <w:jc w:val="left"/>
        <w:rPr>
          <w:snapToGrid w:val="0"/>
          <w:kern w:val="22"/>
          <w:lang w:val="en-GB"/>
        </w:rPr>
      </w:pPr>
      <w:r w:rsidRPr="00700732">
        <w:rPr>
          <w:b/>
          <w:i/>
          <w:noProof/>
          <w:snapToGrid w:val="0"/>
          <w:kern w:val="22"/>
          <w:lang w:val="en-GB"/>
        </w:rPr>
        <w:drawing>
          <wp:inline distT="0" distB="0" distL="0" distR="0" wp14:anchorId="3964BCA8" wp14:editId="655AFDB8">
            <wp:extent cx="5391944" cy="28568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t="7694"/>
                    <a:stretch/>
                  </pic:blipFill>
                  <pic:spPr bwMode="auto">
                    <a:xfrm>
                      <a:off x="0" y="0"/>
                      <a:ext cx="5392900" cy="2857372"/>
                    </a:xfrm>
                    <a:prstGeom prst="rect">
                      <a:avLst/>
                    </a:prstGeom>
                    <a:noFill/>
                    <a:ln>
                      <a:noFill/>
                    </a:ln>
                    <a:extLst>
                      <a:ext uri="{53640926-AAD7-44D8-BBD7-CCE9431645EC}">
                        <a14:shadowObscured xmlns:a14="http://schemas.microsoft.com/office/drawing/2010/main"/>
                      </a:ext>
                    </a:extLst>
                  </pic:spPr>
                </pic:pic>
              </a:graphicData>
            </a:graphic>
          </wp:inline>
        </w:drawing>
      </w:r>
    </w:p>
    <w:bookmarkEnd w:id="12"/>
    <w:p w14:paraId="01738BFF" w14:textId="50BBEFBD" w:rsidR="00B04DF6" w:rsidRPr="00700732" w:rsidRDefault="00B04DF6" w:rsidP="00700732">
      <w:pPr>
        <w:pStyle w:val="Heading2"/>
        <w:suppressLineNumbers/>
        <w:tabs>
          <w:tab w:val="clear" w:pos="720"/>
        </w:tabs>
        <w:suppressAutoHyphens/>
        <w:kinsoku w:val="0"/>
        <w:overflowPunct w:val="0"/>
        <w:autoSpaceDE w:val="0"/>
        <w:autoSpaceDN w:val="0"/>
        <w:adjustRightInd w:val="0"/>
        <w:snapToGrid w:val="0"/>
        <w:spacing w:before="360"/>
        <w:rPr>
          <w:b w:val="0"/>
          <w:i/>
          <w:snapToGrid w:val="0"/>
          <w:kern w:val="22"/>
        </w:rPr>
      </w:pPr>
      <w:r w:rsidRPr="00700732">
        <w:rPr>
          <w:b w:val="0"/>
          <w:i/>
          <w:snapToGrid w:val="0"/>
          <w:kern w:val="22"/>
        </w:rPr>
        <w:lastRenderedPageBreak/>
        <w:t>Option C: Technica</w:t>
      </w:r>
      <w:r w:rsidR="000D4B1D" w:rsidRPr="00700732">
        <w:rPr>
          <w:b w:val="0"/>
          <w:i/>
          <w:snapToGrid w:val="0"/>
          <w:kern w:val="22"/>
        </w:rPr>
        <w:t>l and scientific cooperation support through Secretariat-coordinated programmes</w:t>
      </w:r>
    </w:p>
    <w:p w14:paraId="48CE709B" w14:textId="0DF42EE2" w:rsidR="00B04DF6" w:rsidRPr="00700732" w:rsidRDefault="00B04DF6" w:rsidP="00700732">
      <w:pPr>
        <w:pStyle w:val="CBD-Para"/>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 xml:space="preserve">Under this option, technical and scientific cooperation and technology transfer would continue to be promoted and facilitated through programmes coordinated by the Secretariat of the Convention in collaboration with </w:t>
      </w:r>
      <w:r w:rsidR="003271AB" w:rsidRPr="00700732">
        <w:rPr>
          <w:snapToGrid w:val="0"/>
          <w:kern w:val="22"/>
          <w:lang w:val="en-GB"/>
        </w:rPr>
        <w:t xml:space="preserve">relevant </w:t>
      </w:r>
      <w:r w:rsidRPr="00700732">
        <w:rPr>
          <w:snapToGrid w:val="0"/>
          <w:kern w:val="22"/>
          <w:lang w:val="en-GB"/>
        </w:rPr>
        <w:t>partners</w:t>
      </w:r>
      <w:r w:rsidR="003271AB" w:rsidRPr="00700732">
        <w:rPr>
          <w:snapToGrid w:val="0"/>
          <w:kern w:val="22"/>
          <w:lang w:val="en-GB"/>
        </w:rPr>
        <w:t xml:space="preserve"> and initiatives</w:t>
      </w:r>
      <w:r w:rsidRPr="00700732">
        <w:rPr>
          <w:snapToGrid w:val="0"/>
          <w:kern w:val="22"/>
          <w:lang w:val="en-GB"/>
        </w:rPr>
        <w:t>.</w:t>
      </w:r>
      <w:r w:rsidR="00FA1E4B" w:rsidRPr="00700732">
        <w:rPr>
          <w:rStyle w:val="FootnoteReference"/>
          <w:snapToGrid w:val="0"/>
          <w:kern w:val="22"/>
          <w:lang w:val="en-GB"/>
        </w:rPr>
        <w:footnoteReference w:id="22"/>
      </w:r>
      <w:r w:rsidRPr="00700732">
        <w:rPr>
          <w:snapToGrid w:val="0"/>
          <w:kern w:val="22"/>
          <w:lang w:val="en-GB"/>
        </w:rPr>
        <w:t xml:space="preserve"> Each programme would implement targeted interventions. The Secretariat would submit progress reports to the Conference of the Parties, which would take into consideration the guidance of the Informal Advisory Group</w:t>
      </w:r>
      <w:r w:rsidR="00271E31" w:rsidRPr="00700732">
        <w:rPr>
          <w:snapToGrid w:val="0"/>
          <w:kern w:val="22"/>
          <w:lang w:val="en-GB"/>
        </w:rPr>
        <w:t xml:space="preserve"> </w:t>
      </w:r>
      <w:r w:rsidR="00352880" w:rsidRPr="00700732">
        <w:rPr>
          <w:snapToGrid w:val="0"/>
          <w:kern w:val="22"/>
          <w:lang w:val="en-GB"/>
        </w:rPr>
        <w:t>on Technical and Scientific Cooperation</w:t>
      </w:r>
      <w:r w:rsidRPr="00700732">
        <w:rPr>
          <w:snapToGrid w:val="0"/>
          <w:kern w:val="22"/>
          <w:lang w:val="en-GB"/>
        </w:rPr>
        <w:t xml:space="preserve">. The functions </w:t>
      </w:r>
      <w:r w:rsidR="00FA5983" w:rsidRPr="00700732">
        <w:rPr>
          <w:snapToGrid w:val="0"/>
          <w:kern w:val="22"/>
          <w:lang w:val="en-GB"/>
        </w:rPr>
        <w:t xml:space="preserve">of the </w:t>
      </w:r>
      <w:r w:rsidR="009A5912" w:rsidRPr="00700732">
        <w:rPr>
          <w:snapToGrid w:val="0"/>
          <w:kern w:val="22"/>
          <w:lang w:val="en-GB"/>
        </w:rPr>
        <w:t xml:space="preserve">different </w:t>
      </w:r>
      <w:r w:rsidR="00FA5983" w:rsidRPr="00700732">
        <w:rPr>
          <w:snapToGrid w:val="0"/>
          <w:kern w:val="22"/>
          <w:lang w:val="en-GB"/>
        </w:rPr>
        <w:t xml:space="preserve">programmes </w:t>
      </w:r>
      <w:r w:rsidRPr="00700732">
        <w:rPr>
          <w:snapToGrid w:val="0"/>
          <w:kern w:val="22"/>
          <w:lang w:val="en-GB"/>
        </w:rPr>
        <w:t xml:space="preserve">would </w:t>
      </w:r>
      <w:r w:rsidR="00182854" w:rsidRPr="00700732">
        <w:rPr>
          <w:snapToGrid w:val="0"/>
          <w:kern w:val="22"/>
          <w:lang w:val="en-GB"/>
        </w:rPr>
        <w:t>vary</w:t>
      </w:r>
      <w:r w:rsidRPr="00700732">
        <w:rPr>
          <w:snapToGrid w:val="0"/>
          <w:kern w:val="22"/>
          <w:lang w:val="en-GB"/>
        </w:rPr>
        <w:t xml:space="preserve"> </w:t>
      </w:r>
      <w:proofErr w:type="gramStart"/>
      <w:r w:rsidRPr="00700732">
        <w:rPr>
          <w:snapToGrid w:val="0"/>
          <w:kern w:val="22"/>
          <w:lang w:val="en-GB"/>
        </w:rPr>
        <w:t>on the basis of</w:t>
      </w:r>
      <w:proofErr w:type="gramEnd"/>
      <w:r w:rsidRPr="00700732">
        <w:rPr>
          <w:snapToGrid w:val="0"/>
          <w:kern w:val="22"/>
          <w:lang w:val="en-GB"/>
        </w:rPr>
        <w:t xml:space="preserve"> the priorities and requirements of </w:t>
      </w:r>
      <w:r w:rsidR="003271AB" w:rsidRPr="00700732">
        <w:rPr>
          <w:snapToGrid w:val="0"/>
          <w:kern w:val="22"/>
          <w:lang w:val="en-GB"/>
        </w:rPr>
        <w:t>Parties.</w:t>
      </w:r>
    </w:p>
    <w:p w14:paraId="32C2C247" w14:textId="59FEA584" w:rsidR="00B04DF6"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The Secretariat would also continue to promote and facilitate technical and scientific cooperation through partnership agreements and collaborative programmes with various partners</w:t>
      </w:r>
      <w:r w:rsidR="008F753F" w:rsidRPr="00700732">
        <w:rPr>
          <w:snapToGrid w:val="0"/>
          <w:kern w:val="22"/>
          <w:lang w:val="en-GB"/>
        </w:rPr>
        <w:t xml:space="preserve"> and initiatives</w:t>
      </w:r>
      <w:r w:rsidRPr="00700732">
        <w:rPr>
          <w:snapToGrid w:val="0"/>
          <w:kern w:val="22"/>
          <w:lang w:val="en-GB"/>
        </w:rPr>
        <w:t xml:space="preserve">, including research and academic institutions, </w:t>
      </w:r>
      <w:r w:rsidR="00FB3545" w:rsidRPr="00700732">
        <w:rPr>
          <w:snapToGrid w:val="0"/>
          <w:kern w:val="22"/>
          <w:lang w:val="en-GB"/>
        </w:rPr>
        <w:t>United Nations</w:t>
      </w:r>
      <w:r w:rsidRPr="00700732">
        <w:rPr>
          <w:snapToGrid w:val="0"/>
          <w:kern w:val="22"/>
          <w:lang w:val="en-GB"/>
        </w:rPr>
        <w:t xml:space="preserve"> </w:t>
      </w:r>
      <w:r w:rsidR="00EE77BD" w:rsidRPr="00700732">
        <w:rPr>
          <w:snapToGrid w:val="0"/>
          <w:kern w:val="22"/>
          <w:lang w:val="en-GB"/>
        </w:rPr>
        <w:t>agencies</w:t>
      </w:r>
      <w:r w:rsidRPr="00700732">
        <w:rPr>
          <w:snapToGrid w:val="0"/>
          <w:kern w:val="22"/>
          <w:lang w:val="en-GB"/>
        </w:rPr>
        <w:t xml:space="preserve">, </w:t>
      </w:r>
      <w:r w:rsidR="00030BC7" w:rsidRPr="00700732">
        <w:rPr>
          <w:snapToGrid w:val="0"/>
          <w:kern w:val="22"/>
          <w:lang w:val="en-GB"/>
        </w:rPr>
        <w:t xml:space="preserve">and </w:t>
      </w:r>
      <w:r w:rsidRPr="00700732">
        <w:rPr>
          <w:snapToGrid w:val="0"/>
          <w:kern w:val="22"/>
          <w:lang w:val="en-GB"/>
        </w:rPr>
        <w:t>international organizations and networks.</w:t>
      </w:r>
      <w:r w:rsidRPr="00700732">
        <w:rPr>
          <w:rStyle w:val="FootnoteReference"/>
          <w:snapToGrid w:val="0"/>
          <w:kern w:val="22"/>
          <w:lang w:val="en-GB"/>
        </w:rPr>
        <w:footnoteReference w:id="23"/>
      </w:r>
    </w:p>
    <w:p w14:paraId="74A3E62C" w14:textId="1920AE72" w:rsidR="00B04DF6"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 xml:space="preserve">To play </w:t>
      </w:r>
      <w:bookmarkStart w:id="14" w:name="_Hlk50998674"/>
      <w:r w:rsidR="002E668A" w:rsidRPr="00700732">
        <w:rPr>
          <w:snapToGrid w:val="0"/>
          <w:kern w:val="22"/>
          <w:lang w:val="en-GB"/>
        </w:rPr>
        <w:t>the above</w:t>
      </w:r>
      <w:r w:rsidRPr="00700732">
        <w:rPr>
          <w:snapToGrid w:val="0"/>
          <w:kern w:val="22"/>
          <w:lang w:val="en-GB"/>
        </w:rPr>
        <w:t xml:space="preserve"> role</w:t>
      </w:r>
      <w:r w:rsidR="007871BB" w:rsidRPr="00700732">
        <w:rPr>
          <w:snapToGrid w:val="0"/>
          <w:kern w:val="22"/>
          <w:lang w:val="en-GB"/>
        </w:rPr>
        <w:t>s</w:t>
      </w:r>
      <w:r w:rsidRPr="00700732">
        <w:rPr>
          <w:snapToGrid w:val="0"/>
          <w:kern w:val="22"/>
          <w:lang w:val="en-GB"/>
        </w:rPr>
        <w:t xml:space="preserve"> </w:t>
      </w:r>
      <w:r w:rsidR="002E668A" w:rsidRPr="00700732">
        <w:rPr>
          <w:snapToGrid w:val="0"/>
          <w:kern w:val="22"/>
          <w:lang w:val="en-GB"/>
        </w:rPr>
        <w:t>more effectively</w:t>
      </w:r>
      <w:bookmarkEnd w:id="14"/>
      <w:r w:rsidR="002E668A" w:rsidRPr="00700732">
        <w:rPr>
          <w:snapToGrid w:val="0"/>
          <w:kern w:val="22"/>
          <w:lang w:val="en-GB"/>
        </w:rPr>
        <w:t xml:space="preserve"> </w:t>
      </w:r>
      <w:r w:rsidRPr="00700732">
        <w:rPr>
          <w:snapToGrid w:val="0"/>
          <w:kern w:val="22"/>
          <w:lang w:val="en-GB"/>
        </w:rPr>
        <w:t>in support of the post-2020 global biodiversity framework, the Secretariat would require adequate and predictable funding support. The Secretariat’s core budget would need to provide for dedicated staff positions for technical and scientific cooperation</w:t>
      </w:r>
      <w:r w:rsidR="006014C5" w:rsidRPr="00700732">
        <w:rPr>
          <w:snapToGrid w:val="0"/>
          <w:kern w:val="22"/>
          <w:lang w:val="en-GB"/>
        </w:rPr>
        <w:t>,</w:t>
      </w:r>
      <w:r w:rsidRPr="00700732">
        <w:rPr>
          <w:snapToGrid w:val="0"/>
          <w:kern w:val="22"/>
          <w:lang w:val="en-GB"/>
        </w:rPr>
        <w:t xml:space="preserve"> as well as for core activities.</w:t>
      </w:r>
      <w:r w:rsidR="002E668A" w:rsidRPr="00700732">
        <w:rPr>
          <w:snapToGrid w:val="0"/>
          <w:kern w:val="22"/>
          <w:lang w:val="en-GB"/>
        </w:rPr>
        <w:t xml:space="preserve"> At present, the functions related to technical and scientific cooperation are largely performed by project staff fund</w:t>
      </w:r>
      <w:r w:rsidR="0097601F" w:rsidRPr="00700732">
        <w:rPr>
          <w:snapToGrid w:val="0"/>
          <w:kern w:val="22"/>
          <w:lang w:val="en-GB"/>
        </w:rPr>
        <w:t xml:space="preserve">ed </w:t>
      </w:r>
      <w:r w:rsidR="002E668A" w:rsidRPr="00700732">
        <w:rPr>
          <w:snapToGrid w:val="0"/>
          <w:kern w:val="22"/>
          <w:lang w:val="en-GB"/>
        </w:rPr>
        <w:t>by the Republic of Korea through the Bio-Bridge Initiative. The current funding commitment for the Bio-Bridge Initiative is scheduled to end in 2020</w:t>
      </w:r>
      <w:r w:rsidR="0097601F" w:rsidRPr="00700732">
        <w:rPr>
          <w:snapToGrid w:val="0"/>
          <w:kern w:val="22"/>
          <w:lang w:val="en-GB"/>
        </w:rPr>
        <w:t>.</w:t>
      </w:r>
    </w:p>
    <w:p w14:paraId="4EC211A8" w14:textId="7050A0E7" w:rsidR="00B04DF6" w:rsidRPr="00700732" w:rsidRDefault="00B04DF6" w:rsidP="00700732">
      <w:pPr>
        <w:pStyle w:val="Heading1"/>
        <w:numPr>
          <w:ilvl w:val="0"/>
          <w:numId w:val="51"/>
        </w:numPr>
        <w:suppressLineNumbers/>
        <w:tabs>
          <w:tab w:val="clear" w:pos="720"/>
        </w:tabs>
        <w:suppressAutoHyphens/>
        <w:kinsoku w:val="0"/>
        <w:overflowPunct w:val="0"/>
        <w:autoSpaceDE w:val="0"/>
        <w:autoSpaceDN w:val="0"/>
        <w:adjustRightInd w:val="0"/>
        <w:snapToGrid w:val="0"/>
        <w:spacing w:before="120"/>
        <w:ind w:left="720"/>
        <w:rPr>
          <w:snapToGrid w:val="0"/>
          <w:kern w:val="22"/>
        </w:rPr>
      </w:pPr>
      <w:r w:rsidRPr="00700732">
        <w:rPr>
          <w:snapToGrid w:val="0"/>
          <w:kern w:val="22"/>
        </w:rPr>
        <w:t xml:space="preserve">Role of the Secretariat of the Convention </w:t>
      </w:r>
    </w:p>
    <w:p w14:paraId="062C34A0" w14:textId="2DF350FE" w:rsidR="00B04DF6"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In line with Article 24 of the Convention, the Secretariat of the Convention w</w:t>
      </w:r>
      <w:r w:rsidR="00EA1E37" w:rsidRPr="00700732">
        <w:rPr>
          <w:snapToGrid w:val="0"/>
          <w:kern w:val="22"/>
          <w:lang w:val="en-GB"/>
        </w:rPr>
        <w:t>ill</w:t>
      </w:r>
      <w:r w:rsidRPr="00700732">
        <w:rPr>
          <w:snapToGrid w:val="0"/>
          <w:kern w:val="22"/>
          <w:lang w:val="en-GB"/>
        </w:rPr>
        <w:t>:</w:t>
      </w:r>
    </w:p>
    <w:p w14:paraId="68EB8263" w14:textId="6039A6F7" w:rsidR="00B04DF6" w:rsidRPr="00A8649E" w:rsidRDefault="00B04DF6" w:rsidP="00700732">
      <w:pPr>
        <w:pStyle w:val="Para1"/>
        <w:numPr>
          <w:ilvl w:val="1"/>
          <w:numId w:val="19"/>
        </w:numPr>
        <w:suppressLineNumbers/>
        <w:suppressAutoHyphens/>
        <w:kinsoku w:val="0"/>
        <w:overflowPunct w:val="0"/>
        <w:autoSpaceDE w:val="0"/>
        <w:autoSpaceDN w:val="0"/>
        <w:adjustRightInd w:val="0"/>
        <w:snapToGrid w:val="0"/>
        <w:spacing w:before="0"/>
        <w:ind w:left="0" w:firstLine="720"/>
        <w:rPr>
          <w:kern w:val="22"/>
          <w:szCs w:val="22"/>
        </w:rPr>
      </w:pPr>
      <w:r w:rsidRPr="00A8649E">
        <w:rPr>
          <w:kern w:val="22"/>
          <w:szCs w:val="22"/>
        </w:rPr>
        <w:t>Prepare</w:t>
      </w:r>
      <w:r w:rsidR="00384694" w:rsidRPr="00A8649E">
        <w:rPr>
          <w:kern w:val="22"/>
          <w:szCs w:val="22"/>
        </w:rPr>
        <w:t xml:space="preserve"> or submit, as appropriate,</w:t>
      </w:r>
      <w:r w:rsidRPr="00A8649E">
        <w:rPr>
          <w:kern w:val="22"/>
          <w:szCs w:val="22"/>
        </w:rPr>
        <w:t xml:space="preserve"> relevant documents and reports on technical and scientific cooperation and technology transfer (Articles 16</w:t>
      </w:r>
      <w:r w:rsidR="007F2DBE">
        <w:rPr>
          <w:kern w:val="22"/>
          <w:szCs w:val="22"/>
        </w:rPr>
        <w:t>-</w:t>
      </w:r>
      <w:r w:rsidRPr="00A8649E">
        <w:rPr>
          <w:kern w:val="22"/>
          <w:szCs w:val="22"/>
        </w:rPr>
        <w:t>18 of the Convention) for the Conference of Parties and its subsidiary bodies;</w:t>
      </w:r>
    </w:p>
    <w:p w14:paraId="2DF60CDF" w14:textId="1EC7450C" w:rsidR="00B04DF6" w:rsidRPr="0003212C" w:rsidRDefault="00B04DF6" w:rsidP="00700732">
      <w:pPr>
        <w:pStyle w:val="Para1"/>
        <w:numPr>
          <w:ilvl w:val="1"/>
          <w:numId w:val="19"/>
        </w:numPr>
        <w:suppressLineNumbers/>
        <w:suppressAutoHyphens/>
        <w:kinsoku w:val="0"/>
        <w:overflowPunct w:val="0"/>
        <w:autoSpaceDE w:val="0"/>
        <w:autoSpaceDN w:val="0"/>
        <w:adjustRightInd w:val="0"/>
        <w:snapToGrid w:val="0"/>
        <w:spacing w:before="0"/>
        <w:ind w:left="0" w:firstLine="720"/>
        <w:rPr>
          <w:kern w:val="22"/>
          <w:szCs w:val="22"/>
        </w:rPr>
      </w:pPr>
      <w:r w:rsidRPr="00A8649E">
        <w:rPr>
          <w:kern w:val="22"/>
          <w:szCs w:val="22"/>
        </w:rPr>
        <w:t xml:space="preserve">Compile relevant information related to technical and scientific cooperation and technology transfer in the </w:t>
      </w:r>
      <w:r w:rsidRPr="0003212C">
        <w:rPr>
          <w:kern w:val="22"/>
          <w:szCs w:val="22"/>
        </w:rPr>
        <w:t xml:space="preserve">field of biological diversity and make it available through the clearing-house mechanism, in line with the knowledge management </w:t>
      </w:r>
      <w:r w:rsidR="00E77073" w:rsidRPr="0003212C">
        <w:rPr>
          <w:kern w:val="22"/>
          <w:szCs w:val="22"/>
        </w:rPr>
        <w:t>component of the post-2020 global biodiversity framework</w:t>
      </w:r>
      <w:r w:rsidRPr="0003212C">
        <w:rPr>
          <w:kern w:val="22"/>
          <w:szCs w:val="22"/>
        </w:rPr>
        <w:t>;</w:t>
      </w:r>
    </w:p>
    <w:p w14:paraId="605ECDEA" w14:textId="676019FD" w:rsidR="00384694" w:rsidRPr="00700732" w:rsidRDefault="00384694" w:rsidP="00700732">
      <w:pPr>
        <w:pStyle w:val="Para1"/>
        <w:numPr>
          <w:ilvl w:val="1"/>
          <w:numId w:val="19"/>
        </w:numPr>
        <w:suppressLineNumbers/>
        <w:suppressAutoHyphens/>
        <w:kinsoku w:val="0"/>
        <w:overflowPunct w:val="0"/>
        <w:autoSpaceDE w:val="0"/>
        <w:autoSpaceDN w:val="0"/>
        <w:adjustRightInd w:val="0"/>
        <w:snapToGrid w:val="0"/>
        <w:spacing w:before="0"/>
        <w:ind w:left="0" w:firstLine="720"/>
        <w:rPr>
          <w:rFonts w:asciiTheme="minorHAnsi" w:eastAsiaTheme="minorEastAsia" w:hAnsiTheme="minorHAnsi" w:cstheme="minorBidi"/>
          <w:kern w:val="22"/>
        </w:rPr>
      </w:pPr>
      <w:r w:rsidRPr="0003212C">
        <w:rPr>
          <w:kern w:val="22"/>
        </w:rPr>
        <w:t xml:space="preserve">Maintain active communication with Parties and stakeholders involved or interested </w:t>
      </w:r>
      <w:r w:rsidR="00547076" w:rsidRPr="0003212C">
        <w:rPr>
          <w:kern w:val="22"/>
        </w:rPr>
        <w:t xml:space="preserve">in </w:t>
      </w:r>
      <w:r w:rsidRPr="0003212C">
        <w:rPr>
          <w:kern w:val="22"/>
        </w:rPr>
        <w:t>technical and scientific</w:t>
      </w:r>
      <w:r w:rsidRPr="00700732">
        <w:rPr>
          <w:kern w:val="22"/>
        </w:rPr>
        <w:t xml:space="preserve"> cooperation;</w:t>
      </w:r>
    </w:p>
    <w:p w14:paraId="535898FB" w14:textId="5CD32F55" w:rsidR="00B04DF6" w:rsidRPr="00A8649E" w:rsidRDefault="00B04DF6" w:rsidP="00700732">
      <w:pPr>
        <w:pStyle w:val="Para1"/>
        <w:numPr>
          <w:ilvl w:val="1"/>
          <w:numId w:val="19"/>
        </w:numPr>
        <w:suppressLineNumbers/>
        <w:suppressAutoHyphens/>
        <w:kinsoku w:val="0"/>
        <w:overflowPunct w:val="0"/>
        <w:autoSpaceDE w:val="0"/>
        <w:autoSpaceDN w:val="0"/>
        <w:adjustRightInd w:val="0"/>
        <w:snapToGrid w:val="0"/>
        <w:spacing w:before="0"/>
        <w:ind w:left="0" w:firstLine="720"/>
        <w:rPr>
          <w:kern w:val="22"/>
          <w:szCs w:val="22"/>
        </w:rPr>
      </w:pPr>
      <w:r w:rsidRPr="00A8649E">
        <w:rPr>
          <w:kern w:val="22"/>
          <w:szCs w:val="22"/>
        </w:rPr>
        <w:t>Coordinate, as appropriate, with biodiversity-related conventions, relevant Parties’ agencies, the Consortium of Scientific Partners</w:t>
      </w:r>
      <w:r w:rsidR="00370C90" w:rsidRPr="00A8649E">
        <w:rPr>
          <w:kern w:val="22"/>
        </w:rPr>
        <w:t xml:space="preserve"> on Biodiversity</w:t>
      </w:r>
      <w:r w:rsidRPr="001F69A7">
        <w:rPr>
          <w:kern w:val="22"/>
          <w:szCs w:val="22"/>
        </w:rPr>
        <w:t>, t</w:t>
      </w:r>
      <w:r w:rsidRPr="00FD0CD1">
        <w:rPr>
          <w:kern w:val="22"/>
          <w:szCs w:val="22"/>
        </w:rPr>
        <w:t xml:space="preserve">he </w:t>
      </w:r>
      <w:r w:rsidR="00E720D5" w:rsidRPr="003B5AB1">
        <w:rPr>
          <w:kern w:val="22"/>
          <w:szCs w:val="22"/>
        </w:rPr>
        <w:t xml:space="preserve">Global Partnership for </w:t>
      </w:r>
      <w:r w:rsidRPr="003B5AB1">
        <w:rPr>
          <w:kern w:val="22"/>
          <w:szCs w:val="22"/>
        </w:rPr>
        <w:t xml:space="preserve">Business and Biodiversity, and other relevant networks and initiatives </w:t>
      </w:r>
      <w:r w:rsidR="0045374F" w:rsidRPr="00146C5A">
        <w:rPr>
          <w:kern w:val="22"/>
          <w:szCs w:val="22"/>
        </w:rPr>
        <w:t>with</w:t>
      </w:r>
      <w:r w:rsidR="0045374F" w:rsidRPr="00A8649E">
        <w:rPr>
          <w:kern w:val="22"/>
          <w:szCs w:val="22"/>
        </w:rPr>
        <w:t xml:space="preserve"> </w:t>
      </w:r>
      <w:r w:rsidRPr="00A8649E">
        <w:rPr>
          <w:kern w:val="22"/>
          <w:szCs w:val="22"/>
        </w:rPr>
        <w:t xml:space="preserve">technical and scientific expertise and/or involved in </w:t>
      </w:r>
      <w:r w:rsidR="00740B97" w:rsidRPr="00A8649E">
        <w:rPr>
          <w:kern w:val="22"/>
          <w:szCs w:val="22"/>
        </w:rPr>
        <w:t xml:space="preserve">technical and scientific </w:t>
      </w:r>
      <w:r w:rsidRPr="00A8649E">
        <w:rPr>
          <w:kern w:val="22"/>
          <w:szCs w:val="22"/>
        </w:rPr>
        <w:t>cooperation;</w:t>
      </w:r>
    </w:p>
    <w:p w14:paraId="08F1CA73" w14:textId="77777777" w:rsidR="00B04DF6" w:rsidRPr="00A8649E" w:rsidRDefault="00B04DF6" w:rsidP="00700732">
      <w:pPr>
        <w:pStyle w:val="Para1"/>
        <w:numPr>
          <w:ilvl w:val="1"/>
          <w:numId w:val="19"/>
        </w:numPr>
        <w:suppressLineNumbers/>
        <w:suppressAutoHyphens/>
        <w:kinsoku w:val="0"/>
        <w:overflowPunct w:val="0"/>
        <w:autoSpaceDE w:val="0"/>
        <w:autoSpaceDN w:val="0"/>
        <w:adjustRightInd w:val="0"/>
        <w:snapToGrid w:val="0"/>
        <w:spacing w:before="0"/>
        <w:ind w:left="0" w:firstLine="720"/>
        <w:rPr>
          <w:kern w:val="22"/>
          <w:szCs w:val="22"/>
        </w:rPr>
      </w:pPr>
      <w:r w:rsidRPr="00A8649E">
        <w:rPr>
          <w:kern w:val="22"/>
          <w:szCs w:val="22"/>
        </w:rPr>
        <w:t>Co-organize with partners biodiversity science forums, technology and innovation expos and other events on the margins of international meetings;</w:t>
      </w:r>
    </w:p>
    <w:p w14:paraId="04C79184" w14:textId="37869BE7" w:rsidR="0097601F" w:rsidRPr="00A8649E" w:rsidRDefault="00B04DF6" w:rsidP="00700732">
      <w:pPr>
        <w:pStyle w:val="Para1"/>
        <w:numPr>
          <w:ilvl w:val="1"/>
          <w:numId w:val="19"/>
        </w:numPr>
        <w:suppressLineNumbers/>
        <w:suppressAutoHyphens/>
        <w:kinsoku w:val="0"/>
        <w:overflowPunct w:val="0"/>
        <w:autoSpaceDE w:val="0"/>
        <w:autoSpaceDN w:val="0"/>
        <w:adjustRightInd w:val="0"/>
        <w:snapToGrid w:val="0"/>
        <w:spacing w:before="0"/>
        <w:ind w:left="0" w:firstLine="720"/>
        <w:rPr>
          <w:kern w:val="22"/>
          <w:szCs w:val="22"/>
        </w:rPr>
      </w:pPr>
      <w:r w:rsidRPr="00A8649E">
        <w:rPr>
          <w:kern w:val="22"/>
          <w:szCs w:val="22"/>
        </w:rPr>
        <w:t>Perform such other activities as may be necessary to carry out its functions</w:t>
      </w:r>
      <w:r w:rsidR="00F11B0B" w:rsidRPr="00A8649E">
        <w:rPr>
          <w:kern w:val="22"/>
        </w:rPr>
        <w:t>.</w:t>
      </w:r>
      <w:bookmarkStart w:id="15" w:name="_Hlk50340087"/>
    </w:p>
    <w:p w14:paraId="7726390F" w14:textId="28C6D8B7" w:rsidR="0097601F" w:rsidRPr="00700732" w:rsidRDefault="00E30D1B" w:rsidP="00700732">
      <w:pPr>
        <w:pStyle w:val="Heading1"/>
        <w:numPr>
          <w:ilvl w:val="0"/>
          <w:numId w:val="51"/>
        </w:numPr>
        <w:suppressLineNumbers/>
        <w:tabs>
          <w:tab w:val="clear" w:pos="720"/>
        </w:tabs>
        <w:suppressAutoHyphens/>
        <w:kinsoku w:val="0"/>
        <w:overflowPunct w:val="0"/>
        <w:autoSpaceDE w:val="0"/>
        <w:autoSpaceDN w:val="0"/>
        <w:adjustRightInd w:val="0"/>
        <w:snapToGrid w:val="0"/>
        <w:spacing w:before="120"/>
        <w:ind w:left="720"/>
        <w:rPr>
          <w:snapToGrid w:val="0"/>
          <w:kern w:val="22"/>
        </w:rPr>
      </w:pPr>
      <w:bookmarkStart w:id="16" w:name="_Hlk50998773"/>
      <w:r w:rsidRPr="00700732">
        <w:rPr>
          <w:snapToGrid w:val="0"/>
          <w:kern w:val="22"/>
        </w:rPr>
        <w:lastRenderedPageBreak/>
        <w:t>Monitoring and review</w:t>
      </w:r>
    </w:p>
    <w:p w14:paraId="4DAA1B21" w14:textId="76CB5F5B" w:rsidR="0097601F" w:rsidRPr="00700732" w:rsidRDefault="0097601F"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r w:rsidRPr="00700732">
        <w:rPr>
          <w:snapToGrid w:val="0"/>
          <w:kern w:val="22"/>
          <w:lang w:val="en-GB"/>
        </w:rPr>
        <w:t xml:space="preserve">The </w:t>
      </w:r>
      <w:r w:rsidR="00061CE8" w:rsidRPr="00700732">
        <w:rPr>
          <w:snapToGrid w:val="0"/>
          <w:kern w:val="22"/>
          <w:lang w:val="en-GB"/>
        </w:rPr>
        <w:t xml:space="preserve">present </w:t>
      </w:r>
      <w:r w:rsidRPr="00700732">
        <w:rPr>
          <w:snapToGrid w:val="0"/>
          <w:kern w:val="22"/>
          <w:lang w:val="en-GB"/>
        </w:rPr>
        <w:t xml:space="preserve">proposals will be reviewed periodically </w:t>
      </w:r>
      <w:bookmarkStart w:id="17" w:name="_Hlk46691380"/>
      <w:r w:rsidRPr="00700732">
        <w:rPr>
          <w:snapToGrid w:val="0"/>
          <w:kern w:val="22"/>
          <w:lang w:val="en-GB"/>
        </w:rPr>
        <w:t>and, if necessary, updated to ensure their continued relevance and effectiveness</w:t>
      </w:r>
      <w:bookmarkEnd w:id="17"/>
      <w:r w:rsidRPr="00700732">
        <w:rPr>
          <w:snapToGrid w:val="0"/>
          <w:kern w:val="22"/>
          <w:lang w:val="en-GB"/>
        </w:rPr>
        <w:t xml:space="preserve"> in supporting the implementation of the post-2020 global biodiversity framework. A first review will be carried out in 2025 and an independent evaluation will be undertaken in 2030, to</w:t>
      </w:r>
      <w:r w:rsidR="007B0969" w:rsidRPr="00700732">
        <w:rPr>
          <w:snapToGrid w:val="0"/>
          <w:kern w:val="22"/>
          <w:lang w:val="en-GB"/>
        </w:rPr>
        <w:t xml:space="preserve">gether with the review of the long-term strategic framework for capacity development and </w:t>
      </w:r>
      <w:r w:rsidRPr="00700732">
        <w:rPr>
          <w:snapToGrid w:val="0"/>
          <w:kern w:val="22"/>
          <w:lang w:val="en-GB"/>
        </w:rPr>
        <w:t xml:space="preserve">the review of the post-2020 global biodiversity framework. </w:t>
      </w:r>
      <w:r w:rsidR="00AD6514" w:rsidRPr="00700732">
        <w:rPr>
          <w:snapToGrid w:val="0"/>
          <w:kern w:val="22"/>
          <w:lang w:val="en-GB"/>
        </w:rPr>
        <w:t xml:space="preserve">The reviews will be based on the information provided by Parties in their national reports and on voluntary reports and case studies provided by non-government actors to the </w:t>
      </w:r>
      <w:r w:rsidR="00EA776B" w:rsidRPr="00700732">
        <w:rPr>
          <w:snapToGrid w:val="0"/>
          <w:kern w:val="22"/>
          <w:lang w:val="en-GB"/>
        </w:rPr>
        <w:t>s</w:t>
      </w:r>
      <w:r w:rsidR="00AD6514" w:rsidRPr="00700732">
        <w:rPr>
          <w:snapToGrid w:val="0"/>
          <w:kern w:val="22"/>
          <w:lang w:val="en-GB"/>
        </w:rPr>
        <w:t>ecretariats of biodiversity-related conventions and processes.</w:t>
      </w:r>
    </w:p>
    <w:p w14:paraId="675FE51A" w14:textId="4924AFE7" w:rsidR="00B04DF6" w:rsidRPr="00700732" w:rsidRDefault="00AD6514"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n-GB"/>
        </w:rPr>
      </w:pPr>
      <w:bookmarkStart w:id="18" w:name="_Hlk49788243"/>
      <w:bookmarkStart w:id="19" w:name="_Hlk50341369"/>
      <w:r w:rsidRPr="00700732">
        <w:rPr>
          <w:snapToGrid w:val="0"/>
          <w:kern w:val="22"/>
          <w:lang w:val="en-GB"/>
        </w:rPr>
        <w:t>I</w:t>
      </w:r>
      <w:r w:rsidR="0097601F" w:rsidRPr="00700732">
        <w:rPr>
          <w:snapToGrid w:val="0"/>
          <w:kern w:val="22"/>
          <w:lang w:val="en-GB"/>
        </w:rPr>
        <w:t xml:space="preserve">ndicators </w:t>
      </w:r>
      <w:r w:rsidRPr="00700732">
        <w:rPr>
          <w:snapToGrid w:val="0"/>
          <w:kern w:val="22"/>
          <w:lang w:val="en-GB"/>
        </w:rPr>
        <w:t>to monitor progress on technical and scientific cooperation</w:t>
      </w:r>
      <w:r w:rsidR="0097601F" w:rsidRPr="00700732">
        <w:rPr>
          <w:snapToGrid w:val="0"/>
          <w:kern w:val="22"/>
          <w:lang w:val="en-GB"/>
        </w:rPr>
        <w:t xml:space="preserve"> </w:t>
      </w:r>
      <w:r w:rsidRPr="00700732">
        <w:rPr>
          <w:snapToGrid w:val="0"/>
          <w:kern w:val="22"/>
          <w:lang w:val="en-GB"/>
        </w:rPr>
        <w:t xml:space="preserve">and technology </w:t>
      </w:r>
      <w:r w:rsidR="007B0969" w:rsidRPr="00700732">
        <w:rPr>
          <w:snapToGrid w:val="0"/>
          <w:kern w:val="22"/>
          <w:lang w:val="en-GB"/>
        </w:rPr>
        <w:t>transfer</w:t>
      </w:r>
      <w:r w:rsidRPr="00700732">
        <w:rPr>
          <w:snapToGrid w:val="0"/>
          <w:kern w:val="22"/>
          <w:lang w:val="en-GB"/>
        </w:rPr>
        <w:t>, including the utilization of science, technology and innovation</w:t>
      </w:r>
      <w:r w:rsidR="007B0969" w:rsidRPr="00700732">
        <w:rPr>
          <w:snapToGrid w:val="0"/>
          <w:kern w:val="22"/>
          <w:lang w:val="en-GB"/>
        </w:rPr>
        <w:t>,</w:t>
      </w:r>
      <w:r w:rsidRPr="00700732">
        <w:rPr>
          <w:snapToGrid w:val="0"/>
          <w:kern w:val="22"/>
          <w:lang w:val="en-GB"/>
        </w:rPr>
        <w:t xml:space="preserve"> </w:t>
      </w:r>
      <w:r w:rsidR="0097601F" w:rsidRPr="00700732">
        <w:rPr>
          <w:snapToGrid w:val="0"/>
          <w:kern w:val="22"/>
          <w:lang w:val="en-GB"/>
        </w:rPr>
        <w:t>will be included in the monitoring framework for the post-2020 global biodiversity framework</w:t>
      </w:r>
      <w:bookmarkEnd w:id="18"/>
      <w:r w:rsidR="0097601F" w:rsidRPr="00700732">
        <w:rPr>
          <w:snapToGrid w:val="0"/>
          <w:kern w:val="22"/>
          <w:lang w:val="en-GB"/>
        </w:rPr>
        <w:t xml:space="preserve">. </w:t>
      </w:r>
      <w:bookmarkStart w:id="20" w:name="_Hlk49788308"/>
      <w:r w:rsidR="0097601F" w:rsidRPr="00700732">
        <w:rPr>
          <w:snapToGrid w:val="0"/>
          <w:kern w:val="22"/>
          <w:lang w:val="en-GB"/>
        </w:rPr>
        <w:t xml:space="preserve">A complementary set of indicators </w:t>
      </w:r>
      <w:bookmarkEnd w:id="20"/>
      <w:r w:rsidR="0097601F" w:rsidRPr="00700732">
        <w:rPr>
          <w:snapToGrid w:val="0"/>
          <w:kern w:val="22"/>
          <w:lang w:val="en-GB"/>
        </w:rPr>
        <w:t xml:space="preserve">and a methodology for measuring progress could be prepared with the support of experts and </w:t>
      </w:r>
      <w:r w:rsidR="007B0969" w:rsidRPr="00700732">
        <w:rPr>
          <w:snapToGrid w:val="0"/>
          <w:kern w:val="22"/>
          <w:lang w:val="en-GB"/>
        </w:rPr>
        <w:t xml:space="preserve">practitioners </w:t>
      </w:r>
      <w:r w:rsidR="00EA776B" w:rsidRPr="00700732">
        <w:rPr>
          <w:snapToGrid w:val="0"/>
          <w:kern w:val="22"/>
          <w:lang w:val="en-GB"/>
        </w:rPr>
        <w:t xml:space="preserve">and </w:t>
      </w:r>
      <w:r w:rsidR="0097601F" w:rsidRPr="00700732">
        <w:rPr>
          <w:snapToGrid w:val="0"/>
          <w:kern w:val="22"/>
          <w:lang w:val="en-GB"/>
        </w:rPr>
        <w:t xml:space="preserve">made available </w:t>
      </w:r>
      <w:r w:rsidR="007B0969" w:rsidRPr="00700732">
        <w:rPr>
          <w:snapToGrid w:val="0"/>
          <w:kern w:val="22"/>
          <w:lang w:val="en-GB"/>
        </w:rPr>
        <w:t>for use, as appropriate, by government</w:t>
      </w:r>
      <w:r w:rsidR="0097601F" w:rsidRPr="00700732">
        <w:rPr>
          <w:snapToGrid w:val="0"/>
          <w:kern w:val="22"/>
          <w:lang w:val="en-GB"/>
        </w:rPr>
        <w:t xml:space="preserve"> and non</w:t>
      </w:r>
      <w:r w:rsidR="00181A7B" w:rsidRPr="00700732">
        <w:rPr>
          <w:snapToGrid w:val="0"/>
          <w:kern w:val="22"/>
          <w:lang w:val="en-GB"/>
        </w:rPr>
        <w:t>-</w:t>
      </w:r>
      <w:r w:rsidR="0097601F" w:rsidRPr="00700732">
        <w:rPr>
          <w:snapToGrid w:val="0"/>
          <w:kern w:val="22"/>
          <w:lang w:val="en-GB"/>
        </w:rPr>
        <w:t xml:space="preserve">government actors at the subnational, national and regional levels. </w:t>
      </w:r>
      <w:r w:rsidR="00C91203" w:rsidRPr="00700732">
        <w:rPr>
          <w:snapToGrid w:val="0"/>
          <w:kern w:val="22"/>
          <w:lang w:val="en-GB"/>
        </w:rPr>
        <w:t xml:space="preserve">The periodic review and update of the proposals will be informed by </w:t>
      </w:r>
      <w:r w:rsidR="0097601F" w:rsidRPr="00700732">
        <w:rPr>
          <w:snapToGrid w:val="0"/>
          <w:kern w:val="22"/>
          <w:lang w:val="en-GB"/>
        </w:rPr>
        <w:t>information generated from the monitoring process</w:t>
      </w:r>
      <w:r w:rsidR="008E496D" w:rsidRPr="00700732">
        <w:rPr>
          <w:snapToGrid w:val="0"/>
          <w:kern w:val="22"/>
          <w:lang w:val="en-GB"/>
        </w:rPr>
        <w:t xml:space="preserve">, </w:t>
      </w:r>
      <w:r w:rsidR="00C91868" w:rsidRPr="00700732">
        <w:rPr>
          <w:snapToGrid w:val="0"/>
          <w:kern w:val="22"/>
          <w:lang w:val="en-GB"/>
        </w:rPr>
        <w:t xml:space="preserve">which may be </w:t>
      </w:r>
      <w:r w:rsidR="007B0969" w:rsidRPr="00700732">
        <w:rPr>
          <w:snapToGrid w:val="0"/>
          <w:kern w:val="22"/>
          <w:lang w:val="en-GB"/>
        </w:rPr>
        <w:t>communicated through the Parties’ national reports</w:t>
      </w:r>
      <w:r w:rsidR="00EA1E37" w:rsidRPr="00700732">
        <w:rPr>
          <w:snapToGrid w:val="0"/>
          <w:kern w:val="22"/>
          <w:lang w:val="en-GB"/>
        </w:rPr>
        <w:t xml:space="preserve"> and the voluntary reports by non-government</w:t>
      </w:r>
      <w:r w:rsidR="006A79EB">
        <w:rPr>
          <w:snapToGrid w:val="0"/>
          <w:kern w:val="22"/>
          <w:lang w:val="en-GB"/>
        </w:rPr>
        <w:t>al</w:t>
      </w:r>
      <w:r w:rsidR="00EA1E37" w:rsidRPr="00700732">
        <w:rPr>
          <w:snapToGrid w:val="0"/>
          <w:kern w:val="22"/>
          <w:lang w:val="en-GB"/>
        </w:rPr>
        <w:t xml:space="preserve"> actors</w:t>
      </w:r>
      <w:bookmarkEnd w:id="19"/>
      <w:r w:rsidR="0097601F" w:rsidRPr="00700732">
        <w:rPr>
          <w:snapToGrid w:val="0"/>
          <w:kern w:val="22"/>
          <w:lang w:val="en-GB"/>
        </w:rPr>
        <w:t>.</w:t>
      </w:r>
      <w:bookmarkEnd w:id="15"/>
      <w:bookmarkEnd w:id="16"/>
    </w:p>
    <w:p w14:paraId="64E50962" w14:textId="77777777" w:rsidR="00B04DF6" w:rsidRPr="00700732" w:rsidRDefault="00B04DF6" w:rsidP="00700732">
      <w:pPr>
        <w:suppressLineNumbers/>
        <w:suppressAutoHyphens/>
        <w:kinsoku w:val="0"/>
        <w:overflowPunct w:val="0"/>
        <w:autoSpaceDE w:val="0"/>
        <w:autoSpaceDN w:val="0"/>
        <w:adjustRightInd w:val="0"/>
        <w:snapToGrid w:val="0"/>
        <w:jc w:val="center"/>
        <w:rPr>
          <w:snapToGrid w:val="0"/>
          <w:kern w:val="22"/>
          <w:szCs w:val="22"/>
        </w:rPr>
      </w:pPr>
      <w:r w:rsidRPr="00700732">
        <w:rPr>
          <w:snapToGrid w:val="0"/>
          <w:kern w:val="22"/>
          <w:szCs w:val="22"/>
        </w:rPr>
        <w:t>__________</w:t>
      </w:r>
    </w:p>
    <w:p w14:paraId="28FB5681" w14:textId="1269A548" w:rsidR="00B3369F" w:rsidRPr="00700732" w:rsidRDefault="00B3369F" w:rsidP="00700732">
      <w:pPr>
        <w:suppressLineNumbers/>
        <w:suppressAutoHyphens/>
        <w:kinsoku w:val="0"/>
        <w:overflowPunct w:val="0"/>
        <w:autoSpaceDE w:val="0"/>
        <w:autoSpaceDN w:val="0"/>
        <w:adjustRightInd w:val="0"/>
        <w:snapToGrid w:val="0"/>
        <w:rPr>
          <w:snapToGrid w:val="0"/>
          <w:kern w:val="22"/>
        </w:rPr>
      </w:pPr>
    </w:p>
    <w:sectPr w:rsidR="00B3369F" w:rsidRPr="00700732" w:rsidSect="00F91A87">
      <w:headerReference w:type="even" r:id="rId20"/>
      <w:headerReference w:type="default" r:id="rId21"/>
      <w:pgSz w:w="12240" w:h="15840" w:code="1"/>
      <w:pgMar w:top="562" w:right="1382" w:bottom="1138" w:left="1382" w:header="518"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ABDFC" w14:textId="77777777" w:rsidR="0054665D" w:rsidRDefault="0054665D" w:rsidP="00CF1848">
      <w:r>
        <w:separator/>
      </w:r>
    </w:p>
  </w:endnote>
  <w:endnote w:type="continuationSeparator" w:id="0">
    <w:p w14:paraId="0F309408" w14:textId="77777777" w:rsidR="0054665D" w:rsidRDefault="0054665D" w:rsidP="00CF1848">
      <w:r>
        <w:continuationSeparator/>
      </w:r>
    </w:p>
  </w:endnote>
  <w:endnote w:type="continuationNotice" w:id="1">
    <w:p w14:paraId="370A53E2" w14:textId="77777777" w:rsidR="0054665D" w:rsidRDefault="00546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9009B" w14:textId="77777777" w:rsidR="0054665D" w:rsidRDefault="0054665D" w:rsidP="00CF1848">
      <w:r>
        <w:separator/>
      </w:r>
    </w:p>
  </w:footnote>
  <w:footnote w:type="continuationSeparator" w:id="0">
    <w:p w14:paraId="6E1F312C" w14:textId="77777777" w:rsidR="0054665D" w:rsidRDefault="0054665D" w:rsidP="00CF1848">
      <w:r>
        <w:continuationSeparator/>
      </w:r>
    </w:p>
  </w:footnote>
  <w:footnote w:type="continuationNotice" w:id="1">
    <w:p w14:paraId="66AED148" w14:textId="77777777" w:rsidR="0054665D" w:rsidRDefault="0054665D"/>
  </w:footnote>
  <w:footnote w:id="2">
    <w:p w14:paraId="77623F29" w14:textId="77777777" w:rsidR="008A2D07" w:rsidRPr="00700732" w:rsidRDefault="008A2D07"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8649E">
        <w:rPr>
          <w:rStyle w:val="FootnoteReference"/>
          <w:snapToGrid w:val="0"/>
          <w:kern w:val="18"/>
          <w:sz w:val="18"/>
          <w:szCs w:val="18"/>
          <w:vertAlign w:val="baseline"/>
        </w:rPr>
        <w:t>*</w:t>
      </w:r>
      <w:r w:rsidRPr="00700732">
        <w:rPr>
          <w:snapToGrid w:val="0"/>
          <w:kern w:val="18"/>
          <w:szCs w:val="18"/>
        </w:rPr>
        <w:t xml:space="preserve"> CBD/SBI/3/1.</w:t>
      </w:r>
    </w:p>
  </w:footnote>
  <w:footnote w:id="3">
    <w:p w14:paraId="59F6CCB7" w14:textId="7586DF3B" w:rsidR="00F31A97" w:rsidRPr="00700732" w:rsidRDefault="00F31A97"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In the context of these proposals, technical and scientific cooperation refer</w:t>
      </w:r>
      <w:r w:rsidR="004434A9" w:rsidRPr="00700732">
        <w:rPr>
          <w:snapToGrid w:val="0"/>
          <w:kern w:val="18"/>
          <w:szCs w:val="18"/>
        </w:rPr>
        <w:t xml:space="preserve">s </w:t>
      </w:r>
      <w:r w:rsidR="007561A6" w:rsidRPr="00700732">
        <w:rPr>
          <w:snapToGrid w:val="0"/>
          <w:kern w:val="18"/>
          <w:szCs w:val="18"/>
        </w:rPr>
        <w:t xml:space="preserve">to </w:t>
      </w:r>
      <w:r w:rsidRPr="00700732">
        <w:rPr>
          <w:snapToGrid w:val="0"/>
          <w:kern w:val="18"/>
          <w:szCs w:val="18"/>
        </w:rPr>
        <w:t>a process whereby two or more countries, indigenous peoples and local communities, and/or institutions pursue their individual or collective biodiversity-related goals through cooperative actions. This may include the creation and/or exchange of scientific knowledge, data, expertise, resources, technologies and technical know-how, where necessary through appropriate international, regional and subregional and/or national institutions. It may also include human resources development, institution building, joint training of personnel, exchange of experts, joint research programmes, joint ventures for the development and diffusion of technologies (including indigenous and traditional technologies), and transfer of technology and know-how.</w:t>
      </w:r>
    </w:p>
  </w:footnote>
  <w:footnote w:id="4">
    <w:p w14:paraId="3CAE29B3" w14:textId="69C03CF1" w:rsidR="0038685C" w:rsidRPr="00700732" w:rsidRDefault="0038685C" w:rsidP="00700732">
      <w:pPr>
        <w:pStyle w:val="FootnoteText"/>
        <w:suppressLineNumbers/>
        <w:suppressAutoHyphens/>
        <w:kinsoku w:val="0"/>
        <w:overflowPunct w:val="0"/>
        <w:autoSpaceDE w:val="0"/>
        <w:autoSpaceDN w:val="0"/>
        <w:adjustRightInd w:val="0"/>
        <w:snapToGrid w:val="0"/>
        <w:ind w:firstLine="0"/>
        <w:jc w:val="left"/>
        <w:rPr>
          <w:b/>
          <w:bCs/>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These include decisions VII/29, VIII/12, IX/14, X/16, X/23, XI/13, XII/2 B, XIII/23, XIII/31 and 14/24</w:t>
      </w:r>
      <w:r w:rsidR="002F7751" w:rsidRPr="00700732">
        <w:rPr>
          <w:snapToGrid w:val="0"/>
          <w:kern w:val="18"/>
          <w:szCs w:val="18"/>
        </w:rPr>
        <w:t> B</w:t>
      </w:r>
      <w:r w:rsidRPr="00700732">
        <w:rPr>
          <w:snapToGrid w:val="0"/>
          <w:kern w:val="18"/>
          <w:szCs w:val="18"/>
        </w:rPr>
        <w:t>.</w:t>
      </w:r>
    </w:p>
  </w:footnote>
  <w:footnote w:id="5">
    <w:p w14:paraId="7580C13C" w14:textId="376D0BB9"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See </w:t>
      </w:r>
      <w:hyperlink r:id="rId1" w:history="1">
        <w:r w:rsidR="005E1CD4" w:rsidRPr="00700732">
          <w:rPr>
            <w:rStyle w:val="Hyperlink"/>
            <w:snapToGrid w:val="0"/>
            <w:kern w:val="18"/>
            <w:szCs w:val="18"/>
          </w:rPr>
          <w:t>CBD/SBSTTA/23/6</w:t>
        </w:r>
      </w:hyperlink>
      <w:r w:rsidRPr="00700732">
        <w:rPr>
          <w:snapToGrid w:val="0"/>
          <w:kern w:val="18"/>
          <w:szCs w:val="18"/>
        </w:rPr>
        <w:t xml:space="preserve"> </w:t>
      </w:r>
      <w:r w:rsidR="005E1CD4" w:rsidRPr="00700732">
        <w:rPr>
          <w:snapToGrid w:val="0"/>
          <w:kern w:val="18"/>
          <w:szCs w:val="18"/>
        </w:rPr>
        <w:t xml:space="preserve">and the </w:t>
      </w:r>
      <w:r w:rsidRPr="00700732">
        <w:rPr>
          <w:snapToGrid w:val="0"/>
          <w:kern w:val="18"/>
          <w:szCs w:val="18"/>
        </w:rPr>
        <w:t>scoping document (</w:t>
      </w:r>
      <w:hyperlink r:id="rId2" w:history="1">
        <w:r w:rsidRPr="00700732">
          <w:rPr>
            <w:rStyle w:val="Hyperlink"/>
            <w:snapToGrid w:val="0"/>
            <w:kern w:val="18"/>
            <w:szCs w:val="18"/>
          </w:rPr>
          <w:t>CBD/COP/13/INF/22</w:t>
        </w:r>
      </w:hyperlink>
      <w:r w:rsidRPr="00700732">
        <w:rPr>
          <w:snapToGrid w:val="0"/>
          <w:kern w:val="18"/>
          <w:szCs w:val="18"/>
        </w:rPr>
        <w:t>).</w:t>
      </w:r>
      <w:r w:rsidR="002939A1" w:rsidRPr="00700732">
        <w:rPr>
          <w:snapToGrid w:val="0"/>
          <w:kern w:val="18"/>
          <w:szCs w:val="18"/>
        </w:rPr>
        <w:t xml:space="preserve"> </w:t>
      </w:r>
    </w:p>
  </w:footnote>
  <w:footnote w:id="6">
    <w:p w14:paraId="678200C6" w14:textId="77777777"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See </w:t>
      </w:r>
      <w:hyperlink r:id="rId3" w:history="1">
        <w:r w:rsidRPr="00700732">
          <w:rPr>
            <w:rStyle w:val="Hyperlink"/>
            <w:snapToGrid w:val="0"/>
            <w:kern w:val="18"/>
            <w:szCs w:val="18"/>
          </w:rPr>
          <w:t>UNEP/CBD/WGRI/5/3/Add.1</w:t>
        </w:r>
      </w:hyperlink>
      <w:r w:rsidRPr="00700732">
        <w:rPr>
          <w:snapToGrid w:val="0"/>
          <w:kern w:val="18"/>
          <w:szCs w:val="18"/>
        </w:rPr>
        <w:t>.</w:t>
      </w:r>
      <w:hyperlink w:history="1"/>
    </w:p>
  </w:footnote>
  <w:footnote w:id="7">
    <w:p w14:paraId="01648E04" w14:textId="77777777"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See </w:t>
      </w:r>
      <w:hyperlink r:id="rId4" w:history="1">
        <w:r w:rsidRPr="00700732">
          <w:rPr>
            <w:rStyle w:val="Hyperlink"/>
            <w:snapToGrid w:val="0"/>
            <w:kern w:val="18"/>
            <w:szCs w:val="18"/>
          </w:rPr>
          <w:t>UNEP/CBD/COP/8/19/Add.2</w:t>
        </w:r>
      </w:hyperlink>
      <w:r w:rsidRPr="00700732">
        <w:rPr>
          <w:snapToGrid w:val="0"/>
          <w:kern w:val="18"/>
          <w:szCs w:val="18"/>
        </w:rPr>
        <w:t>.</w:t>
      </w:r>
      <w:hyperlink w:history="1"/>
    </w:p>
  </w:footnote>
  <w:footnote w:id="8">
    <w:p w14:paraId="09A8DA04" w14:textId="6D6786CE"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See </w:t>
      </w:r>
      <w:hyperlink r:id="rId5" w:history="1">
        <w:r w:rsidRPr="00700732">
          <w:rPr>
            <w:rStyle w:val="Hyperlink"/>
            <w:snapToGrid w:val="0"/>
            <w:kern w:val="18"/>
            <w:szCs w:val="18"/>
          </w:rPr>
          <w:t>UNEP/CBD/WG</w:t>
        </w:r>
        <w:r w:rsidR="006F41E6" w:rsidRPr="00700732">
          <w:rPr>
            <w:rStyle w:val="Hyperlink"/>
            <w:snapToGrid w:val="0"/>
            <w:kern w:val="18"/>
            <w:szCs w:val="18"/>
          </w:rPr>
          <w:t>-</w:t>
        </w:r>
        <w:r w:rsidRPr="00700732">
          <w:rPr>
            <w:rStyle w:val="Hyperlink"/>
            <w:snapToGrid w:val="0"/>
            <w:kern w:val="18"/>
            <w:szCs w:val="18"/>
          </w:rPr>
          <w:t>RI/3/10</w:t>
        </w:r>
      </w:hyperlink>
      <w:r w:rsidRPr="00700732">
        <w:rPr>
          <w:snapToGrid w:val="0"/>
          <w:kern w:val="18"/>
          <w:szCs w:val="18"/>
        </w:rPr>
        <w:t>.</w:t>
      </w:r>
    </w:p>
  </w:footnote>
  <w:footnote w:id="9">
    <w:p w14:paraId="2DC08586" w14:textId="77777777"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This is pursuant to Article 18, paragraph 2, of the Convention.</w:t>
      </w:r>
    </w:p>
  </w:footnote>
  <w:footnote w:id="10">
    <w:p w14:paraId="4DCF4241" w14:textId="77777777"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This is pursuant to Article 18, paragraph 4, of the Convention.</w:t>
      </w:r>
    </w:p>
  </w:footnote>
  <w:footnote w:id="11">
    <w:p w14:paraId="232D8E45" w14:textId="77777777"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This is pursuant to Article 12 of the Convention.</w:t>
      </w:r>
    </w:p>
  </w:footnote>
  <w:footnote w:id="12">
    <w:p w14:paraId="25B7B659" w14:textId="14BF62F0"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00732">
        <w:rPr>
          <w:rStyle w:val="FootnoteReference"/>
          <w:snapToGrid w:val="0"/>
          <w:kern w:val="18"/>
          <w:sz w:val="18"/>
          <w:szCs w:val="18"/>
        </w:rPr>
        <w:footnoteRef/>
      </w:r>
      <w:r w:rsidR="0011162B" w:rsidRPr="00700732">
        <w:rPr>
          <w:snapToGrid w:val="0"/>
          <w:kern w:val="18"/>
          <w:szCs w:val="18"/>
        </w:rPr>
        <w:t xml:space="preserve"> </w:t>
      </w:r>
      <w:r w:rsidRPr="00700732">
        <w:rPr>
          <w:snapToGrid w:val="0"/>
          <w:kern w:val="18"/>
          <w:szCs w:val="18"/>
        </w:rPr>
        <w:t>For the purposes of the present document, “innovation” is described as a process that encompasses design, experimentation, application and scaling up of new ideas and solutions, resulting in transformative and more impactful change. Innovative solutions could cover scientific, technical, governance, finance or societal innovation.</w:t>
      </w:r>
    </w:p>
  </w:footnote>
  <w:footnote w:id="13">
    <w:p w14:paraId="13DB408A" w14:textId="77777777"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This is pursuant to Article 17, paragraph 2, of the Convention.</w:t>
      </w:r>
    </w:p>
  </w:footnote>
  <w:footnote w:id="14">
    <w:p w14:paraId="5D479731" w14:textId="48AB08B2"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These guiding principles are consistent with the normative and operational principles outlined in the framework of operational guidelines on United Nations support to South-South and triangular cooperation (</w:t>
      </w:r>
      <w:hyperlink r:id="rId6" w:history="1">
        <w:r w:rsidR="00C622B0" w:rsidRPr="00700732">
          <w:rPr>
            <w:rStyle w:val="Hyperlink"/>
            <w:snapToGrid w:val="0"/>
            <w:kern w:val="18"/>
            <w:szCs w:val="18"/>
          </w:rPr>
          <w:t>SSC/19/3</w:t>
        </w:r>
      </w:hyperlink>
      <w:r w:rsidRPr="00700732">
        <w:rPr>
          <w:snapToGrid w:val="0"/>
          <w:kern w:val="18"/>
          <w:szCs w:val="18"/>
        </w:rPr>
        <w:t>).</w:t>
      </w:r>
    </w:p>
  </w:footnote>
  <w:footnote w:id="15">
    <w:p w14:paraId="1E802153" w14:textId="77777777"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spacing w:val="-1"/>
          <w:kern w:val="18"/>
          <w:szCs w:val="18"/>
        </w:rPr>
      </w:pPr>
      <w:r w:rsidRPr="00700732">
        <w:rPr>
          <w:rStyle w:val="FootnoteReference"/>
          <w:snapToGrid w:val="0"/>
          <w:spacing w:val="-1"/>
          <w:kern w:val="18"/>
          <w:sz w:val="18"/>
          <w:szCs w:val="18"/>
        </w:rPr>
        <w:footnoteRef/>
      </w:r>
      <w:r w:rsidRPr="00700732">
        <w:rPr>
          <w:snapToGrid w:val="0"/>
          <w:spacing w:val="-1"/>
          <w:kern w:val="18"/>
          <w:szCs w:val="18"/>
        </w:rPr>
        <w:t xml:space="preserve"> Article 12, paragraphs (b) and (c), of the Convention requires Parties to promote and encourage research which contributes to the conservation and sustainable use of biological diversity, particularly in developing countries, inter alia, in accordance with decisions of the Conference of the Parties taken in consequence of recommendations of the Subsidiary Body on Scientific, Technical and Technological Advice, and, in keeping with the provisions of Articles 16, 18 and 20, promote and cooperate in the use of scientific advances in biological diversity research in developing methods for conservation and sustainable use of biological resources.</w:t>
      </w:r>
    </w:p>
  </w:footnote>
  <w:footnote w:id="16">
    <w:p w14:paraId="57F9B776" w14:textId="77777777"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Including but not limited to specialized networks, academic and scientific institutions, the private sector, governmental and non-governmental organizations, indigenous peoples and local communities, bilateral and multilateral institutions, and funding institutions.</w:t>
      </w:r>
    </w:p>
  </w:footnote>
  <w:footnote w:id="17">
    <w:p w14:paraId="220012C5" w14:textId="6479776B"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w:t>
      </w:r>
      <w:r w:rsidR="004B47CB" w:rsidRPr="00700732">
        <w:rPr>
          <w:snapToGrid w:val="0"/>
          <w:kern w:val="18"/>
          <w:szCs w:val="18"/>
        </w:rPr>
        <w:t xml:space="preserve">Including </w:t>
      </w:r>
      <w:r w:rsidR="00E46162" w:rsidRPr="00700732">
        <w:rPr>
          <w:snapToGrid w:val="0"/>
          <w:kern w:val="18"/>
          <w:szCs w:val="18"/>
        </w:rPr>
        <w:t xml:space="preserve">indigenous peoples and local communities, </w:t>
      </w:r>
      <w:r w:rsidR="004B47CB" w:rsidRPr="00700732">
        <w:rPr>
          <w:snapToGrid w:val="0"/>
          <w:kern w:val="18"/>
          <w:szCs w:val="18"/>
        </w:rPr>
        <w:t>specialized networks, academic and scientific institutions, the private sector, governmental and non-governmental organizations, bilateral and multilateral institutions, and funding institutions.</w:t>
      </w:r>
    </w:p>
  </w:footnote>
  <w:footnote w:id="18">
    <w:p w14:paraId="77DCCE6E" w14:textId="77777777"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Pursuant to decision 14/24 B of the Conference of the Parties.</w:t>
      </w:r>
    </w:p>
  </w:footnote>
  <w:footnote w:id="19">
    <w:p w14:paraId="5AF44A42" w14:textId="677F71AA" w:rsidR="00A43A8A" w:rsidRPr="00700732" w:rsidRDefault="00A43A8A"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See </w:t>
      </w:r>
      <w:hyperlink r:id="rId7" w:history="1">
        <w:r w:rsidRPr="00CC0DAC">
          <w:rPr>
            <w:rStyle w:val="Hyperlink"/>
            <w:snapToGrid w:val="0"/>
            <w:kern w:val="18"/>
            <w:szCs w:val="18"/>
          </w:rPr>
          <w:t>CBD/SBI/3/8/Add.1</w:t>
        </w:r>
      </w:hyperlink>
      <w:r w:rsidRPr="00700732">
        <w:rPr>
          <w:snapToGrid w:val="0"/>
          <w:kern w:val="18"/>
          <w:szCs w:val="18"/>
        </w:rPr>
        <w:t>.</w:t>
      </w:r>
    </w:p>
  </w:footnote>
  <w:footnote w:id="20">
    <w:p w14:paraId="6CE83B02" w14:textId="405189ED" w:rsidR="004B2DC8" w:rsidRPr="00700732" w:rsidRDefault="004B2DC8" w:rsidP="00700732">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700732">
        <w:rPr>
          <w:rStyle w:val="FootnoteReference"/>
          <w:snapToGrid w:val="0"/>
          <w:kern w:val="18"/>
          <w:sz w:val="18"/>
          <w:szCs w:val="18"/>
        </w:rPr>
        <w:footnoteRef/>
      </w:r>
      <w:r w:rsidRPr="00700732">
        <w:rPr>
          <w:snapToGrid w:val="0"/>
          <w:kern w:val="18"/>
          <w:sz w:val="18"/>
          <w:szCs w:val="18"/>
        </w:rPr>
        <w:t xml:space="preserve"> </w:t>
      </w:r>
      <w:r w:rsidR="00680895">
        <w:rPr>
          <w:snapToGrid w:val="0"/>
          <w:kern w:val="18"/>
          <w:sz w:val="18"/>
          <w:szCs w:val="18"/>
        </w:rPr>
        <w:t>For</w:t>
      </w:r>
      <w:r w:rsidR="00680895" w:rsidRPr="00700732">
        <w:rPr>
          <w:snapToGrid w:val="0"/>
          <w:kern w:val="18"/>
          <w:sz w:val="18"/>
          <w:szCs w:val="18"/>
        </w:rPr>
        <w:t xml:space="preserve"> </w:t>
      </w:r>
      <w:r w:rsidRPr="00700732">
        <w:rPr>
          <w:snapToGrid w:val="0"/>
          <w:kern w:val="18"/>
          <w:sz w:val="18"/>
          <w:szCs w:val="18"/>
        </w:rPr>
        <w:t>details</w:t>
      </w:r>
      <w:r w:rsidR="00680895">
        <w:rPr>
          <w:snapToGrid w:val="0"/>
          <w:kern w:val="18"/>
          <w:sz w:val="18"/>
          <w:szCs w:val="18"/>
        </w:rPr>
        <w:t>,</w:t>
      </w:r>
      <w:r w:rsidRPr="00700732">
        <w:rPr>
          <w:snapToGrid w:val="0"/>
          <w:kern w:val="18"/>
          <w:sz w:val="18"/>
          <w:szCs w:val="18"/>
        </w:rPr>
        <w:t xml:space="preserve"> </w:t>
      </w:r>
      <w:r w:rsidR="00680895">
        <w:rPr>
          <w:snapToGrid w:val="0"/>
          <w:kern w:val="18"/>
          <w:sz w:val="18"/>
          <w:szCs w:val="18"/>
        </w:rPr>
        <w:t>see</w:t>
      </w:r>
      <w:r w:rsidRPr="00700732">
        <w:rPr>
          <w:snapToGrid w:val="0"/>
          <w:kern w:val="18"/>
          <w:sz w:val="18"/>
          <w:szCs w:val="18"/>
        </w:rPr>
        <w:t xml:space="preserve"> </w:t>
      </w:r>
      <w:hyperlink r:id="rId8" w:history="1">
        <w:r w:rsidRPr="00700732">
          <w:rPr>
            <w:rStyle w:val="Hyperlink"/>
            <w:snapToGrid w:val="0"/>
            <w:kern w:val="18"/>
            <w:szCs w:val="18"/>
          </w:rPr>
          <w:t>UNEP/CBD/SBSTTA/19/INF/13</w:t>
        </w:r>
      </w:hyperlink>
      <w:hyperlink w:history="1"/>
      <w:r w:rsidRPr="00700732">
        <w:rPr>
          <w:snapToGrid w:val="0"/>
          <w:kern w:val="18"/>
          <w:sz w:val="18"/>
          <w:szCs w:val="18"/>
        </w:rPr>
        <w:t xml:space="preserve"> and </w:t>
      </w:r>
      <w:hyperlink r:id="rId9" w:history="1">
        <w:r w:rsidRPr="00700732">
          <w:rPr>
            <w:rStyle w:val="Hyperlink"/>
            <w:snapToGrid w:val="0"/>
            <w:kern w:val="18"/>
            <w:szCs w:val="18"/>
          </w:rPr>
          <w:t>https://www.ctc-n.org/</w:t>
        </w:r>
      </w:hyperlink>
      <w:r w:rsidR="00780B32" w:rsidRPr="00700732">
        <w:rPr>
          <w:snapToGrid w:val="0"/>
          <w:kern w:val="18"/>
          <w:sz w:val="18"/>
          <w:szCs w:val="18"/>
        </w:rPr>
        <w:t>.</w:t>
      </w:r>
    </w:p>
  </w:footnote>
  <w:footnote w:id="21">
    <w:p w14:paraId="66F0631F" w14:textId="5EC96ED6" w:rsidR="00E8544B" w:rsidRPr="00700732" w:rsidRDefault="00E8544B"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The regional and/or subregional centres could operate in a manner similar to such entities as the Stockholm Convention regional and subregional centres, which provide technical assistance and promote the transfer of technology to developing country Parties and Parties with economies in transition relating to the implementation of their obligations under the Stockholm Convention (see </w:t>
      </w:r>
      <w:hyperlink r:id="rId10" w:history="1">
        <w:r w:rsidRPr="00700732">
          <w:rPr>
            <w:rStyle w:val="Hyperlink"/>
            <w:snapToGrid w:val="0"/>
            <w:kern w:val="18"/>
            <w:szCs w:val="18"/>
          </w:rPr>
          <w:t>http://chm.pops.int/Partners/RegionalCentres/Overview/tabid/425/Default.aspx</w:t>
        </w:r>
      </w:hyperlink>
      <w:r w:rsidRPr="00700732">
        <w:rPr>
          <w:snapToGrid w:val="0"/>
          <w:kern w:val="18"/>
          <w:szCs w:val="18"/>
        </w:rPr>
        <w:t>)</w:t>
      </w:r>
      <w:r w:rsidR="00780B32" w:rsidRPr="00700732">
        <w:rPr>
          <w:snapToGrid w:val="0"/>
          <w:kern w:val="18"/>
          <w:szCs w:val="18"/>
        </w:rPr>
        <w:t>.</w:t>
      </w:r>
    </w:p>
  </w:footnote>
  <w:footnote w:id="22">
    <w:p w14:paraId="15C04105" w14:textId="70ADED7E" w:rsidR="00FA1E4B" w:rsidRPr="00700732" w:rsidRDefault="00FA1E4B"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Such initiatives include the Bio-Bridge Initiative, the Forest Ecosystem Restoration Initiative, the Global Taxonomy Initiative, </w:t>
      </w:r>
      <w:r w:rsidR="007F2DBE">
        <w:rPr>
          <w:snapToGrid w:val="0"/>
          <w:kern w:val="18"/>
          <w:szCs w:val="18"/>
        </w:rPr>
        <w:t xml:space="preserve">and </w:t>
      </w:r>
      <w:r w:rsidRPr="00700732">
        <w:rPr>
          <w:snapToGrid w:val="0"/>
          <w:kern w:val="18"/>
          <w:szCs w:val="18"/>
        </w:rPr>
        <w:t>the Sustainable Ocean Initiative.</w:t>
      </w:r>
    </w:p>
  </w:footnote>
  <w:footnote w:id="23">
    <w:p w14:paraId="61440173" w14:textId="70C8C676"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00732">
        <w:rPr>
          <w:rStyle w:val="FootnoteReference"/>
          <w:snapToGrid w:val="0"/>
          <w:kern w:val="18"/>
          <w:sz w:val="18"/>
          <w:szCs w:val="18"/>
        </w:rPr>
        <w:footnoteRef/>
      </w:r>
      <w:r w:rsidRPr="00700732">
        <w:rPr>
          <w:snapToGrid w:val="0"/>
          <w:kern w:val="18"/>
          <w:szCs w:val="18"/>
        </w:rPr>
        <w:t xml:space="preserve"> </w:t>
      </w:r>
      <w:r w:rsidR="00B94F9B" w:rsidRPr="00700732">
        <w:rPr>
          <w:snapToGrid w:val="0"/>
          <w:kern w:val="18"/>
          <w:szCs w:val="18"/>
        </w:rPr>
        <w:t>These might include the Technology Facilitation Mechanism of the United Nations, the United Nations Committee on Science and Technology for Development, the High-level Panel of Experts to the Committee on World Food Security, the Climate Technology Centre and Network (for example on promoting ecosystem-based solutions to climate change), the International Barcode of Life (</w:t>
      </w:r>
      <w:proofErr w:type="spellStart"/>
      <w:r w:rsidR="00B94F9B" w:rsidRPr="00700732">
        <w:rPr>
          <w:snapToGrid w:val="0"/>
          <w:kern w:val="18"/>
          <w:szCs w:val="18"/>
        </w:rPr>
        <w:t>iBOL</w:t>
      </w:r>
      <w:proofErr w:type="spellEnd"/>
      <w:r w:rsidR="00B94F9B" w:rsidRPr="00700732">
        <w:rPr>
          <w:snapToGrid w:val="0"/>
          <w:kern w:val="18"/>
          <w:szCs w:val="18"/>
        </w:rPr>
        <w:t xml:space="preserve">), the Global Biodiversity Information Facility (GBIF), the Consortium of International Agricultural Research </w:t>
      </w:r>
      <w:proofErr w:type="spellStart"/>
      <w:r w:rsidR="00B94F9B" w:rsidRPr="00700732">
        <w:rPr>
          <w:snapToGrid w:val="0"/>
          <w:kern w:val="18"/>
          <w:szCs w:val="18"/>
        </w:rPr>
        <w:t>Centers</w:t>
      </w:r>
      <w:proofErr w:type="spellEnd"/>
      <w:r w:rsidR="00B94F9B" w:rsidRPr="00700732">
        <w:rPr>
          <w:snapToGrid w:val="0"/>
          <w:kern w:val="18"/>
          <w:szCs w:val="18"/>
        </w:rPr>
        <w:t xml:space="preserve"> (CGIAR </w:t>
      </w:r>
      <w:proofErr w:type="spellStart"/>
      <w:r w:rsidR="00B94F9B" w:rsidRPr="00700732">
        <w:rPr>
          <w:snapToGrid w:val="0"/>
          <w:kern w:val="18"/>
          <w:szCs w:val="18"/>
        </w:rPr>
        <w:t>Centers</w:t>
      </w:r>
      <w:proofErr w:type="spellEnd"/>
      <w:r w:rsidR="00B94F9B" w:rsidRPr="00700732">
        <w:rPr>
          <w:snapToGrid w:val="0"/>
          <w:kern w:val="18"/>
          <w:szCs w:val="18"/>
        </w:rPr>
        <w:t xml:space="preserve">), and the Group on Earth Observations Biodiversity Observation Network (GEO-BON). Others include the CBD Alliance, the International Panel of Experts on Sustainable Food Systems, La Via </w:t>
      </w:r>
      <w:proofErr w:type="spellStart"/>
      <w:r w:rsidR="00B94F9B" w:rsidRPr="00700732">
        <w:rPr>
          <w:snapToGrid w:val="0"/>
          <w:kern w:val="18"/>
          <w:szCs w:val="18"/>
        </w:rPr>
        <w:t>Campesina</w:t>
      </w:r>
      <w:proofErr w:type="spellEnd"/>
      <w:r w:rsidR="00B94F9B" w:rsidRPr="00700732">
        <w:rPr>
          <w:snapToGrid w:val="0"/>
          <w:kern w:val="18"/>
          <w:szCs w:val="18"/>
        </w:rPr>
        <w:t xml:space="preserve">, the Global Alliance for the Future of Food, the Global Partnership for Plant Conservation, the Collaborative Partnership on Sustainable Wildlife Management, the Biodiversity Indicators Partnership, the Global Biological Resource Centre Network (GBRCN), the Global Invasive Alien Species Information Partnership, the Global Genome Biodiversity Network (GGBN), the Global Ocean Biodiversity Initiative, the Sustainable Ocean Initiative and the Consortium of Scientific Partners on Biodiversity. </w:t>
      </w:r>
      <w:r w:rsidRPr="00700732">
        <w:rPr>
          <w:snapToGrid w:val="0"/>
          <w:kern w:val="18"/>
          <w:szCs w:val="18"/>
        </w:rPr>
        <w:t xml:space="preserve">An overview of </w:t>
      </w:r>
      <w:r w:rsidR="007346BF" w:rsidRPr="00700732">
        <w:rPr>
          <w:snapToGrid w:val="0"/>
          <w:kern w:val="18"/>
          <w:szCs w:val="18"/>
        </w:rPr>
        <w:t xml:space="preserve">some of these and </w:t>
      </w:r>
      <w:r w:rsidRPr="00700732">
        <w:rPr>
          <w:snapToGrid w:val="0"/>
          <w:kern w:val="18"/>
          <w:szCs w:val="18"/>
        </w:rPr>
        <w:t xml:space="preserve">other relevant initiatives is provided in </w:t>
      </w:r>
      <w:hyperlink r:id="rId11" w:history="1">
        <w:r w:rsidRPr="00700732">
          <w:rPr>
            <w:rStyle w:val="Hyperlink"/>
            <w:snapToGrid w:val="0"/>
            <w:kern w:val="18"/>
            <w:szCs w:val="18"/>
          </w:rPr>
          <w:t>UNEP/CBD/WGRI/5/3/Add.1</w:t>
        </w:r>
      </w:hyperlink>
      <w:r w:rsidRPr="00700732">
        <w:rPr>
          <w:snapToGrid w:val="0"/>
          <w:kern w:val="18"/>
          <w:szCs w:val="18"/>
        </w:rPr>
        <w:t xml:space="preserve"> and </w:t>
      </w:r>
      <w:hyperlink r:id="rId12" w:history="1">
        <w:r w:rsidRPr="00700732">
          <w:rPr>
            <w:rStyle w:val="Hyperlink"/>
            <w:snapToGrid w:val="0"/>
            <w:kern w:val="18"/>
            <w:szCs w:val="18"/>
          </w:rPr>
          <w:t>UNEP/CBD/WGRI/5/INF/2</w:t>
        </w:r>
      </w:hyperlink>
      <w:r w:rsidRPr="00700732">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301040658"/>
      <w:placeholder>
        <w:docPart w:val="0A4E29FF911E4397942518AB81D0DA37"/>
      </w:placeholder>
      <w:dataBinding w:prefixMappings="xmlns:ns0='http://purl.org/dc/elements/1.1/' xmlns:ns1='http://schemas.openxmlformats.org/package/2006/metadata/core-properties' " w:xpath="/ns1:coreProperties[1]/ns0:subject[1]" w:storeItemID="{6C3C8BC8-F283-45AE-878A-BAB7291924A1}"/>
      <w:text/>
    </w:sdtPr>
    <w:sdtEndPr/>
    <w:sdtContent>
      <w:p w14:paraId="7C721ABC" w14:textId="44279F29" w:rsidR="004B2DC8" w:rsidRPr="00700732" w:rsidRDefault="004B2DC8" w:rsidP="00700732">
        <w:pPr>
          <w:pStyle w:val="Header"/>
          <w:tabs>
            <w:tab w:val="clear" w:pos="4320"/>
            <w:tab w:val="clear" w:pos="8640"/>
          </w:tabs>
          <w:kinsoku w:val="0"/>
          <w:overflowPunct w:val="0"/>
          <w:autoSpaceDE w:val="0"/>
          <w:autoSpaceDN w:val="0"/>
          <w:jc w:val="left"/>
          <w:rPr>
            <w:noProof/>
            <w:kern w:val="22"/>
            <w:szCs w:val="22"/>
          </w:rPr>
        </w:pPr>
        <w:r w:rsidRPr="00700732">
          <w:rPr>
            <w:noProof/>
            <w:kern w:val="22"/>
            <w:szCs w:val="22"/>
          </w:rPr>
          <w:t>CBD/SBI/3/7/Add.2</w:t>
        </w:r>
      </w:p>
    </w:sdtContent>
  </w:sdt>
  <w:p w14:paraId="40789BCD" w14:textId="77777777" w:rsidR="004B2DC8" w:rsidRPr="00700732" w:rsidRDefault="004B2DC8" w:rsidP="00700732">
    <w:pPr>
      <w:pStyle w:val="Header"/>
      <w:tabs>
        <w:tab w:val="clear" w:pos="4320"/>
        <w:tab w:val="clear" w:pos="8640"/>
      </w:tabs>
      <w:kinsoku w:val="0"/>
      <w:overflowPunct w:val="0"/>
      <w:autoSpaceDE w:val="0"/>
      <w:autoSpaceDN w:val="0"/>
      <w:jc w:val="left"/>
      <w:rPr>
        <w:noProof/>
        <w:kern w:val="22"/>
        <w:szCs w:val="22"/>
      </w:rPr>
    </w:pPr>
    <w:r w:rsidRPr="00700732">
      <w:rPr>
        <w:noProof/>
        <w:kern w:val="22"/>
        <w:szCs w:val="22"/>
      </w:rPr>
      <w:t xml:space="preserve">Page </w:t>
    </w:r>
    <w:r w:rsidRPr="00700732">
      <w:rPr>
        <w:noProof/>
        <w:kern w:val="22"/>
        <w:szCs w:val="22"/>
      </w:rPr>
      <w:fldChar w:fldCharType="begin"/>
    </w:r>
    <w:r w:rsidRPr="00700732">
      <w:rPr>
        <w:noProof/>
        <w:kern w:val="22"/>
        <w:szCs w:val="22"/>
      </w:rPr>
      <w:instrText xml:space="preserve"> PAGE   \* MERGEFORMAT </w:instrText>
    </w:r>
    <w:r w:rsidRPr="00700732">
      <w:rPr>
        <w:noProof/>
        <w:kern w:val="22"/>
        <w:szCs w:val="22"/>
      </w:rPr>
      <w:fldChar w:fldCharType="separate"/>
    </w:r>
    <w:r w:rsidRPr="00700732">
      <w:rPr>
        <w:noProof/>
        <w:kern w:val="22"/>
        <w:szCs w:val="22"/>
      </w:rPr>
      <w:t>2</w:t>
    </w:r>
    <w:r w:rsidRPr="00700732">
      <w:rPr>
        <w:noProof/>
        <w:kern w:val="22"/>
        <w:szCs w:val="22"/>
      </w:rPr>
      <w:fldChar w:fldCharType="end"/>
    </w:r>
  </w:p>
  <w:p w14:paraId="6DFDEAE6" w14:textId="77777777" w:rsidR="004B2DC8" w:rsidRPr="00700732" w:rsidRDefault="004B2DC8" w:rsidP="00700732">
    <w:pPr>
      <w:pStyle w:val="Header"/>
      <w:tabs>
        <w:tab w:val="clear" w:pos="4320"/>
        <w:tab w:val="clear" w:pos="8640"/>
      </w:tabs>
      <w:kinsoku w:val="0"/>
      <w:overflowPunct w:val="0"/>
      <w:autoSpaceDE w:val="0"/>
      <w:autoSpaceDN w:val="0"/>
      <w:jc w:val="left"/>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482079473"/>
      <w:dataBinding w:prefixMappings="xmlns:ns0='http://purl.org/dc/elements/1.1/' xmlns:ns1='http://schemas.openxmlformats.org/package/2006/metadata/core-properties' " w:xpath="/ns1:coreProperties[1]/ns0:subject[1]" w:storeItemID="{6C3C8BC8-F283-45AE-878A-BAB7291924A1}"/>
      <w:text/>
    </w:sdtPr>
    <w:sdtEndPr/>
    <w:sdtContent>
      <w:p w14:paraId="1C49D48E" w14:textId="77777777" w:rsidR="004179FC" w:rsidRPr="00700732" w:rsidRDefault="004179FC" w:rsidP="00700732">
        <w:pPr>
          <w:pStyle w:val="Header"/>
          <w:tabs>
            <w:tab w:val="clear" w:pos="4320"/>
            <w:tab w:val="clear" w:pos="8640"/>
          </w:tabs>
          <w:jc w:val="right"/>
          <w:rPr>
            <w:noProof/>
            <w:kern w:val="22"/>
            <w:szCs w:val="22"/>
          </w:rPr>
        </w:pPr>
        <w:r w:rsidRPr="00700732">
          <w:rPr>
            <w:noProof/>
            <w:kern w:val="22"/>
            <w:szCs w:val="22"/>
          </w:rPr>
          <w:t>CBD/SBI/3/7/Add.2</w:t>
        </w:r>
      </w:p>
    </w:sdtContent>
  </w:sdt>
  <w:p w14:paraId="6F6776D7" w14:textId="3A27CD8E" w:rsidR="004B2DC8" w:rsidRPr="00700732" w:rsidRDefault="004B2DC8" w:rsidP="00700732">
    <w:pPr>
      <w:pStyle w:val="Header"/>
      <w:tabs>
        <w:tab w:val="clear" w:pos="4320"/>
        <w:tab w:val="clear" w:pos="8640"/>
      </w:tabs>
      <w:jc w:val="right"/>
      <w:rPr>
        <w:noProof/>
        <w:kern w:val="22"/>
        <w:szCs w:val="22"/>
      </w:rPr>
    </w:pPr>
    <w:r w:rsidRPr="00700732">
      <w:rPr>
        <w:noProof/>
        <w:kern w:val="22"/>
        <w:szCs w:val="22"/>
      </w:rPr>
      <w:t xml:space="preserve">Page </w:t>
    </w:r>
    <w:r w:rsidRPr="00700732">
      <w:rPr>
        <w:noProof/>
        <w:kern w:val="22"/>
        <w:szCs w:val="22"/>
      </w:rPr>
      <w:fldChar w:fldCharType="begin"/>
    </w:r>
    <w:r w:rsidRPr="00700732">
      <w:rPr>
        <w:noProof/>
        <w:kern w:val="22"/>
        <w:szCs w:val="22"/>
      </w:rPr>
      <w:instrText xml:space="preserve"> PAGE   \* MERGEFORMAT </w:instrText>
    </w:r>
    <w:r w:rsidRPr="00700732">
      <w:rPr>
        <w:noProof/>
        <w:kern w:val="22"/>
        <w:szCs w:val="22"/>
      </w:rPr>
      <w:fldChar w:fldCharType="separate"/>
    </w:r>
    <w:r w:rsidRPr="00700732">
      <w:rPr>
        <w:noProof/>
        <w:kern w:val="22"/>
        <w:szCs w:val="22"/>
      </w:rPr>
      <w:t>3</w:t>
    </w:r>
    <w:r w:rsidRPr="00700732">
      <w:rPr>
        <w:noProof/>
        <w:kern w:val="22"/>
        <w:szCs w:val="22"/>
      </w:rPr>
      <w:fldChar w:fldCharType="end"/>
    </w:r>
  </w:p>
  <w:p w14:paraId="6F46FBDB" w14:textId="77777777" w:rsidR="004B2DC8" w:rsidRPr="00700732" w:rsidRDefault="004B2DC8" w:rsidP="00700732">
    <w:pPr>
      <w:pStyle w:val="Header"/>
      <w:tabs>
        <w:tab w:val="clear" w:pos="4320"/>
        <w:tab w:val="clear" w:pos="8640"/>
      </w:tabs>
      <w:jc w:val="right"/>
      <w:rPr>
        <w:noProof/>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350153"/>
    <w:multiLevelType w:val="hybridMultilevel"/>
    <w:tmpl w:val="A32419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6D71F3"/>
    <w:multiLevelType w:val="hybridMultilevel"/>
    <w:tmpl w:val="30721080"/>
    <w:lvl w:ilvl="0" w:tplc="20ACBC52">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CA410CD"/>
    <w:multiLevelType w:val="hybridMultilevel"/>
    <w:tmpl w:val="97A4E20E"/>
    <w:lvl w:ilvl="0" w:tplc="6E482212">
      <w:start w:val="1"/>
      <w:numFmt w:val="decimal"/>
      <w:pStyle w:val="CBD-Para"/>
      <w:lvlText w:val="%1."/>
      <w:lvlJc w:val="left"/>
      <w:pPr>
        <w:tabs>
          <w:tab w:val="num" w:pos="720"/>
        </w:tabs>
        <w:ind w:left="0" w:firstLine="0"/>
      </w:pPr>
      <w:rPr>
        <w:b w:val="0"/>
      </w:rPr>
    </w:lvl>
    <w:lvl w:ilvl="1" w:tplc="EAC8AF96">
      <w:start w:val="1"/>
      <w:numFmt w:val="lowerLetter"/>
      <w:lvlText w:val="(%2)"/>
      <w:lvlJc w:val="left"/>
      <w:pPr>
        <w:ind w:left="1080" w:hanging="360"/>
      </w:pPr>
      <w:rPr>
        <w:rFonts w:ascii="Times New Roman" w:hAnsi="Times New Roman" w:cs="Times New Roman" w:hint="default"/>
        <w:i w:val="0"/>
        <w:iCs/>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3247158"/>
    <w:multiLevelType w:val="hybridMultilevel"/>
    <w:tmpl w:val="398ACCE6"/>
    <w:lvl w:ilvl="0" w:tplc="9AC28966">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3F469B"/>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616B0"/>
    <w:multiLevelType w:val="hybridMultilevel"/>
    <w:tmpl w:val="B062187E"/>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56245FA1"/>
    <w:multiLevelType w:val="hybridMultilevel"/>
    <w:tmpl w:val="DBC4AF12"/>
    <w:lvl w:ilvl="0" w:tplc="580C4BE6">
      <w:start w:val="1"/>
      <w:numFmt w:val="decimal"/>
      <w:lvlText w:val="%1."/>
      <w:lvlJc w:val="left"/>
      <w:pPr>
        <w:tabs>
          <w:tab w:val="num" w:pos="360"/>
        </w:tabs>
        <w:ind w:left="0" w:firstLine="0"/>
      </w:pPr>
      <w:rPr>
        <w:rFonts w:ascii="Times New Roman" w:hAnsi="Times New Roman" w:hint="default"/>
        <w:b w:val="0"/>
        <w:i w:val="0"/>
        <w:sz w:val="22"/>
      </w:rPr>
    </w:lvl>
    <w:lvl w:ilvl="1" w:tplc="325AFB14">
      <w:start w:val="1"/>
      <w:numFmt w:val="lowerLetter"/>
      <w:lvlText w:val="(%2)"/>
      <w:lvlJc w:val="left"/>
      <w:pPr>
        <w:tabs>
          <w:tab w:val="num" w:pos="1440"/>
        </w:tabs>
        <w:ind w:left="0" w:firstLine="720"/>
      </w:pPr>
      <w:rPr>
        <w:rFonts w:hint="default"/>
        <w:b w:val="0"/>
        <w:i w:val="0"/>
      </w:rPr>
    </w:lvl>
    <w:lvl w:ilvl="2" w:tplc="DD5E1FF4">
      <w:start w:val="1"/>
      <w:numFmt w:val="lowerRoman"/>
      <w:lvlText w:val="(%3)"/>
      <w:lvlJc w:val="right"/>
      <w:pPr>
        <w:tabs>
          <w:tab w:val="num" w:pos="1440"/>
        </w:tabs>
        <w:ind w:left="1440" w:hanging="360"/>
      </w:pPr>
      <w:rPr>
        <w:rFonts w:hint="default"/>
      </w:rPr>
    </w:lvl>
    <w:lvl w:ilvl="3" w:tplc="1F08C40A">
      <w:start w:val="1"/>
      <w:numFmt w:val="bullet"/>
      <w:lvlText w:val=""/>
      <w:lvlJc w:val="left"/>
      <w:pPr>
        <w:tabs>
          <w:tab w:val="num" w:pos="2160"/>
        </w:tabs>
        <w:ind w:left="2160" w:hanging="720"/>
      </w:pPr>
      <w:rPr>
        <w:rFonts w:ascii="Symbol" w:hAnsi="Symbol" w:hint="default"/>
        <w:color w:val="auto"/>
        <w:sz w:val="28"/>
      </w:rPr>
    </w:lvl>
    <w:lvl w:ilvl="4" w:tplc="6ED44424">
      <w:start w:val="1"/>
      <w:numFmt w:val="lowerLetter"/>
      <w:lvlText w:val="(%5)"/>
      <w:lvlJc w:val="left"/>
      <w:pPr>
        <w:tabs>
          <w:tab w:val="num" w:pos="1800"/>
        </w:tabs>
        <w:ind w:left="1800" w:hanging="360"/>
      </w:pPr>
      <w:rPr>
        <w:rFonts w:hint="default"/>
      </w:rPr>
    </w:lvl>
    <w:lvl w:ilvl="5" w:tplc="70DAE400">
      <w:start w:val="1"/>
      <w:numFmt w:val="lowerRoman"/>
      <w:lvlText w:val="(%6)"/>
      <w:lvlJc w:val="left"/>
      <w:pPr>
        <w:tabs>
          <w:tab w:val="num" w:pos="2160"/>
        </w:tabs>
        <w:ind w:left="2160" w:hanging="360"/>
      </w:pPr>
      <w:rPr>
        <w:rFonts w:hint="default"/>
      </w:rPr>
    </w:lvl>
    <w:lvl w:ilvl="6" w:tplc="671E8094">
      <w:start w:val="1"/>
      <w:numFmt w:val="decimal"/>
      <w:lvlText w:val="%7."/>
      <w:lvlJc w:val="left"/>
      <w:pPr>
        <w:tabs>
          <w:tab w:val="num" w:pos="2520"/>
        </w:tabs>
        <w:ind w:left="2520" w:hanging="360"/>
      </w:pPr>
      <w:rPr>
        <w:rFonts w:hint="default"/>
        <w:b w:val="0"/>
        <w:i w:val="0"/>
      </w:rPr>
    </w:lvl>
    <w:lvl w:ilvl="7" w:tplc="2FD69FDE">
      <w:start w:val="1"/>
      <w:numFmt w:val="lowerLetter"/>
      <w:lvlText w:val="%8."/>
      <w:lvlJc w:val="left"/>
      <w:pPr>
        <w:tabs>
          <w:tab w:val="num" w:pos="2880"/>
        </w:tabs>
        <w:ind w:left="2880" w:hanging="360"/>
      </w:pPr>
      <w:rPr>
        <w:rFonts w:hint="default"/>
      </w:rPr>
    </w:lvl>
    <w:lvl w:ilvl="8" w:tplc="7F76786E">
      <w:start w:val="1"/>
      <w:numFmt w:val="lowerRoman"/>
      <w:lvlText w:val="%9."/>
      <w:lvlJc w:val="left"/>
      <w:pPr>
        <w:tabs>
          <w:tab w:val="num" w:pos="3240"/>
        </w:tabs>
        <w:ind w:left="3240" w:hanging="360"/>
      </w:pPr>
      <w:rPr>
        <w:rFonts w:hint="default"/>
      </w:rPr>
    </w:lvl>
  </w:abstractNum>
  <w:abstractNum w:abstractNumId="19" w15:restartNumberingAfterBreak="0">
    <w:nsid w:val="57970305"/>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47BBE"/>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E3F55"/>
    <w:multiLevelType w:val="hybridMultilevel"/>
    <w:tmpl w:val="31760A40"/>
    <w:lvl w:ilvl="0" w:tplc="FFFFFFFF">
      <w:start w:val="1"/>
      <w:numFmt w:val="decimal"/>
      <w:lvlText w:val="%1."/>
      <w:lvlJc w:val="left"/>
      <w:pPr>
        <w:ind w:left="0" w:firstLine="0"/>
      </w:pPr>
      <w:rPr>
        <w:b w:val="0"/>
        <w:i w:val="0"/>
        <w:sz w:val="22"/>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24" w15:restartNumberingAfterBreak="0">
    <w:nsid w:val="6A42460D"/>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37E44"/>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6"/>
  </w:num>
  <w:num w:numId="5">
    <w:abstractNumId w:val="13"/>
  </w:num>
  <w:num w:numId="6">
    <w:abstractNumId w:val="2"/>
  </w:num>
  <w:num w:numId="7">
    <w:abstractNumId w:val="5"/>
  </w:num>
  <w:num w:numId="8">
    <w:abstractNumId w:val="10"/>
    <w:lvlOverride w:ilvl="0">
      <w:startOverride w:val="1"/>
    </w:lvlOverride>
  </w:num>
  <w:num w:numId="9">
    <w:abstractNumId w:val="26"/>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22"/>
  </w:num>
  <w:num w:numId="15">
    <w:abstractNumId w:val="20"/>
  </w:num>
  <w:num w:numId="16">
    <w:abstractNumId w:val="3"/>
  </w:num>
  <w:num w:numId="17">
    <w:abstractNumId w:val="27"/>
  </w:num>
  <w:num w:numId="18">
    <w:abstractNumId w:val="29"/>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num>
  <w:num w:numId="32">
    <w:abstractNumId w:val="28"/>
  </w:num>
  <w:num w:numId="33">
    <w:abstractNumId w:val="14"/>
  </w:num>
  <w:num w:numId="34">
    <w:abstractNumId w:val="1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9"/>
  </w:num>
  <w:num w:numId="45">
    <w:abstractNumId w:val="0"/>
  </w:num>
  <w:num w:numId="46">
    <w:abstractNumId w:val="25"/>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8"/>
  </w:num>
  <w:num w:numId="50">
    <w:abstractNumId w:val="8"/>
  </w:num>
  <w:num w:numId="51">
    <w:abstractNumId w:val="6"/>
  </w:num>
  <w:num w:numId="52">
    <w:abstractNumId w:val="8"/>
  </w:num>
  <w:num w:numId="53">
    <w:abstractNumId w:val="23"/>
  </w:num>
  <w:num w:numId="54">
    <w:abstractNumId w:val="8"/>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DF3"/>
    <w:rsid w:val="00001469"/>
    <w:rsid w:val="00001834"/>
    <w:rsid w:val="00003325"/>
    <w:rsid w:val="00003D19"/>
    <w:rsid w:val="000055D6"/>
    <w:rsid w:val="00005C07"/>
    <w:rsid w:val="0000750E"/>
    <w:rsid w:val="0000788A"/>
    <w:rsid w:val="00007F0D"/>
    <w:rsid w:val="00014102"/>
    <w:rsid w:val="00017690"/>
    <w:rsid w:val="000228DB"/>
    <w:rsid w:val="00022F41"/>
    <w:rsid w:val="00024835"/>
    <w:rsid w:val="00024F15"/>
    <w:rsid w:val="00025AF1"/>
    <w:rsid w:val="0002779C"/>
    <w:rsid w:val="00027BDA"/>
    <w:rsid w:val="00030BC7"/>
    <w:rsid w:val="0003212C"/>
    <w:rsid w:val="000337DF"/>
    <w:rsid w:val="00033FF2"/>
    <w:rsid w:val="00035FC6"/>
    <w:rsid w:val="00045238"/>
    <w:rsid w:val="00046EDB"/>
    <w:rsid w:val="00050156"/>
    <w:rsid w:val="00051169"/>
    <w:rsid w:val="00055221"/>
    <w:rsid w:val="00056238"/>
    <w:rsid w:val="000568CC"/>
    <w:rsid w:val="00061800"/>
    <w:rsid w:val="00061CE8"/>
    <w:rsid w:val="00065BB2"/>
    <w:rsid w:val="00065BD3"/>
    <w:rsid w:val="0006714A"/>
    <w:rsid w:val="0007007C"/>
    <w:rsid w:val="00070978"/>
    <w:rsid w:val="00071F35"/>
    <w:rsid w:val="00072EE9"/>
    <w:rsid w:val="000752D9"/>
    <w:rsid w:val="00075E9B"/>
    <w:rsid w:val="00076487"/>
    <w:rsid w:val="0007683A"/>
    <w:rsid w:val="00080E33"/>
    <w:rsid w:val="00081480"/>
    <w:rsid w:val="00081D26"/>
    <w:rsid w:val="000823FC"/>
    <w:rsid w:val="00086F62"/>
    <w:rsid w:val="00087518"/>
    <w:rsid w:val="0009135A"/>
    <w:rsid w:val="00091E70"/>
    <w:rsid w:val="000935CB"/>
    <w:rsid w:val="00093DE1"/>
    <w:rsid w:val="00094BF0"/>
    <w:rsid w:val="00095FC3"/>
    <w:rsid w:val="00096CDB"/>
    <w:rsid w:val="000979F3"/>
    <w:rsid w:val="000A0396"/>
    <w:rsid w:val="000A24C7"/>
    <w:rsid w:val="000A2CE6"/>
    <w:rsid w:val="000A4F1B"/>
    <w:rsid w:val="000A613B"/>
    <w:rsid w:val="000A6F72"/>
    <w:rsid w:val="000B12C7"/>
    <w:rsid w:val="000B17D1"/>
    <w:rsid w:val="000B3CCC"/>
    <w:rsid w:val="000B6AB8"/>
    <w:rsid w:val="000B7BAD"/>
    <w:rsid w:val="000C0939"/>
    <w:rsid w:val="000C41CB"/>
    <w:rsid w:val="000C52E5"/>
    <w:rsid w:val="000C5BCA"/>
    <w:rsid w:val="000C5BE7"/>
    <w:rsid w:val="000C6EBC"/>
    <w:rsid w:val="000D0BD4"/>
    <w:rsid w:val="000D1E00"/>
    <w:rsid w:val="000D250C"/>
    <w:rsid w:val="000D4B1D"/>
    <w:rsid w:val="000D7CDE"/>
    <w:rsid w:val="000E0406"/>
    <w:rsid w:val="000E1E47"/>
    <w:rsid w:val="000E38F4"/>
    <w:rsid w:val="000E3E1B"/>
    <w:rsid w:val="000E3E56"/>
    <w:rsid w:val="000E673A"/>
    <w:rsid w:val="000F1361"/>
    <w:rsid w:val="000F3E7D"/>
    <w:rsid w:val="000F417A"/>
    <w:rsid w:val="000F74F5"/>
    <w:rsid w:val="000F76A3"/>
    <w:rsid w:val="0010268D"/>
    <w:rsid w:val="0010392C"/>
    <w:rsid w:val="00105372"/>
    <w:rsid w:val="00110658"/>
    <w:rsid w:val="001107BF"/>
    <w:rsid w:val="00110ED0"/>
    <w:rsid w:val="0011116B"/>
    <w:rsid w:val="00111485"/>
    <w:rsid w:val="0011160C"/>
    <w:rsid w:val="0011162B"/>
    <w:rsid w:val="00111D60"/>
    <w:rsid w:val="001123DB"/>
    <w:rsid w:val="00114BB7"/>
    <w:rsid w:val="001152D6"/>
    <w:rsid w:val="00121F70"/>
    <w:rsid w:val="00122F87"/>
    <w:rsid w:val="00125B1A"/>
    <w:rsid w:val="00127331"/>
    <w:rsid w:val="00131E7A"/>
    <w:rsid w:val="00132092"/>
    <w:rsid w:val="00133066"/>
    <w:rsid w:val="00133423"/>
    <w:rsid w:val="0013475C"/>
    <w:rsid w:val="00134A38"/>
    <w:rsid w:val="00135CCC"/>
    <w:rsid w:val="00136D2E"/>
    <w:rsid w:val="00136E6A"/>
    <w:rsid w:val="001403A2"/>
    <w:rsid w:val="001419F3"/>
    <w:rsid w:val="00142389"/>
    <w:rsid w:val="00145B72"/>
    <w:rsid w:val="00146C5A"/>
    <w:rsid w:val="0014700D"/>
    <w:rsid w:val="00147F73"/>
    <w:rsid w:val="0015089C"/>
    <w:rsid w:val="0015162A"/>
    <w:rsid w:val="0015788E"/>
    <w:rsid w:val="00161A2A"/>
    <w:rsid w:val="001641B8"/>
    <w:rsid w:val="001709A0"/>
    <w:rsid w:val="00170BCA"/>
    <w:rsid w:val="00171201"/>
    <w:rsid w:val="0017188A"/>
    <w:rsid w:val="00172AF6"/>
    <w:rsid w:val="001730B4"/>
    <w:rsid w:val="001732C5"/>
    <w:rsid w:val="00174CCA"/>
    <w:rsid w:val="00175840"/>
    <w:rsid w:val="00176413"/>
    <w:rsid w:val="00176CEE"/>
    <w:rsid w:val="00181A7B"/>
    <w:rsid w:val="00182854"/>
    <w:rsid w:val="00182B21"/>
    <w:rsid w:val="00183B18"/>
    <w:rsid w:val="00186334"/>
    <w:rsid w:val="00186CED"/>
    <w:rsid w:val="00192E10"/>
    <w:rsid w:val="0019352E"/>
    <w:rsid w:val="001943EB"/>
    <w:rsid w:val="00197C9F"/>
    <w:rsid w:val="001A2561"/>
    <w:rsid w:val="001A4755"/>
    <w:rsid w:val="001A4BE7"/>
    <w:rsid w:val="001A684C"/>
    <w:rsid w:val="001A6932"/>
    <w:rsid w:val="001A7310"/>
    <w:rsid w:val="001B118B"/>
    <w:rsid w:val="001B1478"/>
    <w:rsid w:val="001B5916"/>
    <w:rsid w:val="001B780C"/>
    <w:rsid w:val="001C0171"/>
    <w:rsid w:val="001C352A"/>
    <w:rsid w:val="001C384B"/>
    <w:rsid w:val="001C4A42"/>
    <w:rsid w:val="001C5415"/>
    <w:rsid w:val="001C6813"/>
    <w:rsid w:val="001D0A1E"/>
    <w:rsid w:val="001D3AE4"/>
    <w:rsid w:val="001D4630"/>
    <w:rsid w:val="001D5E8B"/>
    <w:rsid w:val="001E286E"/>
    <w:rsid w:val="001E4B2F"/>
    <w:rsid w:val="001E51BB"/>
    <w:rsid w:val="001E7B0F"/>
    <w:rsid w:val="001F18A2"/>
    <w:rsid w:val="001F2A4E"/>
    <w:rsid w:val="001F32A9"/>
    <w:rsid w:val="001F34D9"/>
    <w:rsid w:val="001F3D69"/>
    <w:rsid w:val="001F5130"/>
    <w:rsid w:val="001F69A7"/>
    <w:rsid w:val="001F76D4"/>
    <w:rsid w:val="00203AB5"/>
    <w:rsid w:val="00204594"/>
    <w:rsid w:val="00204C87"/>
    <w:rsid w:val="00205125"/>
    <w:rsid w:val="00214973"/>
    <w:rsid w:val="00214AC9"/>
    <w:rsid w:val="00215606"/>
    <w:rsid w:val="00217A50"/>
    <w:rsid w:val="0022092D"/>
    <w:rsid w:val="002217D0"/>
    <w:rsid w:val="00221D3A"/>
    <w:rsid w:val="00223EC0"/>
    <w:rsid w:val="00224533"/>
    <w:rsid w:val="00225BB0"/>
    <w:rsid w:val="00236AD4"/>
    <w:rsid w:val="00242D9E"/>
    <w:rsid w:val="0024467A"/>
    <w:rsid w:val="002505CA"/>
    <w:rsid w:val="00253071"/>
    <w:rsid w:val="00254D7F"/>
    <w:rsid w:val="0025600D"/>
    <w:rsid w:val="00257884"/>
    <w:rsid w:val="002648B6"/>
    <w:rsid w:val="00265900"/>
    <w:rsid w:val="00271E31"/>
    <w:rsid w:val="00272BE9"/>
    <w:rsid w:val="00280F66"/>
    <w:rsid w:val="00282810"/>
    <w:rsid w:val="0028311E"/>
    <w:rsid w:val="002869DA"/>
    <w:rsid w:val="00286A60"/>
    <w:rsid w:val="002939A1"/>
    <w:rsid w:val="00293A54"/>
    <w:rsid w:val="00294CD8"/>
    <w:rsid w:val="002962AF"/>
    <w:rsid w:val="00297956"/>
    <w:rsid w:val="002A04DF"/>
    <w:rsid w:val="002A0A1A"/>
    <w:rsid w:val="002A3B93"/>
    <w:rsid w:val="002A4425"/>
    <w:rsid w:val="002A7A59"/>
    <w:rsid w:val="002B5113"/>
    <w:rsid w:val="002B7D8D"/>
    <w:rsid w:val="002C3E62"/>
    <w:rsid w:val="002C5302"/>
    <w:rsid w:val="002C55A1"/>
    <w:rsid w:val="002C5FD3"/>
    <w:rsid w:val="002C7875"/>
    <w:rsid w:val="002D04B8"/>
    <w:rsid w:val="002D42D8"/>
    <w:rsid w:val="002D4D66"/>
    <w:rsid w:val="002D4E5A"/>
    <w:rsid w:val="002D5DF8"/>
    <w:rsid w:val="002D6A34"/>
    <w:rsid w:val="002D6E2F"/>
    <w:rsid w:val="002D7C5F"/>
    <w:rsid w:val="002E1114"/>
    <w:rsid w:val="002E668A"/>
    <w:rsid w:val="002F1B49"/>
    <w:rsid w:val="002F2C00"/>
    <w:rsid w:val="002F3938"/>
    <w:rsid w:val="002F570E"/>
    <w:rsid w:val="002F5DA1"/>
    <w:rsid w:val="002F7751"/>
    <w:rsid w:val="002F7AA3"/>
    <w:rsid w:val="003011C5"/>
    <w:rsid w:val="00301A9C"/>
    <w:rsid w:val="00301B19"/>
    <w:rsid w:val="00301EFB"/>
    <w:rsid w:val="00303A6E"/>
    <w:rsid w:val="003102A0"/>
    <w:rsid w:val="00310CB8"/>
    <w:rsid w:val="0031341A"/>
    <w:rsid w:val="003145E4"/>
    <w:rsid w:val="003146F0"/>
    <w:rsid w:val="003168D7"/>
    <w:rsid w:val="00317041"/>
    <w:rsid w:val="00322832"/>
    <w:rsid w:val="003230B7"/>
    <w:rsid w:val="0032343C"/>
    <w:rsid w:val="003244D6"/>
    <w:rsid w:val="0032514D"/>
    <w:rsid w:val="003253DD"/>
    <w:rsid w:val="003271AB"/>
    <w:rsid w:val="00330FC1"/>
    <w:rsid w:val="003326F8"/>
    <w:rsid w:val="00333234"/>
    <w:rsid w:val="003371BB"/>
    <w:rsid w:val="00337DE4"/>
    <w:rsid w:val="00340F39"/>
    <w:rsid w:val="003446DC"/>
    <w:rsid w:val="003453EE"/>
    <w:rsid w:val="00346366"/>
    <w:rsid w:val="0034647F"/>
    <w:rsid w:val="00350CC3"/>
    <w:rsid w:val="003510C6"/>
    <w:rsid w:val="00352880"/>
    <w:rsid w:val="003539F0"/>
    <w:rsid w:val="003558D8"/>
    <w:rsid w:val="00356F88"/>
    <w:rsid w:val="00361DED"/>
    <w:rsid w:val="00361F03"/>
    <w:rsid w:val="00362BF4"/>
    <w:rsid w:val="003633E9"/>
    <w:rsid w:val="00364E49"/>
    <w:rsid w:val="003656E5"/>
    <w:rsid w:val="00366483"/>
    <w:rsid w:val="003670B1"/>
    <w:rsid w:val="003700FB"/>
    <w:rsid w:val="00370A57"/>
    <w:rsid w:val="00370C90"/>
    <w:rsid w:val="0037237F"/>
    <w:rsid w:val="00372BEA"/>
    <w:rsid w:val="00372C6C"/>
    <w:rsid w:val="00372F74"/>
    <w:rsid w:val="003775E2"/>
    <w:rsid w:val="00377919"/>
    <w:rsid w:val="003810DD"/>
    <w:rsid w:val="00382D23"/>
    <w:rsid w:val="00384694"/>
    <w:rsid w:val="0038685C"/>
    <w:rsid w:val="00387EAE"/>
    <w:rsid w:val="0039115A"/>
    <w:rsid w:val="00391347"/>
    <w:rsid w:val="003916F8"/>
    <w:rsid w:val="00393A72"/>
    <w:rsid w:val="003941B7"/>
    <w:rsid w:val="00395FEA"/>
    <w:rsid w:val="003A22E9"/>
    <w:rsid w:val="003A2D10"/>
    <w:rsid w:val="003A2D38"/>
    <w:rsid w:val="003A4426"/>
    <w:rsid w:val="003A690A"/>
    <w:rsid w:val="003A7BEF"/>
    <w:rsid w:val="003A7EB5"/>
    <w:rsid w:val="003B034E"/>
    <w:rsid w:val="003B4865"/>
    <w:rsid w:val="003B4AF8"/>
    <w:rsid w:val="003B503C"/>
    <w:rsid w:val="003B5AB1"/>
    <w:rsid w:val="003B5C7A"/>
    <w:rsid w:val="003B6BA5"/>
    <w:rsid w:val="003C13F4"/>
    <w:rsid w:val="003C3818"/>
    <w:rsid w:val="003C456E"/>
    <w:rsid w:val="003D1BFB"/>
    <w:rsid w:val="003D36B6"/>
    <w:rsid w:val="003D3ED2"/>
    <w:rsid w:val="003D4659"/>
    <w:rsid w:val="003D5D6F"/>
    <w:rsid w:val="003D62D4"/>
    <w:rsid w:val="003D721B"/>
    <w:rsid w:val="003E507B"/>
    <w:rsid w:val="003E7090"/>
    <w:rsid w:val="003F24AB"/>
    <w:rsid w:val="003F3308"/>
    <w:rsid w:val="003F3FBC"/>
    <w:rsid w:val="003F5F56"/>
    <w:rsid w:val="003F7224"/>
    <w:rsid w:val="004015BA"/>
    <w:rsid w:val="00401962"/>
    <w:rsid w:val="00406AA4"/>
    <w:rsid w:val="00410337"/>
    <w:rsid w:val="00414457"/>
    <w:rsid w:val="00416810"/>
    <w:rsid w:val="004179FC"/>
    <w:rsid w:val="004204FA"/>
    <w:rsid w:val="00422DBF"/>
    <w:rsid w:val="004231AC"/>
    <w:rsid w:val="00424499"/>
    <w:rsid w:val="004251DC"/>
    <w:rsid w:val="00425E0E"/>
    <w:rsid w:val="0042662D"/>
    <w:rsid w:val="00427D21"/>
    <w:rsid w:val="00431741"/>
    <w:rsid w:val="0043428C"/>
    <w:rsid w:val="0043581D"/>
    <w:rsid w:val="00436561"/>
    <w:rsid w:val="00437454"/>
    <w:rsid w:val="00440AFA"/>
    <w:rsid w:val="00440C3C"/>
    <w:rsid w:val="004434A9"/>
    <w:rsid w:val="00445F34"/>
    <w:rsid w:val="00447F27"/>
    <w:rsid w:val="00450143"/>
    <w:rsid w:val="004501FF"/>
    <w:rsid w:val="004506AE"/>
    <w:rsid w:val="00451FB2"/>
    <w:rsid w:val="0045218E"/>
    <w:rsid w:val="0045374F"/>
    <w:rsid w:val="00453CA0"/>
    <w:rsid w:val="004623D9"/>
    <w:rsid w:val="00462A4E"/>
    <w:rsid w:val="00462E09"/>
    <w:rsid w:val="004644C2"/>
    <w:rsid w:val="004649DF"/>
    <w:rsid w:val="00464D4E"/>
    <w:rsid w:val="00466518"/>
    <w:rsid w:val="00466C38"/>
    <w:rsid w:val="00467F9C"/>
    <w:rsid w:val="00470397"/>
    <w:rsid w:val="004707D2"/>
    <w:rsid w:val="00472656"/>
    <w:rsid w:val="00472FF1"/>
    <w:rsid w:val="00473228"/>
    <w:rsid w:val="00475AE0"/>
    <w:rsid w:val="004767ED"/>
    <w:rsid w:val="00477541"/>
    <w:rsid w:val="00480AC5"/>
    <w:rsid w:val="004832DC"/>
    <w:rsid w:val="00483409"/>
    <w:rsid w:val="004836D9"/>
    <w:rsid w:val="0049136D"/>
    <w:rsid w:val="00492615"/>
    <w:rsid w:val="0049281F"/>
    <w:rsid w:val="00492928"/>
    <w:rsid w:val="00492C3C"/>
    <w:rsid w:val="00492D8D"/>
    <w:rsid w:val="0049449A"/>
    <w:rsid w:val="00494746"/>
    <w:rsid w:val="004A2598"/>
    <w:rsid w:val="004A26B3"/>
    <w:rsid w:val="004A2C1C"/>
    <w:rsid w:val="004A2FE9"/>
    <w:rsid w:val="004A361E"/>
    <w:rsid w:val="004A561B"/>
    <w:rsid w:val="004A77F4"/>
    <w:rsid w:val="004A7E9F"/>
    <w:rsid w:val="004B0634"/>
    <w:rsid w:val="004B0D47"/>
    <w:rsid w:val="004B11C1"/>
    <w:rsid w:val="004B2DC8"/>
    <w:rsid w:val="004B33C9"/>
    <w:rsid w:val="004B47CB"/>
    <w:rsid w:val="004B5D3D"/>
    <w:rsid w:val="004B7A27"/>
    <w:rsid w:val="004B7ECF"/>
    <w:rsid w:val="004C1851"/>
    <w:rsid w:val="004C4433"/>
    <w:rsid w:val="004C597E"/>
    <w:rsid w:val="004C5EAC"/>
    <w:rsid w:val="004C655E"/>
    <w:rsid w:val="004C660D"/>
    <w:rsid w:val="004D0297"/>
    <w:rsid w:val="004D089A"/>
    <w:rsid w:val="004D1F33"/>
    <w:rsid w:val="004D5636"/>
    <w:rsid w:val="004D7D83"/>
    <w:rsid w:val="004E0FE8"/>
    <w:rsid w:val="004E3240"/>
    <w:rsid w:val="004E39B8"/>
    <w:rsid w:val="004E4F8F"/>
    <w:rsid w:val="004F29D2"/>
    <w:rsid w:val="004F3E47"/>
    <w:rsid w:val="004F4A81"/>
    <w:rsid w:val="004F54B8"/>
    <w:rsid w:val="00502AB8"/>
    <w:rsid w:val="00503D95"/>
    <w:rsid w:val="005054A0"/>
    <w:rsid w:val="0050551E"/>
    <w:rsid w:val="005059EE"/>
    <w:rsid w:val="0050671A"/>
    <w:rsid w:val="00506F61"/>
    <w:rsid w:val="00510340"/>
    <w:rsid w:val="00510876"/>
    <w:rsid w:val="00510D4D"/>
    <w:rsid w:val="00512DC0"/>
    <w:rsid w:val="00513535"/>
    <w:rsid w:val="00514ABB"/>
    <w:rsid w:val="00516BD5"/>
    <w:rsid w:val="005177CA"/>
    <w:rsid w:val="00523B96"/>
    <w:rsid w:val="0052613C"/>
    <w:rsid w:val="00530C5B"/>
    <w:rsid w:val="00531A06"/>
    <w:rsid w:val="005334C0"/>
    <w:rsid w:val="00534681"/>
    <w:rsid w:val="00536FB4"/>
    <w:rsid w:val="00540096"/>
    <w:rsid w:val="00540DB2"/>
    <w:rsid w:val="00543435"/>
    <w:rsid w:val="0054390D"/>
    <w:rsid w:val="0054440C"/>
    <w:rsid w:val="00545AA3"/>
    <w:rsid w:val="005464F4"/>
    <w:rsid w:val="0054665D"/>
    <w:rsid w:val="00546DF5"/>
    <w:rsid w:val="00547076"/>
    <w:rsid w:val="00551F07"/>
    <w:rsid w:val="005527CF"/>
    <w:rsid w:val="00553CB0"/>
    <w:rsid w:val="005550ED"/>
    <w:rsid w:val="00557539"/>
    <w:rsid w:val="00561B74"/>
    <w:rsid w:val="00561FD1"/>
    <w:rsid w:val="00563533"/>
    <w:rsid w:val="00563665"/>
    <w:rsid w:val="005701BF"/>
    <w:rsid w:val="00572C19"/>
    <w:rsid w:val="00574428"/>
    <w:rsid w:val="0057594A"/>
    <w:rsid w:val="00577203"/>
    <w:rsid w:val="0058519B"/>
    <w:rsid w:val="00585DAE"/>
    <w:rsid w:val="00591033"/>
    <w:rsid w:val="0059452A"/>
    <w:rsid w:val="005948ED"/>
    <w:rsid w:val="00594EB6"/>
    <w:rsid w:val="00595B50"/>
    <w:rsid w:val="00596691"/>
    <w:rsid w:val="00597FD5"/>
    <w:rsid w:val="005A1512"/>
    <w:rsid w:val="005A4499"/>
    <w:rsid w:val="005A6200"/>
    <w:rsid w:val="005B1C68"/>
    <w:rsid w:val="005B288A"/>
    <w:rsid w:val="005B29D1"/>
    <w:rsid w:val="005B6497"/>
    <w:rsid w:val="005C16F1"/>
    <w:rsid w:val="005C4C8D"/>
    <w:rsid w:val="005C7CF7"/>
    <w:rsid w:val="005D0EEE"/>
    <w:rsid w:val="005D1B9C"/>
    <w:rsid w:val="005D1C67"/>
    <w:rsid w:val="005D6165"/>
    <w:rsid w:val="005E102B"/>
    <w:rsid w:val="005E1CD4"/>
    <w:rsid w:val="005E3D3A"/>
    <w:rsid w:val="005E5FF4"/>
    <w:rsid w:val="005E77E2"/>
    <w:rsid w:val="005E780F"/>
    <w:rsid w:val="005F6114"/>
    <w:rsid w:val="006014C5"/>
    <w:rsid w:val="0060234B"/>
    <w:rsid w:val="0060619D"/>
    <w:rsid w:val="00606249"/>
    <w:rsid w:val="0061011F"/>
    <w:rsid w:val="00610D92"/>
    <w:rsid w:val="0061229A"/>
    <w:rsid w:val="006122BA"/>
    <w:rsid w:val="00613DD6"/>
    <w:rsid w:val="006177BA"/>
    <w:rsid w:val="00617998"/>
    <w:rsid w:val="0062188C"/>
    <w:rsid w:val="006219C5"/>
    <w:rsid w:val="006230C4"/>
    <w:rsid w:val="00623104"/>
    <w:rsid w:val="00626E17"/>
    <w:rsid w:val="006278DC"/>
    <w:rsid w:val="00627D36"/>
    <w:rsid w:val="006309BC"/>
    <w:rsid w:val="00630C1E"/>
    <w:rsid w:val="006342B6"/>
    <w:rsid w:val="00634D23"/>
    <w:rsid w:val="006358CC"/>
    <w:rsid w:val="006358F9"/>
    <w:rsid w:val="00641A5A"/>
    <w:rsid w:val="00644736"/>
    <w:rsid w:val="00645100"/>
    <w:rsid w:val="006467D6"/>
    <w:rsid w:val="006471EB"/>
    <w:rsid w:val="0065277B"/>
    <w:rsid w:val="00654AED"/>
    <w:rsid w:val="006563F2"/>
    <w:rsid w:val="00657166"/>
    <w:rsid w:val="0066053C"/>
    <w:rsid w:val="0066181D"/>
    <w:rsid w:val="00661C35"/>
    <w:rsid w:val="006628D5"/>
    <w:rsid w:val="00663FAE"/>
    <w:rsid w:val="00664DC0"/>
    <w:rsid w:val="006657E0"/>
    <w:rsid w:val="00670B2C"/>
    <w:rsid w:val="00670B7B"/>
    <w:rsid w:val="0067316A"/>
    <w:rsid w:val="0067430E"/>
    <w:rsid w:val="00677E38"/>
    <w:rsid w:val="00680895"/>
    <w:rsid w:val="00682F92"/>
    <w:rsid w:val="0068311D"/>
    <w:rsid w:val="00684EC0"/>
    <w:rsid w:val="00690EEB"/>
    <w:rsid w:val="00692826"/>
    <w:rsid w:val="00692B24"/>
    <w:rsid w:val="00692E23"/>
    <w:rsid w:val="006A29C8"/>
    <w:rsid w:val="006A3566"/>
    <w:rsid w:val="006A4832"/>
    <w:rsid w:val="006A5D10"/>
    <w:rsid w:val="006A7501"/>
    <w:rsid w:val="006A79EB"/>
    <w:rsid w:val="006B136F"/>
    <w:rsid w:val="006B2290"/>
    <w:rsid w:val="006B39B2"/>
    <w:rsid w:val="006B4505"/>
    <w:rsid w:val="006C0A44"/>
    <w:rsid w:val="006C45A4"/>
    <w:rsid w:val="006C4F11"/>
    <w:rsid w:val="006C5349"/>
    <w:rsid w:val="006C56F9"/>
    <w:rsid w:val="006C580E"/>
    <w:rsid w:val="006C58F8"/>
    <w:rsid w:val="006D2F4B"/>
    <w:rsid w:val="006D4201"/>
    <w:rsid w:val="006D739E"/>
    <w:rsid w:val="006D75A0"/>
    <w:rsid w:val="006E4754"/>
    <w:rsid w:val="006F0C98"/>
    <w:rsid w:val="006F19C8"/>
    <w:rsid w:val="006F1AAB"/>
    <w:rsid w:val="006F41E6"/>
    <w:rsid w:val="00700732"/>
    <w:rsid w:val="00700BB9"/>
    <w:rsid w:val="00700EB6"/>
    <w:rsid w:val="00700F97"/>
    <w:rsid w:val="00705D8D"/>
    <w:rsid w:val="00706872"/>
    <w:rsid w:val="007075BD"/>
    <w:rsid w:val="007075C8"/>
    <w:rsid w:val="007103AE"/>
    <w:rsid w:val="00712253"/>
    <w:rsid w:val="00713C73"/>
    <w:rsid w:val="00713E56"/>
    <w:rsid w:val="007159DB"/>
    <w:rsid w:val="00717D88"/>
    <w:rsid w:val="00720145"/>
    <w:rsid w:val="0072061D"/>
    <w:rsid w:val="007211D2"/>
    <w:rsid w:val="00725B02"/>
    <w:rsid w:val="00726F4D"/>
    <w:rsid w:val="0073005B"/>
    <w:rsid w:val="00730DCC"/>
    <w:rsid w:val="00732F5B"/>
    <w:rsid w:val="007346BF"/>
    <w:rsid w:val="00740B97"/>
    <w:rsid w:val="00740F92"/>
    <w:rsid w:val="00741CE4"/>
    <w:rsid w:val="00741FCB"/>
    <w:rsid w:val="00742D0B"/>
    <w:rsid w:val="0074369F"/>
    <w:rsid w:val="007446CC"/>
    <w:rsid w:val="007446EB"/>
    <w:rsid w:val="007453B2"/>
    <w:rsid w:val="00747212"/>
    <w:rsid w:val="0074760E"/>
    <w:rsid w:val="007502D9"/>
    <w:rsid w:val="00750C84"/>
    <w:rsid w:val="00750D7F"/>
    <w:rsid w:val="00751CF1"/>
    <w:rsid w:val="0075452D"/>
    <w:rsid w:val="00755404"/>
    <w:rsid w:val="00755544"/>
    <w:rsid w:val="00755C62"/>
    <w:rsid w:val="00755F05"/>
    <w:rsid w:val="007561A6"/>
    <w:rsid w:val="007613B1"/>
    <w:rsid w:val="00761494"/>
    <w:rsid w:val="007718E5"/>
    <w:rsid w:val="0077500B"/>
    <w:rsid w:val="007754EA"/>
    <w:rsid w:val="0078082A"/>
    <w:rsid w:val="00780B32"/>
    <w:rsid w:val="00780F6A"/>
    <w:rsid w:val="00784A90"/>
    <w:rsid w:val="00785A2A"/>
    <w:rsid w:val="007871BB"/>
    <w:rsid w:val="00790B50"/>
    <w:rsid w:val="00790C0D"/>
    <w:rsid w:val="00792784"/>
    <w:rsid w:val="00792C6A"/>
    <w:rsid w:val="00792EA0"/>
    <w:rsid w:val="0079327D"/>
    <w:rsid w:val="007942D3"/>
    <w:rsid w:val="007A3267"/>
    <w:rsid w:val="007A3EA1"/>
    <w:rsid w:val="007A462F"/>
    <w:rsid w:val="007A5359"/>
    <w:rsid w:val="007A55B3"/>
    <w:rsid w:val="007A582F"/>
    <w:rsid w:val="007A5FB4"/>
    <w:rsid w:val="007A65A8"/>
    <w:rsid w:val="007A6839"/>
    <w:rsid w:val="007A6C36"/>
    <w:rsid w:val="007B0969"/>
    <w:rsid w:val="007B09FE"/>
    <w:rsid w:val="007B46D7"/>
    <w:rsid w:val="007B4858"/>
    <w:rsid w:val="007B50B8"/>
    <w:rsid w:val="007B6C09"/>
    <w:rsid w:val="007C2931"/>
    <w:rsid w:val="007C2B3C"/>
    <w:rsid w:val="007C2C2A"/>
    <w:rsid w:val="007C51B1"/>
    <w:rsid w:val="007C5808"/>
    <w:rsid w:val="007C6317"/>
    <w:rsid w:val="007D039F"/>
    <w:rsid w:val="007D14B4"/>
    <w:rsid w:val="007D1795"/>
    <w:rsid w:val="007D6E8A"/>
    <w:rsid w:val="007E09DA"/>
    <w:rsid w:val="007E153B"/>
    <w:rsid w:val="007E4599"/>
    <w:rsid w:val="007E52C1"/>
    <w:rsid w:val="007F00DA"/>
    <w:rsid w:val="007F061F"/>
    <w:rsid w:val="007F2334"/>
    <w:rsid w:val="007F2DBE"/>
    <w:rsid w:val="007F3EBF"/>
    <w:rsid w:val="007F52AC"/>
    <w:rsid w:val="007F610F"/>
    <w:rsid w:val="00801184"/>
    <w:rsid w:val="00803A60"/>
    <w:rsid w:val="00807261"/>
    <w:rsid w:val="0081219D"/>
    <w:rsid w:val="0081535C"/>
    <w:rsid w:val="008178B6"/>
    <w:rsid w:val="00822820"/>
    <w:rsid w:val="00822E9D"/>
    <w:rsid w:val="008237B7"/>
    <w:rsid w:val="00833A16"/>
    <w:rsid w:val="0083581C"/>
    <w:rsid w:val="00835BA1"/>
    <w:rsid w:val="0083625E"/>
    <w:rsid w:val="008401AC"/>
    <w:rsid w:val="00840577"/>
    <w:rsid w:val="008437EC"/>
    <w:rsid w:val="00843D63"/>
    <w:rsid w:val="008466C7"/>
    <w:rsid w:val="008504C9"/>
    <w:rsid w:val="0085191C"/>
    <w:rsid w:val="00852765"/>
    <w:rsid w:val="008544A8"/>
    <w:rsid w:val="008602DD"/>
    <w:rsid w:val="008643FC"/>
    <w:rsid w:val="00865B74"/>
    <w:rsid w:val="00865CF1"/>
    <w:rsid w:val="0086746D"/>
    <w:rsid w:val="00867A19"/>
    <w:rsid w:val="008742A7"/>
    <w:rsid w:val="0087468D"/>
    <w:rsid w:val="0088378E"/>
    <w:rsid w:val="00884A6E"/>
    <w:rsid w:val="00886446"/>
    <w:rsid w:val="00887A59"/>
    <w:rsid w:val="0089270E"/>
    <w:rsid w:val="00895088"/>
    <w:rsid w:val="008972EB"/>
    <w:rsid w:val="008A109B"/>
    <w:rsid w:val="008A1F2B"/>
    <w:rsid w:val="008A277B"/>
    <w:rsid w:val="008A2D07"/>
    <w:rsid w:val="008A4D71"/>
    <w:rsid w:val="008A697F"/>
    <w:rsid w:val="008B141D"/>
    <w:rsid w:val="008B1C79"/>
    <w:rsid w:val="008B3949"/>
    <w:rsid w:val="008B48EA"/>
    <w:rsid w:val="008B7F08"/>
    <w:rsid w:val="008C0440"/>
    <w:rsid w:val="008C0EC6"/>
    <w:rsid w:val="008C6709"/>
    <w:rsid w:val="008C7028"/>
    <w:rsid w:val="008D1BC3"/>
    <w:rsid w:val="008D2153"/>
    <w:rsid w:val="008D2395"/>
    <w:rsid w:val="008D301E"/>
    <w:rsid w:val="008D3068"/>
    <w:rsid w:val="008D31B6"/>
    <w:rsid w:val="008D4FA1"/>
    <w:rsid w:val="008E2E8D"/>
    <w:rsid w:val="008E3DFD"/>
    <w:rsid w:val="008E496D"/>
    <w:rsid w:val="008F753F"/>
    <w:rsid w:val="00900FEC"/>
    <w:rsid w:val="0090158D"/>
    <w:rsid w:val="009044D1"/>
    <w:rsid w:val="00905E23"/>
    <w:rsid w:val="009076A5"/>
    <w:rsid w:val="00912917"/>
    <w:rsid w:val="009140DC"/>
    <w:rsid w:val="00915206"/>
    <w:rsid w:val="00915A85"/>
    <w:rsid w:val="00916008"/>
    <w:rsid w:val="00916980"/>
    <w:rsid w:val="00917236"/>
    <w:rsid w:val="009233F8"/>
    <w:rsid w:val="009239BE"/>
    <w:rsid w:val="009245C8"/>
    <w:rsid w:val="009252C6"/>
    <w:rsid w:val="00927B44"/>
    <w:rsid w:val="00930720"/>
    <w:rsid w:val="00930BA1"/>
    <w:rsid w:val="0093169E"/>
    <w:rsid w:val="009326DA"/>
    <w:rsid w:val="00932719"/>
    <w:rsid w:val="00933C8E"/>
    <w:rsid w:val="009361FF"/>
    <w:rsid w:val="00940528"/>
    <w:rsid w:val="00946A0D"/>
    <w:rsid w:val="00946A25"/>
    <w:rsid w:val="009505C9"/>
    <w:rsid w:val="009521B9"/>
    <w:rsid w:val="00957C97"/>
    <w:rsid w:val="009601C1"/>
    <w:rsid w:val="00960E0F"/>
    <w:rsid w:val="00961DB4"/>
    <w:rsid w:val="0096375E"/>
    <w:rsid w:val="00964A2D"/>
    <w:rsid w:val="00965AA3"/>
    <w:rsid w:val="00965C19"/>
    <w:rsid w:val="0096645B"/>
    <w:rsid w:val="00970003"/>
    <w:rsid w:val="00974DC3"/>
    <w:rsid w:val="00975BC8"/>
    <w:rsid w:val="0097601F"/>
    <w:rsid w:val="00980A30"/>
    <w:rsid w:val="009812D0"/>
    <w:rsid w:val="00982E4A"/>
    <w:rsid w:val="009842EF"/>
    <w:rsid w:val="00984D76"/>
    <w:rsid w:val="00985D98"/>
    <w:rsid w:val="00990100"/>
    <w:rsid w:val="0099191A"/>
    <w:rsid w:val="00991E00"/>
    <w:rsid w:val="009A04A4"/>
    <w:rsid w:val="009A096F"/>
    <w:rsid w:val="009A1A7F"/>
    <w:rsid w:val="009A3203"/>
    <w:rsid w:val="009A5873"/>
    <w:rsid w:val="009A5912"/>
    <w:rsid w:val="009B44A4"/>
    <w:rsid w:val="009B614B"/>
    <w:rsid w:val="009B6519"/>
    <w:rsid w:val="009B6AA5"/>
    <w:rsid w:val="009B70CB"/>
    <w:rsid w:val="009C1C8E"/>
    <w:rsid w:val="009C315C"/>
    <w:rsid w:val="009C4942"/>
    <w:rsid w:val="009C7C7E"/>
    <w:rsid w:val="009D1B8C"/>
    <w:rsid w:val="009D71A0"/>
    <w:rsid w:val="009D77C5"/>
    <w:rsid w:val="009D7C20"/>
    <w:rsid w:val="009E0C4C"/>
    <w:rsid w:val="009E37BE"/>
    <w:rsid w:val="009E488A"/>
    <w:rsid w:val="009E5A9A"/>
    <w:rsid w:val="009F0421"/>
    <w:rsid w:val="009F14F8"/>
    <w:rsid w:val="009F1A20"/>
    <w:rsid w:val="009F23F4"/>
    <w:rsid w:val="009F64CE"/>
    <w:rsid w:val="009F66FF"/>
    <w:rsid w:val="009F69FC"/>
    <w:rsid w:val="00A00E46"/>
    <w:rsid w:val="00A0110B"/>
    <w:rsid w:val="00A01141"/>
    <w:rsid w:val="00A03567"/>
    <w:rsid w:val="00A04F9B"/>
    <w:rsid w:val="00A04FDC"/>
    <w:rsid w:val="00A05534"/>
    <w:rsid w:val="00A0598C"/>
    <w:rsid w:val="00A06032"/>
    <w:rsid w:val="00A079E4"/>
    <w:rsid w:val="00A07D27"/>
    <w:rsid w:val="00A10060"/>
    <w:rsid w:val="00A11B64"/>
    <w:rsid w:val="00A128EF"/>
    <w:rsid w:val="00A12FDF"/>
    <w:rsid w:val="00A13F38"/>
    <w:rsid w:val="00A15B1F"/>
    <w:rsid w:val="00A16230"/>
    <w:rsid w:val="00A202BB"/>
    <w:rsid w:val="00A237FF"/>
    <w:rsid w:val="00A25532"/>
    <w:rsid w:val="00A2614F"/>
    <w:rsid w:val="00A2705B"/>
    <w:rsid w:val="00A30F12"/>
    <w:rsid w:val="00A320D0"/>
    <w:rsid w:val="00A32B9F"/>
    <w:rsid w:val="00A33EDA"/>
    <w:rsid w:val="00A3416C"/>
    <w:rsid w:val="00A35044"/>
    <w:rsid w:val="00A36C32"/>
    <w:rsid w:val="00A37020"/>
    <w:rsid w:val="00A433EA"/>
    <w:rsid w:val="00A43A8A"/>
    <w:rsid w:val="00A445C1"/>
    <w:rsid w:val="00A4503D"/>
    <w:rsid w:val="00A46B3A"/>
    <w:rsid w:val="00A4704A"/>
    <w:rsid w:val="00A478F5"/>
    <w:rsid w:val="00A4793A"/>
    <w:rsid w:val="00A5377A"/>
    <w:rsid w:val="00A555A4"/>
    <w:rsid w:val="00A6102C"/>
    <w:rsid w:val="00A64FB1"/>
    <w:rsid w:val="00A66441"/>
    <w:rsid w:val="00A66C70"/>
    <w:rsid w:val="00A71408"/>
    <w:rsid w:val="00A74165"/>
    <w:rsid w:val="00A7519D"/>
    <w:rsid w:val="00A7660B"/>
    <w:rsid w:val="00A83AD7"/>
    <w:rsid w:val="00A83BA4"/>
    <w:rsid w:val="00A83C04"/>
    <w:rsid w:val="00A83C49"/>
    <w:rsid w:val="00A84D65"/>
    <w:rsid w:val="00A85411"/>
    <w:rsid w:val="00A86021"/>
    <w:rsid w:val="00A8649E"/>
    <w:rsid w:val="00A90656"/>
    <w:rsid w:val="00A913CA"/>
    <w:rsid w:val="00A94081"/>
    <w:rsid w:val="00A96C61"/>
    <w:rsid w:val="00A9757C"/>
    <w:rsid w:val="00AA02C1"/>
    <w:rsid w:val="00AA0C1E"/>
    <w:rsid w:val="00AA0D58"/>
    <w:rsid w:val="00AA246E"/>
    <w:rsid w:val="00AA4408"/>
    <w:rsid w:val="00AB0A81"/>
    <w:rsid w:val="00AB105F"/>
    <w:rsid w:val="00AB2B6C"/>
    <w:rsid w:val="00AB40BC"/>
    <w:rsid w:val="00AB516F"/>
    <w:rsid w:val="00AB5D31"/>
    <w:rsid w:val="00AB6E25"/>
    <w:rsid w:val="00AC0AC7"/>
    <w:rsid w:val="00AC21AD"/>
    <w:rsid w:val="00AC3281"/>
    <w:rsid w:val="00AC42D4"/>
    <w:rsid w:val="00AC4E13"/>
    <w:rsid w:val="00AC5EC9"/>
    <w:rsid w:val="00AC7780"/>
    <w:rsid w:val="00AC7F2A"/>
    <w:rsid w:val="00AD432D"/>
    <w:rsid w:val="00AD4F57"/>
    <w:rsid w:val="00AD6514"/>
    <w:rsid w:val="00AD6999"/>
    <w:rsid w:val="00AD7607"/>
    <w:rsid w:val="00AD7E7A"/>
    <w:rsid w:val="00AE368E"/>
    <w:rsid w:val="00AE3D55"/>
    <w:rsid w:val="00AE4174"/>
    <w:rsid w:val="00AE7859"/>
    <w:rsid w:val="00AF3578"/>
    <w:rsid w:val="00AF582D"/>
    <w:rsid w:val="00AF61DD"/>
    <w:rsid w:val="00B018E0"/>
    <w:rsid w:val="00B04D06"/>
    <w:rsid w:val="00B04DF6"/>
    <w:rsid w:val="00B07B4D"/>
    <w:rsid w:val="00B12866"/>
    <w:rsid w:val="00B13DA0"/>
    <w:rsid w:val="00B15FB4"/>
    <w:rsid w:val="00B16BDC"/>
    <w:rsid w:val="00B214EE"/>
    <w:rsid w:val="00B25D3E"/>
    <w:rsid w:val="00B261BC"/>
    <w:rsid w:val="00B32BD7"/>
    <w:rsid w:val="00B33472"/>
    <w:rsid w:val="00B3369F"/>
    <w:rsid w:val="00B346D2"/>
    <w:rsid w:val="00B4329B"/>
    <w:rsid w:val="00B436BB"/>
    <w:rsid w:val="00B445EC"/>
    <w:rsid w:val="00B4543F"/>
    <w:rsid w:val="00B53F3D"/>
    <w:rsid w:val="00B578CC"/>
    <w:rsid w:val="00B614C3"/>
    <w:rsid w:val="00B63EC7"/>
    <w:rsid w:val="00B65225"/>
    <w:rsid w:val="00B666CB"/>
    <w:rsid w:val="00B738F0"/>
    <w:rsid w:val="00B8128A"/>
    <w:rsid w:val="00B81D64"/>
    <w:rsid w:val="00B837DD"/>
    <w:rsid w:val="00B844A6"/>
    <w:rsid w:val="00B857B2"/>
    <w:rsid w:val="00B91A58"/>
    <w:rsid w:val="00B94539"/>
    <w:rsid w:val="00B9483F"/>
    <w:rsid w:val="00B94F9B"/>
    <w:rsid w:val="00BA0D91"/>
    <w:rsid w:val="00BA13B4"/>
    <w:rsid w:val="00BA1E4E"/>
    <w:rsid w:val="00BA59AB"/>
    <w:rsid w:val="00BA74CA"/>
    <w:rsid w:val="00BA769C"/>
    <w:rsid w:val="00BB0952"/>
    <w:rsid w:val="00BB154E"/>
    <w:rsid w:val="00BB3A41"/>
    <w:rsid w:val="00BB43B8"/>
    <w:rsid w:val="00BB54DA"/>
    <w:rsid w:val="00BC0422"/>
    <w:rsid w:val="00BC1363"/>
    <w:rsid w:val="00BC3C4C"/>
    <w:rsid w:val="00BC3D59"/>
    <w:rsid w:val="00BC444F"/>
    <w:rsid w:val="00BC6F27"/>
    <w:rsid w:val="00BC75D4"/>
    <w:rsid w:val="00BD1D69"/>
    <w:rsid w:val="00BD2287"/>
    <w:rsid w:val="00BD5697"/>
    <w:rsid w:val="00BD67C8"/>
    <w:rsid w:val="00BD742E"/>
    <w:rsid w:val="00BD7A4B"/>
    <w:rsid w:val="00BE0B52"/>
    <w:rsid w:val="00BE1472"/>
    <w:rsid w:val="00BE148D"/>
    <w:rsid w:val="00BE1DE1"/>
    <w:rsid w:val="00BE3580"/>
    <w:rsid w:val="00BE3626"/>
    <w:rsid w:val="00BE4163"/>
    <w:rsid w:val="00BE5761"/>
    <w:rsid w:val="00BE5A3D"/>
    <w:rsid w:val="00BE6AB4"/>
    <w:rsid w:val="00BE6E93"/>
    <w:rsid w:val="00BE701D"/>
    <w:rsid w:val="00BF0B58"/>
    <w:rsid w:val="00BF6538"/>
    <w:rsid w:val="00BF6C2C"/>
    <w:rsid w:val="00BF7B9F"/>
    <w:rsid w:val="00C001DF"/>
    <w:rsid w:val="00C0025A"/>
    <w:rsid w:val="00C00A33"/>
    <w:rsid w:val="00C01945"/>
    <w:rsid w:val="00C0325E"/>
    <w:rsid w:val="00C05BDC"/>
    <w:rsid w:val="00C07AE8"/>
    <w:rsid w:val="00C10072"/>
    <w:rsid w:val="00C107BB"/>
    <w:rsid w:val="00C11C07"/>
    <w:rsid w:val="00C1318B"/>
    <w:rsid w:val="00C1415A"/>
    <w:rsid w:val="00C16CAC"/>
    <w:rsid w:val="00C20A1B"/>
    <w:rsid w:val="00C23236"/>
    <w:rsid w:val="00C2394D"/>
    <w:rsid w:val="00C24AB7"/>
    <w:rsid w:val="00C30B06"/>
    <w:rsid w:val="00C345ED"/>
    <w:rsid w:val="00C34EA8"/>
    <w:rsid w:val="00C35283"/>
    <w:rsid w:val="00C374C2"/>
    <w:rsid w:val="00C42A0B"/>
    <w:rsid w:val="00C437B0"/>
    <w:rsid w:val="00C450E7"/>
    <w:rsid w:val="00C45BED"/>
    <w:rsid w:val="00C51FC3"/>
    <w:rsid w:val="00C52AFE"/>
    <w:rsid w:val="00C55412"/>
    <w:rsid w:val="00C570B0"/>
    <w:rsid w:val="00C57545"/>
    <w:rsid w:val="00C5776C"/>
    <w:rsid w:val="00C579C8"/>
    <w:rsid w:val="00C61DFB"/>
    <w:rsid w:val="00C622B0"/>
    <w:rsid w:val="00C633EE"/>
    <w:rsid w:val="00C6468B"/>
    <w:rsid w:val="00C651DF"/>
    <w:rsid w:val="00C66004"/>
    <w:rsid w:val="00C66C20"/>
    <w:rsid w:val="00C74477"/>
    <w:rsid w:val="00C7512A"/>
    <w:rsid w:val="00C759BB"/>
    <w:rsid w:val="00C76AE0"/>
    <w:rsid w:val="00C77B60"/>
    <w:rsid w:val="00C81DF5"/>
    <w:rsid w:val="00C83E7F"/>
    <w:rsid w:val="00C91203"/>
    <w:rsid w:val="00C91262"/>
    <w:rsid w:val="00C9161D"/>
    <w:rsid w:val="00C91868"/>
    <w:rsid w:val="00C937BC"/>
    <w:rsid w:val="00C94307"/>
    <w:rsid w:val="00CA1F6A"/>
    <w:rsid w:val="00CA4E14"/>
    <w:rsid w:val="00CA6A24"/>
    <w:rsid w:val="00CA6B94"/>
    <w:rsid w:val="00CB1838"/>
    <w:rsid w:val="00CB2550"/>
    <w:rsid w:val="00CB36C2"/>
    <w:rsid w:val="00CB58AC"/>
    <w:rsid w:val="00CB71A2"/>
    <w:rsid w:val="00CC0521"/>
    <w:rsid w:val="00CC0DAC"/>
    <w:rsid w:val="00CC120B"/>
    <w:rsid w:val="00CC1817"/>
    <w:rsid w:val="00CC28FE"/>
    <w:rsid w:val="00CC3DE5"/>
    <w:rsid w:val="00CC7E36"/>
    <w:rsid w:val="00CD1485"/>
    <w:rsid w:val="00CD5354"/>
    <w:rsid w:val="00CD68E9"/>
    <w:rsid w:val="00CE0A7C"/>
    <w:rsid w:val="00CE1032"/>
    <w:rsid w:val="00CE1347"/>
    <w:rsid w:val="00CE1A01"/>
    <w:rsid w:val="00CE21B9"/>
    <w:rsid w:val="00CE37E7"/>
    <w:rsid w:val="00CE5315"/>
    <w:rsid w:val="00CE5ECF"/>
    <w:rsid w:val="00CE6205"/>
    <w:rsid w:val="00CE69A8"/>
    <w:rsid w:val="00CE75AE"/>
    <w:rsid w:val="00CF15D4"/>
    <w:rsid w:val="00CF1848"/>
    <w:rsid w:val="00CF28F6"/>
    <w:rsid w:val="00CF3020"/>
    <w:rsid w:val="00CF603A"/>
    <w:rsid w:val="00CF710E"/>
    <w:rsid w:val="00CF7487"/>
    <w:rsid w:val="00CF7D0F"/>
    <w:rsid w:val="00D004FA"/>
    <w:rsid w:val="00D01805"/>
    <w:rsid w:val="00D0187A"/>
    <w:rsid w:val="00D020FA"/>
    <w:rsid w:val="00D0298C"/>
    <w:rsid w:val="00D05CD4"/>
    <w:rsid w:val="00D06A31"/>
    <w:rsid w:val="00D07DAF"/>
    <w:rsid w:val="00D10114"/>
    <w:rsid w:val="00D12044"/>
    <w:rsid w:val="00D13562"/>
    <w:rsid w:val="00D17B35"/>
    <w:rsid w:val="00D24B8B"/>
    <w:rsid w:val="00D329C4"/>
    <w:rsid w:val="00D35BA2"/>
    <w:rsid w:val="00D3730C"/>
    <w:rsid w:val="00D40206"/>
    <w:rsid w:val="00D40661"/>
    <w:rsid w:val="00D43234"/>
    <w:rsid w:val="00D43327"/>
    <w:rsid w:val="00D435C4"/>
    <w:rsid w:val="00D43FF2"/>
    <w:rsid w:val="00D5061B"/>
    <w:rsid w:val="00D50FFC"/>
    <w:rsid w:val="00D53106"/>
    <w:rsid w:val="00D54044"/>
    <w:rsid w:val="00D54BA8"/>
    <w:rsid w:val="00D56001"/>
    <w:rsid w:val="00D5631D"/>
    <w:rsid w:val="00D57925"/>
    <w:rsid w:val="00D57AD0"/>
    <w:rsid w:val="00D601A7"/>
    <w:rsid w:val="00D64954"/>
    <w:rsid w:val="00D64982"/>
    <w:rsid w:val="00D6597C"/>
    <w:rsid w:val="00D66F89"/>
    <w:rsid w:val="00D67654"/>
    <w:rsid w:val="00D702AE"/>
    <w:rsid w:val="00D70BC4"/>
    <w:rsid w:val="00D72063"/>
    <w:rsid w:val="00D74653"/>
    <w:rsid w:val="00D753CB"/>
    <w:rsid w:val="00D76A18"/>
    <w:rsid w:val="00D771FC"/>
    <w:rsid w:val="00D822D8"/>
    <w:rsid w:val="00D838CD"/>
    <w:rsid w:val="00D83F18"/>
    <w:rsid w:val="00D84DA0"/>
    <w:rsid w:val="00D9155F"/>
    <w:rsid w:val="00D92E03"/>
    <w:rsid w:val="00D9510E"/>
    <w:rsid w:val="00DA01EF"/>
    <w:rsid w:val="00DA142D"/>
    <w:rsid w:val="00DA3567"/>
    <w:rsid w:val="00DA36E9"/>
    <w:rsid w:val="00DA5EC8"/>
    <w:rsid w:val="00DA6398"/>
    <w:rsid w:val="00DB15F5"/>
    <w:rsid w:val="00DB17FD"/>
    <w:rsid w:val="00DB18CF"/>
    <w:rsid w:val="00DB251A"/>
    <w:rsid w:val="00DB6FDD"/>
    <w:rsid w:val="00DC6236"/>
    <w:rsid w:val="00DD118C"/>
    <w:rsid w:val="00DD4680"/>
    <w:rsid w:val="00DD7EC9"/>
    <w:rsid w:val="00DE271B"/>
    <w:rsid w:val="00DE3BB3"/>
    <w:rsid w:val="00DE7960"/>
    <w:rsid w:val="00DF1F5F"/>
    <w:rsid w:val="00DF2AA8"/>
    <w:rsid w:val="00DF2C7A"/>
    <w:rsid w:val="00DF306F"/>
    <w:rsid w:val="00DF429E"/>
    <w:rsid w:val="00DF442F"/>
    <w:rsid w:val="00DF4B5E"/>
    <w:rsid w:val="00DF52A1"/>
    <w:rsid w:val="00DF67CF"/>
    <w:rsid w:val="00DF73DF"/>
    <w:rsid w:val="00DF7568"/>
    <w:rsid w:val="00E01E00"/>
    <w:rsid w:val="00E02158"/>
    <w:rsid w:val="00E04BC8"/>
    <w:rsid w:val="00E11A41"/>
    <w:rsid w:val="00E11A53"/>
    <w:rsid w:val="00E13A46"/>
    <w:rsid w:val="00E14B2C"/>
    <w:rsid w:val="00E15B67"/>
    <w:rsid w:val="00E16233"/>
    <w:rsid w:val="00E165D0"/>
    <w:rsid w:val="00E166BA"/>
    <w:rsid w:val="00E2110C"/>
    <w:rsid w:val="00E21F92"/>
    <w:rsid w:val="00E22643"/>
    <w:rsid w:val="00E22AD9"/>
    <w:rsid w:val="00E242D0"/>
    <w:rsid w:val="00E2430D"/>
    <w:rsid w:val="00E24923"/>
    <w:rsid w:val="00E25DBC"/>
    <w:rsid w:val="00E2733A"/>
    <w:rsid w:val="00E273F7"/>
    <w:rsid w:val="00E300A7"/>
    <w:rsid w:val="00E3051D"/>
    <w:rsid w:val="00E30B24"/>
    <w:rsid w:val="00E30D1B"/>
    <w:rsid w:val="00E33002"/>
    <w:rsid w:val="00E33579"/>
    <w:rsid w:val="00E352E4"/>
    <w:rsid w:val="00E3546E"/>
    <w:rsid w:val="00E428A8"/>
    <w:rsid w:val="00E43288"/>
    <w:rsid w:val="00E4364E"/>
    <w:rsid w:val="00E46162"/>
    <w:rsid w:val="00E512A7"/>
    <w:rsid w:val="00E5191B"/>
    <w:rsid w:val="00E53164"/>
    <w:rsid w:val="00E53B27"/>
    <w:rsid w:val="00E55BB6"/>
    <w:rsid w:val="00E55ED5"/>
    <w:rsid w:val="00E572F9"/>
    <w:rsid w:val="00E5744A"/>
    <w:rsid w:val="00E60CFF"/>
    <w:rsid w:val="00E618C2"/>
    <w:rsid w:val="00E61D40"/>
    <w:rsid w:val="00E645ED"/>
    <w:rsid w:val="00E65EF8"/>
    <w:rsid w:val="00E66235"/>
    <w:rsid w:val="00E720D5"/>
    <w:rsid w:val="00E7470A"/>
    <w:rsid w:val="00E755CD"/>
    <w:rsid w:val="00E77073"/>
    <w:rsid w:val="00E80570"/>
    <w:rsid w:val="00E83C24"/>
    <w:rsid w:val="00E84095"/>
    <w:rsid w:val="00E840B6"/>
    <w:rsid w:val="00E8496B"/>
    <w:rsid w:val="00E8544B"/>
    <w:rsid w:val="00E85915"/>
    <w:rsid w:val="00E86737"/>
    <w:rsid w:val="00E874ED"/>
    <w:rsid w:val="00E92C5E"/>
    <w:rsid w:val="00E9318D"/>
    <w:rsid w:val="00E9736B"/>
    <w:rsid w:val="00EA0D90"/>
    <w:rsid w:val="00EA1E37"/>
    <w:rsid w:val="00EA63EC"/>
    <w:rsid w:val="00EA776B"/>
    <w:rsid w:val="00EB125E"/>
    <w:rsid w:val="00EB353D"/>
    <w:rsid w:val="00EB4110"/>
    <w:rsid w:val="00EC0459"/>
    <w:rsid w:val="00EC0FAB"/>
    <w:rsid w:val="00EC126F"/>
    <w:rsid w:val="00EC4454"/>
    <w:rsid w:val="00EC777A"/>
    <w:rsid w:val="00ED2002"/>
    <w:rsid w:val="00ED415D"/>
    <w:rsid w:val="00ED50AF"/>
    <w:rsid w:val="00ED5450"/>
    <w:rsid w:val="00ED6ECC"/>
    <w:rsid w:val="00ED7E67"/>
    <w:rsid w:val="00EE2C92"/>
    <w:rsid w:val="00EE3D29"/>
    <w:rsid w:val="00EE77BD"/>
    <w:rsid w:val="00EE7953"/>
    <w:rsid w:val="00EE7AD4"/>
    <w:rsid w:val="00EE7C01"/>
    <w:rsid w:val="00F0131D"/>
    <w:rsid w:val="00F061C4"/>
    <w:rsid w:val="00F11B0B"/>
    <w:rsid w:val="00F207BD"/>
    <w:rsid w:val="00F212EB"/>
    <w:rsid w:val="00F2135B"/>
    <w:rsid w:val="00F21E07"/>
    <w:rsid w:val="00F23EC2"/>
    <w:rsid w:val="00F24409"/>
    <w:rsid w:val="00F25642"/>
    <w:rsid w:val="00F30D57"/>
    <w:rsid w:val="00F31A97"/>
    <w:rsid w:val="00F33E1A"/>
    <w:rsid w:val="00F35050"/>
    <w:rsid w:val="00F36A1E"/>
    <w:rsid w:val="00F418C2"/>
    <w:rsid w:val="00F42C6B"/>
    <w:rsid w:val="00F434F7"/>
    <w:rsid w:val="00F446AB"/>
    <w:rsid w:val="00F461BC"/>
    <w:rsid w:val="00F46D7F"/>
    <w:rsid w:val="00F52B9E"/>
    <w:rsid w:val="00F53289"/>
    <w:rsid w:val="00F542BC"/>
    <w:rsid w:val="00F56D90"/>
    <w:rsid w:val="00F57BD9"/>
    <w:rsid w:val="00F61708"/>
    <w:rsid w:val="00F61E6C"/>
    <w:rsid w:val="00F6237F"/>
    <w:rsid w:val="00F67157"/>
    <w:rsid w:val="00F71002"/>
    <w:rsid w:val="00F72F36"/>
    <w:rsid w:val="00F73D77"/>
    <w:rsid w:val="00F73E81"/>
    <w:rsid w:val="00F76273"/>
    <w:rsid w:val="00F775D1"/>
    <w:rsid w:val="00F81F83"/>
    <w:rsid w:val="00F82517"/>
    <w:rsid w:val="00F82B04"/>
    <w:rsid w:val="00F86638"/>
    <w:rsid w:val="00F878AC"/>
    <w:rsid w:val="00F91A87"/>
    <w:rsid w:val="00F932DE"/>
    <w:rsid w:val="00F944D8"/>
    <w:rsid w:val="00F94774"/>
    <w:rsid w:val="00F95027"/>
    <w:rsid w:val="00F9606C"/>
    <w:rsid w:val="00FA1E4B"/>
    <w:rsid w:val="00FA3A03"/>
    <w:rsid w:val="00FA5983"/>
    <w:rsid w:val="00FA7000"/>
    <w:rsid w:val="00FA7BAE"/>
    <w:rsid w:val="00FB1ADD"/>
    <w:rsid w:val="00FB3032"/>
    <w:rsid w:val="00FB3545"/>
    <w:rsid w:val="00FB48B1"/>
    <w:rsid w:val="00FB6CA2"/>
    <w:rsid w:val="00FB7D16"/>
    <w:rsid w:val="00FC1046"/>
    <w:rsid w:val="00FC183F"/>
    <w:rsid w:val="00FC4477"/>
    <w:rsid w:val="00FC53DB"/>
    <w:rsid w:val="00FC5AE8"/>
    <w:rsid w:val="00FC6EFB"/>
    <w:rsid w:val="00FC7E09"/>
    <w:rsid w:val="00FD0CD1"/>
    <w:rsid w:val="00FD1A3C"/>
    <w:rsid w:val="00FD2618"/>
    <w:rsid w:val="00FD5A0E"/>
    <w:rsid w:val="00FD75B2"/>
    <w:rsid w:val="00FE0C10"/>
    <w:rsid w:val="00FE19F9"/>
    <w:rsid w:val="00FE27E4"/>
    <w:rsid w:val="00FE3179"/>
    <w:rsid w:val="00FE4DC9"/>
    <w:rsid w:val="00FF1C1B"/>
    <w:rsid w:val="00FF22B6"/>
    <w:rsid w:val="00FF2E3C"/>
    <w:rsid w:val="00FF769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DE932C"/>
  <w15:docId w15:val="{FE8B27FF-15A6-45CB-A341-B815A9CA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CBD-ParaCharChar">
    <w:name w:val="CBD-Para Char Char"/>
    <w:link w:val="CBD-Para"/>
    <w:uiPriority w:val="99"/>
    <w:locked/>
    <w:rsid w:val="00B04DF6"/>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C66004"/>
    <w:pPr>
      <w:keepLines/>
      <w:numPr>
        <w:numId w:val="19"/>
      </w:numPr>
      <w:spacing w:before="120" w:after="120"/>
    </w:pPr>
    <w:rPr>
      <w:szCs w:val="22"/>
      <w:lang w:val="en-US"/>
    </w:rPr>
  </w:style>
  <w:style w:type="paragraph" w:customStyle="1" w:styleId="CBD-Para-a">
    <w:name w:val="CBD-Para-a"/>
    <w:basedOn w:val="CBD-Para"/>
    <w:rsid w:val="00B04DF6"/>
    <w:pPr>
      <w:numPr>
        <w:ilvl w:val="1"/>
        <w:numId w:val="20"/>
      </w:numPr>
      <w:tabs>
        <w:tab w:val="num" w:pos="2160"/>
      </w:tabs>
      <w:spacing w:before="60" w:after="60"/>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B04DF6"/>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E8057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80570"/>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4C1851"/>
    <w:rPr>
      <w:color w:val="605E5C"/>
      <w:shd w:val="clear" w:color="auto" w:fill="E1DFDD"/>
    </w:rPr>
  </w:style>
  <w:style w:type="paragraph" w:styleId="Revision">
    <w:name w:val="Revision"/>
    <w:hidden/>
    <w:uiPriority w:val="99"/>
    <w:semiHidden/>
    <w:rsid w:val="001B118B"/>
    <w:rPr>
      <w:rFonts w:ascii="Times New Roman" w:eastAsia="Times New Roman" w:hAnsi="Times New Roman" w:cs="Times New Roman"/>
      <w:sz w:val="22"/>
      <w:lang w:val="en-GB"/>
    </w:rPr>
  </w:style>
  <w:style w:type="paragraph" w:customStyle="1" w:styleId="Style1">
    <w:name w:val="Style1"/>
    <w:basedOn w:val="Heading2"/>
    <w:qFormat/>
    <w:rsid w:val="000E040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3463">
      <w:bodyDiv w:val="1"/>
      <w:marLeft w:val="0"/>
      <w:marRight w:val="0"/>
      <w:marTop w:val="0"/>
      <w:marBottom w:val="0"/>
      <w:divBdr>
        <w:top w:val="none" w:sz="0" w:space="0" w:color="auto"/>
        <w:left w:val="none" w:sz="0" w:space="0" w:color="auto"/>
        <w:bottom w:val="none" w:sz="0" w:space="0" w:color="auto"/>
        <w:right w:val="none" w:sz="0" w:space="0" w:color="auto"/>
      </w:divBdr>
      <w:divsChild>
        <w:div w:id="1309478189">
          <w:marLeft w:val="0"/>
          <w:marRight w:val="0"/>
          <w:marTop w:val="0"/>
          <w:marBottom w:val="0"/>
          <w:divBdr>
            <w:top w:val="none" w:sz="0" w:space="0" w:color="auto"/>
            <w:left w:val="none" w:sz="0" w:space="0" w:color="auto"/>
            <w:bottom w:val="none" w:sz="0" w:space="0" w:color="auto"/>
            <w:right w:val="none" w:sz="0" w:space="0" w:color="auto"/>
          </w:divBdr>
        </w:div>
      </w:divsChild>
    </w:div>
    <w:div w:id="1190489057">
      <w:bodyDiv w:val="1"/>
      <w:marLeft w:val="0"/>
      <w:marRight w:val="0"/>
      <w:marTop w:val="0"/>
      <w:marBottom w:val="0"/>
      <w:divBdr>
        <w:top w:val="none" w:sz="0" w:space="0" w:color="auto"/>
        <w:left w:val="none" w:sz="0" w:space="0" w:color="auto"/>
        <w:bottom w:val="none" w:sz="0" w:space="0" w:color="auto"/>
        <w:right w:val="none" w:sz="0" w:space="0" w:color="auto"/>
      </w:divBdr>
      <w:divsChild>
        <w:div w:id="724909012">
          <w:marLeft w:val="0"/>
          <w:marRight w:val="0"/>
          <w:marTop w:val="0"/>
          <w:marBottom w:val="0"/>
          <w:divBdr>
            <w:top w:val="none" w:sz="0" w:space="0" w:color="auto"/>
            <w:left w:val="none" w:sz="0" w:space="0" w:color="auto"/>
            <w:bottom w:val="none" w:sz="0" w:space="0" w:color="auto"/>
            <w:right w:val="none" w:sz="0" w:space="0" w:color="auto"/>
          </w:divBdr>
        </w:div>
      </w:divsChild>
    </w:div>
    <w:div w:id="1574509080">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recommendations/sbstta-23/sbstta-23-rec-06-en.pdf" TargetMode="External"/><Relationship Id="rId2" Type="http://schemas.openxmlformats.org/officeDocument/2006/relationships/customXml" Target="../customXml/item2.xml"/><Relationship Id="rId16" Type="http://schemas.openxmlformats.org/officeDocument/2006/relationships/hyperlink" Target="https://www.cbd.int/doc/decisions/cop-12/cop-12-dec-02-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1/cop-11-dec-02-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19/information/sbstta-19-inf-13-en.pdf" TargetMode="External"/><Relationship Id="rId3" Type="http://schemas.openxmlformats.org/officeDocument/2006/relationships/hyperlink" Target="https://www.cbd.int/doc/meetings/wgri/wgri-05/official/wgri-05-03-add1-en.pdf" TargetMode="External"/><Relationship Id="rId7" Type="http://schemas.openxmlformats.org/officeDocument/2006/relationships/hyperlink" Target="https://www.cbd.int/doc/c/2bb9/93c2/37bfbef3a4a5b8f146fa00e0/sbi-03-08-add1-en.pdf" TargetMode="External"/><Relationship Id="rId12" Type="http://schemas.openxmlformats.org/officeDocument/2006/relationships/hyperlink" Target="https://www.cbd.int/doc/meetings/wgri/wgri-05/information/wgri-05-inf-02-en.pdf" TargetMode="External"/><Relationship Id="rId2" Type="http://schemas.openxmlformats.org/officeDocument/2006/relationships/hyperlink" Target="https://www.cbd.int/doc/meetings/cop/cop-13/information/cop-13-inf-22-en.pdf" TargetMode="External"/><Relationship Id="rId1" Type="http://schemas.openxmlformats.org/officeDocument/2006/relationships/hyperlink" Target="https://www.cbd.int/doc/c/e36d/fdb8/fa8e366fbbceabb670a14c2e/sbstta-23-06-en.pdf" TargetMode="External"/><Relationship Id="rId6" Type="http://schemas.openxmlformats.org/officeDocument/2006/relationships/hyperlink" Target="https://digitallibrary.un.org/record/826679?ln=en" TargetMode="External"/><Relationship Id="rId11" Type="http://schemas.openxmlformats.org/officeDocument/2006/relationships/hyperlink" Target="https://www.cbd.int/doc/meetings/wgri/wgri-05/official/wgri-05-03-add1-en.pdf" TargetMode="External"/><Relationship Id="rId5" Type="http://schemas.openxmlformats.org/officeDocument/2006/relationships/hyperlink" Target="https://www.cbd.int/doc/meetings/wgri/wgri-03/official/wgri-03-10-en.pdf" TargetMode="External"/><Relationship Id="rId10" Type="http://schemas.openxmlformats.org/officeDocument/2006/relationships/hyperlink" Target="http://chm.pops.int/Partners/RegionalCentres/Overview/tabid/425/Default.aspx" TargetMode="External"/><Relationship Id="rId4" Type="http://schemas.openxmlformats.org/officeDocument/2006/relationships/hyperlink" Target="https://www.cbd.int/doc/meetings/cop/cop-08/official/cop-08-19-add2-en.pdf" TargetMode="External"/><Relationship Id="rId9" Type="http://schemas.openxmlformats.org/officeDocument/2006/relationships/hyperlink" Target="https://www.ctc-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0F05713B7094497293C8F3832A2DBE21"/>
        <w:category>
          <w:name w:val="General"/>
          <w:gallery w:val="placeholder"/>
        </w:category>
        <w:types>
          <w:type w:val="bbPlcHdr"/>
        </w:types>
        <w:behaviors>
          <w:behavior w:val="content"/>
        </w:behaviors>
        <w:guid w:val="{9B42EE2F-A27F-4163-819A-930D153A6B9F}"/>
      </w:docPartPr>
      <w:docPartBody>
        <w:p w:rsidR="005260E2" w:rsidRDefault="008262F8" w:rsidP="008262F8">
          <w:pPr>
            <w:pStyle w:val="0F05713B7094497293C8F3832A2DBE21"/>
          </w:pPr>
          <w:r w:rsidRPr="007E02EB">
            <w:rPr>
              <w:rStyle w:val="PlaceholderText"/>
            </w:rPr>
            <w:t>[Title]</w:t>
          </w:r>
        </w:p>
      </w:docPartBody>
    </w:docPart>
    <w:docPart>
      <w:docPartPr>
        <w:name w:val="0A4E29FF911E4397942518AB81D0DA37"/>
        <w:category>
          <w:name w:val="General"/>
          <w:gallery w:val="placeholder"/>
        </w:category>
        <w:types>
          <w:type w:val="bbPlcHdr"/>
        </w:types>
        <w:behaviors>
          <w:behavior w:val="content"/>
        </w:behaviors>
        <w:guid w:val="{D35A936A-4E46-41E4-9A54-6F0041E6B830}"/>
      </w:docPartPr>
      <w:docPartBody>
        <w:p w:rsidR="00A607ED" w:rsidRDefault="006D7542">
          <w:pPr>
            <w:pStyle w:val="0A4E29FF911E4397942518AB81D0DA37"/>
          </w:pPr>
          <w:r w:rsidRPr="002B2CB2">
            <w:rPr>
              <w:rStyle w:val="PlaceholderText"/>
              <w:lang w:val="en-US"/>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6094"/>
    <w:rsid w:val="000F67CD"/>
    <w:rsid w:val="00102D61"/>
    <w:rsid w:val="001919C1"/>
    <w:rsid w:val="00195034"/>
    <w:rsid w:val="00200ADC"/>
    <w:rsid w:val="00316E76"/>
    <w:rsid w:val="003541D8"/>
    <w:rsid w:val="003A1C40"/>
    <w:rsid w:val="003D45DA"/>
    <w:rsid w:val="003E3C81"/>
    <w:rsid w:val="00424AA9"/>
    <w:rsid w:val="004654BA"/>
    <w:rsid w:val="00497A8F"/>
    <w:rsid w:val="004D446A"/>
    <w:rsid w:val="004F74A8"/>
    <w:rsid w:val="00500A2B"/>
    <w:rsid w:val="005260E2"/>
    <w:rsid w:val="00530965"/>
    <w:rsid w:val="005375C3"/>
    <w:rsid w:val="0058288D"/>
    <w:rsid w:val="00591237"/>
    <w:rsid w:val="005B64A2"/>
    <w:rsid w:val="005D0A78"/>
    <w:rsid w:val="005D734B"/>
    <w:rsid w:val="00621473"/>
    <w:rsid w:val="00647458"/>
    <w:rsid w:val="006510F9"/>
    <w:rsid w:val="006705D8"/>
    <w:rsid w:val="00673062"/>
    <w:rsid w:val="006801B3"/>
    <w:rsid w:val="006D7542"/>
    <w:rsid w:val="00744D93"/>
    <w:rsid w:val="007A43DE"/>
    <w:rsid w:val="007B7577"/>
    <w:rsid w:val="00807F12"/>
    <w:rsid w:val="00810A55"/>
    <w:rsid w:val="00823A6D"/>
    <w:rsid w:val="008262F8"/>
    <w:rsid w:val="008C4E9F"/>
    <w:rsid w:val="008C6619"/>
    <w:rsid w:val="008D420E"/>
    <w:rsid w:val="008E5827"/>
    <w:rsid w:val="0090082F"/>
    <w:rsid w:val="00913BFD"/>
    <w:rsid w:val="0098642F"/>
    <w:rsid w:val="009B64F9"/>
    <w:rsid w:val="009F258A"/>
    <w:rsid w:val="00A3431C"/>
    <w:rsid w:val="00A607ED"/>
    <w:rsid w:val="00A63549"/>
    <w:rsid w:val="00AA7B1C"/>
    <w:rsid w:val="00B721FE"/>
    <w:rsid w:val="00B728B8"/>
    <w:rsid w:val="00BE7111"/>
    <w:rsid w:val="00C84972"/>
    <w:rsid w:val="00CC05A5"/>
    <w:rsid w:val="00CF59B7"/>
    <w:rsid w:val="00DB10A8"/>
    <w:rsid w:val="00DB4715"/>
    <w:rsid w:val="00E3650B"/>
    <w:rsid w:val="00F27DEB"/>
    <w:rsid w:val="00F3578B"/>
    <w:rsid w:val="00F74A0F"/>
    <w:rsid w:val="00F84CCA"/>
    <w:rsid w:val="00FA56CC"/>
    <w:rsid w:val="00FD4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60E2"/>
    <w:rPr>
      <w:color w:val="808080"/>
    </w:rPr>
  </w:style>
  <w:style w:type="paragraph" w:customStyle="1" w:styleId="E6A98DA311D54DBFB499FF2C7E4D552E">
    <w:name w:val="E6A98DA311D54DBFB499FF2C7E4D552E"/>
    <w:rsid w:val="00200ADC"/>
    <w:pPr>
      <w:spacing w:after="160" w:line="259" w:lineRule="auto"/>
    </w:pPr>
    <w:rPr>
      <w:lang w:eastAsia="zh-CN"/>
    </w:rPr>
  </w:style>
  <w:style w:type="paragraph" w:customStyle="1" w:styleId="0F05713B7094497293C8F3832A2DBE21">
    <w:name w:val="0F05713B7094497293C8F3832A2DBE21"/>
    <w:rsid w:val="008262F8"/>
    <w:pPr>
      <w:spacing w:after="160" w:line="259" w:lineRule="auto"/>
    </w:pPr>
    <w:rPr>
      <w:lang w:val="en-CA" w:eastAsia="en-CA"/>
    </w:rPr>
  </w:style>
  <w:style w:type="paragraph" w:customStyle="1" w:styleId="748331BC923842D1B2B75F93B78F1B5D">
    <w:name w:val="748331BC923842D1B2B75F93B78F1B5D"/>
    <w:rsid w:val="005260E2"/>
    <w:pPr>
      <w:spacing w:after="160" w:line="259" w:lineRule="auto"/>
    </w:pPr>
    <w:rPr>
      <w:lang w:val="en-CA" w:eastAsia="en-CA"/>
    </w:rPr>
  </w:style>
  <w:style w:type="paragraph" w:customStyle="1" w:styleId="23ACAC7602FA406F9458B74012C15C24">
    <w:name w:val="23ACAC7602FA406F9458B74012C15C24"/>
    <w:pPr>
      <w:spacing w:after="160" w:line="259" w:lineRule="auto"/>
    </w:pPr>
    <w:rPr>
      <w:lang w:val="en-CA" w:eastAsia="en-CA"/>
    </w:rPr>
  </w:style>
  <w:style w:type="paragraph" w:customStyle="1" w:styleId="D8F50AC9B697463E86DE5944A9004C1B">
    <w:name w:val="D8F50AC9B697463E86DE5944A9004C1B"/>
    <w:pPr>
      <w:spacing w:after="160" w:line="259" w:lineRule="auto"/>
    </w:pPr>
    <w:rPr>
      <w:lang w:val="en-CA" w:eastAsia="en-CA"/>
    </w:rPr>
  </w:style>
  <w:style w:type="paragraph" w:customStyle="1" w:styleId="0A4E29FF911E4397942518AB81D0DA37">
    <w:name w:val="0A4E29FF911E4397942518AB81D0DA37"/>
    <w:pPr>
      <w:spacing w:after="160" w:line="259" w:lineRule="auto"/>
    </w:pPr>
    <w:rPr>
      <w:lang w:val="en-CA" w:eastAsia="en-CA"/>
    </w:rPr>
  </w:style>
  <w:style w:type="paragraph" w:customStyle="1" w:styleId="F3F9F8CEC54144DFA6C9FA5DDE5EA349">
    <w:name w:val="F3F9F8CEC54144DFA6C9FA5DDE5EA34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6B471-9020-4560-AEA4-34EF654E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4.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950412-D531-4C6A-8B29-F6FF68D3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12</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Proposals to strengthen technical and scientific cooperation in support of the post-2020 global biodiversity framework</vt:lpstr>
    </vt:vector>
  </TitlesOfParts>
  <Company>SCBD</Company>
  <LinksUpToDate>false</LinksUpToDate>
  <CharactersWithSpaces>34140</CharactersWithSpaces>
  <SharedDoc>false</SharedDoc>
  <HLinks>
    <vt:vector size="84" baseType="variant">
      <vt:variant>
        <vt:i4>1441882</vt:i4>
      </vt:variant>
      <vt:variant>
        <vt:i4>12</vt:i4>
      </vt:variant>
      <vt:variant>
        <vt:i4>0</vt:i4>
      </vt:variant>
      <vt:variant>
        <vt:i4>5</vt:i4>
      </vt:variant>
      <vt:variant>
        <vt:lpwstr>https://www.cbd.int/doc/recommendations/sbstta-23/sbstta-23-rec-06-en.pdf</vt:lpwstr>
      </vt:variant>
      <vt:variant>
        <vt:lpwstr/>
      </vt:variant>
      <vt:variant>
        <vt:i4>720972</vt:i4>
      </vt:variant>
      <vt:variant>
        <vt:i4>9</vt:i4>
      </vt:variant>
      <vt:variant>
        <vt:i4>0</vt:i4>
      </vt:variant>
      <vt:variant>
        <vt:i4>5</vt:i4>
      </vt:variant>
      <vt:variant>
        <vt:lpwstr>https://www.cbd.int/doc/decisions/cop-12/cop-12-dec-02-en.pdf</vt:lpwstr>
      </vt:variant>
      <vt:variant>
        <vt:lpwstr/>
      </vt:variant>
      <vt:variant>
        <vt:i4>524367</vt:i4>
      </vt:variant>
      <vt:variant>
        <vt:i4>6</vt:i4>
      </vt:variant>
      <vt:variant>
        <vt:i4>0</vt:i4>
      </vt:variant>
      <vt:variant>
        <vt:i4>5</vt:i4>
      </vt:variant>
      <vt:variant>
        <vt:lpwstr>https://www.cbd.int/doc/decisions/cop-11/cop-11-dec-02-en.pdf</vt:lpwstr>
      </vt:variant>
      <vt:variant>
        <vt:lpwstr/>
      </vt:variant>
      <vt:variant>
        <vt:i4>2556013</vt:i4>
      </vt:variant>
      <vt:variant>
        <vt:i4>55</vt:i4>
      </vt:variant>
      <vt:variant>
        <vt:i4>0</vt:i4>
      </vt:variant>
      <vt:variant>
        <vt:i4>5</vt:i4>
      </vt:variant>
      <vt:variant>
        <vt:lpwstr>https://www.cbd.int/doc/meetings/wgri/wgri-05/information/wgri-05-inf-02-en.pdf</vt:lpwstr>
      </vt:variant>
      <vt:variant>
        <vt:lpwstr/>
      </vt:variant>
      <vt:variant>
        <vt:i4>4325461</vt:i4>
      </vt:variant>
      <vt:variant>
        <vt:i4>52</vt:i4>
      </vt:variant>
      <vt:variant>
        <vt:i4>0</vt:i4>
      </vt:variant>
      <vt:variant>
        <vt:i4>5</vt:i4>
      </vt:variant>
      <vt:variant>
        <vt:lpwstr>https://www.cbd.int/doc/meetings/wgri/wgri-05/official/wgri-05-03-add1-en.pdf</vt:lpwstr>
      </vt:variant>
      <vt:variant>
        <vt:lpwstr/>
      </vt:variant>
      <vt:variant>
        <vt:i4>2031697</vt:i4>
      </vt:variant>
      <vt:variant>
        <vt:i4>43</vt:i4>
      </vt:variant>
      <vt:variant>
        <vt:i4>0</vt:i4>
      </vt:variant>
      <vt:variant>
        <vt:i4>5</vt:i4>
      </vt:variant>
      <vt:variant>
        <vt:lpwstr>http://chm.pops.int/Partners/RegionalCentres/Overview/tabid/425/Default.aspx</vt:lpwstr>
      </vt:variant>
      <vt:variant>
        <vt:lpwstr/>
      </vt:variant>
      <vt:variant>
        <vt:i4>6422566</vt:i4>
      </vt:variant>
      <vt:variant>
        <vt:i4>40</vt:i4>
      </vt:variant>
      <vt:variant>
        <vt:i4>0</vt:i4>
      </vt:variant>
      <vt:variant>
        <vt:i4>5</vt:i4>
      </vt:variant>
      <vt:variant>
        <vt:lpwstr>https://www.ctc-n.org/</vt:lpwstr>
      </vt:variant>
      <vt:variant>
        <vt:lpwstr/>
      </vt:variant>
      <vt:variant>
        <vt:i4>5701653</vt:i4>
      </vt:variant>
      <vt:variant>
        <vt:i4>33</vt:i4>
      </vt:variant>
      <vt:variant>
        <vt:i4>0</vt:i4>
      </vt:variant>
      <vt:variant>
        <vt:i4>5</vt:i4>
      </vt:variant>
      <vt:variant>
        <vt:lpwstr>https://www.cbd.int/doc/meetings/sbstta/sbstta-19/information/sbstta-19-inf-13-en.pdf</vt:lpwstr>
      </vt:variant>
      <vt:variant>
        <vt:lpwstr/>
      </vt:variant>
      <vt:variant>
        <vt:i4>196698</vt:i4>
      </vt:variant>
      <vt:variant>
        <vt:i4>30</vt:i4>
      </vt:variant>
      <vt:variant>
        <vt:i4>0</vt:i4>
      </vt:variant>
      <vt:variant>
        <vt:i4>5</vt:i4>
      </vt:variant>
      <vt:variant>
        <vt:lpwstr>https://digitallibrary.un.org/record/826679?ln=en</vt:lpwstr>
      </vt:variant>
      <vt:variant>
        <vt:lpwstr/>
      </vt:variant>
      <vt:variant>
        <vt:i4>4653129</vt:i4>
      </vt:variant>
      <vt:variant>
        <vt:i4>24</vt:i4>
      </vt:variant>
      <vt:variant>
        <vt:i4>0</vt:i4>
      </vt:variant>
      <vt:variant>
        <vt:i4>5</vt:i4>
      </vt:variant>
      <vt:variant>
        <vt:lpwstr>https://www.cbd.int/doc/meetings/wgri/wgri-03/official/wgri-03-10-en.pdf</vt:lpwstr>
      </vt:variant>
      <vt:variant>
        <vt:lpwstr/>
      </vt:variant>
      <vt:variant>
        <vt:i4>8061045</vt:i4>
      </vt:variant>
      <vt:variant>
        <vt:i4>18</vt:i4>
      </vt:variant>
      <vt:variant>
        <vt:i4>0</vt:i4>
      </vt:variant>
      <vt:variant>
        <vt:i4>5</vt:i4>
      </vt:variant>
      <vt:variant>
        <vt:lpwstr>https://www.cbd.int/doc/meetings/cop/cop-08/official/cop-08-19-add2-en.pdf</vt:lpwstr>
      </vt:variant>
      <vt:variant>
        <vt:lpwstr/>
      </vt:variant>
      <vt:variant>
        <vt:i4>4325461</vt:i4>
      </vt:variant>
      <vt:variant>
        <vt:i4>12</vt:i4>
      </vt:variant>
      <vt:variant>
        <vt:i4>0</vt:i4>
      </vt:variant>
      <vt:variant>
        <vt:i4>5</vt:i4>
      </vt:variant>
      <vt:variant>
        <vt:lpwstr>https://www.cbd.int/doc/meetings/wgri/wgri-05/official/wgri-05-03-add1-en.pdf</vt:lpwstr>
      </vt:variant>
      <vt:variant>
        <vt:lpwstr/>
      </vt:variant>
      <vt:variant>
        <vt:i4>5636111</vt:i4>
      </vt:variant>
      <vt:variant>
        <vt:i4>9</vt:i4>
      </vt:variant>
      <vt:variant>
        <vt:i4>0</vt:i4>
      </vt:variant>
      <vt:variant>
        <vt:i4>5</vt:i4>
      </vt:variant>
      <vt:variant>
        <vt:lpwstr>https://www.cbd.int/doc/meetings/cop/cop-13/information/cop-13-inf-22-en.pdf</vt:lpwstr>
      </vt:variant>
      <vt:variant>
        <vt:lpwstr/>
      </vt:variant>
      <vt:variant>
        <vt:i4>5832777</vt:i4>
      </vt:variant>
      <vt:variant>
        <vt:i4>6</vt:i4>
      </vt:variant>
      <vt:variant>
        <vt:i4>0</vt:i4>
      </vt:variant>
      <vt:variant>
        <vt:i4>5</vt:i4>
      </vt:variant>
      <vt:variant>
        <vt:lpwstr>https://www.cbd.int/doc/c/e36d/fdb8/fa8e366fbbceabb670a14c2e/sbstta-23-06-en.pdf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to strengthen technical and scientific cooperation in support of the post-2020 global biodiversity framework</dc:title>
  <dc:subject>CBD/SBI/3/7/Add.2</dc:subject>
  <dc:creator>SCBD</dc:creator>
  <cp:keywords>Subsidiary Body on Implementation, third meeting, Convention on Biological Diversity</cp:keywords>
  <cp:lastModifiedBy>Veronique Lefebvre</cp:lastModifiedBy>
  <cp:revision>54</cp:revision>
  <dcterms:created xsi:type="dcterms:W3CDTF">2020-10-28T16:54:00Z</dcterms:created>
  <dcterms:modified xsi:type="dcterms:W3CDTF">2020-12-06T22:56:00Z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