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6050AF" w:rsidRPr="000033F2" w:rsidTr="00635DA0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6050AF" w:rsidRPr="000033F2" w:rsidRDefault="006050AF" w:rsidP="00635DA0">
            <w:pPr>
              <w:rPr>
                <w:lang w:val="es-AR"/>
              </w:rPr>
            </w:pPr>
            <w:bookmarkStart w:id="0" w:name="_GoBack"/>
            <w:bookmarkEnd w:id="0"/>
            <w:r w:rsidRPr="000033F2">
              <w:rPr>
                <w:noProof/>
                <w:lang w:val="en-US" w:eastAsia="zh-CN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6050AF" w:rsidRPr="000033F2" w:rsidRDefault="006050AF" w:rsidP="00635DA0">
            <w:pPr>
              <w:rPr>
                <w:lang w:val="es-AR"/>
              </w:rPr>
            </w:pPr>
            <w:r w:rsidRPr="000033F2">
              <w:rPr>
                <w:noProof/>
                <w:lang w:val="en-US" w:eastAsia="zh-CN"/>
              </w:rPr>
              <w:drawing>
                <wp:inline distT="0" distB="0" distL="0" distR="0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FB79CA" w:rsidRPr="000033F2" w:rsidRDefault="00635DA0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es-AR"/>
              </w:rPr>
            </w:pPr>
            <w:r w:rsidRPr="000033F2">
              <w:rPr>
                <w:rFonts w:ascii="Arial" w:hAnsi="Arial" w:cs="Arial"/>
                <w:b/>
                <w:sz w:val="32"/>
                <w:szCs w:val="32"/>
                <w:lang w:val="es-AR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6227"/>
        <w:gridCol w:w="1144"/>
        <w:gridCol w:w="2977"/>
      </w:tblGrid>
      <w:tr w:rsidR="006050AF" w:rsidRPr="000033F2" w:rsidTr="00635DA0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6050AF" w:rsidRPr="000033F2" w:rsidRDefault="006050AF" w:rsidP="00635DA0">
            <w:pPr>
              <w:rPr>
                <w:snapToGrid w:val="0"/>
                <w:kern w:val="22"/>
                <w:lang w:val="es-AR"/>
              </w:rPr>
            </w:pPr>
          </w:p>
          <w:p w:rsidR="006050AF" w:rsidRPr="000033F2" w:rsidRDefault="00417CB4" w:rsidP="00635DA0">
            <w:pPr>
              <w:rPr>
                <w:snapToGrid w:val="0"/>
                <w:kern w:val="22"/>
                <w:lang w:val="es-AR"/>
              </w:rPr>
            </w:pPr>
            <w:r>
              <w:rPr>
                <w:noProof/>
                <w:kern w:val="22"/>
                <w:lang w:val="en-US" w:eastAsia="zh-CN"/>
              </w:rPr>
              <w:drawing>
                <wp:inline distT="0" distB="0" distL="0" distR="0">
                  <wp:extent cx="2901950" cy="10775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50AF" w:rsidRPr="000033F2" w:rsidRDefault="006050AF" w:rsidP="00635DA0">
            <w:pPr>
              <w:rPr>
                <w:rFonts w:ascii="Univers" w:hAnsi="Univers"/>
                <w:snapToGrid w:val="0"/>
                <w:kern w:val="22"/>
                <w:sz w:val="32"/>
                <w:lang w:val="es-AR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6050AF" w:rsidRPr="000033F2" w:rsidRDefault="006050AF" w:rsidP="00635DA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  <w:lang w:val="es-A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B79CA" w:rsidRPr="000033F2" w:rsidRDefault="00635DA0">
            <w:pPr>
              <w:ind w:left="63"/>
              <w:rPr>
                <w:snapToGrid w:val="0"/>
                <w:kern w:val="22"/>
                <w:lang w:val="es-AR"/>
              </w:rPr>
            </w:pPr>
            <w:proofErr w:type="spellStart"/>
            <w:r w:rsidRPr="000033F2">
              <w:rPr>
                <w:snapToGrid w:val="0"/>
                <w:kern w:val="22"/>
                <w:szCs w:val="22"/>
                <w:lang w:val="es-AR"/>
              </w:rPr>
              <w:t>Distr</w:t>
            </w:r>
            <w:proofErr w:type="spellEnd"/>
            <w:r w:rsidRPr="000033F2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FB79CA" w:rsidRPr="000033F2" w:rsidRDefault="00635DA0">
            <w:pPr>
              <w:ind w:left="63"/>
              <w:rPr>
                <w:snapToGrid w:val="0"/>
                <w:kern w:val="22"/>
                <w:lang w:val="es-AR"/>
              </w:rPr>
            </w:pPr>
            <w:r w:rsidRPr="000033F2">
              <w:rPr>
                <w:snapToGrid w:val="0"/>
                <w:kern w:val="22"/>
                <w:szCs w:val="22"/>
                <w:lang w:val="es-AR"/>
              </w:rPr>
              <w:t>GENERAL</w:t>
            </w:r>
          </w:p>
          <w:p w:rsidR="006050AF" w:rsidRPr="000033F2" w:rsidRDefault="006050AF" w:rsidP="00635DA0">
            <w:pPr>
              <w:ind w:left="63"/>
              <w:rPr>
                <w:snapToGrid w:val="0"/>
                <w:kern w:val="22"/>
                <w:lang w:val="es-AR"/>
              </w:rPr>
            </w:pPr>
          </w:p>
          <w:sdt>
            <w:sdtPr>
              <w:rPr>
                <w:snapToGrid w:val="0"/>
                <w:kern w:val="22"/>
                <w:szCs w:val="22"/>
                <w:lang w:val="es-AR"/>
              </w:rPr>
              <w:alias w:val="Subject"/>
              <w:tag w:val=""/>
              <w:id w:val="-344942035"/>
              <w:placeholder>
                <w:docPart w:val="BFA78C17E65B47989AACCE8B081C15D2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6050AF" w:rsidRPr="000033F2" w:rsidRDefault="000033F2" w:rsidP="00635DA0">
                <w:pPr>
                  <w:ind w:left="63"/>
                  <w:rPr>
                    <w:snapToGrid w:val="0"/>
                    <w:kern w:val="22"/>
                    <w:lang w:val="es-AR"/>
                  </w:rPr>
                </w:pPr>
                <w:r>
                  <w:rPr>
                    <w:snapToGrid w:val="0"/>
                    <w:kern w:val="22"/>
                    <w:szCs w:val="22"/>
                    <w:lang w:val="es-AR"/>
                  </w:rPr>
                  <w:t>CBD/SBI/2/5</w:t>
                </w:r>
              </w:p>
            </w:sdtContent>
          </w:sdt>
          <w:p w:rsidR="00FB79CA" w:rsidRPr="000033F2" w:rsidRDefault="00635DA0">
            <w:pPr>
              <w:ind w:left="63"/>
              <w:rPr>
                <w:snapToGrid w:val="0"/>
                <w:kern w:val="22"/>
                <w:lang w:val="es-AR"/>
              </w:rPr>
            </w:pPr>
            <w:r w:rsidRPr="000033F2">
              <w:rPr>
                <w:snapToGrid w:val="0"/>
                <w:kern w:val="22"/>
                <w:szCs w:val="22"/>
                <w:lang w:val="es-AR"/>
              </w:rPr>
              <w:t>18 de mayo de 2018</w:t>
            </w:r>
          </w:p>
          <w:p w:rsidR="006050AF" w:rsidRPr="000033F2" w:rsidRDefault="006050AF" w:rsidP="00635DA0">
            <w:pPr>
              <w:ind w:left="63"/>
              <w:rPr>
                <w:snapToGrid w:val="0"/>
                <w:kern w:val="22"/>
                <w:lang w:val="es-AR"/>
              </w:rPr>
            </w:pPr>
          </w:p>
          <w:p w:rsidR="000033F2" w:rsidRDefault="000033F2">
            <w:pPr>
              <w:ind w:left="63"/>
              <w:rPr>
                <w:snapToGrid w:val="0"/>
                <w:kern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ESPAÑOL</w:t>
            </w:r>
          </w:p>
          <w:p w:rsidR="00FB79CA" w:rsidRPr="000033F2" w:rsidRDefault="00635DA0">
            <w:pPr>
              <w:ind w:left="63"/>
              <w:rPr>
                <w:snapToGrid w:val="0"/>
                <w:color w:val="FF0000"/>
                <w:kern w:val="22"/>
                <w:u w:val="single"/>
                <w:lang w:val="es-AR"/>
              </w:rPr>
            </w:pPr>
            <w:r w:rsidRPr="000033F2">
              <w:rPr>
                <w:snapToGrid w:val="0"/>
                <w:kern w:val="22"/>
                <w:szCs w:val="22"/>
                <w:lang w:val="es-AR"/>
              </w:rPr>
              <w:t>ORIGINAL:</w:t>
            </w:r>
            <w:r w:rsidRPr="000033F2">
              <w:rPr>
                <w:lang w:val="es-AR"/>
              </w:rPr>
              <w:t xml:space="preserve"> </w:t>
            </w:r>
            <w:r w:rsidRPr="000033F2">
              <w:rPr>
                <w:snapToGrid w:val="0"/>
                <w:kern w:val="22"/>
                <w:szCs w:val="22"/>
                <w:lang w:val="es-AR"/>
              </w:rPr>
              <w:t>INGLÉS</w:t>
            </w:r>
          </w:p>
        </w:tc>
      </w:tr>
    </w:tbl>
    <w:bookmarkStart w:id="1" w:name="Meeting"/>
    <w:p w:rsidR="006050AF" w:rsidRPr="000033F2" w:rsidRDefault="00C46576" w:rsidP="006050AF">
      <w:pPr>
        <w:pStyle w:val="meetingname"/>
        <w:ind w:right="4398"/>
        <w:rPr>
          <w:kern w:val="22"/>
          <w:szCs w:val="22"/>
          <w:lang w:val="es-AR"/>
        </w:rPr>
      </w:pPr>
      <w:sdt>
        <w:sdtPr>
          <w:rPr>
            <w:noProof/>
            <w:kern w:val="22"/>
            <w:lang w:val="es-ES" w:eastAsia="es-ES"/>
          </w:rPr>
          <w:alias w:val="Meeting"/>
          <w:tag w:val="Meeting"/>
          <w:id w:val="1412045910"/>
          <w:placeholder>
            <w:docPart w:val="3EFE76CEE6B141079894F17402CE7D20"/>
          </w:placeholder>
          <w:text/>
        </w:sdtPr>
        <w:sdtContent>
          <w:r w:rsidR="00417CB4" w:rsidRPr="00417CB4">
            <w:rPr>
              <w:noProof/>
              <w:kern w:val="22"/>
              <w:lang w:val="es-ES" w:eastAsia="es-ES"/>
            </w:rPr>
            <w:t xml:space="preserve">ÓRGANO SUBSIDIARIO SOBRE LA APLICACIÓN </w:t>
          </w:r>
        </w:sdtContent>
      </w:sdt>
      <w:bookmarkEnd w:id="1"/>
    </w:p>
    <w:p w:rsidR="00FB79CA" w:rsidRPr="000033F2" w:rsidRDefault="00635DA0">
      <w:pPr>
        <w:rPr>
          <w:snapToGrid w:val="0"/>
          <w:kern w:val="22"/>
          <w:szCs w:val="22"/>
          <w:lang w:val="es-AR" w:eastAsia="nb-NO"/>
        </w:rPr>
      </w:pPr>
      <w:r w:rsidRPr="000033F2">
        <w:rPr>
          <w:snapToGrid w:val="0"/>
          <w:kern w:val="22"/>
          <w:szCs w:val="22"/>
          <w:lang w:val="es-AR"/>
        </w:rPr>
        <w:t>Segunda reunión</w:t>
      </w:r>
    </w:p>
    <w:p w:rsidR="00FB79CA" w:rsidRPr="000033F2" w:rsidRDefault="00635DA0">
      <w:pPr>
        <w:rPr>
          <w:snapToGrid w:val="0"/>
          <w:kern w:val="22"/>
          <w:szCs w:val="22"/>
          <w:lang w:val="es-AR" w:eastAsia="nb-NO"/>
        </w:rPr>
      </w:pPr>
      <w:r w:rsidRPr="000033F2">
        <w:rPr>
          <w:snapToGrid w:val="0"/>
          <w:kern w:val="22"/>
          <w:szCs w:val="22"/>
          <w:lang w:val="es-AR"/>
        </w:rPr>
        <w:t>Montreal, Canadá, 9-13 de julio de 2018</w:t>
      </w:r>
    </w:p>
    <w:p w:rsidR="00FB79CA" w:rsidRPr="000033F2" w:rsidRDefault="00635DA0">
      <w:pPr>
        <w:rPr>
          <w:snapToGrid w:val="0"/>
          <w:kern w:val="22"/>
          <w:szCs w:val="22"/>
          <w:lang w:val="es-AR" w:eastAsia="nb-NO"/>
        </w:rPr>
      </w:pPr>
      <w:r w:rsidRPr="000033F2">
        <w:rPr>
          <w:snapToGrid w:val="0"/>
          <w:kern w:val="22"/>
          <w:szCs w:val="22"/>
          <w:lang w:val="es-AR"/>
        </w:rPr>
        <w:t>Punto 6 del programa provisional</w:t>
      </w:r>
      <w:r w:rsidRPr="000033F2">
        <w:rPr>
          <w:lang w:val="es-AR"/>
        </w:rPr>
        <w:t xml:space="preserve"> </w:t>
      </w:r>
      <w:r w:rsidRPr="000033F2">
        <w:rPr>
          <w:rStyle w:val="FootnoteReference"/>
          <w:snapToGrid w:val="0"/>
          <w:kern w:val="22"/>
          <w:szCs w:val="22"/>
          <w:lang w:val="es-AR"/>
        </w:rPr>
        <w:t>*</w:t>
      </w:r>
    </w:p>
    <w:p w:rsidR="00FB79CA" w:rsidRPr="000033F2" w:rsidRDefault="00635DA0">
      <w:pPr>
        <w:pStyle w:val="Heading1"/>
        <w:rPr>
          <w:snapToGrid w:val="0"/>
          <w:lang w:val="es-AR"/>
        </w:rPr>
      </w:pPr>
      <w:r w:rsidRPr="000033F2">
        <w:rPr>
          <w:lang w:val="es-AR"/>
        </w:rPr>
        <w:footnoteReference w:customMarkFollows="1" w:id="1"/>
        <w:tab/>
      </w:r>
      <w:sdt>
        <w:sdtPr>
          <w:rPr>
            <w:snapToGrid w:val="0"/>
            <w:kern w:val="22"/>
            <w:lang w:val="es-ES"/>
          </w:rPr>
          <w:alias w:val="Title"/>
          <w:tag w:val=""/>
          <w:id w:val="301582339"/>
          <w:placeholder>
            <w:docPart w:val="CD5F0724C6AE4CA6A02E746E01247C4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0033F2" w:rsidRPr="000033F2">
            <w:rPr>
              <w:snapToGrid w:val="0"/>
              <w:kern w:val="22"/>
              <w:lang w:val="es-ES"/>
            </w:rPr>
            <w:t>MECANISMO MUNDIAL MULTILATERAL DE PARTICIPACIÓN EN LOS BENEFICIOS (ARTÍCULO 10 DEL PROTOCOLO DE NAGOYA)</w:t>
          </w:r>
        </w:sdtContent>
      </w:sdt>
    </w:p>
    <w:p w:rsidR="00FB79CA" w:rsidRPr="000033F2" w:rsidRDefault="00635DA0">
      <w:pPr>
        <w:pStyle w:val="Heading2"/>
        <w:rPr>
          <w:b w:val="0"/>
          <w:i/>
          <w:lang w:val="es-AR"/>
        </w:rPr>
      </w:pPr>
      <w:r w:rsidRPr="000033F2">
        <w:rPr>
          <w:b w:val="0"/>
          <w:i/>
          <w:lang w:val="es-AR"/>
        </w:rPr>
        <w:t>Nota de</w:t>
      </w:r>
      <w:r w:rsidR="000033F2">
        <w:rPr>
          <w:b w:val="0"/>
          <w:i/>
          <w:lang w:val="es-AR"/>
        </w:rPr>
        <w:t xml:space="preserve"> </w:t>
      </w:r>
      <w:r w:rsidRPr="000033F2">
        <w:rPr>
          <w:b w:val="0"/>
          <w:i/>
          <w:lang w:val="es-AR"/>
        </w:rPr>
        <w:t>l</w:t>
      </w:r>
      <w:r w:rsidR="000033F2">
        <w:rPr>
          <w:b w:val="0"/>
          <w:i/>
          <w:lang w:val="es-AR"/>
        </w:rPr>
        <w:t>a</w:t>
      </w:r>
      <w:r w:rsidRPr="000033F2">
        <w:rPr>
          <w:b w:val="0"/>
          <w:i/>
          <w:lang w:val="es-AR"/>
        </w:rPr>
        <w:t xml:space="preserve"> Secretari</w:t>
      </w:r>
      <w:r w:rsidR="000033F2">
        <w:rPr>
          <w:b w:val="0"/>
          <w:i/>
          <w:lang w:val="es-AR"/>
        </w:rPr>
        <w:t>a</w:t>
      </w:r>
      <w:r w:rsidRPr="000033F2">
        <w:rPr>
          <w:b w:val="0"/>
          <w:i/>
          <w:lang w:val="es-AR"/>
        </w:rPr>
        <w:t xml:space="preserve"> Ejecutiv</w:t>
      </w:r>
      <w:r w:rsidR="000033F2">
        <w:rPr>
          <w:b w:val="0"/>
          <w:i/>
          <w:lang w:val="es-AR"/>
        </w:rPr>
        <w:t>a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de Nagoya </w:t>
      </w:r>
      <w:r w:rsidR="000033F2">
        <w:rPr>
          <w:lang w:val="es-AR"/>
        </w:rPr>
        <w:t>establece lo siguiente</w:t>
      </w:r>
      <w:r w:rsidRPr="000033F2">
        <w:rPr>
          <w:lang w:val="es-AR"/>
        </w:rPr>
        <w:t xml:space="preserve">: </w:t>
      </w:r>
    </w:p>
    <w:p w:rsidR="00FB79CA" w:rsidRPr="00FC59CB" w:rsidRDefault="00FC59CB" w:rsidP="002F08F4">
      <w:pPr>
        <w:pStyle w:val="Para1"/>
        <w:numPr>
          <w:ilvl w:val="0"/>
          <w:numId w:val="0"/>
        </w:numPr>
        <w:ind w:left="720"/>
        <w:rPr>
          <w:highlight w:val="yellow"/>
          <w:lang w:val="es-AR"/>
        </w:rPr>
      </w:pPr>
      <w:r w:rsidRPr="00FC59CB">
        <w:rPr>
          <w:lang w:val="es-AR"/>
        </w:rPr>
        <w:t>Las Partes considerarán la necesidad de contar con un mecanismo mundial multilateral de participación en los beneficios, y con modalidades para este, para abordar la participación justa y equitativa en los beneficios que se deriven de la utilización de los recursos genéticos y los conocimientos tradicionales asociados a los recursos genéticos que se producen en situaciones transfronterizas o en las que no es posible otorgar y obtener consentimiento fundamentado previo. Los beneficios compartidos por los usuarios de recursos genéticos y conocimientos tradicionales asociados a recursos genéticos a través de este mecanismo se utilizarán para apoyar la conservación de la diversidad biológica y la utilización sostenible de sus componentes a nivel mundial.</w:t>
      </w:r>
    </w:p>
    <w:p w:rsidR="004162A6" w:rsidRPr="004162A6" w:rsidRDefault="00635DA0" w:rsidP="004162A6">
      <w:pPr>
        <w:pStyle w:val="Para1"/>
        <w:rPr>
          <w:lang w:val="es-AR"/>
        </w:rPr>
      </w:pPr>
      <w:r w:rsidRPr="000033F2">
        <w:rPr>
          <w:rStyle w:val="Hyperlink"/>
          <w:color w:val="auto"/>
          <w:u w:val="none"/>
          <w:lang w:val="es-AR"/>
        </w:rPr>
        <w:t xml:space="preserve">En su segunda reunión, </w:t>
      </w:r>
      <w:r w:rsidR="00096D97">
        <w:rPr>
          <w:rStyle w:val="Hyperlink"/>
          <w:color w:val="auto"/>
          <w:u w:val="none"/>
          <w:lang w:val="es-AR"/>
        </w:rPr>
        <w:t>la Conferencia de las Partes que Actúa como Reunión de las Partes en el Protocolo de Nagoya</w:t>
      </w:r>
      <w:r w:rsidRPr="000033F2">
        <w:rPr>
          <w:rStyle w:val="Hyperlink"/>
          <w:color w:val="auto"/>
          <w:u w:val="none"/>
          <w:lang w:val="es-AR"/>
        </w:rPr>
        <w:t xml:space="preserve"> adoptó la decisión </w:t>
      </w:r>
      <w:hyperlink r:id="rId10" w:history="1">
        <w:r w:rsidR="000033F2" w:rsidRPr="000033F2">
          <w:rPr>
            <w:rStyle w:val="Hyperlink"/>
            <w:lang w:val="es-MX"/>
          </w:rPr>
          <w:t>NP-2/10</w:t>
        </w:r>
      </w:hyperlink>
      <w:r w:rsidR="000033F2" w:rsidRPr="000033F2">
        <w:rPr>
          <w:rStyle w:val="Hyperlink"/>
          <w:lang w:val="es-MX"/>
        </w:rPr>
        <w:t xml:space="preserve"> </w:t>
      </w:r>
      <w:r w:rsidRPr="000033F2">
        <w:rPr>
          <w:lang w:val="es-AR"/>
        </w:rPr>
        <w:t xml:space="preserve">sobre </w:t>
      </w:r>
      <w:r w:rsidR="004162A6">
        <w:rPr>
          <w:lang w:val="es-AR"/>
        </w:rPr>
        <w:t>“</w:t>
      </w:r>
      <w:r w:rsidRPr="004162A6">
        <w:rPr>
          <w:lang w:val="es-AR"/>
        </w:rPr>
        <w:t xml:space="preserve">la necesidad de un </w:t>
      </w:r>
      <w:r w:rsidR="00096D97" w:rsidRPr="004162A6">
        <w:rPr>
          <w:lang w:val="es-AR"/>
        </w:rPr>
        <w:t>mecanismo mundial multilateral de participación en los beneficios</w:t>
      </w:r>
      <w:r w:rsidRPr="004162A6">
        <w:rPr>
          <w:lang w:val="es-AR"/>
        </w:rPr>
        <w:t xml:space="preserve"> </w:t>
      </w:r>
      <w:r w:rsidR="004162A6" w:rsidRPr="004162A6">
        <w:rPr>
          <w:lang w:val="es-AR"/>
        </w:rPr>
        <w:t xml:space="preserve">y modalidades para dicho mecanismo </w:t>
      </w:r>
      <w:r w:rsidRPr="004162A6">
        <w:rPr>
          <w:lang w:val="es-AR"/>
        </w:rPr>
        <w:t>(</w:t>
      </w:r>
      <w:r w:rsidR="000033F2" w:rsidRPr="004162A6">
        <w:rPr>
          <w:lang w:val="es-AR"/>
        </w:rPr>
        <w:t>Artículo</w:t>
      </w:r>
      <w:r w:rsidRPr="004162A6">
        <w:rPr>
          <w:lang w:val="es-AR"/>
        </w:rPr>
        <w:t xml:space="preserve"> 10)</w:t>
      </w:r>
      <w:r w:rsidRPr="000033F2">
        <w:rPr>
          <w:lang w:val="es-AR"/>
        </w:rPr>
        <w:t>". Entre otras cosas, la decisión observó que</w:t>
      </w:r>
      <w:r w:rsidR="00096D97">
        <w:rPr>
          <w:lang w:val="es-AR"/>
        </w:rPr>
        <w:t xml:space="preserve"> </w:t>
      </w:r>
      <w:r w:rsidR="00096D97" w:rsidRPr="000033F2">
        <w:rPr>
          <w:lang w:val="es-AR"/>
        </w:rPr>
        <w:t>con la aplicación</w:t>
      </w:r>
      <w:r w:rsidR="00096D97">
        <w:rPr>
          <w:lang w:val="es-AR"/>
        </w:rPr>
        <w:t xml:space="preserve"> del Protocolo</w:t>
      </w:r>
      <w:r w:rsidR="00096D97" w:rsidRPr="000033F2">
        <w:rPr>
          <w:lang w:val="es-AR"/>
        </w:rPr>
        <w:t xml:space="preserve"> de Nagoya</w:t>
      </w:r>
      <w:r w:rsidRPr="000033F2">
        <w:rPr>
          <w:lang w:val="es-AR"/>
        </w:rPr>
        <w:t xml:space="preserve"> </w:t>
      </w:r>
      <w:r w:rsidR="00096D97">
        <w:rPr>
          <w:lang w:val="es-AR"/>
        </w:rPr>
        <w:t xml:space="preserve">es necesario contar con más </w:t>
      </w:r>
      <w:r w:rsidRPr="000033F2">
        <w:rPr>
          <w:lang w:val="es-AR"/>
        </w:rPr>
        <w:t xml:space="preserve">información y experiencia, </w:t>
      </w:r>
      <w:r w:rsidR="004162A6">
        <w:rPr>
          <w:lang w:val="es-AR"/>
        </w:rPr>
        <w:t>“</w:t>
      </w:r>
      <w:r w:rsidR="004162A6" w:rsidRPr="004162A6">
        <w:rPr>
          <w:lang w:val="es-AR"/>
        </w:rPr>
        <w:t>incluido lo que es necesario para informar sobre las deliberaciones en virtud del artículo 10</w:t>
      </w:r>
      <w:r w:rsidR="004162A6">
        <w:rPr>
          <w:lang w:val="es-AR"/>
        </w:rPr>
        <w:t xml:space="preserve"> (apartado 1)</w:t>
      </w:r>
      <w:r w:rsidR="00744285">
        <w:rPr>
          <w:lang w:val="es-AR"/>
        </w:rPr>
        <w:t>”</w:t>
      </w:r>
      <w:r w:rsidR="004162A6" w:rsidRPr="004162A6">
        <w:rPr>
          <w:lang w:val="es-AR"/>
        </w:rPr>
        <w:t xml:space="preserve">;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La decisión h</w:t>
      </w:r>
      <w:r w:rsidR="004162A6">
        <w:rPr>
          <w:lang w:val="es-AR"/>
        </w:rPr>
        <w:t xml:space="preserve">izo </w:t>
      </w:r>
      <w:r w:rsidRPr="000033F2">
        <w:rPr>
          <w:lang w:val="es-AR"/>
        </w:rPr>
        <w:t>un llamamiento</w:t>
      </w:r>
      <w:r w:rsidR="004162A6">
        <w:rPr>
          <w:lang w:val="es-AR"/>
        </w:rPr>
        <w:t xml:space="preserve"> </w:t>
      </w:r>
      <w:r w:rsidR="00744285">
        <w:rPr>
          <w:lang w:val="es-AR"/>
        </w:rPr>
        <w:t>a</w:t>
      </w:r>
      <w:r w:rsidR="004162A6">
        <w:rPr>
          <w:lang w:val="es-AR"/>
        </w:rPr>
        <w:t xml:space="preserve"> suministrar </w:t>
      </w:r>
      <w:r w:rsidRPr="000033F2">
        <w:rPr>
          <w:lang w:val="es-AR"/>
        </w:rPr>
        <w:t xml:space="preserve">información sobre diversos aspectos relacionados con 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 como sigue:</w:t>
      </w:r>
    </w:p>
    <w:p w:rsidR="00FB79CA" w:rsidRPr="008312F5" w:rsidRDefault="004162A6" w:rsidP="004162A6">
      <w:pPr>
        <w:pStyle w:val="Para1"/>
        <w:numPr>
          <w:ilvl w:val="1"/>
          <w:numId w:val="2"/>
        </w:numPr>
        <w:rPr>
          <w:lang w:val="es-AR"/>
        </w:rPr>
      </w:pPr>
      <w:r>
        <w:rPr>
          <w:lang w:val="es-AR"/>
        </w:rPr>
        <w:t>I</w:t>
      </w:r>
      <w:r w:rsidRPr="004162A6">
        <w:rPr>
          <w:lang w:val="es-AR"/>
        </w:rPr>
        <w:t>nvita a las Partes, con la participación plena y efectiva de los pueblos indígenas y las comunidades locales, a prestar la debida atención a facilitar dicha información al elaborar y presentar sus informes nacionales provisionales</w:t>
      </w:r>
      <w:r w:rsidR="008312F5">
        <w:rPr>
          <w:lang w:val="es-AR"/>
        </w:rPr>
        <w:t xml:space="preserve"> (apartado 3);</w:t>
      </w:r>
      <w:r w:rsidRPr="004162A6">
        <w:rPr>
          <w:lang w:val="es-AR"/>
        </w:rPr>
        <w:t xml:space="preserve"> y pide al Secretario Ejecutivo que recopile dicha información para someterla a la consideración del Órgano Subsidiario sobre la Aplicación y de la Conferencia de las Partes que actúa como reunión de las Partes en el Protocolo de Nagoya en su tercera reunió</w:t>
      </w:r>
      <w:r w:rsidR="008312F5">
        <w:rPr>
          <w:lang w:val="es-AR"/>
        </w:rPr>
        <w:t>n;</w:t>
      </w:r>
    </w:p>
    <w:p w:rsidR="00FB79CA" w:rsidRPr="00147DA0" w:rsidRDefault="008312F5">
      <w:pPr>
        <w:pStyle w:val="Para1"/>
        <w:numPr>
          <w:ilvl w:val="1"/>
          <w:numId w:val="2"/>
        </w:numPr>
        <w:rPr>
          <w:lang w:val="es-AR"/>
        </w:rPr>
      </w:pPr>
      <w:r w:rsidRPr="008312F5">
        <w:rPr>
          <w:lang w:val="es-AR"/>
        </w:rPr>
        <w:t>Invita a los pueblos indígenas y las comunidades locales a presentar dicha información a la Secretaria Ejecutiva</w:t>
      </w:r>
      <w:r w:rsidRPr="00147DA0">
        <w:rPr>
          <w:lang w:val="es-AR"/>
        </w:rPr>
        <w:t xml:space="preserve"> </w:t>
      </w:r>
      <w:r w:rsidR="00635DA0" w:rsidRPr="00147DA0">
        <w:rPr>
          <w:lang w:val="es-AR"/>
        </w:rPr>
        <w:t>(</w:t>
      </w:r>
      <w:r w:rsidR="0008032E" w:rsidRPr="00147DA0">
        <w:rPr>
          <w:lang w:val="es-AR"/>
        </w:rPr>
        <w:t>apartado</w:t>
      </w:r>
      <w:r w:rsidR="00635DA0" w:rsidRPr="00147DA0">
        <w:rPr>
          <w:lang w:val="es-AR"/>
        </w:rPr>
        <w:t xml:space="preserve"> 3);</w:t>
      </w:r>
    </w:p>
    <w:p w:rsidR="00FB79CA" w:rsidRPr="00147DA0" w:rsidRDefault="00147DA0" w:rsidP="00147DA0">
      <w:pPr>
        <w:pStyle w:val="Para1"/>
        <w:numPr>
          <w:ilvl w:val="1"/>
          <w:numId w:val="2"/>
        </w:numPr>
        <w:rPr>
          <w:lang w:val="es-AR"/>
        </w:rPr>
      </w:pPr>
      <w:r w:rsidRPr="00147DA0">
        <w:rPr>
          <w:lang w:val="es-AR"/>
        </w:rPr>
        <w:t xml:space="preserve">Invita a las Partes, otros Gobiernos, pueblos indígenas y comunidades locales, y a interesados directos, incluidas las colecciones </w:t>
      </w:r>
      <w:r w:rsidRPr="00147DA0">
        <w:rPr>
          <w:i/>
          <w:lang w:val="es-AR"/>
        </w:rPr>
        <w:t>ex situ</w:t>
      </w:r>
      <w:r w:rsidRPr="00147DA0">
        <w:rPr>
          <w:lang w:val="es-AR"/>
        </w:rPr>
        <w:t xml:space="preserve">, a presentar información, incluidas experiencias </w:t>
      </w:r>
      <w:r w:rsidRPr="00147DA0">
        <w:rPr>
          <w:lang w:val="es-AR"/>
        </w:rPr>
        <w:lastRenderedPageBreak/>
        <w:t xml:space="preserve">prácticas, si las hubiera, relativas a situaciones en las que no sea posible otorgar u obtener consentimiento fundamentado previo en relación con recursos genéticos </w:t>
      </w:r>
      <w:r w:rsidRPr="00147DA0">
        <w:rPr>
          <w:i/>
          <w:lang w:val="es-AR"/>
        </w:rPr>
        <w:t>in situ</w:t>
      </w:r>
      <w:r w:rsidRPr="00147DA0">
        <w:rPr>
          <w:lang w:val="es-AR"/>
        </w:rPr>
        <w:t xml:space="preserve"> o </w:t>
      </w:r>
      <w:r w:rsidRPr="00147DA0">
        <w:rPr>
          <w:i/>
          <w:lang w:val="es-AR"/>
        </w:rPr>
        <w:t>ex situ</w:t>
      </w:r>
      <w:r w:rsidRPr="00147DA0">
        <w:rPr>
          <w:lang w:val="es-AR"/>
        </w:rPr>
        <w:t xml:space="preserve"> y conocimientos tradicionales asociados (apartado 4)</w:t>
      </w:r>
      <w:r w:rsidR="00635DA0" w:rsidRPr="00147DA0">
        <w:rPr>
          <w:lang w:val="es-AR"/>
        </w:rPr>
        <w:t>;</w:t>
      </w:r>
    </w:p>
    <w:p w:rsidR="00FB79CA" w:rsidRPr="00147DA0" w:rsidRDefault="00147DA0" w:rsidP="00147DA0">
      <w:pPr>
        <w:pStyle w:val="Para1"/>
        <w:numPr>
          <w:ilvl w:val="1"/>
          <w:numId w:val="2"/>
        </w:numPr>
        <w:rPr>
          <w:lang w:val="es-AR"/>
        </w:rPr>
      </w:pPr>
      <w:r w:rsidRPr="00147DA0">
        <w:rPr>
          <w:lang w:val="es-AR"/>
        </w:rPr>
        <w:t xml:space="preserve">Invita asimismo a las Partes, otros Gobiernos, pueblos indígenas y comunidades locales e interesados directos, a presentar sus opiniones sobre la forma de proceder en relación con el artículo 10 </w:t>
      </w:r>
      <w:r w:rsidR="00635DA0" w:rsidRPr="00147DA0">
        <w:rPr>
          <w:lang w:val="es-AR"/>
        </w:rPr>
        <w:t>(</w:t>
      </w:r>
      <w:r w:rsidR="0008032E" w:rsidRPr="00147DA0">
        <w:rPr>
          <w:lang w:val="es-AR"/>
        </w:rPr>
        <w:t>apartado</w:t>
      </w:r>
      <w:r w:rsidR="00635DA0" w:rsidRPr="00147DA0">
        <w:rPr>
          <w:lang w:val="es-AR"/>
        </w:rPr>
        <w:t xml:space="preserve"> 5). </w:t>
      </w:r>
    </w:p>
    <w:p w:rsidR="00FB79CA" w:rsidRPr="00C87BBE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 decisión </w:t>
      </w:r>
      <w:r w:rsidR="00147DA0">
        <w:rPr>
          <w:lang w:val="es-AR"/>
        </w:rPr>
        <w:t xml:space="preserve">pidió </w:t>
      </w:r>
      <w:r w:rsidRPr="000033F2">
        <w:rPr>
          <w:lang w:val="es-AR"/>
        </w:rPr>
        <w:t>a</w:t>
      </w:r>
      <w:r w:rsidR="00147DA0">
        <w:rPr>
          <w:lang w:val="es-AR"/>
        </w:rPr>
        <w:t xml:space="preserve"> </w:t>
      </w:r>
      <w:r w:rsidRPr="000033F2">
        <w:rPr>
          <w:lang w:val="es-AR"/>
        </w:rPr>
        <w:t>l</w:t>
      </w:r>
      <w:r w:rsidR="00147DA0">
        <w:rPr>
          <w:lang w:val="es-AR"/>
        </w:rPr>
        <w:t>a</w:t>
      </w:r>
      <w:r w:rsidRPr="000033F2">
        <w:rPr>
          <w:lang w:val="es-AR"/>
        </w:rPr>
        <w:t xml:space="preserve"> Secretari</w:t>
      </w:r>
      <w:r w:rsidR="00147DA0">
        <w:rPr>
          <w:lang w:val="es-AR"/>
        </w:rPr>
        <w:t>a</w:t>
      </w:r>
      <w:r w:rsidRPr="000033F2">
        <w:rPr>
          <w:lang w:val="es-AR"/>
        </w:rPr>
        <w:t xml:space="preserve"> Ejecutiv</w:t>
      </w:r>
      <w:r w:rsidR="00147DA0">
        <w:rPr>
          <w:lang w:val="es-AR"/>
        </w:rPr>
        <w:t>a</w:t>
      </w:r>
      <w:r w:rsidRPr="000033F2">
        <w:rPr>
          <w:lang w:val="es-AR"/>
        </w:rPr>
        <w:t xml:space="preserve"> compilar y/o sintetizar la información antedicha así como:</w:t>
      </w:r>
    </w:p>
    <w:p w:rsidR="00FB79CA" w:rsidRPr="00C87BBE" w:rsidRDefault="00CD2D31" w:rsidP="00CD2D31">
      <w:pPr>
        <w:pStyle w:val="Para1"/>
        <w:numPr>
          <w:ilvl w:val="1"/>
          <w:numId w:val="2"/>
        </w:numPr>
        <w:rPr>
          <w:lang w:val="es-AR"/>
        </w:rPr>
      </w:pPr>
      <w:r w:rsidRPr="00C87BBE">
        <w:rPr>
          <w:lang w:val="es-AR"/>
        </w:rPr>
        <w:t xml:space="preserve">la información facilitada en los informes nacionales provisionales y en el </w:t>
      </w:r>
      <w:r w:rsidR="00ED11CE">
        <w:rPr>
          <w:lang w:val="es-AR"/>
        </w:rPr>
        <w:t>Centro de intercambio de información</w:t>
      </w:r>
      <w:r w:rsidRPr="00C87BBE">
        <w:rPr>
          <w:lang w:val="es-AR"/>
        </w:rPr>
        <w:t xml:space="preserve"> sobre Acceso y Participación en los Beneficios que sea pertinente al Artículo 10 </w:t>
      </w:r>
      <w:r w:rsidR="00635DA0" w:rsidRPr="00C87BBE">
        <w:rPr>
          <w:lang w:val="es-AR"/>
        </w:rPr>
        <w:t>(</w:t>
      </w:r>
      <w:r w:rsidR="0008032E" w:rsidRPr="00C87BBE">
        <w:rPr>
          <w:lang w:val="es-AR"/>
        </w:rPr>
        <w:t>apartado</w:t>
      </w:r>
      <w:r w:rsidR="00635DA0" w:rsidRPr="00C87BBE">
        <w:rPr>
          <w:lang w:val="es-AR"/>
        </w:rPr>
        <w:t xml:space="preserve"> 6 a)); </w:t>
      </w:r>
    </w:p>
    <w:p w:rsidR="00FB79CA" w:rsidRPr="00C87BBE" w:rsidRDefault="00744285" w:rsidP="00CD2D31">
      <w:pPr>
        <w:pStyle w:val="Para1"/>
        <w:numPr>
          <w:ilvl w:val="1"/>
          <w:numId w:val="2"/>
        </w:numPr>
        <w:rPr>
          <w:lang w:val="es-AR"/>
        </w:rPr>
      </w:pPr>
      <w:r>
        <w:rPr>
          <w:lang w:val="es-AR"/>
        </w:rPr>
        <w:t>la i</w:t>
      </w:r>
      <w:r w:rsidR="00CD2D31" w:rsidRPr="00C87BBE">
        <w:rPr>
          <w:lang w:val="es-AR"/>
        </w:rPr>
        <w:t>nformación disponible sobre los acontecimientos ocurridos en las organizaciones y procesos internacionales pertinentes con objeto de enriquecer las futuras deliberaciones sobre el Artículo 10</w:t>
      </w:r>
      <w:r w:rsidR="00635DA0" w:rsidRPr="00C87BBE">
        <w:rPr>
          <w:lang w:val="es-AR"/>
        </w:rPr>
        <w:t xml:space="preserve"> (</w:t>
      </w:r>
      <w:r w:rsidR="0008032E" w:rsidRPr="00C87BBE">
        <w:rPr>
          <w:lang w:val="es-AR"/>
        </w:rPr>
        <w:t>apartado</w:t>
      </w:r>
      <w:r w:rsidR="00635DA0" w:rsidRPr="00C87BBE">
        <w:rPr>
          <w:lang w:val="es-AR"/>
        </w:rPr>
        <w:t xml:space="preserve"> 6 b)).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La información debe</w:t>
      </w:r>
      <w:r w:rsidR="00C87BBE">
        <w:rPr>
          <w:lang w:val="es-AR"/>
        </w:rPr>
        <w:t>rá</w:t>
      </w:r>
      <w:r w:rsidRPr="000033F2">
        <w:rPr>
          <w:lang w:val="es-AR"/>
        </w:rPr>
        <w:t xml:space="preserve"> </w:t>
      </w:r>
      <w:r>
        <w:rPr>
          <w:lang w:val="es-AR"/>
        </w:rPr>
        <w:t>presentarse a la consideración</w:t>
      </w:r>
      <w:r w:rsidRPr="000033F2">
        <w:rPr>
          <w:lang w:val="es-AR"/>
        </w:rPr>
        <w:t xml:space="preserve"> </w:t>
      </w:r>
      <w:r>
        <w:rPr>
          <w:lang w:val="es-AR"/>
        </w:rPr>
        <w:t>d</w:t>
      </w:r>
      <w:r w:rsidRPr="000033F2">
        <w:rPr>
          <w:lang w:val="es-AR"/>
        </w:rPr>
        <w:t xml:space="preserve">el Órgano Subsidiario sobre la Aplicación y la tercera reunión </w:t>
      </w:r>
      <w:r w:rsidR="00096D97">
        <w:rPr>
          <w:lang w:val="es-AR"/>
        </w:rPr>
        <w:t>de la Conferencia de las Partes que Actúa como Reunión de las Partes en el Protocolo de Nagoya</w:t>
      </w:r>
      <w:r w:rsidRPr="000033F2">
        <w:rPr>
          <w:lang w:val="es-AR"/>
        </w:rPr>
        <w:t xml:space="preserve">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Además, la reunión de las Partes </w:t>
      </w:r>
      <w:r w:rsidR="00C87BBE">
        <w:rPr>
          <w:lang w:val="es-AR"/>
        </w:rPr>
        <w:t xml:space="preserve">pidió </w:t>
      </w:r>
      <w:r w:rsidRPr="000033F2">
        <w:rPr>
          <w:lang w:val="es-AR"/>
        </w:rPr>
        <w:t xml:space="preserve">al Órgano Subsidiario sobre la Aplicación </w:t>
      </w:r>
      <w:r w:rsidR="00096D97">
        <w:rPr>
          <w:lang w:val="es-AR"/>
        </w:rPr>
        <w:t xml:space="preserve">que explorase </w:t>
      </w:r>
      <w:r w:rsidRPr="000033F2">
        <w:rPr>
          <w:lang w:val="es-AR"/>
        </w:rPr>
        <w:t xml:space="preserve">la necesidad </w:t>
      </w:r>
      <w:r w:rsidR="00744285">
        <w:rPr>
          <w:lang w:val="es-AR"/>
        </w:rPr>
        <w:t xml:space="preserve">de </w:t>
      </w:r>
      <w:r w:rsidR="00096D97">
        <w:rPr>
          <w:lang w:val="es-AR"/>
        </w:rPr>
        <w:t xml:space="preserve">contar con </w:t>
      </w:r>
      <w:r w:rsidRPr="000033F2">
        <w:rPr>
          <w:lang w:val="es-AR"/>
        </w:rPr>
        <w:t xml:space="preserve">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</w:t>
      </w:r>
      <w:r w:rsidR="00096D97">
        <w:rPr>
          <w:lang w:val="es-AR"/>
        </w:rPr>
        <w:t xml:space="preserve">e hiciese </w:t>
      </w:r>
      <w:r w:rsidRPr="000033F2">
        <w:rPr>
          <w:lang w:val="es-AR"/>
        </w:rPr>
        <w:t xml:space="preserve">las recomendaciones </w:t>
      </w:r>
      <w:r w:rsidR="00096D97">
        <w:rPr>
          <w:lang w:val="es-AR"/>
        </w:rPr>
        <w:t xml:space="preserve">para </w:t>
      </w:r>
      <w:r w:rsidR="00C87BBE">
        <w:rPr>
          <w:lang w:val="es-AR"/>
        </w:rPr>
        <w:t xml:space="preserve">ser considerado por </w:t>
      </w:r>
      <w:r w:rsidRPr="000033F2">
        <w:rPr>
          <w:lang w:val="es-AR"/>
        </w:rPr>
        <w:t>la tercera reunión</w:t>
      </w:r>
      <w:r w:rsidR="00096D97">
        <w:rPr>
          <w:lang w:val="es-AR"/>
        </w:rPr>
        <w:t xml:space="preserve"> de </w:t>
      </w:r>
      <w:r w:rsidR="0008032E">
        <w:rPr>
          <w:lang w:val="es-AR"/>
        </w:rPr>
        <w:t>la Conferencia de las Partes en el Convenio sobre la Diversidad Biológica que actúa como Reunión de las Partes en el Protocolo</w:t>
      </w:r>
      <w:r w:rsidRPr="000033F2">
        <w:rPr>
          <w:lang w:val="es-AR"/>
        </w:rPr>
        <w:t xml:space="preserve"> (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 7).</w:t>
      </w:r>
    </w:p>
    <w:p w:rsidR="00FB79CA" w:rsidRPr="000033F2" w:rsidRDefault="0008032E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 xml:space="preserve">Mediante </w:t>
      </w:r>
      <w:r w:rsidR="00635DA0" w:rsidRPr="000033F2">
        <w:rPr>
          <w:lang w:val="es-AR"/>
        </w:rPr>
        <w:t>la notificación 2017-017 (23 de febrero de 2017),</w:t>
      </w:r>
      <w:r w:rsidR="00635DA0" w:rsidRPr="000033F2">
        <w:rPr>
          <w:rStyle w:val="FootnoteReference"/>
          <w:lang w:val="es-AR"/>
        </w:rPr>
        <w:footnoteReference w:id="2"/>
      </w:r>
      <w:r w:rsidR="00635DA0" w:rsidRPr="000033F2">
        <w:rPr>
          <w:lang w:val="es-AR"/>
        </w:rPr>
        <w:t xml:space="preserve"> se invitó a las Partes</w:t>
      </w:r>
      <w:r>
        <w:rPr>
          <w:lang w:val="es-AR"/>
        </w:rPr>
        <w:t xml:space="preserve"> a</w:t>
      </w:r>
      <w:r w:rsidR="00635DA0" w:rsidRPr="000033F2">
        <w:rPr>
          <w:lang w:val="es-AR"/>
        </w:rPr>
        <w:t xml:space="preserve"> </w:t>
      </w:r>
      <w:r w:rsidR="00C87BBE">
        <w:rPr>
          <w:lang w:val="es-AR"/>
        </w:rPr>
        <w:t xml:space="preserve">presentar </w:t>
      </w:r>
      <w:r w:rsidR="00635DA0" w:rsidRPr="000033F2">
        <w:rPr>
          <w:lang w:val="es-AR"/>
        </w:rPr>
        <w:t xml:space="preserve">su informe nacional provisional </w:t>
      </w:r>
      <w:r>
        <w:rPr>
          <w:lang w:val="es-AR"/>
        </w:rPr>
        <w:t xml:space="preserve">sobre </w:t>
      </w:r>
      <w:r w:rsidR="00635DA0" w:rsidRPr="000033F2">
        <w:rPr>
          <w:lang w:val="es-AR"/>
        </w:rPr>
        <w:t>la aplicación</w:t>
      </w:r>
      <w:r w:rsidR="00096D97">
        <w:rPr>
          <w:lang w:val="es-AR"/>
        </w:rPr>
        <w:t xml:space="preserve"> del Protocolo</w:t>
      </w:r>
      <w:r w:rsidR="00635DA0" w:rsidRPr="000033F2">
        <w:rPr>
          <w:lang w:val="es-AR"/>
        </w:rPr>
        <w:t xml:space="preserve"> de Nagoya. Entre otras cosas, la notificación invit</w:t>
      </w:r>
      <w:r>
        <w:rPr>
          <w:lang w:val="es-AR"/>
        </w:rPr>
        <w:t>aba</w:t>
      </w:r>
      <w:r w:rsidR="00635DA0" w:rsidRPr="000033F2">
        <w:rPr>
          <w:lang w:val="es-AR"/>
        </w:rPr>
        <w:t xml:space="preserve"> a las Partes </w:t>
      </w:r>
      <w:r w:rsidR="00C87BBE">
        <w:rPr>
          <w:lang w:val="es-AR"/>
        </w:rPr>
        <w:t>a</w:t>
      </w:r>
      <w:r w:rsidR="00635DA0" w:rsidRPr="000033F2">
        <w:rPr>
          <w:lang w:val="es-AR"/>
        </w:rPr>
        <w:t xml:space="preserve"> prestar particular </w:t>
      </w:r>
      <w:r w:rsidRPr="000033F2">
        <w:rPr>
          <w:lang w:val="es-AR"/>
        </w:rPr>
        <w:t xml:space="preserve">atención </w:t>
      </w:r>
      <w:r w:rsidR="00635DA0" w:rsidRPr="000033F2">
        <w:rPr>
          <w:lang w:val="es-AR"/>
        </w:rPr>
        <w:t>a la información mencionada en</w:t>
      </w:r>
      <w:r w:rsidR="00744285">
        <w:rPr>
          <w:lang w:val="es-AR"/>
        </w:rPr>
        <w:t xml:space="preserve"> el</w:t>
      </w:r>
      <w:r w:rsidR="00635DA0" w:rsidRPr="000033F2">
        <w:rPr>
          <w:lang w:val="es-AR"/>
        </w:rPr>
        <w:t xml:space="preserve"> </w:t>
      </w:r>
      <w:r w:rsidR="00096D97">
        <w:rPr>
          <w:lang w:val="es-AR"/>
        </w:rPr>
        <w:t>apartado</w:t>
      </w:r>
      <w:r w:rsidR="00635DA0" w:rsidRPr="000033F2">
        <w:rPr>
          <w:lang w:val="es-AR"/>
        </w:rPr>
        <w:t xml:space="preserve"> 3 a) sobre cuándo </w:t>
      </w:r>
      <w:r>
        <w:rPr>
          <w:lang w:val="es-AR"/>
        </w:rPr>
        <w:t xml:space="preserve">se deben </w:t>
      </w:r>
      <w:r w:rsidR="00635DA0" w:rsidRPr="000033F2">
        <w:rPr>
          <w:lang w:val="es-AR"/>
        </w:rPr>
        <w:t xml:space="preserve">elaborar y presentar </w:t>
      </w:r>
      <w:r>
        <w:rPr>
          <w:lang w:val="es-AR"/>
        </w:rPr>
        <w:t>los</w:t>
      </w:r>
      <w:r w:rsidR="00635DA0" w:rsidRPr="000033F2">
        <w:rPr>
          <w:lang w:val="es-AR"/>
        </w:rPr>
        <w:t xml:space="preserve"> informes nacionales provisionales.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La notificación 2017-094 (20 de septiembre de 2017)</w:t>
      </w:r>
      <w:r w:rsidRPr="000033F2">
        <w:rPr>
          <w:rStyle w:val="FootnoteReference"/>
          <w:lang w:val="es-AR"/>
        </w:rPr>
        <w:footnoteReference w:id="3"/>
      </w:r>
      <w:r w:rsidRPr="000033F2">
        <w:rPr>
          <w:lang w:val="es-AR"/>
        </w:rPr>
        <w:t xml:space="preserve"> invitó a la presentación de opiniones </w:t>
      </w:r>
      <w:r w:rsidR="0008032E">
        <w:rPr>
          <w:lang w:val="es-AR"/>
        </w:rPr>
        <w:t xml:space="preserve">e información </w:t>
      </w:r>
      <w:r w:rsidR="0008032E" w:rsidRPr="000033F2">
        <w:rPr>
          <w:lang w:val="es-AR"/>
        </w:rPr>
        <w:t>dando seguimiento a</w:t>
      </w:r>
      <w:r w:rsidR="0008032E">
        <w:rPr>
          <w:lang w:val="es-AR"/>
        </w:rPr>
        <w:t xml:space="preserve"> la decisión</w:t>
      </w:r>
      <w:r w:rsidR="0008032E" w:rsidRPr="000033F2">
        <w:rPr>
          <w:lang w:val="es-AR"/>
        </w:rPr>
        <w:t xml:space="preserve"> NP-2/10</w:t>
      </w:r>
      <w:r w:rsidRPr="000033F2">
        <w:rPr>
          <w:lang w:val="es-AR"/>
        </w:rPr>
        <w:t xml:space="preserve">, específicamente con respecto a los aspectos mencionados en los 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s 3 b), c) y d) </w:t>
      </w:r>
      <w:r w:rsidR="0008032E">
        <w:rPr>
          <w:lang w:val="es-AR"/>
        </w:rPr>
        <w:t>anteriores</w:t>
      </w:r>
      <w:r w:rsidRPr="000033F2">
        <w:rPr>
          <w:lang w:val="es-AR"/>
        </w:rPr>
        <w:t xml:space="preserve">. </w:t>
      </w:r>
      <w:r w:rsidR="0008032E">
        <w:rPr>
          <w:lang w:val="es-AR"/>
        </w:rPr>
        <w:t xml:space="preserve">Se recibieron </w:t>
      </w:r>
      <w:r w:rsidRPr="000033F2">
        <w:rPr>
          <w:lang w:val="es-AR"/>
        </w:rPr>
        <w:t xml:space="preserve">presentaciones de cuatro Partes en el Protocolo, un </w:t>
      </w:r>
      <w:r w:rsidR="0008032E">
        <w:rPr>
          <w:lang w:val="es-AR"/>
        </w:rPr>
        <w:t xml:space="preserve">país que no es </w:t>
      </w:r>
      <w:r w:rsidR="005174FA">
        <w:rPr>
          <w:lang w:val="es-AR"/>
        </w:rPr>
        <w:t>P</w:t>
      </w:r>
      <w:r w:rsidR="0008032E">
        <w:rPr>
          <w:lang w:val="es-AR"/>
        </w:rPr>
        <w:t>arte</w:t>
      </w:r>
      <w:r w:rsidRPr="000033F2">
        <w:rPr>
          <w:lang w:val="es-AR"/>
        </w:rPr>
        <w:t xml:space="preserve">, un organismo intergubernamental y ocho organismos o interesados directos. Las presentaciones </w:t>
      </w:r>
      <w:r w:rsidR="00744285">
        <w:rPr>
          <w:lang w:val="es-AR"/>
        </w:rPr>
        <w:t xml:space="preserve">pueden </w:t>
      </w:r>
      <w:r w:rsidR="0008032E">
        <w:rPr>
          <w:lang w:val="es-AR"/>
        </w:rPr>
        <w:t>consultarse en línea</w:t>
      </w:r>
      <w:r w:rsidRPr="000033F2">
        <w:rPr>
          <w:lang w:val="es-AR"/>
        </w:rPr>
        <w:t>.</w:t>
      </w:r>
      <w:r w:rsidRPr="000033F2">
        <w:rPr>
          <w:rStyle w:val="FootnoteReference"/>
          <w:lang w:val="es-AR"/>
        </w:rPr>
        <w:footnoteReference w:id="4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 sección I del </w:t>
      </w:r>
      <w:r w:rsidR="0008032E">
        <w:rPr>
          <w:lang w:val="es-AR"/>
        </w:rPr>
        <w:t>presente documento</w:t>
      </w:r>
      <w:r w:rsidRPr="000033F2">
        <w:rPr>
          <w:lang w:val="es-AR"/>
        </w:rPr>
        <w:t xml:space="preserve"> resume la información </w:t>
      </w:r>
      <w:r w:rsidR="0008032E">
        <w:rPr>
          <w:lang w:val="es-AR"/>
        </w:rPr>
        <w:t xml:space="preserve">pertinente </w:t>
      </w:r>
      <w:r w:rsidR="00744285">
        <w:rPr>
          <w:lang w:val="es-AR"/>
        </w:rPr>
        <w:t>proveniente de</w:t>
      </w:r>
      <w:r w:rsidRPr="000033F2">
        <w:rPr>
          <w:lang w:val="es-AR"/>
        </w:rPr>
        <w:t xml:space="preserve"> los informes nacionales provisionales y</w:t>
      </w:r>
      <w:r w:rsidR="002E751F">
        <w:rPr>
          <w:lang w:val="es-AR"/>
        </w:rPr>
        <w:t xml:space="preserve"> el</w:t>
      </w:r>
      <w:r w:rsidRPr="000033F2">
        <w:rPr>
          <w:lang w:val="es-AR"/>
        </w:rPr>
        <w:t xml:space="preserve"> </w:t>
      </w:r>
      <w:r w:rsidR="009A3B15">
        <w:rPr>
          <w:lang w:val="es-AR"/>
        </w:rPr>
        <w:t>Centro de intercambio de información sobre acceso y participación en los beneficios</w:t>
      </w:r>
      <w:r w:rsidRPr="000033F2">
        <w:rPr>
          <w:lang w:val="es-AR"/>
        </w:rPr>
        <w:t xml:space="preserve"> con respecto </w:t>
      </w:r>
      <w:r w:rsidR="002E751F">
        <w:rPr>
          <w:lang w:val="es-AR"/>
        </w:rPr>
        <w:t>a</w:t>
      </w:r>
      <w:r w:rsidR="001B1B97">
        <w:rPr>
          <w:lang w:val="es-AR"/>
        </w:rPr>
        <w:t xml:space="preserve"> </w:t>
      </w:r>
      <w:r w:rsidR="002E751F">
        <w:rPr>
          <w:lang w:val="es-AR"/>
        </w:rPr>
        <w:t>l</w:t>
      </w:r>
      <w:r w:rsidR="001B1B97">
        <w:rPr>
          <w:lang w:val="es-AR"/>
        </w:rPr>
        <w:t>a</w:t>
      </w:r>
      <w:r w:rsidR="002E751F">
        <w:rPr>
          <w:lang w:val="es-AR"/>
        </w:rPr>
        <w:t xml:space="preserve"> aplicación</w:t>
      </w:r>
      <w:r w:rsidRPr="000033F2">
        <w:rPr>
          <w:lang w:val="es-AR"/>
        </w:rPr>
        <w:t xml:space="preserve"> de las disposiciones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relacionad</w:t>
      </w:r>
      <w:r w:rsidR="002E751F">
        <w:rPr>
          <w:lang w:val="es-AR"/>
        </w:rPr>
        <w:t>as</w:t>
      </w:r>
      <w:r w:rsidRPr="000033F2">
        <w:rPr>
          <w:lang w:val="es-AR"/>
        </w:rPr>
        <w:t xml:space="preserve"> con los conocimientos tradicionales asociados a los recursos genéticos y 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11</w:t>
      </w:r>
      <w:r w:rsidR="001B1B97">
        <w:rPr>
          <w:lang w:val="es-AR"/>
        </w:rPr>
        <w:t>. La Sección II</w:t>
      </w:r>
      <w:r w:rsidRPr="000033F2">
        <w:rPr>
          <w:lang w:val="es-AR"/>
        </w:rPr>
        <w:t xml:space="preserve"> </w:t>
      </w:r>
      <w:r w:rsidR="002E751F">
        <w:rPr>
          <w:lang w:val="es-AR"/>
        </w:rPr>
        <w:t xml:space="preserve">contiene </w:t>
      </w:r>
      <w:r w:rsidRPr="000033F2">
        <w:rPr>
          <w:lang w:val="es-AR"/>
        </w:rPr>
        <w:t xml:space="preserve">la información </w:t>
      </w:r>
      <w:r w:rsidR="001B1B97">
        <w:rPr>
          <w:lang w:val="es-AR"/>
        </w:rPr>
        <w:t xml:space="preserve">proveniente </w:t>
      </w:r>
      <w:r w:rsidRPr="000033F2">
        <w:rPr>
          <w:lang w:val="es-AR"/>
        </w:rPr>
        <w:t xml:space="preserve">de las presentaciones </w:t>
      </w:r>
      <w:r w:rsidR="001B1B97">
        <w:rPr>
          <w:lang w:val="es-AR"/>
        </w:rPr>
        <w:t xml:space="preserve">sobre </w:t>
      </w:r>
      <w:r w:rsidRPr="000033F2">
        <w:rPr>
          <w:lang w:val="es-AR"/>
        </w:rPr>
        <w:t xml:space="preserve">situaciones en las cuales no es posible conceder u obtener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 xml:space="preserve"> en relación con </w:t>
      </w:r>
      <w:r w:rsidR="001B1B97">
        <w:rPr>
          <w:lang w:val="es-AR"/>
        </w:rPr>
        <w:t xml:space="preserve">los </w:t>
      </w:r>
      <w:r w:rsidR="006339BD">
        <w:rPr>
          <w:lang w:val="es-AR"/>
        </w:rPr>
        <w:t xml:space="preserve">recursos genéticos </w:t>
      </w:r>
      <w:r w:rsidR="006339BD" w:rsidRPr="001B1B97">
        <w:rPr>
          <w:i/>
          <w:lang w:val="es-AR"/>
        </w:rPr>
        <w:t>in situ</w:t>
      </w:r>
      <w:r w:rsidR="006339BD">
        <w:rPr>
          <w:lang w:val="es-AR"/>
        </w:rPr>
        <w:t xml:space="preserve"> o </w:t>
      </w:r>
      <w:r w:rsidR="006339BD" w:rsidRPr="001B1B97">
        <w:rPr>
          <w:i/>
          <w:lang w:val="es-AR"/>
        </w:rPr>
        <w:t>ex situ</w:t>
      </w:r>
      <w:r w:rsidRPr="000033F2">
        <w:rPr>
          <w:lang w:val="es-AR"/>
        </w:rPr>
        <w:t xml:space="preserve"> y </w:t>
      </w:r>
      <w:r w:rsidR="001B1B97">
        <w:rPr>
          <w:lang w:val="es-AR"/>
        </w:rPr>
        <w:t xml:space="preserve">los </w:t>
      </w:r>
      <w:r w:rsidRPr="000033F2">
        <w:rPr>
          <w:lang w:val="es-AR"/>
        </w:rPr>
        <w:t xml:space="preserve">conocimientos tradicionales asociados. La sección III resume la información sobre </w:t>
      </w:r>
      <w:r w:rsidR="006339BD">
        <w:rPr>
          <w:lang w:val="es-AR"/>
        </w:rPr>
        <w:t xml:space="preserve">el avance realizado en los </w:t>
      </w:r>
      <w:r w:rsidRPr="000033F2">
        <w:rPr>
          <w:lang w:val="es-AR"/>
        </w:rPr>
        <w:t xml:space="preserve">procesos internacionales </w:t>
      </w:r>
      <w:r w:rsidR="0008032E">
        <w:rPr>
          <w:lang w:val="es-AR"/>
        </w:rPr>
        <w:t>pertinente</w:t>
      </w:r>
      <w:r w:rsidR="006339BD">
        <w:rPr>
          <w:lang w:val="es-AR"/>
        </w:rPr>
        <w:t>s</w:t>
      </w:r>
      <w:r w:rsidR="0008032E">
        <w:rPr>
          <w:lang w:val="es-AR"/>
        </w:rPr>
        <w:t xml:space="preserve"> </w:t>
      </w:r>
      <w:r w:rsidRPr="000033F2">
        <w:rPr>
          <w:lang w:val="es-AR"/>
        </w:rPr>
        <w:t xml:space="preserve">mientras que la sección IV resume las </w:t>
      </w:r>
      <w:r w:rsidR="006339BD">
        <w:rPr>
          <w:lang w:val="es-AR"/>
        </w:rPr>
        <w:t>opiniones presentadas</w:t>
      </w:r>
      <w:r w:rsidRPr="000033F2">
        <w:rPr>
          <w:lang w:val="es-AR"/>
        </w:rPr>
        <w:t xml:space="preserve"> </w:t>
      </w:r>
      <w:r w:rsidR="007425C5">
        <w:rPr>
          <w:lang w:val="es-AR"/>
        </w:rPr>
        <w:t xml:space="preserve">sobre el camino a seguir con respecto al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10. Finalmente, la sección V invita al Órgano Subsidiario sobre la Aplicación </w:t>
      </w:r>
      <w:r w:rsidR="001B1B97">
        <w:rPr>
          <w:lang w:val="es-AR"/>
        </w:rPr>
        <w:t xml:space="preserve">a </w:t>
      </w:r>
      <w:r w:rsidRPr="000033F2">
        <w:rPr>
          <w:lang w:val="es-AR"/>
        </w:rPr>
        <w:t>que explore la necesidad de</w:t>
      </w:r>
      <w:r w:rsidR="007425C5">
        <w:rPr>
          <w:lang w:val="es-AR"/>
        </w:rPr>
        <w:t xml:space="preserve"> contar con</w:t>
      </w:r>
      <w:r w:rsidRPr="000033F2">
        <w:rPr>
          <w:lang w:val="es-AR"/>
        </w:rPr>
        <w:t xml:space="preserve">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y haga recomendaciones a la </w:t>
      </w:r>
      <w:r w:rsidR="001B1B97">
        <w:rPr>
          <w:lang w:val="es-AR"/>
        </w:rPr>
        <w:t xml:space="preserve">Conferencia de </w:t>
      </w:r>
      <w:r w:rsidRPr="000033F2">
        <w:rPr>
          <w:lang w:val="es-AR"/>
        </w:rPr>
        <w:t>las Partes</w:t>
      </w:r>
      <w:r w:rsidR="001B1B97">
        <w:rPr>
          <w:lang w:val="es-AR"/>
        </w:rPr>
        <w:t xml:space="preserve"> que Actúa como Reunión de las Partes en el Protocolo</w:t>
      </w:r>
      <w:r w:rsidRPr="000033F2">
        <w:rPr>
          <w:lang w:val="es-AR"/>
        </w:rPr>
        <w:t>.</w:t>
      </w:r>
    </w:p>
    <w:p w:rsidR="00FB79CA" w:rsidRPr="000033F2" w:rsidRDefault="00635DA0">
      <w:pPr>
        <w:pStyle w:val="Heading1"/>
        <w:numPr>
          <w:ilvl w:val="0"/>
          <w:numId w:val="6"/>
        </w:numPr>
        <w:tabs>
          <w:tab w:val="clear" w:pos="720"/>
          <w:tab w:val="left" w:pos="1276"/>
        </w:tabs>
        <w:ind w:left="1276"/>
        <w:jc w:val="left"/>
        <w:rPr>
          <w:lang w:val="es-AR"/>
        </w:rPr>
      </w:pPr>
      <w:r w:rsidRPr="000033F2">
        <w:rPr>
          <w:lang w:val="es-AR"/>
        </w:rPr>
        <w:lastRenderedPageBreak/>
        <w:t xml:space="preserve">información </w:t>
      </w:r>
      <w:r w:rsidR="0008032E">
        <w:rPr>
          <w:lang w:val="es-AR"/>
        </w:rPr>
        <w:t>pertinente</w:t>
      </w:r>
      <w:r w:rsidR="00744285">
        <w:rPr>
          <w:lang w:val="es-AR"/>
        </w:rPr>
        <w:t xml:space="preserve"> PROVENIENTE</w:t>
      </w:r>
      <w:r w:rsidR="0008032E">
        <w:rPr>
          <w:lang w:val="es-AR"/>
        </w:rPr>
        <w:t xml:space="preserve"> </w:t>
      </w:r>
      <w:r w:rsidR="007425C5">
        <w:rPr>
          <w:lang w:val="es-AR"/>
        </w:rPr>
        <w:t xml:space="preserve">DE </w:t>
      </w:r>
      <w:r w:rsidRPr="000033F2">
        <w:rPr>
          <w:lang w:val="es-AR"/>
        </w:rPr>
        <w:t>los informes nacionales provisionales y del</w:t>
      </w:r>
      <w:r w:rsidR="007425C5">
        <w:rPr>
          <w:lang w:val="es-AR"/>
        </w:rPr>
        <w:t xml:space="preserve"> </w:t>
      </w:r>
      <w:r w:rsidR="009A3B15">
        <w:rPr>
          <w:lang w:val="es-AR"/>
        </w:rPr>
        <w:t>CENTRO DE INTERCAMBIO DE INFORMACIÓN SOBRE ACCESO Y PARTICIPACIÓN EN LOS BENEFICIOS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 información </w:t>
      </w:r>
      <w:r w:rsidR="007425C5">
        <w:rPr>
          <w:lang w:val="es-AR"/>
        </w:rPr>
        <w:t>de</w:t>
      </w:r>
      <w:r w:rsidRPr="000033F2">
        <w:rPr>
          <w:lang w:val="es-AR"/>
        </w:rPr>
        <w:t xml:space="preserve"> esta sección </w:t>
      </w:r>
      <w:r w:rsidR="007425C5">
        <w:rPr>
          <w:lang w:val="es-AR"/>
        </w:rPr>
        <w:t xml:space="preserve">proviene </w:t>
      </w:r>
      <w:r w:rsidRPr="000033F2">
        <w:rPr>
          <w:lang w:val="es-AR"/>
        </w:rPr>
        <w:t xml:space="preserve">del análisis de la información </w:t>
      </w:r>
      <w:r w:rsidR="007425C5">
        <w:rPr>
          <w:lang w:val="es-AR"/>
        </w:rPr>
        <w:t xml:space="preserve">que figura </w:t>
      </w:r>
      <w:r w:rsidRPr="000033F2">
        <w:rPr>
          <w:lang w:val="es-AR"/>
        </w:rPr>
        <w:t>en los informes nacionales provisionales y la información publicada en</w:t>
      </w:r>
      <w:r w:rsidR="007425C5">
        <w:rPr>
          <w:lang w:val="es-AR"/>
        </w:rPr>
        <w:t xml:space="preserve"> el</w:t>
      </w:r>
      <w:r w:rsidRPr="000033F2">
        <w:rPr>
          <w:lang w:val="es-AR"/>
        </w:rPr>
        <w:t xml:space="preserve"> </w:t>
      </w:r>
      <w:r w:rsidR="009A3B15">
        <w:rPr>
          <w:lang w:val="es-AR"/>
        </w:rPr>
        <w:t>Centro de intercambio de información sobre acceso y participación en los beneficios</w:t>
      </w:r>
      <w:r w:rsidRPr="000033F2">
        <w:rPr>
          <w:lang w:val="es-AR"/>
        </w:rPr>
        <w:t xml:space="preserve"> (CBD/SBI/2/INF/3)</w:t>
      </w:r>
      <w:r w:rsidR="007425C5">
        <w:rPr>
          <w:lang w:val="es-AR"/>
        </w:rPr>
        <w:t>,</w:t>
      </w:r>
      <w:r w:rsidRPr="000033F2">
        <w:rPr>
          <w:lang w:val="es-AR"/>
        </w:rPr>
        <w:t xml:space="preserve"> que </w:t>
      </w:r>
      <w:r w:rsidR="007425C5">
        <w:rPr>
          <w:lang w:val="es-AR"/>
        </w:rPr>
        <w:t>se preparó</w:t>
      </w:r>
      <w:r w:rsidRPr="000033F2">
        <w:rPr>
          <w:lang w:val="es-AR"/>
        </w:rPr>
        <w:t xml:space="preserve"> para apoyar la evaluación y </w:t>
      </w:r>
      <w:r w:rsidR="007425C5">
        <w:rPr>
          <w:lang w:val="es-AR"/>
        </w:rPr>
        <w:t xml:space="preserve">el </w:t>
      </w:r>
      <w:r w:rsidRPr="000033F2">
        <w:rPr>
          <w:lang w:val="es-AR"/>
        </w:rPr>
        <w:t>examen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que </w:t>
      </w:r>
      <w:r w:rsidR="007425C5">
        <w:rPr>
          <w:lang w:val="es-AR"/>
        </w:rPr>
        <w:t xml:space="preserve">estudiará </w:t>
      </w:r>
      <w:r w:rsidRPr="000033F2">
        <w:rPr>
          <w:lang w:val="es-AR"/>
        </w:rPr>
        <w:t xml:space="preserve">el Órgano Subsidiario sobre la Aplicación. El análisis se basa en la información disponible </w:t>
      </w:r>
      <w:r w:rsidR="007425C5">
        <w:rPr>
          <w:lang w:val="es-AR"/>
        </w:rPr>
        <w:t>a</w:t>
      </w:r>
      <w:r w:rsidRPr="000033F2">
        <w:rPr>
          <w:lang w:val="es-AR"/>
        </w:rPr>
        <w:t>l 22 de febrero de 2018. El documento de información debe</w:t>
      </w:r>
      <w:r w:rsidR="007425C5">
        <w:rPr>
          <w:lang w:val="es-AR"/>
        </w:rPr>
        <w:t>ría</w:t>
      </w:r>
      <w:r w:rsidRPr="000033F2">
        <w:rPr>
          <w:lang w:val="es-AR"/>
        </w:rPr>
        <w:t xml:space="preserve"> consultar</w:t>
      </w:r>
      <w:r w:rsidR="007425C5">
        <w:rPr>
          <w:lang w:val="es-AR"/>
        </w:rPr>
        <w:t>se</w:t>
      </w:r>
      <w:r w:rsidRPr="000033F2">
        <w:rPr>
          <w:lang w:val="es-AR"/>
        </w:rPr>
        <w:t xml:space="preserve"> para </w:t>
      </w:r>
      <w:r w:rsidR="007425C5">
        <w:rPr>
          <w:lang w:val="es-AR"/>
        </w:rPr>
        <w:t xml:space="preserve">más </w:t>
      </w:r>
      <w:r w:rsidRPr="000033F2">
        <w:rPr>
          <w:lang w:val="es-AR"/>
        </w:rPr>
        <w:t>detalles</w:t>
      </w:r>
      <w:r w:rsidR="001B1B97">
        <w:rPr>
          <w:lang w:val="es-AR"/>
        </w:rPr>
        <w:t>,</w:t>
      </w:r>
      <w:r w:rsidRPr="000033F2">
        <w:rPr>
          <w:lang w:val="es-AR"/>
        </w:rPr>
        <w:t xml:space="preserve"> </w:t>
      </w:r>
      <w:r w:rsidR="007425C5">
        <w:rPr>
          <w:lang w:val="es-AR"/>
        </w:rPr>
        <w:t xml:space="preserve">como </w:t>
      </w:r>
      <w:r w:rsidRPr="000033F2">
        <w:rPr>
          <w:lang w:val="es-AR"/>
        </w:rPr>
        <w:t xml:space="preserve">la metodología usada en la preparación del análisis y los ejemplos que </w:t>
      </w:r>
      <w:r w:rsidR="007425C5">
        <w:rPr>
          <w:lang w:val="es-AR"/>
        </w:rPr>
        <w:t xml:space="preserve">desarrollan </w:t>
      </w:r>
      <w:r w:rsidRPr="000033F2">
        <w:rPr>
          <w:lang w:val="es-AR"/>
        </w:rPr>
        <w:t xml:space="preserve">la información proporcionada </w:t>
      </w:r>
      <w:r w:rsidR="00D76E6B">
        <w:rPr>
          <w:lang w:val="es-AR"/>
        </w:rPr>
        <w:t>a continuación</w:t>
      </w:r>
      <w:r w:rsidRPr="000033F2">
        <w:rPr>
          <w:lang w:val="es-AR"/>
        </w:rPr>
        <w:t xml:space="preserve">. </w:t>
      </w:r>
    </w:p>
    <w:p w:rsidR="00FB79CA" w:rsidRPr="000033F2" w:rsidRDefault="00635DA0">
      <w:pPr>
        <w:pStyle w:val="Heading2"/>
        <w:numPr>
          <w:ilvl w:val="0"/>
          <w:numId w:val="7"/>
        </w:numPr>
        <w:jc w:val="left"/>
        <w:rPr>
          <w:lang w:val="es-AR"/>
        </w:rPr>
      </w:pPr>
      <w:r w:rsidRPr="000033F2">
        <w:rPr>
          <w:lang w:val="es-AR"/>
        </w:rPr>
        <w:t xml:space="preserve">Información sobre </w:t>
      </w:r>
      <w:r w:rsidR="007425C5">
        <w:rPr>
          <w:lang w:val="es-AR"/>
        </w:rPr>
        <w:t>la aplicación</w:t>
      </w:r>
      <w:r w:rsidRPr="000033F2">
        <w:rPr>
          <w:lang w:val="es-AR"/>
        </w:rPr>
        <w:t xml:space="preserve"> de las disposiciones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relacionad</w:t>
      </w:r>
      <w:r w:rsidR="007425C5">
        <w:rPr>
          <w:lang w:val="es-AR"/>
        </w:rPr>
        <w:t>as</w:t>
      </w:r>
      <w:r w:rsidRPr="000033F2">
        <w:rPr>
          <w:lang w:val="es-AR"/>
        </w:rPr>
        <w:t xml:space="preserve"> con los conocimientos tradicionales asociados a los recursos genéticos </w:t>
      </w:r>
      <w:r w:rsidR="00A27216">
        <w:rPr>
          <w:lang w:val="es-AR"/>
        </w:rPr>
        <w:t xml:space="preserve">poseídos </w:t>
      </w:r>
      <w:r w:rsidRPr="000033F2">
        <w:rPr>
          <w:lang w:val="es-AR"/>
        </w:rPr>
        <w:t xml:space="preserve">por </w:t>
      </w:r>
      <w:r w:rsidR="00A27216">
        <w:rPr>
          <w:lang w:val="es-AR"/>
        </w:rPr>
        <w:t>los pueblos indígenas</w:t>
      </w:r>
      <w:r w:rsidRPr="000033F2">
        <w:rPr>
          <w:lang w:val="es-AR"/>
        </w:rPr>
        <w:t xml:space="preserve"> y las comunidades locales</w:t>
      </w:r>
    </w:p>
    <w:p w:rsidR="00FB79CA" w:rsidRPr="000033F2" w:rsidRDefault="00635DA0" w:rsidP="00744285">
      <w:pPr>
        <w:pStyle w:val="Para1"/>
        <w:tabs>
          <w:tab w:val="clear" w:pos="360"/>
          <w:tab w:val="num" w:pos="720"/>
        </w:tabs>
        <w:rPr>
          <w:lang w:val="es-AR"/>
        </w:rPr>
      </w:pPr>
      <w:r w:rsidRPr="000033F2">
        <w:rPr>
          <w:lang w:val="es-AR"/>
        </w:rPr>
        <w:t xml:space="preserve">Como se describe anteriormente, en la decisión NP-2/10, </w:t>
      </w:r>
      <w:r w:rsidR="00096D97">
        <w:rPr>
          <w:lang w:val="es-AR"/>
        </w:rPr>
        <w:t>apartado</w:t>
      </w:r>
      <w:r w:rsidRPr="000033F2">
        <w:rPr>
          <w:lang w:val="es-AR"/>
        </w:rPr>
        <w:t xml:space="preserve"> 3,</w:t>
      </w:r>
      <w:r w:rsidR="00A27216">
        <w:rPr>
          <w:lang w:val="es-AR"/>
        </w:rPr>
        <w:t xml:space="preserve"> la Conferencia</w:t>
      </w:r>
      <w:r w:rsidR="00096D97">
        <w:rPr>
          <w:lang w:val="es-AR"/>
        </w:rPr>
        <w:t xml:space="preserve"> de las Partes que Actúa como Reunión de las Partes en el Protocolo de Nagoya</w:t>
      </w:r>
      <w:r w:rsidRPr="000033F2">
        <w:rPr>
          <w:lang w:val="es-AR"/>
        </w:rPr>
        <w:t xml:space="preserve"> reconoció que había "</w:t>
      </w:r>
      <w:r w:rsidR="001B1B97" w:rsidRPr="001B1B97">
        <w:rPr>
          <w:lang w:val="es-AR"/>
        </w:rPr>
        <w:t>información limitada sobre la aplicación de las disposiciones del Protocolo en relación con los conocimientos tradicionales asociados a los recursos genéticos que poseen los pueblos indígenas y las comunidades locales</w:t>
      </w:r>
      <w:r w:rsidRPr="000033F2">
        <w:rPr>
          <w:lang w:val="es-AR"/>
        </w:rPr>
        <w:t>" e invit</w:t>
      </w:r>
      <w:r w:rsidR="00A27216">
        <w:rPr>
          <w:lang w:val="es-AR"/>
        </w:rPr>
        <w:t>ó</w:t>
      </w:r>
      <w:r w:rsidRPr="000033F2">
        <w:rPr>
          <w:lang w:val="es-AR"/>
        </w:rPr>
        <w:t xml:space="preserve"> a </w:t>
      </w:r>
      <w:r w:rsidR="00A27216">
        <w:rPr>
          <w:lang w:val="es-AR"/>
        </w:rPr>
        <w:t xml:space="preserve">prestar </w:t>
      </w:r>
      <w:r w:rsidRPr="000033F2">
        <w:rPr>
          <w:lang w:val="es-AR"/>
        </w:rPr>
        <w:t xml:space="preserve">atención </w:t>
      </w:r>
      <w:r w:rsidR="00A27216">
        <w:rPr>
          <w:lang w:val="es-AR"/>
        </w:rPr>
        <w:t xml:space="preserve">especial </w:t>
      </w:r>
      <w:r w:rsidRPr="000033F2">
        <w:rPr>
          <w:lang w:val="es-AR"/>
        </w:rPr>
        <w:t>a este aspecto en la preparación y presentación de los informes nacionales provisionales.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Las principales</w:t>
      </w:r>
      <w:r w:rsidR="00096D97">
        <w:rPr>
          <w:lang w:val="es-AR"/>
        </w:rPr>
        <w:t xml:space="preserve"> </w:t>
      </w:r>
      <w:r w:rsidR="00A27216" w:rsidRPr="000033F2">
        <w:rPr>
          <w:lang w:val="es-AR"/>
        </w:rPr>
        <w:t xml:space="preserve">disposiciones </w:t>
      </w:r>
      <w:r w:rsidR="00096D97">
        <w:rPr>
          <w:lang w:val="es-AR"/>
        </w:rPr>
        <w:t>del Protocolo</w:t>
      </w:r>
      <w:r w:rsidRPr="000033F2">
        <w:rPr>
          <w:lang w:val="es-AR"/>
        </w:rPr>
        <w:t xml:space="preserve"> de Nagoya que </w:t>
      </w:r>
      <w:r w:rsidR="00A27216">
        <w:rPr>
          <w:lang w:val="es-AR"/>
        </w:rPr>
        <w:t xml:space="preserve">abordan </w:t>
      </w:r>
      <w:r w:rsidRPr="000033F2">
        <w:rPr>
          <w:lang w:val="es-AR"/>
        </w:rPr>
        <w:t xml:space="preserve">los conocimientos tradicionales asociados a los recursos genéticos </w:t>
      </w:r>
      <w:r w:rsidR="00A27216">
        <w:rPr>
          <w:lang w:val="es-AR"/>
        </w:rPr>
        <w:t>poseídos</w:t>
      </w:r>
      <w:r w:rsidRPr="000033F2">
        <w:rPr>
          <w:lang w:val="es-AR"/>
        </w:rPr>
        <w:t xml:space="preserve"> por </w:t>
      </w:r>
      <w:r w:rsidR="00A27216">
        <w:rPr>
          <w:lang w:val="es-AR"/>
        </w:rPr>
        <w:t>los pueblos indígenas</w:t>
      </w:r>
      <w:r w:rsidRPr="000033F2">
        <w:rPr>
          <w:lang w:val="es-AR"/>
        </w:rPr>
        <w:t xml:space="preserve"> y las comunidades locales</w:t>
      </w:r>
      <w:r w:rsidR="00A27216">
        <w:rPr>
          <w:lang w:val="es-AR"/>
        </w:rPr>
        <w:t xml:space="preserve"> son</w:t>
      </w:r>
      <w:r w:rsidRPr="000033F2">
        <w:rPr>
          <w:lang w:val="es-AR"/>
        </w:rPr>
        <w:t xml:space="preserve">: Artículo 5, 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 5; Artículo 7; Artículo 12 y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16.</w:t>
      </w:r>
    </w:p>
    <w:p w:rsidR="00FB79CA" w:rsidRPr="000033F2" w:rsidRDefault="00A27216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>P</w:t>
      </w:r>
      <w:r w:rsidR="00635DA0" w:rsidRPr="000033F2">
        <w:rPr>
          <w:lang w:val="es-AR"/>
        </w:rPr>
        <w:t xml:space="preserve">or consiguiente, la información </w:t>
      </w:r>
      <w:r w:rsidR="0008032E">
        <w:rPr>
          <w:lang w:val="es-AR"/>
        </w:rPr>
        <w:t xml:space="preserve">pertinente </w:t>
      </w:r>
      <w:r w:rsidR="00635DA0" w:rsidRPr="000033F2">
        <w:rPr>
          <w:lang w:val="es-AR"/>
        </w:rPr>
        <w:t xml:space="preserve">del documento </w:t>
      </w:r>
      <w:r w:rsidR="008E4037">
        <w:rPr>
          <w:lang w:val="es-AR"/>
        </w:rPr>
        <w:t xml:space="preserve">analítico </w:t>
      </w:r>
      <w:r>
        <w:rPr>
          <w:lang w:val="es-AR"/>
        </w:rPr>
        <w:t xml:space="preserve">sobre </w:t>
      </w:r>
      <w:r w:rsidR="00635DA0" w:rsidRPr="000033F2">
        <w:rPr>
          <w:lang w:val="es-AR"/>
        </w:rPr>
        <w:t xml:space="preserve">estas disposiciones se resume </w:t>
      </w:r>
      <w:r>
        <w:rPr>
          <w:lang w:val="es-AR"/>
        </w:rPr>
        <w:t>a continuación</w:t>
      </w:r>
      <w:r w:rsidR="00635DA0" w:rsidRPr="000033F2">
        <w:rPr>
          <w:lang w:val="es-AR"/>
        </w:rPr>
        <w:t>.</w:t>
      </w:r>
    </w:p>
    <w:p w:rsidR="00FB79CA" w:rsidRPr="008E4037" w:rsidRDefault="00635DA0">
      <w:pPr>
        <w:pStyle w:val="Heading3"/>
        <w:numPr>
          <w:ilvl w:val="0"/>
          <w:numId w:val="8"/>
        </w:numPr>
        <w:tabs>
          <w:tab w:val="clear" w:pos="567"/>
        </w:tabs>
        <w:jc w:val="left"/>
        <w:rPr>
          <w:rFonts w:eastAsia="Calibri"/>
          <w:snapToGrid w:val="0"/>
          <w:kern w:val="22"/>
          <w:lang w:val="es-AR"/>
        </w:rPr>
      </w:pPr>
      <w:r w:rsidRPr="008E4037">
        <w:rPr>
          <w:rFonts w:eastAsia="Calibri"/>
          <w:snapToGrid w:val="0"/>
          <w:kern w:val="22"/>
          <w:lang w:val="es-AR"/>
        </w:rPr>
        <w:t>¿Su país ha tomado medidas legislativas, administrativas o política</w:t>
      </w:r>
      <w:r w:rsidR="008E4037">
        <w:rPr>
          <w:rFonts w:eastAsia="Calibri"/>
          <w:snapToGrid w:val="0"/>
          <w:kern w:val="22"/>
          <w:lang w:val="es-AR"/>
        </w:rPr>
        <w:t>s</w:t>
      </w:r>
      <w:r w:rsidRPr="008E4037">
        <w:rPr>
          <w:rFonts w:eastAsia="Calibri"/>
          <w:snapToGrid w:val="0"/>
          <w:kern w:val="22"/>
          <w:lang w:val="es-AR"/>
        </w:rPr>
        <w:t xml:space="preserve"> para </w:t>
      </w:r>
      <w:r w:rsidR="008E4037">
        <w:rPr>
          <w:rFonts w:eastAsia="Calibri"/>
          <w:snapToGrid w:val="0"/>
          <w:kern w:val="22"/>
          <w:lang w:val="es-AR"/>
        </w:rPr>
        <w:t xml:space="preserve">que los beneficios que surgen de la utilización de </w:t>
      </w:r>
      <w:r w:rsidRPr="008E4037">
        <w:rPr>
          <w:rFonts w:eastAsia="Calibri"/>
          <w:snapToGrid w:val="0"/>
          <w:kern w:val="22"/>
          <w:lang w:val="es-AR"/>
        </w:rPr>
        <w:t xml:space="preserve">los </w:t>
      </w:r>
      <w:r w:rsidR="00B54C19" w:rsidRPr="008E4037">
        <w:rPr>
          <w:rFonts w:eastAsia="Calibri"/>
          <w:snapToGrid w:val="0"/>
          <w:kern w:val="22"/>
          <w:lang w:val="es-AR"/>
        </w:rPr>
        <w:t>conocimientos tradicionales asociados a los recursos genéticos</w:t>
      </w:r>
      <w:r w:rsidRPr="008E4037">
        <w:rPr>
          <w:rFonts w:eastAsia="Calibri"/>
          <w:snapToGrid w:val="0"/>
          <w:kern w:val="22"/>
          <w:lang w:val="es-AR"/>
        </w:rPr>
        <w:t xml:space="preserve"> </w:t>
      </w:r>
      <w:r w:rsidR="008E4037">
        <w:rPr>
          <w:rFonts w:eastAsia="Calibri"/>
          <w:snapToGrid w:val="0"/>
          <w:kern w:val="22"/>
          <w:lang w:val="es-AR"/>
        </w:rPr>
        <w:t xml:space="preserve">se compartan </w:t>
      </w:r>
      <w:r w:rsidRPr="008E4037">
        <w:rPr>
          <w:rFonts w:eastAsia="Calibri"/>
          <w:snapToGrid w:val="0"/>
          <w:kern w:val="22"/>
          <w:lang w:val="es-AR"/>
        </w:rPr>
        <w:t>con</w:t>
      </w:r>
      <w:r w:rsidR="008E4037">
        <w:rPr>
          <w:rFonts w:eastAsia="Calibri"/>
          <w:snapToGrid w:val="0"/>
          <w:kern w:val="22"/>
          <w:lang w:val="es-AR"/>
        </w:rPr>
        <w:t xml:space="preserve"> las</w:t>
      </w:r>
      <w:r w:rsidRPr="008E4037">
        <w:rPr>
          <w:rFonts w:eastAsia="Calibri"/>
          <w:snapToGrid w:val="0"/>
          <w:kern w:val="22"/>
          <w:lang w:val="es-AR"/>
        </w:rPr>
        <w:t xml:space="preserve"> </w:t>
      </w:r>
      <w:r w:rsidR="009B2BB5" w:rsidRPr="008E4037">
        <w:rPr>
          <w:rFonts w:eastAsia="Calibri"/>
          <w:snapToGrid w:val="0"/>
          <w:kern w:val="22"/>
          <w:lang w:val="es-AR"/>
        </w:rPr>
        <w:t>comunidades indígenas y locales</w:t>
      </w:r>
      <w:r w:rsidRPr="008E4037">
        <w:rPr>
          <w:rFonts w:eastAsia="Calibri"/>
          <w:snapToGrid w:val="0"/>
          <w:kern w:val="22"/>
          <w:lang w:val="es-AR"/>
        </w:rPr>
        <w:t xml:space="preserve"> que </w:t>
      </w:r>
      <w:r w:rsidR="008E4037">
        <w:rPr>
          <w:rFonts w:eastAsia="Calibri"/>
          <w:snapToGrid w:val="0"/>
          <w:kern w:val="22"/>
          <w:lang w:val="es-AR"/>
        </w:rPr>
        <w:t xml:space="preserve">poseen tales </w:t>
      </w:r>
      <w:r w:rsidRPr="008E4037">
        <w:rPr>
          <w:rFonts w:eastAsia="Calibri"/>
          <w:snapToGrid w:val="0"/>
          <w:kern w:val="22"/>
          <w:lang w:val="es-AR"/>
        </w:rPr>
        <w:t>conocimiento</w:t>
      </w:r>
      <w:r w:rsidR="008E4037">
        <w:rPr>
          <w:rFonts w:eastAsia="Calibri"/>
          <w:snapToGrid w:val="0"/>
          <w:kern w:val="22"/>
          <w:lang w:val="es-AR"/>
        </w:rPr>
        <w:t>s</w:t>
      </w:r>
      <w:r w:rsidR="00744285">
        <w:rPr>
          <w:rFonts w:eastAsia="Calibri"/>
          <w:snapToGrid w:val="0"/>
          <w:kern w:val="22"/>
          <w:lang w:val="es-AR"/>
        </w:rPr>
        <w:t>,</w:t>
      </w:r>
      <w:r w:rsidRPr="008E4037">
        <w:rPr>
          <w:rFonts w:eastAsia="Calibri"/>
          <w:snapToGrid w:val="0"/>
          <w:kern w:val="22"/>
          <w:lang w:val="es-AR"/>
        </w:rPr>
        <w:t xml:space="preserve"> </w:t>
      </w:r>
      <w:r w:rsidR="008E4037">
        <w:rPr>
          <w:rFonts w:eastAsia="Calibri"/>
          <w:snapToGrid w:val="0"/>
          <w:kern w:val="22"/>
          <w:lang w:val="es-AR"/>
        </w:rPr>
        <w:t xml:space="preserve">según lo dispuesto en </w:t>
      </w:r>
      <w:r w:rsidRPr="008E4037">
        <w:rPr>
          <w:rFonts w:eastAsia="Calibri"/>
          <w:snapToGrid w:val="0"/>
          <w:kern w:val="22"/>
          <w:lang w:val="es-AR"/>
        </w:rPr>
        <w:t xml:space="preserve">el </w:t>
      </w:r>
      <w:r w:rsidR="00BA6E1E" w:rsidRPr="008E4037">
        <w:rPr>
          <w:rFonts w:eastAsia="Calibri"/>
          <w:snapToGrid w:val="0"/>
          <w:kern w:val="22"/>
          <w:lang w:val="es-AR"/>
        </w:rPr>
        <w:t>Artículo 5.5</w:t>
      </w:r>
      <w:r w:rsidRPr="008E4037">
        <w:rPr>
          <w:rFonts w:eastAsia="Calibri"/>
          <w:snapToGrid w:val="0"/>
          <w:kern w:val="22"/>
          <w:lang w:val="es-AR"/>
        </w:rPr>
        <w:t>?</w:t>
      </w:r>
      <w:r w:rsidRPr="008E4037">
        <w:rPr>
          <w:lang w:val="es-AR"/>
        </w:rPr>
        <w:t xml:space="preserve"> </w:t>
      </w:r>
      <w:r w:rsidRPr="008E4037">
        <w:rPr>
          <w:rFonts w:eastAsia="Calibri"/>
          <w:snapToGrid w:val="0"/>
          <w:kern w:val="22"/>
          <w:lang w:val="es-AR"/>
        </w:rPr>
        <w:t>(pregunta 22 del formato para el informe nacional provisional)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Cuarenta y un</w:t>
      </w:r>
      <w:r w:rsidR="00A27216">
        <w:rPr>
          <w:lang w:val="es-AR"/>
        </w:rPr>
        <w:t>a</w:t>
      </w:r>
      <w:r w:rsidRPr="000033F2">
        <w:rPr>
          <w:lang w:val="es-AR"/>
        </w:rPr>
        <w:t xml:space="preserve"> Partes y cinco </w:t>
      </w:r>
      <w:r w:rsidR="00A27216">
        <w:rPr>
          <w:lang w:val="es-AR"/>
        </w:rPr>
        <w:t>estados que no son Parte</w:t>
      </w:r>
      <w:r w:rsidR="001F715B">
        <w:rPr>
          <w:lang w:val="es-AR"/>
        </w:rPr>
        <w:t>s</w:t>
      </w:r>
      <w:r w:rsidRPr="000033F2">
        <w:rPr>
          <w:lang w:val="es-AR"/>
        </w:rPr>
        <w:t xml:space="preserve"> respondieron que </w:t>
      </w:r>
      <w:r w:rsidR="00A27216">
        <w:rPr>
          <w:lang w:val="es-AR"/>
        </w:rPr>
        <w:t xml:space="preserve">habían </w:t>
      </w:r>
      <w:r w:rsidRPr="000033F2">
        <w:rPr>
          <w:lang w:val="es-AR"/>
        </w:rPr>
        <w:t xml:space="preserve">tomado medidas para </w:t>
      </w:r>
      <w:r w:rsidR="00A27216">
        <w:rPr>
          <w:lang w:val="es-AR"/>
        </w:rPr>
        <w:t>aplicar el Artículo</w:t>
      </w:r>
      <w:r w:rsidRPr="000033F2">
        <w:rPr>
          <w:lang w:val="es-AR"/>
        </w:rPr>
        <w:t xml:space="preserve"> </w:t>
      </w:r>
      <w:r w:rsidR="000033F2" w:rsidRPr="000033F2">
        <w:rPr>
          <w:lang w:val="es-AR"/>
        </w:rPr>
        <w:t>5</w:t>
      </w:r>
      <w:r w:rsidR="00A27216">
        <w:rPr>
          <w:lang w:val="es-AR"/>
        </w:rPr>
        <w:t>.</w:t>
      </w:r>
      <w:r w:rsidR="000033F2" w:rsidRPr="000033F2">
        <w:rPr>
          <w:lang w:val="es-AR"/>
        </w:rPr>
        <w:t>5</w:t>
      </w:r>
      <w:r w:rsidRPr="000033F2">
        <w:rPr>
          <w:lang w:val="es-AR"/>
        </w:rPr>
        <w:t>, mientras que veintiocho Partes y un</w:t>
      </w:r>
      <w:r w:rsidR="00A27216">
        <w:rPr>
          <w:lang w:val="es-AR"/>
        </w:rPr>
        <w:t xml:space="preserve"> estado que no es Parte informaron no hab</w:t>
      </w:r>
      <w:r w:rsidR="001F715B">
        <w:rPr>
          <w:lang w:val="es-AR"/>
        </w:rPr>
        <w:t>er</w:t>
      </w:r>
      <w:r w:rsidR="00A27216">
        <w:rPr>
          <w:lang w:val="es-AR"/>
        </w:rPr>
        <w:t xml:space="preserve"> tomado dichas </w:t>
      </w:r>
      <w:r w:rsidRPr="000033F2">
        <w:rPr>
          <w:lang w:val="es-AR"/>
        </w:rPr>
        <w:t>medidas.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 xml:space="preserve">Entre los países que contestaron </w:t>
      </w:r>
      <w:r w:rsidR="00A27216">
        <w:rPr>
          <w:rFonts w:eastAsia="Calibri"/>
          <w:kern w:val="22"/>
          <w:lang w:val="es-AR"/>
        </w:rPr>
        <w:t xml:space="preserve">afirmativamente </w:t>
      </w:r>
      <w:r w:rsidRPr="000033F2">
        <w:rPr>
          <w:rFonts w:eastAsia="Calibri"/>
          <w:kern w:val="22"/>
          <w:lang w:val="es-AR"/>
        </w:rPr>
        <w:t xml:space="preserve">a esta pregunta, muchos </w:t>
      </w:r>
      <w:r w:rsidR="00A40A8C">
        <w:rPr>
          <w:rFonts w:eastAsia="Calibri"/>
          <w:kern w:val="22"/>
          <w:lang w:val="es-AR"/>
        </w:rPr>
        <w:t>hicieron referencia a las medidas</w:t>
      </w:r>
      <w:r w:rsidRPr="000033F2">
        <w:rPr>
          <w:rFonts w:eastAsia="Calibri"/>
          <w:kern w:val="22"/>
          <w:lang w:val="es-AR"/>
        </w:rPr>
        <w:t xml:space="preserve"> que requerían participación en los beneficios </w:t>
      </w:r>
      <w:r w:rsidR="00A27216">
        <w:rPr>
          <w:rFonts w:eastAsia="Calibri"/>
          <w:kern w:val="22"/>
          <w:lang w:val="es-AR"/>
        </w:rPr>
        <w:t>proveniente</w:t>
      </w:r>
      <w:r w:rsidR="001F715B">
        <w:rPr>
          <w:rFonts w:eastAsia="Calibri"/>
          <w:kern w:val="22"/>
          <w:lang w:val="es-AR"/>
        </w:rPr>
        <w:t>s</w:t>
      </w:r>
      <w:r w:rsidR="00A27216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de </w:t>
      </w:r>
      <w:r w:rsidRPr="000033F2">
        <w:rPr>
          <w:lang w:val="es-AR"/>
        </w:rPr>
        <w:t xml:space="preserve">la </w:t>
      </w:r>
      <w:r w:rsidRPr="000033F2">
        <w:rPr>
          <w:rFonts w:eastAsia="Calibri"/>
          <w:kern w:val="22"/>
          <w:lang w:val="es-AR"/>
        </w:rPr>
        <w:t xml:space="preserve">utilización de </w:t>
      </w:r>
      <w:r w:rsidRPr="000033F2">
        <w:rPr>
          <w:lang w:val="es-AR"/>
        </w:rPr>
        <w:t xml:space="preserve">los </w:t>
      </w:r>
      <w:r w:rsidRPr="000033F2">
        <w:rPr>
          <w:rFonts w:eastAsia="Calibri"/>
          <w:kern w:val="22"/>
          <w:lang w:val="es-AR"/>
        </w:rPr>
        <w:t>conocimientos tradicionales en su país.</w:t>
      </w:r>
      <w:r w:rsidRPr="000033F2">
        <w:rPr>
          <w:rStyle w:val="FootnoteReference"/>
          <w:rFonts w:eastAsia="Calibri"/>
          <w:kern w:val="22"/>
          <w:lang w:val="es-AR"/>
        </w:rPr>
        <w:footnoteReference w:id="5"/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En algunos países, las medidas que aborda</w:t>
      </w:r>
      <w:r w:rsidR="001F715B">
        <w:rPr>
          <w:rFonts w:eastAsia="Calibri"/>
          <w:kern w:val="22"/>
          <w:lang w:val="es-AR"/>
        </w:rPr>
        <w:t>n</w:t>
      </w:r>
      <w:r w:rsidR="00A27216">
        <w:rPr>
          <w:rFonts w:eastAsia="Calibri"/>
          <w:kern w:val="22"/>
          <w:lang w:val="es-AR"/>
        </w:rPr>
        <w:t xml:space="preserve"> la </w:t>
      </w:r>
      <w:r w:rsidRPr="000033F2">
        <w:rPr>
          <w:rFonts w:eastAsia="Calibri"/>
          <w:kern w:val="22"/>
          <w:lang w:val="es-AR"/>
        </w:rPr>
        <w:t xml:space="preserve">participación en </w:t>
      </w:r>
      <w:r w:rsidR="00A27216">
        <w:rPr>
          <w:rFonts w:eastAsia="Calibri"/>
          <w:kern w:val="22"/>
          <w:lang w:val="es-AR"/>
        </w:rPr>
        <w:t>los beneficios provenientes de la utilización</w:t>
      </w:r>
      <w:r w:rsidRPr="000033F2">
        <w:rPr>
          <w:rFonts w:eastAsia="Calibri"/>
          <w:kern w:val="22"/>
          <w:lang w:val="es-AR"/>
        </w:rPr>
        <w:t xml:space="preserve"> de los conocimientos tradicionales asociados son medidas </w:t>
      </w:r>
      <w:r w:rsidR="00A27216">
        <w:rPr>
          <w:rFonts w:eastAsia="Calibri"/>
          <w:kern w:val="22"/>
          <w:lang w:val="es-AR"/>
        </w:rPr>
        <w:t xml:space="preserve">cuyo objetivo primordial es </w:t>
      </w:r>
      <w:r w:rsidRPr="000033F2">
        <w:rPr>
          <w:rFonts w:eastAsia="Calibri"/>
          <w:kern w:val="22"/>
          <w:lang w:val="es-AR"/>
        </w:rPr>
        <w:t>la protección de los conocimientos tradicionales.</w:t>
      </w:r>
      <w:r w:rsidRPr="000033F2">
        <w:rPr>
          <w:rStyle w:val="FootnoteReference"/>
          <w:rFonts w:eastAsia="Calibri"/>
          <w:kern w:val="22"/>
          <w:lang w:val="es-AR"/>
        </w:rPr>
        <w:footnoteReference w:id="6"/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Algunos países </w:t>
      </w:r>
      <w:r w:rsidR="00BA6E1E">
        <w:rPr>
          <w:rFonts w:eastAsia="Calibri"/>
          <w:kern w:val="22"/>
          <w:lang w:val="es-AR"/>
        </w:rPr>
        <w:t xml:space="preserve">mencionaron </w:t>
      </w:r>
      <w:r w:rsidRPr="000033F2">
        <w:rPr>
          <w:rFonts w:eastAsia="Calibri"/>
          <w:kern w:val="22"/>
          <w:lang w:val="es-AR"/>
        </w:rPr>
        <w:t xml:space="preserve">sus planes o </w:t>
      </w:r>
      <w:r w:rsidR="00BA6E1E">
        <w:rPr>
          <w:rFonts w:eastAsia="Calibri"/>
          <w:kern w:val="22"/>
          <w:lang w:val="es-AR"/>
        </w:rPr>
        <w:t xml:space="preserve">actividades </w:t>
      </w:r>
      <w:r w:rsidRPr="000033F2">
        <w:rPr>
          <w:rFonts w:eastAsia="Calibri"/>
          <w:kern w:val="22"/>
          <w:lang w:val="es-AR"/>
        </w:rPr>
        <w:t xml:space="preserve">para establecer medidas necesarias o adicionales </w:t>
      </w:r>
      <w:r w:rsidR="00BA6E1E">
        <w:rPr>
          <w:rFonts w:eastAsia="Calibri"/>
          <w:kern w:val="22"/>
          <w:lang w:val="es-AR"/>
        </w:rPr>
        <w:t xml:space="preserve">con el fin de </w:t>
      </w:r>
      <w:r w:rsidR="00A27216">
        <w:rPr>
          <w:rFonts w:eastAsia="Calibri"/>
          <w:kern w:val="22"/>
          <w:lang w:val="es-AR"/>
        </w:rPr>
        <w:t xml:space="preserve">aplicar el </w:t>
      </w:r>
      <w:r w:rsidR="00BA6E1E">
        <w:rPr>
          <w:rFonts w:eastAsia="Calibri"/>
          <w:kern w:val="22"/>
          <w:lang w:val="es-AR"/>
        </w:rPr>
        <w:t>Artículo 5.5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rStyle w:val="FootnoteReference"/>
          <w:rFonts w:eastAsia="Calibri"/>
          <w:kern w:val="22"/>
          <w:lang w:val="es-AR"/>
        </w:rPr>
        <w:footnoteReference w:id="7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 xml:space="preserve">Entre los países que contestaron </w:t>
      </w:r>
      <w:r w:rsidR="00BA6E1E">
        <w:rPr>
          <w:rFonts w:eastAsia="Calibri"/>
          <w:kern w:val="22"/>
          <w:lang w:val="es-AR"/>
        </w:rPr>
        <w:t xml:space="preserve">negativamente </w:t>
      </w:r>
      <w:r w:rsidRPr="000033F2">
        <w:rPr>
          <w:rFonts w:eastAsia="Calibri"/>
          <w:kern w:val="22"/>
          <w:lang w:val="es-AR"/>
        </w:rPr>
        <w:t>a esta pregunta, dos</w:t>
      </w:r>
      <w:r w:rsidRPr="000033F2">
        <w:rPr>
          <w:rStyle w:val="FootnoteReference"/>
          <w:rFonts w:eastAsia="Calibri"/>
          <w:kern w:val="22"/>
          <w:lang w:val="es-AR"/>
        </w:rPr>
        <w:footnoteReference w:id="8"/>
      </w:r>
      <w:r w:rsidRPr="000033F2">
        <w:rPr>
          <w:rFonts w:eastAsia="Calibri"/>
          <w:kern w:val="22"/>
          <w:lang w:val="es-AR"/>
        </w:rPr>
        <w:t xml:space="preserve"> países indicaron que </w:t>
      </w:r>
      <w:r w:rsidR="001F715B">
        <w:rPr>
          <w:rFonts w:eastAsia="Calibri"/>
          <w:kern w:val="22"/>
          <w:lang w:val="es-AR"/>
        </w:rPr>
        <w:t xml:space="preserve">en </w:t>
      </w:r>
      <w:r w:rsidRPr="000033F2">
        <w:rPr>
          <w:rFonts w:eastAsia="Calibri"/>
          <w:kern w:val="22"/>
          <w:lang w:val="es-AR"/>
        </w:rPr>
        <w:t xml:space="preserve">sus países no </w:t>
      </w:r>
      <w:r w:rsidR="001F715B">
        <w:rPr>
          <w:rFonts w:eastAsia="Calibri"/>
          <w:kern w:val="22"/>
          <w:lang w:val="es-AR"/>
        </w:rPr>
        <w:t xml:space="preserve">había </w:t>
      </w:r>
      <w:r w:rsidR="00BA6E1E">
        <w:rPr>
          <w:rFonts w:eastAsia="Calibri"/>
          <w:kern w:val="22"/>
          <w:lang w:val="es-AR"/>
        </w:rPr>
        <w:t>comités de enlace con los pueblos indígenas</w:t>
      </w:r>
      <w:r w:rsidR="001F715B">
        <w:rPr>
          <w:rFonts w:eastAsia="Calibri"/>
          <w:kern w:val="22"/>
          <w:lang w:val="es-AR"/>
        </w:rPr>
        <w:t xml:space="preserve"> y comunidades locales</w:t>
      </w:r>
      <w:r w:rsidRPr="000033F2">
        <w:rPr>
          <w:rFonts w:eastAsia="Calibri"/>
          <w:kern w:val="22"/>
          <w:lang w:val="es-AR"/>
        </w:rPr>
        <w:t>, y otro</w:t>
      </w:r>
      <w:r w:rsidRPr="000033F2">
        <w:rPr>
          <w:rStyle w:val="FootnoteReference"/>
          <w:rFonts w:eastAsia="Calibri"/>
          <w:kern w:val="22"/>
          <w:lang w:val="es-AR"/>
        </w:rPr>
        <w:footnoteReference w:id="9"/>
      </w:r>
      <w:r w:rsidRPr="000033F2">
        <w:rPr>
          <w:rFonts w:eastAsia="Calibri"/>
          <w:kern w:val="22"/>
          <w:lang w:val="es-AR"/>
        </w:rPr>
        <w:t xml:space="preserve"> aclar</w:t>
      </w:r>
      <w:r w:rsidR="00BA6E1E">
        <w:rPr>
          <w:rFonts w:eastAsia="Calibri"/>
          <w:kern w:val="22"/>
          <w:lang w:val="es-AR"/>
        </w:rPr>
        <w:t>ó</w:t>
      </w:r>
      <w:r w:rsidRPr="000033F2">
        <w:rPr>
          <w:rFonts w:eastAsia="Calibri"/>
          <w:kern w:val="22"/>
          <w:lang w:val="es-AR"/>
        </w:rPr>
        <w:t xml:space="preserve"> que </w:t>
      </w:r>
      <w:r w:rsidR="00BA6E1E">
        <w:rPr>
          <w:rFonts w:eastAsia="Calibri"/>
          <w:kern w:val="22"/>
          <w:lang w:val="es-AR"/>
        </w:rPr>
        <w:lastRenderedPageBreak/>
        <w:t xml:space="preserve">sólo </w:t>
      </w:r>
      <w:r w:rsidRPr="000033F2">
        <w:rPr>
          <w:rFonts w:eastAsia="Calibri"/>
          <w:kern w:val="22"/>
          <w:lang w:val="es-AR"/>
        </w:rPr>
        <w:t>tiene comunidades locales.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Otro país</w:t>
      </w:r>
      <w:r w:rsidRPr="000033F2">
        <w:rPr>
          <w:rStyle w:val="FootnoteReference"/>
          <w:rFonts w:eastAsia="Calibri"/>
          <w:kern w:val="22"/>
          <w:lang w:val="es-AR"/>
        </w:rPr>
        <w:footnoteReference w:id="10"/>
      </w:r>
      <w:r w:rsidRPr="000033F2">
        <w:rPr>
          <w:rFonts w:eastAsia="Calibri"/>
          <w:kern w:val="22"/>
          <w:lang w:val="es-AR"/>
        </w:rPr>
        <w:t xml:space="preserve"> explicó que </w:t>
      </w:r>
      <w:r w:rsidR="00F36B85">
        <w:rPr>
          <w:rFonts w:eastAsia="Calibri"/>
          <w:kern w:val="22"/>
          <w:lang w:val="es-AR"/>
        </w:rPr>
        <w:t>los beneficios</w:t>
      </w:r>
      <w:r w:rsidRPr="000033F2">
        <w:rPr>
          <w:rFonts w:eastAsia="Calibri"/>
          <w:kern w:val="22"/>
          <w:lang w:val="es-AR"/>
        </w:rPr>
        <w:t xml:space="preserve"> </w:t>
      </w:r>
      <w:r w:rsidR="00F36B85">
        <w:rPr>
          <w:rFonts w:eastAsia="Calibri"/>
          <w:kern w:val="22"/>
          <w:lang w:val="es-AR"/>
        </w:rPr>
        <w:t>deben compartirse</w:t>
      </w:r>
      <w:r w:rsidRPr="000033F2">
        <w:rPr>
          <w:rFonts w:eastAsia="Calibri"/>
          <w:kern w:val="22"/>
          <w:lang w:val="es-AR"/>
        </w:rPr>
        <w:t xml:space="preserve"> </w:t>
      </w:r>
      <w:r w:rsidR="00F36B85">
        <w:rPr>
          <w:rFonts w:eastAsia="Calibri"/>
          <w:kern w:val="22"/>
          <w:lang w:val="es-AR"/>
        </w:rPr>
        <w:t xml:space="preserve">por igual </w:t>
      </w:r>
      <w:r w:rsidRPr="000033F2">
        <w:rPr>
          <w:rFonts w:eastAsia="Calibri"/>
          <w:kern w:val="22"/>
          <w:lang w:val="es-AR"/>
        </w:rPr>
        <w:t>entre todos los ciudadanos.</w:t>
      </w:r>
      <w:r w:rsidRPr="000033F2">
        <w:rPr>
          <w:lang w:val="es-AR"/>
        </w:rPr>
        <w:t xml:space="preserve"> </w:t>
      </w:r>
      <w:r w:rsidR="00F36B85">
        <w:rPr>
          <w:lang w:val="es-AR"/>
        </w:rPr>
        <w:t>Asimismo v</w:t>
      </w:r>
      <w:r w:rsidRPr="000033F2">
        <w:rPr>
          <w:rFonts w:eastAsia="Calibri"/>
          <w:kern w:val="22"/>
          <w:lang w:val="es-AR"/>
        </w:rPr>
        <w:t>arios países indicaron que planean abordar esta cuestión.</w:t>
      </w:r>
      <w:r w:rsidRPr="000033F2">
        <w:rPr>
          <w:rStyle w:val="FootnoteReference"/>
          <w:rFonts w:eastAsia="Calibri"/>
          <w:kern w:val="22"/>
          <w:lang w:val="es-AR"/>
        </w:rPr>
        <w:footnoteReference w:id="11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 xml:space="preserve">En la pregunta 23, se invitó a los países </w:t>
      </w:r>
      <w:r w:rsidR="00F36B85">
        <w:rPr>
          <w:rFonts w:eastAsia="Calibri"/>
          <w:kern w:val="22"/>
          <w:lang w:val="es-AR"/>
        </w:rPr>
        <w:t xml:space="preserve">a </w:t>
      </w:r>
      <w:r w:rsidRPr="000033F2">
        <w:rPr>
          <w:rFonts w:eastAsia="Calibri"/>
          <w:kern w:val="22"/>
          <w:lang w:val="es-AR"/>
        </w:rPr>
        <w:t xml:space="preserve">que proporcionaran un resumen de las </w:t>
      </w:r>
      <w:r w:rsidR="00F36B85" w:rsidRPr="000033F2">
        <w:rPr>
          <w:rFonts w:eastAsia="Calibri"/>
          <w:kern w:val="22"/>
          <w:lang w:val="es-AR"/>
        </w:rPr>
        <w:t xml:space="preserve">principales </w:t>
      </w:r>
      <w:r w:rsidRPr="000033F2">
        <w:rPr>
          <w:rFonts w:eastAsia="Calibri"/>
          <w:kern w:val="22"/>
          <w:lang w:val="es-AR"/>
        </w:rPr>
        <w:t xml:space="preserve">dificultades y </w:t>
      </w:r>
      <w:r w:rsidR="00F36B85">
        <w:rPr>
          <w:rFonts w:eastAsia="Calibri"/>
          <w:kern w:val="22"/>
          <w:lang w:val="es-AR"/>
        </w:rPr>
        <w:t xml:space="preserve">desafíos </w:t>
      </w:r>
      <w:r w:rsidR="001F715B">
        <w:rPr>
          <w:rFonts w:eastAsia="Calibri"/>
          <w:kern w:val="22"/>
          <w:lang w:val="es-AR"/>
        </w:rPr>
        <w:t xml:space="preserve">experimentados </w:t>
      </w:r>
      <w:r w:rsidRPr="000033F2">
        <w:rPr>
          <w:rFonts w:eastAsia="Calibri"/>
          <w:kern w:val="22"/>
          <w:lang w:val="es-AR"/>
        </w:rPr>
        <w:t xml:space="preserve">para </w:t>
      </w:r>
      <w:r w:rsidR="001F715B">
        <w:rPr>
          <w:rFonts w:eastAsia="Calibri"/>
          <w:kern w:val="22"/>
          <w:lang w:val="es-AR"/>
        </w:rPr>
        <w:t>establecer</w:t>
      </w:r>
      <w:r w:rsidR="00B54C19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medidas.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Las dificultades específicas a los conocimientos tradicionales asociados incluyeron: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9"/>
        </w:numPr>
        <w:ind w:left="0" w:firstLine="709"/>
        <w:rPr>
          <w:lang w:val="es-AR"/>
        </w:rPr>
      </w:pPr>
      <w:r w:rsidRPr="000033F2">
        <w:rPr>
          <w:rFonts w:eastAsia="Calibri"/>
          <w:lang w:val="es-AR"/>
        </w:rPr>
        <w:t>Dificultad</w:t>
      </w:r>
      <w:r w:rsidR="00B54C19">
        <w:rPr>
          <w:rFonts w:eastAsia="Calibri"/>
          <w:lang w:val="es-AR"/>
        </w:rPr>
        <w:t xml:space="preserve">es para </w:t>
      </w:r>
      <w:r w:rsidRPr="000033F2">
        <w:rPr>
          <w:rFonts w:eastAsia="Calibri"/>
          <w:lang w:val="es-AR"/>
        </w:rPr>
        <w:t xml:space="preserve">aclarar qué </w:t>
      </w:r>
      <w:r w:rsidR="00B54C19">
        <w:rPr>
          <w:rFonts w:eastAsia="Calibri"/>
          <w:lang w:val="es-AR"/>
        </w:rPr>
        <w:t xml:space="preserve">significa </w:t>
      </w:r>
      <w:r w:rsidRPr="000033F2">
        <w:rPr>
          <w:rFonts w:eastAsia="Calibri"/>
          <w:lang w:val="es-AR"/>
        </w:rPr>
        <w:t>el término '</w:t>
      </w:r>
      <w:r w:rsidR="001F715B">
        <w:rPr>
          <w:rFonts w:eastAsia="Calibri"/>
          <w:lang w:val="es-AR"/>
        </w:rPr>
        <w:t>pueblos indígenas y comunidades locales</w:t>
      </w:r>
      <w:r w:rsidRPr="000033F2">
        <w:rPr>
          <w:rFonts w:eastAsia="Calibri"/>
          <w:lang w:val="es-AR"/>
        </w:rPr>
        <w:t xml:space="preserve">' </w:t>
      </w:r>
      <w:r w:rsidR="00B54C19">
        <w:rPr>
          <w:rFonts w:eastAsia="Calibri"/>
          <w:lang w:val="es-AR"/>
        </w:rPr>
        <w:t xml:space="preserve">dentro del </w:t>
      </w:r>
      <w:r w:rsidRPr="000033F2">
        <w:rPr>
          <w:rFonts w:eastAsia="Calibri"/>
          <w:lang w:val="es-AR"/>
        </w:rPr>
        <w:t xml:space="preserve">contexto nacional, </w:t>
      </w:r>
      <w:r w:rsidR="000033F2">
        <w:rPr>
          <w:rFonts w:eastAsia="Calibri"/>
          <w:lang w:val="es-AR"/>
        </w:rPr>
        <w:t>inclusive</w:t>
      </w:r>
      <w:r w:rsidRPr="000033F2">
        <w:rPr>
          <w:rFonts w:eastAsia="Calibri"/>
          <w:lang w:val="es-AR"/>
        </w:rPr>
        <w:t xml:space="preserve"> </w:t>
      </w:r>
      <w:r w:rsidR="006D33DB">
        <w:rPr>
          <w:rFonts w:eastAsia="Calibri"/>
          <w:lang w:val="es-AR"/>
        </w:rPr>
        <w:t xml:space="preserve">explicar </w:t>
      </w:r>
      <w:r w:rsidR="00B54C19">
        <w:rPr>
          <w:rFonts w:eastAsia="Calibri"/>
          <w:lang w:val="es-AR"/>
        </w:rPr>
        <w:t xml:space="preserve">aspectos de </w:t>
      </w:r>
      <w:r w:rsidRPr="000033F2">
        <w:rPr>
          <w:rFonts w:eastAsia="Calibri"/>
          <w:lang w:val="es-AR"/>
        </w:rPr>
        <w:t xml:space="preserve">la propiedad de </w:t>
      </w:r>
      <w:r w:rsidR="00B54C19">
        <w:rPr>
          <w:rFonts w:eastAsia="Calibri"/>
          <w:lang w:val="es-AR"/>
        </w:rPr>
        <w:t>los pueblos indígenas y las comunidades locales</w:t>
      </w:r>
      <w:r w:rsidRPr="000033F2">
        <w:rPr>
          <w:rFonts w:eastAsia="Calibri"/>
          <w:lang w:val="es-AR"/>
        </w:rPr>
        <w:t xml:space="preserve"> de los </w:t>
      </w:r>
      <w:r w:rsidR="00B54C19">
        <w:rPr>
          <w:rFonts w:eastAsia="Calibri"/>
          <w:lang w:val="es-AR"/>
        </w:rPr>
        <w:t>conocimientos tradicionales asociados a los recursos genéticos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="001F715B">
        <w:rPr>
          <w:lang w:val="es-AR"/>
        </w:rPr>
        <w:t xml:space="preserve">Numerosas </w:t>
      </w:r>
      <w:r w:rsidRPr="000033F2">
        <w:rPr>
          <w:rFonts w:eastAsia="Calibri"/>
          <w:lang w:val="es-AR"/>
        </w:rPr>
        <w:t xml:space="preserve">Partes </w:t>
      </w:r>
      <w:r w:rsidR="00B54C19">
        <w:rPr>
          <w:rFonts w:eastAsia="Calibri"/>
          <w:lang w:val="es-AR"/>
        </w:rPr>
        <w:t xml:space="preserve">tuvieron </w:t>
      </w:r>
      <w:r w:rsidRPr="000033F2">
        <w:rPr>
          <w:rFonts w:eastAsia="Calibri"/>
          <w:lang w:val="es-AR"/>
        </w:rPr>
        <w:t xml:space="preserve">dificultades en </w:t>
      </w:r>
      <w:r w:rsidR="00B54C19">
        <w:rPr>
          <w:rFonts w:eastAsia="Calibri"/>
          <w:lang w:val="es-AR"/>
        </w:rPr>
        <w:t xml:space="preserve">identificar </w:t>
      </w:r>
      <w:r w:rsidRPr="000033F2">
        <w:rPr>
          <w:rFonts w:eastAsia="Calibri"/>
          <w:lang w:val="es-AR"/>
        </w:rPr>
        <w:t xml:space="preserve">los diversos grupos de </w:t>
      </w:r>
      <w:r w:rsidR="001F715B">
        <w:rPr>
          <w:rFonts w:eastAsia="Calibri"/>
          <w:lang w:val="es-AR"/>
        </w:rPr>
        <w:t>pueblos indígenas y comunidades locales</w:t>
      </w:r>
      <w:r w:rsidRPr="000033F2">
        <w:rPr>
          <w:rFonts w:eastAsia="Calibri"/>
          <w:lang w:val="es-AR"/>
        </w:rPr>
        <w:t xml:space="preserve">, </w:t>
      </w:r>
      <w:r w:rsidR="00B54C19">
        <w:rPr>
          <w:rFonts w:eastAsia="Calibri"/>
          <w:lang w:val="es-AR"/>
        </w:rPr>
        <w:t xml:space="preserve">comprender cómo se </w:t>
      </w:r>
      <w:r w:rsidRPr="000033F2">
        <w:rPr>
          <w:rFonts w:eastAsia="Calibri"/>
          <w:lang w:val="es-AR"/>
        </w:rPr>
        <w:t xml:space="preserve">organizan y poder </w:t>
      </w:r>
      <w:r w:rsidR="006270AB">
        <w:rPr>
          <w:rFonts w:eastAsia="Calibri"/>
          <w:lang w:val="es-AR"/>
        </w:rPr>
        <w:t xml:space="preserve">vincular </w:t>
      </w:r>
      <w:r w:rsidRPr="000033F2">
        <w:rPr>
          <w:rFonts w:eastAsia="Calibri"/>
          <w:lang w:val="es-AR"/>
        </w:rPr>
        <w:t>conocimientos tradicionales al</w:t>
      </w:r>
      <w:r w:rsidR="00B54C19">
        <w:rPr>
          <w:rFonts w:eastAsia="Calibri"/>
          <w:lang w:val="es-AR"/>
        </w:rPr>
        <w:t xml:space="preserve"> (a los)</w:t>
      </w:r>
      <w:r w:rsidRPr="000033F2">
        <w:rPr>
          <w:rFonts w:eastAsia="Calibri"/>
          <w:lang w:val="es-AR"/>
        </w:rPr>
        <w:t xml:space="preserve"> </w:t>
      </w:r>
      <w:r w:rsidR="00B54C19">
        <w:rPr>
          <w:rFonts w:eastAsia="Calibri"/>
          <w:lang w:val="es-AR"/>
        </w:rPr>
        <w:t>poseedor</w:t>
      </w:r>
      <w:r w:rsidR="001F715B">
        <w:rPr>
          <w:rFonts w:eastAsia="Calibri"/>
          <w:lang w:val="es-AR"/>
        </w:rPr>
        <w:t>(</w:t>
      </w:r>
      <w:r w:rsidR="00B54C19">
        <w:rPr>
          <w:rFonts w:eastAsia="Calibri"/>
          <w:lang w:val="es-AR"/>
        </w:rPr>
        <w:t>es</w:t>
      </w:r>
      <w:r w:rsidR="001F715B">
        <w:rPr>
          <w:rFonts w:eastAsia="Calibri"/>
          <w:lang w:val="es-AR"/>
        </w:rPr>
        <w:t>)</w:t>
      </w:r>
      <w:r w:rsidRPr="000033F2">
        <w:rPr>
          <w:rFonts w:eastAsia="Calibri"/>
          <w:lang w:val="es-AR"/>
        </w:rPr>
        <w:t xml:space="preserve"> de tal</w:t>
      </w:r>
      <w:r w:rsidR="00B54C19">
        <w:rPr>
          <w:rFonts w:eastAsia="Calibri"/>
          <w:lang w:val="es-AR"/>
        </w:rPr>
        <w:t>es</w:t>
      </w:r>
      <w:r w:rsidRPr="000033F2">
        <w:rPr>
          <w:rFonts w:eastAsia="Calibri"/>
          <w:lang w:val="es-AR"/>
        </w:rPr>
        <w:t xml:space="preserve"> conocimiento</w:t>
      </w:r>
      <w:r w:rsidR="00B54C19">
        <w:rPr>
          <w:rFonts w:eastAsia="Calibri"/>
          <w:lang w:val="es-AR"/>
        </w:rPr>
        <w:t>s</w:t>
      </w:r>
      <w:r w:rsidRPr="000033F2">
        <w:rPr>
          <w:rFonts w:eastAsia="Calibri"/>
          <w:lang w:val="es-AR"/>
        </w:rPr>
        <w:t>;</w:t>
      </w:r>
    </w:p>
    <w:p w:rsidR="00FB79CA" w:rsidRPr="000033F2" w:rsidRDefault="00635DA0">
      <w:pPr>
        <w:pStyle w:val="Para1"/>
        <w:numPr>
          <w:ilvl w:val="0"/>
          <w:numId w:val="9"/>
        </w:numPr>
        <w:ind w:left="0" w:firstLine="709"/>
        <w:rPr>
          <w:lang w:val="es-AR"/>
        </w:rPr>
      </w:pPr>
      <w:r w:rsidRPr="000033F2">
        <w:rPr>
          <w:rFonts w:eastAsia="Calibri"/>
          <w:lang w:val="es-AR"/>
        </w:rPr>
        <w:t xml:space="preserve">La necesidad de </w:t>
      </w:r>
      <w:r w:rsidR="00066EC9">
        <w:rPr>
          <w:rFonts w:eastAsia="Calibri"/>
          <w:lang w:val="es-AR"/>
        </w:rPr>
        <w:t>crear capacidad</w:t>
      </w:r>
      <w:r w:rsidRPr="000033F2">
        <w:rPr>
          <w:rFonts w:eastAsia="Calibri"/>
          <w:lang w:val="es-AR"/>
        </w:rPr>
        <w:t xml:space="preserve"> en </w:t>
      </w:r>
      <w:r w:rsidR="00066EC9">
        <w:rPr>
          <w:rFonts w:eastAsia="Calibri"/>
          <w:lang w:val="es-AR"/>
        </w:rPr>
        <w:t>el ámbito</w:t>
      </w:r>
      <w:r w:rsidRPr="000033F2">
        <w:rPr>
          <w:rFonts w:eastAsia="Calibri"/>
          <w:lang w:val="es-AR"/>
        </w:rPr>
        <w:t xml:space="preserve"> institucional </w:t>
      </w:r>
      <w:r w:rsidR="00066EC9">
        <w:rPr>
          <w:rFonts w:eastAsia="Calibri"/>
          <w:lang w:val="es-AR"/>
        </w:rPr>
        <w:t>sobr</w:t>
      </w:r>
      <w:r w:rsidRPr="000033F2">
        <w:rPr>
          <w:rFonts w:eastAsia="Calibri"/>
          <w:lang w:val="es-AR"/>
        </w:rPr>
        <w:t xml:space="preserve">e cuestiones relacionadas con los conocimientos tradicionales asociados a los recursos genéticos y </w:t>
      </w:r>
      <w:r w:rsidR="00BA6E1E">
        <w:rPr>
          <w:rFonts w:eastAsia="Calibri"/>
          <w:lang w:val="es-AR"/>
        </w:rPr>
        <w:t>los pueblos indígenas</w:t>
      </w:r>
      <w:r w:rsidR="000F4172">
        <w:rPr>
          <w:rFonts w:eastAsia="Calibri"/>
          <w:lang w:val="es-AR"/>
        </w:rPr>
        <w:t xml:space="preserve"> y comunidades locales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="00066EC9">
        <w:rPr>
          <w:lang w:val="es-AR"/>
        </w:rPr>
        <w:t>Se planteó l</w:t>
      </w:r>
      <w:r w:rsidRPr="000033F2">
        <w:rPr>
          <w:rFonts w:eastAsia="Calibri"/>
          <w:lang w:val="es-AR"/>
        </w:rPr>
        <w:t xml:space="preserve">a dificultad de </w:t>
      </w:r>
      <w:r w:rsidR="000F4172">
        <w:rPr>
          <w:rFonts w:eastAsia="Calibri"/>
          <w:lang w:val="es-AR"/>
        </w:rPr>
        <w:t xml:space="preserve">elaborar </w:t>
      </w:r>
      <w:r w:rsidRPr="000033F2">
        <w:rPr>
          <w:rFonts w:eastAsia="Calibri"/>
          <w:lang w:val="es-AR"/>
        </w:rPr>
        <w:t>medidas que asegurar</w:t>
      </w:r>
      <w:r w:rsidR="006D33DB">
        <w:rPr>
          <w:rFonts w:eastAsia="Calibri"/>
          <w:lang w:val="es-AR"/>
        </w:rPr>
        <w:t>e</w:t>
      </w:r>
      <w:r w:rsidRPr="000033F2">
        <w:rPr>
          <w:rFonts w:eastAsia="Calibri"/>
          <w:lang w:val="es-AR"/>
        </w:rPr>
        <w:t xml:space="preserve">n que todas las cuestiones de </w:t>
      </w:r>
      <w:r w:rsidR="00BA6E1E">
        <w:rPr>
          <w:rFonts w:eastAsia="Calibri"/>
          <w:lang w:val="es-AR"/>
        </w:rPr>
        <w:t>los pueblos indígenas</w:t>
      </w:r>
      <w:r w:rsidRPr="000033F2">
        <w:rPr>
          <w:rFonts w:eastAsia="Calibri"/>
          <w:lang w:val="es-AR"/>
        </w:rPr>
        <w:t xml:space="preserve"> </w:t>
      </w:r>
      <w:r w:rsidR="000F4172">
        <w:rPr>
          <w:rFonts w:eastAsia="Calibri"/>
          <w:lang w:val="es-AR"/>
        </w:rPr>
        <w:t xml:space="preserve">y comunidades locales en </w:t>
      </w:r>
      <w:r w:rsidR="000033F2">
        <w:rPr>
          <w:rFonts w:eastAsia="Calibri"/>
          <w:lang w:val="es-AR"/>
        </w:rPr>
        <w:t>el Protocolo</w:t>
      </w:r>
      <w:r w:rsidRPr="000033F2">
        <w:rPr>
          <w:rFonts w:eastAsia="Calibri"/>
          <w:lang w:val="es-AR"/>
        </w:rPr>
        <w:t xml:space="preserve"> </w:t>
      </w:r>
      <w:r w:rsidR="00066EC9">
        <w:rPr>
          <w:rFonts w:eastAsia="Calibri"/>
          <w:lang w:val="es-AR"/>
        </w:rPr>
        <w:t xml:space="preserve">se tratan adecuadamente </w:t>
      </w:r>
      <w:r w:rsidRPr="000033F2">
        <w:rPr>
          <w:rFonts w:eastAsia="Calibri"/>
          <w:lang w:val="es-AR"/>
        </w:rPr>
        <w:t xml:space="preserve">y </w:t>
      </w:r>
      <w:r w:rsidR="00066EC9">
        <w:rPr>
          <w:rFonts w:eastAsia="Calibri"/>
          <w:lang w:val="es-AR"/>
        </w:rPr>
        <w:t xml:space="preserve">se </w:t>
      </w:r>
      <w:r w:rsidRPr="000033F2">
        <w:rPr>
          <w:rFonts w:eastAsia="Calibri"/>
          <w:lang w:val="es-AR"/>
        </w:rPr>
        <w:t xml:space="preserve">observó la falta de experiencia o ejemplos que podrían </w:t>
      </w:r>
      <w:r w:rsidR="00066EC9">
        <w:rPr>
          <w:rFonts w:eastAsia="Calibri"/>
          <w:lang w:val="es-AR"/>
        </w:rPr>
        <w:t>utilizarse</w:t>
      </w:r>
      <w:r w:rsidRPr="000033F2">
        <w:rPr>
          <w:rFonts w:eastAsia="Calibri"/>
          <w:lang w:val="es-AR"/>
        </w:rPr>
        <w:t>;</w:t>
      </w:r>
      <w:r w:rsidRPr="000033F2">
        <w:rPr>
          <w:lang w:val="es-AR"/>
        </w:rPr>
        <w:t xml:space="preserve">   </w:t>
      </w:r>
    </w:p>
    <w:p w:rsidR="00FB79CA" w:rsidRPr="000033F2" w:rsidRDefault="00635DA0">
      <w:pPr>
        <w:pStyle w:val="Para1"/>
        <w:numPr>
          <w:ilvl w:val="0"/>
          <w:numId w:val="9"/>
        </w:numPr>
        <w:ind w:left="0" w:firstLine="709"/>
        <w:rPr>
          <w:lang w:val="es-AR"/>
        </w:rPr>
      </w:pPr>
      <w:r w:rsidRPr="000033F2">
        <w:rPr>
          <w:rFonts w:eastAsia="Calibri"/>
          <w:lang w:val="es-AR"/>
        </w:rPr>
        <w:t xml:space="preserve">La necesidad </w:t>
      </w:r>
      <w:r w:rsidR="000F4172">
        <w:rPr>
          <w:rFonts w:eastAsia="Calibri"/>
          <w:lang w:val="es-AR"/>
        </w:rPr>
        <w:t>de</w:t>
      </w:r>
      <w:r w:rsidRPr="000033F2">
        <w:rPr>
          <w:rFonts w:eastAsia="Calibri"/>
          <w:lang w:val="es-AR"/>
        </w:rPr>
        <w:t xml:space="preserve"> creación de capacidad y </w:t>
      </w:r>
      <w:r w:rsidR="00066EC9">
        <w:rPr>
          <w:rFonts w:eastAsia="Calibri"/>
          <w:lang w:val="es-AR"/>
        </w:rPr>
        <w:t>concientización</w:t>
      </w:r>
      <w:r w:rsidRPr="000033F2">
        <w:rPr>
          <w:rFonts w:eastAsia="Calibri"/>
          <w:lang w:val="es-AR"/>
        </w:rPr>
        <w:t xml:space="preserve"> sobre el acceso y participación en los beneficios para</w:t>
      </w:r>
      <w:r w:rsidR="00066EC9">
        <w:rPr>
          <w:rFonts w:eastAsia="Calibri"/>
          <w:lang w:val="es-AR"/>
        </w:rPr>
        <w:t xml:space="preserve"> los</w:t>
      </w:r>
      <w:r w:rsidRPr="000033F2">
        <w:rPr>
          <w:rFonts w:eastAsia="Calibri"/>
          <w:lang w:val="es-AR"/>
        </w:rPr>
        <w:t xml:space="preserve"> </w:t>
      </w:r>
      <w:r w:rsidR="00BA6E1E">
        <w:rPr>
          <w:rFonts w:eastAsia="Calibri"/>
          <w:lang w:val="es-AR"/>
        </w:rPr>
        <w:t>pueblos indígenas</w:t>
      </w:r>
      <w:r w:rsidR="000F4172">
        <w:rPr>
          <w:rFonts w:eastAsia="Calibri"/>
          <w:lang w:val="es-AR"/>
        </w:rPr>
        <w:t xml:space="preserve"> y comunidades locales</w:t>
      </w:r>
      <w:r w:rsidRPr="000033F2">
        <w:rPr>
          <w:rFonts w:eastAsia="Calibri"/>
          <w:lang w:val="es-AR"/>
        </w:rPr>
        <w:t>;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9"/>
        </w:numPr>
        <w:ind w:left="0" w:firstLine="709"/>
        <w:rPr>
          <w:lang w:val="es-AR"/>
        </w:rPr>
      </w:pPr>
      <w:r w:rsidRPr="000033F2">
        <w:rPr>
          <w:rFonts w:eastAsia="Calibri"/>
          <w:lang w:val="es-AR"/>
        </w:rPr>
        <w:t xml:space="preserve">La necesidad de </w:t>
      </w:r>
      <w:r w:rsidR="00066EC9">
        <w:rPr>
          <w:rFonts w:eastAsia="Calibri"/>
          <w:lang w:val="es-AR"/>
        </w:rPr>
        <w:t xml:space="preserve">crear </w:t>
      </w:r>
      <w:r w:rsidRPr="000033F2">
        <w:rPr>
          <w:rFonts w:eastAsia="Calibri"/>
          <w:lang w:val="es-AR"/>
        </w:rPr>
        <w:t xml:space="preserve">inventarios, </w:t>
      </w:r>
      <w:r w:rsidR="00AF272D">
        <w:rPr>
          <w:rFonts w:eastAsia="Calibri"/>
          <w:lang w:val="es-AR"/>
        </w:rPr>
        <w:t xml:space="preserve">hacer </w:t>
      </w:r>
      <w:r w:rsidRPr="000033F2">
        <w:rPr>
          <w:rFonts w:eastAsia="Calibri"/>
          <w:lang w:val="es-AR"/>
        </w:rPr>
        <w:t>estudios y/o transcripciones de los conocimientos tradicionales y de valorarl</w:t>
      </w:r>
      <w:r w:rsidR="00066EC9">
        <w:rPr>
          <w:rFonts w:eastAsia="Calibri"/>
          <w:lang w:val="es-AR"/>
        </w:rPr>
        <w:t>o</w:t>
      </w:r>
      <w:r w:rsidRPr="000033F2">
        <w:rPr>
          <w:rFonts w:eastAsia="Calibri"/>
          <w:lang w:val="es-AR"/>
        </w:rPr>
        <w:t>s.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Un país explicó que aunque </w:t>
      </w:r>
      <w:r w:rsidR="00066EC9">
        <w:rPr>
          <w:rFonts w:eastAsia="Calibri"/>
          <w:lang w:val="es-AR"/>
        </w:rPr>
        <w:t xml:space="preserve">contaba con </w:t>
      </w:r>
      <w:r w:rsidRPr="000033F2">
        <w:rPr>
          <w:rFonts w:eastAsia="Calibri"/>
          <w:lang w:val="es-AR"/>
        </w:rPr>
        <w:t xml:space="preserve">la legislación, </w:t>
      </w:r>
      <w:r w:rsidR="00066EC9">
        <w:rPr>
          <w:rFonts w:eastAsia="Calibri"/>
          <w:lang w:val="es-AR"/>
        </w:rPr>
        <w:t xml:space="preserve">opinaba </w:t>
      </w:r>
      <w:r w:rsidRPr="000033F2">
        <w:rPr>
          <w:rFonts w:eastAsia="Calibri"/>
          <w:lang w:val="es-AR"/>
        </w:rPr>
        <w:t xml:space="preserve">que </w:t>
      </w:r>
      <w:r w:rsidR="00066EC9" w:rsidRPr="000033F2">
        <w:rPr>
          <w:rFonts w:eastAsia="Calibri"/>
          <w:lang w:val="es-AR"/>
        </w:rPr>
        <w:t>las instituciones, las comunidades o los usuarios</w:t>
      </w:r>
      <w:r w:rsidR="00066EC9">
        <w:rPr>
          <w:rFonts w:eastAsia="Calibri"/>
          <w:lang w:val="es-AR"/>
        </w:rPr>
        <w:t xml:space="preserve"> no conocían o entendían bien</w:t>
      </w:r>
      <w:r w:rsidR="00066EC9" w:rsidRPr="000033F2">
        <w:rPr>
          <w:rFonts w:eastAsia="Calibri"/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las medidas y </w:t>
      </w:r>
      <w:r w:rsidR="00066EC9">
        <w:rPr>
          <w:rFonts w:eastAsia="Calibri"/>
          <w:lang w:val="es-AR"/>
        </w:rPr>
        <w:t xml:space="preserve">esto </w:t>
      </w:r>
      <w:r w:rsidRPr="000033F2">
        <w:rPr>
          <w:rFonts w:eastAsia="Calibri"/>
          <w:lang w:val="es-AR"/>
        </w:rPr>
        <w:t xml:space="preserve">podría explicar en parte el hecho de que </w:t>
      </w:r>
      <w:r w:rsidR="00066EC9" w:rsidRPr="000033F2">
        <w:rPr>
          <w:rFonts w:eastAsia="Calibri"/>
          <w:lang w:val="es-AR"/>
        </w:rPr>
        <w:t xml:space="preserve">hasta ahora </w:t>
      </w:r>
      <w:r w:rsidRPr="000033F2">
        <w:rPr>
          <w:rFonts w:eastAsia="Calibri"/>
          <w:lang w:val="es-AR"/>
        </w:rPr>
        <w:t>no se había concedido ning</w:t>
      </w:r>
      <w:r w:rsidR="00066EC9">
        <w:rPr>
          <w:rFonts w:eastAsia="Calibri"/>
          <w:lang w:val="es-AR"/>
        </w:rPr>
        <w:t xml:space="preserve">ún </w:t>
      </w:r>
      <w:r w:rsidRPr="000033F2">
        <w:rPr>
          <w:rFonts w:eastAsia="Calibri"/>
          <w:lang w:val="es-AR"/>
        </w:rPr>
        <w:t>permiso para el acceso a los conocimientos tradicionales asociados.</w:t>
      </w:r>
      <w:r w:rsidRPr="000033F2">
        <w:rPr>
          <w:rStyle w:val="FootnoteReference"/>
          <w:rFonts w:eastAsia="Calibri"/>
          <w:kern w:val="22"/>
          <w:lang w:val="es-AR"/>
        </w:rPr>
        <w:footnoteReference w:id="12"/>
      </w:r>
    </w:p>
    <w:p w:rsidR="00FB79CA" w:rsidRPr="000033F2" w:rsidRDefault="00AF272D">
      <w:pPr>
        <w:pStyle w:val="Heading3"/>
        <w:numPr>
          <w:ilvl w:val="0"/>
          <w:numId w:val="8"/>
        </w:numPr>
        <w:tabs>
          <w:tab w:val="clear" w:pos="567"/>
        </w:tabs>
        <w:jc w:val="left"/>
        <w:rPr>
          <w:rFonts w:eastAsia="Calibri"/>
          <w:snapToGrid w:val="0"/>
          <w:kern w:val="22"/>
          <w:lang w:val="es-AR"/>
        </w:rPr>
      </w:pPr>
      <w:r>
        <w:rPr>
          <w:rFonts w:eastAsia="Calibri" w:cs="Arial Unicode MS"/>
          <w:snapToGrid w:val="0"/>
          <w:kern w:val="22"/>
          <w:lang w:val="es-AR"/>
        </w:rPr>
        <w:t>B</w:t>
      </w:r>
      <w:r w:rsidR="00066EC9">
        <w:rPr>
          <w:rFonts w:eastAsia="Calibri" w:cs="Arial Unicode MS"/>
          <w:snapToGrid w:val="0"/>
          <w:kern w:val="22"/>
          <w:lang w:val="es-AR"/>
        </w:rPr>
        <w:t>eneficios</w:t>
      </w:r>
      <w:r w:rsidR="00635DA0" w:rsidRPr="000033F2">
        <w:rPr>
          <w:rFonts w:eastAsia="Calibri" w:cs="Arial Unicode MS"/>
          <w:snapToGrid w:val="0"/>
          <w:kern w:val="22"/>
          <w:lang w:val="es-AR"/>
        </w:rPr>
        <w:t xml:space="preserve"> recibi</w:t>
      </w:r>
      <w:r w:rsidR="00066EC9">
        <w:rPr>
          <w:rFonts w:eastAsia="Calibri" w:cs="Arial Unicode MS"/>
          <w:snapToGrid w:val="0"/>
          <w:kern w:val="22"/>
          <w:lang w:val="es-AR"/>
        </w:rPr>
        <w:t xml:space="preserve">dos </w:t>
      </w:r>
      <w:r w:rsidR="00635DA0" w:rsidRPr="000033F2">
        <w:rPr>
          <w:rFonts w:eastAsia="Calibri"/>
          <w:snapToGrid w:val="0"/>
          <w:kern w:val="22"/>
          <w:lang w:val="es-AR"/>
        </w:rPr>
        <w:t>desde la entrada en vigor</w:t>
      </w:r>
      <w:r w:rsidR="00096D97">
        <w:rPr>
          <w:rFonts w:eastAsia="Calibri"/>
          <w:snapToGrid w:val="0"/>
          <w:kern w:val="22"/>
          <w:lang w:val="es-AR"/>
        </w:rPr>
        <w:t xml:space="preserve"> del Protocolo</w:t>
      </w:r>
      <w:r w:rsidR="00635DA0" w:rsidRPr="000033F2">
        <w:rPr>
          <w:rFonts w:eastAsia="Calibri"/>
          <w:snapToGrid w:val="0"/>
          <w:kern w:val="22"/>
          <w:lang w:val="es-AR"/>
        </w:rPr>
        <w:t xml:space="preserve"> para su país </w:t>
      </w:r>
      <w:r w:rsidR="00066EC9">
        <w:rPr>
          <w:rFonts w:eastAsia="Calibri"/>
          <w:snapToGrid w:val="0"/>
          <w:kern w:val="22"/>
          <w:lang w:val="es-AR"/>
        </w:rPr>
        <w:t xml:space="preserve">provenientes </w:t>
      </w:r>
      <w:r w:rsidR="00635DA0" w:rsidRPr="000033F2">
        <w:rPr>
          <w:rFonts w:eastAsia="Calibri"/>
          <w:snapToGrid w:val="0"/>
          <w:kern w:val="22"/>
          <w:lang w:val="es-AR"/>
        </w:rPr>
        <w:t xml:space="preserve">de </w:t>
      </w:r>
      <w:r w:rsidR="00635DA0" w:rsidRPr="000033F2">
        <w:rPr>
          <w:lang w:val="es-AR"/>
        </w:rPr>
        <w:t xml:space="preserve">la </w:t>
      </w:r>
      <w:r w:rsidR="00635DA0" w:rsidRPr="000033F2">
        <w:rPr>
          <w:rFonts w:eastAsia="Calibri"/>
          <w:snapToGrid w:val="0"/>
          <w:kern w:val="22"/>
          <w:lang w:val="es-AR"/>
        </w:rPr>
        <w:t>utilización de:</w:t>
      </w:r>
      <w:r w:rsidR="00635DA0" w:rsidRPr="000033F2">
        <w:rPr>
          <w:lang w:val="es-AR"/>
        </w:rPr>
        <w:t xml:space="preserve"> </w:t>
      </w:r>
      <w:r w:rsidR="00635DA0" w:rsidRPr="000033F2">
        <w:rPr>
          <w:rFonts w:eastAsia="Calibri"/>
          <w:snapToGrid w:val="0"/>
          <w:kern w:val="22"/>
          <w:lang w:val="es-AR"/>
        </w:rPr>
        <w:t>recursos genéticos (monetarios y no monetarios) y conocimientos tradicionales asociados a los recursos genéticos (monetario</w:t>
      </w:r>
      <w:r w:rsidR="00066EC9">
        <w:rPr>
          <w:rFonts w:eastAsia="Calibri"/>
          <w:snapToGrid w:val="0"/>
          <w:kern w:val="22"/>
          <w:lang w:val="es-AR"/>
        </w:rPr>
        <w:t>s</w:t>
      </w:r>
      <w:r w:rsidR="00635DA0" w:rsidRPr="000033F2">
        <w:rPr>
          <w:rFonts w:eastAsia="Calibri"/>
          <w:snapToGrid w:val="0"/>
          <w:kern w:val="22"/>
          <w:lang w:val="es-AR"/>
        </w:rPr>
        <w:t xml:space="preserve"> y no monetario</w:t>
      </w:r>
      <w:r w:rsidR="00066EC9">
        <w:rPr>
          <w:rFonts w:eastAsia="Calibri"/>
          <w:snapToGrid w:val="0"/>
          <w:kern w:val="22"/>
          <w:lang w:val="es-AR"/>
        </w:rPr>
        <w:t>s</w:t>
      </w:r>
      <w:r w:rsidR="00635DA0" w:rsidRPr="000033F2">
        <w:rPr>
          <w:rFonts w:eastAsia="Calibri"/>
          <w:snapToGrid w:val="0"/>
          <w:kern w:val="22"/>
          <w:lang w:val="es-AR"/>
        </w:rPr>
        <w:t>) (pregunta 18 del formato para los informes nacionales provisionales)</w:t>
      </w:r>
    </w:p>
    <w:p w:rsidR="00FB79CA" w:rsidRPr="000033F2" w:rsidRDefault="00110BFC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>
        <w:rPr>
          <w:rFonts w:eastAsia="Calibri"/>
          <w:lang w:val="es-AR"/>
        </w:rPr>
        <w:t xml:space="preserve">Si bien </w:t>
      </w:r>
      <w:r w:rsidR="00635DA0" w:rsidRPr="000033F2">
        <w:rPr>
          <w:rFonts w:eastAsia="Calibri"/>
          <w:lang w:val="es-AR"/>
        </w:rPr>
        <w:t xml:space="preserve">la pregunta 18 en el formato para los informes nacionales provisionales </w:t>
      </w:r>
      <w:r>
        <w:rPr>
          <w:rFonts w:eastAsia="Calibri"/>
          <w:lang w:val="es-AR"/>
        </w:rPr>
        <w:t xml:space="preserve">trataba sobre </w:t>
      </w:r>
      <w:r w:rsidR="00635DA0" w:rsidRPr="000033F2">
        <w:rPr>
          <w:rFonts w:eastAsia="Calibri"/>
          <w:lang w:val="es-AR"/>
        </w:rPr>
        <w:t xml:space="preserve">recursos genéticos y conocimientos tradicionales asociados a los recursos genéticos, </w:t>
      </w:r>
      <w:r w:rsidRPr="000033F2">
        <w:rPr>
          <w:rFonts w:eastAsia="Calibri"/>
          <w:lang w:val="es-AR"/>
        </w:rPr>
        <w:t xml:space="preserve">aquí </w:t>
      </w:r>
      <w:r w:rsidR="00635DA0" w:rsidRPr="000033F2">
        <w:rPr>
          <w:rFonts w:eastAsia="Calibri"/>
          <w:lang w:val="es-AR"/>
        </w:rPr>
        <w:t>sólo</w:t>
      </w:r>
      <w:r>
        <w:rPr>
          <w:rFonts w:eastAsia="Calibri"/>
          <w:lang w:val="es-AR"/>
        </w:rPr>
        <w:t xml:space="preserve"> se incluyó</w:t>
      </w:r>
      <w:r w:rsidR="00635DA0" w:rsidRPr="000033F2">
        <w:rPr>
          <w:rFonts w:eastAsia="Calibri"/>
          <w:lang w:val="es-AR"/>
        </w:rPr>
        <w:t xml:space="preserve"> la información sobre estos últimos.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>Diecisiete Partes y un</w:t>
      </w:r>
      <w:r w:rsidR="00110BFC">
        <w:rPr>
          <w:rFonts w:eastAsia="Calibri"/>
          <w:lang w:val="es-AR"/>
        </w:rPr>
        <w:t xml:space="preserve"> país que no es Parte informaron que recibieron beneficios</w:t>
      </w:r>
      <w:r w:rsidRPr="000033F2">
        <w:rPr>
          <w:rFonts w:eastAsia="Calibri"/>
          <w:lang w:val="es-AR"/>
        </w:rPr>
        <w:t xml:space="preserve"> </w:t>
      </w:r>
      <w:r w:rsidR="00110BFC">
        <w:rPr>
          <w:rFonts w:eastAsia="Calibri"/>
          <w:lang w:val="es-AR"/>
        </w:rPr>
        <w:t xml:space="preserve">sobre </w:t>
      </w:r>
      <w:r w:rsidRPr="000033F2">
        <w:rPr>
          <w:rFonts w:eastAsia="Calibri"/>
          <w:lang w:val="es-AR"/>
        </w:rPr>
        <w:t>la utilización de los conocimientos tradicionales asociados.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Seis países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</w:t>
      </w:r>
      <w:r w:rsidR="00110BFC">
        <w:rPr>
          <w:rFonts w:eastAsia="Calibri"/>
          <w:lang w:val="es-AR"/>
        </w:rPr>
        <w:t>haber recibido beneficios monetarios</w:t>
      </w:r>
      <w:r w:rsidRPr="000033F2">
        <w:rPr>
          <w:rFonts w:eastAsia="Calibri"/>
          <w:lang w:val="es-AR"/>
        </w:rPr>
        <w:t xml:space="preserve"> </w:t>
      </w:r>
      <w:r w:rsidR="00AF272D">
        <w:rPr>
          <w:rFonts w:eastAsia="Calibri"/>
          <w:lang w:val="es-AR"/>
        </w:rPr>
        <w:t xml:space="preserve">provenientes </w:t>
      </w:r>
      <w:r w:rsidRPr="000033F2">
        <w:rPr>
          <w:rFonts w:eastAsia="Calibri"/>
          <w:lang w:val="es-AR"/>
        </w:rPr>
        <w:t xml:space="preserve">de la utilización de los conocimientos tradicionales asociados mientras que 15 países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</w:t>
      </w:r>
      <w:r w:rsidR="00110BFC">
        <w:rPr>
          <w:rFonts w:eastAsia="Calibri"/>
          <w:lang w:val="es-AR"/>
        </w:rPr>
        <w:t>haber recibido beneficios no monetarios</w:t>
      </w:r>
      <w:r w:rsidRPr="000033F2">
        <w:rPr>
          <w:rFonts w:eastAsia="Calibri"/>
          <w:lang w:val="es-AR"/>
        </w:rPr>
        <w:t xml:space="preserve"> de la utilización de los conocimientos tradicionales asociados.</w:t>
      </w:r>
    </w:p>
    <w:p w:rsidR="00FB79CA" w:rsidRPr="000033F2" w:rsidRDefault="00110BFC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>
        <w:rPr>
          <w:rFonts w:eastAsia="Calibri"/>
          <w:lang w:val="es-AR"/>
        </w:rPr>
        <w:t xml:space="preserve">Muy pocos </w:t>
      </w:r>
      <w:r w:rsidR="00635DA0" w:rsidRPr="000033F2">
        <w:rPr>
          <w:rFonts w:eastAsia="Calibri"/>
          <w:lang w:val="es-AR"/>
        </w:rPr>
        <w:t xml:space="preserve">países proporcionaron </w:t>
      </w:r>
      <w:r>
        <w:rPr>
          <w:rFonts w:eastAsia="Calibri"/>
          <w:lang w:val="es-AR"/>
        </w:rPr>
        <w:t xml:space="preserve">más </w:t>
      </w:r>
      <w:r w:rsidR="00635DA0" w:rsidRPr="000033F2">
        <w:rPr>
          <w:rFonts w:eastAsia="Calibri"/>
          <w:lang w:val="es-AR"/>
        </w:rPr>
        <w:t xml:space="preserve">información </w:t>
      </w:r>
      <w:r>
        <w:rPr>
          <w:rFonts w:eastAsia="Calibri"/>
          <w:lang w:val="es-AR"/>
        </w:rPr>
        <w:t xml:space="preserve">sobre </w:t>
      </w:r>
      <w:r w:rsidR="00F36B85">
        <w:rPr>
          <w:rFonts w:eastAsia="Calibri"/>
          <w:lang w:val="es-AR"/>
        </w:rPr>
        <w:t xml:space="preserve">los </w:t>
      </w:r>
      <w:r>
        <w:rPr>
          <w:rFonts w:eastAsia="Calibri"/>
          <w:lang w:val="es-AR"/>
        </w:rPr>
        <w:t>beneficios monetarios</w:t>
      </w:r>
      <w:r w:rsidR="00635DA0" w:rsidRPr="000033F2">
        <w:rPr>
          <w:rFonts w:eastAsia="Calibri"/>
          <w:lang w:val="es-AR"/>
        </w:rPr>
        <w:t xml:space="preserve"> relacionad</w:t>
      </w:r>
      <w:r>
        <w:rPr>
          <w:rFonts w:eastAsia="Calibri"/>
          <w:lang w:val="es-AR"/>
        </w:rPr>
        <w:t>o</w:t>
      </w:r>
      <w:r w:rsidR="00635DA0" w:rsidRPr="000033F2">
        <w:rPr>
          <w:rFonts w:eastAsia="Calibri"/>
          <w:lang w:val="es-AR"/>
        </w:rPr>
        <w:t>s con los conocimientos tradicionales.</w:t>
      </w:r>
      <w:r w:rsidR="00635DA0" w:rsidRPr="000033F2">
        <w:rPr>
          <w:lang w:val="es-AR"/>
        </w:rPr>
        <w:t xml:space="preserve"> </w:t>
      </w:r>
      <w:r w:rsidR="00635DA0" w:rsidRPr="000033F2">
        <w:rPr>
          <w:rFonts w:eastAsia="Calibri"/>
          <w:lang w:val="es-AR"/>
        </w:rPr>
        <w:t>L</w:t>
      </w:r>
      <w:r>
        <w:rPr>
          <w:rFonts w:eastAsia="Calibri"/>
          <w:lang w:val="es-AR"/>
        </w:rPr>
        <w:t>os beneficios no monetarios</w:t>
      </w:r>
      <w:r w:rsidR="00635DA0" w:rsidRPr="000033F2">
        <w:rPr>
          <w:rFonts w:eastAsia="Calibri"/>
          <w:lang w:val="es-AR"/>
        </w:rPr>
        <w:t xml:space="preserve"> </w:t>
      </w:r>
      <w:r>
        <w:rPr>
          <w:rFonts w:eastAsia="Calibri"/>
          <w:lang w:val="es-AR"/>
        </w:rPr>
        <w:t xml:space="preserve">mencionados </w:t>
      </w:r>
      <w:r w:rsidR="00635DA0" w:rsidRPr="000033F2">
        <w:rPr>
          <w:rFonts w:eastAsia="Calibri"/>
          <w:lang w:val="es-AR"/>
        </w:rPr>
        <w:t>más com</w:t>
      </w:r>
      <w:r>
        <w:rPr>
          <w:rFonts w:eastAsia="Calibri"/>
          <w:lang w:val="es-AR"/>
        </w:rPr>
        <w:t>ú</w:t>
      </w:r>
      <w:r w:rsidR="00635DA0" w:rsidRPr="000033F2">
        <w:rPr>
          <w:rFonts w:eastAsia="Calibri"/>
          <w:lang w:val="es-AR"/>
        </w:rPr>
        <w:t>n</w:t>
      </w:r>
      <w:r>
        <w:rPr>
          <w:rFonts w:eastAsia="Calibri"/>
          <w:lang w:val="es-AR"/>
        </w:rPr>
        <w:t>mente</w:t>
      </w:r>
      <w:r w:rsidR="00635DA0" w:rsidRPr="000033F2">
        <w:rPr>
          <w:rFonts w:eastAsia="Calibri"/>
          <w:lang w:val="es-AR"/>
        </w:rPr>
        <w:t xml:space="preserve"> </w:t>
      </w:r>
      <w:r>
        <w:rPr>
          <w:rFonts w:eastAsia="Calibri"/>
          <w:lang w:val="es-AR"/>
        </w:rPr>
        <w:t xml:space="preserve">fueron el </w:t>
      </w:r>
      <w:r w:rsidR="00635DA0" w:rsidRPr="000033F2">
        <w:rPr>
          <w:rFonts w:eastAsia="Calibri"/>
          <w:lang w:val="es-AR"/>
        </w:rPr>
        <w:t>desarrollo de capacidad en diversas cuestiones relacionadas con los conocimientos tradicionales (</w:t>
      </w:r>
      <w:r>
        <w:rPr>
          <w:rFonts w:eastAsia="Calibri"/>
          <w:lang w:val="es-AR"/>
        </w:rPr>
        <w:t>por ej.,</w:t>
      </w:r>
      <w:r w:rsidR="00635DA0" w:rsidRPr="000033F2">
        <w:rPr>
          <w:rFonts w:eastAsia="Calibri"/>
          <w:lang w:val="es-AR"/>
        </w:rPr>
        <w:t xml:space="preserve"> documentación de </w:t>
      </w:r>
      <w:r>
        <w:rPr>
          <w:rFonts w:eastAsia="Calibri"/>
          <w:lang w:val="es-AR"/>
        </w:rPr>
        <w:t xml:space="preserve">dichos </w:t>
      </w:r>
      <w:r w:rsidR="00635DA0" w:rsidRPr="000033F2">
        <w:rPr>
          <w:rFonts w:eastAsia="Calibri"/>
          <w:lang w:val="es-AR"/>
        </w:rPr>
        <w:t xml:space="preserve">conocimientos, </w:t>
      </w:r>
      <w:r>
        <w:rPr>
          <w:rFonts w:eastAsia="Calibri"/>
          <w:lang w:val="es-AR"/>
        </w:rPr>
        <w:t>p</w:t>
      </w:r>
      <w:r w:rsidR="000033F2">
        <w:rPr>
          <w:rFonts w:eastAsia="Calibri"/>
          <w:lang w:val="es-AR"/>
        </w:rPr>
        <w:t>roto</w:t>
      </w:r>
      <w:r w:rsidR="00AF272D">
        <w:rPr>
          <w:rFonts w:eastAsia="Calibri"/>
          <w:lang w:val="es-AR"/>
        </w:rPr>
        <w:t>colos comunitarios</w:t>
      </w:r>
      <w:r w:rsidR="00635DA0" w:rsidRPr="000033F2">
        <w:rPr>
          <w:rFonts w:eastAsia="Calibri"/>
          <w:lang w:val="es-AR"/>
        </w:rPr>
        <w:t xml:space="preserve"> o utilización sostenible de recursos genéticos basados en conocimientos tradicionales).</w:t>
      </w:r>
      <w:r w:rsidR="00635DA0" w:rsidRPr="000033F2">
        <w:rPr>
          <w:rFonts w:eastAsia="Calibri"/>
          <w:vertAlign w:val="superscript"/>
          <w:lang w:val="es-AR"/>
        </w:rPr>
        <w:footnoteReference w:id="13"/>
      </w:r>
      <w:r w:rsidR="00635DA0" w:rsidRPr="000033F2">
        <w:rPr>
          <w:rFonts w:eastAsia="Calibri"/>
          <w:lang w:val="es-AR"/>
        </w:rPr>
        <w:t xml:space="preserve"> </w:t>
      </w:r>
      <w:r w:rsidRPr="000033F2">
        <w:rPr>
          <w:rFonts w:eastAsia="Calibri"/>
          <w:lang w:val="es-AR"/>
        </w:rPr>
        <w:t>Otr</w:t>
      </w:r>
      <w:r>
        <w:rPr>
          <w:rFonts w:eastAsia="Calibri"/>
          <w:lang w:val="es-AR"/>
        </w:rPr>
        <w:t>o</w:t>
      </w:r>
      <w:r w:rsidRPr="000033F2">
        <w:rPr>
          <w:rFonts w:eastAsia="Calibri"/>
          <w:lang w:val="es-AR"/>
        </w:rPr>
        <w:t>s</w:t>
      </w:r>
      <w:r>
        <w:rPr>
          <w:rFonts w:eastAsia="Calibri"/>
          <w:lang w:val="es-AR"/>
        </w:rPr>
        <w:t xml:space="preserve"> beneficios no monetarios</w:t>
      </w:r>
      <w:r w:rsidR="00635DA0" w:rsidRPr="000033F2">
        <w:rPr>
          <w:rFonts w:eastAsia="Calibri"/>
          <w:lang w:val="es-AR"/>
        </w:rPr>
        <w:t xml:space="preserve"> </w:t>
      </w:r>
      <w:r>
        <w:rPr>
          <w:rFonts w:eastAsia="Calibri"/>
          <w:lang w:val="es-AR"/>
        </w:rPr>
        <w:t>que se mencionaron fueron</w:t>
      </w:r>
      <w:r w:rsidR="00635DA0" w:rsidRPr="000033F2">
        <w:rPr>
          <w:rFonts w:eastAsia="Calibri"/>
          <w:lang w:val="es-AR"/>
        </w:rPr>
        <w:t>:</w:t>
      </w:r>
      <w:r w:rsidR="00635DA0" w:rsidRPr="000033F2">
        <w:rPr>
          <w:lang w:val="es-AR"/>
        </w:rPr>
        <w:t xml:space="preserve"> </w:t>
      </w:r>
      <w:r w:rsidR="00635DA0" w:rsidRPr="000033F2">
        <w:rPr>
          <w:rFonts w:eastAsia="Calibri"/>
          <w:lang w:val="es-AR"/>
        </w:rPr>
        <w:t xml:space="preserve">a) acceso a la información sobre la investigación </w:t>
      </w:r>
      <w:r>
        <w:rPr>
          <w:rFonts w:eastAsia="Calibri"/>
          <w:lang w:val="es-AR"/>
        </w:rPr>
        <w:t xml:space="preserve">de </w:t>
      </w:r>
      <w:r w:rsidR="00635DA0" w:rsidRPr="000033F2">
        <w:rPr>
          <w:rFonts w:eastAsia="Calibri"/>
          <w:lang w:val="es-AR"/>
        </w:rPr>
        <w:t>conocimientos tradicionales;</w:t>
      </w:r>
      <w:r w:rsidR="00635DA0" w:rsidRPr="000033F2">
        <w:rPr>
          <w:rFonts w:eastAsia="Calibri"/>
          <w:vertAlign w:val="superscript"/>
          <w:lang w:val="es-AR"/>
        </w:rPr>
        <w:footnoteReference w:id="14"/>
      </w:r>
      <w:r w:rsidR="00635DA0" w:rsidRPr="000033F2">
        <w:rPr>
          <w:rFonts w:eastAsia="Calibri"/>
          <w:lang w:val="es-AR"/>
        </w:rPr>
        <w:t xml:space="preserve"> </w:t>
      </w:r>
      <w:r>
        <w:rPr>
          <w:rFonts w:eastAsia="Calibri"/>
          <w:lang w:val="es-AR"/>
        </w:rPr>
        <w:t xml:space="preserve">b) </w:t>
      </w:r>
      <w:r w:rsidR="00635DA0" w:rsidRPr="000033F2">
        <w:rPr>
          <w:rFonts w:eastAsia="Calibri"/>
          <w:lang w:val="es-AR"/>
        </w:rPr>
        <w:lastRenderedPageBreak/>
        <w:t xml:space="preserve">publicaciones </w:t>
      </w:r>
      <w:r>
        <w:rPr>
          <w:rFonts w:eastAsia="Calibri"/>
          <w:lang w:val="es-AR"/>
        </w:rPr>
        <w:t>conjuntas</w:t>
      </w:r>
      <w:r w:rsidR="00635DA0" w:rsidRPr="000033F2">
        <w:rPr>
          <w:rFonts w:eastAsia="Calibri"/>
          <w:lang w:val="es-AR"/>
        </w:rPr>
        <w:t>;</w:t>
      </w:r>
      <w:r w:rsidR="00635DA0" w:rsidRPr="000033F2">
        <w:rPr>
          <w:rFonts w:eastAsia="Calibri"/>
          <w:vertAlign w:val="superscript"/>
          <w:lang w:val="es-AR"/>
        </w:rPr>
        <w:footnoteReference w:id="15"/>
      </w:r>
      <w:r>
        <w:rPr>
          <w:rFonts w:eastAsia="Calibri"/>
          <w:lang w:val="es-AR"/>
        </w:rPr>
        <w:t xml:space="preserve"> </w:t>
      </w:r>
      <w:r w:rsidRPr="000033F2">
        <w:rPr>
          <w:rFonts w:eastAsia="Calibri"/>
          <w:lang w:val="es-AR"/>
        </w:rPr>
        <w:t>d)</w:t>
      </w:r>
      <w:r w:rsidR="00635DA0" w:rsidRPr="000033F2">
        <w:rPr>
          <w:rFonts w:eastAsia="Calibri"/>
          <w:lang w:val="es-AR"/>
        </w:rPr>
        <w:t xml:space="preserve"> desarrollo de </w:t>
      </w:r>
      <w:r>
        <w:rPr>
          <w:rFonts w:eastAsia="Calibri"/>
          <w:lang w:val="es-AR"/>
        </w:rPr>
        <w:t>p</w:t>
      </w:r>
      <w:r w:rsidR="000033F2">
        <w:rPr>
          <w:rFonts w:eastAsia="Calibri"/>
          <w:lang w:val="es-AR"/>
        </w:rPr>
        <w:t>ro</w:t>
      </w:r>
      <w:r w:rsidR="00AF272D">
        <w:rPr>
          <w:rFonts w:eastAsia="Calibri"/>
          <w:lang w:val="es-AR"/>
        </w:rPr>
        <w:t>tocolos comunitarios experimentales</w:t>
      </w:r>
      <w:r w:rsidR="00635DA0" w:rsidRPr="000033F2">
        <w:rPr>
          <w:rFonts w:eastAsia="Calibri"/>
          <w:lang w:val="es-AR"/>
        </w:rPr>
        <w:t>;</w:t>
      </w:r>
      <w:r w:rsidR="00635DA0" w:rsidRPr="000033F2">
        <w:rPr>
          <w:rFonts w:eastAsia="Calibri"/>
          <w:vertAlign w:val="superscript"/>
          <w:lang w:val="es-AR"/>
        </w:rPr>
        <w:footnoteReference w:id="16"/>
      </w:r>
      <w:r w:rsidR="00635DA0" w:rsidRPr="000033F2">
        <w:rPr>
          <w:rFonts w:eastAsia="Calibri"/>
          <w:lang w:val="es-AR"/>
        </w:rPr>
        <w:t xml:space="preserve"> </w:t>
      </w:r>
      <w:r w:rsidR="00117559">
        <w:rPr>
          <w:rFonts w:eastAsia="Calibri"/>
          <w:lang w:val="es-AR"/>
        </w:rPr>
        <w:t>d</w:t>
      </w:r>
      <w:r w:rsidRPr="000033F2">
        <w:rPr>
          <w:rFonts w:eastAsia="Calibri"/>
          <w:lang w:val="es-AR"/>
        </w:rPr>
        <w:t>)</w:t>
      </w:r>
      <w:r>
        <w:rPr>
          <w:rFonts w:eastAsia="Calibri"/>
          <w:lang w:val="es-AR"/>
        </w:rPr>
        <w:t xml:space="preserve"> </w:t>
      </w:r>
      <w:r w:rsidR="00635DA0" w:rsidRPr="000033F2">
        <w:rPr>
          <w:rFonts w:eastAsia="Calibri"/>
          <w:lang w:val="es-AR"/>
        </w:rPr>
        <w:t>conservación de</w:t>
      </w:r>
      <w:r w:rsidR="00635DA0" w:rsidRPr="000033F2">
        <w:rPr>
          <w:lang w:val="es-AR"/>
        </w:rPr>
        <w:t>l</w:t>
      </w:r>
      <w:r w:rsidR="00AF272D">
        <w:rPr>
          <w:lang w:val="es-AR"/>
        </w:rPr>
        <w:t xml:space="preserve"> </w:t>
      </w:r>
      <w:r w:rsidR="00635DA0" w:rsidRPr="000033F2">
        <w:rPr>
          <w:lang w:val="es-AR"/>
        </w:rPr>
        <w:t xml:space="preserve"> </w:t>
      </w:r>
      <w:r w:rsidR="00AF272D">
        <w:rPr>
          <w:rFonts w:eastAsia="Calibri"/>
          <w:lang w:val="es-AR"/>
        </w:rPr>
        <w:t xml:space="preserve">patrimonio </w:t>
      </w:r>
      <w:r w:rsidR="00635DA0" w:rsidRPr="000033F2">
        <w:rPr>
          <w:rFonts w:eastAsia="Calibri"/>
          <w:lang w:val="es-AR"/>
        </w:rPr>
        <w:t>sociocultural;</w:t>
      </w:r>
      <w:r w:rsidR="00635DA0" w:rsidRPr="000033F2">
        <w:rPr>
          <w:rFonts w:eastAsia="Calibri"/>
          <w:vertAlign w:val="superscript"/>
          <w:lang w:val="es-AR"/>
        </w:rPr>
        <w:footnoteReference w:id="17"/>
      </w:r>
      <w:r w:rsidR="00635DA0" w:rsidRPr="000033F2">
        <w:rPr>
          <w:rFonts w:eastAsia="Calibri"/>
          <w:lang w:val="es-AR"/>
        </w:rPr>
        <w:t xml:space="preserve"> </w:t>
      </w:r>
      <w:r w:rsidR="00117559">
        <w:rPr>
          <w:rFonts w:eastAsia="Calibri"/>
          <w:lang w:val="es-AR"/>
        </w:rPr>
        <w:t>e</w:t>
      </w:r>
      <w:r w:rsidRPr="000033F2">
        <w:rPr>
          <w:rFonts w:eastAsia="Calibri"/>
          <w:lang w:val="es-AR"/>
        </w:rPr>
        <w:t>)</w:t>
      </w:r>
      <w:r>
        <w:rPr>
          <w:rFonts w:eastAsia="Calibri"/>
          <w:lang w:val="es-AR"/>
        </w:rPr>
        <w:t xml:space="preserve"> </w:t>
      </w:r>
      <w:r w:rsidR="00066EC9">
        <w:rPr>
          <w:rFonts w:eastAsia="Calibri"/>
          <w:lang w:val="es-AR"/>
        </w:rPr>
        <w:t>concientización</w:t>
      </w:r>
      <w:r w:rsidR="00635DA0" w:rsidRPr="000033F2">
        <w:rPr>
          <w:rFonts w:eastAsia="Calibri"/>
          <w:lang w:val="es-AR"/>
        </w:rPr>
        <w:t>;</w:t>
      </w:r>
      <w:r w:rsidR="00635DA0" w:rsidRPr="000033F2">
        <w:rPr>
          <w:rFonts w:eastAsia="Calibri"/>
          <w:vertAlign w:val="superscript"/>
          <w:lang w:val="es-AR"/>
        </w:rPr>
        <w:footnoteReference w:id="18"/>
      </w:r>
      <w:r w:rsidR="00635DA0" w:rsidRPr="000033F2">
        <w:rPr>
          <w:rFonts w:eastAsia="Calibri"/>
          <w:lang w:val="es-AR"/>
        </w:rPr>
        <w:t xml:space="preserve"> </w:t>
      </w:r>
      <w:r w:rsidR="00117559">
        <w:rPr>
          <w:rFonts w:eastAsia="Calibri"/>
          <w:lang w:val="es-AR"/>
        </w:rPr>
        <w:t>f</w:t>
      </w:r>
      <w:r w:rsidRPr="000033F2">
        <w:rPr>
          <w:rFonts w:eastAsia="Calibri"/>
          <w:lang w:val="es-AR"/>
        </w:rPr>
        <w:t>)</w:t>
      </w:r>
      <w:r>
        <w:rPr>
          <w:rFonts w:eastAsia="Calibri"/>
          <w:lang w:val="es-AR"/>
        </w:rPr>
        <w:t xml:space="preserve"> </w:t>
      </w:r>
      <w:r w:rsidR="00635DA0" w:rsidRPr="000033F2">
        <w:rPr>
          <w:rFonts w:eastAsia="Calibri"/>
          <w:lang w:val="es-AR"/>
        </w:rPr>
        <w:t xml:space="preserve">ejecución de </w:t>
      </w:r>
      <w:r>
        <w:rPr>
          <w:lang w:val="es-AR"/>
        </w:rPr>
        <w:t>los proyectos comunitarios</w:t>
      </w:r>
      <w:r w:rsidR="00635DA0" w:rsidRPr="000033F2">
        <w:rPr>
          <w:rFonts w:eastAsia="Calibri"/>
          <w:lang w:val="es-AR"/>
        </w:rPr>
        <w:t xml:space="preserve">, </w:t>
      </w:r>
      <w:r w:rsidR="000033F2">
        <w:rPr>
          <w:rFonts w:eastAsia="Calibri"/>
          <w:lang w:val="es-AR"/>
        </w:rPr>
        <w:t>inclusive</w:t>
      </w:r>
      <w:r w:rsidR="00635DA0" w:rsidRPr="000033F2">
        <w:rPr>
          <w:rFonts w:eastAsia="Calibri"/>
          <w:lang w:val="es-AR"/>
        </w:rPr>
        <w:t xml:space="preserve"> festivales y reuniones entre comunidades;</w:t>
      </w:r>
      <w:r w:rsidR="00635DA0" w:rsidRPr="000033F2">
        <w:rPr>
          <w:rFonts w:eastAsia="Calibri"/>
          <w:vertAlign w:val="superscript"/>
          <w:lang w:val="es-AR"/>
        </w:rPr>
        <w:footnoteReference w:id="19"/>
      </w:r>
      <w:r w:rsidR="00635DA0" w:rsidRPr="000033F2">
        <w:rPr>
          <w:rFonts w:eastAsia="Calibri"/>
          <w:lang w:val="es-AR"/>
        </w:rPr>
        <w:t xml:space="preserve"> </w:t>
      </w:r>
      <w:r w:rsidR="00117559">
        <w:rPr>
          <w:rFonts w:eastAsia="Calibri"/>
          <w:lang w:val="es-AR"/>
        </w:rPr>
        <w:t>g</w:t>
      </w:r>
      <w:r w:rsidR="00635DA0" w:rsidRPr="000033F2">
        <w:rPr>
          <w:rFonts w:eastAsia="Calibri"/>
          <w:lang w:val="es-AR"/>
        </w:rPr>
        <w:t>)</w:t>
      </w:r>
      <w:r w:rsidR="009B2BB5">
        <w:rPr>
          <w:rFonts w:eastAsia="Calibri"/>
          <w:lang w:val="es-AR"/>
        </w:rPr>
        <w:t xml:space="preserve"> </w:t>
      </w:r>
      <w:r w:rsidR="009B2BB5" w:rsidRPr="000033F2">
        <w:rPr>
          <w:rFonts w:eastAsia="Calibri"/>
          <w:lang w:val="es-AR"/>
        </w:rPr>
        <w:t>bases de datos</w:t>
      </w:r>
      <w:r w:rsidR="00635DA0" w:rsidRPr="000033F2">
        <w:rPr>
          <w:rFonts w:eastAsia="Calibri"/>
          <w:lang w:val="es-AR"/>
        </w:rPr>
        <w:t>;</w:t>
      </w:r>
      <w:r w:rsidR="00635DA0" w:rsidRPr="000033F2">
        <w:rPr>
          <w:lang w:val="es-AR"/>
        </w:rPr>
        <w:t xml:space="preserve"> </w:t>
      </w:r>
      <w:r w:rsidR="00635DA0" w:rsidRPr="000033F2">
        <w:rPr>
          <w:rFonts w:eastAsia="Calibri"/>
          <w:lang w:val="es-AR"/>
        </w:rPr>
        <w:t>y</w:t>
      </w:r>
      <w:r w:rsidR="00635DA0" w:rsidRPr="000033F2">
        <w:rPr>
          <w:rFonts w:eastAsia="Calibri"/>
          <w:vertAlign w:val="superscript"/>
          <w:lang w:val="es-AR"/>
        </w:rPr>
        <w:footnoteReference w:id="20"/>
      </w:r>
      <w:r w:rsidR="00635DA0" w:rsidRPr="000033F2">
        <w:rPr>
          <w:rFonts w:eastAsia="Calibri"/>
          <w:lang w:val="es-AR"/>
        </w:rPr>
        <w:t xml:space="preserve"> </w:t>
      </w:r>
      <w:r w:rsidR="00117559">
        <w:rPr>
          <w:rFonts w:eastAsia="Calibri"/>
          <w:lang w:val="es-AR"/>
        </w:rPr>
        <w:t>h</w:t>
      </w:r>
      <w:r w:rsidR="00635DA0" w:rsidRPr="000033F2">
        <w:rPr>
          <w:rFonts w:eastAsia="Calibri"/>
          <w:lang w:val="es-AR"/>
        </w:rPr>
        <w:t>) investigación.</w:t>
      </w:r>
      <w:r w:rsidR="00635DA0" w:rsidRPr="000033F2">
        <w:rPr>
          <w:rFonts w:eastAsia="Calibri"/>
          <w:vertAlign w:val="superscript"/>
          <w:lang w:val="es-AR"/>
        </w:rPr>
        <w:footnoteReference w:id="21"/>
      </w:r>
      <w:r w:rsidR="009B2BB5">
        <w:rPr>
          <w:rFonts w:eastAsia="Calibri"/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En la pregunta 19, se invitó a los países </w:t>
      </w:r>
      <w:r w:rsidR="009B2BB5">
        <w:rPr>
          <w:rFonts w:eastAsia="Calibri"/>
          <w:lang w:val="es-AR"/>
        </w:rPr>
        <w:t xml:space="preserve">a </w:t>
      </w:r>
      <w:r w:rsidRPr="000033F2">
        <w:rPr>
          <w:rFonts w:eastAsia="Calibri"/>
          <w:lang w:val="es-AR"/>
        </w:rPr>
        <w:t>que proporcionaran un resumen de las</w:t>
      </w:r>
      <w:r w:rsidR="009B2BB5">
        <w:rPr>
          <w:rFonts w:eastAsia="Calibri"/>
          <w:lang w:val="es-AR"/>
        </w:rPr>
        <w:t xml:space="preserve"> principales</w:t>
      </w:r>
      <w:r w:rsidRPr="000033F2">
        <w:rPr>
          <w:rFonts w:eastAsia="Calibri"/>
          <w:lang w:val="es-AR"/>
        </w:rPr>
        <w:t xml:space="preserve"> dificultades y desafío</w:t>
      </w:r>
      <w:r w:rsidR="009B2BB5">
        <w:rPr>
          <w:rFonts w:eastAsia="Calibri"/>
          <w:lang w:val="es-AR"/>
        </w:rPr>
        <w:t>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Las dificultades específicas a los conocimientos tradicionales asociados </w:t>
      </w:r>
      <w:r w:rsidR="009B2BB5">
        <w:rPr>
          <w:rFonts w:eastAsia="Calibri"/>
          <w:lang w:val="es-AR"/>
        </w:rPr>
        <w:t>fueron</w:t>
      </w:r>
      <w:r w:rsidRPr="000033F2">
        <w:rPr>
          <w:rFonts w:eastAsia="Calibri"/>
          <w:lang w:val="es-AR"/>
        </w:rPr>
        <w:t>: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la necesidad de desarrollar un inventario de conocimientos tradicionales asociados;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la ausencia de medidas pertinente</w:t>
      </w:r>
      <w:r w:rsidR="009B2BB5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>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y </w:t>
      </w:r>
      <w:r w:rsidR="009B2BB5">
        <w:rPr>
          <w:rFonts w:eastAsia="Calibri"/>
          <w:kern w:val="22"/>
          <w:lang w:val="es-AR"/>
        </w:rPr>
        <w:t xml:space="preserve">las </w:t>
      </w:r>
      <w:r w:rsidRPr="000033F2">
        <w:rPr>
          <w:rFonts w:eastAsia="Calibri"/>
          <w:kern w:val="22"/>
          <w:lang w:val="es-AR"/>
        </w:rPr>
        <w:t xml:space="preserve">dificultades </w:t>
      </w:r>
      <w:r w:rsidR="009B2BB5">
        <w:rPr>
          <w:rFonts w:eastAsia="Calibri"/>
          <w:kern w:val="22"/>
          <w:lang w:val="es-AR"/>
        </w:rPr>
        <w:t>de</w:t>
      </w:r>
      <w:r w:rsidRPr="000033F2">
        <w:rPr>
          <w:rFonts w:eastAsia="Calibri"/>
          <w:kern w:val="22"/>
          <w:lang w:val="es-AR"/>
        </w:rPr>
        <w:t xml:space="preserve"> </w:t>
      </w:r>
      <w:r w:rsidR="00AF272D">
        <w:rPr>
          <w:rFonts w:eastAsia="Calibri"/>
          <w:kern w:val="22"/>
          <w:lang w:val="es-AR"/>
        </w:rPr>
        <w:t xml:space="preserve">determinar </w:t>
      </w:r>
      <w:r w:rsidRPr="000033F2">
        <w:rPr>
          <w:rFonts w:eastAsia="Calibri"/>
          <w:kern w:val="22"/>
          <w:lang w:val="es-AR"/>
        </w:rPr>
        <w:t>si los conocimientos tradicionales estaban implicados.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Heading3"/>
        <w:numPr>
          <w:ilvl w:val="0"/>
          <w:numId w:val="8"/>
        </w:numPr>
        <w:tabs>
          <w:tab w:val="clear" w:pos="567"/>
        </w:tabs>
        <w:jc w:val="left"/>
        <w:rPr>
          <w:rFonts w:eastAsia="Calibri"/>
          <w:snapToGrid w:val="0"/>
          <w:kern w:val="22"/>
          <w:lang w:val="es-AR"/>
        </w:rPr>
      </w:pPr>
      <w:r w:rsidRPr="000033F2">
        <w:rPr>
          <w:rFonts w:eastAsia="Calibri"/>
          <w:snapToGrid w:val="0"/>
          <w:kern w:val="22"/>
          <w:lang w:val="es-AR"/>
        </w:rPr>
        <w:t xml:space="preserve">¿Su país </w:t>
      </w:r>
      <w:r w:rsidR="003804B6">
        <w:rPr>
          <w:rFonts w:eastAsia="Calibri"/>
          <w:snapToGrid w:val="0"/>
          <w:kern w:val="22"/>
          <w:lang w:val="es-AR"/>
        </w:rPr>
        <w:t xml:space="preserve">ha </w:t>
      </w:r>
      <w:r w:rsidRPr="000033F2">
        <w:rPr>
          <w:rFonts w:eastAsia="Calibri"/>
          <w:snapToGrid w:val="0"/>
          <w:kern w:val="22"/>
          <w:lang w:val="es-AR"/>
        </w:rPr>
        <w:t>tomado medidas legislativas, administrativas o política</w:t>
      </w:r>
      <w:r w:rsidR="00E11D92">
        <w:rPr>
          <w:rFonts w:eastAsia="Calibri"/>
          <w:snapToGrid w:val="0"/>
          <w:kern w:val="22"/>
          <w:lang w:val="es-AR"/>
        </w:rPr>
        <w:t>s</w:t>
      </w:r>
      <w:r w:rsidRPr="000033F2">
        <w:rPr>
          <w:rFonts w:eastAsia="Calibri"/>
          <w:snapToGrid w:val="0"/>
          <w:kern w:val="22"/>
          <w:lang w:val="es-AR"/>
        </w:rPr>
        <w:t xml:space="preserve"> apropiadas, eficaces y proporcionadas </w:t>
      </w:r>
      <w:r w:rsidR="009B2BB5">
        <w:rPr>
          <w:rFonts w:eastAsia="Calibri"/>
          <w:snapToGrid w:val="0"/>
          <w:kern w:val="22"/>
          <w:lang w:val="es-AR"/>
        </w:rPr>
        <w:t xml:space="preserve">para </w:t>
      </w:r>
      <w:r w:rsidRPr="000033F2">
        <w:rPr>
          <w:rFonts w:eastAsia="Calibri"/>
          <w:snapToGrid w:val="0"/>
          <w:kern w:val="22"/>
          <w:lang w:val="es-AR"/>
        </w:rPr>
        <w:t xml:space="preserve">asegurar que </w:t>
      </w:r>
      <w:r w:rsidR="009B2BB5">
        <w:rPr>
          <w:rFonts w:eastAsia="Calibri"/>
          <w:snapToGrid w:val="0"/>
          <w:kern w:val="22"/>
          <w:lang w:val="es-AR"/>
        </w:rPr>
        <w:t xml:space="preserve">se ha tenido acceso a </w:t>
      </w:r>
      <w:r w:rsidRPr="000033F2">
        <w:rPr>
          <w:rFonts w:eastAsia="Calibri"/>
          <w:snapToGrid w:val="0"/>
          <w:kern w:val="22"/>
          <w:lang w:val="es-AR"/>
        </w:rPr>
        <w:t>los conocimientos tradicionales asociados a los recursos genéticos utilizados dentro de su jurisdicción</w:t>
      </w:r>
      <w:r w:rsidR="00E11D92">
        <w:rPr>
          <w:rFonts w:eastAsia="Calibri"/>
          <w:snapToGrid w:val="0"/>
          <w:kern w:val="22"/>
          <w:lang w:val="es-AR"/>
        </w:rPr>
        <w:t>,</w:t>
      </w:r>
      <w:r w:rsidRPr="000033F2">
        <w:rPr>
          <w:rFonts w:eastAsia="Calibri"/>
          <w:snapToGrid w:val="0"/>
          <w:kern w:val="22"/>
          <w:lang w:val="es-AR"/>
        </w:rPr>
        <w:t xml:space="preserve"> de acuerdo con el</w:t>
      </w:r>
      <w:r w:rsidR="009B2BB5">
        <w:rPr>
          <w:rFonts w:eastAsia="Calibri"/>
          <w:snapToGrid w:val="0"/>
          <w:kern w:val="22"/>
          <w:lang w:val="es-AR"/>
        </w:rPr>
        <w:t xml:space="preserve"> conocimiento fundamentado previo</w:t>
      </w:r>
      <w:r w:rsidRPr="000033F2">
        <w:rPr>
          <w:rFonts w:eastAsia="Calibri"/>
          <w:snapToGrid w:val="0"/>
          <w:kern w:val="22"/>
          <w:lang w:val="es-AR"/>
        </w:rPr>
        <w:t xml:space="preserve"> o la aprobación y la intervención de </w:t>
      </w:r>
      <w:r w:rsidR="009B2BB5">
        <w:rPr>
          <w:rFonts w:eastAsia="Calibri"/>
          <w:snapToGrid w:val="0"/>
          <w:kern w:val="22"/>
          <w:lang w:val="es-AR"/>
        </w:rPr>
        <w:t>comunidades indígenas y locales</w:t>
      </w:r>
      <w:r w:rsidR="00E11D92">
        <w:rPr>
          <w:rFonts w:eastAsia="Calibri"/>
          <w:snapToGrid w:val="0"/>
          <w:kern w:val="22"/>
          <w:lang w:val="es-AR"/>
        </w:rPr>
        <w:t>,</w:t>
      </w:r>
      <w:r w:rsidRPr="000033F2">
        <w:rPr>
          <w:rFonts w:eastAsia="Calibri"/>
          <w:snapToGrid w:val="0"/>
          <w:kern w:val="22"/>
          <w:lang w:val="es-AR"/>
        </w:rPr>
        <w:t xml:space="preserve"> y</w:t>
      </w:r>
      <w:r w:rsidR="009B2BB5">
        <w:rPr>
          <w:rFonts w:eastAsia="Calibri"/>
          <w:snapToGrid w:val="0"/>
          <w:kern w:val="22"/>
          <w:lang w:val="es-AR"/>
        </w:rPr>
        <w:t xml:space="preserve"> que se establecieron</w:t>
      </w:r>
      <w:r w:rsidRPr="000033F2">
        <w:rPr>
          <w:rFonts w:eastAsia="Calibri"/>
          <w:snapToGrid w:val="0"/>
          <w:kern w:val="22"/>
          <w:lang w:val="es-AR"/>
        </w:rPr>
        <w:t xml:space="preserve"> condiciones mutuamente acordadas </w:t>
      </w:r>
      <w:r w:rsidR="003804B6">
        <w:rPr>
          <w:rFonts w:eastAsia="Calibri"/>
          <w:snapToGrid w:val="0"/>
          <w:kern w:val="22"/>
          <w:lang w:val="es-AR"/>
        </w:rPr>
        <w:t xml:space="preserve">conforme a </w:t>
      </w:r>
      <w:r w:rsidRPr="000033F2">
        <w:rPr>
          <w:rFonts w:eastAsia="Calibri"/>
          <w:snapToGrid w:val="0"/>
          <w:kern w:val="22"/>
          <w:lang w:val="es-AR"/>
        </w:rPr>
        <w:t xml:space="preserve">la legislación nacional </w:t>
      </w:r>
      <w:r w:rsidR="003804B6">
        <w:rPr>
          <w:rFonts w:eastAsia="Calibri"/>
          <w:snapToGrid w:val="0"/>
          <w:kern w:val="22"/>
          <w:lang w:val="es-AR"/>
        </w:rPr>
        <w:t xml:space="preserve">sobre </w:t>
      </w:r>
      <w:r w:rsidRPr="000033F2">
        <w:rPr>
          <w:rFonts w:eastAsia="Calibri"/>
          <w:snapToGrid w:val="0"/>
          <w:kern w:val="22"/>
          <w:lang w:val="es-AR"/>
        </w:rPr>
        <w:t xml:space="preserve">el acceso y participación en los beneficios o los requisitos reglamentarios de la otra Parte donde tales </w:t>
      </w:r>
      <w:r w:rsidR="009B2BB5">
        <w:rPr>
          <w:rFonts w:eastAsia="Calibri"/>
          <w:snapToGrid w:val="0"/>
          <w:kern w:val="22"/>
          <w:lang w:val="es-AR"/>
        </w:rPr>
        <w:t>comunidades indígenas y locales</w:t>
      </w:r>
      <w:r w:rsidRPr="000033F2">
        <w:rPr>
          <w:rFonts w:eastAsia="Calibri"/>
          <w:snapToGrid w:val="0"/>
          <w:kern w:val="22"/>
          <w:lang w:val="es-AR"/>
        </w:rPr>
        <w:t xml:space="preserve"> </w:t>
      </w:r>
      <w:r w:rsidR="009B2BB5">
        <w:rPr>
          <w:rFonts w:eastAsia="Calibri"/>
          <w:snapToGrid w:val="0"/>
          <w:kern w:val="22"/>
          <w:lang w:val="es-AR"/>
        </w:rPr>
        <w:t>se sitúan</w:t>
      </w:r>
      <w:r w:rsidR="003804B6">
        <w:rPr>
          <w:rFonts w:eastAsia="Calibri"/>
          <w:snapToGrid w:val="0"/>
          <w:kern w:val="22"/>
          <w:lang w:val="es-AR"/>
        </w:rPr>
        <w:t>,</w:t>
      </w:r>
      <w:r w:rsidR="009B2BB5">
        <w:rPr>
          <w:rFonts w:eastAsia="Calibri"/>
          <w:snapToGrid w:val="0"/>
          <w:kern w:val="22"/>
          <w:lang w:val="es-AR"/>
        </w:rPr>
        <w:t xml:space="preserve"> tal como lo estipula el </w:t>
      </w:r>
      <w:r w:rsidR="000033F2">
        <w:rPr>
          <w:rFonts w:eastAsia="Calibri"/>
          <w:snapToGrid w:val="0"/>
          <w:kern w:val="22"/>
          <w:lang w:val="es-AR"/>
        </w:rPr>
        <w:t>Artículo</w:t>
      </w:r>
      <w:r w:rsidRPr="000033F2">
        <w:rPr>
          <w:rFonts w:eastAsia="Calibri"/>
          <w:snapToGrid w:val="0"/>
          <w:kern w:val="22"/>
          <w:lang w:val="es-AR"/>
        </w:rPr>
        <w:t xml:space="preserve"> 1</w:t>
      </w:r>
      <w:r w:rsidR="000033F2" w:rsidRPr="000033F2">
        <w:rPr>
          <w:rFonts w:eastAsia="Calibri"/>
          <w:snapToGrid w:val="0"/>
          <w:kern w:val="22"/>
          <w:lang w:val="es-AR"/>
        </w:rPr>
        <w:t>6</w:t>
      </w:r>
      <w:r w:rsidR="009B2BB5">
        <w:rPr>
          <w:rFonts w:eastAsia="Calibri"/>
          <w:snapToGrid w:val="0"/>
          <w:kern w:val="22"/>
          <w:lang w:val="es-AR"/>
        </w:rPr>
        <w:t>.</w:t>
      </w:r>
      <w:r w:rsidR="000033F2" w:rsidRPr="000033F2">
        <w:rPr>
          <w:rFonts w:eastAsia="Calibri"/>
          <w:snapToGrid w:val="0"/>
          <w:kern w:val="22"/>
          <w:lang w:val="es-AR"/>
        </w:rPr>
        <w:t>1</w:t>
      </w:r>
      <w:r w:rsidRPr="000033F2">
        <w:rPr>
          <w:rFonts w:eastAsia="Calibri"/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snapToGrid w:val="0"/>
          <w:kern w:val="22"/>
          <w:lang w:val="es-AR"/>
        </w:rPr>
        <w:t>(pregunta 25)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 xml:space="preserve">Treinta y tres Partes y cuatro </w:t>
      </w:r>
      <w:r w:rsidR="00A27216">
        <w:rPr>
          <w:rFonts w:eastAsia="Calibri"/>
          <w:kern w:val="22"/>
          <w:lang w:val="es-AR"/>
        </w:rPr>
        <w:t>estados que no son Parte</w:t>
      </w:r>
      <w:r w:rsidR="003804B6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 xml:space="preserve"> respondieron que </w:t>
      </w:r>
      <w:r w:rsidR="009B2BB5">
        <w:rPr>
          <w:rFonts w:eastAsia="Calibri"/>
          <w:kern w:val="22"/>
          <w:lang w:val="es-AR"/>
        </w:rPr>
        <w:t>tomaron</w:t>
      </w:r>
      <w:r w:rsidRPr="000033F2">
        <w:rPr>
          <w:rFonts w:eastAsia="Calibri"/>
          <w:kern w:val="22"/>
          <w:lang w:val="es-AR"/>
        </w:rPr>
        <w:t xml:space="preserve"> medidas para </w:t>
      </w:r>
      <w:r w:rsidR="00A27216">
        <w:rPr>
          <w:rFonts w:eastAsia="Calibri"/>
          <w:kern w:val="22"/>
          <w:lang w:val="es-AR"/>
        </w:rPr>
        <w:t>aplicar el Artículo</w:t>
      </w:r>
      <w:r w:rsidRPr="000033F2">
        <w:rPr>
          <w:rFonts w:eastAsia="Calibri"/>
          <w:kern w:val="22"/>
          <w:lang w:val="es-AR"/>
        </w:rPr>
        <w:t xml:space="preserve"> 1</w:t>
      </w:r>
      <w:r w:rsidR="000033F2" w:rsidRPr="000033F2">
        <w:rPr>
          <w:rFonts w:eastAsia="Calibri"/>
          <w:kern w:val="22"/>
          <w:lang w:val="es-AR"/>
        </w:rPr>
        <w:t>6</w:t>
      </w:r>
      <w:r w:rsidR="009B2BB5">
        <w:rPr>
          <w:rFonts w:eastAsia="Calibri"/>
          <w:kern w:val="22"/>
          <w:lang w:val="es-AR"/>
        </w:rPr>
        <w:t>.</w:t>
      </w:r>
      <w:r w:rsidR="000033F2" w:rsidRPr="000033F2">
        <w:rPr>
          <w:rFonts w:eastAsia="Calibri"/>
          <w:kern w:val="22"/>
          <w:lang w:val="es-AR"/>
        </w:rPr>
        <w:t>1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, mientras que treinta y cinco Partes y dos </w:t>
      </w:r>
      <w:r w:rsidR="00A27216">
        <w:rPr>
          <w:rFonts w:eastAsia="Calibri"/>
          <w:kern w:val="22"/>
          <w:lang w:val="es-AR"/>
        </w:rPr>
        <w:t>estados que no son Parte</w:t>
      </w:r>
      <w:r w:rsidRPr="000033F2">
        <w:rPr>
          <w:rFonts w:eastAsia="Calibri"/>
          <w:kern w:val="22"/>
          <w:lang w:val="es-AR"/>
        </w:rPr>
        <w:t xml:space="preserve"> </w:t>
      </w:r>
      <w:r w:rsidR="00110BFC">
        <w:rPr>
          <w:rFonts w:eastAsia="Calibri"/>
          <w:kern w:val="22"/>
          <w:lang w:val="es-AR"/>
        </w:rPr>
        <w:t>inform</w:t>
      </w:r>
      <w:r w:rsidRPr="000033F2">
        <w:rPr>
          <w:rFonts w:eastAsia="Calibri"/>
          <w:kern w:val="22"/>
          <w:lang w:val="es-AR"/>
        </w:rPr>
        <w:t xml:space="preserve">aron </w:t>
      </w:r>
      <w:r w:rsidR="009B2BB5">
        <w:rPr>
          <w:rFonts w:eastAsia="Calibri"/>
          <w:kern w:val="22"/>
          <w:lang w:val="es-AR"/>
        </w:rPr>
        <w:t xml:space="preserve">no </w:t>
      </w:r>
      <w:r w:rsidR="003804B6">
        <w:rPr>
          <w:rFonts w:eastAsia="Calibri"/>
          <w:kern w:val="22"/>
          <w:lang w:val="es-AR"/>
        </w:rPr>
        <w:t xml:space="preserve">haber </w:t>
      </w:r>
      <w:r w:rsidR="009B2BB5">
        <w:rPr>
          <w:rFonts w:eastAsia="Calibri"/>
          <w:kern w:val="22"/>
          <w:lang w:val="es-AR"/>
        </w:rPr>
        <w:t xml:space="preserve">tomado </w:t>
      </w:r>
      <w:r w:rsidRPr="000033F2">
        <w:rPr>
          <w:rFonts w:eastAsia="Calibri"/>
          <w:kern w:val="22"/>
          <w:lang w:val="es-AR"/>
        </w:rPr>
        <w:t>medidas.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 xml:space="preserve">Entre los países que </w:t>
      </w:r>
      <w:r w:rsidR="009B2BB5">
        <w:rPr>
          <w:rFonts w:eastAsia="Calibri"/>
          <w:kern w:val="22"/>
          <w:lang w:val="es-AR"/>
        </w:rPr>
        <w:t>contestaron afirmativamente</w:t>
      </w:r>
      <w:r w:rsidRPr="000033F2">
        <w:rPr>
          <w:rFonts w:eastAsia="Calibri"/>
          <w:kern w:val="22"/>
          <w:lang w:val="es-AR"/>
        </w:rPr>
        <w:t xml:space="preserve"> a esta pregunta, algunos </w:t>
      </w:r>
      <w:r w:rsidR="009B2BB5">
        <w:rPr>
          <w:rFonts w:eastAsia="Calibri"/>
          <w:kern w:val="22"/>
          <w:lang w:val="es-AR"/>
        </w:rPr>
        <w:t xml:space="preserve">hicieron referencia </w:t>
      </w:r>
      <w:r w:rsidRPr="000033F2">
        <w:rPr>
          <w:rFonts w:eastAsia="Calibri"/>
          <w:kern w:val="22"/>
          <w:lang w:val="es-AR"/>
        </w:rPr>
        <w:t>a medidas existentes pertinente</w:t>
      </w:r>
      <w:r w:rsidR="009B2BB5">
        <w:rPr>
          <w:rFonts w:eastAsia="Calibri"/>
          <w:kern w:val="22"/>
          <w:lang w:val="es-AR"/>
        </w:rPr>
        <w:t>s</w:t>
      </w:r>
      <w:r w:rsidRPr="000033F2">
        <w:rPr>
          <w:rStyle w:val="FootnoteReference"/>
          <w:rFonts w:eastAsia="Calibri"/>
          <w:kern w:val="22"/>
          <w:lang w:val="es-AR"/>
        </w:rPr>
        <w:footnoteReference w:id="22"/>
      </w:r>
      <w:r w:rsidRPr="000033F2">
        <w:rPr>
          <w:rStyle w:val="FootnoteReference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o </w:t>
      </w:r>
      <w:r w:rsidR="009B2BB5">
        <w:rPr>
          <w:rFonts w:eastAsia="Calibri"/>
          <w:kern w:val="22"/>
          <w:lang w:val="es-AR"/>
        </w:rPr>
        <w:t xml:space="preserve">a proyectos de medidas o </w:t>
      </w:r>
      <w:r w:rsidRPr="000033F2">
        <w:rPr>
          <w:rFonts w:eastAsia="Calibri"/>
          <w:kern w:val="22"/>
          <w:lang w:val="es-AR"/>
        </w:rPr>
        <w:t>procesos en curso</w:t>
      </w:r>
      <w:r w:rsidRPr="000033F2">
        <w:rPr>
          <w:rStyle w:val="FootnoteReference"/>
          <w:rFonts w:eastAsia="Calibri"/>
          <w:kern w:val="22"/>
          <w:lang w:val="es-AR"/>
        </w:rPr>
        <w:footnoteReference w:id="23"/>
      </w:r>
      <w:r w:rsidRPr="000033F2">
        <w:rPr>
          <w:rStyle w:val="FootnoteReference"/>
          <w:lang w:val="es-AR"/>
        </w:rPr>
        <w:t>.</w:t>
      </w:r>
      <w:r w:rsidRPr="000033F2">
        <w:rPr>
          <w:lang w:val="es-AR"/>
        </w:rPr>
        <w:t xml:space="preserve"> </w:t>
      </w:r>
      <w:r w:rsidR="009B2BB5">
        <w:rPr>
          <w:lang w:val="es-AR"/>
        </w:rPr>
        <w:t>M</w:t>
      </w:r>
      <w:r w:rsidR="009B2BB5">
        <w:rPr>
          <w:rFonts w:eastAsia="Calibri"/>
          <w:kern w:val="22"/>
          <w:lang w:val="es-AR"/>
        </w:rPr>
        <w:t>uy pocos países</w:t>
      </w:r>
      <w:r w:rsidRPr="000033F2">
        <w:rPr>
          <w:rFonts w:eastAsia="Calibri"/>
          <w:kern w:val="22"/>
          <w:lang w:val="es-AR"/>
        </w:rPr>
        <w:t xml:space="preserve"> proporcionaron </w:t>
      </w:r>
      <w:r w:rsidR="009B2BB5">
        <w:rPr>
          <w:rFonts w:eastAsia="Calibri"/>
          <w:kern w:val="22"/>
          <w:lang w:val="es-AR"/>
        </w:rPr>
        <w:t>más información</w:t>
      </w:r>
      <w:r w:rsidRPr="000033F2">
        <w:rPr>
          <w:rFonts w:eastAsia="Calibri"/>
          <w:kern w:val="22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 xml:space="preserve">Entre los países que </w:t>
      </w:r>
      <w:r w:rsidR="009B2BB5">
        <w:rPr>
          <w:rFonts w:eastAsia="Calibri"/>
          <w:kern w:val="22"/>
          <w:lang w:val="es-AR"/>
        </w:rPr>
        <w:t>contestaron negativamente</w:t>
      </w:r>
      <w:r w:rsidRPr="000033F2">
        <w:rPr>
          <w:rFonts w:eastAsia="Calibri"/>
          <w:kern w:val="22"/>
          <w:lang w:val="es-AR"/>
        </w:rPr>
        <w:t xml:space="preserve"> a esta pregunta, muchos indicaron que planeaban abordar esta cuestión.</w:t>
      </w:r>
      <w:r w:rsidRPr="000033F2">
        <w:rPr>
          <w:rStyle w:val="FootnoteReference"/>
          <w:rFonts w:eastAsia="Calibri"/>
          <w:kern w:val="22"/>
          <w:lang w:val="es-AR"/>
        </w:rPr>
        <w:footnoteReference w:id="24"/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Un país indicó que la pregunta no era aplicable</w:t>
      </w:r>
      <w:r w:rsidR="008C046C">
        <w:rPr>
          <w:rFonts w:eastAsia="Calibri"/>
          <w:kern w:val="22"/>
          <w:lang w:val="es-AR"/>
        </w:rPr>
        <w:t>, dado</w:t>
      </w:r>
      <w:r w:rsidRPr="000033F2">
        <w:rPr>
          <w:rFonts w:eastAsia="Calibri"/>
          <w:kern w:val="22"/>
          <w:lang w:val="es-AR"/>
        </w:rPr>
        <w:t xml:space="preserve"> </w:t>
      </w:r>
      <w:r w:rsidR="00E11D92">
        <w:rPr>
          <w:rFonts w:eastAsia="Calibri"/>
          <w:kern w:val="22"/>
          <w:lang w:val="es-AR"/>
        </w:rPr>
        <w:t xml:space="preserve">que </w:t>
      </w:r>
      <w:r w:rsidRPr="000033F2">
        <w:rPr>
          <w:rFonts w:eastAsia="Calibri"/>
          <w:kern w:val="22"/>
          <w:lang w:val="es-AR"/>
        </w:rPr>
        <w:t xml:space="preserve">el país no tiene </w:t>
      </w:r>
      <w:r w:rsidR="009B2BB5">
        <w:rPr>
          <w:rFonts w:eastAsia="Calibri"/>
          <w:kern w:val="22"/>
          <w:lang w:val="es-AR"/>
        </w:rPr>
        <w:t>comunidades indígenas y locales</w:t>
      </w:r>
      <w:r w:rsidRPr="000033F2">
        <w:rPr>
          <w:rStyle w:val="FootnoteReference"/>
          <w:rFonts w:eastAsia="Calibri"/>
          <w:kern w:val="22"/>
          <w:lang w:val="es-AR"/>
        </w:rPr>
        <w:footnoteReference w:id="25"/>
      </w:r>
      <w:r w:rsidRPr="000033F2">
        <w:rPr>
          <w:rFonts w:eastAsia="Calibri"/>
          <w:kern w:val="22"/>
          <w:lang w:val="es-AR"/>
        </w:rPr>
        <w:t xml:space="preserve"> y otr</w:t>
      </w:r>
      <w:r w:rsidR="008C046C">
        <w:rPr>
          <w:rFonts w:eastAsia="Calibri"/>
          <w:kern w:val="22"/>
          <w:lang w:val="es-AR"/>
        </w:rPr>
        <w:t>o</w:t>
      </w:r>
      <w:r w:rsidRPr="000033F2">
        <w:rPr>
          <w:rFonts w:eastAsia="Calibri"/>
          <w:kern w:val="22"/>
          <w:lang w:val="es-AR"/>
        </w:rPr>
        <w:t xml:space="preserve"> expres</w:t>
      </w:r>
      <w:r w:rsidR="008C046C">
        <w:rPr>
          <w:rFonts w:eastAsia="Calibri"/>
          <w:kern w:val="22"/>
          <w:lang w:val="es-AR"/>
        </w:rPr>
        <w:t>ó</w:t>
      </w:r>
      <w:r w:rsidRPr="000033F2">
        <w:rPr>
          <w:rFonts w:eastAsia="Calibri"/>
          <w:kern w:val="22"/>
          <w:lang w:val="es-AR"/>
        </w:rPr>
        <w:t xml:space="preserve"> la necesidad de aclarar la noción de </w:t>
      </w:r>
      <w:r w:rsidR="008C046C">
        <w:rPr>
          <w:rFonts w:eastAsia="Calibri"/>
          <w:kern w:val="22"/>
          <w:lang w:val="es-AR"/>
        </w:rPr>
        <w:t>comunidades indígenas y locales</w:t>
      </w:r>
      <w:r w:rsidRPr="000033F2">
        <w:rPr>
          <w:rFonts w:eastAsia="Calibri"/>
          <w:kern w:val="22"/>
          <w:lang w:val="es-AR"/>
        </w:rPr>
        <w:t xml:space="preserve"> en su contexto nacional.</w:t>
      </w:r>
      <w:r w:rsidRPr="000033F2">
        <w:rPr>
          <w:rStyle w:val="FootnoteReference"/>
          <w:rFonts w:eastAsia="Calibri"/>
          <w:kern w:val="22"/>
          <w:lang w:val="es-AR"/>
        </w:rPr>
        <w:footnoteReference w:id="26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>Las treinta y tres Partes y</w:t>
      </w:r>
      <w:r w:rsidR="00E11D92">
        <w:rPr>
          <w:rFonts w:eastAsia="Calibri"/>
          <w:kern w:val="22"/>
          <w:lang w:val="es-AR"/>
        </w:rPr>
        <w:t xml:space="preserve"> los</w:t>
      </w:r>
      <w:r w:rsidRPr="000033F2">
        <w:rPr>
          <w:rFonts w:eastAsia="Calibri"/>
          <w:kern w:val="22"/>
          <w:lang w:val="es-AR"/>
        </w:rPr>
        <w:t xml:space="preserve"> cuatro </w:t>
      </w:r>
      <w:r w:rsidR="00A27216">
        <w:rPr>
          <w:rFonts w:eastAsia="Calibri"/>
          <w:kern w:val="22"/>
          <w:lang w:val="es-AR"/>
        </w:rPr>
        <w:t>estados que no son Parte</w:t>
      </w:r>
      <w:r w:rsidR="003804B6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 xml:space="preserve"> que </w:t>
      </w:r>
      <w:r w:rsidR="008C046C">
        <w:rPr>
          <w:rFonts w:eastAsia="Calibri"/>
          <w:kern w:val="22"/>
          <w:lang w:val="es-AR"/>
        </w:rPr>
        <w:t>respondieron afirmativamente</w:t>
      </w:r>
      <w:r w:rsidRPr="000033F2">
        <w:rPr>
          <w:rFonts w:eastAsia="Calibri"/>
          <w:kern w:val="22"/>
          <w:lang w:val="es-AR"/>
        </w:rPr>
        <w:t xml:space="preserve"> </w:t>
      </w:r>
      <w:r w:rsidR="008C046C">
        <w:rPr>
          <w:rFonts w:eastAsia="Calibri"/>
          <w:kern w:val="22"/>
          <w:lang w:val="es-AR"/>
        </w:rPr>
        <w:t xml:space="preserve">a la </w:t>
      </w:r>
      <w:r w:rsidRPr="000033F2">
        <w:rPr>
          <w:rFonts w:eastAsia="Calibri"/>
          <w:kern w:val="22"/>
          <w:lang w:val="es-AR"/>
        </w:rPr>
        <w:t xml:space="preserve">pregunta 25 también contestaron dos </w:t>
      </w:r>
      <w:proofErr w:type="spellStart"/>
      <w:r w:rsidRPr="000033F2">
        <w:rPr>
          <w:rFonts w:eastAsia="Calibri"/>
          <w:kern w:val="22"/>
          <w:lang w:val="es-AR"/>
        </w:rPr>
        <w:t>subpreguntas</w:t>
      </w:r>
      <w:proofErr w:type="spellEnd"/>
      <w:r w:rsidRPr="000033F2">
        <w:rPr>
          <w:rFonts w:eastAsia="Calibri"/>
          <w:kern w:val="22"/>
          <w:lang w:val="es-AR"/>
        </w:rPr>
        <w:t>: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>Indique si su país ha tomado medidas para abordar</w:t>
      </w:r>
      <w:r w:rsidR="008C046C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situaciones de incumplimiento con esas medidas de acuerdo con 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1</w:t>
      </w:r>
      <w:r w:rsidR="000033F2" w:rsidRPr="000033F2">
        <w:rPr>
          <w:rFonts w:eastAsia="Calibri"/>
          <w:kern w:val="22"/>
          <w:lang w:val="es-AR"/>
        </w:rPr>
        <w:t>6</w:t>
      </w:r>
      <w:r w:rsidR="008C046C">
        <w:rPr>
          <w:rFonts w:eastAsia="Calibri"/>
          <w:kern w:val="22"/>
          <w:lang w:val="es-AR"/>
        </w:rPr>
        <w:t>.</w:t>
      </w:r>
      <w:r w:rsidR="000033F2" w:rsidRPr="000033F2">
        <w:rPr>
          <w:rFonts w:eastAsia="Calibri"/>
          <w:kern w:val="22"/>
          <w:lang w:val="es-AR"/>
        </w:rPr>
        <w:t>2</w:t>
      </w:r>
      <w:r w:rsidRPr="000033F2">
        <w:rPr>
          <w:rFonts w:eastAsia="Calibri"/>
          <w:kern w:val="22"/>
          <w:lang w:val="es-AR"/>
        </w:rPr>
        <w:t>: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veintiocho Partes y cuatro </w:t>
      </w:r>
      <w:r w:rsidR="00A27216">
        <w:rPr>
          <w:rFonts w:eastAsia="Calibri"/>
          <w:kern w:val="22"/>
          <w:lang w:val="es-AR"/>
        </w:rPr>
        <w:t xml:space="preserve">estados </w:t>
      </w:r>
      <w:r w:rsidR="003804B6">
        <w:rPr>
          <w:rFonts w:eastAsia="Calibri"/>
          <w:kern w:val="22"/>
          <w:lang w:val="es-AR"/>
        </w:rPr>
        <w:t xml:space="preserve">que no son Partes </w:t>
      </w:r>
      <w:r w:rsidR="00110BFC">
        <w:rPr>
          <w:rFonts w:eastAsia="Calibri"/>
          <w:kern w:val="22"/>
          <w:lang w:val="es-AR"/>
        </w:rPr>
        <w:t>inform</w:t>
      </w:r>
      <w:r w:rsidRPr="000033F2">
        <w:rPr>
          <w:rFonts w:eastAsia="Calibri"/>
          <w:kern w:val="22"/>
          <w:lang w:val="es-AR"/>
        </w:rPr>
        <w:t xml:space="preserve">aron </w:t>
      </w:r>
      <w:r w:rsidR="008C046C">
        <w:rPr>
          <w:rFonts w:eastAsia="Calibri"/>
          <w:kern w:val="22"/>
          <w:lang w:val="es-AR"/>
        </w:rPr>
        <w:t xml:space="preserve">que habían tomado </w:t>
      </w:r>
      <w:r w:rsidRPr="000033F2">
        <w:rPr>
          <w:rFonts w:eastAsia="Calibri"/>
          <w:kern w:val="22"/>
          <w:lang w:val="es-AR"/>
        </w:rPr>
        <w:t>medidas para abordar</w:t>
      </w:r>
      <w:r w:rsidR="008C046C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situaciones de incumplimiento con las medidas </w:t>
      </w:r>
      <w:r w:rsidR="008C046C">
        <w:rPr>
          <w:rFonts w:eastAsia="Calibri"/>
          <w:kern w:val="22"/>
          <w:lang w:val="es-AR"/>
        </w:rPr>
        <w:t xml:space="preserve">estipuladas </w:t>
      </w:r>
      <w:r w:rsidRPr="000033F2">
        <w:rPr>
          <w:rFonts w:eastAsia="Calibri"/>
          <w:kern w:val="22"/>
          <w:lang w:val="es-AR"/>
        </w:rPr>
        <w:t xml:space="preserve">en 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1</w:t>
      </w:r>
      <w:r w:rsidR="000033F2" w:rsidRPr="000033F2">
        <w:rPr>
          <w:rFonts w:eastAsia="Calibri"/>
          <w:kern w:val="22"/>
          <w:lang w:val="es-AR"/>
        </w:rPr>
        <w:t>6</w:t>
      </w:r>
      <w:r w:rsidR="008C046C">
        <w:rPr>
          <w:rFonts w:eastAsia="Calibri"/>
          <w:kern w:val="22"/>
          <w:lang w:val="es-AR"/>
        </w:rPr>
        <w:t>.</w:t>
      </w:r>
      <w:r w:rsidR="000033F2" w:rsidRPr="000033F2">
        <w:rPr>
          <w:rFonts w:eastAsia="Calibri"/>
          <w:kern w:val="22"/>
          <w:lang w:val="es-AR"/>
        </w:rPr>
        <w:t>2</w:t>
      </w:r>
      <w:r w:rsidRPr="000033F2">
        <w:rPr>
          <w:rFonts w:eastAsia="Calibri"/>
          <w:kern w:val="22"/>
          <w:lang w:val="es-AR"/>
        </w:rPr>
        <w:t>;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rFonts w:eastAsia="Calibri"/>
          <w:lang w:val="es-AR"/>
        </w:rPr>
      </w:pPr>
      <w:r w:rsidRPr="000033F2">
        <w:rPr>
          <w:rFonts w:eastAsia="Calibri"/>
          <w:kern w:val="22"/>
          <w:lang w:val="es-AR"/>
        </w:rPr>
        <w:lastRenderedPageBreak/>
        <w:t>¿</w:t>
      </w:r>
      <w:r w:rsidR="008C046C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 xml:space="preserve">u país cooperó en casos específicos de </w:t>
      </w:r>
      <w:r w:rsidR="003804B6">
        <w:rPr>
          <w:rFonts w:eastAsia="Calibri"/>
          <w:kern w:val="22"/>
          <w:lang w:val="es-AR"/>
        </w:rPr>
        <w:t>supuestas violaciones</w:t>
      </w:r>
      <w:r w:rsidRPr="000033F2">
        <w:rPr>
          <w:rFonts w:eastAsia="Calibri"/>
          <w:kern w:val="22"/>
          <w:lang w:val="es-AR"/>
        </w:rPr>
        <w:t xml:space="preserve"> de las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 xml:space="preserve"> de acuerdo con 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</w:t>
      </w:r>
      <w:r w:rsidR="008C046C">
        <w:rPr>
          <w:rFonts w:eastAsia="Calibri"/>
          <w:kern w:val="22"/>
          <w:lang w:val="es-AR"/>
        </w:rPr>
        <w:t>16.3</w:t>
      </w:r>
      <w:r w:rsidRPr="000033F2">
        <w:rPr>
          <w:rFonts w:eastAsia="Calibri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Diez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27"/>
      </w:r>
      <w:r w:rsidRPr="000033F2">
        <w:rPr>
          <w:rFonts w:eastAsia="Calibri"/>
          <w:lang w:val="es-AR"/>
        </w:rPr>
        <w:t xml:space="preserve">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no </w:t>
      </w:r>
      <w:r w:rsidR="003804B6">
        <w:rPr>
          <w:rFonts w:eastAsia="Calibri"/>
          <w:lang w:val="es-AR"/>
        </w:rPr>
        <w:t xml:space="preserve">saber </w:t>
      </w:r>
      <w:r w:rsidRPr="000033F2">
        <w:rPr>
          <w:rFonts w:eastAsia="Calibri"/>
          <w:lang w:val="es-AR"/>
        </w:rPr>
        <w:t xml:space="preserve">de </w:t>
      </w:r>
      <w:r w:rsidR="008C046C">
        <w:rPr>
          <w:rFonts w:eastAsia="Calibri"/>
          <w:lang w:val="es-AR"/>
        </w:rPr>
        <w:t xml:space="preserve">ningún </w:t>
      </w:r>
      <w:r w:rsidRPr="000033F2">
        <w:rPr>
          <w:rFonts w:eastAsia="Calibri"/>
          <w:lang w:val="es-AR"/>
        </w:rPr>
        <w:t xml:space="preserve">caso de </w:t>
      </w:r>
      <w:r w:rsidR="003804B6">
        <w:rPr>
          <w:rFonts w:eastAsia="Calibri"/>
          <w:lang w:val="es-AR"/>
        </w:rPr>
        <w:t>supuestas violaciones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="008C046C">
        <w:rPr>
          <w:rFonts w:eastAsia="Calibri"/>
          <w:kern w:val="22"/>
          <w:lang w:val="es-AR"/>
        </w:rPr>
        <w:t>Sólo</w:t>
      </w:r>
      <w:r w:rsidRPr="000033F2">
        <w:rPr>
          <w:rFonts w:eastAsia="Calibri"/>
          <w:kern w:val="22"/>
          <w:lang w:val="es-AR"/>
        </w:rPr>
        <w:t xml:space="preserve"> dos países </w:t>
      </w:r>
      <w:r w:rsidR="00110BFC">
        <w:rPr>
          <w:rFonts w:eastAsia="Calibri"/>
          <w:kern w:val="22"/>
          <w:lang w:val="es-AR"/>
        </w:rPr>
        <w:t>inform</w:t>
      </w:r>
      <w:r w:rsidRPr="000033F2">
        <w:rPr>
          <w:rFonts w:eastAsia="Calibri"/>
          <w:kern w:val="22"/>
          <w:lang w:val="es-AR"/>
        </w:rPr>
        <w:t xml:space="preserve">aron </w:t>
      </w:r>
      <w:r w:rsidR="008C046C">
        <w:rPr>
          <w:rFonts w:eastAsia="Calibri"/>
          <w:kern w:val="22"/>
          <w:lang w:val="es-AR"/>
        </w:rPr>
        <w:t xml:space="preserve">que habían cooperado </w:t>
      </w:r>
      <w:r w:rsidRPr="000033F2">
        <w:rPr>
          <w:rFonts w:eastAsia="Calibri"/>
          <w:kern w:val="22"/>
          <w:lang w:val="es-AR"/>
        </w:rPr>
        <w:t xml:space="preserve">en casos específicos </w:t>
      </w:r>
      <w:r w:rsidR="008C046C">
        <w:rPr>
          <w:rFonts w:eastAsia="Calibri"/>
          <w:kern w:val="22"/>
          <w:lang w:val="es-AR"/>
        </w:rPr>
        <w:t xml:space="preserve">de </w:t>
      </w:r>
      <w:r w:rsidR="003804B6">
        <w:rPr>
          <w:rFonts w:eastAsia="Calibri"/>
          <w:kern w:val="22"/>
          <w:lang w:val="es-AR"/>
        </w:rPr>
        <w:t>supuestas violaciones</w:t>
      </w:r>
      <w:r w:rsidRPr="000033F2">
        <w:rPr>
          <w:rFonts w:eastAsia="Calibri"/>
          <w:kern w:val="22"/>
          <w:lang w:val="es-AR"/>
        </w:rPr>
        <w:t xml:space="preserve"> de las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 xml:space="preserve"> de acuerdo con 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</w:t>
      </w:r>
      <w:r w:rsidR="008C046C">
        <w:rPr>
          <w:rFonts w:eastAsia="Calibri"/>
          <w:kern w:val="22"/>
          <w:lang w:val="es-AR"/>
        </w:rPr>
        <w:t>16.3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Varios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28"/>
      </w:r>
      <w:r w:rsidRPr="000033F2">
        <w:rPr>
          <w:rFonts w:eastAsia="Calibri"/>
          <w:lang w:val="es-AR"/>
        </w:rPr>
        <w:t xml:space="preserve"> proporcionaron información </w:t>
      </w:r>
      <w:r w:rsidR="008C046C">
        <w:rPr>
          <w:rFonts w:eastAsia="Calibri"/>
          <w:lang w:val="es-AR"/>
        </w:rPr>
        <w:t xml:space="preserve">sobre </w:t>
      </w:r>
      <w:r w:rsidRPr="000033F2">
        <w:rPr>
          <w:rFonts w:eastAsia="Calibri"/>
          <w:lang w:val="es-AR"/>
        </w:rPr>
        <w:t>la legislación pertinente.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kern w:val="22"/>
          <w:lang w:val="es-AR"/>
        </w:rPr>
      </w:pPr>
      <w:r w:rsidRPr="000033F2">
        <w:rPr>
          <w:rFonts w:eastAsia="Calibri"/>
          <w:kern w:val="22"/>
          <w:lang w:val="es-AR"/>
        </w:rPr>
        <w:t xml:space="preserve">Preguntas 39 a 44 del formato para el informe nacional provisional relacionado con los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>s 7 y 12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="00A13A4F">
        <w:rPr>
          <w:lang w:val="es-AR"/>
        </w:rPr>
        <w:t>S</w:t>
      </w:r>
      <w:r w:rsidR="008C046C">
        <w:rPr>
          <w:rFonts w:eastAsia="Calibri"/>
          <w:kern w:val="22"/>
          <w:lang w:val="es-AR"/>
        </w:rPr>
        <w:t>ólo</w:t>
      </w:r>
      <w:r w:rsidR="008C046C" w:rsidRPr="000033F2">
        <w:rPr>
          <w:rFonts w:eastAsia="Calibri"/>
          <w:kern w:val="22"/>
          <w:lang w:val="es-AR"/>
        </w:rPr>
        <w:t xml:space="preserve"> </w:t>
      </w:r>
      <w:r w:rsidR="00A13A4F">
        <w:rPr>
          <w:rFonts w:eastAsia="Calibri"/>
          <w:kern w:val="22"/>
          <w:lang w:val="es-AR"/>
        </w:rPr>
        <w:t xml:space="preserve">los </w:t>
      </w:r>
      <w:r w:rsidR="008C046C" w:rsidRPr="000033F2">
        <w:rPr>
          <w:rFonts w:eastAsia="Calibri"/>
          <w:kern w:val="22"/>
          <w:lang w:val="es-AR"/>
        </w:rPr>
        <w:t>49 países</w:t>
      </w:r>
      <w:r w:rsidR="003804B6">
        <w:rPr>
          <w:rFonts w:eastAsia="Calibri"/>
          <w:kern w:val="22"/>
          <w:lang w:val="es-AR"/>
        </w:rPr>
        <w:t>,</w:t>
      </w:r>
      <w:r w:rsidR="008C046C" w:rsidRPr="000033F2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que indicaron tener </w:t>
      </w:r>
      <w:r w:rsidR="00B54C19">
        <w:rPr>
          <w:rFonts w:eastAsia="Calibri"/>
          <w:kern w:val="22"/>
          <w:lang w:val="es-AR"/>
        </w:rPr>
        <w:t>pueblos indígenas</w:t>
      </w:r>
      <w:r w:rsidRPr="000033F2">
        <w:rPr>
          <w:rFonts w:eastAsia="Calibri"/>
          <w:kern w:val="22"/>
          <w:lang w:val="es-AR"/>
        </w:rPr>
        <w:t xml:space="preserve"> y comunidades locales</w:t>
      </w:r>
      <w:r w:rsidR="003804B6">
        <w:rPr>
          <w:rFonts w:eastAsia="Calibri"/>
          <w:kern w:val="22"/>
          <w:lang w:val="es-AR"/>
        </w:rPr>
        <w:t>,</w:t>
      </w:r>
      <w:r w:rsidR="00A13A4F">
        <w:rPr>
          <w:rFonts w:eastAsia="Calibri"/>
          <w:kern w:val="22"/>
          <w:lang w:val="es-AR"/>
        </w:rPr>
        <w:t xml:space="preserve"> respondieron a estas preguntas</w:t>
      </w:r>
      <w:r w:rsidRPr="000033F2">
        <w:rPr>
          <w:rFonts w:eastAsia="Calibri"/>
          <w:kern w:val="22"/>
          <w:lang w:val="es-AR"/>
        </w:rPr>
        <w:t>.</w:t>
      </w:r>
    </w:p>
    <w:p w:rsidR="00FB79CA" w:rsidRPr="000033F2" w:rsidRDefault="00635DA0">
      <w:pPr>
        <w:pStyle w:val="Heading3"/>
        <w:numPr>
          <w:ilvl w:val="0"/>
          <w:numId w:val="10"/>
        </w:numPr>
        <w:tabs>
          <w:tab w:val="clear" w:pos="567"/>
        </w:tabs>
        <w:jc w:val="left"/>
        <w:rPr>
          <w:lang w:val="es-AR"/>
        </w:rPr>
      </w:pPr>
      <w:r w:rsidRPr="000033F2">
        <w:rPr>
          <w:lang w:val="es-AR"/>
        </w:rPr>
        <w:t xml:space="preserve">¿De acuerdo con </w:t>
      </w:r>
      <w:r w:rsidR="00E11D92">
        <w:rPr>
          <w:lang w:val="es-AR"/>
        </w:rPr>
        <w:t xml:space="preserve">la </w:t>
      </w:r>
      <w:r w:rsidRPr="000033F2">
        <w:rPr>
          <w:lang w:val="es-AR"/>
        </w:rPr>
        <w:t>legislación nacional su país tom</w:t>
      </w:r>
      <w:r w:rsidR="00A13A4F">
        <w:rPr>
          <w:lang w:val="es-AR"/>
        </w:rPr>
        <w:t xml:space="preserve">ó medidas </w:t>
      </w:r>
      <w:r w:rsidRPr="000033F2">
        <w:rPr>
          <w:lang w:val="es-AR"/>
        </w:rPr>
        <w:t xml:space="preserve">con el </w:t>
      </w:r>
      <w:r w:rsidR="003804B6">
        <w:rPr>
          <w:lang w:val="es-AR"/>
        </w:rPr>
        <w:t xml:space="preserve">fin </w:t>
      </w:r>
      <w:r w:rsidRPr="000033F2">
        <w:rPr>
          <w:lang w:val="es-AR"/>
        </w:rPr>
        <w:t xml:space="preserve">de asegurar que </w:t>
      </w:r>
      <w:r w:rsidR="00A13A4F">
        <w:rPr>
          <w:lang w:val="es-AR"/>
        </w:rPr>
        <w:t xml:space="preserve">se tuvo acceso a </w:t>
      </w:r>
      <w:r w:rsidRPr="000033F2">
        <w:rPr>
          <w:lang w:val="es-AR"/>
        </w:rPr>
        <w:t xml:space="preserve">los conocimientos tradicionales asociados a los recursos genéticos que </w:t>
      </w:r>
      <w:r w:rsidR="00A13A4F">
        <w:rPr>
          <w:lang w:val="es-AR"/>
        </w:rPr>
        <w:t xml:space="preserve">poseen las </w:t>
      </w:r>
      <w:r w:rsidR="009B2BB5">
        <w:rPr>
          <w:lang w:val="es-AR"/>
        </w:rPr>
        <w:t>comunidades indígenas y locales</w:t>
      </w:r>
      <w:r w:rsidRPr="000033F2">
        <w:rPr>
          <w:lang w:val="es-AR"/>
        </w:rPr>
        <w:t xml:space="preserve"> dentro de su país con el</w:t>
      </w:r>
      <w:r w:rsidR="00A13A4F">
        <w:rPr>
          <w:lang w:val="es-AR"/>
        </w:rPr>
        <w:t xml:space="preserve"> </w:t>
      </w:r>
      <w:r w:rsidR="009B2BB5">
        <w:rPr>
          <w:lang w:val="es-AR"/>
        </w:rPr>
        <w:t>conocimiento fundamentado previo</w:t>
      </w:r>
      <w:r w:rsidRPr="000033F2">
        <w:rPr>
          <w:lang w:val="es-AR"/>
        </w:rPr>
        <w:t xml:space="preserve"> o la aprobación </w:t>
      </w:r>
      <w:r w:rsidR="00A13A4F">
        <w:rPr>
          <w:lang w:val="es-AR"/>
        </w:rPr>
        <w:t>e</w:t>
      </w:r>
      <w:r w:rsidRPr="000033F2">
        <w:rPr>
          <w:lang w:val="es-AR"/>
        </w:rPr>
        <w:t xml:space="preserve"> intervención de est</w:t>
      </w:r>
      <w:r w:rsidR="00A40A8C">
        <w:rPr>
          <w:lang w:val="es-AR"/>
        </w:rPr>
        <w:t>a</w:t>
      </w:r>
      <w:r w:rsidRPr="000033F2">
        <w:rPr>
          <w:lang w:val="es-AR"/>
        </w:rPr>
        <w:t xml:space="preserve">s </w:t>
      </w:r>
      <w:r w:rsidR="00A40A8C">
        <w:rPr>
          <w:lang w:val="es-AR"/>
        </w:rPr>
        <w:t xml:space="preserve">comunidades </w:t>
      </w:r>
      <w:r w:rsidRPr="000033F2">
        <w:rPr>
          <w:lang w:val="es-AR"/>
        </w:rPr>
        <w:t xml:space="preserve">indígenas </w:t>
      </w:r>
      <w:r w:rsidR="00A40A8C">
        <w:rPr>
          <w:lang w:val="es-AR"/>
        </w:rPr>
        <w:t xml:space="preserve">y </w:t>
      </w:r>
      <w:r w:rsidRPr="000033F2">
        <w:rPr>
          <w:lang w:val="es-AR"/>
        </w:rPr>
        <w:t>locales</w:t>
      </w:r>
      <w:r w:rsidR="00E11D92">
        <w:rPr>
          <w:lang w:val="es-AR"/>
        </w:rPr>
        <w:t>,</w:t>
      </w:r>
      <w:r w:rsidRPr="000033F2">
        <w:rPr>
          <w:lang w:val="es-AR"/>
        </w:rPr>
        <w:t xml:space="preserve"> y </w:t>
      </w:r>
      <w:r w:rsidR="00A40A8C">
        <w:rPr>
          <w:lang w:val="es-AR"/>
        </w:rPr>
        <w:t xml:space="preserve">que se establecieron </w:t>
      </w:r>
      <w:r w:rsidRPr="000033F2">
        <w:rPr>
          <w:lang w:val="es-AR"/>
        </w:rPr>
        <w:t>condiciones mutuamente acordadas</w:t>
      </w:r>
      <w:r w:rsidR="003804B6">
        <w:rPr>
          <w:lang w:val="es-AR"/>
        </w:rPr>
        <w:t xml:space="preserve">, tal como lo estipula 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7? (pregunta 39)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>Veintiun</w:t>
      </w:r>
      <w:r w:rsidR="00A40A8C">
        <w:rPr>
          <w:rFonts w:eastAsia="Calibri"/>
          <w:lang w:val="es-AR"/>
        </w:rPr>
        <w:t>a</w:t>
      </w:r>
      <w:r w:rsidRPr="000033F2">
        <w:rPr>
          <w:rFonts w:eastAsia="Calibri"/>
          <w:lang w:val="es-AR"/>
        </w:rPr>
        <w:t xml:space="preserve"> Partes y dos </w:t>
      </w:r>
      <w:r w:rsidR="00A27216">
        <w:rPr>
          <w:rFonts w:eastAsia="Calibri"/>
          <w:lang w:val="es-AR"/>
        </w:rPr>
        <w:t xml:space="preserve">estados </w:t>
      </w:r>
      <w:r w:rsidR="003804B6">
        <w:rPr>
          <w:rFonts w:eastAsia="Calibri"/>
          <w:lang w:val="es-AR"/>
        </w:rPr>
        <w:t xml:space="preserve">que no son Partes </w:t>
      </w:r>
      <w:r w:rsidRPr="000033F2">
        <w:rPr>
          <w:rFonts w:eastAsia="Calibri"/>
          <w:lang w:val="es-AR"/>
        </w:rPr>
        <w:t xml:space="preserve">especificaron </w:t>
      </w:r>
      <w:r w:rsidR="00F32D9F">
        <w:rPr>
          <w:rFonts w:eastAsia="Calibri"/>
          <w:lang w:val="es-AR"/>
        </w:rPr>
        <w:t xml:space="preserve">haber </w:t>
      </w:r>
      <w:r w:rsidR="009B2BB5">
        <w:rPr>
          <w:rFonts w:eastAsia="Calibri"/>
          <w:lang w:val="es-AR"/>
        </w:rPr>
        <w:t>toma</w:t>
      </w:r>
      <w:r w:rsidR="00F32D9F">
        <w:rPr>
          <w:rFonts w:eastAsia="Calibri"/>
          <w:lang w:val="es-AR"/>
        </w:rPr>
        <w:t xml:space="preserve">do </w:t>
      </w:r>
      <w:r w:rsidRPr="000033F2">
        <w:rPr>
          <w:rFonts w:eastAsia="Calibri"/>
          <w:lang w:val="es-AR"/>
        </w:rPr>
        <w:t xml:space="preserve">medidas para </w:t>
      </w:r>
      <w:r w:rsidR="00A27216">
        <w:rPr>
          <w:rFonts w:eastAsia="Calibri"/>
          <w:lang w:val="es-AR"/>
        </w:rPr>
        <w:t>aplicar el Artículo</w:t>
      </w:r>
      <w:r w:rsidRPr="000033F2">
        <w:rPr>
          <w:rFonts w:eastAsia="Calibri"/>
          <w:lang w:val="es-AR"/>
        </w:rPr>
        <w:t xml:space="preserve"> 7, mientras que veintiséis Partes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</w:t>
      </w:r>
      <w:r w:rsidR="00A40A8C">
        <w:rPr>
          <w:rFonts w:eastAsia="Calibri"/>
          <w:lang w:val="es-AR"/>
        </w:rPr>
        <w:t xml:space="preserve">no haber tomado </w:t>
      </w:r>
      <w:r w:rsidRPr="000033F2">
        <w:rPr>
          <w:rFonts w:eastAsia="Calibri"/>
          <w:lang w:val="es-AR"/>
        </w:rPr>
        <w:t>tales medidas.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kern w:val="22"/>
          <w:lang w:val="es-AR"/>
        </w:rPr>
        <w:t xml:space="preserve">Los países que </w:t>
      </w:r>
      <w:r w:rsidR="009B2BB5">
        <w:rPr>
          <w:rFonts w:eastAsia="Calibri"/>
          <w:kern w:val="22"/>
          <w:lang w:val="es-AR"/>
        </w:rPr>
        <w:t>contestaron afirmativamente</w:t>
      </w:r>
      <w:r w:rsidRPr="000033F2">
        <w:rPr>
          <w:rFonts w:eastAsia="Calibri"/>
          <w:kern w:val="22"/>
          <w:lang w:val="es-AR"/>
        </w:rPr>
        <w:t xml:space="preserve"> a esta pregunta </w:t>
      </w:r>
      <w:r w:rsidR="00A40A8C">
        <w:rPr>
          <w:rFonts w:eastAsia="Calibri"/>
          <w:kern w:val="22"/>
          <w:lang w:val="es-AR"/>
        </w:rPr>
        <w:t>hicieron referencia a las medidas</w:t>
      </w:r>
      <w:r w:rsidRPr="000033F2">
        <w:rPr>
          <w:rFonts w:eastAsia="Calibri"/>
          <w:kern w:val="22"/>
          <w:lang w:val="es-AR"/>
        </w:rPr>
        <w:t xml:space="preserve"> </w:t>
      </w:r>
      <w:r w:rsidR="0008032E">
        <w:rPr>
          <w:rFonts w:eastAsia="Calibri"/>
          <w:kern w:val="22"/>
          <w:lang w:val="es-AR"/>
        </w:rPr>
        <w:t>pertinente</w:t>
      </w:r>
      <w:r w:rsidR="00A40A8C">
        <w:rPr>
          <w:rFonts w:eastAsia="Calibri"/>
          <w:kern w:val="22"/>
          <w:lang w:val="es-AR"/>
        </w:rPr>
        <w:t>s</w:t>
      </w:r>
      <w:r w:rsidR="0008032E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existentes</w:t>
      </w:r>
      <w:r w:rsidRPr="000033F2">
        <w:rPr>
          <w:rStyle w:val="FootnoteReference"/>
          <w:rFonts w:eastAsia="Calibri"/>
          <w:kern w:val="22"/>
          <w:lang w:val="es-AR"/>
        </w:rPr>
        <w:footnoteReference w:id="29"/>
      </w:r>
      <w:r w:rsidRPr="000033F2">
        <w:rPr>
          <w:rFonts w:eastAsia="Calibri"/>
          <w:kern w:val="22"/>
          <w:lang w:val="es-AR"/>
        </w:rPr>
        <w:t xml:space="preserve"> que aborda</w:t>
      </w:r>
      <w:r w:rsidR="00A40A8C">
        <w:rPr>
          <w:rFonts w:eastAsia="Calibri"/>
          <w:kern w:val="22"/>
          <w:lang w:val="es-AR"/>
        </w:rPr>
        <w:t xml:space="preserve">n </w:t>
      </w:r>
      <w:r w:rsidRPr="000033F2">
        <w:rPr>
          <w:rFonts w:eastAsia="Calibri"/>
          <w:kern w:val="22"/>
          <w:lang w:val="es-AR"/>
        </w:rPr>
        <w:t>esta cuestión o a</w:t>
      </w:r>
      <w:r w:rsidR="00A40A8C">
        <w:rPr>
          <w:rFonts w:eastAsia="Calibri"/>
          <w:kern w:val="22"/>
          <w:lang w:val="es-AR"/>
        </w:rPr>
        <w:t xml:space="preserve"> proyectos</w:t>
      </w:r>
      <w:r w:rsidRPr="000033F2">
        <w:rPr>
          <w:rFonts w:eastAsia="Calibri"/>
          <w:kern w:val="22"/>
          <w:lang w:val="es-AR"/>
        </w:rPr>
        <w:t xml:space="preserve"> </w:t>
      </w:r>
      <w:r w:rsidR="00A40A8C">
        <w:rPr>
          <w:rFonts w:eastAsia="Calibri"/>
          <w:kern w:val="22"/>
          <w:lang w:val="es-AR"/>
        </w:rPr>
        <w:t xml:space="preserve">de </w:t>
      </w:r>
      <w:r w:rsidRPr="000033F2">
        <w:rPr>
          <w:rFonts w:eastAsia="Calibri"/>
          <w:kern w:val="22"/>
          <w:lang w:val="es-AR"/>
        </w:rPr>
        <w:t xml:space="preserve">medidas en </w:t>
      </w:r>
      <w:r w:rsidR="00A40A8C">
        <w:rPr>
          <w:rFonts w:eastAsia="Calibri"/>
          <w:kern w:val="22"/>
          <w:lang w:val="es-AR"/>
        </w:rPr>
        <w:t xml:space="preserve">proceso </w:t>
      </w:r>
      <w:r w:rsidRPr="000033F2">
        <w:rPr>
          <w:rFonts w:eastAsia="Calibri"/>
          <w:kern w:val="22"/>
          <w:lang w:val="es-AR"/>
        </w:rPr>
        <w:t>de desarrollo o aprobación.</w:t>
      </w:r>
      <w:r w:rsidRPr="000033F2">
        <w:rPr>
          <w:rStyle w:val="FootnoteReference"/>
          <w:rFonts w:eastAsia="Calibri"/>
          <w:kern w:val="22"/>
          <w:lang w:val="es-AR"/>
        </w:rPr>
        <w:footnoteReference w:id="30"/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31"/>
      </w:r>
      <w:r w:rsidRPr="000033F2">
        <w:rPr>
          <w:rFonts w:eastAsia="Calibri"/>
          <w:kern w:val="22"/>
          <w:lang w:val="es-AR"/>
        </w:rPr>
        <w:t xml:space="preserve"> proporcionaron </w:t>
      </w:r>
      <w:r w:rsidR="00A40A8C">
        <w:rPr>
          <w:rFonts w:eastAsia="Calibri"/>
          <w:kern w:val="22"/>
          <w:lang w:val="es-AR"/>
        </w:rPr>
        <w:t xml:space="preserve">más </w:t>
      </w:r>
      <w:r w:rsidRPr="000033F2">
        <w:rPr>
          <w:rFonts w:eastAsia="Calibri"/>
          <w:kern w:val="22"/>
          <w:lang w:val="es-AR"/>
        </w:rPr>
        <w:t xml:space="preserve">detalles </w:t>
      </w:r>
      <w:r w:rsidR="00A40A8C">
        <w:rPr>
          <w:rFonts w:eastAsia="Calibri"/>
          <w:kern w:val="22"/>
          <w:lang w:val="es-AR"/>
        </w:rPr>
        <w:t xml:space="preserve">sobre </w:t>
      </w:r>
      <w:r w:rsidRPr="000033F2">
        <w:rPr>
          <w:rFonts w:eastAsia="Calibri"/>
          <w:kern w:val="22"/>
          <w:lang w:val="es-AR"/>
        </w:rPr>
        <w:t>las medidas tomadas.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>Varios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32"/>
      </w:r>
      <w:r w:rsidRPr="000033F2">
        <w:rPr>
          <w:rFonts w:eastAsia="Calibri"/>
          <w:lang w:val="es-AR"/>
        </w:rPr>
        <w:t xml:space="preserve"> que </w:t>
      </w:r>
      <w:r w:rsidR="009B2BB5">
        <w:rPr>
          <w:rFonts w:eastAsia="Calibri"/>
          <w:lang w:val="es-AR"/>
        </w:rPr>
        <w:t>contestaron negativamente</w:t>
      </w:r>
      <w:r w:rsidRPr="000033F2">
        <w:rPr>
          <w:rFonts w:eastAsia="Calibri"/>
          <w:lang w:val="es-AR"/>
        </w:rPr>
        <w:t xml:space="preserve"> a esta pregunta indicaron que planeaban abordar esta cuestión en el desarrollo o el examen de sus </w:t>
      </w:r>
      <w:r w:rsidR="00895863">
        <w:rPr>
          <w:rFonts w:eastAsia="Calibri"/>
          <w:lang w:val="es-AR"/>
        </w:rPr>
        <w:t>medidas sobre acceso y participación en los beneficios</w:t>
      </w:r>
      <w:r w:rsidRPr="000033F2">
        <w:rPr>
          <w:rFonts w:eastAsia="Calibri"/>
          <w:lang w:val="es-AR"/>
        </w:rPr>
        <w:t>.</w:t>
      </w:r>
    </w:p>
    <w:p w:rsidR="00FB79CA" w:rsidRPr="000033F2" w:rsidRDefault="00635DA0">
      <w:pPr>
        <w:pStyle w:val="Heading3"/>
        <w:numPr>
          <w:ilvl w:val="1"/>
          <w:numId w:val="11"/>
        </w:numPr>
        <w:jc w:val="left"/>
        <w:rPr>
          <w:rFonts w:eastAsia="Calibri"/>
          <w:snapToGrid w:val="0"/>
          <w:kern w:val="22"/>
          <w:lang w:val="es-AR"/>
        </w:rPr>
      </w:pPr>
      <w:r w:rsidRPr="000033F2">
        <w:rPr>
          <w:rFonts w:eastAsia="Calibri"/>
          <w:snapToGrid w:val="0"/>
          <w:kern w:val="22"/>
          <w:lang w:val="es-AR"/>
        </w:rPr>
        <w:t>¿</w:t>
      </w:r>
      <w:r w:rsidR="00A40A8C">
        <w:rPr>
          <w:rFonts w:eastAsia="Calibri"/>
          <w:snapToGrid w:val="0"/>
          <w:kern w:val="22"/>
          <w:lang w:val="es-AR"/>
        </w:rPr>
        <w:t xml:space="preserve">Al </w:t>
      </w:r>
      <w:r w:rsidRPr="000033F2">
        <w:rPr>
          <w:rFonts w:eastAsia="Calibri"/>
          <w:snapToGrid w:val="0"/>
          <w:kern w:val="22"/>
          <w:lang w:val="es-AR"/>
        </w:rPr>
        <w:t>aplicar</w:t>
      </w:r>
      <w:r w:rsidR="00A40A8C">
        <w:rPr>
          <w:rFonts w:eastAsia="Calibri"/>
          <w:snapToGrid w:val="0"/>
          <w:kern w:val="22"/>
          <w:lang w:val="es-AR"/>
        </w:rPr>
        <w:t xml:space="preserve"> el Protocolo</w:t>
      </w:r>
      <w:r w:rsidRPr="000033F2">
        <w:rPr>
          <w:rFonts w:eastAsia="Calibri"/>
          <w:snapToGrid w:val="0"/>
          <w:kern w:val="22"/>
          <w:lang w:val="es-AR"/>
        </w:rPr>
        <w:t xml:space="preserve"> y de acuerdo con su legislación nacional, su país </w:t>
      </w:r>
      <w:r w:rsidR="00A40A8C">
        <w:rPr>
          <w:rFonts w:eastAsia="Calibri"/>
          <w:snapToGrid w:val="0"/>
          <w:kern w:val="22"/>
          <w:lang w:val="es-AR"/>
        </w:rPr>
        <w:t xml:space="preserve">toma en </w:t>
      </w:r>
      <w:r w:rsidRPr="000033F2">
        <w:rPr>
          <w:rFonts w:eastAsia="Calibri"/>
          <w:snapToGrid w:val="0"/>
          <w:kern w:val="22"/>
          <w:lang w:val="es-AR"/>
        </w:rPr>
        <w:t xml:space="preserve">consideración </w:t>
      </w:r>
      <w:r w:rsidR="00A40A8C">
        <w:rPr>
          <w:rFonts w:eastAsia="Calibri"/>
          <w:snapToGrid w:val="0"/>
          <w:kern w:val="22"/>
          <w:lang w:val="es-AR"/>
        </w:rPr>
        <w:t xml:space="preserve">el derecho consuetudinario de </w:t>
      </w:r>
      <w:r w:rsidRPr="000033F2">
        <w:rPr>
          <w:rFonts w:eastAsia="Calibri"/>
          <w:snapToGrid w:val="0"/>
          <w:kern w:val="22"/>
          <w:lang w:val="es-AR"/>
        </w:rPr>
        <w:t xml:space="preserve">las comunidades </w:t>
      </w:r>
      <w:r w:rsidR="00A40A8C">
        <w:rPr>
          <w:rFonts w:eastAsia="Calibri"/>
          <w:snapToGrid w:val="0"/>
          <w:kern w:val="22"/>
          <w:lang w:val="es-AR"/>
        </w:rPr>
        <w:t xml:space="preserve">indígenas y </w:t>
      </w:r>
      <w:r w:rsidRPr="000033F2">
        <w:rPr>
          <w:rFonts w:eastAsia="Calibri"/>
          <w:snapToGrid w:val="0"/>
          <w:kern w:val="22"/>
          <w:lang w:val="es-AR"/>
        </w:rPr>
        <w:t>locales, los</w:t>
      </w:r>
      <w:r w:rsidR="00F32D9F">
        <w:rPr>
          <w:rFonts w:eastAsia="Calibri"/>
          <w:snapToGrid w:val="0"/>
          <w:kern w:val="22"/>
          <w:lang w:val="es-AR"/>
        </w:rPr>
        <w:t xml:space="preserve"> procedimientos y </w:t>
      </w:r>
      <w:r w:rsidR="00A40A8C">
        <w:rPr>
          <w:rFonts w:eastAsia="Calibri"/>
          <w:snapToGrid w:val="0"/>
          <w:kern w:val="22"/>
          <w:lang w:val="es-AR"/>
        </w:rPr>
        <w:t>protocolos comunitarios</w:t>
      </w:r>
      <w:r w:rsidRPr="000033F2">
        <w:rPr>
          <w:rFonts w:eastAsia="Calibri"/>
          <w:snapToGrid w:val="0"/>
          <w:kern w:val="22"/>
          <w:lang w:val="es-AR"/>
        </w:rPr>
        <w:t xml:space="preserve"> en cuanto a los conocimientos tradicionales asociados a los recursos genéticos</w:t>
      </w:r>
      <w:r w:rsidR="00F32D9F">
        <w:rPr>
          <w:rFonts w:eastAsia="Calibri"/>
          <w:snapToGrid w:val="0"/>
          <w:kern w:val="22"/>
          <w:lang w:val="es-AR"/>
        </w:rPr>
        <w:t xml:space="preserve">, tal como lo estipula </w:t>
      </w:r>
      <w:r w:rsidRPr="000033F2">
        <w:rPr>
          <w:rFonts w:eastAsia="Calibri"/>
          <w:snapToGrid w:val="0"/>
          <w:kern w:val="22"/>
          <w:lang w:val="es-AR"/>
        </w:rPr>
        <w:t xml:space="preserve">el </w:t>
      </w:r>
      <w:r w:rsidR="000033F2">
        <w:rPr>
          <w:rFonts w:eastAsia="Calibri"/>
          <w:snapToGrid w:val="0"/>
          <w:kern w:val="22"/>
          <w:lang w:val="es-AR"/>
        </w:rPr>
        <w:t>Artículo</w:t>
      </w:r>
      <w:r w:rsidRPr="000033F2">
        <w:rPr>
          <w:rFonts w:eastAsia="Calibri"/>
          <w:snapToGrid w:val="0"/>
          <w:kern w:val="22"/>
          <w:lang w:val="es-AR"/>
        </w:rPr>
        <w:t xml:space="preserve"> </w:t>
      </w:r>
      <w:r w:rsidR="00A40A8C">
        <w:rPr>
          <w:rFonts w:eastAsia="Calibri"/>
          <w:snapToGrid w:val="0"/>
          <w:kern w:val="22"/>
          <w:lang w:val="es-AR"/>
        </w:rPr>
        <w:t>12,1</w:t>
      </w:r>
      <w:r w:rsidRPr="000033F2">
        <w:rPr>
          <w:rFonts w:eastAsia="Calibri"/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snapToGrid w:val="0"/>
          <w:kern w:val="22"/>
          <w:lang w:val="es-AR"/>
        </w:rPr>
        <w:t>(pregunta 40)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Veinticuatro Partes y </w:t>
      </w:r>
      <w:r w:rsidR="00A40A8C">
        <w:rPr>
          <w:rFonts w:eastAsia="Calibri"/>
          <w:lang w:val="es-AR"/>
        </w:rPr>
        <w:t>un estado que no es Parte</w:t>
      </w:r>
      <w:r w:rsidRPr="000033F2">
        <w:rPr>
          <w:rFonts w:eastAsia="Calibri"/>
          <w:lang w:val="es-AR"/>
        </w:rPr>
        <w:t xml:space="preserve"> especifica</w:t>
      </w:r>
      <w:r w:rsidR="00A40A8C">
        <w:rPr>
          <w:rFonts w:eastAsia="Calibri"/>
          <w:lang w:val="es-AR"/>
        </w:rPr>
        <w:t xml:space="preserve">ron </w:t>
      </w:r>
      <w:r w:rsidRPr="000033F2">
        <w:rPr>
          <w:rFonts w:eastAsia="Calibri"/>
          <w:lang w:val="es-AR"/>
        </w:rPr>
        <w:t xml:space="preserve">que </w:t>
      </w:r>
      <w:r w:rsidR="00A40A8C">
        <w:rPr>
          <w:rFonts w:eastAsia="Calibri"/>
          <w:lang w:val="es-AR"/>
        </w:rPr>
        <w:t>tomaron en consideración</w:t>
      </w:r>
      <w:r w:rsidRPr="000033F2">
        <w:rPr>
          <w:rFonts w:eastAsia="Calibri"/>
          <w:lang w:val="es-AR"/>
        </w:rPr>
        <w:t xml:space="preserve"> </w:t>
      </w:r>
      <w:r w:rsidR="00A40A8C">
        <w:rPr>
          <w:rFonts w:eastAsia="Calibri"/>
          <w:lang w:val="es-AR"/>
        </w:rPr>
        <w:t xml:space="preserve">el derecho consuetudinario </w:t>
      </w:r>
      <w:r w:rsidRPr="000033F2">
        <w:rPr>
          <w:rFonts w:eastAsia="Calibri"/>
          <w:lang w:val="es-AR"/>
        </w:rPr>
        <w:t xml:space="preserve">de </w:t>
      </w:r>
      <w:r w:rsidRPr="000033F2">
        <w:rPr>
          <w:lang w:val="es-AR"/>
        </w:rPr>
        <w:t xml:space="preserve">las </w:t>
      </w:r>
      <w:r w:rsidRPr="000033F2">
        <w:rPr>
          <w:rFonts w:eastAsia="Calibri"/>
          <w:lang w:val="es-AR"/>
        </w:rPr>
        <w:t xml:space="preserve">comunidades </w:t>
      </w:r>
      <w:r w:rsidR="00A40A8C">
        <w:rPr>
          <w:rFonts w:eastAsia="Calibri"/>
          <w:lang w:val="es-AR"/>
        </w:rPr>
        <w:t xml:space="preserve">indígenas y </w:t>
      </w:r>
      <w:r w:rsidRPr="000033F2">
        <w:rPr>
          <w:rFonts w:eastAsia="Calibri"/>
          <w:lang w:val="es-AR"/>
        </w:rPr>
        <w:t xml:space="preserve">locales, </w:t>
      </w:r>
      <w:r w:rsidR="00A40A8C">
        <w:rPr>
          <w:rFonts w:eastAsia="Calibri"/>
          <w:lang w:val="es-AR"/>
        </w:rPr>
        <w:t>los</w:t>
      </w:r>
      <w:r w:rsidR="00F32D9F">
        <w:rPr>
          <w:rFonts w:eastAsia="Calibri"/>
          <w:lang w:val="es-AR"/>
        </w:rPr>
        <w:t xml:space="preserve"> procedimientos y</w:t>
      </w:r>
      <w:r w:rsidR="00A40A8C">
        <w:rPr>
          <w:rFonts w:eastAsia="Calibri"/>
          <w:lang w:val="es-AR"/>
        </w:rPr>
        <w:t xml:space="preserve"> protocolos comunitarios</w:t>
      </w:r>
      <w:r w:rsidRPr="000033F2">
        <w:rPr>
          <w:rFonts w:eastAsia="Calibri"/>
          <w:lang w:val="es-AR"/>
        </w:rPr>
        <w:t xml:space="preserve"> en cuanto a </w:t>
      </w:r>
      <w:r w:rsidRPr="000033F2">
        <w:rPr>
          <w:lang w:val="es-AR"/>
        </w:rPr>
        <w:t xml:space="preserve">los </w:t>
      </w:r>
      <w:r w:rsidRPr="000033F2">
        <w:rPr>
          <w:rFonts w:eastAsia="Calibri"/>
          <w:lang w:val="es-AR"/>
        </w:rPr>
        <w:t xml:space="preserve">conocimientos tradicionales asociados a </w:t>
      </w:r>
      <w:r w:rsidRPr="000033F2">
        <w:rPr>
          <w:lang w:val="es-AR"/>
        </w:rPr>
        <w:t xml:space="preserve">los </w:t>
      </w:r>
      <w:r w:rsidRPr="000033F2">
        <w:rPr>
          <w:rFonts w:eastAsia="Calibri"/>
          <w:lang w:val="es-AR"/>
        </w:rPr>
        <w:t>recursos genéticos</w:t>
      </w:r>
      <w:r w:rsidRPr="000033F2">
        <w:rPr>
          <w:lang w:val="es-AR"/>
        </w:rPr>
        <w:t xml:space="preserve">, mientras que </w:t>
      </w:r>
      <w:r w:rsidRPr="000033F2">
        <w:rPr>
          <w:rFonts w:eastAsia="Calibri"/>
          <w:lang w:val="es-AR"/>
        </w:rPr>
        <w:t xml:space="preserve">veinticuatro Partes y </w:t>
      </w:r>
      <w:r w:rsidR="00A40A8C">
        <w:rPr>
          <w:rFonts w:eastAsia="Calibri"/>
          <w:lang w:val="es-AR"/>
        </w:rPr>
        <w:t>un estado que no es Parte</w:t>
      </w:r>
      <w:r w:rsidRPr="000033F2">
        <w:rPr>
          <w:rFonts w:eastAsia="Calibri"/>
          <w:lang w:val="es-AR"/>
        </w:rPr>
        <w:t xml:space="preserve">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</w:t>
      </w:r>
      <w:r w:rsidR="00A40A8C">
        <w:rPr>
          <w:rFonts w:eastAsia="Calibri"/>
          <w:lang w:val="es-AR"/>
        </w:rPr>
        <w:t>que no lo habían hecho</w:t>
      </w:r>
      <w:r w:rsidRPr="000033F2">
        <w:rPr>
          <w:rFonts w:eastAsia="Calibri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Algunos de </w:t>
      </w:r>
      <w:r w:rsidRPr="000033F2">
        <w:rPr>
          <w:lang w:val="es-AR"/>
        </w:rPr>
        <w:t xml:space="preserve">los </w:t>
      </w:r>
      <w:r w:rsidRPr="000033F2">
        <w:rPr>
          <w:rFonts w:eastAsia="Calibri"/>
          <w:lang w:val="es-AR"/>
        </w:rPr>
        <w:t xml:space="preserve">países que </w:t>
      </w:r>
      <w:r w:rsidR="009B2BB5">
        <w:rPr>
          <w:rFonts w:eastAsia="Calibri"/>
          <w:lang w:val="es-AR"/>
        </w:rPr>
        <w:t>contestaron afirmativamente</w:t>
      </w:r>
      <w:r w:rsidRPr="000033F2">
        <w:rPr>
          <w:rFonts w:eastAsia="Calibri"/>
          <w:lang w:val="es-AR"/>
        </w:rPr>
        <w:t xml:space="preserve"> a esta </w:t>
      </w:r>
      <w:r w:rsidR="00A40A8C">
        <w:rPr>
          <w:rFonts w:eastAsia="Calibri"/>
          <w:lang w:val="es-AR"/>
        </w:rPr>
        <w:t xml:space="preserve">pregunta </w:t>
      </w:r>
      <w:r w:rsidRPr="000033F2">
        <w:rPr>
          <w:rFonts w:eastAsia="Calibri"/>
          <w:lang w:val="es-AR"/>
        </w:rPr>
        <w:t>proporciona</w:t>
      </w:r>
      <w:r w:rsidR="00A40A8C">
        <w:rPr>
          <w:rFonts w:eastAsia="Calibri"/>
          <w:lang w:val="es-AR"/>
        </w:rPr>
        <w:t xml:space="preserve">ron información </w:t>
      </w:r>
      <w:r w:rsidRPr="000033F2">
        <w:rPr>
          <w:rFonts w:eastAsia="Calibri"/>
          <w:lang w:val="es-AR"/>
        </w:rPr>
        <w:t xml:space="preserve">sobre las leyes </w:t>
      </w:r>
      <w:r w:rsidR="0008032E">
        <w:rPr>
          <w:rFonts w:eastAsia="Calibri"/>
          <w:lang w:val="es-AR"/>
        </w:rPr>
        <w:t>pertinente</w:t>
      </w:r>
      <w:r w:rsidR="00A40A8C">
        <w:rPr>
          <w:rFonts w:eastAsia="Calibri"/>
          <w:lang w:val="es-AR"/>
        </w:rPr>
        <w:t>s</w:t>
      </w:r>
      <w:r w:rsidR="0008032E">
        <w:rPr>
          <w:rFonts w:eastAsia="Calibri"/>
          <w:lang w:val="es-AR"/>
        </w:rPr>
        <w:t xml:space="preserve"> </w:t>
      </w:r>
      <w:r w:rsidRPr="000033F2">
        <w:rPr>
          <w:rFonts w:eastAsia="Calibri"/>
          <w:lang w:val="es-AR"/>
        </w:rPr>
        <w:t>que reconoc</w:t>
      </w:r>
      <w:r w:rsidR="00A40A8C">
        <w:rPr>
          <w:rFonts w:eastAsia="Calibri"/>
          <w:lang w:val="es-AR"/>
        </w:rPr>
        <w:t xml:space="preserve">ían </w:t>
      </w:r>
      <w:r w:rsidRPr="000033F2">
        <w:rPr>
          <w:rFonts w:eastAsia="Calibri"/>
          <w:lang w:val="es-AR"/>
        </w:rPr>
        <w:t>el derecho consuetudinario</w:t>
      </w:r>
      <w:r w:rsidRPr="000033F2">
        <w:rPr>
          <w:rStyle w:val="FootnoteReference"/>
          <w:rFonts w:eastAsia="Calibri"/>
          <w:kern w:val="22"/>
          <w:lang w:val="es-AR"/>
        </w:rPr>
        <w:footnoteReference w:id="33"/>
      </w:r>
      <w:r w:rsidRPr="000033F2">
        <w:rPr>
          <w:rFonts w:eastAsia="Calibri"/>
          <w:lang w:val="es-AR"/>
        </w:rPr>
        <w:t xml:space="preserve"> y algunos también indicaron el reconocimiento de</w:t>
      </w:r>
      <w:r w:rsidRPr="000033F2">
        <w:rPr>
          <w:lang w:val="es-AR"/>
        </w:rPr>
        <w:t xml:space="preserve">l </w:t>
      </w:r>
      <w:r w:rsidRPr="000033F2">
        <w:rPr>
          <w:rFonts w:eastAsia="Calibri"/>
          <w:lang w:val="es-AR"/>
        </w:rPr>
        <w:t xml:space="preserve">derecho consuetudinario en sus </w:t>
      </w:r>
      <w:r w:rsidR="00895863">
        <w:rPr>
          <w:rFonts w:eastAsia="Calibri"/>
          <w:lang w:val="es-AR"/>
        </w:rPr>
        <w:t>medidas sobre acceso y participación en los beneficios</w:t>
      </w:r>
      <w:r w:rsidRPr="000033F2">
        <w:rPr>
          <w:rFonts w:eastAsia="Calibri"/>
          <w:lang w:val="es-AR"/>
        </w:rPr>
        <w:t>.</w:t>
      </w:r>
      <w:r w:rsidRPr="000033F2">
        <w:rPr>
          <w:rStyle w:val="FootnoteReference"/>
          <w:rFonts w:eastAsia="Calibri"/>
          <w:kern w:val="22"/>
          <w:lang w:val="es-AR"/>
        </w:rPr>
        <w:footnoteReference w:id="34"/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Un país</w:t>
      </w:r>
      <w:r w:rsidRPr="000033F2">
        <w:rPr>
          <w:rStyle w:val="FootnoteReference"/>
          <w:rFonts w:eastAsia="Calibri"/>
          <w:kern w:val="22"/>
          <w:lang w:val="es-AR"/>
        </w:rPr>
        <w:footnoteReference w:id="35"/>
      </w:r>
      <w:r w:rsidRPr="000033F2">
        <w:rPr>
          <w:rFonts w:eastAsia="Calibri"/>
          <w:lang w:val="es-AR"/>
        </w:rPr>
        <w:t xml:space="preserve"> proporcionó información </w:t>
      </w:r>
      <w:r w:rsidR="00A40A8C">
        <w:rPr>
          <w:rFonts w:eastAsia="Calibri"/>
          <w:lang w:val="es-AR"/>
        </w:rPr>
        <w:t xml:space="preserve">sobre </w:t>
      </w:r>
      <w:r w:rsidRPr="000033F2">
        <w:rPr>
          <w:rFonts w:eastAsia="Calibri"/>
          <w:lang w:val="es-AR"/>
        </w:rPr>
        <w:t xml:space="preserve">el reconocimiento de </w:t>
      </w:r>
      <w:r w:rsidR="00A40A8C">
        <w:rPr>
          <w:lang w:val="es-AR"/>
        </w:rPr>
        <w:t>los protocolos</w:t>
      </w:r>
      <w:r w:rsidR="00A40A8C">
        <w:rPr>
          <w:rFonts w:eastAsia="Calibri"/>
          <w:lang w:val="es-AR"/>
        </w:rPr>
        <w:t xml:space="preserve"> comunitarios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Varios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36"/>
      </w:r>
      <w:r w:rsidRPr="000033F2">
        <w:rPr>
          <w:rFonts w:eastAsia="Calibri"/>
          <w:lang w:val="es-AR"/>
        </w:rPr>
        <w:t xml:space="preserve"> indicaron que planeaban tratar esta </w:t>
      </w:r>
      <w:r w:rsidR="00A40A8C">
        <w:rPr>
          <w:rFonts w:eastAsia="Calibri"/>
          <w:lang w:val="es-AR"/>
        </w:rPr>
        <w:t>cuestión de</w:t>
      </w:r>
      <w:r w:rsidR="00F32D9F">
        <w:rPr>
          <w:rFonts w:eastAsia="Calibri"/>
          <w:lang w:val="es-AR"/>
        </w:rPr>
        <w:t>l derecho consuetudinario</w:t>
      </w:r>
      <w:r w:rsidRPr="000033F2">
        <w:rPr>
          <w:rFonts w:eastAsia="Calibri"/>
          <w:lang w:val="es-AR"/>
        </w:rPr>
        <w:t xml:space="preserve"> y/o </w:t>
      </w:r>
      <w:r w:rsidR="00A40A8C">
        <w:rPr>
          <w:rFonts w:eastAsia="Calibri"/>
          <w:lang w:val="es-AR"/>
        </w:rPr>
        <w:t>los protocolos comunitarios</w:t>
      </w:r>
      <w:r w:rsidRPr="000033F2">
        <w:rPr>
          <w:rFonts w:eastAsia="Calibri"/>
          <w:lang w:val="es-AR"/>
        </w:rPr>
        <w:t xml:space="preserve"> en el desarrollo o el examen de sus </w:t>
      </w:r>
      <w:r w:rsidR="00895863">
        <w:rPr>
          <w:rFonts w:eastAsia="Calibri"/>
          <w:lang w:val="es-AR"/>
        </w:rPr>
        <w:t>medidas sobre acceso y participación en los beneficios</w:t>
      </w:r>
      <w:r w:rsidRPr="000033F2">
        <w:rPr>
          <w:rFonts w:eastAsia="Calibri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lastRenderedPageBreak/>
        <w:t xml:space="preserve">Entre los países que </w:t>
      </w:r>
      <w:r w:rsidR="009B2BB5">
        <w:rPr>
          <w:rFonts w:eastAsia="Calibri"/>
          <w:lang w:val="es-AR"/>
        </w:rPr>
        <w:t>contestaron negativamente</w:t>
      </w:r>
      <w:r w:rsidRPr="000033F2">
        <w:rPr>
          <w:rFonts w:eastAsia="Calibri"/>
          <w:lang w:val="es-AR"/>
        </w:rPr>
        <w:t xml:space="preserve"> a esta pregunta, diez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37"/>
      </w:r>
      <w:r w:rsidRPr="000033F2">
        <w:rPr>
          <w:rFonts w:eastAsia="Calibri"/>
          <w:lang w:val="es-AR"/>
        </w:rPr>
        <w:t xml:space="preserve"> indicaron que planeaban abordar</w:t>
      </w:r>
      <w:r w:rsidR="00A25185">
        <w:rPr>
          <w:rFonts w:eastAsia="Calibri"/>
          <w:lang w:val="es-AR"/>
        </w:rPr>
        <w:t xml:space="preserve"> la cuestión de</w:t>
      </w:r>
      <w:r w:rsidR="00581EF7">
        <w:rPr>
          <w:rFonts w:eastAsia="Calibri"/>
          <w:lang w:val="es-AR"/>
        </w:rPr>
        <w:t>l</w:t>
      </w:r>
      <w:r w:rsidR="00A25185">
        <w:rPr>
          <w:rFonts w:eastAsia="Calibri"/>
          <w:lang w:val="es-AR"/>
        </w:rPr>
        <w:t xml:space="preserve"> </w:t>
      </w:r>
      <w:r w:rsidR="00F32D9F">
        <w:rPr>
          <w:rFonts w:eastAsia="Calibri"/>
          <w:lang w:val="es-AR"/>
        </w:rPr>
        <w:t>derecho consuetudinario</w:t>
      </w:r>
      <w:r w:rsidRPr="000033F2">
        <w:rPr>
          <w:rFonts w:eastAsia="Calibri"/>
          <w:lang w:val="es-AR"/>
        </w:rPr>
        <w:t xml:space="preserve"> o </w:t>
      </w:r>
      <w:r w:rsidR="00A40A8C">
        <w:rPr>
          <w:rFonts w:eastAsia="Calibri"/>
          <w:lang w:val="es-AR"/>
        </w:rPr>
        <w:t>los protocolos comunitarios</w:t>
      </w:r>
      <w:r w:rsidRPr="000033F2">
        <w:rPr>
          <w:rFonts w:eastAsia="Calibri"/>
          <w:lang w:val="es-AR"/>
        </w:rPr>
        <w:t xml:space="preserve"> en el desarrollo o el examen de sus </w:t>
      </w:r>
      <w:r w:rsidR="00895863">
        <w:rPr>
          <w:rFonts w:eastAsia="Calibri"/>
          <w:lang w:val="es-AR"/>
        </w:rPr>
        <w:t>medidas sobre acceso y participación en los beneficios</w:t>
      </w:r>
      <w:r w:rsidRPr="000033F2">
        <w:rPr>
          <w:rFonts w:eastAsia="Calibri"/>
          <w:lang w:val="es-AR"/>
        </w:rPr>
        <w:t>.</w:t>
      </w:r>
    </w:p>
    <w:p w:rsidR="00FB79CA" w:rsidRPr="000033F2" w:rsidRDefault="00635DA0">
      <w:pPr>
        <w:pStyle w:val="Heading3"/>
        <w:numPr>
          <w:ilvl w:val="1"/>
          <w:numId w:val="11"/>
        </w:numPr>
        <w:jc w:val="left"/>
        <w:rPr>
          <w:rFonts w:eastAsia="Calibri"/>
          <w:snapToGrid w:val="0"/>
          <w:kern w:val="22"/>
          <w:lang w:val="es-AR"/>
        </w:rPr>
      </w:pPr>
      <w:r w:rsidRPr="000033F2">
        <w:rPr>
          <w:rFonts w:eastAsia="Calibri"/>
          <w:snapToGrid w:val="0"/>
          <w:kern w:val="22"/>
          <w:lang w:val="es-AR"/>
        </w:rPr>
        <w:t>¿</w:t>
      </w:r>
      <w:r w:rsidR="00A25185">
        <w:rPr>
          <w:rFonts w:eastAsia="Calibri"/>
          <w:snapToGrid w:val="0"/>
          <w:kern w:val="22"/>
          <w:lang w:val="es-AR"/>
        </w:rPr>
        <w:t>S</w:t>
      </w:r>
      <w:r w:rsidRPr="000033F2">
        <w:rPr>
          <w:rFonts w:eastAsia="Calibri"/>
          <w:snapToGrid w:val="0"/>
          <w:kern w:val="22"/>
          <w:lang w:val="es-AR"/>
        </w:rPr>
        <w:t>u país estableció mecanismos para informar a los usuarios potenciales</w:t>
      </w:r>
      <w:r w:rsidR="00A25185">
        <w:rPr>
          <w:rFonts w:eastAsia="Calibri"/>
          <w:snapToGrid w:val="0"/>
          <w:kern w:val="22"/>
          <w:lang w:val="es-AR"/>
        </w:rPr>
        <w:t xml:space="preserve"> de los</w:t>
      </w:r>
      <w:r w:rsidRPr="000033F2">
        <w:rPr>
          <w:rFonts w:eastAsia="Calibri"/>
          <w:snapToGrid w:val="0"/>
          <w:kern w:val="22"/>
          <w:lang w:val="es-AR"/>
        </w:rPr>
        <w:t xml:space="preserve"> conocimientos tradicionales asociados a los recursos genéticos sobre sus obligaciones</w:t>
      </w:r>
      <w:r w:rsidR="00581EF7">
        <w:rPr>
          <w:rFonts w:eastAsia="Calibri"/>
          <w:snapToGrid w:val="0"/>
          <w:kern w:val="22"/>
          <w:lang w:val="es-AR"/>
        </w:rPr>
        <w:t xml:space="preserve">, como lo estipula </w:t>
      </w:r>
      <w:r w:rsidRPr="000033F2">
        <w:rPr>
          <w:rFonts w:eastAsia="Calibri"/>
          <w:snapToGrid w:val="0"/>
          <w:kern w:val="22"/>
          <w:lang w:val="es-AR"/>
        </w:rPr>
        <w:t xml:space="preserve">el </w:t>
      </w:r>
      <w:r w:rsidR="000033F2">
        <w:rPr>
          <w:rFonts w:eastAsia="Calibri"/>
          <w:snapToGrid w:val="0"/>
          <w:kern w:val="22"/>
          <w:lang w:val="es-AR"/>
        </w:rPr>
        <w:t>Artículo</w:t>
      </w:r>
      <w:r w:rsidRPr="000033F2">
        <w:rPr>
          <w:rFonts w:eastAsia="Calibri"/>
          <w:snapToGrid w:val="0"/>
          <w:kern w:val="22"/>
          <w:lang w:val="es-AR"/>
        </w:rPr>
        <w:t xml:space="preserve"> </w:t>
      </w:r>
      <w:r w:rsidR="00A25185">
        <w:rPr>
          <w:rFonts w:eastAsia="Calibri"/>
          <w:snapToGrid w:val="0"/>
          <w:kern w:val="22"/>
          <w:lang w:val="es-AR"/>
        </w:rPr>
        <w:t>12.2</w:t>
      </w:r>
      <w:r w:rsidRPr="000033F2">
        <w:rPr>
          <w:rFonts w:eastAsia="Calibri"/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snapToGrid w:val="0"/>
          <w:kern w:val="22"/>
          <w:lang w:val="es-AR"/>
        </w:rPr>
        <w:t>(pregunta 41)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Diecinueve Partes y dos </w:t>
      </w:r>
      <w:r w:rsidR="00A27216">
        <w:rPr>
          <w:rFonts w:eastAsia="Calibri"/>
          <w:lang w:val="es-AR"/>
        </w:rPr>
        <w:t xml:space="preserve">estados </w:t>
      </w:r>
      <w:r w:rsidR="003804B6">
        <w:rPr>
          <w:rFonts w:eastAsia="Calibri"/>
          <w:lang w:val="es-AR"/>
        </w:rPr>
        <w:t xml:space="preserve">que no son Partes </w:t>
      </w:r>
      <w:r w:rsidRPr="000033F2">
        <w:rPr>
          <w:rFonts w:eastAsia="Calibri"/>
          <w:lang w:val="es-AR"/>
        </w:rPr>
        <w:t>especificaron que han establecido mecanismos para informar a los usuarios potenciales</w:t>
      </w:r>
      <w:r w:rsidR="00A25185">
        <w:rPr>
          <w:rFonts w:eastAsia="Calibri"/>
          <w:lang w:val="es-AR"/>
        </w:rPr>
        <w:t xml:space="preserve"> de los</w:t>
      </w:r>
      <w:r w:rsidRPr="000033F2">
        <w:rPr>
          <w:rFonts w:eastAsia="Calibri"/>
          <w:lang w:val="es-AR"/>
        </w:rPr>
        <w:t xml:space="preserve"> conocimientos tradicionales asociados a los recursos genéticos sobre sus obligaciones, mientras que veintiocho Partes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</w:t>
      </w:r>
      <w:r w:rsidR="00A25185">
        <w:rPr>
          <w:rFonts w:eastAsia="Calibri"/>
          <w:lang w:val="es-AR"/>
        </w:rPr>
        <w:t xml:space="preserve">que no habían establecido </w:t>
      </w:r>
      <w:r w:rsidRPr="000033F2">
        <w:rPr>
          <w:rFonts w:eastAsia="Calibri"/>
          <w:lang w:val="es-AR"/>
        </w:rPr>
        <w:t>tales mecanismos.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Entre los países que </w:t>
      </w:r>
      <w:r w:rsidR="009B2BB5">
        <w:rPr>
          <w:rFonts w:eastAsia="Calibri"/>
          <w:lang w:val="es-AR"/>
        </w:rPr>
        <w:t>contestaron afirmativamente</w:t>
      </w:r>
      <w:r w:rsidRPr="000033F2">
        <w:rPr>
          <w:rFonts w:eastAsia="Calibri"/>
          <w:lang w:val="es-AR"/>
        </w:rPr>
        <w:t xml:space="preserve"> a esta pregunta, algunos</w:t>
      </w:r>
      <w:r w:rsidRPr="000033F2">
        <w:rPr>
          <w:rStyle w:val="FootnoteReference"/>
          <w:rFonts w:eastAsia="Calibri"/>
          <w:kern w:val="22"/>
          <w:lang w:val="es-AR"/>
        </w:rPr>
        <w:footnoteReference w:id="38"/>
      </w:r>
      <w:r w:rsidRPr="000033F2">
        <w:rPr>
          <w:rFonts w:eastAsia="Calibri"/>
          <w:lang w:val="es-AR"/>
        </w:rPr>
        <w:t xml:space="preserve"> indicaron que planea</w:t>
      </w:r>
      <w:r w:rsidR="00581EF7">
        <w:rPr>
          <w:rFonts w:eastAsia="Calibri"/>
          <w:lang w:val="es-AR"/>
        </w:rPr>
        <w:t xml:space="preserve">ban </w:t>
      </w:r>
      <w:r w:rsidRPr="000033F2">
        <w:rPr>
          <w:rFonts w:eastAsia="Calibri"/>
          <w:lang w:val="es-AR"/>
        </w:rPr>
        <w:t xml:space="preserve">abordar o que ya </w:t>
      </w:r>
      <w:r w:rsidR="00A25185">
        <w:rPr>
          <w:rFonts w:eastAsia="Calibri"/>
          <w:lang w:val="es-AR"/>
        </w:rPr>
        <w:t xml:space="preserve">habían abordado </w:t>
      </w:r>
      <w:r w:rsidRPr="000033F2">
        <w:rPr>
          <w:rFonts w:eastAsia="Calibri"/>
          <w:lang w:val="es-AR"/>
        </w:rPr>
        <w:t xml:space="preserve">esta cuestión en sus </w:t>
      </w:r>
      <w:r w:rsidR="00895863">
        <w:rPr>
          <w:rFonts w:eastAsia="Calibri"/>
          <w:lang w:val="es-AR"/>
        </w:rPr>
        <w:t>medidas sobre acceso y participación en los beneficios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Varios países compartieron detalles </w:t>
      </w:r>
      <w:r w:rsidR="00A25185">
        <w:rPr>
          <w:rFonts w:eastAsia="Calibri"/>
          <w:lang w:val="es-AR"/>
        </w:rPr>
        <w:t xml:space="preserve">sobre </w:t>
      </w:r>
      <w:r w:rsidRPr="000033F2">
        <w:rPr>
          <w:rFonts w:eastAsia="Calibri"/>
          <w:lang w:val="es-AR"/>
        </w:rPr>
        <w:t>actividades efec</w:t>
      </w:r>
      <w:r w:rsidR="00A25185">
        <w:rPr>
          <w:rFonts w:eastAsia="Calibri"/>
          <w:lang w:val="es-AR"/>
        </w:rPr>
        <w:t>t</w:t>
      </w:r>
      <w:r w:rsidRPr="000033F2">
        <w:rPr>
          <w:rFonts w:eastAsia="Calibri"/>
          <w:lang w:val="es-AR"/>
        </w:rPr>
        <w:t xml:space="preserve">uadas para informar a </w:t>
      </w:r>
      <w:r w:rsidR="00A25185">
        <w:rPr>
          <w:rFonts w:eastAsia="Calibri"/>
          <w:lang w:val="es-AR"/>
        </w:rPr>
        <w:t xml:space="preserve">los </w:t>
      </w:r>
      <w:r w:rsidRPr="000033F2">
        <w:rPr>
          <w:rFonts w:eastAsia="Calibri"/>
          <w:lang w:val="es-AR"/>
        </w:rPr>
        <w:t xml:space="preserve">usuarios potenciales sobre sus obligaciones, como </w:t>
      </w:r>
      <w:r w:rsidR="00ED11CE">
        <w:rPr>
          <w:rFonts w:eastAsia="Calibri"/>
          <w:lang w:val="es-AR"/>
        </w:rPr>
        <w:t xml:space="preserve">las </w:t>
      </w:r>
      <w:r w:rsidRPr="000033F2">
        <w:rPr>
          <w:rFonts w:eastAsia="Calibri"/>
          <w:lang w:val="es-AR"/>
        </w:rPr>
        <w:t>acti</w:t>
      </w:r>
      <w:r w:rsidR="00A25185">
        <w:rPr>
          <w:rFonts w:eastAsia="Calibri"/>
          <w:lang w:val="es-AR"/>
        </w:rPr>
        <w:t>vidades de concientización</w:t>
      </w:r>
      <w:r w:rsidRPr="000033F2">
        <w:rPr>
          <w:rStyle w:val="FootnoteReference"/>
          <w:rFonts w:eastAsia="Calibri"/>
          <w:kern w:val="22"/>
          <w:lang w:val="es-AR"/>
        </w:rPr>
        <w:footnoteReference w:id="39"/>
      </w:r>
      <w:r w:rsidRPr="000033F2">
        <w:rPr>
          <w:rFonts w:eastAsia="Calibri"/>
          <w:lang w:val="es-AR"/>
        </w:rPr>
        <w:t xml:space="preserve"> o el desarrollo y </w:t>
      </w:r>
      <w:r w:rsidR="007425C5">
        <w:rPr>
          <w:rFonts w:eastAsia="Calibri"/>
          <w:lang w:val="es-AR"/>
        </w:rPr>
        <w:t>la aplicación</w:t>
      </w:r>
      <w:r w:rsidRPr="000033F2">
        <w:rPr>
          <w:rFonts w:eastAsia="Calibri"/>
          <w:lang w:val="es-AR"/>
        </w:rPr>
        <w:t xml:space="preserve"> de </w:t>
      </w:r>
      <w:r w:rsidRPr="000033F2">
        <w:rPr>
          <w:lang w:val="es-AR"/>
        </w:rPr>
        <w:t xml:space="preserve">un </w:t>
      </w:r>
      <w:r w:rsidR="00A25185">
        <w:rPr>
          <w:rFonts w:eastAsia="Calibri"/>
          <w:lang w:val="es-AR"/>
        </w:rPr>
        <w:t>plan de comunicación</w:t>
      </w:r>
      <w:r w:rsidRPr="000033F2">
        <w:rPr>
          <w:rFonts w:eastAsia="Calibri"/>
          <w:lang w:val="es-AR"/>
        </w:rPr>
        <w:t>.</w:t>
      </w:r>
      <w:r w:rsidRPr="000033F2">
        <w:rPr>
          <w:rStyle w:val="FootnoteReference"/>
          <w:rFonts w:eastAsia="Calibri"/>
          <w:kern w:val="22"/>
          <w:lang w:val="es-AR"/>
        </w:rPr>
        <w:footnoteReference w:id="40"/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Otros países indicaron </w:t>
      </w:r>
      <w:r w:rsidR="00A25185">
        <w:rPr>
          <w:rFonts w:eastAsia="Calibri"/>
          <w:lang w:val="es-AR"/>
        </w:rPr>
        <w:t xml:space="preserve">que utilizaban el </w:t>
      </w:r>
      <w:r w:rsidR="00ED11CE">
        <w:rPr>
          <w:rFonts w:eastAsia="Calibri"/>
          <w:lang w:val="es-AR"/>
        </w:rPr>
        <w:t>Centro de intercambio de información</w:t>
      </w:r>
      <w:r w:rsidR="001B1B97">
        <w:rPr>
          <w:rFonts w:eastAsia="Calibri"/>
          <w:lang w:val="es-AR"/>
        </w:rPr>
        <w:t xml:space="preserve"> sobre acceso y participación en los beneficios</w:t>
      </w:r>
      <w:r w:rsidRPr="000033F2">
        <w:rPr>
          <w:rFonts w:eastAsia="Calibri"/>
          <w:lang w:val="es-AR"/>
        </w:rPr>
        <w:t>,</w:t>
      </w:r>
      <w:r w:rsidRPr="000033F2">
        <w:rPr>
          <w:rStyle w:val="FootnoteReference"/>
          <w:rFonts w:eastAsia="Calibri"/>
          <w:kern w:val="22"/>
          <w:lang w:val="es-AR"/>
        </w:rPr>
        <w:footnoteReference w:id="41"/>
      </w:r>
      <w:r w:rsidRPr="000033F2">
        <w:rPr>
          <w:rFonts w:eastAsia="Calibri"/>
          <w:lang w:val="es-AR"/>
        </w:rPr>
        <w:t xml:space="preserve"> los sitios web,</w:t>
      </w:r>
      <w:r w:rsidRPr="000033F2">
        <w:rPr>
          <w:rStyle w:val="FootnoteReference"/>
          <w:rFonts w:eastAsia="Calibri"/>
          <w:kern w:val="22"/>
          <w:lang w:val="es-AR"/>
        </w:rPr>
        <w:footnoteReference w:id="42"/>
      </w:r>
      <w:r w:rsidRPr="000033F2">
        <w:rPr>
          <w:rFonts w:eastAsia="Calibri"/>
          <w:lang w:val="es-AR"/>
        </w:rPr>
        <w:t xml:space="preserve"> o </w:t>
      </w:r>
      <w:r w:rsidR="00A25185">
        <w:rPr>
          <w:rFonts w:eastAsia="Calibri"/>
          <w:lang w:val="es-AR"/>
        </w:rPr>
        <w:t xml:space="preserve">el </w:t>
      </w:r>
      <w:r w:rsidR="00ED11CE">
        <w:rPr>
          <w:rFonts w:eastAsia="Calibri"/>
          <w:lang w:val="es-AR"/>
        </w:rPr>
        <w:t>Centro de intercambio de información nacional</w:t>
      </w:r>
      <w:r w:rsidRPr="000033F2">
        <w:rPr>
          <w:rStyle w:val="FootnoteReference"/>
          <w:rFonts w:eastAsia="Calibri"/>
          <w:kern w:val="22"/>
          <w:lang w:val="es-AR"/>
        </w:rPr>
        <w:footnoteReference w:id="43"/>
      </w:r>
      <w:r w:rsidRPr="000033F2">
        <w:rPr>
          <w:rFonts w:eastAsia="Calibri"/>
          <w:lang w:val="es-AR"/>
        </w:rPr>
        <w:t xml:space="preserve"> para informar a usuarios </w:t>
      </w:r>
      <w:r w:rsidR="00A25185">
        <w:rPr>
          <w:rFonts w:eastAsia="Calibri"/>
          <w:lang w:val="es-AR"/>
        </w:rPr>
        <w:t xml:space="preserve">de los </w:t>
      </w:r>
      <w:r w:rsidRPr="000033F2">
        <w:rPr>
          <w:rFonts w:eastAsia="Calibri"/>
          <w:lang w:val="es-AR"/>
        </w:rPr>
        <w:t>conocimientos tradicionales asociados sobre sus obligaciones.</w:t>
      </w:r>
      <w:r w:rsidRPr="000033F2">
        <w:rPr>
          <w:lang w:val="es-AR"/>
        </w:rPr>
        <w:t xml:space="preserve"> 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Entre los países que </w:t>
      </w:r>
      <w:r w:rsidR="009B2BB5">
        <w:rPr>
          <w:rFonts w:eastAsia="Calibri"/>
          <w:lang w:val="es-AR"/>
        </w:rPr>
        <w:t>contestaron negativamente</w:t>
      </w:r>
      <w:r w:rsidRPr="000033F2">
        <w:rPr>
          <w:rFonts w:eastAsia="Calibri"/>
          <w:lang w:val="es-AR"/>
        </w:rPr>
        <w:t xml:space="preserve"> a esta pregunta, </w:t>
      </w:r>
      <w:r w:rsidR="00A25185">
        <w:rPr>
          <w:rFonts w:eastAsia="Calibri"/>
          <w:lang w:val="es-AR"/>
        </w:rPr>
        <w:t>varios</w:t>
      </w:r>
      <w:r w:rsidRPr="000033F2">
        <w:rPr>
          <w:rStyle w:val="FootnoteReference"/>
          <w:rFonts w:eastAsia="Calibri"/>
          <w:kern w:val="22"/>
          <w:lang w:val="es-AR"/>
        </w:rPr>
        <w:footnoteReference w:id="44"/>
      </w:r>
      <w:r w:rsidRPr="000033F2">
        <w:rPr>
          <w:rFonts w:eastAsia="Calibri"/>
          <w:lang w:val="es-AR"/>
        </w:rPr>
        <w:t xml:space="preserve"> indic</w:t>
      </w:r>
      <w:r w:rsidR="00A25185">
        <w:rPr>
          <w:rFonts w:eastAsia="Calibri"/>
          <w:lang w:val="es-AR"/>
        </w:rPr>
        <w:t>aron</w:t>
      </w:r>
      <w:r w:rsidRPr="000033F2">
        <w:rPr>
          <w:rFonts w:eastAsia="Calibri"/>
          <w:lang w:val="es-AR"/>
        </w:rPr>
        <w:t xml:space="preserve"> que planeaban abordar </w:t>
      </w:r>
      <w:r w:rsidR="00ED11CE">
        <w:rPr>
          <w:rFonts w:eastAsia="Calibri"/>
          <w:lang w:val="es-AR"/>
        </w:rPr>
        <w:t>la</w:t>
      </w:r>
      <w:r w:rsidRPr="000033F2">
        <w:rPr>
          <w:rFonts w:eastAsia="Calibri"/>
          <w:lang w:val="es-AR"/>
        </w:rPr>
        <w:t xml:space="preserve"> cuestión.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Sin embargo, dos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45"/>
      </w:r>
      <w:r w:rsidRPr="000033F2">
        <w:rPr>
          <w:rFonts w:eastAsia="Calibri"/>
          <w:lang w:val="es-AR"/>
        </w:rPr>
        <w:t xml:space="preserve">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 xml:space="preserve">aron que </w:t>
      </w:r>
      <w:r w:rsidR="00A25185">
        <w:rPr>
          <w:rFonts w:eastAsia="Calibri"/>
          <w:lang w:val="es-AR"/>
        </w:rPr>
        <w:t xml:space="preserve">habían realizado </w:t>
      </w:r>
      <w:r w:rsidRPr="000033F2">
        <w:rPr>
          <w:rFonts w:eastAsia="Calibri"/>
          <w:lang w:val="es-AR"/>
        </w:rPr>
        <w:t>acti</w:t>
      </w:r>
      <w:r w:rsidR="00A25185">
        <w:rPr>
          <w:rFonts w:eastAsia="Calibri"/>
          <w:lang w:val="es-AR"/>
        </w:rPr>
        <w:t>vidades de concientización</w:t>
      </w:r>
      <w:r w:rsidRPr="000033F2">
        <w:rPr>
          <w:rFonts w:eastAsia="Calibri"/>
          <w:lang w:val="es-AR"/>
        </w:rPr>
        <w:t xml:space="preserve"> y dos países comparti</w:t>
      </w:r>
      <w:r w:rsidR="00A25185">
        <w:rPr>
          <w:rFonts w:eastAsia="Calibri"/>
          <w:lang w:val="es-AR"/>
        </w:rPr>
        <w:t>eron</w:t>
      </w:r>
      <w:r w:rsidRPr="000033F2">
        <w:rPr>
          <w:rFonts w:eastAsia="Calibri"/>
          <w:lang w:val="es-AR"/>
        </w:rPr>
        <w:t xml:space="preserve"> sus planes para desarrollar </w:t>
      </w:r>
      <w:r w:rsidR="00A25185">
        <w:rPr>
          <w:rFonts w:eastAsia="Calibri"/>
          <w:lang w:val="es-AR"/>
        </w:rPr>
        <w:t xml:space="preserve">un </w:t>
      </w:r>
      <w:r w:rsidR="00ED11CE">
        <w:rPr>
          <w:rFonts w:eastAsia="Calibri"/>
          <w:lang w:val="es-AR"/>
        </w:rPr>
        <w:t>Centro de intercambio de información nacional</w:t>
      </w:r>
      <w:r w:rsidRPr="000033F2">
        <w:rPr>
          <w:rFonts w:eastAsia="Calibri"/>
          <w:lang w:val="es-AR"/>
        </w:rPr>
        <w:t xml:space="preserve"> </w:t>
      </w:r>
      <w:r w:rsidR="00ED11CE">
        <w:rPr>
          <w:rFonts w:eastAsia="Calibri"/>
          <w:lang w:val="es-AR"/>
        </w:rPr>
        <w:t xml:space="preserve">sobre </w:t>
      </w:r>
      <w:r w:rsidRPr="000033F2">
        <w:rPr>
          <w:rFonts w:eastAsia="Calibri"/>
          <w:lang w:val="es-AR"/>
        </w:rPr>
        <w:t xml:space="preserve">acceso y participación en los beneficios u otros tipos de </w:t>
      </w:r>
      <w:r w:rsidR="00A25185">
        <w:rPr>
          <w:rFonts w:eastAsia="Calibri"/>
          <w:lang w:val="es-AR"/>
        </w:rPr>
        <w:t>plataformas de información</w:t>
      </w:r>
      <w:r w:rsidRPr="000033F2">
        <w:rPr>
          <w:rFonts w:eastAsia="Calibri"/>
          <w:lang w:val="es-AR"/>
        </w:rPr>
        <w:t>.</w:t>
      </w:r>
      <w:r w:rsidRPr="000033F2">
        <w:rPr>
          <w:rStyle w:val="FootnoteReference"/>
          <w:rFonts w:eastAsia="Calibri"/>
          <w:kern w:val="22"/>
          <w:lang w:val="es-AR"/>
        </w:rPr>
        <w:footnoteReference w:id="46"/>
      </w:r>
      <w:r w:rsidR="00ED11CE">
        <w:rPr>
          <w:rFonts w:eastAsia="Calibri"/>
          <w:lang w:val="es-AR"/>
        </w:rPr>
        <w:t xml:space="preserve"> </w:t>
      </w:r>
    </w:p>
    <w:p w:rsidR="00FB79CA" w:rsidRPr="000033F2" w:rsidRDefault="00635DA0">
      <w:pPr>
        <w:pStyle w:val="Heading3"/>
        <w:numPr>
          <w:ilvl w:val="1"/>
          <w:numId w:val="11"/>
        </w:numPr>
        <w:jc w:val="left"/>
        <w:rPr>
          <w:rFonts w:eastAsia="Calibri"/>
          <w:snapToGrid w:val="0"/>
          <w:kern w:val="22"/>
          <w:lang w:val="es-AR"/>
        </w:rPr>
      </w:pPr>
      <w:r w:rsidRPr="000033F2">
        <w:rPr>
          <w:rFonts w:eastAsia="Calibri"/>
          <w:snapToGrid w:val="0"/>
          <w:kern w:val="22"/>
          <w:lang w:val="es-AR"/>
        </w:rPr>
        <w:t xml:space="preserve">¿Su país apoya el desarrollo </w:t>
      </w:r>
      <w:r w:rsidR="00ED11CE" w:rsidRPr="000033F2">
        <w:rPr>
          <w:rFonts w:eastAsia="Calibri"/>
          <w:snapToGrid w:val="0"/>
          <w:kern w:val="22"/>
          <w:lang w:val="es-AR"/>
        </w:rPr>
        <w:t>de</w:t>
      </w:r>
      <w:r w:rsidR="00ED11CE">
        <w:rPr>
          <w:rFonts w:eastAsia="Calibri"/>
          <w:snapToGrid w:val="0"/>
          <w:kern w:val="22"/>
          <w:lang w:val="es-AR"/>
        </w:rPr>
        <w:t xml:space="preserve"> protocolos comunitarios</w:t>
      </w:r>
      <w:r w:rsidR="00ED11CE" w:rsidRPr="000033F2">
        <w:rPr>
          <w:rFonts w:eastAsia="Calibri"/>
          <w:snapToGrid w:val="0"/>
          <w:kern w:val="22"/>
          <w:lang w:val="es-AR"/>
        </w:rPr>
        <w:t xml:space="preserve"> </w:t>
      </w:r>
      <w:r w:rsidRPr="000033F2">
        <w:rPr>
          <w:rFonts w:eastAsia="Calibri"/>
          <w:snapToGrid w:val="0"/>
          <w:kern w:val="22"/>
          <w:lang w:val="es-AR"/>
        </w:rPr>
        <w:t xml:space="preserve">por </w:t>
      </w:r>
      <w:r w:rsidR="009B2BB5">
        <w:rPr>
          <w:rFonts w:eastAsia="Calibri"/>
          <w:snapToGrid w:val="0"/>
          <w:kern w:val="22"/>
          <w:lang w:val="es-AR"/>
        </w:rPr>
        <w:t>comunidades indígenas y locales</w:t>
      </w:r>
      <w:r w:rsidRPr="000033F2">
        <w:rPr>
          <w:rFonts w:eastAsia="Calibri"/>
          <w:snapToGrid w:val="0"/>
          <w:kern w:val="22"/>
          <w:lang w:val="es-AR"/>
        </w:rPr>
        <w:t xml:space="preserve">, </w:t>
      </w:r>
      <w:r w:rsidR="00ED11CE">
        <w:rPr>
          <w:rFonts w:eastAsia="Calibri"/>
          <w:snapToGrid w:val="0"/>
          <w:kern w:val="22"/>
          <w:lang w:val="es-AR"/>
        </w:rPr>
        <w:t xml:space="preserve">los </w:t>
      </w:r>
      <w:r w:rsidRPr="000033F2">
        <w:rPr>
          <w:rFonts w:eastAsia="Calibri"/>
          <w:snapToGrid w:val="0"/>
          <w:kern w:val="22"/>
          <w:lang w:val="es-AR"/>
        </w:rPr>
        <w:t xml:space="preserve">requisitos mínimos para las condiciones mutuamente acordadas y cláusulas contractuales </w:t>
      </w:r>
      <w:r w:rsidR="00AA257C">
        <w:rPr>
          <w:rFonts w:eastAsia="Calibri"/>
          <w:snapToGrid w:val="0"/>
          <w:kern w:val="22"/>
          <w:lang w:val="es-AR"/>
        </w:rPr>
        <w:t>ejemplares</w:t>
      </w:r>
      <w:r w:rsidR="00ED11CE">
        <w:rPr>
          <w:rFonts w:eastAsia="Calibri"/>
          <w:snapToGrid w:val="0"/>
          <w:kern w:val="22"/>
          <w:lang w:val="es-AR"/>
        </w:rPr>
        <w:t xml:space="preserve">, como lo estipula </w:t>
      </w:r>
      <w:r w:rsidRPr="000033F2">
        <w:rPr>
          <w:rFonts w:eastAsia="Calibri"/>
          <w:snapToGrid w:val="0"/>
          <w:kern w:val="22"/>
          <w:lang w:val="es-AR"/>
        </w:rPr>
        <w:t xml:space="preserve">el </w:t>
      </w:r>
      <w:r w:rsidR="000033F2">
        <w:rPr>
          <w:rFonts w:eastAsia="Calibri"/>
          <w:snapToGrid w:val="0"/>
          <w:kern w:val="22"/>
          <w:lang w:val="es-AR"/>
        </w:rPr>
        <w:t>Artículo</w:t>
      </w:r>
      <w:r w:rsidRPr="000033F2">
        <w:rPr>
          <w:rFonts w:eastAsia="Calibri"/>
          <w:snapToGrid w:val="0"/>
          <w:kern w:val="22"/>
          <w:lang w:val="es-AR"/>
        </w:rPr>
        <w:t xml:space="preserve"> </w:t>
      </w:r>
      <w:r w:rsidR="00AA257C">
        <w:rPr>
          <w:rFonts w:eastAsia="Calibri"/>
          <w:snapToGrid w:val="0"/>
          <w:kern w:val="22"/>
          <w:lang w:val="es-AR"/>
        </w:rPr>
        <w:t>12.3</w:t>
      </w:r>
      <w:r w:rsidRPr="000033F2">
        <w:rPr>
          <w:rFonts w:eastAsia="Calibri"/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snapToGrid w:val="0"/>
          <w:kern w:val="22"/>
          <w:lang w:val="es-AR"/>
        </w:rPr>
        <w:t>(pregunta 42)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Treinta Partes y </w:t>
      </w:r>
      <w:r w:rsidR="00A40A8C">
        <w:rPr>
          <w:rFonts w:eastAsia="Calibri"/>
          <w:lang w:val="es-AR"/>
        </w:rPr>
        <w:t>un estado que no es Parte</w:t>
      </w:r>
      <w:r w:rsidRPr="000033F2">
        <w:rPr>
          <w:rFonts w:eastAsia="Calibri"/>
          <w:lang w:val="es-AR"/>
        </w:rPr>
        <w:t xml:space="preserve"> respondieron que apoyaban el desarrollo de </w:t>
      </w:r>
      <w:r w:rsidR="00A40A8C">
        <w:rPr>
          <w:rFonts w:eastAsia="Calibri"/>
          <w:lang w:val="es-AR"/>
        </w:rPr>
        <w:t>protocolos comunitarios</w:t>
      </w:r>
      <w:r w:rsidRPr="000033F2">
        <w:rPr>
          <w:rFonts w:eastAsia="Calibri"/>
          <w:lang w:val="es-AR"/>
        </w:rPr>
        <w:t>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27 Partes y </w:t>
      </w:r>
      <w:r w:rsidR="00A40A8C">
        <w:rPr>
          <w:rFonts w:eastAsia="Calibri"/>
          <w:lang w:val="es-AR"/>
        </w:rPr>
        <w:t>un estado que no es Parte</w:t>
      </w:r>
      <w:r w:rsidRPr="000033F2">
        <w:rPr>
          <w:rFonts w:eastAsia="Calibri"/>
          <w:lang w:val="es-AR"/>
        </w:rPr>
        <w:t xml:space="preserve"> indicaron que apoyan el desarrollo de requisitos mínimos para condiciones mutuamente acordadas;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y 22 Partes y </w:t>
      </w:r>
      <w:r w:rsidR="00ED11CE">
        <w:rPr>
          <w:rFonts w:eastAsia="Calibri"/>
          <w:lang w:val="es-AR"/>
        </w:rPr>
        <w:t>un</w:t>
      </w:r>
      <w:r w:rsidRPr="000033F2">
        <w:rPr>
          <w:rFonts w:eastAsia="Calibri"/>
          <w:lang w:val="es-AR"/>
        </w:rPr>
        <w:t xml:space="preserve"> </w:t>
      </w:r>
      <w:r w:rsidR="00AA257C">
        <w:rPr>
          <w:rFonts w:eastAsia="Calibri"/>
          <w:lang w:val="es-AR"/>
        </w:rPr>
        <w:t>estado que no es Parte</w:t>
      </w:r>
      <w:r w:rsidRPr="000033F2">
        <w:rPr>
          <w:rFonts w:eastAsia="Calibri"/>
          <w:lang w:val="es-AR"/>
        </w:rPr>
        <w:t xml:space="preserve"> apoyan el desarrollo de cláusulas contractuales </w:t>
      </w:r>
      <w:r w:rsidR="00AA257C">
        <w:rPr>
          <w:rFonts w:eastAsia="Calibri"/>
          <w:lang w:val="es-AR"/>
        </w:rPr>
        <w:t>ejemplares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</w:p>
    <w:p w:rsidR="00FB79CA" w:rsidRPr="000033F2" w:rsidRDefault="00ED11CE">
      <w:pPr>
        <w:pStyle w:val="Heading3"/>
        <w:numPr>
          <w:ilvl w:val="0"/>
          <w:numId w:val="11"/>
        </w:numPr>
        <w:tabs>
          <w:tab w:val="clear" w:pos="567"/>
        </w:tabs>
        <w:ind w:left="0" w:firstLine="0"/>
        <w:rPr>
          <w:rFonts w:eastAsia="Calibri"/>
          <w:snapToGrid w:val="0"/>
          <w:kern w:val="22"/>
          <w:lang w:val="es-AR"/>
        </w:rPr>
      </w:pPr>
      <w:r>
        <w:rPr>
          <w:snapToGrid w:val="0"/>
          <w:kern w:val="22"/>
          <w:lang w:val="es-AR"/>
        </w:rPr>
        <w:t>I</w:t>
      </w:r>
      <w:r w:rsidR="009B2BB5">
        <w:rPr>
          <w:snapToGrid w:val="0"/>
          <w:kern w:val="22"/>
          <w:lang w:val="es-AR"/>
        </w:rPr>
        <w:t>nformación</w:t>
      </w:r>
      <w:r>
        <w:rPr>
          <w:snapToGrid w:val="0"/>
          <w:kern w:val="22"/>
          <w:lang w:val="es-AR"/>
        </w:rPr>
        <w:t xml:space="preserve"> adicional</w:t>
      </w:r>
      <w:r w:rsidR="00635DA0" w:rsidRPr="000033F2">
        <w:rPr>
          <w:snapToGrid w:val="0"/>
          <w:kern w:val="22"/>
          <w:lang w:val="es-AR"/>
        </w:rPr>
        <w:t>:</w:t>
      </w:r>
      <w:r w:rsidR="00635DA0" w:rsidRPr="000033F2">
        <w:rPr>
          <w:lang w:val="es-AR"/>
        </w:rPr>
        <w:t xml:space="preserve"> </w:t>
      </w:r>
      <w:r w:rsidR="00635DA0" w:rsidRPr="000033F2">
        <w:rPr>
          <w:snapToGrid w:val="0"/>
          <w:kern w:val="22"/>
          <w:lang w:val="es-AR"/>
        </w:rPr>
        <w:t xml:space="preserve">resumen de </w:t>
      </w:r>
      <w:r w:rsidR="00635DA0" w:rsidRPr="000033F2">
        <w:rPr>
          <w:lang w:val="es-AR"/>
        </w:rPr>
        <w:t xml:space="preserve">las </w:t>
      </w:r>
      <w:r w:rsidR="00AA257C">
        <w:rPr>
          <w:snapToGrid w:val="0"/>
          <w:kern w:val="22"/>
          <w:lang w:val="es-AR"/>
        </w:rPr>
        <w:t>principales dificultades y desafíos</w:t>
      </w:r>
      <w:r w:rsidR="00635DA0" w:rsidRPr="000033F2">
        <w:rPr>
          <w:snapToGrid w:val="0"/>
          <w:kern w:val="22"/>
          <w:lang w:val="es-AR"/>
        </w:rPr>
        <w:t xml:space="preserve"> </w:t>
      </w:r>
      <w:r w:rsidR="00635DA0" w:rsidRPr="000033F2">
        <w:rPr>
          <w:rFonts w:eastAsia="Calibri"/>
          <w:snapToGrid w:val="0"/>
          <w:kern w:val="22"/>
          <w:lang w:val="es-AR"/>
        </w:rPr>
        <w:t>(pregunta 44)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Se invitó a los países </w:t>
      </w:r>
      <w:r w:rsidR="00AA257C">
        <w:rPr>
          <w:rFonts w:eastAsia="Calibri"/>
          <w:lang w:val="es-AR"/>
        </w:rPr>
        <w:t xml:space="preserve">a </w:t>
      </w:r>
      <w:r w:rsidR="00ED11CE">
        <w:rPr>
          <w:rFonts w:eastAsia="Calibri"/>
          <w:lang w:val="es-AR"/>
        </w:rPr>
        <w:t xml:space="preserve">hacer </w:t>
      </w:r>
      <w:r w:rsidRPr="000033F2">
        <w:rPr>
          <w:rFonts w:eastAsia="Calibri"/>
          <w:lang w:val="es-AR"/>
        </w:rPr>
        <w:t xml:space="preserve">un resumen de las </w:t>
      </w:r>
      <w:r w:rsidR="00ED11CE" w:rsidRPr="000033F2">
        <w:rPr>
          <w:rFonts w:eastAsia="Calibri"/>
          <w:lang w:val="es-AR"/>
        </w:rPr>
        <w:t xml:space="preserve">principales </w:t>
      </w:r>
      <w:r w:rsidRPr="000033F2">
        <w:rPr>
          <w:rFonts w:eastAsia="Calibri"/>
          <w:lang w:val="es-AR"/>
        </w:rPr>
        <w:t xml:space="preserve">dificultades y </w:t>
      </w:r>
      <w:r w:rsidR="00AA257C">
        <w:rPr>
          <w:rFonts w:eastAsia="Calibri"/>
          <w:lang w:val="es-AR"/>
        </w:rPr>
        <w:t>desafíos</w:t>
      </w:r>
      <w:r w:rsidRPr="000033F2">
        <w:rPr>
          <w:rFonts w:eastAsia="Calibri"/>
          <w:lang w:val="es-AR"/>
        </w:rPr>
        <w:t xml:space="preserve"> para establecer medidas en relación con los conocimientos tradicionales asociados a los recursos genéticos.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Varios países indicaron que </w:t>
      </w:r>
      <w:r w:rsidR="00AA257C">
        <w:rPr>
          <w:rFonts w:eastAsia="Calibri"/>
          <w:lang w:val="es-AR"/>
        </w:rPr>
        <w:t xml:space="preserve">era necesario </w:t>
      </w:r>
      <w:r w:rsidRPr="000033F2">
        <w:rPr>
          <w:rFonts w:eastAsia="Calibri"/>
          <w:lang w:val="es-AR"/>
        </w:rPr>
        <w:t xml:space="preserve">aumentar la </w:t>
      </w:r>
      <w:r w:rsidR="00066EC9">
        <w:rPr>
          <w:rFonts w:eastAsia="Calibri"/>
          <w:lang w:val="es-AR"/>
        </w:rPr>
        <w:t>concientización</w:t>
      </w:r>
      <w:r w:rsidRPr="000033F2">
        <w:rPr>
          <w:rFonts w:eastAsia="Calibri"/>
          <w:lang w:val="es-AR"/>
        </w:rPr>
        <w:t xml:space="preserve"> y la capacidad de los </w:t>
      </w:r>
      <w:r w:rsidR="00AA257C">
        <w:rPr>
          <w:rFonts w:eastAsia="Calibri"/>
          <w:lang w:val="es-AR"/>
        </w:rPr>
        <w:t xml:space="preserve">poseedores de </w:t>
      </w:r>
      <w:r w:rsidRPr="000033F2">
        <w:rPr>
          <w:rFonts w:eastAsia="Calibri"/>
          <w:lang w:val="es-AR"/>
        </w:rPr>
        <w:t xml:space="preserve">los </w:t>
      </w:r>
      <w:r w:rsidRPr="000033F2">
        <w:rPr>
          <w:rFonts w:eastAsia="Calibri"/>
          <w:lang w:val="es-AR"/>
        </w:rPr>
        <w:lastRenderedPageBreak/>
        <w:t xml:space="preserve">conocimientos tradicionales, y </w:t>
      </w:r>
      <w:r w:rsidR="00AA257C">
        <w:rPr>
          <w:rFonts w:eastAsia="Calibri"/>
          <w:lang w:val="es-AR"/>
        </w:rPr>
        <w:t xml:space="preserve">se observó </w:t>
      </w:r>
      <w:r w:rsidRPr="000033F2">
        <w:rPr>
          <w:rFonts w:eastAsia="Calibri"/>
          <w:lang w:val="es-AR"/>
        </w:rPr>
        <w:t xml:space="preserve">que la falta de herramientas apropiadas y el acceso limitado a la información </w:t>
      </w:r>
      <w:r w:rsidR="00ED11CE">
        <w:rPr>
          <w:rFonts w:eastAsia="Calibri"/>
          <w:lang w:val="es-AR"/>
        </w:rPr>
        <w:t xml:space="preserve">constituían </w:t>
      </w:r>
      <w:r w:rsidRPr="000033F2">
        <w:rPr>
          <w:rFonts w:eastAsia="Calibri"/>
          <w:lang w:val="es-AR"/>
        </w:rPr>
        <w:t>un</w:t>
      </w:r>
      <w:r w:rsidR="00AA257C">
        <w:rPr>
          <w:rFonts w:eastAsia="Calibri"/>
          <w:lang w:val="es-AR"/>
        </w:rPr>
        <w:t>a</w:t>
      </w:r>
      <w:r w:rsidRPr="000033F2">
        <w:rPr>
          <w:rFonts w:eastAsia="Calibri"/>
          <w:lang w:val="es-AR"/>
        </w:rPr>
        <w:t xml:space="preserve"> dificultad </w:t>
      </w:r>
      <w:r w:rsidR="00AA257C">
        <w:rPr>
          <w:rFonts w:eastAsia="Calibri"/>
          <w:lang w:val="es-AR"/>
        </w:rPr>
        <w:t>agregada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Algunos países </w:t>
      </w:r>
      <w:r w:rsidR="00110BFC">
        <w:rPr>
          <w:rFonts w:eastAsia="Calibri"/>
          <w:lang w:val="es-AR"/>
        </w:rPr>
        <w:t>inform</w:t>
      </w:r>
      <w:r w:rsidRPr="000033F2">
        <w:rPr>
          <w:rFonts w:eastAsia="Calibri"/>
          <w:lang w:val="es-AR"/>
        </w:rPr>
        <w:t>aron</w:t>
      </w:r>
      <w:r w:rsidR="00E60979">
        <w:rPr>
          <w:rFonts w:eastAsia="Calibri"/>
          <w:lang w:val="es-AR"/>
        </w:rPr>
        <w:t xml:space="preserve"> tener</w:t>
      </w:r>
      <w:r w:rsidRPr="000033F2">
        <w:rPr>
          <w:rFonts w:eastAsia="Calibri"/>
          <w:lang w:val="es-AR"/>
        </w:rPr>
        <w:t xml:space="preserve"> dificultades en identifica</w:t>
      </w:r>
      <w:r w:rsidR="00E60979">
        <w:rPr>
          <w:rFonts w:eastAsia="Calibri"/>
          <w:lang w:val="es-AR"/>
        </w:rPr>
        <w:t xml:space="preserve">r </w:t>
      </w:r>
      <w:r w:rsidRPr="000033F2">
        <w:rPr>
          <w:rFonts w:eastAsia="Calibri"/>
          <w:lang w:val="es-AR"/>
        </w:rPr>
        <w:t xml:space="preserve">los diversos grupos de </w:t>
      </w:r>
      <w:r w:rsidR="001F715B">
        <w:rPr>
          <w:rFonts w:eastAsia="Calibri"/>
          <w:lang w:val="es-AR"/>
        </w:rPr>
        <w:t>pueblos indígenas y comunidades locales</w:t>
      </w:r>
      <w:r w:rsidRPr="000033F2">
        <w:rPr>
          <w:rFonts w:eastAsia="Calibri"/>
          <w:lang w:val="es-AR"/>
        </w:rPr>
        <w:t xml:space="preserve">, </w:t>
      </w:r>
      <w:r w:rsidR="00E60979">
        <w:rPr>
          <w:rFonts w:eastAsia="Calibri"/>
          <w:lang w:val="es-AR"/>
        </w:rPr>
        <w:t xml:space="preserve">comprender </w:t>
      </w:r>
      <w:r w:rsidRPr="000033F2">
        <w:rPr>
          <w:rFonts w:eastAsia="Calibri"/>
          <w:lang w:val="es-AR"/>
        </w:rPr>
        <w:t xml:space="preserve">la manera </w:t>
      </w:r>
      <w:r w:rsidR="00AA257C">
        <w:rPr>
          <w:rFonts w:eastAsia="Calibri"/>
          <w:lang w:val="es-AR"/>
        </w:rPr>
        <w:t xml:space="preserve">en </w:t>
      </w:r>
      <w:r w:rsidRPr="000033F2">
        <w:rPr>
          <w:rFonts w:eastAsia="Calibri"/>
          <w:lang w:val="es-AR"/>
        </w:rPr>
        <w:t xml:space="preserve">que se organizan y poder </w:t>
      </w:r>
      <w:r w:rsidR="00E60979">
        <w:rPr>
          <w:rFonts w:eastAsia="Calibri"/>
          <w:lang w:val="es-AR"/>
        </w:rPr>
        <w:t xml:space="preserve">vincular </w:t>
      </w:r>
      <w:r w:rsidR="00AA257C">
        <w:rPr>
          <w:rFonts w:eastAsia="Calibri"/>
          <w:lang w:val="es-AR"/>
        </w:rPr>
        <w:t xml:space="preserve">los </w:t>
      </w:r>
      <w:r w:rsidRPr="000033F2">
        <w:rPr>
          <w:rFonts w:eastAsia="Calibri"/>
          <w:lang w:val="es-AR"/>
        </w:rPr>
        <w:t>conocimientos tradicionales al</w:t>
      </w:r>
      <w:r w:rsidR="00AA257C">
        <w:rPr>
          <w:rFonts w:eastAsia="Calibri"/>
          <w:lang w:val="es-AR"/>
        </w:rPr>
        <w:t>/los</w:t>
      </w:r>
      <w:r w:rsidRPr="000033F2">
        <w:rPr>
          <w:rFonts w:eastAsia="Calibri"/>
          <w:lang w:val="es-AR"/>
        </w:rPr>
        <w:t xml:space="preserve"> </w:t>
      </w:r>
      <w:r w:rsidR="00AA257C">
        <w:rPr>
          <w:rFonts w:eastAsia="Calibri"/>
          <w:lang w:val="es-AR"/>
        </w:rPr>
        <w:t>poseedor</w:t>
      </w:r>
      <w:r w:rsidR="00E60979">
        <w:rPr>
          <w:rFonts w:eastAsia="Calibri"/>
          <w:lang w:val="es-AR"/>
        </w:rPr>
        <w:t>(</w:t>
      </w:r>
      <w:r w:rsidR="00AA257C">
        <w:rPr>
          <w:rFonts w:eastAsia="Calibri"/>
          <w:lang w:val="es-AR"/>
        </w:rPr>
        <w:t xml:space="preserve">es) </w:t>
      </w:r>
      <w:r w:rsidRPr="000033F2">
        <w:rPr>
          <w:rFonts w:eastAsia="Calibri"/>
          <w:lang w:val="es-AR"/>
        </w:rPr>
        <w:t>de tal</w:t>
      </w:r>
      <w:r w:rsidR="00AA257C">
        <w:rPr>
          <w:rFonts w:eastAsia="Calibri"/>
          <w:lang w:val="es-AR"/>
        </w:rPr>
        <w:t>es</w:t>
      </w:r>
      <w:r w:rsidRPr="000033F2">
        <w:rPr>
          <w:rFonts w:eastAsia="Calibri"/>
          <w:lang w:val="es-AR"/>
        </w:rPr>
        <w:t xml:space="preserve"> conocimiento</w:t>
      </w:r>
      <w:r w:rsidR="00AA257C">
        <w:rPr>
          <w:rFonts w:eastAsia="Calibri"/>
          <w:lang w:val="es-AR"/>
        </w:rPr>
        <w:t>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 xml:space="preserve">Varios países </w:t>
      </w:r>
      <w:r w:rsidR="00E60979">
        <w:rPr>
          <w:rFonts w:eastAsia="Calibri"/>
          <w:lang w:val="es-AR"/>
        </w:rPr>
        <w:t xml:space="preserve">destacaron </w:t>
      </w:r>
      <w:r w:rsidRPr="000033F2">
        <w:rPr>
          <w:rFonts w:eastAsia="Calibri"/>
          <w:lang w:val="es-AR"/>
        </w:rPr>
        <w:t xml:space="preserve">la importancia de documentar los recursos genéticos, </w:t>
      </w:r>
      <w:r w:rsidR="00E15257">
        <w:rPr>
          <w:rFonts w:eastAsia="Calibri"/>
          <w:lang w:val="es-AR"/>
        </w:rPr>
        <w:t xml:space="preserve">los </w:t>
      </w:r>
      <w:r w:rsidRPr="000033F2">
        <w:rPr>
          <w:rFonts w:eastAsia="Calibri"/>
          <w:lang w:val="es-AR"/>
        </w:rPr>
        <w:t xml:space="preserve">conocimientos tradicionales o su uso, particularmente </w:t>
      </w:r>
      <w:r w:rsidR="00E60979">
        <w:rPr>
          <w:rFonts w:eastAsia="Calibri"/>
          <w:lang w:val="es-AR"/>
        </w:rPr>
        <w:t xml:space="preserve">en vista de </w:t>
      </w:r>
      <w:r w:rsidRPr="000033F2">
        <w:rPr>
          <w:rFonts w:eastAsia="Calibri"/>
          <w:lang w:val="es-AR"/>
        </w:rPr>
        <w:t xml:space="preserve">la pérdida de </w:t>
      </w:r>
      <w:r w:rsidR="00E15257">
        <w:rPr>
          <w:rFonts w:eastAsia="Calibri"/>
          <w:lang w:val="es-AR"/>
        </w:rPr>
        <w:t>dichos conocimientos</w:t>
      </w:r>
      <w:r w:rsidRPr="000033F2">
        <w:rPr>
          <w:rFonts w:eastAsia="Calibri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Algunos países t</w:t>
      </w:r>
      <w:r w:rsidR="00E15257">
        <w:rPr>
          <w:rFonts w:eastAsia="Calibri"/>
          <w:lang w:val="es-AR"/>
        </w:rPr>
        <w:t xml:space="preserve">uvieron </w:t>
      </w:r>
      <w:r w:rsidRPr="000033F2">
        <w:rPr>
          <w:rFonts w:eastAsia="Calibri"/>
          <w:lang w:val="es-AR"/>
        </w:rPr>
        <w:t xml:space="preserve">dificultades para </w:t>
      </w:r>
      <w:r w:rsidR="00667B49">
        <w:rPr>
          <w:rFonts w:eastAsia="Calibri"/>
          <w:lang w:val="es-AR"/>
        </w:rPr>
        <w:t xml:space="preserve">abordar </w:t>
      </w:r>
      <w:r w:rsidRPr="000033F2">
        <w:rPr>
          <w:rFonts w:eastAsia="Calibri"/>
          <w:lang w:val="es-AR"/>
        </w:rPr>
        <w:t>la relación entre los conocimientos tradicionales y los derechos de propiedad intelectual.</w:t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rFonts w:eastAsia="Calibri"/>
          <w:lang w:val="es-AR"/>
        </w:rPr>
      </w:pPr>
      <w:r w:rsidRPr="000033F2">
        <w:rPr>
          <w:rFonts w:eastAsia="Calibri"/>
          <w:lang w:val="es-AR"/>
        </w:rPr>
        <w:t>Otr</w:t>
      </w:r>
      <w:r w:rsidR="00E15257">
        <w:rPr>
          <w:rFonts w:eastAsia="Calibri"/>
          <w:lang w:val="es-AR"/>
        </w:rPr>
        <w:t>a</w:t>
      </w:r>
      <w:r w:rsidRPr="000033F2">
        <w:rPr>
          <w:rFonts w:eastAsia="Calibri"/>
          <w:lang w:val="es-AR"/>
        </w:rPr>
        <w:t>s dificultad</w:t>
      </w:r>
      <w:r w:rsidR="00E15257">
        <w:rPr>
          <w:rFonts w:eastAsia="Calibri"/>
          <w:lang w:val="es-AR"/>
        </w:rPr>
        <w:t xml:space="preserve">es </w:t>
      </w:r>
      <w:r w:rsidRPr="000033F2">
        <w:rPr>
          <w:rFonts w:eastAsia="Calibri"/>
          <w:lang w:val="es-AR"/>
        </w:rPr>
        <w:t>identificad</w:t>
      </w:r>
      <w:r w:rsidR="00E15257">
        <w:rPr>
          <w:rFonts w:eastAsia="Calibri"/>
          <w:lang w:val="es-AR"/>
        </w:rPr>
        <w:t>a</w:t>
      </w:r>
      <w:r w:rsidRPr="000033F2">
        <w:rPr>
          <w:rFonts w:eastAsia="Calibri"/>
          <w:lang w:val="es-AR"/>
        </w:rPr>
        <w:t>s son l</w:t>
      </w:r>
      <w:r w:rsidR="00E15257">
        <w:rPr>
          <w:rFonts w:eastAsia="Calibri"/>
          <w:lang w:val="es-AR"/>
        </w:rPr>
        <w:t>a</w:t>
      </w:r>
      <w:r w:rsidRPr="000033F2">
        <w:rPr>
          <w:rFonts w:eastAsia="Calibri"/>
          <w:lang w:val="es-AR"/>
        </w:rPr>
        <w:t>s siguientes: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a) el hecho de que las industrias </w:t>
      </w:r>
      <w:r w:rsidR="00E15257">
        <w:rPr>
          <w:rFonts w:eastAsia="Calibri"/>
          <w:lang w:val="es-AR"/>
        </w:rPr>
        <w:t xml:space="preserve">se resistan a </w:t>
      </w:r>
      <w:r w:rsidRPr="000033F2">
        <w:rPr>
          <w:rFonts w:eastAsia="Calibri"/>
          <w:lang w:val="es-AR"/>
        </w:rPr>
        <w:t xml:space="preserve">concluir acuerdos de participación en los beneficios con los </w:t>
      </w:r>
      <w:r w:rsidR="00E15257">
        <w:rPr>
          <w:rFonts w:eastAsia="Calibri"/>
          <w:lang w:val="es-AR"/>
        </w:rPr>
        <w:t>poseedores de los conocimientos</w:t>
      </w:r>
      <w:r w:rsidRPr="000033F2">
        <w:rPr>
          <w:rFonts w:eastAsia="Calibri"/>
          <w:lang w:val="es-AR"/>
        </w:rPr>
        <w:t xml:space="preserve"> tradicionales;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 xml:space="preserve">b) </w:t>
      </w:r>
      <w:r w:rsidR="00E60979">
        <w:rPr>
          <w:rFonts w:eastAsia="Calibri"/>
          <w:lang w:val="es-AR"/>
        </w:rPr>
        <w:t xml:space="preserve">el </w:t>
      </w:r>
      <w:r w:rsidR="00E15257">
        <w:rPr>
          <w:rFonts w:eastAsia="Calibri"/>
          <w:lang w:val="es-AR"/>
        </w:rPr>
        <w:t>estableci</w:t>
      </w:r>
      <w:r w:rsidR="00667B49">
        <w:rPr>
          <w:rFonts w:eastAsia="Calibri"/>
          <w:lang w:val="es-AR"/>
        </w:rPr>
        <w:t xml:space="preserve">miento de </w:t>
      </w:r>
      <w:r w:rsidR="00A40A8C">
        <w:rPr>
          <w:rFonts w:eastAsia="Calibri"/>
          <w:lang w:val="es-AR"/>
        </w:rPr>
        <w:t>protocolos comunitarios</w:t>
      </w:r>
      <w:r w:rsidRPr="000033F2">
        <w:rPr>
          <w:rFonts w:eastAsia="Calibri"/>
          <w:lang w:val="es-AR"/>
        </w:rPr>
        <w:t xml:space="preserve"> claros para los usuarios;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lang w:val="es-AR"/>
        </w:rPr>
        <w:t>y c) la necesidad de</w:t>
      </w:r>
      <w:r w:rsidR="00E15257">
        <w:rPr>
          <w:rFonts w:eastAsia="Calibri"/>
          <w:lang w:val="es-AR"/>
        </w:rPr>
        <w:t xml:space="preserve"> contar con</w:t>
      </w:r>
      <w:r w:rsidRPr="000033F2">
        <w:rPr>
          <w:rFonts w:eastAsia="Calibri"/>
          <w:lang w:val="es-AR"/>
        </w:rPr>
        <w:t xml:space="preserve"> pericia </w:t>
      </w:r>
      <w:r w:rsidR="00667B49">
        <w:rPr>
          <w:rFonts w:eastAsia="Calibri"/>
          <w:lang w:val="es-AR"/>
        </w:rPr>
        <w:t xml:space="preserve">jurídica </w:t>
      </w:r>
      <w:r w:rsidRPr="000033F2">
        <w:rPr>
          <w:rFonts w:eastAsia="Calibri"/>
          <w:lang w:val="es-AR"/>
        </w:rPr>
        <w:t xml:space="preserve">en los contratos que </w:t>
      </w:r>
      <w:r w:rsidR="00E60979">
        <w:rPr>
          <w:rFonts w:eastAsia="Calibri"/>
          <w:lang w:val="es-AR"/>
        </w:rPr>
        <w:t xml:space="preserve">tratan </w:t>
      </w:r>
      <w:r w:rsidR="00E15257">
        <w:rPr>
          <w:rFonts w:eastAsia="Calibri"/>
          <w:lang w:val="es-AR"/>
        </w:rPr>
        <w:t xml:space="preserve">de los </w:t>
      </w:r>
      <w:r w:rsidRPr="000033F2">
        <w:rPr>
          <w:rFonts w:eastAsia="Calibri"/>
          <w:lang w:val="es-AR"/>
        </w:rPr>
        <w:t>conocimientos tradicionales.</w:t>
      </w:r>
    </w:p>
    <w:p w:rsidR="00FB79CA" w:rsidRPr="000033F2" w:rsidRDefault="00635DA0">
      <w:pPr>
        <w:pStyle w:val="Heading2"/>
        <w:numPr>
          <w:ilvl w:val="0"/>
          <w:numId w:val="7"/>
        </w:numPr>
        <w:jc w:val="left"/>
        <w:rPr>
          <w:lang w:val="es-AR"/>
        </w:rPr>
      </w:pPr>
      <w:r w:rsidRPr="000033F2">
        <w:rPr>
          <w:lang w:val="es-AR"/>
        </w:rPr>
        <w:t>Síntesis de la información proporcionada a través de los informes nacionales provisionales y de</w:t>
      </w:r>
      <w:r w:rsidR="00E15257">
        <w:rPr>
          <w:lang w:val="es-AR"/>
        </w:rPr>
        <w:t>l</w:t>
      </w:r>
      <w:r w:rsidRPr="000033F2">
        <w:rPr>
          <w:lang w:val="es-AR"/>
        </w:rPr>
        <w:t xml:space="preserve"> </w:t>
      </w:r>
      <w:r w:rsidR="009A3B15">
        <w:rPr>
          <w:lang w:val="es-AR"/>
        </w:rPr>
        <w:t>Centro de intercambio de información sobre acceso y participación en los beneficios</w:t>
      </w:r>
      <w:r w:rsidR="00E15257">
        <w:rPr>
          <w:lang w:val="es-AR"/>
        </w:rPr>
        <w:t>,</w:t>
      </w:r>
      <w:r w:rsidRPr="000033F2">
        <w:rPr>
          <w:lang w:val="es-AR"/>
        </w:rPr>
        <w:t xml:space="preserve"> </w:t>
      </w:r>
      <w:r w:rsidR="00E60979">
        <w:rPr>
          <w:lang w:val="es-AR"/>
        </w:rPr>
        <w:t>d</w:t>
      </w:r>
      <w:r w:rsidRPr="000033F2">
        <w:rPr>
          <w:lang w:val="es-AR"/>
        </w:rPr>
        <w:t xml:space="preserve">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11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de Nagoya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Como </w:t>
      </w:r>
      <w:r w:rsidR="00E15257">
        <w:rPr>
          <w:lang w:val="es-AR"/>
        </w:rPr>
        <w:t>se indicó anteriormente</w:t>
      </w:r>
      <w:r w:rsidRPr="000033F2">
        <w:rPr>
          <w:lang w:val="es-AR"/>
        </w:rPr>
        <w:t xml:space="preserve">, </w:t>
      </w:r>
      <w:r w:rsidR="00E15257">
        <w:rPr>
          <w:lang w:val="es-AR"/>
        </w:rPr>
        <w:t xml:space="preserve">el 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 6 a) de la decisión sobre 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 </w:t>
      </w:r>
      <w:r w:rsidR="00E60979">
        <w:rPr>
          <w:lang w:val="es-AR"/>
        </w:rPr>
        <w:t xml:space="preserve">pedía </w:t>
      </w:r>
      <w:r w:rsidRPr="000033F2">
        <w:rPr>
          <w:lang w:val="es-AR"/>
        </w:rPr>
        <w:t>a</w:t>
      </w:r>
      <w:r w:rsidR="00E60979">
        <w:rPr>
          <w:lang w:val="es-AR"/>
        </w:rPr>
        <w:t xml:space="preserve"> </w:t>
      </w:r>
      <w:r w:rsidRPr="000033F2">
        <w:rPr>
          <w:lang w:val="es-AR"/>
        </w:rPr>
        <w:t>l</w:t>
      </w:r>
      <w:r w:rsidR="00E60979">
        <w:rPr>
          <w:lang w:val="es-AR"/>
        </w:rPr>
        <w:t>a</w:t>
      </w:r>
      <w:r w:rsidRPr="000033F2">
        <w:rPr>
          <w:lang w:val="es-AR"/>
        </w:rPr>
        <w:t xml:space="preserve"> Secretari</w:t>
      </w:r>
      <w:r w:rsidR="00E60979">
        <w:rPr>
          <w:lang w:val="es-AR"/>
        </w:rPr>
        <w:t>a</w:t>
      </w:r>
      <w:r w:rsidRPr="000033F2">
        <w:rPr>
          <w:lang w:val="es-AR"/>
        </w:rPr>
        <w:t xml:space="preserve"> Ejecutiv</w:t>
      </w:r>
      <w:r w:rsidR="00E60979">
        <w:rPr>
          <w:lang w:val="es-AR"/>
        </w:rPr>
        <w:t>a</w:t>
      </w:r>
      <w:r w:rsidRPr="000033F2">
        <w:rPr>
          <w:lang w:val="es-AR"/>
        </w:rPr>
        <w:t xml:space="preserve"> sintetizar la información proporcionada a través de los informes nacionales </w:t>
      </w:r>
      <w:r w:rsidR="00D76E6B">
        <w:rPr>
          <w:lang w:val="es-AR"/>
        </w:rPr>
        <w:t xml:space="preserve">provisionales y el </w:t>
      </w:r>
      <w:r w:rsidR="009A3B15">
        <w:rPr>
          <w:lang w:val="es-AR"/>
        </w:rPr>
        <w:t>Centro de intercambio de información sobre acceso y participación en los beneficios</w:t>
      </w:r>
      <w:r w:rsidRPr="000033F2">
        <w:rPr>
          <w:lang w:val="es-AR"/>
        </w:rPr>
        <w:t xml:space="preserve"> de importancia </w:t>
      </w:r>
      <w:r w:rsidR="00D76E6B">
        <w:rPr>
          <w:lang w:val="es-AR"/>
        </w:rPr>
        <w:t>para e</w:t>
      </w:r>
      <w:r w:rsidRPr="000033F2">
        <w:rPr>
          <w:lang w:val="es-AR"/>
        </w:rPr>
        <w:t xml:space="preserve">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10. </w:t>
      </w:r>
    </w:p>
    <w:p w:rsidR="00FB79CA" w:rsidRPr="00D76E6B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szCs w:val="22"/>
          <w:lang w:val="es-AR"/>
        </w:rPr>
      </w:pP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Los recursos genéticos y los conocimientos tradicionales asociados a </w:t>
      </w:r>
      <w:r w:rsidRPr="00D76E6B">
        <w:rPr>
          <w:szCs w:val="22"/>
          <w:lang w:val="es-AR"/>
        </w:rPr>
        <w:t xml:space="preserve">los 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recursos genéticos que se pueden encontrar </w:t>
      </w:r>
      <w:r w:rsidRPr="00D76E6B">
        <w:rPr>
          <w:rStyle w:val="FootnoteReference"/>
          <w:i/>
          <w:sz w:val="22"/>
          <w:szCs w:val="22"/>
          <w:vertAlign w:val="baseline"/>
          <w:lang w:val="es-AR"/>
        </w:rPr>
        <w:t>in situ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 en más de una Parte </w:t>
      </w:r>
      <w:r w:rsidR="00D76E6B">
        <w:rPr>
          <w:rStyle w:val="FootnoteReference"/>
          <w:sz w:val="22"/>
          <w:szCs w:val="22"/>
          <w:vertAlign w:val="baseline"/>
          <w:lang w:val="es-AR"/>
        </w:rPr>
        <w:t xml:space="preserve">con frecuencia </w:t>
      </w:r>
      <w:r w:rsidR="00D76E6B">
        <w:rPr>
          <w:szCs w:val="22"/>
          <w:lang w:val="es-AR"/>
        </w:rPr>
        <w:t xml:space="preserve">se plantean 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en </w:t>
      </w:r>
      <w:r w:rsidR="00D76E6B">
        <w:rPr>
          <w:szCs w:val="22"/>
          <w:lang w:val="es-AR"/>
        </w:rPr>
        <w:t xml:space="preserve">las deliberaciones 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sobre el </w:t>
      </w:r>
      <w:r w:rsidR="000033F2" w:rsidRPr="00D76E6B">
        <w:rPr>
          <w:rStyle w:val="FootnoteReference"/>
          <w:sz w:val="22"/>
          <w:szCs w:val="22"/>
          <w:vertAlign w:val="baseline"/>
          <w:lang w:val="es-AR"/>
        </w:rPr>
        <w:t>Artículo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 10</w:t>
      </w:r>
      <w:r w:rsidR="00096D97" w:rsidRPr="00D76E6B">
        <w:rPr>
          <w:rStyle w:val="FootnoteReference"/>
          <w:sz w:val="22"/>
          <w:szCs w:val="22"/>
          <w:vertAlign w:val="baseline"/>
          <w:lang w:val="es-AR"/>
        </w:rPr>
        <w:t xml:space="preserve"> del Protocolo</w:t>
      </w:r>
      <w:r w:rsidRPr="00D76E6B">
        <w:rPr>
          <w:rStyle w:val="FootnoteReference"/>
          <w:sz w:val="22"/>
          <w:szCs w:val="22"/>
          <w:vertAlign w:val="baseline"/>
          <w:lang w:val="es-AR"/>
        </w:rPr>
        <w:t xml:space="preserve"> de Nagoya</w:t>
      </w:r>
      <w:r w:rsidR="00D76E6B" w:rsidRPr="00D76E6B">
        <w:rPr>
          <w:szCs w:val="22"/>
          <w:vertAlign w:val="superscript"/>
          <w:lang w:val="es-AR"/>
        </w:rPr>
        <w:t>.</w:t>
      </w:r>
      <w:r w:rsidRPr="00D76E6B">
        <w:rPr>
          <w:rStyle w:val="FootnoteReference"/>
          <w:sz w:val="22"/>
          <w:szCs w:val="22"/>
          <w:lang w:val="es-AR"/>
        </w:rPr>
        <w:footnoteReference w:id="47"/>
      </w:r>
      <w:r w:rsidRPr="00D76E6B">
        <w:rPr>
          <w:szCs w:val="22"/>
          <w:lang w:val="es-AR"/>
        </w:rPr>
        <w:t xml:space="preserve"> Dado que esta cuestión es</w:t>
      </w:r>
      <w:r w:rsidR="00D76E6B">
        <w:rPr>
          <w:szCs w:val="22"/>
          <w:lang w:val="es-AR"/>
        </w:rPr>
        <w:t>tá</w:t>
      </w:r>
      <w:r w:rsidRPr="00D76E6B">
        <w:rPr>
          <w:szCs w:val="22"/>
          <w:lang w:val="es-AR"/>
        </w:rPr>
        <w:t xml:space="preserve"> cubierta por el </w:t>
      </w:r>
      <w:r w:rsidR="000033F2" w:rsidRPr="00D76E6B">
        <w:rPr>
          <w:szCs w:val="22"/>
          <w:lang w:val="es-AR"/>
        </w:rPr>
        <w:t>Artículo</w:t>
      </w:r>
      <w:r w:rsidRPr="00D76E6B">
        <w:rPr>
          <w:szCs w:val="22"/>
          <w:lang w:val="es-AR"/>
        </w:rPr>
        <w:t xml:space="preserve"> 11</w:t>
      </w:r>
      <w:r w:rsidR="00096D97" w:rsidRPr="00D76E6B">
        <w:rPr>
          <w:szCs w:val="22"/>
          <w:lang w:val="es-AR"/>
        </w:rPr>
        <w:t xml:space="preserve"> del Protocolo</w:t>
      </w:r>
      <w:r w:rsidRPr="00D76E6B">
        <w:rPr>
          <w:szCs w:val="22"/>
          <w:lang w:val="es-AR"/>
        </w:rPr>
        <w:t xml:space="preserve"> en la "cooperación transfronteriza", la información </w:t>
      </w:r>
      <w:r w:rsidR="0008032E" w:rsidRPr="00D76E6B">
        <w:rPr>
          <w:szCs w:val="22"/>
          <w:lang w:val="es-AR"/>
        </w:rPr>
        <w:t xml:space="preserve">pertinente </w:t>
      </w:r>
      <w:r w:rsidRPr="00D76E6B">
        <w:rPr>
          <w:szCs w:val="22"/>
          <w:lang w:val="es-AR"/>
        </w:rPr>
        <w:t xml:space="preserve">sobre </w:t>
      </w:r>
      <w:r w:rsidR="007425C5" w:rsidRPr="00D76E6B">
        <w:rPr>
          <w:szCs w:val="22"/>
          <w:lang w:val="es-AR"/>
        </w:rPr>
        <w:t>la aplicación</w:t>
      </w:r>
      <w:r w:rsidRPr="00D76E6B">
        <w:rPr>
          <w:szCs w:val="22"/>
          <w:lang w:val="es-AR"/>
        </w:rPr>
        <w:t xml:space="preserve"> del </w:t>
      </w:r>
      <w:r w:rsidR="000033F2" w:rsidRPr="00D76E6B">
        <w:rPr>
          <w:szCs w:val="22"/>
          <w:lang w:val="es-AR"/>
        </w:rPr>
        <w:t>Artículo</w:t>
      </w:r>
      <w:r w:rsidRPr="00D76E6B">
        <w:rPr>
          <w:szCs w:val="22"/>
          <w:lang w:val="es-AR"/>
        </w:rPr>
        <w:t xml:space="preserve"> 11 se </w:t>
      </w:r>
      <w:r w:rsidR="00E60979">
        <w:rPr>
          <w:szCs w:val="22"/>
          <w:lang w:val="es-AR"/>
        </w:rPr>
        <w:t xml:space="preserve">da </w:t>
      </w:r>
      <w:r w:rsidR="00D76E6B">
        <w:rPr>
          <w:szCs w:val="22"/>
          <w:lang w:val="es-AR"/>
        </w:rPr>
        <w:t>a continuación</w:t>
      </w:r>
      <w:r w:rsidRPr="00D76E6B">
        <w:rPr>
          <w:szCs w:val="22"/>
          <w:lang w:val="es-AR"/>
        </w:rPr>
        <w:t>.</w:t>
      </w:r>
    </w:p>
    <w:p w:rsidR="00FB79CA" w:rsidRPr="000033F2" w:rsidRDefault="00635DA0">
      <w:pPr>
        <w:pStyle w:val="Heading3"/>
        <w:keepLines/>
        <w:numPr>
          <w:ilvl w:val="0"/>
          <w:numId w:val="12"/>
        </w:numPr>
        <w:tabs>
          <w:tab w:val="clear" w:pos="567"/>
          <w:tab w:val="left" w:pos="709"/>
        </w:tabs>
        <w:ind w:left="714" w:hanging="357"/>
        <w:jc w:val="left"/>
        <w:rPr>
          <w:lang w:val="es-AR"/>
        </w:rPr>
      </w:pPr>
      <w:r w:rsidRPr="000033F2">
        <w:rPr>
          <w:snapToGrid w:val="0"/>
          <w:kern w:val="22"/>
          <w:lang w:val="es-AR"/>
        </w:rPr>
        <w:t>¿Su país se esfuerza p</w:t>
      </w:r>
      <w:r w:rsidR="00D76E6B">
        <w:rPr>
          <w:snapToGrid w:val="0"/>
          <w:kern w:val="22"/>
          <w:lang w:val="es-AR"/>
        </w:rPr>
        <w:t>or</w:t>
      </w:r>
      <w:r w:rsidRPr="000033F2">
        <w:rPr>
          <w:snapToGrid w:val="0"/>
          <w:kern w:val="22"/>
          <w:lang w:val="es-AR"/>
        </w:rPr>
        <w:t xml:space="preserve"> cooperar, con la intervención de </w:t>
      </w:r>
      <w:r w:rsidR="008C046C">
        <w:rPr>
          <w:snapToGrid w:val="0"/>
          <w:kern w:val="22"/>
          <w:lang w:val="es-AR"/>
        </w:rPr>
        <w:t>comunidades indígenas y locales</w:t>
      </w:r>
      <w:r w:rsidRPr="000033F2">
        <w:rPr>
          <w:snapToGrid w:val="0"/>
          <w:kern w:val="22"/>
          <w:lang w:val="es-AR"/>
        </w:rPr>
        <w:t xml:space="preserve"> </w:t>
      </w:r>
      <w:r w:rsidR="00E60979">
        <w:rPr>
          <w:snapToGrid w:val="0"/>
          <w:kern w:val="22"/>
          <w:lang w:val="es-AR"/>
        </w:rPr>
        <w:t>correspondientes</w:t>
      </w:r>
      <w:r w:rsidRPr="000033F2">
        <w:rPr>
          <w:snapToGrid w:val="0"/>
          <w:kern w:val="22"/>
          <w:lang w:val="es-AR"/>
        </w:rPr>
        <w:t xml:space="preserve">, </w:t>
      </w:r>
      <w:r w:rsidR="00A976E4">
        <w:rPr>
          <w:snapToGrid w:val="0"/>
          <w:kern w:val="22"/>
          <w:lang w:val="es-AR"/>
        </w:rPr>
        <w:t>con el objeto</w:t>
      </w:r>
      <w:r w:rsidRPr="000033F2">
        <w:rPr>
          <w:snapToGrid w:val="0"/>
          <w:kern w:val="22"/>
          <w:lang w:val="es-AR"/>
        </w:rPr>
        <w:t xml:space="preserve"> de aplicar</w:t>
      </w:r>
      <w:r w:rsidR="00A40A8C">
        <w:rPr>
          <w:snapToGrid w:val="0"/>
          <w:kern w:val="22"/>
          <w:lang w:val="es-AR"/>
        </w:rPr>
        <w:t xml:space="preserve"> el Protocolo</w:t>
      </w:r>
      <w:r w:rsidRPr="000033F2">
        <w:rPr>
          <w:snapToGrid w:val="0"/>
          <w:kern w:val="22"/>
          <w:lang w:val="es-AR"/>
        </w:rPr>
        <w:t xml:space="preserve"> en los casos donde los mismos recursos genéticos se encuentran </w:t>
      </w:r>
      <w:r w:rsidRPr="00D76E6B">
        <w:rPr>
          <w:i w:val="0"/>
          <w:snapToGrid w:val="0"/>
          <w:kern w:val="22"/>
          <w:lang w:val="es-AR"/>
        </w:rPr>
        <w:t>in situ</w:t>
      </w:r>
      <w:r w:rsidRPr="000033F2">
        <w:rPr>
          <w:snapToGrid w:val="0"/>
          <w:kern w:val="22"/>
          <w:lang w:val="es-AR"/>
        </w:rPr>
        <w:t xml:space="preserve"> dentro del territorio de más de una Parte</w:t>
      </w:r>
      <w:r w:rsidR="00E60979">
        <w:rPr>
          <w:snapToGrid w:val="0"/>
          <w:kern w:val="22"/>
          <w:lang w:val="es-AR"/>
        </w:rPr>
        <w:t>,</w:t>
      </w:r>
      <w:r w:rsidRPr="000033F2">
        <w:rPr>
          <w:snapToGrid w:val="0"/>
          <w:kern w:val="22"/>
          <w:lang w:val="es-AR"/>
        </w:rPr>
        <w:t xml:space="preserve"> </w:t>
      </w:r>
      <w:r w:rsidR="00E60979">
        <w:rPr>
          <w:snapToGrid w:val="0"/>
          <w:kern w:val="22"/>
          <w:lang w:val="es-AR"/>
        </w:rPr>
        <w:t xml:space="preserve">como lo estipula </w:t>
      </w:r>
      <w:r w:rsidRPr="000033F2">
        <w:rPr>
          <w:snapToGrid w:val="0"/>
          <w:kern w:val="22"/>
          <w:lang w:val="es-AR"/>
        </w:rPr>
        <w:t xml:space="preserve">el </w:t>
      </w:r>
      <w:r w:rsidR="000033F2">
        <w:rPr>
          <w:snapToGrid w:val="0"/>
          <w:kern w:val="22"/>
          <w:lang w:val="es-AR"/>
        </w:rPr>
        <w:t>Artículo</w:t>
      </w:r>
      <w:r w:rsidRPr="000033F2">
        <w:rPr>
          <w:snapToGrid w:val="0"/>
          <w:kern w:val="22"/>
          <w:lang w:val="es-AR"/>
        </w:rPr>
        <w:t xml:space="preserve"> 1</w:t>
      </w:r>
      <w:r w:rsidR="000033F2" w:rsidRPr="000033F2">
        <w:rPr>
          <w:snapToGrid w:val="0"/>
          <w:kern w:val="22"/>
          <w:lang w:val="es-AR"/>
        </w:rPr>
        <w:t>1</w:t>
      </w:r>
      <w:r w:rsidR="00D76E6B">
        <w:rPr>
          <w:snapToGrid w:val="0"/>
          <w:kern w:val="22"/>
          <w:lang w:val="es-AR"/>
        </w:rPr>
        <w:t>.</w:t>
      </w:r>
      <w:r w:rsidR="000033F2" w:rsidRPr="000033F2">
        <w:rPr>
          <w:snapToGrid w:val="0"/>
          <w:kern w:val="22"/>
          <w:lang w:val="es-AR"/>
        </w:rPr>
        <w:t>1</w:t>
      </w:r>
      <w:r w:rsidRPr="000033F2">
        <w:rPr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kern w:val="22"/>
          <w:lang w:val="es-AR"/>
        </w:rPr>
        <w:t>(pregunta 48 del formato para los informes nacionales provisionales)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Treinta Partes y </w:t>
      </w:r>
      <w:r w:rsidR="00A40A8C">
        <w:rPr>
          <w:lang w:val="es-AR"/>
        </w:rPr>
        <w:t>un estado que no es Parte</w:t>
      </w:r>
      <w:r w:rsidRPr="000033F2">
        <w:rPr>
          <w:lang w:val="es-AR"/>
        </w:rPr>
        <w:t xml:space="preserve"> respondieron que se esfuerzan p</w:t>
      </w:r>
      <w:r w:rsidR="003F66D6">
        <w:rPr>
          <w:lang w:val="es-AR"/>
        </w:rPr>
        <w:t xml:space="preserve">or </w:t>
      </w:r>
      <w:r w:rsidRPr="000033F2">
        <w:rPr>
          <w:lang w:val="es-AR"/>
        </w:rPr>
        <w:t>cooperar</w:t>
      </w:r>
      <w:r w:rsidR="00E60979">
        <w:rPr>
          <w:lang w:val="es-AR"/>
        </w:rPr>
        <w:t>,</w:t>
      </w:r>
      <w:r w:rsidRPr="000033F2">
        <w:rPr>
          <w:lang w:val="es-AR"/>
        </w:rPr>
        <w:t xml:space="preserve"> mientras que treinta y nueve Partes y cinco </w:t>
      </w:r>
      <w:r w:rsidR="00A27216">
        <w:rPr>
          <w:lang w:val="es-AR"/>
        </w:rPr>
        <w:t xml:space="preserve">estados </w:t>
      </w:r>
      <w:r w:rsidR="003804B6">
        <w:rPr>
          <w:lang w:val="es-AR"/>
        </w:rPr>
        <w:t xml:space="preserve">que no son Partes </w:t>
      </w:r>
      <w:r w:rsidRPr="000033F2">
        <w:rPr>
          <w:lang w:val="es-AR"/>
        </w:rPr>
        <w:t>contestaron que no lo hacen.</w:t>
      </w:r>
    </w:p>
    <w:p w:rsidR="00FB79CA" w:rsidRPr="000033F2" w:rsidRDefault="00635DA0">
      <w:pPr>
        <w:pStyle w:val="Para1"/>
        <w:numPr>
          <w:ilvl w:val="0"/>
          <w:numId w:val="0"/>
        </w:numPr>
        <w:rPr>
          <w:i/>
          <w:lang w:val="es-AR"/>
        </w:rPr>
      </w:pPr>
      <w:r w:rsidRPr="000033F2">
        <w:rPr>
          <w:i/>
          <w:lang w:val="es-AR"/>
        </w:rPr>
        <w:t xml:space="preserve">a) </w:t>
      </w:r>
      <w:r w:rsidR="003F66D6">
        <w:rPr>
          <w:i/>
          <w:lang w:val="es-AR"/>
        </w:rPr>
        <w:t>P</w:t>
      </w:r>
      <w:r w:rsidRPr="000033F2">
        <w:rPr>
          <w:i/>
          <w:lang w:val="es-AR"/>
        </w:rPr>
        <w:t xml:space="preserve">aíses que </w:t>
      </w:r>
      <w:r w:rsidR="009B2BB5">
        <w:rPr>
          <w:i/>
          <w:lang w:val="es-AR"/>
        </w:rPr>
        <w:t>contestaron afirmativamente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48"/>
      </w:r>
      <w:r w:rsidRPr="000033F2">
        <w:rPr>
          <w:rFonts w:eastAsia="Calibri"/>
          <w:kern w:val="22"/>
          <w:lang w:val="es-AR"/>
        </w:rPr>
        <w:t xml:space="preserve"> dijeron que si </w:t>
      </w:r>
      <w:r w:rsidR="0066338B">
        <w:rPr>
          <w:rFonts w:eastAsia="Calibri"/>
          <w:kern w:val="22"/>
          <w:lang w:val="es-AR"/>
        </w:rPr>
        <w:t>se da el caso</w:t>
      </w:r>
      <w:r w:rsidRPr="000033F2">
        <w:rPr>
          <w:rFonts w:eastAsia="Calibri"/>
          <w:kern w:val="22"/>
          <w:lang w:val="es-AR"/>
        </w:rPr>
        <w:t xml:space="preserve"> se esfuerzan </w:t>
      </w:r>
      <w:r w:rsidR="003F66D6">
        <w:rPr>
          <w:rFonts w:eastAsia="Calibri"/>
          <w:kern w:val="22"/>
          <w:lang w:val="es-AR"/>
        </w:rPr>
        <w:t xml:space="preserve">por </w:t>
      </w:r>
      <w:r w:rsidRPr="000033F2">
        <w:rPr>
          <w:rFonts w:eastAsia="Calibri"/>
          <w:kern w:val="22"/>
          <w:lang w:val="es-AR"/>
        </w:rPr>
        <w:t xml:space="preserve">cooperar y dos de ellos observaron que la situación </w:t>
      </w:r>
      <w:r w:rsidR="003F66D6">
        <w:rPr>
          <w:rFonts w:eastAsia="Calibri"/>
          <w:kern w:val="22"/>
          <w:lang w:val="es-AR"/>
        </w:rPr>
        <w:t xml:space="preserve">se </w:t>
      </w:r>
      <w:r w:rsidRPr="000033F2">
        <w:rPr>
          <w:rFonts w:eastAsia="Calibri"/>
          <w:kern w:val="22"/>
          <w:lang w:val="es-AR"/>
        </w:rPr>
        <w:t>trata</w:t>
      </w:r>
      <w:r w:rsidR="003F66D6">
        <w:rPr>
          <w:rFonts w:eastAsia="Calibri"/>
          <w:kern w:val="22"/>
          <w:lang w:val="es-AR"/>
        </w:rPr>
        <w:t xml:space="preserve">ría </w:t>
      </w:r>
      <w:r w:rsidRPr="000033F2">
        <w:rPr>
          <w:rFonts w:eastAsia="Calibri"/>
          <w:kern w:val="22"/>
          <w:lang w:val="es-AR"/>
        </w:rPr>
        <w:t>caso por caso.</w:t>
      </w:r>
      <w:r w:rsidRPr="000033F2">
        <w:rPr>
          <w:rStyle w:val="FootnoteReference"/>
          <w:rFonts w:eastAsia="Calibri"/>
          <w:kern w:val="22"/>
          <w:lang w:val="es-AR"/>
        </w:rPr>
        <w:footnoteReference w:id="49"/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50"/>
      </w:r>
      <w:r w:rsidRPr="000033F2">
        <w:rPr>
          <w:rFonts w:eastAsia="Calibri"/>
          <w:kern w:val="22"/>
          <w:lang w:val="es-AR"/>
        </w:rPr>
        <w:t xml:space="preserve"> explicaron que planeaban incorporar este aspecto en sus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Un país</w:t>
      </w:r>
      <w:r w:rsidRPr="000033F2">
        <w:rPr>
          <w:vertAlign w:val="superscript"/>
          <w:lang w:val="es-AR"/>
        </w:rPr>
        <w:footnoteReference w:id="51"/>
      </w:r>
      <w:r w:rsidRPr="000033F2">
        <w:rPr>
          <w:lang w:val="es-AR"/>
        </w:rPr>
        <w:t xml:space="preserve"> sugirió que </w:t>
      </w:r>
      <w:r w:rsidR="003F66D6" w:rsidRPr="000033F2">
        <w:rPr>
          <w:lang w:val="es-AR"/>
        </w:rPr>
        <w:t>los organismos económicos regionales</w:t>
      </w:r>
      <w:r w:rsidR="00F33AF6">
        <w:rPr>
          <w:lang w:val="es-AR"/>
        </w:rPr>
        <w:t>,</w:t>
      </w:r>
      <w:r w:rsidR="003F66D6" w:rsidRPr="000033F2">
        <w:rPr>
          <w:lang w:val="es-AR"/>
        </w:rPr>
        <w:t xml:space="preserve"> </w:t>
      </w:r>
      <w:r w:rsidR="003F66D6">
        <w:rPr>
          <w:lang w:val="es-AR"/>
        </w:rPr>
        <w:t xml:space="preserve">mediante </w:t>
      </w:r>
      <w:r w:rsidR="003F66D6" w:rsidRPr="000033F2">
        <w:rPr>
          <w:lang w:val="es-AR"/>
        </w:rPr>
        <w:t>acuerdos multilaterales</w:t>
      </w:r>
      <w:r w:rsidR="00F33AF6">
        <w:rPr>
          <w:lang w:val="es-AR"/>
        </w:rPr>
        <w:t>,</w:t>
      </w:r>
      <w:r w:rsidR="003F66D6" w:rsidRPr="000033F2">
        <w:rPr>
          <w:lang w:val="es-AR"/>
        </w:rPr>
        <w:t xml:space="preserve"> </w:t>
      </w:r>
      <w:r w:rsidR="003F66D6">
        <w:rPr>
          <w:lang w:val="es-AR"/>
        </w:rPr>
        <w:t xml:space="preserve">podrían abordar </w:t>
      </w:r>
      <w:r w:rsidRPr="000033F2">
        <w:rPr>
          <w:lang w:val="es-AR"/>
        </w:rPr>
        <w:t>la cuestión, y otr</w:t>
      </w:r>
      <w:r w:rsidR="003F66D6">
        <w:rPr>
          <w:lang w:val="es-AR"/>
        </w:rPr>
        <w:t>o</w:t>
      </w:r>
      <w:r w:rsidRPr="000033F2">
        <w:rPr>
          <w:vertAlign w:val="superscript"/>
          <w:lang w:val="es-AR"/>
        </w:rPr>
        <w:footnoteReference w:id="52"/>
      </w:r>
      <w:r w:rsidRPr="000033F2">
        <w:rPr>
          <w:lang w:val="es-AR"/>
        </w:rPr>
        <w:t xml:space="preserve"> explicó </w:t>
      </w:r>
      <w:r w:rsidR="003F66D6">
        <w:rPr>
          <w:lang w:val="es-AR"/>
        </w:rPr>
        <w:t>que</w:t>
      </w:r>
      <w:r w:rsidR="00F33AF6">
        <w:rPr>
          <w:lang w:val="es-AR"/>
        </w:rPr>
        <w:t>,</w:t>
      </w:r>
      <w:r w:rsidR="003F66D6">
        <w:rPr>
          <w:lang w:val="es-AR"/>
        </w:rPr>
        <w:t xml:space="preserve"> </w:t>
      </w:r>
      <w:r w:rsidRPr="000033F2">
        <w:rPr>
          <w:lang w:val="es-AR"/>
        </w:rPr>
        <w:t>como parte de un proyecto regional sobre</w:t>
      </w:r>
      <w:r w:rsidR="00A40A8C">
        <w:rPr>
          <w:lang w:val="es-AR"/>
        </w:rPr>
        <w:t xml:space="preserve"> el Protocolo</w:t>
      </w:r>
      <w:r w:rsidRPr="000033F2">
        <w:rPr>
          <w:lang w:val="es-AR"/>
        </w:rPr>
        <w:t xml:space="preserve"> </w:t>
      </w:r>
      <w:r w:rsidRPr="000033F2">
        <w:rPr>
          <w:lang w:val="es-AR"/>
        </w:rPr>
        <w:lastRenderedPageBreak/>
        <w:t>de Nagoya</w:t>
      </w:r>
      <w:r w:rsidR="00F33AF6">
        <w:rPr>
          <w:lang w:val="es-AR"/>
        </w:rPr>
        <w:t>,</w:t>
      </w:r>
      <w:r w:rsidRPr="000033F2">
        <w:rPr>
          <w:lang w:val="es-AR"/>
        </w:rPr>
        <w:t xml:space="preserve"> </w:t>
      </w:r>
      <w:r w:rsidR="003F66D6">
        <w:rPr>
          <w:lang w:val="es-AR"/>
        </w:rPr>
        <w:t xml:space="preserve">se planeaba </w:t>
      </w:r>
      <w:r w:rsidR="00A25185">
        <w:rPr>
          <w:lang w:val="es-AR"/>
        </w:rPr>
        <w:t xml:space="preserve">un </w:t>
      </w:r>
      <w:r w:rsidR="00F33AF6">
        <w:rPr>
          <w:lang w:val="es-AR"/>
        </w:rPr>
        <w:t>centro de intercambio de información</w:t>
      </w:r>
      <w:r w:rsidRPr="000033F2">
        <w:rPr>
          <w:lang w:val="es-AR"/>
        </w:rPr>
        <w:t xml:space="preserve"> regional </w:t>
      </w:r>
      <w:r w:rsidR="00F33AF6">
        <w:rPr>
          <w:lang w:val="es-AR"/>
        </w:rPr>
        <w:t xml:space="preserve">sobre </w:t>
      </w:r>
      <w:r w:rsidRPr="000033F2">
        <w:rPr>
          <w:lang w:val="es-AR"/>
        </w:rPr>
        <w:t>el acceso y participación en los beneficios para reconocer</w:t>
      </w:r>
      <w:r w:rsidR="00F33AF6">
        <w:rPr>
          <w:lang w:val="es-AR"/>
        </w:rPr>
        <w:t xml:space="preserve"> las</w:t>
      </w:r>
      <w:r w:rsidRPr="000033F2">
        <w:rPr>
          <w:lang w:val="es-AR"/>
        </w:rPr>
        <w:t xml:space="preserve"> </w:t>
      </w:r>
      <w:r w:rsidR="003F66D6">
        <w:rPr>
          <w:lang w:val="es-AR"/>
        </w:rPr>
        <w:t xml:space="preserve">coincidencias </w:t>
      </w:r>
      <w:r w:rsidRPr="000033F2">
        <w:rPr>
          <w:lang w:val="es-AR"/>
        </w:rPr>
        <w:t xml:space="preserve">a través de </w:t>
      </w:r>
      <w:r w:rsidR="003F66D6">
        <w:rPr>
          <w:lang w:val="es-AR"/>
        </w:rPr>
        <w:t xml:space="preserve">los </w:t>
      </w:r>
      <w:r w:rsidRPr="000033F2">
        <w:rPr>
          <w:lang w:val="es-AR"/>
        </w:rPr>
        <w:t xml:space="preserve">territorios.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Algunos países</w:t>
      </w:r>
      <w:r w:rsidRPr="000033F2">
        <w:rPr>
          <w:vertAlign w:val="superscript"/>
          <w:lang w:val="es-AR"/>
        </w:rPr>
        <w:footnoteReference w:id="53"/>
      </w:r>
      <w:r w:rsidRPr="000033F2">
        <w:rPr>
          <w:lang w:val="es-AR"/>
        </w:rPr>
        <w:t xml:space="preserve"> proporcionaron información </w:t>
      </w:r>
      <w:r w:rsidR="003F66D6">
        <w:rPr>
          <w:lang w:val="es-AR"/>
        </w:rPr>
        <w:t xml:space="preserve">sobre </w:t>
      </w:r>
      <w:r w:rsidRPr="000033F2">
        <w:rPr>
          <w:lang w:val="es-AR"/>
        </w:rPr>
        <w:t>otras ini</w:t>
      </w:r>
      <w:r w:rsidR="003F66D6">
        <w:rPr>
          <w:lang w:val="es-AR"/>
        </w:rPr>
        <w:t>ciativas de cooperación</w:t>
      </w:r>
      <w:r w:rsidRPr="000033F2">
        <w:rPr>
          <w:lang w:val="es-AR"/>
        </w:rPr>
        <w:t>, organismos</w:t>
      </w:r>
      <w:r w:rsidR="003F66D6">
        <w:rPr>
          <w:lang w:val="es-AR"/>
        </w:rPr>
        <w:t xml:space="preserve"> e </w:t>
      </w:r>
      <w:r w:rsidRPr="000033F2">
        <w:rPr>
          <w:lang w:val="es-AR"/>
        </w:rPr>
        <w:t xml:space="preserve">instrumentos </w:t>
      </w:r>
      <w:r w:rsidR="003F66D6">
        <w:rPr>
          <w:lang w:val="es-AR"/>
        </w:rPr>
        <w:t xml:space="preserve">de los que forman </w:t>
      </w:r>
      <w:r w:rsidRPr="000033F2">
        <w:rPr>
          <w:lang w:val="es-AR"/>
        </w:rPr>
        <w:t>parte, observando que la experiencia adquiri</w:t>
      </w:r>
      <w:r w:rsidR="003F66D6">
        <w:rPr>
          <w:lang w:val="es-AR"/>
        </w:rPr>
        <w:t>da</w:t>
      </w:r>
      <w:r w:rsidRPr="000033F2">
        <w:rPr>
          <w:lang w:val="es-AR"/>
        </w:rPr>
        <w:t xml:space="preserve"> con estas iniciativas podría </w:t>
      </w:r>
      <w:r w:rsidR="00F33AF6">
        <w:rPr>
          <w:lang w:val="es-AR"/>
        </w:rPr>
        <w:t xml:space="preserve">servir </w:t>
      </w:r>
      <w:r w:rsidRPr="000033F2">
        <w:rPr>
          <w:lang w:val="es-AR"/>
        </w:rPr>
        <w:t>para la cooperación transfronteriza en el contexto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de Nagoya.</w:t>
      </w:r>
      <w:r w:rsidRPr="000033F2">
        <w:rPr>
          <w:vertAlign w:val="superscript"/>
          <w:lang w:val="es-AR"/>
        </w:rPr>
        <w:footnoteReference w:id="54"/>
      </w:r>
      <w:r w:rsidRPr="000033F2">
        <w:rPr>
          <w:lang w:val="es-AR"/>
        </w:rPr>
        <w:t xml:space="preserve"> Por ejemplo: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lang w:val="es-AR"/>
        </w:rPr>
      </w:pPr>
      <w:r w:rsidRPr="000033F2">
        <w:rPr>
          <w:lang w:val="es-AR"/>
        </w:rPr>
        <w:t xml:space="preserve">Uganda explicó que la cooperación </w:t>
      </w:r>
      <w:r w:rsidR="004878EB">
        <w:rPr>
          <w:lang w:val="es-AR"/>
        </w:rPr>
        <w:t xml:space="preserve">se hizo </w:t>
      </w:r>
      <w:r w:rsidRPr="000033F2">
        <w:rPr>
          <w:lang w:val="es-AR"/>
        </w:rPr>
        <w:t>con</w:t>
      </w:r>
      <w:r w:rsidR="00A40A8C">
        <w:rPr>
          <w:lang w:val="es-AR"/>
        </w:rPr>
        <w:t xml:space="preserve"> el Protocolo</w:t>
      </w:r>
      <w:r w:rsidRPr="000033F2">
        <w:rPr>
          <w:lang w:val="es-AR"/>
        </w:rPr>
        <w:t xml:space="preserve"> de la </w:t>
      </w:r>
      <w:r w:rsidR="004878EB">
        <w:rPr>
          <w:lang w:val="es-AR"/>
        </w:rPr>
        <w:t>C</w:t>
      </w:r>
      <w:r w:rsidRPr="000033F2">
        <w:rPr>
          <w:lang w:val="es-AR"/>
        </w:rPr>
        <w:t xml:space="preserve">omunidad de África </w:t>
      </w:r>
      <w:r w:rsidR="004878EB">
        <w:rPr>
          <w:lang w:val="es-AR"/>
        </w:rPr>
        <w:t xml:space="preserve">Oriental sobre </w:t>
      </w:r>
      <w:r w:rsidRPr="000033F2">
        <w:rPr>
          <w:lang w:val="es-AR"/>
        </w:rPr>
        <w:t xml:space="preserve">la </w:t>
      </w:r>
      <w:r w:rsidR="004878EB">
        <w:rPr>
          <w:lang w:val="es-AR"/>
        </w:rPr>
        <w:t>G</w:t>
      </w:r>
      <w:r w:rsidRPr="000033F2">
        <w:rPr>
          <w:lang w:val="es-AR"/>
        </w:rPr>
        <w:t xml:space="preserve">estión del </w:t>
      </w:r>
      <w:r w:rsidR="004878EB">
        <w:rPr>
          <w:lang w:val="es-AR"/>
        </w:rPr>
        <w:t>M</w:t>
      </w:r>
      <w:r w:rsidRPr="000033F2">
        <w:rPr>
          <w:lang w:val="es-AR"/>
        </w:rPr>
        <w:t xml:space="preserve">edio </w:t>
      </w:r>
      <w:r w:rsidR="004878EB">
        <w:rPr>
          <w:lang w:val="es-AR"/>
        </w:rPr>
        <w:t>A</w:t>
      </w:r>
      <w:r w:rsidRPr="000033F2">
        <w:rPr>
          <w:lang w:val="es-AR"/>
        </w:rPr>
        <w:t xml:space="preserve">mbiente y </w:t>
      </w:r>
      <w:r w:rsidR="004878EB">
        <w:rPr>
          <w:lang w:val="es-AR"/>
        </w:rPr>
        <w:t>R</w:t>
      </w:r>
      <w:r w:rsidRPr="000033F2">
        <w:rPr>
          <w:lang w:val="es-AR"/>
        </w:rPr>
        <w:t xml:space="preserve">ecursos </w:t>
      </w:r>
      <w:r w:rsidR="004878EB">
        <w:rPr>
          <w:lang w:val="es-AR"/>
        </w:rPr>
        <w:t>N</w:t>
      </w:r>
      <w:r w:rsidRPr="000033F2">
        <w:rPr>
          <w:lang w:val="es-AR"/>
        </w:rPr>
        <w:t xml:space="preserve">aturales que tiene disposiciones </w:t>
      </w:r>
      <w:r w:rsidR="004878EB">
        <w:rPr>
          <w:lang w:val="es-AR"/>
        </w:rPr>
        <w:t xml:space="preserve">sobre </w:t>
      </w:r>
      <w:r w:rsidRPr="000033F2">
        <w:rPr>
          <w:lang w:val="es-AR"/>
        </w:rPr>
        <w:t>el acceso y participación en los beneficios</w:t>
      </w:r>
      <w:r w:rsidRPr="000033F2">
        <w:rPr>
          <w:vertAlign w:val="superscript"/>
          <w:lang w:val="es-AR"/>
        </w:rPr>
        <w:footnoteReference w:id="55"/>
      </w:r>
      <w:r w:rsidRPr="000033F2">
        <w:rPr>
          <w:lang w:val="es-AR"/>
        </w:rPr>
        <w:t xml:space="preserve"> y </w:t>
      </w:r>
      <w:r w:rsidR="00F33AF6">
        <w:rPr>
          <w:lang w:val="es-AR"/>
        </w:rPr>
        <w:t xml:space="preserve">a través de </w:t>
      </w:r>
      <w:r w:rsidRPr="000033F2">
        <w:rPr>
          <w:lang w:val="es-AR"/>
        </w:rPr>
        <w:t>varios proyectos, programas y acuerdos transfronterizos entre Uganda y los países vecinos;</w:t>
      </w:r>
      <w:r w:rsidRPr="000033F2">
        <w:rPr>
          <w:vertAlign w:val="superscript"/>
          <w:lang w:val="es-AR"/>
        </w:rPr>
        <w:footnoteReference w:id="56"/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lang w:val="es-AR"/>
        </w:rPr>
      </w:pPr>
      <w:r w:rsidRPr="000033F2">
        <w:rPr>
          <w:lang w:val="es-AR"/>
        </w:rPr>
        <w:t xml:space="preserve">India </w:t>
      </w:r>
      <w:r w:rsidR="00110BFC">
        <w:rPr>
          <w:lang w:val="es-AR"/>
        </w:rPr>
        <w:t>inform</w:t>
      </w:r>
      <w:r w:rsidR="004878EB">
        <w:rPr>
          <w:lang w:val="es-AR"/>
        </w:rPr>
        <w:t>ó</w:t>
      </w:r>
      <w:r w:rsidRPr="000033F2">
        <w:rPr>
          <w:lang w:val="es-AR"/>
        </w:rPr>
        <w:t xml:space="preserve"> sobre </w:t>
      </w:r>
      <w:r w:rsidR="005E113E">
        <w:rPr>
          <w:lang w:val="es-AR"/>
        </w:rPr>
        <w:t>proyectos de cooperación</w:t>
      </w:r>
      <w:r w:rsidRPr="000033F2">
        <w:rPr>
          <w:lang w:val="es-AR"/>
        </w:rPr>
        <w:t xml:space="preserve"> con otros países de la región, como el </w:t>
      </w:r>
      <w:r w:rsidR="004878EB">
        <w:rPr>
          <w:lang w:val="es-AR"/>
        </w:rPr>
        <w:t>P</w:t>
      </w:r>
      <w:r w:rsidRPr="000033F2">
        <w:rPr>
          <w:lang w:val="es-AR"/>
        </w:rPr>
        <w:t xml:space="preserve">royecto del </w:t>
      </w:r>
      <w:r w:rsidR="004878EB">
        <w:rPr>
          <w:lang w:val="es-AR"/>
        </w:rPr>
        <w:t>P</w:t>
      </w:r>
      <w:r w:rsidRPr="000033F2">
        <w:rPr>
          <w:lang w:val="es-AR"/>
        </w:rPr>
        <w:t xml:space="preserve">aisaje de </w:t>
      </w:r>
      <w:proofErr w:type="spellStart"/>
      <w:r w:rsidRPr="000033F2">
        <w:rPr>
          <w:lang w:val="es-AR"/>
        </w:rPr>
        <w:t>Kailash</w:t>
      </w:r>
      <w:proofErr w:type="spellEnd"/>
      <w:r w:rsidRPr="000033F2">
        <w:rPr>
          <w:lang w:val="es-AR"/>
        </w:rPr>
        <w:t xml:space="preserve"> (un lugar </w:t>
      </w:r>
      <w:r w:rsidR="004878EB">
        <w:rPr>
          <w:lang w:val="es-AR"/>
        </w:rPr>
        <w:t xml:space="preserve">sagrado </w:t>
      </w:r>
      <w:r w:rsidRPr="000033F2">
        <w:rPr>
          <w:lang w:val="es-AR"/>
        </w:rPr>
        <w:t xml:space="preserve">transfronterizo) y </w:t>
      </w:r>
      <w:r w:rsidR="004878EB">
        <w:rPr>
          <w:lang w:val="es-AR"/>
        </w:rPr>
        <w:t>el P</w:t>
      </w:r>
      <w:r w:rsidRPr="000033F2">
        <w:rPr>
          <w:lang w:val="es-AR"/>
        </w:rPr>
        <w:t xml:space="preserve">royecto del </w:t>
      </w:r>
      <w:r w:rsidR="004878EB">
        <w:rPr>
          <w:lang w:val="es-AR"/>
        </w:rPr>
        <w:t>G</w:t>
      </w:r>
      <w:r w:rsidRPr="000033F2">
        <w:rPr>
          <w:lang w:val="es-AR"/>
        </w:rPr>
        <w:t xml:space="preserve">ran </w:t>
      </w:r>
      <w:r w:rsidR="004878EB">
        <w:rPr>
          <w:lang w:val="es-AR"/>
        </w:rPr>
        <w:t>E</w:t>
      </w:r>
      <w:r w:rsidRPr="000033F2">
        <w:rPr>
          <w:lang w:val="es-AR"/>
        </w:rPr>
        <w:t xml:space="preserve">cosistema </w:t>
      </w:r>
      <w:r w:rsidR="004878EB">
        <w:rPr>
          <w:lang w:val="es-AR"/>
        </w:rPr>
        <w:t>M</w:t>
      </w:r>
      <w:r w:rsidRPr="000033F2">
        <w:rPr>
          <w:lang w:val="es-AR"/>
        </w:rPr>
        <w:t>arino de</w:t>
      </w:r>
      <w:r w:rsidR="004878EB">
        <w:rPr>
          <w:lang w:val="es-AR"/>
        </w:rPr>
        <w:t xml:space="preserve"> la Bahía de</w:t>
      </w:r>
      <w:r w:rsidRPr="000033F2">
        <w:rPr>
          <w:lang w:val="es-AR"/>
        </w:rPr>
        <w:t xml:space="preserve"> Bengala (un</w:t>
      </w:r>
      <w:r w:rsidR="004878EB">
        <w:rPr>
          <w:lang w:val="es-AR"/>
        </w:rPr>
        <w:t>a zona protegida marina y costera</w:t>
      </w:r>
      <w:r w:rsidRPr="000033F2">
        <w:rPr>
          <w:lang w:val="es-AR"/>
        </w:rPr>
        <w:t>);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lang w:val="es-AR"/>
        </w:rPr>
      </w:pPr>
      <w:proofErr w:type="spellStart"/>
      <w:r w:rsidRPr="000033F2">
        <w:rPr>
          <w:lang w:val="es-AR"/>
        </w:rPr>
        <w:t>Belarús</w:t>
      </w:r>
      <w:proofErr w:type="spellEnd"/>
      <w:r w:rsidRPr="000033F2">
        <w:rPr>
          <w:lang w:val="es-AR"/>
        </w:rPr>
        <w:t xml:space="preserve"> ejecut</w:t>
      </w:r>
      <w:r w:rsidR="004878EB">
        <w:rPr>
          <w:lang w:val="es-AR"/>
        </w:rPr>
        <w:t>ó</w:t>
      </w:r>
      <w:r w:rsidRPr="000033F2">
        <w:rPr>
          <w:lang w:val="es-AR"/>
        </w:rPr>
        <w:t xml:space="preserve"> proyectos </w:t>
      </w:r>
      <w:r w:rsidR="004878EB">
        <w:rPr>
          <w:lang w:val="es-AR"/>
        </w:rPr>
        <w:t xml:space="preserve">conjuntos </w:t>
      </w:r>
      <w:r w:rsidRPr="000033F2">
        <w:rPr>
          <w:lang w:val="es-AR"/>
        </w:rPr>
        <w:t xml:space="preserve">en el marco del </w:t>
      </w:r>
      <w:r w:rsidR="004878EB">
        <w:rPr>
          <w:lang w:val="es-AR"/>
        </w:rPr>
        <w:t>P</w:t>
      </w:r>
      <w:r w:rsidRPr="000033F2">
        <w:rPr>
          <w:lang w:val="es-AR"/>
        </w:rPr>
        <w:t xml:space="preserve">rograma de </w:t>
      </w:r>
      <w:r w:rsidR="004878EB">
        <w:rPr>
          <w:lang w:val="es-AR"/>
        </w:rPr>
        <w:t>C</w:t>
      </w:r>
      <w:r w:rsidRPr="000033F2">
        <w:rPr>
          <w:lang w:val="es-AR"/>
        </w:rPr>
        <w:t xml:space="preserve">ooperación </w:t>
      </w:r>
      <w:r w:rsidR="004878EB">
        <w:rPr>
          <w:lang w:val="es-AR"/>
        </w:rPr>
        <w:t>Trans</w:t>
      </w:r>
      <w:r w:rsidRPr="000033F2">
        <w:rPr>
          <w:lang w:val="es-AR"/>
        </w:rPr>
        <w:t>fronteriz</w:t>
      </w:r>
      <w:r w:rsidR="00F33AF6">
        <w:rPr>
          <w:lang w:val="es-AR"/>
        </w:rPr>
        <w:t>a</w:t>
      </w:r>
      <w:r w:rsidRPr="000033F2">
        <w:rPr>
          <w:lang w:val="es-AR"/>
        </w:rPr>
        <w:t>, Polonia-</w:t>
      </w:r>
      <w:proofErr w:type="spellStart"/>
      <w:r w:rsidRPr="000033F2">
        <w:rPr>
          <w:lang w:val="es-AR"/>
        </w:rPr>
        <w:t>Belarús</w:t>
      </w:r>
      <w:proofErr w:type="spellEnd"/>
      <w:r w:rsidRPr="000033F2">
        <w:rPr>
          <w:lang w:val="es-AR"/>
        </w:rPr>
        <w:t xml:space="preserve">-Ucrania </w:t>
      </w:r>
      <w:r w:rsidR="005E113E">
        <w:rPr>
          <w:lang w:val="es-AR"/>
        </w:rPr>
        <w:t xml:space="preserve">de </w:t>
      </w:r>
      <w:r w:rsidRPr="000033F2">
        <w:rPr>
          <w:lang w:val="es-AR"/>
        </w:rPr>
        <w:t>2014-2020.</w:t>
      </w:r>
    </w:p>
    <w:p w:rsidR="00FB79CA" w:rsidRPr="000033F2" w:rsidRDefault="00635DA0">
      <w:pPr>
        <w:pStyle w:val="Para1"/>
        <w:numPr>
          <w:ilvl w:val="0"/>
          <w:numId w:val="0"/>
        </w:numPr>
        <w:rPr>
          <w:i/>
          <w:lang w:val="es-AR"/>
        </w:rPr>
      </w:pPr>
      <w:r w:rsidRPr="000033F2">
        <w:rPr>
          <w:i/>
          <w:lang w:val="es-AR"/>
        </w:rPr>
        <w:t xml:space="preserve">b) </w:t>
      </w:r>
      <w:r w:rsidR="004878EB">
        <w:rPr>
          <w:i/>
          <w:lang w:val="es-AR"/>
        </w:rPr>
        <w:t>P</w:t>
      </w:r>
      <w:r w:rsidRPr="000033F2">
        <w:rPr>
          <w:i/>
          <w:lang w:val="es-AR"/>
        </w:rPr>
        <w:t xml:space="preserve">aíses que </w:t>
      </w:r>
      <w:r w:rsidR="009B2BB5">
        <w:rPr>
          <w:i/>
          <w:lang w:val="es-AR"/>
        </w:rPr>
        <w:t>contestaron negativamente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57"/>
      </w:r>
      <w:r w:rsidRPr="000033F2">
        <w:rPr>
          <w:rFonts w:eastAsia="Calibri"/>
          <w:kern w:val="22"/>
          <w:lang w:val="es-AR"/>
        </w:rPr>
        <w:t xml:space="preserve"> aclararon que la pregunta no</w:t>
      </w:r>
      <w:r w:rsidR="005E113E">
        <w:rPr>
          <w:rFonts w:eastAsia="Calibri"/>
          <w:kern w:val="22"/>
          <w:lang w:val="es-AR"/>
        </w:rPr>
        <w:t xml:space="preserve"> </w:t>
      </w:r>
      <w:r w:rsidR="00F33AF6">
        <w:rPr>
          <w:rFonts w:eastAsia="Calibri"/>
          <w:kern w:val="22"/>
          <w:lang w:val="es-AR"/>
        </w:rPr>
        <w:t xml:space="preserve">se aplicaba a </w:t>
      </w:r>
      <w:r w:rsidRPr="000033F2">
        <w:rPr>
          <w:rFonts w:eastAsia="Calibri"/>
          <w:kern w:val="22"/>
          <w:lang w:val="es-AR"/>
        </w:rPr>
        <w:t>ellos</w:t>
      </w:r>
      <w:r w:rsidR="004878EB">
        <w:rPr>
          <w:rFonts w:eastAsia="Calibri"/>
          <w:kern w:val="22"/>
          <w:lang w:val="es-AR"/>
        </w:rPr>
        <w:t>,</w:t>
      </w:r>
      <w:r w:rsidRPr="000033F2">
        <w:rPr>
          <w:rFonts w:eastAsia="Calibri"/>
          <w:kern w:val="22"/>
          <w:lang w:val="es-AR"/>
        </w:rPr>
        <w:t xml:space="preserve"> pues</w:t>
      </w:r>
      <w:r w:rsidR="004878EB">
        <w:rPr>
          <w:rFonts w:eastAsia="Calibri"/>
          <w:kern w:val="22"/>
          <w:lang w:val="es-AR"/>
        </w:rPr>
        <w:t xml:space="preserve">to que </w:t>
      </w:r>
      <w:r w:rsidR="004878EB" w:rsidRPr="000033F2">
        <w:rPr>
          <w:rFonts w:eastAsia="Calibri"/>
          <w:kern w:val="22"/>
          <w:lang w:val="es-AR"/>
        </w:rPr>
        <w:t>en sus países</w:t>
      </w:r>
      <w:r w:rsidRPr="000033F2">
        <w:rPr>
          <w:rFonts w:eastAsia="Calibri"/>
          <w:kern w:val="22"/>
          <w:lang w:val="es-AR"/>
        </w:rPr>
        <w:t xml:space="preserve"> no </w:t>
      </w:r>
      <w:r w:rsidR="005E113E">
        <w:rPr>
          <w:rFonts w:eastAsia="Calibri"/>
          <w:kern w:val="22"/>
          <w:lang w:val="es-AR"/>
        </w:rPr>
        <w:t xml:space="preserve">hay </w:t>
      </w:r>
      <w:r w:rsidRPr="000033F2">
        <w:rPr>
          <w:rFonts w:eastAsia="Calibri"/>
          <w:kern w:val="22"/>
          <w:lang w:val="es-AR"/>
        </w:rPr>
        <w:t xml:space="preserve">ningún requisito </w:t>
      </w:r>
      <w:r w:rsidR="004878EB">
        <w:rPr>
          <w:rFonts w:eastAsia="Calibri"/>
          <w:kern w:val="22"/>
          <w:lang w:val="es-AR"/>
        </w:rPr>
        <w:t xml:space="preserve">para </w:t>
      </w:r>
      <w:r w:rsidRPr="000033F2">
        <w:rPr>
          <w:rFonts w:eastAsia="Calibri"/>
          <w:kern w:val="22"/>
          <w:lang w:val="es-AR"/>
        </w:rPr>
        <w:t>el acceso y/o</w:t>
      </w:r>
      <w:r w:rsidR="004878EB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no hay </w:t>
      </w:r>
      <w:r w:rsidR="00BA6E1E">
        <w:rPr>
          <w:rFonts w:eastAsia="Calibri"/>
          <w:kern w:val="22"/>
          <w:lang w:val="es-AR"/>
        </w:rPr>
        <w:t>pueblos indígenas</w:t>
      </w:r>
      <w:r w:rsidR="00F33AF6">
        <w:rPr>
          <w:rFonts w:eastAsia="Calibri"/>
          <w:kern w:val="22"/>
          <w:lang w:val="es-AR"/>
        </w:rPr>
        <w:t xml:space="preserve"> y comunidades locales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58"/>
      </w:r>
      <w:r w:rsidRPr="000033F2">
        <w:rPr>
          <w:rFonts w:eastAsia="Calibri"/>
          <w:kern w:val="22"/>
          <w:lang w:val="es-AR"/>
        </w:rPr>
        <w:t xml:space="preserve"> dijeron que si se </w:t>
      </w:r>
      <w:r w:rsidR="004878EB">
        <w:rPr>
          <w:rFonts w:eastAsia="Calibri"/>
          <w:kern w:val="22"/>
          <w:lang w:val="es-AR"/>
        </w:rPr>
        <w:t xml:space="preserve">da </w:t>
      </w:r>
      <w:r w:rsidRPr="000033F2">
        <w:rPr>
          <w:rFonts w:eastAsia="Calibri"/>
          <w:kern w:val="22"/>
          <w:lang w:val="es-AR"/>
        </w:rPr>
        <w:t xml:space="preserve">el caso se </w:t>
      </w:r>
      <w:r w:rsidR="0066338B">
        <w:rPr>
          <w:rFonts w:eastAsia="Calibri"/>
          <w:kern w:val="22"/>
          <w:lang w:val="es-AR"/>
        </w:rPr>
        <w:t>esfuerzan por</w:t>
      </w:r>
      <w:r w:rsidRPr="000033F2">
        <w:rPr>
          <w:rFonts w:eastAsia="Calibri"/>
          <w:kern w:val="22"/>
          <w:lang w:val="es-AR"/>
        </w:rPr>
        <w:t xml:space="preserve"> cooperar y otros países explicaron que planeaban incorporar este aspecto en sus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rStyle w:val="FootnoteReference"/>
          <w:rFonts w:eastAsia="Calibri"/>
          <w:kern w:val="22"/>
          <w:lang w:val="es-AR"/>
        </w:rPr>
        <w:footnoteReference w:id="59"/>
      </w:r>
      <w:r w:rsidRPr="000033F2">
        <w:rPr>
          <w:lang w:val="es-AR"/>
        </w:rPr>
        <w:t xml:space="preserve"> </w:t>
      </w:r>
      <w:r w:rsidR="004878EB">
        <w:rPr>
          <w:lang w:val="es-AR"/>
        </w:rPr>
        <w:t xml:space="preserve">Algunos proporcionaron </w:t>
      </w:r>
      <w:r w:rsidRPr="000033F2">
        <w:rPr>
          <w:rFonts w:eastAsia="Calibri"/>
          <w:kern w:val="22"/>
          <w:lang w:val="es-AR"/>
        </w:rPr>
        <w:t>información sobre sus experiencias en l</w:t>
      </w:r>
      <w:r w:rsidR="004878EB">
        <w:rPr>
          <w:rFonts w:eastAsia="Calibri"/>
          <w:kern w:val="22"/>
          <w:lang w:val="es-AR"/>
        </w:rPr>
        <w:t>a gestión</w:t>
      </w:r>
      <w:r w:rsidRPr="000033F2">
        <w:rPr>
          <w:rFonts w:eastAsia="Calibri"/>
          <w:kern w:val="22"/>
          <w:lang w:val="es-AR"/>
        </w:rPr>
        <w:t xml:space="preserve"> de parques regionales </w:t>
      </w:r>
      <w:r w:rsidR="004878EB">
        <w:rPr>
          <w:rFonts w:eastAsia="Calibri"/>
          <w:kern w:val="22"/>
          <w:lang w:val="es-AR"/>
        </w:rPr>
        <w:t>u</w:t>
      </w:r>
      <w:r w:rsidRPr="000033F2">
        <w:rPr>
          <w:rFonts w:eastAsia="Calibri"/>
          <w:kern w:val="22"/>
          <w:lang w:val="es-AR"/>
        </w:rPr>
        <w:t xml:space="preserve"> otros proyectos de cooperación regional.</w:t>
      </w:r>
      <w:r w:rsidRPr="000033F2">
        <w:rPr>
          <w:rStyle w:val="FootnoteReference"/>
          <w:rFonts w:eastAsia="Calibri"/>
          <w:kern w:val="22"/>
          <w:lang w:val="es-AR"/>
        </w:rPr>
        <w:footnoteReference w:id="60"/>
      </w:r>
    </w:p>
    <w:p w:rsidR="00FB79CA" w:rsidRPr="000033F2" w:rsidRDefault="004878EB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rFonts w:eastAsia="Calibri"/>
          <w:kern w:val="22"/>
          <w:lang w:val="es-AR"/>
        </w:rPr>
        <w:t>Se menci</w:t>
      </w:r>
      <w:r w:rsidR="00F33AF6">
        <w:rPr>
          <w:rFonts w:eastAsia="Calibri"/>
          <w:kern w:val="22"/>
          <w:lang w:val="es-AR"/>
        </w:rPr>
        <w:t>o</w:t>
      </w:r>
      <w:r>
        <w:rPr>
          <w:rFonts w:eastAsia="Calibri"/>
          <w:kern w:val="22"/>
          <w:lang w:val="es-AR"/>
        </w:rPr>
        <w:t>nó l</w:t>
      </w:r>
      <w:r w:rsidR="00635DA0" w:rsidRPr="000033F2">
        <w:rPr>
          <w:rFonts w:eastAsia="Calibri"/>
          <w:kern w:val="22"/>
          <w:lang w:val="es-AR"/>
        </w:rPr>
        <w:t xml:space="preserve">a estrategia subregional </w:t>
      </w:r>
      <w:r>
        <w:rPr>
          <w:rFonts w:eastAsia="Calibri"/>
          <w:kern w:val="22"/>
          <w:lang w:val="es-AR"/>
        </w:rPr>
        <w:t>sobre</w:t>
      </w:r>
      <w:r w:rsidR="00635DA0" w:rsidRPr="000033F2">
        <w:rPr>
          <w:rFonts w:eastAsia="Calibri"/>
          <w:kern w:val="22"/>
          <w:lang w:val="es-AR"/>
        </w:rPr>
        <w:t xml:space="preserve"> el acceso y participación en los beneficios desarrollad</w:t>
      </w:r>
      <w:r>
        <w:rPr>
          <w:rFonts w:eastAsia="Calibri"/>
          <w:kern w:val="22"/>
          <w:lang w:val="es-AR"/>
        </w:rPr>
        <w:t>a</w:t>
      </w:r>
      <w:r w:rsidR="00635DA0" w:rsidRPr="000033F2">
        <w:rPr>
          <w:rFonts w:eastAsia="Calibri"/>
          <w:kern w:val="22"/>
          <w:lang w:val="es-AR"/>
        </w:rPr>
        <w:t xml:space="preserve"> por la Comisión </w:t>
      </w:r>
      <w:r>
        <w:rPr>
          <w:rFonts w:eastAsia="Calibri"/>
          <w:kern w:val="22"/>
          <w:lang w:val="es-AR"/>
        </w:rPr>
        <w:t>de los Bosques de África Central</w:t>
      </w:r>
      <w:r w:rsidR="00635DA0" w:rsidRPr="000033F2">
        <w:rPr>
          <w:rFonts w:eastAsia="Calibri"/>
          <w:kern w:val="22"/>
          <w:lang w:val="es-AR"/>
        </w:rPr>
        <w:t xml:space="preserve"> (COMIFAC</w:t>
      </w:r>
      <w:r w:rsidR="00895863">
        <w:rPr>
          <w:rFonts w:eastAsia="Calibri"/>
          <w:kern w:val="22"/>
          <w:lang w:val="es-AR"/>
        </w:rPr>
        <w:t>, por su sigla en inglés</w:t>
      </w:r>
      <w:r w:rsidR="00635DA0" w:rsidRPr="000033F2">
        <w:rPr>
          <w:rFonts w:eastAsia="Calibri"/>
          <w:kern w:val="22"/>
          <w:lang w:val="es-AR"/>
        </w:rPr>
        <w:t>), y un país</w:t>
      </w:r>
      <w:r w:rsidR="00635DA0" w:rsidRPr="000033F2">
        <w:rPr>
          <w:rStyle w:val="FootnoteReference"/>
          <w:rFonts w:eastAsia="Calibri"/>
          <w:kern w:val="22"/>
          <w:lang w:val="es-AR"/>
        </w:rPr>
        <w:footnoteReference w:id="61"/>
      </w:r>
      <w:r w:rsidR="00635DA0" w:rsidRPr="000033F2">
        <w:rPr>
          <w:rFonts w:eastAsia="Calibri"/>
          <w:kern w:val="22"/>
          <w:lang w:val="es-AR"/>
        </w:rPr>
        <w:t xml:space="preserve"> indicó que planea tener un proyecto bajo </w:t>
      </w:r>
      <w:r w:rsidR="000033F2">
        <w:rPr>
          <w:rFonts w:eastAsia="Calibri"/>
          <w:kern w:val="22"/>
          <w:lang w:val="es-AR"/>
        </w:rPr>
        <w:t>el FMAM</w:t>
      </w:r>
      <w:r w:rsidR="00635DA0" w:rsidRPr="000033F2">
        <w:rPr>
          <w:rFonts w:eastAsia="Calibri"/>
          <w:kern w:val="22"/>
          <w:lang w:val="es-AR"/>
        </w:rPr>
        <w:t>-7 con un componente nacional y subregional que podría abordar esta cuestión.</w:t>
      </w:r>
    </w:p>
    <w:p w:rsidR="00FB79CA" w:rsidRPr="000033F2" w:rsidRDefault="00635DA0">
      <w:pPr>
        <w:pStyle w:val="Heading3"/>
        <w:numPr>
          <w:ilvl w:val="0"/>
          <w:numId w:val="13"/>
        </w:numPr>
        <w:tabs>
          <w:tab w:val="clear" w:pos="567"/>
        </w:tabs>
        <w:jc w:val="left"/>
        <w:rPr>
          <w:snapToGrid w:val="0"/>
          <w:kern w:val="22"/>
          <w:lang w:val="es-AR"/>
        </w:rPr>
      </w:pPr>
      <w:r w:rsidRPr="000033F2">
        <w:rPr>
          <w:snapToGrid w:val="0"/>
          <w:kern w:val="22"/>
          <w:lang w:val="es-AR"/>
        </w:rPr>
        <w:t xml:space="preserve">¿Su país se </w:t>
      </w:r>
      <w:r w:rsidR="004878EB">
        <w:rPr>
          <w:snapToGrid w:val="0"/>
          <w:kern w:val="22"/>
          <w:lang w:val="es-AR"/>
        </w:rPr>
        <w:t>esf</w:t>
      </w:r>
      <w:r w:rsidR="00F33AF6">
        <w:rPr>
          <w:snapToGrid w:val="0"/>
          <w:kern w:val="22"/>
          <w:lang w:val="es-AR"/>
        </w:rPr>
        <w:t xml:space="preserve">uerza </w:t>
      </w:r>
      <w:r w:rsidR="004878EB">
        <w:rPr>
          <w:snapToGrid w:val="0"/>
          <w:kern w:val="22"/>
          <w:lang w:val="es-AR"/>
        </w:rPr>
        <w:t xml:space="preserve">por cooperar </w:t>
      </w:r>
      <w:r w:rsidRPr="000033F2">
        <w:rPr>
          <w:snapToGrid w:val="0"/>
          <w:kern w:val="22"/>
          <w:lang w:val="es-AR"/>
        </w:rPr>
        <w:t xml:space="preserve">con </w:t>
      </w:r>
      <w:r w:rsidR="004878EB">
        <w:rPr>
          <w:snapToGrid w:val="0"/>
          <w:kern w:val="22"/>
          <w:lang w:val="es-AR"/>
        </w:rPr>
        <w:t xml:space="preserve">el fin </w:t>
      </w:r>
      <w:r w:rsidRPr="000033F2">
        <w:rPr>
          <w:snapToGrid w:val="0"/>
          <w:kern w:val="22"/>
          <w:lang w:val="es-AR"/>
        </w:rPr>
        <w:t>de aplicar</w:t>
      </w:r>
      <w:r w:rsidR="00A40A8C">
        <w:rPr>
          <w:snapToGrid w:val="0"/>
          <w:kern w:val="22"/>
          <w:lang w:val="es-AR"/>
        </w:rPr>
        <w:t xml:space="preserve"> el Protocolo</w:t>
      </w:r>
      <w:r w:rsidRPr="000033F2">
        <w:rPr>
          <w:snapToGrid w:val="0"/>
          <w:kern w:val="22"/>
          <w:lang w:val="es-AR"/>
        </w:rPr>
        <w:t xml:space="preserve"> en los casos donde los mismos conocimientos tradicionales asociados a los recursos genéticos son compartidos por un</w:t>
      </w:r>
      <w:r w:rsidR="004878EB">
        <w:rPr>
          <w:snapToGrid w:val="0"/>
          <w:kern w:val="22"/>
          <w:lang w:val="es-AR"/>
        </w:rPr>
        <w:t>a</w:t>
      </w:r>
      <w:r w:rsidRPr="000033F2">
        <w:rPr>
          <w:snapToGrid w:val="0"/>
          <w:kern w:val="22"/>
          <w:lang w:val="es-AR"/>
        </w:rPr>
        <w:t xml:space="preserve"> o más</w:t>
      </w:r>
      <w:r w:rsidR="004878EB">
        <w:rPr>
          <w:snapToGrid w:val="0"/>
          <w:kern w:val="22"/>
          <w:lang w:val="es-AR"/>
        </w:rPr>
        <w:t xml:space="preserve"> comunidades</w:t>
      </w:r>
      <w:r w:rsidRPr="000033F2">
        <w:rPr>
          <w:snapToGrid w:val="0"/>
          <w:kern w:val="22"/>
          <w:lang w:val="es-AR"/>
        </w:rPr>
        <w:t xml:space="preserve"> indígena</w:t>
      </w:r>
      <w:r w:rsidR="004878EB">
        <w:rPr>
          <w:snapToGrid w:val="0"/>
          <w:kern w:val="22"/>
          <w:lang w:val="es-AR"/>
        </w:rPr>
        <w:t>s</w:t>
      </w:r>
      <w:r w:rsidRPr="000033F2">
        <w:rPr>
          <w:snapToGrid w:val="0"/>
          <w:kern w:val="22"/>
          <w:lang w:val="es-AR"/>
        </w:rPr>
        <w:t xml:space="preserve"> y local</w:t>
      </w:r>
      <w:r w:rsidR="004878EB">
        <w:rPr>
          <w:snapToGrid w:val="0"/>
          <w:kern w:val="22"/>
          <w:lang w:val="es-AR"/>
        </w:rPr>
        <w:t>es</w:t>
      </w:r>
      <w:r w:rsidRPr="000033F2">
        <w:rPr>
          <w:snapToGrid w:val="0"/>
          <w:kern w:val="22"/>
          <w:lang w:val="es-AR"/>
        </w:rPr>
        <w:t xml:space="preserve"> en varias Partes</w:t>
      </w:r>
      <w:r w:rsidR="004878EB">
        <w:rPr>
          <w:snapToGrid w:val="0"/>
          <w:kern w:val="22"/>
          <w:lang w:val="es-AR"/>
        </w:rPr>
        <w:t>,</w:t>
      </w:r>
      <w:r w:rsidRPr="000033F2">
        <w:rPr>
          <w:snapToGrid w:val="0"/>
          <w:kern w:val="22"/>
          <w:lang w:val="es-AR"/>
        </w:rPr>
        <w:t xml:space="preserve"> </w:t>
      </w:r>
      <w:r w:rsidR="00F33AF6">
        <w:rPr>
          <w:snapToGrid w:val="0"/>
          <w:kern w:val="22"/>
          <w:lang w:val="es-AR"/>
        </w:rPr>
        <w:t xml:space="preserve">según lo estipulado en </w:t>
      </w:r>
      <w:r w:rsidRPr="000033F2">
        <w:rPr>
          <w:snapToGrid w:val="0"/>
          <w:kern w:val="22"/>
          <w:lang w:val="es-AR"/>
        </w:rPr>
        <w:t xml:space="preserve">el </w:t>
      </w:r>
      <w:r w:rsidR="000033F2">
        <w:rPr>
          <w:snapToGrid w:val="0"/>
          <w:kern w:val="22"/>
          <w:lang w:val="es-AR"/>
        </w:rPr>
        <w:t>Artículo</w:t>
      </w:r>
      <w:r w:rsidRPr="000033F2">
        <w:rPr>
          <w:snapToGrid w:val="0"/>
          <w:kern w:val="22"/>
          <w:lang w:val="es-AR"/>
        </w:rPr>
        <w:t xml:space="preserve"> 1</w:t>
      </w:r>
      <w:r w:rsidR="000033F2" w:rsidRPr="000033F2">
        <w:rPr>
          <w:snapToGrid w:val="0"/>
          <w:kern w:val="22"/>
          <w:lang w:val="es-AR"/>
        </w:rPr>
        <w:t>1</w:t>
      </w:r>
      <w:r w:rsidR="004878EB">
        <w:rPr>
          <w:snapToGrid w:val="0"/>
          <w:kern w:val="22"/>
          <w:lang w:val="es-AR"/>
        </w:rPr>
        <w:t>.</w:t>
      </w:r>
      <w:r w:rsidR="000033F2" w:rsidRPr="000033F2">
        <w:rPr>
          <w:snapToGrid w:val="0"/>
          <w:kern w:val="22"/>
          <w:lang w:val="es-AR"/>
        </w:rPr>
        <w:t>2</w:t>
      </w:r>
      <w:r w:rsidRPr="000033F2">
        <w:rPr>
          <w:snapToGrid w:val="0"/>
          <w:kern w:val="22"/>
          <w:lang w:val="es-AR"/>
        </w:rPr>
        <w:t>?</w:t>
      </w:r>
      <w:r w:rsidRPr="000033F2">
        <w:rPr>
          <w:lang w:val="es-AR"/>
        </w:rPr>
        <w:t xml:space="preserve"> </w:t>
      </w:r>
      <w:r w:rsidRPr="000033F2">
        <w:rPr>
          <w:snapToGrid w:val="0"/>
          <w:kern w:val="22"/>
          <w:lang w:val="es-AR"/>
        </w:rPr>
        <w:t>(pregunta 49)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color w:val="00000A"/>
          <w:lang w:val="es-AR"/>
        </w:rPr>
        <w:t xml:space="preserve">Veintisiete Partes respondieron que se </w:t>
      </w:r>
      <w:r w:rsidR="004878EB">
        <w:rPr>
          <w:color w:val="00000A"/>
          <w:lang w:val="es-AR"/>
        </w:rPr>
        <w:t>esfuerzan</w:t>
      </w:r>
      <w:r w:rsidRPr="000033F2">
        <w:rPr>
          <w:color w:val="00000A"/>
          <w:lang w:val="es-AR"/>
        </w:rPr>
        <w:t xml:space="preserve"> p</w:t>
      </w:r>
      <w:r w:rsidR="004878EB">
        <w:rPr>
          <w:color w:val="00000A"/>
          <w:lang w:val="es-AR"/>
        </w:rPr>
        <w:t>or</w:t>
      </w:r>
      <w:r w:rsidRPr="000033F2">
        <w:rPr>
          <w:color w:val="00000A"/>
          <w:lang w:val="es-AR"/>
        </w:rPr>
        <w:t xml:space="preserve"> cooperar, mientras que veintiun</w:t>
      </w:r>
      <w:r w:rsidR="0066338B">
        <w:rPr>
          <w:color w:val="00000A"/>
          <w:lang w:val="es-AR"/>
        </w:rPr>
        <w:t>a</w:t>
      </w:r>
      <w:r w:rsidRPr="000033F2">
        <w:rPr>
          <w:color w:val="00000A"/>
          <w:lang w:val="es-AR"/>
        </w:rPr>
        <w:t xml:space="preserve"> Partes y </w:t>
      </w:r>
      <w:r w:rsidR="00A40A8C">
        <w:rPr>
          <w:color w:val="00000A"/>
          <w:lang w:val="es-AR"/>
        </w:rPr>
        <w:t>un estado que no es Parte</w:t>
      </w:r>
      <w:r w:rsidRPr="000033F2">
        <w:rPr>
          <w:color w:val="00000A"/>
          <w:lang w:val="es-AR"/>
        </w:rPr>
        <w:t xml:space="preserve"> contesta</w:t>
      </w:r>
      <w:r w:rsidR="0066338B">
        <w:rPr>
          <w:color w:val="00000A"/>
          <w:lang w:val="es-AR"/>
        </w:rPr>
        <w:t xml:space="preserve">ron </w:t>
      </w:r>
      <w:r w:rsidRPr="000033F2">
        <w:rPr>
          <w:color w:val="00000A"/>
          <w:lang w:val="es-AR"/>
        </w:rPr>
        <w:t>que no lo hacen, y veintiun</w:t>
      </w:r>
      <w:r w:rsidR="0066338B">
        <w:rPr>
          <w:color w:val="00000A"/>
          <w:lang w:val="es-AR"/>
        </w:rPr>
        <w:t>a</w:t>
      </w:r>
      <w:r w:rsidRPr="000033F2">
        <w:rPr>
          <w:color w:val="00000A"/>
          <w:lang w:val="es-AR"/>
        </w:rPr>
        <w:t xml:space="preserve"> Partes y cinco </w:t>
      </w:r>
      <w:r w:rsidR="00A27216">
        <w:rPr>
          <w:color w:val="00000A"/>
          <w:lang w:val="es-AR"/>
        </w:rPr>
        <w:t xml:space="preserve">estados </w:t>
      </w:r>
      <w:r w:rsidR="003804B6">
        <w:rPr>
          <w:color w:val="00000A"/>
          <w:lang w:val="es-AR"/>
        </w:rPr>
        <w:t xml:space="preserve">que no son Partes </w:t>
      </w:r>
      <w:r w:rsidR="005E113E">
        <w:rPr>
          <w:color w:val="00000A"/>
          <w:lang w:val="es-AR"/>
        </w:rPr>
        <w:t>respondieron</w:t>
      </w:r>
      <w:r w:rsidRPr="000033F2">
        <w:rPr>
          <w:color w:val="00000A"/>
          <w:lang w:val="es-AR"/>
        </w:rPr>
        <w:t xml:space="preserve"> que la pregunta no </w:t>
      </w:r>
      <w:r w:rsidR="00F33AF6">
        <w:rPr>
          <w:color w:val="00000A"/>
          <w:lang w:val="es-AR"/>
        </w:rPr>
        <w:t>se aplicaba a ellos</w:t>
      </w:r>
      <w:r w:rsidRPr="000033F2">
        <w:rPr>
          <w:color w:val="00000A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0"/>
        </w:numPr>
        <w:rPr>
          <w:lang w:val="es-AR"/>
        </w:rPr>
      </w:pPr>
      <w:r w:rsidRPr="000033F2">
        <w:rPr>
          <w:i/>
          <w:lang w:val="es-AR"/>
        </w:rPr>
        <w:t xml:space="preserve">a) </w:t>
      </w:r>
      <w:r w:rsidR="0066338B">
        <w:rPr>
          <w:i/>
          <w:lang w:val="es-AR"/>
        </w:rPr>
        <w:t>P</w:t>
      </w:r>
      <w:r w:rsidRPr="000033F2">
        <w:rPr>
          <w:i/>
          <w:lang w:val="es-AR"/>
        </w:rPr>
        <w:t xml:space="preserve">aíses que </w:t>
      </w:r>
      <w:r w:rsidR="009B2BB5">
        <w:rPr>
          <w:i/>
          <w:lang w:val="es-AR"/>
        </w:rPr>
        <w:t>contestaron afirmativamente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lastRenderedPageBreak/>
        <w:t xml:space="preserve">Varios países </w:t>
      </w:r>
      <w:r w:rsidR="00110BFC">
        <w:rPr>
          <w:rFonts w:eastAsia="Calibri"/>
          <w:kern w:val="22"/>
          <w:lang w:val="es-AR"/>
        </w:rPr>
        <w:t>inform</w:t>
      </w:r>
      <w:r w:rsidRPr="000033F2">
        <w:rPr>
          <w:rFonts w:eastAsia="Calibri"/>
          <w:kern w:val="22"/>
          <w:lang w:val="es-AR"/>
        </w:rPr>
        <w:t xml:space="preserve">aron que si </w:t>
      </w:r>
      <w:r w:rsidR="0066338B">
        <w:rPr>
          <w:rFonts w:eastAsia="Calibri"/>
          <w:kern w:val="22"/>
          <w:lang w:val="es-AR"/>
        </w:rPr>
        <w:t>se da el caso</w:t>
      </w:r>
      <w:r w:rsidRPr="000033F2">
        <w:rPr>
          <w:rFonts w:eastAsia="Calibri"/>
          <w:kern w:val="22"/>
          <w:lang w:val="es-AR"/>
        </w:rPr>
        <w:t xml:space="preserve"> se </w:t>
      </w:r>
      <w:r w:rsidR="0066338B">
        <w:rPr>
          <w:rFonts w:eastAsia="Calibri"/>
          <w:kern w:val="22"/>
          <w:lang w:val="es-AR"/>
        </w:rPr>
        <w:t>esf</w:t>
      </w:r>
      <w:r w:rsidR="005E113E">
        <w:rPr>
          <w:rFonts w:eastAsia="Calibri"/>
          <w:kern w:val="22"/>
          <w:lang w:val="es-AR"/>
        </w:rPr>
        <w:t xml:space="preserve">orzarían </w:t>
      </w:r>
      <w:r w:rsidR="0066338B">
        <w:rPr>
          <w:rFonts w:eastAsia="Calibri"/>
          <w:kern w:val="22"/>
          <w:lang w:val="es-AR"/>
        </w:rPr>
        <w:t>por</w:t>
      </w:r>
      <w:r w:rsidRPr="000033F2">
        <w:rPr>
          <w:rFonts w:eastAsia="Calibri"/>
          <w:kern w:val="22"/>
          <w:lang w:val="es-AR"/>
        </w:rPr>
        <w:t xml:space="preserve"> cooperar</w:t>
      </w:r>
      <w:r w:rsidRPr="000033F2">
        <w:rPr>
          <w:rFonts w:eastAsia="Calibri"/>
          <w:kern w:val="22"/>
          <w:vertAlign w:val="superscript"/>
          <w:lang w:val="es-AR"/>
        </w:rPr>
        <w:footnoteReference w:id="62"/>
      </w:r>
      <w:r w:rsidRPr="000033F2">
        <w:rPr>
          <w:rFonts w:eastAsia="Calibri"/>
          <w:kern w:val="22"/>
          <w:lang w:val="es-AR"/>
        </w:rPr>
        <w:t xml:space="preserve"> y otros explicaron que planeaban incorporar este aspecto en sus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rFonts w:eastAsia="Calibri"/>
          <w:kern w:val="22"/>
          <w:vertAlign w:val="superscript"/>
          <w:lang w:val="es-AR"/>
        </w:rPr>
        <w:footnoteReference w:id="63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Algunos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64"/>
      </w:r>
      <w:r w:rsidRPr="000033F2">
        <w:rPr>
          <w:rFonts w:eastAsia="Calibri"/>
          <w:kern w:val="22"/>
          <w:lang w:val="es-AR"/>
        </w:rPr>
        <w:t xml:space="preserve"> proporcionaron información </w:t>
      </w:r>
      <w:r w:rsidR="005E113E">
        <w:rPr>
          <w:rFonts w:eastAsia="Calibri"/>
          <w:kern w:val="22"/>
          <w:lang w:val="es-AR"/>
        </w:rPr>
        <w:t xml:space="preserve">sobre </w:t>
      </w:r>
      <w:r w:rsidRPr="000033F2">
        <w:rPr>
          <w:rFonts w:eastAsia="Calibri"/>
          <w:kern w:val="22"/>
          <w:lang w:val="es-AR"/>
        </w:rPr>
        <w:t xml:space="preserve">otras iniciativas, organismos e instrumentos de cooperación </w:t>
      </w:r>
      <w:r w:rsidR="005E113E">
        <w:rPr>
          <w:rFonts w:eastAsia="Calibri"/>
          <w:kern w:val="22"/>
          <w:lang w:val="es-AR"/>
        </w:rPr>
        <w:t xml:space="preserve">de </w:t>
      </w:r>
      <w:r w:rsidR="0066338B">
        <w:rPr>
          <w:rFonts w:eastAsia="Calibri"/>
          <w:kern w:val="22"/>
          <w:lang w:val="es-AR"/>
        </w:rPr>
        <w:t xml:space="preserve">los que forman </w:t>
      </w:r>
      <w:r w:rsidRPr="000033F2">
        <w:rPr>
          <w:rFonts w:eastAsia="Calibri"/>
          <w:kern w:val="22"/>
          <w:lang w:val="es-AR"/>
        </w:rPr>
        <w:t>parte.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Por ejemplo: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lang w:val="es-AR"/>
        </w:rPr>
      </w:pPr>
      <w:proofErr w:type="spellStart"/>
      <w:r w:rsidRPr="000033F2">
        <w:rPr>
          <w:rFonts w:eastAsia="Calibri"/>
          <w:kern w:val="22"/>
          <w:lang w:val="es-AR"/>
        </w:rPr>
        <w:t>Kenya</w:t>
      </w:r>
      <w:proofErr w:type="spellEnd"/>
      <w:r w:rsidRPr="000033F2">
        <w:rPr>
          <w:rFonts w:eastAsia="Calibri"/>
          <w:kern w:val="22"/>
          <w:lang w:val="es-AR"/>
        </w:rPr>
        <w:t xml:space="preserve"> indicó que hay actividades continu</w:t>
      </w:r>
      <w:r w:rsidR="0066338B">
        <w:rPr>
          <w:rFonts w:eastAsia="Calibri"/>
          <w:kern w:val="22"/>
          <w:lang w:val="es-AR"/>
        </w:rPr>
        <w:t xml:space="preserve">as </w:t>
      </w:r>
      <w:r w:rsidRPr="000033F2">
        <w:rPr>
          <w:rFonts w:eastAsia="Calibri"/>
          <w:kern w:val="22"/>
          <w:lang w:val="es-AR"/>
        </w:rPr>
        <w:t>en</w:t>
      </w:r>
      <w:r w:rsidR="005E113E">
        <w:rPr>
          <w:rFonts w:eastAsia="Calibri"/>
          <w:kern w:val="22"/>
          <w:lang w:val="es-AR"/>
        </w:rPr>
        <w:t xml:space="preserve"> las</w:t>
      </w:r>
      <w:r w:rsidRPr="000033F2">
        <w:rPr>
          <w:rFonts w:eastAsia="Calibri"/>
          <w:kern w:val="22"/>
          <w:lang w:val="es-AR"/>
        </w:rPr>
        <w:t xml:space="preserve"> plataformas de cooperación regional </w:t>
      </w:r>
      <w:r w:rsidR="0066338B">
        <w:rPr>
          <w:rFonts w:eastAsia="Calibri"/>
          <w:kern w:val="22"/>
          <w:lang w:val="es-AR"/>
        </w:rPr>
        <w:t xml:space="preserve">para </w:t>
      </w:r>
      <w:r w:rsidRPr="000033F2">
        <w:rPr>
          <w:rFonts w:eastAsia="Calibri"/>
          <w:kern w:val="22"/>
          <w:lang w:val="es-AR"/>
        </w:rPr>
        <w:t xml:space="preserve">desarrollar </w:t>
      </w:r>
      <w:r w:rsidR="005E113E">
        <w:rPr>
          <w:rFonts w:eastAsia="Calibri"/>
          <w:kern w:val="22"/>
          <w:lang w:val="es-AR"/>
        </w:rPr>
        <w:t>p</w:t>
      </w:r>
      <w:r w:rsidR="000033F2">
        <w:rPr>
          <w:rFonts w:eastAsia="Calibri"/>
          <w:kern w:val="22"/>
          <w:lang w:val="es-AR"/>
        </w:rPr>
        <w:t>rotocolo</w:t>
      </w:r>
      <w:r w:rsidRPr="000033F2">
        <w:rPr>
          <w:rFonts w:eastAsia="Calibri"/>
          <w:kern w:val="22"/>
          <w:lang w:val="es-AR"/>
        </w:rPr>
        <w:t xml:space="preserve">s apropiados </w:t>
      </w:r>
      <w:r w:rsidR="0066338B">
        <w:rPr>
          <w:rFonts w:eastAsia="Calibri"/>
          <w:kern w:val="22"/>
          <w:lang w:val="es-AR"/>
        </w:rPr>
        <w:t>sobre gobernanza</w:t>
      </w:r>
      <w:r w:rsidRPr="000033F2">
        <w:rPr>
          <w:rFonts w:eastAsia="Calibri"/>
          <w:kern w:val="22"/>
          <w:lang w:val="es-AR"/>
        </w:rPr>
        <w:t xml:space="preserve"> y utilización de recurso</w:t>
      </w:r>
      <w:r w:rsidR="0066338B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 xml:space="preserve"> que toman en consideraci</w:t>
      </w:r>
      <w:r w:rsidR="0066338B">
        <w:rPr>
          <w:rFonts w:eastAsia="Calibri"/>
          <w:kern w:val="22"/>
          <w:lang w:val="es-AR"/>
        </w:rPr>
        <w:t>ón</w:t>
      </w:r>
      <w:r w:rsidRPr="000033F2">
        <w:rPr>
          <w:rFonts w:eastAsia="Calibri"/>
          <w:kern w:val="22"/>
          <w:lang w:val="es-AR"/>
        </w:rPr>
        <w:t xml:space="preserve"> los requisitos</w:t>
      </w:r>
      <w:r w:rsidR="00096D97">
        <w:rPr>
          <w:rFonts w:eastAsia="Calibri"/>
          <w:kern w:val="22"/>
          <w:lang w:val="es-AR"/>
        </w:rPr>
        <w:t xml:space="preserve"> </w:t>
      </w:r>
      <w:r w:rsidR="005E113E">
        <w:rPr>
          <w:rFonts w:eastAsia="Calibri"/>
          <w:kern w:val="22"/>
          <w:lang w:val="es-AR"/>
        </w:rPr>
        <w:t>d</w:t>
      </w:r>
      <w:r w:rsidR="005E113E" w:rsidRPr="000033F2">
        <w:rPr>
          <w:rFonts w:eastAsia="Calibri"/>
          <w:kern w:val="22"/>
          <w:lang w:val="es-AR"/>
        </w:rPr>
        <w:t xml:space="preserve">el </w:t>
      </w:r>
      <w:r w:rsidR="005E113E">
        <w:rPr>
          <w:rFonts w:eastAsia="Calibri"/>
          <w:kern w:val="22"/>
          <w:lang w:val="es-AR"/>
        </w:rPr>
        <w:t>Artículo</w:t>
      </w:r>
      <w:r w:rsidR="005E113E" w:rsidRPr="000033F2">
        <w:rPr>
          <w:rFonts w:eastAsia="Calibri"/>
          <w:kern w:val="22"/>
          <w:lang w:val="es-AR"/>
        </w:rPr>
        <w:t xml:space="preserve"> 11</w:t>
      </w:r>
      <w:r w:rsidR="005E113E">
        <w:rPr>
          <w:rFonts w:eastAsia="Calibri"/>
          <w:kern w:val="22"/>
          <w:lang w:val="es-AR"/>
        </w:rPr>
        <w:t>.</w:t>
      </w:r>
      <w:r w:rsidR="005E113E" w:rsidRPr="000033F2">
        <w:rPr>
          <w:rFonts w:eastAsia="Calibri"/>
          <w:kern w:val="22"/>
          <w:lang w:val="es-AR"/>
        </w:rPr>
        <w:t xml:space="preserve">2 </w:t>
      </w:r>
      <w:r w:rsidR="00096D97">
        <w:rPr>
          <w:rFonts w:eastAsia="Calibri"/>
          <w:kern w:val="22"/>
          <w:lang w:val="es-AR"/>
        </w:rPr>
        <w:t>del Protocolo</w:t>
      </w:r>
      <w:r w:rsidRPr="000033F2">
        <w:rPr>
          <w:rFonts w:eastAsia="Calibri"/>
          <w:kern w:val="22"/>
          <w:lang w:val="es-AR"/>
        </w:rPr>
        <w:t xml:space="preserve"> de Nagoya (</w:t>
      </w:r>
      <w:r w:rsidR="00110BFC">
        <w:rPr>
          <w:rFonts w:eastAsia="Calibri"/>
          <w:kern w:val="22"/>
          <w:lang w:val="es-AR"/>
        </w:rPr>
        <w:t>por ej.,</w:t>
      </w:r>
      <w:r w:rsidRPr="000033F2">
        <w:rPr>
          <w:rFonts w:eastAsia="Calibri"/>
          <w:kern w:val="22"/>
          <w:lang w:val="es-AR"/>
        </w:rPr>
        <w:t xml:space="preserve"> </w:t>
      </w:r>
      <w:r w:rsidR="0066338B" w:rsidRPr="00663FC1">
        <w:rPr>
          <w:rFonts w:eastAsia="Calibri"/>
          <w:kern w:val="22"/>
          <w:lang w:val="es-AR"/>
        </w:rPr>
        <w:t xml:space="preserve">Integración de la </w:t>
      </w:r>
      <w:r w:rsidR="00663FC1">
        <w:rPr>
          <w:rFonts w:eastAsia="Calibri"/>
          <w:kern w:val="22"/>
          <w:lang w:val="es-AR"/>
        </w:rPr>
        <w:t>d</w:t>
      </w:r>
      <w:r w:rsidRPr="000033F2">
        <w:rPr>
          <w:rFonts w:eastAsia="Calibri"/>
          <w:kern w:val="22"/>
          <w:lang w:val="es-AR"/>
        </w:rPr>
        <w:t xml:space="preserve">iversidad </w:t>
      </w:r>
      <w:r w:rsidR="00663FC1">
        <w:rPr>
          <w:rFonts w:eastAsia="Calibri"/>
          <w:kern w:val="22"/>
          <w:lang w:val="es-AR"/>
        </w:rPr>
        <w:t>b</w:t>
      </w:r>
      <w:r w:rsidRPr="000033F2">
        <w:rPr>
          <w:rFonts w:eastAsia="Calibri"/>
          <w:kern w:val="22"/>
          <w:lang w:val="es-AR"/>
        </w:rPr>
        <w:t>iológica</w:t>
      </w:r>
      <w:r w:rsidR="0066338B">
        <w:rPr>
          <w:rFonts w:eastAsia="Calibri"/>
          <w:kern w:val="22"/>
          <w:lang w:val="es-AR"/>
        </w:rPr>
        <w:t xml:space="preserve"> en </w:t>
      </w:r>
      <w:r w:rsidRPr="000033F2">
        <w:rPr>
          <w:rFonts w:eastAsia="Calibri"/>
          <w:kern w:val="22"/>
          <w:lang w:val="es-AR"/>
        </w:rPr>
        <w:t>el</w:t>
      </w:r>
      <w:r w:rsidR="00663FC1">
        <w:rPr>
          <w:rFonts w:eastAsia="Calibri"/>
          <w:kern w:val="22"/>
          <w:lang w:val="es-AR"/>
        </w:rPr>
        <w:t xml:space="preserve"> proyecto de políticas del</w:t>
      </w:r>
      <w:r w:rsidRPr="000033F2">
        <w:rPr>
          <w:rFonts w:eastAsia="Calibri"/>
          <w:kern w:val="22"/>
          <w:lang w:val="es-AR"/>
        </w:rPr>
        <w:t xml:space="preserve"> </w:t>
      </w:r>
      <w:r w:rsidR="0066338B">
        <w:rPr>
          <w:rFonts w:eastAsia="Calibri"/>
          <w:kern w:val="22"/>
          <w:lang w:val="es-AR"/>
        </w:rPr>
        <w:t>C</w:t>
      </w:r>
      <w:r w:rsidRPr="000033F2">
        <w:rPr>
          <w:rFonts w:eastAsia="Calibri"/>
          <w:kern w:val="22"/>
          <w:lang w:val="es-AR"/>
        </w:rPr>
        <w:t xml:space="preserve">ondado de </w:t>
      </w:r>
      <w:proofErr w:type="spellStart"/>
      <w:r w:rsidRPr="000033F2">
        <w:rPr>
          <w:rFonts w:eastAsia="Calibri"/>
          <w:kern w:val="22"/>
          <w:lang w:val="es-AR"/>
        </w:rPr>
        <w:t>Busia</w:t>
      </w:r>
      <w:proofErr w:type="spellEnd"/>
      <w:r w:rsidRPr="000033F2">
        <w:rPr>
          <w:rFonts w:eastAsia="Calibri"/>
          <w:kern w:val="22"/>
          <w:lang w:val="es-AR"/>
        </w:rPr>
        <w:t>);</w:t>
      </w:r>
    </w:p>
    <w:p w:rsidR="00FB79CA" w:rsidRPr="00CE58D0" w:rsidRDefault="00635DA0">
      <w:pPr>
        <w:pStyle w:val="Para1"/>
        <w:numPr>
          <w:ilvl w:val="1"/>
          <w:numId w:val="2"/>
        </w:numPr>
        <w:rPr>
          <w:lang w:val="es-AR"/>
        </w:rPr>
      </w:pPr>
      <w:r w:rsidRPr="000033F2">
        <w:rPr>
          <w:rFonts w:eastAsia="Calibri"/>
          <w:kern w:val="22"/>
          <w:lang w:val="es-AR"/>
        </w:rPr>
        <w:t xml:space="preserve">Sudán indicó que planea </w:t>
      </w:r>
      <w:r w:rsidR="00A27216">
        <w:rPr>
          <w:rFonts w:eastAsia="Calibri"/>
          <w:kern w:val="22"/>
          <w:lang w:val="es-AR"/>
        </w:rPr>
        <w:t>aplicar el Artículo</w:t>
      </w:r>
      <w:r w:rsidRPr="000033F2">
        <w:rPr>
          <w:rFonts w:eastAsia="Calibri"/>
          <w:kern w:val="22"/>
          <w:lang w:val="es-AR"/>
        </w:rPr>
        <w:t xml:space="preserve"> de acuerdo con la</w:t>
      </w:r>
      <w:r w:rsidR="005E4102">
        <w:rPr>
          <w:rFonts w:eastAsia="Calibri"/>
          <w:kern w:val="22"/>
          <w:lang w:val="es-AR"/>
        </w:rPr>
        <w:t xml:space="preserve"> E</w:t>
      </w:r>
      <w:r w:rsidR="005E4102" w:rsidRPr="000033F2">
        <w:rPr>
          <w:rFonts w:eastAsia="Calibri"/>
          <w:kern w:val="22"/>
          <w:lang w:val="es-AR"/>
        </w:rPr>
        <w:t xml:space="preserve">strategia </w:t>
      </w:r>
      <w:r w:rsidR="00CE58D0">
        <w:rPr>
          <w:rFonts w:eastAsia="Calibri"/>
          <w:kern w:val="22"/>
          <w:lang w:val="es-AR"/>
        </w:rPr>
        <w:t xml:space="preserve">sobre </w:t>
      </w:r>
      <w:r w:rsidR="005E4102" w:rsidRPr="000033F2">
        <w:rPr>
          <w:rFonts w:eastAsia="Calibri"/>
          <w:kern w:val="22"/>
          <w:lang w:val="es-AR"/>
        </w:rPr>
        <w:t xml:space="preserve">el </w:t>
      </w:r>
      <w:r w:rsidR="005E4102">
        <w:rPr>
          <w:rFonts w:eastAsia="Calibri"/>
          <w:kern w:val="22"/>
          <w:lang w:val="es-AR"/>
        </w:rPr>
        <w:t>A</w:t>
      </w:r>
      <w:r w:rsidR="005E4102" w:rsidRPr="000033F2">
        <w:rPr>
          <w:rFonts w:eastAsia="Calibri"/>
          <w:kern w:val="22"/>
          <w:lang w:val="es-AR"/>
        </w:rPr>
        <w:t xml:space="preserve">cceso y </w:t>
      </w:r>
      <w:r w:rsidR="005E4102">
        <w:rPr>
          <w:rFonts w:eastAsia="Calibri"/>
          <w:kern w:val="22"/>
          <w:lang w:val="es-AR"/>
        </w:rPr>
        <w:t>P</w:t>
      </w:r>
      <w:r w:rsidR="005E4102" w:rsidRPr="000033F2">
        <w:rPr>
          <w:rFonts w:eastAsia="Calibri"/>
          <w:kern w:val="22"/>
          <w:lang w:val="es-AR"/>
        </w:rPr>
        <w:t xml:space="preserve">articipación en los </w:t>
      </w:r>
      <w:r w:rsidR="005E4102">
        <w:rPr>
          <w:rFonts w:eastAsia="Calibri"/>
          <w:kern w:val="22"/>
          <w:lang w:val="es-AR"/>
        </w:rPr>
        <w:t>B</w:t>
      </w:r>
      <w:r w:rsidR="005E4102" w:rsidRPr="000033F2">
        <w:rPr>
          <w:rFonts w:eastAsia="Calibri"/>
          <w:kern w:val="22"/>
          <w:lang w:val="es-AR"/>
        </w:rPr>
        <w:t>eneficios</w:t>
      </w:r>
      <w:r w:rsidR="00CE58D0">
        <w:rPr>
          <w:rFonts w:eastAsia="Calibri"/>
          <w:kern w:val="22"/>
          <w:lang w:val="es-AR"/>
        </w:rPr>
        <w:t xml:space="preserve"> </w:t>
      </w:r>
      <w:r w:rsidR="00CE58D0" w:rsidRPr="00CE58D0">
        <w:rPr>
          <w:rFonts w:eastAsia="Calibri"/>
          <w:kern w:val="22"/>
          <w:lang w:val="es-AR"/>
        </w:rPr>
        <w:t>de</w:t>
      </w:r>
      <w:r w:rsidRPr="00CE58D0">
        <w:rPr>
          <w:rFonts w:eastAsia="Calibri"/>
          <w:kern w:val="22"/>
          <w:lang w:val="es-AR"/>
        </w:rPr>
        <w:t xml:space="preserve"> </w:t>
      </w:r>
      <w:r w:rsidR="0066338B" w:rsidRPr="00CE58D0">
        <w:rPr>
          <w:rFonts w:eastAsia="Calibri"/>
          <w:kern w:val="22"/>
          <w:lang w:val="es-AR"/>
        </w:rPr>
        <w:t>A</w:t>
      </w:r>
      <w:r w:rsidRPr="00CE58D0">
        <w:rPr>
          <w:rFonts w:eastAsia="Calibri"/>
          <w:kern w:val="22"/>
          <w:lang w:val="es-AR"/>
        </w:rPr>
        <w:t xml:space="preserve">utoridad </w:t>
      </w:r>
      <w:r w:rsidR="0066338B" w:rsidRPr="00CE58D0">
        <w:rPr>
          <w:rFonts w:eastAsia="Calibri"/>
          <w:kern w:val="22"/>
          <w:lang w:val="es-AR"/>
        </w:rPr>
        <w:t>I</w:t>
      </w:r>
      <w:r w:rsidRPr="00CE58D0">
        <w:rPr>
          <w:rFonts w:eastAsia="Calibri"/>
          <w:kern w:val="22"/>
          <w:lang w:val="es-AR"/>
        </w:rPr>
        <w:t xml:space="preserve">ntergubernamental </w:t>
      </w:r>
      <w:r w:rsidR="005E4102" w:rsidRPr="00CE58D0">
        <w:rPr>
          <w:rFonts w:eastAsia="Calibri"/>
          <w:kern w:val="22"/>
          <w:lang w:val="es-AR"/>
        </w:rPr>
        <w:t xml:space="preserve">para el </w:t>
      </w:r>
      <w:r w:rsidR="0066338B" w:rsidRPr="00CE58D0">
        <w:rPr>
          <w:rFonts w:eastAsia="Calibri"/>
          <w:kern w:val="22"/>
          <w:lang w:val="es-AR"/>
        </w:rPr>
        <w:t>Desarrollo</w:t>
      </w:r>
      <w:r w:rsidR="005E4102" w:rsidRPr="00CE58D0">
        <w:rPr>
          <w:rFonts w:eastAsia="Calibri"/>
          <w:kern w:val="22"/>
          <w:lang w:val="es-AR"/>
        </w:rPr>
        <w:t xml:space="preserve"> (IGAD, por su sigla en inglés)</w:t>
      </w:r>
      <w:r w:rsidRPr="00CE58D0">
        <w:rPr>
          <w:rFonts w:eastAsia="Calibri"/>
          <w:kern w:val="22"/>
          <w:lang w:val="es-AR"/>
        </w:rPr>
        <w:t>;</w:t>
      </w:r>
    </w:p>
    <w:p w:rsidR="00FB79CA" w:rsidRPr="000033F2" w:rsidRDefault="00635DA0">
      <w:pPr>
        <w:pStyle w:val="Para1"/>
        <w:numPr>
          <w:ilvl w:val="1"/>
          <w:numId w:val="2"/>
        </w:numPr>
        <w:rPr>
          <w:lang w:val="es-AR"/>
        </w:rPr>
      </w:pPr>
      <w:r w:rsidRPr="000033F2">
        <w:rPr>
          <w:rFonts w:eastAsia="Calibri"/>
          <w:kern w:val="22"/>
          <w:lang w:val="es-AR"/>
        </w:rPr>
        <w:t xml:space="preserve">Togo explicó que </w:t>
      </w:r>
      <w:r w:rsidR="0066338B">
        <w:rPr>
          <w:rFonts w:eastAsia="Calibri"/>
          <w:kern w:val="22"/>
          <w:lang w:val="es-AR"/>
        </w:rPr>
        <w:t xml:space="preserve">existen </w:t>
      </w:r>
      <w:r w:rsidRPr="000033F2">
        <w:rPr>
          <w:rFonts w:eastAsia="Calibri"/>
          <w:kern w:val="22"/>
          <w:lang w:val="es-AR"/>
        </w:rPr>
        <w:t xml:space="preserve">mecanismos que refuerzan los vínculos históricos entre diversas comunidades que comparten los mismos valores culturales, tales como </w:t>
      </w:r>
      <w:r w:rsidR="00D97DF4">
        <w:rPr>
          <w:rFonts w:eastAsia="Calibri"/>
          <w:kern w:val="22"/>
          <w:lang w:val="es-AR"/>
        </w:rPr>
        <w:t xml:space="preserve">los pueblos </w:t>
      </w:r>
      <w:proofErr w:type="spellStart"/>
      <w:r w:rsidR="00D97DF4">
        <w:rPr>
          <w:rFonts w:eastAsia="Calibri"/>
          <w:kern w:val="22"/>
          <w:lang w:val="es-AR"/>
        </w:rPr>
        <w:t>ewé</w:t>
      </w:r>
      <w:proofErr w:type="spellEnd"/>
      <w:r w:rsidR="00D97DF4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situad</w:t>
      </w:r>
      <w:r w:rsidR="00D97DF4">
        <w:rPr>
          <w:rFonts w:eastAsia="Calibri"/>
          <w:kern w:val="22"/>
          <w:lang w:val="es-AR"/>
        </w:rPr>
        <w:t>o</w:t>
      </w:r>
      <w:r w:rsidRPr="000033F2">
        <w:rPr>
          <w:rFonts w:eastAsia="Calibri"/>
          <w:kern w:val="22"/>
          <w:lang w:val="es-AR"/>
        </w:rPr>
        <w:t xml:space="preserve">s entre </w:t>
      </w:r>
      <w:proofErr w:type="spellStart"/>
      <w:r w:rsidRPr="000033F2">
        <w:rPr>
          <w:rFonts w:eastAsia="Calibri"/>
          <w:kern w:val="22"/>
          <w:lang w:val="es-AR"/>
        </w:rPr>
        <w:t>Benin</w:t>
      </w:r>
      <w:proofErr w:type="spellEnd"/>
      <w:r w:rsidRPr="000033F2">
        <w:rPr>
          <w:rFonts w:eastAsia="Calibri"/>
          <w:kern w:val="22"/>
          <w:lang w:val="es-AR"/>
        </w:rPr>
        <w:t>, Ghana y Togo.</w:t>
      </w:r>
    </w:p>
    <w:p w:rsidR="00FB79CA" w:rsidRPr="000033F2" w:rsidRDefault="00635DA0">
      <w:pPr>
        <w:pStyle w:val="Para1"/>
        <w:numPr>
          <w:ilvl w:val="0"/>
          <w:numId w:val="0"/>
        </w:numPr>
        <w:rPr>
          <w:lang w:val="es-AR"/>
        </w:rPr>
      </w:pPr>
      <w:r w:rsidRPr="000033F2">
        <w:rPr>
          <w:i/>
          <w:lang w:val="es-AR"/>
        </w:rPr>
        <w:t xml:space="preserve">b) </w:t>
      </w:r>
      <w:r w:rsidR="00D97DF4">
        <w:rPr>
          <w:i/>
          <w:lang w:val="es-AR"/>
        </w:rPr>
        <w:t>P</w:t>
      </w:r>
      <w:r w:rsidRPr="000033F2">
        <w:rPr>
          <w:i/>
          <w:lang w:val="es-AR"/>
        </w:rPr>
        <w:t xml:space="preserve">aíses que </w:t>
      </w:r>
      <w:r w:rsidR="009B2BB5">
        <w:rPr>
          <w:i/>
          <w:lang w:val="es-AR"/>
        </w:rPr>
        <w:t>contestaron negativamente</w:t>
      </w:r>
      <w:r w:rsidRPr="000033F2">
        <w:rPr>
          <w:i/>
          <w:lang w:val="es-AR"/>
        </w:rPr>
        <w:t xml:space="preserve"> o "no </w:t>
      </w:r>
      <w:r w:rsidR="00CE58D0">
        <w:rPr>
          <w:i/>
          <w:lang w:val="es-AR"/>
        </w:rPr>
        <w:t>se aplica</w:t>
      </w:r>
      <w:r w:rsidRPr="000033F2">
        <w:rPr>
          <w:i/>
          <w:lang w:val="es-AR"/>
        </w:rPr>
        <w:t>"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Un país</w:t>
      </w:r>
      <w:r w:rsidRPr="000033F2">
        <w:rPr>
          <w:rStyle w:val="FootnoteReference"/>
          <w:rFonts w:eastAsia="Calibri"/>
          <w:kern w:val="22"/>
          <w:lang w:val="es-AR"/>
        </w:rPr>
        <w:footnoteReference w:id="65"/>
      </w:r>
      <w:r w:rsidRPr="000033F2">
        <w:rPr>
          <w:rFonts w:eastAsia="Calibri"/>
          <w:kern w:val="22"/>
          <w:lang w:val="es-AR"/>
        </w:rPr>
        <w:t xml:space="preserve"> indicó que si </w:t>
      </w:r>
      <w:r w:rsidR="0066338B">
        <w:rPr>
          <w:rFonts w:eastAsia="Calibri"/>
          <w:kern w:val="22"/>
          <w:lang w:val="es-AR"/>
        </w:rPr>
        <w:t>se da el caso</w:t>
      </w:r>
      <w:r w:rsidRPr="000033F2">
        <w:rPr>
          <w:rFonts w:eastAsia="Calibri"/>
          <w:kern w:val="22"/>
          <w:lang w:val="es-AR"/>
        </w:rPr>
        <w:t xml:space="preserve"> se </w:t>
      </w:r>
      <w:r w:rsidR="0066338B">
        <w:rPr>
          <w:rFonts w:eastAsia="Calibri"/>
          <w:kern w:val="22"/>
          <w:lang w:val="es-AR"/>
        </w:rPr>
        <w:t>esfuerza por</w:t>
      </w:r>
      <w:r w:rsidRPr="000033F2">
        <w:rPr>
          <w:rFonts w:eastAsia="Calibri"/>
          <w:kern w:val="22"/>
          <w:lang w:val="es-AR"/>
        </w:rPr>
        <w:t xml:space="preserve"> cooperar y otros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66"/>
      </w:r>
      <w:r w:rsidRPr="000033F2">
        <w:rPr>
          <w:rFonts w:eastAsia="Calibri"/>
          <w:kern w:val="22"/>
          <w:lang w:val="es-AR"/>
        </w:rPr>
        <w:t xml:space="preserve"> explicaron que planeaban incorporar este aspecto en sus </w:t>
      </w:r>
      <w:r w:rsidR="00895863">
        <w:rPr>
          <w:rFonts w:eastAsia="Calibri"/>
          <w:kern w:val="22"/>
          <w:lang w:val="es-AR"/>
        </w:rPr>
        <w:t>medidas sobre acceso y participación en los beneficios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A</w:t>
      </w:r>
      <w:r w:rsidR="00FC59CB">
        <w:rPr>
          <w:rFonts w:eastAsia="Calibri"/>
          <w:kern w:val="22"/>
          <w:lang w:val="es-AR"/>
        </w:rPr>
        <w:t>l</w:t>
      </w:r>
      <w:r w:rsidRPr="000033F2">
        <w:rPr>
          <w:rFonts w:eastAsia="Calibri"/>
          <w:kern w:val="22"/>
          <w:lang w:val="es-AR"/>
        </w:rPr>
        <w:t xml:space="preserve"> respecto un país</w:t>
      </w:r>
      <w:r w:rsidRPr="000033F2">
        <w:rPr>
          <w:rStyle w:val="FootnoteReference"/>
          <w:rFonts w:eastAsia="Calibri"/>
          <w:kern w:val="22"/>
          <w:lang w:val="es-AR"/>
        </w:rPr>
        <w:footnoteReference w:id="67"/>
      </w:r>
      <w:r w:rsidRPr="000033F2">
        <w:rPr>
          <w:rFonts w:eastAsia="Calibri"/>
          <w:kern w:val="22"/>
          <w:lang w:val="es-AR"/>
        </w:rPr>
        <w:t xml:space="preserve"> indicó que </w:t>
      </w:r>
      <w:r w:rsidR="007425C5">
        <w:rPr>
          <w:rFonts w:eastAsia="Calibri"/>
          <w:kern w:val="22"/>
          <w:lang w:val="es-AR"/>
        </w:rPr>
        <w:t>la aplicación</w:t>
      </w:r>
      <w:r w:rsidRPr="000033F2">
        <w:rPr>
          <w:rFonts w:eastAsia="Calibri"/>
          <w:kern w:val="22"/>
          <w:lang w:val="es-AR"/>
        </w:rPr>
        <w:t xml:space="preserve"> del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1</w:t>
      </w:r>
      <w:r w:rsidR="000033F2" w:rsidRPr="000033F2">
        <w:rPr>
          <w:rFonts w:eastAsia="Calibri"/>
          <w:kern w:val="22"/>
          <w:lang w:val="es-AR"/>
        </w:rPr>
        <w:t>1</w:t>
      </w:r>
      <w:r w:rsidR="00D97DF4">
        <w:rPr>
          <w:rFonts w:eastAsia="Calibri"/>
          <w:kern w:val="22"/>
          <w:lang w:val="es-AR"/>
        </w:rPr>
        <w:t>.</w:t>
      </w:r>
      <w:r w:rsidR="000033F2" w:rsidRPr="000033F2">
        <w:rPr>
          <w:rFonts w:eastAsia="Calibri"/>
          <w:kern w:val="22"/>
          <w:lang w:val="es-AR"/>
        </w:rPr>
        <w:t>2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 se</w:t>
      </w:r>
      <w:r w:rsidR="00D97DF4">
        <w:rPr>
          <w:rFonts w:eastAsia="Calibri"/>
          <w:kern w:val="22"/>
          <w:lang w:val="es-AR"/>
        </w:rPr>
        <w:t xml:space="preserve"> ha</w:t>
      </w:r>
      <w:r w:rsidRPr="000033F2">
        <w:rPr>
          <w:rFonts w:eastAsia="Calibri"/>
          <w:kern w:val="22"/>
          <w:lang w:val="es-AR"/>
        </w:rPr>
        <w:t xml:space="preserve">rá según las </w:t>
      </w:r>
      <w:r w:rsidR="00D97DF4">
        <w:rPr>
          <w:rFonts w:eastAsia="Calibri"/>
          <w:kern w:val="22"/>
          <w:lang w:val="es-AR"/>
        </w:rPr>
        <w:t>D</w:t>
      </w:r>
      <w:r w:rsidRPr="000033F2">
        <w:rPr>
          <w:rFonts w:eastAsia="Calibri"/>
          <w:kern w:val="22"/>
          <w:lang w:val="es-AR"/>
        </w:rPr>
        <w:t>irectrices</w:t>
      </w:r>
      <w:r w:rsidR="00CE58D0">
        <w:rPr>
          <w:rFonts w:eastAsia="Calibri"/>
          <w:kern w:val="22"/>
          <w:lang w:val="es-AR"/>
        </w:rPr>
        <w:t xml:space="preserve"> </w:t>
      </w:r>
      <w:r w:rsidR="00CE58D0" w:rsidRPr="000033F2">
        <w:rPr>
          <w:rFonts w:eastAsia="Calibri"/>
          <w:kern w:val="22"/>
          <w:lang w:val="es-AR"/>
        </w:rPr>
        <w:t xml:space="preserve">de </w:t>
      </w:r>
      <w:r w:rsidR="00CE58D0" w:rsidRPr="000033F2">
        <w:rPr>
          <w:lang w:val="es-AR"/>
        </w:rPr>
        <w:t xml:space="preserve">la </w:t>
      </w:r>
      <w:r w:rsidR="00CE58D0">
        <w:rPr>
          <w:lang w:val="es-AR"/>
        </w:rPr>
        <w:t>U</w:t>
      </w:r>
      <w:r w:rsidR="00CE58D0" w:rsidRPr="000033F2">
        <w:rPr>
          <w:rFonts w:eastAsia="Calibri"/>
          <w:kern w:val="22"/>
          <w:lang w:val="es-AR"/>
        </w:rPr>
        <w:t xml:space="preserve">nión </w:t>
      </w:r>
      <w:r w:rsidR="00CE58D0">
        <w:rPr>
          <w:rFonts w:eastAsia="Calibri"/>
          <w:kern w:val="22"/>
          <w:lang w:val="es-AR"/>
        </w:rPr>
        <w:t>A</w:t>
      </w:r>
      <w:r w:rsidR="00CE58D0" w:rsidRPr="000033F2">
        <w:rPr>
          <w:rFonts w:eastAsia="Calibri"/>
          <w:kern w:val="22"/>
          <w:lang w:val="es-AR"/>
        </w:rPr>
        <w:t>fricana</w:t>
      </w:r>
      <w:r w:rsidRPr="000033F2">
        <w:rPr>
          <w:rFonts w:eastAsia="Calibri"/>
          <w:kern w:val="22"/>
          <w:lang w:val="es-AR"/>
        </w:rPr>
        <w:t xml:space="preserve"> para una aplicación coordinada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 de Nagoya.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Otro país</w:t>
      </w:r>
      <w:r w:rsidRPr="000033F2">
        <w:rPr>
          <w:rStyle w:val="FootnoteReference"/>
          <w:rFonts w:eastAsia="Calibri"/>
          <w:kern w:val="22"/>
          <w:lang w:val="es-AR"/>
        </w:rPr>
        <w:footnoteReference w:id="68"/>
      </w:r>
      <w:r w:rsidRPr="000033F2">
        <w:rPr>
          <w:rFonts w:eastAsia="Calibri"/>
          <w:kern w:val="22"/>
          <w:lang w:val="es-AR"/>
        </w:rPr>
        <w:t xml:space="preserve"> identificó además la estrategia regional de acceso y participación en los beneficios de COMIFAC y el </w:t>
      </w:r>
      <w:r w:rsidR="00D97DF4">
        <w:rPr>
          <w:rFonts w:eastAsia="Calibri"/>
          <w:kern w:val="22"/>
          <w:lang w:val="es-AR"/>
        </w:rPr>
        <w:t>T</w:t>
      </w:r>
      <w:r w:rsidRPr="000033F2">
        <w:rPr>
          <w:rFonts w:eastAsia="Calibri"/>
          <w:kern w:val="22"/>
          <w:lang w:val="es-AR"/>
        </w:rPr>
        <w:t xml:space="preserve">ratado para el </w:t>
      </w:r>
      <w:r w:rsidR="00CE58D0">
        <w:rPr>
          <w:rFonts w:eastAsia="Calibri"/>
          <w:kern w:val="22"/>
          <w:lang w:val="es-AR"/>
        </w:rPr>
        <w:t xml:space="preserve"> </w:t>
      </w:r>
      <w:r w:rsidR="00D97DF4">
        <w:rPr>
          <w:rFonts w:eastAsia="Calibri"/>
          <w:kern w:val="22"/>
          <w:lang w:val="es-AR"/>
        </w:rPr>
        <w:t>E</w:t>
      </w:r>
      <w:r w:rsidRPr="000033F2">
        <w:rPr>
          <w:rFonts w:eastAsia="Calibri"/>
          <w:kern w:val="22"/>
          <w:lang w:val="es-AR"/>
        </w:rPr>
        <w:t xml:space="preserve">stablecimiento de </w:t>
      </w:r>
      <w:r w:rsidRPr="000033F2">
        <w:rPr>
          <w:lang w:val="es-AR"/>
        </w:rPr>
        <w:t xml:space="preserve">la </w:t>
      </w:r>
      <w:r w:rsidR="00FC59CB">
        <w:rPr>
          <w:lang w:val="es-AR"/>
        </w:rPr>
        <w:t>C</w:t>
      </w:r>
      <w:r w:rsidRPr="000033F2">
        <w:rPr>
          <w:rFonts w:eastAsia="Calibri"/>
          <w:kern w:val="22"/>
          <w:lang w:val="es-AR"/>
        </w:rPr>
        <w:t xml:space="preserve">omunidad </w:t>
      </w:r>
      <w:r w:rsidR="00D97DF4">
        <w:rPr>
          <w:rFonts w:eastAsia="Calibri"/>
          <w:kern w:val="22"/>
          <w:lang w:val="es-AR"/>
        </w:rPr>
        <w:t>de África Oriental</w:t>
      </w:r>
      <w:r w:rsidRPr="000033F2">
        <w:rPr>
          <w:rFonts w:eastAsia="Calibri"/>
          <w:kern w:val="22"/>
          <w:lang w:val="es-AR"/>
        </w:rPr>
        <w:t xml:space="preserve"> como marcos </w:t>
      </w:r>
      <w:r w:rsidR="0008032E">
        <w:rPr>
          <w:rFonts w:eastAsia="Calibri"/>
          <w:kern w:val="22"/>
          <w:lang w:val="es-AR"/>
        </w:rPr>
        <w:t>pertinente</w:t>
      </w:r>
      <w:r w:rsidR="00FC59CB">
        <w:rPr>
          <w:rFonts w:eastAsia="Calibri"/>
          <w:kern w:val="22"/>
          <w:lang w:val="es-AR"/>
        </w:rPr>
        <w:t>s</w:t>
      </w:r>
      <w:r w:rsidR="0008032E">
        <w:rPr>
          <w:rFonts w:eastAsia="Calibri"/>
          <w:kern w:val="22"/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para la consideración de esta cuestión.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Dos países</w:t>
      </w:r>
      <w:r w:rsidRPr="000033F2">
        <w:rPr>
          <w:rStyle w:val="FootnoteReference"/>
          <w:rFonts w:eastAsia="Calibri"/>
          <w:kern w:val="22"/>
          <w:lang w:val="es-AR"/>
        </w:rPr>
        <w:footnoteReference w:id="69"/>
      </w:r>
      <w:r w:rsidRPr="000033F2">
        <w:rPr>
          <w:rFonts w:eastAsia="Calibri"/>
          <w:kern w:val="22"/>
          <w:lang w:val="es-AR"/>
        </w:rPr>
        <w:t xml:space="preserve"> observaron que </w:t>
      </w:r>
      <w:r w:rsidR="00FC59CB" w:rsidRPr="000033F2">
        <w:rPr>
          <w:rFonts w:eastAsia="Calibri"/>
          <w:kern w:val="22"/>
          <w:lang w:val="es-AR"/>
        </w:rPr>
        <w:t xml:space="preserve">la situación </w:t>
      </w:r>
      <w:r w:rsidRPr="000033F2">
        <w:rPr>
          <w:rFonts w:eastAsia="Calibri"/>
          <w:kern w:val="22"/>
          <w:lang w:val="es-AR"/>
        </w:rPr>
        <w:t>no se ha presentado</w:t>
      </w:r>
      <w:r w:rsidR="00895863">
        <w:rPr>
          <w:rFonts w:eastAsia="Calibri"/>
          <w:kern w:val="22"/>
          <w:lang w:val="es-AR"/>
        </w:rPr>
        <w:t xml:space="preserve"> </w:t>
      </w:r>
      <w:r w:rsidR="00895863" w:rsidRPr="000033F2">
        <w:rPr>
          <w:rFonts w:eastAsia="Calibri"/>
          <w:kern w:val="22"/>
          <w:lang w:val="es-AR"/>
        </w:rPr>
        <w:t>todavía</w:t>
      </w:r>
      <w:r w:rsidRPr="000033F2">
        <w:rPr>
          <w:rFonts w:eastAsia="Calibri"/>
          <w:kern w:val="22"/>
          <w:lang w:val="es-AR"/>
        </w:rPr>
        <w:t xml:space="preserve"> y </w:t>
      </w:r>
      <w:r w:rsidR="00D97DF4">
        <w:rPr>
          <w:rFonts w:eastAsia="Calibri"/>
          <w:kern w:val="22"/>
          <w:lang w:val="es-AR"/>
        </w:rPr>
        <w:t xml:space="preserve">otros </w:t>
      </w:r>
      <w:r w:rsidRPr="000033F2">
        <w:rPr>
          <w:rFonts w:eastAsia="Calibri"/>
          <w:kern w:val="22"/>
          <w:lang w:val="es-AR"/>
        </w:rPr>
        <w:t>dos</w:t>
      </w:r>
      <w:r w:rsidRPr="000033F2">
        <w:rPr>
          <w:rStyle w:val="FootnoteReference"/>
          <w:rFonts w:eastAsia="Calibri"/>
          <w:kern w:val="22"/>
          <w:lang w:val="es-AR"/>
        </w:rPr>
        <w:footnoteReference w:id="70"/>
      </w:r>
      <w:r w:rsidRPr="000033F2">
        <w:rPr>
          <w:rFonts w:eastAsia="Calibri"/>
          <w:kern w:val="22"/>
          <w:lang w:val="es-AR"/>
        </w:rPr>
        <w:t xml:space="preserve"> indicaron que </w:t>
      </w:r>
      <w:r w:rsidR="00D97DF4">
        <w:rPr>
          <w:rFonts w:eastAsia="Calibri"/>
          <w:kern w:val="22"/>
          <w:lang w:val="es-AR"/>
        </w:rPr>
        <w:t xml:space="preserve">ya </w:t>
      </w:r>
      <w:r w:rsidRPr="000033F2">
        <w:rPr>
          <w:rFonts w:eastAsia="Calibri"/>
          <w:kern w:val="22"/>
          <w:lang w:val="es-AR"/>
        </w:rPr>
        <w:t>est</w:t>
      </w:r>
      <w:r w:rsidR="00CE58D0">
        <w:rPr>
          <w:rFonts w:eastAsia="Calibri"/>
          <w:kern w:val="22"/>
          <w:lang w:val="es-AR"/>
        </w:rPr>
        <w:t>aban</w:t>
      </w:r>
      <w:r w:rsidRPr="000033F2">
        <w:rPr>
          <w:rFonts w:eastAsia="Calibri"/>
          <w:kern w:val="22"/>
          <w:lang w:val="es-AR"/>
        </w:rPr>
        <w:t xml:space="preserve"> cooperando en este aspecto.</w:t>
      </w:r>
    </w:p>
    <w:p w:rsidR="00FB79CA" w:rsidRPr="00FC59CB" w:rsidRDefault="00D97DF4">
      <w:pPr>
        <w:pStyle w:val="Heading3"/>
        <w:numPr>
          <w:ilvl w:val="0"/>
          <w:numId w:val="15"/>
        </w:numPr>
        <w:ind w:hanging="720"/>
        <w:rPr>
          <w:lang w:val="es-AR"/>
        </w:rPr>
      </w:pPr>
      <w:r w:rsidRPr="00FC59CB">
        <w:rPr>
          <w:snapToGrid w:val="0"/>
          <w:kern w:val="22"/>
          <w:lang w:val="es-AR"/>
        </w:rPr>
        <w:t>I</w:t>
      </w:r>
      <w:r w:rsidR="009B2BB5" w:rsidRPr="00FC59CB">
        <w:rPr>
          <w:snapToGrid w:val="0"/>
          <w:kern w:val="22"/>
          <w:lang w:val="es-AR"/>
        </w:rPr>
        <w:t>nformación</w:t>
      </w:r>
      <w:r w:rsidRPr="00FC59CB">
        <w:rPr>
          <w:snapToGrid w:val="0"/>
          <w:kern w:val="22"/>
          <w:lang w:val="es-AR"/>
        </w:rPr>
        <w:t xml:space="preserve"> adicional</w:t>
      </w:r>
      <w:r w:rsidR="00635DA0" w:rsidRPr="00FC59CB">
        <w:rPr>
          <w:snapToGrid w:val="0"/>
          <w:kern w:val="22"/>
          <w:lang w:val="es-AR"/>
        </w:rPr>
        <w:t>:</w:t>
      </w:r>
      <w:r w:rsidR="00635DA0" w:rsidRPr="00FC59CB">
        <w:rPr>
          <w:lang w:val="es-AR"/>
        </w:rPr>
        <w:t xml:space="preserve"> </w:t>
      </w:r>
      <w:r w:rsidR="00635DA0" w:rsidRPr="00FC59CB">
        <w:rPr>
          <w:snapToGrid w:val="0"/>
          <w:kern w:val="22"/>
          <w:lang w:val="es-AR"/>
        </w:rPr>
        <w:t xml:space="preserve">resumen de las </w:t>
      </w:r>
      <w:r w:rsidRPr="00FC59CB">
        <w:rPr>
          <w:snapToGrid w:val="0"/>
          <w:kern w:val="22"/>
          <w:lang w:val="es-AR"/>
        </w:rPr>
        <w:t>principales dificultades y desafíos</w:t>
      </w:r>
      <w:r w:rsidR="00635DA0" w:rsidRPr="00FC59CB">
        <w:rPr>
          <w:snapToGrid w:val="0"/>
          <w:kern w:val="22"/>
          <w:lang w:val="es-AR"/>
        </w:rPr>
        <w:t xml:space="preserve"> (pregunta 50)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Veinti</w:t>
      </w:r>
      <w:r w:rsidR="00D97DF4">
        <w:rPr>
          <w:rFonts w:eastAsia="Calibri"/>
          <w:kern w:val="22"/>
          <w:lang w:val="es-AR"/>
        </w:rPr>
        <w:t>ú</w:t>
      </w:r>
      <w:r w:rsidRPr="000033F2">
        <w:rPr>
          <w:rFonts w:eastAsia="Calibri"/>
          <w:kern w:val="22"/>
          <w:lang w:val="es-AR"/>
        </w:rPr>
        <w:t>n países contestaron a esta pregunta.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>Además de las dificultades</w:t>
      </w:r>
      <w:r w:rsidR="00514C5E">
        <w:rPr>
          <w:rFonts w:eastAsia="Calibri"/>
          <w:kern w:val="22"/>
          <w:lang w:val="es-AR"/>
        </w:rPr>
        <w:t xml:space="preserve"> intersectoriales</w:t>
      </w:r>
      <w:r w:rsidRPr="000033F2">
        <w:rPr>
          <w:rFonts w:eastAsia="Calibri"/>
          <w:kern w:val="22"/>
          <w:lang w:val="es-AR"/>
        </w:rPr>
        <w:t xml:space="preserve"> identificadas con respecto </w:t>
      </w:r>
      <w:r w:rsidR="002E751F">
        <w:rPr>
          <w:rFonts w:eastAsia="Calibri"/>
          <w:kern w:val="22"/>
          <w:lang w:val="es-AR"/>
        </w:rPr>
        <w:t>a</w:t>
      </w:r>
      <w:r w:rsidR="00D97DF4">
        <w:rPr>
          <w:rFonts w:eastAsia="Calibri"/>
          <w:kern w:val="22"/>
          <w:lang w:val="es-AR"/>
        </w:rPr>
        <w:t xml:space="preserve"> </w:t>
      </w:r>
      <w:r w:rsidR="002E751F">
        <w:rPr>
          <w:rFonts w:eastAsia="Calibri"/>
          <w:kern w:val="22"/>
          <w:lang w:val="es-AR"/>
        </w:rPr>
        <w:t>l</w:t>
      </w:r>
      <w:r w:rsidR="00D97DF4">
        <w:rPr>
          <w:rFonts w:eastAsia="Calibri"/>
          <w:kern w:val="22"/>
          <w:lang w:val="es-AR"/>
        </w:rPr>
        <w:t>a</w:t>
      </w:r>
      <w:r w:rsidR="002E751F">
        <w:rPr>
          <w:rFonts w:eastAsia="Calibri"/>
          <w:kern w:val="22"/>
          <w:lang w:val="es-AR"/>
        </w:rPr>
        <w:t xml:space="preserve"> aplicación</w:t>
      </w:r>
      <w:r w:rsidRPr="000033F2">
        <w:rPr>
          <w:rFonts w:eastAsia="Calibri"/>
          <w:kern w:val="22"/>
          <w:lang w:val="es-AR"/>
        </w:rPr>
        <w:t xml:space="preserve"> de varios aspectos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 (</w:t>
      </w:r>
      <w:r w:rsidR="00110BFC">
        <w:rPr>
          <w:rFonts w:eastAsia="Calibri"/>
          <w:kern w:val="22"/>
          <w:lang w:val="es-AR"/>
        </w:rPr>
        <w:t>por ej.,</w:t>
      </w:r>
      <w:r w:rsidRPr="000033F2">
        <w:rPr>
          <w:rFonts w:eastAsia="Calibri"/>
          <w:kern w:val="22"/>
          <w:lang w:val="es-AR"/>
        </w:rPr>
        <w:t xml:space="preserve"> </w:t>
      </w:r>
      <w:r w:rsidR="00D97DF4">
        <w:rPr>
          <w:rFonts w:eastAsia="Calibri"/>
          <w:kern w:val="22"/>
          <w:lang w:val="es-AR"/>
        </w:rPr>
        <w:t xml:space="preserve">la </w:t>
      </w:r>
      <w:r w:rsidRPr="000033F2">
        <w:rPr>
          <w:rFonts w:eastAsia="Calibri"/>
          <w:kern w:val="22"/>
          <w:lang w:val="es-AR"/>
        </w:rPr>
        <w:t xml:space="preserve">falta de capacidad y recursos financieros, </w:t>
      </w:r>
      <w:r w:rsidR="00D97DF4">
        <w:rPr>
          <w:rFonts w:eastAsia="Calibri"/>
          <w:kern w:val="22"/>
          <w:lang w:val="es-AR"/>
        </w:rPr>
        <w:t xml:space="preserve">la </w:t>
      </w:r>
      <w:r w:rsidRPr="000033F2">
        <w:rPr>
          <w:rFonts w:eastAsia="Calibri"/>
          <w:kern w:val="22"/>
          <w:lang w:val="es-AR"/>
        </w:rPr>
        <w:t xml:space="preserve">necesidad de </w:t>
      </w:r>
      <w:r w:rsidR="00066EC9">
        <w:rPr>
          <w:rFonts w:eastAsia="Calibri"/>
          <w:kern w:val="22"/>
          <w:lang w:val="es-AR"/>
        </w:rPr>
        <w:t>concientización</w:t>
      </w:r>
      <w:r w:rsidRPr="000033F2">
        <w:rPr>
          <w:rFonts w:eastAsia="Calibri"/>
          <w:kern w:val="22"/>
          <w:lang w:val="es-AR"/>
        </w:rPr>
        <w:t>, etc.), algunos países señal</w:t>
      </w:r>
      <w:r w:rsidR="00D97DF4">
        <w:rPr>
          <w:rFonts w:eastAsia="Calibri"/>
          <w:kern w:val="22"/>
          <w:lang w:val="es-AR"/>
        </w:rPr>
        <w:t>aron</w:t>
      </w:r>
      <w:r w:rsidRPr="000033F2">
        <w:rPr>
          <w:rFonts w:eastAsia="Calibri"/>
          <w:kern w:val="22"/>
          <w:lang w:val="es-AR"/>
        </w:rPr>
        <w:t xml:space="preserve"> que era difícil </w:t>
      </w:r>
      <w:r w:rsidR="00D97DF4">
        <w:rPr>
          <w:rFonts w:eastAsia="Calibri"/>
          <w:kern w:val="22"/>
          <w:lang w:val="es-AR"/>
        </w:rPr>
        <w:t xml:space="preserve">aplicar </w:t>
      </w:r>
      <w:r w:rsidRPr="000033F2">
        <w:rPr>
          <w:rFonts w:eastAsia="Calibri"/>
          <w:kern w:val="22"/>
          <w:lang w:val="es-AR"/>
        </w:rPr>
        <w:t xml:space="preserve">este </w:t>
      </w:r>
      <w:r w:rsidR="00FC59CB">
        <w:rPr>
          <w:rFonts w:eastAsia="Calibri"/>
          <w:kern w:val="22"/>
          <w:lang w:val="es-AR"/>
        </w:rPr>
        <w:t>a</w:t>
      </w:r>
      <w:r w:rsidR="000033F2">
        <w:rPr>
          <w:rFonts w:eastAsia="Calibri"/>
          <w:kern w:val="22"/>
          <w:lang w:val="es-AR"/>
        </w:rPr>
        <w:t>rtículo</w:t>
      </w:r>
      <w:r w:rsidR="00D97DF4">
        <w:rPr>
          <w:rFonts w:eastAsia="Calibri"/>
          <w:kern w:val="22"/>
          <w:lang w:val="es-AR"/>
        </w:rPr>
        <w:t>,</w:t>
      </w:r>
      <w:r w:rsidRPr="000033F2">
        <w:rPr>
          <w:rFonts w:eastAsia="Calibri"/>
          <w:kern w:val="22"/>
          <w:lang w:val="es-AR"/>
        </w:rPr>
        <w:t xml:space="preserve"> </w:t>
      </w:r>
      <w:r w:rsidR="00FC59CB">
        <w:rPr>
          <w:rFonts w:eastAsia="Calibri"/>
          <w:kern w:val="22"/>
          <w:lang w:val="es-AR"/>
        </w:rPr>
        <w:t xml:space="preserve">dado que </w:t>
      </w:r>
      <w:r w:rsidRPr="000033F2">
        <w:rPr>
          <w:rFonts w:eastAsia="Calibri"/>
          <w:kern w:val="22"/>
          <w:lang w:val="es-AR"/>
        </w:rPr>
        <w:t xml:space="preserve">los países </w:t>
      </w:r>
      <w:r w:rsidR="00D97DF4">
        <w:rPr>
          <w:rFonts w:eastAsia="Calibri"/>
          <w:kern w:val="22"/>
          <w:lang w:val="es-AR"/>
        </w:rPr>
        <w:t>progresan a</w:t>
      </w:r>
      <w:r w:rsidRPr="000033F2">
        <w:rPr>
          <w:rFonts w:eastAsia="Calibri"/>
          <w:kern w:val="22"/>
          <w:lang w:val="es-AR"/>
        </w:rPr>
        <w:t xml:space="preserve"> di</w:t>
      </w:r>
      <w:r w:rsidR="00FC59CB">
        <w:rPr>
          <w:rFonts w:eastAsia="Calibri"/>
          <w:kern w:val="22"/>
          <w:lang w:val="es-AR"/>
        </w:rPr>
        <w:t xml:space="preserve">ferentes </w:t>
      </w:r>
      <w:r w:rsidRPr="000033F2">
        <w:rPr>
          <w:rFonts w:eastAsia="Calibri"/>
          <w:kern w:val="22"/>
          <w:lang w:val="es-AR"/>
        </w:rPr>
        <w:t>ritmos en la aplicación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 y utilizan diversos enfoques en su legislación, y algunos observaron que muchos países todavía no han ratificado</w:t>
      </w:r>
      <w:r w:rsidR="00A40A8C">
        <w:rPr>
          <w:rFonts w:eastAsia="Calibri"/>
          <w:kern w:val="22"/>
          <w:lang w:val="es-AR"/>
        </w:rPr>
        <w:t xml:space="preserve"> el Protocolo</w:t>
      </w:r>
      <w:r w:rsidRPr="000033F2">
        <w:rPr>
          <w:rFonts w:eastAsia="Calibri"/>
          <w:kern w:val="22"/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t>Algunos</w:t>
      </w:r>
      <w:r w:rsidR="00514C5E">
        <w:rPr>
          <w:rFonts w:eastAsia="Calibri"/>
          <w:kern w:val="22"/>
          <w:lang w:val="es-AR"/>
        </w:rPr>
        <w:t xml:space="preserve"> países</w:t>
      </w:r>
      <w:r w:rsidRPr="000033F2">
        <w:rPr>
          <w:rFonts w:eastAsia="Calibri"/>
          <w:kern w:val="22"/>
          <w:lang w:val="es-AR"/>
        </w:rPr>
        <w:t xml:space="preserve"> </w:t>
      </w:r>
      <w:r w:rsidR="00D97DF4">
        <w:rPr>
          <w:rFonts w:eastAsia="Calibri"/>
          <w:kern w:val="22"/>
          <w:lang w:val="es-AR"/>
        </w:rPr>
        <w:t xml:space="preserve">indicaron que sería necesario reforzar </w:t>
      </w:r>
      <w:r w:rsidRPr="000033F2">
        <w:rPr>
          <w:rFonts w:eastAsia="Calibri"/>
          <w:kern w:val="22"/>
          <w:lang w:val="es-AR"/>
        </w:rPr>
        <w:t xml:space="preserve">la capacidad de </w:t>
      </w:r>
      <w:r w:rsidR="00A256A5">
        <w:rPr>
          <w:rFonts w:eastAsia="Calibri"/>
          <w:kern w:val="22"/>
          <w:lang w:val="es-AR"/>
        </w:rPr>
        <w:t xml:space="preserve">las </w:t>
      </w:r>
      <w:r w:rsidRPr="000033F2">
        <w:rPr>
          <w:rFonts w:eastAsia="Calibri"/>
          <w:kern w:val="22"/>
          <w:lang w:val="es-AR"/>
        </w:rPr>
        <w:t xml:space="preserve">estructuras regionales con </w:t>
      </w:r>
      <w:r w:rsidR="00D97DF4">
        <w:rPr>
          <w:rFonts w:eastAsia="Calibri"/>
          <w:kern w:val="22"/>
          <w:lang w:val="es-AR"/>
        </w:rPr>
        <w:t xml:space="preserve">el fin </w:t>
      </w:r>
      <w:r w:rsidRPr="000033F2">
        <w:rPr>
          <w:rFonts w:eastAsia="Calibri"/>
          <w:kern w:val="22"/>
          <w:lang w:val="es-AR"/>
        </w:rPr>
        <w:t xml:space="preserve">de </w:t>
      </w:r>
      <w:r w:rsidR="00A256A5">
        <w:rPr>
          <w:rFonts w:eastAsia="Calibri"/>
          <w:kern w:val="22"/>
          <w:lang w:val="es-AR"/>
        </w:rPr>
        <w:t xml:space="preserve">permitirles </w:t>
      </w:r>
      <w:r w:rsidRPr="000033F2">
        <w:rPr>
          <w:rFonts w:eastAsia="Calibri"/>
          <w:kern w:val="22"/>
          <w:lang w:val="es-AR"/>
        </w:rPr>
        <w:t>coordinar la aplicación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A este respecto, un país señaló </w:t>
      </w:r>
      <w:r w:rsidR="00A256A5">
        <w:rPr>
          <w:rFonts w:eastAsia="Calibri"/>
          <w:kern w:val="22"/>
          <w:lang w:val="es-AR"/>
        </w:rPr>
        <w:t xml:space="preserve">que </w:t>
      </w:r>
      <w:r w:rsidR="00A256A5" w:rsidRPr="000033F2">
        <w:rPr>
          <w:rFonts w:eastAsia="Calibri"/>
          <w:kern w:val="22"/>
          <w:lang w:val="es-AR"/>
        </w:rPr>
        <w:t xml:space="preserve">las políticas regionales </w:t>
      </w:r>
      <w:r w:rsidR="00A256A5">
        <w:rPr>
          <w:rFonts w:eastAsia="Calibri"/>
          <w:kern w:val="22"/>
          <w:lang w:val="es-AR"/>
        </w:rPr>
        <w:t xml:space="preserve">sobre </w:t>
      </w:r>
      <w:r w:rsidRPr="000033F2">
        <w:rPr>
          <w:rFonts w:eastAsia="Calibri"/>
          <w:kern w:val="22"/>
          <w:lang w:val="es-AR"/>
        </w:rPr>
        <w:t xml:space="preserve">el acceso y participación en los beneficios </w:t>
      </w:r>
      <w:r w:rsidR="00A256A5">
        <w:rPr>
          <w:rFonts w:eastAsia="Calibri"/>
          <w:kern w:val="22"/>
          <w:lang w:val="es-AR"/>
        </w:rPr>
        <w:t>no se aplica</w:t>
      </w:r>
      <w:r w:rsidR="00CE58D0">
        <w:rPr>
          <w:rFonts w:eastAsia="Calibri"/>
          <w:kern w:val="22"/>
          <w:lang w:val="es-AR"/>
        </w:rPr>
        <w:t>ban</w:t>
      </w:r>
      <w:r w:rsidR="00A256A5">
        <w:rPr>
          <w:rFonts w:eastAsia="Calibri"/>
          <w:kern w:val="22"/>
          <w:lang w:val="es-AR"/>
        </w:rPr>
        <w:t xml:space="preserve"> plenamente </w:t>
      </w:r>
      <w:r w:rsidRPr="000033F2">
        <w:rPr>
          <w:rFonts w:eastAsia="Calibri"/>
          <w:kern w:val="22"/>
          <w:lang w:val="es-AR"/>
        </w:rPr>
        <w:t xml:space="preserve">en </w:t>
      </w:r>
      <w:r w:rsidR="00066EC9">
        <w:rPr>
          <w:rFonts w:eastAsia="Calibri"/>
          <w:kern w:val="22"/>
          <w:lang w:val="es-AR"/>
        </w:rPr>
        <w:t>el ámbito</w:t>
      </w:r>
      <w:r w:rsidRPr="000033F2">
        <w:rPr>
          <w:rFonts w:eastAsia="Calibri"/>
          <w:kern w:val="22"/>
          <w:lang w:val="es-AR"/>
        </w:rPr>
        <w:t xml:space="preserve"> nacional.</w:t>
      </w:r>
      <w:r w:rsidRPr="000033F2">
        <w:rPr>
          <w:lang w:val="es-AR"/>
        </w:rPr>
        <w:t xml:space="preserve"> </w:t>
      </w:r>
      <w:r w:rsidR="00A256A5">
        <w:rPr>
          <w:lang w:val="es-AR"/>
        </w:rPr>
        <w:t>Varios países observaron l</w:t>
      </w:r>
      <w:r w:rsidRPr="000033F2">
        <w:rPr>
          <w:rFonts w:eastAsia="Calibri"/>
          <w:kern w:val="22"/>
          <w:lang w:val="es-AR"/>
        </w:rPr>
        <w:t>a necesidad de</w:t>
      </w:r>
      <w:r w:rsidR="00CE58D0">
        <w:rPr>
          <w:rFonts w:eastAsia="Calibri"/>
          <w:kern w:val="22"/>
          <w:lang w:val="es-AR"/>
        </w:rPr>
        <w:t xml:space="preserve"> contar con</w:t>
      </w:r>
      <w:r w:rsidRPr="000033F2">
        <w:rPr>
          <w:rFonts w:eastAsia="Calibri"/>
          <w:kern w:val="22"/>
          <w:lang w:val="es-AR"/>
        </w:rPr>
        <w:t xml:space="preserve"> recursos financieros </w:t>
      </w:r>
      <w:r w:rsidR="00A256A5">
        <w:rPr>
          <w:rFonts w:eastAsia="Calibri"/>
          <w:kern w:val="22"/>
          <w:lang w:val="es-AR"/>
        </w:rPr>
        <w:t xml:space="preserve">para </w:t>
      </w:r>
      <w:r w:rsidRPr="000033F2">
        <w:rPr>
          <w:rFonts w:eastAsia="Calibri"/>
          <w:kern w:val="22"/>
          <w:lang w:val="es-AR"/>
        </w:rPr>
        <w:t>apoyar la cooperación transfronteriza.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rFonts w:eastAsia="Calibri"/>
          <w:kern w:val="22"/>
          <w:lang w:val="es-AR"/>
        </w:rPr>
        <w:lastRenderedPageBreak/>
        <w:t xml:space="preserve">Algunos países indicaron que </w:t>
      </w:r>
      <w:r w:rsidR="00CE58D0" w:rsidRPr="000033F2">
        <w:rPr>
          <w:rFonts w:eastAsia="Calibri"/>
          <w:kern w:val="22"/>
          <w:lang w:val="es-AR"/>
        </w:rPr>
        <w:t xml:space="preserve">todavía </w:t>
      </w:r>
      <w:r w:rsidRPr="000033F2">
        <w:rPr>
          <w:rFonts w:eastAsia="Calibri"/>
          <w:kern w:val="22"/>
          <w:lang w:val="es-AR"/>
        </w:rPr>
        <w:t>no se había identificado ning</w:t>
      </w:r>
      <w:r w:rsidR="00A256A5">
        <w:rPr>
          <w:rFonts w:eastAsia="Calibri"/>
          <w:kern w:val="22"/>
          <w:lang w:val="es-AR"/>
        </w:rPr>
        <w:t>ún</w:t>
      </w:r>
      <w:r w:rsidRPr="000033F2">
        <w:rPr>
          <w:rFonts w:eastAsia="Calibri"/>
          <w:kern w:val="22"/>
          <w:lang w:val="es-AR"/>
        </w:rPr>
        <w:t xml:space="preserve"> caso </w:t>
      </w:r>
      <w:r w:rsidR="00CE58D0">
        <w:rPr>
          <w:rFonts w:eastAsia="Calibri"/>
          <w:kern w:val="22"/>
          <w:lang w:val="es-AR"/>
        </w:rPr>
        <w:t xml:space="preserve">sobre </w:t>
      </w:r>
      <w:r w:rsidRPr="000033F2">
        <w:rPr>
          <w:rFonts w:eastAsia="Calibri"/>
          <w:kern w:val="22"/>
          <w:lang w:val="es-AR"/>
        </w:rPr>
        <w:t xml:space="preserve">el acceso a los recursos genéticos o los conocimientos tradicionales asociados situados en el territorio de más de un país, y que </w:t>
      </w:r>
      <w:r w:rsidR="00A256A5">
        <w:rPr>
          <w:rFonts w:eastAsia="Calibri"/>
          <w:kern w:val="22"/>
          <w:lang w:val="es-AR"/>
        </w:rPr>
        <w:t xml:space="preserve">era necesario adquirir </w:t>
      </w:r>
      <w:r w:rsidRPr="000033F2">
        <w:rPr>
          <w:rFonts w:eastAsia="Calibri"/>
          <w:kern w:val="22"/>
          <w:lang w:val="es-AR"/>
        </w:rPr>
        <w:t xml:space="preserve">más experiencia </w:t>
      </w:r>
      <w:r w:rsidR="00A256A5">
        <w:rPr>
          <w:rFonts w:eastAsia="Calibri"/>
          <w:kern w:val="22"/>
          <w:lang w:val="es-AR"/>
        </w:rPr>
        <w:t>al respecto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="00A256A5">
        <w:rPr>
          <w:lang w:val="es-AR"/>
        </w:rPr>
        <w:t>Se puso de relieve l</w:t>
      </w:r>
      <w:r w:rsidRPr="000033F2">
        <w:rPr>
          <w:rFonts w:eastAsia="Calibri"/>
          <w:kern w:val="22"/>
          <w:lang w:val="es-AR"/>
        </w:rPr>
        <w:t>a importancia de compartir información y experiencia</w:t>
      </w:r>
      <w:r w:rsidR="00514C5E">
        <w:rPr>
          <w:rFonts w:eastAsia="Calibri"/>
          <w:kern w:val="22"/>
          <w:lang w:val="es-AR"/>
        </w:rPr>
        <w:t>s</w:t>
      </w:r>
      <w:r w:rsidRPr="000033F2">
        <w:rPr>
          <w:rFonts w:eastAsia="Calibri"/>
          <w:kern w:val="22"/>
          <w:lang w:val="es-AR"/>
        </w:rPr>
        <w:t>.</w:t>
      </w:r>
      <w:r w:rsidRPr="000033F2">
        <w:rPr>
          <w:lang w:val="es-AR"/>
        </w:rPr>
        <w:t xml:space="preserve"> </w:t>
      </w:r>
      <w:r w:rsidRPr="000033F2">
        <w:rPr>
          <w:rFonts w:eastAsia="Calibri"/>
          <w:kern w:val="22"/>
          <w:lang w:val="es-AR"/>
        </w:rPr>
        <w:t xml:space="preserve">Un país </w:t>
      </w:r>
      <w:r w:rsidR="00A256A5">
        <w:rPr>
          <w:rFonts w:eastAsia="Calibri"/>
          <w:kern w:val="22"/>
          <w:lang w:val="es-AR"/>
        </w:rPr>
        <w:t>opinó</w:t>
      </w:r>
      <w:r w:rsidRPr="000033F2">
        <w:rPr>
          <w:rFonts w:eastAsia="Calibri"/>
          <w:kern w:val="22"/>
          <w:lang w:val="es-AR"/>
        </w:rPr>
        <w:t xml:space="preserve"> </w:t>
      </w:r>
      <w:r w:rsidR="00FB7868">
        <w:rPr>
          <w:rFonts w:eastAsia="Calibri"/>
          <w:kern w:val="22"/>
          <w:lang w:val="es-AR"/>
        </w:rPr>
        <w:t xml:space="preserve">que </w:t>
      </w:r>
      <w:r w:rsidRPr="000033F2">
        <w:rPr>
          <w:rFonts w:eastAsia="Calibri"/>
          <w:kern w:val="22"/>
          <w:lang w:val="es-AR"/>
        </w:rPr>
        <w:t>las experiencias adquiri</w:t>
      </w:r>
      <w:r w:rsidR="00FB7868">
        <w:rPr>
          <w:rFonts w:eastAsia="Calibri"/>
          <w:kern w:val="22"/>
          <w:lang w:val="es-AR"/>
        </w:rPr>
        <w:t>das</w:t>
      </w:r>
      <w:r w:rsidRPr="000033F2">
        <w:rPr>
          <w:rFonts w:eastAsia="Calibri"/>
          <w:kern w:val="22"/>
          <w:lang w:val="es-AR"/>
        </w:rPr>
        <w:t xml:space="preserve"> en otro</w:t>
      </w:r>
      <w:r w:rsidR="00A256A5">
        <w:rPr>
          <w:rFonts w:eastAsia="Calibri"/>
          <w:kern w:val="22"/>
          <w:lang w:val="es-AR"/>
        </w:rPr>
        <w:t xml:space="preserve"> proyecto</w:t>
      </w:r>
      <w:r w:rsidRPr="000033F2">
        <w:rPr>
          <w:rFonts w:eastAsia="Calibri"/>
          <w:kern w:val="22"/>
          <w:lang w:val="es-AR"/>
        </w:rPr>
        <w:t xml:space="preserve"> subregional y bilateral sería de mayor importancia </w:t>
      </w:r>
      <w:r w:rsidR="00A256A5">
        <w:rPr>
          <w:rFonts w:eastAsia="Calibri"/>
          <w:kern w:val="22"/>
          <w:lang w:val="es-AR"/>
        </w:rPr>
        <w:t>par</w:t>
      </w:r>
      <w:r w:rsidRPr="000033F2">
        <w:rPr>
          <w:rFonts w:eastAsia="Calibri"/>
          <w:kern w:val="22"/>
          <w:lang w:val="es-AR"/>
        </w:rPr>
        <w:t xml:space="preserve">a </w:t>
      </w:r>
      <w:r w:rsidR="00FB7868">
        <w:rPr>
          <w:rFonts w:eastAsia="Calibri"/>
          <w:kern w:val="22"/>
          <w:lang w:val="es-AR"/>
        </w:rPr>
        <w:t xml:space="preserve">asistir en </w:t>
      </w:r>
      <w:r w:rsidR="002E751F">
        <w:rPr>
          <w:rFonts w:eastAsia="Calibri"/>
          <w:kern w:val="22"/>
          <w:lang w:val="es-AR"/>
        </w:rPr>
        <w:t>l</w:t>
      </w:r>
      <w:r w:rsidR="00A256A5">
        <w:rPr>
          <w:rFonts w:eastAsia="Calibri"/>
          <w:kern w:val="22"/>
          <w:lang w:val="es-AR"/>
        </w:rPr>
        <w:t>a</w:t>
      </w:r>
      <w:r w:rsidR="002E751F">
        <w:rPr>
          <w:rFonts w:eastAsia="Calibri"/>
          <w:kern w:val="22"/>
          <w:lang w:val="es-AR"/>
        </w:rPr>
        <w:t xml:space="preserve"> aplicación</w:t>
      </w:r>
      <w:r w:rsidRPr="000033F2">
        <w:rPr>
          <w:rFonts w:eastAsia="Calibri"/>
          <w:kern w:val="22"/>
          <w:lang w:val="es-AR"/>
        </w:rPr>
        <w:t xml:space="preserve"> del </w:t>
      </w:r>
      <w:r w:rsidR="000033F2">
        <w:rPr>
          <w:rFonts w:eastAsia="Calibri"/>
          <w:kern w:val="22"/>
          <w:lang w:val="es-AR"/>
        </w:rPr>
        <w:t>Artículo</w:t>
      </w:r>
      <w:r w:rsidRPr="000033F2">
        <w:rPr>
          <w:rFonts w:eastAsia="Calibri"/>
          <w:kern w:val="22"/>
          <w:lang w:val="es-AR"/>
        </w:rPr>
        <w:t xml:space="preserve"> 11</w:t>
      </w:r>
      <w:r w:rsidR="00096D97">
        <w:rPr>
          <w:rFonts w:eastAsia="Calibri"/>
          <w:kern w:val="22"/>
          <w:lang w:val="es-AR"/>
        </w:rPr>
        <w:t xml:space="preserve"> del Protocolo</w:t>
      </w:r>
      <w:r w:rsidRPr="000033F2">
        <w:rPr>
          <w:rFonts w:eastAsia="Calibri"/>
          <w:kern w:val="22"/>
          <w:lang w:val="es-AR"/>
        </w:rPr>
        <w:t xml:space="preserve"> de Nagoya.</w:t>
      </w:r>
    </w:p>
    <w:p w:rsidR="00FB79CA" w:rsidRPr="000033F2" w:rsidRDefault="00A256A5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rFonts w:eastAsia="Calibri"/>
          <w:kern w:val="22"/>
          <w:lang w:val="es-AR"/>
        </w:rPr>
        <w:t>Varios países también mencionaron l</w:t>
      </w:r>
      <w:r w:rsidR="00635DA0" w:rsidRPr="000033F2">
        <w:rPr>
          <w:rFonts w:eastAsia="Calibri"/>
          <w:kern w:val="22"/>
          <w:lang w:val="es-AR"/>
        </w:rPr>
        <w:t>a necesidad de identificar y documentar</w:t>
      </w:r>
      <w:r w:rsidR="00FB7868">
        <w:rPr>
          <w:rFonts w:eastAsia="Calibri"/>
          <w:kern w:val="22"/>
          <w:lang w:val="es-AR"/>
        </w:rPr>
        <w:t xml:space="preserve"> los</w:t>
      </w:r>
      <w:r w:rsidR="00635DA0" w:rsidRPr="000033F2">
        <w:rPr>
          <w:rFonts w:eastAsia="Calibri"/>
          <w:kern w:val="22"/>
          <w:lang w:val="es-AR"/>
        </w:rPr>
        <w:t xml:space="preserve"> conocimientos tradicionales compartidos</w:t>
      </w:r>
      <w:r>
        <w:rPr>
          <w:rFonts w:eastAsia="Calibri"/>
          <w:kern w:val="22"/>
          <w:lang w:val="es-AR"/>
        </w:rPr>
        <w:t xml:space="preserve"> </w:t>
      </w:r>
      <w:r w:rsidR="00635DA0" w:rsidRPr="000033F2">
        <w:rPr>
          <w:rFonts w:eastAsia="Calibri"/>
          <w:kern w:val="22"/>
          <w:lang w:val="es-AR"/>
        </w:rPr>
        <w:t xml:space="preserve">y un país señaló que sus conocimientos tradicionales asociados </w:t>
      </w:r>
      <w:r>
        <w:rPr>
          <w:rFonts w:eastAsia="Calibri"/>
          <w:kern w:val="22"/>
          <w:lang w:val="es-AR"/>
        </w:rPr>
        <w:t xml:space="preserve">ya se han documentado </w:t>
      </w:r>
      <w:r w:rsidR="00FB7868">
        <w:rPr>
          <w:rFonts w:eastAsia="Calibri"/>
          <w:kern w:val="22"/>
          <w:lang w:val="es-AR"/>
        </w:rPr>
        <w:t xml:space="preserve">parcialmente </w:t>
      </w:r>
      <w:r w:rsidR="00635DA0" w:rsidRPr="000033F2">
        <w:rPr>
          <w:rFonts w:eastAsia="Calibri"/>
          <w:kern w:val="22"/>
          <w:lang w:val="es-AR"/>
        </w:rPr>
        <w:t xml:space="preserve">o se han difundido </w:t>
      </w:r>
      <w:r w:rsidR="00FB7868">
        <w:rPr>
          <w:rFonts w:eastAsia="Calibri"/>
          <w:kern w:val="22"/>
          <w:lang w:val="es-AR"/>
        </w:rPr>
        <w:t>ampliamente</w:t>
      </w:r>
      <w:r w:rsidR="00635DA0" w:rsidRPr="000033F2">
        <w:rPr>
          <w:rFonts w:eastAsia="Calibri"/>
          <w:kern w:val="22"/>
          <w:lang w:val="es-AR"/>
        </w:rPr>
        <w:t>.</w:t>
      </w:r>
    </w:p>
    <w:p w:rsidR="00FB79CA" w:rsidRPr="000033F2" w:rsidRDefault="00635DA0">
      <w:pPr>
        <w:pStyle w:val="Heading1"/>
        <w:numPr>
          <w:ilvl w:val="0"/>
          <w:numId w:val="6"/>
        </w:numPr>
        <w:tabs>
          <w:tab w:val="clear" w:pos="720"/>
          <w:tab w:val="left" w:pos="1276"/>
        </w:tabs>
        <w:ind w:left="1276"/>
        <w:jc w:val="left"/>
        <w:rPr>
          <w:lang w:val="es-AR"/>
        </w:rPr>
      </w:pPr>
      <w:r w:rsidRPr="000033F2">
        <w:rPr>
          <w:lang w:val="es-AR"/>
        </w:rPr>
        <w:t xml:space="preserve">información sobre las situaciones en las cuales no es posible conceder u obtener </w:t>
      </w:r>
      <w:r w:rsidR="006339BD">
        <w:rPr>
          <w:lang w:val="es-AR"/>
        </w:rPr>
        <w:t>consentimiento fundamentado previo</w:t>
      </w:r>
    </w:p>
    <w:p w:rsidR="00FB79CA" w:rsidRPr="000033F2" w:rsidRDefault="00417CB4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 xml:space="preserve">En virtud </w:t>
      </w:r>
      <w:r w:rsidR="00A256A5">
        <w:rPr>
          <w:lang w:val="es-AR"/>
        </w:rPr>
        <w:t xml:space="preserve">del apartado 4 de la </w:t>
      </w:r>
      <w:r w:rsidR="00635DA0" w:rsidRPr="000033F2">
        <w:rPr>
          <w:lang w:val="es-AR"/>
        </w:rPr>
        <w:t xml:space="preserve">decisión NP-2/10, varias presentaciones </w:t>
      </w:r>
      <w:r>
        <w:rPr>
          <w:lang w:val="es-AR"/>
        </w:rPr>
        <w:t xml:space="preserve">brindaron </w:t>
      </w:r>
      <w:r w:rsidR="00635DA0" w:rsidRPr="000033F2">
        <w:rPr>
          <w:lang w:val="es-AR"/>
        </w:rPr>
        <w:t xml:space="preserve">opiniones </w:t>
      </w:r>
      <w:r w:rsidR="00A256A5">
        <w:rPr>
          <w:lang w:val="es-AR"/>
        </w:rPr>
        <w:t>e</w:t>
      </w:r>
      <w:r w:rsidR="00635DA0" w:rsidRPr="000033F2">
        <w:rPr>
          <w:lang w:val="es-AR"/>
        </w:rPr>
        <w:t xml:space="preserve"> información </w:t>
      </w:r>
      <w:r w:rsidR="00A256A5">
        <w:rPr>
          <w:lang w:val="es-AR"/>
        </w:rPr>
        <w:t xml:space="preserve">sobre </w:t>
      </w:r>
      <w:r w:rsidR="00635DA0" w:rsidRPr="000033F2">
        <w:rPr>
          <w:lang w:val="es-AR"/>
        </w:rPr>
        <w:t xml:space="preserve">situaciones en las cuales no es posible conceder u obtener </w:t>
      </w:r>
      <w:r w:rsidR="006339BD">
        <w:rPr>
          <w:lang w:val="es-AR"/>
        </w:rPr>
        <w:t>consentimiento fundamentado previo</w:t>
      </w:r>
      <w:r w:rsidR="00635DA0" w:rsidRPr="000033F2">
        <w:rPr>
          <w:lang w:val="es-AR"/>
        </w:rPr>
        <w:t>.</w:t>
      </w:r>
    </w:p>
    <w:p w:rsidR="00FB79CA" w:rsidRPr="00417CB4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A256A5">
        <w:rPr>
          <w:rStyle w:val="FootnoteReference"/>
          <w:sz w:val="22"/>
          <w:szCs w:val="22"/>
          <w:vertAlign w:val="baseline"/>
          <w:lang w:val="es-AR"/>
        </w:rPr>
        <w:t>Cuatro presentaciones</w:t>
      </w:r>
      <w:r w:rsidRPr="00A256A5">
        <w:rPr>
          <w:rStyle w:val="FootnoteReference"/>
          <w:lang w:val="es-AR"/>
        </w:rPr>
        <w:footnoteReference w:id="71"/>
      </w:r>
      <w:r w:rsidRPr="00A256A5">
        <w:rPr>
          <w:lang w:val="es-AR"/>
        </w:rPr>
        <w:t xml:space="preserve"> indicaron que no </w:t>
      </w:r>
      <w:r w:rsidR="00417CB4">
        <w:rPr>
          <w:lang w:val="es-AR"/>
        </w:rPr>
        <w:t xml:space="preserve">identificaron </w:t>
      </w:r>
      <w:r w:rsidRPr="00A256A5">
        <w:rPr>
          <w:lang w:val="es-AR"/>
        </w:rPr>
        <w:t>ninguna situaci</w:t>
      </w:r>
      <w:r w:rsidR="00A256A5">
        <w:rPr>
          <w:lang w:val="es-AR"/>
        </w:rPr>
        <w:t>ón</w:t>
      </w:r>
      <w:r w:rsidRPr="00A256A5">
        <w:rPr>
          <w:lang w:val="es-AR"/>
        </w:rPr>
        <w:t xml:space="preserve"> en la cual no es posible conceder u obtener </w:t>
      </w:r>
      <w:r w:rsidR="006339BD" w:rsidRPr="00A256A5">
        <w:rPr>
          <w:lang w:val="es-AR"/>
        </w:rPr>
        <w:t>consentimiento fundamentado previo</w:t>
      </w:r>
      <w:r w:rsidRPr="00A256A5">
        <w:rPr>
          <w:lang w:val="es-AR"/>
        </w:rPr>
        <w:t>. Un</w:t>
      </w:r>
      <w:r w:rsidR="00A256A5">
        <w:rPr>
          <w:lang w:val="es-AR"/>
        </w:rPr>
        <w:t>a</w:t>
      </w:r>
      <w:r w:rsidRPr="00A256A5">
        <w:rPr>
          <w:lang w:val="es-AR"/>
        </w:rPr>
        <w:t xml:space="preserve"> de </w:t>
      </w:r>
      <w:r w:rsidR="00A256A5">
        <w:rPr>
          <w:lang w:val="es-AR"/>
        </w:rPr>
        <w:t>e</w:t>
      </w:r>
      <w:r w:rsidR="00417CB4">
        <w:rPr>
          <w:lang w:val="es-AR"/>
        </w:rPr>
        <w:t>lla</w:t>
      </w:r>
      <w:r w:rsidRPr="00A256A5">
        <w:rPr>
          <w:rStyle w:val="FootnoteReference"/>
          <w:lang w:val="es-AR"/>
        </w:rPr>
        <w:footnoteReference w:id="72"/>
      </w:r>
      <w:r w:rsidRPr="00A256A5">
        <w:rPr>
          <w:lang w:val="es-AR"/>
        </w:rPr>
        <w:t xml:space="preserve"> reconoci</w:t>
      </w:r>
      <w:r w:rsidR="00A256A5">
        <w:rPr>
          <w:lang w:val="es-AR"/>
        </w:rPr>
        <w:t>ó</w:t>
      </w:r>
      <w:r w:rsidRPr="00A256A5">
        <w:rPr>
          <w:lang w:val="es-AR"/>
        </w:rPr>
        <w:t xml:space="preserve"> que puede haber problemas prácticos </w:t>
      </w:r>
      <w:r w:rsidR="00A256A5">
        <w:rPr>
          <w:lang w:val="es-AR"/>
        </w:rPr>
        <w:t>para</w:t>
      </w:r>
      <w:r w:rsidRPr="00A256A5">
        <w:rPr>
          <w:lang w:val="es-AR"/>
        </w:rPr>
        <w:t xml:space="preserve"> obtener el </w:t>
      </w:r>
      <w:r w:rsidR="006339BD" w:rsidRPr="00A256A5">
        <w:rPr>
          <w:lang w:val="es-AR"/>
        </w:rPr>
        <w:t>consentimiento fundamentado previo</w:t>
      </w:r>
      <w:r w:rsidRPr="00A256A5">
        <w:rPr>
          <w:lang w:val="es-AR"/>
        </w:rPr>
        <w:t xml:space="preserve"> relacionado con l</w:t>
      </w:r>
      <w:r w:rsidR="00A256A5">
        <w:rPr>
          <w:lang w:val="es-AR"/>
        </w:rPr>
        <w:t>a</w:t>
      </w:r>
      <w:r w:rsidRPr="00A256A5">
        <w:rPr>
          <w:lang w:val="es-AR"/>
        </w:rPr>
        <w:t>s dificultad</w:t>
      </w:r>
      <w:r w:rsidR="00A256A5">
        <w:rPr>
          <w:lang w:val="es-AR"/>
        </w:rPr>
        <w:t>es</w:t>
      </w:r>
      <w:r w:rsidRPr="00A256A5">
        <w:rPr>
          <w:lang w:val="es-AR"/>
        </w:rPr>
        <w:t xml:space="preserve"> </w:t>
      </w:r>
      <w:r w:rsidR="00417CB4">
        <w:rPr>
          <w:lang w:val="es-AR"/>
        </w:rPr>
        <w:t xml:space="preserve">en </w:t>
      </w:r>
      <w:r w:rsidRPr="00A256A5">
        <w:rPr>
          <w:lang w:val="es-AR"/>
        </w:rPr>
        <w:t>la aplicación nacional</w:t>
      </w:r>
      <w:r w:rsidR="00096D97" w:rsidRPr="00A256A5">
        <w:rPr>
          <w:lang w:val="es-AR"/>
        </w:rPr>
        <w:t xml:space="preserve"> del Protocolo</w:t>
      </w:r>
      <w:r w:rsidR="00A256A5">
        <w:rPr>
          <w:lang w:val="es-AR"/>
        </w:rPr>
        <w:t>,</w:t>
      </w:r>
      <w:r w:rsidRPr="00A256A5">
        <w:rPr>
          <w:lang w:val="es-AR"/>
        </w:rPr>
        <w:t xml:space="preserve"> pero no </w:t>
      </w:r>
      <w:r w:rsidR="00A256A5">
        <w:rPr>
          <w:lang w:val="es-AR"/>
        </w:rPr>
        <w:t xml:space="preserve">creía </w:t>
      </w:r>
      <w:r w:rsidRPr="00A256A5">
        <w:rPr>
          <w:lang w:val="es-AR"/>
        </w:rPr>
        <w:t xml:space="preserve">que esto </w:t>
      </w:r>
      <w:r w:rsidR="00514C5E">
        <w:rPr>
          <w:lang w:val="es-AR"/>
        </w:rPr>
        <w:t>fuese</w:t>
      </w:r>
      <w:r w:rsidRPr="00A256A5">
        <w:rPr>
          <w:lang w:val="es-AR"/>
        </w:rPr>
        <w:t xml:space="preserve"> </w:t>
      </w:r>
      <w:r w:rsidR="0008032E" w:rsidRPr="00A256A5">
        <w:rPr>
          <w:lang w:val="es-AR"/>
        </w:rPr>
        <w:t xml:space="preserve">pertinente </w:t>
      </w:r>
      <w:r w:rsidRPr="00A256A5">
        <w:rPr>
          <w:lang w:val="es-AR"/>
        </w:rPr>
        <w:t xml:space="preserve">al </w:t>
      </w:r>
      <w:r w:rsidR="000033F2" w:rsidRPr="00A256A5">
        <w:rPr>
          <w:lang w:val="es-AR"/>
        </w:rPr>
        <w:t>Artículo</w:t>
      </w:r>
      <w:r w:rsidRPr="00A256A5">
        <w:rPr>
          <w:lang w:val="es-AR"/>
        </w:rPr>
        <w:t xml:space="preserve"> 10. Una Parte</w:t>
      </w:r>
      <w:r w:rsidRPr="00A256A5">
        <w:rPr>
          <w:rStyle w:val="FootnoteReference"/>
          <w:lang w:val="es-AR"/>
        </w:rPr>
        <w:footnoteReference w:id="73"/>
      </w:r>
      <w:r w:rsidRPr="00A256A5">
        <w:rPr>
          <w:lang w:val="es-AR"/>
        </w:rPr>
        <w:t xml:space="preserve"> proporcionó el ejemplo de sus "</w:t>
      </w:r>
      <w:r w:rsidR="009D11B9" w:rsidRPr="00417CB4">
        <w:rPr>
          <w:lang w:val="es-AR"/>
        </w:rPr>
        <w:t>D</w:t>
      </w:r>
      <w:r w:rsidRPr="00417CB4">
        <w:rPr>
          <w:lang w:val="es-AR"/>
        </w:rPr>
        <w:t xml:space="preserve">irectrices </w:t>
      </w:r>
      <w:r w:rsidR="00417CB4" w:rsidRPr="00417CB4">
        <w:rPr>
          <w:lang w:val="es-AR"/>
        </w:rPr>
        <w:t xml:space="preserve">para las reglamentaciones </w:t>
      </w:r>
      <w:r w:rsidRPr="00417CB4">
        <w:rPr>
          <w:lang w:val="es-AR"/>
        </w:rPr>
        <w:t xml:space="preserve">sobre el acceso a los recursos biológicos y </w:t>
      </w:r>
      <w:r w:rsidR="00417CB4" w:rsidRPr="00417CB4">
        <w:rPr>
          <w:lang w:val="es-AR"/>
        </w:rPr>
        <w:t>los conocimientos</w:t>
      </w:r>
      <w:r w:rsidRPr="00417CB4">
        <w:rPr>
          <w:lang w:val="es-AR"/>
        </w:rPr>
        <w:t xml:space="preserve"> asociado</w:t>
      </w:r>
      <w:r w:rsidR="009D11B9" w:rsidRPr="00417CB4">
        <w:rPr>
          <w:lang w:val="es-AR"/>
        </w:rPr>
        <w:t>s</w:t>
      </w:r>
      <w:r w:rsidRPr="00417CB4">
        <w:rPr>
          <w:lang w:val="es-AR"/>
        </w:rPr>
        <w:t xml:space="preserve"> y </w:t>
      </w:r>
      <w:r w:rsidR="00F36B85" w:rsidRPr="00417CB4">
        <w:rPr>
          <w:lang w:val="es-AR"/>
        </w:rPr>
        <w:t>l</w:t>
      </w:r>
      <w:r w:rsidR="00417CB4" w:rsidRPr="00417CB4">
        <w:rPr>
          <w:lang w:val="es-AR"/>
        </w:rPr>
        <w:t>a participación en l</w:t>
      </w:r>
      <w:r w:rsidR="00F36B85" w:rsidRPr="00417CB4">
        <w:rPr>
          <w:lang w:val="es-AR"/>
        </w:rPr>
        <w:t>os beneficios</w:t>
      </w:r>
      <w:r w:rsidRPr="00417CB4">
        <w:rPr>
          <w:lang w:val="es-AR"/>
        </w:rPr>
        <w:t xml:space="preserve">, 2014" que se </w:t>
      </w:r>
      <w:r w:rsidR="009D11B9" w:rsidRPr="00417CB4">
        <w:rPr>
          <w:lang w:val="es-AR"/>
        </w:rPr>
        <w:t xml:space="preserve">notificaron </w:t>
      </w:r>
      <w:r w:rsidRPr="00417CB4">
        <w:rPr>
          <w:lang w:val="es-AR"/>
        </w:rPr>
        <w:t xml:space="preserve">bajo </w:t>
      </w:r>
      <w:r w:rsidR="009D11B9" w:rsidRPr="00417CB4">
        <w:rPr>
          <w:lang w:val="es-AR"/>
        </w:rPr>
        <w:t>la Ley de Diversidad B</w:t>
      </w:r>
      <w:r w:rsidRPr="00417CB4">
        <w:rPr>
          <w:lang w:val="es-AR"/>
        </w:rPr>
        <w:t>iológic</w:t>
      </w:r>
      <w:r w:rsidR="00514C5E">
        <w:rPr>
          <w:lang w:val="es-AR"/>
        </w:rPr>
        <w:t>a</w:t>
      </w:r>
      <w:r w:rsidRPr="00417CB4">
        <w:rPr>
          <w:lang w:val="es-AR"/>
        </w:rPr>
        <w:t xml:space="preserve">. Estas </w:t>
      </w:r>
      <w:r w:rsidR="00417CB4">
        <w:rPr>
          <w:lang w:val="es-AR"/>
        </w:rPr>
        <w:t>D</w:t>
      </w:r>
      <w:r w:rsidRPr="00417CB4">
        <w:rPr>
          <w:lang w:val="es-AR"/>
        </w:rPr>
        <w:t xml:space="preserve">irectrices </w:t>
      </w:r>
      <w:r w:rsidR="009D11B9" w:rsidRPr="00417CB4">
        <w:rPr>
          <w:lang w:val="es-AR"/>
        </w:rPr>
        <w:t xml:space="preserve">estipulan </w:t>
      </w:r>
      <w:r w:rsidRPr="00417CB4">
        <w:rPr>
          <w:lang w:val="es-AR"/>
        </w:rPr>
        <w:t xml:space="preserve">que en caso de </w:t>
      </w:r>
      <w:r w:rsidR="00417CB4">
        <w:rPr>
          <w:lang w:val="es-AR"/>
        </w:rPr>
        <w:t xml:space="preserve">no identificar </w:t>
      </w:r>
      <w:r w:rsidRPr="00417CB4">
        <w:rPr>
          <w:lang w:val="es-AR"/>
        </w:rPr>
        <w:t xml:space="preserve">a los beneficiarios, </w:t>
      </w:r>
      <w:r w:rsidR="00F36B85" w:rsidRPr="00417CB4">
        <w:rPr>
          <w:lang w:val="es-AR"/>
        </w:rPr>
        <w:t xml:space="preserve">los </w:t>
      </w:r>
      <w:r w:rsidR="00110BFC" w:rsidRPr="00417CB4">
        <w:rPr>
          <w:lang w:val="es-AR"/>
        </w:rPr>
        <w:t>beneficios monetarios</w:t>
      </w:r>
      <w:r w:rsidRPr="00417CB4">
        <w:rPr>
          <w:lang w:val="es-AR"/>
        </w:rPr>
        <w:t xml:space="preserve"> </w:t>
      </w:r>
      <w:r w:rsidR="009D11B9" w:rsidRPr="00417CB4">
        <w:rPr>
          <w:lang w:val="es-AR"/>
        </w:rPr>
        <w:t xml:space="preserve">provenientes </w:t>
      </w:r>
      <w:r w:rsidRPr="00417CB4">
        <w:rPr>
          <w:lang w:val="es-AR"/>
        </w:rPr>
        <w:t xml:space="preserve">de la utilización comercial se </w:t>
      </w:r>
      <w:r w:rsidR="00417CB4">
        <w:rPr>
          <w:lang w:val="es-AR"/>
        </w:rPr>
        <w:t xml:space="preserve">usarán </w:t>
      </w:r>
      <w:r w:rsidRPr="00417CB4">
        <w:rPr>
          <w:lang w:val="es-AR"/>
        </w:rPr>
        <w:t xml:space="preserve">para apoyar la conservación y la utilización sostenible y para </w:t>
      </w:r>
      <w:r w:rsidR="00417CB4">
        <w:rPr>
          <w:lang w:val="es-AR"/>
        </w:rPr>
        <w:t xml:space="preserve">fomentar el </w:t>
      </w:r>
      <w:r w:rsidRPr="00417CB4">
        <w:rPr>
          <w:lang w:val="es-AR"/>
        </w:rPr>
        <w:t>sustento de</w:t>
      </w:r>
      <w:r w:rsidR="00417CB4">
        <w:rPr>
          <w:lang w:val="es-AR"/>
        </w:rPr>
        <w:t xml:space="preserve"> la</w:t>
      </w:r>
      <w:r w:rsidRPr="00417CB4">
        <w:rPr>
          <w:lang w:val="es-AR"/>
        </w:rPr>
        <w:t xml:space="preserve"> gente local que vive en el área donde </w:t>
      </w:r>
      <w:r w:rsidR="009D11B9" w:rsidRPr="00417CB4">
        <w:rPr>
          <w:lang w:val="es-AR"/>
        </w:rPr>
        <w:t xml:space="preserve">se tuvo acceso a </w:t>
      </w:r>
      <w:r w:rsidRPr="00417CB4">
        <w:rPr>
          <w:lang w:val="es-AR"/>
        </w:rPr>
        <w:t>los recursos biológicos.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Otra Parte</w:t>
      </w:r>
      <w:r w:rsidRPr="000033F2">
        <w:rPr>
          <w:rStyle w:val="FootnoteReference"/>
          <w:lang w:val="es-AR"/>
        </w:rPr>
        <w:footnoteReference w:id="74"/>
      </w:r>
      <w:r w:rsidRPr="000033F2">
        <w:rPr>
          <w:lang w:val="es-AR"/>
        </w:rPr>
        <w:t xml:space="preserve"> sugirió algunas situaciones hipotéticas en las cuales puede </w:t>
      </w:r>
      <w:r w:rsidR="00514C5E">
        <w:rPr>
          <w:lang w:val="es-AR"/>
        </w:rPr>
        <w:t xml:space="preserve">no ser </w:t>
      </w:r>
      <w:r w:rsidRPr="000033F2">
        <w:rPr>
          <w:lang w:val="es-AR"/>
        </w:rPr>
        <w:t xml:space="preserve">posible conceder u obtener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 xml:space="preserve">: si </w:t>
      </w:r>
      <w:r w:rsidR="00514C5E" w:rsidRPr="000033F2">
        <w:rPr>
          <w:lang w:val="es-AR"/>
        </w:rPr>
        <w:t xml:space="preserve">se busca </w:t>
      </w:r>
      <w:r w:rsidRPr="000033F2">
        <w:rPr>
          <w:lang w:val="es-AR"/>
        </w:rPr>
        <w:t xml:space="preserve">el acceso </w:t>
      </w:r>
      <w:r w:rsidR="00417CB4">
        <w:rPr>
          <w:lang w:val="es-AR"/>
        </w:rPr>
        <w:t xml:space="preserve">para </w:t>
      </w:r>
      <w:r w:rsidRPr="000033F2">
        <w:rPr>
          <w:lang w:val="es-AR"/>
        </w:rPr>
        <w:t>un recurso genético</w:t>
      </w:r>
      <w:r w:rsidR="00417CB4">
        <w:rPr>
          <w:lang w:val="es-AR"/>
        </w:rPr>
        <w:t xml:space="preserve"> </w:t>
      </w:r>
      <w:r w:rsidR="00417CB4" w:rsidRPr="009D11B9">
        <w:rPr>
          <w:i/>
          <w:lang w:val="es-AR"/>
        </w:rPr>
        <w:t>ex situ</w:t>
      </w:r>
      <w:r w:rsidRPr="000033F2">
        <w:rPr>
          <w:lang w:val="es-AR"/>
        </w:rPr>
        <w:t xml:space="preserve">, y como resultado de la fecha del depósito, no hay información precisa </w:t>
      </w:r>
      <w:r w:rsidR="00417CB4">
        <w:rPr>
          <w:lang w:val="es-AR"/>
        </w:rPr>
        <w:t xml:space="preserve">sobre </w:t>
      </w:r>
      <w:r w:rsidRPr="000033F2">
        <w:rPr>
          <w:lang w:val="es-AR"/>
        </w:rPr>
        <w:t xml:space="preserve">el país de origen del recurso genético; si se busca </w:t>
      </w:r>
      <w:r w:rsidR="009D11B9" w:rsidRPr="000033F2">
        <w:rPr>
          <w:lang w:val="es-AR"/>
        </w:rPr>
        <w:t xml:space="preserve">el acceso </w:t>
      </w:r>
      <w:r w:rsidRPr="000033F2">
        <w:rPr>
          <w:lang w:val="es-AR"/>
        </w:rPr>
        <w:t xml:space="preserve">a los conocimientos tradicionales asociados a los recursos genéticos pero que los </w:t>
      </w:r>
      <w:r w:rsidR="009D11B9">
        <w:rPr>
          <w:lang w:val="es-AR"/>
        </w:rPr>
        <w:t>poseedores</w:t>
      </w:r>
      <w:r w:rsidRPr="000033F2">
        <w:rPr>
          <w:lang w:val="es-AR"/>
        </w:rPr>
        <w:t xml:space="preserve"> originales de tal</w:t>
      </w:r>
      <w:r w:rsidR="009D11B9">
        <w:rPr>
          <w:lang w:val="es-AR"/>
        </w:rPr>
        <w:t>es</w:t>
      </w:r>
      <w:r w:rsidRPr="000033F2">
        <w:rPr>
          <w:lang w:val="es-AR"/>
        </w:rPr>
        <w:t xml:space="preserve"> conocimiento</w:t>
      </w:r>
      <w:r w:rsidR="009D11B9">
        <w:rPr>
          <w:lang w:val="es-AR"/>
        </w:rPr>
        <w:t>s</w:t>
      </w:r>
      <w:r w:rsidRPr="000033F2">
        <w:rPr>
          <w:lang w:val="es-AR"/>
        </w:rPr>
        <w:t xml:space="preserve"> son </w:t>
      </w:r>
      <w:r w:rsidR="00A27216">
        <w:rPr>
          <w:lang w:val="es-AR"/>
        </w:rPr>
        <w:t>pueblos indígenas</w:t>
      </w:r>
      <w:r w:rsidRPr="000033F2">
        <w:rPr>
          <w:lang w:val="es-AR"/>
        </w:rPr>
        <w:t xml:space="preserve"> o comunidades locales </w:t>
      </w:r>
      <w:r w:rsidR="009D11B9">
        <w:rPr>
          <w:lang w:val="es-AR"/>
        </w:rPr>
        <w:t>extinguidas</w:t>
      </w:r>
      <w:r w:rsidRPr="000033F2">
        <w:rPr>
          <w:lang w:val="es-AR"/>
        </w:rPr>
        <w:t xml:space="preserve">; si se busca </w:t>
      </w:r>
      <w:r w:rsidR="009D11B9" w:rsidRPr="000033F2">
        <w:rPr>
          <w:lang w:val="es-AR"/>
        </w:rPr>
        <w:t xml:space="preserve">el acceso </w:t>
      </w:r>
      <w:r w:rsidRPr="000033F2">
        <w:rPr>
          <w:lang w:val="es-AR"/>
        </w:rPr>
        <w:t xml:space="preserve">a </w:t>
      </w:r>
      <w:r w:rsidR="00417CB4">
        <w:rPr>
          <w:lang w:val="es-AR"/>
        </w:rPr>
        <w:t>ADN</w:t>
      </w:r>
      <w:r w:rsidRPr="00417CB4">
        <w:rPr>
          <w:lang w:val="es-AR"/>
        </w:rPr>
        <w:t xml:space="preserve">/RNA purificado </w:t>
      </w:r>
      <w:r w:rsidRPr="000033F2">
        <w:rPr>
          <w:lang w:val="es-AR"/>
        </w:rPr>
        <w:t xml:space="preserve">poseído por una Parte que no tenga documentación </w:t>
      </w:r>
      <w:r w:rsidR="009D11B9">
        <w:rPr>
          <w:lang w:val="es-AR"/>
        </w:rPr>
        <w:t>precis</w:t>
      </w:r>
      <w:r w:rsidRPr="000033F2">
        <w:rPr>
          <w:lang w:val="es-AR"/>
        </w:rPr>
        <w:t xml:space="preserve">a </w:t>
      </w:r>
      <w:r w:rsidR="009D11B9">
        <w:rPr>
          <w:lang w:val="es-AR"/>
        </w:rPr>
        <w:t xml:space="preserve">sobre </w:t>
      </w:r>
      <w:r w:rsidRPr="000033F2">
        <w:rPr>
          <w:lang w:val="es-AR"/>
        </w:rPr>
        <w:t>el origen de</w:t>
      </w:r>
      <w:r w:rsidR="009D11B9">
        <w:rPr>
          <w:lang w:val="es-AR"/>
        </w:rPr>
        <w:t xml:space="preserve"> dicho</w:t>
      </w:r>
      <w:r w:rsidRPr="000033F2">
        <w:rPr>
          <w:lang w:val="es-AR"/>
        </w:rPr>
        <w:t xml:space="preserve"> material genético.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Varios organismos de investigación y colecciones</w:t>
      </w:r>
      <w:r w:rsidR="009D11B9">
        <w:rPr>
          <w:lang w:val="es-AR"/>
        </w:rPr>
        <w:t xml:space="preserve"> </w:t>
      </w:r>
      <w:r w:rsidR="009D11B9" w:rsidRPr="009D11B9">
        <w:rPr>
          <w:i/>
          <w:lang w:val="es-AR"/>
        </w:rPr>
        <w:t>ex situ</w:t>
      </w:r>
      <w:r w:rsidRPr="000033F2">
        <w:rPr>
          <w:lang w:val="es-AR"/>
        </w:rPr>
        <w:t xml:space="preserve"> proporcionaron información </w:t>
      </w:r>
      <w:r w:rsidR="009D11B9">
        <w:rPr>
          <w:lang w:val="es-AR"/>
        </w:rPr>
        <w:t xml:space="preserve">sobre </w:t>
      </w:r>
      <w:r w:rsidRPr="000033F2">
        <w:rPr>
          <w:lang w:val="es-AR"/>
        </w:rPr>
        <w:t>sus experiencias en la obtención de</w:t>
      </w:r>
      <w:r w:rsidR="00417CB4">
        <w:rPr>
          <w:lang w:val="es-AR"/>
        </w:rPr>
        <w:t>l</w:t>
      </w:r>
      <w:r w:rsidRPr="000033F2">
        <w:rPr>
          <w:lang w:val="es-AR"/>
        </w:rPr>
        <w:t xml:space="preserve">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 xml:space="preserve">. Algunas de estas experiencias </w:t>
      </w:r>
      <w:r w:rsidR="009D11B9">
        <w:rPr>
          <w:lang w:val="es-AR"/>
        </w:rPr>
        <w:t>fueron</w:t>
      </w:r>
      <w:r w:rsidRPr="000033F2">
        <w:rPr>
          <w:lang w:val="es-AR"/>
        </w:rPr>
        <w:t>:</w:t>
      </w:r>
    </w:p>
    <w:p w:rsidR="00FB79CA" w:rsidRPr="000033F2" w:rsidRDefault="00635DA0">
      <w:pPr>
        <w:pStyle w:val="Para1"/>
        <w:numPr>
          <w:ilvl w:val="0"/>
          <w:numId w:val="16"/>
        </w:numPr>
        <w:ind w:left="0" w:firstLine="709"/>
        <w:rPr>
          <w:lang w:val="es-AR"/>
        </w:rPr>
      </w:pPr>
      <w:r w:rsidRPr="000033F2">
        <w:rPr>
          <w:lang w:val="es-AR"/>
        </w:rPr>
        <w:t>Dificultad</w:t>
      </w:r>
      <w:r w:rsidR="009D11B9">
        <w:rPr>
          <w:lang w:val="es-AR"/>
        </w:rPr>
        <w:t xml:space="preserve"> par</w:t>
      </w:r>
      <w:r w:rsidRPr="000033F2">
        <w:rPr>
          <w:lang w:val="es-AR"/>
        </w:rPr>
        <w:t xml:space="preserve">a obtener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 xml:space="preserve"> y los permisos necesarios debido a la ausencia de medidas y/o de modalidades institucionales en algunos países; ninguna respuesta o largos retrasos en </w:t>
      </w:r>
      <w:r w:rsidR="009D11B9">
        <w:rPr>
          <w:lang w:val="es-AR"/>
        </w:rPr>
        <w:t xml:space="preserve">recibir </w:t>
      </w:r>
      <w:r w:rsidRPr="000033F2">
        <w:rPr>
          <w:lang w:val="es-AR"/>
        </w:rPr>
        <w:t xml:space="preserve">respuestas de los centros de coordinación nacionales; </w:t>
      </w:r>
      <w:r w:rsidR="002C11B0">
        <w:rPr>
          <w:lang w:val="es-AR"/>
        </w:rPr>
        <w:t xml:space="preserve">los </w:t>
      </w:r>
      <w:r w:rsidRPr="000033F2">
        <w:rPr>
          <w:lang w:val="es-AR"/>
        </w:rPr>
        <w:t xml:space="preserve">procesos para obtener el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 xml:space="preserve"> </w:t>
      </w:r>
      <w:r w:rsidR="002C11B0">
        <w:rPr>
          <w:lang w:val="es-AR"/>
        </w:rPr>
        <w:t xml:space="preserve">son </w:t>
      </w:r>
      <w:r w:rsidRPr="000033F2">
        <w:rPr>
          <w:lang w:val="es-AR"/>
        </w:rPr>
        <w:t>burocrático</w:t>
      </w:r>
      <w:r w:rsidR="002C11B0">
        <w:rPr>
          <w:lang w:val="es-AR"/>
        </w:rPr>
        <w:t>s</w:t>
      </w:r>
      <w:r w:rsidRPr="000033F2">
        <w:rPr>
          <w:lang w:val="es-AR"/>
        </w:rPr>
        <w:t xml:space="preserve"> y requiere</w:t>
      </w:r>
      <w:r w:rsidR="002C11B0">
        <w:rPr>
          <w:lang w:val="es-AR"/>
        </w:rPr>
        <w:t>n</w:t>
      </w:r>
      <w:r w:rsidRPr="000033F2">
        <w:rPr>
          <w:lang w:val="es-AR"/>
        </w:rPr>
        <w:t xml:space="preserve"> varios meses;</w:t>
      </w:r>
      <w:r w:rsidRPr="000033F2">
        <w:rPr>
          <w:rStyle w:val="FootnoteReference"/>
          <w:lang w:val="es-AR"/>
        </w:rPr>
        <w:footnoteReference w:id="75"/>
      </w:r>
    </w:p>
    <w:p w:rsidR="00FB79CA" w:rsidRPr="000033F2" w:rsidRDefault="002C11B0">
      <w:pPr>
        <w:pStyle w:val="Para1"/>
        <w:numPr>
          <w:ilvl w:val="0"/>
          <w:numId w:val="16"/>
        </w:numPr>
        <w:ind w:left="0" w:firstLine="709"/>
        <w:rPr>
          <w:lang w:val="es-AR"/>
        </w:rPr>
      </w:pPr>
      <w:r>
        <w:rPr>
          <w:lang w:val="es-AR"/>
        </w:rPr>
        <w:t xml:space="preserve">Trabajar </w:t>
      </w:r>
      <w:r w:rsidR="00635DA0" w:rsidRPr="000033F2">
        <w:rPr>
          <w:lang w:val="es-AR"/>
        </w:rPr>
        <w:t xml:space="preserve">con </w:t>
      </w:r>
      <w:r>
        <w:rPr>
          <w:lang w:val="es-AR"/>
        </w:rPr>
        <w:t>asociados</w:t>
      </w:r>
      <w:r w:rsidR="00635DA0" w:rsidRPr="000033F2">
        <w:rPr>
          <w:lang w:val="es-AR"/>
        </w:rPr>
        <w:t xml:space="preserve"> locales facilitó generalmente los procesos para obtener </w:t>
      </w:r>
      <w:r w:rsidR="00417CB4">
        <w:rPr>
          <w:lang w:val="es-AR"/>
        </w:rPr>
        <w:t xml:space="preserve">el </w:t>
      </w:r>
      <w:r w:rsidR="006339BD">
        <w:rPr>
          <w:lang w:val="es-AR"/>
        </w:rPr>
        <w:t>consentimiento fundamentado previo</w:t>
      </w:r>
      <w:r w:rsidR="00635DA0" w:rsidRPr="000033F2">
        <w:rPr>
          <w:lang w:val="es-AR"/>
        </w:rPr>
        <w:t>;</w:t>
      </w:r>
      <w:r w:rsidR="00635DA0" w:rsidRPr="000033F2">
        <w:rPr>
          <w:rStyle w:val="FootnoteReference"/>
          <w:lang w:val="es-AR"/>
        </w:rPr>
        <w:footnoteReference w:id="76"/>
      </w:r>
    </w:p>
    <w:p w:rsidR="00FB79CA" w:rsidRPr="000033F2" w:rsidRDefault="00635DA0">
      <w:pPr>
        <w:pStyle w:val="Para1"/>
        <w:numPr>
          <w:ilvl w:val="0"/>
          <w:numId w:val="16"/>
        </w:numPr>
        <w:ind w:left="0" w:firstLine="709"/>
        <w:rPr>
          <w:lang w:val="es-AR"/>
        </w:rPr>
      </w:pPr>
      <w:r w:rsidRPr="000033F2">
        <w:rPr>
          <w:lang w:val="es-AR"/>
        </w:rPr>
        <w:lastRenderedPageBreak/>
        <w:t xml:space="preserve">Necesidad identificar los especímenes donde </w:t>
      </w:r>
      <w:r w:rsidR="002C11B0">
        <w:rPr>
          <w:lang w:val="es-AR"/>
        </w:rPr>
        <w:t xml:space="preserve">se desconoce </w:t>
      </w:r>
      <w:r w:rsidRPr="000033F2">
        <w:rPr>
          <w:lang w:val="es-AR"/>
        </w:rPr>
        <w:t>el país de origen;</w:t>
      </w:r>
      <w:r w:rsidRPr="000033F2">
        <w:rPr>
          <w:rStyle w:val="FootnoteReference"/>
          <w:lang w:val="es-AR"/>
        </w:rPr>
        <w:footnoteReference w:id="77"/>
      </w:r>
    </w:p>
    <w:p w:rsidR="00FB79CA" w:rsidRPr="000033F2" w:rsidRDefault="00635DA0">
      <w:pPr>
        <w:pStyle w:val="Para1"/>
        <w:numPr>
          <w:ilvl w:val="0"/>
          <w:numId w:val="16"/>
        </w:numPr>
        <w:ind w:left="0" w:firstLine="709"/>
        <w:rPr>
          <w:lang w:val="es-AR"/>
        </w:rPr>
      </w:pPr>
      <w:r w:rsidRPr="000033F2">
        <w:rPr>
          <w:lang w:val="es-AR"/>
        </w:rPr>
        <w:t xml:space="preserve">Dificultades para explicar </w:t>
      </w:r>
      <w:r w:rsidR="002C11B0">
        <w:rPr>
          <w:lang w:val="es-AR"/>
        </w:rPr>
        <w:t xml:space="preserve">los trámites </w:t>
      </w:r>
      <w:r w:rsidRPr="000033F2">
        <w:rPr>
          <w:lang w:val="es-AR"/>
        </w:rPr>
        <w:t xml:space="preserve">a la gente local al hacer el </w:t>
      </w:r>
      <w:r w:rsidR="002C11B0">
        <w:rPr>
          <w:lang w:val="es-AR"/>
        </w:rPr>
        <w:t xml:space="preserve">trabajo de campo </w:t>
      </w:r>
      <w:r w:rsidRPr="000033F2">
        <w:rPr>
          <w:lang w:val="es-AR"/>
        </w:rPr>
        <w:t>con los recursos genéticos y los conocimientos tradicionales asociados.</w:t>
      </w:r>
      <w:r w:rsidRPr="000033F2">
        <w:rPr>
          <w:rStyle w:val="FootnoteReference"/>
          <w:lang w:val="es-AR"/>
        </w:rPr>
        <w:footnoteReference w:id="78"/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Algunas presentaciones también compartieron información sobre</w:t>
      </w:r>
      <w:r w:rsidR="00417CB4">
        <w:rPr>
          <w:lang w:val="es-AR"/>
        </w:rPr>
        <w:t xml:space="preserve"> el</w:t>
      </w:r>
      <w:r w:rsidRPr="000033F2">
        <w:rPr>
          <w:lang w:val="es-AR"/>
        </w:rPr>
        <w:t xml:space="preserve"> </w:t>
      </w:r>
      <w:r w:rsidR="009B2BB5">
        <w:rPr>
          <w:lang w:val="es-AR"/>
        </w:rPr>
        <w:t>conocimiento fundamentado previo</w:t>
      </w:r>
      <w:r w:rsidRPr="000033F2">
        <w:rPr>
          <w:lang w:val="es-AR"/>
        </w:rPr>
        <w:t xml:space="preserve"> y sus colecciones </w:t>
      </w:r>
      <w:r w:rsidR="000033F2">
        <w:rPr>
          <w:lang w:val="es-AR"/>
        </w:rPr>
        <w:t>inclusive</w:t>
      </w:r>
      <w:r w:rsidRPr="000033F2">
        <w:rPr>
          <w:lang w:val="es-AR"/>
        </w:rPr>
        <w:t>:</w:t>
      </w:r>
    </w:p>
    <w:p w:rsidR="00FB79CA" w:rsidRPr="000033F2" w:rsidRDefault="00635DA0">
      <w:pPr>
        <w:pStyle w:val="Para1"/>
        <w:numPr>
          <w:ilvl w:val="0"/>
          <w:numId w:val="17"/>
        </w:numPr>
        <w:ind w:left="0" w:firstLine="709"/>
        <w:rPr>
          <w:lang w:val="es-AR"/>
        </w:rPr>
      </w:pPr>
      <w:r w:rsidRPr="000033F2">
        <w:rPr>
          <w:lang w:val="es-AR"/>
        </w:rPr>
        <w:t>Una colección microbiana</w:t>
      </w:r>
      <w:r w:rsidRPr="000033F2">
        <w:rPr>
          <w:rStyle w:val="FootnoteReference"/>
          <w:lang w:val="es-AR"/>
        </w:rPr>
        <w:footnoteReference w:id="79"/>
      </w:r>
      <w:r w:rsidRPr="000033F2">
        <w:rPr>
          <w:lang w:val="es-AR"/>
        </w:rPr>
        <w:t xml:space="preserve"> describió sus </w:t>
      </w:r>
      <w:r w:rsidR="00417CB4">
        <w:rPr>
          <w:lang w:val="es-AR"/>
        </w:rPr>
        <w:t xml:space="preserve">esfuerzos por </w:t>
      </w:r>
      <w:r w:rsidRPr="000033F2">
        <w:rPr>
          <w:lang w:val="es-AR"/>
        </w:rPr>
        <w:t xml:space="preserve">obtener el </w:t>
      </w:r>
      <w:r w:rsidR="002C11B0">
        <w:rPr>
          <w:lang w:val="es-AR"/>
        </w:rPr>
        <w:t>conocimiento fundamentado previo</w:t>
      </w:r>
      <w:r w:rsidRPr="000033F2">
        <w:rPr>
          <w:lang w:val="es-AR"/>
        </w:rPr>
        <w:t xml:space="preserve"> para incluir los depósitos de nuevas</w:t>
      </w:r>
      <w:r w:rsidR="002C11B0">
        <w:rPr>
          <w:lang w:val="es-AR"/>
        </w:rPr>
        <w:t xml:space="preserve"> especies </w:t>
      </w:r>
      <w:r w:rsidRPr="000033F2">
        <w:rPr>
          <w:lang w:val="es-AR"/>
        </w:rPr>
        <w:t xml:space="preserve">bacterianas en su colección. Hasta la fecha, no ha recibido un </w:t>
      </w:r>
      <w:r w:rsidR="002C11B0">
        <w:rPr>
          <w:lang w:val="es-AR"/>
        </w:rPr>
        <w:t>conocimiento fundamentado previo</w:t>
      </w:r>
      <w:r w:rsidRPr="000033F2">
        <w:rPr>
          <w:lang w:val="es-AR"/>
        </w:rPr>
        <w:t xml:space="preserve"> válido de un depositante y</w:t>
      </w:r>
      <w:r w:rsidR="00417CB4">
        <w:rPr>
          <w:lang w:val="es-AR"/>
        </w:rPr>
        <w:t>,</w:t>
      </w:r>
      <w:r w:rsidRPr="000033F2">
        <w:rPr>
          <w:lang w:val="es-AR"/>
        </w:rPr>
        <w:t xml:space="preserve"> como consecuencia, ha tenido que rechazar </w:t>
      </w:r>
      <w:r w:rsidR="002C11B0">
        <w:rPr>
          <w:lang w:val="es-AR"/>
        </w:rPr>
        <w:t xml:space="preserve">numerosos </w:t>
      </w:r>
      <w:r w:rsidRPr="000033F2">
        <w:rPr>
          <w:lang w:val="es-AR"/>
        </w:rPr>
        <w:t>depósitos;</w:t>
      </w:r>
    </w:p>
    <w:p w:rsidR="00FB79CA" w:rsidRPr="000033F2" w:rsidRDefault="00635DA0">
      <w:pPr>
        <w:pStyle w:val="Para1"/>
        <w:numPr>
          <w:ilvl w:val="0"/>
          <w:numId w:val="17"/>
        </w:numPr>
        <w:ind w:left="0" w:firstLine="709"/>
        <w:rPr>
          <w:lang w:val="es-AR"/>
        </w:rPr>
      </w:pPr>
      <w:r w:rsidRPr="000033F2">
        <w:rPr>
          <w:lang w:val="es-AR"/>
        </w:rPr>
        <w:t>Una colección</w:t>
      </w:r>
      <w:r w:rsidRPr="000033F2">
        <w:rPr>
          <w:rStyle w:val="FootnoteReference"/>
          <w:lang w:val="es-AR"/>
        </w:rPr>
        <w:footnoteReference w:id="80"/>
      </w:r>
      <w:r w:rsidRPr="000033F2">
        <w:rPr>
          <w:lang w:val="es-AR"/>
        </w:rPr>
        <w:t xml:space="preserve"> describió cómo distingue entre dos categorías de especímenes en su colección: </w:t>
      </w:r>
    </w:p>
    <w:p w:rsidR="00FB79CA" w:rsidRPr="000033F2" w:rsidRDefault="00635DA0">
      <w:pPr>
        <w:pStyle w:val="Para1"/>
        <w:numPr>
          <w:ilvl w:val="1"/>
          <w:numId w:val="18"/>
        </w:numPr>
        <w:ind w:left="1701"/>
        <w:rPr>
          <w:lang w:val="es-AR"/>
        </w:rPr>
      </w:pPr>
      <w:r w:rsidRPr="000033F2">
        <w:rPr>
          <w:lang w:val="es-AR"/>
        </w:rPr>
        <w:t>Una categoría es</w:t>
      </w:r>
      <w:r w:rsidR="002C11B0">
        <w:rPr>
          <w:lang w:val="es-AR"/>
        </w:rPr>
        <w:t>tá formada por</w:t>
      </w:r>
      <w:r w:rsidRPr="000033F2">
        <w:rPr>
          <w:lang w:val="es-AR"/>
        </w:rPr>
        <w:t xml:space="preserve"> especímenes de un país de origen que ha ratificado</w:t>
      </w:r>
      <w:r w:rsidR="00A40A8C">
        <w:rPr>
          <w:lang w:val="es-AR"/>
        </w:rPr>
        <w:t xml:space="preserve"> el Protocolo</w:t>
      </w:r>
      <w:r w:rsidRPr="000033F2">
        <w:rPr>
          <w:lang w:val="es-AR"/>
        </w:rPr>
        <w:t xml:space="preserve"> y los especímenes </w:t>
      </w:r>
      <w:r w:rsidR="002C11B0">
        <w:rPr>
          <w:lang w:val="es-AR"/>
        </w:rPr>
        <w:t xml:space="preserve">se recopilaron </w:t>
      </w:r>
      <w:r w:rsidRPr="000033F2">
        <w:rPr>
          <w:lang w:val="es-AR"/>
        </w:rPr>
        <w:t xml:space="preserve">recientemente. Para </w:t>
      </w:r>
      <w:r w:rsidR="00417CB4">
        <w:rPr>
          <w:lang w:val="es-AR"/>
        </w:rPr>
        <w:t>ellos</w:t>
      </w:r>
      <w:r w:rsidRPr="000033F2">
        <w:rPr>
          <w:lang w:val="es-AR"/>
        </w:rPr>
        <w:t>, no</w:t>
      </w:r>
      <w:r w:rsidR="00417CB4">
        <w:rPr>
          <w:lang w:val="es-AR"/>
        </w:rPr>
        <w:t xml:space="preserve"> se</w:t>
      </w:r>
      <w:r w:rsidRPr="000033F2">
        <w:rPr>
          <w:lang w:val="es-AR"/>
        </w:rPr>
        <w:t xml:space="preserve"> extrae</w:t>
      </w:r>
      <w:r w:rsidR="00B01082">
        <w:rPr>
          <w:lang w:val="es-AR"/>
        </w:rPr>
        <w:t xml:space="preserve"> el</w:t>
      </w:r>
      <w:r w:rsidRPr="000033F2">
        <w:rPr>
          <w:lang w:val="es-AR"/>
        </w:rPr>
        <w:t xml:space="preserve"> </w:t>
      </w:r>
      <w:r w:rsidR="002C11B0">
        <w:rPr>
          <w:lang w:val="es-AR"/>
        </w:rPr>
        <w:t xml:space="preserve">ADN </w:t>
      </w:r>
      <w:r w:rsidRPr="000033F2">
        <w:rPr>
          <w:lang w:val="es-AR"/>
        </w:rPr>
        <w:t>sin la obtención de</w:t>
      </w:r>
      <w:r w:rsidR="002C11B0">
        <w:rPr>
          <w:lang w:val="es-AR"/>
        </w:rPr>
        <w:t>l</w:t>
      </w:r>
      <w:r w:rsidRPr="000033F2">
        <w:rPr>
          <w:lang w:val="es-AR"/>
        </w:rPr>
        <w:t xml:space="preserve"> </w:t>
      </w:r>
      <w:r w:rsidR="006339BD">
        <w:rPr>
          <w:lang w:val="es-AR"/>
        </w:rPr>
        <w:t>consentimiento fundamentado previo</w:t>
      </w:r>
      <w:r w:rsidRPr="000033F2">
        <w:rPr>
          <w:lang w:val="es-AR"/>
        </w:rPr>
        <w:t>;</w:t>
      </w:r>
    </w:p>
    <w:p w:rsidR="00FB79CA" w:rsidRPr="000033F2" w:rsidRDefault="00635DA0">
      <w:pPr>
        <w:pStyle w:val="Para1"/>
        <w:numPr>
          <w:ilvl w:val="1"/>
          <w:numId w:val="18"/>
        </w:numPr>
        <w:ind w:left="1701"/>
        <w:rPr>
          <w:lang w:val="es-AR"/>
        </w:rPr>
      </w:pPr>
      <w:r w:rsidRPr="000033F2">
        <w:rPr>
          <w:lang w:val="es-AR"/>
        </w:rPr>
        <w:t>La otra categoría</w:t>
      </w:r>
      <w:r w:rsidR="002C11B0">
        <w:rPr>
          <w:lang w:val="es-AR"/>
        </w:rPr>
        <w:t xml:space="preserve"> está formada por </w:t>
      </w:r>
      <w:r w:rsidRPr="000033F2">
        <w:rPr>
          <w:lang w:val="es-AR"/>
        </w:rPr>
        <w:t>especímenes que vienen de un país de origen que no había ratificado</w:t>
      </w:r>
      <w:r w:rsidR="00A40A8C">
        <w:rPr>
          <w:lang w:val="es-AR"/>
        </w:rPr>
        <w:t xml:space="preserve"> el Protocolo</w:t>
      </w:r>
      <w:r w:rsidRPr="000033F2">
        <w:rPr>
          <w:lang w:val="es-AR"/>
        </w:rPr>
        <w:t xml:space="preserve"> cuando el espécimen </w:t>
      </w:r>
      <w:r w:rsidR="002C11B0">
        <w:rPr>
          <w:lang w:val="es-AR"/>
        </w:rPr>
        <w:t xml:space="preserve">se agregó </w:t>
      </w:r>
      <w:r w:rsidRPr="000033F2">
        <w:rPr>
          <w:lang w:val="es-AR"/>
        </w:rPr>
        <w:t xml:space="preserve">a la colección o los especímenes </w:t>
      </w:r>
      <w:r w:rsidR="00417CB4">
        <w:rPr>
          <w:lang w:val="es-AR"/>
        </w:rPr>
        <w:t xml:space="preserve">se </w:t>
      </w:r>
      <w:r w:rsidR="002C11B0">
        <w:rPr>
          <w:lang w:val="es-AR"/>
        </w:rPr>
        <w:t xml:space="preserve">agregaron </w:t>
      </w:r>
      <w:r w:rsidRPr="000033F2">
        <w:rPr>
          <w:lang w:val="es-AR"/>
        </w:rPr>
        <w:t xml:space="preserve">a la colección antes de </w:t>
      </w:r>
      <w:r w:rsidR="002C11B0">
        <w:rPr>
          <w:lang w:val="es-AR"/>
        </w:rPr>
        <w:t xml:space="preserve">que </w:t>
      </w:r>
      <w:r w:rsidRPr="000033F2">
        <w:rPr>
          <w:lang w:val="es-AR"/>
        </w:rPr>
        <w:t>la ley sobre</w:t>
      </w:r>
      <w:r w:rsidR="00A40A8C">
        <w:rPr>
          <w:lang w:val="es-AR"/>
        </w:rPr>
        <w:t xml:space="preserve"> el Protocolo</w:t>
      </w:r>
      <w:r w:rsidRPr="000033F2">
        <w:rPr>
          <w:lang w:val="es-AR"/>
        </w:rPr>
        <w:t xml:space="preserve"> de Nagoya entra</w:t>
      </w:r>
      <w:r w:rsidR="002C11B0">
        <w:rPr>
          <w:lang w:val="es-AR"/>
        </w:rPr>
        <w:t>ra</w:t>
      </w:r>
      <w:r w:rsidRPr="000033F2">
        <w:rPr>
          <w:lang w:val="es-AR"/>
        </w:rPr>
        <w:t xml:space="preserve"> en vigor en Alemania. Para estos especímenes, no </w:t>
      </w:r>
      <w:r w:rsidR="002C11B0">
        <w:rPr>
          <w:lang w:val="es-AR"/>
        </w:rPr>
        <w:t xml:space="preserve">se </w:t>
      </w:r>
      <w:r w:rsidRPr="000033F2">
        <w:rPr>
          <w:lang w:val="es-AR"/>
        </w:rPr>
        <w:t>necesita ning</w:t>
      </w:r>
      <w:r w:rsidR="002C11B0">
        <w:rPr>
          <w:lang w:val="es-AR"/>
        </w:rPr>
        <w:t>ún</w:t>
      </w:r>
      <w:r w:rsidRPr="000033F2">
        <w:rPr>
          <w:lang w:val="es-AR"/>
        </w:rPr>
        <w:t xml:space="preserve"> permiso y </w:t>
      </w:r>
      <w:r w:rsidR="00417CB4">
        <w:rPr>
          <w:lang w:val="es-AR"/>
        </w:rPr>
        <w:t>se puede</w:t>
      </w:r>
      <w:r w:rsidRPr="000033F2">
        <w:rPr>
          <w:lang w:val="es-AR"/>
        </w:rPr>
        <w:t xml:space="preserve"> extraer </w:t>
      </w:r>
      <w:r w:rsidR="00B01082">
        <w:rPr>
          <w:lang w:val="es-AR"/>
        </w:rPr>
        <w:t xml:space="preserve">el </w:t>
      </w:r>
      <w:r w:rsidR="002C11B0">
        <w:rPr>
          <w:lang w:val="es-AR"/>
        </w:rPr>
        <w:t>ADN</w:t>
      </w:r>
      <w:r w:rsidRPr="000033F2">
        <w:rPr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Otra presentación</w:t>
      </w:r>
      <w:r w:rsidRPr="000033F2">
        <w:rPr>
          <w:rStyle w:val="FootnoteReference"/>
          <w:lang w:val="es-AR"/>
        </w:rPr>
        <w:footnoteReference w:id="81"/>
      </w:r>
      <w:r w:rsidRPr="000033F2">
        <w:rPr>
          <w:lang w:val="es-AR"/>
        </w:rPr>
        <w:t xml:space="preserve"> compartió información </w:t>
      </w:r>
      <w:r w:rsidR="00417CB4">
        <w:rPr>
          <w:lang w:val="es-AR"/>
        </w:rPr>
        <w:t xml:space="preserve">proveniente </w:t>
      </w:r>
      <w:r w:rsidRPr="000033F2">
        <w:rPr>
          <w:lang w:val="es-AR"/>
        </w:rPr>
        <w:t xml:space="preserve">de la comunidad de las colecciones de cultivos. Describió cómo puede no ser posible conceder u obtener el </w:t>
      </w:r>
      <w:r w:rsidR="002C11B0">
        <w:rPr>
          <w:lang w:val="es-AR"/>
        </w:rPr>
        <w:t>conocimiento fundamentado previo</w:t>
      </w:r>
      <w:r w:rsidRPr="000033F2">
        <w:rPr>
          <w:lang w:val="es-AR"/>
        </w:rPr>
        <w:t xml:space="preserve"> donde no hay documentación </w:t>
      </w:r>
      <w:r w:rsidR="00B01082">
        <w:rPr>
          <w:lang w:val="es-AR"/>
        </w:rPr>
        <w:t xml:space="preserve">sobre </w:t>
      </w:r>
      <w:r w:rsidRPr="000033F2">
        <w:rPr>
          <w:lang w:val="es-AR"/>
        </w:rPr>
        <w:t xml:space="preserve">la fecha o el lugar de muestreo o la única información es que la muestra </w:t>
      </w:r>
      <w:r w:rsidR="00417CB4">
        <w:rPr>
          <w:lang w:val="es-AR"/>
        </w:rPr>
        <w:t xml:space="preserve">se depositó </w:t>
      </w:r>
      <w:r w:rsidRPr="000033F2">
        <w:rPr>
          <w:lang w:val="es-AR"/>
        </w:rPr>
        <w:t>en una colección antes de la entrada en vigor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>. Explicaron cómo su código de conducta incluye un "procedimiento</w:t>
      </w:r>
      <w:r w:rsidR="00B01082">
        <w:rPr>
          <w:lang w:val="es-AR"/>
        </w:rPr>
        <w:t xml:space="preserve"> de regularización</w:t>
      </w:r>
      <w:r w:rsidRPr="000033F2">
        <w:rPr>
          <w:lang w:val="es-AR"/>
        </w:rPr>
        <w:t xml:space="preserve">" que permite a una colección de cultivos aceptar tal material mientras </w:t>
      </w:r>
      <w:r w:rsidR="00B01082">
        <w:rPr>
          <w:lang w:val="es-AR"/>
        </w:rPr>
        <w:t xml:space="preserve">establece contactos </w:t>
      </w:r>
      <w:r w:rsidRPr="000033F2">
        <w:rPr>
          <w:lang w:val="es-AR"/>
        </w:rPr>
        <w:t xml:space="preserve">con la autoridad competente correspondiente. </w:t>
      </w:r>
    </w:p>
    <w:p w:rsidR="00FB79CA" w:rsidRPr="000033F2" w:rsidRDefault="00635DA0">
      <w:pPr>
        <w:pStyle w:val="Heading1"/>
        <w:numPr>
          <w:ilvl w:val="0"/>
          <w:numId w:val="6"/>
        </w:numPr>
        <w:tabs>
          <w:tab w:val="clear" w:pos="720"/>
          <w:tab w:val="left" w:pos="1134"/>
        </w:tabs>
        <w:jc w:val="left"/>
        <w:rPr>
          <w:lang w:val="es-AR"/>
        </w:rPr>
      </w:pPr>
      <w:r w:rsidRPr="000033F2">
        <w:rPr>
          <w:lang w:val="es-AR"/>
        </w:rPr>
        <w:t xml:space="preserve">información sobre </w:t>
      </w:r>
      <w:r w:rsidR="00417CB4">
        <w:rPr>
          <w:lang w:val="es-AR"/>
        </w:rPr>
        <w:t>AVANCES</w:t>
      </w:r>
      <w:r w:rsidR="001C21DF">
        <w:rPr>
          <w:lang w:val="es-AR"/>
        </w:rPr>
        <w:t xml:space="preserve"> REALIZADOS</w:t>
      </w:r>
      <w:r w:rsidR="00417CB4">
        <w:rPr>
          <w:lang w:val="es-AR"/>
        </w:rPr>
        <w:t xml:space="preserve"> </w:t>
      </w:r>
      <w:r w:rsidRPr="000033F2">
        <w:rPr>
          <w:lang w:val="es-AR"/>
        </w:rPr>
        <w:t xml:space="preserve">en </w:t>
      </w:r>
      <w:r w:rsidR="00417CB4">
        <w:rPr>
          <w:lang w:val="es-AR"/>
        </w:rPr>
        <w:t xml:space="preserve">LOS </w:t>
      </w:r>
      <w:r w:rsidRPr="000033F2">
        <w:rPr>
          <w:lang w:val="es-AR"/>
        </w:rPr>
        <w:t>procesos internacionales pertinente</w:t>
      </w:r>
      <w:r w:rsidR="00B01082">
        <w:rPr>
          <w:lang w:val="es-AR"/>
        </w:rPr>
        <w:t>S</w:t>
      </w:r>
    </w:p>
    <w:p w:rsidR="00FB79CA" w:rsidRPr="000033F2" w:rsidRDefault="00292132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>D</w:t>
      </w:r>
      <w:r w:rsidR="00635DA0" w:rsidRPr="000033F2">
        <w:rPr>
          <w:lang w:val="es-AR"/>
        </w:rPr>
        <w:t>ando seguimiento a</w:t>
      </w:r>
      <w:r>
        <w:rPr>
          <w:lang w:val="es-AR"/>
        </w:rPr>
        <w:t xml:space="preserve"> la decisión</w:t>
      </w:r>
      <w:r w:rsidR="00635DA0" w:rsidRPr="000033F2">
        <w:rPr>
          <w:lang w:val="es-AR"/>
        </w:rPr>
        <w:t xml:space="preserve"> NP-2/10, </w:t>
      </w:r>
      <w:r w:rsidR="0008032E">
        <w:rPr>
          <w:lang w:val="es-AR"/>
        </w:rPr>
        <w:t>apartado</w:t>
      </w:r>
      <w:r w:rsidR="00635DA0" w:rsidRPr="000033F2">
        <w:rPr>
          <w:lang w:val="es-AR"/>
        </w:rPr>
        <w:t xml:space="preserve"> 6 b), esta sección resume la información sobre </w:t>
      </w:r>
      <w:r w:rsidR="00417CB4">
        <w:rPr>
          <w:lang w:val="es-AR"/>
        </w:rPr>
        <w:t xml:space="preserve">los avances realizados en los </w:t>
      </w:r>
      <w:r>
        <w:rPr>
          <w:lang w:val="es-AR"/>
        </w:rPr>
        <w:t xml:space="preserve">procesos y organismos internacionales pertinentes </w:t>
      </w:r>
      <w:r w:rsidR="00635DA0" w:rsidRPr="000033F2">
        <w:rPr>
          <w:lang w:val="es-AR"/>
        </w:rPr>
        <w:t xml:space="preserve">con </w:t>
      </w:r>
      <w:r w:rsidR="00417CB4">
        <w:rPr>
          <w:lang w:val="es-AR"/>
        </w:rPr>
        <w:t>vista a contribuir en</w:t>
      </w:r>
      <w:r>
        <w:rPr>
          <w:lang w:val="es-AR"/>
        </w:rPr>
        <w:t xml:space="preserve"> deliberaciones </w:t>
      </w:r>
      <w:r w:rsidR="00635DA0" w:rsidRPr="000033F2">
        <w:rPr>
          <w:lang w:val="es-AR"/>
        </w:rPr>
        <w:t xml:space="preserve">futuras sobre el </w:t>
      </w:r>
      <w:r w:rsidR="000033F2">
        <w:rPr>
          <w:lang w:val="es-AR"/>
        </w:rPr>
        <w:t>Artículo</w:t>
      </w:r>
      <w:r w:rsidR="00635DA0" w:rsidRPr="000033F2">
        <w:rPr>
          <w:lang w:val="es-AR"/>
        </w:rPr>
        <w:t xml:space="preserve"> 10. La sección presenta la información sobre recientes desarrollos bajo otros mecanismos multilaterales compilados por </w:t>
      </w:r>
      <w:r w:rsidR="00770133">
        <w:rPr>
          <w:lang w:val="es-AR"/>
        </w:rPr>
        <w:t>la Secretaria Ejecutiva</w:t>
      </w:r>
      <w:r w:rsidR="00635DA0" w:rsidRPr="000033F2">
        <w:rPr>
          <w:lang w:val="es-AR"/>
        </w:rPr>
        <w:t xml:space="preserve"> o disponibles </w:t>
      </w:r>
      <w:r w:rsidR="00770133">
        <w:rPr>
          <w:lang w:val="es-AR"/>
        </w:rPr>
        <w:t xml:space="preserve">mediante </w:t>
      </w:r>
      <w:r w:rsidR="00635DA0" w:rsidRPr="000033F2">
        <w:rPr>
          <w:lang w:val="es-AR"/>
        </w:rPr>
        <w:t xml:space="preserve">las presentaciones. </w:t>
      </w:r>
      <w:r w:rsidR="00770133">
        <w:rPr>
          <w:lang w:val="es-AR"/>
        </w:rPr>
        <w:t xml:space="preserve">Asimismo es posible encontrar más antecedentes </w:t>
      </w:r>
      <w:r w:rsidR="00635DA0" w:rsidRPr="000033F2">
        <w:rPr>
          <w:lang w:val="es-AR"/>
        </w:rPr>
        <w:t>en el "</w:t>
      </w:r>
      <w:r w:rsidR="00770133">
        <w:rPr>
          <w:lang w:val="es-AR"/>
        </w:rPr>
        <w:t>E</w:t>
      </w:r>
      <w:r w:rsidR="00635DA0" w:rsidRPr="000033F2">
        <w:rPr>
          <w:lang w:val="es-AR"/>
        </w:rPr>
        <w:t xml:space="preserve">studio </w:t>
      </w:r>
      <w:r w:rsidR="00807CEC">
        <w:rPr>
          <w:lang w:val="es-AR"/>
        </w:rPr>
        <w:t xml:space="preserve">sobre </w:t>
      </w:r>
      <w:r w:rsidR="00635DA0" w:rsidRPr="000033F2">
        <w:rPr>
          <w:lang w:val="es-AR"/>
        </w:rPr>
        <w:t>las experiencias ganadas con el desarrollo y la aplicación</w:t>
      </w:r>
      <w:r w:rsidR="00096D97">
        <w:rPr>
          <w:lang w:val="es-AR"/>
        </w:rPr>
        <w:t xml:space="preserve"> del Protocolo</w:t>
      </w:r>
      <w:r w:rsidR="00635DA0" w:rsidRPr="000033F2">
        <w:rPr>
          <w:lang w:val="es-AR"/>
        </w:rPr>
        <w:t xml:space="preserve"> de Nagoya y otros mecanismos multilaterales y la importancia potencial del</w:t>
      </w:r>
      <w:r w:rsidR="00770133">
        <w:rPr>
          <w:lang w:val="es-AR"/>
        </w:rPr>
        <w:t xml:space="preserve"> trabajo </w:t>
      </w:r>
      <w:r w:rsidR="00635DA0" w:rsidRPr="000033F2">
        <w:rPr>
          <w:lang w:val="es-AR"/>
        </w:rPr>
        <w:t>continuo</w:t>
      </w:r>
      <w:r w:rsidR="00770133">
        <w:rPr>
          <w:lang w:val="es-AR"/>
        </w:rPr>
        <w:t xml:space="preserve"> </w:t>
      </w:r>
      <w:r w:rsidR="00635DA0" w:rsidRPr="000033F2">
        <w:rPr>
          <w:lang w:val="es-AR"/>
        </w:rPr>
        <w:t>emprendid</w:t>
      </w:r>
      <w:r w:rsidR="00807CEC">
        <w:rPr>
          <w:lang w:val="es-AR"/>
        </w:rPr>
        <w:t>o</w:t>
      </w:r>
      <w:r w:rsidR="00635DA0" w:rsidRPr="000033F2">
        <w:rPr>
          <w:lang w:val="es-AR"/>
        </w:rPr>
        <w:t xml:space="preserve"> por otros procesos, </w:t>
      </w:r>
      <w:r w:rsidR="000033F2">
        <w:rPr>
          <w:lang w:val="es-AR"/>
        </w:rPr>
        <w:t>inclu</w:t>
      </w:r>
      <w:r w:rsidR="00807CEC">
        <w:rPr>
          <w:lang w:val="es-AR"/>
        </w:rPr>
        <w:t xml:space="preserve">ido </w:t>
      </w:r>
      <w:r w:rsidR="00635DA0" w:rsidRPr="000033F2">
        <w:rPr>
          <w:lang w:val="es-AR"/>
        </w:rPr>
        <w:t>estudios de caso</w:t>
      </w:r>
      <w:r w:rsidR="00770133">
        <w:rPr>
          <w:lang w:val="es-AR"/>
        </w:rPr>
        <w:t>s</w:t>
      </w:r>
      <w:r w:rsidR="00635DA0" w:rsidRPr="000033F2">
        <w:rPr>
          <w:lang w:val="es-AR"/>
        </w:rPr>
        <w:t xml:space="preserve">" que </w:t>
      </w:r>
      <w:r w:rsidR="00807CEC" w:rsidRPr="000033F2">
        <w:rPr>
          <w:lang w:val="es-AR"/>
        </w:rPr>
        <w:t xml:space="preserve">la </w:t>
      </w:r>
      <w:r w:rsidR="00807CEC">
        <w:rPr>
          <w:lang w:val="es-AR"/>
        </w:rPr>
        <w:t>Secretaria Ejecutiva</w:t>
      </w:r>
      <w:r w:rsidR="00807CEC" w:rsidRPr="000033F2">
        <w:rPr>
          <w:lang w:val="es-AR"/>
        </w:rPr>
        <w:t xml:space="preserve"> </w:t>
      </w:r>
      <w:r w:rsidR="00635DA0" w:rsidRPr="000033F2">
        <w:rPr>
          <w:lang w:val="es-AR"/>
        </w:rPr>
        <w:t>encarg</w:t>
      </w:r>
      <w:r w:rsidR="00807CEC">
        <w:rPr>
          <w:lang w:val="es-AR"/>
        </w:rPr>
        <w:t xml:space="preserve">ó </w:t>
      </w:r>
      <w:r w:rsidR="00635DA0" w:rsidRPr="000033F2">
        <w:rPr>
          <w:lang w:val="es-AR"/>
        </w:rPr>
        <w:t>dando seguimiento a</w:t>
      </w:r>
      <w:r w:rsidR="00770133">
        <w:rPr>
          <w:lang w:val="es-AR"/>
        </w:rPr>
        <w:t xml:space="preserve"> la </w:t>
      </w:r>
      <w:r w:rsidR="00770133" w:rsidRPr="000033F2">
        <w:rPr>
          <w:lang w:val="es-AR"/>
        </w:rPr>
        <w:t>decisión</w:t>
      </w:r>
      <w:r w:rsidR="00635DA0" w:rsidRPr="000033F2">
        <w:rPr>
          <w:lang w:val="es-AR"/>
        </w:rPr>
        <w:t xml:space="preserve"> NP-1/10 y </w:t>
      </w:r>
      <w:r w:rsidR="00807CEC">
        <w:rPr>
          <w:lang w:val="es-AR"/>
        </w:rPr>
        <w:t xml:space="preserve">fue </w:t>
      </w:r>
      <w:r w:rsidR="00635DA0" w:rsidRPr="000033F2">
        <w:rPr>
          <w:lang w:val="es-AR"/>
        </w:rPr>
        <w:t xml:space="preserve">examinado por la reunión de 2016 de un grupo de expertos </w:t>
      </w:r>
      <w:r w:rsidR="00770133">
        <w:rPr>
          <w:lang w:val="es-AR"/>
        </w:rPr>
        <w:t>sobre</w:t>
      </w:r>
      <w:r w:rsidR="00635DA0" w:rsidRPr="000033F2">
        <w:rPr>
          <w:lang w:val="es-AR"/>
        </w:rPr>
        <w:t xml:space="preserve"> el </w:t>
      </w:r>
      <w:r w:rsidR="000033F2">
        <w:rPr>
          <w:lang w:val="es-AR"/>
        </w:rPr>
        <w:t>Artículo</w:t>
      </w:r>
      <w:r w:rsidR="00635DA0" w:rsidRPr="000033F2">
        <w:rPr>
          <w:lang w:val="es-AR"/>
        </w:rPr>
        <w:t xml:space="preserve"> 10.</w:t>
      </w:r>
      <w:r w:rsidR="00635DA0" w:rsidRPr="000033F2">
        <w:rPr>
          <w:rStyle w:val="FootnoteReference"/>
          <w:lang w:val="es-AR"/>
        </w:rPr>
        <w:footnoteReference w:id="82"/>
      </w:r>
    </w:p>
    <w:p w:rsidR="00FB79CA" w:rsidRPr="000033F2" w:rsidRDefault="00635DA0">
      <w:pPr>
        <w:pStyle w:val="Heading2"/>
        <w:numPr>
          <w:ilvl w:val="0"/>
          <w:numId w:val="14"/>
        </w:numPr>
        <w:rPr>
          <w:lang w:val="es-AR"/>
        </w:rPr>
      </w:pPr>
      <w:r w:rsidRPr="000033F2">
        <w:rPr>
          <w:lang w:val="es-AR"/>
        </w:rPr>
        <w:lastRenderedPageBreak/>
        <w:t xml:space="preserve">Tratado Internacional sobre los Recursos </w:t>
      </w:r>
      <w:proofErr w:type="spellStart"/>
      <w:r w:rsidRPr="000033F2">
        <w:rPr>
          <w:lang w:val="es-AR"/>
        </w:rPr>
        <w:t>Fitogenéticos</w:t>
      </w:r>
      <w:proofErr w:type="spellEnd"/>
      <w:r w:rsidRPr="000033F2">
        <w:rPr>
          <w:lang w:val="es-AR"/>
        </w:rPr>
        <w:t xml:space="preserve"> para la Alimentación y la Agricultura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 </w:t>
      </w:r>
      <w:r w:rsidR="00770133">
        <w:rPr>
          <w:lang w:val="es-AR"/>
        </w:rPr>
        <w:t>S</w:t>
      </w:r>
      <w:r w:rsidRPr="000033F2">
        <w:rPr>
          <w:lang w:val="es-AR"/>
        </w:rPr>
        <w:t xml:space="preserve">ecretaría del Tratado Internacional sobre los Recursos </w:t>
      </w:r>
      <w:proofErr w:type="spellStart"/>
      <w:r w:rsidRPr="000033F2">
        <w:rPr>
          <w:lang w:val="es-AR"/>
        </w:rPr>
        <w:t>Fitogenéticos</w:t>
      </w:r>
      <w:proofErr w:type="spellEnd"/>
      <w:r w:rsidRPr="000033F2">
        <w:rPr>
          <w:lang w:val="es-AR"/>
        </w:rPr>
        <w:t xml:space="preserve"> para la Alimentación y la Agricultura puso en marcha </w:t>
      </w:r>
      <w:r w:rsidR="00770133">
        <w:rPr>
          <w:lang w:val="es-AR"/>
        </w:rPr>
        <w:t xml:space="preserve">el cuarto llamado a </w:t>
      </w:r>
      <w:r w:rsidRPr="000033F2">
        <w:rPr>
          <w:lang w:val="es-AR"/>
        </w:rPr>
        <w:t>propuestas del</w:t>
      </w:r>
      <w:r w:rsidR="0058788A">
        <w:rPr>
          <w:lang w:val="es-AR"/>
        </w:rPr>
        <w:t xml:space="preserve"> </w:t>
      </w:r>
      <w:r w:rsidR="00770133" w:rsidRPr="0058788A">
        <w:rPr>
          <w:lang w:val="es-AR"/>
        </w:rPr>
        <w:t>F</w:t>
      </w:r>
      <w:r w:rsidRPr="0058788A">
        <w:rPr>
          <w:lang w:val="es-AR"/>
        </w:rPr>
        <w:t xml:space="preserve">ondo de </w:t>
      </w:r>
      <w:r w:rsidR="0058788A" w:rsidRPr="0058788A">
        <w:rPr>
          <w:lang w:val="es-AR"/>
        </w:rPr>
        <w:t xml:space="preserve">distribución de </w:t>
      </w:r>
      <w:r w:rsidRPr="000033F2">
        <w:rPr>
          <w:lang w:val="es-AR"/>
        </w:rPr>
        <w:t xml:space="preserve">beneficios del </w:t>
      </w:r>
      <w:r w:rsidR="00770133">
        <w:rPr>
          <w:lang w:val="es-AR"/>
        </w:rPr>
        <w:t>T</w:t>
      </w:r>
      <w:r w:rsidRPr="000033F2">
        <w:rPr>
          <w:lang w:val="es-AR"/>
        </w:rPr>
        <w:t>ratado en diciembre de 2017. El objetivo de</w:t>
      </w:r>
      <w:r w:rsidR="00770133">
        <w:rPr>
          <w:lang w:val="es-AR"/>
        </w:rPr>
        <w:t xml:space="preserve">l cuarto llamado a </w:t>
      </w:r>
      <w:r w:rsidRPr="000033F2">
        <w:rPr>
          <w:lang w:val="es-AR"/>
        </w:rPr>
        <w:t>propuestas es "</w:t>
      </w:r>
      <w:r w:rsidR="00770133">
        <w:rPr>
          <w:lang w:val="es-AR"/>
        </w:rPr>
        <w:t>permitir que</w:t>
      </w:r>
      <w:r w:rsidRPr="000033F2">
        <w:rPr>
          <w:lang w:val="es-AR"/>
        </w:rPr>
        <w:t xml:space="preserve"> los granjeros </w:t>
      </w:r>
      <w:r w:rsidR="00770133">
        <w:rPr>
          <w:lang w:val="es-AR"/>
        </w:rPr>
        <w:t>d</w:t>
      </w:r>
      <w:r w:rsidRPr="000033F2">
        <w:rPr>
          <w:lang w:val="es-AR"/>
        </w:rPr>
        <w:t>el mundo utili</w:t>
      </w:r>
      <w:r w:rsidR="00770133">
        <w:rPr>
          <w:lang w:val="es-AR"/>
        </w:rPr>
        <w:t xml:space="preserve">cen </w:t>
      </w:r>
      <w:r w:rsidRPr="000033F2">
        <w:rPr>
          <w:lang w:val="es-AR"/>
        </w:rPr>
        <w:t>y conserv</w:t>
      </w:r>
      <w:r w:rsidR="00770133">
        <w:rPr>
          <w:lang w:val="es-AR"/>
        </w:rPr>
        <w:t>en</w:t>
      </w:r>
      <w:r w:rsidRPr="000033F2">
        <w:rPr>
          <w:lang w:val="es-AR"/>
        </w:rPr>
        <w:t xml:space="preserve"> las variedades adaptadas que llevan a </w:t>
      </w:r>
      <w:r w:rsidR="00770133">
        <w:rPr>
          <w:lang w:val="es-AR"/>
        </w:rPr>
        <w:t xml:space="preserve">una mayor </w:t>
      </w:r>
      <w:r w:rsidRPr="000033F2">
        <w:rPr>
          <w:lang w:val="es-AR"/>
        </w:rPr>
        <w:t xml:space="preserve">productividad </w:t>
      </w:r>
      <w:r w:rsidR="00770133">
        <w:rPr>
          <w:lang w:val="es-AR"/>
        </w:rPr>
        <w:t xml:space="preserve">en ingresos </w:t>
      </w:r>
      <w:r w:rsidR="0058788A">
        <w:rPr>
          <w:lang w:val="es-AR"/>
        </w:rPr>
        <w:t>en</w:t>
      </w:r>
      <w:r w:rsidRPr="000033F2">
        <w:rPr>
          <w:lang w:val="es-AR"/>
        </w:rPr>
        <w:t xml:space="preserve"> la finca, </w:t>
      </w:r>
      <w:r w:rsidR="00770133">
        <w:rPr>
          <w:lang w:val="es-AR"/>
        </w:rPr>
        <w:t xml:space="preserve">mayor </w:t>
      </w:r>
      <w:r w:rsidRPr="000033F2">
        <w:rPr>
          <w:lang w:val="es-AR"/>
        </w:rPr>
        <w:t>disponibilidad de alimento</w:t>
      </w:r>
      <w:r w:rsidR="0058788A">
        <w:rPr>
          <w:lang w:val="es-AR"/>
        </w:rPr>
        <w:t>s</w:t>
      </w:r>
      <w:r w:rsidRPr="000033F2">
        <w:rPr>
          <w:lang w:val="es-AR"/>
        </w:rPr>
        <w:t xml:space="preserve"> rico</w:t>
      </w:r>
      <w:r w:rsidR="0058788A">
        <w:rPr>
          <w:lang w:val="es-AR"/>
        </w:rPr>
        <w:t>s</w:t>
      </w:r>
      <w:r w:rsidRPr="000033F2">
        <w:rPr>
          <w:lang w:val="es-AR"/>
        </w:rPr>
        <w:t xml:space="preserve"> en nutrientes, </w:t>
      </w:r>
      <w:r w:rsidR="00770133">
        <w:rPr>
          <w:lang w:val="es-AR"/>
        </w:rPr>
        <w:t xml:space="preserve">menos </w:t>
      </w:r>
      <w:r w:rsidRPr="000033F2">
        <w:rPr>
          <w:lang w:val="es-AR"/>
        </w:rPr>
        <w:t xml:space="preserve">impactos adversos </w:t>
      </w:r>
      <w:r w:rsidR="0058788A">
        <w:rPr>
          <w:lang w:val="es-AR"/>
        </w:rPr>
        <w:t>para e</w:t>
      </w:r>
      <w:r w:rsidRPr="000033F2">
        <w:rPr>
          <w:lang w:val="es-AR"/>
        </w:rPr>
        <w:t xml:space="preserve">l medio ambiente y </w:t>
      </w:r>
      <w:r w:rsidR="00770133">
        <w:rPr>
          <w:lang w:val="es-AR"/>
        </w:rPr>
        <w:t xml:space="preserve">mayor </w:t>
      </w:r>
      <w:r w:rsidRPr="000033F2">
        <w:rPr>
          <w:lang w:val="es-AR"/>
        </w:rPr>
        <w:t>resiliencia a los choques de las producciones."</w:t>
      </w:r>
      <w:r w:rsidRPr="000033F2">
        <w:rPr>
          <w:rStyle w:val="FootnoteReference"/>
          <w:lang w:val="es-AR"/>
        </w:rPr>
        <w:footnoteReference w:id="83"/>
      </w:r>
      <w:r w:rsidRPr="000033F2">
        <w:rPr>
          <w:lang w:val="es-AR"/>
        </w:rPr>
        <w:t xml:space="preserve"> Se espera </w:t>
      </w:r>
      <w:r w:rsidR="006C3AA7">
        <w:rPr>
          <w:lang w:val="es-AR"/>
        </w:rPr>
        <w:t xml:space="preserve">que el cuarto llamado a </w:t>
      </w:r>
      <w:r w:rsidRPr="000033F2">
        <w:rPr>
          <w:lang w:val="es-AR"/>
        </w:rPr>
        <w:t xml:space="preserve">propuestas </w:t>
      </w:r>
      <w:r w:rsidR="006C3AA7">
        <w:rPr>
          <w:lang w:val="es-AR"/>
        </w:rPr>
        <w:t xml:space="preserve">invierta </w:t>
      </w:r>
      <w:r w:rsidRPr="000033F2">
        <w:rPr>
          <w:lang w:val="es-AR"/>
        </w:rPr>
        <w:t xml:space="preserve">más </w:t>
      </w:r>
      <w:r w:rsidR="000033F2" w:rsidRPr="000033F2">
        <w:rPr>
          <w:lang w:val="es-AR"/>
        </w:rPr>
        <w:t>5</w:t>
      </w:r>
      <w:r w:rsidR="000033F2">
        <w:rPr>
          <w:lang w:val="es-AR"/>
        </w:rPr>
        <w:t xml:space="preserve"> </w:t>
      </w:r>
      <w:r w:rsidRPr="000033F2">
        <w:rPr>
          <w:lang w:val="es-AR"/>
        </w:rPr>
        <w:t>mill</w:t>
      </w:r>
      <w:r w:rsidR="006C3AA7">
        <w:rPr>
          <w:lang w:val="es-AR"/>
        </w:rPr>
        <w:t>ones $EUA</w:t>
      </w:r>
      <w:r w:rsidRPr="000033F2">
        <w:rPr>
          <w:lang w:val="es-AR"/>
        </w:rPr>
        <w:t xml:space="preserve"> en proyectos. Hasta la fecha, el </w:t>
      </w:r>
      <w:r w:rsidR="006C3AA7">
        <w:rPr>
          <w:lang w:val="es-AR"/>
        </w:rPr>
        <w:t>F</w:t>
      </w:r>
      <w:r w:rsidRPr="000033F2">
        <w:rPr>
          <w:lang w:val="es-AR"/>
        </w:rPr>
        <w:t xml:space="preserve">ondo de </w:t>
      </w:r>
      <w:r w:rsidR="0058788A">
        <w:rPr>
          <w:lang w:val="es-AR"/>
        </w:rPr>
        <w:t xml:space="preserve">Distribución de </w:t>
      </w:r>
      <w:r w:rsidRPr="000033F2">
        <w:rPr>
          <w:lang w:val="es-AR"/>
        </w:rPr>
        <w:t xml:space="preserve">los </w:t>
      </w:r>
      <w:r w:rsidR="006C3AA7">
        <w:rPr>
          <w:lang w:val="es-AR"/>
        </w:rPr>
        <w:t>B</w:t>
      </w:r>
      <w:r w:rsidRPr="000033F2">
        <w:rPr>
          <w:lang w:val="es-AR"/>
        </w:rPr>
        <w:t xml:space="preserve">eneficios </w:t>
      </w:r>
      <w:r w:rsidR="006C3AA7">
        <w:rPr>
          <w:lang w:val="es-AR"/>
        </w:rPr>
        <w:t xml:space="preserve">recibió </w:t>
      </w:r>
      <w:r w:rsidRPr="000033F2">
        <w:rPr>
          <w:lang w:val="es-AR"/>
        </w:rPr>
        <w:t xml:space="preserve">apoyo </w:t>
      </w:r>
      <w:r w:rsidR="006C3AA7">
        <w:rPr>
          <w:lang w:val="es-AR"/>
        </w:rPr>
        <w:t xml:space="preserve">de </w:t>
      </w:r>
      <w:r w:rsidRPr="000033F2">
        <w:rPr>
          <w:lang w:val="es-AR"/>
        </w:rPr>
        <w:t>contribuciones voluntarias</w:t>
      </w:r>
      <w:r w:rsidR="006C3AA7">
        <w:rPr>
          <w:lang w:val="es-AR"/>
        </w:rPr>
        <w:t xml:space="preserve">, dado que </w:t>
      </w:r>
      <w:r w:rsidR="00F36B85">
        <w:rPr>
          <w:lang w:val="es-AR"/>
        </w:rPr>
        <w:t>los beneficios</w:t>
      </w:r>
      <w:r w:rsidRPr="000033F2">
        <w:rPr>
          <w:lang w:val="es-AR"/>
        </w:rPr>
        <w:t xml:space="preserve"> comerciales que </w:t>
      </w:r>
      <w:r w:rsidR="006C3AA7">
        <w:rPr>
          <w:lang w:val="es-AR"/>
        </w:rPr>
        <w:t xml:space="preserve">surgen </w:t>
      </w:r>
      <w:r w:rsidRPr="000033F2">
        <w:rPr>
          <w:lang w:val="es-AR"/>
        </w:rPr>
        <w:t xml:space="preserve">del uso de los recursos </w:t>
      </w:r>
      <w:proofErr w:type="spellStart"/>
      <w:r w:rsidR="006C3AA7">
        <w:rPr>
          <w:lang w:val="es-AR"/>
        </w:rPr>
        <w:t>fito</w:t>
      </w:r>
      <w:r w:rsidRPr="000033F2">
        <w:rPr>
          <w:lang w:val="es-AR"/>
        </w:rPr>
        <w:t>genéticos</w:t>
      </w:r>
      <w:proofErr w:type="spellEnd"/>
      <w:r w:rsidRPr="000033F2">
        <w:rPr>
          <w:lang w:val="es-AR"/>
        </w:rPr>
        <w:t xml:space="preserve"> en el </w:t>
      </w:r>
      <w:r w:rsidR="006C3AA7">
        <w:rPr>
          <w:lang w:val="es-AR"/>
        </w:rPr>
        <w:t>S</w:t>
      </w:r>
      <w:r w:rsidRPr="000033F2">
        <w:rPr>
          <w:lang w:val="es-AR"/>
        </w:rPr>
        <w:t xml:space="preserve">istema multilateral de acceso y participación en los beneficios </w:t>
      </w:r>
      <w:r w:rsidR="006C3AA7">
        <w:rPr>
          <w:lang w:val="es-AR"/>
        </w:rPr>
        <w:t>todavía están por materializarse</w:t>
      </w:r>
      <w:r w:rsidRPr="000033F2">
        <w:rPr>
          <w:lang w:val="es-AR"/>
        </w:rPr>
        <w:t xml:space="preserve">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Las </w:t>
      </w:r>
      <w:r w:rsidR="006C3AA7">
        <w:rPr>
          <w:lang w:val="es-AR"/>
        </w:rPr>
        <w:t>deliberaciones</w:t>
      </w:r>
      <w:r w:rsidRPr="000033F2">
        <w:rPr>
          <w:lang w:val="es-AR"/>
        </w:rPr>
        <w:t xml:space="preserve"> sobre </w:t>
      </w:r>
      <w:r w:rsidR="0058788A">
        <w:rPr>
          <w:lang w:val="es-AR"/>
        </w:rPr>
        <w:t>el mejoramiento de</w:t>
      </w:r>
      <w:r w:rsidRPr="000033F2">
        <w:rPr>
          <w:lang w:val="es-AR"/>
        </w:rPr>
        <w:t xml:space="preserve">l funcionamiento del </w:t>
      </w:r>
      <w:r w:rsidR="006C3AA7">
        <w:rPr>
          <w:lang w:val="es-AR"/>
        </w:rPr>
        <w:t>S</w:t>
      </w:r>
      <w:r w:rsidRPr="000033F2">
        <w:rPr>
          <w:lang w:val="es-AR"/>
        </w:rPr>
        <w:t xml:space="preserve">istema multilateral de acceso y participación en los beneficios bajo </w:t>
      </w:r>
      <w:r w:rsidR="006C3AA7">
        <w:rPr>
          <w:lang w:val="es-AR"/>
        </w:rPr>
        <w:t xml:space="preserve">el Tratado </w:t>
      </w:r>
      <w:r w:rsidR="0058788A">
        <w:rPr>
          <w:lang w:val="es-AR"/>
        </w:rPr>
        <w:t xml:space="preserve">continúan </w:t>
      </w:r>
      <w:r w:rsidRPr="000033F2">
        <w:rPr>
          <w:lang w:val="es-AR"/>
        </w:rPr>
        <w:t>desde 2013</w:t>
      </w:r>
      <w:r w:rsidR="0058788A">
        <w:rPr>
          <w:lang w:val="es-AR"/>
        </w:rPr>
        <w:t>,</w:t>
      </w:r>
      <w:r w:rsidRPr="000033F2">
        <w:rPr>
          <w:lang w:val="es-AR"/>
        </w:rPr>
        <w:t xml:space="preserve"> cuando el </w:t>
      </w:r>
      <w:r w:rsidR="0058788A">
        <w:rPr>
          <w:lang w:val="es-AR"/>
        </w:rPr>
        <w:t xml:space="preserve">órgano rector </w:t>
      </w:r>
      <w:r w:rsidRPr="000033F2">
        <w:rPr>
          <w:lang w:val="es-AR"/>
        </w:rPr>
        <w:t xml:space="preserve">del </w:t>
      </w:r>
      <w:r w:rsidR="006C3AA7">
        <w:rPr>
          <w:lang w:val="es-AR"/>
        </w:rPr>
        <w:t>T</w:t>
      </w:r>
      <w:r w:rsidRPr="000033F2">
        <w:rPr>
          <w:lang w:val="es-AR"/>
        </w:rPr>
        <w:t xml:space="preserve">ratado estableció un </w:t>
      </w:r>
      <w:r w:rsidR="006C3AA7">
        <w:rPr>
          <w:lang w:val="es-AR"/>
        </w:rPr>
        <w:t>G</w:t>
      </w:r>
      <w:r w:rsidRPr="000033F2">
        <w:rPr>
          <w:lang w:val="es-AR"/>
        </w:rPr>
        <w:t>rupo de</w:t>
      </w:r>
      <w:r w:rsidR="00770133">
        <w:rPr>
          <w:lang w:val="es-AR"/>
        </w:rPr>
        <w:t xml:space="preserve"> trabajo </w:t>
      </w:r>
      <w:r w:rsidR="006C3AA7">
        <w:rPr>
          <w:lang w:val="es-AR"/>
        </w:rPr>
        <w:t>especial de composición abierta</w:t>
      </w:r>
      <w:r w:rsidRPr="000033F2">
        <w:rPr>
          <w:lang w:val="es-AR"/>
        </w:rPr>
        <w:t xml:space="preserve"> para </w:t>
      </w:r>
      <w:r w:rsidR="006C3AA7">
        <w:rPr>
          <w:lang w:val="es-AR"/>
        </w:rPr>
        <w:t xml:space="preserve">mejorar </w:t>
      </w:r>
      <w:r w:rsidRPr="000033F2">
        <w:rPr>
          <w:lang w:val="es-AR"/>
        </w:rPr>
        <w:t xml:space="preserve">el funcionamiento del </w:t>
      </w:r>
      <w:r w:rsidR="00036754">
        <w:rPr>
          <w:lang w:val="es-AR"/>
        </w:rPr>
        <w:t>Sistema multilateral</w:t>
      </w:r>
      <w:r w:rsidRPr="000033F2">
        <w:rPr>
          <w:lang w:val="es-AR"/>
        </w:rPr>
        <w:t xml:space="preserve"> de acceso y participación en los beneficios ("</w:t>
      </w:r>
      <w:r w:rsidR="006C3AA7">
        <w:rPr>
          <w:lang w:val="es-AR"/>
        </w:rPr>
        <w:t>G</w:t>
      </w:r>
      <w:r w:rsidRPr="000033F2">
        <w:rPr>
          <w:lang w:val="es-AR"/>
        </w:rPr>
        <w:t>rupo de</w:t>
      </w:r>
      <w:r w:rsidR="00770133">
        <w:rPr>
          <w:lang w:val="es-AR"/>
        </w:rPr>
        <w:t xml:space="preserve"> trabajo</w:t>
      </w:r>
      <w:r w:rsidRPr="000033F2">
        <w:rPr>
          <w:lang w:val="es-AR"/>
        </w:rPr>
        <w:t xml:space="preserve">") con la tarea </w:t>
      </w:r>
      <w:r w:rsidR="006C3AA7">
        <w:rPr>
          <w:lang w:val="es-AR"/>
        </w:rPr>
        <w:t xml:space="preserve">de crear </w:t>
      </w:r>
      <w:r w:rsidRPr="000033F2">
        <w:rPr>
          <w:lang w:val="es-AR"/>
        </w:rPr>
        <w:t>medidas dirigidas</w:t>
      </w:r>
      <w:r w:rsidR="006C3AA7">
        <w:rPr>
          <w:lang w:val="es-AR"/>
        </w:rPr>
        <w:t xml:space="preserve"> a</w:t>
      </w:r>
      <w:r w:rsidRPr="000033F2">
        <w:rPr>
          <w:lang w:val="es-AR"/>
        </w:rPr>
        <w:t>:</w:t>
      </w:r>
    </w:p>
    <w:p w:rsidR="00FB79CA" w:rsidRPr="000033F2" w:rsidRDefault="006C3AA7">
      <w:pPr>
        <w:pStyle w:val="Para1"/>
        <w:numPr>
          <w:ilvl w:val="1"/>
          <w:numId w:val="2"/>
        </w:numPr>
        <w:rPr>
          <w:lang w:val="es-AR"/>
        </w:rPr>
      </w:pPr>
      <w:r>
        <w:rPr>
          <w:lang w:val="es-AR"/>
        </w:rPr>
        <w:t>Aumentar los p</w:t>
      </w:r>
      <w:r w:rsidR="00635DA0" w:rsidRPr="000033F2">
        <w:rPr>
          <w:lang w:val="es-AR"/>
        </w:rPr>
        <w:t xml:space="preserve">agos y contribuciones </w:t>
      </w:r>
      <w:r>
        <w:rPr>
          <w:lang w:val="es-AR"/>
        </w:rPr>
        <w:t xml:space="preserve">de los </w:t>
      </w:r>
      <w:r w:rsidR="00635DA0" w:rsidRPr="000033F2">
        <w:rPr>
          <w:lang w:val="es-AR"/>
        </w:rPr>
        <w:t xml:space="preserve">usuarios al </w:t>
      </w:r>
      <w:r w:rsidR="0058788A">
        <w:rPr>
          <w:lang w:val="es-AR"/>
        </w:rPr>
        <w:t>Fondo de Distribución de los Beneficios</w:t>
      </w:r>
      <w:r w:rsidR="00635DA0" w:rsidRPr="000033F2">
        <w:rPr>
          <w:lang w:val="es-AR"/>
        </w:rPr>
        <w:t xml:space="preserve"> a largo plazo</w:t>
      </w:r>
      <w:r w:rsidR="0058788A">
        <w:rPr>
          <w:lang w:val="es-AR"/>
        </w:rPr>
        <w:t xml:space="preserve"> y de modo</w:t>
      </w:r>
      <w:r w:rsidR="00635DA0" w:rsidRPr="000033F2">
        <w:rPr>
          <w:lang w:val="es-AR"/>
        </w:rPr>
        <w:t xml:space="preserve"> sostenible y </w:t>
      </w:r>
      <w:r>
        <w:rPr>
          <w:lang w:val="es-AR"/>
        </w:rPr>
        <w:t>previsible</w:t>
      </w:r>
      <w:r w:rsidR="00635DA0" w:rsidRPr="000033F2">
        <w:rPr>
          <w:lang w:val="es-AR"/>
        </w:rPr>
        <w:t>;</w:t>
      </w:r>
    </w:p>
    <w:p w:rsidR="00FB79CA" w:rsidRPr="000033F2" w:rsidRDefault="006C3AA7">
      <w:pPr>
        <w:pStyle w:val="Para1"/>
        <w:numPr>
          <w:ilvl w:val="1"/>
          <w:numId w:val="2"/>
        </w:numPr>
        <w:rPr>
          <w:lang w:val="es-AR"/>
        </w:rPr>
      </w:pPr>
      <w:r>
        <w:rPr>
          <w:lang w:val="es-AR"/>
        </w:rPr>
        <w:t xml:space="preserve">Mejorar </w:t>
      </w:r>
      <w:r w:rsidR="00635DA0" w:rsidRPr="000033F2">
        <w:rPr>
          <w:lang w:val="es-AR"/>
        </w:rPr>
        <w:t xml:space="preserve">el funcionamiento del </w:t>
      </w:r>
      <w:r w:rsidR="00036754">
        <w:rPr>
          <w:lang w:val="es-AR"/>
        </w:rPr>
        <w:t>Sistema multilateral</w:t>
      </w:r>
      <w:r w:rsidR="00635DA0" w:rsidRPr="000033F2">
        <w:rPr>
          <w:lang w:val="es-AR"/>
        </w:rPr>
        <w:t xml:space="preserve"> </w:t>
      </w:r>
      <w:r>
        <w:rPr>
          <w:lang w:val="es-AR"/>
        </w:rPr>
        <w:t xml:space="preserve">mediante </w:t>
      </w:r>
      <w:r w:rsidR="00635DA0" w:rsidRPr="000033F2">
        <w:rPr>
          <w:lang w:val="es-AR"/>
        </w:rPr>
        <w:t>medidas adicionales.</w:t>
      </w:r>
      <w:r w:rsidR="00635DA0" w:rsidRPr="000033F2">
        <w:rPr>
          <w:rStyle w:val="FootnoteReference"/>
          <w:lang w:val="es-AR"/>
        </w:rPr>
        <w:footnoteReference w:id="84"/>
      </w:r>
    </w:p>
    <w:p w:rsidR="00FB79CA" w:rsidRPr="0058788A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Con este fin, el </w:t>
      </w:r>
      <w:r w:rsidR="006C3AA7">
        <w:rPr>
          <w:lang w:val="es-AR"/>
        </w:rPr>
        <w:t>Grupo de trabajo</w:t>
      </w:r>
      <w:r w:rsidR="00770133">
        <w:rPr>
          <w:lang w:val="es-AR"/>
        </w:rPr>
        <w:t xml:space="preserve"> </w:t>
      </w:r>
      <w:r w:rsidR="0058788A">
        <w:rPr>
          <w:lang w:val="es-AR"/>
        </w:rPr>
        <w:t xml:space="preserve">estudió las </w:t>
      </w:r>
      <w:r w:rsidRPr="000033F2">
        <w:rPr>
          <w:lang w:val="es-AR"/>
        </w:rPr>
        <w:t xml:space="preserve">revisiones al </w:t>
      </w:r>
      <w:r w:rsidR="006C3AA7" w:rsidRPr="0058788A">
        <w:rPr>
          <w:lang w:val="es-AR"/>
        </w:rPr>
        <w:t>A</w:t>
      </w:r>
      <w:r w:rsidRPr="0058788A">
        <w:rPr>
          <w:lang w:val="es-AR"/>
        </w:rPr>
        <w:t xml:space="preserve">cuerdo </w:t>
      </w:r>
      <w:r w:rsidR="0058788A" w:rsidRPr="0058788A">
        <w:rPr>
          <w:lang w:val="es-AR"/>
        </w:rPr>
        <w:t>Normalizado de T</w:t>
      </w:r>
      <w:r w:rsidRPr="0058788A">
        <w:rPr>
          <w:lang w:val="es-AR"/>
        </w:rPr>
        <w:t xml:space="preserve">ransferencia de </w:t>
      </w:r>
      <w:r w:rsidR="0058788A" w:rsidRPr="0058788A">
        <w:rPr>
          <w:lang w:val="es-AR"/>
        </w:rPr>
        <w:t>M</w:t>
      </w:r>
      <w:r w:rsidRPr="0058788A">
        <w:rPr>
          <w:lang w:val="es-AR"/>
        </w:rPr>
        <w:t xml:space="preserve">aterial </w:t>
      </w:r>
      <w:r w:rsidR="006C3AA7" w:rsidRPr="0058788A">
        <w:rPr>
          <w:lang w:val="es-AR"/>
        </w:rPr>
        <w:t xml:space="preserve">así como </w:t>
      </w:r>
      <w:r w:rsidRPr="0058788A">
        <w:rPr>
          <w:lang w:val="es-AR"/>
        </w:rPr>
        <w:t>posible</w:t>
      </w:r>
      <w:r w:rsidR="006C3AA7" w:rsidRPr="0058788A">
        <w:rPr>
          <w:lang w:val="es-AR"/>
        </w:rPr>
        <w:t>s cambios</w:t>
      </w:r>
      <w:r w:rsidRPr="0058788A">
        <w:rPr>
          <w:lang w:val="es-AR"/>
        </w:rPr>
        <w:t xml:space="preserve"> a la cobertura del </w:t>
      </w:r>
      <w:r w:rsidR="00036754" w:rsidRPr="0058788A">
        <w:rPr>
          <w:lang w:val="es-AR"/>
        </w:rPr>
        <w:t>Sistema multilateral</w:t>
      </w:r>
      <w:r w:rsidRPr="0058788A">
        <w:rPr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En su séptimo período de sesiones, el </w:t>
      </w:r>
      <w:r w:rsidR="0058788A">
        <w:rPr>
          <w:lang w:val="es-AR"/>
        </w:rPr>
        <w:t>Órgano rector</w:t>
      </w:r>
      <w:r w:rsidRPr="000033F2">
        <w:rPr>
          <w:lang w:val="es-AR"/>
        </w:rPr>
        <w:t xml:space="preserve"> del </w:t>
      </w:r>
      <w:r w:rsidR="00036754">
        <w:rPr>
          <w:lang w:val="es-AR"/>
        </w:rPr>
        <w:t>Tratado</w:t>
      </w:r>
      <w:r w:rsidRPr="000033F2">
        <w:rPr>
          <w:lang w:val="es-AR"/>
        </w:rPr>
        <w:t xml:space="preserve"> extendió el mandato del </w:t>
      </w:r>
      <w:r w:rsidR="006C3AA7">
        <w:rPr>
          <w:lang w:val="es-AR"/>
        </w:rPr>
        <w:t>Grupo de trabajo</w:t>
      </w:r>
      <w:r w:rsidR="00770133">
        <w:rPr>
          <w:lang w:val="es-AR"/>
        </w:rPr>
        <w:t xml:space="preserve"> </w:t>
      </w:r>
      <w:r w:rsidRPr="000033F2">
        <w:rPr>
          <w:lang w:val="es-AR"/>
        </w:rPr>
        <w:t xml:space="preserve">(resolución 2/2017). </w:t>
      </w:r>
      <w:r w:rsidR="00036754">
        <w:rPr>
          <w:lang w:val="es-AR"/>
        </w:rPr>
        <w:t>A</w:t>
      </w:r>
      <w:r w:rsidR="00036754" w:rsidRPr="000033F2">
        <w:rPr>
          <w:lang w:val="es-AR"/>
        </w:rPr>
        <w:t xml:space="preserve">ctualmente </w:t>
      </w:r>
      <w:r w:rsidR="00036754">
        <w:rPr>
          <w:lang w:val="es-AR"/>
        </w:rPr>
        <w:t>se prevén dos r</w:t>
      </w:r>
      <w:r w:rsidRPr="000033F2">
        <w:rPr>
          <w:lang w:val="es-AR"/>
        </w:rPr>
        <w:t xml:space="preserve">euniones del </w:t>
      </w:r>
      <w:r w:rsidR="006C3AA7">
        <w:rPr>
          <w:lang w:val="es-AR"/>
        </w:rPr>
        <w:t>Grupo de trabajo</w:t>
      </w:r>
      <w:r w:rsidR="00770133">
        <w:rPr>
          <w:lang w:val="es-AR"/>
        </w:rPr>
        <w:t xml:space="preserve"> </w:t>
      </w:r>
      <w:r w:rsidRPr="000033F2">
        <w:rPr>
          <w:lang w:val="es-AR"/>
        </w:rPr>
        <w:t xml:space="preserve">para el período </w:t>
      </w:r>
      <w:r w:rsidR="00036754">
        <w:rPr>
          <w:lang w:val="es-AR"/>
        </w:rPr>
        <w:t>entre sesiones</w:t>
      </w:r>
      <w:r w:rsidRPr="000033F2">
        <w:rPr>
          <w:lang w:val="es-AR"/>
        </w:rPr>
        <w:t>: un</w:t>
      </w:r>
      <w:r w:rsidR="00036754">
        <w:rPr>
          <w:lang w:val="es-AR"/>
        </w:rPr>
        <w:t>a</w:t>
      </w:r>
      <w:r w:rsidRPr="000033F2">
        <w:rPr>
          <w:lang w:val="es-AR"/>
        </w:rPr>
        <w:t xml:space="preserve"> en octubre de 2018 y </w:t>
      </w:r>
      <w:r w:rsidR="00036754">
        <w:rPr>
          <w:lang w:val="es-AR"/>
        </w:rPr>
        <w:t xml:space="preserve">otra </w:t>
      </w:r>
      <w:r w:rsidRPr="000033F2">
        <w:rPr>
          <w:lang w:val="es-AR"/>
        </w:rPr>
        <w:t>e</w:t>
      </w:r>
      <w:r w:rsidR="00036754">
        <w:rPr>
          <w:lang w:val="es-AR"/>
        </w:rPr>
        <w:t>n e</w:t>
      </w:r>
      <w:r w:rsidRPr="000033F2">
        <w:rPr>
          <w:lang w:val="es-AR"/>
        </w:rPr>
        <w:t>l primer trimestre de 2019.</w:t>
      </w:r>
    </w:p>
    <w:p w:rsidR="00FB79CA" w:rsidRPr="000033F2" w:rsidRDefault="00635DA0">
      <w:pPr>
        <w:pStyle w:val="Heading2"/>
        <w:numPr>
          <w:ilvl w:val="0"/>
          <w:numId w:val="14"/>
        </w:numPr>
        <w:ind w:hanging="436"/>
        <w:jc w:val="left"/>
        <w:rPr>
          <w:lang w:val="es-AR"/>
        </w:rPr>
      </w:pPr>
      <w:r w:rsidRPr="000033F2">
        <w:rPr>
          <w:lang w:val="es-AR"/>
        </w:rPr>
        <w:t>Asamblea General de las Naciones Unidas - instrumento</w:t>
      </w:r>
      <w:r w:rsidR="00036754" w:rsidRPr="00036754">
        <w:rPr>
          <w:lang w:val="es-AR"/>
        </w:rPr>
        <w:t xml:space="preserve"> </w:t>
      </w:r>
      <w:r w:rsidR="00036754" w:rsidRPr="000033F2">
        <w:rPr>
          <w:lang w:val="es-AR"/>
        </w:rPr>
        <w:t>internacional</w:t>
      </w:r>
      <w:r w:rsidRPr="000033F2">
        <w:rPr>
          <w:lang w:val="es-AR"/>
        </w:rPr>
        <w:t xml:space="preserve"> jurídicamente vinculante bajo</w:t>
      </w:r>
      <w:r w:rsidR="00096D97">
        <w:rPr>
          <w:lang w:val="es-AR"/>
        </w:rPr>
        <w:t xml:space="preserve"> la </w:t>
      </w:r>
      <w:r w:rsidRPr="000033F2">
        <w:rPr>
          <w:lang w:val="es-AR"/>
        </w:rPr>
        <w:t>Convención de las Naciones Unidas sobre el Derecho del Mar en la conservación y la utilización sostenible </w:t>
      </w:r>
      <w:r w:rsidR="00036754">
        <w:rPr>
          <w:lang w:val="es-AR"/>
        </w:rPr>
        <w:t>de la diversidad</w:t>
      </w:r>
      <w:r w:rsidRPr="000033F2">
        <w:rPr>
          <w:lang w:val="es-AR"/>
        </w:rPr>
        <w:t xml:space="preserve"> </w:t>
      </w:r>
      <w:r w:rsidR="00036754">
        <w:rPr>
          <w:lang w:val="es-AR"/>
        </w:rPr>
        <w:t>biológica</w:t>
      </w:r>
      <w:r w:rsidRPr="000033F2">
        <w:rPr>
          <w:lang w:val="es-AR"/>
        </w:rPr>
        <w:t xml:space="preserve"> marin</w:t>
      </w:r>
      <w:r w:rsidR="00036754">
        <w:rPr>
          <w:lang w:val="es-AR"/>
        </w:rPr>
        <w:t>a</w:t>
      </w:r>
      <w:r w:rsidRPr="000033F2">
        <w:rPr>
          <w:lang w:val="es-AR"/>
        </w:rPr>
        <w:t xml:space="preserve"> de áreas </w:t>
      </w:r>
      <w:r w:rsidR="00036754">
        <w:rPr>
          <w:lang w:val="es-AR"/>
        </w:rPr>
        <w:t>que están fuera de</w:t>
      </w:r>
      <w:r w:rsidRPr="000033F2">
        <w:rPr>
          <w:lang w:val="es-AR"/>
        </w:rPr>
        <w:t xml:space="preserve"> la jurisdicción nacional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En su resolución 69/292, la Asamblea General decid</w:t>
      </w:r>
      <w:r w:rsidR="00036754">
        <w:rPr>
          <w:lang w:val="es-AR"/>
        </w:rPr>
        <w:t>ió</w:t>
      </w:r>
      <w:r w:rsidRPr="000033F2">
        <w:rPr>
          <w:lang w:val="es-AR"/>
        </w:rPr>
        <w:t xml:space="preserve"> desarrollar un instrumento</w:t>
      </w:r>
      <w:r w:rsidR="00036754">
        <w:rPr>
          <w:lang w:val="es-AR"/>
        </w:rPr>
        <w:t xml:space="preserve"> internacional</w:t>
      </w:r>
      <w:r w:rsidRPr="000033F2">
        <w:rPr>
          <w:lang w:val="es-AR"/>
        </w:rPr>
        <w:t xml:space="preserve"> jurídicamente vinculante </w:t>
      </w:r>
      <w:r w:rsidR="00036754">
        <w:rPr>
          <w:lang w:val="es-AR"/>
        </w:rPr>
        <w:t xml:space="preserve">sobre </w:t>
      </w:r>
      <w:r w:rsidRPr="000033F2">
        <w:rPr>
          <w:lang w:val="es-AR"/>
        </w:rPr>
        <w:t xml:space="preserve">la conservación y la utilización sostenible </w:t>
      </w:r>
      <w:r w:rsidR="00036754">
        <w:rPr>
          <w:lang w:val="es-AR"/>
        </w:rPr>
        <w:t>de la diversidad</w:t>
      </w:r>
      <w:r w:rsidRPr="000033F2">
        <w:rPr>
          <w:lang w:val="es-AR"/>
        </w:rPr>
        <w:t xml:space="preserve"> </w:t>
      </w:r>
      <w:r w:rsidR="00036754">
        <w:rPr>
          <w:lang w:val="es-AR"/>
        </w:rPr>
        <w:t>biológica</w:t>
      </w:r>
      <w:r w:rsidRPr="000033F2">
        <w:rPr>
          <w:lang w:val="es-AR"/>
        </w:rPr>
        <w:t xml:space="preserve"> marin</w:t>
      </w:r>
      <w:r w:rsidR="00036754">
        <w:rPr>
          <w:lang w:val="es-AR"/>
        </w:rPr>
        <w:t>a</w:t>
      </w:r>
      <w:r w:rsidRPr="000033F2">
        <w:rPr>
          <w:lang w:val="es-AR"/>
        </w:rPr>
        <w:t xml:space="preserve"> </w:t>
      </w:r>
      <w:r w:rsidR="00036754">
        <w:rPr>
          <w:lang w:val="es-AR"/>
        </w:rPr>
        <w:t xml:space="preserve">en </w:t>
      </w:r>
      <w:r w:rsidRPr="000033F2">
        <w:rPr>
          <w:lang w:val="es-AR"/>
        </w:rPr>
        <w:t xml:space="preserve">áreas </w:t>
      </w:r>
      <w:r w:rsidR="00036754">
        <w:rPr>
          <w:lang w:val="es-AR"/>
        </w:rPr>
        <w:t>que están fuera de la jurisdicción</w:t>
      </w:r>
      <w:r w:rsidRPr="000033F2">
        <w:rPr>
          <w:lang w:val="es-AR"/>
        </w:rPr>
        <w:t xml:space="preserve"> nacional bajo</w:t>
      </w:r>
      <w:r w:rsidR="00096D97">
        <w:rPr>
          <w:lang w:val="es-AR"/>
        </w:rPr>
        <w:t xml:space="preserve"> la </w:t>
      </w:r>
      <w:r w:rsidRPr="000033F2">
        <w:rPr>
          <w:lang w:val="es-AR"/>
        </w:rPr>
        <w:t xml:space="preserve">Convención de las Naciones Unidas sobre el Derecho del Mar (UNCLOS, </w:t>
      </w:r>
      <w:r w:rsidR="00036754">
        <w:rPr>
          <w:lang w:val="es-AR"/>
        </w:rPr>
        <w:t>por su sigla en inglés</w:t>
      </w:r>
      <w:r w:rsidRPr="000033F2">
        <w:rPr>
          <w:lang w:val="es-AR"/>
        </w:rPr>
        <w:t>). A tal efecto, la Asamblea General también decid</w:t>
      </w:r>
      <w:r w:rsidR="00036754">
        <w:rPr>
          <w:lang w:val="es-AR"/>
        </w:rPr>
        <w:t>ió</w:t>
      </w:r>
      <w:r w:rsidRPr="000033F2">
        <w:rPr>
          <w:lang w:val="es-AR"/>
        </w:rPr>
        <w:t xml:space="preserve"> establecer un </w:t>
      </w:r>
      <w:r w:rsidR="00036754">
        <w:rPr>
          <w:lang w:val="es-AR"/>
        </w:rPr>
        <w:t>C</w:t>
      </w:r>
      <w:r w:rsidRPr="000033F2">
        <w:rPr>
          <w:lang w:val="es-AR"/>
        </w:rPr>
        <w:t xml:space="preserve">omité preparatorio para hacer recomendaciones </w:t>
      </w:r>
      <w:r w:rsidR="00A651A5">
        <w:rPr>
          <w:lang w:val="es-AR"/>
        </w:rPr>
        <w:t xml:space="preserve">sustantivas </w:t>
      </w:r>
      <w:r w:rsidRPr="000033F2">
        <w:rPr>
          <w:lang w:val="es-AR"/>
        </w:rPr>
        <w:t xml:space="preserve">a la Asamblea General </w:t>
      </w:r>
      <w:r w:rsidR="00036754">
        <w:rPr>
          <w:lang w:val="es-AR"/>
        </w:rPr>
        <w:t xml:space="preserve">sobre </w:t>
      </w:r>
      <w:r w:rsidRPr="000033F2">
        <w:rPr>
          <w:lang w:val="es-AR"/>
        </w:rPr>
        <w:t xml:space="preserve">los elementos de un proyecto de texto de un </w:t>
      </w:r>
      <w:r w:rsidR="00036754">
        <w:rPr>
          <w:lang w:val="es-AR"/>
        </w:rPr>
        <w:t xml:space="preserve">instrumento internacional jurídicamente vinculante </w:t>
      </w:r>
      <w:r w:rsidRPr="000033F2">
        <w:rPr>
          <w:lang w:val="es-AR"/>
        </w:rPr>
        <w:t>bajo</w:t>
      </w:r>
      <w:r w:rsidR="00096D97">
        <w:rPr>
          <w:lang w:val="es-AR"/>
        </w:rPr>
        <w:t xml:space="preserve"> la </w:t>
      </w:r>
      <w:r w:rsidRPr="000033F2">
        <w:rPr>
          <w:lang w:val="es-AR"/>
        </w:rPr>
        <w:t>UNCLOS.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El </w:t>
      </w:r>
      <w:r w:rsidR="00036754">
        <w:rPr>
          <w:lang w:val="es-AR"/>
        </w:rPr>
        <w:t>Comité preparatorio</w:t>
      </w:r>
      <w:r w:rsidRPr="000033F2">
        <w:rPr>
          <w:lang w:val="es-AR"/>
        </w:rPr>
        <w:t xml:space="preserve"> terminó su</w:t>
      </w:r>
      <w:r w:rsidR="00770133">
        <w:rPr>
          <w:lang w:val="es-AR"/>
        </w:rPr>
        <w:t xml:space="preserve"> </w:t>
      </w:r>
      <w:r w:rsidR="00A651A5">
        <w:rPr>
          <w:lang w:val="es-AR"/>
        </w:rPr>
        <w:t xml:space="preserve">labor </w:t>
      </w:r>
      <w:r w:rsidRPr="000033F2">
        <w:rPr>
          <w:lang w:val="es-AR"/>
        </w:rPr>
        <w:t xml:space="preserve">el 21 de julio de 2017 con la adopción de su informe, </w:t>
      </w:r>
      <w:r w:rsidR="00A651A5">
        <w:rPr>
          <w:lang w:val="es-AR"/>
        </w:rPr>
        <w:t xml:space="preserve">que incluye las </w:t>
      </w:r>
      <w:r w:rsidRPr="000033F2">
        <w:rPr>
          <w:lang w:val="es-AR"/>
        </w:rPr>
        <w:t xml:space="preserve">recomendaciones a la Asamblea General </w:t>
      </w:r>
      <w:r w:rsidR="00036754">
        <w:rPr>
          <w:lang w:val="es-AR"/>
        </w:rPr>
        <w:t xml:space="preserve">sobre </w:t>
      </w:r>
      <w:r w:rsidRPr="000033F2">
        <w:rPr>
          <w:lang w:val="es-AR"/>
        </w:rPr>
        <w:t xml:space="preserve">los elementos de un </w:t>
      </w:r>
      <w:r w:rsidR="00036754">
        <w:rPr>
          <w:lang w:val="es-AR"/>
        </w:rPr>
        <w:t>proyecto de texto bajo</w:t>
      </w:r>
      <w:r w:rsidRPr="000033F2">
        <w:rPr>
          <w:lang w:val="es-AR"/>
        </w:rPr>
        <w:t xml:space="preserve"> la UNCLOS (</w:t>
      </w:r>
      <w:hyperlink r:id="rId11" w:history="1">
        <w:r w:rsidR="00A651A5" w:rsidRPr="00A651A5">
          <w:rPr>
            <w:rStyle w:val="Hyperlink"/>
            <w:kern w:val="22"/>
            <w:szCs w:val="22"/>
            <w:lang w:val="es-MX"/>
          </w:rPr>
          <w:t>A/AC.287/2017/PC.4/2</w:t>
        </w:r>
      </w:hyperlink>
      <w:r w:rsidRPr="000033F2">
        <w:rPr>
          <w:lang w:val="es-AR"/>
        </w:rPr>
        <w:t xml:space="preserve">). Las cuestiones relacionadas para tener acceso y </w:t>
      </w:r>
      <w:r w:rsidR="00703A59">
        <w:rPr>
          <w:lang w:val="es-AR"/>
        </w:rPr>
        <w:t xml:space="preserve">participar </w:t>
      </w:r>
      <w:r w:rsidRPr="000033F2">
        <w:rPr>
          <w:lang w:val="es-AR"/>
        </w:rPr>
        <w:t xml:space="preserve">en los beneficios que </w:t>
      </w:r>
      <w:r w:rsidR="00703A59">
        <w:rPr>
          <w:lang w:val="es-AR"/>
        </w:rPr>
        <w:t xml:space="preserve">deriva </w:t>
      </w:r>
      <w:r w:rsidRPr="000033F2">
        <w:rPr>
          <w:lang w:val="es-AR"/>
        </w:rPr>
        <w:t xml:space="preserve">de la utilización de recursos genéticos marinos de áreas </w:t>
      </w:r>
      <w:r w:rsidR="00036754">
        <w:rPr>
          <w:lang w:val="es-AR"/>
        </w:rPr>
        <w:t>que están fuera de la jurisdicción</w:t>
      </w:r>
      <w:r w:rsidRPr="000033F2">
        <w:rPr>
          <w:lang w:val="es-AR"/>
        </w:rPr>
        <w:t xml:space="preserve"> nacional son consideradas por los Estados miembros, como se refleja en las recomendaciones del </w:t>
      </w:r>
      <w:r w:rsidR="00036754">
        <w:rPr>
          <w:lang w:val="es-AR"/>
        </w:rPr>
        <w:t>Comité preparatorio</w:t>
      </w:r>
      <w:r w:rsidRPr="000033F2">
        <w:rPr>
          <w:lang w:val="es-AR"/>
        </w:rPr>
        <w:t xml:space="preserve"> (sección III del informe antedicho) y en l</w:t>
      </w:r>
      <w:r w:rsidR="00703A59">
        <w:rPr>
          <w:lang w:val="es-AR"/>
        </w:rPr>
        <w:t>a</w:t>
      </w:r>
      <w:r w:rsidRPr="000033F2">
        <w:rPr>
          <w:lang w:val="es-AR"/>
        </w:rPr>
        <w:t xml:space="preserve">s </w:t>
      </w:r>
      <w:r w:rsidR="00703A59">
        <w:rPr>
          <w:lang w:val="es-AR"/>
        </w:rPr>
        <w:t xml:space="preserve">descripciones </w:t>
      </w:r>
      <w:r w:rsidRPr="000033F2">
        <w:rPr>
          <w:lang w:val="es-AR"/>
        </w:rPr>
        <w:t>generales</w:t>
      </w:r>
      <w:r w:rsidR="00A651A5">
        <w:rPr>
          <w:lang w:val="es-AR"/>
        </w:rPr>
        <w:t xml:space="preserve"> de la Presidencia</w:t>
      </w:r>
      <w:r w:rsidRPr="000033F2">
        <w:rPr>
          <w:lang w:val="es-AR"/>
        </w:rPr>
        <w:t xml:space="preserve"> y los textos oficiosos elaborados en el contexto del </w:t>
      </w:r>
      <w:r w:rsidR="00036754">
        <w:rPr>
          <w:lang w:val="es-AR"/>
        </w:rPr>
        <w:t>Comité preparatorio</w:t>
      </w:r>
      <w:r w:rsidRPr="000033F2">
        <w:rPr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lastRenderedPageBreak/>
        <w:t xml:space="preserve">En su </w:t>
      </w:r>
      <w:r w:rsidR="00703A59">
        <w:rPr>
          <w:lang w:val="es-AR"/>
        </w:rPr>
        <w:t xml:space="preserve">septuagésimo segundo </w:t>
      </w:r>
      <w:r w:rsidRPr="000033F2">
        <w:rPr>
          <w:lang w:val="es-AR"/>
        </w:rPr>
        <w:t xml:space="preserve">período de sesiones, la Asamblea General adoptó la resolución 72/249 </w:t>
      </w:r>
      <w:r w:rsidR="00703A59">
        <w:rPr>
          <w:lang w:val="es-AR"/>
        </w:rPr>
        <w:t xml:space="preserve">sobre </w:t>
      </w:r>
      <w:r w:rsidRPr="000033F2">
        <w:rPr>
          <w:lang w:val="es-AR"/>
        </w:rPr>
        <w:t xml:space="preserve">un </w:t>
      </w:r>
      <w:r w:rsidR="00036754">
        <w:rPr>
          <w:lang w:val="es-AR"/>
        </w:rPr>
        <w:t xml:space="preserve">instrumento internacional jurídicamente vinculante </w:t>
      </w:r>
      <w:r w:rsidRPr="000033F2">
        <w:rPr>
          <w:lang w:val="es-AR"/>
        </w:rPr>
        <w:t>bajo</w:t>
      </w:r>
      <w:r w:rsidR="00096D97">
        <w:rPr>
          <w:lang w:val="es-AR"/>
        </w:rPr>
        <w:t xml:space="preserve"> la </w:t>
      </w:r>
      <w:r w:rsidRPr="000033F2">
        <w:rPr>
          <w:lang w:val="es-AR"/>
        </w:rPr>
        <w:t xml:space="preserve">Convención de las Naciones Unidas sobre el Derecho del Mar </w:t>
      </w:r>
      <w:r w:rsidR="00703A59">
        <w:rPr>
          <w:lang w:val="es-AR"/>
        </w:rPr>
        <w:t xml:space="preserve">sobre </w:t>
      </w:r>
      <w:r w:rsidRPr="000033F2">
        <w:rPr>
          <w:lang w:val="es-AR"/>
        </w:rPr>
        <w:t xml:space="preserve">la conservación y la utilización sostenible de la diversidad biológica marina de áreas </w:t>
      </w:r>
      <w:r w:rsidR="00036754">
        <w:rPr>
          <w:lang w:val="es-AR"/>
        </w:rPr>
        <w:t>que están fuera de la jurisdicción</w:t>
      </w:r>
      <w:r w:rsidRPr="000033F2">
        <w:rPr>
          <w:lang w:val="es-AR"/>
        </w:rPr>
        <w:t xml:space="preserve"> nacional. En la resolución, la Asamblea General decid</w:t>
      </w:r>
      <w:r w:rsidR="00703A59">
        <w:rPr>
          <w:lang w:val="es-AR"/>
        </w:rPr>
        <w:t>ió</w:t>
      </w:r>
      <w:r w:rsidRPr="000033F2">
        <w:rPr>
          <w:lang w:val="es-AR"/>
        </w:rPr>
        <w:t xml:space="preserve"> convocar una conferencia para elaborar el texto de tal instrumento, con </w:t>
      </w:r>
      <w:r w:rsidR="00703A59">
        <w:rPr>
          <w:lang w:val="es-AR"/>
        </w:rPr>
        <w:t xml:space="preserve">el </w:t>
      </w:r>
      <w:r w:rsidRPr="000033F2">
        <w:rPr>
          <w:lang w:val="es-AR"/>
        </w:rPr>
        <w:t xml:space="preserve">objeto de desarrollar ese marco </w:t>
      </w:r>
      <w:r w:rsidR="00703A59">
        <w:rPr>
          <w:lang w:val="es-AR"/>
        </w:rPr>
        <w:t>lo antes posible</w:t>
      </w:r>
      <w:r w:rsidRPr="000033F2">
        <w:rPr>
          <w:lang w:val="es-AR"/>
        </w:rPr>
        <w:t>. Las negociaciones tratar</w:t>
      </w:r>
      <w:r w:rsidR="00703A59">
        <w:rPr>
          <w:lang w:val="es-AR"/>
        </w:rPr>
        <w:t>ían</w:t>
      </w:r>
      <w:r w:rsidRPr="000033F2">
        <w:rPr>
          <w:lang w:val="es-AR"/>
        </w:rPr>
        <w:t xml:space="preserve"> los temas identificados en el </w:t>
      </w:r>
      <w:r w:rsidR="00703A59">
        <w:rPr>
          <w:lang w:val="es-AR"/>
        </w:rPr>
        <w:t xml:space="preserve">grupo de temas acordados </w:t>
      </w:r>
      <w:r w:rsidRPr="000033F2">
        <w:rPr>
          <w:lang w:val="es-AR"/>
        </w:rPr>
        <w:t xml:space="preserve">en 2011, que incluye recursos genéticos marinos, </w:t>
      </w:r>
      <w:r w:rsidR="00703A59">
        <w:rPr>
          <w:lang w:val="es-AR"/>
        </w:rPr>
        <w:t xml:space="preserve">con </w:t>
      </w:r>
      <w:r w:rsidRPr="000033F2">
        <w:rPr>
          <w:lang w:val="es-AR"/>
        </w:rPr>
        <w:t xml:space="preserve">preguntas </w:t>
      </w:r>
      <w:r w:rsidR="00703A59">
        <w:rPr>
          <w:lang w:val="es-AR"/>
        </w:rPr>
        <w:t xml:space="preserve">sobre </w:t>
      </w:r>
      <w:r w:rsidRPr="000033F2">
        <w:rPr>
          <w:lang w:val="es-AR"/>
        </w:rPr>
        <w:t>participación en los beneficios.</w:t>
      </w:r>
      <w:r w:rsidRPr="000033F2">
        <w:rPr>
          <w:rStyle w:val="FootnoteReference"/>
          <w:lang w:val="es-AR"/>
        </w:rPr>
        <w:footnoteReference w:id="85"/>
      </w:r>
      <w:r w:rsidRPr="000033F2">
        <w:rPr>
          <w:lang w:val="es-AR"/>
        </w:rPr>
        <w:t xml:space="preserve"> La conferencia convocaría cuatro períodos de sesiones de 10 días laborables cada uno, </w:t>
      </w:r>
      <w:r w:rsidR="00703A59">
        <w:rPr>
          <w:lang w:val="es-AR"/>
        </w:rPr>
        <w:t>y el primer</w:t>
      </w:r>
      <w:r w:rsidR="00A651A5">
        <w:rPr>
          <w:lang w:val="es-AR"/>
        </w:rPr>
        <w:t>o</w:t>
      </w:r>
      <w:r w:rsidR="00703A59">
        <w:rPr>
          <w:lang w:val="es-AR"/>
        </w:rPr>
        <w:t xml:space="preserve"> tendría lugar en </w:t>
      </w:r>
      <w:r w:rsidRPr="000033F2">
        <w:rPr>
          <w:lang w:val="es-AR"/>
        </w:rPr>
        <w:t xml:space="preserve">septiembre de 2018, </w:t>
      </w:r>
      <w:r w:rsidR="00703A59">
        <w:rPr>
          <w:lang w:val="es-AR"/>
        </w:rPr>
        <w:t>e</w:t>
      </w:r>
      <w:r w:rsidRPr="000033F2">
        <w:rPr>
          <w:lang w:val="es-AR"/>
        </w:rPr>
        <w:t>l segundo y el tercero en 2019, y el cuarto en la primera mitad de 2020.</w:t>
      </w:r>
    </w:p>
    <w:p w:rsidR="00FB79CA" w:rsidRPr="000033F2" w:rsidRDefault="00635DA0">
      <w:pPr>
        <w:pStyle w:val="Heading2"/>
        <w:numPr>
          <w:ilvl w:val="0"/>
          <w:numId w:val="14"/>
        </w:numPr>
        <w:rPr>
          <w:lang w:val="es-AR"/>
        </w:rPr>
      </w:pPr>
      <w:r w:rsidRPr="000033F2">
        <w:rPr>
          <w:lang w:val="es-AR"/>
        </w:rPr>
        <w:t>Organización Mundial de la Salud</w:t>
      </w:r>
    </w:p>
    <w:p w:rsidR="00FB79CA" w:rsidRPr="000033F2" w:rsidRDefault="00A976E4" w:rsidP="001C21DF">
      <w:pPr>
        <w:pStyle w:val="Para1"/>
        <w:tabs>
          <w:tab w:val="clear" w:pos="360"/>
          <w:tab w:val="num" w:pos="720"/>
        </w:tabs>
        <w:rPr>
          <w:lang w:val="es-AR"/>
        </w:rPr>
      </w:pPr>
      <w:r>
        <w:rPr>
          <w:lang w:val="es-AR"/>
        </w:rPr>
        <w:t>E</w:t>
      </w:r>
      <w:r w:rsidRPr="000033F2">
        <w:rPr>
          <w:lang w:val="es-AR"/>
        </w:rPr>
        <w:t>n 2011</w:t>
      </w:r>
      <w:r>
        <w:rPr>
          <w:lang w:val="es-AR"/>
        </w:rPr>
        <w:t xml:space="preserve"> la Asamblea Mundial de la Salud adopt</w:t>
      </w:r>
      <w:r w:rsidR="002B34CB">
        <w:rPr>
          <w:lang w:val="es-AR"/>
        </w:rPr>
        <w:t>ó</w:t>
      </w:r>
      <w:r>
        <w:rPr>
          <w:lang w:val="es-AR"/>
        </w:rPr>
        <w:t xml:space="preserve"> </w:t>
      </w:r>
      <w:r w:rsidR="00A651A5">
        <w:rPr>
          <w:lang w:val="es-AR"/>
        </w:rPr>
        <w:t>e</w:t>
      </w:r>
      <w:r w:rsidR="00635DA0" w:rsidRPr="000033F2">
        <w:rPr>
          <w:lang w:val="es-AR"/>
        </w:rPr>
        <w:t>l</w:t>
      </w:r>
      <w:r w:rsidR="00A651A5" w:rsidRPr="008C2374">
        <w:rPr>
          <w:lang w:val="es-AR"/>
        </w:rPr>
        <w:t xml:space="preserve"> </w:t>
      </w:r>
      <w:r w:rsidR="003F165B">
        <w:rPr>
          <w:lang w:val="es-AR"/>
        </w:rPr>
        <w:t>M</w:t>
      </w:r>
      <w:r w:rsidR="00635DA0" w:rsidRPr="008C2374">
        <w:rPr>
          <w:lang w:val="es-AR"/>
        </w:rPr>
        <w:t xml:space="preserve">arco pandémico de la preparación de la gripe para la distribución de los virus de gripe </w:t>
      </w:r>
      <w:r w:rsidR="00635DA0" w:rsidRPr="000033F2">
        <w:rPr>
          <w:lang w:val="es-AR"/>
        </w:rPr>
        <w:t>y tener acceso a vacunas y otr</w:t>
      </w:r>
      <w:r w:rsidR="00066EC9">
        <w:rPr>
          <w:lang w:val="es-AR"/>
        </w:rPr>
        <w:t>os beneficios</w:t>
      </w:r>
      <w:r w:rsidR="00635DA0" w:rsidRPr="000033F2">
        <w:rPr>
          <w:lang w:val="es-AR"/>
        </w:rPr>
        <w:t xml:space="preserve"> ("</w:t>
      </w:r>
      <w:r w:rsidR="003F165B">
        <w:rPr>
          <w:lang w:val="es-AR"/>
        </w:rPr>
        <w:t>M</w:t>
      </w:r>
      <w:r w:rsidR="00635DA0" w:rsidRPr="000033F2">
        <w:rPr>
          <w:lang w:val="es-AR"/>
        </w:rPr>
        <w:t>arco PIP"</w:t>
      </w:r>
      <w:r w:rsidR="008C2374">
        <w:rPr>
          <w:lang w:val="es-AR"/>
        </w:rPr>
        <w:t>, por su sigla en inglés</w:t>
      </w:r>
      <w:r w:rsidR="00635DA0" w:rsidRPr="000033F2">
        <w:rPr>
          <w:lang w:val="es-AR"/>
        </w:rPr>
        <w:t xml:space="preserve">).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La sección </w:t>
      </w:r>
      <w:r w:rsidR="000033F2" w:rsidRPr="000033F2">
        <w:rPr>
          <w:lang w:val="es-AR"/>
        </w:rPr>
        <w:t>7</w:t>
      </w:r>
      <w:r w:rsidR="00A976E4">
        <w:rPr>
          <w:lang w:val="es-AR"/>
        </w:rPr>
        <w:t>.</w:t>
      </w:r>
      <w:r w:rsidR="000033F2" w:rsidRPr="000033F2">
        <w:rPr>
          <w:lang w:val="es-AR"/>
        </w:rPr>
        <w:t>4</w:t>
      </w:r>
      <w:r w:rsidRPr="000033F2">
        <w:rPr>
          <w:lang w:val="es-AR"/>
        </w:rPr>
        <w:t xml:space="preserve"> </w:t>
      </w:r>
      <w:r w:rsidRPr="008C2374">
        <w:rPr>
          <w:lang w:val="es-AR"/>
        </w:rPr>
        <w:t xml:space="preserve">del </w:t>
      </w:r>
      <w:r w:rsidR="008C2374" w:rsidRPr="008C2374">
        <w:rPr>
          <w:lang w:val="es-AR"/>
        </w:rPr>
        <w:t>marco PIP</w:t>
      </w:r>
      <w:r w:rsidRPr="008C2374">
        <w:rPr>
          <w:lang w:val="es-AR"/>
        </w:rPr>
        <w:t xml:space="preserve"> </w:t>
      </w:r>
      <w:r w:rsidRPr="000033F2">
        <w:rPr>
          <w:lang w:val="es-AR"/>
        </w:rPr>
        <w:t xml:space="preserve">trata la supervisión y el examen del </w:t>
      </w:r>
      <w:r w:rsidR="00A976E4">
        <w:rPr>
          <w:lang w:val="es-AR"/>
        </w:rPr>
        <w:t>M</w:t>
      </w:r>
      <w:r w:rsidRPr="000033F2">
        <w:rPr>
          <w:lang w:val="es-AR"/>
        </w:rPr>
        <w:t xml:space="preserve">arco y, entre otras cosas, </w:t>
      </w:r>
      <w:r w:rsidR="00A976E4">
        <w:rPr>
          <w:lang w:val="es-AR"/>
        </w:rPr>
        <w:t xml:space="preserve">estipula </w:t>
      </w:r>
      <w:r w:rsidRPr="000033F2">
        <w:rPr>
          <w:lang w:val="es-AR"/>
        </w:rPr>
        <w:t xml:space="preserve">que el </w:t>
      </w:r>
      <w:r w:rsidR="00A976E4">
        <w:rPr>
          <w:lang w:val="es-AR"/>
        </w:rPr>
        <w:t>M</w:t>
      </w:r>
      <w:r w:rsidRPr="000033F2">
        <w:rPr>
          <w:lang w:val="es-AR"/>
        </w:rPr>
        <w:t>arco y sus anexos se</w:t>
      </w:r>
      <w:r w:rsidR="00A976E4">
        <w:rPr>
          <w:lang w:val="es-AR"/>
        </w:rPr>
        <w:t xml:space="preserve"> examinarán </w:t>
      </w:r>
      <w:r w:rsidRPr="000033F2">
        <w:rPr>
          <w:lang w:val="es-AR"/>
        </w:rPr>
        <w:t xml:space="preserve">en 2016 </w:t>
      </w:r>
      <w:r w:rsidR="00A976E4">
        <w:rPr>
          <w:lang w:val="es-AR"/>
        </w:rPr>
        <w:t>con el objeto</w:t>
      </w:r>
      <w:r w:rsidRPr="000033F2">
        <w:rPr>
          <w:lang w:val="es-AR"/>
        </w:rPr>
        <w:t xml:space="preserve"> de proponer revisiones que reflej</w:t>
      </w:r>
      <w:r w:rsidR="00A976E4">
        <w:rPr>
          <w:lang w:val="es-AR"/>
        </w:rPr>
        <w:t>e</w:t>
      </w:r>
      <w:r w:rsidRPr="000033F2">
        <w:rPr>
          <w:lang w:val="es-AR"/>
        </w:rPr>
        <w:t xml:space="preserve">n </w:t>
      </w:r>
      <w:r w:rsidR="00A976E4">
        <w:rPr>
          <w:lang w:val="es-AR"/>
        </w:rPr>
        <w:t xml:space="preserve">los </w:t>
      </w:r>
      <w:r w:rsidR="008C2374">
        <w:rPr>
          <w:lang w:val="es-AR"/>
        </w:rPr>
        <w:t>avances logrados</w:t>
      </w:r>
      <w:r w:rsidRPr="000033F2">
        <w:rPr>
          <w:lang w:val="es-AR"/>
        </w:rPr>
        <w:t xml:space="preserve">, </w:t>
      </w:r>
      <w:r w:rsidR="00A976E4">
        <w:rPr>
          <w:lang w:val="es-AR"/>
        </w:rPr>
        <w:t>según proceda</w:t>
      </w:r>
      <w:r w:rsidRPr="000033F2">
        <w:rPr>
          <w:lang w:val="es-AR"/>
        </w:rPr>
        <w:t xml:space="preserve">, a la </w:t>
      </w:r>
      <w:r w:rsidR="002B34CB">
        <w:rPr>
          <w:lang w:val="es-AR"/>
        </w:rPr>
        <w:t>Asamblea Mundial de la Salud</w:t>
      </w:r>
      <w:r w:rsidRPr="000033F2">
        <w:rPr>
          <w:lang w:val="es-AR"/>
        </w:rPr>
        <w:t xml:space="preserve"> en 2017 (</w:t>
      </w:r>
      <w:r w:rsidR="002B34CB">
        <w:rPr>
          <w:lang w:val="es-AR"/>
        </w:rPr>
        <w:t>S</w:t>
      </w:r>
      <w:r w:rsidRPr="000033F2">
        <w:rPr>
          <w:lang w:val="es-AR"/>
        </w:rPr>
        <w:t xml:space="preserve">ección </w:t>
      </w:r>
      <w:r w:rsidR="000033F2" w:rsidRPr="000033F2">
        <w:rPr>
          <w:lang w:val="es-AR"/>
        </w:rPr>
        <w:t>7</w:t>
      </w:r>
      <w:r w:rsidR="002B34CB">
        <w:rPr>
          <w:lang w:val="es-AR"/>
        </w:rPr>
        <w:t>.</w:t>
      </w:r>
      <w:r w:rsidR="000033F2" w:rsidRPr="000033F2">
        <w:rPr>
          <w:lang w:val="es-AR"/>
        </w:rPr>
        <w:t>4</w:t>
      </w:r>
      <w:r w:rsidRPr="000033F2">
        <w:rPr>
          <w:lang w:val="es-AR"/>
        </w:rPr>
        <w:t xml:space="preserve">.2). </w:t>
      </w:r>
      <w:r w:rsidR="008C2374">
        <w:rPr>
          <w:lang w:val="es-AR"/>
        </w:rPr>
        <w:t>P</w:t>
      </w:r>
      <w:r w:rsidR="008C2374" w:rsidRPr="000033F2">
        <w:rPr>
          <w:lang w:val="es-AR"/>
        </w:rPr>
        <w:t>ara realizar este</w:t>
      </w:r>
      <w:r w:rsidR="008C2374">
        <w:rPr>
          <w:lang w:val="es-AR"/>
        </w:rPr>
        <w:t xml:space="preserve"> trabajo se </w:t>
      </w:r>
      <w:r w:rsidR="002B34CB">
        <w:rPr>
          <w:lang w:val="es-AR"/>
        </w:rPr>
        <w:t>creó u</w:t>
      </w:r>
      <w:r w:rsidRPr="000033F2">
        <w:rPr>
          <w:lang w:val="es-AR"/>
        </w:rPr>
        <w:t xml:space="preserve">n grupo de examen y </w:t>
      </w:r>
      <w:r w:rsidR="002B34CB">
        <w:rPr>
          <w:lang w:val="es-AR"/>
        </w:rPr>
        <w:t xml:space="preserve">éste </w:t>
      </w:r>
      <w:r w:rsidRPr="000033F2">
        <w:rPr>
          <w:lang w:val="es-AR"/>
        </w:rPr>
        <w:t xml:space="preserve">presentó su informe final al </w:t>
      </w:r>
      <w:r w:rsidR="002B34CB">
        <w:rPr>
          <w:lang w:val="es-AR"/>
        </w:rPr>
        <w:t>D</w:t>
      </w:r>
      <w:r w:rsidRPr="000033F2">
        <w:rPr>
          <w:lang w:val="es-AR"/>
        </w:rPr>
        <w:t xml:space="preserve">irector </w:t>
      </w:r>
      <w:r w:rsidR="002B34CB">
        <w:rPr>
          <w:lang w:val="es-AR"/>
        </w:rPr>
        <w:t>G</w:t>
      </w:r>
      <w:r w:rsidRPr="000033F2">
        <w:rPr>
          <w:lang w:val="es-AR"/>
        </w:rPr>
        <w:t>eneral de</w:t>
      </w:r>
      <w:r w:rsidR="002B34CB">
        <w:rPr>
          <w:lang w:val="es-AR"/>
        </w:rPr>
        <w:t xml:space="preserve"> </w:t>
      </w:r>
      <w:r w:rsidRPr="000033F2">
        <w:rPr>
          <w:lang w:val="es-AR"/>
        </w:rPr>
        <w:t>l</w:t>
      </w:r>
      <w:r w:rsidR="002B34CB">
        <w:rPr>
          <w:lang w:val="es-AR"/>
        </w:rPr>
        <w:t xml:space="preserve">a OMS </w:t>
      </w:r>
      <w:r w:rsidRPr="000033F2">
        <w:rPr>
          <w:lang w:val="es-AR"/>
        </w:rPr>
        <w:t>en octubre de 2016 para consideración de</w:t>
      </w:r>
      <w:r w:rsidR="008C2374">
        <w:rPr>
          <w:lang w:val="es-AR"/>
        </w:rPr>
        <w:t>l</w:t>
      </w:r>
      <w:r w:rsidRPr="000033F2">
        <w:rPr>
          <w:lang w:val="es-AR"/>
        </w:rPr>
        <w:t xml:space="preserve"> 140</w:t>
      </w:r>
      <w:r w:rsidRPr="002B34CB">
        <w:rPr>
          <w:vertAlign w:val="superscript"/>
          <w:lang w:val="es-AR"/>
        </w:rPr>
        <w:t>o</w:t>
      </w:r>
      <w:r w:rsidR="008C2374">
        <w:rPr>
          <w:vertAlign w:val="superscript"/>
          <w:lang w:val="es-AR"/>
        </w:rPr>
        <w:t xml:space="preserve"> </w:t>
      </w:r>
      <w:r w:rsidR="008C2374">
        <w:rPr>
          <w:lang w:val="es-AR"/>
        </w:rPr>
        <w:t xml:space="preserve">período de sesiones de la Junta Ejecutiva </w:t>
      </w:r>
      <w:r w:rsidRPr="000033F2">
        <w:rPr>
          <w:lang w:val="es-AR"/>
        </w:rPr>
        <w:t>de</w:t>
      </w:r>
      <w:r w:rsidR="002B34CB">
        <w:rPr>
          <w:lang w:val="es-AR"/>
        </w:rPr>
        <w:t xml:space="preserve"> </w:t>
      </w:r>
      <w:r w:rsidRPr="000033F2">
        <w:rPr>
          <w:lang w:val="es-AR"/>
        </w:rPr>
        <w:t>l</w:t>
      </w:r>
      <w:r w:rsidR="002B34CB">
        <w:rPr>
          <w:lang w:val="es-AR"/>
        </w:rPr>
        <w:t xml:space="preserve">a OMS </w:t>
      </w:r>
      <w:r w:rsidRPr="000033F2">
        <w:rPr>
          <w:lang w:val="es-AR"/>
        </w:rPr>
        <w:t xml:space="preserve">y la </w:t>
      </w:r>
      <w:r w:rsidR="002B34CB">
        <w:rPr>
          <w:lang w:val="es-AR"/>
        </w:rPr>
        <w:t>S</w:t>
      </w:r>
      <w:r w:rsidRPr="000033F2">
        <w:rPr>
          <w:lang w:val="es-AR"/>
        </w:rPr>
        <w:t xml:space="preserve">eptuagésima </w:t>
      </w:r>
      <w:r w:rsidR="002B34CB">
        <w:rPr>
          <w:lang w:val="es-AR"/>
        </w:rPr>
        <w:t>Asamblea Mundial de la Salud</w:t>
      </w:r>
      <w:r w:rsidRPr="000033F2">
        <w:rPr>
          <w:lang w:val="es-AR"/>
        </w:rPr>
        <w:t xml:space="preserve"> (celebrada en mayo de 2017).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Entre otras cosas, el examen del </w:t>
      </w:r>
      <w:r w:rsidR="008C2374">
        <w:rPr>
          <w:lang w:val="es-AR"/>
        </w:rPr>
        <w:t xml:space="preserve">Marco PIP </w:t>
      </w:r>
      <w:r w:rsidRPr="000033F2">
        <w:rPr>
          <w:lang w:val="es-AR"/>
        </w:rPr>
        <w:t>abord</w:t>
      </w:r>
      <w:r w:rsidR="002B34CB">
        <w:rPr>
          <w:lang w:val="es-AR"/>
        </w:rPr>
        <w:t xml:space="preserve">ó las cuestiones </w:t>
      </w:r>
      <w:r w:rsidR="008C2374">
        <w:rPr>
          <w:lang w:val="es-AR"/>
        </w:rPr>
        <w:t>relativas a la expansión d</w:t>
      </w:r>
      <w:r w:rsidR="002B34CB">
        <w:rPr>
          <w:lang w:val="es-AR"/>
        </w:rPr>
        <w:t>el M</w:t>
      </w:r>
      <w:r w:rsidRPr="000033F2">
        <w:rPr>
          <w:lang w:val="es-AR"/>
        </w:rPr>
        <w:t xml:space="preserve">arco </w:t>
      </w:r>
      <w:r w:rsidR="008C2374">
        <w:rPr>
          <w:lang w:val="es-AR"/>
        </w:rPr>
        <w:t xml:space="preserve">PIP </w:t>
      </w:r>
      <w:r w:rsidRPr="000033F2">
        <w:rPr>
          <w:lang w:val="es-AR"/>
        </w:rPr>
        <w:t xml:space="preserve">a la gripe estacional y a los datos </w:t>
      </w:r>
      <w:r w:rsidR="008C2374">
        <w:rPr>
          <w:lang w:val="es-AR"/>
        </w:rPr>
        <w:t>sobre secuencia genética</w:t>
      </w:r>
      <w:r w:rsidRPr="000033F2">
        <w:rPr>
          <w:lang w:val="es-AR"/>
        </w:rPr>
        <w:t xml:space="preserve">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Después del informe, la </w:t>
      </w:r>
      <w:r w:rsidR="002B34CB">
        <w:rPr>
          <w:lang w:val="es-AR"/>
        </w:rPr>
        <w:t>S</w:t>
      </w:r>
      <w:r w:rsidRPr="000033F2">
        <w:rPr>
          <w:lang w:val="es-AR"/>
        </w:rPr>
        <w:t xml:space="preserve">eptuagésima </w:t>
      </w:r>
      <w:r w:rsidR="002B34CB">
        <w:rPr>
          <w:lang w:val="es-AR"/>
        </w:rPr>
        <w:t>Asamblea Mundial de la Salud</w:t>
      </w:r>
      <w:r w:rsidRPr="000033F2">
        <w:rPr>
          <w:lang w:val="es-AR"/>
        </w:rPr>
        <w:t xml:space="preserve"> adoptó l</w:t>
      </w:r>
      <w:r w:rsidR="002B34CB">
        <w:rPr>
          <w:lang w:val="es-AR"/>
        </w:rPr>
        <w:t>a decisión</w:t>
      </w:r>
      <w:r w:rsidRPr="000033F2">
        <w:rPr>
          <w:lang w:val="es-AR"/>
        </w:rPr>
        <w:t xml:space="preserve"> WHA 70</w:t>
      </w:r>
      <w:r w:rsidR="002B34CB">
        <w:rPr>
          <w:lang w:val="es-AR"/>
        </w:rPr>
        <w:t xml:space="preserve"> </w:t>
      </w:r>
      <w:r w:rsidRPr="000033F2">
        <w:rPr>
          <w:lang w:val="es-AR"/>
        </w:rPr>
        <w:t xml:space="preserve">10). La decisión incluyó una petición al </w:t>
      </w:r>
      <w:r w:rsidR="002B34CB">
        <w:rPr>
          <w:lang w:val="es-AR"/>
        </w:rPr>
        <w:t>D</w:t>
      </w:r>
      <w:r w:rsidRPr="000033F2">
        <w:rPr>
          <w:lang w:val="es-AR"/>
        </w:rPr>
        <w:t xml:space="preserve">irector </w:t>
      </w:r>
      <w:r w:rsidR="002B34CB">
        <w:rPr>
          <w:lang w:val="es-AR"/>
        </w:rPr>
        <w:t>G</w:t>
      </w:r>
      <w:r w:rsidRPr="000033F2">
        <w:rPr>
          <w:lang w:val="es-AR"/>
        </w:rPr>
        <w:t xml:space="preserve">eneral, con respecto a las recomendaciones del </w:t>
      </w:r>
      <w:r w:rsidR="002B34CB">
        <w:rPr>
          <w:lang w:val="es-AR"/>
        </w:rPr>
        <w:t>G</w:t>
      </w:r>
      <w:r w:rsidRPr="000033F2">
        <w:rPr>
          <w:lang w:val="es-AR"/>
        </w:rPr>
        <w:t xml:space="preserve">rupo de examen referentes </w:t>
      </w:r>
      <w:r w:rsidR="002B34CB">
        <w:rPr>
          <w:lang w:val="es-AR"/>
        </w:rPr>
        <w:t xml:space="preserve">a la </w:t>
      </w:r>
      <w:r w:rsidRPr="000033F2">
        <w:rPr>
          <w:lang w:val="es-AR"/>
        </w:rPr>
        <w:t xml:space="preserve">gripe estacional y a datos </w:t>
      </w:r>
      <w:r w:rsidR="008C2374">
        <w:rPr>
          <w:lang w:val="es-AR"/>
        </w:rPr>
        <w:t>sobre secuencia genética</w:t>
      </w:r>
      <w:r w:rsidRPr="000033F2">
        <w:rPr>
          <w:lang w:val="es-AR"/>
        </w:rPr>
        <w:t xml:space="preserve">, </w:t>
      </w:r>
      <w:r w:rsidR="008C2374">
        <w:rPr>
          <w:lang w:val="es-AR"/>
        </w:rPr>
        <w:t>para</w:t>
      </w:r>
      <w:r w:rsidRPr="000033F2">
        <w:rPr>
          <w:lang w:val="es-AR"/>
        </w:rPr>
        <w:t xml:space="preserve"> efec</w:t>
      </w:r>
      <w:r w:rsidR="008C2374">
        <w:rPr>
          <w:lang w:val="es-AR"/>
        </w:rPr>
        <w:t>t</w:t>
      </w:r>
      <w:r w:rsidRPr="000033F2">
        <w:rPr>
          <w:lang w:val="es-AR"/>
        </w:rPr>
        <w:t>uar un análisis completo y delibera</w:t>
      </w:r>
      <w:r w:rsidR="002B34CB">
        <w:rPr>
          <w:lang w:val="es-AR"/>
        </w:rPr>
        <w:t xml:space="preserve">nte </w:t>
      </w:r>
      <w:r w:rsidRPr="000033F2">
        <w:rPr>
          <w:lang w:val="es-AR"/>
        </w:rPr>
        <w:t xml:space="preserve">de las cuestiones planteadas, </w:t>
      </w:r>
      <w:r w:rsidR="000033F2">
        <w:rPr>
          <w:lang w:val="es-AR"/>
        </w:rPr>
        <w:t>inclusive</w:t>
      </w:r>
      <w:r w:rsidRPr="000033F2">
        <w:rPr>
          <w:lang w:val="es-AR"/>
        </w:rPr>
        <w:t xml:space="preserve"> las </w:t>
      </w:r>
      <w:r w:rsidR="008C2374">
        <w:rPr>
          <w:lang w:val="es-AR"/>
        </w:rPr>
        <w:t xml:space="preserve">consecuencias </w:t>
      </w:r>
      <w:r w:rsidRPr="000033F2">
        <w:rPr>
          <w:lang w:val="es-AR"/>
        </w:rPr>
        <w:t xml:space="preserve">de aplicar o no aplicar los posibles </w:t>
      </w:r>
      <w:r w:rsidR="002B34CB" w:rsidRPr="000033F2">
        <w:rPr>
          <w:lang w:val="es-AR"/>
        </w:rPr>
        <w:t xml:space="preserve">enfoques </w:t>
      </w:r>
      <w:r w:rsidRPr="000033F2">
        <w:rPr>
          <w:lang w:val="es-AR"/>
        </w:rPr>
        <w:t>(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 8 b)). La </w:t>
      </w:r>
      <w:r w:rsidR="002B34CB">
        <w:rPr>
          <w:lang w:val="es-AR"/>
        </w:rPr>
        <w:t>Asamblea Mundial de la Salud</w:t>
      </w:r>
      <w:r w:rsidRPr="000033F2">
        <w:rPr>
          <w:lang w:val="es-AR"/>
        </w:rPr>
        <w:t xml:space="preserve"> también solicitó al </w:t>
      </w:r>
      <w:r w:rsidR="002B34CB">
        <w:rPr>
          <w:lang w:val="es-AR"/>
        </w:rPr>
        <w:t>Director General</w:t>
      </w:r>
      <w:r w:rsidRPr="000033F2">
        <w:rPr>
          <w:lang w:val="es-AR"/>
        </w:rPr>
        <w:t xml:space="preserve"> </w:t>
      </w:r>
      <w:r w:rsidR="002B34CB">
        <w:rPr>
          <w:lang w:val="es-AR"/>
        </w:rPr>
        <w:t xml:space="preserve">que siguiera </w:t>
      </w:r>
      <w:r w:rsidRPr="000033F2">
        <w:rPr>
          <w:lang w:val="es-AR"/>
        </w:rPr>
        <w:t>consulta</w:t>
      </w:r>
      <w:r w:rsidR="002B34CB">
        <w:rPr>
          <w:lang w:val="es-AR"/>
        </w:rPr>
        <w:t xml:space="preserve">ndo a </w:t>
      </w:r>
      <w:r w:rsidRPr="000033F2">
        <w:rPr>
          <w:lang w:val="es-AR"/>
        </w:rPr>
        <w:t xml:space="preserve">la </w:t>
      </w:r>
      <w:r w:rsidR="002B34CB">
        <w:rPr>
          <w:lang w:val="es-AR"/>
        </w:rPr>
        <w:t>S</w:t>
      </w:r>
      <w:r w:rsidRPr="000033F2">
        <w:rPr>
          <w:lang w:val="es-AR"/>
        </w:rPr>
        <w:t>ecretaría del Convenio sobre la Diversidad Biológica (</w:t>
      </w:r>
      <w:r w:rsidR="0008032E">
        <w:rPr>
          <w:lang w:val="es-AR"/>
        </w:rPr>
        <w:t>apartado</w:t>
      </w:r>
      <w:r w:rsidRPr="000033F2">
        <w:rPr>
          <w:lang w:val="es-AR"/>
        </w:rPr>
        <w:t xml:space="preserve"> 8 f)).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Para ejecutar la petición en </w:t>
      </w:r>
      <w:r w:rsidR="00096D97">
        <w:rPr>
          <w:lang w:val="es-AR"/>
        </w:rPr>
        <w:t>apartado</w:t>
      </w:r>
      <w:r w:rsidRPr="000033F2">
        <w:rPr>
          <w:lang w:val="es-AR"/>
        </w:rPr>
        <w:t xml:space="preserve"> 8 b), el </w:t>
      </w:r>
      <w:r w:rsidR="002B34CB">
        <w:rPr>
          <w:lang w:val="es-AR"/>
        </w:rPr>
        <w:t>Director General</w:t>
      </w:r>
      <w:r w:rsidRPr="000033F2">
        <w:rPr>
          <w:lang w:val="es-AR"/>
        </w:rPr>
        <w:t xml:space="preserve"> </w:t>
      </w:r>
      <w:r w:rsidR="002B34CB">
        <w:rPr>
          <w:lang w:val="es-AR"/>
        </w:rPr>
        <w:t xml:space="preserve">inició </w:t>
      </w:r>
      <w:r w:rsidRPr="000033F2">
        <w:rPr>
          <w:lang w:val="es-AR"/>
        </w:rPr>
        <w:t xml:space="preserve">un análisis </w:t>
      </w:r>
      <w:r w:rsidR="00EA62AC">
        <w:rPr>
          <w:lang w:val="es-AR"/>
        </w:rPr>
        <w:t xml:space="preserve">destinado a </w:t>
      </w:r>
      <w:r w:rsidRPr="000033F2">
        <w:rPr>
          <w:lang w:val="es-AR"/>
        </w:rPr>
        <w:t>aborda</w:t>
      </w:r>
      <w:r w:rsidR="002B34CB">
        <w:rPr>
          <w:lang w:val="es-AR"/>
        </w:rPr>
        <w:t>r</w:t>
      </w:r>
      <w:r w:rsidRPr="000033F2">
        <w:rPr>
          <w:lang w:val="es-AR"/>
        </w:rPr>
        <w:t xml:space="preserve"> las </w:t>
      </w:r>
      <w:r w:rsidR="00EA62AC">
        <w:rPr>
          <w:lang w:val="es-AR"/>
        </w:rPr>
        <w:t xml:space="preserve">consecuencias </w:t>
      </w:r>
      <w:r w:rsidRPr="000033F2">
        <w:rPr>
          <w:lang w:val="es-AR"/>
        </w:rPr>
        <w:t xml:space="preserve">de aplicar o no aplicar los enfoques posibles </w:t>
      </w:r>
      <w:r w:rsidR="002B34CB">
        <w:rPr>
          <w:lang w:val="es-AR"/>
        </w:rPr>
        <w:t>par</w:t>
      </w:r>
      <w:r w:rsidRPr="000033F2">
        <w:rPr>
          <w:lang w:val="es-AR"/>
        </w:rPr>
        <w:t>a: a) inclu</w:t>
      </w:r>
      <w:r w:rsidR="002B34CB">
        <w:rPr>
          <w:lang w:val="es-AR"/>
        </w:rPr>
        <w:t>ir</w:t>
      </w:r>
      <w:r w:rsidRPr="000033F2">
        <w:rPr>
          <w:lang w:val="es-AR"/>
        </w:rPr>
        <w:t xml:space="preserve"> virus de gripe estacionales en el </w:t>
      </w:r>
      <w:r w:rsidR="003F165B">
        <w:rPr>
          <w:lang w:val="es-AR"/>
        </w:rPr>
        <w:t>M</w:t>
      </w:r>
      <w:r w:rsidR="008C2374">
        <w:rPr>
          <w:lang w:val="es-AR"/>
        </w:rPr>
        <w:t>arco PIP</w:t>
      </w:r>
      <w:r w:rsidRPr="000033F2">
        <w:rPr>
          <w:lang w:val="es-AR"/>
        </w:rPr>
        <w:t xml:space="preserve">; y b) datos </w:t>
      </w:r>
      <w:r w:rsidR="008C2374" w:rsidRPr="00EA62AC">
        <w:rPr>
          <w:lang w:val="es-AR"/>
        </w:rPr>
        <w:t>sobre secuencia g</w:t>
      </w:r>
      <w:r w:rsidR="00EA62AC">
        <w:rPr>
          <w:lang w:val="es-AR"/>
        </w:rPr>
        <w:t>e</w:t>
      </w:r>
      <w:r w:rsidR="008C2374" w:rsidRPr="00EA62AC">
        <w:rPr>
          <w:lang w:val="es-AR"/>
        </w:rPr>
        <w:t>nética</w:t>
      </w:r>
      <w:r w:rsidRPr="00EA62AC">
        <w:rPr>
          <w:lang w:val="es-AR"/>
        </w:rPr>
        <w:t xml:space="preserve"> </w:t>
      </w:r>
      <w:r w:rsidRPr="000033F2">
        <w:rPr>
          <w:lang w:val="es-AR"/>
        </w:rPr>
        <w:t xml:space="preserve">bajo </w:t>
      </w:r>
      <w:r w:rsidR="00151AE3">
        <w:rPr>
          <w:lang w:val="es-AR"/>
        </w:rPr>
        <w:t xml:space="preserve">el </w:t>
      </w:r>
      <w:r w:rsidR="003F165B">
        <w:rPr>
          <w:lang w:val="es-AR"/>
        </w:rPr>
        <w:t>M</w:t>
      </w:r>
      <w:r w:rsidR="008C2374">
        <w:rPr>
          <w:lang w:val="es-AR"/>
        </w:rPr>
        <w:t>arco PIP</w:t>
      </w:r>
      <w:r w:rsidRPr="000033F2">
        <w:rPr>
          <w:lang w:val="es-AR"/>
        </w:rPr>
        <w:t>. El</w:t>
      </w:r>
      <w:r w:rsidR="00770133">
        <w:rPr>
          <w:lang w:val="es-AR"/>
        </w:rPr>
        <w:t xml:space="preserve"> trabajo </w:t>
      </w:r>
      <w:r w:rsidRPr="000033F2">
        <w:rPr>
          <w:lang w:val="es-AR"/>
        </w:rPr>
        <w:t>sobre el análisis está en marcha y se programa provisional</w:t>
      </w:r>
      <w:r w:rsidR="00151AE3">
        <w:rPr>
          <w:lang w:val="es-AR"/>
        </w:rPr>
        <w:t>mente</w:t>
      </w:r>
      <w:r w:rsidRPr="000033F2">
        <w:rPr>
          <w:lang w:val="es-AR"/>
        </w:rPr>
        <w:t xml:space="preserve"> </w:t>
      </w:r>
      <w:r w:rsidR="00EA62AC" w:rsidRPr="000033F2">
        <w:rPr>
          <w:lang w:val="es-AR"/>
        </w:rPr>
        <w:t xml:space="preserve">un proyecto </w:t>
      </w:r>
      <w:r w:rsidRPr="000033F2">
        <w:rPr>
          <w:lang w:val="es-AR"/>
        </w:rPr>
        <w:t xml:space="preserve">para </w:t>
      </w:r>
      <w:r w:rsidR="00151AE3">
        <w:rPr>
          <w:lang w:val="es-AR"/>
        </w:rPr>
        <w:t xml:space="preserve">darse a conocer en </w:t>
      </w:r>
      <w:r w:rsidRPr="000033F2">
        <w:rPr>
          <w:lang w:val="es-AR"/>
        </w:rPr>
        <w:t>septiembre/octubre de 2018.</w:t>
      </w:r>
      <w:r w:rsidRPr="000033F2">
        <w:rPr>
          <w:rStyle w:val="FootnoteReference"/>
          <w:lang w:val="es-AR"/>
        </w:rPr>
        <w:footnoteReference w:id="86"/>
      </w:r>
      <w:r w:rsidRPr="000033F2">
        <w:rPr>
          <w:lang w:val="es-AR"/>
        </w:rPr>
        <w:t xml:space="preserve">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Además, el </w:t>
      </w:r>
      <w:r w:rsidR="002B34CB">
        <w:rPr>
          <w:lang w:val="es-AR"/>
        </w:rPr>
        <w:t>Director General</w:t>
      </w:r>
      <w:r w:rsidRPr="000033F2">
        <w:rPr>
          <w:lang w:val="es-AR"/>
        </w:rPr>
        <w:t xml:space="preserve"> prepar</w:t>
      </w:r>
      <w:r w:rsidR="00151AE3">
        <w:rPr>
          <w:lang w:val="es-AR"/>
        </w:rPr>
        <w:t>ó</w:t>
      </w:r>
      <w:r w:rsidRPr="000033F2">
        <w:rPr>
          <w:lang w:val="es-AR"/>
        </w:rPr>
        <w:t xml:space="preserve"> un informe sobre </w:t>
      </w:r>
      <w:r w:rsidR="00151AE3">
        <w:rPr>
          <w:lang w:val="es-AR"/>
        </w:rPr>
        <w:t xml:space="preserve">el progreso realizado </w:t>
      </w:r>
      <w:r w:rsidRPr="000033F2">
        <w:rPr>
          <w:lang w:val="es-AR"/>
        </w:rPr>
        <w:t>en la ejecución de</w:t>
      </w:r>
      <w:r w:rsidR="00151AE3">
        <w:rPr>
          <w:lang w:val="es-AR"/>
        </w:rPr>
        <w:t xml:space="preserve"> </w:t>
      </w:r>
      <w:r w:rsidRPr="000033F2">
        <w:rPr>
          <w:lang w:val="es-AR"/>
        </w:rPr>
        <w:t>l</w:t>
      </w:r>
      <w:r w:rsidR="00151AE3">
        <w:rPr>
          <w:lang w:val="es-AR"/>
        </w:rPr>
        <w:t>a</w:t>
      </w:r>
      <w:r w:rsidRPr="000033F2">
        <w:rPr>
          <w:lang w:val="es-AR"/>
        </w:rPr>
        <w:t xml:space="preserve"> decisión </w:t>
      </w:r>
      <w:r w:rsidR="00151AE3">
        <w:rPr>
          <w:lang w:val="es-AR"/>
        </w:rPr>
        <w:t>WHA</w:t>
      </w:r>
      <w:r w:rsidRPr="000033F2">
        <w:rPr>
          <w:lang w:val="es-AR"/>
        </w:rPr>
        <w:t>70</w:t>
      </w:r>
      <w:r w:rsidR="00151AE3">
        <w:rPr>
          <w:lang w:val="es-AR"/>
        </w:rPr>
        <w:t xml:space="preserve"> </w:t>
      </w:r>
      <w:r w:rsidRPr="000033F2">
        <w:rPr>
          <w:lang w:val="es-AR"/>
        </w:rPr>
        <w:t xml:space="preserve">10) que la </w:t>
      </w:r>
      <w:r w:rsidR="00151AE3">
        <w:rPr>
          <w:lang w:val="es-AR"/>
        </w:rPr>
        <w:t xml:space="preserve">Septuagésima primera </w:t>
      </w:r>
      <w:r w:rsidR="002B34CB">
        <w:rPr>
          <w:lang w:val="es-AR"/>
        </w:rPr>
        <w:t>Asamblea Mundial de la Salud</w:t>
      </w:r>
      <w:r w:rsidRPr="000033F2">
        <w:rPr>
          <w:lang w:val="es-AR"/>
        </w:rPr>
        <w:t xml:space="preserve"> </w:t>
      </w:r>
      <w:r w:rsidR="00151AE3">
        <w:rPr>
          <w:lang w:val="es-AR"/>
        </w:rPr>
        <w:t xml:space="preserve">tomará en consideración </w:t>
      </w:r>
      <w:r w:rsidRPr="000033F2">
        <w:rPr>
          <w:lang w:val="es-AR"/>
        </w:rPr>
        <w:t>(celebrada del 21 al 26 de mayo de 2018).</w:t>
      </w:r>
      <w:r w:rsidRPr="000033F2">
        <w:rPr>
          <w:rStyle w:val="FootnoteReference"/>
          <w:lang w:val="es-AR"/>
        </w:rPr>
        <w:footnoteReference w:id="87"/>
      </w:r>
    </w:p>
    <w:p w:rsidR="00FB79CA" w:rsidRPr="003F165B" w:rsidRDefault="00635DA0" w:rsidP="003F165B">
      <w:pPr>
        <w:pStyle w:val="Heading1"/>
        <w:numPr>
          <w:ilvl w:val="0"/>
          <w:numId w:val="6"/>
        </w:numPr>
        <w:tabs>
          <w:tab w:val="clear" w:pos="720"/>
        </w:tabs>
        <w:ind w:left="540" w:hanging="360"/>
        <w:rPr>
          <w:lang w:val="es-AR"/>
        </w:rPr>
      </w:pPr>
      <w:r w:rsidRPr="003F165B">
        <w:rPr>
          <w:lang w:val="es-AR"/>
        </w:rPr>
        <w:lastRenderedPageBreak/>
        <w:t xml:space="preserve">opiniones </w:t>
      </w:r>
      <w:r w:rsidR="00151AE3" w:rsidRPr="003F165B">
        <w:rPr>
          <w:lang w:val="es-AR"/>
        </w:rPr>
        <w:t xml:space="preserve">SOBRE </w:t>
      </w:r>
      <w:r w:rsidRPr="003F165B">
        <w:rPr>
          <w:lang w:val="es-AR"/>
        </w:rPr>
        <w:t xml:space="preserve">el camino </w:t>
      </w:r>
      <w:r w:rsidR="00151AE3" w:rsidRPr="003F165B">
        <w:rPr>
          <w:lang w:val="es-AR"/>
        </w:rPr>
        <w:t xml:space="preserve">A SEGUIR </w:t>
      </w:r>
      <w:r w:rsidRPr="003F165B">
        <w:rPr>
          <w:lang w:val="es-AR"/>
        </w:rPr>
        <w:t>en relación</w:t>
      </w:r>
      <w:r w:rsidR="003F165B" w:rsidRPr="003F165B">
        <w:rPr>
          <w:lang w:val="es-AR"/>
        </w:rPr>
        <w:t xml:space="preserve"> </w:t>
      </w:r>
      <w:r w:rsidRPr="003F165B">
        <w:rPr>
          <w:lang w:val="es-AR"/>
        </w:rPr>
        <w:t xml:space="preserve">con el </w:t>
      </w:r>
      <w:r w:rsidR="000033F2" w:rsidRPr="003F165B">
        <w:rPr>
          <w:lang w:val="es-AR"/>
        </w:rPr>
        <w:t>Artículo</w:t>
      </w:r>
      <w:r w:rsidRPr="003F165B">
        <w:rPr>
          <w:lang w:val="es-AR"/>
        </w:rPr>
        <w:t xml:space="preserve"> </w:t>
      </w:r>
      <w:r w:rsidR="003F165B">
        <w:rPr>
          <w:lang w:val="es-AR"/>
        </w:rPr>
        <w:t>10</w:t>
      </w:r>
    </w:p>
    <w:p w:rsidR="00FB79CA" w:rsidRPr="000033F2" w:rsidRDefault="00151AE3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>E</w:t>
      </w:r>
      <w:r w:rsidRPr="000033F2">
        <w:rPr>
          <w:lang w:val="es-AR"/>
        </w:rPr>
        <w:t xml:space="preserve">n las presentaciones </w:t>
      </w:r>
      <w:r>
        <w:rPr>
          <w:lang w:val="es-AR"/>
        </w:rPr>
        <w:t>se hicieron d</w:t>
      </w:r>
      <w:r w:rsidR="00635DA0" w:rsidRPr="000033F2">
        <w:rPr>
          <w:lang w:val="es-AR"/>
        </w:rPr>
        <w:t xml:space="preserve">iversas sugerencias </w:t>
      </w:r>
      <w:r>
        <w:rPr>
          <w:lang w:val="es-AR"/>
        </w:rPr>
        <w:t>sobre el camino a seguir</w:t>
      </w:r>
      <w:r w:rsidR="00635DA0" w:rsidRPr="000033F2">
        <w:rPr>
          <w:lang w:val="es-AR"/>
        </w:rPr>
        <w:t xml:space="preserve"> en relación con el </w:t>
      </w:r>
      <w:r w:rsidR="000033F2">
        <w:rPr>
          <w:lang w:val="es-AR"/>
        </w:rPr>
        <w:t>Artículo</w:t>
      </w:r>
      <w:r w:rsidR="00635DA0" w:rsidRPr="000033F2">
        <w:rPr>
          <w:lang w:val="es-AR"/>
        </w:rPr>
        <w:t xml:space="preserve"> 10. La compilación completa de </w:t>
      </w:r>
      <w:r>
        <w:rPr>
          <w:lang w:val="es-AR"/>
        </w:rPr>
        <w:t xml:space="preserve">las </w:t>
      </w:r>
      <w:r w:rsidR="00635DA0" w:rsidRPr="000033F2">
        <w:rPr>
          <w:lang w:val="es-AR"/>
        </w:rPr>
        <w:t xml:space="preserve">opiniones </w:t>
      </w:r>
      <w:r>
        <w:rPr>
          <w:lang w:val="es-AR"/>
        </w:rPr>
        <w:t xml:space="preserve">puede consultarse </w:t>
      </w:r>
      <w:r w:rsidR="00635DA0" w:rsidRPr="000033F2">
        <w:rPr>
          <w:lang w:val="es-AR"/>
        </w:rPr>
        <w:t>en línea</w:t>
      </w:r>
      <w:r w:rsidR="00635DA0" w:rsidRPr="000033F2">
        <w:rPr>
          <w:rStyle w:val="FootnoteReference"/>
          <w:lang w:val="es-AR"/>
        </w:rPr>
        <w:footnoteReference w:id="88"/>
      </w:r>
      <w:r w:rsidR="00635DA0" w:rsidRPr="000033F2">
        <w:rPr>
          <w:lang w:val="es-AR"/>
        </w:rPr>
        <w:t xml:space="preserve"> y las cuestiones principales se resumen </w:t>
      </w:r>
      <w:r w:rsidR="00D76E6B">
        <w:rPr>
          <w:lang w:val="es-AR"/>
        </w:rPr>
        <w:t>a continuación</w:t>
      </w:r>
      <w:r w:rsidR="00635DA0" w:rsidRPr="000033F2">
        <w:rPr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Algunas presentaciones</w:t>
      </w:r>
      <w:r w:rsidRPr="000033F2">
        <w:rPr>
          <w:rStyle w:val="FootnoteReference"/>
          <w:lang w:val="es-AR"/>
        </w:rPr>
        <w:footnoteReference w:id="89"/>
      </w:r>
      <w:r w:rsidRPr="000033F2">
        <w:rPr>
          <w:lang w:val="es-AR"/>
        </w:rPr>
        <w:t xml:space="preserve"> sugirieron que </w:t>
      </w:r>
      <w:r w:rsidR="00151AE3">
        <w:rPr>
          <w:lang w:val="es-AR"/>
        </w:rPr>
        <w:t xml:space="preserve">la ocurrencia </w:t>
      </w:r>
      <w:r w:rsidRPr="000033F2">
        <w:rPr>
          <w:lang w:val="es-AR"/>
        </w:rPr>
        <w:t>de recursos genéticos y conocimientos tradicionales asociados en situaciones transfronterizas - es decir en el territorio de dos o más países - no apoyar</w:t>
      </w:r>
      <w:r w:rsidR="00151AE3">
        <w:rPr>
          <w:lang w:val="es-AR"/>
        </w:rPr>
        <w:t>ía</w:t>
      </w:r>
      <w:r w:rsidRPr="000033F2">
        <w:rPr>
          <w:lang w:val="es-AR"/>
        </w:rPr>
        <w:t xml:space="preserve"> la necesidad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. Observaron que </w:t>
      </w:r>
      <w:r w:rsidR="00151AE3">
        <w:rPr>
          <w:lang w:val="es-AR"/>
        </w:rPr>
        <w:t xml:space="preserve">en lo posible debe seguirse </w:t>
      </w:r>
      <w:r w:rsidRPr="000033F2">
        <w:rPr>
          <w:lang w:val="es-AR"/>
        </w:rPr>
        <w:t xml:space="preserve">el enfoque bilateral al acceso y participación en los beneficios y </w:t>
      </w:r>
      <w:r w:rsidR="00151AE3">
        <w:rPr>
          <w:lang w:val="es-AR"/>
        </w:rPr>
        <w:t xml:space="preserve">que éste </w:t>
      </w:r>
      <w:r w:rsidRPr="000033F2">
        <w:rPr>
          <w:lang w:val="es-AR"/>
        </w:rPr>
        <w:t xml:space="preserve">es el enfoque </w:t>
      </w:r>
      <w:r w:rsidR="00151AE3">
        <w:rPr>
          <w:lang w:val="es-AR"/>
        </w:rPr>
        <w:t xml:space="preserve">por </w:t>
      </w:r>
      <w:r w:rsidRPr="000033F2">
        <w:rPr>
          <w:lang w:val="es-AR"/>
        </w:rPr>
        <w:t xml:space="preserve">defecto al acceso y participación en los beneficios bajo </w:t>
      </w:r>
      <w:r w:rsidR="000033F2">
        <w:rPr>
          <w:lang w:val="es-AR"/>
        </w:rPr>
        <w:t>el Protocolo</w:t>
      </w:r>
      <w:r w:rsidRPr="000033F2">
        <w:rPr>
          <w:lang w:val="es-AR"/>
        </w:rPr>
        <w:t xml:space="preserve"> de Nagoya según lo reconocido en la decisión NP-2/10. </w:t>
      </w:r>
      <w:r w:rsidR="00151AE3">
        <w:rPr>
          <w:lang w:val="es-AR"/>
        </w:rPr>
        <w:t>U</w:t>
      </w:r>
      <w:r w:rsidRPr="000033F2">
        <w:rPr>
          <w:lang w:val="es-AR"/>
        </w:rPr>
        <w:t>na Parte</w:t>
      </w:r>
      <w:r w:rsidRPr="000033F2">
        <w:rPr>
          <w:rStyle w:val="FootnoteReference"/>
          <w:lang w:val="es-AR"/>
        </w:rPr>
        <w:footnoteReference w:id="90"/>
      </w:r>
      <w:r w:rsidRPr="000033F2">
        <w:rPr>
          <w:lang w:val="es-AR"/>
        </w:rPr>
        <w:t xml:space="preserve"> </w:t>
      </w:r>
      <w:r w:rsidR="00151AE3">
        <w:rPr>
          <w:lang w:val="es-AR"/>
        </w:rPr>
        <w:t xml:space="preserve">señaló que </w:t>
      </w:r>
      <w:r w:rsidRPr="000033F2">
        <w:rPr>
          <w:lang w:val="es-AR"/>
        </w:rPr>
        <w:t xml:space="preserve">la necesidad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se podría apoyar </w:t>
      </w:r>
      <w:r w:rsidR="008C046C">
        <w:rPr>
          <w:lang w:val="es-AR"/>
        </w:rPr>
        <w:t>sólo</w:t>
      </w:r>
      <w:r w:rsidRPr="000033F2">
        <w:rPr>
          <w:lang w:val="es-AR"/>
        </w:rPr>
        <w:t xml:space="preserve"> en situaciones donde los países de origen no pueden identifica</w:t>
      </w:r>
      <w:r w:rsidR="00151AE3">
        <w:rPr>
          <w:lang w:val="es-AR"/>
        </w:rPr>
        <w:t xml:space="preserve">rse </w:t>
      </w:r>
      <w:r w:rsidRPr="000033F2">
        <w:rPr>
          <w:lang w:val="es-AR"/>
        </w:rPr>
        <w:t xml:space="preserve">después de hacer </w:t>
      </w:r>
      <w:r w:rsidR="00151AE3">
        <w:rPr>
          <w:lang w:val="es-AR"/>
        </w:rPr>
        <w:t xml:space="preserve">esfuerzos </w:t>
      </w:r>
      <w:r w:rsidRPr="000033F2">
        <w:rPr>
          <w:lang w:val="es-AR"/>
        </w:rPr>
        <w:t xml:space="preserve">razonables, y en situaciones donde es imposible conceder u obtener el </w:t>
      </w:r>
      <w:r w:rsidR="002C11B0">
        <w:rPr>
          <w:lang w:val="es-AR"/>
        </w:rPr>
        <w:t>conocimiento fundamentado previo</w:t>
      </w:r>
      <w:r w:rsidRPr="000033F2">
        <w:rPr>
          <w:lang w:val="es-AR"/>
        </w:rPr>
        <w:t xml:space="preserve">. 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Una Parte</w:t>
      </w:r>
      <w:r w:rsidRPr="000033F2">
        <w:rPr>
          <w:rStyle w:val="FootnoteReference"/>
          <w:lang w:val="es-AR"/>
        </w:rPr>
        <w:footnoteReference w:id="91"/>
      </w:r>
      <w:r w:rsidRPr="000033F2">
        <w:rPr>
          <w:lang w:val="es-AR"/>
        </w:rPr>
        <w:t xml:space="preserve"> expresó la opinión que </w:t>
      </w:r>
      <w:r w:rsidR="00151AE3">
        <w:rPr>
          <w:lang w:val="es-AR"/>
        </w:rPr>
        <w:t>los derechos soberanos</w:t>
      </w:r>
      <w:r w:rsidRPr="000033F2">
        <w:rPr>
          <w:lang w:val="es-AR"/>
        </w:rPr>
        <w:t xml:space="preserve"> de países sobre sus recursos genéticos no debe</w:t>
      </w:r>
      <w:r w:rsidR="00151AE3">
        <w:rPr>
          <w:lang w:val="es-AR"/>
        </w:rPr>
        <w:t>rían</w:t>
      </w:r>
      <w:r w:rsidRPr="000033F2">
        <w:rPr>
          <w:lang w:val="es-AR"/>
        </w:rPr>
        <w:t xml:space="preserve"> </w:t>
      </w:r>
      <w:r w:rsidR="00151AE3">
        <w:rPr>
          <w:lang w:val="es-AR"/>
        </w:rPr>
        <w:t xml:space="preserve">verse </w:t>
      </w:r>
      <w:r w:rsidRPr="000033F2">
        <w:rPr>
          <w:lang w:val="es-AR"/>
        </w:rPr>
        <w:t>afecta</w:t>
      </w:r>
      <w:r w:rsidR="00151AE3">
        <w:rPr>
          <w:lang w:val="es-AR"/>
        </w:rPr>
        <w:t>dos</w:t>
      </w:r>
      <w:r w:rsidRPr="000033F2">
        <w:rPr>
          <w:lang w:val="es-AR"/>
        </w:rPr>
        <w:t xml:space="preserve"> por el establecimiento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. </w:t>
      </w:r>
      <w:r w:rsidR="00151AE3">
        <w:rPr>
          <w:lang w:val="es-AR"/>
        </w:rPr>
        <w:t>De manera similar</w:t>
      </w:r>
      <w:r w:rsidRPr="000033F2">
        <w:rPr>
          <w:lang w:val="es-AR"/>
        </w:rPr>
        <w:t>, otra Parte</w:t>
      </w:r>
      <w:r w:rsidRPr="000033F2">
        <w:rPr>
          <w:rStyle w:val="FootnoteReference"/>
          <w:lang w:val="es-AR"/>
        </w:rPr>
        <w:footnoteReference w:id="92"/>
      </w:r>
      <w:r w:rsidRPr="000033F2">
        <w:rPr>
          <w:lang w:val="es-AR"/>
        </w:rPr>
        <w:t xml:space="preserve"> planteó la cuestión de la conexión entre la legislación nacional y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</w:t>
      </w:r>
      <w:r w:rsidR="00767DDB">
        <w:rPr>
          <w:lang w:val="es-AR"/>
        </w:rPr>
        <w:t>dado que</w:t>
      </w:r>
      <w:r w:rsidRPr="000033F2">
        <w:rPr>
          <w:lang w:val="es-AR"/>
        </w:rPr>
        <w:t xml:space="preserve">, de acuerdo con </w:t>
      </w:r>
      <w:r w:rsidR="00151AE3">
        <w:rPr>
          <w:lang w:val="es-AR"/>
        </w:rPr>
        <w:t>los derechos soberanos</w:t>
      </w:r>
      <w:r w:rsidRPr="000033F2">
        <w:rPr>
          <w:lang w:val="es-AR"/>
        </w:rPr>
        <w:t xml:space="preserve"> de los países sobre sus recursos genéticos, debe</w:t>
      </w:r>
      <w:r w:rsidR="00767DDB">
        <w:rPr>
          <w:lang w:val="es-AR"/>
        </w:rPr>
        <w:t>rían</w:t>
      </w:r>
      <w:r w:rsidRPr="000033F2">
        <w:rPr>
          <w:lang w:val="es-AR"/>
        </w:rPr>
        <w:t xml:space="preserve"> poder elegir qué recursos genéticos se</w:t>
      </w:r>
      <w:r w:rsidR="00767DDB">
        <w:rPr>
          <w:lang w:val="es-AR"/>
        </w:rPr>
        <w:t xml:space="preserve"> </w:t>
      </w:r>
      <w:r w:rsidRPr="000033F2">
        <w:rPr>
          <w:lang w:val="es-AR"/>
        </w:rPr>
        <w:t>inclui</w:t>
      </w:r>
      <w:r w:rsidR="00767DDB">
        <w:rPr>
          <w:lang w:val="es-AR"/>
        </w:rPr>
        <w:t xml:space="preserve">rían </w:t>
      </w:r>
      <w:r w:rsidRPr="000033F2">
        <w:rPr>
          <w:lang w:val="es-AR"/>
        </w:rPr>
        <w:t xml:space="preserve">en un mecanismo multilateral </w:t>
      </w:r>
      <w:r w:rsidR="00EB1A0D">
        <w:rPr>
          <w:lang w:val="es-AR"/>
        </w:rPr>
        <w:t xml:space="preserve">y </w:t>
      </w:r>
      <w:r w:rsidRPr="000033F2">
        <w:rPr>
          <w:lang w:val="es-AR"/>
        </w:rPr>
        <w:t>en qué situaciones</w:t>
      </w:r>
      <w:r w:rsidR="000E437F">
        <w:rPr>
          <w:lang w:val="es-AR"/>
        </w:rPr>
        <w:t xml:space="preserve"> se haría</w:t>
      </w:r>
      <w:r w:rsidRPr="000033F2">
        <w:rPr>
          <w:lang w:val="es-AR"/>
        </w:rPr>
        <w:t xml:space="preserve">. La Parte también indicó que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no sería aplicable en las áreas geográficas que son reguladas específicamente por otros instrumentos internacionales o están </w:t>
      </w:r>
      <w:r w:rsidR="00767DDB">
        <w:rPr>
          <w:lang w:val="es-AR"/>
        </w:rPr>
        <w:t xml:space="preserve">sujetas a continuas </w:t>
      </w:r>
      <w:r w:rsidRPr="000033F2">
        <w:rPr>
          <w:lang w:val="es-AR"/>
        </w:rPr>
        <w:t>negociaciones multilaterales.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Algunos</w:t>
      </w:r>
      <w:r w:rsidRPr="000033F2">
        <w:rPr>
          <w:rStyle w:val="FootnoteReference"/>
          <w:lang w:val="es-AR"/>
        </w:rPr>
        <w:footnoteReference w:id="93"/>
      </w:r>
      <w:r w:rsidRPr="000033F2">
        <w:rPr>
          <w:lang w:val="es-AR"/>
        </w:rPr>
        <w:t xml:space="preserve"> expresaron la opinión </w:t>
      </w:r>
      <w:r w:rsidR="00767DDB">
        <w:rPr>
          <w:lang w:val="es-AR"/>
        </w:rPr>
        <w:t xml:space="preserve">de </w:t>
      </w:r>
      <w:r w:rsidRPr="000033F2">
        <w:rPr>
          <w:lang w:val="es-AR"/>
        </w:rPr>
        <w:t xml:space="preserve">que la necesidad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debe </w:t>
      </w:r>
      <w:r w:rsidR="00767DDB">
        <w:rPr>
          <w:lang w:val="es-AR"/>
        </w:rPr>
        <w:t xml:space="preserve">identificarse </w:t>
      </w:r>
      <w:r w:rsidRPr="000033F2">
        <w:rPr>
          <w:lang w:val="es-AR"/>
        </w:rPr>
        <w:t xml:space="preserve">primero y </w:t>
      </w:r>
      <w:r w:rsidR="00767DDB">
        <w:rPr>
          <w:lang w:val="es-AR"/>
        </w:rPr>
        <w:t>se sugirió</w:t>
      </w:r>
      <w:r w:rsidRPr="000033F2">
        <w:rPr>
          <w:rStyle w:val="FootnoteReference"/>
          <w:lang w:val="es-AR"/>
        </w:rPr>
        <w:footnoteReference w:id="94"/>
      </w:r>
      <w:r w:rsidRPr="000033F2">
        <w:rPr>
          <w:lang w:val="es-AR"/>
        </w:rPr>
        <w:t xml:space="preserve"> que</w:t>
      </w:r>
      <w:r w:rsidR="00767DDB">
        <w:rPr>
          <w:lang w:val="es-AR"/>
        </w:rPr>
        <w:t xml:space="preserve"> se requiere seguir deliberando sobre</w:t>
      </w:r>
      <w:r w:rsidRPr="000033F2">
        <w:rPr>
          <w:lang w:val="es-AR"/>
        </w:rPr>
        <w:t xml:space="preserve"> las situaciones en las cuales no es posible conceder u obtener el </w:t>
      </w:r>
      <w:r w:rsidR="002C11B0">
        <w:rPr>
          <w:lang w:val="es-AR"/>
        </w:rPr>
        <w:t>conocimiento fundamentado previo</w:t>
      </w:r>
      <w:r w:rsidRPr="000033F2">
        <w:rPr>
          <w:lang w:val="es-AR"/>
        </w:rPr>
        <w:t xml:space="preserve"> para determinar si hay</w:t>
      </w:r>
      <w:r w:rsidR="00767DDB">
        <w:rPr>
          <w:lang w:val="es-AR"/>
        </w:rPr>
        <w:t xml:space="preserve"> o no</w:t>
      </w:r>
      <w:r w:rsidRPr="000033F2">
        <w:rPr>
          <w:lang w:val="es-AR"/>
        </w:rPr>
        <w:t xml:space="preserve"> necesidad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. </w:t>
      </w:r>
    </w:p>
    <w:p w:rsidR="00FB79CA" w:rsidRPr="000033F2" w:rsidRDefault="00767DDB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>
        <w:rPr>
          <w:lang w:val="es-AR"/>
        </w:rPr>
        <w:t>Se expresó l</w:t>
      </w:r>
      <w:r w:rsidR="00635DA0" w:rsidRPr="000033F2">
        <w:rPr>
          <w:lang w:val="es-AR"/>
        </w:rPr>
        <w:t>a opinión</w:t>
      </w:r>
      <w:r w:rsidR="00635DA0" w:rsidRPr="000033F2">
        <w:rPr>
          <w:rStyle w:val="FootnoteReference"/>
          <w:lang w:val="es-AR"/>
        </w:rPr>
        <w:footnoteReference w:id="95"/>
      </w:r>
      <w:r w:rsidR="00635DA0" w:rsidRPr="000033F2">
        <w:rPr>
          <w:lang w:val="es-AR"/>
        </w:rPr>
        <w:t xml:space="preserve"> que e</w:t>
      </w:r>
      <w:r w:rsidR="00BF2D74">
        <w:rPr>
          <w:lang w:val="es-AR"/>
        </w:rPr>
        <w:t>ra</w:t>
      </w:r>
      <w:r w:rsidR="00635DA0" w:rsidRPr="000033F2">
        <w:rPr>
          <w:lang w:val="es-AR"/>
        </w:rPr>
        <w:t xml:space="preserve"> necesario examinar si un </w:t>
      </w:r>
      <w:r w:rsidR="00096D97">
        <w:rPr>
          <w:lang w:val="es-AR"/>
        </w:rPr>
        <w:t>mecanismo mundial multilateral de participación en los beneficios</w:t>
      </w:r>
      <w:r w:rsidR="00635DA0" w:rsidRPr="000033F2">
        <w:rPr>
          <w:lang w:val="es-AR"/>
        </w:rPr>
        <w:t xml:space="preserve"> podría ser una opción para los países que todavía no han </w:t>
      </w:r>
      <w:r w:rsidR="00EB1A0D">
        <w:rPr>
          <w:lang w:val="es-AR"/>
        </w:rPr>
        <w:t xml:space="preserve">elaborado </w:t>
      </w:r>
      <w:r w:rsidR="00635DA0" w:rsidRPr="000033F2">
        <w:rPr>
          <w:lang w:val="es-AR"/>
        </w:rPr>
        <w:t>medidas nacionales</w:t>
      </w:r>
      <w:r w:rsidR="00EB1A0D">
        <w:rPr>
          <w:lang w:val="es-AR"/>
        </w:rPr>
        <w:t xml:space="preserve"> sobre e</w:t>
      </w:r>
      <w:r w:rsidR="00635DA0" w:rsidRPr="000033F2">
        <w:rPr>
          <w:lang w:val="es-AR"/>
        </w:rPr>
        <w:t>l acceso y participación en los beneficios</w:t>
      </w:r>
      <w:r w:rsidR="00BF2D74">
        <w:rPr>
          <w:lang w:val="es-AR"/>
        </w:rPr>
        <w:t>,</w:t>
      </w:r>
      <w:r w:rsidR="00635DA0" w:rsidRPr="000033F2">
        <w:rPr>
          <w:lang w:val="es-AR"/>
        </w:rPr>
        <w:t xml:space="preserve"> mientras que otra visión </w:t>
      </w:r>
      <w:r>
        <w:rPr>
          <w:lang w:val="es-AR"/>
        </w:rPr>
        <w:t xml:space="preserve">consideró </w:t>
      </w:r>
      <w:r w:rsidR="00635DA0" w:rsidRPr="000033F2">
        <w:rPr>
          <w:lang w:val="es-AR"/>
        </w:rPr>
        <w:t xml:space="preserve">que un </w:t>
      </w:r>
      <w:r w:rsidR="00096D97">
        <w:rPr>
          <w:lang w:val="es-AR"/>
        </w:rPr>
        <w:t>mecanismo mundial multilateral de participación en los beneficios</w:t>
      </w:r>
      <w:r w:rsidR="00635DA0" w:rsidRPr="000033F2">
        <w:rPr>
          <w:lang w:val="es-AR"/>
        </w:rPr>
        <w:t xml:space="preserve"> no se aplicaría en una situación semejante y que tal situación se debe</w:t>
      </w:r>
      <w:r>
        <w:rPr>
          <w:lang w:val="es-AR"/>
        </w:rPr>
        <w:t>ría</w:t>
      </w:r>
      <w:r w:rsidR="00635DA0" w:rsidRPr="000033F2">
        <w:rPr>
          <w:lang w:val="es-AR"/>
        </w:rPr>
        <w:t xml:space="preserve"> abordar</w:t>
      </w:r>
      <w:r>
        <w:rPr>
          <w:lang w:val="es-AR"/>
        </w:rPr>
        <w:t xml:space="preserve"> más bien </w:t>
      </w:r>
      <w:r w:rsidR="00635DA0" w:rsidRPr="000033F2">
        <w:rPr>
          <w:lang w:val="es-AR"/>
        </w:rPr>
        <w:t>con activi</w:t>
      </w:r>
      <w:r>
        <w:rPr>
          <w:lang w:val="es-AR"/>
        </w:rPr>
        <w:t>dades de creación</w:t>
      </w:r>
      <w:r w:rsidR="00635DA0" w:rsidRPr="000033F2">
        <w:rPr>
          <w:lang w:val="es-AR"/>
        </w:rPr>
        <w:t xml:space="preserve"> de capacidad.</w:t>
      </w:r>
      <w:r w:rsidR="00635DA0" w:rsidRPr="000033F2">
        <w:rPr>
          <w:rStyle w:val="FootnoteReference"/>
          <w:lang w:val="es-AR"/>
        </w:rPr>
        <w:footnoteReference w:id="96"/>
      </w:r>
      <w:r w:rsidR="00635DA0" w:rsidRPr="000033F2">
        <w:rPr>
          <w:lang w:val="es-AR"/>
        </w:rPr>
        <w:t xml:space="preserve"> </w:t>
      </w:r>
      <w:r>
        <w:rPr>
          <w:lang w:val="es-AR"/>
        </w:rPr>
        <w:t xml:space="preserve">Dentro de líneas </w:t>
      </w:r>
      <w:r w:rsidR="00635DA0" w:rsidRPr="000033F2">
        <w:rPr>
          <w:lang w:val="es-AR"/>
        </w:rPr>
        <w:t xml:space="preserve">similares, </w:t>
      </w:r>
      <w:r>
        <w:rPr>
          <w:lang w:val="es-AR"/>
        </w:rPr>
        <w:t>se sugirió</w:t>
      </w:r>
      <w:r w:rsidR="00635DA0" w:rsidRPr="000033F2">
        <w:rPr>
          <w:rStyle w:val="FootnoteReference"/>
          <w:lang w:val="es-AR"/>
        </w:rPr>
        <w:footnoteReference w:id="97"/>
      </w:r>
      <w:r w:rsidR="00635DA0" w:rsidRPr="000033F2">
        <w:rPr>
          <w:lang w:val="es-AR"/>
        </w:rPr>
        <w:t xml:space="preserve"> que el foco </w:t>
      </w:r>
      <w:r>
        <w:rPr>
          <w:lang w:val="es-AR"/>
        </w:rPr>
        <w:t xml:space="preserve">actual debería estar </w:t>
      </w:r>
      <w:r w:rsidR="00635DA0" w:rsidRPr="000033F2">
        <w:rPr>
          <w:lang w:val="es-AR"/>
        </w:rPr>
        <w:t xml:space="preserve">en la </w:t>
      </w:r>
      <w:r>
        <w:rPr>
          <w:lang w:val="es-AR"/>
        </w:rPr>
        <w:t xml:space="preserve">aplicación </w:t>
      </w:r>
      <w:r w:rsidR="00635DA0" w:rsidRPr="000033F2">
        <w:rPr>
          <w:lang w:val="es-AR"/>
        </w:rPr>
        <w:t>del enfoque bilateral</w:t>
      </w:r>
      <w:r w:rsidR="00096D97">
        <w:rPr>
          <w:lang w:val="es-AR"/>
        </w:rPr>
        <w:t xml:space="preserve"> del Protocolo</w:t>
      </w:r>
      <w:r w:rsidR="00635DA0" w:rsidRPr="000033F2">
        <w:rPr>
          <w:lang w:val="es-AR"/>
        </w:rPr>
        <w:t xml:space="preserve"> y que la necesidad de un </w:t>
      </w:r>
      <w:r w:rsidR="00096D97">
        <w:rPr>
          <w:lang w:val="es-AR"/>
        </w:rPr>
        <w:t>mecanismo mundial multilateral de participación en los beneficios</w:t>
      </w:r>
      <w:r w:rsidR="00635DA0" w:rsidRPr="000033F2">
        <w:rPr>
          <w:lang w:val="es-AR"/>
        </w:rPr>
        <w:t xml:space="preserve"> no puede y no debe abordar</w:t>
      </w:r>
      <w:r>
        <w:rPr>
          <w:lang w:val="es-AR"/>
        </w:rPr>
        <w:t xml:space="preserve">se </w:t>
      </w:r>
      <w:r w:rsidR="00635DA0" w:rsidRPr="000033F2">
        <w:rPr>
          <w:lang w:val="es-AR"/>
        </w:rPr>
        <w:t>hasta que el sistema bilateral</w:t>
      </w:r>
      <w:r>
        <w:rPr>
          <w:lang w:val="es-AR"/>
        </w:rPr>
        <w:t xml:space="preserve"> </w:t>
      </w:r>
      <w:r w:rsidR="00EB1A0D">
        <w:rPr>
          <w:lang w:val="es-AR"/>
        </w:rPr>
        <w:t>funcione</w:t>
      </w:r>
      <w:r w:rsidR="00635DA0" w:rsidRPr="000033F2">
        <w:rPr>
          <w:lang w:val="es-AR"/>
        </w:rPr>
        <w:t>.</w:t>
      </w:r>
    </w:p>
    <w:p w:rsidR="00FB79CA" w:rsidRPr="000033F2" w:rsidRDefault="00635DA0" w:rsidP="00BF2D74">
      <w:pPr>
        <w:pStyle w:val="Para1"/>
        <w:tabs>
          <w:tab w:val="clear" w:pos="360"/>
          <w:tab w:val="num" w:pos="720"/>
        </w:tabs>
        <w:rPr>
          <w:lang w:val="es-AR"/>
        </w:rPr>
      </w:pPr>
      <w:r w:rsidRPr="000033F2">
        <w:rPr>
          <w:lang w:val="es-AR"/>
        </w:rPr>
        <w:t>Dos presentaciones</w:t>
      </w:r>
      <w:r w:rsidRPr="000033F2">
        <w:rPr>
          <w:rStyle w:val="FootnoteReference"/>
          <w:lang w:val="es-AR"/>
        </w:rPr>
        <w:footnoteReference w:id="98"/>
      </w:r>
      <w:r w:rsidRPr="000033F2">
        <w:rPr>
          <w:lang w:val="es-AR"/>
        </w:rPr>
        <w:t xml:space="preserve"> sugirieron que </w:t>
      </w:r>
      <w:r w:rsidR="00767DDB">
        <w:rPr>
          <w:lang w:val="es-AR"/>
        </w:rPr>
        <w:t xml:space="preserve">sería útil </w:t>
      </w:r>
      <w:r w:rsidRPr="000033F2">
        <w:rPr>
          <w:lang w:val="es-AR"/>
        </w:rPr>
        <w:t>considera</w:t>
      </w:r>
      <w:r w:rsidR="00767DDB">
        <w:rPr>
          <w:lang w:val="es-AR"/>
        </w:rPr>
        <w:t xml:space="preserve">r </w:t>
      </w:r>
      <w:r w:rsidRPr="000033F2">
        <w:rPr>
          <w:lang w:val="es-AR"/>
        </w:rPr>
        <w:t>la información y las lecciones aprendi</w:t>
      </w:r>
      <w:r w:rsidR="00767DDB">
        <w:rPr>
          <w:lang w:val="es-AR"/>
        </w:rPr>
        <w:t>das</w:t>
      </w:r>
      <w:r w:rsidRPr="000033F2">
        <w:rPr>
          <w:lang w:val="es-AR"/>
        </w:rPr>
        <w:t xml:space="preserve"> de otros sistemas multilaterales</w:t>
      </w:r>
      <w:r w:rsidR="00767DDB">
        <w:rPr>
          <w:lang w:val="es-AR"/>
        </w:rPr>
        <w:t>,</w:t>
      </w:r>
      <w:r w:rsidRPr="000033F2">
        <w:rPr>
          <w:lang w:val="es-AR"/>
        </w:rPr>
        <w:t xml:space="preserve"> como el Tratado Internacional sobre los Recursos </w:t>
      </w:r>
      <w:proofErr w:type="spellStart"/>
      <w:r w:rsidRPr="000033F2">
        <w:rPr>
          <w:lang w:val="es-AR"/>
        </w:rPr>
        <w:t>Fitogenéticos</w:t>
      </w:r>
      <w:proofErr w:type="spellEnd"/>
      <w:r w:rsidRPr="000033F2">
        <w:rPr>
          <w:lang w:val="es-AR"/>
        </w:rPr>
        <w:t xml:space="preserve"> para la </w:t>
      </w:r>
      <w:r w:rsidRPr="000033F2">
        <w:rPr>
          <w:lang w:val="es-AR"/>
        </w:rPr>
        <w:lastRenderedPageBreak/>
        <w:t>Alimentación y la Agricultura (</w:t>
      </w:r>
      <w:r w:rsidR="00036754">
        <w:rPr>
          <w:lang w:val="es-AR"/>
        </w:rPr>
        <w:t>Tratado</w:t>
      </w:r>
      <w:r w:rsidRPr="000033F2">
        <w:rPr>
          <w:lang w:val="es-AR"/>
        </w:rPr>
        <w:t xml:space="preserve">) o el </w:t>
      </w:r>
      <w:r w:rsidR="00EB1A0D" w:rsidRPr="00EB1A0D">
        <w:rPr>
          <w:lang w:val="es-AR"/>
        </w:rPr>
        <w:t>Marco para el intercambio de virus gripales y el acceso a las vacunas y otros beneficios como parte de la Preparación para una Gripe Pandémica</w:t>
      </w:r>
      <w:r w:rsidRPr="00EB1A0D">
        <w:rPr>
          <w:lang w:val="es-AR"/>
        </w:rPr>
        <w:t xml:space="preserve"> </w:t>
      </w:r>
      <w:r w:rsidRPr="000033F2">
        <w:rPr>
          <w:lang w:val="es-AR"/>
        </w:rPr>
        <w:t>y tener acceso a las vacunas y a otr</w:t>
      </w:r>
      <w:r w:rsidR="00066EC9">
        <w:rPr>
          <w:lang w:val="es-AR"/>
        </w:rPr>
        <w:t>os beneficios</w:t>
      </w:r>
      <w:r w:rsidRPr="000033F2">
        <w:rPr>
          <w:lang w:val="es-AR"/>
        </w:rPr>
        <w:t xml:space="preserve"> (</w:t>
      </w:r>
      <w:r w:rsidR="00EB1A0D">
        <w:rPr>
          <w:lang w:val="es-AR"/>
        </w:rPr>
        <w:t>M</w:t>
      </w:r>
      <w:r w:rsidR="008C2374">
        <w:rPr>
          <w:lang w:val="es-AR"/>
        </w:rPr>
        <w:t>arco PIP</w:t>
      </w:r>
      <w:r w:rsidRPr="000033F2">
        <w:rPr>
          <w:lang w:val="es-AR"/>
        </w:rPr>
        <w:t xml:space="preserve">). </w:t>
      </w:r>
      <w:r w:rsidR="00767DDB">
        <w:rPr>
          <w:lang w:val="es-AR"/>
        </w:rPr>
        <w:t xml:space="preserve">Es posible observar </w:t>
      </w:r>
      <w:r w:rsidRPr="000033F2">
        <w:rPr>
          <w:lang w:val="es-AR"/>
        </w:rPr>
        <w:t>que un estudio, entre otras cosas,</w:t>
      </w:r>
      <w:r w:rsidR="00767DDB">
        <w:rPr>
          <w:lang w:val="es-AR"/>
        </w:rPr>
        <w:t xml:space="preserve"> sobre</w:t>
      </w:r>
      <w:r w:rsidRPr="000033F2">
        <w:rPr>
          <w:lang w:val="es-AR"/>
        </w:rPr>
        <w:t xml:space="preserve"> las experiencias con otros mecanismos multilaterales</w:t>
      </w:r>
      <w:r w:rsidR="00767DDB">
        <w:rPr>
          <w:lang w:val="es-AR"/>
        </w:rPr>
        <w:t>,</w:t>
      </w:r>
      <w:r w:rsidRPr="000033F2">
        <w:rPr>
          <w:lang w:val="es-AR"/>
        </w:rPr>
        <w:t xml:space="preserve"> </w:t>
      </w:r>
      <w:r w:rsidR="000033F2">
        <w:rPr>
          <w:lang w:val="es-AR"/>
        </w:rPr>
        <w:t>inclusive</w:t>
      </w:r>
      <w:r w:rsidRPr="000033F2">
        <w:rPr>
          <w:lang w:val="es-AR"/>
        </w:rPr>
        <w:t xml:space="preserve"> el </w:t>
      </w:r>
      <w:r w:rsidR="00036754">
        <w:rPr>
          <w:lang w:val="es-AR"/>
        </w:rPr>
        <w:t>Tratado</w:t>
      </w:r>
      <w:r w:rsidRPr="000033F2">
        <w:rPr>
          <w:lang w:val="es-AR"/>
        </w:rPr>
        <w:t xml:space="preserve"> y el </w:t>
      </w:r>
      <w:r w:rsidR="008C2374">
        <w:rPr>
          <w:lang w:val="es-AR"/>
        </w:rPr>
        <w:t>marco PIP</w:t>
      </w:r>
      <w:r w:rsidRPr="000033F2">
        <w:rPr>
          <w:lang w:val="es-AR"/>
        </w:rPr>
        <w:t xml:space="preserve">, </w:t>
      </w:r>
      <w:r w:rsidR="00767DDB">
        <w:rPr>
          <w:lang w:val="es-AR"/>
        </w:rPr>
        <w:t xml:space="preserve">se preparó dando </w:t>
      </w:r>
      <w:r w:rsidRPr="000033F2">
        <w:rPr>
          <w:lang w:val="es-AR"/>
        </w:rPr>
        <w:t xml:space="preserve">seguimiento a </w:t>
      </w:r>
      <w:r w:rsidR="00767DDB">
        <w:rPr>
          <w:lang w:val="es-AR"/>
        </w:rPr>
        <w:t xml:space="preserve">la decisión </w:t>
      </w:r>
      <w:r w:rsidRPr="000033F2">
        <w:rPr>
          <w:lang w:val="es-AR"/>
        </w:rPr>
        <w:t xml:space="preserve">NP-1/10 mencionada en </w:t>
      </w:r>
      <w:r w:rsidR="00767DDB">
        <w:rPr>
          <w:lang w:val="es-AR"/>
        </w:rPr>
        <w:t xml:space="preserve">el </w:t>
      </w:r>
      <w:r w:rsidR="00096D97">
        <w:rPr>
          <w:lang w:val="es-AR"/>
        </w:rPr>
        <w:t>apartado</w:t>
      </w:r>
      <w:r w:rsidRPr="000033F2">
        <w:rPr>
          <w:lang w:val="es-AR"/>
        </w:rPr>
        <w:t xml:space="preserve"> 65 a</w:t>
      </w:r>
      <w:r w:rsidR="00767DDB">
        <w:rPr>
          <w:lang w:val="es-AR"/>
        </w:rPr>
        <w:t>nterior</w:t>
      </w:r>
      <w:r w:rsidRPr="000033F2">
        <w:rPr>
          <w:lang w:val="es-AR"/>
        </w:rPr>
        <w:t>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Una presentación</w:t>
      </w:r>
      <w:r w:rsidRPr="000033F2">
        <w:rPr>
          <w:rStyle w:val="FootnoteReference"/>
          <w:lang w:val="es-AR"/>
        </w:rPr>
        <w:footnoteReference w:id="99"/>
      </w:r>
      <w:r w:rsidRPr="000033F2">
        <w:rPr>
          <w:lang w:val="es-AR"/>
        </w:rPr>
        <w:t xml:space="preserve"> exploró el concepto de </w:t>
      </w:r>
      <w:r w:rsidRPr="0087195B">
        <w:rPr>
          <w:lang w:val="es-AR"/>
        </w:rPr>
        <w:t xml:space="preserve">'franqueza limitada' </w:t>
      </w:r>
      <w:r w:rsidR="00767DDB">
        <w:rPr>
          <w:lang w:val="es-AR"/>
        </w:rPr>
        <w:t xml:space="preserve">dado que </w:t>
      </w:r>
      <w:r w:rsidRPr="000033F2">
        <w:rPr>
          <w:lang w:val="es-AR"/>
        </w:rPr>
        <w:t xml:space="preserve">podría aplicarse a los conocimientos tradicionales asociados a los recursos genéticos y sugirió esto como la manera </w:t>
      </w:r>
      <w:r w:rsidR="00A07A9C">
        <w:rPr>
          <w:lang w:val="es-AR"/>
        </w:rPr>
        <w:t xml:space="preserve">hacia la aplicación del </w:t>
      </w:r>
      <w:r w:rsidR="000033F2">
        <w:rPr>
          <w:lang w:val="es-AR"/>
        </w:rPr>
        <w:t>Artículo</w:t>
      </w:r>
      <w:r w:rsidRPr="000033F2">
        <w:rPr>
          <w:lang w:val="es-AR"/>
        </w:rPr>
        <w:t xml:space="preserve"> 10.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Algunas Partes</w:t>
      </w:r>
      <w:r w:rsidRPr="000033F2">
        <w:rPr>
          <w:rStyle w:val="FootnoteReference"/>
          <w:lang w:val="es-AR"/>
        </w:rPr>
        <w:footnoteReference w:id="100"/>
      </w:r>
      <w:r w:rsidRPr="000033F2">
        <w:rPr>
          <w:lang w:val="es-AR"/>
        </w:rPr>
        <w:t xml:space="preserve"> sugirieron que </w:t>
      </w:r>
      <w:r w:rsidR="00A07A9C">
        <w:rPr>
          <w:lang w:val="es-AR"/>
        </w:rPr>
        <w:t xml:space="preserve">merecía </w:t>
      </w:r>
      <w:r w:rsidRPr="000033F2">
        <w:rPr>
          <w:lang w:val="es-AR"/>
        </w:rPr>
        <w:t>estudiar</w:t>
      </w:r>
      <w:r w:rsidR="00A07A9C">
        <w:rPr>
          <w:lang w:val="es-AR"/>
        </w:rPr>
        <w:t xml:space="preserve">se </w:t>
      </w:r>
      <w:r w:rsidRPr="000033F2">
        <w:rPr>
          <w:lang w:val="es-AR"/>
        </w:rPr>
        <w:t xml:space="preserve">si </w:t>
      </w:r>
      <w:r w:rsidR="0087195B" w:rsidRPr="000033F2">
        <w:rPr>
          <w:lang w:val="es-AR"/>
        </w:rPr>
        <w:t xml:space="preserve">un </w:t>
      </w:r>
      <w:r w:rsidR="0087195B">
        <w:rPr>
          <w:lang w:val="es-AR"/>
        </w:rPr>
        <w:t>mecanismo mundial multilateral de participación en los beneficios</w:t>
      </w:r>
      <w:r w:rsidR="0087195B" w:rsidRPr="000033F2">
        <w:rPr>
          <w:lang w:val="es-AR"/>
        </w:rPr>
        <w:t xml:space="preserve"> podría apoyar la conservación y la utilización sostenible </w:t>
      </w:r>
      <w:r w:rsidR="0087195B">
        <w:rPr>
          <w:lang w:val="es-AR"/>
        </w:rPr>
        <w:t>de la diversidad</w:t>
      </w:r>
      <w:r w:rsidR="0087195B" w:rsidRPr="000033F2">
        <w:rPr>
          <w:lang w:val="es-AR"/>
        </w:rPr>
        <w:t xml:space="preserve"> </w:t>
      </w:r>
      <w:r w:rsidR="0087195B">
        <w:rPr>
          <w:lang w:val="es-AR"/>
        </w:rPr>
        <w:t>biológica</w:t>
      </w:r>
      <w:r w:rsidR="0087195B" w:rsidRPr="000033F2">
        <w:rPr>
          <w:lang w:val="es-AR"/>
        </w:rPr>
        <w:t xml:space="preserve"> </w:t>
      </w:r>
      <w:r w:rsidRPr="000033F2">
        <w:rPr>
          <w:lang w:val="es-AR"/>
        </w:rPr>
        <w:t>y cómo</w:t>
      </w:r>
      <w:r w:rsidR="0087195B">
        <w:rPr>
          <w:lang w:val="es-AR"/>
        </w:rPr>
        <w:t xml:space="preserve"> lo haría</w:t>
      </w:r>
      <w:r w:rsidRPr="000033F2">
        <w:rPr>
          <w:lang w:val="es-AR"/>
        </w:rPr>
        <w:t xml:space="preserve">. </w:t>
      </w:r>
      <w:r w:rsidR="00A07A9C">
        <w:rPr>
          <w:lang w:val="es-AR"/>
        </w:rPr>
        <w:t>Se sugirieron d</w:t>
      </w:r>
      <w:r w:rsidRPr="000033F2">
        <w:rPr>
          <w:lang w:val="es-AR"/>
        </w:rPr>
        <w:t>iversos aspectos</w:t>
      </w:r>
      <w:r w:rsidR="00E9756E">
        <w:rPr>
          <w:lang w:val="es-AR"/>
        </w:rPr>
        <w:t>,</w:t>
      </w:r>
      <w:r w:rsidRPr="000033F2">
        <w:rPr>
          <w:lang w:val="es-AR"/>
        </w:rPr>
        <w:t xml:space="preserve"> por ejemplo</w:t>
      </w:r>
      <w:r w:rsidR="00E9756E">
        <w:rPr>
          <w:lang w:val="es-AR"/>
        </w:rPr>
        <w:t>,</w:t>
      </w:r>
      <w:r w:rsidRPr="000033F2">
        <w:rPr>
          <w:lang w:val="es-AR"/>
        </w:rPr>
        <w:t xml:space="preserve"> los planes para asistencia técnica, la cooperación internacional, el intercambio de información, la transferencia de tecnologías y la creación de capacidad.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Una Parte</w:t>
      </w:r>
      <w:r w:rsidRPr="000033F2">
        <w:rPr>
          <w:rStyle w:val="FootnoteReference"/>
          <w:lang w:val="es-AR"/>
        </w:rPr>
        <w:footnoteReference w:id="101"/>
      </w:r>
      <w:r w:rsidRPr="000033F2">
        <w:rPr>
          <w:lang w:val="es-AR"/>
        </w:rPr>
        <w:t xml:space="preserve"> identificó otras áreas donde la utilidad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debe</w:t>
      </w:r>
      <w:r w:rsidR="00206103">
        <w:rPr>
          <w:lang w:val="es-AR"/>
        </w:rPr>
        <w:t>ría</w:t>
      </w:r>
      <w:r w:rsidRPr="000033F2">
        <w:rPr>
          <w:lang w:val="es-AR"/>
        </w:rPr>
        <w:t xml:space="preserve"> </w:t>
      </w:r>
      <w:r w:rsidR="00206103">
        <w:rPr>
          <w:lang w:val="es-AR"/>
        </w:rPr>
        <w:t xml:space="preserve">considerarse, </w:t>
      </w:r>
      <w:r w:rsidR="000033F2">
        <w:rPr>
          <w:lang w:val="es-AR"/>
        </w:rPr>
        <w:t>inclusive</w:t>
      </w:r>
      <w:r w:rsidRPr="000033F2">
        <w:rPr>
          <w:lang w:val="es-AR"/>
        </w:rPr>
        <w:t xml:space="preserve"> el uso d</w:t>
      </w:r>
      <w:r w:rsidR="00E9756E">
        <w:rPr>
          <w:lang w:val="es-AR"/>
        </w:rPr>
        <w:t xml:space="preserve">e información en secuencia digital </w:t>
      </w:r>
      <w:r w:rsidRPr="000033F2">
        <w:rPr>
          <w:lang w:val="es-AR"/>
        </w:rPr>
        <w:t xml:space="preserve">donde no hay información sobre el país de origen o en el caso de países de origen múltiples, y como herramienta para hacer cumplir la legislación nacional y evitar ciertas cuestiones que están </w:t>
      </w:r>
      <w:r w:rsidR="00206103">
        <w:rPr>
          <w:lang w:val="es-AR"/>
        </w:rPr>
        <w:t xml:space="preserve">sujetas </w:t>
      </w:r>
      <w:r w:rsidRPr="000033F2">
        <w:rPr>
          <w:lang w:val="es-AR"/>
        </w:rPr>
        <w:t>a jurisdicciones en las cuales la legislación es más conveniente.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Una Parte</w:t>
      </w:r>
      <w:r w:rsidRPr="000033F2">
        <w:rPr>
          <w:rStyle w:val="FootnoteReference"/>
          <w:lang w:val="es-AR"/>
        </w:rPr>
        <w:footnoteReference w:id="102"/>
      </w:r>
      <w:r w:rsidRPr="000033F2">
        <w:rPr>
          <w:lang w:val="es-AR"/>
        </w:rPr>
        <w:t xml:space="preserve"> observó que la aplicación</w:t>
      </w:r>
      <w:r w:rsidR="00096D97">
        <w:rPr>
          <w:lang w:val="es-AR"/>
        </w:rPr>
        <w:t xml:space="preserve"> del Protocolo</w:t>
      </w:r>
      <w:r w:rsidRPr="000033F2">
        <w:rPr>
          <w:lang w:val="es-AR"/>
        </w:rPr>
        <w:t xml:space="preserve"> de Nagoya y el aprendizaje de esta experiencia, que es un proceso continuo</w:t>
      </w:r>
      <w:r w:rsidR="00E9756E">
        <w:rPr>
          <w:lang w:val="es-AR"/>
        </w:rPr>
        <w:t>,</w:t>
      </w:r>
      <w:r w:rsidR="00206103">
        <w:rPr>
          <w:lang w:val="es-AR"/>
        </w:rPr>
        <w:t xml:space="preserve"> </w:t>
      </w:r>
      <w:r w:rsidRPr="000033F2">
        <w:rPr>
          <w:lang w:val="es-AR"/>
        </w:rPr>
        <w:t xml:space="preserve">pueden </w:t>
      </w:r>
      <w:r w:rsidR="00E9756E">
        <w:rPr>
          <w:lang w:val="es-AR"/>
        </w:rPr>
        <w:t xml:space="preserve">ser paralelos a </w:t>
      </w:r>
      <w:r w:rsidR="00206103">
        <w:rPr>
          <w:lang w:val="es-AR"/>
        </w:rPr>
        <w:t>las</w:t>
      </w:r>
      <w:r w:rsidRPr="000033F2">
        <w:rPr>
          <w:lang w:val="es-AR"/>
        </w:rPr>
        <w:t xml:space="preserve"> </w:t>
      </w:r>
      <w:r w:rsidR="006C3AA7">
        <w:rPr>
          <w:lang w:val="es-AR"/>
        </w:rPr>
        <w:t>deliberaciones</w:t>
      </w:r>
      <w:r w:rsidRPr="000033F2">
        <w:rPr>
          <w:lang w:val="es-AR"/>
        </w:rPr>
        <w:t xml:space="preserve"> sobre situaciones potenciales que pueden apoyar la creación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>, y las modalidades posibles para tal mecanismo. Otra Parte</w:t>
      </w:r>
      <w:r w:rsidRPr="000033F2">
        <w:rPr>
          <w:rStyle w:val="FootnoteReference"/>
          <w:lang w:val="es-AR"/>
        </w:rPr>
        <w:footnoteReference w:id="103"/>
      </w:r>
      <w:r w:rsidRPr="000033F2">
        <w:rPr>
          <w:lang w:val="es-AR"/>
        </w:rPr>
        <w:t xml:space="preserve"> </w:t>
      </w:r>
      <w:r w:rsidR="00206103">
        <w:rPr>
          <w:lang w:val="es-AR"/>
        </w:rPr>
        <w:t>cre</w:t>
      </w:r>
      <w:r w:rsidR="00BF2D74">
        <w:rPr>
          <w:lang w:val="es-AR"/>
        </w:rPr>
        <w:t>yó</w:t>
      </w:r>
      <w:r w:rsidR="00206103">
        <w:rPr>
          <w:lang w:val="es-AR"/>
        </w:rPr>
        <w:t xml:space="preserve"> </w:t>
      </w:r>
      <w:r w:rsidRPr="000033F2">
        <w:rPr>
          <w:lang w:val="es-AR"/>
        </w:rPr>
        <w:t xml:space="preserve">que sería apropiado identificar casos y </w:t>
      </w:r>
      <w:r w:rsidR="00206103">
        <w:rPr>
          <w:lang w:val="es-AR"/>
        </w:rPr>
        <w:t>situaciones de</w:t>
      </w:r>
      <w:r w:rsidRPr="000033F2">
        <w:rPr>
          <w:lang w:val="es-AR"/>
        </w:rPr>
        <w:t xml:space="preserve"> los recursos genéticos o los conocimientos tradicionales asociados que podrían ser el objeto de tal mecanismo y de sus implicaciones en la legislación nacional.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>Para ayudar a est</w:t>
      </w:r>
      <w:r w:rsidR="00E9756E">
        <w:rPr>
          <w:lang w:val="es-AR"/>
        </w:rPr>
        <w:t>a cuestión</w:t>
      </w:r>
      <w:r w:rsidRPr="000033F2">
        <w:rPr>
          <w:lang w:val="es-AR"/>
        </w:rPr>
        <w:t>, una Parte</w:t>
      </w:r>
      <w:r w:rsidRPr="000033F2">
        <w:rPr>
          <w:rStyle w:val="FootnoteReference"/>
          <w:lang w:val="es-AR"/>
        </w:rPr>
        <w:footnoteReference w:id="104"/>
      </w:r>
      <w:r w:rsidRPr="000033F2">
        <w:rPr>
          <w:lang w:val="es-AR"/>
        </w:rPr>
        <w:t xml:space="preserve"> abogó </w:t>
      </w:r>
      <w:r w:rsidRPr="000033F2">
        <w:rPr>
          <w:szCs w:val="22"/>
          <w:lang w:val="es-AR"/>
        </w:rPr>
        <w:t xml:space="preserve">la vuelta a </w:t>
      </w:r>
      <w:r w:rsidRPr="000033F2">
        <w:rPr>
          <w:lang w:val="es-AR"/>
        </w:rPr>
        <w:t xml:space="preserve">las </w:t>
      </w:r>
      <w:r w:rsidR="006C3AA7">
        <w:rPr>
          <w:szCs w:val="22"/>
          <w:lang w:val="es-AR"/>
        </w:rPr>
        <w:t>deliberaciones</w:t>
      </w:r>
      <w:r w:rsidRPr="000033F2">
        <w:rPr>
          <w:szCs w:val="22"/>
          <w:lang w:val="es-AR"/>
        </w:rPr>
        <w:t xml:space="preserve"> técnicas en base de listas de preguntas relacionadas con l</w:t>
      </w:r>
      <w:r w:rsidR="00E9756E">
        <w:rPr>
          <w:szCs w:val="22"/>
          <w:lang w:val="es-AR"/>
        </w:rPr>
        <w:t xml:space="preserve">os asuntos </w:t>
      </w:r>
      <w:r w:rsidRPr="000033F2">
        <w:rPr>
          <w:szCs w:val="22"/>
          <w:lang w:val="es-AR"/>
        </w:rPr>
        <w:t xml:space="preserve">que </w:t>
      </w:r>
      <w:r w:rsidR="00206103">
        <w:rPr>
          <w:szCs w:val="22"/>
          <w:lang w:val="es-AR"/>
        </w:rPr>
        <w:t>deben analizarse</w:t>
      </w:r>
      <w:r w:rsidRPr="000033F2">
        <w:rPr>
          <w:szCs w:val="22"/>
          <w:lang w:val="es-AR"/>
        </w:rPr>
        <w:t>.</w:t>
      </w:r>
      <w:r w:rsidRPr="000033F2">
        <w:rPr>
          <w:rStyle w:val="FootnoteReference"/>
          <w:szCs w:val="22"/>
          <w:lang w:val="es-AR"/>
        </w:rPr>
        <w:footnoteReference w:id="105"/>
      </w:r>
      <w:r w:rsidRPr="000033F2">
        <w:rPr>
          <w:lang w:val="es-AR"/>
        </w:rPr>
        <w:t xml:space="preserve"> </w:t>
      </w:r>
    </w:p>
    <w:p w:rsidR="00FB79CA" w:rsidRPr="00206103" w:rsidRDefault="00635DA0" w:rsidP="00206103">
      <w:pPr>
        <w:pStyle w:val="Para1"/>
        <w:tabs>
          <w:tab w:val="clear" w:pos="360"/>
          <w:tab w:val="num" w:pos="720"/>
        </w:tabs>
        <w:rPr>
          <w:lang w:val="es-MX"/>
        </w:rPr>
      </w:pPr>
      <w:r w:rsidRPr="00206103">
        <w:rPr>
          <w:lang w:val="es-MX"/>
        </w:rPr>
        <w:t>Un organismo</w:t>
      </w:r>
      <w:r w:rsidRPr="000033F2">
        <w:rPr>
          <w:rStyle w:val="FootnoteReference"/>
          <w:lang w:val="es-AR"/>
        </w:rPr>
        <w:footnoteReference w:id="106"/>
      </w:r>
      <w:r w:rsidR="00206103" w:rsidRPr="00206103" w:rsidDel="00DC4ECA">
        <w:rPr>
          <w:lang w:val="es-MX"/>
        </w:rPr>
        <w:t xml:space="preserve"> </w:t>
      </w:r>
      <w:r w:rsidR="00206103" w:rsidRPr="00206103">
        <w:rPr>
          <w:lang w:val="es-MX"/>
        </w:rPr>
        <w:t>sug</w:t>
      </w:r>
      <w:r w:rsidR="00206103">
        <w:rPr>
          <w:lang w:val="es-MX"/>
        </w:rPr>
        <w:t xml:space="preserve">irió </w:t>
      </w:r>
      <w:r w:rsidR="00206103" w:rsidRPr="00206103">
        <w:rPr>
          <w:lang w:val="es-MX"/>
        </w:rPr>
        <w:t>que donde el país de origen de un microorganismo no puede ser identificado inequívo</w:t>
      </w:r>
      <w:r w:rsidR="00206103">
        <w:rPr>
          <w:lang w:val="es-MX"/>
        </w:rPr>
        <w:t>camente</w:t>
      </w:r>
      <w:r w:rsidR="00E9756E">
        <w:rPr>
          <w:lang w:val="es-MX"/>
        </w:rPr>
        <w:t>, entonces</w:t>
      </w:r>
      <w:r w:rsidR="00206103" w:rsidRPr="00206103">
        <w:rPr>
          <w:lang w:val="es-MX"/>
        </w:rPr>
        <w:t xml:space="preserve"> un mecanismo</w:t>
      </w:r>
      <w:r w:rsidR="00206103">
        <w:rPr>
          <w:lang w:val="es-MX"/>
        </w:rPr>
        <w:t xml:space="preserve"> mundial</w:t>
      </w:r>
      <w:r w:rsidR="00206103" w:rsidRPr="00206103">
        <w:rPr>
          <w:lang w:val="es-MX"/>
        </w:rPr>
        <w:t xml:space="preserve"> multilateral de </w:t>
      </w:r>
      <w:r w:rsidR="00206103">
        <w:rPr>
          <w:lang w:val="es-MX"/>
        </w:rPr>
        <w:t xml:space="preserve">participación en los beneficios </w:t>
      </w:r>
      <w:r w:rsidR="00206103" w:rsidRPr="00206103">
        <w:rPr>
          <w:lang w:val="es-MX"/>
        </w:rPr>
        <w:t>puede ser útil</w:t>
      </w:r>
      <w:r w:rsidR="00E9756E">
        <w:rPr>
          <w:lang w:val="es-MX"/>
        </w:rPr>
        <w:t>,</w:t>
      </w:r>
      <w:r w:rsidR="00206103" w:rsidRPr="00206103">
        <w:rPr>
          <w:lang w:val="es-MX"/>
        </w:rPr>
        <w:t xml:space="preserve"> siempre y cuando se</w:t>
      </w:r>
      <w:r w:rsidR="00206103">
        <w:rPr>
          <w:lang w:val="es-MX"/>
        </w:rPr>
        <w:t>a eficaz en función de los costos</w:t>
      </w:r>
      <w:r w:rsidR="00206103" w:rsidRPr="00206103">
        <w:rPr>
          <w:lang w:val="es-MX"/>
        </w:rPr>
        <w:t>.</w:t>
      </w:r>
    </w:p>
    <w:p w:rsidR="00FB79CA" w:rsidRPr="000033F2" w:rsidRDefault="00635DA0">
      <w:pPr>
        <w:pStyle w:val="Heading1"/>
        <w:numPr>
          <w:ilvl w:val="0"/>
          <w:numId w:val="6"/>
        </w:numPr>
        <w:rPr>
          <w:lang w:val="es-AR"/>
        </w:rPr>
      </w:pPr>
      <w:r w:rsidRPr="000033F2">
        <w:rPr>
          <w:lang w:val="es-AR"/>
        </w:rPr>
        <w:t>recomendaciones sugeridas</w:t>
      </w:r>
    </w:p>
    <w:p w:rsidR="00FB79CA" w:rsidRPr="000033F2" w:rsidRDefault="00635DA0">
      <w:pPr>
        <w:pStyle w:val="Para1"/>
        <w:numPr>
          <w:ilvl w:val="0"/>
          <w:numId w:val="2"/>
        </w:numPr>
        <w:tabs>
          <w:tab w:val="clear" w:pos="360"/>
        </w:tabs>
        <w:rPr>
          <w:lang w:val="es-AR"/>
        </w:rPr>
      </w:pPr>
      <w:r w:rsidRPr="000033F2">
        <w:rPr>
          <w:lang w:val="es-AR"/>
        </w:rPr>
        <w:t xml:space="preserve">El Órgano Subsidiario sobre la Aplicación </w:t>
      </w:r>
      <w:r w:rsidR="00206103" w:rsidRPr="000033F2">
        <w:rPr>
          <w:lang w:val="es-AR"/>
        </w:rPr>
        <w:t xml:space="preserve">puede querer tomar en consideración </w:t>
      </w:r>
      <w:r w:rsidRPr="000033F2">
        <w:rPr>
          <w:lang w:val="es-AR"/>
        </w:rPr>
        <w:t>la información</w:t>
      </w:r>
      <w:r w:rsidR="00206103">
        <w:rPr>
          <w:lang w:val="es-AR"/>
        </w:rPr>
        <w:t xml:space="preserve"> anterior</w:t>
      </w:r>
      <w:r w:rsidRPr="000033F2">
        <w:rPr>
          <w:lang w:val="es-AR"/>
        </w:rPr>
        <w:t xml:space="preserve"> y, dando seguimiento a</w:t>
      </w:r>
      <w:r w:rsidR="00206103">
        <w:rPr>
          <w:lang w:val="es-AR"/>
        </w:rPr>
        <w:t xml:space="preserve"> la decisión</w:t>
      </w:r>
      <w:r w:rsidRPr="000033F2">
        <w:rPr>
          <w:lang w:val="es-AR"/>
        </w:rPr>
        <w:t xml:space="preserve"> NP-2/10, </w:t>
      </w:r>
      <w:r w:rsidR="00096D97">
        <w:rPr>
          <w:lang w:val="es-AR"/>
        </w:rPr>
        <w:t>apartado</w:t>
      </w:r>
      <w:r w:rsidRPr="000033F2">
        <w:rPr>
          <w:lang w:val="es-AR"/>
        </w:rPr>
        <w:t xml:space="preserve"> 7, explora</w:t>
      </w:r>
      <w:r w:rsidR="00206103">
        <w:rPr>
          <w:lang w:val="es-AR"/>
        </w:rPr>
        <w:t>r</w:t>
      </w:r>
      <w:r w:rsidRPr="000033F2">
        <w:rPr>
          <w:lang w:val="es-AR"/>
        </w:rPr>
        <w:t xml:space="preserve"> la necesidad de un </w:t>
      </w:r>
      <w:r w:rsidR="00096D97">
        <w:rPr>
          <w:lang w:val="es-AR"/>
        </w:rPr>
        <w:t>mecanismo mundial multilateral de participación en los beneficios</w:t>
      </w:r>
      <w:r w:rsidRPr="000033F2">
        <w:rPr>
          <w:lang w:val="es-AR"/>
        </w:rPr>
        <w:t xml:space="preserve"> y hacer las recomendaciones </w:t>
      </w:r>
      <w:r w:rsidR="00096D97">
        <w:rPr>
          <w:lang w:val="es-AR"/>
        </w:rPr>
        <w:t>para consideración de</w:t>
      </w:r>
      <w:r w:rsidRPr="000033F2">
        <w:rPr>
          <w:lang w:val="es-AR"/>
        </w:rPr>
        <w:t xml:space="preserve"> la tercera reunión </w:t>
      </w:r>
      <w:r w:rsidR="00096D97">
        <w:rPr>
          <w:lang w:val="es-AR"/>
        </w:rPr>
        <w:t>de la Conferencia de las Partes que Actúa como Reunión de las Partes en el Protocolo de Nagoya</w:t>
      </w:r>
      <w:r w:rsidRPr="000033F2">
        <w:rPr>
          <w:lang w:val="es-AR"/>
        </w:rPr>
        <w:t>.</w:t>
      </w:r>
    </w:p>
    <w:p w:rsidR="00FB79CA" w:rsidRPr="000033F2" w:rsidRDefault="00635DA0">
      <w:pPr>
        <w:spacing w:before="120" w:after="120"/>
        <w:jc w:val="center"/>
        <w:rPr>
          <w:snapToGrid w:val="0"/>
          <w:kern w:val="22"/>
          <w:szCs w:val="22"/>
          <w:lang w:val="es-AR"/>
        </w:rPr>
      </w:pPr>
      <w:r w:rsidRPr="000033F2">
        <w:rPr>
          <w:snapToGrid w:val="0"/>
          <w:kern w:val="22"/>
          <w:szCs w:val="22"/>
          <w:lang w:val="es-AR"/>
        </w:rPr>
        <w:t>________</w:t>
      </w:r>
    </w:p>
    <w:p w:rsidR="006050AF" w:rsidRPr="000033F2" w:rsidRDefault="006050AF" w:rsidP="006050AF">
      <w:pPr>
        <w:spacing w:before="120" w:after="120"/>
        <w:jc w:val="center"/>
        <w:rPr>
          <w:snapToGrid w:val="0"/>
          <w:kern w:val="22"/>
          <w:szCs w:val="22"/>
          <w:lang w:val="es-AR"/>
        </w:rPr>
      </w:pPr>
    </w:p>
    <w:p w:rsidR="00644DAC" w:rsidRPr="000033F2" w:rsidRDefault="00644DAC" w:rsidP="006050AF">
      <w:pPr>
        <w:rPr>
          <w:lang w:val="es-AR"/>
        </w:rPr>
      </w:pPr>
    </w:p>
    <w:sectPr w:rsidR="00644DAC" w:rsidRPr="000033F2" w:rsidSect="00635DA0">
      <w:headerReference w:type="even" r:id="rId12"/>
      <w:headerReference w:type="default" r:id="rId13"/>
      <w:headerReference w:type="first" r:id="rId14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31" w:rsidRDefault="00E15231" w:rsidP="006050AF">
      <w:r>
        <w:separator/>
      </w:r>
    </w:p>
  </w:endnote>
  <w:endnote w:type="continuationSeparator" w:id="0">
    <w:p w:rsidR="00E15231" w:rsidRDefault="00E15231" w:rsidP="00605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31" w:rsidRDefault="00E15231" w:rsidP="006050AF">
      <w:r>
        <w:separator/>
      </w:r>
    </w:p>
  </w:footnote>
  <w:footnote w:type="continuationSeparator" w:id="0">
    <w:p w:rsidR="00E15231" w:rsidRDefault="00E15231" w:rsidP="006050AF">
      <w:r>
        <w:continuationSeparator/>
      </w:r>
    </w:p>
  </w:footnote>
  <w:footnote w:id="1">
    <w:p w:rsidR="002F08F4" w:rsidRPr="00D51069" w:rsidRDefault="002F08F4" w:rsidP="006050AF">
      <w:pPr>
        <w:pStyle w:val="FootnoteText"/>
        <w:ind w:firstLine="0"/>
        <w:rPr>
          <w:lang w:val="en-US"/>
        </w:rPr>
      </w:pPr>
      <w:r w:rsidRPr="00D51069">
        <w:rPr>
          <w:rStyle w:val="FootnoteReference"/>
        </w:rPr>
        <w:t>*</w:t>
      </w:r>
      <w:r>
        <w:t xml:space="preserve"> CBD/</w:t>
      </w:r>
      <w:r>
        <w:rPr>
          <w:lang w:val="en-US"/>
        </w:rPr>
        <w:t>SBI/2/1.</w:t>
      </w:r>
    </w:p>
  </w:footnote>
  <w:footnote w:id="2">
    <w:p w:rsidR="002F08F4" w:rsidRPr="00730A4B" w:rsidRDefault="002F08F4" w:rsidP="006050AF">
      <w:pPr>
        <w:pStyle w:val="FootnoteText"/>
        <w:ind w:firstLine="0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87B64" w:rsidRPr="007C7BC7">
          <w:rPr>
            <w:rStyle w:val="Hyperlink"/>
          </w:rPr>
          <w:t>https://www.cbd.int/doc/notifications/2017/ntf-2017-017-absch-en.pdf</w:t>
        </w:r>
      </w:hyperlink>
      <w:r>
        <w:t xml:space="preserve">. </w:t>
      </w:r>
    </w:p>
  </w:footnote>
  <w:footnote w:id="3">
    <w:p w:rsidR="002F08F4" w:rsidRPr="00730A4B" w:rsidRDefault="002F08F4" w:rsidP="006050AF">
      <w:pPr>
        <w:pStyle w:val="FootnoteText"/>
        <w:ind w:firstLine="0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1B0687">
          <w:rPr>
            <w:rStyle w:val="Hyperlink"/>
          </w:rPr>
          <w:t>https://www.cbd.int/doc/notifications/2017/ntf-2017-094-abs-en.pdf</w:t>
        </w:r>
      </w:hyperlink>
      <w:r>
        <w:t xml:space="preserve">. </w:t>
      </w:r>
    </w:p>
  </w:footnote>
  <w:footnote w:id="4">
    <w:p w:rsidR="002F08F4" w:rsidRPr="00634F88" w:rsidRDefault="002F08F4" w:rsidP="006050AF">
      <w:pPr>
        <w:pStyle w:val="FootnoteText"/>
        <w:ind w:firstLine="0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1B0687">
          <w:rPr>
            <w:rStyle w:val="Hyperlink"/>
          </w:rPr>
          <w:t>https://www.cbd.int/abs/submissions-np-2-10/default.shtml</w:t>
        </w:r>
      </w:hyperlink>
      <w:r>
        <w:t xml:space="preserve">. </w:t>
      </w:r>
    </w:p>
  </w:footnote>
  <w:footnote w:id="5">
    <w:p w:rsidR="002F08F4" w:rsidRPr="00BA6E1E" w:rsidRDefault="002F08F4" w:rsidP="006050AF">
      <w:pPr>
        <w:pStyle w:val="Para1"/>
        <w:numPr>
          <w:ilvl w:val="0"/>
          <w:numId w:val="0"/>
        </w:numPr>
        <w:spacing w:before="0" w:after="60" w:line="228" w:lineRule="auto"/>
        <w:jc w:val="left"/>
        <w:rPr>
          <w:rFonts w:eastAsia="Calibri"/>
          <w:noProof/>
          <w:kern w:val="22"/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sz w:val="18"/>
          <w:lang w:val="es-MX"/>
        </w:rPr>
        <w:t xml:space="preserve"> Por ej.,</w:t>
      </w:r>
      <w:r w:rsidRPr="00BA6E1E">
        <w:rPr>
          <w:lang w:val="es-MX"/>
        </w:rPr>
        <w:t xml:space="preserve"> </w:t>
      </w:r>
      <w:r w:rsidRPr="00BA6E1E">
        <w:rPr>
          <w:sz w:val="18"/>
          <w:lang w:val="es-MX"/>
        </w:rPr>
        <w:t xml:space="preserve">Albania, Antigua y Barbuda, </w:t>
      </w:r>
      <w:proofErr w:type="spellStart"/>
      <w:r w:rsidRPr="00BA6E1E">
        <w:rPr>
          <w:sz w:val="18"/>
          <w:lang w:val="es-MX"/>
        </w:rPr>
        <w:t>Benin</w:t>
      </w:r>
      <w:proofErr w:type="spellEnd"/>
      <w:r w:rsidRPr="00BA6E1E">
        <w:rPr>
          <w:sz w:val="18"/>
          <w:lang w:val="es-MX"/>
        </w:rPr>
        <w:t xml:space="preserve">, </w:t>
      </w:r>
      <w:proofErr w:type="spellStart"/>
      <w:r>
        <w:rPr>
          <w:sz w:val="18"/>
          <w:lang w:val="es-MX"/>
        </w:rPr>
        <w:t>Bhután</w:t>
      </w:r>
      <w:proofErr w:type="spellEnd"/>
      <w:r w:rsidRPr="00BA6E1E">
        <w:rPr>
          <w:sz w:val="18"/>
          <w:lang w:val="es-MX"/>
        </w:rPr>
        <w:t xml:space="preserve">, Burkina Faso, Burundi, República Democrática del Congo, Etiopía, Finlandia, Honduras, India, Indonesia, </w:t>
      </w:r>
      <w:r>
        <w:rPr>
          <w:sz w:val="18"/>
          <w:lang w:val="es-MX"/>
        </w:rPr>
        <w:t>Japón</w:t>
      </w:r>
      <w:r w:rsidRPr="00BA6E1E">
        <w:rPr>
          <w:sz w:val="18"/>
          <w:lang w:val="es-MX"/>
        </w:rPr>
        <w:t xml:space="preserve">, </w:t>
      </w:r>
      <w:proofErr w:type="spellStart"/>
      <w:r w:rsidRPr="00BA6E1E">
        <w:rPr>
          <w:sz w:val="18"/>
          <w:lang w:val="es-MX"/>
        </w:rPr>
        <w:t>Kenya</w:t>
      </w:r>
      <w:proofErr w:type="spellEnd"/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Kirguistán</w:t>
      </w:r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República Democrática Popular Lao</w:t>
      </w:r>
      <w:r w:rsidRPr="00BA6E1E">
        <w:rPr>
          <w:sz w:val="18"/>
          <w:lang w:val="es-MX"/>
        </w:rPr>
        <w:t xml:space="preserve">, Madagascar, Malawi, Malta, </w:t>
      </w:r>
      <w:r>
        <w:rPr>
          <w:sz w:val="18"/>
          <w:lang w:val="es-MX"/>
        </w:rPr>
        <w:t>Países Bajos</w:t>
      </w:r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Noruega</w:t>
      </w:r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Panamá</w:t>
      </w:r>
      <w:r w:rsidRPr="00BA6E1E">
        <w:rPr>
          <w:sz w:val="18"/>
          <w:lang w:val="es-MX"/>
        </w:rPr>
        <w:t>,</w:t>
      </w:r>
      <w:r>
        <w:rPr>
          <w:sz w:val="18"/>
          <w:lang w:val="es-MX"/>
        </w:rPr>
        <w:t xml:space="preserve"> Perú</w:t>
      </w:r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Sudáfrica</w:t>
      </w:r>
      <w:r w:rsidRPr="00BA6E1E">
        <w:rPr>
          <w:sz w:val="18"/>
          <w:lang w:val="es-MX"/>
        </w:rPr>
        <w:t xml:space="preserve">, </w:t>
      </w:r>
      <w:proofErr w:type="spellStart"/>
      <w:r>
        <w:rPr>
          <w:sz w:val="18"/>
          <w:lang w:val="es-MX"/>
        </w:rPr>
        <w:t>Swazilandia</w:t>
      </w:r>
      <w:proofErr w:type="spellEnd"/>
      <w:r w:rsidRPr="00BA6E1E">
        <w:rPr>
          <w:sz w:val="18"/>
          <w:lang w:val="es-MX"/>
        </w:rPr>
        <w:t xml:space="preserve">, </w:t>
      </w:r>
      <w:r>
        <w:rPr>
          <w:sz w:val="18"/>
          <w:lang w:val="es-MX"/>
        </w:rPr>
        <w:t>Suiza</w:t>
      </w:r>
    </w:p>
  </w:footnote>
  <w:footnote w:id="6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Kenya</w:t>
      </w:r>
      <w:proofErr w:type="spellEnd"/>
      <w:r w:rsidRPr="00BA6E1E">
        <w:rPr>
          <w:lang w:val="es-MX"/>
        </w:rPr>
        <w:t xml:space="preserve">, Kirguistán, República Democrática Popular Lao, Madagascar, </w:t>
      </w:r>
      <w:r>
        <w:rPr>
          <w:lang w:val="es-MX"/>
        </w:rPr>
        <w:t>Noruega</w:t>
      </w:r>
      <w:r w:rsidRPr="00BA6E1E">
        <w:rPr>
          <w:lang w:val="es-MX"/>
        </w:rPr>
        <w:t>,</w:t>
      </w:r>
      <w:r>
        <w:rPr>
          <w:lang w:val="es-MX"/>
        </w:rPr>
        <w:t xml:space="preserve"> Perú</w:t>
      </w:r>
    </w:p>
  </w:footnote>
  <w:footnote w:id="7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Albania, Burundi, </w:t>
      </w:r>
      <w:r>
        <w:rPr>
          <w:lang w:val="es-MX"/>
        </w:rPr>
        <w:t>Marruecos</w:t>
      </w:r>
      <w:r w:rsidRPr="00BA6E1E">
        <w:rPr>
          <w:lang w:val="es-MX"/>
        </w:rPr>
        <w:t xml:space="preserve">, </w:t>
      </w:r>
    </w:p>
  </w:footnote>
  <w:footnote w:id="8">
    <w:p w:rsidR="002F08F4" w:rsidRPr="00AB451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AB4512">
        <w:rPr>
          <w:lang w:val="es-AR"/>
        </w:rPr>
        <w:t xml:space="preserve"> Bulgaria, </w:t>
      </w:r>
      <w:proofErr w:type="spellStart"/>
      <w:r w:rsidRPr="00AB4512">
        <w:rPr>
          <w:lang w:val="es-AR"/>
        </w:rPr>
        <w:t>Rwanda</w:t>
      </w:r>
      <w:proofErr w:type="spellEnd"/>
      <w:r w:rsidRPr="00AB4512">
        <w:rPr>
          <w:lang w:val="es-AR"/>
        </w:rPr>
        <w:t xml:space="preserve"> </w:t>
      </w:r>
    </w:p>
  </w:footnote>
  <w:footnote w:id="9">
    <w:p w:rsidR="002F08F4" w:rsidRPr="00AB451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AB4512">
        <w:rPr>
          <w:lang w:val="es-AR"/>
        </w:rPr>
        <w:t xml:space="preserve"> China </w:t>
      </w:r>
    </w:p>
  </w:footnote>
  <w:footnote w:id="10">
    <w:p w:rsidR="002F08F4" w:rsidRPr="00AB451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AB4512">
        <w:rPr>
          <w:lang w:val="es-AR"/>
        </w:rPr>
        <w:t xml:space="preserve"> Cuba</w:t>
      </w:r>
    </w:p>
  </w:footnote>
  <w:footnote w:id="11">
    <w:p w:rsidR="002F08F4" w:rsidRPr="00AB451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AB4512">
        <w:rPr>
          <w:lang w:val="es-AR"/>
        </w:rPr>
        <w:t xml:space="preserve"> </w:t>
      </w:r>
      <w:r>
        <w:rPr>
          <w:lang w:val="es-AR"/>
        </w:rPr>
        <w:t>Por ej.,</w:t>
      </w:r>
      <w:r w:rsidRPr="00AB4512">
        <w:rPr>
          <w:lang w:val="es-AR"/>
        </w:rPr>
        <w:t xml:space="preserve"> </w:t>
      </w:r>
      <w:proofErr w:type="spellStart"/>
      <w:r w:rsidRPr="00110BFC">
        <w:rPr>
          <w:lang w:val="es-AR"/>
        </w:rPr>
        <w:t>Belarús</w:t>
      </w:r>
      <w:proofErr w:type="spellEnd"/>
      <w:r w:rsidRPr="00110BFC">
        <w:rPr>
          <w:lang w:val="es-AR"/>
        </w:rPr>
        <w:t xml:space="preserve">, </w:t>
      </w:r>
      <w:proofErr w:type="spellStart"/>
      <w:r w:rsidRPr="00110BFC">
        <w:rPr>
          <w:lang w:val="es-AR"/>
        </w:rPr>
        <w:t>Botswana</w:t>
      </w:r>
      <w:proofErr w:type="spellEnd"/>
      <w:r w:rsidRPr="00110BFC">
        <w:rPr>
          <w:lang w:val="es-AR"/>
        </w:rPr>
        <w:t>, Camerún, China, Comoras, Guinea-Bissau, Kazajstán, México, Mongolia, Níger, Pakistán, Santo Tomé y Príncipe, Senegal, Sudán</w:t>
      </w:r>
      <w:r w:rsidRPr="00AB4512">
        <w:rPr>
          <w:lang w:val="es-AR"/>
        </w:rPr>
        <w:t>, Uruguay</w:t>
      </w:r>
      <w:r>
        <w:rPr>
          <w:lang w:val="es-AR"/>
        </w:rPr>
        <w:t>.</w:t>
      </w:r>
    </w:p>
  </w:footnote>
  <w:footnote w:id="12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Perú </w:t>
      </w:r>
    </w:p>
  </w:footnote>
  <w:footnote w:id="13">
    <w:p w:rsidR="002F08F4" w:rsidRPr="00BA6E1E" w:rsidRDefault="002F08F4" w:rsidP="006050AF">
      <w:pPr>
        <w:pStyle w:val="FootnoteText"/>
        <w:ind w:firstLine="0"/>
        <w:rPr>
          <w:rStyle w:val="FootnoteReference"/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rStyle w:val="FootnoteReference"/>
          <w:lang w:val="es-MX"/>
        </w:rPr>
        <w:t xml:space="preserve"> </w:t>
      </w:r>
      <w:r w:rsidRPr="00BA6E1E">
        <w:rPr>
          <w:lang w:val="es-MX"/>
        </w:rPr>
        <w:t xml:space="preserve">Por ej., </w:t>
      </w:r>
      <w:proofErr w:type="spellStart"/>
      <w:r w:rsidRPr="00110BFC">
        <w:rPr>
          <w:lang w:val="es-MX"/>
        </w:rPr>
        <w:t>Benin</w:t>
      </w:r>
      <w:proofErr w:type="spellEnd"/>
      <w:r w:rsidRPr="00110BFC">
        <w:rPr>
          <w:lang w:val="es-MX"/>
        </w:rPr>
        <w:t xml:space="preserve">, </w:t>
      </w:r>
      <w:proofErr w:type="spellStart"/>
      <w:r w:rsidRPr="00110BFC">
        <w:rPr>
          <w:lang w:val="es-MX"/>
        </w:rPr>
        <w:t>Bhután</w:t>
      </w:r>
      <w:proofErr w:type="spellEnd"/>
      <w:r w:rsidRPr="00BA6E1E">
        <w:rPr>
          <w:lang w:val="es-MX"/>
        </w:rPr>
        <w:t xml:space="preserve">, República Democrática Popular Lao, </w:t>
      </w:r>
      <w:r w:rsidRPr="00110BFC">
        <w:rPr>
          <w:lang w:val="es-MX"/>
        </w:rPr>
        <w:t>Mauritania, Santo Tomé y Príncipe</w:t>
      </w:r>
    </w:p>
  </w:footnote>
  <w:footnote w:id="14">
    <w:p w:rsidR="002F08F4" w:rsidRPr="00BA6E1E" w:rsidRDefault="002F08F4" w:rsidP="006050AF">
      <w:pPr>
        <w:pStyle w:val="FootnoteText"/>
        <w:ind w:firstLine="0"/>
        <w:rPr>
          <w:rStyle w:val="FootnoteReference"/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rStyle w:val="FootnoteReference"/>
          <w:lang w:val="es-MX"/>
        </w:rPr>
        <w:t xml:space="preserve"> </w:t>
      </w:r>
      <w:r w:rsidRPr="00BA6E1E">
        <w:rPr>
          <w:lang w:val="es-MX"/>
        </w:rPr>
        <w:t xml:space="preserve">Por ej., Albania,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rStyle w:val="FootnoteReference"/>
          <w:lang w:val="es-MX"/>
        </w:rPr>
        <w:t xml:space="preserve"> </w:t>
      </w:r>
    </w:p>
  </w:footnote>
  <w:footnote w:id="15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r>
        <w:rPr>
          <w:lang w:val="es-MX"/>
        </w:rPr>
        <w:t>República Democrática Popular Lao</w:t>
      </w:r>
    </w:p>
  </w:footnote>
  <w:footnote w:id="16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 </w:t>
      </w:r>
    </w:p>
  </w:footnote>
  <w:footnote w:id="17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Guinea Bissau </w:t>
      </w:r>
    </w:p>
  </w:footnote>
  <w:footnote w:id="18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 </w:t>
      </w:r>
    </w:p>
  </w:footnote>
  <w:footnote w:id="19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r>
        <w:rPr>
          <w:lang w:val="es-MX"/>
        </w:rPr>
        <w:t>Sudáfrica</w:t>
      </w:r>
      <w:r w:rsidRPr="00BA6E1E">
        <w:rPr>
          <w:lang w:val="es-MX"/>
        </w:rPr>
        <w:t xml:space="preserve">, Cuba </w:t>
      </w:r>
    </w:p>
  </w:footnote>
  <w:footnote w:id="20">
    <w:p w:rsidR="002F08F4" w:rsidRPr="00E943C5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E943C5">
        <w:rPr>
          <w:lang w:val="es-AR"/>
        </w:rPr>
        <w:t xml:space="preserve"> </w:t>
      </w:r>
      <w:r>
        <w:rPr>
          <w:lang w:val="es-AR"/>
        </w:rPr>
        <w:t>Por ej.,</w:t>
      </w:r>
      <w:r w:rsidRPr="00E943C5">
        <w:rPr>
          <w:lang w:val="es-AR"/>
        </w:rPr>
        <w:t xml:space="preserve"> Cuba </w:t>
      </w:r>
    </w:p>
  </w:footnote>
  <w:footnote w:id="21">
    <w:p w:rsidR="002F08F4" w:rsidRPr="00E943C5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E943C5">
        <w:rPr>
          <w:lang w:val="es-AR"/>
        </w:rPr>
        <w:t xml:space="preserve"> </w:t>
      </w:r>
      <w:r>
        <w:rPr>
          <w:lang w:val="es-AR"/>
        </w:rPr>
        <w:t>Por ej.,</w:t>
      </w:r>
      <w:r w:rsidRPr="00E943C5">
        <w:rPr>
          <w:lang w:val="es-AR"/>
        </w:rPr>
        <w:t xml:space="preserve"> </w:t>
      </w:r>
      <w:r>
        <w:rPr>
          <w:lang w:val="es-AR"/>
        </w:rPr>
        <w:t>República Bolivariana de Venezuela</w:t>
      </w:r>
    </w:p>
  </w:footnote>
  <w:footnote w:id="22">
    <w:p w:rsidR="002F08F4" w:rsidRPr="008C046C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8C046C">
        <w:rPr>
          <w:lang w:val="es-MX"/>
        </w:rPr>
        <w:t xml:space="preserve"> Por ej., Antigua y Barbuda</w:t>
      </w:r>
      <w:r>
        <w:rPr>
          <w:lang w:val="es-MX"/>
        </w:rPr>
        <w:t>,</w:t>
      </w:r>
      <w:r w:rsidRPr="008C046C">
        <w:rPr>
          <w:lang w:val="es-MX"/>
        </w:rPr>
        <w:t xml:space="preserve"> Bélgica, Bulgaria, República Checa, Dinamarca, Estonia, Finlandia, Francia, Alemania, Hungría, Malta, Países Bajos, Perú, Polonia, Portugal, Eslovaquia, España, Suecia, Reino Unido de Gran Bretaña e Irlanda del Norte, </w:t>
      </w:r>
      <w:proofErr w:type="spellStart"/>
      <w:r w:rsidRPr="008C046C">
        <w:rPr>
          <w:lang w:val="es-MX"/>
        </w:rPr>
        <w:t>Viet</w:t>
      </w:r>
      <w:proofErr w:type="spellEnd"/>
      <w:r w:rsidRPr="008C046C">
        <w:rPr>
          <w:lang w:val="es-MX"/>
        </w:rPr>
        <w:t xml:space="preserve"> </w:t>
      </w:r>
      <w:proofErr w:type="spellStart"/>
      <w:r w:rsidRPr="008C046C">
        <w:rPr>
          <w:lang w:val="es-MX"/>
        </w:rPr>
        <w:t>Nam</w:t>
      </w:r>
      <w:proofErr w:type="spellEnd"/>
      <w:r w:rsidRPr="008C046C">
        <w:rPr>
          <w:lang w:val="es-MX"/>
        </w:rPr>
        <w:t>.</w:t>
      </w:r>
    </w:p>
  </w:footnote>
  <w:footnote w:id="23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Albania.</w:t>
      </w:r>
    </w:p>
  </w:footnote>
  <w:footnote w:id="24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Burkina Faso,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, </w:t>
      </w:r>
      <w:proofErr w:type="spellStart"/>
      <w:r w:rsidRPr="00BA6E1E">
        <w:rPr>
          <w:lang w:val="es-MX"/>
        </w:rPr>
        <w:t>Botswana</w:t>
      </w:r>
      <w:proofErr w:type="spellEnd"/>
      <w:r w:rsidRPr="00BA6E1E">
        <w:rPr>
          <w:lang w:val="es-MX"/>
        </w:rPr>
        <w:t xml:space="preserve">, República Democrática del Congo, </w:t>
      </w:r>
      <w:proofErr w:type="spellStart"/>
      <w:r w:rsidRPr="00BA6E1E">
        <w:rPr>
          <w:lang w:val="es-MX"/>
        </w:rPr>
        <w:t>Côte</w:t>
      </w:r>
      <w:proofErr w:type="spellEnd"/>
      <w:r w:rsidRPr="00BA6E1E">
        <w:rPr>
          <w:lang w:val="es-MX"/>
        </w:rPr>
        <w:t xml:space="preserve"> </w:t>
      </w:r>
      <w:proofErr w:type="spellStart"/>
      <w:r w:rsidRPr="00BA6E1E">
        <w:rPr>
          <w:lang w:val="es-MX"/>
        </w:rPr>
        <w:t>d’Ivoire</w:t>
      </w:r>
      <w:proofErr w:type="spellEnd"/>
      <w:r w:rsidRPr="00BA6E1E">
        <w:rPr>
          <w:lang w:val="es-MX"/>
        </w:rPr>
        <w:t>, Camer</w:t>
      </w:r>
      <w:r>
        <w:rPr>
          <w:lang w:val="es-MX"/>
        </w:rPr>
        <w:t>ún</w:t>
      </w:r>
      <w:r w:rsidRPr="00BA6E1E">
        <w:rPr>
          <w:lang w:val="es-MX"/>
        </w:rPr>
        <w:t xml:space="preserve">, </w:t>
      </w:r>
      <w:r>
        <w:rPr>
          <w:lang w:val="es-MX"/>
        </w:rPr>
        <w:t>Etiopía</w:t>
      </w:r>
      <w:r w:rsidRPr="00BA6E1E">
        <w:rPr>
          <w:lang w:val="es-MX"/>
        </w:rPr>
        <w:t xml:space="preserve">, Guinea, Guinea Bissau, India, </w:t>
      </w:r>
      <w:r>
        <w:rPr>
          <w:lang w:val="es-MX"/>
        </w:rPr>
        <w:t>República Democrática Popular Lao</w:t>
      </w:r>
      <w:r w:rsidRPr="00BA6E1E">
        <w:rPr>
          <w:lang w:val="es-MX"/>
        </w:rPr>
        <w:t>, Pakis</w:t>
      </w:r>
      <w:r>
        <w:rPr>
          <w:lang w:val="es-MX"/>
        </w:rPr>
        <w:t>tá</w:t>
      </w:r>
      <w:r w:rsidRPr="00BA6E1E">
        <w:rPr>
          <w:lang w:val="es-MX"/>
        </w:rPr>
        <w:t xml:space="preserve">n, </w:t>
      </w:r>
      <w:r>
        <w:rPr>
          <w:lang w:val="es-MX"/>
        </w:rPr>
        <w:t>Sudáfrica</w:t>
      </w:r>
      <w:r w:rsidRPr="00BA6E1E">
        <w:rPr>
          <w:lang w:val="es-MX"/>
        </w:rPr>
        <w:t>.</w:t>
      </w:r>
    </w:p>
  </w:footnote>
  <w:footnote w:id="25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</w:t>
      </w:r>
      <w:proofErr w:type="spellStart"/>
      <w:r w:rsidRPr="00066EC9">
        <w:rPr>
          <w:lang w:val="es-MX"/>
        </w:rPr>
        <w:t>Rwanda</w:t>
      </w:r>
      <w:proofErr w:type="spellEnd"/>
      <w:r w:rsidRPr="00066EC9">
        <w:rPr>
          <w:lang w:val="es-MX"/>
        </w:rPr>
        <w:t>.</w:t>
      </w:r>
    </w:p>
  </w:footnote>
  <w:footnote w:id="26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Togo. </w:t>
      </w:r>
    </w:p>
  </w:footnote>
  <w:footnote w:id="27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</w:t>
      </w:r>
      <w:proofErr w:type="spellStart"/>
      <w:r w:rsidRPr="00A40A8C">
        <w:rPr>
          <w:lang w:val="es-MX"/>
        </w:rPr>
        <w:t>Bhután</w:t>
      </w:r>
      <w:proofErr w:type="spellEnd"/>
      <w:r w:rsidRPr="00BA6E1E">
        <w:rPr>
          <w:lang w:val="es-MX"/>
        </w:rPr>
        <w:t xml:space="preserve">, Burundi, Finlandia, </w:t>
      </w:r>
      <w:r>
        <w:rPr>
          <w:lang w:val="es-MX"/>
        </w:rPr>
        <w:t>Japón</w:t>
      </w:r>
      <w:r w:rsidRPr="00BA6E1E">
        <w:rPr>
          <w:lang w:val="es-MX"/>
        </w:rPr>
        <w:t xml:space="preserve">, </w:t>
      </w:r>
      <w:proofErr w:type="spellStart"/>
      <w:r w:rsidRPr="00BA6E1E">
        <w:rPr>
          <w:lang w:val="es-MX"/>
        </w:rPr>
        <w:t>Kenya</w:t>
      </w:r>
      <w:proofErr w:type="spellEnd"/>
      <w:r w:rsidRPr="00BA6E1E">
        <w:rPr>
          <w:lang w:val="es-MX"/>
        </w:rPr>
        <w:t xml:space="preserve">, Madagascar, Malta, </w:t>
      </w:r>
      <w:r w:rsidRPr="00A40A8C">
        <w:rPr>
          <w:lang w:val="es-MX"/>
        </w:rPr>
        <w:t>Suecia</w:t>
      </w:r>
      <w:r w:rsidRPr="00BA6E1E">
        <w:rPr>
          <w:lang w:val="es-MX"/>
        </w:rPr>
        <w:t xml:space="preserve">, </w:t>
      </w:r>
      <w:r>
        <w:rPr>
          <w:lang w:val="es-MX"/>
        </w:rPr>
        <w:t>Suiza</w:t>
      </w:r>
      <w:r w:rsidRPr="00BA6E1E">
        <w:rPr>
          <w:lang w:val="es-MX"/>
        </w:rPr>
        <w:t>, Uganda.</w:t>
      </w:r>
    </w:p>
  </w:footnote>
  <w:footnote w:id="28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Japón, </w:t>
      </w:r>
      <w:r>
        <w:rPr>
          <w:rFonts w:eastAsia="Calibri"/>
          <w:snapToGrid w:val="0"/>
          <w:kern w:val="22"/>
          <w:lang w:val="es-MX"/>
        </w:rPr>
        <w:t>Marruecos</w:t>
      </w:r>
      <w:r w:rsidRPr="00BA6E1E">
        <w:rPr>
          <w:rFonts w:eastAsia="Calibri"/>
          <w:snapToGrid w:val="0"/>
          <w:kern w:val="22"/>
          <w:lang w:val="es-MX"/>
        </w:rPr>
        <w:t xml:space="preserve">, Países Bajos, </w:t>
      </w:r>
      <w:r>
        <w:rPr>
          <w:rFonts w:eastAsia="Calibri"/>
          <w:snapToGrid w:val="0"/>
          <w:kern w:val="22"/>
          <w:lang w:val="es-MX"/>
        </w:rPr>
        <w:t>Noruega</w:t>
      </w:r>
      <w:r w:rsidRPr="00BA6E1E">
        <w:rPr>
          <w:rFonts w:eastAsia="Calibri"/>
          <w:snapToGrid w:val="0"/>
          <w:kern w:val="22"/>
          <w:lang w:val="es-MX"/>
        </w:rPr>
        <w:t xml:space="preserve">, Portugal, </w:t>
      </w:r>
      <w:r w:rsidRPr="00A40A8C">
        <w:rPr>
          <w:rFonts w:eastAsia="Calibri"/>
          <w:snapToGrid w:val="0"/>
          <w:kern w:val="22"/>
          <w:lang w:val="es-MX"/>
        </w:rPr>
        <w:t>España</w:t>
      </w:r>
      <w:r w:rsidRPr="00BA6E1E">
        <w:rPr>
          <w:rFonts w:eastAsia="Calibri"/>
          <w:snapToGrid w:val="0"/>
          <w:kern w:val="22"/>
          <w:lang w:val="es-MX"/>
        </w:rPr>
        <w:t>.</w:t>
      </w:r>
    </w:p>
  </w:footnote>
  <w:footnote w:id="29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r w:rsidRPr="00A40A8C">
        <w:rPr>
          <w:lang w:val="es-MX"/>
        </w:rPr>
        <w:t xml:space="preserve">Antigua y Barbuda, </w:t>
      </w:r>
      <w:proofErr w:type="spellStart"/>
      <w:r w:rsidRPr="00A40A8C">
        <w:rPr>
          <w:lang w:val="es-MX"/>
        </w:rPr>
        <w:t>Benin</w:t>
      </w:r>
      <w:proofErr w:type="spellEnd"/>
      <w:r w:rsidRPr="00A40A8C">
        <w:rPr>
          <w:lang w:val="es-MX"/>
        </w:rPr>
        <w:t xml:space="preserve">, </w:t>
      </w:r>
      <w:proofErr w:type="spellStart"/>
      <w:r w:rsidRPr="00A40A8C">
        <w:rPr>
          <w:lang w:val="es-MX"/>
        </w:rPr>
        <w:t>Bhután</w:t>
      </w:r>
      <w:proofErr w:type="spellEnd"/>
      <w:r w:rsidRPr="00A40A8C">
        <w:rPr>
          <w:lang w:val="es-MX"/>
        </w:rPr>
        <w:t xml:space="preserve">, Burkina Faso, </w:t>
      </w:r>
      <w:r>
        <w:rPr>
          <w:lang w:val="es-MX"/>
        </w:rPr>
        <w:t xml:space="preserve">República Democrática </w:t>
      </w:r>
      <w:r w:rsidRPr="00A40A8C">
        <w:rPr>
          <w:lang w:val="es-MX"/>
        </w:rPr>
        <w:t xml:space="preserve">del Congo, Etiopía, Finlandia, Francia, India, </w:t>
      </w:r>
      <w:proofErr w:type="spellStart"/>
      <w:r w:rsidRPr="00A40A8C">
        <w:rPr>
          <w:lang w:val="es-MX"/>
        </w:rPr>
        <w:t>Kenya</w:t>
      </w:r>
      <w:proofErr w:type="spellEnd"/>
      <w:r w:rsidRPr="00A40A8C">
        <w:rPr>
          <w:lang w:val="es-MX"/>
        </w:rPr>
        <w:t xml:space="preserve">, Madagascar, México, Marruecos, Noruega, Panamá, Perú, </w:t>
      </w:r>
      <w:proofErr w:type="spellStart"/>
      <w:r w:rsidRPr="00A40A8C">
        <w:rPr>
          <w:lang w:val="es-MX"/>
        </w:rPr>
        <w:t>Swazilandia</w:t>
      </w:r>
      <w:proofErr w:type="spellEnd"/>
      <w:r w:rsidRPr="00BA6E1E">
        <w:rPr>
          <w:lang w:val="es-MX"/>
        </w:rPr>
        <w:t xml:space="preserve">. </w:t>
      </w:r>
    </w:p>
  </w:footnote>
  <w:footnote w:id="30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M</w:t>
      </w:r>
      <w:r>
        <w:rPr>
          <w:lang w:val="es-MX"/>
        </w:rPr>
        <w:t>é</w:t>
      </w:r>
      <w:r w:rsidRPr="00BA6E1E">
        <w:rPr>
          <w:lang w:val="es-MX"/>
        </w:rPr>
        <w:t>xico.</w:t>
      </w:r>
    </w:p>
  </w:footnote>
  <w:footnote w:id="31">
    <w:p w:rsidR="002F08F4" w:rsidRPr="00BA6E1E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BA6E1E">
        <w:rPr>
          <w:lang w:val="es-MX"/>
        </w:rPr>
        <w:t xml:space="preserve">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, China, </w:t>
      </w:r>
      <w:r>
        <w:rPr>
          <w:lang w:val="es-MX"/>
        </w:rPr>
        <w:t>Finlandia</w:t>
      </w:r>
      <w:r w:rsidRPr="00BA6E1E">
        <w:rPr>
          <w:lang w:val="es-MX"/>
        </w:rPr>
        <w:t xml:space="preserve">, India, </w:t>
      </w:r>
      <w:r>
        <w:rPr>
          <w:lang w:val="es-MX"/>
        </w:rPr>
        <w:t>Noruega</w:t>
      </w:r>
      <w:r w:rsidRPr="00BA6E1E">
        <w:rPr>
          <w:lang w:val="es-MX"/>
        </w:rPr>
        <w:t>,</w:t>
      </w:r>
      <w:r>
        <w:rPr>
          <w:lang w:val="es-MX"/>
        </w:rPr>
        <w:t xml:space="preserve"> Perú</w:t>
      </w:r>
      <w:r w:rsidRPr="00BA6E1E">
        <w:rPr>
          <w:lang w:val="es-MX"/>
        </w:rPr>
        <w:t>.</w:t>
      </w:r>
    </w:p>
  </w:footnote>
  <w:footnote w:id="32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Burundi, Camer</w:t>
      </w:r>
      <w:r>
        <w:rPr>
          <w:lang w:val="es-MX"/>
        </w:rPr>
        <w:t>ú</w:t>
      </w:r>
      <w:r w:rsidRPr="00BA6E1E">
        <w:rPr>
          <w:lang w:val="es-MX"/>
        </w:rPr>
        <w:t xml:space="preserve">n, </w:t>
      </w:r>
      <w:proofErr w:type="spellStart"/>
      <w:r w:rsidRPr="00BA6E1E">
        <w:rPr>
          <w:lang w:val="es-MX"/>
        </w:rPr>
        <w:t>Côte</w:t>
      </w:r>
      <w:proofErr w:type="spellEnd"/>
      <w:r w:rsidRPr="00BA6E1E">
        <w:rPr>
          <w:lang w:val="es-MX"/>
        </w:rPr>
        <w:t xml:space="preserve"> </w:t>
      </w:r>
      <w:proofErr w:type="spellStart"/>
      <w:r w:rsidRPr="00BA6E1E">
        <w:rPr>
          <w:lang w:val="es-MX"/>
        </w:rPr>
        <w:t>d’Ivoire</w:t>
      </w:r>
      <w:proofErr w:type="spellEnd"/>
      <w:r w:rsidRPr="00BA6E1E">
        <w:rPr>
          <w:lang w:val="es-MX"/>
        </w:rPr>
        <w:t xml:space="preserve">, </w:t>
      </w:r>
      <w:r w:rsidRPr="00A25185">
        <w:rPr>
          <w:lang w:val="es-MX"/>
        </w:rPr>
        <w:t>República Dominicana</w:t>
      </w:r>
      <w:r w:rsidRPr="00BA6E1E">
        <w:rPr>
          <w:lang w:val="es-MX"/>
        </w:rPr>
        <w:t xml:space="preserve">, Guinea, Guinea-Bissau, Mongolia, </w:t>
      </w:r>
      <w:r w:rsidRPr="00A25185">
        <w:rPr>
          <w:lang w:val="es-MX"/>
        </w:rPr>
        <w:t>Níger, Pakistán, Senegal, Sudán</w:t>
      </w:r>
      <w:r w:rsidRPr="00BA6E1E">
        <w:rPr>
          <w:lang w:val="es-MX"/>
        </w:rPr>
        <w:t>, Togo.</w:t>
      </w:r>
    </w:p>
  </w:footnote>
  <w:footnote w:id="33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>, Camer</w:t>
      </w:r>
      <w:r>
        <w:rPr>
          <w:lang w:val="es-MX"/>
        </w:rPr>
        <w:t>ú</w:t>
      </w:r>
      <w:r w:rsidRPr="00BA6E1E">
        <w:rPr>
          <w:lang w:val="es-MX"/>
        </w:rPr>
        <w:t xml:space="preserve">n, República Democrática del Congo, </w:t>
      </w:r>
      <w:proofErr w:type="spellStart"/>
      <w:r w:rsidRPr="00BA6E1E">
        <w:rPr>
          <w:lang w:val="es-MX"/>
        </w:rPr>
        <w:t>Kenya</w:t>
      </w:r>
      <w:proofErr w:type="spellEnd"/>
      <w:r w:rsidRPr="00BA6E1E">
        <w:rPr>
          <w:lang w:val="es-MX"/>
        </w:rPr>
        <w:t>.</w:t>
      </w:r>
    </w:p>
  </w:footnote>
  <w:footnote w:id="34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Bhut</w:t>
      </w:r>
      <w:r>
        <w:rPr>
          <w:lang w:val="es-MX"/>
        </w:rPr>
        <w:t>á</w:t>
      </w:r>
      <w:r w:rsidRPr="00BA6E1E">
        <w:rPr>
          <w:lang w:val="es-MX"/>
        </w:rPr>
        <w:t>n</w:t>
      </w:r>
      <w:proofErr w:type="spellEnd"/>
      <w:r w:rsidRPr="00BA6E1E">
        <w:rPr>
          <w:lang w:val="es-MX"/>
        </w:rPr>
        <w:t xml:space="preserve">, </w:t>
      </w:r>
      <w:r>
        <w:rPr>
          <w:lang w:val="es-MX"/>
        </w:rPr>
        <w:t>Etiopía</w:t>
      </w:r>
      <w:r w:rsidRPr="00BA6E1E">
        <w:rPr>
          <w:lang w:val="es-MX"/>
        </w:rPr>
        <w:t xml:space="preserve">, India, </w:t>
      </w:r>
      <w:proofErr w:type="spellStart"/>
      <w:r>
        <w:rPr>
          <w:lang w:val="es-MX"/>
        </w:rPr>
        <w:t>Swazilandia</w:t>
      </w:r>
      <w:proofErr w:type="spellEnd"/>
      <w:r w:rsidRPr="00BA6E1E">
        <w:rPr>
          <w:lang w:val="es-MX"/>
        </w:rPr>
        <w:t>,</w:t>
      </w:r>
      <w:r>
        <w:rPr>
          <w:lang w:val="es-MX"/>
        </w:rPr>
        <w:t xml:space="preserve"> Perú</w:t>
      </w:r>
      <w:r w:rsidRPr="00BA6E1E">
        <w:rPr>
          <w:lang w:val="es-MX"/>
        </w:rPr>
        <w:t xml:space="preserve">. </w:t>
      </w:r>
    </w:p>
  </w:footnote>
  <w:footnote w:id="35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</w:t>
      </w:r>
      <w:proofErr w:type="spellStart"/>
      <w:r w:rsidRPr="00066EC9">
        <w:rPr>
          <w:lang w:val="es-MX"/>
        </w:rPr>
        <w:t>Benin</w:t>
      </w:r>
      <w:proofErr w:type="spellEnd"/>
      <w:r w:rsidRPr="00066EC9">
        <w:rPr>
          <w:lang w:val="es-MX"/>
        </w:rPr>
        <w:t xml:space="preserve">. </w:t>
      </w:r>
    </w:p>
  </w:footnote>
  <w:footnote w:id="36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Burkina Faso, Burundi, República Democrática del Congo, Malawi, </w:t>
      </w:r>
      <w:r w:rsidRPr="00A25185">
        <w:rPr>
          <w:lang w:val="es-MX"/>
        </w:rPr>
        <w:t>México, Suecia</w:t>
      </w:r>
      <w:r w:rsidRPr="00BA6E1E">
        <w:rPr>
          <w:lang w:val="es-MX"/>
        </w:rPr>
        <w:t>, Uganda.</w:t>
      </w:r>
    </w:p>
  </w:footnote>
  <w:footnote w:id="37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Por ej., </w:t>
      </w:r>
      <w:proofErr w:type="spellStart"/>
      <w:r w:rsidRPr="00066EC9">
        <w:rPr>
          <w:lang w:val="es-MX"/>
        </w:rPr>
        <w:t>Botswana</w:t>
      </w:r>
      <w:proofErr w:type="spellEnd"/>
      <w:r w:rsidRPr="00066EC9">
        <w:rPr>
          <w:lang w:val="es-MX"/>
        </w:rPr>
        <w:t xml:space="preserve">, </w:t>
      </w:r>
      <w:proofErr w:type="spellStart"/>
      <w:r w:rsidRPr="00066EC9">
        <w:rPr>
          <w:lang w:val="es-MX"/>
        </w:rPr>
        <w:t>Côte</w:t>
      </w:r>
      <w:proofErr w:type="spellEnd"/>
      <w:r w:rsidRPr="00066EC9">
        <w:rPr>
          <w:lang w:val="es-MX"/>
        </w:rPr>
        <w:t xml:space="preserve"> </w:t>
      </w:r>
      <w:proofErr w:type="spellStart"/>
      <w:r w:rsidRPr="00066EC9">
        <w:rPr>
          <w:lang w:val="es-MX"/>
        </w:rPr>
        <w:t>d’Ivoire</w:t>
      </w:r>
      <w:proofErr w:type="spellEnd"/>
      <w:r w:rsidRPr="00066EC9">
        <w:rPr>
          <w:lang w:val="es-MX"/>
        </w:rPr>
        <w:t xml:space="preserve">, </w:t>
      </w:r>
      <w:r w:rsidRPr="00805FDC">
        <w:rPr>
          <w:lang w:val="es-MX"/>
        </w:rPr>
        <w:t>Guinea, Guinea-Bissau, Mauritania, Mongolia, Níger, Pakistán, Sudán, Uruguay.</w:t>
      </w:r>
    </w:p>
  </w:footnote>
  <w:footnote w:id="38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, Burkina Faso, </w:t>
      </w:r>
      <w:r>
        <w:rPr>
          <w:lang w:val="es-MX"/>
        </w:rPr>
        <w:t>Camerún</w:t>
      </w:r>
      <w:r w:rsidRPr="00BA6E1E">
        <w:rPr>
          <w:lang w:val="es-MX"/>
        </w:rPr>
        <w:t xml:space="preserve">, </w:t>
      </w:r>
      <w:r>
        <w:rPr>
          <w:lang w:val="es-MX"/>
        </w:rPr>
        <w:t>Etiopía</w:t>
      </w:r>
      <w:r w:rsidRPr="00BA6E1E">
        <w:rPr>
          <w:lang w:val="es-MX"/>
        </w:rPr>
        <w:t xml:space="preserve">, India, Malawi, </w:t>
      </w:r>
      <w:r>
        <w:rPr>
          <w:lang w:val="es-MX"/>
        </w:rPr>
        <w:t>Marruecos</w:t>
      </w:r>
      <w:r w:rsidRPr="00BA6E1E">
        <w:rPr>
          <w:lang w:val="es-MX"/>
        </w:rPr>
        <w:t xml:space="preserve">, </w:t>
      </w:r>
      <w:r>
        <w:rPr>
          <w:lang w:val="es-MX"/>
        </w:rPr>
        <w:t>Sudáfrica</w:t>
      </w:r>
      <w:r w:rsidRPr="00BA6E1E">
        <w:rPr>
          <w:lang w:val="es-MX"/>
        </w:rPr>
        <w:t>.</w:t>
      </w:r>
    </w:p>
  </w:footnote>
  <w:footnote w:id="39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r>
        <w:rPr>
          <w:rFonts w:eastAsia="Calibri"/>
          <w:snapToGrid w:val="0"/>
          <w:kern w:val="22"/>
          <w:lang w:val="es-MX"/>
        </w:rPr>
        <w:t>Antigua y Barbuda</w:t>
      </w:r>
      <w:r w:rsidRPr="00BA6E1E">
        <w:rPr>
          <w:rFonts w:eastAsia="Calibri"/>
          <w:snapToGrid w:val="0"/>
          <w:kern w:val="22"/>
          <w:lang w:val="es-MX"/>
        </w:rPr>
        <w:t xml:space="preserve">, </w:t>
      </w:r>
      <w:proofErr w:type="spellStart"/>
      <w:r w:rsidRPr="00BA6E1E">
        <w:rPr>
          <w:rFonts w:eastAsia="Calibri"/>
          <w:snapToGrid w:val="0"/>
          <w:kern w:val="22"/>
          <w:lang w:val="es-MX"/>
        </w:rPr>
        <w:t>Benin</w:t>
      </w:r>
      <w:proofErr w:type="spellEnd"/>
      <w:r w:rsidRPr="00BA6E1E">
        <w:rPr>
          <w:rFonts w:eastAsia="Calibri"/>
          <w:snapToGrid w:val="0"/>
          <w:kern w:val="22"/>
          <w:lang w:val="es-MX"/>
        </w:rPr>
        <w:t xml:space="preserve">, </w:t>
      </w:r>
      <w:proofErr w:type="spellStart"/>
      <w:r>
        <w:rPr>
          <w:rFonts w:eastAsia="Calibri"/>
          <w:snapToGrid w:val="0"/>
          <w:kern w:val="22"/>
          <w:lang w:val="es-MX"/>
        </w:rPr>
        <w:t>Bhután</w:t>
      </w:r>
      <w:proofErr w:type="spellEnd"/>
      <w:r w:rsidRPr="00BA6E1E">
        <w:rPr>
          <w:rFonts w:eastAsia="Calibri"/>
          <w:snapToGrid w:val="0"/>
          <w:kern w:val="22"/>
          <w:lang w:val="es-MX"/>
        </w:rPr>
        <w:t xml:space="preserve">, </w:t>
      </w:r>
      <w:r>
        <w:rPr>
          <w:rFonts w:eastAsia="Calibri"/>
          <w:snapToGrid w:val="0"/>
          <w:kern w:val="22"/>
          <w:lang w:val="es-MX"/>
        </w:rPr>
        <w:t>Etiopía</w:t>
      </w:r>
      <w:r w:rsidRPr="00BA6E1E">
        <w:rPr>
          <w:rFonts w:eastAsia="Calibri"/>
          <w:snapToGrid w:val="0"/>
          <w:kern w:val="22"/>
          <w:lang w:val="es-MX"/>
        </w:rPr>
        <w:t>, India,</w:t>
      </w:r>
      <w:r>
        <w:rPr>
          <w:rFonts w:eastAsia="Calibri"/>
          <w:snapToGrid w:val="0"/>
          <w:kern w:val="22"/>
          <w:lang w:val="es-MX"/>
        </w:rPr>
        <w:t xml:space="preserve"> Perú</w:t>
      </w:r>
      <w:r w:rsidRPr="00BA6E1E">
        <w:rPr>
          <w:rFonts w:eastAsia="Calibri"/>
          <w:snapToGrid w:val="0"/>
          <w:kern w:val="22"/>
          <w:lang w:val="es-MX"/>
        </w:rPr>
        <w:t xml:space="preserve">. </w:t>
      </w:r>
    </w:p>
  </w:footnote>
  <w:footnote w:id="40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BA6E1E">
        <w:rPr>
          <w:lang w:val="es-MX"/>
        </w:rPr>
        <w:t>Benin</w:t>
      </w:r>
      <w:proofErr w:type="spellEnd"/>
      <w:r w:rsidRPr="00BA6E1E">
        <w:rPr>
          <w:lang w:val="es-MX"/>
        </w:rPr>
        <w:t xml:space="preserve">. </w:t>
      </w:r>
    </w:p>
  </w:footnote>
  <w:footnote w:id="41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Burundi, </w:t>
      </w:r>
      <w:r>
        <w:rPr>
          <w:lang w:val="es-MX"/>
        </w:rPr>
        <w:t>Camerún</w:t>
      </w:r>
      <w:r w:rsidRPr="00BA6E1E">
        <w:rPr>
          <w:lang w:val="es-MX"/>
        </w:rPr>
        <w:t xml:space="preserve">, China, India, </w:t>
      </w:r>
      <w:proofErr w:type="spellStart"/>
      <w:r w:rsidRPr="00BA6E1E">
        <w:rPr>
          <w:lang w:val="es-MX"/>
        </w:rPr>
        <w:t>Kenya</w:t>
      </w:r>
      <w:proofErr w:type="spellEnd"/>
      <w:r w:rsidRPr="00BA6E1E">
        <w:rPr>
          <w:lang w:val="es-MX"/>
        </w:rPr>
        <w:t>.</w:t>
      </w:r>
    </w:p>
  </w:footnote>
  <w:footnote w:id="42">
    <w:p w:rsidR="002F08F4" w:rsidRPr="00E943C5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E943C5">
        <w:rPr>
          <w:lang w:val="es-AR"/>
        </w:rPr>
        <w:t xml:space="preserve"> </w:t>
      </w:r>
      <w:r>
        <w:rPr>
          <w:lang w:val="es-AR"/>
        </w:rPr>
        <w:t>Por ej.,</w:t>
      </w:r>
      <w:r w:rsidRPr="00E943C5">
        <w:rPr>
          <w:lang w:val="es-AR"/>
        </w:rPr>
        <w:t xml:space="preserve"> </w:t>
      </w:r>
      <w:r>
        <w:rPr>
          <w:rFonts w:eastAsia="Calibri"/>
          <w:snapToGrid w:val="0"/>
          <w:kern w:val="22"/>
          <w:lang w:val="es-AR"/>
        </w:rPr>
        <w:t>Comoras</w:t>
      </w:r>
      <w:r w:rsidRPr="00E943C5">
        <w:rPr>
          <w:rFonts w:eastAsia="Calibri"/>
          <w:snapToGrid w:val="0"/>
          <w:kern w:val="22"/>
          <w:lang w:val="es-AR"/>
        </w:rPr>
        <w:t xml:space="preserve">, </w:t>
      </w:r>
      <w:r>
        <w:rPr>
          <w:rFonts w:eastAsia="Calibri"/>
          <w:snapToGrid w:val="0"/>
          <w:kern w:val="22"/>
          <w:lang w:val="es-AR"/>
        </w:rPr>
        <w:t>Etiopía</w:t>
      </w:r>
      <w:r w:rsidRPr="00E943C5">
        <w:rPr>
          <w:rFonts w:eastAsia="Calibri"/>
          <w:snapToGrid w:val="0"/>
          <w:kern w:val="22"/>
          <w:lang w:val="es-AR"/>
        </w:rPr>
        <w:t xml:space="preserve">, India, </w:t>
      </w:r>
      <w:r>
        <w:rPr>
          <w:rFonts w:eastAsia="Calibri"/>
          <w:snapToGrid w:val="0"/>
          <w:kern w:val="22"/>
          <w:lang w:val="es-AR"/>
        </w:rPr>
        <w:t>Noruega.</w:t>
      </w:r>
      <w:r w:rsidRPr="00E943C5">
        <w:rPr>
          <w:rFonts w:eastAsia="Calibri"/>
          <w:snapToGrid w:val="0"/>
          <w:kern w:val="22"/>
          <w:lang w:val="es-AR"/>
        </w:rPr>
        <w:t xml:space="preserve">  </w:t>
      </w:r>
    </w:p>
  </w:footnote>
  <w:footnote w:id="43">
    <w:p w:rsidR="002F08F4" w:rsidRPr="000033F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0033F2">
        <w:rPr>
          <w:lang w:val="es-AR"/>
        </w:rPr>
        <w:t xml:space="preserve"> </w:t>
      </w:r>
      <w:r>
        <w:rPr>
          <w:lang w:val="es-AR"/>
        </w:rPr>
        <w:t>Por ej.,</w:t>
      </w:r>
      <w:r w:rsidRPr="000033F2">
        <w:rPr>
          <w:lang w:val="es-AR"/>
        </w:rPr>
        <w:t xml:space="preserve"> </w:t>
      </w:r>
      <w:r>
        <w:rPr>
          <w:lang w:val="es-AR"/>
        </w:rPr>
        <w:t>Finlandia</w:t>
      </w:r>
      <w:r w:rsidRPr="000033F2">
        <w:rPr>
          <w:lang w:val="es-AR"/>
        </w:rPr>
        <w:t>.</w:t>
      </w:r>
    </w:p>
  </w:footnote>
  <w:footnote w:id="44">
    <w:p w:rsidR="002F08F4" w:rsidRPr="000033F2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0033F2">
        <w:rPr>
          <w:lang w:val="es-AR"/>
        </w:rPr>
        <w:t xml:space="preserve"> </w:t>
      </w:r>
      <w:r>
        <w:rPr>
          <w:lang w:val="es-AR"/>
        </w:rPr>
        <w:t>Por ej.,</w:t>
      </w:r>
      <w:r w:rsidRPr="000033F2">
        <w:rPr>
          <w:lang w:val="es-AR"/>
        </w:rPr>
        <w:t xml:space="preserve"> </w:t>
      </w:r>
      <w:proofErr w:type="spellStart"/>
      <w:r w:rsidRPr="000033F2">
        <w:rPr>
          <w:lang w:val="es-AR"/>
        </w:rPr>
        <w:t>Botswana</w:t>
      </w:r>
      <w:proofErr w:type="spellEnd"/>
      <w:r w:rsidRPr="000033F2">
        <w:rPr>
          <w:lang w:val="es-AR"/>
        </w:rPr>
        <w:t xml:space="preserve">, China, </w:t>
      </w:r>
      <w:r>
        <w:rPr>
          <w:lang w:val="es-AR"/>
        </w:rPr>
        <w:t>Comoras</w:t>
      </w:r>
      <w:r w:rsidRPr="000033F2">
        <w:rPr>
          <w:lang w:val="es-AR"/>
        </w:rPr>
        <w:t xml:space="preserve">, </w:t>
      </w:r>
      <w:proofErr w:type="spellStart"/>
      <w:r w:rsidRPr="000033F2">
        <w:rPr>
          <w:lang w:val="es-AR"/>
        </w:rPr>
        <w:t>Côte</w:t>
      </w:r>
      <w:proofErr w:type="spellEnd"/>
      <w:r w:rsidRPr="000033F2">
        <w:rPr>
          <w:lang w:val="es-AR"/>
        </w:rPr>
        <w:t xml:space="preserve"> </w:t>
      </w:r>
      <w:proofErr w:type="spellStart"/>
      <w:r w:rsidRPr="000033F2">
        <w:rPr>
          <w:lang w:val="es-AR"/>
        </w:rPr>
        <w:t>d’Ivoire</w:t>
      </w:r>
      <w:proofErr w:type="spellEnd"/>
      <w:r w:rsidRPr="000033F2">
        <w:rPr>
          <w:lang w:val="es-AR"/>
        </w:rPr>
        <w:t xml:space="preserve">, </w:t>
      </w:r>
      <w:r w:rsidRPr="00805FDC">
        <w:rPr>
          <w:lang w:val="es-AR"/>
        </w:rPr>
        <w:t>República Dominicana, República Democrática Popular de Lao, México</w:t>
      </w:r>
      <w:r w:rsidRPr="000033F2">
        <w:rPr>
          <w:lang w:val="es-AR"/>
        </w:rPr>
        <w:t>, Senegal, Togo, Uruguay</w:t>
      </w:r>
    </w:p>
  </w:footnote>
  <w:footnote w:id="45">
    <w:p w:rsidR="002F08F4" w:rsidRPr="00805FDC" w:rsidRDefault="002F08F4" w:rsidP="00805FDC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0033F2">
        <w:rPr>
          <w:lang w:val="es-AR"/>
        </w:rPr>
        <w:t xml:space="preserve"> </w:t>
      </w:r>
      <w:r w:rsidRPr="00805FDC">
        <w:rPr>
          <w:lang w:val="es-AR"/>
        </w:rPr>
        <w:t>México, Níger</w:t>
      </w:r>
    </w:p>
  </w:footnote>
  <w:footnote w:id="46">
    <w:p w:rsidR="002F08F4" w:rsidRPr="00744285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744285">
        <w:rPr>
          <w:lang w:val="es-AR"/>
        </w:rPr>
        <w:t xml:space="preserve"> China, Comoras </w:t>
      </w:r>
    </w:p>
  </w:footnote>
  <w:footnote w:id="47">
    <w:p w:rsidR="002F08F4" w:rsidRPr="00066EC9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AR"/>
        </w:rPr>
        <w:t xml:space="preserve"> Ver, por ejemplo, la presentación de México y el “</w:t>
      </w:r>
      <w:r w:rsidR="007D74AF">
        <w:rPr>
          <w:lang w:val="es-AR"/>
        </w:rPr>
        <w:t>Informe de la reunión de expertos sobre el Artículo 10 del Protocolo de Nagoya sobre acceso y participación en los beneficio</w:t>
      </w:r>
      <w:r w:rsidR="007D74AF" w:rsidRPr="007D74AF">
        <w:rPr>
          <w:lang w:val="es-AR"/>
        </w:rPr>
        <w:t>s</w:t>
      </w:r>
      <w:r w:rsidRPr="007D74AF">
        <w:rPr>
          <w:lang w:val="es-AR"/>
        </w:rPr>
        <w:t xml:space="preserve">”, </w:t>
      </w:r>
      <w:r w:rsidR="00C46576">
        <w:fldChar w:fldCharType="begin"/>
      </w:r>
      <w:r w:rsidR="00C46576" w:rsidRPr="00117559">
        <w:rPr>
          <w:lang w:val="fr-CA"/>
        </w:rPr>
        <w:instrText>HYPERLINK "https://www.cbd.int/doc/meetings/abs/np-mop-02/official/np-mop-02-10-es.pdf"</w:instrText>
      </w:r>
      <w:r w:rsidR="00C46576">
        <w:fldChar w:fldCharType="separate"/>
      </w:r>
      <w:r w:rsidRPr="007D74AF">
        <w:rPr>
          <w:rStyle w:val="Hyperlink"/>
          <w:lang w:val="es-AR"/>
        </w:rPr>
        <w:t>UNEP/CBD/NP/COP-MOP/2/10</w:t>
      </w:r>
      <w:r w:rsidR="00C46576">
        <w:fldChar w:fldCharType="end"/>
      </w:r>
      <w:r w:rsidRPr="007D74AF">
        <w:rPr>
          <w:lang w:val="es-AR"/>
        </w:rPr>
        <w:t xml:space="preserve">, </w:t>
      </w:r>
      <w:r w:rsidRPr="00744285">
        <w:rPr>
          <w:lang w:val="es-AR"/>
        </w:rPr>
        <w:t xml:space="preserve">párr. </w:t>
      </w:r>
      <w:r w:rsidRPr="00066EC9">
        <w:rPr>
          <w:lang w:val="es-MX"/>
        </w:rPr>
        <w:t>32-34.</w:t>
      </w:r>
    </w:p>
  </w:footnote>
  <w:footnote w:id="48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 w:rsidRPr="003F66D6">
        <w:rPr>
          <w:lang w:val="es-MX"/>
        </w:rPr>
        <w:t>Belarús</w:t>
      </w:r>
      <w:proofErr w:type="spellEnd"/>
      <w:r w:rsidRPr="003F66D6">
        <w:rPr>
          <w:lang w:val="es-MX"/>
        </w:rPr>
        <w:t>, Francia, Malta, Noruega</w:t>
      </w:r>
      <w:r w:rsidR="000C7DE5">
        <w:rPr>
          <w:lang w:val="es-MX"/>
        </w:rPr>
        <w:t>,</w:t>
      </w:r>
      <w:r w:rsidRPr="003F66D6">
        <w:rPr>
          <w:lang w:val="es-MX"/>
        </w:rPr>
        <w:t xml:space="preserve"> </w:t>
      </w:r>
      <w:proofErr w:type="spellStart"/>
      <w:r w:rsidRPr="003F66D6">
        <w:rPr>
          <w:lang w:val="es-MX"/>
        </w:rPr>
        <w:t>Viet</w:t>
      </w:r>
      <w:proofErr w:type="spellEnd"/>
      <w:r w:rsidRPr="003F66D6">
        <w:rPr>
          <w:lang w:val="es-MX"/>
        </w:rPr>
        <w:t xml:space="preserve"> </w:t>
      </w:r>
      <w:proofErr w:type="spellStart"/>
      <w:r w:rsidRPr="003F66D6">
        <w:rPr>
          <w:lang w:val="es-MX"/>
        </w:rPr>
        <w:t>Nam</w:t>
      </w:r>
      <w:proofErr w:type="spellEnd"/>
    </w:p>
  </w:footnote>
  <w:footnote w:id="49">
    <w:p w:rsidR="002F08F4" w:rsidRPr="003F66D6" w:rsidRDefault="002F08F4" w:rsidP="003F66D6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r w:rsidRPr="003F66D6">
        <w:rPr>
          <w:lang w:val="es-MX"/>
        </w:rPr>
        <w:t>Francia, Malta</w:t>
      </w:r>
    </w:p>
  </w:footnote>
  <w:footnote w:id="50">
    <w:p w:rsidR="002F08F4" w:rsidRPr="00BA6E1E" w:rsidRDefault="002F08F4" w:rsidP="006050AF">
      <w:pPr>
        <w:spacing w:before="120" w:after="120" w:line="228" w:lineRule="auto"/>
        <w:rPr>
          <w:snapToGrid w:val="0"/>
          <w:kern w:val="22"/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sz w:val="18"/>
          <w:szCs w:val="18"/>
          <w:lang w:val="es-MX"/>
        </w:rPr>
        <w:t xml:space="preserve"> Por ej., </w:t>
      </w:r>
      <w:r w:rsidRPr="003F66D6">
        <w:rPr>
          <w:sz w:val="18"/>
          <w:szCs w:val="18"/>
          <w:lang w:val="es-MX"/>
        </w:rPr>
        <w:t>Burkina Faso, Mongolia, Pakistán, Sudáfrica</w:t>
      </w:r>
    </w:p>
  </w:footnote>
  <w:footnote w:id="51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Malawi </w:t>
      </w:r>
    </w:p>
  </w:footnote>
  <w:footnote w:id="52">
    <w:p w:rsidR="002F08F4" w:rsidRPr="00CE0121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lang w:val="es-AR"/>
        </w:rPr>
        <w:t xml:space="preserve"> Antigua </w:t>
      </w:r>
      <w:r>
        <w:rPr>
          <w:lang w:val="es-AR"/>
        </w:rPr>
        <w:t>y</w:t>
      </w:r>
      <w:r w:rsidRPr="00CE0121">
        <w:rPr>
          <w:lang w:val="es-AR"/>
        </w:rPr>
        <w:t xml:space="preserve"> Barbuda </w:t>
      </w:r>
    </w:p>
  </w:footnote>
  <w:footnote w:id="53">
    <w:p w:rsidR="002F08F4" w:rsidRPr="00CE0121" w:rsidRDefault="002F08F4" w:rsidP="006050AF">
      <w:pPr>
        <w:pStyle w:val="FootnoteText"/>
        <w:ind w:firstLine="0"/>
        <w:rPr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lang w:val="es-AR"/>
        </w:rPr>
        <w:t xml:space="preserve"> </w:t>
      </w:r>
      <w:r>
        <w:rPr>
          <w:lang w:val="es-AR"/>
        </w:rPr>
        <w:t>Por ej.,</w:t>
      </w:r>
      <w:r w:rsidRPr="00CE0121">
        <w:rPr>
          <w:lang w:val="es-AR"/>
        </w:rPr>
        <w:t xml:space="preserve"> </w:t>
      </w:r>
      <w:r>
        <w:rPr>
          <w:lang w:val="es-AR"/>
        </w:rPr>
        <w:t>Camerún</w:t>
      </w:r>
      <w:r w:rsidRPr="00CE0121">
        <w:rPr>
          <w:lang w:val="es-AR"/>
        </w:rPr>
        <w:t xml:space="preserve">, </w:t>
      </w:r>
      <w:r>
        <w:rPr>
          <w:lang w:val="es-AR"/>
        </w:rPr>
        <w:t>Comoras</w:t>
      </w:r>
      <w:r w:rsidRPr="00CE0121">
        <w:rPr>
          <w:lang w:val="es-AR"/>
        </w:rPr>
        <w:t xml:space="preserve">, </w:t>
      </w:r>
      <w:proofErr w:type="spellStart"/>
      <w:r w:rsidRPr="00CE0121">
        <w:rPr>
          <w:lang w:val="es-AR"/>
        </w:rPr>
        <w:t>Kenya</w:t>
      </w:r>
      <w:proofErr w:type="spellEnd"/>
      <w:r w:rsidRPr="00CE0121">
        <w:rPr>
          <w:lang w:val="es-AR"/>
        </w:rPr>
        <w:t xml:space="preserve">, Mauritania, Senegal, </w:t>
      </w:r>
      <w:r>
        <w:rPr>
          <w:lang w:val="es-AR"/>
        </w:rPr>
        <w:t>México</w:t>
      </w:r>
      <w:r w:rsidRPr="00CE0121">
        <w:rPr>
          <w:lang w:val="es-AR"/>
        </w:rPr>
        <w:t>, Uganda</w:t>
      </w:r>
    </w:p>
  </w:footnote>
  <w:footnote w:id="54">
    <w:p w:rsidR="002F08F4" w:rsidRPr="0011755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117559">
        <w:rPr>
          <w:lang w:val="es-MX"/>
        </w:rPr>
        <w:t xml:space="preserve"> México </w:t>
      </w:r>
    </w:p>
  </w:footnote>
  <w:footnote w:id="55">
    <w:p w:rsidR="002F08F4" w:rsidRPr="00B96454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96454">
        <w:rPr>
          <w:lang w:val="es-MX"/>
        </w:rPr>
        <w:t xml:space="preserve"> </w:t>
      </w:r>
      <w:r w:rsidR="00B96454" w:rsidRPr="00B96454">
        <w:rPr>
          <w:lang w:val="es-MX"/>
        </w:rPr>
        <w:t xml:space="preserve">El Protocolo sobre Medio Ambiente y Gestión de los Recursos Naturales fue suscrito por la República de </w:t>
      </w:r>
      <w:proofErr w:type="spellStart"/>
      <w:r w:rsidRPr="00B96454">
        <w:rPr>
          <w:lang w:val="es-MX"/>
        </w:rPr>
        <w:t>Kenya</w:t>
      </w:r>
      <w:proofErr w:type="spellEnd"/>
      <w:r w:rsidRPr="00B96454">
        <w:rPr>
          <w:lang w:val="es-MX"/>
        </w:rPr>
        <w:t xml:space="preserve">, </w:t>
      </w:r>
      <w:r w:rsidR="00B96454" w:rsidRPr="00B96454">
        <w:rPr>
          <w:lang w:val="es-MX"/>
        </w:rPr>
        <w:t xml:space="preserve">la República de </w:t>
      </w:r>
      <w:r w:rsidRPr="00B96454">
        <w:rPr>
          <w:lang w:val="es-MX"/>
        </w:rPr>
        <w:t xml:space="preserve">Uganda </w:t>
      </w:r>
      <w:r w:rsidR="00B96454" w:rsidRPr="00B96454">
        <w:rPr>
          <w:lang w:val="es-MX"/>
        </w:rPr>
        <w:t xml:space="preserve">y la República Unida de </w:t>
      </w:r>
      <w:proofErr w:type="spellStart"/>
      <w:r w:rsidR="00B96454" w:rsidRPr="00B96454">
        <w:rPr>
          <w:lang w:val="es-MX"/>
        </w:rPr>
        <w:t>Tanzanía</w:t>
      </w:r>
      <w:proofErr w:type="spellEnd"/>
      <w:r w:rsidRPr="00B96454">
        <w:rPr>
          <w:lang w:val="es-MX"/>
        </w:rPr>
        <w:t xml:space="preserve"> </w:t>
      </w:r>
      <w:r w:rsidR="00B96454" w:rsidRPr="00B96454">
        <w:rPr>
          <w:lang w:val="es-MX"/>
        </w:rPr>
        <w:t xml:space="preserve">el 3 de abril de </w:t>
      </w:r>
      <w:r w:rsidRPr="00B96454">
        <w:rPr>
          <w:lang w:val="es-MX"/>
        </w:rPr>
        <w:t>2006.</w:t>
      </w:r>
    </w:p>
  </w:footnote>
  <w:footnote w:id="56">
    <w:p w:rsidR="002F08F4" w:rsidRPr="00B96454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96454">
        <w:rPr>
          <w:lang w:val="es-MX"/>
        </w:rPr>
        <w:t xml:space="preserve"> Por ejemplo</w:t>
      </w:r>
      <w:r w:rsidR="00B96454" w:rsidRPr="00B96454">
        <w:rPr>
          <w:lang w:val="es-MX"/>
        </w:rPr>
        <w:t>: Proyecto de gesti</w:t>
      </w:r>
      <w:r w:rsidR="00B96454">
        <w:rPr>
          <w:lang w:val="es-MX"/>
        </w:rPr>
        <w:t xml:space="preserve">ón ambiental del Lago Victoria </w:t>
      </w:r>
      <w:r w:rsidRPr="00B96454">
        <w:rPr>
          <w:lang w:val="es-MX"/>
        </w:rPr>
        <w:t xml:space="preserve">(Uganda, </w:t>
      </w:r>
      <w:proofErr w:type="spellStart"/>
      <w:r w:rsidRPr="00B96454">
        <w:rPr>
          <w:lang w:val="es-MX"/>
        </w:rPr>
        <w:t>Kenya</w:t>
      </w:r>
      <w:proofErr w:type="spellEnd"/>
      <w:r w:rsidRPr="00B96454">
        <w:rPr>
          <w:lang w:val="es-MX"/>
        </w:rPr>
        <w:t xml:space="preserve">, </w:t>
      </w:r>
      <w:proofErr w:type="spellStart"/>
      <w:r w:rsidRPr="00B96454">
        <w:rPr>
          <w:lang w:val="es-MX"/>
        </w:rPr>
        <w:t>Tanzanía</w:t>
      </w:r>
      <w:proofErr w:type="spellEnd"/>
      <w:r w:rsidRPr="00B96454">
        <w:rPr>
          <w:lang w:val="es-MX"/>
        </w:rPr>
        <w:t xml:space="preserve">); Lake Victoria </w:t>
      </w:r>
      <w:proofErr w:type="spellStart"/>
      <w:r w:rsidRPr="00B96454">
        <w:rPr>
          <w:lang w:val="es-MX"/>
        </w:rPr>
        <w:t>Fisheries</w:t>
      </w:r>
      <w:proofErr w:type="spellEnd"/>
      <w:r w:rsidRPr="00B96454">
        <w:rPr>
          <w:lang w:val="es-MX"/>
        </w:rPr>
        <w:t xml:space="preserve"> </w:t>
      </w:r>
      <w:proofErr w:type="spellStart"/>
      <w:r w:rsidRPr="00B96454">
        <w:rPr>
          <w:lang w:val="es-MX"/>
        </w:rPr>
        <w:t>Organization</w:t>
      </w:r>
      <w:proofErr w:type="spellEnd"/>
      <w:r w:rsidRPr="00B96454">
        <w:rPr>
          <w:lang w:val="es-MX"/>
        </w:rPr>
        <w:t xml:space="preserve"> (Uganda, </w:t>
      </w:r>
      <w:proofErr w:type="spellStart"/>
      <w:r w:rsidRPr="00B96454">
        <w:rPr>
          <w:lang w:val="es-MX"/>
        </w:rPr>
        <w:t>Kenya</w:t>
      </w:r>
      <w:proofErr w:type="spellEnd"/>
      <w:r w:rsidRPr="00B96454">
        <w:rPr>
          <w:lang w:val="es-MX"/>
        </w:rPr>
        <w:t xml:space="preserve">, </w:t>
      </w:r>
      <w:proofErr w:type="spellStart"/>
      <w:r w:rsidRPr="00B96454">
        <w:rPr>
          <w:lang w:val="es-MX"/>
        </w:rPr>
        <w:t>Tanzanía</w:t>
      </w:r>
      <w:proofErr w:type="spellEnd"/>
      <w:r w:rsidRPr="00B96454">
        <w:rPr>
          <w:lang w:val="es-MX"/>
        </w:rPr>
        <w:t xml:space="preserve">); </w:t>
      </w:r>
      <w:r w:rsidR="00B96454">
        <w:rPr>
          <w:lang w:val="es-MX"/>
        </w:rPr>
        <w:t xml:space="preserve">Cooperación transfronteriza de </w:t>
      </w:r>
      <w:proofErr w:type="spellStart"/>
      <w:r w:rsidRPr="00B96454">
        <w:rPr>
          <w:lang w:val="es-MX"/>
        </w:rPr>
        <w:t>Virunga</w:t>
      </w:r>
      <w:proofErr w:type="spellEnd"/>
      <w:r w:rsidRPr="00B96454">
        <w:rPr>
          <w:lang w:val="es-MX"/>
        </w:rPr>
        <w:t xml:space="preserve"> (Uganda, República Democrática del Congo, </w:t>
      </w:r>
      <w:proofErr w:type="spellStart"/>
      <w:r w:rsidRPr="00B96454">
        <w:rPr>
          <w:lang w:val="es-MX"/>
        </w:rPr>
        <w:t>Rwanda</w:t>
      </w:r>
      <w:proofErr w:type="spellEnd"/>
      <w:r w:rsidRPr="00B96454">
        <w:rPr>
          <w:lang w:val="es-MX"/>
        </w:rPr>
        <w:t xml:space="preserve"> y </w:t>
      </w:r>
      <w:proofErr w:type="spellStart"/>
      <w:r w:rsidRPr="00B96454">
        <w:rPr>
          <w:lang w:val="es-MX"/>
        </w:rPr>
        <w:t>Tanzanía</w:t>
      </w:r>
      <w:proofErr w:type="spellEnd"/>
      <w:r w:rsidRPr="00B96454">
        <w:rPr>
          <w:lang w:val="es-MX"/>
        </w:rPr>
        <w:t xml:space="preserve">); </w:t>
      </w:r>
      <w:r w:rsidR="00B96454">
        <w:rPr>
          <w:lang w:val="es-MX"/>
        </w:rPr>
        <w:t>Reserva del Programa sobre el hombre y la biosfera</w:t>
      </w:r>
      <w:r w:rsidRPr="00B96454">
        <w:rPr>
          <w:lang w:val="es-MX"/>
        </w:rPr>
        <w:t xml:space="preserve"> (</w:t>
      </w:r>
      <w:r w:rsidR="00B96454" w:rsidRPr="00B96454">
        <w:rPr>
          <w:lang w:val="es-MX"/>
        </w:rPr>
        <w:t xml:space="preserve">para el Monte </w:t>
      </w:r>
      <w:r w:rsidRPr="00B96454">
        <w:rPr>
          <w:lang w:val="es-MX"/>
        </w:rPr>
        <w:t xml:space="preserve">Mount </w:t>
      </w:r>
      <w:proofErr w:type="spellStart"/>
      <w:r w:rsidRPr="00B96454">
        <w:rPr>
          <w:lang w:val="es-MX"/>
        </w:rPr>
        <w:t>Elgon</w:t>
      </w:r>
      <w:proofErr w:type="spellEnd"/>
      <w:r w:rsidRPr="00B96454">
        <w:rPr>
          <w:lang w:val="es-MX"/>
        </w:rPr>
        <w:t xml:space="preserve"> - Uganda y </w:t>
      </w:r>
      <w:proofErr w:type="spellStart"/>
      <w:r w:rsidRPr="00B96454">
        <w:rPr>
          <w:lang w:val="es-MX"/>
        </w:rPr>
        <w:t>Kenya</w:t>
      </w:r>
      <w:proofErr w:type="spellEnd"/>
      <w:r w:rsidRPr="00B96454">
        <w:rPr>
          <w:lang w:val="es-MX"/>
        </w:rPr>
        <w:t xml:space="preserve">); y </w:t>
      </w:r>
      <w:r w:rsidR="00087B64">
        <w:rPr>
          <w:lang w:val="es-MX"/>
        </w:rPr>
        <w:t xml:space="preserve">Gestión de colaboración transfronteriza para la flora y fauna silvestre </w:t>
      </w:r>
      <w:r w:rsidRPr="00B96454">
        <w:rPr>
          <w:lang w:val="es-MX"/>
        </w:rPr>
        <w:t>(Uganda y Sudán del Sur).</w:t>
      </w:r>
    </w:p>
  </w:footnote>
  <w:footnote w:id="57">
    <w:p w:rsidR="002F08F4" w:rsidRPr="002F08F4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2F08F4">
        <w:rPr>
          <w:lang w:val="es-MX"/>
        </w:rPr>
        <w:t xml:space="preserve"> Por ej., Bulgaria, Unión Europea, Finlandia, Alemania, Países Bajos, Polonia, República de </w:t>
      </w:r>
      <w:proofErr w:type="spellStart"/>
      <w:r w:rsidRPr="002F08F4">
        <w:rPr>
          <w:lang w:val="es-MX"/>
        </w:rPr>
        <w:t>Moldova</w:t>
      </w:r>
      <w:proofErr w:type="spellEnd"/>
      <w:r w:rsidRPr="002F08F4">
        <w:rPr>
          <w:lang w:val="es-MX"/>
        </w:rPr>
        <w:t xml:space="preserve">, </w:t>
      </w:r>
      <w:r>
        <w:rPr>
          <w:lang w:val="es-MX"/>
        </w:rPr>
        <w:t>Eslovaquia</w:t>
      </w:r>
      <w:r w:rsidRPr="002F08F4">
        <w:rPr>
          <w:lang w:val="es-MX"/>
        </w:rPr>
        <w:t xml:space="preserve">, </w:t>
      </w:r>
      <w:r>
        <w:rPr>
          <w:rFonts w:eastAsia="Calibri"/>
          <w:snapToGrid w:val="0"/>
          <w:kern w:val="22"/>
          <w:lang w:val="es-MX"/>
        </w:rPr>
        <w:t xml:space="preserve">Reino Unido de Gran Bretaña e Irlanda del Norte </w:t>
      </w:r>
    </w:p>
  </w:footnote>
  <w:footnote w:id="58">
    <w:p w:rsidR="002F08F4" w:rsidRPr="00CE0121" w:rsidRDefault="002F08F4" w:rsidP="006050AF">
      <w:pPr>
        <w:pStyle w:val="FootnoteText"/>
        <w:ind w:firstLine="0"/>
        <w:rPr>
          <w:rStyle w:val="FootnoteReference"/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rStyle w:val="FootnoteReference"/>
          <w:lang w:val="es-AR"/>
        </w:rPr>
        <w:t xml:space="preserve"> </w:t>
      </w:r>
      <w:r w:rsidRPr="00CE0121">
        <w:rPr>
          <w:rFonts w:eastAsia="Calibri"/>
          <w:lang w:val="es-AR"/>
        </w:rPr>
        <w:t xml:space="preserve">Burundi, </w:t>
      </w:r>
      <w:r>
        <w:rPr>
          <w:rFonts w:eastAsia="Calibri"/>
          <w:lang w:val="es-AR"/>
        </w:rPr>
        <w:t>Suecia</w:t>
      </w:r>
      <w:r w:rsidRPr="00CE0121">
        <w:rPr>
          <w:rStyle w:val="FootnoteReference"/>
          <w:lang w:val="es-AR"/>
        </w:rPr>
        <w:t xml:space="preserve"> </w:t>
      </w:r>
    </w:p>
  </w:footnote>
  <w:footnote w:id="59">
    <w:p w:rsidR="002F08F4" w:rsidRPr="00CE0121" w:rsidRDefault="002F08F4" w:rsidP="006050AF">
      <w:pPr>
        <w:pStyle w:val="FootnoteText"/>
        <w:ind w:firstLine="0"/>
        <w:rPr>
          <w:rStyle w:val="FootnoteReference"/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rStyle w:val="FootnoteReference"/>
          <w:lang w:val="es-AR"/>
        </w:rPr>
        <w:t xml:space="preserve"> </w:t>
      </w:r>
      <w:r>
        <w:rPr>
          <w:lang w:val="es-AR"/>
        </w:rPr>
        <w:t>Por ej.,</w:t>
      </w:r>
      <w:r w:rsidRPr="00CE0121">
        <w:rPr>
          <w:lang w:val="es-AR"/>
        </w:rPr>
        <w:t xml:space="preserve"> </w:t>
      </w:r>
      <w:proofErr w:type="spellStart"/>
      <w:r w:rsidRPr="00CE0121">
        <w:rPr>
          <w:rFonts w:eastAsia="Calibri"/>
          <w:lang w:val="es-AR"/>
        </w:rPr>
        <w:t>Botswana</w:t>
      </w:r>
      <w:proofErr w:type="spellEnd"/>
      <w:r w:rsidRPr="00CE0121">
        <w:rPr>
          <w:rFonts w:eastAsia="Calibri"/>
          <w:lang w:val="es-AR"/>
        </w:rPr>
        <w:t xml:space="preserve">, </w:t>
      </w:r>
      <w:r>
        <w:rPr>
          <w:rFonts w:eastAsia="Calibri"/>
          <w:lang w:val="es-AR"/>
        </w:rPr>
        <w:t>Etiopía</w:t>
      </w:r>
      <w:r w:rsidRPr="00CE0121">
        <w:rPr>
          <w:rFonts w:eastAsia="Calibri"/>
          <w:lang w:val="es-AR"/>
        </w:rPr>
        <w:t xml:space="preserve">, Guinea-Bissau, Madagascar, </w:t>
      </w:r>
      <w:r>
        <w:rPr>
          <w:rFonts w:eastAsia="Calibri"/>
          <w:lang w:val="es-AR"/>
        </w:rPr>
        <w:t>México</w:t>
      </w:r>
      <w:r w:rsidRPr="00CE0121">
        <w:rPr>
          <w:rFonts w:eastAsia="Calibri"/>
          <w:lang w:val="es-AR"/>
        </w:rPr>
        <w:t xml:space="preserve">, </w:t>
      </w:r>
      <w:r>
        <w:rPr>
          <w:rFonts w:eastAsia="Calibri"/>
          <w:lang w:val="es-AR"/>
        </w:rPr>
        <w:t>Níger</w:t>
      </w:r>
      <w:r w:rsidRPr="00CE0121">
        <w:rPr>
          <w:rFonts w:eastAsia="Calibri"/>
          <w:lang w:val="es-AR"/>
        </w:rPr>
        <w:t xml:space="preserve">, </w:t>
      </w:r>
      <w:r>
        <w:rPr>
          <w:rFonts w:eastAsia="Calibri"/>
          <w:lang w:val="es-AR"/>
        </w:rPr>
        <w:t>Panamá</w:t>
      </w:r>
      <w:r w:rsidRPr="00CE0121">
        <w:rPr>
          <w:rFonts w:eastAsia="Calibri"/>
          <w:lang w:val="es-AR"/>
        </w:rPr>
        <w:t>, Uruguay</w:t>
      </w:r>
      <w:r>
        <w:rPr>
          <w:rFonts w:eastAsia="Calibri"/>
          <w:lang w:val="es-AR"/>
        </w:rPr>
        <w:t>.</w:t>
      </w:r>
    </w:p>
  </w:footnote>
  <w:footnote w:id="60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Burundi, </w:t>
      </w:r>
      <w:proofErr w:type="spellStart"/>
      <w:r w:rsidRPr="00BA6E1E">
        <w:rPr>
          <w:lang w:val="es-MX"/>
        </w:rPr>
        <w:t>Côte</w:t>
      </w:r>
      <w:proofErr w:type="spellEnd"/>
      <w:r w:rsidRPr="00BA6E1E">
        <w:rPr>
          <w:lang w:val="es-MX"/>
        </w:rPr>
        <w:t xml:space="preserve"> </w:t>
      </w:r>
      <w:proofErr w:type="spellStart"/>
      <w:r w:rsidRPr="00BA6E1E">
        <w:rPr>
          <w:lang w:val="es-MX"/>
        </w:rPr>
        <w:t>d'Ivoire</w:t>
      </w:r>
      <w:proofErr w:type="spellEnd"/>
      <w:r w:rsidRPr="00BA6E1E">
        <w:rPr>
          <w:lang w:val="es-MX"/>
        </w:rPr>
        <w:t xml:space="preserve">, Guinea, Togo, </w:t>
      </w:r>
      <w:r>
        <w:rPr>
          <w:lang w:val="es-MX"/>
        </w:rPr>
        <w:t>Sudán</w:t>
      </w:r>
      <w:r w:rsidRPr="00BA6E1E">
        <w:rPr>
          <w:lang w:val="es-MX"/>
        </w:rPr>
        <w:t>.</w:t>
      </w:r>
    </w:p>
  </w:footnote>
  <w:footnote w:id="61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rFonts w:eastAsia="Calibri"/>
          <w:lang w:val="es-MX"/>
        </w:rPr>
        <w:t xml:space="preserve"> </w:t>
      </w:r>
      <w:proofErr w:type="spellStart"/>
      <w:r w:rsidRPr="00066EC9">
        <w:rPr>
          <w:rFonts w:eastAsia="Calibri"/>
          <w:lang w:val="es-MX"/>
        </w:rPr>
        <w:t>Benin</w:t>
      </w:r>
      <w:proofErr w:type="spellEnd"/>
      <w:r w:rsidRPr="00066EC9">
        <w:rPr>
          <w:rFonts w:eastAsia="Calibri"/>
          <w:lang w:val="es-MX"/>
        </w:rPr>
        <w:t xml:space="preserve">. </w:t>
      </w:r>
    </w:p>
  </w:footnote>
  <w:footnote w:id="62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</w:t>
      </w:r>
      <w:proofErr w:type="spellStart"/>
      <w:r>
        <w:rPr>
          <w:lang w:val="es-MX"/>
        </w:rPr>
        <w:t>Bhután</w:t>
      </w:r>
      <w:proofErr w:type="spellEnd"/>
      <w:r w:rsidRPr="00BA6E1E">
        <w:rPr>
          <w:lang w:val="es-MX"/>
        </w:rPr>
        <w:t xml:space="preserve">, </w:t>
      </w:r>
      <w:r>
        <w:rPr>
          <w:lang w:val="es-MX"/>
        </w:rPr>
        <w:t>Francia</w:t>
      </w:r>
      <w:r w:rsidRPr="00BA6E1E">
        <w:rPr>
          <w:lang w:val="es-MX"/>
        </w:rPr>
        <w:t xml:space="preserve">, Malawi, </w:t>
      </w:r>
      <w:r>
        <w:rPr>
          <w:lang w:val="es-MX"/>
        </w:rPr>
        <w:t>Noruega</w:t>
      </w:r>
      <w:r w:rsidRPr="00BA6E1E">
        <w:rPr>
          <w:lang w:val="es-MX"/>
        </w:rPr>
        <w:t xml:space="preserve">, </w:t>
      </w:r>
      <w:r>
        <w:rPr>
          <w:lang w:val="es-MX"/>
        </w:rPr>
        <w:t>Pakistán</w:t>
      </w:r>
      <w:r w:rsidRPr="00BA6E1E">
        <w:rPr>
          <w:lang w:val="es-MX"/>
        </w:rPr>
        <w:t>.</w:t>
      </w:r>
    </w:p>
  </w:footnote>
  <w:footnote w:id="63">
    <w:p w:rsidR="002F08F4" w:rsidRPr="00BA6E1E" w:rsidRDefault="002F08F4" w:rsidP="006050AF">
      <w:pPr>
        <w:spacing w:before="120" w:after="120" w:line="228" w:lineRule="auto"/>
        <w:rPr>
          <w:snapToGrid w:val="0"/>
          <w:kern w:val="22"/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sz w:val="14"/>
          <w:szCs w:val="18"/>
          <w:lang w:val="es-MX"/>
        </w:rPr>
        <w:t xml:space="preserve"> </w:t>
      </w:r>
      <w:r w:rsidRPr="00BA6E1E">
        <w:rPr>
          <w:sz w:val="18"/>
          <w:szCs w:val="18"/>
          <w:lang w:val="es-MX"/>
        </w:rPr>
        <w:t>Por ej.,</w:t>
      </w:r>
      <w:r w:rsidRPr="00BA6E1E">
        <w:rPr>
          <w:lang w:val="es-MX"/>
        </w:rPr>
        <w:t xml:space="preserve"> </w:t>
      </w:r>
      <w:proofErr w:type="spellStart"/>
      <w:r w:rsidRPr="00BA6E1E">
        <w:rPr>
          <w:sz w:val="18"/>
          <w:szCs w:val="18"/>
          <w:lang w:val="es-MX"/>
        </w:rPr>
        <w:t>Botswana</w:t>
      </w:r>
      <w:proofErr w:type="spellEnd"/>
      <w:r w:rsidRPr="00BA6E1E">
        <w:rPr>
          <w:sz w:val="18"/>
          <w:szCs w:val="18"/>
          <w:lang w:val="es-MX"/>
        </w:rPr>
        <w:t xml:space="preserve">, Burkina Faso, Guinea Bissau, Mongolia, </w:t>
      </w:r>
      <w:r>
        <w:rPr>
          <w:sz w:val="18"/>
          <w:szCs w:val="18"/>
          <w:lang w:val="es-MX"/>
        </w:rPr>
        <w:t>Sudáfrica</w:t>
      </w:r>
      <w:r w:rsidRPr="00BA6E1E">
        <w:rPr>
          <w:sz w:val="18"/>
          <w:szCs w:val="18"/>
          <w:lang w:val="es-MX"/>
        </w:rPr>
        <w:t xml:space="preserve">, </w:t>
      </w:r>
      <w:r>
        <w:rPr>
          <w:sz w:val="18"/>
          <w:szCs w:val="18"/>
          <w:lang w:val="es-MX"/>
        </w:rPr>
        <w:t>Sudán</w:t>
      </w:r>
      <w:r w:rsidRPr="00BA6E1E">
        <w:rPr>
          <w:sz w:val="18"/>
          <w:szCs w:val="18"/>
          <w:lang w:val="es-MX"/>
        </w:rPr>
        <w:t>.</w:t>
      </w:r>
    </w:p>
  </w:footnote>
  <w:footnote w:id="64">
    <w:p w:rsidR="002F08F4" w:rsidRPr="00BA6E1E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BA6E1E">
        <w:rPr>
          <w:lang w:val="es-MX"/>
        </w:rPr>
        <w:t xml:space="preserve"> Por ej., Burkina Faso, </w:t>
      </w:r>
      <w:r>
        <w:rPr>
          <w:lang w:val="es-MX"/>
        </w:rPr>
        <w:t>Camerún</w:t>
      </w:r>
      <w:r w:rsidRPr="00BA6E1E">
        <w:rPr>
          <w:lang w:val="es-MX"/>
        </w:rPr>
        <w:t xml:space="preserve">, </w:t>
      </w:r>
      <w:r>
        <w:rPr>
          <w:lang w:val="es-MX"/>
        </w:rPr>
        <w:t>Comoras</w:t>
      </w:r>
      <w:r w:rsidRPr="00BA6E1E">
        <w:rPr>
          <w:lang w:val="es-MX"/>
        </w:rPr>
        <w:t xml:space="preserve">, India, </w:t>
      </w:r>
      <w:proofErr w:type="spellStart"/>
      <w:r w:rsidRPr="00BA6E1E">
        <w:rPr>
          <w:lang w:val="es-MX"/>
        </w:rPr>
        <w:t>Kenya</w:t>
      </w:r>
      <w:proofErr w:type="spellEnd"/>
      <w:r w:rsidRPr="00BA6E1E">
        <w:rPr>
          <w:lang w:val="es-MX"/>
        </w:rPr>
        <w:t>, Mauritania.</w:t>
      </w:r>
    </w:p>
  </w:footnote>
  <w:footnote w:id="65">
    <w:p w:rsidR="002F08F4" w:rsidRPr="00CE0121" w:rsidRDefault="002F08F4" w:rsidP="006050AF">
      <w:pPr>
        <w:pStyle w:val="FootnoteText"/>
        <w:ind w:firstLine="0"/>
        <w:rPr>
          <w:rStyle w:val="FootnoteReference"/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rStyle w:val="FootnoteReference"/>
          <w:lang w:val="es-AR"/>
        </w:rPr>
        <w:t xml:space="preserve"> </w:t>
      </w:r>
      <w:r>
        <w:rPr>
          <w:rFonts w:eastAsia="Calibri"/>
          <w:lang w:val="es-AR"/>
        </w:rPr>
        <w:t>Suecia.</w:t>
      </w:r>
      <w:r w:rsidRPr="00CE0121">
        <w:rPr>
          <w:rStyle w:val="FootnoteReference"/>
          <w:lang w:val="es-AR"/>
        </w:rPr>
        <w:t xml:space="preserve"> </w:t>
      </w:r>
    </w:p>
  </w:footnote>
  <w:footnote w:id="66">
    <w:p w:rsidR="002F08F4" w:rsidRPr="00CE0121" w:rsidRDefault="002F08F4" w:rsidP="006050AF">
      <w:pPr>
        <w:pStyle w:val="FootnoteText"/>
        <w:ind w:firstLine="0"/>
        <w:rPr>
          <w:rStyle w:val="FootnoteReference"/>
          <w:lang w:val="es-AR"/>
        </w:rPr>
      </w:pPr>
      <w:r w:rsidRPr="00DF02C5">
        <w:rPr>
          <w:rStyle w:val="FootnoteReference"/>
        </w:rPr>
        <w:footnoteRef/>
      </w:r>
      <w:r w:rsidRPr="00CE0121">
        <w:rPr>
          <w:rStyle w:val="FootnoteReference"/>
          <w:lang w:val="es-AR"/>
        </w:rPr>
        <w:t xml:space="preserve"> </w:t>
      </w:r>
      <w:r>
        <w:rPr>
          <w:rFonts w:eastAsia="Calibri"/>
          <w:lang w:val="es-AR"/>
        </w:rPr>
        <w:t>Etiopía</w:t>
      </w:r>
      <w:r w:rsidRPr="00CE0121">
        <w:rPr>
          <w:rFonts w:eastAsia="Calibri"/>
          <w:lang w:val="es-AR"/>
        </w:rPr>
        <w:t xml:space="preserve">, Madagascar, </w:t>
      </w:r>
      <w:r>
        <w:rPr>
          <w:rFonts w:eastAsia="Calibri"/>
          <w:lang w:val="es-AR"/>
        </w:rPr>
        <w:t>Níger</w:t>
      </w:r>
      <w:r w:rsidRPr="00CE0121">
        <w:rPr>
          <w:rFonts w:eastAsia="Calibri"/>
          <w:lang w:val="es-AR"/>
        </w:rPr>
        <w:t xml:space="preserve">, </w:t>
      </w:r>
      <w:r>
        <w:rPr>
          <w:rFonts w:eastAsia="Calibri"/>
          <w:lang w:val="es-AR"/>
        </w:rPr>
        <w:t>Panamá</w:t>
      </w:r>
      <w:r w:rsidRPr="00CE0121">
        <w:rPr>
          <w:rFonts w:eastAsia="Calibri"/>
          <w:lang w:val="es-AR"/>
        </w:rPr>
        <w:t>, Uruguay</w:t>
      </w:r>
      <w:r>
        <w:rPr>
          <w:rFonts w:eastAsia="Calibri"/>
          <w:lang w:val="es-AR"/>
        </w:rPr>
        <w:t>.</w:t>
      </w:r>
    </w:p>
  </w:footnote>
  <w:footnote w:id="67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</w:t>
      </w:r>
      <w:r>
        <w:rPr>
          <w:lang w:val="es-MX"/>
        </w:rPr>
        <w:t>Níger</w:t>
      </w:r>
      <w:r w:rsidRPr="00066EC9">
        <w:rPr>
          <w:lang w:val="es-MX"/>
        </w:rPr>
        <w:t xml:space="preserve">. </w:t>
      </w:r>
    </w:p>
  </w:footnote>
  <w:footnote w:id="68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Burundi. </w:t>
      </w:r>
    </w:p>
  </w:footnote>
  <w:footnote w:id="69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 Indonesia, Marruecos. </w:t>
      </w:r>
    </w:p>
  </w:footnote>
  <w:footnote w:id="70">
    <w:p w:rsidR="002F08F4" w:rsidRPr="00066EC9" w:rsidRDefault="002F08F4" w:rsidP="006050AF">
      <w:pPr>
        <w:pStyle w:val="FootnoteText"/>
        <w:ind w:firstLine="0"/>
        <w:rPr>
          <w:lang w:val="es-MX"/>
        </w:rPr>
      </w:pPr>
      <w:r w:rsidRPr="00DF02C5">
        <w:rPr>
          <w:rStyle w:val="FootnoteReference"/>
        </w:rPr>
        <w:footnoteRef/>
      </w:r>
      <w:r w:rsidRPr="00066EC9">
        <w:rPr>
          <w:lang w:val="es-MX"/>
        </w:rPr>
        <w:t xml:space="preserve"> </w:t>
      </w:r>
      <w:proofErr w:type="spellStart"/>
      <w:r w:rsidRPr="00066EC9">
        <w:rPr>
          <w:lang w:val="es-MX"/>
        </w:rPr>
        <w:t>Côte</w:t>
      </w:r>
      <w:proofErr w:type="spellEnd"/>
      <w:r w:rsidRPr="00066EC9">
        <w:rPr>
          <w:lang w:val="es-MX"/>
        </w:rPr>
        <w:t xml:space="preserve"> </w:t>
      </w:r>
      <w:proofErr w:type="spellStart"/>
      <w:r w:rsidRPr="00066EC9">
        <w:rPr>
          <w:lang w:val="es-MX"/>
        </w:rPr>
        <w:t>d’Ivoire</w:t>
      </w:r>
      <w:proofErr w:type="spellEnd"/>
      <w:r w:rsidRPr="00066EC9">
        <w:rPr>
          <w:lang w:val="es-MX"/>
        </w:rPr>
        <w:t>, Guinea.</w:t>
      </w:r>
    </w:p>
  </w:footnote>
  <w:footnote w:id="71">
    <w:p w:rsidR="002F08F4" w:rsidRPr="002F08F4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2F08F4">
        <w:rPr>
          <w:lang w:val="es-MX"/>
        </w:rPr>
        <w:t xml:space="preserve"> India, México, Cámara de Comercio Internacional, </w:t>
      </w:r>
      <w:r w:rsidR="0046576C">
        <w:rPr>
          <w:lang w:val="es-MX"/>
        </w:rPr>
        <w:t xml:space="preserve">Asociación Japonesa de </w:t>
      </w:r>
      <w:proofErr w:type="spellStart"/>
      <w:r w:rsidR="0046576C">
        <w:rPr>
          <w:lang w:val="es-MX"/>
        </w:rPr>
        <w:t>Bioindustrias</w:t>
      </w:r>
      <w:proofErr w:type="spellEnd"/>
    </w:p>
  </w:footnote>
  <w:footnote w:id="72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Cámara de Comercio Internacional</w:t>
      </w:r>
    </w:p>
  </w:footnote>
  <w:footnote w:id="73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India</w:t>
      </w:r>
    </w:p>
  </w:footnote>
  <w:footnote w:id="74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México</w:t>
      </w:r>
    </w:p>
  </w:footnote>
  <w:footnote w:id="75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>Jardín Botánico de Gotemburgo</w:t>
      </w:r>
      <w:r w:rsidRPr="0046576C">
        <w:rPr>
          <w:lang w:val="es-MX"/>
        </w:rPr>
        <w:t xml:space="preserve">, </w:t>
      </w:r>
      <w:r w:rsidR="0046576C" w:rsidRPr="0046576C">
        <w:rPr>
          <w:lang w:val="es-MX"/>
        </w:rPr>
        <w:t>Red Internacional de Intercambio de Plantas</w:t>
      </w:r>
      <w:r w:rsidRPr="0046576C">
        <w:rPr>
          <w:lang w:val="es-MX"/>
        </w:rPr>
        <w:t xml:space="preserve">, Leibniz </w:t>
      </w:r>
      <w:proofErr w:type="spellStart"/>
      <w:r w:rsidRPr="0046576C">
        <w:rPr>
          <w:lang w:val="es-MX"/>
        </w:rPr>
        <w:t>Institute</w:t>
      </w:r>
      <w:proofErr w:type="spellEnd"/>
      <w:r w:rsidRPr="0046576C">
        <w:rPr>
          <w:lang w:val="es-MX"/>
        </w:rPr>
        <w:t xml:space="preserve"> DSMZ </w:t>
      </w:r>
      <w:proofErr w:type="spellStart"/>
      <w:r w:rsidRPr="0046576C">
        <w:rPr>
          <w:lang w:val="es-MX"/>
        </w:rPr>
        <w:t>GmbH</w:t>
      </w:r>
      <w:proofErr w:type="spellEnd"/>
      <w:r w:rsidRPr="0046576C">
        <w:rPr>
          <w:lang w:val="es-MX"/>
        </w:rPr>
        <w:t xml:space="preserve">; </w:t>
      </w:r>
      <w:r w:rsidR="0046576C">
        <w:rPr>
          <w:lang w:val="es-MX"/>
        </w:rPr>
        <w:t>Mus</w:t>
      </w:r>
      <w:r w:rsidR="000C7DE5">
        <w:rPr>
          <w:lang w:val="es-MX"/>
        </w:rPr>
        <w:t>e</w:t>
      </w:r>
      <w:r w:rsidR="0046576C">
        <w:rPr>
          <w:lang w:val="es-MX"/>
        </w:rPr>
        <w:t xml:space="preserve">o de Investigación Zoológica de </w:t>
      </w:r>
      <w:r w:rsidRPr="0046576C">
        <w:rPr>
          <w:lang w:val="es-MX"/>
        </w:rPr>
        <w:t>Bonn.</w:t>
      </w:r>
    </w:p>
  </w:footnote>
  <w:footnote w:id="76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 xml:space="preserve">Jardín Botánico de </w:t>
      </w:r>
      <w:r w:rsidR="0046576C">
        <w:rPr>
          <w:lang w:val="es-MX"/>
        </w:rPr>
        <w:t>Gotemburgo</w:t>
      </w:r>
      <w:r w:rsidRPr="0046576C">
        <w:rPr>
          <w:lang w:val="es-MX"/>
        </w:rPr>
        <w:t>.</w:t>
      </w:r>
    </w:p>
  </w:footnote>
  <w:footnote w:id="77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>Museo de Investigación Zoológica de Bonn</w:t>
      </w:r>
      <w:r w:rsidRPr="0046576C">
        <w:rPr>
          <w:lang w:val="es-MX"/>
        </w:rPr>
        <w:t>.</w:t>
      </w:r>
    </w:p>
  </w:footnote>
  <w:footnote w:id="78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</w:t>
      </w:r>
      <w:r w:rsidR="0046576C" w:rsidRPr="00744285">
        <w:rPr>
          <w:lang w:val="es-MX"/>
        </w:rPr>
        <w:t>Jardín Botánico de Gotemburgo</w:t>
      </w:r>
      <w:r w:rsidRPr="00744285">
        <w:rPr>
          <w:lang w:val="es-MX"/>
        </w:rPr>
        <w:t>.</w:t>
      </w:r>
    </w:p>
  </w:footnote>
  <w:footnote w:id="79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</w:t>
      </w:r>
      <w:r w:rsidR="00087B64">
        <w:rPr>
          <w:lang w:val="es-MX"/>
        </w:rPr>
        <w:t xml:space="preserve">Instituto </w:t>
      </w:r>
      <w:r w:rsidRPr="00087B64">
        <w:rPr>
          <w:lang w:val="es-MX"/>
        </w:rPr>
        <w:t xml:space="preserve">Leibniz DSMZ </w:t>
      </w:r>
      <w:proofErr w:type="spellStart"/>
      <w:r w:rsidRPr="00087B64">
        <w:rPr>
          <w:lang w:val="es-MX"/>
        </w:rPr>
        <w:t>GmbH</w:t>
      </w:r>
      <w:proofErr w:type="spellEnd"/>
      <w:r w:rsidR="00087B64">
        <w:rPr>
          <w:lang w:val="es-MX"/>
        </w:rPr>
        <w:t xml:space="preserve"> (Colección alemana de microrganismos y cultivos celulares)</w:t>
      </w:r>
      <w:r w:rsidRPr="00744285">
        <w:rPr>
          <w:lang w:val="es-MX"/>
        </w:rPr>
        <w:t>.</w:t>
      </w:r>
    </w:p>
  </w:footnote>
  <w:footnote w:id="80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>Museo de Investigación Zoológica de Bonn</w:t>
      </w:r>
      <w:r w:rsidRPr="0046576C">
        <w:rPr>
          <w:lang w:val="es-MX"/>
        </w:rPr>
        <w:t>.</w:t>
      </w:r>
    </w:p>
  </w:footnote>
  <w:footnote w:id="81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>Federación Mundial de Colecciones de Cultivos</w:t>
      </w:r>
      <w:r w:rsidRPr="0046576C">
        <w:rPr>
          <w:lang w:val="es-MX"/>
        </w:rPr>
        <w:t>.</w:t>
      </w:r>
    </w:p>
  </w:footnote>
  <w:footnote w:id="82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087B64" w:rsidRPr="00087B64">
        <w:rPr>
          <w:lang w:val="es-MX"/>
        </w:rPr>
        <w:t>https://www.cbd.int/doc/meetings/abs/abs-a10em-2016-01/official/abs-a10em-2016-01-02-en.pdf</w:t>
      </w:r>
      <w:r w:rsidRPr="0046576C">
        <w:rPr>
          <w:lang w:val="es-MX"/>
        </w:rPr>
        <w:t xml:space="preserve">. </w:t>
      </w:r>
    </w:p>
  </w:footnote>
  <w:footnote w:id="83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</w:t>
      </w:r>
      <w:r w:rsidRPr="00087B64">
        <w:rPr>
          <w:lang w:val="es-MX"/>
        </w:rPr>
        <w:t>http://www.fao.org/fileadmin/user_upload/faoweb/plant-treaty/cfp4/cfp_4_2017_0_en.pdf</w:t>
      </w:r>
      <w:r w:rsidRPr="00744285">
        <w:rPr>
          <w:lang w:val="es-MX"/>
        </w:rPr>
        <w:t xml:space="preserve">. </w:t>
      </w:r>
    </w:p>
  </w:footnote>
  <w:footnote w:id="84">
    <w:p w:rsidR="002F08F4" w:rsidRPr="00EB6A11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EB6A11">
        <w:rPr>
          <w:lang w:val="es-MX"/>
        </w:rPr>
        <w:t xml:space="preserve"> Resolu</w:t>
      </w:r>
      <w:r w:rsidR="00EB6A11" w:rsidRPr="00EB6A11">
        <w:rPr>
          <w:lang w:val="es-MX"/>
        </w:rPr>
        <w:t>ción</w:t>
      </w:r>
      <w:r w:rsidRPr="00EB6A11">
        <w:rPr>
          <w:lang w:val="es-MX"/>
        </w:rPr>
        <w:t xml:space="preserve"> 2/2013, </w:t>
      </w:r>
      <w:hyperlink r:id="rId4" w:history="1">
        <w:r w:rsidR="00087B64">
          <w:rPr>
            <w:rStyle w:val="Hyperlink"/>
            <w:lang w:val="es-MX"/>
          </w:rPr>
          <w:t>http://www.fao.org/3/a-be595s.pdf</w:t>
        </w:r>
      </w:hyperlink>
      <w:r w:rsidRPr="00EB6A11">
        <w:rPr>
          <w:lang w:val="es-MX"/>
        </w:rPr>
        <w:t xml:space="preserve">. </w:t>
      </w:r>
    </w:p>
  </w:footnote>
  <w:footnote w:id="85">
    <w:p w:rsidR="002F08F4" w:rsidRPr="00EB6A11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EB6A11">
        <w:rPr>
          <w:lang w:val="es-MX"/>
        </w:rPr>
        <w:t xml:space="preserve"> </w:t>
      </w:r>
      <w:r w:rsidR="00EB6A11" w:rsidRPr="00EB6A11">
        <w:rPr>
          <w:lang w:val="es-MX"/>
        </w:rPr>
        <w:t xml:space="preserve">Los temas </w:t>
      </w:r>
      <w:r w:rsidR="00EB6A11">
        <w:rPr>
          <w:lang w:val="es-MX"/>
        </w:rPr>
        <w:t xml:space="preserve">acordados </w:t>
      </w:r>
      <w:r w:rsidR="00EB6A11" w:rsidRPr="00EB6A11">
        <w:rPr>
          <w:lang w:val="es-MX"/>
        </w:rPr>
        <w:t xml:space="preserve">en 2011 son "la </w:t>
      </w:r>
      <w:r w:rsidR="00EB6A11">
        <w:rPr>
          <w:lang w:val="es-MX"/>
        </w:rPr>
        <w:t xml:space="preserve">conservación </w:t>
      </w:r>
      <w:r w:rsidR="00EB6A11" w:rsidRPr="00EB6A11">
        <w:rPr>
          <w:lang w:val="es-MX"/>
        </w:rPr>
        <w:t xml:space="preserve">y </w:t>
      </w:r>
      <w:r w:rsidR="00EB6A11">
        <w:rPr>
          <w:lang w:val="es-MX"/>
        </w:rPr>
        <w:t xml:space="preserve">utilización </w:t>
      </w:r>
      <w:r w:rsidR="00EB6A11" w:rsidRPr="00EB6A11">
        <w:rPr>
          <w:lang w:val="es-MX"/>
        </w:rPr>
        <w:t xml:space="preserve">sostenible de la </w:t>
      </w:r>
      <w:r w:rsidR="00EB6A11">
        <w:rPr>
          <w:lang w:val="es-MX"/>
        </w:rPr>
        <w:t>d</w:t>
      </w:r>
      <w:r w:rsidR="00EB6A11" w:rsidRPr="00EB6A11">
        <w:rPr>
          <w:lang w:val="es-MX"/>
        </w:rPr>
        <w:t xml:space="preserve">iversidad biológica marina de áreas </w:t>
      </w:r>
      <w:r w:rsidR="00EB6A11">
        <w:rPr>
          <w:lang w:val="es-MX"/>
        </w:rPr>
        <w:t xml:space="preserve">que están fuera </w:t>
      </w:r>
      <w:r w:rsidR="00EB6A11" w:rsidRPr="00EB6A11">
        <w:rPr>
          <w:lang w:val="es-MX"/>
        </w:rPr>
        <w:t>de la jurisdicción nacional, particularmente, junto</w:t>
      </w:r>
      <w:r w:rsidR="00EB6A11">
        <w:rPr>
          <w:lang w:val="es-MX"/>
        </w:rPr>
        <w:t>s</w:t>
      </w:r>
      <w:r w:rsidR="00EB6A11" w:rsidRPr="00EB6A11">
        <w:rPr>
          <w:lang w:val="es-MX"/>
        </w:rPr>
        <w:t xml:space="preserve"> y </w:t>
      </w:r>
      <w:r w:rsidR="00EB6A11">
        <w:rPr>
          <w:lang w:val="es-MX"/>
        </w:rPr>
        <w:t>como totalidad</w:t>
      </w:r>
      <w:r w:rsidR="00EB6A11" w:rsidRPr="00EB6A11">
        <w:rPr>
          <w:lang w:val="es-MX"/>
        </w:rPr>
        <w:t xml:space="preserve">, los recursos genéticos marinos, incluyendo </w:t>
      </w:r>
      <w:r w:rsidR="00EB6A11">
        <w:rPr>
          <w:lang w:val="es-MX"/>
        </w:rPr>
        <w:t xml:space="preserve">cuestiones </w:t>
      </w:r>
      <w:r w:rsidR="00EB6A11" w:rsidRPr="00EB6A11">
        <w:rPr>
          <w:lang w:val="es-MX"/>
        </w:rPr>
        <w:t xml:space="preserve">sobre la </w:t>
      </w:r>
      <w:r w:rsidR="00EB6A11">
        <w:rPr>
          <w:lang w:val="es-MX"/>
        </w:rPr>
        <w:t>participación en los beneficios</w:t>
      </w:r>
      <w:r w:rsidR="00EB6A11" w:rsidRPr="00EB6A11">
        <w:rPr>
          <w:lang w:val="es-MX"/>
        </w:rPr>
        <w:t xml:space="preserve">, medidas tales como herramientas de gestión </w:t>
      </w:r>
      <w:r w:rsidR="00EB6A11">
        <w:rPr>
          <w:lang w:val="es-MX"/>
        </w:rPr>
        <w:t>basadas en áreas</w:t>
      </w:r>
      <w:r w:rsidR="00EB6A11" w:rsidRPr="00EB6A11">
        <w:rPr>
          <w:lang w:val="es-MX"/>
        </w:rPr>
        <w:t xml:space="preserve">, incluyendo áreas protegidas marinas, evaluaciones de impacto </w:t>
      </w:r>
      <w:r w:rsidR="00EB6A11">
        <w:rPr>
          <w:lang w:val="es-MX"/>
        </w:rPr>
        <w:t xml:space="preserve">ambiental </w:t>
      </w:r>
      <w:r w:rsidR="00EB6A11" w:rsidRPr="00EB6A11">
        <w:rPr>
          <w:lang w:val="es-MX"/>
        </w:rPr>
        <w:t>y creación de capacidad y transferencia de tecnología marina". V</w:t>
      </w:r>
      <w:r w:rsidR="000C7DE5">
        <w:rPr>
          <w:lang w:val="es-MX"/>
        </w:rPr>
        <w:t>éase</w:t>
      </w:r>
      <w:r w:rsidR="00EB6A11" w:rsidRPr="00EB6A11">
        <w:rPr>
          <w:lang w:val="es-MX"/>
        </w:rPr>
        <w:t xml:space="preserve"> la presentación de la </w:t>
      </w:r>
      <w:r w:rsidR="00EB6A11">
        <w:rPr>
          <w:lang w:val="es-MX"/>
        </w:rPr>
        <w:t>D</w:t>
      </w:r>
      <w:r w:rsidR="00EB6A11" w:rsidRPr="00EB6A11">
        <w:rPr>
          <w:lang w:val="es-MX"/>
        </w:rPr>
        <w:t xml:space="preserve">ivisión de </w:t>
      </w:r>
      <w:r w:rsidR="00EB6A11">
        <w:rPr>
          <w:lang w:val="es-MX"/>
        </w:rPr>
        <w:t>A</w:t>
      </w:r>
      <w:r w:rsidR="00EB6A11" w:rsidRPr="00EB6A11">
        <w:rPr>
          <w:lang w:val="es-MX"/>
        </w:rPr>
        <w:t xml:space="preserve">suntos </w:t>
      </w:r>
      <w:r w:rsidR="00EB6A11">
        <w:rPr>
          <w:lang w:val="es-MX"/>
        </w:rPr>
        <w:t xml:space="preserve">Oceánicos </w:t>
      </w:r>
      <w:r w:rsidR="00EB6A11" w:rsidRPr="00EB6A11">
        <w:rPr>
          <w:lang w:val="es-MX"/>
        </w:rPr>
        <w:t xml:space="preserve">y del </w:t>
      </w:r>
      <w:r w:rsidR="00EB6A11">
        <w:rPr>
          <w:lang w:val="es-MX"/>
        </w:rPr>
        <w:t>D</w:t>
      </w:r>
      <w:r w:rsidR="00EB6A11" w:rsidRPr="00EB6A11">
        <w:rPr>
          <w:lang w:val="es-MX"/>
        </w:rPr>
        <w:t xml:space="preserve">erecho del </w:t>
      </w:r>
      <w:r w:rsidR="00EB6A11">
        <w:rPr>
          <w:lang w:val="es-MX"/>
        </w:rPr>
        <w:t>M</w:t>
      </w:r>
      <w:r w:rsidR="00EB6A11" w:rsidRPr="00EB6A11">
        <w:rPr>
          <w:lang w:val="es-MX"/>
        </w:rPr>
        <w:t>ar</w:t>
      </w:r>
      <w:r w:rsidR="00EB6A11">
        <w:rPr>
          <w:lang w:val="es-MX"/>
        </w:rPr>
        <w:t xml:space="preserve"> de las</w:t>
      </w:r>
      <w:r w:rsidR="00EB6A11" w:rsidRPr="00EB6A11">
        <w:rPr>
          <w:lang w:val="es-MX"/>
        </w:rPr>
        <w:t xml:space="preserve"> Naciones Unidas</w:t>
      </w:r>
      <w:r w:rsidRPr="00EB6A11">
        <w:rPr>
          <w:lang w:val="es-MX"/>
        </w:rPr>
        <w:t>.</w:t>
      </w:r>
    </w:p>
  </w:footnote>
  <w:footnote w:id="86">
    <w:p w:rsidR="002F08F4" w:rsidRPr="00EB6A11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EB6A11">
        <w:rPr>
          <w:lang w:val="es-MX"/>
        </w:rPr>
        <w:t xml:space="preserve"> </w:t>
      </w:r>
      <w:r w:rsidR="00EB6A11" w:rsidRPr="00EB6A11">
        <w:rPr>
          <w:lang w:val="es-MX"/>
        </w:rPr>
        <w:t>Para más información sobre el proceso, v</w:t>
      </w:r>
      <w:r w:rsidR="00EB6A11">
        <w:rPr>
          <w:lang w:val="es-MX"/>
        </w:rPr>
        <w:t>é</w:t>
      </w:r>
      <w:r w:rsidR="00EB6A11" w:rsidRPr="00EB6A11">
        <w:rPr>
          <w:lang w:val="es-MX"/>
        </w:rPr>
        <w:t>a</w:t>
      </w:r>
      <w:r w:rsidR="00EB6A11">
        <w:rPr>
          <w:lang w:val="es-MX"/>
        </w:rPr>
        <w:t>se</w:t>
      </w:r>
      <w:r w:rsidR="00EB6A11" w:rsidRPr="00EB6A11">
        <w:rPr>
          <w:lang w:val="es-MX"/>
        </w:rPr>
        <w:t xml:space="preserve"> </w:t>
      </w:r>
      <w:r w:rsidR="00C46576">
        <w:fldChar w:fldCharType="begin"/>
      </w:r>
      <w:r w:rsidR="00C46576" w:rsidRPr="00117559">
        <w:rPr>
          <w:lang w:val="fr-CA"/>
        </w:rPr>
        <w:instrText>HYPERLINK "http://www.who.int/influenza/pip/Documents_WHA70108b/en/"</w:instrText>
      </w:r>
      <w:r w:rsidR="00C46576">
        <w:fldChar w:fldCharType="separate"/>
      </w:r>
      <w:r w:rsidRPr="00EB6A11">
        <w:rPr>
          <w:rStyle w:val="Hyperlink"/>
          <w:lang w:val="es-MX"/>
        </w:rPr>
        <w:t>http://www.who.int/influenza/pip/Documents_WHA70108b/en/</w:t>
      </w:r>
      <w:r w:rsidR="00C46576">
        <w:fldChar w:fldCharType="end"/>
      </w:r>
      <w:r w:rsidRPr="00EB6A11">
        <w:rPr>
          <w:lang w:val="es-MX"/>
        </w:rPr>
        <w:t xml:space="preserve">. </w:t>
      </w:r>
    </w:p>
  </w:footnote>
  <w:footnote w:id="87">
    <w:p w:rsidR="002F08F4" w:rsidRPr="00EB6A11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EB6A11">
        <w:rPr>
          <w:lang w:val="es-MX"/>
        </w:rPr>
        <w:t xml:space="preserve"> </w:t>
      </w:r>
      <w:r w:rsidR="00EB6A11" w:rsidRPr="00EB6A11">
        <w:rPr>
          <w:lang w:val="es-MX"/>
        </w:rPr>
        <w:t>Véase</w:t>
      </w:r>
      <w:r w:rsidRPr="00EB6A11">
        <w:rPr>
          <w:lang w:val="es-MX"/>
        </w:rPr>
        <w:t xml:space="preserve"> </w:t>
      </w:r>
      <w:r w:rsidR="00087B64" w:rsidRPr="00087B64">
        <w:rPr>
          <w:lang w:val="es-MX"/>
        </w:rPr>
        <w:t>http://apps.who.int/gb/ebwha/pdf_files/WHA71/A71_24-en.pdf</w:t>
      </w:r>
      <w:r w:rsidRPr="00EB6A11">
        <w:rPr>
          <w:lang w:val="es-MX"/>
        </w:rPr>
        <w:t xml:space="preserve">. </w:t>
      </w:r>
    </w:p>
  </w:footnote>
  <w:footnote w:id="88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</w:t>
      </w:r>
      <w:r w:rsidR="00C46576">
        <w:fldChar w:fldCharType="begin"/>
      </w:r>
      <w:r w:rsidR="00C46576" w:rsidRPr="00117559">
        <w:rPr>
          <w:lang w:val="es-MX"/>
        </w:rPr>
        <w:instrText>HYPERLINK "https://www.cbd.int/abs/submissions-np-2-10/default.shtml"</w:instrText>
      </w:r>
      <w:r w:rsidR="00C46576">
        <w:fldChar w:fldCharType="separate"/>
      </w:r>
      <w:r w:rsidR="00087B64" w:rsidRPr="007C7BC7">
        <w:rPr>
          <w:rStyle w:val="Hyperlink"/>
          <w:lang w:val="es-MX"/>
        </w:rPr>
        <w:t>https://www.cbd.int/abs/submissions-np-2-10/default.shtml</w:t>
      </w:r>
      <w:r w:rsidR="00C46576">
        <w:fldChar w:fldCharType="end"/>
      </w:r>
      <w:r w:rsidRPr="00744285">
        <w:rPr>
          <w:lang w:val="es-MX"/>
        </w:rPr>
        <w:t xml:space="preserve">. </w:t>
      </w:r>
    </w:p>
  </w:footnote>
  <w:footnote w:id="89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India, </w:t>
      </w:r>
      <w:r>
        <w:rPr>
          <w:lang w:val="es-MX"/>
        </w:rPr>
        <w:t>Japón</w:t>
      </w:r>
      <w:r w:rsidRPr="000033F2">
        <w:rPr>
          <w:lang w:val="es-MX"/>
        </w:rPr>
        <w:t>.</w:t>
      </w:r>
    </w:p>
  </w:footnote>
  <w:footnote w:id="90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India.</w:t>
      </w:r>
    </w:p>
  </w:footnote>
  <w:footnote w:id="91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</w:t>
      </w:r>
      <w:r>
        <w:rPr>
          <w:lang w:val="es-MX"/>
        </w:rPr>
        <w:t>México</w:t>
      </w:r>
    </w:p>
  </w:footnote>
  <w:footnote w:id="92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Argentina</w:t>
      </w:r>
    </w:p>
  </w:footnote>
  <w:footnote w:id="93">
    <w:p w:rsidR="002F08F4" w:rsidRPr="00066EC9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66EC9">
        <w:rPr>
          <w:lang w:val="es-MX"/>
        </w:rPr>
        <w:t xml:space="preserve"> India, </w:t>
      </w:r>
      <w:r w:rsidR="0046576C">
        <w:rPr>
          <w:lang w:val="es-MX"/>
        </w:rPr>
        <w:t xml:space="preserve">Asociación Japonesa de </w:t>
      </w:r>
      <w:proofErr w:type="spellStart"/>
      <w:r w:rsidR="0046576C">
        <w:rPr>
          <w:lang w:val="es-MX"/>
        </w:rPr>
        <w:t>Bioindustrias</w:t>
      </w:r>
      <w:proofErr w:type="spellEnd"/>
    </w:p>
  </w:footnote>
  <w:footnote w:id="94">
    <w:p w:rsidR="002F08F4" w:rsidRPr="0046576C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 xml:space="preserve">Asociación Japonesa de </w:t>
      </w:r>
      <w:proofErr w:type="spellStart"/>
      <w:r w:rsidR="0046576C" w:rsidRPr="0046576C">
        <w:rPr>
          <w:lang w:val="es-MX"/>
        </w:rPr>
        <w:t>Bioindustrias</w:t>
      </w:r>
      <w:proofErr w:type="spellEnd"/>
    </w:p>
  </w:footnote>
  <w:footnote w:id="95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Argentina</w:t>
      </w:r>
    </w:p>
  </w:footnote>
  <w:footnote w:id="96">
    <w:p w:rsidR="002F08F4" w:rsidRPr="00E15257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Japón. </w:t>
      </w:r>
      <w:r w:rsidR="00A73E1C" w:rsidRPr="00A73E1C">
        <w:rPr>
          <w:lang w:val="es-MX"/>
        </w:rPr>
        <w:t xml:space="preserve">Véase también el apartado </w:t>
      </w:r>
      <w:r w:rsidRPr="00E15257">
        <w:rPr>
          <w:lang w:val="es-MX"/>
        </w:rPr>
        <w:t xml:space="preserve">60 </w:t>
      </w:r>
      <w:r w:rsidR="00A73E1C">
        <w:rPr>
          <w:lang w:val="es-MX"/>
        </w:rPr>
        <w:t>anterior</w:t>
      </w:r>
      <w:r w:rsidRPr="00E15257">
        <w:rPr>
          <w:lang w:val="es-MX"/>
        </w:rPr>
        <w:t>.</w:t>
      </w:r>
    </w:p>
  </w:footnote>
  <w:footnote w:id="97">
    <w:p w:rsidR="002F08F4" w:rsidRPr="00066EC9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66EC9">
        <w:rPr>
          <w:lang w:val="es-MX"/>
        </w:rPr>
        <w:t xml:space="preserve"> ICC</w:t>
      </w:r>
      <w:r w:rsidR="000C7DE5">
        <w:rPr>
          <w:lang w:val="es-MX"/>
        </w:rPr>
        <w:t xml:space="preserve"> (</w:t>
      </w:r>
      <w:r w:rsidR="00A73E1C">
        <w:rPr>
          <w:lang w:val="es-MX"/>
        </w:rPr>
        <w:t>Cámara de Comercio Internacional</w:t>
      </w:r>
      <w:r w:rsidR="000C7DE5">
        <w:rPr>
          <w:lang w:val="es-MX"/>
        </w:rPr>
        <w:t>)</w:t>
      </w:r>
      <w:r w:rsidRPr="00066EC9">
        <w:rPr>
          <w:lang w:val="es-MX"/>
        </w:rPr>
        <w:t>.</w:t>
      </w:r>
    </w:p>
  </w:footnote>
  <w:footnote w:id="98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Argentina, </w:t>
      </w:r>
      <w:r>
        <w:rPr>
          <w:lang w:val="es-MX"/>
        </w:rPr>
        <w:t>México</w:t>
      </w:r>
    </w:p>
  </w:footnote>
  <w:footnote w:id="99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Joseph Henry Vogel</w:t>
      </w:r>
    </w:p>
  </w:footnote>
  <w:footnote w:id="100">
    <w:p w:rsidR="002F08F4" w:rsidRPr="000033F2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0033F2">
        <w:rPr>
          <w:lang w:val="es-MX"/>
        </w:rPr>
        <w:t xml:space="preserve"> Argentina, India, </w:t>
      </w:r>
      <w:r>
        <w:rPr>
          <w:lang w:val="es-MX"/>
        </w:rPr>
        <w:t>México</w:t>
      </w:r>
    </w:p>
  </w:footnote>
  <w:footnote w:id="101">
    <w:p w:rsidR="002F08F4" w:rsidRPr="00744285" w:rsidRDefault="002F08F4" w:rsidP="006050AF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Argentina</w:t>
      </w:r>
    </w:p>
  </w:footnote>
  <w:footnote w:id="102">
    <w:p w:rsidR="002F08F4" w:rsidRPr="00744285" w:rsidRDefault="002F08F4" w:rsidP="00A73E1C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India</w:t>
      </w:r>
    </w:p>
  </w:footnote>
  <w:footnote w:id="103">
    <w:p w:rsidR="002F08F4" w:rsidRPr="00744285" w:rsidRDefault="002F08F4" w:rsidP="00A73E1C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Argentina</w:t>
      </w:r>
    </w:p>
  </w:footnote>
  <w:footnote w:id="104">
    <w:p w:rsidR="002F08F4" w:rsidRPr="00744285" w:rsidRDefault="002F08F4" w:rsidP="00A73E1C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744285">
        <w:rPr>
          <w:lang w:val="es-MX"/>
        </w:rPr>
        <w:t xml:space="preserve"> México</w:t>
      </w:r>
    </w:p>
  </w:footnote>
  <w:footnote w:id="105">
    <w:p w:rsidR="002F08F4" w:rsidRPr="00A73E1C" w:rsidRDefault="002F08F4" w:rsidP="00A73E1C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A73E1C">
        <w:rPr>
          <w:lang w:val="es-MX"/>
        </w:rPr>
        <w:t xml:space="preserve"> </w:t>
      </w:r>
      <w:r w:rsidR="00A73E1C" w:rsidRPr="00A73E1C">
        <w:rPr>
          <w:lang w:val="es-MX"/>
        </w:rPr>
        <w:t xml:space="preserve">Véase la decisión </w:t>
      </w:r>
      <w:r w:rsidRPr="00A73E1C">
        <w:rPr>
          <w:lang w:val="es-MX"/>
        </w:rPr>
        <w:t xml:space="preserve">XI/1 B </w:t>
      </w:r>
      <w:r w:rsidR="00A73E1C" w:rsidRPr="00A73E1C">
        <w:rPr>
          <w:lang w:val="es-MX"/>
        </w:rPr>
        <w:t xml:space="preserve">y su anexo </w:t>
      </w:r>
      <w:r w:rsidRPr="00A73E1C">
        <w:rPr>
          <w:lang w:val="es-MX"/>
        </w:rPr>
        <w:t>I.</w:t>
      </w:r>
    </w:p>
  </w:footnote>
  <w:footnote w:id="106">
    <w:p w:rsidR="002F08F4" w:rsidRPr="0046576C" w:rsidRDefault="002F08F4" w:rsidP="00A73E1C">
      <w:pPr>
        <w:pStyle w:val="FootnoteText"/>
        <w:ind w:firstLine="0"/>
        <w:rPr>
          <w:lang w:val="es-MX"/>
        </w:rPr>
      </w:pPr>
      <w:r>
        <w:rPr>
          <w:rStyle w:val="FootnoteReference"/>
        </w:rPr>
        <w:footnoteRef/>
      </w:r>
      <w:r w:rsidRPr="0046576C">
        <w:rPr>
          <w:lang w:val="es-MX"/>
        </w:rPr>
        <w:t xml:space="preserve"> </w:t>
      </w:r>
      <w:r w:rsidR="0046576C" w:rsidRPr="0046576C">
        <w:rPr>
          <w:lang w:val="es-MX"/>
        </w:rPr>
        <w:t>Federación Mundial de Colecciones de Cultivos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95BACAF8E1B544E3A2FFF3D76F654E4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2F08F4" w:rsidRDefault="002F08F4" w:rsidP="006050AF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</w:rPr>
          <w:t>CBD/SBI/2/5</w:t>
        </w:r>
      </w:p>
    </w:sdtContent>
  </w:sdt>
  <w:p w:rsidR="002F08F4" w:rsidRDefault="002F08F4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>
      <w:rPr>
        <w:noProof/>
        <w:kern w:val="22"/>
      </w:rPr>
      <w:t>Página</w:t>
    </w:r>
    <w:r w:rsidR="00C46576" w:rsidRPr="005440A6">
      <w:rPr>
        <w:noProof/>
        <w:kern w:val="22"/>
      </w:rPr>
      <w:fldChar w:fldCharType="begin"/>
    </w:r>
    <w:r>
      <w:instrText xml:space="preserve"> PAGE   \* MERGEFORMAT </w:instrText>
    </w:r>
    <w:r w:rsidR="00C46576" w:rsidRPr="00C46576">
      <w:fldChar w:fldCharType="separate"/>
    </w:r>
    <w:r>
      <w:rPr>
        <w:noProof/>
        <w:kern w:val="22"/>
      </w:rPr>
      <w:t xml:space="preserve"> 2</w:t>
    </w:r>
    <w:r w:rsidR="00C46576" w:rsidRPr="005440A6">
      <w:rPr>
        <w:noProof/>
        <w:kern w:val="22"/>
      </w:rPr>
      <w:fldChar w:fldCharType="end"/>
    </w:r>
  </w:p>
  <w:p w:rsidR="002F08F4" w:rsidRPr="005440A6" w:rsidRDefault="002F08F4" w:rsidP="006050AF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  <w:p w:rsidR="002F08F4" w:rsidRPr="006050AF" w:rsidRDefault="002F08F4" w:rsidP="006050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placeholder>
        <w:docPart w:val="7E27E93E31CA468C9A796B823C64B6B3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2F08F4" w:rsidRPr="005440A6" w:rsidRDefault="002F08F4" w:rsidP="006050AF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</w:rPr>
          <w:t>CBD/SBI/2/5</w:t>
        </w:r>
      </w:p>
    </w:sdtContent>
  </w:sdt>
  <w:p w:rsidR="002F08F4" w:rsidRDefault="002F08F4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>
      <w:rPr>
        <w:noProof/>
        <w:kern w:val="22"/>
      </w:rPr>
      <w:t>Página</w:t>
    </w:r>
    <w:r w:rsidR="00C46576" w:rsidRPr="005440A6">
      <w:rPr>
        <w:noProof/>
        <w:kern w:val="22"/>
      </w:rPr>
      <w:fldChar w:fldCharType="begin"/>
    </w:r>
    <w:r>
      <w:instrText xml:space="preserve"> PAGE   \* MERGEFORMAT </w:instrText>
    </w:r>
    <w:r w:rsidR="00C46576" w:rsidRPr="00C46576">
      <w:fldChar w:fldCharType="separate"/>
    </w:r>
    <w:r w:rsidR="00117559" w:rsidRPr="00117559">
      <w:rPr>
        <w:noProof/>
        <w:kern w:val="22"/>
      </w:rPr>
      <w:t>5</w:t>
    </w:r>
    <w:r w:rsidR="00C46576" w:rsidRPr="005440A6">
      <w:rPr>
        <w:noProof/>
        <w:kern w:val="22"/>
      </w:rPr>
      <w:fldChar w:fldCharType="end"/>
    </w:r>
  </w:p>
  <w:p w:rsidR="002F08F4" w:rsidRPr="005440A6" w:rsidRDefault="002F08F4" w:rsidP="006050AF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  <w:p w:rsidR="002F08F4" w:rsidRPr="006050AF" w:rsidRDefault="002F08F4" w:rsidP="006050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F4" w:rsidRDefault="002F08F4" w:rsidP="006050AF">
    <w:pPr>
      <w:pStyle w:val="Header"/>
    </w:pPr>
  </w:p>
  <w:p w:rsidR="002F08F4" w:rsidRPr="006050AF" w:rsidRDefault="002F08F4" w:rsidP="006050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791"/>
    <w:multiLevelType w:val="hybridMultilevel"/>
    <w:tmpl w:val="0EEA7C9E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59BF"/>
    <w:multiLevelType w:val="multilevel"/>
    <w:tmpl w:val="BE02EF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B8510F5"/>
    <w:multiLevelType w:val="multilevel"/>
    <w:tmpl w:val="76C86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DC10D1"/>
    <w:multiLevelType w:val="multilevel"/>
    <w:tmpl w:val="6BE00D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2AF76FB"/>
    <w:multiLevelType w:val="multilevel"/>
    <w:tmpl w:val="0BAE89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1FA3D95"/>
    <w:multiLevelType w:val="multilevel"/>
    <w:tmpl w:val="D73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280A2D"/>
    <w:multiLevelType w:val="hybridMultilevel"/>
    <w:tmpl w:val="2342E4EC"/>
    <w:lvl w:ilvl="0" w:tplc="E7C89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4525DA"/>
    <w:multiLevelType w:val="multilevel"/>
    <w:tmpl w:val="91F62D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4C667D7"/>
    <w:multiLevelType w:val="hybridMultilevel"/>
    <w:tmpl w:val="065C48AE"/>
    <w:lvl w:ilvl="0" w:tplc="2B64F4D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00263C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13193"/>
    <w:multiLevelType w:val="hybridMultilevel"/>
    <w:tmpl w:val="3F063C48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5F74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6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0AF"/>
    <w:rsid w:val="000033F2"/>
    <w:rsid w:val="00036754"/>
    <w:rsid w:val="00066EC9"/>
    <w:rsid w:val="0008032E"/>
    <w:rsid w:val="00087B64"/>
    <w:rsid w:val="00091BB1"/>
    <w:rsid w:val="00096D97"/>
    <w:rsid w:val="000A69B6"/>
    <w:rsid w:val="000C7DE5"/>
    <w:rsid w:val="000E437F"/>
    <w:rsid w:val="000F4172"/>
    <w:rsid w:val="00110BFC"/>
    <w:rsid w:val="00117559"/>
    <w:rsid w:val="00126721"/>
    <w:rsid w:val="0013081F"/>
    <w:rsid w:val="00147DA0"/>
    <w:rsid w:val="00151AE3"/>
    <w:rsid w:val="0016726F"/>
    <w:rsid w:val="001B1B97"/>
    <w:rsid w:val="001C21DF"/>
    <w:rsid w:val="001F715B"/>
    <w:rsid w:val="00206103"/>
    <w:rsid w:val="00215335"/>
    <w:rsid w:val="00292132"/>
    <w:rsid w:val="002B34CB"/>
    <w:rsid w:val="002C11B0"/>
    <w:rsid w:val="002E751F"/>
    <w:rsid w:val="002F08F4"/>
    <w:rsid w:val="00331F0F"/>
    <w:rsid w:val="00371D42"/>
    <w:rsid w:val="00375831"/>
    <w:rsid w:val="003804B6"/>
    <w:rsid w:val="003E586E"/>
    <w:rsid w:val="003F165B"/>
    <w:rsid w:val="003F66D6"/>
    <w:rsid w:val="004162A6"/>
    <w:rsid w:val="00417CB4"/>
    <w:rsid w:val="00435CB3"/>
    <w:rsid w:val="00452CB1"/>
    <w:rsid w:val="00456B21"/>
    <w:rsid w:val="0046576C"/>
    <w:rsid w:val="004878EB"/>
    <w:rsid w:val="004A2602"/>
    <w:rsid w:val="00514C5E"/>
    <w:rsid w:val="005174FA"/>
    <w:rsid w:val="005244A7"/>
    <w:rsid w:val="00581EF7"/>
    <w:rsid w:val="0058788A"/>
    <w:rsid w:val="005A375C"/>
    <w:rsid w:val="005C12DB"/>
    <w:rsid w:val="005E113E"/>
    <w:rsid w:val="005E4102"/>
    <w:rsid w:val="006050AF"/>
    <w:rsid w:val="006071A2"/>
    <w:rsid w:val="006270AB"/>
    <w:rsid w:val="006272C2"/>
    <w:rsid w:val="006339BD"/>
    <w:rsid w:val="00635DA0"/>
    <w:rsid w:val="00644DAC"/>
    <w:rsid w:val="0066338B"/>
    <w:rsid w:val="00663FC1"/>
    <w:rsid w:val="00667B49"/>
    <w:rsid w:val="006A7755"/>
    <w:rsid w:val="006C3AA7"/>
    <w:rsid w:val="006C432D"/>
    <w:rsid w:val="006D33DB"/>
    <w:rsid w:val="00703A59"/>
    <w:rsid w:val="00711815"/>
    <w:rsid w:val="00731D21"/>
    <w:rsid w:val="007425C5"/>
    <w:rsid w:val="00744285"/>
    <w:rsid w:val="00750E12"/>
    <w:rsid w:val="007554B0"/>
    <w:rsid w:val="00764005"/>
    <w:rsid w:val="00767DDB"/>
    <w:rsid w:val="00770133"/>
    <w:rsid w:val="007D74AF"/>
    <w:rsid w:val="00805FDC"/>
    <w:rsid w:val="00807CEC"/>
    <w:rsid w:val="008312F5"/>
    <w:rsid w:val="0087195B"/>
    <w:rsid w:val="00874C3F"/>
    <w:rsid w:val="00895863"/>
    <w:rsid w:val="008C046C"/>
    <w:rsid w:val="008C2374"/>
    <w:rsid w:val="008E4037"/>
    <w:rsid w:val="009A3B15"/>
    <w:rsid w:val="009B2BB5"/>
    <w:rsid w:val="009D11B9"/>
    <w:rsid w:val="00A07A9C"/>
    <w:rsid w:val="00A13A4F"/>
    <w:rsid w:val="00A25185"/>
    <w:rsid w:val="00A256A5"/>
    <w:rsid w:val="00A27216"/>
    <w:rsid w:val="00A40A8C"/>
    <w:rsid w:val="00A46193"/>
    <w:rsid w:val="00A651A5"/>
    <w:rsid w:val="00A676EB"/>
    <w:rsid w:val="00A71483"/>
    <w:rsid w:val="00A73E1C"/>
    <w:rsid w:val="00A976E4"/>
    <w:rsid w:val="00AA257C"/>
    <w:rsid w:val="00AF272D"/>
    <w:rsid w:val="00B01082"/>
    <w:rsid w:val="00B2781E"/>
    <w:rsid w:val="00B368F0"/>
    <w:rsid w:val="00B52CF7"/>
    <w:rsid w:val="00B54C19"/>
    <w:rsid w:val="00B96454"/>
    <w:rsid w:val="00BA6E1E"/>
    <w:rsid w:val="00BC56E3"/>
    <w:rsid w:val="00BF2D74"/>
    <w:rsid w:val="00C46576"/>
    <w:rsid w:val="00C52516"/>
    <w:rsid w:val="00C87BBE"/>
    <w:rsid w:val="00CC5866"/>
    <w:rsid w:val="00CD1358"/>
    <w:rsid w:val="00CD2D31"/>
    <w:rsid w:val="00CE58D0"/>
    <w:rsid w:val="00CE66B4"/>
    <w:rsid w:val="00D00977"/>
    <w:rsid w:val="00D370DD"/>
    <w:rsid w:val="00D76E6B"/>
    <w:rsid w:val="00D97DF4"/>
    <w:rsid w:val="00DA1F59"/>
    <w:rsid w:val="00E11D92"/>
    <w:rsid w:val="00E15231"/>
    <w:rsid w:val="00E15257"/>
    <w:rsid w:val="00E60979"/>
    <w:rsid w:val="00E74523"/>
    <w:rsid w:val="00E9756E"/>
    <w:rsid w:val="00EA62AC"/>
    <w:rsid w:val="00EB1A0D"/>
    <w:rsid w:val="00EB6A11"/>
    <w:rsid w:val="00EC1A6B"/>
    <w:rsid w:val="00ED11CE"/>
    <w:rsid w:val="00EE0363"/>
    <w:rsid w:val="00F32D9F"/>
    <w:rsid w:val="00F33AF6"/>
    <w:rsid w:val="00F36B85"/>
    <w:rsid w:val="00F45D06"/>
    <w:rsid w:val="00FB7868"/>
    <w:rsid w:val="00FB79CA"/>
    <w:rsid w:val="00FC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A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6050A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050A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6050A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6050A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6050AF"/>
    <w:pPr>
      <w:keepNext/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6050A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6050A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6050A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6050AF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050AF"/>
  </w:style>
  <w:style w:type="paragraph" w:styleId="BalloonText">
    <w:name w:val="Balloon Text"/>
    <w:basedOn w:val="Normal"/>
    <w:link w:val="BalloonTextChar"/>
    <w:uiPriority w:val="99"/>
    <w:semiHidden/>
    <w:unhideWhenUsed/>
    <w:rsid w:val="00605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0AF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6050AF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6050AF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6050AF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050AF"/>
    <w:rPr>
      <w:rFonts w:ascii="Times New Roman" w:eastAsia="Times New Roman" w:hAnsi="Times New Roman" w:cs="Times New Roman"/>
      <w:szCs w:val="24"/>
      <w:lang w:val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050AF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eastAsia="Arial Unicode MS" w:hAnsi="Arial Unicode MS" w:cs="Arial Unicode MS"/>
      <w:b/>
      <w:bCs/>
      <w:szCs w:val="18"/>
      <w:u w:color="000000"/>
      <w:bdr w:val="nil"/>
    </w:rPr>
  </w:style>
  <w:style w:type="character" w:customStyle="1" w:styleId="CaptionChar">
    <w:name w:val="Caption Char"/>
    <w:link w:val="Caption"/>
    <w:uiPriority w:val="35"/>
    <w:rsid w:val="006050AF"/>
    <w:rPr>
      <w:rFonts w:ascii="Times New Roman" w:eastAsia="Arial Unicode MS" w:hAnsi="Arial Unicode MS" w:cs="Arial Unicode MS"/>
      <w:b/>
      <w:bCs/>
      <w:szCs w:val="18"/>
      <w:u w:color="000000"/>
      <w:bdr w:val="nil"/>
    </w:rPr>
  </w:style>
  <w:style w:type="character" w:styleId="CommentReference">
    <w:name w:val="annotation reference"/>
    <w:uiPriority w:val="99"/>
    <w:semiHidden/>
    <w:rsid w:val="006050AF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050AF"/>
    <w:pPr>
      <w:spacing w:after="120" w:line="240" w:lineRule="exact"/>
    </w:pPr>
  </w:style>
  <w:style w:type="character" w:customStyle="1" w:styleId="CommentTextChar">
    <w:name w:val="Comment Text Char"/>
    <w:link w:val="CommentText"/>
    <w:uiPriority w:val="99"/>
    <w:semiHidden/>
    <w:rsid w:val="006050AF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0AF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50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rnernotation">
    <w:name w:val="Corner notation"/>
    <w:basedOn w:val="Normal"/>
    <w:rsid w:val="006050AF"/>
    <w:pPr>
      <w:ind w:left="170" w:right="3119" w:hanging="170"/>
    </w:pPr>
  </w:style>
  <w:style w:type="paragraph" w:customStyle="1" w:styleId="decision">
    <w:name w:val="decision"/>
    <w:basedOn w:val="Normal"/>
    <w:qFormat/>
    <w:rsid w:val="006050AF"/>
    <w:pPr>
      <w:keepNext/>
      <w:spacing w:before="240" w:after="120"/>
      <w:ind w:hanging="11"/>
      <w:jc w:val="center"/>
    </w:pPr>
    <w:rPr>
      <w:b/>
      <w:kern w:val="22"/>
    </w:rPr>
  </w:style>
  <w:style w:type="character" w:styleId="EndnoteReference">
    <w:name w:val="endnote reference"/>
    <w:semiHidden/>
    <w:rsid w:val="006050AF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050A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6050AF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6050AF"/>
    <w:rPr>
      <w:color w:val="800080"/>
      <w:u w:val="single"/>
    </w:rPr>
  </w:style>
  <w:style w:type="paragraph" w:styleId="Footer">
    <w:name w:val="footer"/>
    <w:basedOn w:val="Normal"/>
    <w:link w:val="FooterChar"/>
    <w:rsid w:val="006050AF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6050AF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6050AF"/>
    <w:rPr>
      <w:sz w:val="18"/>
      <w:u w:val="none"/>
      <w:vertAlign w:val="superscript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6050AF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6050AF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60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0AF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6050AF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6050AF"/>
    <w:rPr>
      <w:b w:val="0"/>
      <w:caps w:val="0"/>
    </w:rPr>
  </w:style>
  <w:style w:type="character" w:customStyle="1" w:styleId="Heading1Char">
    <w:name w:val="Heading 1 Char"/>
    <w:basedOn w:val="DefaultParagraphFont"/>
    <w:link w:val="Heading1"/>
    <w:rsid w:val="006050AF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6050AF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1longmultiline">
    <w:name w:val="Heading 1 (long multiline)"/>
    <w:basedOn w:val="Heading1"/>
    <w:rsid w:val="006050AF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6050AF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6050AF"/>
    <w:pPr>
      <w:keepNext/>
      <w:tabs>
        <w:tab w:val="left" w:pos="720"/>
      </w:tabs>
      <w:spacing w:before="120" w:after="120"/>
      <w:ind w:left="2127" w:right="998" w:hanging="1276"/>
      <w:outlineLvl w:val="0"/>
    </w:pPr>
    <w:rPr>
      <w:b/>
      <w:iCs/>
    </w:rPr>
  </w:style>
  <w:style w:type="paragraph" w:customStyle="1" w:styleId="Heading2multiline">
    <w:name w:val="Heading 2 (multiline)"/>
    <w:basedOn w:val="Heading1"/>
    <w:next w:val="Normal"/>
    <w:rsid w:val="006050A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6050AF"/>
    <w:rPr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6050AF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6050AF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6050AF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6050AF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6050AF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6050AF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6050AF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050AF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050AF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iPriority w:val="99"/>
    <w:unhideWhenUsed/>
    <w:rsid w:val="006050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0AF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6050AF"/>
    <w:rPr>
      <w:rFonts w:eastAsia="Malgun Gothic"/>
      <w:caps/>
      <w:snapToGrid w:val="0"/>
    </w:rPr>
  </w:style>
  <w:style w:type="character" w:styleId="PageNumber">
    <w:name w:val="page number"/>
    <w:rsid w:val="006050AF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6050AF"/>
    <w:pPr>
      <w:numPr>
        <w:numId w:val="4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6050AF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6050AF"/>
    <w:pPr>
      <w:autoSpaceDE w:val="0"/>
      <w:autoSpaceDN w:val="0"/>
      <w:ind w:firstLine="720"/>
    </w:pPr>
  </w:style>
  <w:style w:type="paragraph" w:customStyle="1" w:styleId="Para3">
    <w:name w:val="Para3"/>
    <w:basedOn w:val="Normal"/>
    <w:rsid w:val="006050A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6050AF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6050AF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67"/>
    <w:rsid w:val="006050AF"/>
    <w:rPr>
      <w:color w:val="808080"/>
    </w:rPr>
  </w:style>
  <w:style w:type="paragraph" w:customStyle="1" w:styleId="Quotationtextindented">
    <w:name w:val="Quotation text (indented)"/>
    <w:basedOn w:val="Normal"/>
    <w:qFormat/>
    <w:rsid w:val="006050AF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050AF"/>
  </w:style>
  <w:style w:type="paragraph" w:customStyle="1" w:styleId="recommendationheaderlong">
    <w:name w:val="recommendation header long"/>
    <w:basedOn w:val="Heading2longmultiline"/>
    <w:qFormat/>
    <w:rsid w:val="006050AF"/>
    <w:pPr>
      <w:jc w:val="left"/>
    </w:pPr>
  </w:style>
  <w:style w:type="paragraph" w:customStyle="1" w:styleId="reference">
    <w:name w:val="reference"/>
    <w:basedOn w:val="Heading9"/>
    <w:qFormat/>
    <w:rsid w:val="006050AF"/>
    <w:rPr>
      <w:i w:val="0"/>
      <w:sz w:val="18"/>
    </w:rPr>
  </w:style>
  <w:style w:type="character" w:customStyle="1" w:styleId="StyleFootnoteReferenceNounderline">
    <w:name w:val="Style Footnote Reference + No underline"/>
    <w:rsid w:val="006050AF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6050AF"/>
    <w:rPr>
      <w:i/>
    </w:rPr>
  </w:style>
  <w:style w:type="table" w:styleId="TableGrid">
    <w:name w:val="Table Grid"/>
    <w:basedOn w:val="TableNormal"/>
    <w:uiPriority w:val="59"/>
    <w:rsid w:val="006050AF"/>
    <w:pPr>
      <w:spacing w:after="0" w:line="240" w:lineRule="auto"/>
    </w:pPr>
    <w:rPr>
      <w:rFonts w:eastAsiaTheme="minorEastAsia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Heading2"/>
    <w:qFormat/>
    <w:rsid w:val="006050AF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6050AF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6050AF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6050AF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6050AF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6050AF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6050AF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6050AF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6050AF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6050AF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6050AF"/>
    <w:pPr>
      <w:spacing w:before="120" w:after="120"/>
      <w:ind w:left="1760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0A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ndocs.org/A/AC.287/2017/PC.4/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bd.int/doc/decisions/np-mop-02/np-mop-02-dec-10-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abs/submissions-np-2-10/default.shtml" TargetMode="External"/><Relationship Id="rId2" Type="http://schemas.openxmlformats.org/officeDocument/2006/relationships/hyperlink" Target="https://www.cbd.int/doc/notifications/2017/ntf-2017-094-abs-en.pdf" TargetMode="External"/><Relationship Id="rId1" Type="http://schemas.openxmlformats.org/officeDocument/2006/relationships/hyperlink" Target="https://www.cbd.int/doc/notifications/2017/ntf-2017-017-absch-en.pdf" TargetMode="External"/><Relationship Id="rId4" Type="http://schemas.openxmlformats.org/officeDocument/2006/relationships/hyperlink" Target="http://www.fao.org/3/a-be595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FA78C17E65B47989AACCE8B081C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9CCAD-83C6-438C-9CE3-F594AFC53C61}"/>
      </w:docPartPr>
      <w:docPartBody>
        <w:p w:rsidR="00E01453" w:rsidRDefault="003E6F61" w:rsidP="003E6F61">
          <w:pPr>
            <w:pStyle w:val="BFA78C17E65B47989AACCE8B081C15D2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3EFE76CEE6B141079894F17402CE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C176-B1F6-4328-B625-7A14A884E951}"/>
      </w:docPartPr>
      <w:docPartBody>
        <w:p w:rsidR="00E01453" w:rsidRDefault="003E6F61" w:rsidP="003E6F61">
          <w:pPr>
            <w:pStyle w:val="3EFE76CEE6B141079894F17402CE7D20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CD5F0724C6AE4CA6A02E746E0124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874A8-F5CD-4663-99E7-65EF45934241}"/>
      </w:docPartPr>
      <w:docPartBody>
        <w:p w:rsidR="00E01453" w:rsidRDefault="003E6F61" w:rsidP="003E6F61">
          <w:pPr>
            <w:pStyle w:val="CD5F0724C6AE4CA6A02E746E01247C44"/>
          </w:pPr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7E27E93E31CA468C9A796B823C64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A93B-AC60-4687-B9F3-B2C2A4EAB4F0}"/>
      </w:docPartPr>
      <w:docPartBody>
        <w:p w:rsidR="00E01453" w:rsidRDefault="003E6F61" w:rsidP="003E6F61">
          <w:pPr>
            <w:pStyle w:val="7E27E93E31CA468C9A796B823C64B6B3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95BACAF8E1B544E3A2FFF3D76F65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84CB-F5FE-475B-9FD6-7EB74339A22D}"/>
      </w:docPartPr>
      <w:docPartBody>
        <w:p w:rsidR="00E01453" w:rsidRDefault="003E6F61" w:rsidP="003E6F61">
          <w:pPr>
            <w:pStyle w:val="95BACAF8E1B544E3A2FFF3D76F654E4C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3E6F61"/>
    <w:rsid w:val="00060C1B"/>
    <w:rsid w:val="003517E1"/>
    <w:rsid w:val="003E6F61"/>
    <w:rsid w:val="00591435"/>
    <w:rsid w:val="007D25FC"/>
    <w:rsid w:val="00C17803"/>
    <w:rsid w:val="00CC0328"/>
    <w:rsid w:val="00E01453"/>
    <w:rsid w:val="00F444E4"/>
    <w:rsid w:val="00FC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3E6F61"/>
    <w:rPr>
      <w:color w:val="808080"/>
    </w:rPr>
  </w:style>
  <w:style w:type="paragraph" w:customStyle="1" w:styleId="BFA78C17E65B47989AACCE8B081C15D2">
    <w:name w:val="BFA78C17E65B47989AACCE8B081C15D2"/>
    <w:rsid w:val="003E6F61"/>
  </w:style>
  <w:style w:type="paragraph" w:customStyle="1" w:styleId="3EFE76CEE6B141079894F17402CE7D20">
    <w:name w:val="3EFE76CEE6B141079894F17402CE7D20"/>
    <w:rsid w:val="003E6F61"/>
  </w:style>
  <w:style w:type="paragraph" w:customStyle="1" w:styleId="CD5F0724C6AE4CA6A02E746E01247C44">
    <w:name w:val="CD5F0724C6AE4CA6A02E746E01247C44"/>
    <w:rsid w:val="003E6F61"/>
  </w:style>
  <w:style w:type="paragraph" w:customStyle="1" w:styleId="7E27E93E31CA468C9A796B823C64B6B3">
    <w:name w:val="7E27E93E31CA468C9A796B823C64B6B3"/>
    <w:rsid w:val="003E6F61"/>
  </w:style>
  <w:style w:type="paragraph" w:customStyle="1" w:styleId="95BACAF8E1B544E3A2FFF3D76F654E4C">
    <w:name w:val="95BACAF8E1B544E3A2FFF3D76F654E4C"/>
    <w:rsid w:val="003E6F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7589</Words>
  <Characters>43259</Characters>
  <Application>Microsoft Office Word</Application>
  <DocSecurity>0</DocSecurity>
  <Lines>360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MECANISMO MUNDIAL MULTILATERAL DE PARTICIPACIÓN EN LOS BENEFICIOS (ARTÍCULO 10 DEL PROTOCOLO DE NAGOYA)</vt:lpstr>
      <vt:lpstr>&lt;MECANISMO MUNDIAL MULTILATERAL DE PARTICIPACIÓN EN LOS BENEFICIOS (ARTÍCULO 10</vt:lpstr>
      <vt:lpstr>    Nota de la Secretaria Ejecutiva</vt:lpstr>
      <vt:lpstr>información pertinente PROVENIENTE DE los informes nacionales provisionales y de</vt:lpstr>
      <vt:lpstr>    Información sobre la aplicación de las disposiciones del Protocolo relacionadas </vt:lpstr>
      <vt:lpstr>        ¿Su país ha tomado medidas legislativas, administrativas o políticas para que lo</vt:lpstr>
      <vt:lpstr>        Beneficios recibidos desde la entrada en vigor del Protocolo para su país proven</vt:lpstr>
      <vt:lpstr>        ¿Su país ha tomado medidas legislativas, administrativas o políticas apropiadas,</vt:lpstr>
      <vt:lpstr>        ¿De acuerdo con la legislación nacional su país tomó medidas con el fin de asegu</vt:lpstr>
      <vt:lpstr>        ¿Al aplicar el Protocolo y de acuerdo con su legislación nacional, su país toma </vt:lpstr>
      <vt:lpstr>        ¿Su país estableció mecanismos para informar a los usuarios potenciales de los c</vt:lpstr>
      <vt:lpstr>        ¿Su país apoya el desarrollo de protocolos comunitarios por comunidades indígena</vt:lpstr>
      <vt:lpstr>        Información adicional: resumen de las principales dificultades y desafíos (pregu</vt:lpstr>
      <vt:lpstr>    Síntesis de la información proporcionada a través de los informes nacionales pro</vt:lpstr>
      <vt:lpstr>        ¿Su país se esfuerza por cooperar, con la intervención de comunidades indígenas </vt:lpstr>
      <vt:lpstr>        ¿Su país se esfuerza por cooperar con el fin de aplicar el Protocolo en los caso</vt:lpstr>
      <vt:lpstr>        Información adicional: resumen de las principales dificultades y desafíos (pregu</vt:lpstr>
      <vt:lpstr>información sobre las situaciones en las cuales no es posible conceder u obtener</vt:lpstr>
      <vt:lpstr>información sobre AVANCES REALIZADOS en LOS procesos internacionales pertinenteS</vt:lpstr>
      <vt:lpstr>    Tratado Internacional sobre los Recursos Fitogenéticos para la Alimentación y la</vt:lpstr>
      <vt:lpstr>    Asamblea General de las Naciones Unidas - instrumento internacional jurídicament</vt:lpstr>
      <vt:lpstr>    Organización Mundial de la Salud</vt:lpstr>
      <vt:lpstr>opiniones SOBRE el camino A SEGUIR en relación con el Artículo 10</vt:lpstr>
      <vt:lpstr>recomendaciones sugeridas</vt:lpstr>
    </vt:vector>
  </TitlesOfParts>
  <Company/>
  <LinksUpToDate>false</LinksUpToDate>
  <CharactersWithSpaces>50747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 MUNDIAL MULTILATERAL DE PARTICIPACIÓN EN LOS BENEFICIOS (ARTÍCULO 10 DEL PROTOCOLO DE NAGOYA)</dc:title>
  <dc:subject>CBD/SBI/2/5</dc:subject>
  <dc:creator>User</dc:creator>
  <cp:keywords/>
  <dc:description/>
  <cp:lastModifiedBy>nicolas.diallo</cp:lastModifiedBy>
  <cp:revision>3</cp:revision>
  <dcterms:created xsi:type="dcterms:W3CDTF">2018-06-07T13:20:00Z</dcterms:created>
  <dcterms:modified xsi:type="dcterms:W3CDTF">2018-06-07T15:10:00Z</dcterms:modified>
</cp:coreProperties>
</file>