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141"/>
        <w:gridCol w:w="4090"/>
      </w:tblGrid>
      <w:tr w:rsidR="008230FC" w:rsidRPr="00747A77" w:rsidTr="001C269E">
        <w:trPr>
          <w:trHeight w:val="709"/>
        </w:trPr>
        <w:tc>
          <w:tcPr>
            <w:tcW w:w="976" w:type="dxa"/>
            <w:tcBorders>
              <w:bottom w:val="single" w:sz="12" w:space="0" w:color="auto"/>
            </w:tcBorders>
            <w:shd w:val="clear" w:color="auto" w:fill="auto"/>
          </w:tcPr>
          <w:p w:rsidR="008230FC" w:rsidRPr="00747A77" w:rsidRDefault="009772E4" w:rsidP="006F4285">
            <w:pPr>
              <w:suppressLineNumbers/>
              <w:suppressAutoHyphens/>
              <w:kinsoku w:val="0"/>
              <w:overflowPunct w:val="0"/>
              <w:autoSpaceDE w:val="0"/>
              <w:autoSpaceDN w:val="0"/>
              <w:spacing w:before="120"/>
              <w:rPr>
                <w:rFonts w:ascii="Calibri" w:eastAsia="Calibri" w:hAnsi="Calibri"/>
                <w:snapToGrid w:val="0"/>
                <w:kern w:val="22"/>
                <w:szCs w:val="22"/>
                <w:lang w:val="es-ES"/>
              </w:rPr>
            </w:pPr>
            <w:bookmarkStart w:id="0" w:name="_Hlk505247837"/>
            <w:r w:rsidRPr="00747A77">
              <w:rPr>
                <w:rFonts w:ascii="Calibri" w:eastAsia="Calibri" w:hAnsi="Calibri"/>
                <w:noProof/>
                <w:snapToGrid w:val="0"/>
                <w:kern w:val="22"/>
                <w:szCs w:val="22"/>
                <w:lang w:val="es-UY" w:eastAsia="es-UY"/>
              </w:rPr>
              <w:drawing>
                <wp:inline distT="0" distB="0" distL="0" distR="0">
                  <wp:extent cx="476250" cy="40513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513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8230FC" w:rsidRPr="00747A77" w:rsidRDefault="009772E4" w:rsidP="006F4285">
            <w:pPr>
              <w:suppressLineNumbers/>
              <w:suppressAutoHyphens/>
              <w:kinsoku w:val="0"/>
              <w:overflowPunct w:val="0"/>
              <w:autoSpaceDE w:val="0"/>
              <w:autoSpaceDN w:val="0"/>
              <w:spacing w:before="120"/>
              <w:rPr>
                <w:rFonts w:ascii="Calibri" w:eastAsia="Calibri" w:hAnsi="Calibri"/>
                <w:snapToGrid w:val="0"/>
                <w:kern w:val="22"/>
                <w:szCs w:val="22"/>
                <w:lang w:val="es-ES"/>
              </w:rPr>
            </w:pPr>
            <w:r w:rsidRPr="00747A77">
              <w:rPr>
                <w:rFonts w:ascii="Calibri" w:eastAsia="Calibri" w:hAnsi="Calibri"/>
                <w:noProof/>
                <w:snapToGrid w:val="0"/>
                <w:kern w:val="22"/>
                <w:szCs w:val="22"/>
                <w:lang w:val="es-UY" w:eastAsia="es-UY"/>
              </w:rPr>
              <w:drawing>
                <wp:inline distT="0" distB="0" distL="0" distR="0">
                  <wp:extent cx="342900" cy="40513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5130"/>
                          </a:xfrm>
                          <a:prstGeom prst="rect">
                            <a:avLst/>
                          </a:prstGeom>
                          <a:noFill/>
                          <a:ln>
                            <a:noFill/>
                          </a:ln>
                        </pic:spPr>
                      </pic:pic>
                    </a:graphicData>
                  </a:graphic>
                </wp:inline>
              </w:drawing>
            </w:r>
          </w:p>
        </w:tc>
        <w:tc>
          <w:tcPr>
            <w:tcW w:w="4090" w:type="dxa"/>
            <w:tcBorders>
              <w:bottom w:val="single" w:sz="12" w:space="0" w:color="auto"/>
            </w:tcBorders>
            <w:shd w:val="clear" w:color="auto" w:fill="auto"/>
          </w:tcPr>
          <w:p w:rsidR="008230FC" w:rsidRPr="00747A77" w:rsidRDefault="008230FC" w:rsidP="006F4285">
            <w:pPr>
              <w:suppressLineNumbers/>
              <w:suppressAutoHyphens/>
              <w:kinsoku w:val="0"/>
              <w:overflowPunct w:val="0"/>
              <w:autoSpaceDE w:val="0"/>
              <w:autoSpaceDN w:val="0"/>
              <w:spacing w:before="120"/>
              <w:jc w:val="right"/>
              <w:rPr>
                <w:rFonts w:ascii="Arial" w:eastAsia="Calibri" w:hAnsi="Arial" w:cs="Arial"/>
                <w:b/>
                <w:snapToGrid w:val="0"/>
                <w:kern w:val="22"/>
                <w:sz w:val="32"/>
                <w:szCs w:val="32"/>
                <w:lang w:val="es-ES"/>
              </w:rPr>
            </w:pPr>
            <w:r w:rsidRPr="00747A77">
              <w:rPr>
                <w:rFonts w:ascii="Arial" w:eastAsia="Calibri" w:hAnsi="Arial" w:cs="Arial"/>
                <w:b/>
                <w:bCs/>
                <w:snapToGrid w:val="0"/>
                <w:kern w:val="22"/>
                <w:sz w:val="32"/>
                <w:szCs w:val="32"/>
                <w:lang w:val="es-ES"/>
              </w:rPr>
              <w:t>CBD</w:t>
            </w:r>
          </w:p>
        </w:tc>
      </w:tr>
      <w:bookmarkEnd w:id="0"/>
      <w:tr w:rsidR="008230FC" w:rsidRPr="00747A77" w:rsidTr="001C269E">
        <w:tc>
          <w:tcPr>
            <w:tcW w:w="6117" w:type="dxa"/>
            <w:gridSpan w:val="2"/>
            <w:tcBorders>
              <w:top w:val="single" w:sz="12" w:space="0" w:color="auto"/>
              <w:bottom w:val="single" w:sz="36" w:space="0" w:color="auto"/>
            </w:tcBorders>
            <w:shd w:val="clear" w:color="auto" w:fill="auto"/>
            <w:vAlign w:val="center"/>
          </w:tcPr>
          <w:p w:rsidR="008230FC" w:rsidRPr="00747A77" w:rsidRDefault="002D1E48" w:rsidP="006F4285">
            <w:pPr>
              <w:suppressLineNumbers/>
              <w:suppressAutoHyphens/>
              <w:kinsoku w:val="0"/>
              <w:overflowPunct w:val="0"/>
              <w:autoSpaceDE w:val="0"/>
              <w:autoSpaceDN w:val="0"/>
              <w:spacing w:before="120"/>
              <w:rPr>
                <w:rFonts w:ascii="Calibri" w:eastAsia="Calibri" w:hAnsi="Calibri"/>
                <w:snapToGrid w:val="0"/>
                <w:kern w:val="22"/>
                <w:szCs w:val="22"/>
                <w:lang w:val="es-ES"/>
              </w:rPr>
            </w:pPr>
            <w:r w:rsidRPr="00747A77">
              <w:rPr>
                <w:noProof/>
                <w:kern w:val="22"/>
                <w:szCs w:val="22"/>
                <w:lang w:val="es-UY" w:eastAsia="es-UY"/>
              </w:rPr>
              <w:drawing>
                <wp:inline distT="0" distB="0" distL="0" distR="0">
                  <wp:extent cx="2905125" cy="10763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shd w:val="clear" w:color="auto" w:fill="auto"/>
          </w:tcPr>
          <w:p w:rsidR="008230FC" w:rsidRPr="00747A77" w:rsidRDefault="008230FC" w:rsidP="006F4285">
            <w:pPr>
              <w:suppressLineNumbers/>
              <w:suppressAutoHyphens/>
              <w:kinsoku w:val="0"/>
              <w:overflowPunct w:val="0"/>
              <w:autoSpaceDE w:val="0"/>
              <w:autoSpaceDN w:val="0"/>
              <w:ind w:left="1210"/>
              <w:rPr>
                <w:rFonts w:eastAsia="Calibri"/>
                <w:snapToGrid w:val="0"/>
                <w:kern w:val="22"/>
                <w:szCs w:val="22"/>
                <w:lang w:val="es-ES"/>
              </w:rPr>
            </w:pPr>
            <w:r w:rsidRPr="00747A77">
              <w:rPr>
                <w:rFonts w:eastAsia="Calibri"/>
                <w:snapToGrid w:val="0"/>
                <w:kern w:val="22"/>
                <w:szCs w:val="22"/>
                <w:lang w:val="es-ES"/>
              </w:rPr>
              <w:t>Distr.</w:t>
            </w:r>
          </w:p>
          <w:p w:rsidR="008230FC" w:rsidRPr="00747A77" w:rsidRDefault="008230FC" w:rsidP="006F4285">
            <w:pPr>
              <w:suppressLineNumbers/>
              <w:suppressAutoHyphens/>
              <w:kinsoku w:val="0"/>
              <w:overflowPunct w:val="0"/>
              <w:autoSpaceDE w:val="0"/>
              <w:autoSpaceDN w:val="0"/>
              <w:ind w:left="1210"/>
              <w:rPr>
                <w:rFonts w:eastAsia="Calibri"/>
                <w:snapToGrid w:val="0"/>
                <w:kern w:val="22"/>
                <w:szCs w:val="22"/>
                <w:lang w:val="es-ES"/>
              </w:rPr>
            </w:pPr>
            <w:r w:rsidRPr="00747A77">
              <w:rPr>
                <w:rFonts w:eastAsia="Calibri"/>
                <w:caps/>
                <w:snapToGrid w:val="0"/>
                <w:kern w:val="22"/>
                <w:szCs w:val="22"/>
                <w:lang w:val="es-ES"/>
              </w:rPr>
              <w:t>GENERAL</w:t>
            </w:r>
          </w:p>
          <w:p w:rsidR="008230FC" w:rsidRPr="00747A77" w:rsidRDefault="008230FC" w:rsidP="006F4285">
            <w:pPr>
              <w:suppressLineNumbers/>
              <w:suppressAutoHyphens/>
              <w:kinsoku w:val="0"/>
              <w:overflowPunct w:val="0"/>
              <w:autoSpaceDE w:val="0"/>
              <w:autoSpaceDN w:val="0"/>
              <w:ind w:left="1210"/>
              <w:rPr>
                <w:rFonts w:eastAsia="Calibri"/>
                <w:snapToGrid w:val="0"/>
                <w:kern w:val="22"/>
                <w:szCs w:val="22"/>
                <w:lang w:val="es-ES"/>
              </w:rPr>
            </w:pPr>
          </w:p>
          <w:sdt>
            <w:sdtPr>
              <w:rPr>
                <w:rFonts w:eastAsia="Calibri"/>
                <w:bCs/>
                <w:snapToGrid w:val="0"/>
                <w:kern w:val="22"/>
                <w:szCs w:val="22"/>
                <w:lang w:val="es-ES"/>
              </w:rPr>
              <w:alias w:val="Subject"/>
              <w:tag w:val=""/>
              <w:id w:val="-1179198322"/>
              <w:placeholder>
                <w:docPart w:val="8E41C0D8DA6449578AE97D95F5CF77E2"/>
              </w:placeholder>
              <w:dataBinding w:prefixMappings="xmlns:ns0='http://purl.org/dc/elements/1.1/' xmlns:ns1='http://schemas.openxmlformats.org/package/2006/metadata/core-properties' " w:xpath="/ns1:coreProperties[1]/ns0:subject[1]" w:storeItemID="{6C3C8BC8-F283-45AE-878A-BAB7291924A1}"/>
              <w:text/>
            </w:sdtPr>
            <w:sdtEndPr/>
            <w:sdtContent>
              <w:p w:rsidR="008230FC" w:rsidRPr="00747A77" w:rsidRDefault="00615981" w:rsidP="006F4285">
                <w:pPr>
                  <w:suppressLineNumbers/>
                  <w:suppressAutoHyphens/>
                  <w:kinsoku w:val="0"/>
                  <w:overflowPunct w:val="0"/>
                  <w:autoSpaceDE w:val="0"/>
                  <w:autoSpaceDN w:val="0"/>
                  <w:ind w:left="1210"/>
                  <w:rPr>
                    <w:rFonts w:eastAsia="Calibri"/>
                    <w:snapToGrid w:val="0"/>
                    <w:kern w:val="22"/>
                    <w:szCs w:val="22"/>
                    <w:lang w:val="es-ES"/>
                  </w:rPr>
                </w:pPr>
                <w:r w:rsidRPr="00747A77">
                  <w:rPr>
                    <w:rFonts w:eastAsia="Calibri"/>
                    <w:snapToGrid w:val="0"/>
                    <w:kern w:val="22"/>
                    <w:szCs w:val="22"/>
                    <w:lang w:val="es-ES"/>
                  </w:rPr>
                  <w:t>CBD/SBSTTA/22/7</w:t>
                </w:r>
              </w:p>
            </w:sdtContent>
          </w:sdt>
          <w:p w:rsidR="008230FC" w:rsidRPr="00747A77" w:rsidRDefault="006B60AC" w:rsidP="006F4285">
            <w:pPr>
              <w:suppressLineNumbers/>
              <w:suppressAutoHyphens/>
              <w:kinsoku w:val="0"/>
              <w:overflowPunct w:val="0"/>
              <w:autoSpaceDE w:val="0"/>
              <w:autoSpaceDN w:val="0"/>
              <w:ind w:left="1210"/>
              <w:rPr>
                <w:rFonts w:eastAsia="Calibri"/>
                <w:snapToGrid w:val="0"/>
                <w:kern w:val="22"/>
                <w:szCs w:val="22"/>
                <w:lang w:val="es-ES"/>
              </w:rPr>
            </w:pPr>
            <w:r w:rsidRPr="00747A77">
              <w:rPr>
                <w:rFonts w:eastAsia="Calibri"/>
                <w:snapToGrid w:val="0"/>
                <w:kern w:val="22"/>
                <w:szCs w:val="22"/>
                <w:lang w:val="es-ES"/>
              </w:rPr>
              <w:t>27 de marzo de 2018</w:t>
            </w:r>
            <w:r w:rsidR="00877ED7">
              <w:rPr>
                <w:rStyle w:val="Refdenotaalpie"/>
                <w:rFonts w:eastAsia="Calibri"/>
                <w:snapToGrid w:val="0"/>
                <w:kern w:val="22"/>
                <w:szCs w:val="22"/>
              </w:rPr>
              <w:footnoteReference w:customMarkFollows="1" w:id="1"/>
              <w:t>*</w:t>
            </w:r>
          </w:p>
          <w:p w:rsidR="008230FC" w:rsidRPr="00747A77" w:rsidRDefault="008230FC" w:rsidP="006F4285">
            <w:pPr>
              <w:suppressLineNumbers/>
              <w:suppressAutoHyphens/>
              <w:kinsoku w:val="0"/>
              <w:overflowPunct w:val="0"/>
              <w:autoSpaceDE w:val="0"/>
              <w:autoSpaceDN w:val="0"/>
              <w:ind w:left="1210"/>
              <w:rPr>
                <w:rFonts w:eastAsia="Calibri"/>
                <w:snapToGrid w:val="0"/>
                <w:kern w:val="22"/>
                <w:szCs w:val="22"/>
                <w:lang w:val="es-ES"/>
              </w:rPr>
            </w:pPr>
          </w:p>
          <w:p w:rsidR="002D1E48" w:rsidRPr="00747A77" w:rsidRDefault="002D1E48" w:rsidP="006F4285">
            <w:pPr>
              <w:suppressLineNumbers/>
              <w:suppressAutoHyphens/>
              <w:kinsoku w:val="0"/>
              <w:overflowPunct w:val="0"/>
              <w:autoSpaceDE w:val="0"/>
              <w:autoSpaceDN w:val="0"/>
              <w:ind w:left="1210"/>
              <w:rPr>
                <w:rFonts w:eastAsia="Calibri"/>
                <w:snapToGrid w:val="0"/>
                <w:kern w:val="22"/>
                <w:szCs w:val="22"/>
                <w:lang w:val="es-ES"/>
              </w:rPr>
            </w:pPr>
            <w:r w:rsidRPr="00747A77">
              <w:rPr>
                <w:rFonts w:eastAsia="Calibri"/>
                <w:snapToGrid w:val="0"/>
                <w:kern w:val="22"/>
                <w:szCs w:val="22"/>
                <w:lang w:val="es-ES"/>
              </w:rPr>
              <w:t>ESPAÑOL</w:t>
            </w:r>
          </w:p>
          <w:p w:rsidR="008230FC" w:rsidRPr="00747A77" w:rsidRDefault="000E1E03" w:rsidP="006F4285">
            <w:pPr>
              <w:suppressLineNumbers/>
              <w:suppressAutoHyphens/>
              <w:kinsoku w:val="0"/>
              <w:overflowPunct w:val="0"/>
              <w:autoSpaceDE w:val="0"/>
              <w:autoSpaceDN w:val="0"/>
              <w:ind w:left="1210"/>
              <w:rPr>
                <w:rFonts w:eastAsia="Calibri"/>
                <w:snapToGrid w:val="0"/>
                <w:kern w:val="22"/>
                <w:szCs w:val="22"/>
                <w:lang w:val="es-ES"/>
              </w:rPr>
            </w:pPr>
            <w:r w:rsidRPr="00747A77">
              <w:rPr>
                <w:rFonts w:eastAsia="Calibri"/>
                <w:snapToGrid w:val="0"/>
                <w:kern w:val="22"/>
                <w:szCs w:val="22"/>
                <w:lang w:val="es-ES"/>
              </w:rPr>
              <w:t>ORIGINAL: INGLÉS</w:t>
            </w:r>
          </w:p>
          <w:p w:rsidR="008230FC" w:rsidRPr="00747A77" w:rsidRDefault="008230FC" w:rsidP="006F4285">
            <w:pPr>
              <w:suppressLineNumbers/>
              <w:suppressAutoHyphens/>
              <w:kinsoku w:val="0"/>
              <w:overflowPunct w:val="0"/>
              <w:autoSpaceDE w:val="0"/>
              <w:autoSpaceDN w:val="0"/>
              <w:spacing w:before="120"/>
              <w:rPr>
                <w:rFonts w:eastAsia="Calibri"/>
                <w:snapToGrid w:val="0"/>
                <w:kern w:val="22"/>
                <w:szCs w:val="22"/>
                <w:lang w:val="es-ES"/>
              </w:rPr>
            </w:pPr>
          </w:p>
        </w:tc>
      </w:tr>
    </w:tbl>
    <w:p w:rsidR="008230FC" w:rsidRPr="00747A77" w:rsidRDefault="008230FC" w:rsidP="006F4285">
      <w:pPr>
        <w:pStyle w:val="Cornernotation"/>
        <w:suppressLineNumbers/>
        <w:suppressAutoHyphens/>
        <w:kinsoku w:val="0"/>
        <w:overflowPunct w:val="0"/>
        <w:autoSpaceDE w:val="0"/>
        <w:autoSpaceDN w:val="0"/>
        <w:rPr>
          <w:snapToGrid w:val="0"/>
          <w:kern w:val="22"/>
          <w:szCs w:val="22"/>
          <w:lang w:val="es-ES"/>
        </w:rPr>
      </w:pPr>
      <w:r w:rsidRPr="00747A77">
        <w:rPr>
          <w:snapToGrid w:val="0"/>
          <w:kern w:val="22"/>
          <w:szCs w:val="22"/>
          <w:lang w:val="es-ES"/>
        </w:rPr>
        <w:t>ÓRGANO SUBSIDIARIO DE ASESORAMIENTO CIENTÍFICO, TÉCNICO Y TECNOLÓGICO</w:t>
      </w:r>
    </w:p>
    <w:p w:rsidR="008230FC" w:rsidRPr="00747A77" w:rsidRDefault="008230FC" w:rsidP="006F4285">
      <w:pPr>
        <w:suppressLineNumbers/>
        <w:suppressAutoHyphens/>
        <w:kinsoku w:val="0"/>
        <w:overflowPunct w:val="0"/>
        <w:autoSpaceDE w:val="0"/>
        <w:autoSpaceDN w:val="0"/>
        <w:rPr>
          <w:snapToGrid w:val="0"/>
          <w:kern w:val="22"/>
          <w:szCs w:val="22"/>
          <w:lang w:val="es-ES"/>
        </w:rPr>
      </w:pPr>
      <w:r w:rsidRPr="00747A77">
        <w:rPr>
          <w:snapToGrid w:val="0"/>
          <w:kern w:val="22"/>
          <w:szCs w:val="22"/>
          <w:lang w:val="es-ES"/>
        </w:rPr>
        <w:t>Vigesimosegunda reunión</w:t>
      </w:r>
    </w:p>
    <w:p w:rsidR="008230FC" w:rsidRPr="00747A77" w:rsidRDefault="00BD473C" w:rsidP="006F4285">
      <w:pPr>
        <w:pStyle w:val="Cornernotation"/>
        <w:suppressLineNumbers/>
        <w:suppressAutoHyphens/>
        <w:kinsoku w:val="0"/>
        <w:overflowPunct w:val="0"/>
        <w:autoSpaceDE w:val="0"/>
        <w:autoSpaceDN w:val="0"/>
        <w:rPr>
          <w:snapToGrid w:val="0"/>
          <w:kern w:val="22"/>
          <w:szCs w:val="22"/>
          <w:lang w:val="es-ES"/>
        </w:rPr>
      </w:pPr>
      <w:r w:rsidRPr="00747A77">
        <w:rPr>
          <w:snapToGrid w:val="0"/>
          <w:kern w:val="22"/>
          <w:szCs w:val="22"/>
          <w:lang w:val="es-ES"/>
        </w:rPr>
        <w:t>Montreal, 2 a</w:t>
      </w:r>
      <w:r w:rsidR="008230FC" w:rsidRPr="00747A77">
        <w:rPr>
          <w:snapToGrid w:val="0"/>
          <w:kern w:val="22"/>
          <w:szCs w:val="22"/>
          <w:lang w:val="es-ES"/>
        </w:rPr>
        <w:t xml:space="preserve"> 7 de julio de 2018</w:t>
      </w:r>
    </w:p>
    <w:p w:rsidR="008230FC" w:rsidRPr="00747A77" w:rsidRDefault="008230FC" w:rsidP="006F4285">
      <w:pPr>
        <w:pStyle w:val="Cornernotation"/>
        <w:suppressLineNumbers/>
        <w:suppressAutoHyphens/>
        <w:kinsoku w:val="0"/>
        <w:overflowPunct w:val="0"/>
        <w:autoSpaceDE w:val="0"/>
        <w:autoSpaceDN w:val="0"/>
        <w:rPr>
          <w:snapToGrid w:val="0"/>
          <w:kern w:val="22"/>
          <w:szCs w:val="22"/>
          <w:lang w:val="es-ES"/>
        </w:rPr>
      </w:pPr>
      <w:r w:rsidRPr="00747A77">
        <w:rPr>
          <w:snapToGrid w:val="0"/>
          <w:kern w:val="22"/>
          <w:szCs w:val="22"/>
          <w:lang w:val="es-ES"/>
        </w:rPr>
        <w:t>Tema 8 del programa provisional</w:t>
      </w:r>
      <w:r w:rsidR="00877ED7" w:rsidRPr="006F4285">
        <w:rPr>
          <w:rStyle w:val="StyleFootnoteReferenceNounderline"/>
          <w:snapToGrid w:val="0"/>
          <w:kern w:val="22"/>
          <w:sz w:val="22"/>
          <w:szCs w:val="22"/>
          <w:vertAlign w:val="superscript"/>
        </w:rPr>
        <w:footnoteReference w:customMarkFollows="1" w:id="2"/>
        <w:t>*</w:t>
      </w:r>
      <w:r w:rsidR="00877ED7">
        <w:rPr>
          <w:rStyle w:val="StyleFootnoteReferenceNounderline"/>
          <w:snapToGrid w:val="0"/>
          <w:kern w:val="22"/>
          <w:sz w:val="22"/>
          <w:szCs w:val="22"/>
          <w:vertAlign w:val="superscript"/>
        </w:rPr>
        <w:t>*</w:t>
      </w:r>
    </w:p>
    <w:p w:rsidR="00133576" w:rsidRPr="00747A77" w:rsidRDefault="000105A0" w:rsidP="006F4285">
      <w:pPr>
        <w:pStyle w:val="heading2notforTOC"/>
        <w:suppressLineNumbers/>
        <w:tabs>
          <w:tab w:val="clear" w:pos="567"/>
        </w:tabs>
        <w:suppressAutoHyphens/>
        <w:kinsoku w:val="0"/>
        <w:overflowPunct w:val="0"/>
        <w:autoSpaceDE w:val="0"/>
        <w:autoSpaceDN w:val="0"/>
        <w:spacing w:before="240"/>
        <w:outlineLvl w:val="9"/>
        <w:rPr>
          <w:rFonts w:ascii="Times New Roman Bold" w:hAnsi="Times New Roman Bold" w:cs="Times New Roman Bold"/>
          <w:bCs/>
          <w:i w:val="0"/>
          <w:iCs w:val="0"/>
          <w:caps/>
          <w:snapToGrid w:val="0"/>
          <w:kern w:val="22"/>
          <w:szCs w:val="22"/>
          <w:lang w:val="es-ES"/>
        </w:rPr>
      </w:pPr>
      <w:sdt>
        <w:sdtPr>
          <w:rPr>
            <w:rFonts w:ascii="Times New Roman Bold" w:hAnsi="Times New Roman Bold" w:cs="Times New Roman Bold"/>
            <w:b/>
            <w:bCs/>
            <w:i w:val="0"/>
            <w:iCs w:val="0"/>
            <w:caps/>
            <w:snapToGrid w:val="0"/>
            <w:kern w:val="22"/>
            <w:sz w:val="18"/>
            <w:szCs w:val="22"/>
            <w:lang w:val="es-ES"/>
          </w:rPr>
          <w:alias w:val="Title"/>
          <w:tag w:val=""/>
          <w:id w:val="2096975362"/>
          <w:placeholder>
            <w:docPart w:val="25E0E252C2E343C6B5DB993D072F27AF"/>
          </w:placeholder>
          <w:dataBinding w:prefixMappings="xmlns:ns0='http://purl.org/dc/elements/1.1/' xmlns:ns1='http://schemas.openxmlformats.org/package/2006/metadata/core-properties' " w:xpath="/ns1:coreProperties[1]/ns0:title[1]" w:storeItemID="{6C3C8BC8-F283-45AE-878A-BAB7291924A1}"/>
          <w:text/>
        </w:sdtPr>
        <w:sdtEndPr/>
        <w:sdtContent>
          <w:r w:rsidR="009C389B" w:rsidRPr="00747A77">
            <w:rPr>
              <w:rFonts w:ascii="Times New Roman Bold" w:hAnsi="Times New Roman Bold" w:cs="Times New Roman Bold"/>
              <w:b/>
              <w:bCs/>
              <w:i w:val="0"/>
              <w:iCs w:val="0"/>
              <w:caps/>
              <w:snapToGrid w:val="0"/>
              <w:kern w:val="22"/>
              <w:szCs w:val="22"/>
              <w:lang w:val="es-ES"/>
            </w:rPr>
            <w:t>DIVERSIDAD BIOLÓGICA MARINA Y COSTERA</w:t>
          </w:r>
        </w:sdtContent>
      </w:sdt>
    </w:p>
    <w:p w:rsidR="000058CB" w:rsidRPr="00747A77" w:rsidRDefault="000058CB" w:rsidP="006F4285">
      <w:pPr>
        <w:pStyle w:val="heading2notforTOC"/>
        <w:suppressLineNumbers/>
        <w:tabs>
          <w:tab w:val="clear" w:pos="567"/>
        </w:tabs>
        <w:suppressAutoHyphens/>
        <w:kinsoku w:val="0"/>
        <w:overflowPunct w:val="0"/>
        <w:autoSpaceDE w:val="0"/>
        <w:autoSpaceDN w:val="0"/>
        <w:spacing w:before="0"/>
        <w:outlineLvl w:val="9"/>
        <w:rPr>
          <w:snapToGrid w:val="0"/>
          <w:kern w:val="22"/>
          <w:szCs w:val="22"/>
          <w:lang w:val="es-ES"/>
        </w:rPr>
      </w:pPr>
      <w:r w:rsidRPr="00747A77">
        <w:rPr>
          <w:snapToGrid w:val="0"/>
          <w:kern w:val="22"/>
          <w:szCs w:val="22"/>
          <w:lang w:val="es-ES"/>
        </w:rPr>
        <w:t>Nota de</w:t>
      </w:r>
      <w:r w:rsidR="00614B36" w:rsidRPr="00747A77">
        <w:rPr>
          <w:snapToGrid w:val="0"/>
          <w:kern w:val="22"/>
          <w:szCs w:val="22"/>
          <w:lang w:val="es-ES"/>
        </w:rPr>
        <w:t xml:space="preserve"> </w:t>
      </w:r>
      <w:r w:rsidRPr="00747A77">
        <w:rPr>
          <w:snapToGrid w:val="0"/>
          <w:kern w:val="22"/>
          <w:szCs w:val="22"/>
          <w:lang w:val="es-ES"/>
        </w:rPr>
        <w:t>l</w:t>
      </w:r>
      <w:r w:rsidR="00614B36" w:rsidRPr="00747A77">
        <w:rPr>
          <w:snapToGrid w:val="0"/>
          <w:kern w:val="22"/>
          <w:szCs w:val="22"/>
          <w:lang w:val="es-ES"/>
        </w:rPr>
        <w:t>a</w:t>
      </w:r>
      <w:r w:rsidRPr="00747A77">
        <w:rPr>
          <w:snapToGrid w:val="0"/>
          <w:kern w:val="22"/>
          <w:szCs w:val="22"/>
          <w:lang w:val="es-ES"/>
        </w:rPr>
        <w:t xml:space="preserve"> Secretari</w:t>
      </w:r>
      <w:r w:rsidR="00614B36" w:rsidRPr="00747A77">
        <w:rPr>
          <w:snapToGrid w:val="0"/>
          <w:kern w:val="22"/>
          <w:szCs w:val="22"/>
          <w:lang w:val="es-ES"/>
        </w:rPr>
        <w:t>a</w:t>
      </w:r>
      <w:r w:rsidRPr="00747A77">
        <w:rPr>
          <w:snapToGrid w:val="0"/>
          <w:kern w:val="22"/>
          <w:szCs w:val="22"/>
          <w:lang w:val="es-ES"/>
        </w:rPr>
        <w:t xml:space="preserve"> Ejecutiv</w:t>
      </w:r>
      <w:r w:rsidR="00614B36" w:rsidRPr="00747A77">
        <w:rPr>
          <w:snapToGrid w:val="0"/>
          <w:kern w:val="22"/>
          <w:szCs w:val="22"/>
          <w:lang w:val="es-ES"/>
        </w:rPr>
        <w:t>a</w:t>
      </w:r>
    </w:p>
    <w:p w:rsidR="00161629" w:rsidRPr="00747A77" w:rsidRDefault="00161629" w:rsidP="006F4285">
      <w:pPr>
        <w:pStyle w:val="HEADINGNOTFORTOC"/>
        <w:suppressLineNumbers/>
        <w:tabs>
          <w:tab w:val="clear" w:pos="720"/>
        </w:tabs>
        <w:suppressAutoHyphens/>
        <w:kinsoku w:val="0"/>
        <w:overflowPunct w:val="0"/>
        <w:autoSpaceDE w:val="0"/>
        <w:autoSpaceDN w:val="0"/>
        <w:spacing w:before="0"/>
        <w:ind w:left="1440" w:hanging="720"/>
        <w:jc w:val="left"/>
        <w:rPr>
          <w:snapToGrid w:val="0"/>
          <w:kern w:val="22"/>
          <w:szCs w:val="22"/>
          <w:lang w:val="es-ES"/>
        </w:rPr>
      </w:pPr>
      <w:r w:rsidRPr="00747A77">
        <w:rPr>
          <w:bCs/>
          <w:snapToGrid w:val="0"/>
          <w:kern w:val="22"/>
          <w:szCs w:val="22"/>
          <w:lang w:val="es-ES"/>
        </w:rPr>
        <w:t>I.</w:t>
      </w:r>
      <w:r w:rsidRPr="00747A77">
        <w:rPr>
          <w:bCs/>
          <w:snapToGrid w:val="0"/>
          <w:kern w:val="22"/>
          <w:szCs w:val="22"/>
          <w:lang w:val="es-ES"/>
        </w:rPr>
        <w:tab/>
        <w:t>Informe sobre los progresos realizados en la descripción de áreas que cumplen los criterios para las áreas marinas de importancia ecológica o biológica</w:t>
      </w:r>
    </w:p>
    <w:p w:rsidR="000058CB" w:rsidRPr="00747A77" w:rsidRDefault="00133576" w:rsidP="006F4285">
      <w:pPr>
        <w:pStyle w:val="Ttulo2"/>
        <w:suppressLineNumbers/>
        <w:tabs>
          <w:tab w:val="clear" w:pos="720"/>
          <w:tab w:val="left" w:pos="540"/>
        </w:tabs>
        <w:suppressAutoHyphens/>
        <w:kinsoku w:val="0"/>
        <w:overflowPunct w:val="0"/>
        <w:autoSpaceDE w:val="0"/>
        <w:autoSpaceDN w:val="0"/>
        <w:spacing w:before="0" w:after="0"/>
        <w:rPr>
          <w:snapToGrid w:val="0"/>
          <w:kern w:val="22"/>
          <w:szCs w:val="22"/>
          <w:lang w:val="es-ES"/>
        </w:rPr>
      </w:pPr>
      <w:r w:rsidRPr="00747A77">
        <w:rPr>
          <w:iCs w:val="0"/>
          <w:snapToGrid w:val="0"/>
          <w:kern w:val="22"/>
          <w:szCs w:val="22"/>
          <w:lang w:val="es-ES"/>
        </w:rPr>
        <w:t>A.</w:t>
      </w:r>
      <w:r w:rsidRPr="00747A77">
        <w:rPr>
          <w:iCs w:val="0"/>
          <w:snapToGrid w:val="0"/>
          <w:kern w:val="22"/>
          <w:szCs w:val="22"/>
          <w:lang w:val="es-ES"/>
        </w:rPr>
        <w:tab/>
        <w:t>Introducción y sinopsis</w:t>
      </w:r>
    </w:p>
    <w:p w:rsidR="00C96E30" w:rsidRPr="00747A77" w:rsidRDefault="00C96E30" w:rsidP="006F4285">
      <w:pPr>
        <w:numPr>
          <w:ilvl w:val="0"/>
          <w:numId w:val="5"/>
        </w:numPr>
        <w:suppressLineNumbers/>
        <w:suppressAutoHyphens/>
        <w:kinsoku w:val="0"/>
        <w:overflowPunct w:val="0"/>
        <w:autoSpaceDE w:val="0"/>
        <w:autoSpaceDN w:val="0"/>
        <w:spacing w:before="120" w:after="120"/>
        <w:ind w:left="0" w:firstLine="0"/>
        <w:rPr>
          <w:snapToGrid w:val="0"/>
          <w:kern w:val="22"/>
          <w:szCs w:val="22"/>
          <w:lang w:val="es-ES"/>
        </w:rPr>
      </w:pPr>
      <w:r w:rsidRPr="00747A77">
        <w:rPr>
          <w:snapToGrid w:val="0"/>
          <w:kern w:val="22"/>
          <w:szCs w:val="22"/>
          <w:lang w:val="es-ES"/>
        </w:rPr>
        <w:t>En su décima reunión, la Conferencia de las Partes en el Convenio sobre la Diversidad Biológica estableció un proceso global, basado en la organización de una serie de talleres regionales</w:t>
      </w:r>
      <w:r w:rsidRPr="00747A77">
        <w:rPr>
          <w:rStyle w:val="Refdenotaalpie"/>
          <w:snapToGrid w:val="0"/>
          <w:kern w:val="22"/>
          <w:szCs w:val="22"/>
          <w:lang w:val="es-ES"/>
        </w:rPr>
        <w:footnoteReference w:id="3"/>
      </w:r>
      <w:r w:rsidR="00C13323" w:rsidRPr="00747A77">
        <w:rPr>
          <w:snapToGrid w:val="0"/>
          <w:kern w:val="22"/>
          <w:szCs w:val="22"/>
          <w:lang w:val="es-ES"/>
        </w:rPr>
        <w:t>,</w:t>
      </w:r>
      <w:r w:rsidRPr="00747A77">
        <w:rPr>
          <w:snapToGrid w:val="0"/>
          <w:kern w:val="22"/>
          <w:szCs w:val="22"/>
          <w:lang w:val="es-ES"/>
        </w:rPr>
        <w:t xml:space="preserve"> para la descripción de áreas marinas de importancia ecológica o biológica (AIEB) a través de la aplicación de los criterios científicos indicados en el anexo I de la decisión </w:t>
      </w:r>
      <w:hyperlink r:id="rId11" w:history="1">
        <w:r w:rsidRPr="00747A77">
          <w:rPr>
            <w:rStyle w:val="Hipervnculo"/>
            <w:snapToGrid w:val="0"/>
            <w:u w:val="none"/>
            <w:lang w:val="es-ES"/>
          </w:rPr>
          <w:t>IX/20</w:t>
        </w:r>
      </w:hyperlink>
      <w:r w:rsidRPr="00747A77">
        <w:rPr>
          <w:snapToGrid w:val="0"/>
          <w:kern w:val="22"/>
          <w:szCs w:val="22"/>
          <w:lang w:val="es-ES"/>
        </w:rPr>
        <w:t>, así como otros criterios científicos pertinentes, compatibles y complementarios convenidos a nivel nacional e intergubernamental.</w:t>
      </w:r>
    </w:p>
    <w:p w:rsidR="00F1603B" w:rsidRPr="00747A77" w:rsidRDefault="000058CB" w:rsidP="006F4285">
      <w:pPr>
        <w:pStyle w:val="Para1"/>
        <w:numPr>
          <w:ilvl w:val="0"/>
          <w:numId w:val="5"/>
        </w:numPr>
        <w:suppressLineNumbers/>
        <w:suppressAutoHyphens/>
        <w:kinsoku w:val="0"/>
        <w:overflowPunct w:val="0"/>
        <w:autoSpaceDE w:val="0"/>
        <w:autoSpaceDN w:val="0"/>
        <w:ind w:left="0" w:firstLine="0"/>
        <w:rPr>
          <w:kern w:val="22"/>
          <w:szCs w:val="22"/>
          <w:lang w:val="es-ES"/>
        </w:rPr>
      </w:pPr>
      <w:r w:rsidRPr="00747A77">
        <w:rPr>
          <w:kern w:val="22"/>
          <w:szCs w:val="22"/>
          <w:lang w:val="es-ES"/>
        </w:rPr>
        <w:t>De conformidad con las decisiones </w:t>
      </w:r>
      <w:hyperlink r:id="rId12" w:history="1">
        <w:r w:rsidRPr="00747A77">
          <w:rPr>
            <w:rStyle w:val="Hipervnculo"/>
            <w:u w:val="none"/>
            <w:lang w:val="es-ES"/>
          </w:rPr>
          <w:t>X/29</w:t>
        </w:r>
      </w:hyperlink>
      <w:r w:rsidRPr="00747A77">
        <w:rPr>
          <w:kern w:val="22"/>
          <w:szCs w:val="22"/>
          <w:lang w:val="es-ES"/>
        </w:rPr>
        <w:t xml:space="preserve"> y </w:t>
      </w:r>
      <w:hyperlink r:id="rId13" w:history="1">
        <w:r w:rsidRPr="00747A77">
          <w:rPr>
            <w:rStyle w:val="Hipervnculo"/>
            <w:u w:val="none"/>
            <w:lang w:val="es-ES"/>
          </w:rPr>
          <w:t>XI/17</w:t>
        </w:r>
      </w:hyperlink>
      <w:r w:rsidRPr="00747A77">
        <w:rPr>
          <w:kern w:val="22"/>
          <w:szCs w:val="22"/>
          <w:lang w:val="es-ES"/>
        </w:rPr>
        <w:t>, la Conferencia de las Partes, en sus reuniones 11ª, 12ª y 13</w:t>
      </w:r>
      <w:r w:rsidRPr="00747A77">
        <w:rPr>
          <w:kern w:val="22"/>
          <w:szCs w:val="22"/>
          <w:vertAlign w:val="superscript"/>
          <w:lang w:val="es-ES"/>
        </w:rPr>
        <w:t>a</w:t>
      </w:r>
      <w:r w:rsidRPr="00747A77">
        <w:rPr>
          <w:kern w:val="22"/>
          <w:szCs w:val="22"/>
          <w:lang w:val="es-ES"/>
        </w:rPr>
        <w:t>, examinó los informes resumidos sobre la descripción de las áreas que cumplen los criterios para las AIEB. Los informes resumidos</w:t>
      </w:r>
      <w:bookmarkStart w:id="1" w:name="_Ref510103353"/>
      <w:r w:rsidRPr="00747A77">
        <w:rPr>
          <w:rStyle w:val="Refdenotaalpie"/>
          <w:kern w:val="22"/>
          <w:szCs w:val="22"/>
          <w:lang w:val="es-ES"/>
        </w:rPr>
        <w:footnoteReference w:id="4"/>
      </w:r>
      <w:bookmarkEnd w:id="1"/>
      <w:r w:rsidR="00C13323" w:rsidRPr="00747A77">
        <w:rPr>
          <w:kern w:val="22"/>
          <w:szCs w:val="22"/>
          <w:lang w:val="es-ES"/>
        </w:rPr>
        <w:t xml:space="preserve"> </w:t>
      </w:r>
      <w:r w:rsidRPr="00747A77">
        <w:rPr>
          <w:kern w:val="22"/>
          <w:szCs w:val="22"/>
          <w:lang w:val="es-ES"/>
        </w:rPr>
        <w:t>se incluyeron en el repositorio de AIEB y se transmitieron a la Asamblea General de las Naciones Unidas y a sus grupos de trabajo pertinentes por medio de una nota del Secretario Ejecutivo del Convenio sobre la Diversidad Biológica dirigida al Secretario General de las Naciones Unidas</w:t>
      </w:r>
      <w:r w:rsidRPr="00747A77">
        <w:rPr>
          <w:rStyle w:val="Refdenotaalpie"/>
          <w:kern w:val="22"/>
          <w:szCs w:val="22"/>
          <w:lang w:val="es-ES"/>
        </w:rPr>
        <w:footnoteReference w:id="5"/>
      </w:r>
      <w:r w:rsidR="00C13323" w:rsidRPr="00747A77">
        <w:rPr>
          <w:kern w:val="22"/>
          <w:szCs w:val="22"/>
          <w:lang w:val="es-ES"/>
        </w:rPr>
        <w:t>.</w:t>
      </w:r>
    </w:p>
    <w:p w:rsidR="00682C04" w:rsidRPr="00747A77" w:rsidRDefault="002B7E5B" w:rsidP="006F4285">
      <w:pPr>
        <w:numPr>
          <w:ilvl w:val="0"/>
          <w:numId w:val="5"/>
        </w:numPr>
        <w:suppressLineNumbers/>
        <w:suppressAutoHyphens/>
        <w:kinsoku w:val="0"/>
        <w:overflowPunct w:val="0"/>
        <w:autoSpaceDE w:val="0"/>
        <w:autoSpaceDN w:val="0"/>
        <w:spacing w:before="120" w:after="120"/>
        <w:ind w:left="0" w:firstLine="0"/>
        <w:rPr>
          <w:snapToGrid w:val="0"/>
          <w:kern w:val="22"/>
          <w:szCs w:val="22"/>
          <w:lang w:val="es-ES"/>
        </w:rPr>
      </w:pPr>
      <w:r w:rsidRPr="00747A77">
        <w:rPr>
          <w:snapToGrid w:val="0"/>
          <w:kern w:val="22"/>
          <w:szCs w:val="22"/>
          <w:lang w:val="es-ES"/>
        </w:rPr>
        <w:t xml:space="preserve">Tras la </w:t>
      </w:r>
      <w:r w:rsidR="00061A2E" w:rsidRPr="00747A77">
        <w:rPr>
          <w:snapToGrid w:val="0"/>
          <w:kern w:val="22"/>
          <w:szCs w:val="22"/>
          <w:lang w:val="es-ES"/>
        </w:rPr>
        <w:t>20</w:t>
      </w:r>
      <w:r w:rsidR="00061A2E" w:rsidRPr="00747A77">
        <w:rPr>
          <w:snapToGrid w:val="0"/>
          <w:kern w:val="22"/>
          <w:szCs w:val="22"/>
          <w:vertAlign w:val="superscript"/>
          <w:lang w:val="es-ES"/>
        </w:rPr>
        <w:t>a</w:t>
      </w:r>
      <w:r w:rsidR="00061A2E" w:rsidRPr="00747A77">
        <w:rPr>
          <w:snapToGrid w:val="0"/>
          <w:kern w:val="22"/>
          <w:szCs w:val="22"/>
          <w:lang w:val="es-ES"/>
        </w:rPr>
        <w:t xml:space="preserve"> </w:t>
      </w:r>
      <w:r w:rsidRPr="00747A77">
        <w:rPr>
          <w:snapToGrid w:val="0"/>
          <w:kern w:val="22"/>
          <w:szCs w:val="22"/>
          <w:lang w:val="es-ES"/>
        </w:rPr>
        <w:t xml:space="preserve">reunión del Órgano Subsidiario, el Secretario Ejecutivo organizó talleres regionales adicionales sobre las </w:t>
      </w:r>
      <w:proofErr w:type="spellStart"/>
      <w:r w:rsidRPr="00747A77">
        <w:rPr>
          <w:snapToGrid w:val="0"/>
          <w:kern w:val="22"/>
          <w:szCs w:val="22"/>
          <w:lang w:val="es-ES"/>
        </w:rPr>
        <w:t>AIEB</w:t>
      </w:r>
      <w:proofErr w:type="spellEnd"/>
      <w:r w:rsidR="000F7FA8">
        <w:fldChar w:fldCharType="begin"/>
      </w:r>
      <w:r w:rsidR="000F7FA8" w:rsidRPr="0086494E">
        <w:rPr>
          <w:lang w:val="es-AR"/>
        </w:rPr>
        <w:instrText xml:space="preserve"> NOTEREF _Ref510103353 \h  \* MERGEFORMAT </w:instrText>
      </w:r>
      <w:r w:rsidR="000F7FA8">
        <w:fldChar w:fldCharType="separate"/>
      </w:r>
      <w:r w:rsidR="008E7F44" w:rsidRPr="0086494E">
        <w:rPr>
          <w:lang w:val="es-AR"/>
        </w:rPr>
        <w:t>2</w:t>
      </w:r>
      <w:r w:rsidR="000F7FA8">
        <w:fldChar w:fldCharType="end"/>
      </w:r>
      <w:r w:rsidRPr="00747A77">
        <w:rPr>
          <w:snapToGrid w:val="0"/>
          <w:kern w:val="22"/>
          <w:szCs w:val="22"/>
          <w:lang w:val="es-ES"/>
        </w:rPr>
        <w:t xml:space="preserve"> para el Mar Negro y Mar Caspio, y para el Mar Báltico. En la siguiente sección, se incluye un informe de progresos de estos dos talleres y se destacan los resultados clave surgidos de cada uno de ellos. Los informes completos de los dos talleres se publicarán oportunamente</w:t>
      </w:r>
      <w:r w:rsidRPr="00747A77">
        <w:rPr>
          <w:snapToGrid w:val="0"/>
          <w:kern w:val="22"/>
          <w:szCs w:val="22"/>
          <w:vertAlign w:val="superscript"/>
          <w:lang w:val="es-ES"/>
        </w:rPr>
        <w:footnoteReference w:id="6"/>
      </w:r>
      <w:r w:rsidR="008E7F44" w:rsidRPr="00747A77">
        <w:rPr>
          <w:snapToGrid w:val="0"/>
          <w:kern w:val="22"/>
          <w:szCs w:val="22"/>
          <w:lang w:val="es-ES"/>
        </w:rPr>
        <w:t xml:space="preserve">. </w:t>
      </w:r>
      <w:r w:rsidRPr="00747A77">
        <w:rPr>
          <w:snapToGrid w:val="0"/>
          <w:kern w:val="22"/>
          <w:szCs w:val="22"/>
          <w:lang w:val="es-ES"/>
        </w:rPr>
        <w:t xml:space="preserve">A los efectos de prestar asistencia al Órgano Subsidiario para preparar un informe resumido, se presenta una </w:t>
      </w:r>
      <w:r w:rsidRPr="00747A77">
        <w:rPr>
          <w:snapToGrid w:val="0"/>
          <w:kern w:val="22"/>
          <w:szCs w:val="22"/>
          <w:lang w:val="es-ES"/>
        </w:rPr>
        <w:lastRenderedPageBreak/>
        <w:t>descripción resumida de cada una de las áreas que cumplen los criterios para las AIEB en una adición a la presente nota (</w:t>
      </w:r>
      <w:hyperlink r:id="rId14" w:history="1">
        <w:r w:rsidRPr="00747A77">
          <w:rPr>
            <w:rStyle w:val="Hipervnculo"/>
            <w:snapToGrid w:val="0"/>
            <w:lang w:val="es-ES"/>
          </w:rPr>
          <w:t>CBD/SBSTTA/22/7/Add.1</w:t>
        </w:r>
      </w:hyperlink>
      <w:r w:rsidRPr="00747A77">
        <w:rPr>
          <w:snapToGrid w:val="0"/>
          <w:kern w:val="22"/>
          <w:szCs w:val="22"/>
          <w:lang w:val="es-ES"/>
        </w:rPr>
        <w:t>).</w:t>
      </w:r>
    </w:p>
    <w:p w:rsidR="00CA6330" w:rsidRPr="00747A77" w:rsidRDefault="00E92351" w:rsidP="006F4285">
      <w:pPr>
        <w:numPr>
          <w:ilvl w:val="0"/>
          <w:numId w:val="5"/>
        </w:numPr>
        <w:suppressLineNumbers/>
        <w:suppressAutoHyphens/>
        <w:kinsoku w:val="0"/>
        <w:overflowPunct w:val="0"/>
        <w:autoSpaceDE w:val="0"/>
        <w:autoSpaceDN w:val="0"/>
        <w:spacing w:before="120" w:after="120"/>
        <w:ind w:left="0" w:firstLine="0"/>
        <w:rPr>
          <w:snapToGrid w:val="0"/>
          <w:kern w:val="22"/>
          <w:szCs w:val="22"/>
          <w:lang w:val="es-ES"/>
        </w:rPr>
      </w:pPr>
      <w:r w:rsidRPr="00747A77">
        <w:rPr>
          <w:snapToGrid w:val="0"/>
          <w:kern w:val="22"/>
          <w:szCs w:val="22"/>
          <w:lang w:val="es-ES"/>
        </w:rPr>
        <w:t xml:space="preserve">En la figura siguiente, se muestra que se han realizado talleres regionales para describir las áreas que cumplen los criterios para las AIEB para la mayoría de las áreas oceánicas del mundo (74% de cobertura oceánica mundial o un poco más de 82% de cobertura oceánica mundial si no se incluye el área comprendida en la </w:t>
      </w:r>
      <w:hyperlink r:id="rId15" w:history="1">
        <w:r w:rsidRPr="00747A77">
          <w:rPr>
            <w:rStyle w:val="Hipervnculo"/>
            <w:snapToGrid w:val="0"/>
            <w:lang w:val="es-ES"/>
          </w:rPr>
          <w:t>Convención sobre la Conservación de los Recursos Vivos Marinos Antárticos</w:t>
        </w:r>
      </w:hyperlink>
      <w:r w:rsidRPr="00747A77">
        <w:rPr>
          <w:snapToGrid w:val="0"/>
          <w:kern w:val="22"/>
          <w:szCs w:val="22"/>
          <w:lang w:val="es-ES"/>
        </w:rPr>
        <w:t xml:space="preserve">). Los talleres se ocuparon de las áreas dentro de la jurisdicción nacional cuando así lo decidieron los países correspondientes. Cabe señalar que la </w:t>
      </w:r>
      <w:r w:rsidRPr="00747A77">
        <w:rPr>
          <w:snapToGrid w:val="0"/>
          <w:lang w:val="es-ES"/>
        </w:rPr>
        <w:t>Comisión OSPAR</w:t>
      </w:r>
      <w:r w:rsidRPr="00747A77">
        <w:rPr>
          <w:snapToGrid w:val="0"/>
          <w:kern w:val="22"/>
          <w:szCs w:val="22"/>
          <w:lang w:val="es-ES"/>
        </w:rPr>
        <w:t xml:space="preserve"> y la </w:t>
      </w:r>
      <w:r w:rsidRPr="00747A77">
        <w:rPr>
          <w:snapToGrid w:val="0"/>
          <w:lang w:val="es-ES"/>
        </w:rPr>
        <w:t>Comisión de Pesquerías del Atlántico Nordeste</w:t>
      </w:r>
      <w:r w:rsidRPr="00747A77">
        <w:rPr>
          <w:snapToGrid w:val="0"/>
          <w:kern w:val="22"/>
          <w:szCs w:val="22"/>
          <w:lang w:val="es-ES"/>
        </w:rPr>
        <w:t xml:space="preserve"> están llevando a cabo un proceso para la descripción de las áreas que cumplen los criterios para las AIEB en el Atlántico Nordeste.</w:t>
      </w:r>
    </w:p>
    <w:p w:rsidR="000058CB" w:rsidRPr="00747A77" w:rsidRDefault="005602D2" w:rsidP="006F4285">
      <w:pPr>
        <w:keepNext/>
        <w:suppressLineNumbers/>
        <w:suppressAutoHyphens/>
        <w:kinsoku w:val="0"/>
        <w:overflowPunct w:val="0"/>
        <w:autoSpaceDE w:val="0"/>
        <w:autoSpaceDN w:val="0"/>
        <w:spacing w:before="120"/>
        <w:ind w:left="720" w:hanging="720"/>
        <w:rPr>
          <w:snapToGrid w:val="0"/>
          <w:kern w:val="22"/>
          <w:szCs w:val="22"/>
          <w:lang w:val="es-ES"/>
        </w:rPr>
      </w:pPr>
      <w:r w:rsidRPr="00747A77">
        <w:rPr>
          <w:snapToGrid w:val="0"/>
          <w:kern w:val="22"/>
          <w:szCs w:val="22"/>
          <w:lang w:val="es-ES"/>
        </w:rPr>
        <w:t>Figura.</w:t>
      </w:r>
      <w:r w:rsidRPr="00747A77">
        <w:rPr>
          <w:snapToGrid w:val="0"/>
          <w:kern w:val="22"/>
          <w:szCs w:val="22"/>
          <w:lang w:val="es-ES"/>
        </w:rPr>
        <w:tab/>
      </w:r>
      <w:r w:rsidRPr="00747A77">
        <w:rPr>
          <w:b/>
          <w:bCs/>
          <w:snapToGrid w:val="0"/>
          <w:kern w:val="22"/>
          <w:szCs w:val="22"/>
          <w:lang w:val="es-ES"/>
        </w:rPr>
        <w:t>Ámbito geográfico de los 14 talleres regionales para facilitar la descripción de las áreas que cumplen los criterios para las AIEB organizados por la Secretaría del Convenio hasta la fecha</w:t>
      </w:r>
    </w:p>
    <w:p w:rsidR="007F56F6" w:rsidRPr="00747A77" w:rsidRDefault="009772E4" w:rsidP="006F4285">
      <w:pPr>
        <w:pStyle w:val="Para1"/>
        <w:numPr>
          <w:ilvl w:val="0"/>
          <w:numId w:val="0"/>
        </w:numPr>
        <w:suppressLineNumbers/>
        <w:suppressAutoHyphens/>
        <w:kinsoku w:val="0"/>
        <w:overflowPunct w:val="0"/>
        <w:autoSpaceDE w:val="0"/>
        <w:autoSpaceDN w:val="0"/>
        <w:spacing w:after="0"/>
        <w:ind w:right="289"/>
        <w:jc w:val="center"/>
        <w:rPr>
          <w:kern w:val="22"/>
          <w:szCs w:val="22"/>
          <w:highlight w:val="yellow"/>
          <w:lang w:val="es-ES"/>
        </w:rPr>
      </w:pPr>
      <w:r w:rsidRPr="00747A77">
        <w:rPr>
          <w:rFonts w:eastAsia="Times New Roman"/>
          <w:noProof/>
          <w:kern w:val="22"/>
          <w:szCs w:val="22"/>
          <w:lang w:val="es-UY" w:eastAsia="es-UY"/>
        </w:rPr>
        <w:drawing>
          <wp:inline distT="0" distB="0" distL="0" distR="0">
            <wp:extent cx="5486400" cy="3657600"/>
            <wp:effectExtent l="0" t="0" r="0" b="0"/>
            <wp:docPr id="4" name="Picture 4" descr="EBSA new glob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SA new globe ma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DC3FE1" w:rsidRPr="00747A77" w:rsidRDefault="004F1416" w:rsidP="006F4285">
      <w:pPr>
        <w:suppressLineNumbers/>
        <w:suppressAutoHyphens/>
        <w:kinsoku w:val="0"/>
        <w:overflowPunct w:val="0"/>
        <w:autoSpaceDE w:val="0"/>
        <w:autoSpaceDN w:val="0"/>
        <w:spacing w:before="120"/>
        <w:rPr>
          <w:snapToGrid w:val="0"/>
          <w:kern w:val="22"/>
          <w:szCs w:val="22"/>
          <w:lang w:val="es-ES"/>
        </w:rPr>
      </w:pPr>
      <w:r w:rsidRPr="00747A77">
        <w:rPr>
          <w:i/>
          <w:iCs/>
          <w:snapToGrid w:val="0"/>
          <w:kern w:val="22"/>
          <w:szCs w:val="22"/>
          <w:lang w:val="es-ES"/>
        </w:rPr>
        <w:t>Nota:</w:t>
      </w:r>
      <w:r w:rsidRPr="00747A77">
        <w:rPr>
          <w:snapToGrid w:val="0"/>
          <w:kern w:val="22"/>
          <w:szCs w:val="22"/>
          <w:lang w:val="es-ES"/>
        </w:rPr>
        <w:t xml:space="preserve"> El área sombreada en el Atlántico Nordeste señala el proceso sobre las AIEB en curso.</w:t>
      </w:r>
    </w:p>
    <w:p w:rsidR="00F54904" w:rsidRPr="00747A77" w:rsidRDefault="00F54904" w:rsidP="006F4285">
      <w:pPr>
        <w:pStyle w:val="Para1"/>
        <w:numPr>
          <w:ilvl w:val="0"/>
          <w:numId w:val="0"/>
        </w:numPr>
        <w:suppressLineNumbers/>
        <w:suppressAutoHyphens/>
        <w:kinsoku w:val="0"/>
        <w:overflowPunct w:val="0"/>
        <w:autoSpaceDE w:val="0"/>
        <w:autoSpaceDN w:val="0"/>
        <w:spacing w:before="0" w:after="0"/>
        <w:ind w:right="288"/>
        <w:jc w:val="left"/>
        <w:rPr>
          <w:kern w:val="22"/>
          <w:szCs w:val="22"/>
          <w:lang w:val="es-ES"/>
        </w:rPr>
      </w:pPr>
    </w:p>
    <w:p w:rsidR="0013030B" w:rsidRPr="00747A77" w:rsidRDefault="00133576" w:rsidP="006F4285">
      <w:pPr>
        <w:pStyle w:val="Ttulo2"/>
        <w:suppressLineNumbers/>
        <w:suppressAutoHyphens/>
        <w:kinsoku w:val="0"/>
        <w:overflowPunct w:val="0"/>
        <w:autoSpaceDE w:val="0"/>
        <w:autoSpaceDN w:val="0"/>
        <w:spacing w:before="0" w:after="0"/>
        <w:ind w:left="1584" w:hanging="864"/>
        <w:jc w:val="left"/>
        <w:rPr>
          <w:snapToGrid w:val="0"/>
          <w:kern w:val="22"/>
          <w:szCs w:val="22"/>
          <w:lang w:val="es-ES"/>
        </w:rPr>
      </w:pPr>
      <w:r w:rsidRPr="00747A77">
        <w:rPr>
          <w:iCs w:val="0"/>
          <w:snapToGrid w:val="0"/>
          <w:kern w:val="22"/>
          <w:szCs w:val="22"/>
          <w:lang w:val="es-ES"/>
        </w:rPr>
        <w:t>B.</w:t>
      </w:r>
      <w:r w:rsidRPr="00747A77">
        <w:rPr>
          <w:iCs w:val="0"/>
          <w:snapToGrid w:val="0"/>
          <w:kern w:val="22"/>
          <w:szCs w:val="22"/>
          <w:lang w:val="es-ES"/>
        </w:rPr>
        <w:tab/>
        <w:t>Progresos realizados en los talleres regionales adicionales y sesiones de capacitación sobre la descripción de las AIEB</w:t>
      </w:r>
    </w:p>
    <w:p w:rsidR="000058CB" w:rsidRPr="00747A77" w:rsidRDefault="005066B2" w:rsidP="006F4285">
      <w:pPr>
        <w:pStyle w:val="Para1"/>
        <w:numPr>
          <w:ilvl w:val="0"/>
          <w:numId w:val="5"/>
        </w:numPr>
        <w:suppressLineNumbers/>
        <w:suppressAutoHyphens/>
        <w:kinsoku w:val="0"/>
        <w:overflowPunct w:val="0"/>
        <w:autoSpaceDE w:val="0"/>
        <w:autoSpaceDN w:val="0"/>
        <w:ind w:left="0" w:firstLine="0"/>
        <w:rPr>
          <w:caps/>
          <w:kern w:val="22"/>
          <w:szCs w:val="22"/>
          <w:lang w:val="es-ES"/>
        </w:rPr>
      </w:pPr>
      <w:r w:rsidRPr="00747A77">
        <w:rPr>
          <w:kern w:val="22"/>
          <w:szCs w:val="22"/>
          <w:lang w:val="es-ES"/>
        </w:rPr>
        <w:t xml:space="preserve">En esta sección, se presenta un resumen de los dos talleres regionales organizados desde la </w:t>
      </w:r>
      <w:r w:rsidR="00061A2E" w:rsidRPr="00747A77">
        <w:rPr>
          <w:kern w:val="22"/>
          <w:szCs w:val="22"/>
          <w:lang w:val="es-ES"/>
        </w:rPr>
        <w:t>20</w:t>
      </w:r>
      <w:r w:rsidR="00061A2E" w:rsidRPr="00747A77">
        <w:rPr>
          <w:kern w:val="22"/>
          <w:szCs w:val="22"/>
          <w:vertAlign w:val="superscript"/>
          <w:lang w:val="es-ES"/>
        </w:rPr>
        <w:t>a</w:t>
      </w:r>
      <w:r w:rsidRPr="00747A77">
        <w:rPr>
          <w:kern w:val="22"/>
          <w:szCs w:val="22"/>
          <w:lang w:val="es-ES"/>
        </w:rPr>
        <w:t> reunión del Órgano Subsidiario, como se señala en el párrafo 3 del presente documento.</w:t>
      </w:r>
    </w:p>
    <w:p w:rsidR="000058CB" w:rsidRPr="00747A77" w:rsidRDefault="00133576" w:rsidP="006F4285">
      <w:pPr>
        <w:pStyle w:val="Ttulo3"/>
        <w:suppressLineNumbers/>
        <w:tabs>
          <w:tab w:val="clear" w:pos="567"/>
        </w:tabs>
        <w:suppressAutoHyphens/>
        <w:kinsoku w:val="0"/>
        <w:overflowPunct w:val="0"/>
        <w:autoSpaceDE w:val="0"/>
        <w:autoSpaceDN w:val="0"/>
        <w:spacing w:before="0" w:after="0"/>
        <w:ind w:left="1440" w:hanging="720"/>
        <w:jc w:val="left"/>
        <w:rPr>
          <w:iCs w:val="0"/>
          <w:snapToGrid w:val="0"/>
          <w:kern w:val="22"/>
          <w:szCs w:val="22"/>
          <w:shd w:val="clear" w:color="auto" w:fill="FFFFFF"/>
          <w:lang w:val="es-ES"/>
        </w:rPr>
      </w:pPr>
      <w:r w:rsidRPr="00747A77">
        <w:rPr>
          <w:snapToGrid w:val="0"/>
          <w:kern w:val="22"/>
          <w:szCs w:val="22"/>
          <w:shd w:val="clear" w:color="auto" w:fill="FFFFFF"/>
          <w:lang w:val="es-ES"/>
        </w:rPr>
        <w:t>1.</w:t>
      </w:r>
      <w:r w:rsidRPr="00747A77">
        <w:rPr>
          <w:snapToGrid w:val="0"/>
          <w:kern w:val="22"/>
          <w:szCs w:val="22"/>
          <w:shd w:val="clear" w:color="auto" w:fill="FFFFFF"/>
          <w:lang w:val="es-ES"/>
        </w:rPr>
        <w:tab/>
      </w:r>
      <w:r w:rsidRPr="00747A77">
        <w:rPr>
          <w:snapToGrid w:val="0"/>
          <w:kern w:val="22"/>
          <w:szCs w:val="22"/>
          <w:lang w:val="es-ES"/>
        </w:rPr>
        <w:t>Taller Regional para Facilitar la Descripción de Áreas Marinas de Importancia Ecológica o Biológica en el Mar Negro y el Mar Caspio (Baku, 24 al 29 de abril de 2017)</w:t>
      </w:r>
    </w:p>
    <w:p w:rsidR="00DA73F7" w:rsidRPr="00747A77" w:rsidRDefault="000058CB" w:rsidP="006F4285">
      <w:pPr>
        <w:pStyle w:val="Para1"/>
        <w:numPr>
          <w:ilvl w:val="0"/>
          <w:numId w:val="5"/>
        </w:numPr>
        <w:suppressLineNumbers/>
        <w:suppressAutoHyphens/>
        <w:kinsoku w:val="0"/>
        <w:overflowPunct w:val="0"/>
        <w:autoSpaceDE w:val="0"/>
        <w:autoSpaceDN w:val="0"/>
        <w:spacing w:after="0"/>
        <w:ind w:left="0" w:firstLine="0"/>
        <w:rPr>
          <w:b/>
          <w:iCs/>
          <w:caps/>
          <w:kern w:val="22"/>
          <w:szCs w:val="22"/>
          <w:lang w:val="es-ES"/>
        </w:rPr>
      </w:pPr>
      <w:r w:rsidRPr="00747A77">
        <w:rPr>
          <w:kern w:val="22"/>
          <w:szCs w:val="22"/>
          <w:lang w:val="es-ES"/>
        </w:rPr>
        <w:t>El Secretario Ejecutivo convocó este taller, que incluye una sesión de capacitación de un día, en colaboración con</w:t>
      </w:r>
      <w:r w:rsidRPr="00747A77">
        <w:rPr>
          <w:b/>
          <w:bCs/>
          <w:caps/>
          <w:kern w:val="22"/>
          <w:szCs w:val="22"/>
          <w:lang w:val="es-ES"/>
        </w:rPr>
        <w:t xml:space="preserve"> </w:t>
      </w:r>
      <w:r w:rsidRPr="00747A77">
        <w:rPr>
          <w:kern w:val="22"/>
          <w:szCs w:val="22"/>
          <w:lang w:val="es-ES"/>
        </w:rPr>
        <w:t>la Comisión para la Protección del</w:t>
      </w:r>
      <w:r w:rsidR="00E85856" w:rsidRPr="00747A77">
        <w:rPr>
          <w:kern w:val="22"/>
          <w:szCs w:val="22"/>
          <w:lang w:val="es-ES"/>
        </w:rPr>
        <w:t xml:space="preserve"> </w:t>
      </w:r>
      <w:r w:rsidRPr="00747A77">
        <w:rPr>
          <w:kern w:val="22"/>
          <w:szCs w:val="22"/>
          <w:lang w:val="es-ES"/>
        </w:rPr>
        <w:t xml:space="preserve">Mar Negro contra la Contaminación (BSC), la Secretaría Provisional del Convenio de Teherán (TCIS), la Comisión General de Pesca del Mediterráneo (CGPM) y el Acuerdo sobre la Conservación de Cetáceos del Mar Negro, el Mar Mediterráneo y la Zona </w:t>
      </w:r>
      <w:r w:rsidRPr="00747A77">
        <w:rPr>
          <w:kern w:val="22"/>
          <w:szCs w:val="22"/>
          <w:lang w:val="es-ES"/>
        </w:rPr>
        <w:lastRenderedPageBreak/>
        <w:t>Atlántica Contigua (ACCOBAMS). El taller fue organizado por el Gobierno de Azerbaiyán, con el apoyo financiero del Gobierno de Japón (a través del Fondo de Japón para la Diversidad Biológica). A la reunión asistieron expertos de Azerbaiyán, Bulgaria,</w:t>
      </w:r>
      <w:r w:rsidR="00343777" w:rsidRPr="00747A77">
        <w:rPr>
          <w:kern w:val="22"/>
          <w:szCs w:val="22"/>
          <w:lang w:val="es-ES"/>
        </w:rPr>
        <w:t xml:space="preserve"> la Federación de Rusia,</w:t>
      </w:r>
      <w:r w:rsidRPr="00747A77">
        <w:rPr>
          <w:kern w:val="22"/>
          <w:szCs w:val="22"/>
          <w:lang w:val="es-ES"/>
        </w:rPr>
        <w:t xml:space="preserve"> Georgia,</w:t>
      </w:r>
      <w:r w:rsidR="00343777" w:rsidRPr="00747A77">
        <w:rPr>
          <w:kern w:val="22"/>
          <w:szCs w:val="22"/>
          <w:lang w:val="es-ES"/>
        </w:rPr>
        <w:t xml:space="preserve"> Kazajstán,</w:t>
      </w:r>
      <w:r w:rsidRPr="00747A77">
        <w:rPr>
          <w:kern w:val="22"/>
          <w:szCs w:val="22"/>
          <w:lang w:val="es-ES"/>
        </w:rPr>
        <w:t xml:space="preserve"> la República Islámica de Irán, Rumania, Turquía, Turkmenistán, Ucrania, la BSC, la TCIS, el </w:t>
      </w:r>
      <w:r w:rsidRPr="00747A77">
        <w:rPr>
          <w:caps/>
          <w:kern w:val="22"/>
          <w:szCs w:val="22"/>
          <w:lang w:val="es-ES"/>
        </w:rPr>
        <w:t>A</w:t>
      </w:r>
      <w:r w:rsidRPr="00747A77">
        <w:rPr>
          <w:kern w:val="22"/>
          <w:szCs w:val="22"/>
          <w:lang w:val="es-ES"/>
        </w:rPr>
        <w:t>CCOBAMS, la Organización de las Naciones Unidas para la Alimentación y la Agricultura (FAO), el Sistema de Información Biogeográfica de los Océanos (OBIS) de la Comisión Oceanográfica Intergubernamental/Organización de Naciones Unidas para la Educación, la Ciencia y la Cultura, la Iniciativa Mundial sobre la Diversidad Biológica de los Océanos</w:t>
      </w:r>
      <w:r w:rsidRPr="00747A77">
        <w:rPr>
          <w:b/>
          <w:bCs/>
          <w:caps/>
          <w:kern w:val="22"/>
          <w:szCs w:val="22"/>
          <w:lang w:val="es-ES"/>
        </w:rPr>
        <w:t xml:space="preserve"> </w:t>
      </w:r>
      <w:r w:rsidRPr="00747A77">
        <w:rPr>
          <w:kern w:val="22"/>
          <w:szCs w:val="22"/>
          <w:lang w:val="es-ES"/>
        </w:rPr>
        <w:t>(GOBI), BirdLife International y el Centro de Desarrollo Sostenible/Consorcio de Territorios y Áreas Conservados por Pueblos Indígenas y Comunidades Locales (TICCA) para Asia Occidental y Central.</w:t>
      </w:r>
    </w:p>
    <w:p w:rsidR="000058CB" w:rsidRPr="00747A77" w:rsidRDefault="00DA73F7" w:rsidP="006F4285">
      <w:pPr>
        <w:pStyle w:val="Para1"/>
        <w:numPr>
          <w:ilvl w:val="0"/>
          <w:numId w:val="5"/>
        </w:numPr>
        <w:suppressLineNumbers/>
        <w:suppressAutoHyphens/>
        <w:kinsoku w:val="0"/>
        <w:overflowPunct w:val="0"/>
        <w:autoSpaceDE w:val="0"/>
        <w:autoSpaceDN w:val="0"/>
        <w:spacing w:after="0"/>
        <w:ind w:left="0" w:firstLine="0"/>
        <w:rPr>
          <w:iCs/>
          <w:kern w:val="22"/>
          <w:szCs w:val="22"/>
          <w:lang w:val="es-ES"/>
        </w:rPr>
      </w:pPr>
      <w:r w:rsidRPr="00747A77">
        <w:rPr>
          <w:kern w:val="22"/>
          <w:szCs w:val="22"/>
          <w:lang w:val="es-ES"/>
        </w:rPr>
        <w:t>Los participantes acordaron que sus deliberaciones se centrarían en el Mar Negro, conforme a la definición de la BSC y su protocolo pertinente, y en el Mar Caspio, conforme a la definición del Convenio de Teherán.</w:t>
      </w:r>
    </w:p>
    <w:p w:rsidR="000058CB" w:rsidRPr="00747A77" w:rsidRDefault="000058CB" w:rsidP="006F4285">
      <w:pPr>
        <w:pStyle w:val="Para1"/>
        <w:numPr>
          <w:ilvl w:val="0"/>
          <w:numId w:val="5"/>
        </w:numPr>
        <w:suppressLineNumbers/>
        <w:suppressAutoHyphens/>
        <w:kinsoku w:val="0"/>
        <w:overflowPunct w:val="0"/>
        <w:autoSpaceDE w:val="0"/>
        <w:autoSpaceDN w:val="0"/>
        <w:ind w:left="0" w:firstLine="0"/>
        <w:rPr>
          <w:kern w:val="22"/>
          <w:szCs w:val="22"/>
          <w:lang w:val="es-ES"/>
        </w:rPr>
      </w:pPr>
      <w:r w:rsidRPr="00747A77">
        <w:rPr>
          <w:kern w:val="22"/>
          <w:szCs w:val="22"/>
          <w:lang w:val="es-ES"/>
        </w:rPr>
        <w:t xml:space="preserve">También estuvieron de acuerdo en la descripción de 33 áreas que cumplen los criterios para las AIEB y que se describen en la adición </w:t>
      </w:r>
      <w:r w:rsidR="00747A77" w:rsidRPr="00747A77">
        <w:rPr>
          <w:kern w:val="22"/>
          <w:szCs w:val="22"/>
          <w:lang w:val="es-ES"/>
        </w:rPr>
        <w:t>de</w:t>
      </w:r>
      <w:r w:rsidRPr="00747A77">
        <w:rPr>
          <w:kern w:val="22"/>
          <w:szCs w:val="22"/>
          <w:lang w:val="es-ES"/>
        </w:rPr>
        <w:t>l presente documento</w:t>
      </w:r>
      <w:r w:rsidRPr="00747A77">
        <w:rPr>
          <w:rStyle w:val="Refdenotaalpie"/>
          <w:kern w:val="22"/>
          <w:szCs w:val="22"/>
          <w:lang w:val="es-ES"/>
        </w:rPr>
        <w:footnoteReference w:id="7"/>
      </w:r>
      <w:r w:rsidR="005535B0" w:rsidRPr="00747A77">
        <w:rPr>
          <w:kern w:val="22"/>
          <w:szCs w:val="22"/>
          <w:lang w:val="es-ES"/>
        </w:rPr>
        <w:t>.</w:t>
      </w:r>
    </w:p>
    <w:p w:rsidR="000058CB" w:rsidRPr="00747A77" w:rsidRDefault="00133576" w:rsidP="006F4285">
      <w:pPr>
        <w:pStyle w:val="Ttulo3"/>
        <w:suppressLineNumbers/>
        <w:suppressAutoHyphens/>
        <w:kinsoku w:val="0"/>
        <w:overflowPunct w:val="0"/>
        <w:autoSpaceDE w:val="0"/>
        <w:autoSpaceDN w:val="0"/>
        <w:spacing w:before="0" w:after="0"/>
        <w:ind w:left="1440" w:hanging="720"/>
        <w:jc w:val="left"/>
        <w:rPr>
          <w:iCs w:val="0"/>
          <w:snapToGrid w:val="0"/>
          <w:kern w:val="22"/>
          <w:szCs w:val="22"/>
          <w:highlight w:val="yellow"/>
          <w:shd w:val="clear" w:color="auto" w:fill="FFFFFF"/>
          <w:lang w:val="es-ES"/>
        </w:rPr>
      </w:pPr>
      <w:r w:rsidRPr="00747A77">
        <w:rPr>
          <w:snapToGrid w:val="0"/>
          <w:kern w:val="22"/>
          <w:szCs w:val="22"/>
          <w:shd w:val="clear" w:color="auto" w:fill="FFFFFF"/>
          <w:lang w:val="es-ES"/>
        </w:rPr>
        <w:t>2.</w:t>
      </w:r>
      <w:r w:rsidRPr="00747A77">
        <w:rPr>
          <w:snapToGrid w:val="0"/>
          <w:kern w:val="22"/>
          <w:szCs w:val="22"/>
          <w:shd w:val="clear" w:color="auto" w:fill="FFFFFF"/>
          <w:lang w:val="es-ES"/>
        </w:rPr>
        <w:tab/>
      </w:r>
      <w:r w:rsidRPr="00747A77">
        <w:rPr>
          <w:snapToGrid w:val="0"/>
          <w:kern w:val="22"/>
          <w:szCs w:val="22"/>
          <w:lang w:val="es-ES"/>
        </w:rPr>
        <w:t>Taller Regional para Facilitar la Descripción de Áreas Marinas de Importancia Ecológica o Biológica en el Mar Báltico (Helsinki, 19 al 24 de febrero de 2018)</w:t>
      </w:r>
    </w:p>
    <w:p w:rsidR="00E6105C" w:rsidRPr="00747A77" w:rsidRDefault="00061A2E" w:rsidP="006F4285">
      <w:pPr>
        <w:numPr>
          <w:ilvl w:val="0"/>
          <w:numId w:val="5"/>
        </w:numPr>
        <w:suppressLineNumbers/>
        <w:suppressAutoHyphens/>
        <w:kinsoku w:val="0"/>
        <w:overflowPunct w:val="0"/>
        <w:autoSpaceDE w:val="0"/>
        <w:autoSpaceDN w:val="0"/>
        <w:spacing w:before="120"/>
        <w:ind w:left="0" w:firstLine="0"/>
        <w:rPr>
          <w:b/>
          <w:caps/>
          <w:snapToGrid w:val="0"/>
          <w:kern w:val="22"/>
          <w:szCs w:val="22"/>
          <w:lang w:val="es-ES"/>
        </w:rPr>
      </w:pPr>
      <w:r w:rsidRPr="00747A77">
        <w:rPr>
          <w:snapToGrid w:val="0"/>
          <w:kern w:val="22"/>
          <w:szCs w:val="22"/>
          <w:lang w:val="es-ES"/>
        </w:rPr>
        <w:t>La</w:t>
      </w:r>
      <w:r w:rsidR="000058CB" w:rsidRPr="00747A77">
        <w:rPr>
          <w:snapToGrid w:val="0"/>
          <w:kern w:val="22"/>
          <w:szCs w:val="22"/>
          <w:lang w:val="es-ES"/>
        </w:rPr>
        <w:t xml:space="preserve"> Secretari</w:t>
      </w:r>
      <w:r w:rsidRPr="00747A77">
        <w:rPr>
          <w:snapToGrid w:val="0"/>
          <w:kern w:val="22"/>
          <w:szCs w:val="22"/>
          <w:lang w:val="es-ES"/>
        </w:rPr>
        <w:t>a</w:t>
      </w:r>
      <w:r w:rsidR="000058CB" w:rsidRPr="00747A77">
        <w:rPr>
          <w:snapToGrid w:val="0"/>
          <w:kern w:val="22"/>
          <w:szCs w:val="22"/>
          <w:lang w:val="es-ES"/>
        </w:rPr>
        <w:t xml:space="preserve"> Ejecutiv</w:t>
      </w:r>
      <w:r w:rsidRPr="00747A77">
        <w:rPr>
          <w:snapToGrid w:val="0"/>
          <w:kern w:val="22"/>
          <w:szCs w:val="22"/>
          <w:lang w:val="es-ES"/>
        </w:rPr>
        <w:t>a</w:t>
      </w:r>
      <w:r w:rsidR="000058CB" w:rsidRPr="00747A77">
        <w:rPr>
          <w:snapToGrid w:val="0"/>
          <w:kern w:val="22"/>
          <w:szCs w:val="22"/>
          <w:lang w:val="es-ES"/>
        </w:rPr>
        <w:t xml:space="preserve"> organizó este taller, que incluyó una sesión de capacitación de un día, en colaboración con la Comisión para la Protección del Medio Marino del Mar Báltico (HELCOM). El taller tuvo al Gobierno de Finlandia como anfitrión, y se realizó en Helsinki, con apoyo financiero de los Gobiernos de Finlandia y Suecia. A la reunión asistieron expertos de</w:t>
      </w:r>
      <w:r w:rsidR="005B3F38" w:rsidRPr="00747A77">
        <w:rPr>
          <w:snapToGrid w:val="0"/>
          <w:kern w:val="22"/>
          <w:szCs w:val="22"/>
          <w:lang w:val="es-ES"/>
        </w:rPr>
        <w:t xml:space="preserve"> Alemania,</w:t>
      </w:r>
      <w:r w:rsidR="000058CB" w:rsidRPr="00747A77">
        <w:rPr>
          <w:snapToGrid w:val="0"/>
          <w:kern w:val="22"/>
          <w:szCs w:val="22"/>
          <w:lang w:val="es-ES"/>
        </w:rPr>
        <w:t xml:space="preserve"> Estonia,</w:t>
      </w:r>
      <w:r w:rsidR="005B3F38" w:rsidRPr="00747A77">
        <w:rPr>
          <w:snapToGrid w:val="0"/>
          <w:kern w:val="22"/>
          <w:szCs w:val="22"/>
          <w:lang w:val="es-ES"/>
        </w:rPr>
        <w:t xml:space="preserve"> la Federación de Rusia,</w:t>
      </w:r>
      <w:r w:rsidR="000058CB" w:rsidRPr="00747A77">
        <w:rPr>
          <w:snapToGrid w:val="0"/>
          <w:kern w:val="22"/>
          <w:szCs w:val="22"/>
          <w:lang w:val="es-ES"/>
        </w:rPr>
        <w:t xml:space="preserve"> Finlandia, Letonia, Lituania, Suecia, la HELCOM, BirdLife International, Coalition Clean Baltic, la Iniciativa Mundial sobre la Diversidad Biológica de los Océanos, el Consorcio Internacional sobre Territorios y Áreas Conservadas por Pueblos Indígenas y Comunidades Locales (TICCA), el Centro Mundial de Vigilancia de la Conservación del Programa de las Naciones Unidas para el Medio Ambiente (PNUMA-CMVC) y el Programa para la Ecorregión del Mar Báltico de World Wildlife Fund (WWF).</w:t>
      </w:r>
    </w:p>
    <w:p w:rsidR="00CB0AD1" w:rsidRPr="00747A77" w:rsidRDefault="00CA6807" w:rsidP="006F4285">
      <w:pPr>
        <w:numPr>
          <w:ilvl w:val="0"/>
          <w:numId w:val="5"/>
        </w:numPr>
        <w:suppressLineNumbers/>
        <w:suppressAutoHyphens/>
        <w:kinsoku w:val="0"/>
        <w:overflowPunct w:val="0"/>
        <w:autoSpaceDE w:val="0"/>
        <w:autoSpaceDN w:val="0"/>
        <w:adjustRightInd w:val="0"/>
        <w:spacing w:before="120"/>
        <w:ind w:left="0" w:firstLine="0"/>
        <w:rPr>
          <w:snapToGrid w:val="0"/>
          <w:kern w:val="22"/>
          <w:szCs w:val="22"/>
          <w:lang w:val="es-ES"/>
        </w:rPr>
      </w:pPr>
      <w:r w:rsidRPr="00747A77">
        <w:rPr>
          <w:snapToGrid w:val="0"/>
          <w:kern w:val="22"/>
          <w:szCs w:val="22"/>
          <w:lang w:val="es-ES"/>
        </w:rPr>
        <w:t>Los participantes acordaron que el taller se centraría en el área geográfica de competencia de la Comisión para la Protección del Medio Marino del Mar Báltico (HELCOM), salvo en el caso de las áreas marinas de dos países de esta comisión que no estuvieron representados en el taller.</w:t>
      </w:r>
    </w:p>
    <w:p w:rsidR="000058CB" w:rsidRPr="00747A77" w:rsidRDefault="00E900FC" w:rsidP="006F4285">
      <w:pPr>
        <w:numPr>
          <w:ilvl w:val="0"/>
          <w:numId w:val="5"/>
        </w:numPr>
        <w:suppressLineNumbers/>
        <w:suppressAutoHyphens/>
        <w:kinsoku w:val="0"/>
        <w:overflowPunct w:val="0"/>
        <w:autoSpaceDE w:val="0"/>
        <w:autoSpaceDN w:val="0"/>
        <w:adjustRightInd w:val="0"/>
        <w:spacing w:before="120"/>
        <w:ind w:left="0" w:firstLine="0"/>
        <w:rPr>
          <w:iCs/>
          <w:snapToGrid w:val="0"/>
          <w:kern w:val="22"/>
          <w:szCs w:val="22"/>
          <w:lang w:val="es-ES"/>
        </w:rPr>
      </w:pPr>
      <w:r w:rsidRPr="00747A77">
        <w:rPr>
          <w:snapToGrid w:val="0"/>
          <w:kern w:val="22"/>
          <w:szCs w:val="22"/>
          <w:lang w:val="es-ES"/>
        </w:rPr>
        <w:t>También estuvieron de acuerdo en la descripción de nueve áreas que cumplen los criterios para las AIEB. Los mapas de la totalidad de las áreas descritas se encuentran en el informe del taller</w:t>
      </w:r>
      <w:r w:rsidRPr="00747A77">
        <w:rPr>
          <w:rStyle w:val="Refdenotaalpie"/>
          <w:snapToGrid w:val="0"/>
          <w:kern w:val="22"/>
          <w:szCs w:val="22"/>
          <w:lang w:val="es-ES"/>
        </w:rPr>
        <w:footnoteReference w:id="8"/>
      </w:r>
      <w:r w:rsidR="005535B0" w:rsidRPr="00747A77">
        <w:rPr>
          <w:snapToGrid w:val="0"/>
          <w:kern w:val="22"/>
          <w:szCs w:val="22"/>
          <w:lang w:val="es-ES"/>
        </w:rPr>
        <w:t>.</w:t>
      </w:r>
    </w:p>
    <w:p w:rsidR="00F55185" w:rsidRPr="00747A77" w:rsidRDefault="00A26326" w:rsidP="006F4285">
      <w:pPr>
        <w:pStyle w:val="Heading1longmultiline"/>
        <w:suppressLineNumbers/>
        <w:tabs>
          <w:tab w:val="clear" w:pos="720"/>
        </w:tabs>
        <w:suppressAutoHyphens/>
        <w:kinsoku w:val="0"/>
        <w:overflowPunct w:val="0"/>
        <w:autoSpaceDE w:val="0"/>
        <w:autoSpaceDN w:val="0"/>
        <w:spacing w:before="120"/>
        <w:ind w:left="1584" w:hanging="864"/>
        <w:rPr>
          <w:rFonts w:ascii="Times New Roman Bold" w:hAnsi="Times New Roman Bold" w:cs="Times New Roman Bold"/>
          <w:bCs/>
          <w:snapToGrid w:val="0"/>
          <w:kern w:val="22"/>
          <w:szCs w:val="22"/>
          <w:lang w:val="es-ES"/>
        </w:rPr>
      </w:pPr>
      <w:r w:rsidRPr="00747A77">
        <w:rPr>
          <w:rFonts w:ascii="Times New Roman Bold" w:hAnsi="Times New Roman Bold" w:cs="Times New Roman Bold"/>
          <w:bCs/>
          <w:snapToGrid w:val="0"/>
          <w:kern w:val="22"/>
          <w:szCs w:val="22"/>
          <w:lang w:val="es-ES"/>
        </w:rPr>
        <w:t>II.</w:t>
      </w:r>
      <w:r w:rsidRPr="00747A77">
        <w:rPr>
          <w:rFonts w:ascii="Times New Roman Bold" w:hAnsi="Times New Roman Bold" w:cs="Times New Roman Bold"/>
          <w:bCs/>
          <w:snapToGrid w:val="0"/>
          <w:kern w:val="22"/>
          <w:szCs w:val="22"/>
          <w:lang w:val="es-ES"/>
        </w:rPr>
        <w:tab/>
        <w:t>Elaboración de opciones para modificar la descripción de las áreas marinas de importancia ecológica o biológica, para describir nuevas áreas y para fortalecer la credibilidad científica y transparencia de este proceso</w:t>
      </w:r>
    </w:p>
    <w:p w:rsidR="00E71965" w:rsidRPr="00747A77" w:rsidRDefault="00E71965" w:rsidP="006F4285">
      <w:pPr>
        <w:pStyle w:val="Para1"/>
        <w:numPr>
          <w:ilvl w:val="0"/>
          <w:numId w:val="0"/>
        </w:numPr>
        <w:suppressLineNumbers/>
        <w:suppressAutoHyphens/>
        <w:kinsoku w:val="0"/>
        <w:overflowPunct w:val="0"/>
        <w:autoSpaceDE w:val="0"/>
        <w:autoSpaceDN w:val="0"/>
        <w:spacing w:after="0"/>
        <w:rPr>
          <w:kern w:val="22"/>
          <w:szCs w:val="22"/>
          <w:lang w:val="es-ES"/>
        </w:rPr>
      </w:pPr>
      <w:r w:rsidRPr="00747A77">
        <w:rPr>
          <w:color w:val="000000"/>
          <w:kern w:val="22"/>
          <w:szCs w:val="22"/>
          <w:lang w:val="es-ES"/>
        </w:rPr>
        <w:t>12.</w:t>
      </w:r>
      <w:r w:rsidRPr="00747A77">
        <w:rPr>
          <w:color w:val="000000"/>
          <w:kern w:val="22"/>
          <w:szCs w:val="22"/>
          <w:lang w:val="es-ES"/>
        </w:rPr>
        <w:tab/>
        <w:t xml:space="preserve">De conformidad con la solicitud de la Conferencia de las Partes de la decisión XIII/12, párrafo 10, </w:t>
      </w:r>
      <w:r w:rsidRPr="00747A77">
        <w:rPr>
          <w:kern w:val="22"/>
          <w:szCs w:val="22"/>
          <w:lang w:val="es-ES"/>
        </w:rPr>
        <w:t>y con apoyo financiero de los Gobiernos de Alemania y Suecia, la Secretaría del Convenio sobre la Diversidad Biológica organizó el Taller de Expertos para Elaborar Opciones para Modificar la Descripción de las Áreas Marinas de Importancia Ecológica o Biológica, para Describir Nuevas Áreas y para Fortalecer la Credibilidad Científica y Transparencia de este Proceso. El taller fue organizado por el Gobierno de Alemania y se realizó en Berlín del 5 al 8 de diciembre de 2017.</w:t>
      </w:r>
    </w:p>
    <w:p w:rsidR="00E71965" w:rsidRPr="00747A77" w:rsidRDefault="00E71965" w:rsidP="006F4285">
      <w:pPr>
        <w:pStyle w:val="Para1"/>
        <w:numPr>
          <w:ilvl w:val="0"/>
          <w:numId w:val="0"/>
        </w:numPr>
        <w:suppressLineNumbers/>
        <w:suppressAutoHyphens/>
        <w:kinsoku w:val="0"/>
        <w:overflowPunct w:val="0"/>
        <w:autoSpaceDE w:val="0"/>
        <w:autoSpaceDN w:val="0"/>
        <w:spacing w:after="0"/>
        <w:rPr>
          <w:color w:val="000000"/>
          <w:kern w:val="22"/>
          <w:szCs w:val="22"/>
          <w:lang w:val="es-ES"/>
        </w:rPr>
      </w:pPr>
      <w:r w:rsidRPr="00747A77">
        <w:rPr>
          <w:kern w:val="22"/>
          <w:szCs w:val="22"/>
          <w:lang w:val="es-ES"/>
        </w:rPr>
        <w:t>13.</w:t>
      </w:r>
      <w:r w:rsidRPr="00747A77">
        <w:rPr>
          <w:kern w:val="22"/>
          <w:szCs w:val="22"/>
          <w:lang w:val="es-ES"/>
        </w:rPr>
        <w:tab/>
        <w:t xml:space="preserve">Conforme a la misma decisión, </w:t>
      </w:r>
      <w:r w:rsidRPr="00747A77">
        <w:rPr>
          <w:color w:val="000000"/>
          <w:kern w:val="22"/>
          <w:szCs w:val="22"/>
          <w:lang w:val="es-ES"/>
        </w:rPr>
        <w:t>este taller de expertos tuvo los siguientes objetivos:</w:t>
      </w:r>
    </w:p>
    <w:p w:rsidR="00E71965" w:rsidRPr="00747A77" w:rsidRDefault="00E71965" w:rsidP="009252D8">
      <w:pPr>
        <w:pStyle w:val="Para1"/>
        <w:numPr>
          <w:ilvl w:val="0"/>
          <w:numId w:val="6"/>
        </w:numPr>
        <w:suppressLineNumbers/>
        <w:suppressAutoHyphens/>
        <w:kinsoku w:val="0"/>
        <w:overflowPunct w:val="0"/>
        <w:autoSpaceDE w:val="0"/>
        <w:autoSpaceDN w:val="0"/>
        <w:spacing w:after="0"/>
        <w:ind w:left="0" w:firstLine="720"/>
        <w:rPr>
          <w:rStyle w:val="nfasis"/>
          <w:b/>
          <w:bCs/>
          <w:color w:val="000000"/>
          <w:kern w:val="22"/>
          <w:szCs w:val="22"/>
          <w:lang w:val="es-ES"/>
        </w:rPr>
      </w:pPr>
      <w:r w:rsidRPr="00747A77">
        <w:rPr>
          <w:color w:val="000000"/>
          <w:kern w:val="22"/>
          <w:szCs w:val="22"/>
          <w:lang w:val="es-ES"/>
        </w:rPr>
        <w:lastRenderedPageBreak/>
        <w:t>elaborar opciones, para casos tanto dentro como fuera de la jurisdicción nacional, con respecto a los procedimientos del Convenio para modificar la descripción</w:t>
      </w:r>
      <w:r w:rsidRPr="00747A77">
        <w:rPr>
          <w:rStyle w:val="Refdenotaalpie"/>
          <w:color w:val="000000"/>
          <w:kern w:val="22"/>
          <w:szCs w:val="22"/>
          <w:lang w:val="es-ES"/>
        </w:rPr>
        <w:footnoteReference w:id="9"/>
      </w:r>
      <w:r w:rsidRPr="00747A77">
        <w:rPr>
          <w:color w:val="000000"/>
          <w:kern w:val="22"/>
          <w:szCs w:val="22"/>
          <w:lang w:val="es-ES"/>
        </w:rPr>
        <w:t xml:space="preserve"> de las áreas que cumplen los criterios para las AIEB y para describir nuevas áreas, respetando plenamente en todo momento la soberanía, los derechos soberanos y la jurisdicción de los Estados costeros que se reafirman en l decisión XIII/12, párrafo 3;</w:t>
      </w:r>
    </w:p>
    <w:p w:rsidR="00E71965" w:rsidRPr="00747A77" w:rsidRDefault="00E71965" w:rsidP="009252D8">
      <w:pPr>
        <w:pStyle w:val="Para1"/>
        <w:numPr>
          <w:ilvl w:val="0"/>
          <w:numId w:val="6"/>
        </w:numPr>
        <w:suppressLineNumbers/>
        <w:suppressAutoHyphens/>
        <w:kinsoku w:val="0"/>
        <w:overflowPunct w:val="0"/>
        <w:autoSpaceDE w:val="0"/>
        <w:autoSpaceDN w:val="0"/>
        <w:spacing w:after="0"/>
        <w:ind w:left="0" w:firstLine="720"/>
        <w:rPr>
          <w:color w:val="000000"/>
          <w:kern w:val="22"/>
          <w:szCs w:val="22"/>
          <w:lang w:val="es-ES"/>
        </w:rPr>
      </w:pPr>
      <w:r w:rsidRPr="00747A77">
        <w:rPr>
          <w:color w:val="000000"/>
          <w:kern w:val="22"/>
          <w:szCs w:val="22"/>
          <w:lang w:val="es-ES"/>
        </w:rPr>
        <w:t>elaborar opciones para reforzar la credibilidad científica y la transparencia del proceso relacionado con las AIEB; por ejemplo, mejorando la revisión científica por pares por otras Partes, otros Gobiernos y organizaciones pertinentes.</w:t>
      </w:r>
    </w:p>
    <w:p w:rsidR="00E71965" w:rsidRPr="00747A77" w:rsidRDefault="00E71965" w:rsidP="006F4285">
      <w:pPr>
        <w:pStyle w:val="Default"/>
        <w:widowControl/>
        <w:suppressLineNumbers/>
        <w:suppressAutoHyphens/>
        <w:kinsoku w:val="0"/>
        <w:overflowPunct w:val="0"/>
        <w:spacing w:before="120"/>
        <w:jc w:val="both"/>
        <w:rPr>
          <w:snapToGrid w:val="0"/>
          <w:kern w:val="22"/>
          <w:sz w:val="22"/>
          <w:szCs w:val="22"/>
          <w:lang w:val="es-ES"/>
        </w:rPr>
      </w:pPr>
      <w:r w:rsidRPr="00747A77">
        <w:rPr>
          <w:snapToGrid w:val="0"/>
          <w:kern w:val="22"/>
          <w:sz w:val="22"/>
          <w:szCs w:val="22"/>
          <w:lang w:val="es-ES"/>
        </w:rPr>
        <w:t>14.</w:t>
      </w:r>
      <w:r w:rsidRPr="00747A77">
        <w:rPr>
          <w:snapToGrid w:val="0"/>
          <w:kern w:val="22"/>
          <w:sz w:val="22"/>
          <w:szCs w:val="22"/>
          <w:lang w:val="es-ES"/>
        </w:rPr>
        <w:tab/>
        <w:t>De conformidad con la misma decisión y mediante una notificación</w:t>
      </w:r>
      <w:r w:rsidR="005535B0" w:rsidRPr="00747A77">
        <w:rPr>
          <w:rStyle w:val="Refdenotaalpie"/>
          <w:snapToGrid w:val="0"/>
          <w:kern w:val="22"/>
          <w:szCs w:val="22"/>
          <w:lang w:val="es-ES"/>
        </w:rPr>
        <w:footnoteReference w:id="10"/>
      </w:r>
      <w:r w:rsidRPr="00747A77">
        <w:rPr>
          <w:snapToGrid w:val="0"/>
          <w:kern w:val="22"/>
          <w:sz w:val="22"/>
          <w:szCs w:val="22"/>
          <w:lang w:val="es-ES"/>
        </w:rPr>
        <w:t>, l</w:t>
      </w:r>
      <w:r w:rsidR="003E0EA1" w:rsidRPr="00747A77">
        <w:rPr>
          <w:snapToGrid w:val="0"/>
          <w:kern w:val="22"/>
          <w:sz w:val="22"/>
          <w:szCs w:val="22"/>
          <w:lang w:val="es-ES"/>
        </w:rPr>
        <w:t>a</w:t>
      </w:r>
      <w:r w:rsidRPr="00747A77">
        <w:rPr>
          <w:snapToGrid w:val="0"/>
          <w:kern w:val="22"/>
          <w:sz w:val="22"/>
          <w:szCs w:val="22"/>
          <w:lang w:val="es-ES"/>
        </w:rPr>
        <w:t xml:space="preserve"> Secretari</w:t>
      </w:r>
      <w:r w:rsidR="003E0EA1" w:rsidRPr="00747A77">
        <w:rPr>
          <w:snapToGrid w:val="0"/>
          <w:kern w:val="22"/>
          <w:sz w:val="22"/>
          <w:szCs w:val="22"/>
          <w:lang w:val="es-ES"/>
        </w:rPr>
        <w:t>a</w:t>
      </w:r>
      <w:r w:rsidRPr="00747A77">
        <w:rPr>
          <w:snapToGrid w:val="0"/>
          <w:kern w:val="22"/>
          <w:sz w:val="22"/>
          <w:szCs w:val="22"/>
          <w:lang w:val="es-ES"/>
        </w:rPr>
        <w:t xml:space="preserve"> Ejecutiv</w:t>
      </w:r>
      <w:r w:rsidR="003E0EA1" w:rsidRPr="00747A77">
        <w:rPr>
          <w:snapToGrid w:val="0"/>
          <w:kern w:val="22"/>
          <w:sz w:val="22"/>
          <w:szCs w:val="22"/>
          <w:lang w:val="es-ES"/>
        </w:rPr>
        <w:t>a</w:t>
      </w:r>
      <w:r w:rsidRPr="00747A77">
        <w:rPr>
          <w:snapToGrid w:val="0"/>
          <w:kern w:val="22"/>
          <w:sz w:val="22"/>
          <w:szCs w:val="22"/>
          <w:lang w:val="es-ES"/>
        </w:rPr>
        <w:t xml:space="preserve"> puso a disposición el informe del taller mencionado más arriba para la revisión por pares de las Partes, otros Gobiernos y organizaciones pertinentes. En respuesta a esta notificación, se recibieron </w:t>
      </w:r>
      <w:r w:rsidR="005535B0" w:rsidRPr="00747A77">
        <w:rPr>
          <w:snapToGrid w:val="0"/>
          <w:kern w:val="22"/>
          <w:sz w:val="22"/>
          <w:szCs w:val="22"/>
          <w:lang w:val="es-ES"/>
        </w:rPr>
        <w:t>12</w:t>
      </w:r>
      <w:r w:rsidRPr="00747A77">
        <w:rPr>
          <w:snapToGrid w:val="0"/>
          <w:kern w:val="22"/>
          <w:sz w:val="22"/>
          <w:szCs w:val="22"/>
          <w:lang w:val="es-ES"/>
        </w:rPr>
        <w:t xml:space="preserve"> comunicaciones de ocho Partes y cuatro organizaciones</w:t>
      </w:r>
      <w:r w:rsidR="005535B0" w:rsidRPr="00747A77">
        <w:rPr>
          <w:rStyle w:val="Refdenotaalpie"/>
          <w:snapToGrid w:val="0"/>
          <w:kern w:val="22"/>
          <w:szCs w:val="22"/>
          <w:lang w:val="es-ES"/>
        </w:rPr>
        <w:footnoteReference w:id="11"/>
      </w:r>
      <w:r w:rsidRPr="00747A77">
        <w:rPr>
          <w:snapToGrid w:val="0"/>
          <w:kern w:val="22"/>
          <w:sz w:val="22"/>
          <w:szCs w:val="22"/>
          <w:lang w:val="es-ES"/>
        </w:rPr>
        <w:t>.</w:t>
      </w:r>
    </w:p>
    <w:p w:rsidR="001F05E5" w:rsidRPr="00747A77" w:rsidRDefault="006B60AC" w:rsidP="006F4285">
      <w:pPr>
        <w:pStyle w:val="Default"/>
        <w:widowControl/>
        <w:suppressLineNumbers/>
        <w:suppressAutoHyphens/>
        <w:kinsoku w:val="0"/>
        <w:overflowPunct w:val="0"/>
        <w:spacing w:before="120" w:after="120"/>
        <w:jc w:val="both"/>
        <w:rPr>
          <w:snapToGrid w:val="0"/>
          <w:kern w:val="22"/>
          <w:sz w:val="22"/>
          <w:szCs w:val="22"/>
          <w:lang w:val="es-ES"/>
        </w:rPr>
      </w:pPr>
      <w:r w:rsidRPr="00747A77">
        <w:rPr>
          <w:snapToGrid w:val="0"/>
          <w:kern w:val="22"/>
          <w:sz w:val="22"/>
          <w:szCs w:val="22"/>
          <w:lang w:val="es-ES"/>
        </w:rPr>
        <w:t>15.</w:t>
      </w:r>
      <w:r w:rsidRPr="00747A77">
        <w:rPr>
          <w:snapToGrid w:val="0"/>
          <w:kern w:val="22"/>
          <w:sz w:val="22"/>
          <w:szCs w:val="22"/>
          <w:lang w:val="es-ES"/>
        </w:rPr>
        <w:tab/>
      </w:r>
      <w:r w:rsidRPr="00747A77">
        <w:rPr>
          <w:snapToGrid w:val="0"/>
          <w:kern w:val="22"/>
          <w:szCs w:val="22"/>
          <w:lang w:val="es-ES"/>
        </w:rPr>
        <w:t>Con base en</w:t>
      </w:r>
      <w:r w:rsidRPr="00747A77">
        <w:rPr>
          <w:snapToGrid w:val="0"/>
          <w:kern w:val="22"/>
          <w:sz w:val="22"/>
          <w:szCs w:val="22"/>
          <w:lang w:val="es-ES"/>
        </w:rPr>
        <w:t xml:space="preserve"> los resultados del taller </w:t>
      </w:r>
      <w:r w:rsidRPr="00747A77">
        <w:rPr>
          <w:snapToGrid w:val="0"/>
          <w:kern w:val="22"/>
          <w:szCs w:val="22"/>
          <w:lang w:val="es-ES"/>
        </w:rPr>
        <w:t>mencionado</w:t>
      </w:r>
      <w:r w:rsidRPr="00747A77">
        <w:rPr>
          <w:snapToGrid w:val="0"/>
          <w:kern w:val="22"/>
          <w:sz w:val="22"/>
          <w:szCs w:val="22"/>
          <w:lang w:val="es-ES"/>
        </w:rPr>
        <w:t xml:space="preserve"> y en las </w:t>
      </w:r>
      <w:r w:rsidR="00741913" w:rsidRPr="00747A77">
        <w:rPr>
          <w:snapToGrid w:val="0"/>
          <w:kern w:val="22"/>
          <w:sz w:val="22"/>
          <w:szCs w:val="22"/>
          <w:lang w:val="es-ES"/>
        </w:rPr>
        <w:t>observaciones formuladas</w:t>
      </w:r>
      <w:r w:rsidRPr="00747A77">
        <w:rPr>
          <w:snapToGrid w:val="0"/>
          <w:kern w:val="22"/>
          <w:sz w:val="22"/>
          <w:szCs w:val="22"/>
          <w:lang w:val="es-ES"/>
        </w:rPr>
        <w:t xml:space="preserve"> por pares compiladas en el informe del taller de expertos</w:t>
      </w:r>
      <w:r w:rsidR="00877ED7">
        <w:rPr>
          <w:snapToGrid w:val="0"/>
          <w:kern w:val="22"/>
          <w:sz w:val="22"/>
          <w:szCs w:val="22"/>
          <w:lang w:val="es-ES"/>
        </w:rPr>
        <w:t xml:space="preserve"> en </w:t>
      </w:r>
      <w:proofErr w:type="spellStart"/>
      <w:r w:rsidR="00877ED7">
        <w:rPr>
          <w:snapToGrid w:val="0"/>
          <w:kern w:val="22"/>
          <w:sz w:val="22"/>
          <w:szCs w:val="22"/>
          <w:lang w:val="es-ES"/>
        </w:rPr>
        <w:t>CBD</w:t>
      </w:r>
      <w:proofErr w:type="spellEnd"/>
      <w:r w:rsidR="00877ED7">
        <w:rPr>
          <w:snapToGrid w:val="0"/>
          <w:kern w:val="22"/>
          <w:sz w:val="22"/>
          <w:szCs w:val="22"/>
          <w:lang w:val="es-ES"/>
        </w:rPr>
        <w:t>/</w:t>
      </w:r>
      <w:proofErr w:type="spellStart"/>
      <w:r w:rsidR="00877ED7">
        <w:rPr>
          <w:snapToGrid w:val="0"/>
          <w:kern w:val="22"/>
          <w:sz w:val="22"/>
          <w:szCs w:val="22"/>
          <w:lang w:val="es-ES"/>
        </w:rPr>
        <w:t>SBSTTA</w:t>
      </w:r>
      <w:proofErr w:type="spellEnd"/>
      <w:r w:rsidR="00877ED7">
        <w:rPr>
          <w:snapToGrid w:val="0"/>
          <w:kern w:val="22"/>
          <w:sz w:val="22"/>
          <w:szCs w:val="22"/>
          <w:lang w:val="es-ES"/>
        </w:rPr>
        <w:t>/22/INF/25,</w:t>
      </w:r>
      <w:r w:rsidR="005535B0" w:rsidRPr="00747A77">
        <w:rPr>
          <w:snapToGrid w:val="0"/>
          <w:kern w:val="22"/>
          <w:sz w:val="22"/>
          <w:szCs w:val="22"/>
          <w:lang w:val="es-ES"/>
        </w:rPr>
        <w:t xml:space="preserve"> </w:t>
      </w:r>
      <w:r w:rsidRPr="00747A77">
        <w:rPr>
          <w:snapToGrid w:val="0"/>
          <w:kern w:val="22"/>
          <w:sz w:val="22"/>
          <w:szCs w:val="22"/>
          <w:lang w:val="es-ES"/>
        </w:rPr>
        <w:t xml:space="preserve">las opciones </w:t>
      </w:r>
      <w:r w:rsidRPr="00747A77">
        <w:rPr>
          <w:snapToGrid w:val="0"/>
          <w:kern w:val="22"/>
          <w:szCs w:val="22"/>
          <w:lang w:val="es-ES"/>
        </w:rPr>
        <w:t xml:space="preserve">para </w:t>
      </w:r>
      <w:r w:rsidRPr="00747A77">
        <w:rPr>
          <w:snapToGrid w:val="0"/>
          <w:kern w:val="22"/>
          <w:sz w:val="22"/>
          <w:szCs w:val="22"/>
          <w:lang w:val="es-ES"/>
        </w:rPr>
        <w:t>abordar los dos objetivos descritos en el párrafo 14</w:t>
      </w:r>
      <w:r w:rsidRPr="00747A77">
        <w:rPr>
          <w:snapToGrid w:val="0"/>
          <w:kern w:val="22"/>
          <w:szCs w:val="22"/>
          <w:lang w:val="es-ES"/>
        </w:rPr>
        <w:t xml:space="preserve"> anterior</w:t>
      </w:r>
      <w:r w:rsidRPr="00747A77">
        <w:rPr>
          <w:snapToGrid w:val="0"/>
          <w:kern w:val="22"/>
          <w:sz w:val="22"/>
          <w:szCs w:val="22"/>
          <w:lang w:val="es-ES"/>
        </w:rPr>
        <w:t xml:space="preserve"> figuran</w:t>
      </w:r>
      <w:r w:rsidRPr="00747A77">
        <w:rPr>
          <w:snapToGrid w:val="0"/>
          <w:kern w:val="22"/>
          <w:szCs w:val="22"/>
          <w:lang w:val="es-ES"/>
        </w:rPr>
        <w:t xml:space="preserve"> </w:t>
      </w:r>
      <w:r w:rsidRPr="00747A77">
        <w:rPr>
          <w:snapToGrid w:val="0"/>
          <w:kern w:val="22"/>
          <w:sz w:val="22"/>
          <w:szCs w:val="22"/>
          <w:lang w:val="es-ES"/>
        </w:rPr>
        <w:t xml:space="preserve">en </w:t>
      </w:r>
      <w:r w:rsidRPr="00747A77">
        <w:rPr>
          <w:snapToGrid w:val="0"/>
          <w:kern w:val="22"/>
          <w:szCs w:val="22"/>
          <w:lang w:val="es-ES"/>
        </w:rPr>
        <w:t xml:space="preserve">el </w:t>
      </w:r>
      <w:r w:rsidRPr="00747A77">
        <w:rPr>
          <w:snapToGrid w:val="0"/>
          <w:kern w:val="22"/>
          <w:sz w:val="22"/>
          <w:szCs w:val="22"/>
          <w:lang w:val="es-ES"/>
        </w:rPr>
        <w:t xml:space="preserve">anexo </w:t>
      </w:r>
      <w:r w:rsidRPr="00747A77">
        <w:rPr>
          <w:snapToGrid w:val="0"/>
          <w:kern w:val="22"/>
          <w:szCs w:val="22"/>
          <w:lang w:val="es-ES"/>
        </w:rPr>
        <w:t>de la sección IV a continuación</w:t>
      </w:r>
      <w:r w:rsidRPr="00747A77">
        <w:rPr>
          <w:snapToGrid w:val="0"/>
          <w:kern w:val="22"/>
          <w:sz w:val="22"/>
          <w:szCs w:val="22"/>
          <w:lang w:val="es-ES"/>
        </w:rPr>
        <w:t>.</w:t>
      </w:r>
    </w:p>
    <w:p w:rsidR="00460BA6" w:rsidRPr="00747A77" w:rsidRDefault="00460BA6" w:rsidP="006F4285">
      <w:pPr>
        <w:pStyle w:val="Ttulo1"/>
        <w:suppressLineNumbers/>
        <w:tabs>
          <w:tab w:val="clear" w:pos="720"/>
        </w:tabs>
        <w:suppressAutoHyphens/>
        <w:kinsoku w:val="0"/>
        <w:overflowPunct w:val="0"/>
        <w:autoSpaceDE w:val="0"/>
        <w:autoSpaceDN w:val="0"/>
        <w:spacing w:before="120"/>
        <w:rPr>
          <w:rFonts w:ascii="Times New Roman Bold" w:hAnsi="Times New Roman Bold" w:cs="Times New Roman Bold"/>
          <w:b w:val="0"/>
          <w:bCs/>
          <w:caps w:val="0"/>
          <w:kern w:val="22"/>
          <w:szCs w:val="22"/>
          <w:lang w:val="es-ES"/>
        </w:rPr>
      </w:pPr>
      <w:r w:rsidRPr="00747A77">
        <w:rPr>
          <w:rFonts w:ascii="Times New Roman Bold" w:hAnsi="Times New Roman Bold" w:cs="Times New Roman Bold"/>
          <w:bCs/>
          <w:snapToGrid w:val="0"/>
          <w:kern w:val="22"/>
          <w:szCs w:val="22"/>
          <w:lang w:val="es-ES"/>
        </w:rPr>
        <w:t>III.</w:t>
      </w:r>
      <w:r w:rsidRPr="00747A77">
        <w:rPr>
          <w:rFonts w:ascii="Times New Roman Bold" w:hAnsi="Times New Roman Bold" w:cs="Times New Roman Bold"/>
          <w:bCs/>
          <w:snapToGrid w:val="0"/>
          <w:kern w:val="22"/>
          <w:szCs w:val="22"/>
          <w:lang w:val="es-ES"/>
        </w:rPr>
        <w:tab/>
        <w:t>Informe de los progresos realizados en otras cuestiones</w:t>
      </w:r>
    </w:p>
    <w:p w:rsidR="001F05E5" w:rsidRPr="00747A77" w:rsidRDefault="00FF38B7" w:rsidP="006F4285">
      <w:pPr>
        <w:pStyle w:val="Ttulo2"/>
        <w:suppressLineNumbers/>
        <w:tabs>
          <w:tab w:val="clear" w:pos="720"/>
        </w:tabs>
        <w:suppressAutoHyphens/>
        <w:kinsoku w:val="0"/>
        <w:overflowPunct w:val="0"/>
        <w:autoSpaceDE w:val="0"/>
        <w:autoSpaceDN w:val="0"/>
        <w:spacing w:before="0" w:after="0"/>
        <w:ind w:left="1800" w:right="288" w:hanging="720"/>
        <w:jc w:val="left"/>
        <w:rPr>
          <w:b w:val="0"/>
          <w:bCs w:val="0"/>
          <w:kern w:val="22"/>
          <w:szCs w:val="22"/>
          <w:lang w:val="es-ES"/>
        </w:rPr>
      </w:pPr>
      <w:r w:rsidRPr="00747A77">
        <w:rPr>
          <w:iCs w:val="0"/>
          <w:snapToGrid w:val="0"/>
          <w:kern w:val="22"/>
          <w:szCs w:val="22"/>
          <w:lang w:val="es-ES"/>
        </w:rPr>
        <w:t>A.</w:t>
      </w:r>
      <w:r w:rsidRPr="00747A77">
        <w:rPr>
          <w:iCs w:val="0"/>
          <w:snapToGrid w:val="0"/>
          <w:kern w:val="22"/>
          <w:szCs w:val="22"/>
          <w:lang w:val="es-ES"/>
        </w:rPr>
        <w:tab/>
        <w:t>Tratamiento de los efectos del ruido submarino antropógeno en la diversidad biológica marina y costera</w:t>
      </w:r>
    </w:p>
    <w:p w:rsidR="001F05E5" w:rsidRPr="00747A77" w:rsidRDefault="001F05E5" w:rsidP="006F4285">
      <w:pPr>
        <w:pStyle w:val="Para1"/>
        <w:suppressLineNumbers/>
        <w:tabs>
          <w:tab w:val="clear" w:pos="1710"/>
        </w:tabs>
        <w:suppressAutoHyphens/>
        <w:kinsoku w:val="0"/>
        <w:overflowPunct w:val="0"/>
        <w:autoSpaceDE w:val="0"/>
        <w:autoSpaceDN w:val="0"/>
        <w:ind w:left="0"/>
        <w:rPr>
          <w:kern w:val="22"/>
          <w:szCs w:val="22"/>
          <w:lang w:val="es-ES"/>
        </w:rPr>
      </w:pPr>
      <w:r w:rsidRPr="00747A77">
        <w:rPr>
          <w:kern w:val="22"/>
          <w:szCs w:val="22"/>
          <w:lang w:val="es-ES"/>
        </w:rPr>
        <w:t xml:space="preserve">De conformidad con la decisión </w:t>
      </w:r>
      <w:hyperlink r:id="rId17" w:history="1">
        <w:r w:rsidRPr="00747A77">
          <w:rPr>
            <w:rStyle w:val="Hipervnculo"/>
            <w:kern w:val="22"/>
            <w:szCs w:val="22"/>
            <w:lang w:val="es-ES"/>
          </w:rPr>
          <w:t>XIII/10</w:t>
        </w:r>
      </w:hyperlink>
      <w:r w:rsidRPr="00747A77">
        <w:rPr>
          <w:kern w:val="22"/>
          <w:szCs w:val="22"/>
          <w:lang w:val="es-ES"/>
        </w:rPr>
        <w:t>, l</w:t>
      </w:r>
      <w:r w:rsidR="003E0EA1" w:rsidRPr="00747A77">
        <w:rPr>
          <w:kern w:val="22"/>
          <w:szCs w:val="22"/>
          <w:lang w:val="es-ES"/>
        </w:rPr>
        <w:t>a</w:t>
      </w:r>
      <w:r w:rsidRPr="00747A77">
        <w:rPr>
          <w:kern w:val="22"/>
          <w:szCs w:val="22"/>
          <w:lang w:val="es-ES"/>
        </w:rPr>
        <w:t xml:space="preserve"> Secretari</w:t>
      </w:r>
      <w:r w:rsidR="003E0EA1" w:rsidRPr="00747A77">
        <w:rPr>
          <w:kern w:val="22"/>
          <w:szCs w:val="22"/>
          <w:lang w:val="es-ES"/>
        </w:rPr>
        <w:t>a</w:t>
      </w:r>
      <w:r w:rsidRPr="00747A77">
        <w:rPr>
          <w:kern w:val="22"/>
          <w:szCs w:val="22"/>
          <w:lang w:val="es-ES"/>
        </w:rPr>
        <w:t xml:space="preserve"> Ejecutiv</w:t>
      </w:r>
      <w:r w:rsidR="003E0EA1" w:rsidRPr="00747A77">
        <w:rPr>
          <w:kern w:val="22"/>
          <w:szCs w:val="22"/>
          <w:lang w:val="es-ES"/>
        </w:rPr>
        <w:t>a</w:t>
      </w:r>
      <w:r w:rsidRPr="00747A77">
        <w:rPr>
          <w:kern w:val="22"/>
          <w:szCs w:val="22"/>
          <w:lang w:val="es-ES"/>
        </w:rPr>
        <w:t xml:space="preserve"> emitió una notificación</w:t>
      </w:r>
      <w:r w:rsidR="003E0EA1" w:rsidRPr="00747A77">
        <w:rPr>
          <w:rStyle w:val="Refdenotaalpie"/>
          <w:kern w:val="22"/>
          <w:szCs w:val="22"/>
          <w:lang w:val="es-ES"/>
        </w:rPr>
        <w:footnoteReference w:id="12"/>
      </w:r>
      <w:r w:rsidRPr="00747A77">
        <w:rPr>
          <w:kern w:val="22"/>
          <w:szCs w:val="22"/>
          <w:lang w:val="es-ES"/>
        </w:rPr>
        <w:t xml:space="preserve"> solicitando información sobre experiencias en la aplicación de medidas para evitar, minimizar y mitigar los efectos adversos significativos del ruido submarino antropógeno en la diversidad biológica marina y costera, en particular en lo que respecta a las actividades enumeradas en el párrafo 3 de la decisión </w:t>
      </w:r>
      <w:hyperlink r:id="rId18" w:history="1">
        <w:r w:rsidRPr="00747A77">
          <w:rPr>
            <w:rStyle w:val="Hipervnculo"/>
            <w:kern w:val="22"/>
            <w:szCs w:val="22"/>
            <w:lang w:val="es-ES"/>
          </w:rPr>
          <w:t>XII/23</w:t>
        </w:r>
      </w:hyperlink>
      <w:r w:rsidRPr="00747A77">
        <w:rPr>
          <w:kern w:val="22"/>
          <w:szCs w:val="22"/>
          <w:lang w:val="es-ES"/>
        </w:rPr>
        <w:t>. Las comunicaciones recibidas en respuesta a esta notificación se encuentran compiladas en un documento de información sobre el tema (CBD/SBSTTA/22/INF/13). Algunas de ellas contienen información actualizada sobre las actividades enumeradas en presentaciones anteriores realizadas en respuesta a la notificación 2015-066. La información compilada en este documento describe varias actividades que se han llevado a cabo en relación con el ruido submarino antropógeno, tales como:</w:t>
      </w:r>
    </w:p>
    <w:p w:rsidR="001F05E5" w:rsidRPr="00747A77" w:rsidRDefault="001F05E5" w:rsidP="009252D8">
      <w:pPr>
        <w:pStyle w:val="Para1"/>
        <w:numPr>
          <w:ilvl w:val="1"/>
          <w:numId w:val="7"/>
        </w:numPr>
        <w:suppressLineNumbers/>
        <w:tabs>
          <w:tab w:val="clear" w:pos="1440"/>
        </w:tabs>
        <w:suppressAutoHyphens/>
        <w:kinsoku w:val="0"/>
        <w:overflowPunct w:val="0"/>
        <w:autoSpaceDE w:val="0"/>
        <w:autoSpaceDN w:val="0"/>
        <w:spacing w:before="0"/>
        <w:rPr>
          <w:kern w:val="22"/>
          <w:szCs w:val="22"/>
          <w:lang w:val="es-ES"/>
        </w:rPr>
      </w:pPr>
      <w:r w:rsidRPr="00747A77">
        <w:rPr>
          <w:kern w:val="22"/>
          <w:szCs w:val="22"/>
          <w:lang w:val="es-ES"/>
        </w:rPr>
        <w:t>seguimiento de especies sensibles al sonido (p. ej., vigilancia acústica, marcado por satélite, estudios) como parte de programas más amplios de vigilancia ambiental;</w:t>
      </w:r>
    </w:p>
    <w:p w:rsidR="001F05E5" w:rsidRPr="00747A77" w:rsidRDefault="001F05E5" w:rsidP="009252D8">
      <w:pPr>
        <w:pStyle w:val="Para1"/>
        <w:numPr>
          <w:ilvl w:val="1"/>
          <w:numId w:val="7"/>
        </w:numPr>
        <w:suppressLineNumbers/>
        <w:tabs>
          <w:tab w:val="clear" w:pos="1440"/>
        </w:tabs>
        <w:suppressAutoHyphens/>
        <w:kinsoku w:val="0"/>
        <w:overflowPunct w:val="0"/>
        <w:autoSpaceDE w:val="0"/>
        <w:autoSpaceDN w:val="0"/>
        <w:spacing w:before="0"/>
        <w:rPr>
          <w:bCs/>
          <w:kern w:val="22"/>
          <w:szCs w:val="22"/>
          <w:lang w:val="es-ES"/>
        </w:rPr>
      </w:pPr>
      <w:r w:rsidRPr="00747A77">
        <w:rPr>
          <w:rFonts w:eastAsia="Calibri"/>
          <w:kern w:val="22"/>
          <w:szCs w:val="22"/>
          <w:lang w:val="es-ES"/>
        </w:rPr>
        <w:t>exigencia de medidas de reducción del ruido como condición para expedir licencias de exploración y explotación de petróleo;</w:t>
      </w:r>
    </w:p>
    <w:p w:rsidR="001F05E5" w:rsidRPr="00747A77" w:rsidRDefault="001F05E5" w:rsidP="009252D8">
      <w:pPr>
        <w:pStyle w:val="Para1"/>
        <w:numPr>
          <w:ilvl w:val="1"/>
          <w:numId w:val="7"/>
        </w:numPr>
        <w:suppressLineNumbers/>
        <w:tabs>
          <w:tab w:val="clear" w:pos="1440"/>
        </w:tabs>
        <w:suppressAutoHyphens/>
        <w:kinsoku w:val="0"/>
        <w:overflowPunct w:val="0"/>
        <w:autoSpaceDE w:val="0"/>
        <w:autoSpaceDN w:val="0"/>
        <w:spacing w:before="0"/>
        <w:rPr>
          <w:kern w:val="22"/>
          <w:szCs w:val="22"/>
          <w:lang w:val="es-ES"/>
        </w:rPr>
      </w:pPr>
      <w:r w:rsidRPr="00747A77">
        <w:rPr>
          <w:rFonts w:eastAsia="Calibri"/>
          <w:kern w:val="22"/>
          <w:szCs w:val="22"/>
          <w:lang w:val="es-ES"/>
        </w:rPr>
        <w:t>capacitación sobre el ruido submarino para los empleados de industrias que generan ruido;</w:t>
      </w:r>
    </w:p>
    <w:p w:rsidR="001F05E5" w:rsidRPr="00747A77" w:rsidRDefault="001F05E5" w:rsidP="009252D8">
      <w:pPr>
        <w:pStyle w:val="Prrafodelista"/>
        <w:numPr>
          <w:ilvl w:val="1"/>
          <w:numId w:val="7"/>
        </w:numPr>
        <w:suppressLineNumbers/>
        <w:tabs>
          <w:tab w:val="clear" w:pos="1440"/>
        </w:tabs>
        <w:suppressAutoHyphens/>
        <w:kinsoku w:val="0"/>
        <w:overflowPunct w:val="0"/>
        <w:autoSpaceDE w:val="0"/>
        <w:autoSpaceDN w:val="0"/>
        <w:spacing w:after="120" w:line="240" w:lineRule="auto"/>
        <w:contextualSpacing w:val="0"/>
        <w:jc w:val="both"/>
        <w:rPr>
          <w:rFonts w:ascii="Times New Roman" w:hAnsi="Times New Roman"/>
          <w:snapToGrid w:val="0"/>
          <w:kern w:val="22"/>
          <w:lang w:val="es-ES"/>
        </w:rPr>
      </w:pPr>
      <w:r w:rsidRPr="00747A77">
        <w:rPr>
          <w:rFonts w:ascii="Times New Roman" w:hAnsi="Times New Roman"/>
          <w:snapToGrid w:val="0"/>
          <w:kern w:val="22"/>
          <w:lang w:val="es-ES"/>
        </w:rPr>
        <w:lastRenderedPageBreak/>
        <w:t xml:space="preserve">restricción de proyectos de construcción, especialmente en las cercanías de sitios marinos vulnerables y ricos en diversidad biológica; </w:t>
      </w:r>
    </w:p>
    <w:p w:rsidR="001F05E5" w:rsidRPr="00747A77" w:rsidRDefault="001F05E5" w:rsidP="009252D8">
      <w:pPr>
        <w:pStyle w:val="Prrafodelista"/>
        <w:numPr>
          <w:ilvl w:val="1"/>
          <w:numId w:val="7"/>
        </w:numPr>
        <w:suppressLineNumbers/>
        <w:tabs>
          <w:tab w:val="clear" w:pos="1440"/>
        </w:tabs>
        <w:suppressAutoHyphens/>
        <w:kinsoku w:val="0"/>
        <w:overflowPunct w:val="0"/>
        <w:autoSpaceDE w:val="0"/>
        <w:autoSpaceDN w:val="0"/>
        <w:spacing w:after="120" w:line="240" w:lineRule="auto"/>
        <w:contextualSpacing w:val="0"/>
        <w:jc w:val="both"/>
        <w:rPr>
          <w:rFonts w:ascii="Times New Roman" w:hAnsi="Times New Roman"/>
          <w:snapToGrid w:val="0"/>
          <w:kern w:val="22"/>
          <w:lang w:val="es-ES"/>
        </w:rPr>
      </w:pPr>
      <w:r w:rsidRPr="00747A77">
        <w:rPr>
          <w:rFonts w:ascii="Times New Roman" w:hAnsi="Times New Roman"/>
          <w:snapToGrid w:val="0"/>
          <w:kern w:val="22"/>
          <w:lang w:val="es-ES"/>
        </w:rPr>
        <w:t>incorporación del problema del ruido en los planes nacionales de acción para la conservación de los mamíferos marinos;</w:t>
      </w:r>
    </w:p>
    <w:p w:rsidR="001F05E5" w:rsidRPr="00747A77" w:rsidRDefault="001F05E5" w:rsidP="009252D8">
      <w:pPr>
        <w:pStyle w:val="Para1"/>
        <w:numPr>
          <w:ilvl w:val="1"/>
          <w:numId w:val="7"/>
        </w:numPr>
        <w:suppressLineNumbers/>
        <w:tabs>
          <w:tab w:val="clear" w:pos="1440"/>
        </w:tabs>
        <w:suppressAutoHyphens/>
        <w:kinsoku w:val="0"/>
        <w:overflowPunct w:val="0"/>
        <w:autoSpaceDE w:val="0"/>
        <w:autoSpaceDN w:val="0"/>
        <w:spacing w:before="0"/>
        <w:rPr>
          <w:kern w:val="22"/>
          <w:szCs w:val="22"/>
          <w:lang w:val="es-ES"/>
        </w:rPr>
      </w:pPr>
      <w:r w:rsidRPr="00747A77">
        <w:rPr>
          <w:kern w:val="22"/>
          <w:szCs w:val="22"/>
          <w:lang w:val="es-ES"/>
        </w:rPr>
        <w:t>suministro de incentivos económicos para los buques que cuenten con determinadas tecnologías de silenciamiento;</w:t>
      </w:r>
    </w:p>
    <w:p w:rsidR="001F05E5" w:rsidRPr="00747A77" w:rsidRDefault="001F05E5" w:rsidP="009252D8">
      <w:pPr>
        <w:pStyle w:val="Para1"/>
        <w:numPr>
          <w:ilvl w:val="1"/>
          <w:numId w:val="7"/>
        </w:numPr>
        <w:suppressLineNumbers/>
        <w:tabs>
          <w:tab w:val="clear" w:pos="1440"/>
        </w:tabs>
        <w:suppressAutoHyphens/>
        <w:kinsoku w:val="0"/>
        <w:overflowPunct w:val="0"/>
        <w:autoSpaceDE w:val="0"/>
        <w:autoSpaceDN w:val="0"/>
        <w:spacing w:before="0"/>
        <w:rPr>
          <w:kern w:val="22"/>
          <w:szCs w:val="22"/>
          <w:lang w:val="es-ES"/>
        </w:rPr>
      </w:pPr>
      <w:r w:rsidRPr="00747A77">
        <w:rPr>
          <w:kern w:val="22"/>
          <w:szCs w:val="22"/>
          <w:lang w:val="es-ES"/>
        </w:rPr>
        <w:t>medidas voluntarias de reducción de velocidad en el caso del transporte marítimo;</w:t>
      </w:r>
    </w:p>
    <w:p w:rsidR="001F05E5" w:rsidRPr="00747A77" w:rsidRDefault="001F05E5" w:rsidP="009252D8">
      <w:pPr>
        <w:pStyle w:val="Para1"/>
        <w:numPr>
          <w:ilvl w:val="1"/>
          <w:numId w:val="7"/>
        </w:numPr>
        <w:suppressLineNumbers/>
        <w:tabs>
          <w:tab w:val="clear" w:pos="1440"/>
        </w:tabs>
        <w:suppressAutoHyphens/>
        <w:kinsoku w:val="0"/>
        <w:overflowPunct w:val="0"/>
        <w:autoSpaceDE w:val="0"/>
        <w:autoSpaceDN w:val="0"/>
        <w:spacing w:before="0" w:after="0"/>
        <w:rPr>
          <w:kern w:val="22"/>
          <w:szCs w:val="22"/>
          <w:lang w:val="es-ES"/>
        </w:rPr>
      </w:pPr>
      <w:r w:rsidRPr="00747A77">
        <w:rPr>
          <w:kern w:val="22"/>
          <w:szCs w:val="22"/>
          <w:lang w:val="es-ES"/>
        </w:rPr>
        <w:t>evaluación de la efectividad de la limpieza del casco de las embarcaciones para reducir el perfil de ruido de las naves submarinas.</w:t>
      </w:r>
    </w:p>
    <w:p w:rsidR="001F05E5" w:rsidRPr="00747A77" w:rsidRDefault="001F05E5" w:rsidP="006F4285">
      <w:pPr>
        <w:pStyle w:val="Para1"/>
        <w:suppressLineNumbers/>
        <w:tabs>
          <w:tab w:val="clear" w:pos="1710"/>
        </w:tabs>
        <w:suppressAutoHyphens/>
        <w:kinsoku w:val="0"/>
        <w:overflowPunct w:val="0"/>
        <w:autoSpaceDE w:val="0"/>
        <w:autoSpaceDN w:val="0"/>
        <w:spacing w:after="0"/>
        <w:ind w:left="0"/>
        <w:rPr>
          <w:kern w:val="22"/>
          <w:szCs w:val="22"/>
          <w:lang w:val="es-ES"/>
        </w:rPr>
      </w:pPr>
      <w:r w:rsidRPr="00747A77">
        <w:rPr>
          <w:kern w:val="22"/>
          <w:szCs w:val="22"/>
          <w:lang w:val="es-ES"/>
        </w:rPr>
        <w:t>Partiendo de la “síntesis científica sobre los efectos del ruido submarino antropógeno en la diversidad biológica y los hábitats marinos y costeros”</w:t>
      </w:r>
      <w:r w:rsidRPr="00747A77">
        <w:rPr>
          <w:rStyle w:val="Refdenotaalpie"/>
          <w:kern w:val="22"/>
          <w:szCs w:val="22"/>
          <w:lang w:val="es-ES"/>
        </w:rPr>
        <w:footnoteReference w:id="13"/>
      </w:r>
      <w:r w:rsidRPr="00747A77">
        <w:rPr>
          <w:kern w:val="22"/>
          <w:szCs w:val="22"/>
          <w:lang w:val="es-ES"/>
        </w:rPr>
        <w:t xml:space="preserve"> y de los materiales de referencia preparados para el Taller de Expertos sobre el Ruido Submarino y sus Efectos en la Diversidad Biológica Marina y Costera (Londres, 25 al 27 de febrero de 2014), la Secretaría está preparando un proyecto de informe de la Serie Técnica del CDB sobre los efectos del ruido submarino en la diversidad biológica y hábitats marinos y costeros y las herramientas y enfoques dirigidos a minimizar y mitigar estos impactos.</w:t>
      </w:r>
    </w:p>
    <w:p w:rsidR="001F05E5" w:rsidRPr="00747A77" w:rsidRDefault="001F05E5" w:rsidP="006F4285">
      <w:pPr>
        <w:pStyle w:val="Para1"/>
        <w:suppressLineNumbers/>
        <w:tabs>
          <w:tab w:val="clear" w:pos="1710"/>
        </w:tabs>
        <w:suppressAutoHyphens/>
        <w:kinsoku w:val="0"/>
        <w:overflowPunct w:val="0"/>
        <w:autoSpaceDE w:val="0"/>
        <w:autoSpaceDN w:val="0"/>
        <w:spacing w:after="0"/>
        <w:ind w:left="0"/>
        <w:rPr>
          <w:kern w:val="22"/>
          <w:szCs w:val="22"/>
          <w:lang w:val="es-ES"/>
        </w:rPr>
      </w:pPr>
      <w:r w:rsidRPr="00747A77">
        <w:rPr>
          <w:kern w:val="22"/>
          <w:szCs w:val="22"/>
          <w:lang w:val="es-ES"/>
        </w:rPr>
        <w:t>De conformidad con las decisiones XI/18, XII/23 y XIII/10, la Secretaría continuará compilando y resumiendo información científica y técnica sobre las medidas para minimizar y mitigar los efectos del ruido submarino antropógeno en la diversidad biológica marina y costera y la experiencia con su aplicación, y la publicará como información para reuniones futuras del Órgano Subsidiario, con vistas a difundir los resultados de la síntesis, con inclusión de ejemplos de experiencias satisfactorias, a través del mecanismo de facilitación u otros medios.</w:t>
      </w:r>
    </w:p>
    <w:p w:rsidR="001F05E5" w:rsidRPr="00747A77" w:rsidRDefault="00FF38B7" w:rsidP="006F4285">
      <w:pPr>
        <w:pStyle w:val="Para1"/>
        <w:keepNext/>
        <w:numPr>
          <w:ilvl w:val="0"/>
          <w:numId w:val="0"/>
        </w:numPr>
        <w:suppressLineNumbers/>
        <w:tabs>
          <w:tab w:val="left" w:pos="360"/>
        </w:tabs>
        <w:suppressAutoHyphens/>
        <w:kinsoku w:val="0"/>
        <w:overflowPunct w:val="0"/>
        <w:autoSpaceDE w:val="0"/>
        <w:autoSpaceDN w:val="0"/>
        <w:spacing w:after="0"/>
        <w:jc w:val="center"/>
        <w:rPr>
          <w:b/>
          <w:bCs/>
          <w:kern w:val="22"/>
          <w:szCs w:val="22"/>
          <w:lang w:val="es-ES"/>
        </w:rPr>
      </w:pPr>
      <w:r w:rsidRPr="00747A77">
        <w:rPr>
          <w:b/>
          <w:bCs/>
          <w:kern w:val="22"/>
          <w:szCs w:val="22"/>
          <w:lang w:val="es-ES"/>
        </w:rPr>
        <w:t>B.</w:t>
      </w:r>
      <w:r w:rsidRPr="00747A77">
        <w:rPr>
          <w:b/>
          <w:bCs/>
          <w:kern w:val="22"/>
          <w:szCs w:val="22"/>
          <w:lang w:val="es-ES"/>
        </w:rPr>
        <w:tab/>
        <w:t>Planificación espacial marina</w:t>
      </w:r>
    </w:p>
    <w:p w:rsidR="001F05E5" w:rsidRPr="00747A77" w:rsidRDefault="001F05E5" w:rsidP="006F4285">
      <w:pPr>
        <w:pStyle w:val="Para1"/>
        <w:suppressLineNumbers/>
        <w:tabs>
          <w:tab w:val="clear" w:pos="1710"/>
        </w:tabs>
        <w:suppressAutoHyphens/>
        <w:kinsoku w:val="0"/>
        <w:overflowPunct w:val="0"/>
        <w:autoSpaceDE w:val="0"/>
        <w:autoSpaceDN w:val="0"/>
        <w:ind w:left="0"/>
        <w:rPr>
          <w:szCs w:val="22"/>
          <w:lang w:val="es-ES"/>
        </w:rPr>
      </w:pPr>
      <w:r w:rsidRPr="00747A77">
        <w:rPr>
          <w:szCs w:val="22"/>
          <w:lang w:val="es-ES"/>
        </w:rPr>
        <w:t xml:space="preserve">De conformidad con la decisión </w:t>
      </w:r>
      <w:hyperlink r:id="rId19" w:history="1">
        <w:r w:rsidRPr="00747A77">
          <w:rPr>
            <w:rStyle w:val="Hipervnculo"/>
            <w:szCs w:val="22"/>
            <w:lang w:val="es-ES"/>
          </w:rPr>
          <w:t>XIII/9</w:t>
        </w:r>
      </w:hyperlink>
      <w:r w:rsidR="003E0EA1" w:rsidRPr="00747A77">
        <w:rPr>
          <w:szCs w:val="22"/>
          <w:lang w:val="es-ES"/>
        </w:rPr>
        <w:t xml:space="preserve">, </w:t>
      </w:r>
      <w:r w:rsidRPr="00747A77">
        <w:rPr>
          <w:szCs w:val="22"/>
          <w:lang w:val="es-ES"/>
        </w:rPr>
        <w:t>l</w:t>
      </w:r>
      <w:r w:rsidR="003E0EA1" w:rsidRPr="00747A77">
        <w:rPr>
          <w:szCs w:val="22"/>
          <w:lang w:val="es-ES"/>
        </w:rPr>
        <w:t>a</w:t>
      </w:r>
      <w:r w:rsidRPr="00747A77">
        <w:rPr>
          <w:szCs w:val="22"/>
          <w:lang w:val="es-ES"/>
        </w:rPr>
        <w:t xml:space="preserve"> Secretari</w:t>
      </w:r>
      <w:r w:rsidR="003E0EA1" w:rsidRPr="00747A77">
        <w:rPr>
          <w:szCs w:val="22"/>
          <w:lang w:val="es-ES"/>
        </w:rPr>
        <w:t>a</w:t>
      </w:r>
      <w:r w:rsidRPr="00747A77">
        <w:rPr>
          <w:szCs w:val="22"/>
          <w:lang w:val="es-ES"/>
        </w:rPr>
        <w:t xml:space="preserve"> Ejecutiv</w:t>
      </w:r>
      <w:r w:rsidR="003E0EA1" w:rsidRPr="00747A77">
        <w:rPr>
          <w:szCs w:val="22"/>
          <w:lang w:val="es-ES"/>
        </w:rPr>
        <w:t>a</w:t>
      </w:r>
      <w:r w:rsidRPr="00747A77">
        <w:rPr>
          <w:szCs w:val="22"/>
          <w:lang w:val="es-ES"/>
        </w:rPr>
        <w:t xml:space="preserve"> emitió una notificación</w:t>
      </w:r>
      <w:r w:rsidR="00535F82" w:rsidRPr="00747A77">
        <w:rPr>
          <w:rStyle w:val="Refdenotaalpie"/>
          <w:szCs w:val="22"/>
          <w:lang w:val="es-ES"/>
        </w:rPr>
        <w:footnoteReference w:id="14"/>
      </w:r>
      <w:r w:rsidR="00535F82" w:rsidRPr="00747A77">
        <w:rPr>
          <w:szCs w:val="22"/>
          <w:lang w:val="es-ES"/>
        </w:rPr>
        <w:t xml:space="preserve"> </w:t>
      </w:r>
      <w:r w:rsidRPr="00747A77">
        <w:rPr>
          <w:szCs w:val="22"/>
          <w:lang w:val="es-ES"/>
        </w:rPr>
        <w:t>solicitando información sobre las experiencias nacionales, subregionales o regionales en la implementación de la planificación espacial marina. Las comunicaciones recibidas se encuentran compiladas en un documento de información sobre el</w:t>
      </w:r>
      <w:r w:rsidR="00535F82" w:rsidRPr="00747A77">
        <w:rPr>
          <w:szCs w:val="22"/>
          <w:lang w:val="es-ES"/>
        </w:rPr>
        <w:t xml:space="preserve"> tema</w:t>
      </w:r>
      <w:r w:rsidRPr="00747A77">
        <w:rPr>
          <w:rStyle w:val="Refdenotaalpie"/>
          <w:szCs w:val="22"/>
          <w:lang w:val="es-ES"/>
        </w:rPr>
        <w:footnoteReference w:id="15"/>
      </w:r>
      <w:r w:rsidRPr="00747A77">
        <w:rPr>
          <w:szCs w:val="22"/>
          <w:lang w:val="es-ES"/>
        </w:rPr>
        <w:t xml:space="preserve"> y describen diversas actividades relacionadas con dicha planificación, como, entre otras:</w:t>
      </w:r>
    </w:p>
    <w:p w:rsidR="001F05E5" w:rsidRPr="00747A77" w:rsidRDefault="001F05E5" w:rsidP="009252D8">
      <w:pPr>
        <w:pStyle w:val="Para1"/>
        <w:widowControl w:val="0"/>
        <w:numPr>
          <w:ilvl w:val="1"/>
          <w:numId w:val="8"/>
        </w:numPr>
        <w:suppressLineNumbers/>
        <w:tabs>
          <w:tab w:val="clear" w:pos="1440"/>
        </w:tabs>
        <w:suppressAutoHyphens/>
        <w:kinsoku w:val="0"/>
        <w:overflowPunct w:val="0"/>
        <w:autoSpaceDE w:val="0"/>
        <w:autoSpaceDN w:val="0"/>
        <w:spacing w:before="0"/>
        <w:rPr>
          <w:kern w:val="22"/>
          <w:szCs w:val="22"/>
          <w:lang w:val="es-ES"/>
        </w:rPr>
      </w:pPr>
      <w:r w:rsidRPr="00747A77">
        <w:rPr>
          <w:kern w:val="22"/>
          <w:szCs w:val="22"/>
          <w:lang w:val="es-ES"/>
        </w:rPr>
        <w:t>crear grupos de trabajo interministeriales para proponer directrices, herramientas y metodologías de planificación espacial marina con el fin de su implementación a nivel nacional;</w:t>
      </w:r>
    </w:p>
    <w:p w:rsidR="001F05E5" w:rsidRPr="00747A77" w:rsidRDefault="001F05E5" w:rsidP="009252D8">
      <w:pPr>
        <w:pStyle w:val="Para1"/>
        <w:widowControl w:val="0"/>
        <w:numPr>
          <w:ilvl w:val="1"/>
          <w:numId w:val="8"/>
        </w:numPr>
        <w:suppressLineNumbers/>
        <w:tabs>
          <w:tab w:val="clear" w:pos="1440"/>
        </w:tabs>
        <w:suppressAutoHyphens/>
        <w:kinsoku w:val="0"/>
        <w:overflowPunct w:val="0"/>
        <w:autoSpaceDE w:val="0"/>
        <w:autoSpaceDN w:val="0"/>
        <w:spacing w:before="0"/>
        <w:rPr>
          <w:kern w:val="22"/>
          <w:szCs w:val="22"/>
          <w:lang w:val="es-ES"/>
        </w:rPr>
      </w:pPr>
      <w:r w:rsidRPr="00747A77">
        <w:rPr>
          <w:kern w:val="22"/>
          <w:szCs w:val="22"/>
          <w:lang w:val="es-ES"/>
        </w:rPr>
        <w:t>adoptar legislación nacional sobre la planificación espacial marina mediante la elaboración de planes espaciales marinos;</w:t>
      </w:r>
    </w:p>
    <w:p w:rsidR="001F05E5" w:rsidRPr="00747A77" w:rsidRDefault="001F05E5" w:rsidP="009252D8">
      <w:pPr>
        <w:pStyle w:val="Para1"/>
        <w:widowControl w:val="0"/>
        <w:numPr>
          <w:ilvl w:val="1"/>
          <w:numId w:val="8"/>
        </w:numPr>
        <w:suppressLineNumbers/>
        <w:tabs>
          <w:tab w:val="clear" w:pos="1440"/>
        </w:tabs>
        <w:suppressAutoHyphens/>
        <w:kinsoku w:val="0"/>
        <w:overflowPunct w:val="0"/>
        <w:autoSpaceDE w:val="0"/>
        <w:autoSpaceDN w:val="0"/>
        <w:spacing w:before="0"/>
        <w:rPr>
          <w:kern w:val="22"/>
          <w:szCs w:val="22"/>
          <w:lang w:val="es-ES"/>
        </w:rPr>
      </w:pPr>
      <w:r w:rsidRPr="00747A77">
        <w:rPr>
          <w:kern w:val="22"/>
          <w:szCs w:val="22"/>
          <w:lang w:val="es-ES"/>
        </w:rPr>
        <w:t>utilizar la protección y gestión integradas de la diversidad biológica marina y costera para asegurar una planificación ambiental territorial coherente y la gestión integrada de la zona costera y marina;</w:t>
      </w:r>
    </w:p>
    <w:p w:rsidR="001F05E5" w:rsidRPr="00747A77" w:rsidRDefault="001F05E5" w:rsidP="009252D8">
      <w:pPr>
        <w:pStyle w:val="Para1"/>
        <w:widowControl w:val="0"/>
        <w:numPr>
          <w:ilvl w:val="1"/>
          <w:numId w:val="8"/>
        </w:numPr>
        <w:suppressLineNumbers/>
        <w:tabs>
          <w:tab w:val="clear" w:pos="1440"/>
        </w:tabs>
        <w:suppressAutoHyphens/>
        <w:kinsoku w:val="0"/>
        <w:overflowPunct w:val="0"/>
        <w:autoSpaceDE w:val="0"/>
        <w:autoSpaceDN w:val="0"/>
        <w:spacing w:before="0"/>
        <w:rPr>
          <w:kern w:val="22"/>
          <w:szCs w:val="22"/>
          <w:lang w:val="es-ES"/>
        </w:rPr>
      </w:pPr>
      <w:r w:rsidRPr="00747A77">
        <w:rPr>
          <w:kern w:val="22"/>
          <w:szCs w:val="22"/>
          <w:lang w:val="es-ES"/>
        </w:rPr>
        <w:t>mejorar la coordinación de la planificación transfronteriza en cuestiones como el medio ambiente, el transporte marítimo, la pesca comercial y la extracción de energía y transmisión eléctrica;</w:t>
      </w:r>
    </w:p>
    <w:p w:rsidR="001F05E5" w:rsidRPr="00747A77" w:rsidRDefault="001F05E5" w:rsidP="009252D8">
      <w:pPr>
        <w:pStyle w:val="Para1"/>
        <w:widowControl w:val="0"/>
        <w:numPr>
          <w:ilvl w:val="1"/>
          <w:numId w:val="8"/>
        </w:numPr>
        <w:suppressLineNumbers/>
        <w:tabs>
          <w:tab w:val="clear" w:pos="1440"/>
        </w:tabs>
        <w:suppressAutoHyphens/>
        <w:kinsoku w:val="0"/>
        <w:overflowPunct w:val="0"/>
        <w:autoSpaceDE w:val="0"/>
        <w:autoSpaceDN w:val="0"/>
        <w:spacing w:before="0"/>
        <w:rPr>
          <w:kern w:val="22"/>
          <w:szCs w:val="22"/>
          <w:lang w:val="es-ES"/>
        </w:rPr>
      </w:pPr>
      <w:r w:rsidRPr="00747A77">
        <w:rPr>
          <w:kern w:val="22"/>
          <w:szCs w:val="22"/>
          <w:lang w:val="es-ES"/>
        </w:rPr>
        <w:t>utilizar el concepto de infraestructura verde (o enfoques similares) para integrar las consideraciones ambientales y ecológicas dentro de la planificación espacial más amplia;</w:t>
      </w:r>
    </w:p>
    <w:p w:rsidR="001F05E5" w:rsidRPr="00747A77" w:rsidRDefault="001F05E5" w:rsidP="009252D8">
      <w:pPr>
        <w:pStyle w:val="Para1"/>
        <w:widowControl w:val="0"/>
        <w:numPr>
          <w:ilvl w:val="1"/>
          <w:numId w:val="8"/>
        </w:numPr>
        <w:suppressLineNumbers/>
        <w:tabs>
          <w:tab w:val="clear" w:pos="1440"/>
        </w:tabs>
        <w:suppressAutoHyphens/>
        <w:kinsoku w:val="0"/>
        <w:overflowPunct w:val="0"/>
        <w:autoSpaceDE w:val="0"/>
        <w:autoSpaceDN w:val="0"/>
        <w:spacing w:before="0"/>
        <w:rPr>
          <w:kern w:val="22"/>
          <w:szCs w:val="22"/>
          <w:lang w:val="es-ES"/>
        </w:rPr>
      </w:pPr>
      <w:r w:rsidRPr="00747A77">
        <w:rPr>
          <w:kern w:val="22"/>
          <w:szCs w:val="22"/>
          <w:lang w:val="es-ES"/>
        </w:rPr>
        <w:t>trabajar a través de una plataforma regional de cooperación para facilitar una planificación espacial marina regional coherente entre países de una región.</w:t>
      </w:r>
    </w:p>
    <w:p w:rsidR="001F05E5" w:rsidRPr="00747A77" w:rsidRDefault="001F05E5" w:rsidP="00156022">
      <w:pPr>
        <w:pStyle w:val="Para1"/>
        <w:widowControl w:val="0"/>
        <w:suppressLineNumbers/>
        <w:tabs>
          <w:tab w:val="clear" w:pos="1710"/>
        </w:tabs>
        <w:suppressAutoHyphens/>
        <w:kinsoku w:val="0"/>
        <w:overflowPunct w:val="0"/>
        <w:autoSpaceDE w:val="0"/>
        <w:autoSpaceDN w:val="0"/>
        <w:spacing w:after="0"/>
        <w:ind w:left="0"/>
        <w:rPr>
          <w:b/>
          <w:bCs/>
          <w:kern w:val="22"/>
          <w:szCs w:val="22"/>
          <w:lang w:val="es-ES"/>
        </w:rPr>
      </w:pPr>
      <w:r w:rsidRPr="00747A77">
        <w:rPr>
          <w:kern w:val="22"/>
          <w:szCs w:val="22"/>
          <w:lang w:val="es-ES"/>
        </w:rPr>
        <w:lastRenderedPageBreak/>
        <w:t xml:space="preserve">De conformidad con las decisiones XIII/9, </w:t>
      </w:r>
      <w:hyperlink r:id="rId20" w:history="1">
        <w:r w:rsidRPr="00747A77">
          <w:rPr>
            <w:rStyle w:val="Hipervnculo"/>
            <w:kern w:val="22"/>
            <w:szCs w:val="22"/>
            <w:lang w:val="es-ES"/>
          </w:rPr>
          <w:t>XII/23</w:t>
        </w:r>
      </w:hyperlink>
      <w:r w:rsidRPr="00747A77">
        <w:rPr>
          <w:kern w:val="22"/>
          <w:szCs w:val="22"/>
          <w:lang w:val="es-ES"/>
        </w:rPr>
        <w:t xml:space="preserve"> y </w:t>
      </w:r>
      <w:hyperlink r:id="rId21" w:history="1">
        <w:r w:rsidRPr="00747A77">
          <w:rPr>
            <w:rStyle w:val="Hipervnculo"/>
            <w:kern w:val="22"/>
            <w:szCs w:val="22"/>
            <w:lang w:val="es-ES"/>
          </w:rPr>
          <w:t>XI/18</w:t>
        </w:r>
      </w:hyperlink>
      <w:r w:rsidRPr="00747A77">
        <w:rPr>
          <w:kern w:val="22"/>
          <w:szCs w:val="22"/>
          <w:lang w:val="es-ES"/>
        </w:rPr>
        <w:t>, el Secretario Ejecutivo organizó una serie de talleres de creación de capacidad en el marco de la Iniciativa de Océanos Sostenibles (IOS), que se centraron en el intercambio de experiencias y conocimientos especializados y la mejora de capacidad en relación con la planificación espacial marina. Se hace referencia a estos esfuerzos en los párrafos 21 a 25 a continuación.</w:t>
      </w:r>
    </w:p>
    <w:p w:rsidR="001F05E5" w:rsidRPr="00747A77" w:rsidRDefault="00FF38B7" w:rsidP="006F4285">
      <w:pPr>
        <w:pStyle w:val="Heading2longmultiline"/>
        <w:suppressLineNumbers/>
        <w:tabs>
          <w:tab w:val="clear" w:pos="720"/>
        </w:tabs>
        <w:suppressAutoHyphens/>
        <w:kinsoku w:val="0"/>
        <w:overflowPunct w:val="0"/>
        <w:autoSpaceDE w:val="0"/>
        <w:autoSpaceDN w:val="0"/>
        <w:ind w:left="2160" w:right="720" w:hanging="864"/>
        <w:rPr>
          <w:b w:val="0"/>
          <w:kern w:val="22"/>
          <w:szCs w:val="22"/>
          <w:lang w:val="es-ES"/>
        </w:rPr>
      </w:pPr>
      <w:r w:rsidRPr="00747A77">
        <w:rPr>
          <w:bCs/>
          <w:i w:val="0"/>
          <w:iCs w:val="0"/>
          <w:snapToGrid w:val="0"/>
          <w:kern w:val="22"/>
          <w:szCs w:val="22"/>
          <w:lang w:val="es-ES"/>
        </w:rPr>
        <w:t>C.</w:t>
      </w:r>
      <w:r w:rsidRPr="00747A77">
        <w:rPr>
          <w:bCs/>
          <w:i w:val="0"/>
          <w:iCs w:val="0"/>
          <w:snapToGrid w:val="0"/>
          <w:kern w:val="22"/>
          <w:szCs w:val="22"/>
          <w:lang w:val="es-ES"/>
        </w:rPr>
        <w:tab/>
        <w:t>Actividades de creación de capacidad y asociación en el marco de la Iniciativa de Océanos Sostenibles</w:t>
      </w:r>
    </w:p>
    <w:p w:rsidR="00FD3523" w:rsidRPr="00747A77" w:rsidRDefault="00FF38B7" w:rsidP="006F4285">
      <w:pPr>
        <w:pStyle w:val="Ttulo3"/>
        <w:suppressLineNumbers/>
        <w:tabs>
          <w:tab w:val="clear" w:pos="567"/>
          <w:tab w:val="left" w:pos="360"/>
        </w:tabs>
        <w:suppressAutoHyphens/>
        <w:kinsoku w:val="0"/>
        <w:overflowPunct w:val="0"/>
        <w:autoSpaceDE w:val="0"/>
        <w:autoSpaceDN w:val="0"/>
        <w:spacing w:before="0" w:after="0"/>
        <w:rPr>
          <w:kern w:val="22"/>
          <w:szCs w:val="22"/>
          <w:lang w:val="es-ES"/>
        </w:rPr>
      </w:pPr>
      <w:r w:rsidRPr="00747A77">
        <w:rPr>
          <w:snapToGrid w:val="0"/>
          <w:kern w:val="22"/>
          <w:szCs w:val="22"/>
          <w:lang w:val="es-ES"/>
        </w:rPr>
        <w:t>1.</w:t>
      </w:r>
      <w:r w:rsidRPr="00747A77">
        <w:rPr>
          <w:snapToGrid w:val="0"/>
          <w:kern w:val="22"/>
          <w:szCs w:val="22"/>
          <w:lang w:val="es-ES"/>
        </w:rPr>
        <w:tab/>
        <w:t>Creación de capacidad respecto de la Iniciativa de Océanos Sostenibles</w:t>
      </w:r>
    </w:p>
    <w:p w:rsidR="001F05E5" w:rsidRPr="00747A77" w:rsidRDefault="00312A5C" w:rsidP="006F4285">
      <w:pPr>
        <w:pStyle w:val="Para1"/>
        <w:suppressLineNumbers/>
        <w:tabs>
          <w:tab w:val="clear" w:pos="1710"/>
        </w:tabs>
        <w:suppressAutoHyphens/>
        <w:kinsoku w:val="0"/>
        <w:overflowPunct w:val="0"/>
        <w:autoSpaceDE w:val="0"/>
        <w:autoSpaceDN w:val="0"/>
        <w:spacing w:after="0"/>
        <w:ind w:left="0"/>
        <w:rPr>
          <w:kern w:val="22"/>
          <w:szCs w:val="22"/>
          <w:lang w:val="es-ES"/>
        </w:rPr>
      </w:pPr>
      <w:r w:rsidRPr="00747A77">
        <w:rPr>
          <w:kern w:val="22"/>
          <w:szCs w:val="22"/>
          <w:lang w:val="es-ES"/>
        </w:rPr>
        <w:t>La IOS</w:t>
      </w:r>
      <w:r w:rsidR="00156022" w:rsidRPr="00747A77">
        <w:rPr>
          <w:rStyle w:val="Refdenotaalpie"/>
          <w:kern w:val="22"/>
          <w:szCs w:val="22"/>
          <w:lang w:val="es-ES"/>
        </w:rPr>
        <w:footnoteReference w:id="16"/>
      </w:r>
      <w:r w:rsidRPr="00747A77">
        <w:rPr>
          <w:kern w:val="22"/>
          <w:szCs w:val="22"/>
          <w:lang w:val="es-ES"/>
        </w:rPr>
        <w:t xml:space="preserve"> es una plataforma mundial dedicada a crear alianzas y mejorar la capacidad de las Partes que son países en desarrollo, a fin de alcanzar las Metas de Aichi para la diversidad biológica costera y marina de manera integral de las siguientes formas: a) facilitar el intercambio de conocimientos, experiencias y mejores prácticas, b) crear alianzas que posibiliten la creación de capacidad focalizada, c) mejorar la comunicación entre las políticas mundiales, la ciencia y los interesados directos locales, y d) mejorar el diálogo y la coordinación entre diversos sectores para alcanzar un equilibrio entre la conservación y el uso sostenible de la diversidad biológica marina. La ejecución de las actividades de capacitación y asociación de la SOI ha recibido el apoyo financiero de los Gobiernos de Japón (a través del Fondo de Japón para la Diversidad Biológica), Francia (a través de la Agencia de Diversidad Biológica de Francia), República de Corea (a través del Ministerio de Océanos y Pesca), Suecia (a través del Ministerio de Medio Ambiente y Energía) y la Unión Europea, con la coordinación de la Secretaría, en colaboración con diversos asociados internacionales.</w:t>
      </w:r>
    </w:p>
    <w:p w:rsidR="001F05E5" w:rsidRPr="00747A77" w:rsidRDefault="001F05E5" w:rsidP="006F4285">
      <w:pPr>
        <w:pStyle w:val="Para1"/>
        <w:suppressLineNumbers/>
        <w:tabs>
          <w:tab w:val="clear" w:pos="1710"/>
        </w:tabs>
        <w:suppressAutoHyphens/>
        <w:kinsoku w:val="0"/>
        <w:overflowPunct w:val="0"/>
        <w:autoSpaceDE w:val="0"/>
        <w:autoSpaceDN w:val="0"/>
        <w:spacing w:after="0"/>
        <w:ind w:left="0"/>
        <w:rPr>
          <w:kern w:val="22"/>
          <w:szCs w:val="22"/>
          <w:lang w:val="es-ES"/>
        </w:rPr>
      </w:pPr>
      <w:r w:rsidRPr="00747A77">
        <w:rPr>
          <w:kern w:val="22"/>
          <w:szCs w:val="22"/>
          <w:lang w:val="es-ES"/>
        </w:rPr>
        <w:t>Desde febrero de 2013 a febrero de 2018, la Iniciativa de Océanos Sostenibles brindó oportunidades de capacitación a 627 participantes de más de 100 países Partes, algunos de los cuales se beneficiaron de múltiples actividades de capacitación, así como de numerosas organizaciones e iniciativas regionales y nacionales.</w:t>
      </w:r>
    </w:p>
    <w:p w:rsidR="00066BED" w:rsidRPr="00747A77" w:rsidRDefault="00066BED" w:rsidP="006F4285">
      <w:pPr>
        <w:pStyle w:val="Para1"/>
        <w:suppressLineNumbers/>
        <w:tabs>
          <w:tab w:val="clear" w:pos="1710"/>
        </w:tabs>
        <w:suppressAutoHyphens/>
        <w:kinsoku w:val="0"/>
        <w:overflowPunct w:val="0"/>
        <w:autoSpaceDE w:val="0"/>
        <w:autoSpaceDN w:val="0"/>
        <w:spacing w:after="0"/>
        <w:ind w:left="0"/>
        <w:rPr>
          <w:kern w:val="22"/>
          <w:szCs w:val="22"/>
          <w:lang w:val="es-ES"/>
        </w:rPr>
      </w:pPr>
      <w:r w:rsidRPr="00747A77">
        <w:rPr>
          <w:kern w:val="22"/>
          <w:szCs w:val="22"/>
          <w:lang w:val="es-ES"/>
        </w:rPr>
        <w:t xml:space="preserve">Desde la </w:t>
      </w:r>
      <w:r w:rsidR="003E03F4" w:rsidRPr="00747A77">
        <w:rPr>
          <w:kern w:val="22"/>
          <w:szCs w:val="22"/>
          <w:lang w:val="es-ES"/>
        </w:rPr>
        <w:t>20</w:t>
      </w:r>
      <w:r w:rsidR="003E03F4" w:rsidRPr="00747A77">
        <w:rPr>
          <w:kern w:val="22"/>
          <w:szCs w:val="22"/>
          <w:vertAlign w:val="superscript"/>
          <w:lang w:val="es-ES"/>
        </w:rPr>
        <w:t>a</w:t>
      </w:r>
      <w:r w:rsidR="003E03F4" w:rsidRPr="00747A77">
        <w:rPr>
          <w:kern w:val="22"/>
          <w:szCs w:val="22"/>
          <w:lang w:val="es-ES"/>
        </w:rPr>
        <w:t xml:space="preserve"> </w:t>
      </w:r>
      <w:r w:rsidRPr="00747A77">
        <w:rPr>
          <w:kern w:val="22"/>
          <w:szCs w:val="22"/>
          <w:lang w:val="es-ES"/>
        </w:rPr>
        <w:t>reunión del Órgano Subsidiario, el Secretario Ejecutivo ha continuado el trabajo de la IOS a nivel mundial, regional y nacional de las siguientes formas:</w:t>
      </w:r>
    </w:p>
    <w:p w:rsidR="00A46A72" w:rsidRPr="00747A77" w:rsidRDefault="001F05E5" w:rsidP="009252D8">
      <w:pPr>
        <w:pStyle w:val="Para1"/>
        <w:numPr>
          <w:ilvl w:val="1"/>
          <w:numId w:val="9"/>
        </w:numPr>
        <w:suppressLineNumbers/>
        <w:tabs>
          <w:tab w:val="left" w:pos="1170"/>
        </w:tabs>
        <w:suppressAutoHyphens/>
        <w:kinsoku w:val="0"/>
        <w:overflowPunct w:val="0"/>
        <w:autoSpaceDE w:val="0"/>
        <w:autoSpaceDN w:val="0"/>
        <w:spacing w:after="0"/>
        <w:rPr>
          <w:kern w:val="22"/>
          <w:szCs w:val="22"/>
          <w:lang w:val="es-ES"/>
        </w:rPr>
      </w:pPr>
      <w:r w:rsidRPr="00747A77">
        <w:rPr>
          <w:kern w:val="22"/>
          <w:szCs w:val="22"/>
          <w:lang w:val="es-ES"/>
        </w:rPr>
        <w:t>el Taller de Formación de Instructores (</w:t>
      </w:r>
      <w:r w:rsidRPr="00747A77">
        <w:rPr>
          <w:noProof/>
          <w:kern w:val="22"/>
          <w:szCs w:val="22"/>
          <w:lang w:val="es-ES"/>
        </w:rPr>
        <w:t>Yeosu</w:t>
      </w:r>
      <w:r w:rsidRPr="00747A77">
        <w:rPr>
          <w:kern w:val="22"/>
          <w:szCs w:val="22"/>
          <w:lang w:val="es-ES"/>
        </w:rPr>
        <w:t xml:space="preserve">, República de Corea, julio de 2016, y </w:t>
      </w:r>
      <w:r w:rsidRPr="00747A77">
        <w:rPr>
          <w:noProof/>
          <w:kern w:val="22"/>
          <w:szCs w:val="22"/>
          <w:lang w:val="es-ES"/>
        </w:rPr>
        <w:t>Seocheon</w:t>
      </w:r>
      <w:r w:rsidRPr="00747A77">
        <w:rPr>
          <w:kern w:val="22"/>
          <w:szCs w:val="22"/>
          <w:lang w:val="es-ES"/>
        </w:rPr>
        <w:t>, República de Corea, septiembre de 2017)</w:t>
      </w:r>
      <w:r w:rsidRPr="00747A77">
        <w:rPr>
          <w:rStyle w:val="Refdenotaalpie"/>
          <w:kern w:val="22"/>
          <w:szCs w:val="22"/>
          <w:lang w:val="es-ES"/>
        </w:rPr>
        <w:footnoteReference w:id="17"/>
      </w:r>
      <w:r w:rsidR="003E03F4" w:rsidRPr="00747A77">
        <w:rPr>
          <w:kern w:val="22"/>
          <w:szCs w:val="22"/>
          <w:lang w:val="es-ES"/>
        </w:rPr>
        <w:t>;</w:t>
      </w:r>
    </w:p>
    <w:p w:rsidR="001F05E5" w:rsidRPr="00747A77" w:rsidRDefault="00A46A72" w:rsidP="009252D8">
      <w:pPr>
        <w:pStyle w:val="Para1"/>
        <w:numPr>
          <w:ilvl w:val="1"/>
          <w:numId w:val="9"/>
        </w:numPr>
        <w:suppressLineNumbers/>
        <w:tabs>
          <w:tab w:val="left" w:pos="1170"/>
        </w:tabs>
        <w:suppressAutoHyphens/>
        <w:kinsoku w:val="0"/>
        <w:overflowPunct w:val="0"/>
        <w:autoSpaceDE w:val="0"/>
        <w:autoSpaceDN w:val="0"/>
        <w:spacing w:after="0"/>
        <w:rPr>
          <w:kern w:val="22"/>
          <w:szCs w:val="22"/>
          <w:lang w:val="es-ES"/>
        </w:rPr>
      </w:pPr>
      <w:r w:rsidRPr="00747A77">
        <w:rPr>
          <w:kern w:val="22"/>
          <w:szCs w:val="22"/>
          <w:lang w:val="es-ES"/>
        </w:rPr>
        <w:t>los talleres regionales de creación de capacidad para las islas del Pacífico (Samoa, octubre de 2016) y para el gran Caribe y América Central (Costa Rica, febrero de 2017)</w:t>
      </w:r>
      <w:r w:rsidRPr="00747A77">
        <w:rPr>
          <w:rStyle w:val="Refdenotaalpie"/>
          <w:kern w:val="22"/>
          <w:szCs w:val="22"/>
          <w:lang w:val="es-ES"/>
        </w:rPr>
        <w:footnoteReference w:id="18"/>
      </w:r>
      <w:r w:rsidR="003E03F4" w:rsidRPr="00747A77">
        <w:rPr>
          <w:kern w:val="22"/>
          <w:szCs w:val="22"/>
          <w:lang w:val="es-ES"/>
        </w:rPr>
        <w:t>;</w:t>
      </w:r>
    </w:p>
    <w:p w:rsidR="00FD3523" w:rsidRPr="00747A77" w:rsidRDefault="001F05E5" w:rsidP="009252D8">
      <w:pPr>
        <w:pStyle w:val="Para1"/>
        <w:numPr>
          <w:ilvl w:val="1"/>
          <w:numId w:val="9"/>
        </w:numPr>
        <w:suppressLineNumbers/>
        <w:tabs>
          <w:tab w:val="left" w:pos="1170"/>
        </w:tabs>
        <w:suppressAutoHyphens/>
        <w:kinsoku w:val="0"/>
        <w:overflowPunct w:val="0"/>
        <w:autoSpaceDE w:val="0"/>
        <w:autoSpaceDN w:val="0"/>
        <w:rPr>
          <w:kern w:val="22"/>
          <w:szCs w:val="22"/>
          <w:lang w:val="es-ES"/>
        </w:rPr>
      </w:pPr>
      <w:r w:rsidRPr="00747A77">
        <w:rPr>
          <w:kern w:val="22"/>
          <w:szCs w:val="22"/>
          <w:lang w:val="es-ES"/>
        </w:rPr>
        <w:t>el Taller Nacional de Desarrollo de la Capacidad para Timor-Leste (septiembre de 2016), Vanuatu (noviembre de 2016) y Camerún (enero de 2018)</w:t>
      </w:r>
      <w:r w:rsidRPr="00747A77">
        <w:rPr>
          <w:rStyle w:val="Refdenotaalpie"/>
          <w:kern w:val="22"/>
          <w:szCs w:val="22"/>
          <w:lang w:val="es-ES"/>
        </w:rPr>
        <w:footnoteReference w:id="19"/>
      </w:r>
      <w:r w:rsidR="003E03F4" w:rsidRPr="00747A77">
        <w:rPr>
          <w:kern w:val="22"/>
          <w:szCs w:val="22"/>
          <w:lang w:val="es-ES"/>
        </w:rPr>
        <w:t>.</w:t>
      </w:r>
    </w:p>
    <w:p w:rsidR="001F05E5" w:rsidRPr="00747A77" w:rsidRDefault="008B60B4" w:rsidP="006F4285">
      <w:pPr>
        <w:pStyle w:val="Ttulo3"/>
        <w:suppressLineNumbers/>
        <w:tabs>
          <w:tab w:val="clear" w:pos="567"/>
          <w:tab w:val="left" w:pos="360"/>
        </w:tabs>
        <w:suppressAutoHyphens/>
        <w:kinsoku w:val="0"/>
        <w:overflowPunct w:val="0"/>
        <w:autoSpaceDE w:val="0"/>
        <w:autoSpaceDN w:val="0"/>
        <w:spacing w:before="0" w:after="0"/>
        <w:rPr>
          <w:kern w:val="22"/>
          <w:szCs w:val="22"/>
          <w:lang w:val="es-ES"/>
        </w:rPr>
      </w:pPr>
      <w:r w:rsidRPr="00747A77">
        <w:rPr>
          <w:snapToGrid w:val="0"/>
          <w:kern w:val="22"/>
          <w:szCs w:val="22"/>
          <w:lang w:val="es-ES"/>
        </w:rPr>
        <w:t>2.</w:t>
      </w:r>
      <w:r w:rsidRPr="00747A77">
        <w:rPr>
          <w:snapToGrid w:val="0"/>
          <w:kern w:val="22"/>
          <w:szCs w:val="22"/>
          <w:lang w:val="es-ES"/>
        </w:rPr>
        <w:tab/>
        <w:t>Diálogo Global de la IOS</w:t>
      </w:r>
    </w:p>
    <w:p w:rsidR="00FD3523" w:rsidRPr="00747A77" w:rsidRDefault="001F05E5" w:rsidP="006F4285">
      <w:pPr>
        <w:pStyle w:val="Para1"/>
        <w:suppressLineNumbers/>
        <w:tabs>
          <w:tab w:val="clear" w:pos="1710"/>
        </w:tabs>
        <w:suppressAutoHyphens/>
        <w:kinsoku w:val="0"/>
        <w:overflowPunct w:val="0"/>
        <w:autoSpaceDE w:val="0"/>
        <w:autoSpaceDN w:val="0"/>
        <w:spacing w:after="0"/>
        <w:ind w:left="0"/>
        <w:rPr>
          <w:kern w:val="22"/>
          <w:szCs w:val="22"/>
          <w:lang w:val="es-ES"/>
        </w:rPr>
      </w:pPr>
      <w:r w:rsidRPr="00747A77">
        <w:rPr>
          <w:kern w:val="22"/>
          <w:szCs w:val="22"/>
          <w:lang w:val="es-ES"/>
        </w:rPr>
        <w:t>En septiembre de 2016, la Secretaría, en colaboración con el Programa de las Naciones Unidas para el Medio Ambiente y la FAO, y con el apoyo financiero de los Gobiernos de Japón (a través del Fondo de Japón para la Diversidad Biológica) y la República de Corea y la Unión Europea, inició un proceso mundial para facilitar el diálogo y cooperación entre organizaciones de mares regionales y órganos regionales de pesca de todo el mundo por medio de la organización de la primera reunión, cuyo anfitrión fue el Gobierno de la República de Corea, del Diálogo Global de la IOS con organizaciones de mares regionales y órganos regionales de pesca a fin de acelerar el progreso hacia las Metas de Aichi para la Diversidad Biológica y los Objetivos de Desarrollo Sostenible. Los resultados de la primera reunión</w:t>
      </w:r>
      <w:r w:rsidRPr="00747A77">
        <w:rPr>
          <w:rStyle w:val="Refdenotaalpie"/>
          <w:kern w:val="22"/>
          <w:szCs w:val="22"/>
          <w:lang w:val="es-ES"/>
        </w:rPr>
        <w:footnoteReference w:id="20"/>
      </w:r>
      <w:r w:rsidRPr="00747A77">
        <w:rPr>
          <w:kern w:val="22"/>
          <w:szCs w:val="22"/>
          <w:lang w:val="es-ES"/>
        </w:rPr>
        <w:t xml:space="preserve"> fueron presentados en diversas reuniones y conferencias mundiales y de las Naciones Unidas, como la </w:t>
      </w:r>
      <w:r w:rsidRPr="00747A77">
        <w:rPr>
          <w:kern w:val="22"/>
          <w:szCs w:val="22"/>
          <w:lang w:val="es-ES"/>
        </w:rPr>
        <w:lastRenderedPageBreak/>
        <w:t xml:space="preserve">Conferencia de los Océanos de las Naciones Unidas (junio de 2017), y fueron reconocidos por la Asamblea General de las Naciones Unidas en su septuagésimo primer período de sesiones, en 2016, en su </w:t>
      </w:r>
      <w:hyperlink r:id="rId22" w:history="1">
        <w:r w:rsidRPr="00747A77">
          <w:rPr>
            <w:rStyle w:val="Hipervnculo"/>
            <w:kern w:val="22"/>
            <w:szCs w:val="22"/>
            <w:lang w:val="es-ES"/>
          </w:rPr>
          <w:t>resolución 71/257</w:t>
        </w:r>
      </w:hyperlink>
      <w:r w:rsidRPr="00747A77">
        <w:rPr>
          <w:kern w:val="22"/>
          <w:szCs w:val="22"/>
          <w:lang w:val="es-ES"/>
        </w:rPr>
        <w:t xml:space="preserve"> sobre los océanos y el derecho del mar</w:t>
      </w:r>
      <w:r w:rsidRPr="00747A77">
        <w:rPr>
          <w:rStyle w:val="Refdenotaalpie"/>
          <w:kern w:val="22"/>
          <w:szCs w:val="22"/>
          <w:lang w:val="es-ES"/>
        </w:rPr>
        <w:footnoteReference w:id="21"/>
      </w:r>
      <w:r w:rsidR="00C10019" w:rsidRPr="00747A77">
        <w:rPr>
          <w:kern w:val="22"/>
          <w:szCs w:val="22"/>
          <w:lang w:val="es-ES"/>
        </w:rPr>
        <w:t>.</w:t>
      </w:r>
    </w:p>
    <w:p w:rsidR="001F05E5" w:rsidRPr="00747A77" w:rsidRDefault="00F87FD0" w:rsidP="006F4285">
      <w:pPr>
        <w:pStyle w:val="Para1"/>
        <w:suppressLineNumbers/>
        <w:tabs>
          <w:tab w:val="clear" w:pos="1710"/>
        </w:tabs>
        <w:suppressAutoHyphens/>
        <w:kinsoku w:val="0"/>
        <w:overflowPunct w:val="0"/>
        <w:autoSpaceDE w:val="0"/>
        <w:autoSpaceDN w:val="0"/>
        <w:spacing w:after="0"/>
        <w:ind w:left="0"/>
        <w:rPr>
          <w:kern w:val="22"/>
          <w:szCs w:val="22"/>
          <w:lang w:val="es-ES"/>
        </w:rPr>
      </w:pPr>
      <w:r w:rsidRPr="00747A77">
        <w:rPr>
          <w:kern w:val="22"/>
          <w:szCs w:val="22"/>
          <w:lang w:val="es-ES"/>
        </w:rPr>
        <w:t>Con base en los resultados satisfactorios de la primera reunión, el Diálogo Global de la IOS se convirtió en un foro bienal. La Secretaría organizó su segunda reunión para abril de 2018. El propósito de esta segunda reunión es promover las deliberaciones con el objetivo de identificar herramientas, enfoques y oportunidades de mejorar la cooperación intersectorial a escala regional, en particular en cuestiones relacionadas con la aplicación del enfoque por ecosistemas, las herramientas de gestión basadas en áreas, los medios de abordar la contaminación marina y el seguimiento, investigación e intercambio de datos.</w:t>
      </w:r>
    </w:p>
    <w:p w:rsidR="001F05E5" w:rsidRPr="00747A77" w:rsidRDefault="000913B7" w:rsidP="000913B7">
      <w:pPr>
        <w:pStyle w:val="Para1"/>
        <w:keepNext/>
        <w:numPr>
          <w:ilvl w:val="0"/>
          <w:numId w:val="0"/>
        </w:numPr>
        <w:suppressLineNumbers/>
        <w:suppressAutoHyphens/>
        <w:kinsoku w:val="0"/>
        <w:overflowPunct w:val="0"/>
        <w:autoSpaceDE w:val="0"/>
        <w:autoSpaceDN w:val="0"/>
        <w:spacing w:after="0"/>
        <w:ind w:left="432" w:hanging="432"/>
        <w:jc w:val="center"/>
        <w:rPr>
          <w:bCs/>
          <w:i/>
          <w:kern w:val="22"/>
          <w:szCs w:val="22"/>
          <w:lang w:val="es-ES"/>
        </w:rPr>
      </w:pPr>
      <w:r>
        <w:rPr>
          <w:i/>
          <w:iCs/>
          <w:kern w:val="22"/>
          <w:szCs w:val="22"/>
          <w:lang w:val="es-ES"/>
        </w:rPr>
        <w:t>3.</w:t>
      </w:r>
      <w:r w:rsidR="001D06D6" w:rsidRPr="00747A77">
        <w:rPr>
          <w:i/>
          <w:iCs/>
          <w:kern w:val="22"/>
          <w:szCs w:val="22"/>
          <w:lang w:val="es-ES"/>
        </w:rPr>
        <w:tab/>
        <w:t>Abordaje de las consideraciones de diversidad biológica en la pesca</w:t>
      </w:r>
    </w:p>
    <w:p w:rsidR="001F05E5" w:rsidRPr="00747A77" w:rsidRDefault="001F05E5" w:rsidP="006F4285">
      <w:pPr>
        <w:pStyle w:val="Para1"/>
        <w:suppressLineNumbers/>
        <w:tabs>
          <w:tab w:val="clear" w:pos="1710"/>
        </w:tabs>
        <w:suppressAutoHyphens/>
        <w:kinsoku w:val="0"/>
        <w:overflowPunct w:val="0"/>
        <w:autoSpaceDE w:val="0"/>
        <w:autoSpaceDN w:val="0"/>
        <w:spacing w:after="0"/>
        <w:ind w:left="0"/>
        <w:rPr>
          <w:kern w:val="22"/>
          <w:szCs w:val="22"/>
          <w:lang w:val="es-ES"/>
        </w:rPr>
      </w:pPr>
      <w:r w:rsidRPr="00747A77">
        <w:rPr>
          <w:kern w:val="22"/>
          <w:szCs w:val="22"/>
          <w:lang w:val="es-ES"/>
        </w:rPr>
        <w:t xml:space="preserve">De conformidad con la decisión </w:t>
      </w:r>
      <w:hyperlink r:id="rId23" w:history="1">
        <w:r w:rsidRPr="00747A77">
          <w:rPr>
            <w:rStyle w:val="Hipervnculo"/>
            <w:kern w:val="22"/>
            <w:szCs w:val="22"/>
            <w:lang w:val="es-ES"/>
          </w:rPr>
          <w:t>XIII/3</w:t>
        </w:r>
      </w:hyperlink>
      <w:r w:rsidRPr="00747A77">
        <w:rPr>
          <w:kern w:val="22"/>
          <w:szCs w:val="22"/>
          <w:lang w:val="es-ES"/>
        </w:rPr>
        <w:t>, párrafo 76, l</w:t>
      </w:r>
      <w:r w:rsidR="00AA31A9" w:rsidRPr="00747A77">
        <w:rPr>
          <w:kern w:val="22"/>
          <w:szCs w:val="22"/>
          <w:lang w:val="es-ES"/>
        </w:rPr>
        <w:t>a</w:t>
      </w:r>
      <w:r w:rsidRPr="00747A77">
        <w:rPr>
          <w:kern w:val="22"/>
          <w:szCs w:val="22"/>
          <w:lang w:val="es-ES"/>
        </w:rPr>
        <w:t xml:space="preserve"> Secretari</w:t>
      </w:r>
      <w:r w:rsidR="00AA31A9" w:rsidRPr="00747A77">
        <w:rPr>
          <w:kern w:val="22"/>
          <w:szCs w:val="22"/>
          <w:lang w:val="es-ES"/>
        </w:rPr>
        <w:t>a</w:t>
      </w:r>
      <w:r w:rsidRPr="00747A77">
        <w:rPr>
          <w:kern w:val="22"/>
          <w:szCs w:val="22"/>
          <w:lang w:val="es-ES"/>
        </w:rPr>
        <w:t xml:space="preserve"> Ejecutiv</w:t>
      </w:r>
      <w:r w:rsidR="00AA31A9" w:rsidRPr="00747A77">
        <w:rPr>
          <w:kern w:val="22"/>
          <w:szCs w:val="22"/>
          <w:lang w:val="es-ES"/>
        </w:rPr>
        <w:t>a</w:t>
      </w:r>
      <w:r w:rsidRPr="00747A77">
        <w:rPr>
          <w:kern w:val="22"/>
          <w:szCs w:val="22"/>
          <w:lang w:val="es-ES"/>
        </w:rPr>
        <w:t xml:space="preserve"> emitió una notificación</w:t>
      </w:r>
      <w:r w:rsidR="00AA31A9" w:rsidRPr="00747A77">
        <w:rPr>
          <w:rStyle w:val="Refdenotaalpie"/>
          <w:kern w:val="22"/>
          <w:szCs w:val="22"/>
          <w:lang w:val="es-ES"/>
        </w:rPr>
        <w:footnoteReference w:id="22"/>
      </w:r>
      <w:r w:rsidRPr="00747A77">
        <w:rPr>
          <w:kern w:val="22"/>
          <w:szCs w:val="22"/>
          <w:lang w:val="es-ES"/>
        </w:rPr>
        <w:t xml:space="preserve"> solicitando información sobre experiencias de integración de la biodiversidad en la pesca, tal como el enfoque por ecosistemas aplicado a dicha industria. Las comunicaciones recibidas se encuentran sintetizadas y compiladas en un documento de información sobre el tema (CBD/SBSTTA/22/INF/15) y describen diversas actividades relacionadas con dicha integración de la diversidad biológica en la pesca, a saber:</w:t>
      </w:r>
    </w:p>
    <w:p w:rsidR="001F05E5" w:rsidRPr="00747A77" w:rsidRDefault="001F05E5" w:rsidP="009252D8">
      <w:pPr>
        <w:pStyle w:val="Para1"/>
        <w:numPr>
          <w:ilvl w:val="1"/>
          <w:numId w:val="10"/>
        </w:numPr>
        <w:suppressLineNumbers/>
        <w:suppressAutoHyphens/>
        <w:kinsoku w:val="0"/>
        <w:overflowPunct w:val="0"/>
        <w:autoSpaceDE w:val="0"/>
        <w:autoSpaceDN w:val="0"/>
        <w:spacing w:after="0"/>
        <w:rPr>
          <w:kern w:val="22"/>
          <w:szCs w:val="22"/>
          <w:lang w:val="es-ES"/>
        </w:rPr>
      </w:pPr>
      <w:r w:rsidRPr="00747A77">
        <w:rPr>
          <w:kern w:val="22"/>
          <w:szCs w:val="22"/>
          <w:lang w:val="es-ES"/>
        </w:rPr>
        <w:t>modificar o adoptar nueva legislación a fin de integrar mejor el enfoque por ecosistemas y el enfoque de precaución en las políticas de pesca, y para sentar los lineamientos de políticas centradas en conservar los ecosistemas marinos y costeros y minimizar y mitigar los efectos sobre la diversidad biológica;</w:t>
      </w:r>
    </w:p>
    <w:p w:rsidR="001F05E5" w:rsidRPr="00747A77" w:rsidRDefault="001F05E5" w:rsidP="009252D8">
      <w:pPr>
        <w:pStyle w:val="Para1"/>
        <w:numPr>
          <w:ilvl w:val="1"/>
          <w:numId w:val="10"/>
        </w:numPr>
        <w:suppressLineNumbers/>
        <w:suppressAutoHyphens/>
        <w:kinsoku w:val="0"/>
        <w:overflowPunct w:val="0"/>
        <w:autoSpaceDE w:val="0"/>
        <w:autoSpaceDN w:val="0"/>
        <w:spacing w:after="0"/>
        <w:rPr>
          <w:kern w:val="22"/>
          <w:szCs w:val="22"/>
          <w:lang w:val="es-ES"/>
        </w:rPr>
      </w:pPr>
      <w:r w:rsidRPr="00747A77">
        <w:rPr>
          <w:kern w:val="22"/>
          <w:szCs w:val="22"/>
          <w:lang w:val="es-ES"/>
        </w:rPr>
        <w:t>aplicar regulaciones comerciales para controlar la extracción y exportación de los recursos acuáticos, poniendo como condición para la exportación el desempeño ambiental de la pesca;</w:t>
      </w:r>
    </w:p>
    <w:p w:rsidR="001F05E5" w:rsidRPr="00747A77" w:rsidRDefault="001F05E5" w:rsidP="009252D8">
      <w:pPr>
        <w:pStyle w:val="Para1"/>
        <w:numPr>
          <w:ilvl w:val="1"/>
          <w:numId w:val="10"/>
        </w:numPr>
        <w:suppressLineNumbers/>
        <w:suppressAutoHyphens/>
        <w:kinsoku w:val="0"/>
        <w:overflowPunct w:val="0"/>
        <w:autoSpaceDE w:val="0"/>
        <w:autoSpaceDN w:val="0"/>
        <w:spacing w:after="0"/>
        <w:rPr>
          <w:kern w:val="22"/>
          <w:szCs w:val="22"/>
          <w:lang w:val="es-ES"/>
        </w:rPr>
      </w:pPr>
      <w:r w:rsidRPr="00747A77">
        <w:rPr>
          <w:kern w:val="22"/>
          <w:szCs w:val="22"/>
          <w:lang w:val="es-ES"/>
        </w:rPr>
        <w:t>establecer y actualizar los planes para facilitar la aplicación del enfoque por ecosistemas a la pesca;</w:t>
      </w:r>
    </w:p>
    <w:p w:rsidR="001F05E5" w:rsidRPr="00747A77" w:rsidRDefault="001F05E5" w:rsidP="009252D8">
      <w:pPr>
        <w:pStyle w:val="Para1"/>
        <w:numPr>
          <w:ilvl w:val="1"/>
          <w:numId w:val="10"/>
        </w:numPr>
        <w:suppressLineNumbers/>
        <w:suppressAutoHyphens/>
        <w:kinsoku w:val="0"/>
        <w:overflowPunct w:val="0"/>
        <w:autoSpaceDE w:val="0"/>
        <w:autoSpaceDN w:val="0"/>
        <w:spacing w:after="0"/>
        <w:rPr>
          <w:kern w:val="22"/>
          <w:szCs w:val="22"/>
          <w:lang w:val="es-ES"/>
        </w:rPr>
      </w:pPr>
      <w:r w:rsidRPr="00747A77">
        <w:rPr>
          <w:kern w:val="22"/>
          <w:szCs w:val="22"/>
          <w:lang w:val="es-ES"/>
        </w:rPr>
        <w:t>redefinir los objetivos de la gestión de la pesca en relación con su desempeño bioeconómico y ecológico, con la consideración debida a las poblaciones objetivo, pero también al efecto colateral en especies y hábitats no objetivo;</w:t>
      </w:r>
    </w:p>
    <w:p w:rsidR="001F05E5" w:rsidRPr="00747A77" w:rsidRDefault="001F05E5" w:rsidP="009252D8">
      <w:pPr>
        <w:pStyle w:val="Para1"/>
        <w:numPr>
          <w:ilvl w:val="1"/>
          <w:numId w:val="10"/>
        </w:numPr>
        <w:suppressLineNumbers/>
        <w:suppressAutoHyphens/>
        <w:kinsoku w:val="0"/>
        <w:overflowPunct w:val="0"/>
        <w:autoSpaceDE w:val="0"/>
        <w:autoSpaceDN w:val="0"/>
        <w:spacing w:after="0"/>
        <w:rPr>
          <w:kern w:val="22"/>
          <w:szCs w:val="22"/>
          <w:lang w:val="es-ES"/>
        </w:rPr>
      </w:pPr>
      <w:r w:rsidRPr="00747A77">
        <w:rPr>
          <w:kern w:val="22"/>
          <w:szCs w:val="22"/>
          <w:lang w:val="es-ES"/>
        </w:rPr>
        <w:t>medidas específicas de gestión para reducir los efectos colaterales de la pesca, como la identificación y gestión de ecosistemas marinos vulnerables, áreas marinas protegidas, áreas designadas para la pesca sostenible y la conservación, prohibición de determinados equipos en áreas específicas para proteger especies en peligro o hábitats vulnerables, uso de dispositivos para evitar la captura incidental, elaboración obligatoria de informes sobre la interacción de la pesca con especies de interés y utilización de ev</w:t>
      </w:r>
      <w:r w:rsidR="00AA31A9" w:rsidRPr="00747A77">
        <w:rPr>
          <w:kern w:val="22"/>
          <w:szCs w:val="22"/>
          <w:lang w:val="es-ES"/>
        </w:rPr>
        <w:t>aluaciones de riesgo ecológico.</w:t>
      </w:r>
    </w:p>
    <w:p w:rsidR="001F05E5" w:rsidRPr="00747A77" w:rsidRDefault="001F05E5" w:rsidP="006F4285">
      <w:pPr>
        <w:pStyle w:val="Para1"/>
        <w:suppressLineNumbers/>
        <w:tabs>
          <w:tab w:val="clear" w:pos="1710"/>
        </w:tabs>
        <w:suppressAutoHyphens/>
        <w:kinsoku w:val="0"/>
        <w:overflowPunct w:val="0"/>
        <w:autoSpaceDE w:val="0"/>
        <w:autoSpaceDN w:val="0"/>
        <w:spacing w:after="0"/>
        <w:ind w:left="0"/>
        <w:rPr>
          <w:kern w:val="22"/>
          <w:szCs w:val="22"/>
          <w:lang w:val="es-ES"/>
        </w:rPr>
      </w:pPr>
      <w:r w:rsidRPr="00747A77">
        <w:rPr>
          <w:kern w:val="22"/>
          <w:szCs w:val="22"/>
          <w:lang w:val="es-ES"/>
        </w:rPr>
        <w:t xml:space="preserve">De conformidad con la decisión </w:t>
      </w:r>
      <w:hyperlink r:id="rId24" w:history="1">
        <w:r w:rsidRPr="00747A77">
          <w:rPr>
            <w:rStyle w:val="Hipervnculo"/>
            <w:kern w:val="22"/>
            <w:szCs w:val="22"/>
            <w:lang w:val="es-ES"/>
          </w:rPr>
          <w:t>XIII/28</w:t>
        </w:r>
      </w:hyperlink>
      <w:r w:rsidRPr="00747A77">
        <w:rPr>
          <w:kern w:val="22"/>
          <w:szCs w:val="22"/>
          <w:lang w:val="es-ES"/>
        </w:rPr>
        <w:t>, párrafo 11, la Secretaría está trabajando con la Organización de las Naciones Unidas para la Alimentación y la Agricultura (FAO) y el Grupo de Expertos sobre Pesca de la Comisión de Gestión de Ecosistemas de la Unión Internacional para la Conservación de la Naturaleza, en colaboración con la Oficina Europea de Conservación y Desarrollo, para identificar oportunidades de mecanismos para la presentación de informes a fin de contribuir a la evaluación de los progresos en el logro de la Meta 6 de Aichi para la Diversidad Biológica. En particular, este trabajo permanente se centra en la identificación de posibles revisiones y adiciones al cuestionario de la FAO para que el Código de Conducta para la Pesca Responsable refleje mejor las cuestiones y consideraciones relacionadas con la Meta 6 de Aichi para la Diversidad Biológica</w:t>
      </w:r>
      <w:r w:rsidR="00D47274">
        <w:rPr>
          <w:kern w:val="22"/>
          <w:szCs w:val="22"/>
          <w:lang w:val="es-ES"/>
        </w:rPr>
        <w:t xml:space="preserve">, así como la redacción de una </w:t>
      </w:r>
      <w:r w:rsidR="00D47274">
        <w:rPr>
          <w:kern w:val="22"/>
          <w:szCs w:val="22"/>
          <w:lang w:val="es-ES"/>
        </w:rPr>
        <w:lastRenderedPageBreak/>
        <w:t>evaluación científica del progreso hacia el logro de la Meta 6 de Aichi para la Diversidad Biológica</w:t>
      </w:r>
      <w:r w:rsidR="00A86402">
        <w:rPr>
          <w:kern w:val="22"/>
          <w:szCs w:val="22"/>
          <w:lang w:val="es-ES"/>
        </w:rPr>
        <w:t xml:space="preserve"> (</w:t>
      </w:r>
      <w:proofErr w:type="spellStart"/>
      <w:r w:rsidR="00A86402">
        <w:rPr>
          <w:kern w:val="22"/>
          <w:szCs w:val="22"/>
          <w:lang w:val="es-ES"/>
        </w:rPr>
        <w:t>CBD</w:t>
      </w:r>
      <w:proofErr w:type="spellEnd"/>
      <w:r w:rsidR="00A86402">
        <w:rPr>
          <w:kern w:val="22"/>
          <w:szCs w:val="22"/>
          <w:lang w:val="es-ES"/>
        </w:rPr>
        <w:t>/</w:t>
      </w:r>
      <w:proofErr w:type="spellStart"/>
      <w:r w:rsidR="00A86402">
        <w:rPr>
          <w:kern w:val="22"/>
          <w:szCs w:val="22"/>
          <w:lang w:val="es-ES"/>
        </w:rPr>
        <w:t>SBSTTA</w:t>
      </w:r>
      <w:proofErr w:type="spellEnd"/>
      <w:r w:rsidR="00A86402">
        <w:rPr>
          <w:kern w:val="22"/>
          <w:szCs w:val="22"/>
          <w:lang w:val="es-ES"/>
        </w:rPr>
        <w:t>/20/INF/28)</w:t>
      </w:r>
      <w:r w:rsidRPr="00747A77">
        <w:rPr>
          <w:kern w:val="22"/>
          <w:szCs w:val="22"/>
          <w:lang w:val="es-ES"/>
        </w:rPr>
        <w:t>.</w:t>
      </w:r>
    </w:p>
    <w:p w:rsidR="00F0075E" w:rsidRPr="00747A77" w:rsidRDefault="00B84A1B" w:rsidP="00B84A1B">
      <w:pPr>
        <w:pStyle w:val="Para1"/>
        <w:keepNext/>
        <w:numPr>
          <w:ilvl w:val="0"/>
          <w:numId w:val="0"/>
        </w:numPr>
        <w:suppressLineNumbers/>
        <w:suppressAutoHyphens/>
        <w:kinsoku w:val="0"/>
        <w:overflowPunct w:val="0"/>
        <w:autoSpaceDE w:val="0"/>
        <w:autoSpaceDN w:val="0"/>
        <w:spacing w:after="0"/>
        <w:ind w:left="432" w:hanging="432"/>
        <w:jc w:val="center"/>
        <w:rPr>
          <w:bCs/>
          <w:i/>
          <w:kern w:val="22"/>
          <w:szCs w:val="22"/>
          <w:lang w:val="es-ES"/>
        </w:rPr>
      </w:pPr>
      <w:bookmarkStart w:id="2" w:name="_GoBack"/>
      <w:bookmarkEnd w:id="2"/>
      <w:r>
        <w:rPr>
          <w:i/>
          <w:iCs/>
          <w:kern w:val="22"/>
          <w:szCs w:val="22"/>
          <w:lang w:val="es-ES"/>
        </w:rPr>
        <w:t>4.</w:t>
      </w:r>
      <w:r w:rsidR="001D06D6" w:rsidRPr="00747A77">
        <w:rPr>
          <w:i/>
          <w:iCs/>
          <w:kern w:val="22"/>
          <w:szCs w:val="22"/>
          <w:lang w:val="es-ES"/>
        </w:rPr>
        <w:tab/>
        <w:t>Colaboración técnica e intercambio de información respecto de la gestión sostenible de los arrecifes de corales y los ecosistemas estrechamente asociados a ellos</w:t>
      </w:r>
    </w:p>
    <w:p w:rsidR="00F0075E" w:rsidRPr="00747A77" w:rsidRDefault="00F0075E" w:rsidP="006F4285">
      <w:pPr>
        <w:pStyle w:val="Para1"/>
        <w:suppressLineNumbers/>
        <w:tabs>
          <w:tab w:val="clear" w:pos="1710"/>
        </w:tabs>
        <w:suppressAutoHyphens/>
        <w:kinsoku w:val="0"/>
        <w:overflowPunct w:val="0"/>
        <w:autoSpaceDE w:val="0"/>
        <w:autoSpaceDN w:val="0"/>
        <w:spacing w:after="0"/>
        <w:ind w:left="0"/>
        <w:rPr>
          <w:kern w:val="22"/>
          <w:szCs w:val="22"/>
          <w:lang w:val="es-ES"/>
        </w:rPr>
      </w:pPr>
      <w:r w:rsidRPr="00747A77">
        <w:rPr>
          <w:kern w:val="22"/>
          <w:szCs w:val="22"/>
          <w:lang w:val="es-ES"/>
        </w:rPr>
        <w:t xml:space="preserve">De conformidad con la decisión </w:t>
      </w:r>
      <w:hyperlink r:id="rId25" w:history="1">
        <w:r w:rsidRPr="00747A77">
          <w:rPr>
            <w:rStyle w:val="Hipervnculo"/>
            <w:kern w:val="22"/>
            <w:szCs w:val="22"/>
            <w:lang w:val="es-ES"/>
          </w:rPr>
          <w:t>XII/23</w:t>
        </w:r>
      </w:hyperlink>
      <w:r w:rsidRPr="00747A77">
        <w:rPr>
          <w:kern w:val="22"/>
          <w:szCs w:val="22"/>
          <w:lang w:val="es-ES"/>
        </w:rPr>
        <w:t>, párrafo 12, en particular con el fin de facilitar la aplicación de las acciones prioritarias para lograr la Meta 10 de Aichi para la Diversidad Biológica en los arrecifes de corales y los ecosistemas estrechamente asociados a ellos, la Secretaría está desarrollando un portal sobre los arrecifes de corales para facilitar la colaboración técnica y el intercambio voluntario de información en todos los aspectos de la gestión sostenible de los mencionados arrecifes de corales y ecosistemas conexos. Este portal contendrá información y antecedentes sobre el rol de los arrecifes de corales en las Metas de Aichi para la Diversidad Biológica y los Objetivos de Desarrollo Sostenible, proporcionará enlaces a iniciativas mundiales (p. ej., la Iniciativa Internacional sobre los Arrecifes de Coral) y regionales (p. ej., la Iniciativa del Triángulo de Coral sobre los arrecifes de coral, la pesca y la seguridad alimentaria) relacionadas con arrecifes de corales, brindará acceso a una gama de recursos y materiales sobre la gestión de arrecifes de corales, y suministrará una plataforma interactiva para las Partes, otros Gobiernos y organizaciones a fin de que informen sobre sus acciones y actividades dirigidas a gestionar los ecosistemas de arrecifes de corales y las presiones que existan sobre ellos.</w:t>
      </w:r>
    </w:p>
    <w:p w:rsidR="0014150C" w:rsidRPr="00747A77" w:rsidRDefault="0014150C" w:rsidP="006F4285">
      <w:pPr>
        <w:keepNext/>
        <w:suppressLineNumbers/>
        <w:suppressAutoHyphens/>
        <w:kinsoku w:val="0"/>
        <w:overflowPunct w:val="0"/>
        <w:autoSpaceDE w:val="0"/>
        <w:autoSpaceDN w:val="0"/>
        <w:jc w:val="center"/>
        <w:rPr>
          <w:b/>
          <w:bCs/>
          <w:snapToGrid w:val="0"/>
          <w:kern w:val="22"/>
          <w:szCs w:val="22"/>
          <w:lang w:val="es-ES"/>
        </w:rPr>
      </w:pPr>
    </w:p>
    <w:p w:rsidR="000058CB" w:rsidRPr="00747A77" w:rsidRDefault="00387339" w:rsidP="006F4285">
      <w:pPr>
        <w:keepNext/>
        <w:suppressLineNumbers/>
        <w:suppressAutoHyphens/>
        <w:kinsoku w:val="0"/>
        <w:overflowPunct w:val="0"/>
        <w:autoSpaceDE w:val="0"/>
        <w:autoSpaceDN w:val="0"/>
        <w:jc w:val="center"/>
        <w:rPr>
          <w:b/>
          <w:snapToGrid w:val="0"/>
          <w:kern w:val="22"/>
          <w:szCs w:val="22"/>
          <w:lang w:val="es-ES"/>
        </w:rPr>
      </w:pPr>
      <w:r w:rsidRPr="00747A77">
        <w:rPr>
          <w:b/>
          <w:bCs/>
          <w:snapToGrid w:val="0"/>
          <w:kern w:val="22"/>
          <w:szCs w:val="22"/>
          <w:lang w:val="es-ES"/>
        </w:rPr>
        <w:t>IV.</w:t>
      </w:r>
      <w:r w:rsidRPr="00747A77">
        <w:rPr>
          <w:b/>
          <w:bCs/>
          <w:snapToGrid w:val="0"/>
          <w:kern w:val="22"/>
          <w:szCs w:val="22"/>
          <w:lang w:val="es-ES"/>
        </w:rPr>
        <w:tab/>
        <w:t>RECOMENDACIONES SUGER</w:t>
      </w:r>
      <w:r w:rsidR="00AA31A9" w:rsidRPr="00747A77">
        <w:rPr>
          <w:b/>
          <w:bCs/>
          <w:snapToGrid w:val="0"/>
          <w:kern w:val="22"/>
          <w:szCs w:val="22"/>
          <w:lang w:val="es-ES"/>
        </w:rPr>
        <w:t>IDAS</w:t>
      </w:r>
    </w:p>
    <w:p w:rsidR="00136B3E" w:rsidRPr="00747A77" w:rsidRDefault="000058CB" w:rsidP="006F4285">
      <w:pPr>
        <w:pStyle w:val="Para1"/>
        <w:suppressLineNumbers/>
        <w:tabs>
          <w:tab w:val="clear" w:pos="1710"/>
        </w:tabs>
        <w:suppressAutoHyphens/>
        <w:kinsoku w:val="0"/>
        <w:overflowPunct w:val="0"/>
        <w:autoSpaceDE w:val="0"/>
        <w:autoSpaceDN w:val="0"/>
        <w:spacing w:after="0"/>
        <w:ind w:left="0"/>
        <w:rPr>
          <w:kern w:val="22"/>
          <w:szCs w:val="22"/>
          <w:lang w:val="es-ES"/>
        </w:rPr>
      </w:pPr>
      <w:r w:rsidRPr="00747A77">
        <w:rPr>
          <w:kern w:val="22"/>
          <w:szCs w:val="22"/>
          <w:lang w:val="es-ES"/>
        </w:rPr>
        <w:t>El Órgano Subsidiario de Asesoramiento Científico, Técnico y Tecnológico podría recomendar a la Conferencia de las Partes que en su 14ª reunión adopte una decisión del siguiente tenor:</w:t>
      </w:r>
    </w:p>
    <w:p w:rsidR="00125688" w:rsidRPr="00747A77" w:rsidRDefault="000058CB" w:rsidP="006F4285">
      <w:pPr>
        <w:suppressLineNumbers/>
        <w:suppressAutoHyphens/>
        <w:kinsoku w:val="0"/>
        <w:overflowPunct w:val="0"/>
        <w:autoSpaceDE w:val="0"/>
        <w:autoSpaceDN w:val="0"/>
        <w:spacing w:before="120" w:after="120"/>
        <w:ind w:firstLine="720"/>
        <w:rPr>
          <w:bCs/>
          <w:i/>
          <w:snapToGrid w:val="0"/>
          <w:kern w:val="22"/>
          <w:szCs w:val="22"/>
          <w:lang w:val="es-ES"/>
        </w:rPr>
      </w:pPr>
      <w:r w:rsidRPr="00747A77">
        <w:rPr>
          <w:i/>
          <w:iCs/>
          <w:snapToGrid w:val="0"/>
          <w:kern w:val="22"/>
          <w:szCs w:val="22"/>
          <w:lang w:val="es-ES"/>
        </w:rPr>
        <w:t>La Conferencia de las Partes</w:t>
      </w:r>
    </w:p>
    <w:p w:rsidR="00125688" w:rsidRPr="00747A77" w:rsidRDefault="00A930EC" w:rsidP="006F4285">
      <w:pPr>
        <w:pStyle w:val="Ttulo2"/>
        <w:suppressLineNumbers/>
        <w:tabs>
          <w:tab w:val="clear" w:pos="720"/>
        </w:tabs>
        <w:suppressAutoHyphens/>
        <w:kinsoku w:val="0"/>
        <w:overflowPunct w:val="0"/>
        <w:autoSpaceDE w:val="0"/>
        <w:autoSpaceDN w:val="0"/>
        <w:spacing w:before="0" w:after="0"/>
        <w:rPr>
          <w:snapToGrid w:val="0"/>
          <w:kern w:val="22"/>
          <w:szCs w:val="22"/>
          <w:lang w:val="es-ES"/>
        </w:rPr>
      </w:pPr>
      <w:r w:rsidRPr="00747A77">
        <w:rPr>
          <w:iCs w:val="0"/>
          <w:snapToGrid w:val="0"/>
          <w:kern w:val="22"/>
          <w:szCs w:val="22"/>
          <w:lang w:val="es-ES"/>
        </w:rPr>
        <w:t>Áreas marinas de importancia ecológica o biológica</w:t>
      </w:r>
    </w:p>
    <w:p w:rsidR="00125688" w:rsidRPr="00747A77" w:rsidRDefault="000058CB" w:rsidP="009252D8">
      <w:pPr>
        <w:pStyle w:val="Prrafodelista"/>
        <w:numPr>
          <w:ilvl w:val="0"/>
          <w:numId w:val="11"/>
        </w:numPr>
        <w:suppressLineNumbers/>
        <w:suppressAutoHyphens/>
        <w:kinsoku w:val="0"/>
        <w:overflowPunct w:val="0"/>
        <w:autoSpaceDE w:val="0"/>
        <w:autoSpaceDN w:val="0"/>
        <w:spacing w:before="120" w:after="120" w:line="240" w:lineRule="auto"/>
        <w:ind w:left="0" w:firstLine="720"/>
        <w:jc w:val="both"/>
        <w:rPr>
          <w:rFonts w:ascii="Times New Roman" w:hAnsi="Times New Roman"/>
          <w:snapToGrid w:val="0"/>
          <w:kern w:val="22"/>
          <w:lang w:val="es-ES"/>
        </w:rPr>
      </w:pPr>
      <w:r w:rsidRPr="00747A77">
        <w:rPr>
          <w:rFonts w:ascii="Times New Roman" w:hAnsi="Times New Roman"/>
          <w:i/>
          <w:iCs/>
          <w:snapToGrid w:val="0"/>
          <w:kern w:val="22"/>
          <w:lang w:val="es-ES"/>
        </w:rPr>
        <w:t>Acoge con beneplácito</w:t>
      </w:r>
      <w:r w:rsidRPr="00747A77">
        <w:rPr>
          <w:rFonts w:ascii="Times New Roman" w:hAnsi="Times New Roman"/>
          <w:snapToGrid w:val="0"/>
          <w:kern w:val="22"/>
          <w:lang w:val="es-ES"/>
        </w:rPr>
        <w:t xml:space="preserve"> los informes resumidos que ha preparado el Órgano Subsidiario de Asesoramiento </w:t>
      </w:r>
      <w:r w:rsidRPr="00747A77">
        <w:rPr>
          <w:rFonts w:ascii="Times New Roman" w:hAnsi="Times New Roman"/>
          <w:kern w:val="22"/>
          <w:lang w:val="es-ES"/>
        </w:rPr>
        <w:t>Científico, Técnico y Tecnológico</w:t>
      </w:r>
      <w:r w:rsidRPr="00747A77">
        <w:rPr>
          <w:rFonts w:ascii="Times New Roman" w:hAnsi="Times New Roman"/>
          <w:snapToGrid w:val="0"/>
          <w:kern w:val="22"/>
          <w:lang w:val="es-ES"/>
        </w:rPr>
        <w:t xml:space="preserve"> en su vigesimosegunda reunión, anexados al presente proyecto de decisión, basados en los informes de los dos talleres regionales para describir las áreas marinas de importancia ecológica o biológica para</w:t>
      </w:r>
      <w:r w:rsidRPr="00747A77">
        <w:rPr>
          <w:rFonts w:ascii="Times New Roman" w:hAnsi="Times New Roman"/>
          <w:snapToGrid w:val="0"/>
          <w:kern w:val="22"/>
          <w:shd w:val="clear" w:color="auto" w:fill="FFFFFF"/>
          <w:lang w:val="es-ES"/>
        </w:rPr>
        <w:t xml:space="preserve"> el Mar Negro y el Mar Caspio,</w:t>
      </w:r>
      <w:r w:rsidRPr="00747A77">
        <w:rPr>
          <w:rFonts w:ascii="Times New Roman" w:hAnsi="Times New Roman"/>
          <w:snapToGrid w:val="0"/>
          <w:kern w:val="22"/>
          <w:lang w:val="es-ES"/>
        </w:rPr>
        <w:t xml:space="preserve"> así como el Mar Báltico</w:t>
      </w:r>
      <w:r w:rsidRPr="00747A77">
        <w:rPr>
          <w:rStyle w:val="Refdenotaalpie"/>
          <w:rFonts w:ascii="Times New Roman" w:hAnsi="Times New Roman"/>
          <w:snapToGrid w:val="0"/>
          <w:kern w:val="22"/>
          <w:lang w:val="es-ES"/>
        </w:rPr>
        <w:footnoteReference w:id="23"/>
      </w:r>
      <w:r w:rsidR="00AA31A9" w:rsidRPr="00747A77">
        <w:rPr>
          <w:rFonts w:ascii="Times New Roman" w:hAnsi="Times New Roman"/>
          <w:snapToGrid w:val="0"/>
          <w:kern w:val="22"/>
          <w:lang w:val="es-ES"/>
        </w:rPr>
        <w:t>,</w:t>
      </w:r>
      <w:r w:rsidRPr="00747A77">
        <w:rPr>
          <w:rFonts w:ascii="Times New Roman" w:hAnsi="Times New Roman"/>
          <w:snapToGrid w:val="0"/>
          <w:kern w:val="22"/>
          <w:lang w:val="es-ES"/>
        </w:rPr>
        <w:t xml:space="preserve"> y </w:t>
      </w:r>
      <w:r w:rsidRPr="00747A77">
        <w:rPr>
          <w:rFonts w:ascii="Times New Roman" w:hAnsi="Times New Roman"/>
          <w:i/>
          <w:iCs/>
          <w:snapToGrid w:val="0"/>
          <w:kern w:val="22"/>
          <w:lang w:val="es-ES"/>
        </w:rPr>
        <w:t>pide</w:t>
      </w:r>
      <w:r w:rsidRPr="00747A77">
        <w:rPr>
          <w:rFonts w:ascii="Times New Roman" w:hAnsi="Times New Roman"/>
          <w:snapToGrid w:val="0"/>
          <w:kern w:val="22"/>
          <w:lang w:val="es-ES"/>
        </w:rPr>
        <w:t xml:space="preserve"> a</w:t>
      </w:r>
      <w:r w:rsidR="00BE5CFA" w:rsidRPr="00747A77">
        <w:rPr>
          <w:rFonts w:ascii="Times New Roman" w:hAnsi="Times New Roman"/>
          <w:snapToGrid w:val="0"/>
          <w:kern w:val="22"/>
          <w:lang w:val="es-ES"/>
        </w:rPr>
        <w:t xml:space="preserve"> </w:t>
      </w:r>
      <w:r w:rsidRPr="00747A77">
        <w:rPr>
          <w:rFonts w:ascii="Times New Roman" w:hAnsi="Times New Roman"/>
          <w:snapToGrid w:val="0"/>
          <w:kern w:val="22"/>
          <w:lang w:val="es-ES"/>
        </w:rPr>
        <w:t>l</w:t>
      </w:r>
      <w:r w:rsidR="00BE5CFA" w:rsidRPr="00747A77">
        <w:rPr>
          <w:rFonts w:ascii="Times New Roman" w:hAnsi="Times New Roman"/>
          <w:snapToGrid w:val="0"/>
          <w:kern w:val="22"/>
          <w:lang w:val="es-ES"/>
        </w:rPr>
        <w:t>a</w:t>
      </w:r>
      <w:r w:rsidRPr="00747A77">
        <w:rPr>
          <w:rFonts w:ascii="Times New Roman" w:hAnsi="Times New Roman"/>
          <w:snapToGrid w:val="0"/>
          <w:kern w:val="22"/>
          <w:lang w:val="es-ES"/>
        </w:rPr>
        <w:t xml:space="preserve"> Secretari</w:t>
      </w:r>
      <w:r w:rsidR="00BE5CFA" w:rsidRPr="00747A77">
        <w:rPr>
          <w:rFonts w:ascii="Times New Roman" w:hAnsi="Times New Roman"/>
          <w:snapToGrid w:val="0"/>
          <w:kern w:val="22"/>
          <w:lang w:val="es-ES"/>
        </w:rPr>
        <w:t>a</w:t>
      </w:r>
      <w:r w:rsidRPr="00747A77">
        <w:rPr>
          <w:rFonts w:ascii="Times New Roman" w:hAnsi="Times New Roman"/>
          <w:snapToGrid w:val="0"/>
          <w:kern w:val="22"/>
          <w:lang w:val="es-ES"/>
        </w:rPr>
        <w:t xml:space="preserve"> Ejecutiv</w:t>
      </w:r>
      <w:r w:rsidR="00BE5CFA" w:rsidRPr="00747A77">
        <w:rPr>
          <w:rFonts w:ascii="Times New Roman" w:hAnsi="Times New Roman"/>
          <w:snapToGrid w:val="0"/>
          <w:kern w:val="22"/>
          <w:lang w:val="es-ES"/>
        </w:rPr>
        <w:t>a</w:t>
      </w:r>
      <w:r w:rsidRPr="00747A77">
        <w:rPr>
          <w:rFonts w:ascii="Times New Roman" w:hAnsi="Times New Roman"/>
          <w:snapToGrid w:val="0"/>
          <w:kern w:val="22"/>
          <w:lang w:val="es-ES"/>
        </w:rPr>
        <w:t xml:space="preserve"> que incluya los informes resumidos en el repositorio de AIEB, y que los presente a la Asamblea General de las Naciones Unidas y sus procesos pertinentes, así como a las Partes, otros Gobiernos y organizaciones internacionales pertinentes conforme a la finalidad y los procedimientos establecidos en las decisiones </w:t>
      </w:r>
      <w:hyperlink r:id="rId26" w:history="1">
        <w:r w:rsidRPr="00747A77">
          <w:rPr>
            <w:rStyle w:val="Hipervnculo"/>
            <w:rFonts w:ascii="Times New Roman" w:hAnsi="Times New Roman"/>
            <w:snapToGrid w:val="0"/>
            <w:kern w:val="22"/>
            <w:lang w:val="es-ES"/>
          </w:rPr>
          <w:t>X/29</w:t>
        </w:r>
      </w:hyperlink>
      <w:r w:rsidRPr="00747A77">
        <w:rPr>
          <w:rFonts w:ascii="Times New Roman" w:hAnsi="Times New Roman"/>
          <w:snapToGrid w:val="0"/>
          <w:kern w:val="22"/>
          <w:lang w:val="es-ES"/>
        </w:rPr>
        <w:t xml:space="preserve">, </w:t>
      </w:r>
      <w:hyperlink r:id="rId27" w:history="1">
        <w:r w:rsidRPr="00747A77">
          <w:rPr>
            <w:rStyle w:val="Hipervnculo"/>
            <w:rFonts w:ascii="Times New Roman" w:hAnsi="Times New Roman"/>
            <w:snapToGrid w:val="0"/>
            <w:kern w:val="22"/>
            <w:lang w:val="es-ES"/>
          </w:rPr>
          <w:t>XI/17</w:t>
        </w:r>
      </w:hyperlink>
      <w:r w:rsidRPr="00747A77">
        <w:rPr>
          <w:rFonts w:ascii="Times New Roman" w:hAnsi="Times New Roman"/>
          <w:snapToGrid w:val="0"/>
          <w:kern w:val="22"/>
          <w:lang w:val="es-ES"/>
        </w:rPr>
        <w:t xml:space="preserve">, </w:t>
      </w:r>
      <w:hyperlink r:id="rId28" w:history="1">
        <w:r w:rsidRPr="00747A77">
          <w:rPr>
            <w:rStyle w:val="Hipervnculo"/>
            <w:rFonts w:ascii="Times New Roman" w:hAnsi="Times New Roman"/>
            <w:snapToGrid w:val="0"/>
            <w:kern w:val="22"/>
            <w:lang w:val="es-ES"/>
          </w:rPr>
          <w:t>XII/22</w:t>
        </w:r>
      </w:hyperlink>
      <w:r w:rsidRPr="00747A77">
        <w:rPr>
          <w:rFonts w:ascii="Times New Roman" w:hAnsi="Times New Roman"/>
          <w:snapToGrid w:val="0"/>
          <w:kern w:val="22"/>
          <w:lang w:val="es-ES"/>
        </w:rPr>
        <w:t xml:space="preserve"> y </w:t>
      </w:r>
      <w:hyperlink r:id="rId29" w:history="1">
        <w:r w:rsidRPr="00747A77">
          <w:rPr>
            <w:rStyle w:val="Hipervnculo"/>
            <w:rFonts w:ascii="Times New Roman" w:hAnsi="Times New Roman"/>
            <w:snapToGrid w:val="0"/>
            <w:kern w:val="22"/>
            <w:lang w:val="es-ES"/>
          </w:rPr>
          <w:t>XIII/12</w:t>
        </w:r>
      </w:hyperlink>
      <w:r w:rsidRPr="00747A77">
        <w:rPr>
          <w:rFonts w:ascii="Times New Roman" w:hAnsi="Times New Roman"/>
          <w:snapToGrid w:val="0"/>
          <w:kern w:val="22"/>
          <w:lang w:val="es-ES"/>
        </w:rPr>
        <w:t>.</w:t>
      </w:r>
    </w:p>
    <w:p w:rsidR="00125688" w:rsidRPr="00747A77" w:rsidRDefault="00F20B57" w:rsidP="006F4285">
      <w:pPr>
        <w:suppressLineNumbers/>
        <w:suppressAutoHyphens/>
        <w:kinsoku w:val="0"/>
        <w:overflowPunct w:val="0"/>
        <w:autoSpaceDE w:val="0"/>
        <w:autoSpaceDN w:val="0"/>
        <w:spacing w:before="120" w:after="120"/>
        <w:ind w:firstLine="720"/>
        <w:rPr>
          <w:snapToGrid w:val="0"/>
          <w:kern w:val="22"/>
          <w:szCs w:val="22"/>
          <w:lang w:val="es-ES"/>
        </w:rPr>
      </w:pPr>
      <w:r w:rsidRPr="00747A77">
        <w:rPr>
          <w:snapToGrid w:val="0"/>
          <w:kern w:val="22"/>
          <w:szCs w:val="22"/>
          <w:lang w:val="es-ES"/>
        </w:rPr>
        <w:t>2.</w:t>
      </w:r>
      <w:r w:rsidRPr="00747A77">
        <w:rPr>
          <w:snapToGrid w:val="0"/>
          <w:kern w:val="22"/>
          <w:szCs w:val="22"/>
          <w:lang w:val="es-ES"/>
        </w:rPr>
        <w:tab/>
      </w:r>
      <w:r w:rsidRPr="00747A77">
        <w:rPr>
          <w:i/>
          <w:iCs/>
          <w:snapToGrid w:val="0"/>
          <w:kern w:val="22"/>
          <w:szCs w:val="22"/>
          <w:lang w:val="es-ES"/>
        </w:rPr>
        <w:t xml:space="preserve">También acoge con beneplácito </w:t>
      </w:r>
      <w:r w:rsidRPr="00747A77">
        <w:rPr>
          <w:snapToGrid w:val="0"/>
          <w:kern w:val="22"/>
          <w:szCs w:val="22"/>
          <w:lang w:val="es-ES"/>
        </w:rPr>
        <w:t>el informe del Taller de Expertos para Elaborar Opciones para Modificar la Descripción de las Áreas Marinas de Importancia Ecológica o Biológica, para Describir Nuevas Áreas y para Fortalecer la Credibilidad Científica y Transparencia de este Proceso</w:t>
      </w:r>
      <w:r w:rsidRPr="00747A77">
        <w:rPr>
          <w:rStyle w:val="Refdenotaalpie"/>
          <w:snapToGrid w:val="0"/>
          <w:kern w:val="22"/>
          <w:szCs w:val="22"/>
          <w:lang w:val="es-ES"/>
        </w:rPr>
        <w:footnoteReference w:id="24"/>
      </w:r>
      <w:r w:rsidR="00AA31A9" w:rsidRPr="00747A77">
        <w:rPr>
          <w:snapToGrid w:val="0"/>
          <w:kern w:val="22"/>
          <w:szCs w:val="22"/>
          <w:lang w:val="es-ES"/>
        </w:rPr>
        <w:t>,</w:t>
      </w:r>
      <w:r w:rsidRPr="00747A77">
        <w:rPr>
          <w:snapToGrid w:val="0"/>
          <w:kern w:val="22"/>
          <w:szCs w:val="22"/>
          <w:lang w:val="es-ES"/>
        </w:rPr>
        <w:t xml:space="preserve"> realizado en Berlín del 5 al 8 de diciembre de 2017, y </w:t>
      </w:r>
      <w:r w:rsidRPr="00747A77">
        <w:rPr>
          <w:i/>
          <w:iCs/>
          <w:snapToGrid w:val="0"/>
          <w:kern w:val="22"/>
          <w:szCs w:val="22"/>
          <w:lang w:val="es-ES"/>
        </w:rPr>
        <w:t xml:space="preserve">ratifica </w:t>
      </w:r>
      <w:r w:rsidRPr="00747A77">
        <w:rPr>
          <w:snapToGrid w:val="0"/>
          <w:kern w:val="22"/>
          <w:szCs w:val="22"/>
          <w:lang w:val="es-ES"/>
        </w:rPr>
        <w:t xml:space="preserve">la serie de opciones que figuran en el anexo </w:t>
      </w:r>
      <w:r w:rsidR="00FD4AAE">
        <w:rPr>
          <w:snapToGrid w:val="0"/>
          <w:kern w:val="22"/>
          <w:szCs w:val="22"/>
          <w:lang w:val="es-ES"/>
        </w:rPr>
        <w:t>de</w:t>
      </w:r>
      <w:r w:rsidRPr="00747A77">
        <w:rPr>
          <w:snapToGrid w:val="0"/>
          <w:kern w:val="22"/>
          <w:szCs w:val="22"/>
          <w:lang w:val="es-ES"/>
        </w:rPr>
        <w:t>l presente proyecto de decisión</w:t>
      </w:r>
      <w:r w:rsidRPr="00747A77">
        <w:rPr>
          <w:rStyle w:val="Refdenotaalpie"/>
          <w:snapToGrid w:val="0"/>
          <w:kern w:val="22"/>
          <w:szCs w:val="22"/>
          <w:lang w:val="es-ES"/>
        </w:rPr>
        <w:footnoteReference w:id="25"/>
      </w:r>
      <w:r w:rsidR="00AA31A9" w:rsidRPr="00747A77">
        <w:rPr>
          <w:snapToGrid w:val="0"/>
          <w:kern w:val="22"/>
          <w:szCs w:val="22"/>
          <w:lang w:val="es-ES"/>
        </w:rPr>
        <w:t>:</w:t>
      </w:r>
    </w:p>
    <w:p w:rsidR="00125688" w:rsidRPr="00747A77" w:rsidRDefault="00E563DC" w:rsidP="006F4285">
      <w:pPr>
        <w:suppressLineNumbers/>
        <w:suppressAutoHyphens/>
        <w:kinsoku w:val="0"/>
        <w:overflowPunct w:val="0"/>
        <w:autoSpaceDE w:val="0"/>
        <w:autoSpaceDN w:val="0"/>
        <w:spacing w:after="120"/>
        <w:ind w:firstLine="720"/>
        <w:rPr>
          <w:snapToGrid w:val="0"/>
          <w:kern w:val="22"/>
          <w:szCs w:val="22"/>
          <w:lang w:val="es-ES"/>
        </w:rPr>
      </w:pPr>
      <w:r w:rsidRPr="00747A77">
        <w:rPr>
          <w:snapToGrid w:val="0"/>
          <w:kern w:val="22"/>
          <w:szCs w:val="22"/>
          <w:lang w:val="es-ES"/>
        </w:rPr>
        <w:t>a)</w:t>
      </w:r>
      <w:r w:rsidRPr="00747A77">
        <w:rPr>
          <w:snapToGrid w:val="0"/>
          <w:kern w:val="22"/>
          <w:szCs w:val="22"/>
          <w:lang w:val="es-ES"/>
        </w:rPr>
        <w:tab/>
        <w:t>para los casos relativos a los procedimientos previstos en el Convenio para modificar la descripción de áreas que cumplen los criterios para las AIEB y para describir nuevas áreas, tanto dentro como fuera de la jurisdicción nacional, respetando plenamente la soberanía, derechos soberanos y jurisdicción de los Estados costeros;</w:t>
      </w:r>
    </w:p>
    <w:p w:rsidR="00125688" w:rsidRPr="00747A77" w:rsidRDefault="00E563DC" w:rsidP="006F4285">
      <w:pPr>
        <w:suppressLineNumbers/>
        <w:suppressAutoHyphens/>
        <w:kinsoku w:val="0"/>
        <w:overflowPunct w:val="0"/>
        <w:autoSpaceDE w:val="0"/>
        <w:autoSpaceDN w:val="0"/>
        <w:spacing w:after="120"/>
        <w:ind w:firstLine="720"/>
        <w:rPr>
          <w:snapToGrid w:val="0"/>
          <w:kern w:val="22"/>
          <w:szCs w:val="22"/>
          <w:lang w:val="es-ES"/>
        </w:rPr>
      </w:pPr>
      <w:r w:rsidRPr="00747A77">
        <w:rPr>
          <w:snapToGrid w:val="0"/>
          <w:kern w:val="22"/>
          <w:szCs w:val="22"/>
          <w:lang w:val="es-ES"/>
        </w:rPr>
        <w:t>b)</w:t>
      </w:r>
      <w:r w:rsidRPr="00747A77">
        <w:rPr>
          <w:snapToGrid w:val="0"/>
          <w:kern w:val="22"/>
          <w:szCs w:val="22"/>
          <w:lang w:val="es-ES"/>
        </w:rPr>
        <w:tab/>
        <w:t>para fortalecer la credibilidad científica y la transparencia del proceso de AIEB, entre otras cosas, mejorando la revisión científica por pares por parte de las Partes, otros Gobiernos y organizaciones pertinentes.</w:t>
      </w:r>
    </w:p>
    <w:p w:rsidR="00E563DC" w:rsidRPr="00747A77" w:rsidRDefault="00F20B57" w:rsidP="006F4285">
      <w:pPr>
        <w:pStyle w:val="Para1"/>
        <w:numPr>
          <w:ilvl w:val="0"/>
          <w:numId w:val="0"/>
        </w:numPr>
        <w:suppressLineNumbers/>
        <w:suppressAutoHyphens/>
        <w:kinsoku w:val="0"/>
        <w:overflowPunct w:val="0"/>
        <w:autoSpaceDE w:val="0"/>
        <w:autoSpaceDN w:val="0"/>
        <w:ind w:firstLine="720"/>
        <w:rPr>
          <w:kern w:val="22"/>
          <w:szCs w:val="22"/>
          <w:lang w:val="es-ES"/>
        </w:rPr>
      </w:pPr>
      <w:r w:rsidRPr="00747A77">
        <w:rPr>
          <w:kern w:val="22"/>
          <w:szCs w:val="22"/>
          <w:lang w:val="es-ES"/>
        </w:rPr>
        <w:lastRenderedPageBreak/>
        <w:t>3.</w:t>
      </w:r>
      <w:r w:rsidRPr="00747A77">
        <w:rPr>
          <w:kern w:val="22"/>
          <w:szCs w:val="22"/>
          <w:lang w:val="es-ES"/>
        </w:rPr>
        <w:tab/>
      </w:r>
      <w:r w:rsidRPr="00747A77">
        <w:rPr>
          <w:i/>
          <w:iCs/>
          <w:kern w:val="22"/>
          <w:szCs w:val="22"/>
          <w:lang w:val="es-ES"/>
        </w:rPr>
        <w:t>Pide</w:t>
      </w:r>
      <w:r w:rsidRPr="00747A77">
        <w:rPr>
          <w:kern w:val="22"/>
          <w:szCs w:val="22"/>
          <w:lang w:val="es-ES"/>
        </w:rPr>
        <w:t xml:space="preserve"> a</w:t>
      </w:r>
      <w:r w:rsidR="00BE5CFA" w:rsidRPr="00747A77">
        <w:rPr>
          <w:kern w:val="22"/>
          <w:szCs w:val="22"/>
          <w:lang w:val="es-ES"/>
        </w:rPr>
        <w:t xml:space="preserve"> </w:t>
      </w:r>
      <w:r w:rsidRPr="00747A77">
        <w:rPr>
          <w:kern w:val="22"/>
          <w:szCs w:val="22"/>
          <w:lang w:val="es-ES"/>
        </w:rPr>
        <w:t>l</w:t>
      </w:r>
      <w:r w:rsidR="00BE5CFA" w:rsidRPr="00747A77">
        <w:rPr>
          <w:kern w:val="22"/>
          <w:szCs w:val="22"/>
          <w:lang w:val="es-ES"/>
        </w:rPr>
        <w:t>a</w:t>
      </w:r>
      <w:r w:rsidRPr="00747A77">
        <w:rPr>
          <w:kern w:val="22"/>
          <w:szCs w:val="22"/>
          <w:lang w:val="es-ES"/>
        </w:rPr>
        <w:t xml:space="preserve"> Secretari</w:t>
      </w:r>
      <w:r w:rsidR="00BE5CFA" w:rsidRPr="00747A77">
        <w:rPr>
          <w:kern w:val="22"/>
          <w:szCs w:val="22"/>
          <w:lang w:val="es-ES"/>
        </w:rPr>
        <w:t>a</w:t>
      </w:r>
      <w:r w:rsidRPr="00747A77">
        <w:rPr>
          <w:kern w:val="22"/>
          <w:szCs w:val="22"/>
          <w:lang w:val="es-ES"/>
        </w:rPr>
        <w:t xml:space="preserve"> Ejecutiv</w:t>
      </w:r>
      <w:r w:rsidR="00BE5CFA" w:rsidRPr="00747A77">
        <w:rPr>
          <w:kern w:val="22"/>
          <w:szCs w:val="22"/>
          <w:lang w:val="es-ES"/>
        </w:rPr>
        <w:t>a</w:t>
      </w:r>
      <w:r w:rsidRPr="00747A77">
        <w:rPr>
          <w:kern w:val="22"/>
          <w:szCs w:val="22"/>
          <w:lang w:val="es-ES"/>
        </w:rPr>
        <w:t xml:space="preserve"> que trabaje con las Partes, otros Gobiernos y organizaciones pertinentes para facilitar la aplicación de esta serie de opciones, según figuran en el anexo</w:t>
      </w:r>
      <w:r w:rsidR="00BE5CFA" w:rsidRPr="00747A77">
        <w:rPr>
          <w:kern w:val="22"/>
          <w:szCs w:val="22"/>
          <w:lang w:val="es-ES"/>
        </w:rPr>
        <w:t> </w:t>
      </w:r>
      <w:r w:rsidRPr="00747A77">
        <w:rPr>
          <w:kern w:val="22"/>
          <w:szCs w:val="22"/>
          <w:lang w:val="es-ES"/>
        </w:rPr>
        <w:t>I, proporcionando apoyo científico y técnico a las Partes, otros Gobiernos y organizaciones pertinentes, como corresponda.</w:t>
      </w:r>
    </w:p>
    <w:p w:rsidR="009A6208" w:rsidRPr="00747A77" w:rsidRDefault="00F20B57" w:rsidP="006F4285">
      <w:pPr>
        <w:pStyle w:val="Para1"/>
        <w:numPr>
          <w:ilvl w:val="0"/>
          <w:numId w:val="0"/>
        </w:numPr>
        <w:suppressLineNumbers/>
        <w:suppressAutoHyphens/>
        <w:kinsoku w:val="0"/>
        <w:overflowPunct w:val="0"/>
        <w:autoSpaceDE w:val="0"/>
        <w:autoSpaceDN w:val="0"/>
        <w:ind w:firstLine="720"/>
        <w:rPr>
          <w:kern w:val="22"/>
          <w:szCs w:val="22"/>
          <w:highlight w:val="yellow"/>
          <w:lang w:val="es-ES"/>
        </w:rPr>
      </w:pPr>
      <w:r w:rsidRPr="00747A77">
        <w:rPr>
          <w:kern w:val="22"/>
          <w:szCs w:val="22"/>
          <w:lang w:val="es-ES"/>
        </w:rPr>
        <w:t>4.</w:t>
      </w:r>
      <w:r w:rsidRPr="00747A77">
        <w:rPr>
          <w:kern w:val="22"/>
          <w:szCs w:val="22"/>
          <w:lang w:val="es-ES"/>
        </w:rPr>
        <w:tab/>
      </w:r>
      <w:r w:rsidRPr="00747A77">
        <w:rPr>
          <w:i/>
          <w:iCs/>
          <w:kern w:val="22"/>
          <w:szCs w:val="22"/>
          <w:lang w:val="es-ES"/>
        </w:rPr>
        <w:t>Exhorta a</w:t>
      </w:r>
      <w:r w:rsidRPr="00747A77">
        <w:rPr>
          <w:kern w:val="22"/>
          <w:szCs w:val="22"/>
          <w:lang w:val="es-ES"/>
        </w:rPr>
        <w:t xml:space="preserve"> profundizar la colaboración y el intercambio de información entre la Secretaría del Convenio sobre la Diversidad Biológica, la Organización de las Naciones Unidas para la Alimentación y la Agricultura, y las organizaciones regionales de pesca con respecto al uso de información científica sobre áreas que cumplen los criterios para ser consideradas áreas marinas de importancia ecológica o biológica y sobre ecosistemas marinos vulnerables en apoyo al logro de varias Metas de Aichi para la Diversidad Biológica.</w:t>
      </w:r>
    </w:p>
    <w:p w:rsidR="00460BA6" w:rsidRPr="00747A77" w:rsidRDefault="00A930EC" w:rsidP="006F4285">
      <w:pPr>
        <w:pStyle w:val="Ttulo2"/>
        <w:suppressLineNumbers/>
        <w:tabs>
          <w:tab w:val="clear" w:pos="720"/>
        </w:tabs>
        <w:suppressAutoHyphens/>
        <w:kinsoku w:val="0"/>
        <w:overflowPunct w:val="0"/>
        <w:autoSpaceDE w:val="0"/>
        <w:autoSpaceDN w:val="0"/>
        <w:spacing w:before="0" w:after="0"/>
        <w:rPr>
          <w:caps/>
          <w:snapToGrid w:val="0"/>
          <w:kern w:val="22"/>
          <w:szCs w:val="22"/>
          <w:lang w:val="es-ES"/>
        </w:rPr>
      </w:pPr>
      <w:r w:rsidRPr="00747A77">
        <w:rPr>
          <w:iCs w:val="0"/>
          <w:snapToGrid w:val="0"/>
          <w:kern w:val="22"/>
          <w:szCs w:val="22"/>
          <w:lang w:val="es-ES"/>
        </w:rPr>
        <w:t>Otros asuntos</w:t>
      </w:r>
    </w:p>
    <w:p w:rsidR="00460BA6" w:rsidRPr="00747A77" w:rsidRDefault="00857701" w:rsidP="006F4285">
      <w:pPr>
        <w:suppressLineNumbers/>
        <w:suppressAutoHyphens/>
        <w:kinsoku w:val="0"/>
        <w:overflowPunct w:val="0"/>
        <w:autoSpaceDE w:val="0"/>
        <w:autoSpaceDN w:val="0"/>
        <w:spacing w:before="120" w:after="120"/>
        <w:ind w:firstLine="720"/>
        <w:rPr>
          <w:snapToGrid w:val="0"/>
          <w:kern w:val="22"/>
          <w:szCs w:val="22"/>
          <w:lang w:val="es-ES"/>
        </w:rPr>
      </w:pPr>
      <w:r w:rsidRPr="00747A77">
        <w:rPr>
          <w:snapToGrid w:val="0"/>
          <w:kern w:val="22"/>
          <w:szCs w:val="22"/>
          <w:lang w:val="es-ES"/>
        </w:rPr>
        <w:t>5.</w:t>
      </w:r>
      <w:r w:rsidRPr="00747A77">
        <w:rPr>
          <w:snapToGrid w:val="0"/>
          <w:kern w:val="22"/>
          <w:szCs w:val="22"/>
          <w:lang w:val="es-ES"/>
        </w:rPr>
        <w:tab/>
      </w:r>
      <w:r w:rsidRPr="00747A77">
        <w:rPr>
          <w:i/>
          <w:iCs/>
          <w:snapToGrid w:val="0"/>
          <w:kern w:val="22"/>
          <w:szCs w:val="22"/>
          <w:lang w:val="es-ES"/>
        </w:rPr>
        <w:t xml:space="preserve">Toma nota </w:t>
      </w:r>
      <w:r w:rsidRPr="00747A77">
        <w:rPr>
          <w:snapToGrid w:val="0"/>
          <w:kern w:val="22"/>
          <w:szCs w:val="22"/>
          <w:lang w:val="es-ES"/>
        </w:rPr>
        <w:t>del trabajo permanente de</w:t>
      </w:r>
      <w:r w:rsidR="00061A2E" w:rsidRPr="00747A77">
        <w:rPr>
          <w:snapToGrid w:val="0"/>
          <w:kern w:val="22"/>
          <w:szCs w:val="22"/>
          <w:lang w:val="es-ES"/>
        </w:rPr>
        <w:t xml:space="preserve"> </w:t>
      </w:r>
      <w:r w:rsidRPr="00747A77">
        <w:rPr>
          <w:snapToGrid w:val="0"/>
          <w:kern w:val="22"/>
          <w:szCs w:val="22"/>
          <w:lang w:val="es-ES"/>
        </w:rPr>
        <w:t>l</w:t>
      </w:r>
      <w:r w:rsidR="00061A2E" w:rsidRPr="00747A77">
        <w:rPr>
          <w:snapToGrid w:val="0"/>
          <w:kern w:val="22"/>
          <w:szCs w:val="22"/>
          <w:lang w:val="es-ES"/>
        </w:rPr>
        <w:t>a</w:t>
      </w:r>
      <w:r w:rsidRPr="00747A77">
        <w:rPr>
          <w:snapToGrid w:val="0"/>
          <w:kern w:val="22"/>
          <w:szCs w:val="22"/>
          <w:lang w:val="es-ES"/>
        </w:rPr>
        <w:t xml:space="preserve"> Secretari</w:t>
      </w:r>
      <w:r w:rsidR="00061A2E" w:rsidRPr="00747A77">
        <w:rPr>
          <w:snapToGrid w:val="0"/>
          <w:kern w:val="22"/>
          <w:szCs w:val="22"/>
          <w:lang w:val="es-ES"/>
        </w:rPr>
        <w:t>a</w:t>
      </w:r>
      <w:r w:rsidRPr="00747A77">
        <w:rPr>
          <w:snapToGrid w:val="0"/>
          <w:kern w:val="22"/>
          <w:szCs w:val="22"/>
          <w:lang w:val="es-ES"/>
        </w:rPr>
        <w:t xml:space="preserve"> Ejecutiv</w:t>
      </w:r>
      <w:r w:rsidR="00061A2E" w:rsidRPr="00747A77">
        <w:rPr>
          <w:snapToGrid w:val="0"/>
          <w:kern w:val="22"/>
          <w:szCs w:val="22"/>
          <w:lang w:val="es-ES"/>
        </w:rPr>
        <w:t>a</w:t>
      </w:r>
      <w:r w:rsidRPr="00747A77">
        <w:rPr>
          <w:snapToGrid w:val="0"/>
          <w:kern w:val="22"/>
          <w:szCs w:val="22"/>
          <w:lang w:val="es-ES"/>
        </w:rPr>
        <w:t xml:space="preserve"> respecto de la compilación y síntesis de información en relación con lo siguiente: a) los efectos del ruido submarino antropógeno en la diversidad biológica marina y costera y los medios para minimizar y mitigar estos efectos, y b) las experiencias con la aplicación de la planificación marina espacial. Asimismo, </w:t>
      </w:r>
      <w:r w:rsidRPr="00747A77">
        <w:rPr>
          <w:i/>
          <w:iCs/>
          <w:snapToGrid w:val="0"/>
          <w:kern w:val="22"/>
          <w:szCs w:val="22"/>
          <w:lang w:val="es-ES"/>
        </w:rPr>
        <w:t>alienta</w:t>
      </w:r>
      <w:r w:rsidRPr="00747A77">
        <w:rPr>
          <w:snapToGrid w:val="0"/>
          <w:kern w:val="22"/>
          <w:szCs w:val="22"/>
          <w:lang w:val="es-ES"/>
        </w:rPr>
        <w:t xml:space="preserve"> a las Partes, otros Gobiernos y organizaciones pertinentes a hacer uso de dicha información.</w:t>
      </w:r>
    </w:p>
    <w:p w:rsidR="00460BA6" w:rsidRPr="00747A77" w:rsidRDefault="00857701" w:rsidP="006F4285">
      <w:pPr>
        <w:suppressLineNumbers/>
        <w:suppressAutoHyphens/>
        <w:kinsoku w:val="0"/>
        <w:overflowPunct w:val="0"/>
        <w:autoSpaceDE w:val="0"/>
        <w:autoSpaceDN w:val="0"/>
        <w:spacing w:before="120" w:after="120"/>
        <w:ind w:firstLine="720"/>
        <w:rPr>
          <w:snapToGrid w:val="0"/>
          <w:kern w:val="22"/>
          <w:szCs w:val="22"/>
          <w:lang w:val="es-ES"/>
        </w:rPr>
      </w:pPr>
      <w:r w:rsidRPr="00747A77">
        <w:rPr>
          <w:snapToGrid w:val="0"/>
          <w:kern w:val="22"/>
          <w:szCs w:val="22"/>
          <w:lang w:val="es-ES"/>
        </w:rPr>
        <w:t>6.</w:t>
      </w:r>
      <w:r w:rsidRPr="00747A77">
        <w:rPr>
          <w:snapToGrid w:val="0"/>
          <w:kern w:val="22"/>
          <w:szCs w:val="22"/>
          <w:lang w:val="es-ES"/>
        </w:rPr>
        <w:tab/>
      </w:r>
      <w:r w:rsidRPr="00747A77">
        <w:rPr>
          <w:i/>
          <w:iCs/>
          <w:snapToGrid w:val="0"/>
          <w:kern w:val="22"/>
          <w:szCs w:val="22"/>
          <w:lang w:val="es-ES"/>
        </w:rPr>
        <w:t>Acoge con beneplácito</w:t>
      </w:r>
      <w:r w:rsidRPr="00747A77">
        <w:rPr>
          <w:snapToGrid w:val="0"/>
          <w:kern w:val="22"/>
          <w:szCs w:val="22"/>
          <w:lang w:val="es-ES"/>
        </w:rPr>
        <w:t xml:space="preserve"> las actividades de creación de capacidad </w:t>
      </w:r>
      <w:r w:rsidR="00061A2E" w:rsidRPr="00747A77">
        <w:rPr>
          <w:snapToGrid w:val="0"/>
          <w:kern w:val="22"/>
          <w:szCs w:val="22"/>
          <w:lang w:val="es-ES"/>
        </w:rPr>
        <w:t xml:space="preserve">y asociaciones facilitadas por </w:t>
      </w:r>
      <w:r w:rsidRPr="00747A77">
        <w:rPr>
          <w:snapToGrid w:val="0"/>
          <w:kern w:val="22"/>
          <w:szCs w:val="22"/>
          <w:lang w:val="es-ES"/>
        </w:rPr>
        <w:t>l</w:t>
      </w:r>
      <w:r w:rsidR="00061A2E" w:rsidRPr="00747A77">
        <w:rPr>
          <w:snapToGrid w:val="0"/>
          <w:kern w:val="22"/>
          <w:szCs w:val="22"/>
          <w:lang w:val="es-ES"/>
        </w:rPr>
        <w:t>a</w:t>
      </w:r>
      <w:r w:rsidRPr="00747A77">
        <w:rPr>
          <w:snapToGrid w:val="0"/>
          <w:kern w:val="22"/>
          <w:szCs w:val="22"/>
          <w:lang w:val="es-ES"/>
        </w:rPr>
        <w:t xml:space="preserve"> Secretari</w:t>
      </w:r>
      <w:r w:rsidR="00061A2E" w:rsidRPr="00747A77">
        <w:rPr>
          <w:snapToGrid w:val="0"/>
          <w:kern w:val="22"/>
          <w:szCs w:val="22"/>
          <w:lang w:val="es-ES"/>
        </w:rPr>
        <w:t>a</w:t>
      </w:r>
      <w:r w:rsidRPr="00747A77">
        <w:rPr>
          <w:snapToGrid w:val="0"/>
          <w:kern w:val="22"/>
          <w:szCs w:val="22"/>
          <w:lang w:val="es-ES"/>
        </w:rPr>
        <w:t xml:space="preserve"> Ejecutiv</w:t>
      </w:r>
      <w:r w:rsidR="00061A2E" w:rsidRPr="00747A77">
        <w:rPr>
          <w:snapToGrid w:val="0"/>
          <w:kern w:val="22"/>
          <w:szCs w:val="22"/>
          <w:lang w:val="es-ES"/>
        </w:rPr>
        <w:t>a</w:t>
      </w:r>
      <w:r w:rsidRPr="00747A77">
        <w:rPr>
          <w:snapToGrid w:val="0"/>
          <w:kern w:val="22"/>
          <w:szCs w:val="22"/>
          <w:lang w:val="es-ES"/>
        </w:rPr>
        <w:t xml:space="preserve"> a través de la Iniciativa de Océanos Sostenibles a nivel nacional, regional y mundial en colaboración con las Partes, otros Gobiernos y organizaciones pertinentes, y </w:t>
      </w:r>
      <w:r w:rsidRPr="00747A77">
        <w:rPr>
          <w:i/>
          <w:iCs/>
          <w:snapToGrid w:val="0"/>
          <w:kern w:val="22"/>
          <w:szCs w:val="22"/>
          <w:lang w:val="es-ES"/>
        </w:rPr>
        <w:t>expresa su gratitud</w:t>
      </w:r>
      <w:r w:rsidRPr="00747A77">
        <w:rPr>
          <w:snapToGrid w:val="0"/>
          <w:kern w:val="22"/>
          <w:szCs w:val="22"/>
          <w:lang w:val="es-ES"/>
        </w:rPr>
        <w:t xml:space="preserve"> a los países donantes y muchos otros asociados por su apoyo financiero y técnico a la realización de actividades relativas a la Iniciativa de Océanos Sostenibles.</w:t>
      </w:r>
    </w:p>
    <w:p w:rsidR="00460BA6" w:rsidRPr="00747A77" w:rsidRDefault="00857701" w:rsidP="006F4285">
      <w:pPr>
        <w:suppressLineNumbers/>
        <w:suppressAutoHyphens/>
        <w:kinsoku w:val="0"/>
        <w:overflowPunct w:val="0"/>
        <w:autoSpaceDE w:val="0"/>
        <w:autoSpaceDN w:val="0"/>
        <w:spacing w:before="120" w:after="120"/>
        <w:ind w:firstLine="720"/>
        <w:rPr>
          <w:snapToGrid w:val="0"/>
          <w:kern w:val="22"/>
          <w:szCs w:val="22"/>
          <w:lang w:val="es-ES"/>
        </w:rPr>
      </w:pPr>
      <w:r w:rsidRPr="00747A77">
        <w:rPr>
          <w:snapToGrid w:val="0"/>
          <w:kern w:val="22"/>
          <w:szCs w:val="22"/>
          <w:lang w:val="es-ES"/>
        </w:rPr>
        <w:t>7.</w:t>
      </w:r>
      <w:r w:rsidRPr="00747A77">
        <w:rPr>
          <w:snapToGrid w:val="0"/>
          <w:kern w:val="22"/>
          <w:szCs w:val="22"/>
          <w:lang w:val="es-ES"/>
        </w:rPr>
        <w:tab/>
      </w:r>
      <w:r w:rsidRPr="00747A77">
        <w:rPr>
          <w:i/>
          <w:iCs/>
          <w:snapToGrid w:val="0"/>
          <w:kern w:val="22"/>
          <w:szCs w:val="22"/>
          <w:lang w:val="es-ES"/>
        </w:rPr>
        <w:t xml:space="preserve">También acoge con beneplácito </w:t>
      </w:r>
      <w:r w:rsidRPr="00747A77">
        <w:rPr>
          <w:snapToGrid w:val="0"/>
          <w:kern w:val="22"/>
          <w:szCs w:val="22"/>
          <w:lang w:val="es-ES"/>
        </w:rPr>
        <w:t xml:space="preserve">los esfuerzos de colaboración entre la Secretaría, el Programa de las Naciones Unidas para el Medio Ambiente, la Organización de las Naciones Unidas para la Agricultura y la Alimentación, convenios y planes de acción regionales sobre mares, organizaciones regionales de pesca, proyectos y programas sobre grandes ecosistemas marinos y otras iniciativas regionales pertinentes para fortalecer la cooperación intersectorial a escala regional con miras a acelerar los progresos hacia el logro de las Metas de Aichi para la Diversidad Biológica y los Objetivos de Desarrollo Sostenible pertinentes como, por ejemplo, a través del Diálogo Global de la Iniciativa de Océanos Sostenibles, y </w:t>
      </w:r>
      <w:r w:rsidRPr="00747A77">
        <w:rPr>
          <w:i/>
          <w:iCs/>
          <w:snapToGrid w:val="0"/>
          <w:kern w:val="22"/>
          <w:szCs w:val="22"/>
          <w:lang w:val="es-ES"/>
        </w:rPr>
        <w:t>pide</w:t>
      </w:r>
      <w:r w:rsidRPr="00747A77">
        <w:rPr>
          <w:snapToGrid w:val="0"/>
          <w:kern w:val="22"/>
          <w:szCs w:val="22"/>
          <w:lang w:val="es-ES"/>
        </w:rPr>
        <w:t xml:space="preserve"> a</w:t>
      </w:r>
      <w:r w:rsidR="00061A2E" w:rsidRPr="00747A77">
        <w:rPr>
          <w:snapToGrid w:val="0"/>
          <w:kern w:val="22"/>
          <w:szCs w:val="22"/>
          <w:lang w:val="es-ES"/>
        </w:rPr>
        <w:t xml:space="preserve"> </w:t>
      </w:r>
      <w:r w:rsidRPr="00747A77">
        <w:rPr>
          <w:snapToGrid w:val="0"/>
          <w:kern w:val="22"/>
          <w:szCs w:val="22"/>
          <w:lang w:val="es-ES"/>
        </w:rPr>
        <w:t>l</w:t>
      </w:r>
      <w:r w:rsidR="00061A2E" w:rsidRPr="00747A77">
        <w:rPr>
          <w:snapToGrid w:val="0"/>
          <w:kern w:val="22"/>
          <w:szCs w:val="22"/>
          <w:lang w:val="es-ES"/>
        </w:rPr>
        <w:t>a</w:t>
      </w:r>
      <w:r w:rsidRPr="00747A77">
        <w:rPr>
          <w:snapToGrid w:val="0"/>
          <w:kern w:val="22"/>
          <w:szCs w:val="22"/>
          <w:lang w:val="es-ES"/>
        </w:rPr>
        <w:t xml:space="preserve"> Secretari</w:t>
      </w:r>
      <w:r w:rsidR="00061A2E" w:rsidRPr="00747A77">
        <w:rPr>
          <w:snapToGrid w:val="0"/>
          <w:kern w:val="22"/>
          <w:szCs w:val="22"/>
          <w:lang w:val="es-ES"/>
        </w:rPr>
        <w:t>a</w:t>
      </w:r>
      <w:r w:rsidRPr="00747A77">
        <w:rPr>
          <w:snapToGrid w:val="0"/>
          <w:kern w:val="22"/>
          <w:szCs w:val="22"/>
          <w:lang w:val="es-ES"/>
        </w:rPr>
        <w:t xml:space="preserve"> Ejecutiv</w:t>
      </w:r>
      <w:r w:rsidR="00061A2E" w:rsidRPr="00747A77">
        <w:rPr>
          <w:snapToGrid w:val="0"/>
          <w:kern w:val="22"/>
          <w:szCs w:val="22"/>
          <w:lang w:val="es-ES"/>
        </w:rPr>
        <w:t>a</w:t>
      </w:r>
      <w:r w:rsidRPr="00747A77">
        <w:rPr>
          <w:snapToGrid w:val="0"/>
          <w:kern w:val="22"/>
          <w:szCs w:val="22"/>
          <w:lang w:val="es-ES"/>
        </w:rPr>
        <w:t xml:space="preserve"> que transmita los resultados de su primera y segunda reunión a los procesos regionales y mundiales pertinentes y que colabore con las Partes, otros Gobiernos, organizaciones pertinentes y donantes a fin de facilitar la aplicación de dichos resultados en el terreno.</w:t>
      </w:r>
    </w:p>
    <w:p w:rsidR="00460BA6" w:rsidRPr="00747A77" w:rsidRDefault="00F20B57" w:rsidP="006F4285">
      <w:pPr>
        <w:suppressLineNumbers/>
        <w:suppressAutoHyphens/>
        <w:kinsoku w:val="0"/>
        <w:overflowPunct w:val="0"/>
        <w:autoSpaceDE w:val="0"/>
        <w:autoSpaceDN w:val="0"/>
        <w:spacing w:before="120" w:after="120"/>
        <w:ind w:firstLine="720"/>
        <w:rPr>
          <w:snapToGrid w:val="0"/>
          <w:kern w:val="22"/>
          <w:szCs w:val="22"/>
          <w:lang w:val="es-ES"/>
        </w:rPr>
      </w:pPr>
      <w:r w:rsidRPr="00747A77">
        <w:rPr>
          <w:snapToGrid w:val="0"/>
          <w:kern w:val="22"/>
          <w:szCs w:val="22"/>
          <w:lang w:val="es-ES"/>
        </w:rPr>
        <w:t>8.</w:t>
      </w:r>
      <w:r w:rsidRPr="00747A77">
        <w:rPr>
          <w:snapToGrid w:val="0"/>
          <w:kern w:val="22"/>
          <w:szCs w:val="22"/>
          <w:lang w:val="es-ES"/>
        </w:rPr>
        <w:tab/>
      </w:r>
      <w:r w:rsidRPr="00747A77">
        <w:rPr>
          <w:i/>
          <w:iCs/>
          <w:snapToGrid w:val="0"/>
          <w:kern w:val="22"/>
          <w:szCs w:val="22"/>
          <w:lang w:val="es-ES"/>
        </w:rPr>
        <w:t>Invita</w:t>
      </w:r>
      <w:r w:rsidRPr="00747A77">
        <w:rPr>
          <w:snapToGrid w:val="0"/>
          <w:kern w:val="22"/>
          <w:szCs w:val="22"/>
          <w:lang w:val="es-ES"/>
        </w:rPr>
        <w:t xml:space="preserve"> a la Organización de las Naciones Unidas para la Alimentación y la Agricultura y a las organizaciones regionales de pesca a aportar información científica y compilaciones de experiencias y lecciones aprendidas, según corresponda, para la preparación de la quinta edición de </w:t>
      </w:r>
      <w:r w:rsidRPr="00747A77">
        <w:rPr>
          <w:i/>
          <w:iCs/>
          <w:snapToGrid w:val="0"/>
          <w:kern w:val="22"/>
          <w:szCs w:val="22"/>
          <w:lang w:val="es-ES"/>
        </w:rPr>
        <w:t>Perspectiva Mundial sobre la Diversidad Biológica</w:t>
      </w:r>
      <w:r w:rsidRPr="00747A77">
        <w:rPr>
          <w:snapToGrid w:val="0"/>
          <w:kern w:val="22"/>
          <w:szCs w:val="22"/>
          <w:lang w:val="es-ES"/>
        </w:rPr>
        <w:t>.</w:t>
      </w:r>
    </w:p>
    <w:p w:rsidR="00F20B57" w:rsidRPr="00747A77" w:rsidRDefault="00F20B57" w:rsidP="006F4285">
      <w:pPr>
        <w:suppressLineNumbers/>
        <w:suppressAutoHyphens/>
        <w:kinsoku w:val="0"/>
        <w:overflowPunct w:val="0"/>
        <w:autoSpaceDE w:val="0"/>
        <w:autoSpaceDN w:val="0"/>
        <w:spacing w:before="120" w:after="120"/>
        <w:ind w:firstLine="720"/>
        <w:rPr>
          <w:snapToGrid w:val="0"/>
          <w:kern w:val="22"/>
          <w:szCs w:val="22"/>
          <w:lang w:val="es-ES"/>
        </w:rPr>
      </w:pPr>
      <w:r w:rsidRPr="00747A77">
        <w:rPr>
          <w:snapToGrid w:val="0"/>
          <w:kern w:val="22"/>
          <w:szCs w:val="22"/>
          <w:lang w:val="es-ES"/>
        </w:rPr>
        <w:t>9.</w:t>
      </w:r>
      <w:r w:rsidRPr="00747A77">
        <w:rPr>
          <w:snapToGrid w:val="0"/>
          <w:kern w:val="22"/>
          <w:szCs w:val="22"/>
          <w:lang w:val="es-ES"/>
        </w:rPr>
        <w:tab/>
      </w:r>
      <w:r w:rsidRPr="00747A77">
        <w:rPr>
          <w:i/>
          <w:iCs/>
          <w:snapToGrid w:val="0"/>
          <w:kern w:val="22"/>
          <w:szCs w:val="22"/>
          <w:lang w:val="es-ES"/>
        </w:rPr>
        <w:t>Acoge con beneplácito</w:t>
      </w:r>
      <w:r w:rsidRPr="00747A77">
        <w:rPr>
          <w:snapToGrid w:val="0"/>
          <w:kern w:val="22"/>
          <w:szCs w:val="22"/>
          <w:lang w:val="es-ES"/>
        </w:rPr>
        <w:t xml:space="preserve"> la cooperación entre la Organización de las Naciones Unidas para la Alimentación y la Agricultura, la Unión Internacional para la Conservación de la Naturaleza y l</w:t>
      </w:r>
      <w:r w:rsidR="00061A2E" w:rsidRPr="00747A77">
        <w:rPr>
          <w:snapToGrid w:val="0"/>
          <w:kern w:val="22"/>
          <w:szCs w:val="22"/>
          <w:lang w:val="es-ES"/>
        </w:rPr>
        <w:t>a</w:t>
      </w:r>
      <w:r w:rsidRPr="00747A77">
        <w:rPr>
          <w:snapToGrid w:val="0"/>
          <w:kern w:val="22"/>
          <w:szCs w:val="22"/>
          <w:lang w:val="es-ES"/>
        </w:rPr>
        <w:t xml:space="preserve"> Secretari</w:t>
      </w:r>
      <w:r w:rsidR="00061A2E" w:rsidRPr="00747A77">
        <w:rPr>
          <w:snapToGrid w:val="0"/>
          <w:kern w:val="22"/>
          <w:szCs w:val="22"/>
          <w:lang w:val="es-ES"/>
        </w:rPr>
        <w:t>a</w:t>
      </w:r>
      <w:r w:rsidRPr="00747A77">
        <w:rPr>
          <w:snapToGrid w:val="0"/>
          <w:kern w:val="22"/>
          <w:szCs w:val="22"/>
          <w:lang w:val="es-ES"/>
        </w:rPr>
        <w:t xml:space="preserve"> Ejecutiv</w:t>
      </w:r>
      <w:r w:rsidR="00061A2E" w:rsidRPr="00747A77">
        <w:rPr>
          <w:snapToGrid w:val="0"/>
          <w:kern w:val="22"/>
          <w:szCs w:val="22"/>
          <w:lang w:val="es-ES"/>
        </w:rPr>
        <w:t>a</w:t>
      </w:r>
      <w:r w:rsidRPr="00747A77">
        <w:rPr>
          <w:snapToGrid w:val="0"/>
          <w:kern w:val="22"/>
          <w:szCs w:val="22"/>
          <w:lang w:val="es-ES"/>
        </w:rPr>
        <w:t xml:space="preserve">, dirigida a apoyar y mejorar la presentación de informes y el logro de la Meta 6 de Aichi para la Diversidad Biológica, y </w:t>
      </w:r>
      <w:r w:rsidRPr="00747A77">
        <w:rPr>
          <w:i/>
          <w:iCs/>
          <w:snapToGrid w:val="0"/>
          <w:kern w:val="22"/>
          <w:szCs w:val="22"/>
          <w:lang w:val="es-ES"/>
        </w:rPr>
        <w:t>pide</w:t>
      </w:r>
      <w:r w:rsidRPr="00747A77">
        <w:rPr>
          <w:snapToGrid w:val="0"/>
          <w:kern w:val="22"/>
          <w:szCs w:val="22"/>
          <w:lang w:val="es-ES"/>
        </w:rPr>
        <w:t xml:space="preserve"> a</w:t>
      </w:r>
      <w:r w:rsidR="00BE5CFA" w:rsidRPr="00747A77">
        <w:rPr>
          <w:snapToGrid w:val="0"/>
          <w:kern w:val="22"/>
          <w:szCs w:val="22"/>
          <w:lang w:val="es-ES"/>
        </w:rPr>
        <w:t xml:space="preserve"> la </w:t>
      </w:r>
      <w:r w:rsidRPr="00747A77">
        <w:rPr>
          <w:snapToGrid w:val="0"/>
          <w:kern w:val="22"/>
          <w:szCs w:val="22"/>
          <w:lang w:val="es-ES"/>
        </w:rPr>
        <w:t>Secretari</w:t>
      </w:r>
      <w:r w:rsidR="00BE5CFA" w:rsidRPr="00747A77">
        <w:rPr>
          <w:snapToGrid w:val="0"/>
          <w:kern w:val="22"/>
          <w:szCs w:val="22"/>
          <w:lang w:val="es-ES"/>
        </w:rPr>
        <w:t>a</w:t>
      </w:r>
      <w:r w:rsidRPr="00747A77">
        <w:rPr>
          <w:snapToGrid w:val="0"/>
          <w:kern w:val="22"/>
          <w:szCs w:val="22"/>
          <w:lang w:val="es-ES"/>
        </w:rPr>
        <w:t xml:space="preserve"> Ejecutiv</w:t>
      </w:r>
      <w:r w:rsidR="00BE5CFA" w:rsidRPr="00747A77">
        <w:rPr>
          <w:snapToGrid w:val="0"/>
          <w:kern w:val="22"/>
          <w:szCs w:val="22"/>
          <w:lang w:val="es-ES"/>
        </w:rPr>
        <w:t>a</w:t>
      </w:r>
      <w:r w:rsidRPr="00747A77">
        <w:rPr>
          <w:snapToGrid w:val="0"/>
          <w:kern w:val="22"/>
          <w:szCs w:val="22"/>
          <w:lang w:val="es-ES"/>
        </w:rPr>
        <w:t xml:space="preserve"> que continúe con esta cooperación.</w:t>
      </w:r>
    </w:p>
    <w:p w:rsidR="008D0540" w:rsidRPr="00747A77" w:rsidRDefault="001F05E5" w:rsidP="006F4285">
      <w:pPr>
        <w:suppressLineNumbers/>
        <w:suppressAutoHyphens/>
        <w:kinsoku w:val="0"/>
        <w:overflowPunct w:val="0"/>
        <w:autoSpaceDE w:val="0"/>
        <w:autoSpaceDN w:val="0"/>
        <w:jc w:val="center"/>
        <w:rPr>
          <w:i/>
          <w:snapToGrid w:val="0"/>
          <w:kern w:val="22"/>
          <w:szCs w:val="22"/>
          <w:lang w:val="es-ES"/>
        </w:rPr>
      </w:pPr>
      <w:r w:rsidRPr="00747A77">
        <w:rPr>
          <w:i/>
          <w:iCs/>
          <w:snapToGrid w:val="0"/>
          <w:kern w:val="22"/>
          <w:szCs w:val="22"/>
          <w:lang w:val="es-ES"/>
        </w:rPr>
        <w:t>Anexo</w:t>
      </w:r>
    </w:p>
    <w:p w:rsidR="001F05E5" w:rsidRPr="00747A77" w:rsidRDefault="008D1D15" w:rsidP="006F4285">
      <w:pPr>
        <w:pStyle w:val="HEADINGNOTFORTOC"/>
        <w:suppressLineNumbers/>
        <w:tabs>
          <w:tab w:val="clear" w:pos="720"/>
        </w:tabs>
        <w:suppressAutoHyphens/>
        <w:kinsoku w:val="0"/>
        <w:overflowPunct w:val="0"/>
        <w:autoSpaceDE w:val="0"/>
        <w:autoSpaceDN w:val="0"/>
        <w:spacing w:before="120"/>
        <w:rPr>
          <w:snapToGrid w:val="0"/>
          <w:kern w:val="22"/>
          <w:szCs w:val="22"/>
          <w:lang w:val="es-ES"/>
        </w:rPr>
      </w:pPr>
      <w:r w:rsidRPr="00747A77">
        <w:rPr>
          <w:bCs/>
          <w:snapToGrid w:val="0"/>
          <w:kern w:val="22"/>
          <w:szCs w:val="22"/>
          <w:lang w:val="es-ES"/>
        </w:rPr>
        <w:lastRenderedPageBreak/>
        <w:t>Opciones para modificar la descripción de las áreas marinas de importancia ecológica o biológica (AIEB), para describir nuevas áreas y para fortalecer la credibilidad científica y transparencia de este proceso</w:t>
      </w:r>
    </w:p>
    <w:p w:rsidR="000A0D51" w:rsidRPr="00747A77" w:rsidRDefault="008B60B4" w:rsidP="006F4285">
      <w:pPr>
        <w:pStyle w:val="Ttulo1"/>
        <w:suppressLineNumbers/>
        <w:tabs>
          <w:tab w:val="clear" w:pos="720"/>
          <w:tab w:val="left" w:pos="360"/>
        </w:tabs>
        <w:suppressAutoHyphens/>
        <w:kinsoku w:val="0"/>
        <w:overflowPunct w:val="0"/>
        <w:autoSpaceDE w:val="0"/>
        <w:autoSpaceDN w:val="0"/>
        <w:spacing w:before="120"/>
        <w:rPr>
          <w:b w:val="0"/>
          <w:snapToGrid w:val="0"/>
          <w:color w:val="000000"/>
          <w:kern w:val="22"/>
          <w:szCs w:val="22"/>
          <w:lang w:val="es-ES"/>
        </w:rPr>
      </w:pPr>
      <w:r w:rsidRPr="00747A77">
        <w:rPr>
          <w:bCs/>
          <w:snapToGrid w:val="0"/>
          <w:color w:val="000000"/>
          <w:kern w:val="22"/>
          <w:szCs w:val="22"/>
          <w:lang w:val="es-ES"/>
        </w:rPr>
        <w:t>I.</w:t>
      </w:r>
      <w:r w:rsidRPr="00747A77">
        <w:rPr>
          <w:bCs/>
          <w:snapToGrid w:val="0"/>
          <w:color w:val="000000"/>
          <w:kern w:val="22"/>
          <w:szCs w:val="22"/>
          <w:lang w:val="es-ES"/>
        </w:rPr>
        <w:tab/>
        <w:t>Modificación de las AIEB existentes</w:t>
      </w:r>
    </w:p>
    <w:p w:rsidR="00900CE3" w:rsidRPr="00747A77" w:rsidRDefault="008B60B4" w:rsidP="006F4285">
      <w:pPr>
        <w:pStyle w:val="Ttulo2"/>
        <w:suppressLineNumbers/>
        <w:tabs>
          <w:tab w:val="clear" w:pos="720"/>
          <w:tab w:val="left" w:pos="360"/>
        </w:tabs>
        <w:suppressAutoHyphens/>
        <w:kinsoku w:val="0"/>
        <w:overflowPunct w:val="0"/>
        <w:autoSpaceDE w:val="0"/>
        <w:autoSpaceDN w:val="0"/>
        <w:spacing w:before="0" w:after="0"/>
        <w:rPr>
          <w:b w:val="0"/>
          <w:snapToGrid w:val="0"/>
          <w:kern w:val="22"/>
          <w:szCs w:val="22"/>
          <w:lang w:val="es-ES"/>
        </w:rPr>
      </w:pPr>
      <w:r w:rsidRPr="00747A77">
        <w:rPr>
          <w:iCs w:val="0"/>
          <w:snapToGrid w:val="0"/>
          <w:kern w:val="22"/>
          <w:szCs w:val="22"/>
          <w:lang w:val="es-ES"/>
        </w:rPr>
        <w:t>A.</w:t>
      </w:r>
      <w:r w:rsidRPr="00747A77">
        <w:rPr>
          <w:iCs w:val="0"/>
          <w:snapToGrid w:val="0"/>
          <w:kern w:val="22"/>
          <w:szCs w:val="22"/>
          <w:lang w:val="es-ES"/>
        </w:rPr>
        <w:tab/>
        <w:t>Modificación en el proceso actual</w:t>
      </w:r>
    </w:p>
    <w:p w:rsidR="000A0D51" w:rsidRPr="00747A77" w:rsidRDefault="000A0D51" w:rsidP="006F4285">
      <w:pPr>
        <w:suppressLineNumbers/>
        <w:suppressAutoHyphens/>
        <w:kinsoku w:val="0"/>
        <w:overflowPunct w:val="0"/>
        <w:autoSpaceDE w:val="0"/>
        <w:autoSpaceDN w:val="0"/>
        <w:spacing w:before="120" w:after="120"/>
        <w:rPr>
          <w:snapToGrid w:val="0"/>
          <w:kern w:val="22"/>
          <w:szCs w:val="22"/>
          <w:lang w:val="es-ES"/>
        </w:rPr>
      </w:pPr>
      <w:r w:rsidRPr="00747A77">
        <w:rPr>
          <w:snapToGrid w:val="0"/>
          <w:kern w:val="22"/>
          <w:szCs w:val="22"/>
          <w:lang w:val="es-ES"/>
        </w:rPr>
        <w:t>1.</w:t>
      </w:r>
      <w:r w:rsidRPr="00747A77">
        <w:rPr>
          <w:snapToGrid w:val="0"/>
          <w:kern w:val="22"/>
          <w:szCs w:val="22"/>
          <w:lang w:val="es-ES"/>
        </w:rPr>
        <w:tab/>
        <w:t>La descripción de áreas que cumplen los criterios para las AIEB consta</w:t>
      </w:r>
      <w:r w:rsidR="00FD4AAE" w:rsidRPr="00FD4AAE">
        <w:rPr>
          <w:snapToGrid w:val="0"/>
          <w:kern w:val="22"/>
          <w:szCs w:val="22"/>
          <w:lang w:val="es-ES"/>
        </w:rPr>
        <w:t xml:space="preserve"> </w:t>
      </w:r>
      <w:r w:rsidR="00FD4AAE" w:rsidRPr="00747A77">
        <w:rPr>
          <w:snapToGrid w:val="0"/>
          <w:kern w:val="22"/>
          <w:szCs w:val="22"/>
          <w:lang w:val="es-ES"/>
        </w:rPr>
        <w:t>de</w:t>
      </w:r>
      <w:r w:rsidR="00BE5CFA" w:rsidRPr="00747A77">
        <w:rPr>
          <w:rStyle w:val="Refdenotaalpie"/>
          <w:snapToGrid w:val="0"/>
          <w:kern w:val="22"/>
          <w:szCs w:val="22"/>
          <w:lang w:val="es-ES"/>
        </w:rPr>
        <w:footnoteReference w:id="26"/>
      </w:r>
      <w:r w:rsidRPr="00747A77">
        <w:rPr>
          <w:snapToGrid w:val="0"/>
          <w:kern w:val="22"/>
          <w:szCs w:val="22"/>
          <w:lang w:val="es-ES"/>
        </w:rPr>
        <w:t xml:space="preserve"> un texto descriptivo y un polígono del área, tal como figura en las decisiones pertinentes de la Conferencia de las Partes en el Convenio, como las decisiones XI/17 (anexo), XII/22 (anexo) y XIII/12 (anexo I), y aparece en el repositorio de AIEB y el mapa disponible en www.cbd.int/ebsa. La modificación de la descripción de un área marina de importancia biológica o ecológica existente constituye una modificación que afecta el texto descriptivo de las áreas que cumplen los criterios para las AIEB, tal como figura en las decisiones mencionadas más arriba o en el polígono del área, según aparece en el repositorio mencionado. Las descripciones contenidas en el repositorio de AIEB, según lo solicitado por la Conferencia de las Partes en las decisiones XI/17, XII/22 y XIII/12, podrían ser modificadas por las decisiones adoptadas por la Conferencia de las Partes en futuras reuniones.</w:t>
      </w:r>
    </w:p>
    <w:p w:rsidR="00900CE3" w:rsidRPr="00747A77" w:rsidRDefault="008B60B4" w:rsidP="006F4285">
      <w:pPr>
        <w:pStyle w:val="Ttulo2"/>
        <w:suppressLineNumbers/>
        <w:tabs>
          <w:tab w:val="clear" w:pos="720"/>
          <w:tab w:val="left" w:pos="360"/>
        </w:tabs>
        <w:suppressAutoHyphens/>
        <w:kinsoku w:val="0"/>
        <w:overflowPunct w:val="0"/>
        <w:autoSpaceDE w:val="0"/>
        <w:autoSpaceDN w:val="0"/>
        <w:spacing w:before="0" w:after="0"/>
        <w:rPr>
          <w:b w:val="0"/>
          <w:snapToGrid w:val="0"/>
          <w:kern w:val="22"/>
          <w:szCs w:val="22"/>
          <w:lang w:val="es-ES"/>
        </w:rPr>
      </w:pPr>
      <w:r w:rsidRPr="00747A77">
        <w:rPr>
          <w:iCs w:val="0"/>
          <w:snapToGrid w:val="0"/>
          <w:kern w:val="22"/>
          <w:szCs w:val="22"/>
          <w:lang w:val="es-ES"/>
        </w:rPr>
        <w:t>B.</w:t>
      </w:r>
      <w:r w:rsidRPr="00747A77">
        <w:rPr>
          <w:iCs w:val="0"/>
          <w:snapToGrid w:val="0"/>
          <w:kern w:val="22"/>
          <w:szCs w:val="22"/>
          <w:lang w:val="es-ES"/>
        </w:rPr>
        <w:tab/>
        <w:t>Posibles razones para la modificación de la descripción de AIEB existentes</w:t>
      </w:r>
    </w:p>
    <w:p w:rsidR="000A0D51" w:rsidRPr="00747A77" w:rsidRDefault="000A0D51" w:rsidP="006F4285">
      <w:pPr>
        <w:suppressLineNumbers/>
        <w:suppressAutoHyphens/>
        <w:kinsoku w:val="0"/>
        <w:overflowPunct w:val="0"/>
        <w:autoSpaceDE w:val="0"/>
        <w:autoSpaceDN w:val="0"/>
        <w:spacing w:before="120" w:after="120"/>
        <w:rPr>
          <w:snapToGrid w:val="0"/>
          <w:kern w:val="22"/>
          <w:szCs w:val="22"/>
          <w:lang w:val="es-ES"/>
        </w:rPr>
      </w:pPr>
      <w:r w:rsidRPr="00747A77">
        <w:rPr>
          <w:snapToGrid w:val="0"/>
          <w:kern w:val="22"/>
          <w:szCs w:val="22"/>
          <w:lang w:val="es-ES"/>
        </w:rPr>
        <w:t>2.</w:t>
      </w:r>
      <w:r w:rsidRPr="00747A77">
        <w:rPr>
          <w:snapToGrid w:val="0"/>
          <w:kern w:val="22"/>
          <w:szCs w:val="22"/>
          <w:lang w:val="es-ES"/>
        </w:rPr>
        <w:tab/>
        <w:t>Las posibles razones para la eventual modificación de AIEB existentes podrían ser, entre otras:</w:t>
      </w:r>
    </w:p>
    <w:p w:rsidR="000A0D51" w:rsidRPr="00747A77" w:rsidRDefault="000A0D51" w:rsidP="009252D8">
      <w:pPr>
        <w:numPr>
          <w:ilvl w:val="0"/>
          <w:numId w:val="12"/>
        </w:numPr>
        <w:suppressLineNumbers/>
        <w:suppressAutoHyphens/>
        <w:kinsoku w:val="0"/>
        <w:overflowPunct w:val="0"/>
        <w:autoSpaceDE w:val="0"/>
        <w:autoSpaceDN w:val="0"/>
        <w:spacing w:after="120"/>
        <w:ind w:left="0" w:firstLine="720"/>
        <w:rPr>
          <w:snapToGrid w:val="0"/>
          <w:kern w:val="22"/>
          <w:szCs w:val="22"/>
          <w:lang w:val="es-ES"/>
        </w:rPr>
      </w:pPr>
      <w:r w:rsidRPr="00747A77">
        <w:rPr>
          <w:snapToGrid w:val="0"/>
          <w:kern w:val="22"/>
          <w:szCs w:val="22"/>
          <w:lang w:val="es-ES"/>
        </w:rPr>
        <w:t>nueva información científica y técnica disponible o accesible, con inclusión de los conocimientos tradicionales, acerca de características existentes o de características nuevas asociadas con un área existente;</w:t>
      </w:r>
    </w:p>
    <w:p w:rsidR="000A0D51" w:rsidRPr="00747A77" w:rsidRDefault="000A0D51" w:rsidP="009252D8">
      <w:pPr>
        <w:numPr>
          <w:ilvl w:val="0"/>
          <w:numId w:val="12"/>
        </w:numPr>
        <w:suppressLineNumbers/>
        <w:suppressAutoHyphens/>
        <w:kinsoku w:val="0"/>
        <w:overflowPunct w:val="0"/>
        <w:autoSpaceDE w:val="0"/>
        <w:autoSpaceDN w:val="0"/>
        <w:spacing w:after="120"/>
        <w:ind w:left="0" w:firstLine="720"/>
        <w:rPr>
          <w:snapToGrid w:val="0"/>
          <w:kern w:val="22"/>
          <w:szCs w:val="22"/>
          <w:lang w:val="es-ES"/>
        </w:rPr>
      </w:pPr>
      <w:r w:rsidRPr="00747A77">
        <w:rPr>
          <w:snapToGrid w:val="0"/>
          <w:kern w:val="22"/>
          <w:szCs w:val="22"/>
          <w:lang w:val="es-ES"/>
        </w:rPr>
        <w:t>cambios en la información suministrada por otros procesos intergubernamentales, que hayan sido utilizados en la aplicación de los criterios para las AIEB;</w:t>
      </w:r>
    </w:p>
    <w:p w:rsidR="000A0D51" w:rsidRPr="00747A77" w:rsidRDefault="00435A08" w:rsidP="009252D8">
      <w:pPr>
        <w:numPr>
          <w:ilvl w:val="0"/>
          <w:numId w:val="12"/>
        </w:numPr>
        <w:suppressLineNumbers/>
        <w:suppressAutoHyphens/>
        <w:kinsoku w:val="0"/>
        <w:overflowPunct w:val="0"/>
        <w:autoSpaceDE w:val="0"/>
        <w:autoSpaceDN w:val="0"/>
        <w:spacing w:after="120"/>
        <w:ind w:left="0" w:firstLine="720"/>
        <w:rPr>
          <w:snapToGrid w:val="0"/>
          <w:kern w:val="22"/>
          <w:szCs w:val="22"/>
          <w:lang w:val="es-ES"/>
        </w:rPr>
      </w:pPr>
      <w:r w:rsidRPr="00747A77">
        <w:rPr>
          <w:snapToGrid w:val="0"/>
          <w:kern w:val="22"/>
          <w:szCs w:val="22"/>
          <w:lang w:val="es-ES"/>
        </w:rPr>
        <w:t>surgimiento de conocimientos especializados, enfoques metodológicos o métodos analíticos de avanzada;</w:t>
      </w:r>
    </w:p>
    <w:p w:rsidR="000A0D51" w:rsidRPr="00747A77" w:rsidRDefault="000A0D51" w:rsidP="009252D8">
      <w:pPr>
        <w:numPr>
          <w:ilvl w:val="0"/>
          <w:numId w:val="12"/>
        </w:numPr>
        <w:suppressLineNumbers/>
        <w:suppressAutoHyphens/>
        <w:kinsoku w:val="0"/>
        <w:overflowPunct w:val="0"/>
        <w:autoSpaceDE w:val="0"/>
        <w:autoSpaceDN w:val="0"/>
        <w:spacing w:after="120"/>
        <w:ind w:left="0" w:firstLine="720"/>
        <w:rPr>
          <w:snapToGrid w:val="0"/>
          <w:kern w:val="22"/>
          <w:szCs w:val="22"/>
          <w:lang w:val="es-ES"/>
        </w:rPr>
      </w:pPr>
      <w:r w:rsidRPr="00747A77">
        <w:rPr>
          <w:snapToGrid w:val="0"/>
          <w:kern w:val="22"/>
          <w:szCs w:val="22"/>
          <w:lang w:val="es-ES"/>
        </w:rPr>
        <w:t>cambios en la(s) característica(s) ecológica(s) o biológica(s) de una AIEB, que puedan dar lugar al cambio en la clasificación del área en función de los criterios para las AIEB o a un cambio en el polígono del área;</w:t>
      </w:r>
    </w:p>
    <w:p w:rsidR="000A0D51" w:rsidRPr="00747A77" w:rsidRDefault="000A0D51" w:rsidP="009252D8">
      <w:pPr>
        <w:numPr>
          <w:ilvl w:val="0"/>
          <w:numId w:val="12"/>
        </w:numPr>
        <w:suppressLineNumbers/>
        <w:suppressAutoHyphens/>
        <w:kinsoku w:val="0"/>
        <w:overflowPunct w:val="0"/>
        <w:autoSpaceDE w:val="0"/>
        <w:autoSpaceDN w:val="0"/>
        <w:spacing w:after="120"/>
        <w:ind w:left="0" w:firstLine="720"/>
        <w:rPr>
          <w:snapToGrid w:val="0"/>
          <w:kern w:val="22"/>
          <w:szCs w:val="22"/>
          <w:lang w:val="es-ES"/>
        </w:rPr>
      </w:pPr>
      <w:r w:rsidRPr="00747A77">
        <w:rPr>
          <w:snapToGrid w:val="0"/>
          <w:kern w:val="22"/>
          <w:szCs w:val="22"/>
          <w:lang w:val="es-ES"/>
        </w:rPr>
        <w:t>errores científicos en las descripciones existentes;</w:t>
      </w:r>
    </w:p>
    <w:p w:rsidR="00900CE3" w:rsidRPr="00747A77" w:rsidRDefault="000A0D51" w:rsidP="009252D8">
      <w:pPr>
        <w:numPr>
          <w:ilvl w:val="0"/>
          <w:numId w:val="12"/>
        </w:numPr>
        <w:suppressLineNumbers/>
        <w:suppressAutoHyphens/>
        <w:kinsoku w:val="0"/>
        <w:overflowPunct w:val="0"/>
        <w:autoSpaceDE w:val="0"/>
        <w:autoSpaceDN w:val="0"/>
        <w:spacing w:after="120"/>
        <w:ind w:left="0" w:firstLine="720"/>
        <w:rPr>
          <w:snapToGrid w:val="0"/>
          <w:kern w:val="22"/>
          <w:szCs w:val="22"/>
          <w:lang w:val="es-ES"/>
        </w:rPr>
      </w:pPr>
      <w:r w:rsidRPr="00747A77">
        <w:rPr>
          <w:snapToGrid w:val="0"/>
          <w:kern w:val="22"/>
          <w:szCs w:val="22"/>
          <w:lang w:val="es-ES"/>
        </w:rPr>
        <w:t>modificaciones o adiciones al formato y las categorías de información en la plantilla de las AIEB, según lo acordado por la Conferencia de las Partes.</w:t>
      </w:r>
    </w:p>
    <w:p w:rsidR="00900CE3" w:rsidRPr="00747A77" w:rsidRDefault="008B60B4" w:rsidP="006F4285">
      <w:pPr>
        <w:pStyle w:val="Ttulo2"/>
        <w:suppressLineNumbers/>
        <w:tabs>
          <w:tab w:val="clear" w:pos="720"/>
          <w:tab w:val="left" w:pos="360"/>
        </w:tabs>
        <w:suppressAutoHyphens/>
        <w:kinsoku w:val="0"/>
        <w:overflowPunct w:val="0"/>
        <w:autoSpaceDE w:val="0"/>
        <w:autoSpaceDN w:val="0"/>
        <w:spacing w:before="0" w:after="0"/>
        <w:rPr>
          <w:b w:val="0"/>
          <w:snapToGrid w:val="0"/>
          <w:kern w:val="22"/>
          <w:szCs w:val="22"/>
          <w:lang w:val="es-ES"/>
        </w:rPr>
      </w:pPr>
      <w:r w:rsidRPr="00747A77">
        <w:rPr>
          <w:iCs w:val="0"/>
          <w:snapToGrid w:val="0"/>
          <w:kern w:val="22"/>
          <w:szCs w:val="22"/>
          <w:lang w:val="es-ES"/>
        </w:rPr>
        <w:t>C.</w:t>
      </w:r>
      <w:r w:rsidRPr="00747A77">
        <w:rPr>
          <w:iCs w:val="0"/>
          <w:snapToGrid w:val="0"/>
          <w:kern w:val="22"/>
          <w:szCs w:val="22"/>
          <w:lang w:val="es-ES"/>
        </w:rPr>
        <w:tab/>
        <w:t>Actores que puede proponer modificaciones en la descripción de AIEB existentes</w:t>
      </w:r>
    </w:p>
    <w:p w:rsidR="000A0D51" w:rsidRPr="00747A77" w:rsidRDefault="000A0D51" w:rsidP="006F4285">
      <w:pPr>
        <w:suppressLineNumbers/>
        <w:suppressAutoHyphens/>
        <w:kinsoku w:val="0"/>
        <w:overflowPunct w:val="0"/>
        <w:autoSpaceDE w:val="0"/>
        <w:autoSpaceDN w:val="0"/>
        <w:spacing w:before="120" w:after="120"/>
        <w:rPr>
          <w:snapToGrid w:val="0"/>
          <w:kern w:val="22"/>
          <w:szCs w:val="22"/>
          <w:lang w:val="es-ES"/>
        </w:rPr>
      </w:pPr>
      <w:r w:rsidRPr="00747A77">
        <w:rPr>
          <w:snapToGrid w:val="0"/>
          <w:kern w:val="22"/>
          <w:szCs w:val="22"/>
          <w:lang w:val="es-ES"/>
        </w:rPr>
        <w:t>3.</w:t>
      </w:r>
      <w:r w:rsidRPr="00747A77">
        <w:rPr>
          <w:snapToGrid w:val="0"/>
          <w:kern w:val="22"/>
          <w:szCs w:val="22"/>
          <w:lang w:val="es-ES"/>
        </w:rPr>
        <w:tab/>
        <w:t>Los siguientes actores podrían proponer modificaciones de las AIEB existentes:</w:t>
      </w:r>
    </w:p>
    <w:p w:rsidR="000A0D51" w:rsidRPr="00747A77" w:rsidRDefault="000A0D51" w:rsidP="009252D8">
      <w:pPr>
        <w:pStyle w:val="Prrafodelista"/>
        <w:numPr>
          <w:ilvl w:val="0"/>
          <w:numId w:val="13"/>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s-ES"/>
        </w:rPr>
      </w:pPr>
      <w:r w:rsidRPr="00747A77">
        <w:rPr>
          <w:rFonts w:ascii="Times New Roman" w:hAnsi="Times New Roman"/>
          <w:snapToGrid w:val="0"/>
          <w:kern w:val="22"/>
          <w:lang w:val="es-ES"/>
        </w:rPr>
        <w:t>para las AIEB dentro de una jurisdicción nacional, el Estado pertinente;</w:t>
      </w:r>
    </w:p>
    <w:p w:rsidR="000A0D51" w:rsidRPr="00747A77" w:rsidRDefault="000A0D51" w:rsidP="009252D8">
      <w:pPr>
        <w:pStyle w:val="Prrafodelista"/>
        <w:numPr>
          <w:ilvl w:val="0"/>
          <w:numId w:val="13"/>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s-ES"/>
        </w:rPr>
      </w:pPr>
      <w:r w:rsidRPr="00747A77">
        <w:rPr>
          <w:rFonts w:ascii="Times New Roman" w:hAnsi="Times New Roman"/>
          <w:snapToGrid w:val="0"/>
          <w:kern w:val="22"/>
          <w:lang w:val="es-ES"/>
        </w:rPr>
        <w:t>para las AIEB dentro de la jurisdicción nacional de múltiples Estados, uno o más Estados pertinentes o todos los Estados pertinentes a los que afecte la modificación;</w:t>
      </w:r>
    </w:p>
    <w:p w:rsidR="000A0D51" w:rsidRPr="00747A77" w:rsidRDefault="000A0D51" w:rsidP="009252D8">
      <w:pPr>
        <w:pStyle w:val="Prrafodelista"/>
        <w:numPr>
          <w:ilvl w:val="0"/>
          <w:numId w:val="13"/>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s-ES"/>
        </w:rPr>
      </w:pPr>
      <w:r w:rsidRPr="00747A77">
        <w:rPr>
          <w:rFonts w:ascii="Times New Roman" w:hAnsi="Times New Roman"/>
          <w:snapToGrid w:val="0"/>
          <w:kern w:val="22"/>
          <w:lang w:val="es-ES"/>
        </w:rPr>
        <w:t>para las AIEB ubicadas en zonas situadas fuera de la jurisdicción nacional, cualquier Estado y/o organización intergubernamental competente;</w:t>
      </w:r>
    </w:p>
    <w:p w:rsidR="000A0D51" w:rsidRPr="00747A77" w:rsidRDefault="000A0D51" w:rsidP="009252D8">
      <w:pPr>
        <w:pStyle w:val="Prrafodelista"/>
        <w:numPr>
          <w:ilvl w:val="0"/>
          <w:numId w:val="13"/>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s-ES"/>
        </w:rPr>
      </w:pPr>
      <w:r w:rsidRPr="00747A77">
        <w:rPr>
          <w:rFonts w:ascii="Times New Roman" w:hAnsi="Times New Roman"/>
          <w:snapToGrid w:val="0"/>
          <w:kern w:val="22"/>
          <w:lang w:val="es-ES"/>
        </w:rPr>
        <w:t>para las AIEB con características en áreas situadas dentro y fuera de la jurisdicción nacional, el o los Estados pertinentes u organizaciones intergubernamentales competentes;</w:t>
      </w:r>
    </w:p>
    <w:p w:rsidR="000A0D51" w:rsidRPr="00747A77" w:rsidRDefault="000A0D51" w:rsidP="009252D8">
      <w:pPr>
        <w:pStyle w:val="Prrafodelista"/>
        <w:numPr>
          <w:ilvl w:val="0"/>
          <w:numId w:val="13"/>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s-ES"/>
        </w:rPr>
      </w:pPr>
      <w:r w:rsidRPr="00747A77">
        <w:rPr>
          <w:rFonts w:ascii="Times New Roman" w:hAnsi="Times New Roman"/>
          <w:snapToGrid w:val="0"/>
          <w:kern w:val="22"/>
          <w:lang w:val="es-ES"/>
        </w:rPr>
        <w:t xml:space="preserve">titulares de conocimientos, como las organizaciones de investigación científica, organizaciones no gubernamentales y poseedores y expertos en conocimientos tradicionales, deberían ser </w:t>
      </w:r>
      <w:r w:rsidRPr="00747A77">
        <w:rPr>
          <w:rFonts w:ascii="Times New Roman" w:hAnsi="Times New Roman"/>
          <w:snapToGrid w:val="0"/>
          <w:kern w:val="22"/>
          <w:lang w:val="es-ES"/>
        </w:rPr>
        <w:lastRenderedPageBreak/>
        <w:t>alentados a llamar la atención de los Estados y la Secretaría respecto de cualquiera de las razones anteriores a fin de facilitar la preparación de propuestas de modificación, como corresponda, y de proporcionar sugerencias de modificaciones.</w:t>
      </w:r>
    </w:p>
    <w:p w:rsidR="00900CE3" w:rsidRPr="00747A77" w:rsidRDefault="008B60B4" w:rsidP="006F4285">
      <w:pPr>
        <w:pStyle w:val="Ttulo2"/>
        <w:suppressLineNumbers/>
        <w:tabs>
          <w:tab w:val="clear" w:pos="720"/>
          <w:tab w:val="left" w:pos="360"/>
        </w:tabs>
        <w:suppressAutoHyphens/>
        <w:kinsoku w:val="0"/>
        <w:overflowPunct w:val="0"/>
        <w:autoSpaceDE w:val="0"/>
        <w:autoSpaceDN w:val="0"/>
        <w:spacing w:before="0" w:after="0"/>
        <w:rPr>
          <w:b w:val="0"/>
          <w:snapToGrid w:val="0"/>
          <w:kern w:val="22"/>
          <w:szCs w:val="22"/>
          <w:lang w:val="es-ES"/>
        </w:rPr>
      </w:pPr>
      <w:r w:rsidRPr="00747A77">
        <w:rPr>
          <w:iCs w:val="0"/>
          <w:snapToGrid w:val="0"/>
          <w:kern w:val="22"/>
          <w:szCs w:val="22"/>
          <w:lang w:val="es-ES"/>
        </w:rPr>
        <w:t>D.</w:t>
      </w:r>
      <w:r w:rsidRPr="00747A77">
        <w:rPr>
          <w:iCs w:val="0"/>
          <w:snapToGrid w:val="0"/>
          <w:kern w:val="22"/>
          <w:szCs w:val="22"/>
          <w:lang w:val="es-ES"/>
        </w:rPr>
        <w:tab/>
        <w:t>Opciones para iniciar el proceso de modificación</w:t>
      </w:r>
    </w:p>
    <w:p w:rsidR="00900CE3" w:rsidRPr="00747A77" w:rsidRDefault="000A0D51" w:rsidP="006F4285">
      <w:pPr>
        <w:suppressLineNumbers/>
        <w:suppressAutoHyphens/>
        <w:kinsoku w:val="0"/>
        <w:overflowPunct w:val="0"/>
        <w:autoSpaceDE w:val="0"/>
        <w:autoSpaceDN w:val="0"/>
        <w:spacing w:before="120"/>
        <w:rPr>
          <w:snapToGrid w:val="0"/>
          <w:kern w:val="22"/>
          <w:szCs w:val="22"/>
          <w:lang w:val="es-ES"/>
        </w:rPr>
      </w:pPr>
      <w:r w:rsidRPr="00747A77">
        <w:rPr>
          <w:snapToGrid w:val="0"/>
          <w:kern w:val="22"/>
          <w:szCs w:val="22"/>
          <w:lang w:val="es-ES"/>
        </w:rPr>
        <w:t>4.</w:t>
      </w:r>
      <w:r w:rsidRPr="00747A77">
        <w:rPr>
          <w:snapToGrid w:val="0"/>
          <w:kern w:val="22"/>
          <w:szCs w:val="22"/>
          <w:lang w:val="es-ES"/>
        </w:rPr>
        <w:tab/>
        <w:t>Existen opciones, que pueden ser complementarias, para el procedimiento de inicio del proceso de modificación:</w:t>
      </w:r>
    </w:p>
    <w:p w:rsidR="00900CE3" w:rsidRPr="00747A77" w:rsidRDefault="00900CE3" w:rsidP="006F4285">
      <w:pPr>
        <w:suppressLineNumbers/>
        <w:suppressAutoHyphens/>
        <w:kinsoku w:val="0"/>
        <w:overflowPunct w:val="0"/>
        <w:autoSpaceDE w:val="0"/>
        <w:autoSpaceDN w:val="0"/>
        <w:spacing w:after="120"/>
        <w:ind w:left="1656" w:hanging="936"/>
        <w:rPr>
          <w:snapToGrid w:val="0"/>
          <w:kern w:val="22"/>
          <w:szCs w:val="22"/>
          <w:lang w:val="es-ES"/>
        </w:rPr>
      </w:pPr>
      <w:r w:rsidRPr="00747A77">
        <w:rPr>
          <w:i/>
          <w:iCs/>
          <w:snapToGrid w:val="0"/>
          <w:kern w:val="22"/>
          <w:szCs w:val="22"/>
          <w:lang w:val="es-ES"/>
        </w:rPr>
        <w:t>Opción 1</w:t>
      </w:r>
      <w:r w:rsidR="00265636" w:rsidRPr="00747A77">
        <w:rPr>
          <w:i/>
          <w:iCs/>
          <w:snapToGrid w:val="0"/>
          <w:kern w:val="22"/>
          <w:szCs w:val="22"/>
          <w:lang w:val="es-ES"/>
        </w:rPr>
        <w:t>:</w:t>
      </w:r>
      <w:r w:rsidRPr="00747A77">
        <w:rPr>
          <w:snapToGrid w:val="0"/>
          <w:kern w:val="22"/>
          <w:szCs w:val="22"/>
          <w:lang w:val="es-ES"/>
        </w:rPr>
        <w:tab/>
      </w:r>
      <w:r w:rsidR="00265636" w:rsidRPr="00747A77">
        <w:rPr>
          <w:snapToGrid w:val="0"/>
          <w:kern w:val="22"/>
          <w:szCs w:val="22"/>
          <w:lang w:val="es-ES"/>
        </w:rPr>
        <w:t>p</w:t>
      </w:r>
      <w:r w:rsidRPr="00747A77">
        <w:rPr>
          <w:snapToGrid w:val="0"/>
          <w:kern w:val="22"/>
          <w:szCs w:val="22"/>
          <w:lang w:val="es-ES"/>
        </w:rPr>
        <w:t>resentación de propuestas específicas de modificación (caso por caso) a la Secretaría en cualquier momento.</w:t>
      </w:r>
    </w:p>
    <w:p w:rsidR="00900CE3" w:rsidRPr="00747A77" w:rsidRDefault="00900CE3" w:rsidP="006F4285">
      <w:pPr>
        <w:suppressLineNumbers/>
        <w:suppressAutoHyphens/>
        <w:kinsoku w:val="0"/>
        <w:overflowPunct w:val="0"/>
        <w:autoSpaceDE w:val="0"/>
        <w:autoSpaceDN w:val="0"/>
        <w:spacing w:after="120"/>
        <w:ind w:left="1656" w:hanging="936"/>
        <w:rPr>
          <w:snapToGrid w:val="0"/>
          <w:kern w:val="22"/>
          <w:szCs w:val="22"/>
          <w:lang w:val="es-ES"/>
        </w:rPr>
      </w:pPr>
      <w:r w:rsidRPr="00747A77">
        <w:rPr>
          <w:i/>
          <w:iCs/>
          <w:snapToGrid w:val="0"/>
          <w:kern w:val="22"/>
          <w:szCs w:val="22"/>
          <w:lang w:val="es-ES"/>
        </w:rPr>
        <w:t>Opción 2</w:t>
      </w:r>
      <w:r w:rsidR="00265636" w:rsidRPr="00747A77">
        <w:rPr>
          <w:i/>
          <w:iCs/>
          <w:snapToGrid w:val="0"/>
          <w:kern w:val="22"/>
          <w:szCs w:val="22"/>
          <w:lang w:val="es-ES"/>
        </w:rPr>
        <w:t>:</w:t>
      </w:r>
      <w:r w:rsidRPr="00747A77">
        <w:rPr>
          <w:snapToGrid w:val="0"/>
          <w:kern w:val="22"/>
          <w:szCs w:val="22"/>
          <w:lang w:val="es-ES"/>
        </w:rPr>
        <w:tab/>
      </w:r>
      <w:r w:rsidR="00265636" w:rsidRPr="00747A77">
        <w:rPr>
          <w:snapToGrid w:val="0"/>
          <w:kern w:val="22"/>
          <w:szCs w:val="22"/>
          <w:lang w:val="es-ES"/>
        </w:rPr>
        <w:t>t</w:t>
      </w:r>
      <w:r w:rsidRPr="00747A77">
        <w:rPr>
          <w:snapToGrid w:val="0"/>
          <w:kern w:val="22"/>
          <w:szCs w:val="22"/>
          <w:lang w:val="es-ES"/>
        </w:rPr>
        <w:t>alleres regionales periódicos (cronograma acordado por la Conferencia de las Partes).</w:t>
      </w:r>
    </w:p>
    <w:p w:rsidR="00900CE3" w:rsidRPr="00747A77" w:rsidRDefault="00900CE3" w:rsidP="006F4285">
      <w:pPr>
        <w:suppressLineNumbers/>
        <w:suppressAutoHyphens/>
        <w:kinsoku w:val="0"/>
        <w:overflowPunct w:val="0"/>
        <w:autoSpaceDE w:val="0"/>
        <w:autoSpaceDN w:val="0"/>
        <w:spacing w:after="120"/>
        <w:ind w:left="1656" w:hanging="936"/>
        <w:rPr>
          <w:snapToGrid w:val="0"/>
          <w:kern w:val="22"/>
          <w:szCs w:val="22"/>
          <w:lang w:val="es-ES"/>
        </w:rPr>
      </w:pPr>
      <w:r w:rsidRPr="00747A77">
        <w:rPr>
          <w:i/>
          <w:iCs/>
          <w:snapToGrid w:val="0"/>
          <w:kern w:val="22"/>
          <w:szCs w:val="22"/>
          <w:lang w:val="es-ES"/>
        </w:rPr>
        <w:t>Opción 3</w:t>
      </w:r>
      <w:r w:rsidR="00265636" w:rsidRPr="00747A77">
        <w:rPr>
          <w:i/>
          <w:iCs/>
          <w:snapToGrid w:val="0"/>
          <w:kern w:val="22"/>
          <w:szCs w:val="22"/>
          <w:lang w:val="es-ES"/>
        </w:rPr>
        <w:t>:</w:t>
      </w:r>
      <w:r w:rsidRPr="00747A77">
        <w:rPr>
          <w:snapToGrid w:val="0"/>
          <w:kern w:val="22"/>
          <w:szCs w:val="22"/>
          <w:lang w:val="es-ES"/>
        </w:rPr>
        <w:tab/>
      </w:r>
      <w:r w:rsidR="00265636" w:rsidRPr="00747A77">
        <w:rPr>
          <w:snapToGrid w:val="0"/>
          <w:kern w:val="22"/>
          <w:szCs w:val="22"/>
          <w:lang w:val="es-ES"/>
        </w:rPr>
        <w:t>p</w:t>
      </w:r>
      <w:r w:rsidRPr="00747A77">
        <w:rPr>
          <w:snapToGrid w:val="0"/>
          <w:kern w:val="22"/>
          <w:szCs w:val="22"/>
          <w:lang w:val="es-ES"/>
        </w:rPr>
        <w:t>resentación de las propuestas de modificación a la Secretaría hasta que se haya recibido un número definido de propuestas o se haya cumplido un plazo específico desde la presentación de la propuesta, momento en el cual la Secretaría debería organizar un taller, en consulta con el grupo asesor oficioso.</w:t>
      </w:r>
    </w:p>
    <w:p w:rsidR="00900CE3" w:rsidRPr="00747A77" w:rsidRDefault="00900CE3" w:rsidP="006F4285">
      <w:pPr>
        <w:suppressLineNumbers/>
        <w:suppressAutoHyphens/>
        <w:kinsoku w:val="0"/>
        <w:overflowPunct w:val="0"/>
        <w:autoSpaceDE w:val="0"/>
        <w:autoSpaceDN w:val="0"/>
        <w:spacing w:after="120"/>
        <w:ind w:left="1656" w:hanging="936"/>
        <w:rPr>
          <w:snapToGrid w:val="0"/>
          <w:kern w:val="22"/>
          <w:szCs w:val="22"/>
          <w:lang w:val="es-ES"/>
        </w:rPr>
      </w:pPr>
      <w:r w:rsidRPr="00747A77">
        <w:rPr>
          <w:i/>
          <w:iCs/>
          <w:snapToGrid w:val="0"/>
          <w:kern w:val="22"/>
          <w:szCs w:val="22"/>
          <w:lang w:val="es-ES"/>
        </w:rPr>
        <w:t>Opción 4</w:t>
      </w:r>
      <w:r w:rsidR="00265636" w:rsidRPr="00747A77">
        <w:rPr>
          <w:i/>
          <w:iCs/>
          <w:snapToGrid w:val="0"/>
          <w:kern w:val="22"/>
          <w:szCs w:val="22"/>
          <w:lang w:val="es-ES"/>
        </w:rPr>
        <w:t>:</w:t>
      </w:r>
      <w:r w:rsidRPr="00747A77">
        <w:rPr>
          <w:snapToGrid w:val="0"/>
          <w:kern w:val="22"/>
          <w:szCs w:val="22"/>
          <w:lang w:val="es-ES"/>
        </w:rPr>
        <w:tab/>
      </w:r>
      <w:r w:rsidR="00265636" w:rsidRPr="00747A77">
        <w:rPr>
          <w:snapToGrid w:val="0"/>
          <w:kern w:val="22"/>
          <w:szCs w:val="22"/>
          <w:lang w:val="es-ES"/>
        </w:rPr>
        <w:t>u</w:t>
      </w:r>
      <w:r w:rsidRPr="00747A77">
        <w:rPr>
          <w:snapToGrid w:val="0"/>
          <w:kern w:val="22"/>
          <w:szCs w:val="22"/>
          <w:lang w:val="es-ES"/>
        </w:rPr>
        <w:t>n grupo consultivo regional (una vez creado) determinaría en qué momento sería necesario organizar un taller para considerar posibles modificaciones.</w:t>
      </w:r>
    </w:p>
    <w:p w:rsidR="0019615E" w:rsidRPr="00747A77" w:rsidRDefault="0019615E" w:rsidP="006F4285">
      <w:pPr>
        <w:suppressLineNumbers/>
        <w:suppressAutoHyphens/>
        <w:kinsoku w:val="0"/>
        <w:overflowPunct w:val="0"/>
        <w:autoSpaceDE w:val="0"/>
        <w:autoSpaceDN w:val="0"/>
        <w:spacing w:before="120" w:after="120"/>
        <w:rPr>
          <w:snapToGrid w:val="0"/>
          <w:kern w:val="22"/>
          <w:szCs w:val="22"/>
          <w:lang w:val="es-ES"/>
        </w:rPr>
      </w:pPr>
      <w:r w:rsidRPr="00747A77">
        <w:rPr>
          <w:snapToGrid w:val="0"/>
          <w:kern w:val="22"/>
          <w:szCs w:val="22"/>
          <w:lang w:val="es-ES"/>
        </w:rPr>
        <w:t>5.</w:t>
      </w:r>
      <w:r w:rsidRPr="00747A77">
        <w:rPr>
          <w:snapToGrid w:val="0"/>
          <w:kern w:val="22"/>
          <w:szCs w:val="22"/>
          <w:lang w:val="es-ES"/>
        </w:rPr>
        <w:tab/>
        <w:t>Hay opciones para diferenciar entre una modificación significativa y una modificación menor de las AIEB existentes, tal como se detalla a continuación:</w:t>
      </w:r>
    </w:p>
    <w:p w:rsidR="0019615E" w:rsidRPr="00747A77" w:rsidRDefault="0019615E" w:rsidP="00FD3D05">
      <w:pPr>
        <w:suppressLineNumbers/>
        <w:suppressAutoHyphens/>
        <w:kinsoku w:val="0"/>
        <w:overflowPunct w:val="0"/>
        <w:autoSpaceDE w:val="0"/>
        <w:autoSpaceDN w:val="0"/>
        <w:spacing w:after="120"/>
        <w:ind w:left="1701" w:hanging="992"/>
        <w:rPr>
          <w:iCs/>
          <w:snapToGrid w:val="0"/>
          <w:kern w:val="22"/>
          <w:szCs w:val="22"/>
          <w:lang w:val="es-ES"/>
        </w:rPr>
      </w:pPr>
      <w:r w:rsidRPr="00747A77">
        <w:rPr>
          <w:snapToGrid w:val="0"/>
          <w:kern w:val="22"/>
          <w:szCs w:val="22"/>
          <w:lang w:val="es-ES"/>
        </w:rPr>
        <w:t>Opción 1</w:t>
      </w:r>
      <w:r w:rsidR="00FC4D67" w:rsidRPr="00747A77">
        <w:rPr>
          <w:snapToGrid w:val="0"/>
          <w:kern w:val="22"/>
          <w:szCs w:val="22"/>
          <w:lang w:val="es-ES"/>
        </w:rPr>
        <w:t>:</w:t>
      </w:r>
      <w:r w:rsidRPr="00747A77">
        <w:rPr>
          <w:snapToGrid w:val="0"/>
          <w:kern w:val="22"/>
          <w:szCs w:val="22"/>
          <w:lang w:val="es-ES"/>
        </w:rPr>
        <w:t xml:space="preserve"> </w:t>
      </w:r>
      <w:r w:rsidR="00FC4D67" w:rsidRPr="00747A77">
        <w:rPr>
          <w:snapToGrid w:val="0"/>
          <w:kern w:val="22"/>
          <w:szCs w:val="22"/>
          <w:lang w:val="es-ES"/>
        </w:rPr>
        <w:t>t</w:t>
      </w:r>
      <w:r w:rsidRPr="00747A77">
        <w:rPr>
          <w:snapToGrid w:val="0"/>
          <w:kern w:val="22"/>
          <w:szCs w:val="22"/>
          <w:lang w:val="es-ES"/>
        </w:rPr>
        <w:t>odas las modificaciones deben atravesar el proceso actual del CDB.</w:t>
      </w:r>
    </w:p>
    <w:p w:rsidR="0019615E" w:rsidRPr="00747A77" w:rsidRDefault="0019615E" w:rsidP="00FD3D05">
      <w:pPr>
        <w:suppressLineNumbers/>
        <w:suppressAutoHyphens/>
        <w:kinsoku w:val="0"/>
        <w:overflowPunct w:val="0"/>
        <w:autoSpaceDE w:val="0"/>
        <w:autoSpaceDN w:val="0"/>
        <w:spacing w:after="120"/>
        <w:ind w:left="1701" w:hanging="992"/>
        <w:rPr>
          <w:iCs/>
          <w:snapToGrid w:val="0"/>
          <w:kern w:val="22"/>
          <w:szCs w:val="22"/>
          <w:lang w:val="es-ES"/>
        </w:rPr>
      </w:pPr>
      <w:r w:rsidRPr="00747A77">
        <w:rPr>
          <w:snapToGrid w:val="0"/>
          <w:kern w:val="22"/>
          <w:szCs w:val="22"/>
          <w:lang w:val="es-ES"/>
        </w:rPr>
        <w:t>Opción 2</w:t>
      </w:r>
      <w:r w:rsidR="00FC4D67" w:rsidRPr="00747A77">
        <w:rPr>
          <w:snapToGrid w:val="0"/>
          <w:kern w:val="22"/>
          <w:szCs w:val="22"/>
          <w:lang w:val="es-ES"/>
        </w:rPr>
        <w:t>:</w:t>
      </w:r>
      <w:r w:rsidRPr="00747A77">
        <w:rPr>
          <w:snapToGrid w:val="0"/>
          <w:kern w:val="22"/>
          <w:szCs w:val="22"/>
          <w:lang w:val="es-ES"/>
        </w:rPr>
        <w:t xml:space="preserve"> </w:t>
      </w:r>
      <w:r w:rsidR="00FC4D67" w:rsidRPr="00747A77">
        <w:rPr>
          <w:snapToGrid w:val="0"/>
          <w:kern w:val="22"/>
          <w:szCs w:val="22"/>
          <w:lang w:val="es-ES"/>
        </w:rPr>
        <w:t>l</w:t>
      </w:r>
      <w:r w:rsidRPr="00747A77">
        <w:rPr>
          <w:snapToGrid w:val="0"/>
          <w:kern w:val="22"/>
          <w:szCs w:val="22"/>
          <w:lang w:val="es-ES"/>
        </w:rPr>
        <w:t>as propuestas de modificación deben clasificarse en dos clases, una de las cuales requerirá un proceso más sencillo. Las modificaciones que deben pasar por un proceso más sencillo pueden determinarse de los siguientes modos:</w:t>
      </w:r>
    </w:p>
    <w:p w:rsidR="0019615E" w:rsidRPr="00747A77" w:rsidRDefault="004C278C" w:rsidP="006F4285">
      <w:pPr>
        <w:suppressLineNumbers/>
        <w:suppressAutoHyphens/>
        <w:kinsoku w:val="0"/>
        <w:overflowPunct w:val="0"/>
        <w:autoSpaceDE w:val="0"/>
        <w:autoSpaceDN w:val="0"/>
        <w:spacing w:after="120"/>
        <w:ind w:left="1872" w:hanging="432"/>
        <w:rPr>
          <w:snapToGrid w:val="0"/>
          <w:kern w:val="22"/>
          <w:szCs w:val="22"/>
          <w:lang w:val="es-ES"/>
        </w:rPr>
      </w:pPr>
      <w:r w:rsidRPr="00747A77">
        <w:rPr>
          <w:snapToGrid w:val="0"/>
          <w:kern w:val="22"/>
          <w:szCs w:val="22"/>
          <w:lang w:val="es-ES"/>
        </w:rPr>
        <w:t>a)</w:t>
      </w:r>
      <w:r w:rsidRPr="00747A77">
        <w:rPr>
          <w:snapToGrid w:val="0"/>
          <w:kern w:val="22"/>
          <w:szCs w:val="22"/>
          <w:lang w:val="es-ES"/>
        </w:rPr>
        <w:tab/>
      </w:r>
      <w:proofErr w:type="gramStart"/>
      <w:r w:rsidRPr="00747A77">
        <w:rPr>
          <w:snapToGrid w:val="0"/>
          <w:kern w:val="22"/>
          <w:szCs w:val="22"/>
          <w:lang w:val="es-ES"/>
        </w:rPr>
        <w:t>criterios preidentificados</w:t>
      </w:r>
      <w:proofErr w:type="gramEnd"/>
      <w:r w:rsidRPr="00747A77">
        <w:rPr>
          <w:snapToGrid w:val="0"/>
          <w:kern w:val="22"/>
          <w:szCs w:val="22"/>
          <w:lang w:val="es-ES"/>
        </w:rPr>
        <w:t>;</w:t>
      </w:r>
    </w:p>
    <w:p w:rsidR="0019615E" w:rsidRPr="00747A77" w:rsidRDefault="004C278C" w:rsidP="006F4285">
      <w:pPr>
        <w:suppressLineNumbers/>
        <w:suppressAutoHyphens/>
        <w:kinsoku w:val="0"/>
        <w:overflowPunct w:val="0"/>
        <w:autoSpaceDE w:val="0"/>
        <w:autoSpaceDN w:val="0"/>
        <w:spacing w:after="120"/>
        <w:ind w:left="1872" w:hanging="432"/>
        <w:rPr>
          <w:snapToGrid w:val="0"/>
          <w:kern w:val="22"/>
          <w:szCs w:val="22"/>
          <w:lang w:val="es-ES"/>
        </w:rPr>
      </w:pPr>
      <w:r w:rsidRPr="00747A77">
        <w:rPr>
          <w:snapToGrid w:val="0"/>
          <w:kern w:val="22"/>
          <w:szCs w:val="22"/>
          <w:lang w:val="es-ES"/>
        </w:rPr>
        <w:t>b)</w:t>
      </w:r>
      <w:r w:rsidRPr="00747A77">
        <w:rPr>
          <w:snapToGrid w:val="0"/>
          <w:kern w:val="22"/>
          <w:szCs w:val="22"/>
          <w:lang w:val="es-ES"/>
        </w:rPr>
        <w:tab/>
        <w:t>grupo asesor de expertos del CDB (p. ej., Grupo Consultivo Oficioso sobre las AIEB);</w:t>
      </w:r>
    </w:p>
    <w:p w:rsidR="0019615E" w:rsidRPr="00747A77" w:rsidRDefault="004C278C" w:rsidP="006F4285">
      <w:pPr>
        <w:suppressLineNumbers/>
        <w:suppressAutoHyphens/>
        <w:kinsoku w:val="0"/>
        <w:overflowPunct w:val="0"/>
        <w:autoSpaceDE w:val="0"/>
        <w:autoSpaceDN w:val="0"/>
        <w:spacing w:after="120"/>
        <w:ind w:left="1872" w:hanging="432"/>
        <w:rPr>
          <w:snapToGrid w:val="0"/>
          <w:kern w:val="22"/>
          <w:szCs w:val="22"/>
          <w:lang w:val="es-ES"/>
        </w:rPr>
      </w:pPr>
      <w:r w:rsidRPr="00747A77">
        <w:rPr>
          <w:snapToGrid w:val="0"/>
          <w:kern w:val="22"/>
          <w:szCs w:val="22"/>
          <w:lang w:val="es-ES"/>
        </w:rPr>
        <w:t>c)</w:t>
      </w:r>
      <w:r w:rsidRPr="00747A77">
        <w:rPr>
          <w:snapToGrid w:val="0"/>
          <w:kern w:val="22"/>
          <w:szCs w:val="22"/>
          <w:lang w:val="es-ES"/>
        </w:rPr>
        <w:tab/>
        <w:t>grupo regional designado para realizar esta tarea.</w:t>
      </w:r>
    </w:p>
    <w:p w:rsidR="0019615E" w:rsidRPr="00747A77" w:rsidRDefault="0019615E" w:rsidP="006F4285">
      <w:pPr>
        <w:suppressLineNumbers/>
        <w:suppressAutoHyphens/>
        <w:kinsoku w:val="0"/>
        <w:overflowPunct w:val="0"/>
        <w:autoSpaceDE w:val="0"/>
        <w:autoSpaceDN w:val="0"/>
        <w:spacing w:before="120" w:after="120"/>
        <w:rPr>
          <w:snapToGrid w:val="0"/>
          <w:kern w:val="22"/>
          <w:szCs w:val="22"/>
          <w:lang w:val="es-ES"/>
        </w:rPr>
      </w:pPr>
      <w:r w:rsidRPr="00747A77">
        <w:rPr>
          <w:snapToGrid w:val="0"/>
          <w:kern w:val="22"/>
          <w:szCs w:val="22"/>
          <w:lang w:val="es-ES"/>
        </w:rPr>
        <w:t>En el caso de la opción 2, se necesita una definición clara para determinar qué se considera un cambio significativo en relación con uno menor, que pueda activar la modificación o que pueda requerir distintos procesos del CDB.</w:t>
      </w:r>
    </w:p>
    <w:p w:rsidR="00900CE3" w:rsidRPr="00747A77" w:rsidRDefault="008B60B4" w:rsidP="006F4285">
      <w:pPr>
        <w:pStyle w:val="Ttulo2"/>
        <w:suppressLineNumbers/>
        <w:tabs>
          <w:tab w:val="clear" w:pos="720"/>
          <w:tab w:val="left" w:pos="360"/>
        </w:tabs>
        <w:suppressAutoHyphens/>
        <w:kinsoku w:val="0"/>
        <w:overflowPunct w:val="0"/>
        <w:autoSpaceDE w:val="0"/>
        <w:autoSpaceDN w:val="0"/>
        <w:spacing w:before="0" w:after="0"/>
        <w:rPr>
          <w:b w:val="0"/>
          <w:snapToGrid w:val="0"/>
          <w:kern w:val="22"/>
          <w:szCs w:val="22"/>
          <w:lang w:val="es-ES"/>
        </w:rPr>
      </w:pPr>
      <w:r w:rsidRPr="00747A77">
        <w:rPr>
          <w:iCs w:val="0"/>
          <w:snapToGrid w:val="0"/>
          <w:kern w:val="22"/>
          <w:szCs w:val="22"/>
          <w:lang w:val="es-ES"/>
        </w:rPr>
        <w:t>E.</w:t>
      </w:r>
      <w:r w:rsidRPr="00747A77">
        <w:rPr>
          <w:iCs w:val="0"/>
          <w:snapToGrid w:val="0"/>
          <w:kern w:val="22"/>
          <w:szCs w:val="22"/>
          <w:lang w:val="es-ES"/>
        </w:rPr>
        <w:tab/>
        <w:t>Opciones para complementar los talleres regionales existentes</w:t>
      </w:r>
    </w:p>
    <w:p w:rsidR="00900CE3" w:rsidRPr="00747A77" w:rsidRDefault="0019615E" w:rsidP="006F4285">
      <w:pPr>
        <w:suppressLineNumbers/>
        <w:suppressAutoHyphens/>
        <w:kinsoku w:val="0"/>
        <w:overflowPunct w:val="0"/>
        <w:autoSpaceDE w:val="0"/>
        <w:autoSpaceDN w:val="0"/>
        <w:spacing w:before="120" w:after="120"/>
        <w:rPr>
          <w:snapToGrid w:val="0"/>
          <w:kern w:val="22"/>
          <w:szCs w:val="22"/>
          <w:lang w:val="es-ES"/>
        </w:rPr>
      </w:pPr>
      <w:r w:rsidRPr="00747A77">
        <w:rPr>
          <w:snapToGrid w:val="0"/>
          <w:kern w:val="22"/>
          <w:szCs w:val="22"/>
          <w:lang w:val="es-ES"/>
        </w:rPr>
        <w:t>6.</w:t>
      </w:r>
      <w:r w:rsidRPr="00747A77">
        <w:rPr>
          <w:snapToGrid w:val="0"/>
          <w:kern w:val="22"/>
          <w:szCs w:val="22"/>
          <w:lang w:val="es-ES"/>
        </w:rPr>
        <w:tab/>
        <w:t>Los talleres regionales existentes podrían complementarse de las siguientes maneras:</w:t>
      </w:r>
    </w:p>
    <w:p w:rsidR="00900CE3" w:rsidRPr="00747A77" w:rsidRDefault="00900CE3" w:rsidP="009252D8">
      <w:pPr>
        <w:numPr>
          <w:ilvl w:val="0"/>
          <w:numId w:val="14"/>
        </w:numPr>
        <w:suppressLineNumbers/>
        <w:suppressAutoHyphens/>
        <w:kinsoku w:val="0"/>
        <w:overflowPunct w:val="0"/>
        <w:autoSpaceDE w:val="0"/>
        <w:autoSpaceDN w:val="0"/>
        <w:spacing w:after="120"/>
        <w:ind w:left="0" w:firstLine="720"/>
        <w:rPr>
          <w:snapToGrid w:val="0"/>
          <w:kern w:val="22"/>
          <w:szCs w:val="22"/>
          <w:lang w:val="es-ES"/>
        </w:rPr>
      </w:pPr>
      <w:r w:rsidRPr="00747A77">
        <w:rPr>
          <w:snapToGrid w:val="0"/>
          <w:kern w:val="22"/>
          <w:szCs w:val="22"/>
          <w:lang w:val="es-ES"/>
        </w:rPr>
        <w:t>presentación o presentaciones, a cargo de los Estados u organizaciones intergubernamentales existentes, de propuestas para la modificación de descripciones de AIEB existentes ante la Secretaría del Convenio sobre la Diversidad Biológica, que deberá recopilarlas;</w:t>
      </w:r>
    </w:p>
    <w:p w:rsidR="00900CE3" w:rsidRPr="00747A77" w:rsidRDefault="00900CE3" w:rsidP="009252D8">
      <w:pPr>
        <w:numPr>
          <w:ilvl w:val="0"/>
          <w:numId w:val="14"/>
        </w:numPr>
        <w:suppressLineNumbers/>
        <w:suppressAutoHyphens/>
        <w:kinsoku w:val="0"/>
        <w:overflowPunct w:val="0"/>
        <w:autoSpaceDE w:val="0"/>
        <w:autoSpaceDN w:val="0"/>
        <w:spacing w:after="120"/>
        <w:ind w:left="0" w:firstLine="720"/>
        <w:rPr>
          <w:snapToGrid w:val="0"/>
          <w:kern w:val="22"/>
          <w:szCs w:val="22"/>
          <w:lang w:val="es-ES"/>
        </w:rPr>
      </w:pPr>
      <w:r w:rsidRPr="00747A77">
        <w:rPr>
          <w:snapToGrid w:val="0"/>
          <w:kern w:val="22"/>
          <w:szCs w:val="22"/>
          <w:lang w:val="es-ES"/>
        </w:rPr>
        <w:t>informe periódico (p. ej., anual o bienal correspondiente al ciclo del Órgano Subsidiario de Asesoramiento Científico, Técnico y Tecnológico/Conferencia de las Partes) sobre los progresos de las propuestas disponibles a través del mecanismo de intercambio de información o de otros medios;</w:t>
      </w:r>
    </w:p>
    <w:p w:rsidR="00900CE3" w:rsidRPr="00747A77" w:rsidRDefault="00900CE3" w:rsidP="009252D8">
      <w:pPr>
        <w:numPr>
          <w:ilvl w:val="0"/>
          <w:numId w:val="14"/>
        </w:numPr>
        <w:suppressLineNumbers/>
        <w:suppressAutoHyphens/>
        <w:kinsoku w:val="0"/>
        <w:overflowPunct w:val="0"/>
        <w:autoSpaceDE w:val="0"/>
        <w:autoSpaceDN w:val="0"/>
        <w:spacing w:after="120"/>
        <w:ind w:left="0" w:firstLine="720"/>
        <w:rPr>
          <w:snapToGrid w:val="0"/>
          <w:kern w:val="22"/>
          <w:szCs w:val="22"/>
          <w:lang w:val="es-ES"/>
        </w:rPr>
      </w:pPr>
      <w:r w:rsidRPr="00747A77">
        <w:rPr>
          <w:snapToGrid w:val="0"/>
          <w:kern w:val="22"/>
          <w:szCs w:val="22"/>
          <w:lang w:val="es-ES"/>
        </w:rPr>
        <w:t>propuestas de modificaciones para su revisión por parte de una red regional de expertos y otros asesores, como corresponda (que se establecerá a través de las organizaciones regionales pertinentes) o de un grupo asesor oficioso sobre las AIEB del CDB, que podrán recomendar la organización de un taller regional o de otro tipo con anterioridad a la realización de los talleres regionales periódicos. Las redes regionales deberían contar con la participación de diversos interesados, como órganos intergubernamentales regionales y sectoriales, organizaciones no gubernamentales, el sector privado y pueblos indígenas y comunidades locales.</w:t>
      </w:r>
    </w:p>
    <w:p w:rsidR="00900CE3" w:rsidRPr="00747A77" w:rsidRDefault="008B60B4" w:rsidP="006F4285">
      <w:pPr>
        <w:pStyle w:val="Ttulo2"/>
        <w:suppressLineNumbers/>
        <w:suppressAutoHyphens/>
        <w:kinsoku w:val="0"/>
        <w:overflowPunct w:val="0"/>
        <w:autoSpaceDE w:val="0"/>
        <w:autoSpaceDN w:val="0"/>
        <w:spacing w:before="0" w:after="0"/>
        <w:rPr>
          <w:b w:val="0"/>
          <w:snapToGrid w:val="0"/>
          <w:kern w:val="22"/>
          <w:szCs w:val="22"/>
          <w:lang w:val="es-ES"/>
        </w:rPr>
      </w:pPr>
      <w:r w:rsidRPr="00747A77">
        <w:rPr>
          <w:iCs w:val="0"/>
          <w:snapToGrid w:val="0"/>
          <w:kern w:val="22"/>
          <w:szCs w:val="22"/>
          <w:lang w:val="es-ES"/>
        </w:rPr>
        <w:lastRenderedPageBreak/>
        <w:t>F.</w:t>
      </w:r>
      <w:r w:rsidRPr="00747A77">
        <w:rPr>
          <w:iCs w:val="0"/>
          <w:snapToGrid w:val="0"/>
          <w:kern w:val="22"/>
          <w:szCs w:val="22"/>
          <w:lang w:val="es-ES"/>
        </w:rPr>
        <w:tab/>
        <w:t>Consideraciones clave para las modificaciones</w:t>
      </w:r>
    </w:p>
    <w:p w:rsidR="00900CE3" w:rsidRPr="00747A77" w:rsidRDefault="00643410" w:rsidP="006F4285">
      <w:pPr>
        <w:suppressLineNumbers/>
        <w:suppressAutoHyphens/>
        <w:kinsoku w:val="0"/>
        <w:overflowPunct w:val="0"/>
        <w:autoSpaceDE w:val="0"/>
        <w:autoSpaceDN w:val="0"/>
        <w:spacing w:before="120"/>
        <w:rPr>
          <w:snapToGrid w:val="0"/>
          <w:kern w:val="22"/>
          <w:szCs w:val="22"/>
          <w:lang w:val="es-ES"/>
        </w:rPr>
      </w:pPr>
      <w:r w:rsidRPr="00747A77">
        <w:rPr>
          <w:snapToGrid w:val="0"/>
          <w:kern w:val="22"/>
          <w:szCs w:val="22"/>
          <w:lang w:val="es-ES"/>
        </w:rPr>
        <w:t>7.</w:t>
      </w:r>
      <w:r w:rsidRPr="00747A77">
        <w:rPr>
          <w:snapToGrid w:val="0"/>
          <w:kern w:val="22"/>
          <w:szCs w:val="22"/>
          <w:lang w:val="es-ES"/>
        </w:rPr>
        <w:tab/>
        <w:t>Deberá informarse a las Partes y otros Gobiernos, así como a las organizaciones pertinentes, de toda presentación de propuestas para la modificación de AIEB existentes por medio de notificaciones del CDB, el sitio web del CDB, el mecanismo de intercambio de información de las AIEB y los sitios web de organizaciones asociadas al CDB, así como por otros medios.</w:t>
      </w:r>
    </w:p>
    <w:p w:rsidR="00826EF2" w:rsidRPr="00747A77" w:rsidRDefault="00643410" w:rsidP="006F4285">
      <w:pPr>
        <w:suppressLineNumbers/>
        <w:suppressAutoHyphens/>
        <w:kinsoku w:val="0"/>
        <w:overflowPunct w:val="0"/>
        <w:autoSpaceDE w:val="0"/>
        <w:autoSpaceDN w:val="0"/>
        <w:spacing w:before="120"/>
        <w:rPr>
          <w:snapToGrid w:val="0"/>
          <w:kern w:val="22"/>
          <w:szCs w:val="22"/>
          <w:lang w:val="es-ES"/>
        </w:rPr>
      </w:pPr>
      <w:r w:rsidRPr="00747A77">
        <w:rPr>
          <w:snapToGrid w:val="0"/>
          <w:kern w:val="22"/>
          <w:szCs w:val="22"/>
          <w:lang w:val="es-ES"/>
        </w:rPr>
        <w:t>8.</w:t>
      </w:r>
      <w:r w:rsidRPr="00747A77">
        <w:rPr>
          <w:snapToGrid w:val="0"/>
          <w:kern w:val="22"/>
          <w:szCs w:val="22"/>
          <w:lang w:val="es-ES"/>
        </w:rPr>
        <w:tab/>
        <w:t>Deben tenerse en cuenta las siguientes consideraciones:</w:t>
      </w:r>
    </w:p>
    <w:p w:rsidR="00084319" w:rsidRPr="00747A77" w:rsidRDefault="00C73F03" w:rsidP="009252D8">
      <w:pPr>
        <w:pStyle w:val="Prrafodelista"/>
        <w:numPr>
          <w:ilvl w:val="0"/>
          <w:numId w:val="15"/>
        </w:numPr>
        <w:suppressLineNumbers/>
        <w:suppressAutoHyphens/>
        <w:kinsoku w:val="0"/>
        <w:overflowPunct w:val="0"/>
        <w:autoSpaceDE w:val="0"/>
        <w:autoSpaceDN w:val="0"/>
        <w:spacing w:before="120" w:after="120" w:line="240" w:lineRule="auto"/>
        <w:ind w:left="0" w:firstLine="720"/>
        <w:contextualSpacing w:val="0"/>
        <w:jc w:val="both"/>
        <w:rPr>
          <w:rFonts w:ascii="Times New Roman" w:hAnsi="Times New Roman"/>
          <w:snapToGrid w:val="0"/>
          <w:kern w:val="22"/>
          <w:lang w:val="es-ES"/>
        </w:rPr>
      </w:pPr>
      <w:r w:rsidRPr="00747A77">
        <w:rPr>
          <w:rFonts w:ascii="Times New Roman" w:hAnsi="Times New Roman"/>
          <w:snapToGrid w:val="0"/>
          <w:kern w:val="22"/>
          <w:lang w:val="es-ES"/>
        </w:rPr>
        <w:t>la importancia de incorporar los conocimientos tradicionales en el proceso de modificación de las descripciones de AIEB existentes, y de asegurar la participación plena y efectiva de los pueblos indígenas y las comunidades locales;</w:t>
      </w:r>
    </w:p>
    <w:p w:rsidR="00084319" w:rsidRPr="00747A77" w:rsidRDefault="000A0D51" w:rsidP="009252D8">
      <w:pPr>
        <w:pStyle w:val="Prrafodelista"/>
        <w:numPr>
          <w:ilvl w:val="0"/>
          <w:numId w:val="15"/>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s-ES"/>
        </w:rPr>
      </w:pPr>
      <w:r w:rsidRPr="00747A77">
        <w:rPr>
          <w:rFonts w:ascii="Times New Roman" w:hAnsi="Times New Roman"/>
          <w:snapToGrid w:val="0"/>
          <w:kern w:val="22"/>
          <w:lang w:val="es-ES"/>
        </w:rPr>
        <w:t>las opciones para mejorar la incorporación de los conocimientos tradicionales también pueden comprender la revisión de la plantilla de descripción de AIEB para que incluya una sección con una lista de todas las organizaciones consultadas y, específicamente, una subsección de consultas respecto de los conocimientos tradicionales;</w:t>
      </w:r>
    </w:p>
    <w:p w:rsidR="00084319" w:rsidRPr="00747A77" w:rsidRDefault="00193BB8" w:rsidP="009252D8">
      <w:pPr>
        <w:pStyle w:val="Prrafodelista"/>
        <w:numPr>
          <w:ilvl w:val="0"/>
          <w:numId w:val="15"/>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s-ES"/>
        </w:rPr>
      </w:pPr>
      <w:r w:rsidRPr="00747A77">
        <w:rPr>
          <w:rFonts w:ascii="Times New Roman" w:hAnsi="Times New Roman"/>
          <w:snapToGrid w:val="0"/>
          <w:kern w:val="22"/>
          <w:lang w:val="es-ES"/>
        </w:rPr>
        <w:t>la necesidad de una base científica y técnica sólida para cualquier modificación propuesta;</w:t>
      </w:r>
    </w:p>
    <w:p w:rsidR="00084319" w:rsidRPr="00747A77" w:rsidRDefault="00193BB8" w:rsidP="009252D8">
      <w:pPr>
        <w:pStyle w:val="Prrafodelista"/>
        <w:numPr>
          <w:ilvl w:val="0"/>
          <w:numId w:val="15"/>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s-ES"/>
        </w:rPr>
      </w:pPr>
      <w:r w:rsidRPr="00747A77">
        <w:rPr>
          <w:rFonts w:ascii="Times New Roman" w:hAnsi="Times New Roman"/>
          <w:snapToGrid w:val="0"/>
          <w:kern w:val="22"/>
          <w:lang w:val="es-ES"/>
        </w:rPr>
        <w:t>la importancia de la transparencia en el proceso de modificación; la oportunidad de usar modalidades rentables, como la comunicación por Internet;</w:t>
      </w:r>
    </w:p>
    <w:p w:rsidR="00084319" w:rsidRPr="00747A77" w:rsidRDefault="00193BB8" w:rsidP="009252D8">
      <w:pPr>
        <w:pStyle w:val="Prrafodelista"/>
        <w:numPr>
          <w:ilvl w:val="0"/>
          <w:numId w:val="15"/>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s-ES"/>
        </w:rPr>
      </w:pPr>
      <w:r w:rsidRPr="00747A77">
        <w:rPr>
          <w:rFonts w:ascii="Times New Roman" w:hAnsi="Times New Roman"/>
          <w:snapToGrid w:val="0"/>
          <w:kern w:val="22"/>
          <w:lang w:val="es-ES"/>
        </w:rPr>
        <w:t>la necesidad de acompañar las modificaciones causadas por cambios en las características ecológicas o biológicas de las AIEB con directrices para el seguimiento de las AIEB en cuestión y las consecuencias para las amenazas y eficacia de las medidas de gestión en uso o potencialmente en uso a fin de apoyar los esfuerzos nacionales dirigidos a restaurar el valor ecológico o biológico original de las áreas que cumplían con los criterios para las AIEB;</w:t>
      </w:r>
    </w:p>
    <w:p w:rsidR="00084319" w:rsidRPr="00747A77" w:rsidRDefault="00083FFF" w:rsidP="009252D8">
      <w:pPr>
        <w:pStyle w:val="Prrafodelista"/>
        <w:numPr>
          <w:ilvl w:val="0"/>
          <w:numId w:val="15"/>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s-ES"/>
        </w:rPr>
      </w:pPr>
      <w:r w:rsidRPr="00747A77">
        <w:rPr>
          <w:rFonts w:ascii="Times New Roman" w:hAnsi="Times New Roman"/>
          <w:snapToGrid w:val="0"/>
          <w:kern w:val="22"/>
          <w:lang w:val="es-ES"/>
        </w:rPr>
        <w:t>la oportunidad de introducir la categoría de "AIEB en riesgo", siguiendo el ejemplo de la Convención de Ramsar;</w:t>
      </w:r>
    </w:p>
    <w:p w:rsidR="000A0D51" w:rsidRPr="00747A77" w:rsidRDefault="00083FFF" w:rsidP="009252D8">
      <w:pPr>
        <w:pStyle w:val="Prrafodelista"/>
        <w:numPr>
          <w:ilvl w:val="0"/>
          <w:numId w:val="15"/>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s-ES"/>
        </w:rPr>
      </w:pPr>
      <w:r w:rsidRPr="00747A77">
        <w:rPr>
          <w:rFonts w:ascii="Times New Roman" w:hAnsi="Times New Roman"/>
          <w:snapToGrid w:val="0"/>
          <w:kern w:val="22"/>
          <w:lang w:val="es-ES"/>
        </w:rPr>
        <w:t>la necesidad de conservar información en el repositorio sobre cualquier AIEB previamente descrita en caso de modificación de la AIEB o de su eliminación de la lista.</w:t>
      </w:r>
    </w:p>
    <w:p w:rsidR="00643410" w:rsidRPr="00747A77" w:rsidRDefault="008B60B4" w:rsidP="006F4285">
      <w:pPr>
        <w:pStyle w:val="Ttulo2"/>
        <w:suppressLineNumbers/>
        <w:suppressAutoHyphens/>
        <w:kinsoku w:val="0"/>
        <w:overflowPunct w:val="0"/>
        <w:autoSpaceDE w:val="0"/>
        <w:autoSpaceDN w:val="0"/>
        <w:spacing w:before="0" w:after="0"/>
        <w:rPr>
          <w:b w:val="0"/>
          <w:snapToGrid w:val="0"/>
          <w:kern w:val="22"/>
          <w:szCs w:val="22"/>
          <w:lang w:val="es-ES"/>
        </w:rPr>
      </w:pPr>
      <w:r w:rsidRPr="00747A77">
        <w:rPr>
          <w:iCs w:val="0"/>
          <w:snapToGrid w:val="0"/>
          <w:kern w:val="22"/>
          <w:szCs w:val="22"/>
          <w:lang w:val="es-ES"/>
        </w:rPr>
        <w:t>G.</w:t>
      </w:r>
      <w:r w:rsidRPr="00747A77">
        <w:rPr>
          <w:iCs w:val="0"/>
          <w:snapToGrid w:val="0"/>
          <w:kern w:val="22"/>
          <w:szCs w:val="22"/>
          <w:lang w:val="es-ES"/>
        </w:rPr>
        <w:tab/>
        <w:t>Necesidades de creación de capacidad para la modificación de las AIEB existentes</w:t>
      </w:r>
    </w:p>
    <w:p w:rsidR="000A0D51" w:rsidRPr="00747A77" w:rsidRDefault="002A0C9B" w:rsidP="006F4285">
      <w:pPr>
        <w:suppressLineNumbers/>
        <w:suppressAutoHyphens/>
        <w:kinsoku w:val="0"/>
        <w:overflowPunct w:val="0"/>
        <w:autoSpaceDE w:val="0"/>
        <w:autoSpaceDN w:val="0"/>
        <w:spacing w:before="120"/>
        <w:rPr>
          <w:snapToGrid w:val="0"/>
          <w:color w:val="000000"/>
          <w:kern w:val="22"/>
          <w:szCs w:val="22"/>
          <w:lang w:val="es-ES"/>
        </w:rPr>
      </w:pPr>
      <w:r w:rsidRPr="00747A77">
        <w:rPr>
          <w:snapToGrid w:val="0"/>
          <w:color w:val="000000"/>
          <w:kern w:val="22"/>
          <w:szCs w:val="22"/>
          <w:lang w:val="es-ES"/>
        </w:rPr>
        <w:t>9.</w:t>
      </w:r>
      <w:r w:rsidRPr="00747A77">
        <w:rPr>
          <w:snapToGrid w:val="0"/>
          <w:color w:val="000000"/>
          <w:kern w:val="22"/>
          <w:szCs w:val="22"/>
          <w:lang w:val="es-ES"/>
        </w:rPr>
        <w:tab/>
        <w:t>Las necesidades de creación de capacidad en relación con la modificación de las AIEB existentes comprenden:</w:t>
      </w:r>
    </w:p>
    <w:p w:rsidR="000A0D51" w:rsidRPr="00747A77" w:rsidRDefault="000A0D51" w:rsidP="009252D8">
      <w:pPr>
        <w:pStyle w:val="Prrafodelista"/>
        <w:numPr>
          <w:ilvl w:val="0"/>
          <w:numId w:val="16"/>
        </w:numPr>
        <w:suppressLineNumbers/>
        <w:suppressAutoHyphens/>
        <w:kinsoku w:val="0"/>
        <w:overflowPunct w:val="0"/>
        <w:autoSpaceDE w:val="0"/>
        <w:autoSpaceDN w:val="0"/>
        <w:spacing w:before="120" w:after="120" w:line="240" w:lineRule="auto"/>
        <w:ind w:left="0" w:firstLine="720"/>
        <w:contextualSpacing w:val="0"/>
        <w:rPr>
          <w:rFonts w:ascii="Times New Roman" w:hAnsi="Times New Roman"/>
          <w:snapToGrid w:val="0"/>
          <w:color w:val="000000"/>
          <w:kern w:val="22"/>
          <w:lang w:val="es-ES"/>
        </w:rPr>
      </w:pPr>
      <w:r w:rsidRPr="00747A77">
        <w:rPr>
          <w:rFonts w:ascii="Times New Roman" w:hAnsi="Times New Roman"/>
          <w:snapToGrid w:val="0"/>
          <w:color w:val="000000"/>
          <w:kern w:val="22"/>
          <w:lang w:val="es-ES"/>
        </w:rPr>
        <w:t>la revisión por pares de las propuestas de modificación en función de los criterios para las AIEB;</w:t>
      </w:r>
    </w:p>
    <w:p w:rsidR="000A0D51" w:rsidRPr="00747A77" w:rsidRDefault="000A0D51" w:rsidP="009252D8">
      <w:pPr>
        <w:pStyle w:val="Prrafodelista"/>
        <w:numPr>
          <w:ilvl w:val="0"/>
          <w:numId w:val="16"/>
        </w:numPr>
        <w:suppressLineNumbers/>
        <w:suppressAutoHyphens/>
        <w:kinsoku w:val="0"/>
        <w:overflowPunct w:val="0"/>
        <w:autoSpaceDE w:val="0"/>
        <w:autoSpaceDN w:val="0"/>
        <w:spacing w:after="120" w:line="240" w:lineRule="auto"/>
        <w:ind w:left="0" w:firstLine="720"/>
        <w:contextualSpacing w:val="0"/>
        <w:rPr>
          <w:rFonts w:ascii="Times New Roman" w:hAnsi="Times New Roman"/>
          <w:snapToGrid w:val="0"/>
          <w:color w:val="000000"/>
          <w:kern w:val="22"/>
          <w:lang w:val="es-ES"/>
        </w:rPr>
      </w:pPr>
      <w:r w:rsidRPr="00747A77">
        <w:rPr>
          <w:rFonts w:ascii="Times New Roman" w:hAnsi="Times New Roman"/>
          <w:snapToGrid w:val="0"/>
          <w:color w:val="000000"/>
          <w:kern w:val="22"/>
          <w:lang w:val="es-ES"/>
        </w:rPr>
        <w:t>el uso de información científica y técnica, y también de los conocimientos tradicionales, para modificar la descripción de una AIEB;</w:t>
      </w:r>
    </w:p>
    <w:p w:rsidR="000A0D51" w:rsidRPr="00747A77" w:rsidRDefault="000A0D51" w:rsidP="009252D8">
      <w:pPr>
        <w:pStyle w:val="Prrafodelista"/>
        <w:numPr>
          <w:ilvl w:val="0"/>
          <w:numId w:val="16"/>
        </w:numPr>
        <w:suppressLineNumbers/>
        <w:suppressAutoHyphens/>
        <w:kinsoku w:val="0"/>
        <w:overflowPunct w:val="0"/>
        <w:autoSpaceDE w:val="0"/>
        <w:autoSpaceDN w:val="0"/>
        <w:spacing w:after="120" w:line="240" w:lineRule="auto"/>
        <w:ind w:left="0" w:firstLine="720"/>
        <w:contextualSpacing w:val="0"/>
        <w:rPr>
          <w:rFonts w:ascii="Times New Roman" w:hAnsi="Times New Roman"/>
          <w:snapToGrid w:val="0"/>
          <w:color w:val="000000"/>
          <w:kern w:val="22"/>
          <w:lang w:val="es-ES"/>
        </w:rPr>
      </w:pPr>
      <w:r w:rsidRPr="00747A77">
        <w:rPr>
          <w:rFonts w:ascii="Times New Roman" w:hAnsi="Times New Roman"/>
          <w:snapToGrid w:val="0"/>
          <w:color w:val="000000"/>
          <w:kern w:val="22"/>
          <w:lang w:val="es-ES"/>
        </w:rPr>
        <w:t>la concientización y comprensión del proceso de las AIEB.</w:t>
      </w:r>
    </w:p>
    <w:p w:rsidR="000A0D51" w:rsidRPr="00747A77" w:rsidRDefault="008B60B4" w:rsidP="006F4285">
      <w:pPr>
        <w:pStyle w:val="Ttulo1"/>
        <w:suppressLineNumbers/>
        <w:tabs>
          <w:tab w:val="clear" w:pos="720"/>
          <w:tab w:val="left" w:pos="360"/>
        </w:tabs>
        <w:suppressAutoHyphens/>
        <w:kinsoku w:val="0"/>
        <w:overflowPunct w:val="0"/>
        <w:autoSpaceDE w:val="0"/>
        <w:autoSpaceDN w:val="0"/>
        <w:spacing w:before="120"/>
        <w:rPr>
          <w:b w:val="0"/>
          <w:snapToGrid w:val="0"/>
          <w:kern w:val="22"/>
          <w:szCs w:val="22"/>
          <w:lang w:val="es-ES"/>
        </w:rPr>
      </w:pPr>
      <w:r w:rsidRPr="00747A77">
        <w:rPr>
          <w:bCs/>
          <w:snapToGrid w:val="0"/>
          <w:kern w:val="22"/>
          <w:szCs w:val="22"/>
          <w:lang w:val="es-ES"/>
        </w:rPr>
        <w:t xml:space="preserve">II. </w:t>
      </w:r>
      <w:r w:rsidRPr="00747A77">
        <w:rPr>
          <w:bCs/>
          <w:snapToGrid w:val="0"/>
          <w:kern w:val="22"/>
          <w:szCs w:val="22"/>
          <w:lang w:val="es-ES"/>
        </w:rPr>
        <w:tab/>
        <w:t>Descripción de nuevas áreas que cumplen los criterios para las AIEB</w:t>
      </w:r>
    </w:p>
    <w:p w:rsidR="00643410" w:rsidRPr="00747A77" w:rsidRDefault="008B60B4" w:rsidP="006F4285">
      <w:pPr>
        <w:pStyle w:val="Ttulo2"/>
        <w:suppressLineNumbers/>
        <w:tabs>
          <w:tab w:val="clear" w:pos="720"/>
          <w:tab w:val="left" w:pos="360"/>
        </w:tabs>
        <w:suppressAutoHyphens/>
        <w:kinsoku w:val="0"/>
        <w:overflowPunct w:val="0"/>
        <w:autoSpaceDE w:val="0"/>
        <w:autoSpaceDN w:val="0"/>
        <w:spacing w:before="0" w:after="0"/>
        <w:rPr>
          <w:b w:val="0"/>
          <w:snapToGrid w:val="0"/>
          <w:kern w:val="22"/>
          <w:szCs w:val="22"/>
          <w:lang w:val="es-ES"/>
        </w:rPr>
      </w:pPr>
      <w:r w:rsidRPr="00747A77">
        <w:rPr>
          <w:iCs w:val="0"/>
          <w:snapToGrid w:val="0"/>
          <w:kern w:val="22"/>
          <w:szCs w:val="22"/>
          <w:lang w:val="es-ES"/>
        </w:rPr>
        <w:t>A.</w:t>
      </w:r>
      <w:r w:rsidRPr="00747A77">
        <w:rPr>
          <w:iCs w:val="0"/>
          <w:snapToGrid w:val="0"/>
          <w:kern w:val="22"/>
          <w:szCs w:val="22"/>
          <w:lang w:val="es-ES"/>
        </w:rPr>
        <w:tab/>
        <w:t>Actores que pueden proponer la descripción de nuevas áreas que cumplen</w:t>
      </w:r>
      <w:r w:rsidR="00BA1473" w:rsidRPr="00747A77">
        <w:rPr>
          <w:iCs w:val="0"/>
          <w:snapToGrid w:val="0"/>
          <w:kern w:val="22"/>
          <w:szCs w:val="22"/>
          <w:lang w:val="es-ES"/>
        </w:rPr>
        <w:t> </w:t>
      </w:r>
      <w:r w:rsidRPr="00747A77">
        <w:rPr>
          <w:iCs w:val="0"/>
          <w:snapToGrid w:val="0"/>
          <w:kern w:val="22"/>
          <w:szCs w:val="22"/>
          <w:lang w:val="es-ES"/>
        </w:rPr>
        <w:t>los</w:t>
      </w:r>
      <w:r w:rsidR="00BA1473" w:rsidRPr="00747A77">
        <w:rPr>
          <w:iCs w:val="0"/>
          <w:snapToGrid w:val="0"/>
          <w:kern w:val="22"/>
          <w:szCs w:val="22"/>
          <w:lang w:val="es-ES"/>
        </w:rPr>
        <w:t> </w:t>
      </w:r>
      <w:r w:rsidRPr="00747A77">
        <w:rPr>
          <w:iCs w:val="0"/>
          <w:snapToGrid w:val="0"/>
          <w:kern w:val="22"/>
          <w:szCs w:val="22"/>
          <w:lang w:val="es-ES"/>
        </w:rPr>
        <w:t>criterios</w:t>
      </w:r>
      <w:r w:rsidR="00BA1473" w:rsidRPr="00747A77">
        <w:rPr>
          <w:iCs w:val="0"/>
          <w:snapToGrid w:val="0"/>
          <w:kern w:val="22"/>
          <w:szCs w:val="22"/>
          <w:lang w:val="es-ES"/>
        </w:rPr>
        <w:t> </w:t>
      </w:r>
      <w:r w:rsidRPr="00747A77">
        <w:rPr>
          <w:iCs w:val="0"/>
          <w:snapToGrid w:val="0"/>
          <w:kern w:val="22"/>
          <w:szCs w:val="22"/>
          <w:lang w:val="es-ES"/>
        </w:rPr>
        <w:t>para</w:t>
      </w:r>
      <w:r w:rsidR="00BA1473" w:rsidRPr="00747A77">
        <w:rPr>
          <w:iCs w:val="0"/>
          <w:snapToGrid w:val="0"/>
          <w:kern w:val="22"/>
          <w:szCs w:val="22"/>
          <w:lang w:val="es-ES"/>
        </w:rPr>
        <w:t> </w:t>
      </w:r>
      <w:r w:rsidRPr="00747A77">
        <w:rPr>
          <w:iCs w:val="0"/>
          <w:snapToGrid w:val="0"/>
          <w:kern w:val="22"/>
          <w:szCs w:val="22"/>
          <w:lang w:val="es-ES"/>
        </w:rPr>
        <w:t>las</w:t>
      </w:r>
      <w:r w:rsidR="00BA1473" w:rsidRPr="00747A77">
        <w:rPr>
          <w:iCs w:val="0"/>
          <w:snapToGrid w:val="0"/>
          <w:kern w:val="22"/>
          <w:szCs w:val="22"/>
          <w:lang w:val="es-ES"/>
        </w:rPr>
        <w:t> </w:t>
      </w:r>
      <w:r w:rsidRPr="00747A77">
        <w:rPr>
          <w:iCs w:val="0"/>
          <w:snapToGrid w:val="0"/>
          <w:kern w:val="22"/>
          <w:szCs w:val="22"/>
          <w:lang w:val="es-ES"/>
        </w:rPr>
        <w:t>AIEB</w:t>
      </w:r>
    </w:p>
    <w:p w:rsidR="000A0D51" w:rsidRPr="00747A77" w:rsidRDefault="000A0D51" w:rsidP="006F4285">
      <w:pPr>
        <w:suppressLineNumbers/>
        <w:suppressAutoHyphens/>
        <w:kinsoku w:val="0"/>
        <w:overflowPunct w:val="0"/>
        <w:autoSpaceDE w:val="0"/>
        <w:autoSpaceDN w:val="0"/>
        <w:spacing w:before="120"/>
        <w:rPr>
          <w:snapToGrid w:val="0"/>
          <w:kern w:val="22"/>
          <w:szCs w:val="22"/>
          <w:lang w:val="es-ES"/>
        </w:rPr>
      </w:pPr>
      <w:r w:rsidRPr="00747A77">
        <w:rPr>
          <w:snapToGrid w:val="0"/>
          <w:kern w:val="22"/>
          <w:szCs w:val="22"/>
          <w:lang w:val="es-ES"/>
        </w:rPr>
        <w:t xml:space="preserve">10. </w:t>
      </w:r>
      <w:r w:rsidRPr="00747A77">
        <w:rPr>
          <w:snapToGrid w:val="0"/>
          <w:kern w:val="22"/>
          <w:szCs w:val="22"/>
          <w:lang w:val="es-ES"/>
        </w:rPr>
        <w:tab/>
        <w:t>Las opciones de los actores que pueden iniciar la descripción de nuevas áreas que cumplen los criterios para las AIEB son, entre otras:</w:t>
      </w:r>
    </w:p>
    <w:p w:rsidR="000A0D51" w:rsidRPr="00747A77" w:rsidRDefault="000A0D51" w:rsidP="009252D8">
      <w:pPr>
        <w:numPr>
          <w:ilvl w:val="0"/>
          <w:numId w:val="17"/>
        </w:numPr>
        <w:suppressLineNumbers/>
        <w:suppressAutoHyphens/>
        <w:kinsoku w:val="0"/>
        <w:overflowPunct w:val="0"/>
        <w:autoSpaceDE w:val="0"/>
        <w:autoSpaceDN w:val="0"/>
        <w:spacing w:after="120"/>
        <w:ind w:left="0" w:firstLine="720"/>
        <w:rPr>
          <w:snapToGrid w:val="0"/>
          <w:kern w:val="22"/>
          <w:szCs w:val="22"/>
          <w:lang w:val="es-ES"/>
        </w:rPr>
      </w:pPr>
      <w:r w:rsidRPr="00747A77">
        <w:rPr>
          <w:snapToGrid w:val="0"/>
          <w:color w:val="000000"/>
          <w:kern w:val="22"/>
          <w:szCs w:val="22"/>
          <w:lang w:val="es-ES"/>
        </w:rPr>
        <w:t>en áreas fuera de la jurisdicción nacional: Estado(s), organizaciones intergubernamentales competentes, tomando en cuenta también los acontecimientos futuros en el proceso de la Asamblea General de las Naciones Unidas respecto de la diversidad biológica en áreas fuera de la jurisdicción nacional;</w:t>
      </w:r>
    </w:p>
    <w:p w:rsidR="000A0D51" w:rsidRPr="00747A77" w:rsidRDefault="000A0D51" w:rsidP="009252D8">
      <w:pPr>
        <w:numPr>
          <w:ilvl w:val="0"/>
          <w:numId w:val="17"/>
        </w:numPr>
        <w:suppressLineNumbers/>
        <w:suppressAutoHyphens/>
        <w:kinsoku w:val="0"/>
        <w:overflowPunct w:val="0"/>
        <w:autoSpaceDE w:val="0"/>
        <w:autoSpaceDN w:val="0"/>
        <w:spacing w:after="120"/>
        <w:ind w:left="0" w:firstLine="720"/>
        <w:rPr>
          <w:snapToGrid w:val="0"/>
          <w:kern w:val="22"/>
          <w:szCs w:val="22"/>
          <w:lang w:val="es-ES"/>
        </w:rPr>
      </w:pPr>
      <w:r w:rsidRPr="00747A77">
        <w:rPr>
          <w:snapToGrid w:val="0"/>
          <w:kern w:val="22"/>
          <w:szCs w:val="22"/>
          <w:lang w:val="es-ES"/>
        </w:rPr>
        <w:t>en áreas dentro de la jurisdicción nacional: Estados pertinentes;</w:t>
      </w:r>
    </w:p>
    <w:p w:rsidR="000A0D51" w:rsidRPr="00747A77" w:rsidRDefault="000A0D51" w:rsidP="009252D8">
      <w:pPr>
        <w:numPr>
          <w:ilvl w:val="0"/>
          <w:numId w:val="17"/>
        </w:numPr>
        <w:suppressLineNumbers/>
        <w:suppressAutoHyphens/>
        <w:kinsoku w:val="0"/>
        <w:overflowPunct w:val="0"/>
        <w:autoSpaceDE w:val="0"/>
        <w:autoSpaceDN w:val="0"/>
        <w:spacing w:after="120"/>
        <w:ind w:left="0" w:firstLine="720"/>
        <w:rPr>
          <w:snapToGrid w:val="0"/>
          <w:kern w:val="22"/>
          <w:szCs w:val="22"/>
          <w:lang w:val="es-ES"/>
        </w:rPr>
      </w:pPr>
      <w:r w:rsidRPr="00747A77">
        <w:rPr>
          <w:snapToGrid w:val="0"/>
          <w:color w:val="000000"/>
          <w:kern w:val="22"/>
          <w:szCs w:val="22"/>
          <w:lang w:val="es-ES"/>
        </w:rPr>
        <w:lastRenderedPageBreak/>
        <w:t>a escala regional: una red regional de expertos puede decidir si la información nueva disponible es suficiente para justificar la organización de otro taller regional, con base en revisiones periódicas;</w:t>
      </w:r>
    </w:p>
    <w:p w:rsidR="000A0D51" w:rsidRPr="00747A77" w:rsidRDefault="000A0D51" w:rsidP="009252D8">
      <w:pPr>
        <w:numPr>
          <w:ilvl w:val="0"/>
          <w:numId w:val="17"/>
        </w:numPr>
        <w:suppressLineNumbers/>
        <w:suppressAutoHyphens/>
        <w:kinsoku w:val="0"/>
        <w:overflowPunct w:val="0"/>
        <w:autoSpaceDE w:val="0"/>
        <w:autoSpaceDN w:val="0"/>
        <w:spacing w:after="120"/>
        <w:ind w:left="0" w:firstLine="720"/>
        <w:rPr>
          <w:snapToGrid w:val="0"/>
          <w:kern w:val="22"/>
          <w:szCs w:val="22"/>
          <w:lang w:val="es-ES"/>
        </w:rPr>
      </w:pPr>
      <w:r w:rsidRPr="00747A77">
        <w:rPr>
          <w:snapToGrid w:val="0"/>
          <w:color w:val="000000"/>
          <w:kern w:val="22"/>
          <w:szCs w:val="22"/>
          <w:lang w:val="es-ES"/>
        </w:rPr>
        <w:t>activación híbrida basada en el tiempo y en la nueva información: expertos regionales deciden si la nueva información disponible garantizaría que se adelantara la realización de un taller regional;</w:t>
      </w:r>
    </w:p>
    <w:p w:rsidR="000A0D51" w:rsidRPr="00747A77" w:rsidRDefault="000A0D51" w:rsidP="009252D8">
      <w:pPr>
        <w:numPr>
          <w:ilvl w:val="0"/>
          <w:numId w:val="17"/>
        </w:numPr>
        <w:suppressLineNumbers/>
        <w:suppressAutoHyphens/>
        <w:kinsoku w:val="0"/>
        <w:overflowPunct w:val="0"/>
        <w:autoSpaceDE w:val="0"/>
        <w:autoSpaceDN w:val="0"/>
        <w:spacing w:after="120"/>
        <w:ind w:left="0" w:firstLine="720"/>
        <w:rPr>
          <w:snapToGrid w:val="0"/>
          <w:kern w:val="22"/>
          <w:szCs w:val="22"/>
          <w:lang w:val="es-ES"/>
        </w:rPr>
      </w:pPr>
      <w:r w:rsidRPr="00747A77">
        <w:rPr>
          <w:snapToGrid w:val="0"/>
          <w:color w:val="000000"/>
          <w:kern w:val="22"/>
          <w:szCs w:val="22"/>
          <w:lang w:val="es-ES"/>
        </w:rPr>
        <w:t>un grupo asesor oficioso sobre las AIEB (según se describe en la decisión XIII/12, anexo III) puede asesorar a la Secretaría del Convenio sobre la Diversidad Biológica acerca de cuándo se necesita un nuevo taller;</w:t>
      </w:r>
    </w:p>
    <w:p w:rsidR="000A0D51" w:rsidRPr="00747A77" w:rsidRDefault="000A0D51" w:rsidP="009252D8">
      <w:pPr>
        <w:numPr>
          <w:ilvl w:val="0"/>
          <w:numId w:val="17"/>
        </w:numPr>
        <w:suppressLineNumbers/>
        <w:suppressAutoHyphens/>
        <w:kinsoku w:val="0"/>
        <w:overflowPunct w:val="0"/>
        <w:autoSpaceDE w:val="0"/>
        <w:autoSpaceDN w:val="0"/>
        <w:spacing w:after="120"/>
        <w:ind w:left="0" w:firstLine="720"/>
        <w:rPr>
          <w:snapToGrid w:val="0"/>
          <w:kern w:val="22"/>
          <w:szCs w:val="22"/>
          <w:lang w:val="es-ES"/>
        </w:rPr>
      </w:pPr>
      <w:r w:rsidRPr="00747A77">
        <w:rPr>
          <w:snapToGrid w:val="0"/>
          <w:kern w:val="22"/>
          <w:szCs w:val="22"/>
          <w:lang w:val="es-ES"/>
        </w:rPr>
        <w:t>las titulares de conocimientos, como las organizaciones de investigación científica, organizaciones no gubernamentales y poseedores y expertos en conocimientos tradicionales, deberían ser alentados a llamar la atención de los Estados y la Secretaría respecto de cualquiera de las razones o necesidades para facilitar la preparación de propuestas para la descripción de nuevas AIEB, como corresponda.</w:t>
      </w:r>
    </w:p>
    <w:p w:rsidR="00643410" w:rsidRPr="00747A77" w:rsidRDefault="008B60B4" w:rsidP="006F4285">
      <w:pPr>
        <w:pStyle w:val="Ttulo2"/>
        <w:suppressLineNumbers/>
        <w:tabs>
          <w:tab w:val="clear" w:pos="720"/>
          <w:tab w:val="left" w:pos="360"/>
        </w:tabs>
        <w:suppressAutoHyphens/>
        <w:kinsoku w:val="0"/>
        <w:overflowPunct w:val="0"/>
        <w:autoSpaceDE w:val="0"/>
        <w:autoSpaceDN w:val="0"/>
        <w:spacing w:before="0" w:after="0"/>
        <w:rPr>
          <w:b w:val="0"/>
          <w:snapToGrid w:val="0"/>
          <w:kern w:val="22"/>
          <w:szCs w:val="22"/>
          <w:lang w:val="es-ES"/>
        </w:rPr>
      </w:pPr>
      <w:r w:rsidRPr="00747A77">
        <w:rPr>
          <w:iCs w:val="0"/>
          <w:snapToGrid w:val="0"/>
          <w:kern w:val="22"/>
          <w:szCs w:val="22"/>
          <w:lang w:val="es-ES"/>
        </w:rPr>
        <w:t>B.</w:t>
      </w:r>
      <w:r w:rsidRPr="00747A77">
        <w:rPr>
          <w:iCs w:val="0"/>
          <w:snapToGrid w:val="0"/>
          <w:kern w:val="22"/>
          <w:szCs w:val="22"/>
          <w:lang w:val="es-ES"/>
        </w:rPr>
        <w:tab/>
        <w:t>Opciones para llevar a cabo la descripción de nuevas AIEB</w:t>
      </w:r>
    </w:p>
    <w:p w:rsidR="000A0D51" w:rsidRPr="00747A77" w:rsidRDefault="000A0D51" w:rsidP="006F4285">
      <w:pPr>
        <w:suppressLineNumbers/>
        <w:suppressAutoHyphens/>
        <w:kinsoku w:val="0"/>
        <w:overflowPunct w:val="0"/>
        <w:autoSpaceDE w:val="0"/>
        <w:autoSpaceDN w:val="0"/>
        <w:spacing w:before="120" w:after="120"/>
        <w:rPr>
          <w:snapToGrid w:val="0"/>
          <w:kern w:val="22"/>
          <w:szCs w:val="22"/>
          <w:lang w:val="es-ES"/>
        </w:rPr>
      </w:pPr>
      <w:r w:rsidRPr="00747A77">
        <w:rPr>
          <w:snapToGrid w:val="0"/>
          <w:kern w:val="22"/>
          <w:szCs w:val="22"/>
          <w:lang w:val="es-ES"/>
        </w:rPr>
        <w:t>11.</w:t>
      </w:r>
      <w:r w:rsidRPr="00747A77">
        <w:rPr>
          <w:snapToGrid w:val="0"/>
          <w:kern w:val="22"/>
          <w:szCs w:val="22"/>
          <w:lang w:val="es-ES"/>
        </w:rPr>
        <w:tab/>
        <w:t>Las opciones para la descripción de nuevas áreas son, entre otras:</w:t>
      </w:r>
    </w:p>
    <w:p w:rsidR="000A0D51" w:rsidRPr="00747A77" w:rsidRDefault="000A0D51" w:rsidP="009252D8">
      <w:pPr>
        <w:numPr>
          <w:ilvl w:val="0"/>
          <w:numId w:val="18"/>
        </w:numPr>
        <w:suppressLineNumbers/>
        <w:suppressAutoHyphens/>
        <w:kinsoku w:val="0"/>
        <w:overflowPunct w:val="0"/>
        <w:autoSpaceDE w:val="0"/>
        <w:autoSpaceDN w:val="0"/>
        <w:spacing w:after="120"/>
        <w:ind w:left="0" w:firstLine="720"/>
        <w:rPr>
          <w:snapToGrid w:val="0"/>
          <w:kern w:val="22"/>
          <w:szCs w:val="22"/>
          <w:lang w:val="es-ES"/>
        </w:rPr>
      </w:pPr>
      <w:r w:rsidRPr="00747A77">
        <w:rPr>
          <w:snapToGrid w:val="0"/>
          <w:color w:val="000000"/>
          <w:kern w:val="22"/>
          <w:szCs w:val="22"/>
          <w:lang w:val="es-ES"/>
        </w:rPr>
        <w:t>se pueden continuar los talleres regionales, complementados por un taller virtual, y apoyados por el proceso permanente de presentación a la Secretaría de propuestas sobre posibles nuevas áreas que cumplen los criterios para las AIEB;</w:t>
      </w:r>
    </w:p>
    <w:p w:rsidR="000A0D51" w:rsidRPr="00747A77" w:rsidRDefault="000A0D51" w:rsidP="009252D8">
      <w:pPr>
        <w:numPr>
          <w:ilvl w:val="0"/>
          <w:numId w:val="18"/>
        </w:numPr>
        <w:suppressLineNumbers/>
        <w:suppressAutoHyphens/>
        <w:kinsoku w:val="0"/>
        <w:overflowPunct w:val="0"/>
        <w:autoSpaceDE w:val="0"/>
        <w:autoSpaceDN w:val="0"/>
        <w:spacing w:after="120"/>
        <w:ind w:left="0" w:firstLine="720"/>
        <w:rPr>
          <w:snapToGrid w:val="0"/>
          <w:kern w:val="22"/>
          <w:szCs w:val="22"/>
          <w:lang w:val="es-ES"/>
        </w:rPr>
      </w:pPr>
      <w:r w:rsidRPr="00747A77">
        <w:rPr>
          <w:snapToGrid w:val="0"/>
          <w:color w:val="000000"/>
          <w:kern w:val="22"/>
          <w:szCs w:val="22"/>
          <w:lang w:val="es-ES"/>
        </w:rPr>
        <w:t>una red regional de expertos y/o el grupo asesor oficioso sobre las AIEB pueden presentar nueva información (con el formato de plantilla) y revisarla para decidir si se necesita una nueva revisión o taller. Tal revisión puede centrarse en un elemento específico (como una determinada especie). Asimismo, se pueden combinar múltiples fuentes de nueva información presentada para describir nuevas áreas que cumplen los criterios para las AIEB;</w:t>
      </w:r>
    </w:p>
    <w:p w:rsidR="000A0D51" w:rsidRPr="00747A77" w:rsidRDefault="000A0D51" w:rsidP="009252D8">
      <w:pPr>
        <w:numPr>
          <w:ilvl w:val="0"/>
          <w:numId w:val="18"/>
        </w:numPr>
        <w:suppressLineNumbers/>
        <w:suppressAutoHyphens/>
        <w:kinsoku w:val="0"/>
        <w:overflowPunct w:val="0"/>
        <w:autoSpaceDE w:val="0"/>
        <w:autoSpaceDN w:val="0"/>
        <w:spacing w:after="120"/>
        <w:ind w:left="0" w:firstLine="720"/>
        <w:rPr>
          <w:snapToGrid w:val="0"/>
          <w:kern w:val="22"/>
          <w:szCs w:val="22"/>
          <w:lang w:val="es-ES"/>
        </w:rPr>
      </w:pPr>
      <w:r w:rsidRPr="00747A77">
        <w:rPr>
          <w:snapToGrid w:val="0"/>
          <w:color w:val="000000"/>
          <w:kern w:val="22"/>
          <w:szCs w:val="22"/>
          <w:lang w:val="es-ES"/>
        </w:rPr>
        <w:t>toda información que se vaya a publicar en el sitio web del CDB debería ser revisada en su totalidad por el grupo asesor oficioso sobre las AIEB en vista de las posibles sensibilidades asociadas con la visibilidad pública;</w:t>
      </w:r>
    </w:p>
    <w:p w:rsidR="000A0D51" w:rsidRPr="00747A77" w:rsidRDefault="000A0D51" w:rsidP="009252D8">
      <w:pPr>
        <w:numPr>
          <w:ilvl w:val="0"/>
          <w:numId w:val="18"/>
        </w:numPr>
        <w:suppressLineNumbers/>
        <w:suppressAutoHyphens/>
        <w:kinsoku w:val="0"/>
        <w:overflowPunct w:val="0"/>
        <w:autoSpaceDE w:val="0"/>
        <w:autoSpaceDN w:val="0"/>
        <w:spacing w:after="120"/>
        <w:ind w:left="0" w:firstLine="720"/>
        <w:rPr>
          <w:snapToGrid w:val="0"/>
          <w:kern w:val="22"/>
          <w:szCs w:val="22"/>
          <w:lang w:val="es-ES"/>
        </w:rPr>
      </w:pPr>
      <w:r w:rsidRPr="00747A77">
        <w:rPr>
          <w:snapToGrid w:val="0"/>
          <w:color w:val="000000"/>
          <w:kern w:val="22"/>
          <w:szCs w:val="22"/>
          <w:lang w:val="es-ES"/>
        </w:rPr>
        <w:t>los talleres pueden ser regionales, subregionales o interregionales (mundiales) o, de lo contrario, temáticos:</w:t>
      </w:r>
    </w:p>
    <w:p w:rsidR="000A0D51" w:rsidRPr="00747A77" w:rsidRDefault="000A0D51" w:rsidP="009252D8">
      <w:pPr>
        <w:numPr>
          <w:ilvl w:val="0"/>
          <w:numId w:val="18"/>
        </w:numPr>
        <w:suppressLineNumbers/>
        <w:suppressAutoHyphens/>
        <w:kinsoku w:val="0"/>
        <w:overflowPunct w:val="0"/>
        <w:autoSpaceDE w:val="0"/>
        <w:autoSpaceDN w:val="0"/>
        <w:spacing w:after="120"/>
        <w:ind w:left="0" w:firstLine="720"/>
        <w:rPr>
          <w:snapToGrid w:val="0"/>
          <w:kern w:val="22"/>
          <w:szCs w:val="22"/>
          <w:lang w:val="es-ES"/>
        </w:rPr>
      </w:pPr>
      <w:r w:rsidRPr="00747A77">
        <w:rPr>
          <w:snapToGrid w:val="0"/>
          <w:color w:val="000000"/>
          <w:kern w:val="22"/>
          <w:szCs w:val="22"/>
          <w:lang w:val="es-ES"/>
        </w:rPr>
        <w:t>los talleres pueden modificar áreas existentes y describir nuevas áreas con base en las propuestas;</w:t>
      </w:r>
    </w:p>
    <w:p w:rsidR="000A0D51" w:rsidRPr="00747A77" w:rsidRDefault="000E0F49" w:rsidP="009252D8">
      <w:pPr>
        <w:numPr>
          <w:ilvl w:val="0"/>
          <w:numId w:val="18"/>
        </w:numPr>
        <w:suppressLineNumbers/>
        <w:suppressAutoHyphens/>
        <w:kinsoku w:val="0"/>
        <w:overflowPunct w:val="0"/>
        <w:autoSpaceDE w:val="0"/>
        <w:autoSpaceDN w:val="0"/>
        <w:spacing w:after="120"/>
        <w:ind w:left="0" w:firstLine="720"/>
        <w:rPr>
          <w:snapToGrid w:val="0"/>
          <w:kern w:val="22"/>
          <w:szCs w:val="22"/>
          <w:lang w:val="es-ES"/>
        </w:rPr>
      </w:pPr>
      <w:r w:rsidRPr="00747A77">
        <w:rPr>
          <w:snapToGrid w:val="0"/>
          <w:color w:val="000000"/>
          <w:kern w:val="22"/>
          <w:szCs w:val="22"/>
          <w:lang w:val="es-ES"/>
        </w:rPr>
        <w:t>debería llevarse a cabo un análisis de deficiencias para apoyar el establecimiento de prioridades respecto de nuevos talleres regionales, subregionales e interregionales, o temáticos. Dicho análisis puede ser revisado y considerado por el Órgano Subsidiario de Asesoramiento Científico, Técnico y Tecnológico.</w:t>
      </w:r>
    </w:p>
    <w:p w:rsidR="00C701A5" w:rsidRPr="00747A77" w:rsidRDefault="008B60B4" w:rsidP="006F4285">
      <w:pPr>
        <w:pStyle w:val="Ttulo2"/>
        <w:suppressLineNumbers/>
        <w:tabs>
          <w:tab w:val="clear" w:pos="720"/>
          <w:tab w:val="left" w:pos="360"/>
        </w:tabs>
        <w:suppressAutoHyphens/>
        <w:kinsoku w:val="0"/>
        <w:overflowPunct w:val="0"/>
        <w:autoSpaceDE w:val="0"/>
        <w:autoSpaceDN w:val="0"/>
        <w:spacing w:before="0" w:after="0"/>
        <w:rPr>
          <w:snapToGrid w:val="0"/>
          <w:kern w:val="22"/>
          <w:szCs w:val="22"/>
          <w:lang w:val="es-ES"/>
        </w:rPr>
      </w:pPr>
      <w:r w:rsidRPr="00747A77">
        <w:rPr>
          <w:iCs w:val="0"/>
          <w:snapToGrid w:val="0"/>
          <w:kern w:val="22"/>
          <w:szCs w:val="22"/>
          <w:lang w:val="es-ES"/>
        </w:rPr>
        <w:t>C.</w:t>
      </w:r>
      <w:r w:rsidRPr="00747A77">
        <w:rPr>
          <w:iCs w:val="0"/>
          <w:snapToGrid w:val="0"/>
          <w:kern w:val="22"/>
          <w:szCs w:val="22"/>
          <w:lang w:val="es-ES"/>
        </w:rPr>
        <w:tab/>
        <w:t>Consideraciones clave para la descripción de nuevas AIEB</w:t>
      </w:r>
    </w:p>
    <w:p w:rsidR="00084319" w:rsidRPr="00747A77" w:rsidRDefault="000A0D51" w:rsidP="006F4285">
      <w:pPr>
        <w:suppressLineNumbers/>
        <w:suppressAutoHyphens/>
        <w:kinsoku w:val="0"/>
        <w:overflowPunct w:val="0"/>
        <w:autoSpaceDE w:val="0"/>
        <w:autoSpaceDN w:val="0"/>
        <w:spacing w:before="120" w:after="120"/>
        <w:rPr>
          <w:snapToGrid w:val="0"/>
          <w:kern w:val="22"/>
          <w:szCs w:val="22"/>
          <w:lang w:val="es-ES"/>
        </w:rPr>
      </w:pPr>
      <w:r w:rsidRPr="00747A77">
        <w:rPr>
          <w:snapToGrid w:val="0"/>
          <w:kern w:val="22"/>
          <w:szCs w:val="22"/>
          <w:lang w:val="es-ES"/>
        </w:rPr>
        <w:t>12.</w:t>
      </w:r>
      <w:r w:rsidRPr="00747A77">
        <w:rPr>
          <w:snapToGrid w:val="0"/>
          <w:kern w:val="22"/>
          <w:szCs w:val="22"/>
          <w:lang w:val="es-ES"/>
        </w:rPr>
        <w:tab/>
        <w:t>Deben tenerse en cuenta las siguientes consideraciones:</w:t>
      </w:r>
    </w:p>
    <w:p w:rsidR="000A0D51" w:rsidRPr="00747A77" w:rsidRDefault="00084319" w:rsidP="009252D8">
      <w:pPr>
        <w:pStyle w:val="Prrafodelista"/>
        <w:numPr>
          <w:ilvl w:val="0"/>
          <w:numId w:val="19"/>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s-ES"/>
        </w:rPr>
      </w:pPr>
      <w:r w:rsidRPr="00747A77">
        <w:rPr>
          <w:rFonts w:ascii="Times New Roman" w:hAnsi="Times New Roman"/>
          <w:snapToGrid w:val="0"/>
          <w:color w:val="000000"/>
          <w:kern w:val="22"/>
          <w:lang w:val="es-ES"/>
        </w:rPr>
        <w:t>es necesario garantizar la participación plena y efectiva de los pueblos indígenas y comunidades locales para incorporar los conocimientos tradicionales en la descripción de nuevas AIEB. Los poseedores de esos conocimientos tradicionales y los expertos deberían participar en la formación y funciones de la red regional de expertos en las AIEB (una vez que esta se haya establecido);</w:t>
      </w:r>
    </w:p>
    <w:p w:rsidR="00084319" w:rsidRPr="00747A77" w:rsidRDefault="00084319" w:rsidP="009252D8">
      <w:pPr>
        <w:pStyle w:val="Prrafodelista"/>
        <w:numPr>
          <w:ilvl w:val="0"/>
          <w:numId w:val="19"/>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s-ES"/>
        </w:rPr>
      </w:pPr>
      <w:r w:rsidRPr="00747A77">
        <w:rPr>
          <w:rFonts w:ascii="Times New Roman" w:hAnsi="Times New Roman"/>
          <w:snapToGrid w:val="0"/>
          <w:kern w:val="22"/>
          <w:lang w:val="es-ES"/>
        </w:rPr>
        <w:t xml:space="preserve">toda información presentada para la posible descripción de nuevas áreas debería transmitirse a las Partes en el Convenio sobre la Diversidad Biológica, otros Gobiernos y organizaciones pertinentes; </w:t>
      </w:r>
    </w:p>
    <w:p w:rsidR="00D87ECF" w:rsidRPr="00747A77" w:rsidRDefault="000A0D51" w:rsidP="009252D8">
      <w:pPr>
        <w:pStyle w:val="Prrafodelista"/>
        <w:numPr>
          <w:ilvl w:val="0"/>
          <w:numId w:val="19"/>
        </w:numPr>
        <w:suppressLineNumbers/>
        <w:suppressAutoHyphens/>
        <w:kinsoku w:val="0"/>
        <w:overflowPunct w:val="0"/>
        <w:autoSpaceDE w:val="0"/>
        <w:autoSpaceDN w:val="0"/>
        <w:spacing w:after="120" w:line="240" w:lineRule="auto"/>
        <w:ind w:left="0" w:firstLine="720"/>
        <w:contextualSpacing w:val="0"/>
        <w:jc w:val="both"/>
        <w:rPr>
          <w:rFonts w:ascii="Times New Roman" w:hAnsi="Times New Roman"/>
          <w:snapToGrid w:val="0"/>
          <w:kern w:val="22"/>
          <w:lang w:val="es-ES"/>
        </w:rPr>
      </w:pPr>
      <w:r w:rsidRPr="00747A77">
        <w:rPr>
          <w:rFonts w:ascii="Times New Roman" w:hAnsi="Times New Roman"/>
          <w:snapToGrid w:val="0"/>
          <w:kern w:val="22"/>
          <w:lang w:val="es-ES"/>
        </w:rPr>
        <w:lastRenderedPageBreak/>
        <w:t>el nuevo proceso de descripción, a través de talleres regionales o temáticos, debería seguir el proceso actual de presentación ante el Órgano Subsidiario de Asesoramiento Científico, Técnico y Tecnológico y la Conferencia de las Partes, para que estos la sometan a consideración antes de su inclusión en el repositorio de AIEB.</w:t>
      </w:r>
    </w:p>
    <w:p w:rsidR="00C701A5" w:rsidRPr="00747A77" w:rsidRDefault="008B60B4" w:rsidP="006F4285">
      <w:pPr>
        <w:pStyle w:val="Ttulo2"/>
        <w:suppressLineNumbers/>
        <w:tabs>
          <w:tab w:val="clear" w:pos="720"/>
          <w:tab w:val="left" w:pos="360"/>
        </w:tabs>
        <w:suppressAutoHyphens/>
        <w:kinsoku w:val="0"/>
        <w:overflowPunct w:val="0"/>
        <w:autoSpaceDE w:val="0"/>
        <w:autoSpaceDN w:val="0"/>
        <w:spacing w:before="0" w:after="0"/>
        <w:rPr>
          <w:snapToGrid w:val="0"/>
          <w:kern w:val="22"/>
          <w:szCs w:val="22"/>
          <w:lang w:val="es-ES"/>
        </w:rPr>
      </w:pPr>
      <w:r w:rsidRPr="00747A77">
        <w:rPr>
          <w:iCs w:val="0"/>
          <w:snapToGrid w:val="0"/>
          <w:kern w:val="22"/>
          <w:szCs w:val="22"/>
          <w:lang w:val="es-ES"/>
        </w:rPr>
        <w:t>D.</w:t>
      </w:r>
      <w:r w:rsidRPr="00747A77">
        <w:rPr>
          <w:iCs w:val="0"/>
          <w:snapToGrid w:val="0"/>
          <w:kern w:val="22"/>
          <w:szCs w:val="22"/>
          <w:lang w:val="es-ES"/>
        </w:rPr>
        <w:tab/>
        <w:t>Necesidades de creación de capacidad para la descripción de nuevas AIEB</w:t>
      </w:r>
    </w:p>
    <w:p w:rsidR="000A0D51" w:rsidRPr="00747A77" w:rsidRDefault="000A0D51" w:rsidP="006F4285">
      <w:pPr>
        <w:suppressLineNumbers/>
        <w:suppressAutoHyphens/>
        <w:kinsoku w:val="0"/>
        <w:overflowPunct w:val="0"/>
        <w:autoSpaceDE w:val="0"/>
        <w:autoSpaceDN w:val="0"/>
        <w:spacing w:before="120" w:after="120"/>
        <w:rPr>
          <w:snapToGrid w:val="0"/>
          <w:kern w:val="22"/>
          <w:szCs w:val="22"/>
          <w:lang w:val="es-ES"/>
        </w:rPr>
      </w:pPr>
      <w:r w:rsidRPr="00747A77">
        <w:rPr>
          <w:snapToGrid w:val="0"/>
          <w:kern w:val="22"/>
          <w:szCs w:val="22"/>
          <w:lang w:val="es-ES"/>
        </w:rPr>
        <w:t xml:space="preserve">13. </w:t>
      </w:r>
      <w:r w:rsidRPr="00747A77">
        <w:rPr>
          <w:snapToGrid w:val="0"/>
          <w:kern w:val="22"/>
          <w:szCs w:val="22"/>
          <w:lang w:val="es-ES"/>
        </w:rPr>
        <w:tab/>
        <w:t>Las necesidades de creación de capacidad para la modificación de AIEB existentes son las mismas que para la descripción de nuevas áreas que cumplen los criterios para las AIEB, a saber:</w:t>
      </w:r>
    </w:p>
    <w:p w:rsidR="000A0D51" w:rsidRPr="00747A77" w:rsidRDefault="000A0D51" w:rsidP="009252D8">
      <w:pPr>
        <w:numPr>
          <w:ilvl w:val="0"/>
          <w:numId w:val="20"/>
        </w:numPr>
        <w:suppressLineNumbers/>
        <w:suppressAutoHyphens/>
        <w:kinsoku w:val="0"/>
        <w:overflowPunct w:val="0"/>
        <w:autoSpaceDE w:val="0"/>
        <w:autoSpaceDN w:val="0"/>
        <w:spacing w:after="120"/>
        <w:ind w:left="0" w:firstLine="720"/>
        <w:rPr>
          <w:snapToGrid w:val="0"/>
          <w:color w:val="000000"/>
          <w:kern w:val="22"/>
          <w:szCs w:val="22"/>
          <w:lang w:val="es-ES"/>
        </w:rPr>
      </w:pPr>
      <w:r w:rsidRPr="00747A77">
        <w:rPr>
          <w:snapToGrid w:val="0"/>
          <w:color w:val="000000"/>
          <w:kern w:val="22"/>
          <w:szCs w:val="22"/>
          <w:lang w:val="es-ES"/>
        </w:rPr>
        <w:t>entender qué constituye una AIEB;</w:t>
      </w:r>
    </w:p>
    <w:p w:rsidR="000A0D51" w:rsidRPr="00747A77" w:rsidRDefault="000A0D51" w:rsidP="009252D8">
      <w:pPr>
        <w:numPr>
          <w:ilvl w:val="0"/>
          <w:numId w:val="20"/>
        </w:numPr>
        <w:suppressLineNumbers/>
        <w:suppressAutoHyphens/>
        <w:kinsoku w:val="0"/>
        <w:overflowPunct w:val="0"/>
        <w:autoSpaceDE w:val="0"/>
        <w:autoSpaceDN w:val="0"/>
        <w:spacing w:after="120"/>
        <w:ind w:left="0" w:firstLine="720"/>
        <w:rPr>
          <w:snapToGrid w:val="0"/>
          <w:color w:val="000000"/>
          <w:kern w:val="22"/>
          <w:szCs w:val="22"/>
          <w:lang w:val="es-ES"/>
        </w:rPr>
      </w:pPr>
      <w:r w:rsidRPr="00747A77">
        <w:rPr>
          <w:snapToGrid w:val="0"/>
          <w:color w:val="000000"/>
          <w:kern w:val="22"/>
          <w:szCs w:val="22"/>
          <w:lang w:val="es-ES"/>
        </w:rPr>
        <w:t>cómo elaborar una propuesta, llevar a cabo una revisión por pares, evaluar cambios y completar información faltante en los datos científicos, recopilación de datos, etc.;</w:t>
      </w:r>
    </w:p>
    <w:p w:rsidR="000A0D51" w:rsidRPr="00747A77" w:rsidRDefault="000A0D51" w:rsidP="009252D8">
      <w:pPr>
        <w:numPr>
          <w:ilvl w:val="0"/>
          <w:numId w:val="20"/>
        </w:numPr>
        <w:suppressLineNumbers/>
        <w:suppressAutoHyphens/>
        <w:kinsoku w:val="0"/>
        <w:overflowPunct w:val="0"/>
        <w:autoSpaceDE w:val="0"/>
        <w:autoSpaceDN w:val="0"/>
        <w:spacing w:after="120"/>
        <w:ind w:left="0" w:firstLine="720"/>
        <w:rPr>
          <w:snapToGrid w:val="0"/>
          <w:color w:val="000000"/>
          <w:kern w:val="22"/>
          <w:szCs w:val="22"/>
          <w:lang w:val="es-ES"/>
        </w:rPr>
      </w:pPr>
      <w:r w:rsidRPr="00747A77">
        <w:rPr>
          <w:snapToGrid w:val="0"/>
          <w:color w:val="000000"/>
          <w:kern w:val="22"/>
          <w:szCs w:val="22"/>
          <w:lang w:val="es-ES"/>
        </w:rPr>
        <w:t>cómo los poseedores y expertos en conocimientos tradicionales pueden participar en estos procesos y cómo los científicos pueden trabajar con ellos;</w:t>
      </w:r>
    </w:p>
    <w:p w:rsidR="000A0D51" w:rsidRPr="00747A77" w:rsidRDefault="000A0D51" w:rsidP="009252D8">
      <w:pPr>
        <w:numPr>
          <w:ilvl w:val="0"/>
          <w:numId w:val="20"/>
        </w:numPr>
        <w:suppressLineNumbers/>
        <w:suppressAutoHyphens/>
        <w:kinsoku w:val="0"/>
        <w:overflowPunct w:val="0"/>
        <w:autoSpaceDE w:val="0"/>
        <w:autoSpaceDN w:val="0"/>
        <w:spacing w:after="120"/>
        <w:ind w:left="0" w:firstLine="720"/>
        <w:rPr>
          <w:snapToGrid w:val="0"/>
          <w:color w:val="000000"/>
          <w:kern w:val="22"/>
          <w:szCs w:val="22"/>
          <w:lang w:val="es-ES"/>
        </w:rPr>
      </w:pPr>
      <w:r w:rsidRPr="00747A77">
        <w:rPr>
          <w:snapToGrid w:val="0"/>
          <w:color w:val="000000"/>
          <w:kern w:val="22"/>
          <w:szCs w:val="22"/>
          <w:lang w:val="es-ES"/>
        </w:rPr>
        <w:t>cómo usar la información sobre las AIEB para la gestión;</w:t>
      </w:r>
    </w:p>
    <w:p w:rsidR="00017480" w:rsidRPr="00747A77" w:rsidRDefault="000A0D51" w:rsidP="009252D8">
      <w:pPr>
        <w:numPr>
          <w:ilvl w:val="0"/>
          <w:numId w:val="20"/>
        </w:numPr>
        <w:suppressLineNumbers/>
        <w:suppressAutoHyphens/>
        <w:kinsoku w:val="0"/>
        <w:overflowPunct w:val="0"/>
        <w:autoSpaceDE w:val="0"/>
        <w:autoSpaceDN w:val="0"/>
        <w:spacing w:after="120"/>
        <w:ind w:left="0" w:firstLine="720"/>
        <w:rPr>
          <w:snapToGrid w:val="0"/>
          <w:color w:val="000000"/>
          <w:kern w:val="22"/>
          <w:szCs w:val="22"/>
          <w:lang w:val="es-ES"/>
        </w:rPr>
      </w:pPr>
      <w:r w:rsidRPr="00747A77">
        <w:rPr>
          <w:snapToGrid w:val="0"/>
          <w:color w:val="000000"/>
          <w:kern w:val="22"/>
          <w:szCs w:val="22"/>
          <w:lang w:val="es-ES"/>
        </w:rPr>
        <w:t>entender los diferentes tipos de procesos, como los vínculos entre el proceso de AIEB y otros procesos, sectores, actividades e interesados directos.</w:t>
      </w:r>
    </w:p>
    <w:p w:rsidR="000A0D51" w:rsidRPr="00747A77" w:rsidRDefault="008B60B4" w:rsidP="006F4285">
      <w:pPr>
        <w:pStyle w:val="Heading1longmultiline"/>
        <w:suppressLineNumbers/>
        <w:tabs>
          <w:tab w:val="clear" w:pos="720"/>
        </w:tabs>
        <w:suppressAutoHyphens/>
        <w:kinsoku w:val="0"/>
        <w:overflowPunct w:val="0"/>
        <w:autoSpaceDE w:val="0"/>
        <w:autoSpaceDN w:val="0"/>
        <w:spacing w:before="120"/>
        <w:ind w:left="1440" w:hanging="720"/>
        <w:rPr>
          <w:b w:val="0"/>
          <w:snapToGrid w:val="0"/>
          <w:kern w:val="22"/>
          <w:szCs w:val="22"/>
          <w:lang w:val="es-ES"/>
        </w:rPr>
      </w:pPr>
      <w:r w:rsidRPr="00747A77">
        <w:rPr>
          <w:bCs/>
          <w:snapToGrid w:val="0"/>
          <w:kern w:val="22"/>
          <w:szCs w:val="22"/>
          <w:lang w:val="es-ES"/>
        </w:rPr>
        <w:t>III.</w:t>
      </w:r>
      <w:r w:rsidRPr="00747A77">
        <w:rPr>
          <w:bCs/>
          <w:snapToGrid w:val="0"/>
          <w:kern w:val="22"/>
          <w:szCs w:val="22"/>
          <w:lang w:val="es-ES"/>
        </w:rPr>
        <w:tab/>
        <w:t>Opciones para fortalecer la credibilidad científica y la transparencia del proceso de AIEB</w:t>
      </w:r>
    </w:p>
    <w:p w:rsidR="000A0D51" w:rsidRPr="00747A77" w:rsidRDefault="008B60B4" w:rsidP="006F4285">
      <w:pPr>
        <w:pStyle w:val="Ttulo2"/>
        <w:suppressLineNumbers/>
        <w:tabs>
          <w:tab w:val="clear" w:pos="720"/>
          <w:tab w:val="left" w:pos="360"/>
        </w:tabs>
        <w:suppressAutoHyphens/>
        <w:kinsoku w:val="0"/>
        <w:overflowPunct w:val="0"/>
        <w:autoSpaceDE w:val="0"/>
        <w:autoSpaceDN w:val="0"/>
        <w:spacing w:before="0" w:after="0"/>
        <w:rPr>
          <w:b w:val="0"/>
          <w:snapToGrid w:val="0"/>
          <w:kern w:val="22"/>
          <w:szCs w:val="22"/>
          <w:lang w:val="es-ES"/>
        </w:rPr>
      </w:pPr>
      <w:r w:rsidRPr="00747A77">
        <w:rPr>
          <w:iCs w:val="0"/>
          <w:snapToGrid w:val="0"/>
          <w:kern w:val="22"/>
          <w:szCs w:val="22"/>
          <w:lang w:val="es-ES"/>
        </w:rPr>
        <w:t>A.</w:t>
      </w:r>
      <w:r w:rsidRPr="00747A77">
        <w:rPr>
          <w:iCs w:val="0"/>
          <w:snapToGrid w:val="0"/>
          <w:kern w:val="22"/>
          <w:szCs w:val="22"/>
          <w:lang w:val="es-ES"/>
        </w:rPr>
        <w:tab/>
        <w:t>Credibilidad científica de los talleres regionales sobre las AIEB</w:t>
      </w:r>
    </w:p>
    <w:p w:rsidR="000A0D51" w:rsidRPr="00747A77" w:rsidRDefault="00017480" w:rsidP="006816B5">
      <w:pPr>
        <w:suppressLineNumbers/>
        <w:suppressAutoHyphens/>
        <w:kinsoku w:val="0"/>
        <w:overflowPunct w:val="0"/>
        <w:autoSpaceDE w:val="0"/>
        <w:autoSpaceDN w:val="0"/>
        <w:spacing w:before="120" w:after="120" w:line="233" w:lineRule="auto"/>
        <w:rPr>
          <w:snapToGrid w:val="0"/>
          <w:kern w:val="22"/>
          <w:szCs w:val="22"/>
          <w:lang w:val="es-ES"/>
        </w:rPr>
      </w:pPr>
      <w:r w:rsidRPr="00747A77">
        <w:rPr>
          <w:snapToGrid w:val="0"/>
          <w:kern w:val="22"/>
          <w:szCs w:val="22"/>
          <w:lang w:val="es-ES"/>
        </w:rPr>
        <w:t>14.</w:t>
      </w:r>
      <w:r w:rsidRPr="00747A77">
        <w:rPr>
          <w:snapToGrid w:val="0"/>
          <w:kern w:val="22"/>
          <w:szCs w:val="22"/>
          <w:lang w:val="es-ES"/>
        </w:rPr>
        <w:tab/>
        <w:t>Con respecto al fortalecimiento de la credibilidad científica de los talleres regionales, las siguientes medidas podrían garantizar la suficiente amplitud de conocimientos por medio de un proceso de nominación reforzado y la utilización plena del asesoramiento del grupo asesor oficioso sobre las AIEB:</w:t>
      </w:r>
    </w:p>
    <w:p w:rsidR="000A0D51" w:rsidRPr="00747A77" w:rsidRDefault="000A0D51" w:rsidP="009252D8">
      <w:pPr>
        <w:numPr>
          <w:ilvl w:val="0"/>
          <w:numId w:val="21"/>
        </w:numPr>
        <w:suppressLineNumbers/>
        <w:tabs>
          <w:tab w:val="clear" w:pos="360"/>
        </w:tabs>
        <w:suppressAutoHyphens/>
        <w:kinsoku w:val="0"/>
        <w:overflowPunct w:val="0"/>
        <w:autoSpaceDE w:val="0"/>
        <w:autoSpaceDN w:val="0"/>
        <w:spacing w:after="120" w:line="233" w:lineRule="auto"/>
        <w:ind w:left="0" w:firstLine="720"/>
        <w:rPr>
          <w:snapToGrid w:val="0"/>
          <w:kern w:val="22"/>
          <w:szCs w:val="22"/>
          <w:lang w:val="es-ES"/>
        </w:rPr>
      </w:pPr>
      <w:r w:rsidRPr="00747A77">
        <w:rPr>
          <w:snapToGrid w:val="0"/>
          <w:kern w:val="22"/>
          <w:szCs w:val="22"/>
          <w:lang w:val="es-ES"/>
        </w:rPr>
        <w:t xml:space="preserve">establecer "redes regionales de expertos en AIEB", aprovechar los conocimientos de los expertos disponibles en diferentes regiones con experiencia de talleres regionales previos, en colaboración con las organizaciones de mares regionales, órganos de gestión sectoriales regionales y otras iniciativas regionales pertinentes, como programas o proyectos de grandes ecosistemas marinos, organizaciones industriales y comunitarias, así como expertos regionales en conocimientos tradicionales; </w:t>
      </w:r>
    </w:p>
    <w:p w:rsidR="000A0D51" w:rsidRPr="00747A77" w:rsidRDefault="000A0D51" w:rsidP="009252D8">
      <w:pPr>
        <w:numPr>
          <w:ilvl w:val="0"/>
          <w:numId w:val="21"/>
        </w:numPr>
        <w:suppressLineNumbers/>
        <w:tabs>
          <w:tab w:val="clear" w:pos="360"/>
        </w:tabs>
        <w:suppressAutoHyphens/>
        <w:kinsoku w:val="0"/>
        <w:overflowPunct w:val="0"/>
        <w:autoSpaceDE w:val="0"/>
        <w:autoSpaceDN w:val="0"/>
        <w:spacing w:after="120" w:line="233" w:lineRule="auto"/>
        <w:ind w:left="0" w:firstLine="720"/>
        <w:rPr>
          <w:snapToGrid w:val="0"/>
          <w:kern w:val="22"/>
          <w:szCs w:val="22"/>
          <w:lang w:val="es-ES"/>
        </w:rPr>
      </w:pPr>
      <w:r w:rsidRPr="00747A77">
        <w:rPr>
          <w:snapToGrid w:val="0"/>
          <w:kern w:val="22"/>
          <w:szCs w:val="22"/>
          <w:lang w:val="es-ES"/>
        </w:rPr>
        <w:t>planificar de forma avanzada la participación en talleres en colaboración con "redes regionales de expertos en AIEB" (una vez establecidas), con recopilación de información a escalas adecuadas;</w:t>
      </w:r>
    </w:p>
    <w:p w:rsidR="000A0D51" w:rsidRPr="00747A77" w:rsidRDefault="000A0D51" w:rsidP="009252D8">
      <w:pPr>
        <w:numPr>
          <w:ilvl w:val="0"/>
          <w:numId w:val="21"/>
        </w:numPr>
        <w:suppressLineNumbers/>
        <w:tabs>
          <w:tab w:val="clear" w:pos="360"/>
        </w:tabs>
        <w:suppressAutoHyphens/>
        <w:kinsoku w:val="0"/>
        <w:overflowPunct w:val="0"/>
        <w:autoSpaceDE w:val="0"/>
        <w:autoSpaceDN w:val="0"/>
        <w:spacing w:after="120" w:line="233" w:lineRule="auto"/>
        <w:ind w:left="0" w:firstLine="720"/>
        <w:rPr>
          <w:snapToGrid w:val="0"/>
          <w:kern w:val="22"/>
          <w:szCs w:val="22"/>
          <w:lang w:val="es-ES"/>
        </w:rPr>
      </w:pPr>
      <w:r w:rsidRPr="00747A77">
        <w:rPr>
          <w:snapToGrid w:val="0"/>
          <w:kern w:val="22"/>
          <w:szCs w:val="22"/>
          <w:lang w:val="es-ES"/>
        </w:rPr>
        <w:t>abordar específicamente cualquier desequilibrio entre áreas de especialización; por ejemplo, explorando posibles vínculos con la Iniciativa Mundial sobre Taxonomía del CDB y las sinergias con otras organizaciones intergubernamentales.</w:t>
      </w:r>
    </w:p>
    <w:p w:rsidR="000A0D51" w:rsidRPr="00747A77" w:rsidRDefault="002A0C9B" w:rsidP="006816B5">
      <w:pPr>
        <w:suppressLineNumbers/>
        <w:suppressAutoHyphens/>
        <w:kinsoku w:val="0"/>
        <w:overflowPunct w:val="0"/>
        <w:autoSpaceDE w:val="0"/>
        <w:autoSpaceDN w:val="0"/>
        <w:spacing w:before="120" w:after="120" w:line="233" w:lineRule="auto"/>
        <w:rPr>
          <w:snapToGrid w:val="0"/>
          <w:kern w:val="22"/>
          <w:szCs w:val="22"/>
          <w:lang w:val="es-ES"/>
        </w:rPr>
      </w:pPr>
      <w:r w:rsidRPr="00747A77">
        <w:rPr>
          <w:snapToGrid w:val="0"/>
          <w:kern w:val="22"/>
          <w:szCs w:val="22"/>
          <w:lang w:val="es-ES"/>
        </w:rPr>
        <w:t>15.</w:t>
      </w:r>
      <w:r w:rsidRPr="00747A77">
        <w:rPr>
          <w:snapToGrid w:val="0"/>
          <w:kern w:val="22"/>
          <w:szCs w:val="22"/>
          <w:lang w:val="es-ES"/>
        </w:rPr>
        <w:tab/>
        <w:t>Deben tenerse en cuenta las siguientes consideraciones:</w:t>
      </w:r>
    </w:p>
    <w:p w:rsidR="000A0D51" w:rsidRPr="00747A77" w:rsidRDefault="00444767" w:rsidP="009252D8">
      <w:pPr>
        <w:numPr>
          <w:ilvl w:val="0"/>
          <w:numId w:val="22"/>
        </w:numPr>
        <w:suppressLineNumbers/>
        <w:tabs>
          <w:tab w:val="clear" w:pos="360"/>
        </w:tabs>
        <w:suppressAutoHyphens/>
        <w:kinsoku w:val="0"/>
        <w:overflowPunct w:val="0"/>
        <w:autoSpaceDE w:val="0"/>
        <w:autoSpaceDN w:val="0"/>
        <w:spacing w:after="120" w:line="233" w:lineRule="auto"/>
        <w:ind w:left="0" w:firstLine="720"/>
        <w:rPr>
          <w:snapToGrid w:val="0"/>
          <w:kern w:val="22"/>
          <w:szCs w:val="22"/>
          <w:lang w:val="es-ES"/>
        </w:rPr>
      </w:pPr>
      <w:r w:rsidRPr="00747A77">
        <w:rPr>
          <w:snapToGrid w:val="0"/>
          <w:kern w:val="22"/>
          <w:szCs w:val="22"/>
          <w:lang w:val="es-ES"/>
        </w:rPr>
        <w:t>promover la cooperación con OBIS/COI-UNESCO en el acceso a la información científica en apoyo a los talleres regionales;</w:t>
      </w:r>
    </w:p>
    <w:p w:rsidR="000A0D51" w:rsidRPr="00747A77" w:rsidRDefault="00444767" w:rsidP="009252D8">
      <w:pPr>
        <w:numPr>
          <w:ilvl w:val="0"/>
          <w:numId w:val="22"/>
        </w:numPr>
        <w:suppressLineNumbers/>
        <w:tabs>
          <w:tab w:val="clear" w:pos="360"/>
        </w:tabs>
        <w:suppressAutoHyphens/>
        <w:kinsoku w:val="0"/>
        <w:overflowPunct w:val="0"/>
        <w:autoSpaceDE w:val="0"/>
        <w:autoSpaceDN w:val="0"/>
        <w:spacing w:after="120" w:line="233" w:lineRule="auto"/>
        <w:ind w:left="0" w:firstLine="720"/>
        <w:rPr>
          <w:snapToGrid w:val="0"/>
          <w:kern w:val="22"/>
          <w:szCs w:val="22"/>
          <w:lang w:val="es-ES"/>
        </w:rPr>
      </w:pPr>
      <w:r w:rsidRPr="00747A77">
        <w:rPr>
          <w:snapToGrid w:val="0"/>
          <w:kern w:val="22"/>
          <w:szCs w:val="22"/>
          <w:lang w:val="es-ES"/>
        </w:rPr>
        <w:t>fortalecer el suministro de orientación para la preparación a nivel nacional y regional previa a un taller regional sobre las AIEB a fin de garantizar la recopilación oportuna de información científica;</w:t>
      </w:r>
    </w:p>
    <w:p w:rsidR="000A0D51" w:rsidRPr="00747A77" w:rsidRDefault="00444767" w:rsidP="009252D8">
      <w:pPr>
        <w:numPr>
          <w:ilvl w:val="0"/>
          <w:numId w:val="22"/>
        </w:numPr>
        <w:suppressLineNumbers/>
        <w:tabs>
          <w:tab w:val="clear" w:pos="360"/>
        </w:tabs>
        <w:suppressAutoHyphens/>
        <w:kinsoku w:val="0"/>
        <w:overflowPunct w:val="0"/>
        <w:autoSpaceDE w:val="0"/>
        <w:autoSpaceDN w:val="0"/>
        <w:spacing w:after="120" w:line="233" w:lineRule="auto"/>
        <w:ind w:left="0" w:firstLine="720"/>
        <w:rPr>
          <w:snapToGrid w:val="0"/>
          <w:kern w:val="22"/>
          <w:szCs w:val="22"/>
          <w:lang w:val="es-ES"/>
        </w:rPr>
      </w:pPr>
      <w:r w:rsidRPr="00747A77">
        <w:rPr>
          <w:snapToGrid w:val="0"/>
          <w:kern w:val="22"/>
          <w:szCs w:val="22"/>
          <w:lang w:val="es-ES"/>
        </w:rPr>
        <w:t>ofrecer capacitación previa al taller, como capacitación en línea.</w:t>
      </w:r>
    </w:p>
    <w:p w:rsidR="000A0D51" w:rsidRPr="00747A77" w:rsidRDefault="008B60B4" w:rsidP="006816B5">
      <w:pPr>
        <w:pStyle w:val="Ttulo2"/>
        <w:suppressLineNumbers/>
        <w:tabs>
          <w:tab w:val="clear" w:pos="720"/>
          <w:tab w:val="left" w:pos="360"/>
        </w:tabs>
        <w:suppressAutoHyphens/>
        <w:kinsoku w:val="0"/>
        <w:overflowPunct w:val="0"/>
        <w:autoSpaceDE w:val="0"/>
        <w:autoSpaceDN w:val="0"/>
        <w:spacing w:before="0" w:after="0" w:line="233" w:lineRule="auto"/>
        <w:rPr>
          <w:b w:val="0"/>
          <w:snapToGrid w:val="0"/>
          <w:kern w:val="22"/>
          <w:szCs w:val="22"/>
          <w:lang w:val="es-ES"/>
        </w:rPr>
      </w:pPr>
      <w:r w:rsidRPr="00747A77">
        <w:rPr>
          <w:iCs w:val="0"/>
          <w:snapToGrid w:val="0"/>
          <w:kern w:val="22"/>
          <w:szCs w:val="22"/>
          <w:lang w:val="es-ES"/>
        </w:rPr>
        <w:t>B.</w:t>
      </w:r>
      <w:r w:rsidRPr="00747A77">
        <w:rPr>
          <w:iCs w:val="0"/>
          <w:snapToGrid w:val="0"/>
          <w:kern w:val="22"/>
          <w:szCs w:val="22"/>
          <w:lang w:val="es-ES"/>
        </w:rPr>
        <w:tab/>
        <w:t>Transparencia de los talleres regionales sobre las AIEB</w:t>
      </w:r>
    </w:p>
    <w:p w:rsidR="000A0D51" w:rsidRPr="00747A77" w:rsidRDefault="002A0C9B" w:rsidP="006816B5">
      <w:pPr>
        <w:suppressLineNumbers/>
        <w:suppressAutoHyphens/>
        <w:kinsoku w:val="0"/>
        <w:overflowPunct w:val="0"/>
        <w:autoSpaceDE w:val="0"/>
        <w:autoSpaceDN w:val="0"/>
        <w:spacing w:before="120" w:after="120" w:line="233" w:lineRule="auto"/>
        <w:rPr>
          <w:snapToGrid w:val="0"/>
          <w:kern w:val="22"/>
          <w:szCs w:val="22"/>
          <w:lang w:val="es-ES"/>
        </w:rPr>
      </w:pPr>
      <w:r w:rsidRPr="00747A77">
        <w:rPr>
          <w:snapToGrid w:val="0"/>
          <w:kern w:val="22"/>
          <w:szCs w:val="22"/>
          <w:lang w:val="es-ES"/>
        </w:rPr>
        <w:t>16.</w:t>
      </w:r>
      <w:r w:rsidRPr="00747A77">
        <w:rPr>
          <w:snapToGrid w:val="0"/>
          <w:kern w:val="22"/>
          <w:szCs w:val="22"/>
          <w:lang w:val="es-ES"/>
        </w:rPr>
        <w:tab/>
        <w:t>Con respecto al fortalecimiento de la transparencia de los talleres regionales, deberían adoptarse las siguientes medidas:</w:t>
      </w:r>
    </w:p>
    <w:p w:rsidR="000A0D51" w:rsidRPr="00747A77" w:rsidRDefault="00715981" w:rsidP="009252D8">
      <w:pPr>
        <w:numPr>
          <w:ilvl w:val="0"/>
          <w:numId w:val="23"/>
        </w:numPr>
        <w:suppressLineNumbers/>
        <w:suppressAutoHyphens/>
        <w:kinsoku w:val="0"/>
        <w:overflowPunct w:val="0"/>
        <w:autoSpaceDE w:val="0"/>
        <w:autoSpaceDN w:val="0"/>
        <w:spacing w:after="120" w:line="233" w:lineRule="auto"/>
        <w:ind w:firstLine="720"/>
        <w:rPr>
          <w:snapToGrid w:val="0"/>
          <w:kern w:val="22"/>
          <w:szCs w:val="22"/>
          <w:lang w:val="es-ES"/>
        </w:rPr>
      </w:pPr>
      <w:r w:rsidRPr="00747A77">
        <w:rPr>
          <w:snapToGrid w:val="0"/>
          <w:kern w:val="22"/>
          <w:szCs w:val="22"/>
          <w:lang w:val="es-ES"/>
        </w:rPr>
        <w:lastRenderedPageBreak/>
        <w:t>incluir una lista de expertos que hayan contribuido a nuevas descripciones o a revisiones de las ya existentes, así como otros aspectos del proceso de las áreas de importancia ecológica y biológica del CDB, como corresponda;</w:t>
      </w:r>
    </w:p>
    <w:p w:rsidR="000A0D51" w:rsidRPr="00747A77" w:rsidRDefault="00715981" w:rsidP="009252D8">
      <w:pPr>
        <w:numPr>
          <w:ilvl w:val="0"/>
          <w:numId w:val="23"/>
        </w:numPr>
        <w:suppressLineNumbers/>
        <w:suppressAutoHyphens/>
        <w:kinsoku w:val="0"/>
        <w:overflowPunct w:val="0"/>
        <w:autoSpaceDE w:val="0"/>
        <w:autoSpaceDN w:val="0"/>
        <w:spacing w:after="120" w:line="233" w:lineRule="auto"/>
        <w:ind w:firstLine="720"/>
        <w:rPr>
          <w:snapToGrid w:val="0"/>
          <w:kern w:val="22"/>
          <w:szCs w:val="22"/>
          <w:lang w:val="es-ES"/>
        </w:rPr>
      </w:pPr>
      <w:r w:rsidRPr="00747A77">
        <w:rPr>
          <w:snapToGrid w:val="0"/>
          <w:kern w:val="22"/>
          <w:szCs w:val="22"/>
          <w:lang w:val="es-ES"/>
        </w:rPr>
        <w:t>incluir información sobre el consentimiento fundamentado previo y libre de los pueblos indígenas y de las comunidades locales cuando se hayan utilizado conocimientos tradicionales;</w:t>
      </w:r>
    </w:p>
    <w:p w:rsidR="000A0D51" w:rsidRPr="00747A77" w:rsidRDefault="00715981" w:rsidP="009252D8">
      <w:pPr>
        <w:numPr>
          <w:ilvl w:val="0"/>
          <w:numId w:val="23"/>
        </w:numPr>
        <w:suppressLineNumbers/>
        <w:suppressAutoHyphens/>
        <w:kinsoku w:val="0"/>
        <w:overflowPunct w:val="0"/>
        <w:autoSpaceDE w:val="0"/>
        <w:autoSpaceDN w:val="0"/>
        <w:spacing w:after="120" w:line="233" w:lineRule="auto"/>
        <w:ind w:firstLine="720"/>
        <w:rPr>
          <w:snapToGrid w:val="0"/>
          <w:kern w:val="22"/>
          <w:szCs w:val="22"/>
          <w:lang w:val="es-ES"/>
        </w:rPr>
      </w:pPr>
      <w:r w:rsidRPr="00747A77">
        <w:rPr>
          <w:snapToGrid w:val="0"/>
          <w:kern w:val="22"/>
          <w:szCs w:val="22"/>
          <w:lang w:val="es-ES"/>
        </w:rPr>
        <w:t>permitir la presentación en línea de comentarios públicos sobre las descripciones de AIEB y la oportunidad de dar respuesta a esos comentarios;</w:t>
      </w:r>
    </w:p>
    <w:p w:rsidR="000A0D51" w:rsidRPr="00747A77" w:rsidRDefault="00715981" w:rsidP="009252D8">
      <w:pPr>
        <w:numPr>
          <w:ilvl w:val="0"/>
          <w:numId w:val="23"/>
        </w:numPr>
        <w:suppressLineNumbers/>
        <w:suppressAutoHyphens/>
        <w:kinsoku w:val="0"/>
        <w:overflowPunct w:val="0"/>
        <w:autoSpaceDE w:val="0"/>
        <w:autoSpaceDN w:val="0"/>
        <w:spacing w:after="120" w:line="233" w:lineRule="auto"/>
        <w:ind w:firstLine="720"/>
        <w:rPr>
          <w:snapToGrid w:val="0"/>
          <w:kern w:val="22"/>
          <w:szCs w:val="22"/>
          <w:lang w:val="es-ES"/>
        </w:rPr>
      </w:pPr>
      <w:r w:rsidRPr="00747A77">
        <w:rPr>
          <w:snapToGrid w:val="0"/>
          <w:kern w:val="22"/>
          <w:szCs w:val="22"/>
          <w:lang w:val="es-ES"/>
        </w:rPr>
        <w:t>capacitar a los expertos científicos en el uso de los conocimientos tradicionales antes de su participación en los talleres regionales;</w:t>
      </w:r>
    </w:p>
    <w:p w:rsidR="000A0D51" w:rsidRPr="00747A77" w:rsidRDefault="00715981" w:rsidP="009252D8">
      <w:pPr>
        <w:numPr>
          <w:ilvl w:val="0"/>
          <w:numId w:val="23"/>
        </w:numPr>
        <w:suppressLineNumbers/>
        <w:suppressAutoHyphens/>
        <w:kinsoku w:val="0"/>
        <w:overflowPunct w:val="0"/>
        <w:autoSpaceDE w:val="0"/>
        <w:autoSpaceDN w:val="0"/>
        <w:spacing w:after="120" w:line="233" w:lineRule="auto"/>
        <w:ind w:firstLine="720"/>
        <w:rPr>
          <w:snapToGrid w:val="0"/>
          <w:kern w:val="22"/>
          <w:szCs w:val="22"/>
          <w:lang w:val="es-ES"/>
        </w:rPr>
      </w:pPr>
      <w:r w:rsidRPr="00747A77">
        <w:rPr>
          <w:snapToGrid w:val="0"/>
          <w:kern w:val="22"/>
          <w:szCs w:val="22"/>
          <w:lang w:val="es-ES"/>
        </w:rPr>
        <w:t>aclarar el ámbito geográfico de los talleres regionales en el repositorio;</w:t>
      </w:r>
    </w:p>
    <w:p w:rsidR="000A0D51" w:rsidRPr="00747A77" w:rsidRDefault="00715981" w:rsidP="009252D8">
      <w:pPr>
        <w:numPr>
          <w:ilvl w:val="0"/>
          <w:numId w:val="23"/>
        </w:numPr>
        <w:suppressLineNumbers/>
        <w:suppressAutoHyphens/>
        <w:kinsoku w:val="0"/>
        <w:overflowPunct w:val="0"/>
        <w:autoSpaceDE w:val="0"/>
        <w:autoSpaceDN w:val="0"/>
        <w:spacing w:after="120" w:line="233" w:lineRule="auto"/>
        <w:ind w:firstLine="720"/>
        <w:rPr>
          <w:snapToGrid w:val="0"/>
          <w:kern w:val="22"/>
          <w:szCs w:val="22"/>
          <w:lang w:val="es-ES"/>
        </w:rPr>
      </w:pPr>
      <w:r w:rsidRPr="00747A77">
        <w:rPr>
          <w:snapToGrid w:val="0"/>
          <w:kern w:val="22"/>
          <w:szCs w:val="22"/>
          <w:lang w:val="es-ES"/>
        </w:rPr>
        <w:t>asegurar el acceso abierto a la información (p. ej., imágenes satelitales, enlaces a documentos académicos referenciados, documentación sobre conocimientos tradicionales) surgida de los talleres regionales (el acceso puede ser parcial o estar sujeto a períodos de interdicción, de ser necesario, para responder a la inquietud de las Partes respecto de la confidencialidad de los datos) en el mecanismo de intercambio de información del CDB, y posiblemente también en OBIS o como enlaces a fuentes primarias de datos;</w:t>
      </w:r>
    </w:p>
    <w:p w:rsidR="000A0D51" w:rsidRPr="00747A77" w:rsidRDefault="00715981" w:rsidP="009252D8">
      <w:pPr>
        <w:numPr>
          <w:ilvl w:val="0"/>
          <w:numId w:val="23"/>
        </w:numPr>
        <w:suppressLineNumbers/>
        <w:suppressAutoHyphens/>
        <w:kinsoku w:val="0"/>
        <w:overflowPunct w:val="0"/>
        <w:autoSpaceDE w:val="0"/>
        <w:autoSpaceDN w:val="0"/>
        <w:spacing w:after="120" w:line="233" w:lineRule="auto"/>
        <w:ind w:firstLine="720"/>
        <w:rPr>
          <w:snapToGrid w:val="0"/>
          <w:kern w:val="22"/>
          <w:szCs w:val="22"/>
          <w:lang w:val="es-ES"/>
        </w:rPr>
      </w:pPr>
      <w:r w:rsidRPr="00747A77">
        <w:rPr>
          <w:snapToGrid w:val="0"/>
          <w:kern w:val="22"/>
          <w:szCs w:val="22"/>
          <w:lang w:val="es-ES"/>
        </w:rPr>
        <w:t>institucionalizar los sistemas participativos de gestión de datos para evitar la exclusión de los poseedores de conocimientos tradicionales o interesados directos.</w:t>
      </w:r>
    </w:p>
    <w:p w:rsidR="000A0D51" w:rsidRPr="00747A77" w:rsidRDefault="002A0C9B" w:rsidP="006816B5">
      <w:pPr>
        <w:suppressLineNumbers/>
        <w:suppressAutoHyphens/>
        <w:kinsoku w:val="0"/>
        <w:overflowPunct w:val="0"/>
        <w:autoSpaceDE w:val="0"/>
        <w:autoSpaceDN w:val="0"/>
        <w:spacing w:before="120" w:after="120" w:line="233" w:lineRule="auto"/>
        <w:rPr>
          <w:snapToGrid w:val="0"/>
          <w:kern w:val="22"/>
          <w:szCs w:val="22"/>
          <w:lang w:val="es-ES"/>
        </w:rPr>
      </w:pPr>
      <w:r w:rsidRPr="00747A77">
        <w:rPr>
          <w:snapToGrid w:val="0"/>
          <w:kern w:val="22"/>
          <w:szCs w:val="22"/>
          <w:lang w:val="es-ES"/>
        </w:rPr>
        <w:t>17.</w:t>
      </w:r>
      <w:r w:rsidRPr="00747A77">
        <w:rPr>
          <w:snapToGrid w:val="0"/>
          <w:kern w:val="22"/>
          <w:szCs w:val="22"/>
          <w:lang w:val="es-ES"/>
        </w:rPr>
        <w:tab/>
        <w:t>Existe la necesidad de mejorar la comprensión del proceso de AIEB con el fin de contribuir a su transparencia por medio de las siguientes medidas:</w:t>
      </w:r>
    </w:p>
    <w:p w:rsidR="000A0D51" w:rsidRPr="00747A77" w:rsidRDefault="00715981" w:rsidP="009252D8">
      <w:pPr>
        <w:numPr>
          <w:ilvl w:val="0"/>
          <w:numId w:val="24"/>
        </w:numPr>
        <w:suppressLineNumbers/>
        <w:suppressAutoHyphens/>
        <w:kinsoku w:val="0"/>
        <w:overflowPunct w:val="0"/>
        <w:autoSpaceDE w:val="0"/>
        <w:autoSpaceDN w:val="0"/>
        <w:spacing w:after="120" w:line="233" w:lineRule="auto"/>
        <w:ind w:left="0" w:firstLine="720"/>
        <w:rPr>
          <w:snapToGrid w:val="0"/>
          <w:kern w:val="22"/>
          <w:szCs w:val="22"/>
          <w:lang w:val="es-ES"/>
        </w:rPr>
      </w:pPr>
      <w:r w:rsidRPr="00747A77">
        <w:rPr>
          <w:snapToGrid w:val="0"/>
          <w:kern w:val="22"/>
          <w:szCs w:val="22"/>
          <w:lang w:val="es-ES"/>
        </w:rPr>
        <w:t>transmitir la importancia de las descripciones de las AIEB a los diferentes sectores y la comunidad científica más amplia en lenguaje comprensible;</w:t>
      </w:r>
    </w:p>
    <w:p w:rsidR="000A0D51" w:rsidRPr="00747A77" w:rsidRDefault="00715981" w:rsidP="009252D8">
      <w:pPr>
        <w:numPr>
          <w:ilvl w:val="0"/>
          <w:numId w:val="24"/>
        </w:numPr>
        <w:suppressLineNumbers/>
        <w:suppressAutoHyphens/>
        <w:kinsoku w:val="0"/>
        <w:overflowPunct w:val="0"/>
        <w:autoSpaceDE w:val="0"/>
        <w:autoSpaceDN w:val="0"/>
        <w:spacing w:after="120" w:line="233" w:lineRule="auto"/>
        <w:ind w:left="0" w:firstLine="720"/>
        <w:rPr>
          <w:snapToGrid w:val="0"/>
          <w:kern w:val="22"/>
          <w:szCs w:val="22"/>
          <w:lang w:val="es-ES"/>
        </w:rPr>
      </w:pPr>
      <w:r w:rsidRPr="00747A77">
        <w:rPr>
          <w:snapToGrid w:val="0"/>
          <w:kern w:val="22"/>
          <w:szCs w:val="22"/>
          <w:lang w:val="es-ES"/>
        </w:rPr>
        <w:t>aumentar la participación de los medios a nivel nacional y regional durante los talleres regionales o una vez finalizados estos (con base en la experiencia acumulada por la Secretaría del Convenio sobre la Diversidad Biológica en el contexto de otras reuniones de expertos del CDB);</w:t>
      </w:r>
    </w:p>
    <w:p w:rsidR="000A0D51" w:rsidRPr="00747A77" w:rsidRDefault="00715981" w:rsidP="009252D8">
      <w:pPr>
        <w:numPr>
          <w:ilvl w:val="0"/>
          <w:numId w:val="24"/>
        </w:numPr>
        <w:suppressLineNumbers/>
        <w:suppressAutoHyphens/>
        <w:kinsoku w:val="0"/>
        <w:overflowPunct w:val="0"/>
        <w:autoSpaceDE w:val="0"/>
        <w:autoSpaceDN w:val="0"/>
        <w:spacing w:after="120" w:line="233" w:lineRule="auto"/>
        <w:ind w:left="0" w:firstLine="720"/>
        <w:rPr>
          <w:snapToGrid w:val="0"/>
          <w:kern w:val="22"/>
          <w:szCs w:val="22"/>
          <w:lang w:val="es-ES"/>
        </w:rPr>
      </w:pPr>
      <w:r w:rsidRPr="00747A77">
        <w:rPr>
          <w:snapToGrid w:val="0"/>
          <w:kern w:val="22"/>
          <w:szCs w:val="22"/>
          <w:lang w:val="es-ES"/>
        </w:rPr>
        <w:t>considerar la utilización de las descripciones de las AIEB en apoyo de la planificación marina espacial a nivel nacional y regional u otras iniciativas con el fin de lograr las Metas de Aichi para la Diversidad Biológica y los Objetivos de Desarrollo Sostenible.</w:t>
      </w:r>
    </w:p>
    <w:p w:rsidR="000A0D51" w:rsidRPr="00747A77" w:rsidRDefault="002A0C9B" w:rsidP="006816B5">
      <w:pPr>
        <w:suppressLineNumbers/>
        <w:suppressAutoHyphens/>
        <w:kinsoku w:val="0"/>
        <w:overflowPunct w:val="0"/>
        <w:autoSpaceDE w:val="0"/>
        <w:autoSpaceDN w:val="0"/>
        <w:spacing w:before="120" w:after="120" w:line="233" w:lineRule="auto"/>
        <w:rPr>
          <w:snapToGrid w:val="0"/>
          <w:kern w:val="22"/>
          <w:szCs w:val="22"/>
          <w:lang w:val="es-ES"/>
        </w:rPr>
      </w:pPr>
      <w:r w:rsidRPr="00747A77">
        <w:rPr>
          <w:snapToGrid w:val="0"/>
          <w:kern w:val="22"/>
          <w:szCs w:val="22"/>
          <w:lang w:val="es-ES"/>
        </w:rPr>
        <w:t>18.</w:t>
      </w:r>
      <w:r w:rsidRPr="00747A77">
        <w:rPr>
          <w:snapToGrid w:val="0"/>
          <w:kern w:val="22"/>
          <w:szCs w:val="22"/>
          <w:lang w:val="es-ES"/>
        </w:rPr>
        <w:tab/>
        <w:t>El vínculo entre la mejora de la transparencia y el seguimiento de los resultados de los talleres regionales sobre las AIEB se hace efectivo de las siguientes maneras:</w:t>
      </w:r>
    </w:p>
    <w:p w:rsidR="00870E91" w:rsidRPr="00747A77" w:rsidRDefault="00715981" w:rsidP="009252D8">
      <w:pPr>
        <w:pStyle w:val="Prrafodelista"/>
        <w:numPr>
          <w:ilvl w:val="0"/>
          <w:numId w:val="25"/>
        </w:numPr>
        <w:suppressLineNumbers/>
        <w:suppressAutoHyphens/>
        <w:kinsoku w:val="0"/>
        <w:overflowPunct w:val="0"/>
        <w:autoSpaceDE w:val="0"/>
        <w:autoSpaceDN w:val="0"/>
        <w:spacing w:after="120" w:line="233" w:lineRule="auto"/>
        <w:ind w:left="0" w:firstLine="720"/>
        <w:contextualSpacing w:val="0"/>
        <w:jc w:val="both"/>
        <w:rPr>
          <w:rFonts w:ascii="Times New Roman" w:hAnsi="Times New Roman"/>
          <w:snapToGrid w:val="0"/>
          <w:kern w:val="22"/>
          <w:lang w:val="es-ES"/>
        </w:rPr>
      </w:pPr>
      <w:r w:rsidRPr="00747A77">
        <w:rPr>
          <w:rFonts w:ascii="Times New Roman" w:hAnsi="Times New Roman"/>
          <w:snapToGrid w:val="0"/>
          <w:kern w:val="22"/>
          <w:lang w:val="es-ES"/>
        </w:rPr>
        <w:t>debatir al final de los talleres regionales las posibles acciones de seguimiento a nivel nacional y de otro tipo, mediante, entre otras cosas, la identificación de "campeones" para relacionar los resultados de los talleres regionales sobre las AIEB con otros foros internacionales o con respecto a otras áreas de trabajo del Convenio sobre la Diversidad Biológica;</w:t>
      </w:r>
    </w:p>
    <w:p w:rsidR="000A0D51" w:rsidRPr="00747A77" w:rsidRDefault="00715981" w:rsidP="009252D8">
      <w:pPr>
        <w:pStyle w:val="Prrafodelista"/>
        <w:numPr>
          <w:ilvl w:val="0"/>
          <w:numId w:val="25"/>
        </w:numPr>
        <w:suppressLineNumbers/>
        <w:suppressAutoHyphens/>
        <w:kinsoku w:val="0"/>
        <w:overflowPunct w:val="0"/>
        <w:autoSpaceDE w:val="0"/>
        <w:autoSpaceDN w:val="0"/>
        <w:spacing w:after="120" w:line="233" w:lineRule="auto"/>
        <w:ind w:left="0" w:firstLine="720"/>
        <w:contextualSpacing w:val="0"/>
        <w:rPr>
          <w:rFonts w:ascii="Times New Roman" w:hAnsi="Times New Roman"/>
          <w:snapToGrid w:val="0"/>
          <w:kern w:val="22"/>
          <w:lang w:val="es-ES"/>
        </w:rPr>
      </w:pPr>
      <w:r w:rsidRPr="00747A77">
        <w:rPr>
          <w:rFonts w:ascii="Times New Roman" w:hAnsi="Times New Roman"/>
          <w:snapToGrid w:val="0"/>
          <w:kern w:val="22"/>
          <w:lang w:val="es-ES"/>
        </w:rPr>
        <w:t>compilar información sobre la utilización de los resultados de los talleres regionales sobre las AIEB.</w:t>
      </w:r>
    </w:p>
    <w:p w:rsidR="000A0D51" w:rsidRPr="00747A77" w:rsidRDefault="008B60B4" w:rsidP="006816B5">
      <w:pPr>
        <w:pStyle w:val="Ttulo2"/>
        <w:suppressLineNumbers/>
        <w:tabs>
          <w:tab w:val="clear" w:pos="720"/>
          <w:tab w:val="left" w:pos="360"/>
        </w:tabs>
        <w:suppressAutoHyphens/>
        <w:kinsoku w:val="0"/>
        <w:overflowPunct w:val="0"/>
        <w:autoSpaceDE w:val="0"/>
        <w:autoSpaceDN w:val="0"/>
        <w:spacing w:before="0" w:after="0" w:line="233" w:lineRule="auto"/>
        <w:rPr>
          <w:b w:val="0"/>
          <w:snapToGrid w:val="0"/>
          <w:kern w:val="22"/>
          <w:szCs w:val="22"/>
          <w:lang w:val="es-ES"/>
        </w:rPr>
      </w:pPr>
      <w:r w:rsidRPr="00747A77">
        <w:rPr>
          <w:iCs w:val="0"/>
          <w:snapToGrid w:val="0"/>
          <w:kern w:val="22"/>
          <w:szCs w:val="22"/>
          <w:lang w:val="es-ES"/>
        </w:rPr>
        <w:t>C.</w:t>
      </w:r>
      <w:r w:rsidRPr="00747A77">
        <w:rPr>
          <w:iCs w:val="0"/>
          <w:snapToGrid w:val="0"/>
          <w:kern w:val="22"/>
          <w:szCs w:val="22"/>
          <w:lang w:val="es-ES"/>
        </w:rPr>
        <w:tab/>
        <w:t>Mejora de la revisión por pares en el proceso de AIEB</w:t>
      </w:r>
    </w:p>
    <w:p w:rsidR="000A0D51" w:rsidRPr="00747A77" w:rsidRDefault="002A0C9B" w:rsidP="006816B5">
      <w:pPr>
        <w:suppressLineNumbers/>
        <w:suppressAutoHyphens/>
        <w:kinsoku w:val="0"/>
        <w:overflowPunct w:val="0"/>
        <w:autoSpaceDE w:val="0"/>
        <w:autoSpaceDN w:val="0"/>
        <w:spacing w:before="120" w:after="120" w:line="233" w:lineRule="auto"/>
        <w:rPr>
          <w:snapToGrid w:val="0"/>
          <w:kern w:val="22"/>
          <w:szCs w:val="22"/>
          <w:u w:val="single"/>
          <w:lang w:val="es-ES"/>
        </w:rPr>
      </w:pPr>
      <w:r w:rsidRPr="00747A77">
        <w:rPr>
          <w:snapToGrid w:val="0"/>
          <w:kern w:val="22"/>
          <w:szCs w:val="22"/>
          <w:lang w:val="es-ES"/>
        </w:rPr>
        <w:t>19.</w:t>
      </w:r>
      <w:r w:rsidRPr="00747A77">
        <w:rPr>
          <w:snapToGrid w:val="0"/>
          <w:kern w:val="22"/>
          <w:szCs w:val="22"/>
          <w:lang w:val="es-ES"/>
        </w:rPr>
        <w:tab/>
        <w:t>Deberían implementarse opciones de revisión por pares de una forma y con un plazo que permitan a los expertos responder a los comentarios a dicha revisión a fin de eventualmente incorporar y fortalecer la descripción. Con respecto al fortalecimiento del proceso de revisión por pares, deberían considerarse las siguientes opciones:</w:t>
      </w:r>
    </w:p>
    <w:p w:rsidR="000A0D51" w:rsidRPr="00747A77" w:rsidRDefault="000A0D51" w:rsidP="006816B5">
      <w:pPr>
        <w:suppressLineNumbers/>
        <w:suppressAutoHyphens/>
        <w:kinsoku w:val="0"/>
        <w:overflowPunct w:val="0"/>
        <w:autoSpaceDE w:val="0"/>
        <w:autoSpaceDN w:val="0"/>
        <w:spacing w:after="120" w:line="233" w:lineRule="auto"/>
        <w:ind w:firstLine="720"/>
        <w:rPr>
          <w:snapToGrid w:val="0"/>
          <w:kern w:val="22"/>
          <w:szCs w:val="22"/>
          <w:lang w:val="es-ES"/>
        </w:rPr>
      </w:pPr>
      <w:r w:rsidRPr="00747A77">
        <w:rPr>
          <w:i/>
          <w:iCs/>
          <w:snapToGrid w:val="0"/>
          <w:kern w:val="22"/>
          <w:szCs w:val="22"/>
          <w:lang w:val="es-ES"/>
        </w:rPr>
        <w:t>Opción 1:</w:t>
      </w:r>
      <w:r w:rsidRPr="00747A77">
        <w:rPr>
          <w:snapToGrid w:val="0"/>
          <w:kern w:val="22"/>
          <w:szCs w:val="22"/>
          <w:lang w:val="es-ES"/>
        </w:rPr>
        <w:t xml:space="preserve"> elaborar listas mundiales y regionales de evaluadores adicionales de revisión por pares (incluidos los poseedores y expertos en conocimientos tradicionales), para su selección, cuando sea necesario, por parte del grupo asesor oficioso sobre las AIEB, mediante la colaboración de la Secretaría del Convenio sobre la Diversidad Biológica con organizaciones regionales pertinentes para identificar los conocimientos especializados regionales de manera equilibrada desde el punto de vista geográfico y </w:t>
      </w:r>
      <w:r w:rsidRPr="00747A77">
        <w:rPr>
          <w:snapToGrid w:val="0"/>
          <w:kern w:val="22"/>
          <w:szCs w:val="22"/>
          <w:lang w:val="es-ES"/>
        </w:rPr>
        <w:lastRenderedPageBreak/>
        <w:t>temático, y la generación de oportunidades de formación para los revisores incluidos en la lista sobre la aplicación de los criterios para las AIEB.</w:t>
      </w:r>
    </w:p>
    <w:p w:rsidR="000A0D51" w:rsidRPr="00747A77" w:rsidRDefault="000A0D51" w:rsidP="006816B5">
      <w:pPr>
        <w:suppressLineNumbers/>
        <w:suppressAutoHyphens/>
        <w:kinsoku w:val="0"/>
        <w:overflowPunct w:val="0"/>
        <w:autoSpaceDE w:val="0"/>
        <w:autoSpaceDN w:val="0"/>
        <w:spacing w:after="120" w:line="233" w:lineRule="auto"/>
        <w:ind w:firstLine="720"/>
        <w:rPr>
          <w:snapToGrid w:val="0"/>
          <w:kern w:val="22"/>
          <w:szCs w:val="22"/>
          <w:lang w:val="es-ES"/>
        </w:rPr>
      </w:pPr>
      <w:r w:rsidRPr="00747A77">
        <w:rPr>
          <w:i/>
          <w:iCs/>
          <w:snapToGrid w:val="0"/>
          <w:kern w:val="22"/>
          <w:szCs w:val="22"/>
          <w:lang w:val="es-ES"/>
        </w:rPr>
        <w:t>Opción 2:</w:t>
      </w:r>
      <w:r w:rsidRPr="00747A77">
        <w:rPr>
          <w:snapToGrid w:val="0"/>
          <w:kern w:val="22"/>
          <w:szCs w:val="22"/>
          <w:lang w:val="es-ES"/>
        </w:rPr>
        <w:t xml:space="preserve"> incluir a miembros del grupo asesor oficioso entre los participantes de los talleres regionales para asegurar la coherencia entre los talleres.</w:t>
      </w:r>
    </w:p>
    <w:p w:rsidR="000A0D51" w:rsidRPr="00747A77" w:rsidRDefault="000A0D51" w:rsidP="006816B5">
      <w:pPr>
        <w:suppressLineNumbers/>
        <w:suppressAutoHyphens/>
        <w:kinsoku w:val="0"/>
        <w:overflowPunct w:val="0"/>
        <w:autoSpaceDE w:val="0"/>
        <w:autoSpaceDN w:val="0"/>
        <w:spacing w:after="120" w:line="233" w:lineRule="auto"/>
        <w:ind w:firstLine="720"/>
        <w:rPr>
          <w:snapToGrid w:val="0"/>
          <w:kern w:val="22"/>
          <w:szCs w:val="22"/>
          <w:lang w:val="es-ES"/>
        </w:rPr>
      </w:pPr>
      <w:r w:rsidRPr="00747A77">
        <w:rPr>
          <w:i/>
          <w:iCs/>
          <w:snapToGrid w:val="0"/>
          <w:kern w:val="22"/>
          <w:szCs w:val="22"/>
          <w:lang w:val="es-ES"/>
        </w:rPr>
        <w:t>Opción 3:</w:t>
      </w:r>
      <w:r w:rsidRPr="00747A77">
        <w:rPr>
          <w:snapToGrid w:val="0"/>
          <w:kern w:val="22"/>
          <w:szCs w:val="22"/>
          <w:lang w:val="es-ES"/>
        </w:rPr>
        <w:t xml:space="preserve"> agregar un comité de revisión externo para que revise los informes luego de los talleres regionales, con miras a proporcionar comentarios y sugerencias a fin de que sean considerados en el siguiente taller.</w:t>
      </w:r>
    </w:p>
    <w:p w:rsidR="000A0D51" w:rsidRPr="00747A77" w:rsidRDefault="000A0D51" w:rsidP="006816B5">
      <w:pPr>
        <w:suppressLineNumbers/>
        <w:suppressAutoHyphens/>
        <w:kinsoku w:val="0"/>
        <w:overflowPunct w:val="0"/>
        <w:autoSpaceDE w:val="0"/>
        <w:autoSpaceDN w:val="0"/>
        <w:spacing w:after="120" w:line="233" w:lineRule="auto"/>
        <w:ind w:firstLine="720"/>
        <w:rPr>
          <w:snapToGrid w:val="0"/>
          <w:kern w:val="22"/>
          <w:szCs w:val="22"/>
          <w:lang w:val="es-ES"/>
        </w:rPr>
      </w:pPr>
      <w:r w:rsidRPr="00747A77">
        <w:rPr>
          <w:i/>
          <w:iCs/>
          <w:snapToGrid w:val="0"/>
          <w:kern w:val="22"/>
          <w:szCs w:val="22"/>
          <w:lang w:val="es-ES"/>
        </w:rPr>
        <w:t>Opción 4:</w:t>
      </w:r>
      <w:r w:rsidRPr="00747A77">
        <w:rPr>
          <w:snapToGrid w:val="0"/>
          <w:kern w:val="22"/>
          <w:szCs w:val="22"/>
          <w:lang w:val="es-ES"/>
        </w:rPr>
        <w:t xml:space="preserve"> involucrar a órganos internacionales competentes en relación con las AIEB que tengan que ver en parte o en todo con áreas fuera de la jurisdicción nacional.</w:t>
      </w:r>
    </w:p>
    <w:p w:rsidR="000A0D51" w:rsidRPr="00747A77" w:rsidRDefault="008B60B4" w:rsidP="006816B5">
      <w:pPr>
        <w:pStyle w:val="Ttulo2"/>
        <w:suppressLineNumbers/>
        <w:tabs>
          <w:tab w:val="clear" w:pos="720"/>
          <w:tab w:val="left" w:pos="360"/>
        </w:tabs>
        <w:suppressAutoHyphens/>
        <w:kinsoku w:val="0"/>
        <w:overflowPunct w:val="0"/>
        <w:autoSpaceDE w:val="0"/>
        <w:autoSpaceDN w:val="0"/>
        <w:spacing w:before="0" w:after="0" w:line="233" w:lineRule="auto"/>
        <w:rPr>
          <w:b w:val="0"/>
          <w:snapToGrid w:val="0"/>
          <w:kern w:val="22"/>
          <w:szCs w:val="22"/>
          <w:lang w:val="es-ES"/>
        </w:rPr>
      </w:pPr>
      <w:r w:rsidRPr="00747A77">
        <w:rPr>
          <w:iCs w:val="0"/>
          <w:snapToGrid w:val="0"/>
          <w:kern w:val="22"/>
          <w:szCs w:val="22"/>
          <w:lang w:val="es-ES"/>
        </w:rPr>
        <w:t>D.</w:t>
      </w:r>
      <w:r w:rsidRPr="00747A77">
        <w:rPr>
          <w:iCs w:val="0"/>
          <w:snapToGrid w:val="0"/>
          <w:kern w:val="22"/>
          <w:szCs w:val="22"/>
          <w:lang w:val="es-ES"/>
        </w:rPr>
        <w:tab/>
        <w:t>Talleres temáticos</w:t>
      </w:r>
    </w:p>
    <w:p w:rsidR="000A0D51" w:rsidRPr="00747A77" w:rsidRDefault="002A0C9B" w:rsidP="006816B5">
      <w:pPr>
        <w:suppressLineNumbers/>
        <w:suppressAutoHyphens/>
        <w:kinsoku w:val="0"/>
        <w:overflowPunct w:val="0"/>
        <w:autoSpaceDE w:val="0"/>
        <w:autoSpaceDN w:val="0"/>
        <w:spacing w:before="120" w:after="120" w:line="233" w:lineRule="auto"/>
        <w:rPr>
          <w:snapToGrid w:val="0"/>
          <w:kern w:val="22"/>
          <w:szCs w:val="22"/>
          <w:lang w:val="es-ES"/>
        </w:rPr>
      </w:pPr>
      <w:r w:rsidRPr="00747A77">
        <w:rPr>
          <w:snapToGrid w:val="0"/>
          <w:kern w:val="22"/>
          <w:szCs w:val="22"/>
          <w:lang w:val="es-ES"/>
        </w:rPr>
        <w:t>20.</w:t>
      </w:r>
      <w:r w:rsidRPr="00747A77">
        <w:rPr>
          <w:snapToGrid w:val="0"/>
          <w:kern w:val="22"/>
          <w:szCs w:val="22"/>
          <w:lang w:val="es-ES"/>
        </w:rPr>
        <w:tab/>
        <w:t>Existe la necesidad de realizar talleres temáticos, y en relación con ello deben considerarse las siguientes opciones:</w:t>
      </w:r>
    </w:p>
    <w:p w:rsidR="000A0D51" w:rsidRPr="00747A77" w:rsidRDefault="000A0D51" w:rsidP="006816B5">
      <w:pPr>
        <w:suppressLineNumbers/>
        <w:suppressAutoHyphens/>
        <w:kinsoku w:val="0"/>
        <w:overflowPunct w:val="0"/>
        <w:autoSpaceDE w:val="0"/>
        <w:autoSpaceDN w:val="0"/>
        <w:spacing w:after="120" w:line="233" w:lineRule="auto"/>
        <w:ind w:firstLine="720"/>
        <w:rPr>
          <w:snapToGrid w:val="0"/>
          <w:kern w:val="22"/>
          <w:szCs w:val="22"/>
          <w:lang w:val="es-ES"/>
        </w:rPr>
      </w:pPr>
      <w:r w:rsidRPr="00747A77">
        <w:rPr>
          <w:i/>
          <w:iCs/>
          <w:snapToGrid w:val="0"/>
          <w:kern w:val="22"/>
          <w:szCs w:val="22"/>
          <w:lang w:val="es-ES"/>
        </w:rPr>
        <w:t>Opción 1:</w:t>
      </w:r>
      <w:r w:rsidRPr="00747A77">
        <w:rPr>
          <w:snapToGrid w:val="0"/>
          <w:kern w:val="22"/>
          <w:szCs w:val="22"/>
          <w:lang w:val="es-ES"/>
        </w:rPr>
        <w:t xml:space="preserve"> el grupo asesor oficioso asesora a</w:t>
      </w:r>
      <w:r w:rsidR="00061A2E" w:rsidRPr="00747A77">
        <w:rPr>
          <w:snapToGrid w:val="0"/>
          <w:kern w:val="22"/>
          <w:szCs w:val="22"/>
          <w:lang w:val="es-ES"/>
        </w:rPr>
        <w:t xml:space="preserve"> </w:t>
      </w:r>
      <w:r w:rsidRPr="00747A77">
        <w:rPr>
          <w:snapToGrid w:val="0"/>
          <w:kern w:val="22"/>
          <w:szCs w:val="22"/>
          <w:lang w:val="es-ES"/>
        </w:rPr>
        <w:t>l</w:t>
      </w:r>
      <w:r w:rsidR="00061A2E" w:rsidRPr="00747A77">
        <w:rPr>
          <w:snapToGrid w:val="0"/>
          <w:kern w:val="22"/>
          <w:szCs w:val="22"/>
          <w:lang w:val="es-ES"/>
        </w:rPr>
        <w:t>a</w:t>
      </w:r>
      <w:r w:rsidRPr="00747A77">
        <w:rPr>
          <w:snapToGrid w:val="0"/>
          <w:kern w:val="22"/>
          <w:szCs w:val="22"/>
          <w:lang w:val="es-ES"/>
        </w:rPr>
        <w:t xml:space="preserve"> Secretari</w:t>
      </w:r>
      <w:r w:rsidR="00061A2E" w:rsidRPr="00747A77">
        <w:rPr>
          <w:snapToGrid w:val="0"/>
          <w:kern w:val="22"/>
          <w:szCs w:val="22"/>
          <w:lang w:val="es-ES"/>
        </w:rPr>
        <w:t>a</w:t>
      </w:r>
      <w:r w:rsidRPr="00747A77">
        <w:rPr>
          <w:snapToGrid w:val="0"/>
          <w:kern w:val="22"/>
          <w:szCs w:val="22"/>
          <w:lang w:val="es-ES"/>
        </w:rPr>
        <w:t xml:space="preserve"> Ejecutiv</w:t>
      </w:r>
      <w:r w:rsidR="00061A2E" w:rsidRPr="00747A77">
        <w:rPr>
          <w:snapToGrid w:val="0"/>
          <w:kern w:val="22"/>
          <w:szCs w:val="22"/>
          <w:lang w:val="es-ES"/>
        </w:rPr>
        <w:t>a</w:t>
      </w:r>
      <w:r w:rsidRPr="00747A77">
        <w:rPr>
          <w:snapToGrid w:val="0"/>
          <w:kern w:val="22"/>
          <w:szCs w:val="22"/>
          <w:lang w:val="es-ES"/>
        </w:rPr>
        <w:t xml:space="preserve"> y al Órgano Subsidiario de Asesoramiento Científico, Técnico y Tecnológico sobre la necesidad de talleres temáticos.</w:t>
      </w:r>
    </w:p>
    <w:p w:rsidR="000A0D51" w:rsidRPr="00747A77" w:rsidRDefault="000A0D51" w:rsidP="006816B5">
      <w:pPr>
        <w:suppressLineNumbers/>
        <w:suppressAutoHyphens/>
        <w:kinsoku w:val="0"/>
        <w:overflowPunct w:val="0"/>
        <w:autoSpaceDE w:val="0"/>
        <w:autoSpaceDN w:val="0"/>
        <w:spacing w:after="120" w:line="233" w:lineRule="auto"/>
        <w:ind w:firstLine="720"/>
        <w:rPr>
          <w:snapToGrid w:val="0"/>
          <w:kern w:val="22"/>
          <w:szCs w:val="22"/>
          <w:lang w:val="es-ES"/>
        </w:rPr>
      </w:pPr>
      <w:r w:rsidRPr="00747A77">
        <w:rPr>
          <w:i/>
          <w:iCs/>
          <w:snapToGrid w:val="0"/>
          <w:kern w:val="22"/>
          <w:szCs w:val="22"/>
          <w:lang w:val="es-ES"/>
        </w:rPr>
        <w:t>Opción 2:</w:t>
      </w:r>
      <w:r w:rsidRPr="00747A77">
        <w:rPr>
          <w:snapToGrid w:val="0"/>
          <w:kern w:val="22"/>
          <w:szCs w:val="22"/>
          <w:lang w:val="es-ES"/>
        </w:rPr>
        <w:t xml:space="preserve"> las redes regionales de expertos en AIEB identifican la necesidad de talleres temáticos específicos.</w:t>
      </w:r>
    </w:p>
    <w:p w:rsidR="000A0D51" w:rsidRPr="00747A77" w:rsidRDefault="000A0D51" w:rsidP="006816B5">
      <w:pPr>
        <w:suppressLineNumbers/>
        <w:suppressAutoHyphens/>
        <w:kinsoku w:val="0"/>
        <w:overflowPunct w:val="0"/>
        <w:autoSpaceDE w:val="0"/>
        <w:autoSpaceDN w:val="0"/>
        <w:spacing w:after="120" w:line="233" w:lineRule="auto"/>
        <w:ind w:firstLine="720"/>
        <w:rPr>
          <w:snapToGrid w:val="0"/>
          <w:kern w:val="22"/>
          <w:szCs w:val="22"/>
          <w:lang w:val="es-ES"/>
        </w:rPr>
      </w:pPr>
      <w:r w:rsidRPr="00747A77">
        <w:rPr>
          <w:i/>
          <w:iCs/>
          <w:snapToGrid w:val="0"/>
          <w:kern w:val="22"/>
          <w:szCs w:val="22"/>
          <w:lang w:val="es-ES"/>
        </w:rPr>
        <w:t>Opción 3:</w:t>
      </w:r>
      <w:r w:rsidRPr="00747A77">
        <w:rPr>
          <w:snapToGrid w:val="0"/>
          <w:kern w:val="22"/>
          <w:szCs w:val="22"/>
          <w:lang w:val="es-ES"/>
        </w:rPr>
        <w:t xml:space="preserve"> la Secretaría lleva a cabo o encarga un análisis de deficiencias con miras a identificar la necesidad de talleres temáticos.</w:t>
      </w:r>
    </w:p>
    <w:p w:rsidR="000A0D51" w:rsidRPr="00747A77" w:rsidRDefault="000A0D51" w:rsidP="006816B5">
      <w:pPr>
        <w:suppressLineNumbers/>
        <w:suppressAutoHyphens/>
        <w:kinsoku w:val="0"/>
        <w:overflowPunct w:val="0"/>
        <w:autoSpaceDE w:val="0"/>
        <w:autoSpaceDN w:val="0"/>
        <w:spacing w:after="120" w:line="233" w:lineRule="auto"/>
        <w:ind w:firstLine="720"/>
        <w:rPr>
          <w:snapToGrid w:val="0"/>
          <w:kern w:val="22"/>
          <w:szCs w:val="22"/>
          <w:lang w:val="es-ES"/>
        </w:rPr>
      </w:pPr>
      <w:r w:rsidRPr="00747A77">
        <w:rPr>
          <w:i/>
          <w:iCs/>
          <w:snapToGrid w:val="0"/>
          <w:kern w:val="22"/>
          <w:szCs w:val="22"/>
          <w:lang w:val="es-ES"/>
        </w:rPr>
        <w:t>Opción 4:</w:t>
      </w:r>
      <w:r w:rsidRPr="00747A77">
        <w:rPr>
          <w:snapToGrid w:val="0"/>
          <w:kern w:val="22"/>
          <w:szCs w:val="22"/>
          <w:lang w:val="es-ES"/>
        </w:rPr>
        <w:t xml:space="preserve"> la Secretaría dispone un proceso público de aportes en línea para la identificación de talleres temáticos;</w:t>
      </w:r>
    </w:p>
    <w:p w:rsidR="000A0D51" w:rsidRPr="00747A77" w:rsidRDefault="000A0D51" w:rsidP="006816B5">
      <w:pPr>
        <w:suppressLineNumbers/>
        <w:suppressAutoHyphens/>
        <w:kinsoku w:val="0"/>
        <w:overflowPunct w:val="0"/>
        <w:autoSpaceDE w:val="0"/>
        <w:autoSpaceDN w:val="0"/>
        <w:spacing w:after="120" w:line="233" w:lineRule="auto"/>
        <w:ind w:firstLine="720"/>
        <w:rPr>
          <w:snapToGrid w:val="0"/>
          <w:kern w:val="22"/>
          <w:szCs w:val="22"/>
          <w:lang w:val="es-ES"/>
        </w:rPr>
      </w:pPr>
      <w:r w:rsidRPr="00747A77">
        <w:rPr>
          <w:i/>
          <w:iCs/>
          <w:snapToGrid w:val="0"/>
          <w:kern w:val="22"/>
          <w:szCs w:val="22"/>
          <w:lang w:val="es-ES"/>
        </w:rPr>
        <w:t>Opción 5:</w:t>
      </w:r>
      <w:r w:rsidRPr="00747A77">
        <w:rPr>
          <w:snapToGrid w:val="0"/>
          <w:kern w:val="22"/>
          <w:szCs w:val="22"/>
          <w:lang w:val="es-ES"/>
        </w:rPr>
        <w:t xml:space="preserve"> se implementan talleres temáticos para proporcionar información destinada a los talleres regionales y otros aspectos del trabajo del Convenio sobre las AIEB.</w:t>
      </w:r>
    </w:p>
    <w:p w:rsidR="000A0D51" w:rsidRPr="00747A77" w:rsidRDefault="002A0C9B" w:rsidP="006816B5">
      <w:pPr>
        <w:suppressLineNumbers/>
        <w:suppressAutoHyphens/>
        <w:kinsoku w:val="0"/>
        <w:overflowPunct w:val="0"/>
        <w:autoSpaceDE w:val="0"/>
        <w:autoSpaceDN w:val="0"/>
        <w:spacing w:before="120" w:after="120" w:line="233" w:lineRule="auto"/>
        <w:rPr>
          <w:snapToGrid w:val="0"/>
          <w:kern w:val="22"/>
          <w:szCs w:val="22"/>
          <w:lang w:val="es-ES"/>
        </w:rPr>
      </w:pPr>
      <w:r w:rsidRPr="00747A77">
        <w:rPr>
          <w:snapToGrid w:val="0"/>
          <w:kern w:val="22"/>
          <w:szCs w:val="22"/>
          <w:lang w:val="es-ES"/>
        </w:rPr>
        <w:t>21.</w:t>
      </w:r>
      <w:r w:rsidRPr="00747A77">
        <w:rPr>
          <w:snapToGrid w:val="0"/>
          <w:kern w:val="22"/>
          <w:szCs w:val="22"/>
          <w:lang w:val="es-ES"/>
        </w:rPr>
        <w:tab/>
        <w:t>Existe la necesidad de que los participantes de los talleres temáticos cuenten con los conocimientos especializados adecuados. En relación con ello, la Secretaría del Convenio sobre la Diversidad Biológica podría adoptar las siguientes medidas:</w:t>
      </w:r>
    </w:p>
    <w:p w:rsidR="000A0D51" w:rsidRPr="00747A77" w:rsidRDefault="000A0D51" w:rsidP="009252D8">
      <w:pPr>
        <w:numPr>
          <w:ilvl w:val="0"/>
          <w:numId w:val="26"/>
        </w:numPr>
        <w:suppressLineNumbers/>
        <w:tabs>
          <w:tab w:val="clear" w:pos="360"/>
        </w:tabs>
        <w:suppressAutoHyphens/>
        <w:kinsoku w:val="0"/>
        <w:overflowPunct w:val="0"/>
        <w:autoSpaceDE w:val="0"/>
        <w:autoSpaceDN w:val="0"/>
        <w:spacing w:after="120" w:line="233" w:lineRule="auto"/>
        <w:ind w:left="0" w:firstLine="720"/>
        <w:rPr>
          <w:snapToGrid w:val="0"/>
          <w:kern w:val="22"/>
          <w:szCs w:val="22"/>
          <w:lang w:val="es-ES"/>
        </w:rPr>
      </w:pPr>
      <w:r w:rsidRPr="00747A77">
        <w:rPr>
          <w:snapToGrid w:val="0"/>
          <w:kern w:val="22"/>
          <w:szCs w:val="22"/>
          <w:lang w:val="es-ES"/>
        </w:rPr>
        <w:t>contactarse con comunidades internacionales bien establecidas de expertos temáticos;</w:t>
      </w:r>
    </w:p>
    <w:p w:rsidR="000A0D51" w:rsidRPr="00747A77" w:rsidRDefault="00A97257" w:rsidP="009252D8">
      <w:pPr>
        <w:numPr>
          <w:ilvl w:val="0"/>
          <w:numId w:val="26"/>
        </w:numPr>
        <w:suppressLineNumbers/>
        <w:tabs>
          <w:tab w:val="clear" w:pos="360"/>
        </w:tabs>
        <w:suppressAutoHyphens/>
        <w:kinsoku w:val="0"/>
        <w:overflowPunct w:val="0"/>
        <w:autoSpaceDE w:val="0"/>
        <w:autoSpaceDN w:val="0"/>
        <w:spacing w:after="120" w:line="233" w:lineRule="auto"/>
        <w:ind w:left="0" w:firstLine="720"/>
        <w:rPr>
          <w:snapToGrid w:val="0"/>
          <w:kern w:val="22"/>
          <w:szCs w:val="22"/>
          <w:lang w:val="es-ES"/>
        </w:rPr>
      </w:pPr>
      <w:r w:rsidRPr="00747A77">
        <w:rPr>
          <w:snapToGrid w:val="0"/>
          <w:kern w:val="22"/>
          <w:szCs w:val="22"/>
          <w:lang w:val="es-ES"/>
        </w:rPr>
        <w:t>colaborar con organizaciones intergubernamentales que cuenten con expertos en diversidad biológica marina para otros propósitos, así como invitar a estos expertos a participar;</w:t>
      </w:r>
    </w:p>
    <w:p w:rsidR="002A0C9B" w:rsidRPr="00747A77" w:rsidRDefault="002A0C9B" w:rsidP="009252D8">
      <w:pPr>
        <w:numPr>
          <w:ilvl w:val="0"/>
          <w:numId w:val="26"/>
        </w:numPr>
        <w:suppressLineNumbers/>
        <w:tabs>
          <w:tab w:val="clear" w:pos="360"/>
        </w:tabs>
        <w:suppressAutoHyphens/>
        <w:kinsoku w:val="0"/>
        <w:overflowPunct w:val="0"/>
        <w:autoSpaceDE w:val="0"/>
        <w:autoSpaceDN w:val="0"/>
        <w:spacing w:after="120" w:line="233" w:lineRule="auto"/>
        <w:ind w:left="0" w:firstLine="720"/>
        <w:rPr>
          <w:snapToGrid w:val="0"/>
          <w:kern w:val="22"/>
          <w:szCs w:val="22"/>
          <w:lang w:val="es-ES"/>
        </w:rPr>
      </w:pPr>
      <w:r w:rsidRPr="00747A77">
        <w:rPr>
          <w:snapToGrid w:val="0"/>
          <w:kern w:val="22"/>
          <w:szCs w:val="22"/>
          <w:lang w:val="es-ES"/>
        </w:rPr>
        <w:t>implicar a redes regionales de expertos en AIEB (una vez establecidas) en la identificación de expertos para promover su participación.</w:t>
      </w:r>
    </w:p>
    <w:p w:rsidR="002A0C9B" w:rsidRPr="00747A77" w:rsidRDefault="002A0C9B" w:rsidP="006816B5">
      <w:pPr>
        <w:suppressLineNumbers/>
        <w:suppressAutoHyphens/>
        <w:kinsoku w:val="0"/>
        <w:overflowPunct w:val="0"/>
        <w:autoSpaceDE w:val="0"/>
        <w:autoSpaceDN w:val="0"/>
        <w:spacing w:before="120" w:after="120" w:line="233" w:lineRule="auto"/>
        <w:rPr>
          <w:snapToGrid w:val="0"/>
          <w:kern w:val="22"/>
          <w:szCs w:val="22"/>
          <w:lang w:val="es-ES"/>
        </w:rPr>
      </w:pPr>
      <w:r w:rsidRPr="00747A77">
        <w:rPr>
          <w:snapToGrid w:val="0"/>
          <w:kern w:val="22"/>
          <w:szCs w:val="22"/>
          <w:lang w:val="es-ES"/>
        </w:rPr>
        <w:t>22.</w:t>
      </w:r>
      <w:r w:rsidRPr="00747A77">
        <w:rPr>
          <w:snapToGrid w:val="0"/>
          <w:kern w:val="22"/>
          <w:szCs w:val="22"/>
          <w:lang w:val="es-ES"/>
        </w:rPr>
        <w:tab/>
        <w:t>Podrían adoptarse las siguientes medidas para mejorar los potenciales aportes de los talleres temáticos:</w:t>
      </w:r>
    </w:p>
    <w:p w:rsidR="002A0C9B" w:rsidRPr="00747A77" w:rsidRDefault="002A0C9B" w:rsidP="009252D8">
      <w:pPr>
        <w:pStyle w:val="Para2"/>
        <w:numPr>
          <w:ilvl w:val="0"/>
          <w:numId w:val="27"/>
        </w:numPr>
        <w:suppressLineNumbers/>
        <w:tabs>
          <w:tab w:val="clear" w:pos="1080"/>
        </w:tabs>
        <w:suppressAutoHyphens/>
        <w:kinsoku w:val="0"/>
        <w:overflowPunct w:val="0"/>
        <w:spacing w:before="0" w:line="233" w:lineRule="auto"/>
        <w:ind w:left="0" w:firstLine="720"/>
        <w:rPr>
          <w:kern w:val="22"/>
          <w:szCs w:val="22"/>
          <w:lang w:val="es-ES"/>
        </w:rPr>
      </w:pPr>
      <w:r w:rsidRPr="00747A77">
        <w:rPr>
          <w:kern w:val="22"/>
          <w:szCs w:val="22"/>
          <w:lang w:val="es-ES"/>
        </w:rPr>
        <w:t>avisar con anticipación de los talleres temáticos por medio de Internet, e invitar a los expertos e interesados directos a presentar áreas propuestas de interés para su consideración en estos talleres;</w:t>
      </w:r>
    </w:p>
    <w:p w:rsidR="00B77A18" w:rsidRPr="00747A77" w:rsidRDefault="00B77A18" w:rsidP="009252D8">
      <w:pPr>
        <w:pStyle w:val="Para2"/>
        <w:numPr>
          <w:ilvl w:val="0"/>
          <w:numId w:val="27"/>
        </w:numPr>
        <w:suppressLineNumbers/>
        <w:tabs>
          <w:tab w:val="clear" w:pos="1080"/>
        </w:tabs>
        <w:suppressAutoHyphens/>
        <w:kinsoku w:val="0"/>
        <w:overflowPunct w:val="0"/>
        <w:spacing w:before="0" w:line="233" w:lineRule="auto"/>
        <w:ind w:left="0" w:firstLine="720"/>
        <w:rPr>
          <w:b/>
          <w:i/>
          <w:kern w:val="22"/>
          <w:szCs w:val="22"/>
          <w:lang w:val="es-ES"/>
        </w:rPr>
      </w:pPr>
      <w:r w:rsidRPr="00747A77">
        <w:rPr>
          <w:kern w:val="22"/>
          <w:szCs w:val="22"/>
          <w:lang w:val="es-ES"/>
        </w:rPr>
        <w:t>los talleres temáticos proporcionarían información que podría contribuir a la preparación de los talleres regionales.</w:t>
      </w:r>
    </w:p>
    <w:p w:rsidR="000A0D51" w:rsidRPr="00747A77" w:rsidRDefault="008B60B4" w:rsidP="006816B5">
      <w:pPr>
        <w:pStyle w:val="Ttulo2"/>
        <w:suppressLineNumbers/>
        <w:tabs>
          <w:tab w:val="clear" w:pos="720"/>
          <w:tab w:val="left" w:pos="360"/>
        </w:tabs>
        <w:suppressAutoHyphens/>
        <w:kinsoku w:val="0"/>
        <w:overflowPunct w:val="0"/>
        <w:autoSpaceDE w:val="0"/>
        <w:autoSpaceDN w:val="0"/>
        <w:spacing w:before="0" w:after="0" w:line="233" w:lineRule="auto"/>
        <w:rPr>
          <w:snapToGrid w:val="0"/>
          <w:kern w:val="22"/>
          <w:szCs w:val="22"/>
          <w:lang w:val="es-ES"/>
        </w:rPr>
      </w:pPr>
      <w:r w:rsidRPr="00747A77">
        <w:rPr>
          <w:iCs w:val="0"/>
          <w:snapToGrid w:val="0"/>
          <w:kern w:val="22"/>
          <w:szCs w:val="22"/>
          <w:lang w:val="es-ES"/>
        </w:rPr>
        <w:t>E.</w:t>
      </w:r>
      <w:r w:rsidRPr="00747A77">
        <w:rPr>
          <w:iCs w:val="0"/>
          <w:snapToGrid w:val="0"/>
          <w:kern w:val="22"/>
          <w:szCs w:val="22"/>
          <w:lang w:val="es-ES"/>
        </w:rPr>
        <w:tab/>
        <w:t>Ejercicios nacionales</w:t>
      </w:r>
    </w:p>
    <w:p w:rsidR="002A0C9B" w:rsidRPr="00747A77" w:rsidRDefault="002A0C9B" w:rsidP="006816B5">
      <w:pPr>
        <w:suppressLineNumbers/>
        <w:suppressAutoHyphens/>
        <w:kinsoku w:val="0"/>
        <w:overflowPunct w:val="0"/>
        <w:autoSpaceDE w:val="0"/>
        <w:autoSpaceDN w:val="0"/>
        <w:spacing w:before="120" w:after="120" w:line="233" w:lineRule="auto"/>
        <w:rPr>
          <w:snapToGrid w:val="0"/>
          <w:kern w:val="22"/>
          <w:szCs w:val="22"/>
          <w:lang w:val="es-ES"/>
        </w:rPr>
      </w:pPr>
      <w:r w:rsidRPr="00747A77">
        <w:rPr>
          <w:snapToGrid w:val="0"/>
          <w:kern w:val="22"/>
          <w:szCs w:val="22"/>
          <w:lang w:val="es-ES"/>
        </w:rPr>
        <w:t>23.</w:t>
      </w:r>
      <w:r w:rsidRPr="00747A77">
        <w:rPr>
          <w:snapToGrid w:val="0"/>
          <w:kern w:val="22"/>
          <w:szCs w:val="22"/>
          <w:lang w:val="es-ES"/>
        </w:rPr>
        <w:tab/>
        <w:t>Es posible fortalecer la credibilidad científica y transparencia de los ejercicios nacionales sobre la aplicación de los criterios para las AIEB o similares, entre otras cosas, haciendo referencia, tanto como sea posible, a publicaciones revisadas por pares, e incorporando los conocimientos tradicionales.</w:t>
      </w:r>
    </w:p>
    <w:p w:rsidR="002A0C9B" w:rsidRPr="00747A77" w:rsidRDefault="002A0C9B" w:rsidP="006816B5">
      <w:pPr>
        <w:suppressLineNumbers/>
        <w:suppressAutoHyphens/>
        <w:kinsoku w:val="0"/>
        <w:overflowPunct w:val="0"/>
        <w:autoSpaceDE w:val="0"/>
        <w:autoSpaceDN w:val="0"/>
        <w:spacing w:before="120" w:after="120" w:line="233" w:lineRule="auto"/>
        <w:rPr>
          <w:snapToGrid w:val="0"/>
          <w:kern w:val="22"/>
          <w:szCs w:val="22"/>
          <w:lang w:val="es-ES"/>
        </w:rPr>
      </w:pPr>
      <w:r w:rsidRPr="00747A77">
        <w:rPr>
          <w:snapToGrid w:val="0"/>
          <w:kern w:val="22"/>
          <w:szCs w:val="22"/>
          <w:lang w:val="es-ES"/>
        </w:rPr>
        <w:t>24.</w:t>
      </w:r>
      <w:r w:rsidRPr="00747A77">
        <w:rPr>
          <w:snapToGrid w:val="0"/>
          <w:kern w:val="22"/>
          <w:szCs w:val="22"/>
          <w:lang w:val="es-ES"/>
        </w:rPr>
        <w:tab/>
        <w:t>Existe la necesidad de lo siguiente:</w:t>
      </w:r>
    </w:p>
    <w:p w:rsidR="002A0C9B" w:rsidRPr="00747A77" w:rsidRDefault="002A0C9B" w:rsidP="009252D8">
      <w:pPr>
        <w:pStyle w:val="Para2"/>
        <w:numPr>
          <w:ilvl w:val="0"/>
          <w:numId w:val="28"/>
        </w:numPr>
        <w:suppressLineNumbers/>
        <w:tabs>
          <w:tab w:val="clear" w:pos="1080"/>
        </w:tabs>
        <w:suppressAutoHyphens/>
        <w:kinsoku w:val="0"/>
        <w:overflowPunct w:val="0"/>
        <w:spacing w:before="0" w:line="233" w:lineRule="auto"/>
        <w:ind w:left="0" w:firstLine="720"/>
        <w:rPr>
          <w:kern w:val="22"/>
          <w:lang w:val="es-ES"/>
        </w:rPr>
      </w:pPr>
      <w:r w:rsidRPr="00747A77">
        <w:rPr>
          <w:kern w:val="22"/>
          <w:szCs w:val="22"/>
          <w:lang w:val="es-ES"/>
        </w:rPr>
        <w:lastRenderedPageBreak/>
        <w:t>crear capacidad en mejores prácticas para la aplicación de los criterios para las AIEB a nivel nacional, particularmente en los países en desarrollo;</w:t>
      </w:r>
    </w:p>
    <w:p w:rsidR="002A0C9B" w:rsidRPr="00747A77" w:rsidRDefault="002A0C9B" w:rsidP="009252D8">
      <w:pPr>
        <w:pStyle w:val="Para2"/>
        <w:numPr>
          <w:ilvl w:val="0"/>
          <w:numId w:val="28"/>
        </w:numPr>
        <w:suppressLineNumbers/>
        <w:tabs>
          <w:tab w:val="clear" w:pos="1080"/>
        </w:tabs>
        <w:suppressAutoHyphens/>
        <w:kinsoku w:val="0"/>
        <w:overflowPunct w:val="0"/>
        <w:spacing w:before="0" w:line="233" w:lineRule="auto"/>
        <w:ind w:left="0" w:firstLine="720"/>
        <w:rPr>
          <w:kern w:val="22"/>
          <w:lang w:val="es-ES"/>
        </w:rPr>
      </w:pPr>
      <w:r w:rsidRPr="00747A77">
        <w:rPr>
          <w:kern w:val="22"/>
          <w:szCs w:val="22"/>
          <w:lang w:val="es-ES"/>
        </w:rPr>
        <w:t>proporcionar incentivos para mejorar la accesibilidad de la información local o nacional;</w:t>
      </w:r>
    </w:p>
    <w:p w:rsidR="002A0C9B" w:rsidRPr="00747A77" w:rsidRDefault="002A0C9B" w:rsidP="009252D8">
      <w:pPr>
        <w:pStyle w:val="Para2"/>
        <w:numPr>
          <w:ilvl w:val="0"/>
          <w:numId w:val="28"/>
        </w:numPr>
        <w:suppressLineNumbers/>
        <w:tabs>
          <w:tab w:val="clear" w:pos="1080"/>
        </w:tabs>
        <w:suppressAutoHyphens/>
        <w:kinsoku w:val="0"/>
        <w:overflowPunct w:val="0"/>
        <w:spacing w:before="0" w:line="233" w:lineRule="auto"/>
        <w:ind w:left="0" w:firstLine="720"/>
        <w:rPr>
          <w:kern w:val="22"/>
          <w:lang w:val="es-ES"/>
        </w:rPr>
      </w:pPr>
      <w:r w:rsidRPr="00747A77">
        <w:rPr>
          <w:kern w:val="22"/>
          <w:szCs w:val="22"/>
          <w:lang w:val="es-ES"/>
        </w:rPr>
        <w:t>asegurar la coordinación interinstitucional para posibilitar ejercicios nacionales eficientes;</w:t>
      </w:r>
    </w:p>
    <w:p w:rsidR="002A0C9B" w:rsidRPr="00747A77" w:rsidRDefault="002A0C9B" w:rsidP="009252D8">
      <w:pPr>
        <w:pStyle w:val="Para2"/>
        <w:numPr>
          <w:ilvl w:val="0"/>
          <w:numId w:val="28"/>
        </w:numPr>
        <w:suppressLineNumbers/>
        <w:tabs>
          <w:tab w:val="clear" w:pos="1080"/>
        </w:tabs>
        <w:suppressAutoHyphens/>
        <w:kinsoku w:val="0"/>
        <w:overflowPunct w:val="0"/>
        <w:spacing w:before="0" w:line="233" w:lineRule="auto"/>
        <w:ind w:left="0" w:firstLine="720"/>
        <w:rPr>
          <w:kern w:val="22"/>
          <w:lang w:val="es-ES"/>
        </w:rPr>
      </w:pPr>
      <w:r w:rsidRPr="00747A77">
        <w:rPr>
          <w:kern w:val="22"/>
          <w:szCs w:val="22"/>
          <w:lang w:val="es-ES"/>
        </w:rPr>
        <w:t>asegurar los recursos financieros para los ejercicios nacionales.</w:t>
      </w:r>
    </w:p>
    <w:p w:rsidR="000A0D51" w:rsidRPr="00747A77" w:rsidRDefault="002A0C9B" w:rsidP="006816B5">
      <w:pPr>
        <w:suppressLineNumbers/>
        <w:suppressAutoHyphens/>
        <w:kinsoku w:val="0"/>
        <w:overflowPunct w:val="0"/>
        <w:autoSpaceDE w:val="0"/>
        <w:autoSpaceDN w:val="0"/>
        <w:spacing w:before="120" w:after="120" w:line="233" w:lineRule="auto"/>
        <w:rPr>
          <w:snapToGrid w:val="0"/>
          <w:kern w:val="22"/>
          <w:szCs w:val="22"/>
          <w:lang w:val="es-ES"/>
        </w:rPr>
      </w:pPr>
      <w:r w:rsidRPr="00747A77">
        <w:rPr>
          <w:snapToGrid w:val="0"/>
          <w:kern w:val="22"/>
          <w:szCs w:val="22"/>
          <w:lang w:val="es-ES"/>
        </w:rPr>
        <w:t>25.</w:t>
      </w:r>
      <w:r w:rsidRPr="00747A77">
        <w:rPr>
          <w:snapToGrid w:val="0"/>
          <w:kern w:val="22"/>
          <w:szCs w:val="22"/>
          <w:lang w:val="es-ES"/>
        </w:rPr>
        <w:tab/>
        <w:t>A la luz de la necesidad de aclarar la distinción entre incluir los resultados de los procesos nacionales en el mecanismo de intercambio de información o hacerlo en el repositorio de AIEB mundial, las opciones para la propuesta de ejercicios nacionales a la Secretaría del Convenio sobre la Diversidad Biológica podrían incluir lo siguiente:</w:t>
      </w:r>
    </w:p>
    <w:p w:rsidR="000A0D51" w:rsidRPr="00747A77" w:rsidRDefault="000A0D51" w:rsidP="006816B5">
      <w:pPr>
        <w:suppressLineNumbers/>
        <w:suppressAutoHyphens/>
        <w:kinsoku w:val="0"/>
        <w:overflowPunct w:val="0"/>
        <w:autoSpaceDE w:val="0"/>
        <w:autoSpaceDN w:val="0"/>
        <w:spacing w:after="120" w:line="233" w:lineRule="auto"/>
        <w:ind w:firstLine="720"/>
        <w:rPr>
          <w:snapToGrid w:val="0"/>
          <w:kern w:val="22"/>
          <w:szCs w:val="22"/>
          <w:lang w:val="es-ES"/>
        </w:rPr>
      </w:pPr>
      <w:r w:rsidRPr="00747A77">
        <w:rPr>
          <w:i/>
          <w:iCs/>
          <w:snapToGrid w:val="0"/>
          <w:kern w:val="22"/>
          <w:szCs w:val="22"/>
          <w:lang w:val="es-ES"/>
        </w:rPr>
        <w:t>Opción 1:</w:t>
      </w:r>
      <w:r w:rsidRPr="00747A77">
        <w:rPr>
          <w:snapToGrid w:val="0"/>
          <w:kern w:val="22"/>
          <w:szCs w:val="22"/>
          <w:lang w:val="es-ES"/>
        </w:rPr>
        <w:t xml:space="preserve"> que la descripción de los procesos y resultados nacionales presentados para su inclusión en el mecanismo de intercambio de información esté disponible para las Partes a fin de que estas puedan realizar comentarios antes de dicha inclusión, y que se tomen en cuenta esos comentarios.</w:t>
      </w:r>
    </w:p>
    <w:p w:rsidR="000A0D51" w:rsidRPr="00747A77" w:rsidRDefault="000A0D51" w:rsidP="006816B5">
      <w:pPr>
        <w:suppressLineNumbers/>
        <w:suppressAutoHyphens/>
        <w:kinsoku w:val="0"/>
        <w:overflowPunct w:val="0"/>
        <w:autoSpaceDE w:val="0"/>
        <w:autoSpaceDN w:val="0"/>
        <w:spacing w:after="120" w:line="233" w:lineRule="auto"/>
        <w:ind w:firstLine="720"/>
        <w:rPr>
          <w:snapToGrid w:val="0"/>
          <w:kern w:val="22"/>
          <w:szCs w:val="22"/>
          <w:lang w:val="es-ES"/>
        </w:rPr>
      </w:pPr>
      <w:r w:rsidRPr="00747A77">
        <w:rPr>
          <w:i/>
          <w:iCs/>
          <w:snapToGrid w:val="0"/>
          <w:kern w:val="22"/>
          <w:szCs w:val="22"/>
          <w:lang w:val="es-ES"/>
        </w:rPr>
        <w:t>Opción 2:</w:t>
      </w:r>
      <w:r w:rsidRPr="00747A77">
        <w:rPr>
          <w:snapToGrid w:val="0"/>
          <w:kern w:val="22"/>
          <w:szCs w:val="22"/>
          <w:lang w:val="es-ES"/>
        </w:rPr>
        <w:t xml:space="preserve"> inclusión en los talleres regionales, y posterior consideración por parte del Órgano Subsidiario de Asesoramiento Científico, Técnico y Tecnológico y la Conferencia de las Partes, antes de la inclusión en el repositorio de AIEB mundial.</w:t>
      </w:r>
    </w:p>
    <w:p w:rsidR="000A0D51" w:rsidRPr="00747A77" w:rsidRDefault="002738AD" w:rsidP="006816B5">
      <w:pPr>
        <w:suppressLineNumbers/>
        <w:suppressAutoHyphens/>
        <w:kinsoku w:val="0"/>
        <w:overflowPunct w:val="0"/>
        <w:autoSpaceDE w:val="0"/>
        <w:autoSpaceDN w:val="0"/>
        <w:spacing w:after="120" w:line="233" w:lineRule="auto"/>
        <w:ind w:firstLine="720"/>
        <w:rPr>
          <w:snapToGrid w:val="0"/>
          <w:kern w:val="22"/>
          <w:szCs w:val="22"/>
          <w:lang w:val="es-ES"/>
        </w:rPr>
      </w:pPr>
      <w:r w:rsidRPr="00747A77">
        <w:rPr>
          <w:i/>
          <w:iCs/>
          <w:snapToGrid w:val="0"/>
          <w:kern w:val="22"/>
          <w:szCs w:val="22"/>
          <w:lang w:val="es-ES"/>
        </w:rPr>
        <w:t>Opción 3:</w:t>
      </w:r>
      <w:r w:rsidRPr="00747A77">
        <w:rPr>
          <w:snapToGrid w:val="0"/>
          <w:kern w:val="22"/>
          <w:szCs w:val="22"/>
          <w:lang w:val="es-ES"/>
        </w:rPr>
        <w:t xml:space="preserve"> proceso de revisión por pares (en lugar de la inclusión en los talleres regionales), seguido de la consideración por parte del Órgano Subsidiario de Asesoramiento Científico, Técnico y Tecnológico y la Conferencia de las Partes, antes de su inclusión en el repositorio de AIEB mundial.</w:t>
      </w:r>
    </w:p>
    <w:p w:rsidR="000A0D51" w:rsidRPr="00747A77" w:rsidRDefault="000A0D51" w:rsidP="006816B5">
      <w:pPr>
        <w:suppressLineNumbers/>
        <w:suppressAutoHyphens/>
        <w:kinsoku w:val="0"/>
        <w:overflowPunct w:val="0"/>
        <w:autoSpaceDE w:val="0"/>
        <w:autoSpaceDN w:val="0"/>
        <w:spacing w:after="120" w:line="233" w:lineRule="auto"/>
        <w:ind w:firstLine="720"/>
        <w:rPr>
          <w:snapToGrid w:val="0"/>
          <w:kern w:val="22"/>
          <w:szCs w:val="22"/>
          <w:lang w:val="es-ES"/>
        </w:rPr>
      </w:pPr>
      <w:r w:rsidRPr="00747A77">
        <w:rPr>
          <w:i/>
          <w:iCs/>
          <w:snapToGrid w:val="0"/>
          <w:kern w:val="22"/>
          <w:szCs w:val="22"/>
          <w:lang w:val="es-ES"/>
        </w:rPr>
        <w:t xml:space="preserve">Opción 4: </w:t>
      </w:r>
      <w:r w:rsidRPr="00747A77">
        <w:rPr>
          <w:snapToGrid w:val="0"/>
          <w:kern w:val="22"/>
          <w:szCs w:val="22"/>
          <w:lang w:val="es-ES"/>
        </w:rPr>
        <w:t>propuesta ante el Órgano Subsidiario de Asesoramiento Científico, Técnico y Tecnológico, previo asesoramiento del grupo asesor oficioso, para la inclusión en el repositorio de AIEB mundial.</w:t>
      </w:r>
    </w:p>
    <w:p w:rsidR="000A0D51" w:rsidRPr="00747A77" w:rsidRDefault="000A0D51" w:rsidP="006816B5">
      <w:pPr>
        <w:suppressLineNumbers/>
        <w:suppressAutoHyphens/>
        <w:kinsoku w:val="0"/>
        <w:overflowPunct w:val="0"/>
        <w:autoSpaceDE w:val="0"/>
        <w:autoSpaceDN w:val="0"/>
        <w:spacing w:after="120" w:line="233" w:lineRule="auto"/>
        <w:ind w:firstLine="720"/>
        <w:rPr>
          <w:snapToGrid w:val="0"/>
          <w:kern w:val="22"/>
          <w:szCs w:val="22"/>
          <w:lang w:val="es-ES"/>
        </w:rPr>
      </w:pPr>
      <w:r w:rsidRPr="00747A77">
        <w:rPr>
          <w:i/>
          <w:iCs/>
          <w:snapToGrid w:val="0"/>
          <w:kern w:val="22"/>
          <w:szCs w:val="22"/>
          <w:lang w:val="es-ES"/>
        </w:rPr>
        <w:t>Opción 5:</w:t>
      </w:r>
      <w:r w:rsidRPr="00747A77">
        <w:rPr>
          <w:snapToGrid w:val="0"/>
          <w:kern w:val="22"/>
          <w:szCs w:val="22"/>
          <w:lang w:val="es-ES"/>
        </w:rPr>
        <w:t xml:space="preserve"> el grupo asesor oficioso revisa un ejercicio nacional y asesora al respecto a</w:t>
      </w:r>
      <w:r w:rsidR="00061A2E" w:rsidRPr="00747A77">
        <w:rPr>
          <w:snapToGrid w:val="0"/>
          <w:kern w:val="22"/>
          <w:szCs w:val="22"/>
          <w:lang w:val="es-ES"/>
        </w:rPr>
        <w:t xml:space="preserve"> </w:t>
      </w:r>
      <w:r w:rsidRPr="00747A77">
        <w:rPr>
          <w:snapToGrid w:val="0"/>
          <w:kern w:val="22"/>
          <w:szCs w:val="22"/>
          <w:lang w:val="es-ES"/>
        </w:rPr>
        <w:t>l</w:t>
      </w:r>
      <w:r w:rsidR="00061A2E" w:rsidRPr="00747A77">
        <w:rPr>
          <w:snapToGrid w:val="0"/>
          <w:kern w:val="22"/>
          <w:szCs w:val="22"/>
          <w:lang w:val="es-ES"/>
        </w:rPr>
        <w:t>a</w:t>
      </w:r>
      <w:r w:rsidRPr="00747A77">
        <w:rPr>
          <w:snapToGrid w:val="0"/>
          <w:kern w:val="22"/>
          <w:szCs w:val="22"/>
          <w:lang w:val="es-ES"/>
        </w:rPr>
        <w:t xml:space="preserve"> Secretari</w:t>
      </w:r>
      <w:r w:rsidR="00061A2E" w:rsidRPr="00747A77">
        <w:rPr>
          <w:snapToGrid w:val="0"/>
          <w:kern w:val="22"/>
          <w:szCs w:val="22"/>
          <w:lang w:val="es-ES"/>
        </w:rPr>
        <w:t>a</w:t>
      </w:r>
      <w:r w:rsidRPr="00747A77">
        <w:rPr>
          <w:snapToGrid w:val="0"/>
          <w:kern w:val="22"/>
          <w:szCs w:val="22"/>
          <w:lang w:val="es-ES"/>
        </w:rPr>
        <w:t xml:space="preserve"> Ejecutiv</w:t>
      </w:r>
      <w:r w:rsidR="00061A2E" w:rsidRPr="00747A77">
        <w:rPr>
          <w:snapToGrid w:val="0"/>
          <w:kern w:val="22"/>
          <w:szCs w:val="22"/>
          <w:lang w:val="es-ES"/>
        </w:rPr>
        <w:t>a</w:t>
      </w:r>
      <w:r w:rsidRPr="00747A77">
        <w:rPr>
          <w:snapToGrid w:val="0"/>
          <w:kern w:val="22"/>
          <w:szCs w:val="22"/>
          <w:lang w:val="es-ES"/>
        </w:rPr>
        <w:t>; seguidamente. el resultado de esta revisión y asesoramiento se somete a consideración del Órgano Subsidiario de Asesoramiento Científico, Técnico y Tecnológico y a la Conferencia de las Partes, en lugar de las descripciones individuales de AIEB producto de un ejercicio nacional, para su inclusión en el repositorio de AIEB mundial.</w:t>
      </w:r>
    </w:p>
    <w:p w:rsidR="00A543E0" w:rsidRPr="00747A77" w:rsidRDefault="00DB3FDA" w:rsidP="006816B5">
      <w:pPr>
        <w:pStyle w:val="MediumGrid1-Accent21"/>
        <w:suppressLineNumbers/>
        <w:suppressAutoHyphens/>
        <w:kinsoku w:val="0"/>
        <w:overflowPunct w:val="0"/>
        <w:autoSpaceDE w:val="0"/>
        <w:autoSpaceDN w:val="0"/>
        <w:spacing w:before="120" w:line="233" w:lineRule="auto"/>
        <w:ind w:leftChars="0" w:left="0"/>
        <w:contextualSpacing/>
        <w:jc w:val="center"/>
        <w:rPr>
          <w:snapToGrid w:val="0"/>
          <w:kern w:val="22"/>
          <w:szCs w:val="22"/>
          <w:lang w:val="es-ES"/>
        </w:rPr>
      </w:pPr>
      <w:r w:rsidRPr="00747A77">
        <w:rPr>
          <w:snapToGrid w:val="0"/>
          <w:kern w:val="22"/>
          <w:szCs w:val="22"/>
          <w:lang w:val="es-ES"/>
        </w:rPr>
        <w:t>__________</w:t>
      </w:r>
    </w:p>
    <w:sectPr w:rsidR="00A543E0" w:rsidRPr="00747A77" w:rsidSect="006F4285">
      <w:headerReference w:type="even" r:id="rId30"/>
      <w:headerReference w:type="default" r:id="rId31"/>
      <w:footerReference w:type="even" r:id="rId32"/>
      <w:footerReference w:type="default" r:id="rId33"/>
      <w:type w:val="continuous"/>
      <w:pgSz w:w="12240" w:h="15840" w:code="1"/>
      <w:pgMar w:top="1021" w:right="1440" w:bottom="1134"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5A0" w:rsidRDefault="000105A0">
      <w:r>
        <w:separator/>
      </w:r>
    </w:p>
  </w:endnote>
  <w:endnote w:type="continuationSeparator" w:id="0">
    <w:p w:rsidR="000105A0" w:rsidRDefault="0001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1D1" w:rsidRDefault="00B911D1" w:rsidP="006F4285">
    <w:pPr>
      <w:pStyle w:val="Piedepgina"/>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1D1" w:rsidRDefault="00B911D1" w:rsidP="006F4285">
    <w:pPr>
      <w:pStyle w:val="Piedepgina"/>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5A0" w:rsidRDefault="000105A0">
      <w:r>
        <w:separator/>
      </w:r>
    </w:p>
  </w:footnote>
  <w:footnote w:type="continuationSeparator" w:id="0">
    <w:p w:rsidR="000105A0" w:rsidRDefault="000105A0">
      <w:r>
        <w:continuationSeparator/>
      </w:r>
    </w:p>
  </w:footnote>
  <w:footnote w:id="1">
    <w:p w:rsidR="00877ED7" w:rsidRPr="00877ED7" w:rsidRDefault="00877ED7" w:rsidP="00877ED7">
      <w:pPr>
        <w:pStyle w:val="Textonotapie"/>
        <w:ind w:firstLine="0"/>
        <w:rPr>
          <w:lang w:val="es-AR"/>
        </w:rPr>
      </w:pPr>
      <w:r w:rsidRPr="00877ED7">
        <w:rPr>
          <w:rStyle w:val="Refdenotaalpie"/>
          <w:lang w:val="es-AR"/>
        </w:rPr>
        <w:t>*</w:t>
      </w:r>
      <w:r w:rsidRPr="00877ED7">
        <w:rPr>
          <w:lang w:val="es-AR"/>
        </w:rPr>
        <w:t xml:space="preserve"> </w:t>
      </w:r>
      <w:r w:rsidRPr="00877ED7">
        <w:rPr>
          <w:lang w:val="es-AR"/>
        </w:rPr>
        <w:t xml:space="preserve">Emitido nuevamente por razones técnicas el </w:t>
      </w:r>
      <w:r w:rsidRPr="00877ED7">
        <w:rPr>
          <w:lang w:val="es-AR"/>
        </w:rPr>
        <w:t xml:space="preserve">8 </w:t>
      </w:r>
      <w:r>
        <w:rPr>
          <w:lang w:val="es-AR"/>
        </w:rPr>
        <w:t>de junio de</w:t>
      </w:r>
      <w:r w:rsidRPr="00877ED7">
        <w:rPr>
          <w:lang w:val="es-AR"/>
        </w:rPr>
        <w:t xml:space="preserve"> 2018.</w:t>
      </w:r>
    </w:p>
  </w:footnote>
  <w:footnote w:id="2">
    <w:p w:rsidR="00877ED7" w:rsidRPr="00877ED7" w:rsidRDefault="00877ED7" w:rsidP="00877ED7">
      <w:pPr>
        <w:pStyle w:val="reference"/>
        <w:keepNext w:val="0"/>
        <w:kinsoku w:val="0"/>
        <w:overflowPunct w:val="0"/>
        <w:autoSpaceDE w:val="0"/>
        <w:autoSpaceDN w:val="0"/>
        <w:spacing w:before="0" w:beforeAutospacing="0" w:after="60"/>
        <w:jc w:val="left"/>
        <w:rPr>
          <w:snapToGrid w:val="0"/>
          <w:kern w:val="18"/>
          <w:szCs w:val="18"/>
          <w:lang w:val="es-AR"/>
        </w:rPr>
      </w:pPr>
      <w:r w:rsidRPr="00877ED7">
        <w:rPr>
          <w:snapToGrid w:val="0"/>
          <w:kern w:val="18"/>
          <w:szCs w:val="18"/>
          <w:vertAlign w:val="superscript"/>
          <w:lang w:val="es-AR"/>
        </w:rPr>
        <w:t>*</w:t>
      </w:r>
      <w:r w:rsidRPr="00877ED7">
        <w:rPr>
          <w:rStyle w:val="Refdenotaalpie"/>
          <w:snapToGrid w:val="0"/>
          <w:kern w:val="18"/>
          <w:sz w:val="18"/>
          <w:szCs w:val="18"/>
          <w:lang w:val="es-AR"/>
        </w:rPr>
        <w:t>*</w:t>
      </w:r>
      <w:r w:rsidRPr="00877ED7">
        <w:rPr>
          <w:iCs w:val="0"/>
          <w:snapToGrid w:val="0"/>
          <w:kern w:val="18"/>
          <w:szCs w:val="18"/>
          <w:lang w:val="es-AR"/>
        </w:rPr>
        <w:t xml:space="preserve"> </w:t>
      </w:r>
      <w:hyperlink r:id="rId1" w:history="1">
        <w:proofErr w:type="spellStart"/>
        <w:r w:rsidRPr="00877ED7">
          <w:rPr>
            <w:rStyle w:val="Hipervnculo"/>
            <w:lang w:val="es-AR"/>
          </w:rPr>
          <w:t>CBD</w:t>
        </w:r>
        <w:proofErr w:type="spellEnd"/>
        <w:r w:rsidRPr="00877ED7">
          <w:rPr>
            <w:rStyle w:val="Hipervnculo"/>
            <w:lang w:val="es-AR"/>
          </w:rPr>
          <w:t>/</w:t>
        </w:r>
        <w:proofErr w:type="spellStart"/>
        <w:r w:rsidRPr="00877ED7">
          <w:rPr>
            <w:rStyle w:val="Hipervnculo"/>
            <w:lang w:val="es-AR"/>
          </w:rPr>
          <w:t>SBSTTA</w:t>
        </w:r>
        <w:proofErr w:type="spellEnd"/>
        <w:r w:rsidRPr="00877ED7">
          <w:rPr>
            <w:rStyle w:val="Hipervnculo"/>
            <w:lang w:val="es-AR"/>
          </w:rPr>
          <w:t>/2</w:t>
        </w:r>
        <w:r w:rsidRPr="00877ED7">
          <w:rPr>
            <w:rStyle w:val="Hipervnculo"/>
            <w:lang w:val="es-AR"/>
          </w:rPr>
          <w:t>2</w:t>
        </w:r>
        <w:r w:rsidRPr="00877ED7">
          <w:rPr>
            <w:rStyle w:val="Hipervnculo"/>
            <w:lang w:val="es-AR"/>
          </w:rPr>
          <w:t>/1</w:t>
        </w:r>
      </w:hyperlink>
      <w:r w:rsidRPr="00877ED7">
        <w:rPr>
          <w:rStyle w:val="StyleFootnoteReferenceNounderline"/>
          <w:iCs w:val="0"/>
          <w:snapToGrid w:val="0"/>
          <w:kern w:val="18"/>
          <w:szCs w:val="18"/>
          <w:lang w:val="es-AR"/>
        </w:rPr>
        <w:t>.</w:t>
      </w:r>
    </w:p>
  </w:footnote>
  <w:footnote w:id="3">
    <w:p w:rsidR="00B911D1" w:rsidRPr="00FD3D05" w:rsidRDefault="00B911D1" w:rsidP="00ED4C9B">
      <w:pPr>
        <w:pStyle w:val="Textonotapie"/>
        <w:keepLines w:val="0"/>
        <w:kinsoku w:val="0"/>
        <w:overflowPunct w:val="0"/>
        <w:autoSpaceDE w:val="0"/>
        <w:autoSpaceDN w:val="0"/>
        <w:ind w:firstLine="0"/>
        <w:rPr>
          <w:snapToGrid w:val="0"/>
          <w:kern w:val="18"/>
          <w:szCs w:val="18"/>
          <w:lang w:val="es-ES"/>
        </w:rPr>
      </w:pPr>
      <w:r w:rsidRPr="00FD3D05">
        <w:rPr>
          <w:rStyle w:val="Refdenotaalpie"/>
          <w:snapToGrid w:val="0"/>
          <w:kern w:val="18"/>
          <w:sz w:val="18"/>
          <w:szCs w:val="18"/>
          <w:lang w:val="es-ES"/>
        </w:rPr>
        <w:footnoteRef/>
      </w:r>
      <w:r w:rsidRPr="00FD3D05">
        <w:rPr>
          <w:snapToGrid w:val="0"/>
          <w:kern w:val="18"/>
          <w:szCs w:val="18"/>
          <w:lang w:val="es-ES"/>
        </w:rPr>
        <w:t xml:space="preserve"> Decisión X/29, párrafo 36.</w:t>
      </w:r>
    </w:p>
  </w:footnote>
  <w:footnote w:id="4">
    <w:p w:rsidR="00B911D1" w:rsidRPr="00FD3D05" w:rsidRDefault="00B911D1" w:rsidP="00ED4C9B">
      <w:pPr>
        <w:pStyle w:val="Textonotapie"/>
        <w:keepLines w:val="0"/>
        <w:kinsoku w:val="0"/>
        <w:overflowPunct w:val="0"/>
        <w:autoSpaceDE w:val="0"/>
        <w:autoSpaceDN w:val="0"/>
        <w:ind w:firstLine="0"/>
        <w:rPr>
          <w:snapToGrid w:val="0"/>
          <w:kern w:val="18"/>
          <w:szCs w:val="18"/>
          <w:lang w:val="es-ES"/>
        </w:rPr>
      </w:pPr>
      <w:r w:rsidRPr="00FD3D05">
        <w:rPr>
          <w:rStyle w:val="Refdenotaalpie"/>
          <w:snapToGrid w:val="0"/>
          <w:kern w:val="18"/>
          <w:sz w:val="18"/>
          <w:szCs w:val="18"/>
          <w:lang w:val="es-ES"/>
        </w:rPr>
        <w:footnoteRef/>
      </w:r>
      <w:r w:rsidRPr="00FD3D05">
        <w:rPr>
          <w:snapToGrid w:val="0"/>
          <w:kern w:val="18"/>
          <w:szCs w:val="18"/>
          <w:lang w:val="es-ES"/>
        </w:rPr>
        <w:t xml:space="preserve"> De conformidad con las decisiones XI/17, XII/22 y </w:t>
      </w:r>
      <w:hyperlink r:id="rId2" w:history="1">
        <w:r w:rsidRPr="00FD3D05">
          <w:rPr>
            <w:rStyle w:val="Hipervnculo"/>
            <w:snapToGrid w:val="0"/>
            <w:kern w:val="18"/>
            <w:szCs w:val="18"/>
            <w:lang w:val="es-ES"/>
          </w:rPr>
          <w:t>XIII/12</w:t>
        </w:r>
      </w:hyperlink>
      <w:r w:rsidRPr="00FD3D05">
        <w:rPr>
          <w:snapToGrid w:val="0"/>
          <w:kern w:val="18"/>
          <w:szCs w:val="18"/>
          <w:lang w:val="es-ES"/>
        </w:rPr>
        <w:t>.</w:t>
      </w:r>
    </w:p>
  </w:footnote>
  <w:footnote w:id="5">
    <w:p w:rsidR="00B911D1" w:rsidRPr="00FD3D05" w:rsidRDefault="00B911D1" w:rsidP="00ED4C9B">
      <w:pPr>
        <w:pStyle w:val="Textonotapie"/>
        <w:keepLines w:val="0"/>
        <w:kinsoku w:val="0"/>
        <w:overflowPunct w:val="0"/>
        <w:autoSpaceDE w:val="0"/>
        <w:autoSpaceDN w:val="0"/>
        <w:ind w:firstLine="0"/>
        <w:rPr>
          <w:snapToGrid w:val="0"/>
          <w:kern w:val="18"/>
          <w:szCs w:val="18"/>
          <w:lang w:val="es-ES"/>
        </w:rPr>
      </w:pPr>
      <w:r w:rsidRPr="00FD3D05">
        <w:rPr>
          <w:rStyle w:val="Refdenotaalpie"/>
          <w:rFonts w:eastAsia="Georgia"/>
          <w:snapToGrid w:val="0"/>
          <w:kern w:val="18"/>
          <w:sz w:val="18"/>
          <w:szCs w:val="18"/>
          <w:lang w:val="es-ES"/>
        </w:rPr>
        <w:footnoteRef/>
      </w:r>
      <w:r w:rsidRPr="00FD3D05">
        <w:rPr>
          <w:snapToGrid w:val="0"/>
          <w:kern w:val="18"/>
          <w:szCs w:val="18"/>
          <w:lang w:val="es-ES"/>
        </w:rPr>
        <w:t xml:space="preserve"> Véa</w:t>
      </w:r>
      <w:r w:rsidR="00615CE8">
        <w:rPr>
          <w:snapToGrid w:val="0"/>
          <w:kern w:val="18"/>
          <w:szCs w:val="18"/>
          <w:lang w:val="es-ES"/>
        </w:rPr>
        <w:t>n</w:t>
      </w:r>
      <w:r w:rsidRPr="00FD3D05">
        <w:rPr>
          <w:snapToGrid w:val="0"/>
          <w:kern w:val="18"/>
          <w:szCs w:val="18"/>
          <w:lang w:val="es-ES"/>
        </w:rPr>
        <w:t xml:space="preserve">se </w:t>
      </w:r>
      <w:r w:rsidR="00226584">
        <w:rPr>
          <w:snapToGrid w:val="0"/>
          <w:kern w:val="18"/>
          <w:szCs w:val="18"/>
          <w:lang w:val="es-ES"/>
        </w:rPr>
        <w:t xml:space="preserve">las comunicaciones </w:t>
      </w:r>
      <w:hyperlink r:id="rId3" w:history="1">
        <w:r w:rsidRPr="00FD3D05">
          <w:rPr>
            <w:rStyle w:val="Hipervnculo"/>
            <w:snapToGrid w:val="0"/>
            <w:kern w:val="18"/>
            <w:szCs w:val="18"/>
            <w:lang w:val="es-ES"/>
          </w:rPr>
          <w:t>A/67/838</w:t>
        </w:r>
      </w:hyperlink>
      <w:r w:rsidRPr="00FD3D05">
        <w:rPr>
          <w:snapToGrid w:val="0"/>
          <w:kern w:val="18"/>
          <w:szCs w:val="18"/>
          <w:lang w:val="es-ES"/>
        </w:rPr>
        <w:t xml:space="preserve">, </w:t>
      </w:r>
      <w:hyperlink r:id="rId4" w:history="1">
        <w:r w:rsidRPr="00FD3D05">
          <w:rPr>
            <w:rStyle w:val="Hipervnculo"/>
            <w:snapToGrid w:val="0"/>
            <w:kern w:val="18"/>
            <w:szCs w:val="18"/>
            <w:lang w:val="es-ES"/>
          </w:rPr>
          <w:t>A/69/794</w:t>
        </w:r>
      </w:hyperlink>
      <w:r w:rsidRPr="00FD3D05">
        <w:rPr>
          <w:snapToGrid w:val="0"/>
          <w:kern w:val="18"/>
          <w:szCs w:val="18"/>
          <w:lang w:val="es-ES"/>
        </w:rPr>
        <w:t xml:space="preserve"> y </w:t>
      </w:r>
      <w:hyperlink r:id="rId5" w:history="1">
        <w:r w:rsidRPr="00FD3D05">
          <w:rPr>
            <w:rStyle w:val="Hipervnculo"/>
            <w:snapToGrid w:val="0"/>
            <w:kern w:val="18"/>
            <w:szCs w:val="18"/>
            <w:lang w:val="es-ES"/>
          </w:rPr>
          <w:t>A/72/491</w:t>
        </w:r>
      </w:hyperlink>
      <w:r w:rsidRPr="00FD3D05">
        <w:rPr>
          <w:snapToGrid w:val="0"/>
          <w:kern w:val="18"/>
          <w:szCs w:val="18"/>
          <w:lang w:val="es-ES"/>
        </w:rPr>
        <w:t>.</w:t>
      </w:r>
    </w:p>
  </w:footnote>
  <w:footnote w:id="6">
    <w:p w:rsidR="00B911D1" w:rsidRPr="00FD3D05" w:rsidRDefault="00B911D1" w:rsidP="00ED4C9B">
      <w:pPr>
        <w:pStyle w:val="Textonotapie"/>
        <w:keepLines w:val="0"/>
        <w:kinsoku w:val="0"/>
        <w:overflowPunct w:val="0"/>
        <w:autoSpaceDE w:val="0"/>
        <w:autoSpaceDN w:val="0"/>
        <w:ind w:firstLine="0"/>
        <w:rPr>
          <w:snapToGrid w:val="0"/>
          <w:kern w:val="18"/>
          <w:szCs w:val="18"/>
          <w:lang w:val="es-ES"/>
        </w:rPr>
      </w:pPr>
      <w:r w:rsidRPr="00FD3D05">
        <w:rPr>
          <w:rStyle w:val="Refdenotaalpie"/>
          <w:snapToGrid w:val="0"/>
          <w:kern w:val="18"/>
          <w:sz w:val="18"/>
          <w:szCs w:val="18"/>
          <w:lang w:val="es-ES"/>
        </w:rPr>
        <w:footnoteRef/>
      </w:r>
      <w:r w:rsidRPr="00FD3D05">
        <w:rPr>
          <w:snapToGrid w:val="0"/>
          <w:kern w:val="18"/>
          <w:szCs w:val="18"/>
          <w:lang w:val="es-ES"/>
        </w:rPr>
        <w:t xml:space="preserve"> Informe del Taller Regional para el Mar Negro y el Mar Caspio (CBD/EBSA/WS/2017/1/3) e informe sobre </w:t>
      </w:r>
      <w:r w:rsidR="00741913" w:rsidRPr="00FD3D05">
        <w:rPr>
          <w:snapToGrid w:val="0"/>
          <w:kern w:val="18"/>
          <w:szCs w:val="18"/>
          <w:lang w:val="es-ES"/>
        </w:rPr>
        <w:t>el Taller</w:t>
      </w:r>
      <w:r w:rsidRPr="00FD3D05">
        <w:rPr>
          <w:snapToGrid w:val="0"/>
          <w:kern w:val="18"/>
          <w:szCs w:val="18"/>
          <w:lang w:val="es-ES"/>
        </w:rPr>
        <w:t xml:space="preserve"> Regional para el Mar Báltico (CBD/EBSA/WS/2018/1/4).</w:t>
      </w:r>
    </w:p>
  </w:footnote>
  <w:footnote w:id="7">
    <w:p w:rsidR="00B911D1" w:rsidRPr="00FD3D05" w:rsidRDefault="00B911D1" w:rsidP="00ED4C9B">
      <w:pPr>
        <w:pStyle w:val="Textonotapie"/>
        <w:keepLines w:val="0"/>
        <w:kinsoku w:val="0"/>
        <w:overflowPunct w:val="0"/>
        <w:autoSpaceDE w:val="0"/>
        <w:autoSpaceDN w:val="0"/>
        <w:ind w:firstLine="0"/>
        <w:rPr>
          <w:snapToGrid w:val="0"/>
          <w:kern w:val="18"/>
          <w:szCs w:val="18"/>
          <w:lang w:val="es-ES"/>
        </w:rPr>
      </w:pPr>
      <w:r w:rsidRPr="00FD3D05">
        <w:rPr>
          <w:rStyle w:val="Refdenotaalpie"/>
          <w:snapToGrid w:val="0"/>
          <w:kern w:val="18"/>
          <w:sz w:val="18"/>
          <w:szCs w:val="18"/>
          <w:lang w:val="es-ES"/>
        </w:rPr>
        <w:footnoteRef/>
      </w:r>
      <w:r w:rsidRPr="00FD3D05">
        <w:rPr>
          <w:snapToGrid w:val="0"/>
          <w:kern w:val="18"/>
          <w:szCs w:val="18"/>
          <w:lang w:val="es-ES"/>
        </w:rPr>
        <w:t xml:space="preserve"> Véase la descripción resumida de estas áreas en la tabla 1 de CBD/SBSTTA/22/7/Add.1. En el informe del taller (CBD/EBSA/WS/2017/1/3), se incluyen descripciones más detalladas.</w:t>
      </w:r>
    </w:p>
  </w:footnote>
  <w:footnote w:id="8">
    <w:p w:rsidR="00B911D1" w:rsidRPr="00FD3D05" w:rsidRDefault="00B911D1" w:rsidP="00ED4C9B">
      <w:pPr>
        <w:pStyle w:val="Textonotapie"/>
        <w:keepLines w:val="0"/>
        <w:kinsoku w:val="0"/>
        <w:overflowPunct w:val="0"/>
        <w:autoSpaceDE w:val="0"/>
        <w:autoSpaceDN w:val="0"/>
        <w:ind w:firstLine="0"/>
        <w:rPr>
          <w:snapToGrid w:val="0"/>
          <w:kern w:val="18"/>
          <w:szCs w:val="18"/>
          <w:lang w:val="es-ES"/>
        </w:rPr>
      </w:pPr>
      <w:r w:rsidRPr="00FD3D05">
        <w:rPr>
          <w:rStyle w:val="Refdenotaalpie"/>
          <w:snapToGrid w:val="0"/>
          <w:kern w:val="18"/>
          <w:sz w:val="18"/>
          <w:szCs w:val="18"/>
          <w:lang w:val="es-ES"/>
        </w:rPr>
        <w:footnoteRef/>
      </w:r>
      <w:r w:rsidRPr="00FD3D05">
        <w:rPr>
          <w:snapToGrid w:val="0"/>
          <w:kern w:val="18"/>
          <w:szCs w:val="18"/>
          <w:lang w:val="es-ES"/>
        </w:rPr>
        <w:t xml:space="preserve"> Véase la descripción resumida de estas áreas en la tabla 2 de CBD/SBSTTA/22/7/Add.1. En el informe del taller (CBD/EBSA/WS/2018/1/4), figuran descripciones más detalladas.</w:t>
      </w:r>
    </w:p>
  </w:footnote>
  <w:footnote w:id="9">
    <w:p w:rsidR="00B911D1" w:rsidRPr="00FD3D05" w:rsidRDefault="00B911D1" w:rsidP="00ED4C9B">
      <w:pPr>
        <w:pStyle w:val="Textonotapie"/>
        <w:keepLines w:val="0"/>
        <w:kinsoku w:val="0"/>
        <w:overflowPunct w:val="0"/>
        <w:autoSpaceDE w:val="0"/>
        <w:autoSpaceDN w:val="0"/>
        <w:ind w:firstLine="0"/>
        <w:rPr>
          <w:snapToGrid w:val="0"/>
          <w:kern w:val="18"/>
          <w:szCs w:val="18"/>
          <w:lang w:val="es-ES"/>
        </w:rPr>
      </w:pPr>
      <w:r w:rsidRPr="00FD3D05">
        <w:rPr>
          <w:rStyle w:val="Refdenotaalpie"/>
          <w:snapToGrid w:val="0"/>
          <w:kern w:val="18"/>
          <w:sz w:val="18"/>
          <w:szCs w:val="18"/>
          <w:lang w:val="es-ES"/>
        </w:rPr>
        <w:footnoteRef/>
      </w:r>
      <w:r w:rsidRPr="00FD3D05">
        <w:rPr>
          <w:snapToGrid w:val="0"/>
          <w:kern w:val="18"/>
          <w:szCs w:val="18"/>
          <w:lang w:val="es-ES"/>
        </w:rPr>
        <w:t xml:space="preserve"> La descripción de áreas que cumplen los criterios para las áreas de importancia ecológica o biológica (AIEB) consiste en un texto descriptivo y en un polígono del área, tal como figura en las decisiones pertinentes de la Conferencia de las Partes en el Convenio, como las decisiones XI/17 (anexo) y XII/22 (anexo), y aparece en el repositorio de documentos de dichas áreas y el mapa que se encuentra en www.cbd.int/ebsa. En esta nota, la modificación de la descripción de un área de importancia ecológica o biológica existente constituye una modificación que afecta el texto descriptivo de los criterios para las AIEB, tal como figura en las decisiones pertinentes, como las decisiones XI/17 (anexo) y XII/22 (anexo), y/o el polígono del área, tal como figura en el repositorio mencionado.</w:t>
      </w:r>
    </w:p>
  </w:footnote>
  <w:footnote w:id="10">
    <w:p w:rsidR="005535B0" w:rsidRPr="00FD3D05" w:rsidRDefault="005535B0" w:rsidP="00ED4C9B">
      <w:pPr>
        <w:pStyle w:val="Textonotapie"/>
        <w:ind w:firstLine="0"/>
        <w:rPr>
          <w:szCs w:val="18"/>
          <w:lang w:val="es-ES"/>
        </w:rPr>
      </w:pPr>
      <w:r w:rsidRPr="00FD3D05">
        <w:rPr>
          <w:rStyle w:val="Refdenotaalpie"/>
          <w:sz w:val="18"/>
          <w:szCs w:val="18"/>
          <w:lang w:val="es-ES"/>
        </w:rPr>
        <w:footnoteRef/>
      </w:r>
      <w:r w:rsidRPr="00FD3D05">
        <w:rPr>
          <w:szCs w:val="18"/>
          <w:lang w:val="es-ES"/>
        </w:rPr>
        <w:t xml:space="preserve"> </w:t>
      </w:r>
      <w:r w:rsidRPr="00FD3D05">
        <w:rPr>
          <w:snapToGrid w:val="0"/>
          <w:kern w:val="18"/>
          <w:szCs w:val="18"/>
          <w:lang w:val="es-ES"/>
        </w:rPr>
        <w:t>Ref. núm. 2018-004, de fecha 10 de enero de 2018.</w:t>
      </w:r>
    </w:p>
  </w:footnote>
  <w:footnote w:id="11">
    <w:p w:rsidR="005535B0" w:rsidRPr="00FD3D05" w:rsidRDefault="005535B0" w:rsidP="00ED4C9B">
      <w:pPr>
        <w:pStyle w:val="Textonotapie"/>
        <w:ind w:firstLine="0"/>
        <w:rPr>
          <w:szCs w:val="18"/>
          <w:lang w:val="es-ES"/>
        </w:rPr>
      </w:pPr>
      <w:r w:rsidRPr="00FD3D05">
        <w:rPr>
          <w:rStyle w:val="Refdenotaalpie"/>
          <w:sz w:val="18"/>
          <w:szCs w:val="18"/>
          <w:lang w:val="es-ES"/>
        </w:rPr>
        <w:footnoteRef/>
      </w:r>
      <w:r w:rsidRPr="00FD3D05">
        <w:rPr>
          <w:szCs w:val="18"/>
          <w:lang w:val="es-ES"/>
        </w:rPr>
        <w:t xml:space="preserve"> </w:t>
      </w:r>
      <w:r w:rsidR="003E0EA1" w:rsidRPr="0086494E">
        <w:rPr>
          <w:snapToGrid w:val="0"/>
          <w:kern w:val="18"/>
          <w:szCs w:val="18"/>
          <w:lang w:val="es-AR"/>
        </w:rPr>
        <w:t xml:space="preserve">Azerbaiyán, Croacia, Cuba, Grecia, Iraq, Noruega, Nueva Zelanda, Omán, la Autoridad Internacional de los Fondos Marinos, el Grupo de Tareas de Áreas Protegidas de Mamíferos Marinos de la UICN, PNUMA-CMVC y BirdLife International formularon observaciones surgidas de la revisión por </w:t>
      </w:r>
      <w:r w:rsidR="0086494E" w:rsidRPr="0086494E">
        <w:rPr>
          <w:snapToGrid w:val="0"/>
          <w:kern w:val="18"/>
          <w:szCs w:val="18"/>
          <w:lang w:val="es-AR"/>
        </w:rPr>
        <w:t>pares.</w:t>
      </w:r>
    </w:p>
  </w:footnote>
  <w:footnote w:id="12">
    <w:p w:rsidR="003E0EA1" w:rsidRPr="003E0EA1" w:rsidRDefault="003E0EA1" w:rsidP="00ED4C9B">
      <w:pPr>
        <w:pStyle w:val="Textonotapie"/>
        <w:ind w:firstLine="0"/>
        <w:rPr>
          <w:szCs w:val="18"/>
          <w:lang w:val="es-ES"/>
        </w:rPr>
      </w:pPr>
      <w:r w:rsidRPr="003E0EA1">
        <w:rPr>
          <w:rStyle w:val="Refdenotaalpie"/>
          <w:sz w:val="18"/>
          <w:szCs w:val="18"/>
          <w:lang w:val="es-ES"/>
        </w:rPr>
        <w:footnoteRef/>
      </w:r>
      <w:r w:rsidRPr="003E0EA1">
        <w:rPr>
          <w:szCs w:val="18"/>
          <w:lang w:val="es-ES"/>
        </w:rPr>
        <w:t xml:space="preserve"> </w:t>
      </w:r>
      <w:r w:rsidRPr="003E0EA1">
        <w:rPr>
          <w:snapToGrid w:val="0"/>
          <w:kern w:val="18"/>
          <w:szCs w:val="18"/>
          <w:lang w:val="es-ES"/>
        </w:rPr>
        <w:t>Ref</w:t>
      </w:r>
      <w:r>
        <w:rPr>
          <w:snapToGrid w:val="0"/>
          <w:kern w:val="18"/>
          <w:szCs w:val="18"/>
          <w:lang w:val="es-ES"/>
        </w:rPr>
        <w:t>.</w:t>
      </w:r>
      <w:r w:rsidRPr="003E0EA1">
        <w:rPr>
          <w:snapToGrid w:val="0"/>
          <w:kern w:val="18"/>
          <w:szCs w:val="18"/>
          <w:lang w:val="es-ES"/>
        </w:rPr>
        <w:t xml:space="preserve"> núm. 2017-082, de fecha 31 agosto de 2017.</w:t>
      </w:r>
    </w:p>
  </w:footnote>
  <w:footnote w:id="13">
    <w:p w:rsidR="00B911D1" w:rsidRPr="00FD3D05" w:rsidRDefault="00B911D1" w:rsidP="00ED4C9B">
      <w:pPr>
        <w:pStyle w:val="Textonotapie"/>
        <w:keepLines w:val="0"/>
        <w:widowControl w:val="0"/>
        <w:kinsoku w:val="0"/>
        <w:overflowPunct w:val="0"/>
        <w:autoSpaceDE w:val="0"/>
        <w:autoSpaceDN w:val="0"/>
        <w:ind w:firstLine="0"/>
        <w:rPr>
          <w:snapToGrid w:val="0"/>
          <w:kern w:val="18"/>
          <w:szCs w:val="18"/>
          <w:lang w:val="es-ES"/>
        </w:rPr>
      </w:pPr>
      <w:r w:rsidRPr="00FD3D05">
        <w:rPr>
          <w:rStyle w:val="Refdenotaalpie"/>
          <w:snapToGrid w:val="0"/>
          <w:kern w:val="18"/>
          <w:sz w:val="18"/>
          <w:szCs w:val="18"/>
          <w:lang w:val="es-ES"/>
        </w:rPr>
        <w:footnoteRef/>
      </w:r>
      <w:r w:rsidRPr="00FD3D05">
        <w:rPr>
          <w:snapToGrid w:val="0"/>
          <w:kern w:val="18"/>
          <w:szCs w:val="18"/>
          <w:lang w:val="es-ES"/>
        </w:rPr>
        <w:t xml:space="preserve"> UNEP/CBD/SBSTTA/20/INF/8.</w:t>
      </w:r>
    </w:p>
  </w:footnote>
  <w:footnote w:id="14">
    <w:p w:rsidR="00535F82" w:rsidRPr="00FD3D05" w:rsidRDefault="00535F82" w:rsidP="00ED4C9B">
      <w:pPr>
        <w:pStyle w:val="Textonotapie"/>
        <w:keepLines w:val="0"/>
        <w:widowControl w:val="0"/>
        <w:ind w:firstLine="0"/>
        <w:rPr>
          <w:szCs w:val="18"/>
          <w:lang w:val="es-ES"/>
        </w:rPr>
      </w:pPr>
      <w:r w:rsidRPr="00FD3D05">
        <w:rPr>
          <w:rStyle w:val="Refdenotaalpie"/>
          <w:sz w:val="18"/>
          <w:szCs w:val="18"/>
          <w:lang w:val="es-ES"/>
        </w:rPr>
        <w:footnoteRef/>
      </w:r>
      <w:r w:rsidRPr="00FD3D05">
        <w:rPr>
          <w:szCs w:val="18"/>
          <w:lang w:val="es-ES"/>
        </w:rPr>
        <w:t xml:space="preserve"> </w:t>
      </w:r>
      <w:r w:rsidRPr="00FD3D05">
        <w:rPr>
          <w:snapToGrid w:val="0"/>
          <w:kern w:val="18"/>
          <w:szCs w:val="18"/>
          <w:lang w:val="es-ES"/>
        </w:rPr>
        <w:t>Ref. núm. 2017-083, de fecha 31 de agosto de 2017.</w:t>
      </w:r>
    </w:p>
  </w:footnote>
  <w:footnote w:id="15">
    <w:p w:rsidR="00B911D1" w:rsidRPr="00FD3D05" w:rsidRDefault="00B911D1" w:rsidP="00ED4C9B">
      <w:pPr>
        <w:pStyle w:val="Textonotapie"/>
        <w:keepLines w:val="0"/>
        <w:widowControl w:val="0"/>
        <w:kinsoku w:val="0"/>
        <w:overflowPunct w:val="0"/>
        <w:autoSpaceDE w:val="0"/>
        <w:autoSpaceDN w:val="0"/>
        <w:ind w:firstLine="0"/>
        <w:rPr>
          <w:snapToGrid w:val="0"/>
          <w:kern w:val="18"/>
          <w:szCs w:val="18"/>
          <w:lang w:val="es-ES"/>
        </w:rPr>
      </w:pPr>
      <w:r w:rsidRPr="00FD3D05">
        <w:rPr>
          <w:rStyle w:val="Refdenotaalpie"/>
          <w:snapToGrid w:val="0"/>
          <w:kern w:val="18"/>
          <w:sz w:val="18"/>
          <w:szCs w:val="18"/>
          <w:lang w:val="es-ES"/>
        </w:rPr>
        <w:footnoteRef/>
      </w:r>
      <w:r w:rsidRPr="00FD3D05">
        <w:rPr>
          <w:snapToGrid w:val="0"/>
          <w:kern w:val="18"/>
          <w:szCs w:val="18"/>
          <w:lang w:val="es-ES"/>
        </w:rPr>
        <w:t xml:space="preserve"> CBD/SBSTTA/22/INF/14</w:t>
      </w:r>
    </w:p>
  </w:footnote>
  <w:footnote w:id="16">
    <w:p w:rsidR="00156022" w:rsidRPr="00FD3D05" w:rsidRDefault="00156022" w:rsidP="00ED4C9B">
      <w:pPr>
        <w:pStyle w:val="Textonotapie"/>
        <w:ind w:firstLine="0"/>
        <w:rPr>
          <w:szCs w:val="18"/>
          <w:lang w:val="es-ES"/>
        </w:rPr>
      </w:pPr>
      <w:r w:rsidRPr="00FD3D05">
        <w:rPr>
          <w:rStyle w:val="Refdenotaalpie"/>
          <w:sz w:val="18"/>
          <w:szCs w:val="18"/>
          <w:lang w:val="es-ES"/>
        </w:rPr>
        <w:footnoteRef/>
      </w:r>
      <w:r w:rsidRPr="00FD3D05">
        <w:rPr>
          <w:szCs w:val="18"/>
          <w:lang w:val="es-ES"/>
        </w:rPr>
        <w:t xml:space="preserve"> </w:t>
      </w:r>
      <w:r w:rsidRPr="00FD3D05">
        <w:rPr>
          <w:snapToGrid w:val="0"/>
          <w:kern w:val="18"/>
          <w:szCs w:val="18"/>
          <w:lang w:val="es-ES"/>
        </w:rPr>
        <w:t>Véase www.cbd.int/soi</w:t>
      </w:r>
      <w:r w:rsidR="003E03F4" w:rsidRPr="00FD3D05">
        <w:rPr>
          <w:snapToGrid w:val="0"/>
          <w:kern w:val="18"/>
          <w:szCs w:val="18"/>
          <w:lang w:val="es-ES"/>
        </w:rPr>
        <w:t>.</w:t>
      </w:r>
    </w:p>
  </w:footnote>
  <w:footnote w:id="17">
    <w:p w:rsidR="00B911D1" w:rsidRPr="00FD3D05" w:rsidRDefault="00B911D1" w:rsidP="00ED4C9B">
      <w:pPr>
        <w:pStyle w:val="Textonotapie"/>
        <w:keepLines w:val="0"/>
        <w:kinsoku w:val="0"/>
        <w:overflowPunct w:val="0"/>
        <w:autoSpaceDE w:val="0"/>
        <w:autoSpaceDN w:val="0"/>
        <w:ind w:firstLine="0"/>
        <w:rPr>
          <w:snapToGrid w:val="0"/>
          <w:kern w:val="18"/>
          <w:szCs w:val="18"/>
          <w:lang w:val="es-ES"/>
        </w:rPr>
      </w:pPr>
      <w:r w:rsidRPr="00FD3D05">
        <w:rPr>
          <w:rStyle w:val="Refdenotaalpie"/>
          <w:snapToGrid w:val="0"/>
          <w:kern w:val="18"/>
          <w:sz w:val="18"/>
          <w:szCs w:val="18"/>
          <w:lang w:val="es-ES"/>
        </w:rPr>
        <w:footnoteRef/>
      </w:r>
      <w:r w:rsidRPr="00FD3D05">
        <w:rPr>
          <w:snapToGrid w:val="0"/>
          <w:kern w:val="18"/>
          <w:szCs w:val="18"/>
          <w:vertAlign w:val="superscript"/>
          <w:lang w:val="es-ES"/>
        </w:rPr>
        <w:t xml:space="preserve"> </w:t>
      </w:r>
      <w:r w:rsidRPr="00FD3D05">
        <w:rPr>
          <w:snapToGrid w:val="0"/>
          <w:kern w:val="18"/>
          <w:szCs w:val="18"/>
          <w:lang w:val="es-ES"/>
        </w:rPr>
        <w:t>UNEP/CBD/SOI/WS/2016/2/2</w:t>
      </w:r>
      <w:r w:rsidRPr="00FD3D05">
        <w:rPr>
          <w:snapToGrid w:val="0"/>
          <w:kern w:val="18"/>
          <w:szCs w:val="18"/>
          <w:vertAlign w:val="superscript"/>
          <w:lang w:val="es-ES"/>
        </w:rPr>
        <w:t xml:space="preserve"> </w:t>
      </w:r>
      <w:r w:rsidRPr="00FD3D05">
        <w:rPr>
          <w:rStyle w:val="Textoennegrita"/>
          <w:b w:val="0"/>
          <w:bCs w:val="0"/>
          <w:snapToGrid w:val="0"/>
          <w:kern w:val="18"/>
          <w:szCs w:val="18"/>
          <w:lang w:val="es-ES"/>
        </w:rPr>
        <w:t>y CBD/SOI/WS/2017/2/2.</w:t>
      </w:r>
    </w:p>
  </w:footnote>
  <w:footnote w:id="18">
    <w:p w:rsidR="00B911D1" w:rsidRPr="0086494E" w:rsidRDefault="00B911D1" w:rsidP="00ED4C9B">
      <w:pPr>
        <w:pStyle w:val="Textonotapie"/>
        <w:keepLines w:val="0"/>
        <w:kinsoku w:val="0"/>
        <w:overflowPunct w:val="0"/>
        <w:autoSpaceDE w:val="0"/>
        <w:autoSpaceDN w:val="0"/>
        <w:ind w:firstLine="0"/>
        <w:rPr>
          <w:snapToGrid w:val="0"/>
          <w:kern w:val="18"/>
          <w:szCs w:val="18"/>
          <w:lang w:val="en-US"/>
        </w:rPr>
      </w:pPr>
      <w:r w:rsidRPr="00FD3D05">
        <w:rPr>
          <w:rStyle w:val="Refdenotaalpie"/>
          <w:snapToGrid w:val="0"/>
          <w:kern w:val="18"/>
          <w:sz w:val="18"/>
          <w:szCs w:val="18"/>
          <w:lang w:val="es-ES"/>
        </w:rPr>
        <w:footnoteRef/>
      </w:r>
      <w:r w:rsidRPr="0086494E">
        <w:rPr>
          <w:snapToGrid w:val="0"/>
          <w:kern w:val="18"/>
          <w:szCs w:val="18"/>
          <w:vertAlign w:val="superscript"/>
          <w:lang w:val="en-US"/>
        </w:rPr>
        <w:t xml:space="preserve"> </w:t>
      </w:r>
      <w:r w:rsidRPr="0086494E">
        <w:rPr>
          <w:snapToGrid w:val="0"/>
          <w:kern w:val="18"/>
          <w:szCs w:val="18"/>
          <w:lang w:val="en-US"/>
        </w:rPr>
        <w:t>UNEP/CBD/SOI/WS/2016/3/2/Rev.1</w:t>
      </w:r>
      <w:r w:rsidRPr="0086494E">
        <w:rPr>
          <w:rStyle w:val="Textoennegrita"/>
          <w:b w:val="0"/>
          <w:bCs w:val="0"/>
          <w:snapToGrid w:val="0"/>
          <w:kern w:val="18"/>
          <w:szCs w:val="18"/>
          <w:lang w:val="en-US"/>
        </w:rPr>
        <w:t xml:space="preserve"> </w:t>
      </w:r>
      <w:r w:rsidR="00971346" w:rsidRPr="0086494E">
        <w:rPr>
          <w:rStyle w:val="Textoennegrita"/>
          <w:b w:val="0"/>
          <w:bCs w:val="0"/>
          <w:snapToGrid w:val="0"/>
          <w:kern w:val="18"/>
          <w:szCs w:val="18"/>
          <w:lang w:val="en-US"/>
        </w:rPr>
        <w:t>y</w:t>
      </w:r>
      <w:r w:rsidR="00061A2E" w:rsidRPr="0086494E">
        <w:rPr>
          <w:rStyle w:val="Textoennegrita"/>
          <w:snapToGrid w:val="0"/>
          <w:kern w:val="18"/>
          <w:szCs w:val="18"/>
          <w:lang w:val="en-US"/>
        </w:rPr>
        <w:t xml:space="preserve"> </w:t>
      </w:r>
      <w:r w:rsidRPr="0086494E">
        <w:rPr>
          <w:snapToGrid w:val="0"/>
          <w:kern w:val="18"/>
          <w:szCs w:val="18"/>
          <w:lang w:val="en-US"/>
        </w:rPr>
        <w:t>UNEP/CBD/SOI/WS/2017/1/2</w:t>
      </w:r>
      <w:r w:rsidR="003E03F4" w:rsidRPr="0086494E">
        <w:rPr>
          <w:snapToGrid w:val="0"/>
          <w:kern w:val="18"/>
          <w:szCs w:val="18"/>
          <w:lang w:val="en-US"/>
        </w:rPr>
        <w:t>.</w:t>
      </w:r>
    </w:p>
  </w:footnote>
  <w:footnote w:id="19">
    <w:p w:rsidR="00B911D1" w:rsidRPr="0086494E" w:rsidRDefault="00B911D1" w:rsidP="00ED4C9B">
      <w:pPr>
        <w:kinsoku w:val="0"/>
        <w:overflowPunct w:val="0"/>
        <w:autoSpaceDE w:val="0"/>
        <w:autoSpaceDN w:val="0"/>
        <w:spacing w:after="60"/>
        <w:rPr>
          <w:rFonts w:eastAsia="Times New Roman"/>
          <w:snapToGrid w:val="0"/>
          <w:color w:val="333333"/>
          <w:kern w:val="18"/>
          <w:sz w:val="18"/>
          <w:szCs w:val="18"/>
          <w:lang w:val="en-US"/>
        </w:rPr>
      </w:pPr>
      <w:r w:rsidRPr="00FD3D05">
        <w:rPr>
          <w:rStyle w:val="Refdenotaalpie"/>
          <w:snapToGrid w:val="0"/>
          <w:kern w:val="18"/>
          <w:sz w:val="18"/>
          <w:szCs w:val="18"/>
          <w:lang w:val="es-ES"/>
        </w:rPr>
        <w:footnoteRef/>
      </w:r>
      <w:r w:rsidRPr="0086494E">
        <w:rPr>
          <w:snapToGrid w:val="0"/>
          <w:kern w:val="18"/>
          <w:sz w:val="18"/>
          <w:szCs w:val="18"/>
          <w:lang w:val="en-US"/>
        </w:rPr>
        <w:t xml:space="preserve"> UNEP/CBD/SOI/WS/2016/4/2 y CBD/SOI/WS/2018/1/2.</w:t>
      </w:r>
    </w:p>
  </w:footnote>
  <w:footnote w:id="20">
    <w:p w:rsidR="00B911D1" w:rsidRPr="00FD3D05" w:rsidRDefault="00B911D1" w:rsidP="00ED4C9B">
      <w:pPr>
        <w:pStyle w:val="Textonotapie"/>
        <w:keepLines w:val="0"/>
        <w:kinsoku w:val="0"/>
        <w:overflowPunct w:val="0"/>
        <w:autoSpaceDE w:val="0"/>
        <w:autoSpaceDN w:val="0"/>
        <w:ind w:firstLine="0"/>
        <w:rPr>
          <w:snapToGrid w:val="0"/>
          <w:kern w:val="18"/>
          <w:szCs w:val="18"/>
          <w:lang w:val="es-ES"/>
        </w:rPr>
      </w:pPr>
      <w:r w:rsidRPr="00FD3D05">
        <w:rPr>
          <w:rStyle w:val="Refdenotaalpie"/>
          <w:snapToGrid w:val="0"/>
          <w:kern w:val="18"/>
          <w:sz w:val="18"/>
          <w:szCs w:val="18"/>
          <w:lang w:val="es-ES"/>
        </w:rPr>
        <w:footnoteRef/>
      </w:r>
      <w:r w:rsidR="001D0A2C">
        <w:rPr>
          <w:snapToGrid w:val="0"/>
          <w:kern w:val="18"/>
          <w:szCs w:val="18"/>
          <w:lang w:val="es-ES"/>
        </w:rPr>
        <w:t xml:space="preserve"> </w:t>
      </w:r>
      <w:r w:rsidRPr="00FD3D05">
        <w:rPr>
          <w:snapToGrid w:val="0"/>
          <w:kern w:val="18"/>
          <w:szCs w:val="18"/>
          <w:lang w:val="es-ES"/>
        </w:rPr>
        <w:t xml:space="preserve">Véase </w:t>
      </w:r>
      <w:r w:rsidR="00015EF3" w:rsidRPr="00FD3D05">
        <w:rPr>
          <w:snapToGrid w:val="0"/>
          <w:kern w:val="18"/>
          <w:szCs w:val="18"/>
          <w:lang w:val="es-ES"/>
        </w:rPr>
        <w:t>https://www.cbd.int/doc/meetings/mar/soiom-2016-01/official/soiom-2016-01-outcome-en.pdf</w:t>
      </w:r>
      <w:r w:rsidR="003E03F4" w:rsidRPr="00FD3D05">
        <w:rPr>
          <w:snapToGrid w:val="0"/>
          <w:kern w:val="18"/>
          <w:szCs w:val="18"/>
          <w:lang w:val="es-ES"/>
        </w:rPr>
        <w:t>.</w:t>
      </w:r>
    </w:p>
  </w:footnote>
  <w:footnote w:id="21">
    <w:p w:rsidR="00B911D1" w:rsidRPr="00FD3D05" w:rsidRDefault="00B911D1" w:rsidP="00ED4C9B">
      <w:pPr>
        <w:pStyle w:val="Textonotapie"/>
        <w:keepLines w:val="0"/>
        <w:kinsoku w:val="0"/>
        <w:overflowPunct w:val="0"/>
        <w:autoSpaceDE w:val="0"/>
        <w:autoSpaceDN w:val="0"/>
        <w:ind w:firstLine="0"/>
        <w:rPr>
          <w:snapToGrid w:val="0"/>
          <w:kern w:val="18"/>
          <w:szCs w:val="18"/>
          <w:lang w:val="es-ES"/>
        </w:rPr>
      </w:pPr>
      <w:r w:rsidRPr="00FD3D05">
        <w:rPr>
          <w:rStyle w:val="Refdenotaalpie"/>
          <w:snapToGrid w:val="0"/>
          <w:kern w:val="18"/>
          <w:sz w:val="18"/>
          <w:szCs w:val="18"/>
          <w:lang w:val="es-ES"/>
        </w:rPr>
        <w:footnoteRef/>
      </w:r>
      <w:r w:rsidRPr="00FD3D05">
        <w:rPr>
          <w:snapToGrid w:val="0"/>
          <w:kern w:val="18"/>
          <w:szCs w:val="18"/>
          <w:lang w:val="es-ES"/>
        </w:rPr>
        <w:t xml:space="preserve"> El párrafo 258 de la resolución 71/257 dice: </w:t>
      </w:r>
      <w:r w:rsidRPr="00FD3D05">
        <w:rPr>
          <w:i/>
          <w:iCs/>
          <w:snapToGrid w:val="0"/>
          <w:kern w:val="18"/>
          <w:szCs w:val="18"/>
          <w:lang w:val="es-ES"/>
        </w:rPr>
        <w:t>Observa con aprecio</w:t>
      </w:r>
      <w:r w:rsidRPr="00FD3D05">
        <w:rPr>
          <w:snapToGrid w:val="0"/>
          <w:kern w:val="18"/>
          <w:szCs w:val="18"/>
          <w:lang w:val="es-ES"/>
        </w:rPr>
        <w:t xml:space="preserve"> la labor de la Iniciativa de Océanos Sostenibles en el marco del Convenio sobre la Diversidad Biológica, y observa, a este respecto, el diálogo global con organizaciones de mares regionales y organismos de pesca regionales con miras a acelerar el progreso hacia las Metas de Aichi para la Diversidad Biológica, celebrado en Seúl del 26 al 29 de septiembre de 2016</w:t>
      </w:r>
      <w:r w:rsidR="001D0A2C">
        <w:rPr>
          <w:snapToGrid w:val="0"/>
          <w:kern w:val="18"/>
          <w:szCs w:val="18"/>
          <w:lang w:val="es-ES"/>
        </w:rPr>
        <w:t>.</w:t>
      </w:r>
    </w:p>
  </w:footnote>
  <w:footnote w:id="22">
    <w:p w:rsidR="00AA31A9" w:rsidRPr="00FD3D05" w:rsidRDefault="00AA31A9" w:rsidP="00ED4C9B">
      <w:pPr>
        <w:pStyle w:val="Textonotapie"/>
        <w:keepLines w:val="0"/>
        <w:widowControl w:val="0"/>
        <w:ind w:firstLine="0"/>
        <w:rPr>
          <w:szCs w:val="18"/>
          <w:lang w:val="es-ES"/>
        </w:rPr>
      </w:pPr>
      <w:r w:rsidRPr="00FD3D05">
        <w:rPr>
          <w:rStyle w:val="Refdenotaalpie"/>
          <w:sz w:val="18"/>
          <w:szCs w:val="18"/>
          <w:lang w:val="es-ES"/>
        </w:rPr>
        <w:footnoteRef/>
      </w:r>
      <w:r w:rsidRPr="00FD3D05">
        <w:rPr>
          <w:szCs w:val="18"/>
          <w:lang w:val="es-ES"/>
        </w:rPr>
        <w:t xml:space="preserve"> </w:t>
      </w:r>
      <w:r w:rsidRPr="00FD3D05">
        <w:rPr>
          <w:snapToGrid w:val="0"/>
          <w:kern w:val="18"/>
          <w:szCs w:val="18"/>
          <w:lang w:val="es-ES"/>
        </w:rPr>
        <w:t>Ref. núm. 2017-121, de fecha 16 de noviembre de 2017.</w:t>
      </w:r>
    </w:p>
  </w:footnote>
  <w:footnote w:id="23">
    <w:p w:rsidR="00B911D1" w:rsidRPr="00FD3D05" w:rsidRDefault="00B911D1" w:rsidP="00ED4C9B">
      <w:pPr>
        <w:pStyle w:val="Textonotapie"/>
        <w:keepLines w:val="0"/>
        <w:kinsoku w:val="0"/>
        <w:overflowPunct w:val="0"/>
        <w:autoSpaceDE w:val="0"/>
        <w:autoSpaceDN w:val="0"/>
        <w:ind w:firstLine="0"/>
        <w:rPr>
          <w:snapToGrid w:val="0"/>
          <w:kern w:val="18"/>
          <w:szCs w:val="18"/>
          <w:lang w:val="es-ES"/>
        </w:rPr>
      </w:pPr>
      <w:r w:rsidRPr="00FD3D05">
        <w:rPr>
          <w:rStyle w:val="Refdenotaalpie"/>
          <w:snapToGrid w:val="0"/>
          <w:kern w:val="18"/>
          <w:sz w:val="18"/>
          <w:szCs w:val="18"/>
          <w:lang w:val="es-ES"/>
        </w:rPr>
        <w:footnoteRef/>
      </w:r>
      <w:r w:rsidRPr="00FD3D05">
        <w:rPr>
          <w:snapToGrid w:val="0"/>
          <w:kern w:val="18"/>
          <w:szCs w:val="18"/>
          <w:lang w:val="es-ES"/>
        </w:rPr>
        <w:t xml:space="preserve"> CBD/EBSA/WS/2017/1/3 y CBD/EBSA/WS/2018/1/4.</w:t>
      </w:r>
    </w:p>
  </w:footnote>
  <w:footnote w:id="24">
    <w:p w:rsidR="00B911D1" w:rsidRPr="00FD3D05" w:rsidRDefault="00B911D1" w:rsidP="00ED4C9B">
      <w:pPr>
        <w:pStyle w:val="Textonotapie"/>
        <w:keepLines w:val="0"/>
        <w:kinsoku w:val="0"/>
        <w:overflowPunct w:val="0"/>
        <w:autoSpaceDE w:val="0"/>
        <w:autoSpaceDN w:val="0"/>
        <w:ind w:firstLine="0"/>
        <w:rPr>
          <w:snapToGrid w:val="0"/>
          <w:kern w:val="18"/>
          <w:szCs w:val="18"/>
          <w:lang w:val="es-ES"/>
        </w:rPr>
      </w:pPr>
      <w:r w:rsidRPr="00FD3D05">
        <w:rPr>
          <w:rStyle w:val="Refdenotaalpie"/>
          <w:snapToGrid w:val="0"/>
          <w:kern w:val="18"/>
          <w:sz w:val="18"/>
          <w:szCs w:val="18"/>
          <w:lang w:val="es-ES"/>
        </w:rPr>
        <w:footnoteRef/>
      </w:r>
      <w:r w:rsidRPr="00FD3D05">
        <w:rPr>
          <w:snapToGrid w:val="0"/>
          <w:kern w:val="18"/>
          <w:szCs w:val="18"/>
          <w:lang w:val="es-ES"/>
        </w:rPr>
        <w:t xml:space="preserve"> </w:t>
      </w:r>
      <w:r w:rsidRPr="00FD3D05">
        <w:rPr>
          <w:rStyle w:val="Textoennegrita"/>
          <w:b w:val="0"/>
          <w:bCs w:val="0"/>
          <w:snapToGrid w:val="0"/>
          <w:kern w:val="18"/>
          <w:szCs w:val="18"/>
          <w:lang w:val="es-ES"/>
        </w:rPr>
        <w:t>CBD/EBSA/EM/2017/1/3.</w:t>
      </w:r>
    </w:p>
  </w:footnote>
  <w:footnote w:id="25">
    <w:p w:rsidR="00B911D1" w:rsidRPr="00FD3D05" w:rsidRDefault="00B911D1" w:rsidP="00ED4C9B">
      <w:pPr>
        <w:pStyle w:val="Textonotapie"/>
        <w:keepLines w:val="0"/>
        <w:kinsoku w:val="0"/>
        <w:overflowPunct w:val="0"/>
        <w:autoSpaceDE w:val="0"/>
        <w:autoSpaceDN w:val="0"/>
        <w:ind w:firstLine="0"/>
        <w:rPr>
          <w:snapToGrid w:val="0"/>
          <w:kern w:val="18"/>
          <w:szCs w:val="18"/>
          <w:lang w:val="es-ES"/>
        </w:rPr>
      </w:pPr>
      <w:r w:rsidRPr="00FD3D05">
        <w:rPr>
          <w:rStyle w:val="Refdenotaalpie"/>
          <w:snapToGrid w:val="0"/>
          <w:kern w:val="18"/>
          <w:sz w:val="18"/>
          <w:szCs w:val="18"/>
          <w:lang w:val="es-ES"/>
        </w:rPr>
        <w:footnoteRef/>
      </w:r>
      <w:r w:rsidRPr="00FD3D05">
        <w:rPr>
          <w:snapToGrid w:val="0"/>
          <w:kern w:val="18"/>
          <w:szCs w:val="18"/>
          <w:lang w:val="es-ES"/>
        </w:rPr>
        <w:t xml:space="preserve"> Contenidas en CBD/SBSTTA/22/7.</w:t>
      </w:r>
    </w:p>
  </w:footnote>
  <w:footnote w:id="26">
    <w:p w:rsidR="00BE5CFA" w:rsidRPr="00FD3D05" w:rsidRDefault="00BE5CFA" w:rsidP="00ED4C9B">
      <w:pPr>
        <w:pStyle w:val="Textonotapie"/>
        <w:ind w:firstLine="0"/>
        <w:rPr>
          <w:szCs w:val="18"/>
          <w:lang w:val="es-ES"/>
        </w:rPr>
      </w:pPr>
      <w:r w:rsidRPr="00FD3D05">
        <w:rPr>
          <w:rStyle w:val="Refdenotaalpie"/>
          <w:sz w:val="18"/>
          <w:szCs w:val="18"/>
          <w:lang w:val="es-ES"/>
        </w:rPr>
        <w:footnoteRef/>
      </w:r>
      <w:r w:rsidRPr="00FD3D05">
        <w:rPr>
          <w:szCs w:val="18"/>
          <w:lang w:val="es-ES"/>
        </w:rPr>
        <w:t xml:space="preserve"> </w:t>
      </w:r>
      <w:r w:rsidR="00FD3D05">
        <w:rPr>
          <w:snapToGrid w:val="0"/>
          <w:kern w:val="18"/>
          <w:szCs w:val="18"/>
          <w:lang w:val="es-ES"/>
        </w:rPr>
        <w:t>Como se</w:t>
      </w:r>
      <w:r w:rsidRPr="00FD3D05">
        <w:rPr>
          <w:snapToGrid w:val="0"/>
          <w:kern w:val="18"/>
          <w:szCs w:val="18"/>
          <w:lang w:val="es-ES"/>
        </w:rPr>
        <w:t xml:space="preserve"> describe</w:t>
      </w:r>
      <w:r w:rsidR="00FD3D05">
        <w:rPr>
          <w:snapToGrid w:val="0"/>
          <w:kern w:val="18"/>
          <w:szCs w:val="18"/>
          <w:lang w:val="es-ES"/>
        </w:rPr>
        <w:t xml:space="preserve"> e</w:t>
      </w:r>
      <w:r w:rsidRPr="00FD3D05">
        <w:rPr>
          <w:snapToGrid w:val="0"/>
          <w:kern w:val="18"/>
          <w:szCs w:val="18"/>
          <w:lang w:val="es-ES"/>
        </w:rPr>
        <w:t xml:space="preserve">n </w:t>
      </w:r>
      <w:r w:rsidR="00FD3D05">
        <w:rPr>
          <w:snapToGrid w:val="0"/>
          <w:kern w:val="18"/>
          <w:szCs w:val="18"/>
          <w:lang w:val="es-ES"/>
        </w:rPr>
        <w:t xml:space="preserve">la </w:t>
      </w:r>
      <w:r w:rsidRPr="00FD3D05">
        <w:rPr>
          <w:snapToGrid w:val="0"/>
          <w:kern w:val="18"/>
          <w:szCs w:val="18"/>
          <w:lang w:val="es-ES"/>
        </w:rPr>
        <w:t>decisi</w:t>
      </w:r>
      <w:r w:rsidR="00FD3D05">
        <w:rPr>
          <w:snapToGrid w:val="0"/>
          <w:kern w:val="18"/>
          <w:szCs w:val="18"/>
          <w:lang w:val="es-ES"/>
        </w:rPr>
        <w:t>ó</w:t>
      </w:r>
      <w:r w:rsidRPr="00FD3D05">
        <w:rPr>
          <w:snapToGrid w:val="0"/>
          <w:kern w:val="18"/>
          <w:szCs w:val="18"/>
          <w:lang w:val="es-ES"/>
        </w:rPr>
        <w:t>n XIII/12, not</w:t>
      </w:r>
      <w:r w:rsidR="00FD3D05">
        <w:rPr>
          <w:snapToGrid w:val="0"/>
          <w:kern w:val="18"/>
          <w:szCs w:val="18"/>
          <w:lang w:val="es-ES"/>
        </w:rPr>
        <w:t>a</w:t>
      </w:r>
      <w:r w:rsidRPr="00FD3D05">
        <w:rPr>
          <w:snapToGrid w:val="0"/>
          <w:kern w:val="18"/>
          <w:szCs w:val="18"/>
          <w:lang w:val="es-ES"/>
        </w:rPr>
        <w:t xml:space="preserv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2119167940"/>
      <w:placeholder>
        <w:docPart w:val="6AFF405DBDF14C1683343B8B6CD6DD14"/>
      </w:placeholder>
      <w:dataBinding w:prefixMappings="xmlns:ns0='http://purl.org/dc/elements/1.1/' xmlns:ns1='http://schemas.openxmlformats.org/package/2006/metadata/core-properties' " w:xpath="/ns1:coreProperties[1]/ns0:subject[1]" w:storeItemID="{6C3C8BC8-F283-45AE-878A-BAB7291924A1}"/>
      <w:text/>
    </w:sdtPr>
    <w:sdtEndPr/>
    <w:sdtContent>
      <w:p w:rsidR="00B911D1" w:rsidRPr="006F4285" w:rsidRDefault="00B911D1" w:rsidP="006F4285">
        <w:pPr>
          <w:pStyle w:val="Encabezado"/>
          <w:tabs>
            <w:tab w:val="clear" w:pos="4320"/>
            <w:tab w:val="clear" w:pos="8640"/>
          </w:tabs>
          <w:kinsoku w:val="0"/>
          <w:overflowPunct w:val="0"/>
          <w:autoSpaceDE w:val="0"/>
          <w:autoSpaceDN w:val="0"/>
          <w:jc w:val="left"/>
          <w:rPr>
            <w:noProof/>
            <w:kern w:val="22"/>
          </w:rPr>
        </w:pPr>
        <w:r>
          <w:rPr>
            <w:noProof/>
            <w:kern w:val="22"/>
          </w:rPr>
          <w:t>CBD/SBSTTA/22/7</w:t>
        </w:r>
      </w:p>
    </w:sdtContent>
  </w:sdt>
  <w:p w:rsidR="00B911D1" w:rsidRPr="006F4285" w:rsidRDefault="00B911D1" w:rsidP="006F4285">
    <w:pPr>
      <w:pStyle w:val="Encabezado"/>
      <w:tabs>
        <w:tab w:val="clear" w:pos="4320"/>
        <w:tab w:val="clear" w:pos="8640"/>
      </w:tabs>
      <w:kinsoku w:val="0"/>
      <w:overflowPunct w:val="0"/>
      <w:autoSpaceDE w:val="0"/>
      <w:autoSpaceDN w:val="0"/>
      <w:jc w:val="left"/>
      <w:rPr>
        <w:noProof/>
        <w:kern w:val="22"/>
      </w:rPr>
    </w:pPr>
    <w:r>
      <w:rPr>
        <w:noProof/>
        <w:kern w:val="22"/>
      </w:rPr>
      <w:t xml:space="preserve">Página </w:t>
    </w:r>
    <w:r w:rsidR="005D4A88">
      <w:rPr>
        <w:noProof/>
        <w:kern w:val="22"/>
      </w:rPr>
      <w:fldChar w:fldCharType="begin"/>
    </w:r>
    <w:r>
      <w:rPr>
        <w:noProof/>
        <w:kern w:val="22"/>
      </w:rPr>
      <w:instrText xml:space="preserve"> PAGE   \* MERGEFORMAT </w:instrText>
    </w:r>
    <w:r w:rsidR="005D4A88">
      <w:rPr>
        <w:noProof/>
        <w:kern w:val="22"/>
      </w:rPr>
      <w:fldChar w:fldCharType="separate"/>
    </w:r>
    <w:r w:rsidR="00C60082">
      <w:rPr>
        <w:noProof/>
        <w:kern w:val="22"/>
      </w:rPr>
      <w:t>6</w:t>
    </w:r>
    <w:r w:rsidR="005D4A88">
      <w:rPr>
        <w:noProof/>
        <w:kern w:val="22"/>
      </w:rPr>
      <w:fldChar w:fldCharType="end"/>
    </w:r>
  </w:p>
  <w:p w:rsidR="00B911D1" w:rsidRPr="006F4285" w:rsidRDefault="00B911D1" w:rsidP="006F4285">
    <w:pPr>
      <w:pStyle w:val="Encabezado"/>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364446807"/>
      <w:placeholder>
        <w:docPart w:val="4205EAE89CBB497D8FF59F3A30CF80A9"/>
      </w:placeholder>
      <w:dataBinding w:prefixMappings="xmlns:ns0='http://purl.org/dc/elements/1.1/' xmlns:ns1='http://schemas.openxmlformats.org/package/2006/metadata/core-properties' " w:xpath="/ns1:coreProperties[1]/ns0:subject[1]" w:storeItemID="{6C3C8BC8-F283-45AE-878A-BAB7291924A1}"/>
      <w:text/>
    </w:sdtPr>
    <w:sdtEndPr/>
    <w:sdtContent>
      <w:p w:rsidR="00B911D1" w:rsidRPr="006F4285" w:rsidRDefault="00B911D1" w:rsidP="006F4285">
        <w:pPr>
          <w:pStyle w:val="Encabezado"/>
          <w:tabs>
            <w:tab w:val="clear" w:pos="4320"/>
            <w:tab w:val="clear" w:pos="8640"/>
          </w:tabs>
          <w:kinsoku w:val="0"/>
          <w:overflowPunct w:val="0"/>
          <w:autoSpaceDE w:val="0"/>
          <w:autoSpaceDN w:val="0"/>
          <w:jc w:val="right"/>
          <w:rPr>
            <w:noProof/>
            <w:kern w:val="22"/>
          </w:rPr>
        </w:pPr>
        <w:r>
          <w:rPr>
            <w:noProof/>
            <w:kern w:val="22"/>
          </w:rPr>
          <w:t>CBD/SBSTTA/22/7</w:t>
        </w:r>
      </w:p>
    </w:sdtContent>
  </w:sdt>
  <w:p w:rsidR="00B911D1" w:rsidRPr="006F4285" w:rsidRDefault="00B911D1" w:rsidP="006F4285">
    <w:pPr>
      <w:pStyle w:val="Encabezado"/>
      <w:tabs>
        <w:tab w:val="clear" w:pos="4320"/>
        <w:tab w:val="clear" w:pos="8640"/>
      </w:tabs>
      <w:kinsoku w:val="0"/>
      <w:overflowPunct w:val="0"/>
      <w:autoSpaceDE w:val="0"/>
      <w:autoSpaceDN w:val="0"/>
      <w:jc w:val="right"/>
      <w:rPr>
        <w:noProof/>
        <w:kern w:val="22"/>
      </w:rPr>
    </w:pPr>
    <w:r>
      <w:rPr>
        <w:noProof/>
        <w:kern w:val="22"/>
      </w:rPr>
      <w:t xml:space="preserve">Página </w:t>
    </w:r>
    <w:r w:rsidR="005D4A88">
      <w:rPr>
        <w:noProof/>
        <w:kern w:val="22"/>
      </w:rPr>
      <w:fldChar w:fldCharType="begin"/>
    </w:r>
    <w:r>
      <w:rPr>
        <w:noProof/>
        <w:kern w:val="22"/>
      </w:rPr>
      <w:instrText xml:space="preserve"> PAGE   \* MERGEFORMAT </w:instrText>
    </w:r>
    <w:r w:rsidR="005D4A88">
      <w:rPr>
        <w:noProof/>
        <w:kern w:val="22"/>
      </w:rPr>
      <w:fldChar w:fldCharType="separate"/>
    </w:r>
    <w:r w:rsidR="00C60082">
      <w:rPr>
        <w:noProof/>
        <w:kern w:val="22"/>
      </w:rPr>
      <w:t>5</w:t>
    </w:r>
    <w:r w:rsidR="005D4A88">
      <w:rPr>
        <w:noProof/>
        <w:kern w:val="22"/>
      </w:rPr>
      <w:fldChar w:fldCharType="end"/>
    </w:r>
  </w:p>
  <w:p w:rsidR="00B911D1" w:rsidRPr="006F4285" w:rsidRDefault="00B911D1" w:rsidP="006F4285">
    <w:pPr>
      <w:pStyle w:val="Encabezado"/>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70CD"/>
    <w:multiLevelType w:val="hybridMultilevel"/>
    <w:tmpl w:val="B086A674"/>
    <w:lvl w:ilvl="0" w:tplc="D77EAD94">
      <w:start w:val="1"/>
      <w:numFmt w:val="lowerLetter"/>
      <w:lvlText w:val="%1)"/>
      <w:lvlJc w:val="left"/>
      <w:pPr>
        <w:ind w:left="360" w:hanging="360"/>
      </w:pPr>
      <w:rPr>
        <w:rFonts w:ascii="Times New Roman" w:hAnsi="Times New Roman" w:hint="default"/>
        <w:b w:val="0"/>
        <w:i w:val="0"/>
        <w:caps w:val="0"/>
        <w:strike w:val="0"/>
        <w:dstrike w:val="0"/>
        <w:outline w:val="0"/>
        <w:shadow w:val="0"/>
        <w:emboss w:val="0"/>
        <w:imprint w:val="0"/>
        <w:vanish w:val="0"/>
        <w:sz w:val="22"/>
        <w:u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A5419"/>
    <w:multiLevelType w:val="hybridMultilevel"/>
    <w:tmpl w:val="122EB598"/>
    <w:lvl w:ilvl="0" w:tplc="380A0017">
      <w:start w:val="1"/>
      <w:numFmt w:val="lowerLetter"/>
      <w:lvlText w:val="%1)"/>
      <w:lvlJc w:val="left"/>
      <w:pPr>
        <w:ind w:left="360" w:hanging="360"/>
      </w:pPr>
      <w:rPr>
        <w:rFonts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34CB1"/>
    <w:multiLevelType w:val="hybridMultilevel"/>
    <w:tmpl w:val="BB92454E"/>
    <w:lvl w:ilvl="0" w:tplc="380A0017">
      <w:start w:val="1"/>
      <w:numFmt w:val="lowerLetter"/>
      <w:lvlText w:val="%1)"/>
      <w:lvlJc w:val="left"/>
      <w:pPr>
        <w:ind w:left="360" w:hanging="360"/>
      </w:pPr>
      <w:rPr>
        <w:rFonts w:hint="default"/>
        <w:b w:val="0"/>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C82747"/>
    <w:multiLevelType w:val="hybridMultilevel"/>
    <w:tmpl w:val="EC6A3CFA"/>
    <w:lvl w:ilvl="0" w:tplc="380A0017">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8832DB"/>
    <w:multiLevelType w:val="hybridMultilevel"/>
    <w:tmpl w:val="791A7E58"/>
    <w:lvl w:ilvl="0" w:tplc="D77EAD94">
      <w:start w:val="1"/>
      <w:numFmt w:val="lowerLetter"/>
      <w:lvlText w:val="%1)"/>
      <w:lvlJc w:val="left"/>
      <w:pPr>
        <w:ind w:left="720" w:hanging="360"/>
      </w:pPr>
      <w:rPr>
        <w:rFonts w:ascii="Times New Roman" w:hAnsi="Times New Roman" w:hint="default"/>
        <w:b w:val="0"/>
        <w:i w:val="0"/>
        <w:caps w:val="0"/>
        <w:strike w:val="0"/>
        <w:dstrike w:val="0"/>
        <w:outline w:val="0"/>
        <w:shadow w:val="0"/>
        <w:emboss w:val="0"/>
        <w:imprint w:val="0"/>
        <w:vanish w:val="0"/>
        <w:sz w:val="22"/>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65A5B"/>
    <w:multiLevelType w:val="hybridMultilevel"/>
    <w:tmpl w:val="5B288370"/>
    <w:lvl w:ilvl="0" w:tplc="380A0017">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B10B1C"/>
    <w:multiLevelType w:val="multilevel"/>
    <w:tmpl w:val="D1B00B64"/>
    <w:lvl w:ilvl="0">
      <w:start w:val="16"/>
      <w:numFmt w:val="decimal"/>
      <w:lvlText w:val="%1."/>
      <w:lvlJc w:val="left"/>
      <w:pPr>
        <w:tabs>
          <w:tab w:val="num" w:pos="1710"/>
        </w:tabs>
        <w:ind w:left="135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caps w:val="0"/>
        <w:strike w:val="0"/>
        <w:dstrike w:val="0"/>
        <w:outline w:val="0"/>
        <w:shadow w:val="0"/>
        <w:emboss w:val="0"/>
        <w:imprint w:val="0"/>
        <w:vanish w:val="0"/>
        <w:sz w:val="24"/>
        <w:u w:val="none"/>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64241A"/>
    <w:multiLevelType w:val="hybridMultilevel"/>
    <w:tmpl w:val="476ECC34"/>
    <w:lvl w:ilvl="0" w:tplc="D77EAD94">
      <w:start w:val="1"/>
      <w:numFmt w:val="lowerLetter"/>
      <w:lvlText w:val="%1)"/>
      <w:lvlJc w:val="left"/>
      <w:pPr>
        <w:tabs>
          <w:tab w:val="num" w:pos="1080"/>
        </w:tabs>
        <w:ind w:left="1080" w:hanging="360"/>
      </w:pPr>
      <w:rPr>
        <w:rFonts w:ascii="Times New Roman" w:hAnsi="Times New Roman" w:hint="default"/>
        <w:b w:val="0"/>
        <w:i w:val="0"/>
        <w:caps w:val="0"/>
        <w:strike w:val="0"/>
        <w:dstrike w:val="0"/>
        <w:outline w:val="0"/>
        <w:shadow w:val="0"/>
        <w:emboss w:val="0"/>
        <w:imprint w:val="0"/>
        <w:vanish w:val="0"/>
        <w:sz w:val="22"/>
        <w:u w:val="none"/>
        <w:vertAlign w:val="base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B274559"/>
    <w:multiLevelType w:val="hybridMultilevel"/>
    <w:tmpl w:val="74F2F71E"/>
    <w:lvl w:ilvl="0" w:tplc="380A000F">
      <w:start w:val="1"/>
      <w:numFmt w:val="decimal"/>
      <w:lvlText w:val="%1."/>
      <w:lvlJc w:val="left"/>
      <w:pPr>
        <w:ind w:left="2160" w:hanging="360"/>
      </w:pPr>
    </w:lvl>
    <w:lvl w:ilvl="1" w:tplc="380A0019" w:tentative="1">
      <w:start w:val="1"/>
      <w:numFmt w:val="lowerLetter"/>
      <w:lvlText w:val="%2."/>
      <w:lvlJc w:val="left"/>
      <w:pPr>
        <w:ind w:left="2880" w:hanging="360"/>
      </w:pPr>
    </w:lvl>
    <w:lvl w:ilvl="2" w:tplc="380A001B" w:tentative="1">
      <w:start w:val="1"/>
      <w:numFmt w:val="lowerRoman"/>
      <w:lvlText w:val="%3."/>
      <w:lvlJc w:val="right"/>
      <w:pPr>
        <w:ind w:left="3600" w:hanging="180"/>
      </w:pPr>
    </w:lvl>
    <w:lvl w:ilvl="3" w:tplc="380A000F" w:tentative="1">
      <w:start w:val="1"/>
      <w:numFmt w:val="decimal"/>
      <w:lvlText w:val="%4."/>
      <w:lvlJc w:val="left"/>
      <w:pPr>
        <w:ind w:left="4320" w:hanging="360"/>
      </w:pPr>
    </w:lvl>
    <w:lvl w:ilvl="4" w:tplc="380A0019" w:tentative="1">
      <w:start w:val="1"/>
      <w:numFmt w:val="lowerLetter"/>
      <w:lvlText w:val="%5."/>
      <w:lvlJc w:val="left"/>
      <w:pPr>
        <w:ind w:left="5040" w:hanging="360"/>
      </w:pPr>
    </w:lvl>
    <w:lvl w:ilvl="5" w:tplc="380A001B" w:tentative="1">
      <w:start w:val="1"/>
      <w:numFmt w:val="lowerRoman"/>
      <w:lvlText w:val="%6."/>
      <w:lvlJc w:val="right"/>
      <w:pPr>
        <w:ind w:left="5760" w:hanging="180"/>
      </w:pPr>
    </w:lvl>
    <w:lvl w:ilvl="6" w:tplc="380A000F" w:tentative="1">
      <w:start w:val="1"/>
      <w:numFmt w:val="decimal"/>
      <w:lvlText w:val="%7."/>
      <w:lvlJc w:val="left"/>
      <w:pPr>
        <w:ind w:left="6480" w:hanging="360"/>
      </w:pPr>
    </w:lvl>
    <w:lvl w:ilvl="7" w:tplc="380A0019" w:tentative="1">
      <w:start w:val="1"/>
      <w:numFmt w:val="lowerLetter"/>
      <w:lvlText w:val="%8."/>
      <w:lvlJc w:val="left"/>
      <w:pPr>
        <w:ind w:left="7200" w:hanging="360"/>
      </w:pPr>
    </w:lvl>
    <w:lvl w:ilvl="8" w:tplc="380A001B" w:tentative="1">
      <w:start w:val="1"/>
      <w:numFmt w:val="lowerRoman"/>
      <w:lvlText w:val="%9."/>
      <w:lvlJc w:val="right"/>
      <w:pPr>
        <w:ind w:left="7920" w:hanging="180"/>
      </w:pPr>
    </w:lvl>
  </w:abstractNum>
  <w:abstractNum w:abstractNumId="9" w15:restartNumberingAfterBreak="0">
    <w:nsid w:val="2DAC68D4"/>
    <w:multiLevelType w:val="hybridMultilevel"/>
    <w:tmpl w:val="97A069E6"/>
    <w:lvl w:ilvl="0" w:tplc="380A0017">
      <w:start w:val="1"/>
      <w:numFmt w:val="lowerLetter"/>
      <w:lvlText w:val="%1)"/>
      <w:lvlJc w:val="left"/>
      <w:pPr>
        <w:tabs>
          <w:tab w:val="num" w:pos="360"/>
        </w:tabs>
        <w:ind w:left="360" w:hanging="360"/>
      </w:pPr>
      <w:rPr>
        <w:rFonts w:hint="default"/>
        <w:b w:val="0"/>
      </w:rPr>
    </w:lvl>
    <w:lvl w:ilvl="1" w:tplc="FD925688" w:tentative="1">
      <w:start w:val="1"/>
      <w:numFmt w:val="bullet"/>
      <w:lvlText w:val="•"/>
      <w:lvlJc w:val="left"/>
      <w:pPr>
        <w:tabs>
          <w:tab w:val="num" w:pos="1080"/>
        </w:tabs>
        <w:ind w:left="1080" w:hanging="360"/>
      </w:pPr>
      <w:rPr>
        <w:rFonts w:ascii="Arial" w:hAnsi="Arial" w:hint="default"/>
      </w:rPr>
    </w:lvl>
    <w:lvl w:ilvl="2" w:tplc="3B0EE646" w:tentative="1">
      <w:start w:val="1"/>
      <w:numFmt w:val="bullet"/>
      <w:lvlText w:val="•"/>
      <w:lvlJc w:val="left"/>
      <w:pPr>
        <w:tabs>
          <w:tab w:val="num" w:pos="1800"/>
        </w:tabs>
        <w:ind w:left="1800" w:hanging="360"/>
      </w:pPr>
      <w:rPr>
        <w:rFonts w:ascii="Arial" w:hAnsi="Arial" w:hint="default"/>
      </w:rPr>
    </w:lvl>
    <w:lvl w:ilvl="3" w:tplc="8C3EBA9C" w:tentative="1">
      <w:start w:val="1"/>
      <w:numFmt w:val="bullet"/>
      <w:lvlText w:val="•"/>
      <w:lvlJc w:val="left"/>
      <w:pPr>
        <w:tabs>
          <w:tab w:val="num" w:pos="2520"/>
        </w:tabs>
        <w:ind w:left="2520" w:hanging="360"/>
      </w:pPr>
      <w:rPr>
        <w:rFonts w:ascii="Arial" w:hAnsi="Arial" w:hint="default"/>
      </w:rPr>
    </w:lvl>
    <w:lvl w:ilvl="4" w:tplc="8CF03A12" w:tentative="1">
      <w:start w:val="1"/>
      <w:numFmt w:val="bullet"/>
      <w:lvlText w:val="•"/>
      <w:lvlJc w:val="left"/>
      <w:pPr>
        <w:tabs>
          <w:tab w:val="num" w:pos="3240"/>
        </w:tabs>
        <w:ind w:left="3240" w:hanging="360"/>
      </w:pPr>
      <w:rPr>
        <w:rFonts w:ascii="Arial" w:hAnsi="Arial" w:hint="default"/>
      </w:rPr>
    </w:lvl>
    <w:lvl w:ilvl="5" w:tplc="53348854" w:tentative="1">
      <w:start w:val="1"/>
      <w:numFmt w:val="bullet"/>
      <w:lvlText w:val="•"/>
      <w:lvlJc w:val="left"/>
      <w:pPr>
        <w:tabs>
          <w:tab w:val="num" w:pos="3960"/>
        </w:tabs>
        <w:ind w:left="3960" w:hanging="360"/>
      </w:pPr>
      <w:rPr>
        <w:rFonts w:ascii="Arial" w:hAnsi="Arial" w:hint="default"/>
      </w:rPr>
    </w:lvl>
    <w:lvl w:ilvl="6" w:tplc="7C8EE94A" w:tentative="1">
      <w:start w:val="1"/>
      <w:numFmt w:val="bullet"/>
      <w:lvlText w:val="•"/>
      <w:lvlJc w:val="left"/>
      <w:pPr>
        <w:tabs>
          <w:tab w:val="num" w:pos="4680"/>
        </w:tabs>
        <w:ind w:left="4680" w:hanging="360"/>
      </w:pPr>
      <w:rPr>
        <w:rFonts w:ascii="Arial" w:hAnsi="Arial" w:hint="default"/>
      </w:rPr>
    </w:lvl>
    <w:lvl w:ilvl="7" w:tplc="6E7045FE" w:tentative="1">
      <w:start w:val="1"/>
      <w:numFmt w:val="bullet"/>
      <w:lvlText w:val="•"/>
      <w:lvlJc w:val="left"/>
      <w:pPr>
        <w:tabs>
          <w:tab w:val="num" w:pos="5400"/>
        </w:tabs>
        <w:ind w:left="5400" w:hanging="360"/>
      </w:pPr>
      <w:rPr>
        <w:rFonts w:ascii="Arial" w:hAnsi="Arial" w:hint="default"/>
      </w:rPr>
    </w:lvl>
    <w:lvl w:ilvl="8" w:tplc="8202EF5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EBA4437"/>
    <w:multiLevelType w:val="hybridMultilevel"/>
    <w:tmpl w:val="872E7790"/>
    <w:lvl w:ilvl="0" w:tplc="21401CA6">
      <w:start w:val="1"/>
      <w:numFmt w:val="lowerLetter"/>
      <w:lvlText w:val="%1)"/>
      <w:lvlJc w:val="left"/>
      <w:pPr>
        <w:ind w:left="1440" w:hanging="360"/>
      </w:pPr>
      <w:rPr>
        <w:rFonts w:hint="default"/>
        <w:b w:val="0"/>
        <w:i w:val="0"/>
        <w:caps w:val="0"/>
        <w:strike w:val="0"/>
        <w:dstrike w:val="0"/>
        <w:outline w:val="0"/>
        <w:shadow w:val="0"/>
        <w:emboss w:val="0"/>
        <w:imprint w:val="0"/>
        <w:vanish w:val="0"/>
        <w:sz w:val="24"/>
        <w:u w:val="none"/>
        <w:vertAlign w:val="baseline"/>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657538F"/>
    <w:multiLevelType w:val="hybridMultilevel"/>
    <w:tmpl w:val="A5B23698"/>
    <w:lvl w:ilvl="0" w:tplc="D77EAD94">
      <w:start w:val="1"/>
      <w:numFmt w:val="lowerLetter"/>
      <w:lvlText w:val="%1)"/>
      <w:lvlJc w:val="left"/>
      <w:pPr>
        <w:tabs>
          <w:tab w:val="num" w:pos="1080"/>
        </w:tabs>
        <w:ind w:left="1080" w:hanging="360"/>
      </w:pPr>
      <w:rPr>
        <w:rFonts w:ascii="Times New Roman" w:hAnsi="Times New Roman" w:hint="default"/>
        <w:b w:val="0"/>
        <w:i w:val="0"/>
        <w:caps w:val="0"/>
        <w:strike w:val="0"/>
        <w:dstrike w:val="0"/>
        <w:outline w:val="0"/>
        <w:shadow w:val="0"/>
        <w:emboss w:val="0"/>
        <w:imprint w:val="0"/>
        <w:vanish w:val="0"/>
        <w:sz w:val="22"/>
        <w:u w:val="none"/>
        <w:vertAlign w:val="base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74046CC"/>
    <w:multiLevelType w:val="hybridMultilevel"/>
    <w:tmpl w:val="68A017AA"/>
    <w:lvl w:ilvl="0" w:tplc="380A0017">
      <w:start w:val="1"/>
      <w:numFmt w:val="lowerLetter"/>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8C0882"/>
    <w:multiLevelType w:val="multilevel"/>
    <w:tmpl w:val="1562C9FE"/>
    <w:lvl w:ilvl="0">
      <w:start w:val="16"/>
      <w:numFmt w:val="decimal"/>
      <w:lvlText w:val="%1."/>
      <w:lvlJc w:val="left"/>
      <w:pPr>
        <w:tabs>
          <w:tab w:val="num" w:pos="1710"/>
        </w:tabs>
        <w:ind w:left="135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caps w:val="0"/>
        <w:strike w:val="0"/>
        <w:dstrike w:val="0"/>
        <w:outline w:val="0"/>
        <w:shadow w:val="0"/>
        <w:emboss w:val="0"/>
        <w:imprint w:val="0"/>
        <w:vanish w:val="0"/>
        <w:sz w:val="24"/>
        <w:u w:val="none"/>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C1374EA"/>
    <w:multiLevelType w:val="hybridMultilevel"/>
    <w:tmpl w:val="9D94C698"/>
    <w:lvl w:ilvl="0" w:tplc="F72045A0">
      <w:start w:val="1"/>
      <w:numFmt w:val="lowerLetter"/>
      <w:lvlText w:val="%1)"/>
      <w:lvlJc w:val="left"/>
      <w:pPr>
        <w:ind w:left="360" w:hanging="360"/>
      </w:pPr>
      <w:rPr>
        <w:rFonts w:ascii="Times New Roman" w:hAnsi="Times New Roman" w:hint="default"/>
        <w:b w:val="0"/>
        <w:i w:val="0"/>
        <w:caps w:val="0"/>
        <w:strike w:val="0"/>
        <w:dstrike w:val="0"/>
        <w:outline w:val="0"/>
        <w:shadow w:val="0"/>
        <w:emboss w:val="0"/>
        <w:imprint w:val="0"/>
        <w:vanish w:val="0"/>
        <w:sz w:val="22"/>
        <w:u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656AF8"/>
    <w:multiLevelType w:val="multilevel"/>
    <w:tmpl w:val="E6E43548"/>
    <w:lvl w:ilvl="0">
      <w:start w:val="1"/>
      <w:numFmt w:val="lowerLetter"/>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szCs w:val="22"/>
        <w:u w:val="none"/>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3DC023F"/>
    <w:multiLevelType w:val="multilevel"/>
    <w:tmpl w:val="9062865E"/>
    <w:lvl w:ilvl="0">
      <w:start w:val="1"/>
      <w:numFmt w:val="lowerLetter"/>
      <w:lvlText w:val="%1)"/>
      <w:lvlJc w:val="left"/>
      <w:pPr>
        <w:tabs>
          <w:tab w:val="num" w:pos="360"/>
        </w:tabs>
        <w:ind w:left="360" w:hanging="360"/>
      </w:pPr>
      <w:rPr>
        <w:rFonts w:hint="default"/>
        <w:b w:val="0"/>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E0442B4"/>
    <w:multiLevelType w:val="multilevel"/>
    <w:tmpl w:val="B8565DB8"/>
    <w:lvl w:ilvl="0">
      <w:start w:val="16"/>
      <w:numFmt w:val="decimal"/>
      <w:pStyle w:val="Para1"/>
      <w:lvlText w:val="%1."/>
      <w:lvlJc w:val="left"/>
      <w:pPr>
        <w:tabs>
          <w:tab w:val="num" w:pos="1710"/>
        </w:tabs>
        <w:ind w:left="135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TD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8D3856"/>
    <w:multiLevelType w:val="multilevel"/>
    <w:tmpl w:val="0CFC5C6C"/>
    <w:lvl w:ilvl="0">
      <w:start w:val="1"/>
      <w:numFmt w:val="lowerLetter"/>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szCs w:val="22"/>
        <w:u w:val="none"/>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3EB33D0"/>
    <w:multiLevelType w:val="hybridMultilevel"/>
    <w:tmpl w:val="FFD0956A"/>
    <w:lvl w:ilvl="0" w:tplc="380A0017">
      <w:start w:val="1"/>
      <w:numFmt w:val="lowerLetter"/>
      <w:lvlText w:val="%1)"/>
      <w:lvlJc w:val="left"/>
      <w:pPr>
        <w:ind w:left="0" w:hanging="360"/>
      </w:pPr>
      <w:rPr>
        <w:rFonts w:hint="default"/>
        <w:b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54853394"/>
    <w:multiLevelType w:val="hybridMultilevel"/>
    <w:tmpl w:val="DCB0C93E"/>
    <w:lvl w:ilvl="0" w:tplc="380A0017">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787CB0"/>
    <w:multiLevelType w:val="hybridMultilevel"/>
    <w:tmpl w:val="63344FA6"/>
    <w:lvl w:ilvl="0" w:tplc="380A0017">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A65A37"/>
    <w:multiLevelType w:val="hybridMultilevel"/>
    <w:tmpl w:val="FD82EAFA"/>
    <w:lvl w:ilvl="0" w:tplc="2C645BC4">
      <w:start w:val="1"/>
      <w:numFmt w:val="decimal"/>
      <w:lvlText w:val="%1."/>
      <w:lvlJc w:val="left"/>
      <w:pPr>
        <w:ind w:left="720" w:hanging="360"/>
      </w:pPr>
      <w:rPr>
        <w:b w:val="0"/>
        <w:i w:val="0"/>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67487B24"/>
    <w:multiLevelType w:val="multilevel"/>
    <w:tmpl w:val="DD722174"/>
    <w:lvl w:ilvl="0">
      <w:start w:val="16"/>
      <w:numFmt w:val="decimal"/>
      <w:lvlText w:val="%1."/>
      <w:lvlJc w:val="left"/>
      <w:pPr>
        <w:tabs>
          <w:tab w:val="num" w:pos="1710"/>
        </w:tabs>
        <w:ind w:left="135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caps w:val="0"/>
        <w:strike w:val="0"/>
        <w:dstrike w:val="0"/>
        <w:outline w:val="0"/>
        <w:shadow w:val="0"/>
        <w:emboss w:val="0"/>
        <w:imprint w:val="0"/>
        <w:vanish w:val="0"/>
        <w:sz w:val="24"/>
        <w:u w:val="none"/>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1BF7C62"/>
    <w:multiLevelType w:val="multilevel"/>
    <w:tmpl w:val="022233C0"/>
    <w:lvl w:ilvl="0">
      <w:start w:val="16"/>
      <w:numFmt w:val="decimal"/>
      <w:lvlText w:val="%1."/>
      <w:lvlJc w:val="left"/>
      <w:pPr>
        <w:tabs>
          <w:tab w:val="num" w:pos="1710"/>
        </w:tabs>
        <w:ind w:left="135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caps w:val="0"/>
        <w:strike w:val="0"/>
        <w:dstrike w:val="0"/>
        <w:outline w:val="0"/>
        <w:shadow w:val="0"/>
        <w:emboss w:val="0"/>
        <w:imprint w:val="0"/>
        <w:vanish w:val="0"/>
        <w:sz w:val="24"/>
        <w:u w:val="none"/>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20"/>
  </w:num>
  <w:num w:numId="3">
    <w:abstractNumId w:val="18"/>
  </w:num>
  <w:num w:numId="4">
    <w:abstractNumId w:val="19"/>
  </w:num>
  <w:num w:numId="5">
    <w:abstractNumId w:val="25"/>
  </w:num>
  <w:num w:numId="6">
    <w:abstractNumId w:val="10"/>
  </w:num>
  <w:num w:numId="7">
    <w:abstractNumId w:val="27"/>
  </w:num>
  <w:num w:numId="8">
    <w:abstractNumId w:val="14"/>
  </w:num>
  <w:num w:numId="9">
    <w:abstractNumId w:val="26"/>
  </w:num>
  <w:num w:numId="10">
    <w:abstractNumId w:val="6"/>
  </w:num>
  <w:num w:numId="11">
    <w:abstractNumId w:val="8"/>
  </w:num>
  <w:num w:numId="12">
    <w:abstractNumId w:val="15"/>
  </w:num>
  <w:num w:numId="13">
    <w:abstractNumId w:val="0"/>
  </w:num>
  <w:num w:numId="14">
    <w:abstractNumId w:val="4"/>
  </w:num>
  <w:num w:numId="15">
    <w:abstractNumId w:val="5"/>
  </w:num>
  <w:num w:numId="16">
    <w:abstractNumId w:val="3"/>
  </w:num>
  <w:num w:numId="17">
    <w:abstractNumId w:val="23"/>
  </w:num>
  <w:num w:numId="18">
    <w:abstractNumId w:val="2"/>
  </w:num>
  <w:num w:numId="19">
    <w:abstractNumId w:val="24"/>
  </w:num>
  <w:num w:numId="20">
    <w:abstractNumId w:val="17"/>
  </w:num>
  <w:num w:numId="21">
    <w:abstractNumId w:val="21"/>
  </w:num>
  <w:num w:numId="22">
    <w:abstractNumId w:val="16"/>
  </w:num>
  <w:num w:numId="23">
    <w:abstractNumId w:val="22"/>
  </w:num>
  <w:num w:numId="24">
    <w:abstractNumId w:val="13"/>
  </w:num>
  <w:num w:numId="25">
    <w:abstractNumId w:val="1"/>
  </w:num>
  <w:num w:numId="26">
    <w:abstractNumId w:val="9"/>
  </w:num>
  <w:num w:numId="27">
    <w:abstractNumId w:val="7"/>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93EBD"/>
    <w:rsid w:val="00000303"/>
    <w:rsid w:val="000058CB"/>
    <w:rsid w:val="00006AD2"/>
    <w:rsid w:val="000105A0"/>
    <w:rsid w:val="00012285"/>
    <w:rsid w:val="00015EF3"/>
    <w:rsid w:val="000163D8"/>
    <w:rsid w:val="00017480"/>
    <w:rsid w:val="000175B3"/>
    <w:rsid w:val="00021172"/>
    <w:rsid w:val="00021E53"/>
    <w:rsid w:val="00022696"/>
    <w:rsid w:val="00022C3D"/>
    <w:rsid w:val="00023E35"/>
    <w:rsid w:val="00026512"/>
    <w:rsid w:val="00027BD1"/>
    <w:rsid w:val="00032E86"/>
    <w:rsid w:val="000334C9"/>
    <w:rsid w:val="00034134"/>
    <w:rsid w:val="00034CB6"/>
    <w:rsid w:val="00035378"/>
    <w:rsid w:val="0003551F"/>
    <w:rsid w:val="000370A9"/>
    <w:rsid w:val="000377E1"/>
    <w:rsid w:val="00037DA1"/>
    <w:rsid w:val="0004087D"/>
    <w:rsid w:val="00041052"/>
    <w:rsid w:val="000416E9"/>
    <w:rsid w:val="00042662"/>
    <w:rsid w:val="000448C0"/>
    <w:rsid w:val="000468EE"/>
    <w:rsid w:val="0004735A"/>
    <w:rsid w:val="00047A91"/>
    <w:rsid w:val="00050960"/>
    <w:rsid w:val="000527CC"/>
    <w:rsid w:val="0005343A"/>
    <w:rsid w:val="00053F57"/>
    <w:rsid w:val="00055290"/>
    <w:rsid w:val="000602C1"/>
    <w:rsid w:val="00061A2E"/>
    <w:rsid w:val="00062B02"/>
    <w:rsid w:val="00062D18"/>
    <w:rsid w:val="00065727"/>
    <w:rsid w:val="00066BED"/>
    <w:rsid w:val="00070697"/>
    <w:rsid w:val="000715B0"/>
    <w:rsid w:val="00072303"/>
    <w:rsid w:val="000754B3"/>
    <w:rsid w:val="00076069"/>
    <w:rsid w:val="000809BC"/>
    <w:rsid w:val="00080CCD"/>
    <w:rsid w:val="0008195A"/>
    <w:rsid w:val="00083FFF"/>
    <w:rsid w:val="00084319"/>
    <w:rsid w:val="0008536B"/>
    <w:rsid w:val="00090220"/>
    <w:rsid w:val="0009132A"/>
    <w:rsid w:val="000913B7"/>
    <w:rsid w:val="00095452"/>
    <w:rsid w:val="00095E1E"/>
    <w:rsid w:val="000976E8"/>
    <w:rsid w:val="000A0D51"/>
    <w:rsid w:val="000A1122"/>
    <w:rsid w:val="000A1423"/>
    <w:rsid w:val="000A1A96"/>
    <w:rsid w:val="000A3171"/>
    <w:rsid w:val="000A3978"/>
    <w:rsid w:val="000A63E9"/>
    <w:rsid w:val="000A6C10"/>
    <w:rsid w:val="000A6F28"/>
    <w:rsid w:val="000A7594"/>
    <w:rsid w:val="000B0141"/>
    <w:rsid w:val="000B0613"/>
    <w:rsid w:val="000B08E3"/>
    <w:rsid w:val="000B1777"/>
    <w:rsid w:val="000B1FAB"/>
    <w:rsid w:val="000B2F2E"/>
    <w:rsid w:val="000B4142"/>
    <w:rsid w:val="000B7510"/>
    <w:rsid w:val="000C003D"/>
    <w:rsid w:val="000C1C1D"/>
    <w:rsid w:val="000C2391"/>
    <w:rsid w:val="000C5158"/>
    <w:rsid w:val="000C584F"/>
    <w:rsid w:val="000C67BF"/>
    <w:rsid w:val="000C6BF6"/>
    <w:rsid w:val="000C6DB8"/>
    <w:rsid w:val="000C6EA6"/>
    <w:rsid w:val="000C6F88"/>
    <w:rsid w:val="000D0034"/>
    <w:rsid w:val="000D0253"/>
    <w:rsid w:val="000D6781"/>
    <w:rsid w:val="000D7E40"/>
    <w:rsid w:val="000E0F49"/>
    <w:rsid w:val="000E1857"/>
    <w:rsid w:val="000E1E03"/>
    <w:rsid w:val="000E2572"/>
    <w:rsid w:val="000E25F0"/>
    <w:rsid w:val="000E3C25"/>
    <w:rsid w:val="000E7F81"/>
    <w:rsid w:val="000F11E3"/>
    <w:rsid w:val="000F3C92"/>
    <w:rsid w:val="000F5F0D"/>
    <w:rsid w:val="000F6F22"/>
    <w:rsid w:val="000F7D27"/>
    <w:rsid w:val="000F7FA8"/>
    <w:rsid w:val="00105563"/>
    <w:rsid w:val="00107209"/>
    <w:rsid w:val="00112352"/>
    <w:rsid w:val="00113841"/>
    <w:rsid w:val="00115457"/>
    <w:rsid w:val="00115E8E"/>
    <w:rsid w:val="00117E17"/>
    <w:rsid w:val="00120851"/>
    <w:rsid w:val="001217DC"/>
    <w:rsid w:val="001239D6"/>
    <w:rsid w:val="00125688"/>
    <w:rsid w:val="00127268"/>
    <w:rsid w:val="00127BA2"/>
    <w:rsid w:val="0013030B"/>
    <w:rsid w:val="001308E1"/>
    <w:rsid w:val="001312C3"/>
    <w:rsid w:val="001319EB"/>
    <w:rsid w:val="00131B1C"/>
    <w:rsid w:val="00131DDF"/>
    <w:rsid w:val="001327A2"/>
    <w:rsid w:val="00132F14"/>
    <w:rsid w:val="00133576"/>
    <w:rsid w:val="00134A21"/>
    <w:rsid w:val="00136886"/>
    <w:rsid w:val="00136B3E"/>
    <w:rsid w:val="00136B78"/>
    <w:rsid w:val="00140483"/>
    <w:rsid w:val="0014072A"/>
    <w:rsid w:val="0014150C"/>
    <w:rsid w:val="00141769"/>
    <w:rsid w:val="0014229F"/>
    <w:rsid w:val="00142388"/>
    <w:rsid w:val="0014269E"/>
    <w:rsid w:val="00142F22"/>
    <w:rsid w:val="0014441D"/>
    <w:rsid w:val="00144D0A"/>
    <w:rsid w:val="00145BA6"/>
    <w:rsid w:val="00147423"/>
    <w:rsid w:val="00153588"/>
    <w:rsid w:val="0015515F"/>
    <w:rsid w:val="00156022"/>
    <w:rsid w:val="00157BE4"/>
    <w:rsid w:val="00161629"/>
    <w:rsid w:val="00163766"/>
    <w:rsid w:val="00165E00"/>
    <w:rsid w:val="00166923"/>
    <w:rsid w:val="00172C2B"/>
    <w:rsid w:val="00173834"/>
    <w:rsid w:val="00173AB6"/>
    <w:rsid w:val="001765F6"/>
    <w:rsid w:val="00182C13"/>
    <w:rsid w:val="00184056"/>
    <w:rsid w:val="0019065C"/>
    <w:rsid w:val="00192DA1"/>
    <w:rsid w:val="00193BB8"/>
    <w:rsid w:val="00195E2B"/>
    <w:rsid w:val="0019615E"/>
    <w:rsid w:val="001A0EFE"/>
    <w:rsid w:val="001A1F9C"/>
    <w:rsid w:val="001A1FD1"/>
    <w:rsid w:val="001A3E03"/>
    <w:rsid w:val="001A4523"/>
    <w:rsid w:val="001A47BD"/>
    <w:rsid w:val="001A49C2"/>
    <w:rsid w:val="001A6D73"/>
    <w:rsid w:val="001B1C8E"/>
    <w:rsid w:val="001B1CE5"/>
    <w:rsid w:val="001B2DE3"/>
    <w:rsid w:val="001B2FA6"/>
    <w:rsid w:val="001B5D6D"/>
    <w:rsid w:val="001C1C37"/>
    <w:rsid w:val="001C269E"/>
    <w:rsid w:val="001C3228"/>
    <w:rsid w:val="001C3A50"/>
    <w:rsid w:val="001C4FD9"/>
    <w:rsid w:val="001C594D"/>
    <w:rsid w:val="001C645A"/>
    <w:rsid w:val="001C702F"/>
    <w:rsid w:val="001C751B"/>
    <w:rsid w:val="001C7BE5"/>
    <w:rsid w:val="001C7F63"/>
    <w:rsid w:val="001D06D6"/>
    <w:rsid w:val="001D0A2C"/>
    <w:rsid w:val="001D11B8"/>
    <w:rsid w:val="001D1EEA"/>
    <w:rsid w:val="001D2CE2"/>
    <w:rsid w:val="001D4B01"/>
    <w:rsid w:val="001D57CA"/>
    <w:rsid w:val="001D5BA7"/>
    <w:rsid w:val="001D7A64"/>
    <w:rsid w:val="001E15B5"/>
    <w:rsid w:val="001E1DFA"/>
    <w:rsid w:val="001E22C1"/>
    <w:rsid w:val="001E2A10"/>
    <w:rsid w:val="001E5000"/>
    <w:rsid w:val="001E7520"/>
    <w:rsid w:val="001E770F"/>
    <w:rsid w:val="001E77A8"/>
    <w:rsid w:val="001F0203"/>
    <w:rsid w:val="001F05E5"/>
    <w:rsid w:val="001F1CEC"/>
    <w:rsid w:val="001F37B1"/>
    <w:rsid w:val="001F7FF0"/>
    <w:rsid w:val="00200A7E"/>
    <w:rsid w:val="00201941"/>
    <w:rsid w:val="0020327B"/>
    <w:rsid w:val="002037CB"/>
    <w:rsid w:val="00203EEE"/>
    <w:rsid w:val="002043AA"/>
    <w:rsid w:val="002062A8"/>
    <w:rsid w:val="00206550"/>
    <w:rsid w:val="00206E80"/>
    <w:rsid w:val="0021114E"/>
    <w:rsid w:val="00212972"/>
    <w:rsid w:val="00215E1A"/>
    <w:rsid w:val="00216894"/>
    <w:rsid w:val="00221B9C"/>
    <w:rsid w:val="00221D3B"/>
    <w:rsid w:val="00222B0E"/>
    <w:rsid w:val="002237A3"/>
    <w:rsid w:val="00223D7C"/>
    <w:rsid w:val="00224D4C"/>
    <w:rsid w:val="00226584"/>
    <w:rsid w:val="00226E0A"/>
    <w:rsid w:val="002273E8"/>
    <w:rsid w:val="0022773D"/>
    <w:rsid w:val="00231BF7"/>
    <w:rsid w:val="002328C6"/>
    <w:rsid w:val="00234B6C"/>
    <w:rsid w:val="00235E61"/>
    <w:rsid w:val="00236E43"/>
    <w:rsid w:val="00240044"/>
    <w:rsid w:val="00242902"/>
    <w:rsid w:val="00242C09"/>
    <w:rsid w:val="00243301"/>
    <w:rsid w:val="00252A38"/>
    <w:rsid w:val="00252C02"/>
    <w:rsid w:val="00254012"/>
    <w:rsid w:val="002616B3"/>
    <w:rsid w:val="00262566"/>
    <w:rsid w:val="002627BD"/>
    <w:rsid w:val="00262DB5"/>
    <w:rsid w:val="00265636"/>
    <w:rsid w:val="0026693B"/>
    <w:rsid w:val="0026784E"/>
    <w:rsid w:val="00271FFF"/>
    <w:rsid w:val="002735CD"/>
    <w:rsid w:val="002738AD"/>
    <w:rsid w:val="00273A85"/>
    <w:rsid w:val="00274BDC"/>
    <w:rsid w:val="00277873"/>
    <w:rsid w:val="002813E8"/>
    <w:rsid w:val="002821FB"/>
    <w:rsid w:val="0028400E"/>
    <w:rsid w:val="00284EBE"/>
    <w:rsid w:val="002858BA"/>
    <w:rsid w:val="00287167"/>
    <w:rsid w:val="0028748D"/>
    <w:rsid w:val="00293EBD"/>
    <w:rsid w:val="002940DD"/>
    <w:rsid w:val="00295002"/>
    <w:rsid w:val="00295947"/>
    <w:rsid w:val="00297B45"/>
    <w:rsid w:val="002A0C9B"/>
    <w:rsid w:val="002A49FC"/>
    <w:rsid w:val="002A51C5"/>
    <w:rsid w:val="002A5849"/>
    <w:rsid w:val="002A60E3"/>
    <w:rsid w:val="002B06E3"/>
    <w:rsid w:val="002B07C5"/>
    <w:rsid w:val="002B29C2"/>
    <w:rsid w:val="002B3A39"/>
    <w:rsid w:val="002B3E74"/>
    <w:rsid w:val="002B41A8"/>
    <w:rsid w:val="002B7808"/>
    <w:rsid w:val="002B7ADA"/>
    <w:rsid w:val="002B7E5B"/>
    <w:rsid w:val="002C2BFE"/>
    <w:rsid w:val="002C42A8"/>
    <w:rsid w:val="002C5E39"/>
    <w:rsid w:val="002C736A"/>
    <w:rsid w:val="002C73A3"/>
    <w:rsid w:val="002C784F"/>
    <w:rsid w:val="002C7F62"/>
    <w:rsid w:val="002D059E"/>
    <w:rsid w:val="002D1E48"/>
    <w:rsid w:val="002D3618"/>
    <w:rsid w:val="002D4AFB"/>
    <w:rsid w:val="002D57AE"/>
    <w:rsid w:val="002D5C31"/>
    <w:rsid w:val="002D61F4"/>
    <w:rsid w:val="002D6DD6"/>
    <w:rsid w:val="002D726B"/>
    <w:rsid w:val="002E0572"/>
    <w:rsid w:val="002E05B7"/>
    <w:rsid w:val="002E12FB"/>
    <w:rsid w:val="002E16E0"/>
    <w:rsid w:val="002E4E8E"/>
    <w:rsid w:val="002E515F"/>
    <w:rsid w:val="002E5BC9"/>
    <w:rsid w:val="002F2C39"/>
    <w:rsid w:val="002F3B59"/>
    <w:rsid w:val="002F687D"/>
    <w:rsid w:val="002F7B22"/>
    <w:rsid w:val="002F7D8F"/>
    <w:rsid w:val="00303AA7"/>
    <w:rsid w:val="00306635"/>
    <w:rsid w:val="00311B79"/>
    <w:rsid w:val="00312A5C"/>
    <w:rsid w:val="0031624B"/>
    <w:rsid w:val="003163D9"/>
    <w:rsid w:val="0031676D"/>
    <w:rsid w:val="00322352"/>
    <w:rsid w:val="00322E8A"/>
    <w:rsid w:val="0032384A"/>
    <w:rsid w:val="003250FB"/>
    <w:rsid w:val="003269AA"/>
    <w:rsid w:val="003327F2"/>
    <w:rsid w:val="00335EF8"/>
    <w:rsid w:val="00340008"/>
    <w:rsid w:val="00341828"/>
    <w:rsid w:val="00341DF9"/>
    <w:rsid w:val="00342D6E"/>
    <w:rsid w:val="00343777"/>
    <w:rsid w:val="003444B7"/>
    <w:rsid w:val="00350209"/>
    <w:rsid w:val="003505C1"/>
    <w:rsid w:val="00351369"/>
    <w:rsid w:val="00355769"/>
    <w:rsid w:val="00355FA7"/>
    <w:rsid w:val="003562A3"/>
    <w:rsid w:val="0036434D"/>
    <w:rsid w:val="00364BCE"/>
    <w:rsid w:val="00366AA8"/>
    <w:rsid w:val="00367E65"/>
    <w:rsid w:val="0037358B"/>
    <w:rsid w:val="0037705F"/>
    <w:rsid w:val="00381BE5"/>
    <w:rsid w:val="00381CAF"/>
    <w:rsid w:val="00383868"/>
    <w:rsid w:val="003853FC"/>
    <w:rsid w:val="00385CD7"/>
    <w:rsid w:val="00387339"/>
    <w:rsid w:val="003906EC"/>
    <w:rsid w:val="003929AD"/>
    <w:rsid w:val="00394499"/>
    <w:rsid w:val="00394B0B"/>
    <w:rsid w:val="0039536D"/>
    <w:rsid w:val="0039564E"/>
    <w:rsid w:val="00395FCC"/>
    <w:rsid w:val="00396F3C"/>
    <w:rsid w:val="003975B4"/>
    <w:rsid w:val="0039764F"/>
    <w:rsid w:val="003A46A2"/>
    <w:rsid w:val="003A4934"/>
    <w:rsid w:val="003A51D3"/>
    <w:rsid w:val="003A717C"/>
    <w:rsid w:val="003A7A45"/>
    <w:rsid w:val="003B040F"/>
    <w:rsid w:val="003B13F6"/>
    <w:rsid w:val="003B3F46"/>
    <w:rsid w:val="003B52F4"/>
    <w:rsid w:val="003B52FA"/>
    <w:rsid w:val="003B53B6"/>
    <w:rsid w:val="003B6B15"/>
    <w:rsid w:val="003B6C07"/>
    <w:rsid w:val="003B6C69"/>
    <w:rsid w:val="003B7D33"/>
    <w:rsid w:val="003B7F64"/>
    <w:rsid w:val="003C1B7B"/>
    <w:rsid w:val="003C2031"/>
    <w:rsid w:val="003C2514"/>
    <w:rsid w:val="003C2A3E"/>
    <w:rsid w:val="003C2D53"/>
    <w:rsid w:val="003C4261"/>
    <w:rsid w:val="003D08E5"/>
    <w:rsid w:val="003D2BDB"/>
    <w:rsid w:val="003D3F96"/>
    <w:rsid w:val="003D40B6"/>
    <w:rsid w:val="003D43CE"/>
    <w:rsid w:val="003D490D"/>
    <w:rsid w:val="003D5436"/>
    <w:rsid w:val="003E03F4"/>
    <w:rsid w:val="003E0EA1"/>
    <w:rsid w:val="003E3653"/>
    <w:rsid w:val="003E44AC"/>
    <w:rsid w:val="003E7DE5"/>
    <w:rsid w:val="003F1470"/>
    <w:rsid w:val="003F4F93"/>
    <w:rsid w:val="004006AB"/>
    <w:rsid w:val="00400F68"/>
    <w:rsid w:val="004024BB"/>
    <w:rsid w:val="00405EDB"/>
    <w:rsid w:val="00407FA1"/>
    <w:rsid w:val="00410DFE"/>
    <w:rsid w:val="004140B5"/>
    <w:rsid w:val="00414D07"/>
    <w:rsid w:val="004167A5"/>
    <w:rsid w:val="004203D1"/>
    <w:rsid w:val="00420E40"/>
    <w:rsid w:val="0042224E"/>
    <w:rsid w:val="004227F6"/>
    <w:rsid w:val="00423FF0"/>
    <w:rsid w:val="00424FE8"/>
    <w:rsid w:val="004270E3"/>
    <w:rsid w:val="004275CB"/>
    <w:rsid w:val="00431FA3"/>
    <w:rsid w:val="004322FA"/>
    <w:rsid w:val="00432AD8"/>
    <w:rsid w:val="00434215"/>
    <w:rsid w:val="00435A08"/>
    <w:rsid w:val="004369FE"/>
    <w:rsid w:val="00437CAC"/>
    <w:rsid w:val="00440C57"/>
    <w:rsid w:val="00444767"/>
    <w:rsid w:val="00444F31"/>
    <w:rsid w:val="00446581"/>
    <w:rsid w:val="00447BD0"/>
    <w:rsid w:val="00450AA1"/>
    <w:rsid w:val="00460BA6"/>
    <w:rsid w:val="00461928"/>
    <w:rsid w:val="004673F8"/>
    <w:rsid w:val="00470FF8"/>
    <w:rsid w:val="00476AF1"/>
    <w:rsid w:val="004828F4"/>
    <w:rsid w:val="0048314E"/>
    <w:rsid w:val="00483D78"/>
    <w:rsid w:val="004865A1"/>
    <w:rsid w:val="004869D1"/>
    <w:rsid w:val="00491D39"/>
    <w:rsid w:val="00492CAF"/>
    <w:rsid w:val="004937BE"/>
    <w:rsid w:val="00494B88"/>
    <w:rsid w:val="00497D51"/>
    <w:rsid w:val="004A0C27"/>
    <w:rsid w:val="004A0FB9"/>
    <w:rsid w:val="004A229D"/>
    <w:rsid w:val="004A2397"/>
    <w:rsid w:val="004A419F"/>
    <w:rsid w:val="004A45B2"/>
    <w:rsid w:val="004A63E3"/>
    <w:rsid w:val="004A7423"/>
    <w:rsid w:val="004B2868"/>
    <w:rsid w:val="004B3C19"/>
    <w:rsid w:val="004B3EB8"/>
    <w:rsid w:val="004B7B6B"/>
    <w:rsid w:val="004B7DA3"/>
    <w:rsid w:val="004C01B2"/>
    <w:rsid w:val="004C278C"/>
    <w:rsid w:val="004C2B79"/>
    <w:rsid w:val="004C3408"/>
    <w:rsid w:val="004C3485"/>
    <w:rsid w:val="004C392B"/>
    <w:rsid w:val="004D0085"/>
    <w:rsid w:val="004D0E12"/>
    <w:rsid w:val="004D11AE"/>
    <w:rsid w:val="004D2816"/>
    <w:rsid w:val="004D480A"/>
    <w:rsid w:val="004D73E5"/>
    <w:rsid w:val="004D74EF"/>
    <w:rsid w:val="004D76EE"/>
    <w:rsid w:val="004E027C"/>
    <w:rsid w:val="004E21A6"/>
    <w:rsid w:val="004E25AB"/>
    <w:rsid w:val="004E26E7"/>
    <w:rsid w:val="004E4CD6"/>
    <w:rsid w:val="004F11FD"/>
    <w:rsid w:val="004F1416"/>
    <w:rsid w:val="004F2D4B"/>
    <w:rsid w:val="004F5D4F"/>
    <w:rsid w:val="004F5F20"/>
    <w:rsid w:val="004F6F5F"/>
    <w:rsid w:val="005001B5"/>
    <w:rsid w:val="00501921"/>
    <w:rsid w:val="005023F7"/>
    <w:rsid w:val="005066B2"/>
    <w:rsid w:val="00510AC2"/>
    <w:rsid w:val="0051122D"/>
    <w:rsid w:val="00513295"/>
    <w:rsid w:val="005157FC"/>
    <w:rsid w:val="00517E8B"/>
    <w:rsid w:val="005200F4"/>
    <w:rsid w:val="00520AF8"/>
    <w:rsid w:val="00520D18"/>
    <w:rsid w:val="00520F0C"/>
    <w:rsid w:val="0052181D"/>
    <w:rsid w:val="00521C70"/>
    <w:rsid w:val="00521D5F"/>
    <w:rsid w:val="00522257"/>
    <w:rsid w:val="005236AB"/>
    <w:rsid w:val="00524BA1"/>
    <w:rsid w:val="00527B1D"/>
    <w:rsid w:val="00527F3F"/>
    <w:rsid w:val="005327AF"/>
    <w:rsid w:val="00532F2F"/>
    <w:rsid w:val="00535F82"/>
    <w:rsid w:val="00542E92"/>
    <w:rsid w:val="005439B7"/>
    <w:rsid w:val="00543C54"/>
    <w:rsid w:val="005446B6"/>
    <w:rsid w:val="0054711F"/>
    <w:rsid w:val="005523FF"/>
    <w:rsid w:val="005529F0"/>
    <w:rsid w:val="005532BA"/>
    <w:rsid w:val="005535B0"/>
    <w:rsid w:val="00553E7B"/>
    <w:rsid w:val="00553E96"/>
    <w:rsid w:val="00554A6E"/>
    <w:rsid w:val="00554CA7"/>
    <w:rsid w:val="005555B4"/>
    <w:rsid w:val="005558E0"/>
    <w:rsid w:val="005600F1"/>
    <w:rsid w:val="005602D2"/>
    <w:rsid w:val="005602DB"/>
    <w:rsid w:val="00560CEE"/>
    <w:rsid w:val="00566DD4"/>
    <w:rsid w:val="00566EB5"/>
    <w:rsid w:val="00567FFC"/>
    <w:rsid w:val="00570F3E"/>
    <w:rsid w:val="0057260E"/>
    <w:rsid w:val="00572CFB"/>
    <w:rsid w:val="00580E26"/>
    <w:rsid w:val="00581AD1"/>
    <w:rsid w:val="00582A63"/>
    <w:rsid w:val="00584B16"/>
    <w:rsid w:val="00584B4A"/>
    <w:rsid w:val="00585DA3"/>
    <w:rsid w:val="00587A78"/>
    <w:rsid w:val="00590188"/>
    <w:rsid w:val="00594416"/>
    <w:rsid w:val="00594F6E"/>
    <w:rsid w:val="0059566A"/>
    <w:rsid w:val="005963BD"/>
    <w:rsid w:val="0059721A"/>
    <w:rsid w:val="005974D4"/>
    <w:rsid w:val="005A168A"/>
    <w:rsid w:val="005A654E"/>
    <w:rsid w:val="005A73B3"/>
    <w:rsid w:val="005A7706"/>
    <w:rsid w:val="005B0591"/>
    <w:rsid w:val="005B3F38"/>
    <w:rsid w:val="005B526A"/>
    <w:rsid w:val="005B5EE3"/>
    <w:rsid w:val="005B60C7"/>
    <w:rsid w:val="005B6288"/>
    <w:rsid w:val="005B6662"/>
    <w:rsid w:val="005B761E"/>
    <w:rsid w:val="005C29B5"/>
    <w:rsid w:val="005C3EB6"/>
    <w:rsid w:val="005C4845"/>
    <w:rsid w:val="005C5377"/>
    <w:rsid w:val="005D28E4"/>
    <w:rsid w:val="005D4A88"/>
    <w:rsid w:val="005D6067"/>
    <w:rsid w:val="005D690B"/>
    <w:rsid w:val="005D7491"/>
    <w:rsid w:val="005E082A"/>
    <w:rsid w:val="005E282C"/>
    <w:rsid w:val="005E430A"/>
    <w:rsid w:val="005E663B"/>
    <w:rsid w:val="005E7A77"/>
    <w:rsid w:val="005F0181"/>
    <w:rsid w:val="005F6D3D"/>
    <w:rsid w:val="006002E4"/>
    <w:rsid w:val="00604DCC"/>
    <w:rsid w:val="006130DD"/>
    <w:rsid w:val="00613219"/>
    <w:rsid w:val="006134DF"/>
    <w:rsid w:val="00614B36"/>
    <w:rsid w:val="00615981"/>
    <w:rsid w:val="00615CE8"/>
    <w:rsid w:val="006161AC"/>
    <w:rsid w:val="00616B7B"/>
    <w:rsid w:val="00616C9B"/>
    <w:rsid w:val="006206C5"/>
    <w:rsid w:val="00621471"/>
    <w:rsid w:val="00623EC5"/>
    <w:rsid w:val="0062465A"/>
    <w:rsid w:val="00624677"/>
    <w:rsid w:val="0062697D"/>
    <w:rsid w:val="0062700F"/>
    <w:rsid w:val="006274FB"/>
    <w:rsid w:val="00630289"/>
    <w:rsid w:val="006416DA"/>
    <w:rsid w:val="00643410"/>
    <w:rsid w:val="00645CBB"/>
    <w:rsid w:val="00647096"/>
    <w:rsid w:val="00650876"/>
    <w:rsid w:val="006543C6"/>
    <w:rsid w:val="00654B96"/>
    <w:rsid w:val="00655FFE"/>
    <w:rsid w:val="00663BDD"/>
    <w:rsid w:val="00663DD1"/>
    <w:rsid w:val="00675772"/>
    <w:rsid w:val="0067666D"/>
    <w:rsid w:val="0068153C"/>
    <w:rsid w:val="006816B5"/>
    <w:rsid w:val="00682C04"/>
    <w:rsid w:val="00682E2A"/>
    <w:rsid w:val="00685A84"/>
    <w:rsid w:val="00687F34"/>
    <w:rsid w:val="00690F2C"/>
    <w:rsid w:val="00691E00"/>
    <w:rsid w:val="00692B75"/>
    <w:rsid w:val="00693880"/>
    <w:rsid w:val="00693DB8"/>
    <w:rsid w:val="00694498"/>
    <w:rsid w:val="0069452D"/>
    <w:rsid w:val="006955B6"/>
    <w:rsid w:val="0069707D"/>
    <w:rsid w:val="006A1239"/>
    <w:rsid w:val="006A31CE"/>
    <w:rsid w:val="006A4DC7"/>
    <w:rsid w:val="006A7D25"/>
    <w:rsid w:val="006B04E8"/>
    <w:rsid w:val="006B60AC"/>
    <w:rsid w:val="006B6746"/>
    <w:rsid w:val="006B6C05"/>
    <w:rsid w:val="006B77D9"/>
    <w:rsid w:val="006C1637"/>
    <w:rsid w:val="006C374D"/>
    <w:rsid w:val="006C41E7"/>
    <w:rsid w:val="006C6F0D"/>
    <w:rsid w:val="006C77F5"/>
    <w:rsid w:val="006C7978"/>
    <w:rsid w:val="006C7E9F"/>
    <w:rsid w:val="006D09A7"/>
    <w:rsid w:val="006D09C4"/>
    <w:rsid w:val="006D10BD"/>
    <w:rsid w:val="006D20AB"/>
    <w:rsid w:val="006D3076"/>
    <w:rsid w:val="006D4598"/>
    <w:rsid w:val="006D5822"/>
    <w:rsid w:val="006D58B7"/>
    <w:rsid w:val="006E0222"/>
    <w:rsid w:val="006E364D"/>
    <w:rsid w:val="006E414F"/>
    <w:rsid w:val="006E4A23"/>
    <w:rsid w:val="006E57F9"/>
    <w:rsid w:val="006F1C09"/>
    <w:rsid w:val="006F4285"/>
    <w:rsid w:val="006F6C0F"/>
    <w:rsid w:val="007007E7"/>
    <w:rsid w:val="007032DA"/>
    <w:rsid w:val="00703B21"/>
    <w:rsid w:val="007041EB"/>
    <w:rsid w:val="00704B96"/>
    <w:rsid w:val="00705998"/>
    <w:rsid w:val="00706691"/>
    <w:rsid w:val="00707FCD"/>
    <w:rsid w:val="00711769"/>
    <w:rsid w:val="00711D0D"/>
    <w:rsid w:val="007130FE"/>
    <w:rsid w:val="00715981"/>
    <w:rsid w:val="00720F61"/>
    <w:rsid w:val="00723C81"/>
    <w:rsid w:val="007243F2"/>
    <w:rsid w:val="0072655F"/>
    <w:rsid w:val="007346A3"/>
    <w:rsid w:val="00735FFF"/>
    <w:rsid w:val="00737CBE"/>
    <w:rsid w:val="00740858"/>
    <w:rsid w:val="00740F6C"/>
    <w:rsid w:val="00741913"/>
    <w:rsid w:val="007451DE"/>
    <w:rsid w:val="007461A1"/>
    <w:rsid w:val="0074785F"/>
    <w:rsid w:val="00747A77"/>
    <w:rsid w:val="00750170"/>
    <w:rsid w:val="0075259F"/>
    <w:rsid w:val="00753971"/>
    <w:rsid w:val="00756467"/>
    <w:rsid w:val="007566ED"/>
    <w:rsid w:val="00757309"/>
    <w:rsid w:val="00761433"/>
    <w:rsid w:val="0076258A"/>
    <w:rsid w:val="00763627"/>
    <w:rsid w:val="00764F9B"/>
    <w:rsid w:val="00766807"/>
    <w:rsid w:val="007672C9"/>
    <w:rsid w:val="007672CF"/>
    <w:rsid w:val="0077141C"/>
    <w:rsid w:val="007732F7"/>
    <w:rsid w:val="00773F1F"/>
    <w:rsid w:val="00775E9D"/>
    <w:rsid w:val="00777DE2"/>
    <w:rsid w:val="00787C19"/>
    <w:rsid w:val="00793E36"/>
    <w:rsid w:val="007952EF"/>
    <w:rsid w:val="007A120E"/>
    <w:rsid w:val="007A20A2"/>
    <w:rsid w:val="007B10F9"/>
    <w:rsid w:val="007B1409"/>
    <w:rsid w:val="007B2489"/>
    <w:rsid w:val="007B357D"/>
    <w:rsid w:val="007B61C7"/>
    <w:rsid w:val="007B760E"/>
    <w:rsid w:val="007C1A2A"/>
    <w:rsid w:val="007C2393"/>
    <w:rsid w:val="007C2945"/>
    <w:rsid w:val="007C41C6"/>
    <w:rsid w:val="007C4331"/>
    <w:rsid w:val="007C5C19"/>
    <w:rsid w:val="007C7310"/>
    <w:rsid w:val="007D0941"/>
    <w:rsid w:val="007D2BD2"/>
    <w:rsid w:val="007D4E53"/>
    <w:rsid w:val="007D631F"/>
    <w:rsid w:val="007E1633"/>
    <w:rsid w:val="007E4A97"/>
    <w:rsid w:val="007E508B"/>
    <w:rsid w:val="007F01C6"/>
    <w:rsid w:val="007F21F4"/>
    <w:rsid w:val="007F32F4"/>
    <w:rsid w:val="007F4A1F"/>
    <w:rsid w:val="007F56F6"/>
    <w:rsid w:val="007F6931"/>
    <w:rsid w:val="007F7F89"/>
    <w:rsid w:val="00801065"/>
    <w:rsid w:val="00807370"/>
    <w:rsid w:val="00807D24"/>
    <w:rsid w:val="00812150"/>
    <w:rsid w:val="0081256F"/>
    <w:rsid w:val="00812FCD"/>
    <w:rsid w:val="0081601E"/>
    <w:rsid w:val="008201AD"/>
    <w:rsid w:val="00821024"/>
    <w:rsid w:val="008230FC"/>
    <w:rsid w:val="00823385"/>
    <w:rsid w:val="008244EF"/>
    <w:rsid w:val="00824C42"/>
    <w:rsid w:val="00825153"/>
    <w:rsid w:val="00826EF2"/>
    <w:rsid w:val="00830944"/>
    <w:rsid w:val="008313C6"/>
    <w:rsid w:val="00834D08"/>
    <w:rsid w:val="00836D5C"/>
    <w:rsid w:val="00840F23"/>
    <w:rsid w:val="0084131B"/>
    <w:rsid w:val="0084200A"/>
    <w:rsid w:val="00845DBE"/>
    <w:rsid w:val="00845EF8"/>
    <w:rsid w:val="00846C01"/>
    <w:rsid w:val="00850CBB"/>
    <w:rsid w:val="00850DE8"/>
    <w:rsid w:val="008530F5"/>
    <w:rsid w:val="008533F3"/>
    <w:rsid w:val="00853E93"/>
    <w:rsid w:val="00857701"/>
    <w:rsid w:val="00857FBD"/>
    <w:rsid w:val="00860F76"/>
    <w:rsid w:val="0086494E"/>
    <w:rsid w:val="00865B86"/>
    <w:rsid w:val="00865CC4"/>
    <w:rsid w:val="00867EF0"/>
    <w:rsid w:val="00870E91"/>
    <w:rsid w:val="00872E9A"/>
    <w:rsid w:val="0087341E"/>
    <w:rsid w:val="00874CCA"/>
    <w:rsid w:val="00874F23"/>
    <w:rsid w:val="00876C49"/>
    <w:rsid w:val="00877ED7"/>
    <w:rsid w:val="00882F6D"/>
    <w:rsid w:val="008839C3"/>
    <w:rsid w:val="008845FC"/>
    <w:rsid w:val="0088486F"/>
    <w:rsid w:val="00884EEB"/>
    <w:rsid w:val="00887992"/>
    <w:rsid w:val="00896A75"/>
    <w:rsid w:val="008A0A8D"/>
    <w:rsid w:val="008A292C"/>
    <w:rsid w:val="008A4DF5"/>
    <w:rsid w:val="008A65BA"/>
    <w:rsid w:val="008B36D7"/>
    <w:rsid w:val="008B36E5"/>
    <w:rsid w:val="008B60B4"/>
    <w:rsid w:val="008B6A34"/>
    <w:rsid w:val="008B7C34"/>
    <w:rsid w:val="008C007C"/>
    <w:rsid w:val="008C06B3"/>
    <w:rsid w:val="008C07C3"/>
    <w:rsid w:val="008C3846"/>
    <w:rsid w:val="008C6E5F"/>
    <w:rsid w:val="008D0540"/>
    <w:rsid w:val="008D070A"/>
    <w:rsid w:val="008D13B1"/>
    <w:rsid w:val="008D1D15"/>
    <w:rsid w:val="008D2ADF"/>
    <w:rsid w:val="008D38F0"/>
    <w:rsid w:val="008D48FE"/>
    <w:rsid w:val="008D5F51"/>
    <w:rsid w:val="008E3E9B"/>
    <w:rsid w:val="008E51DA"/>
    <w:rsid w:val="008E6905"/>
    <w:rsid w:val="008E7192"/>
    <w:rsid w:val="008E7B8D"/>
    <w:rsid w:val="008E7F44"/>
    <w:rsid w:val="008F162F"/>
    <w:rsid w:val="008F3717"/>
    <w:rsid w:val="008F59B7"/>
    <w:rsid w:val="008F6278"/>
    <w:rsid w:val="008F6D6A"/>
    <w:rsid w:val="00900CE3"/>
    <w:rsid w:val="00905422"/>
    <w:rsid w:val="00906569"/>
    <w:rsid w:val="009072B9"/>
    <w:rsid w:val="00913618"/>
    <w:rsid w:val="00915AB8"/>
    <w:rsid w:val="00917629"/>
    <w:rsid w:val="0092046C"/>
    <w:rsid w:val="0092047E"/>
    <w:rsid w:val="00921282"/>
    <w:rsid w:val="009224C8"/>
    <w:rsid w:val="00923F86"/>
    <w:rsid w:val="00924156"/>
    <w:rsid w:val="009252D8"/>
    <w:rsid w:val="00925B23"/>
    <w:rsid w:val="00925EBD"/>
    <w:rsid w:val="009274B8"/>
    <w:rsid w:val="009305AF"/>
    <w:rsid w:val="00930CA9"/>
    <w:rsid w:val="009316FF"/>
    <w:rsid w:val="00932840"/>
    <w:rsid w:val="0093303D"/>
    <w:rsid w:val="009333BC"/>
    <w:rsid w:val="0093666B"/>
    <w:rsid w:val="00936A77"/>
    <w:rsid w:val="00940AF9"/>
    <w:rsid w:val="00945E37"/>
    <w:rsid w:val="009477C7"/>
    <w:rsid w:val="00947AA8"/>
    <w:rsid w:val="00950714"/>
    <w:rsid w:val="00950F5D"/>
    <w:rsid w:val="00953B7B"/>
    <w:rsid w:val="00954274"/>
    <w:rsid w:val="00954DD5"/>
    <w:rsid w:val="00955FB9"/>
    <w:rsid w:val="00960124"/>
    <w:rsid w:val="00960761"/>
    <w:rsid w:val="00961632"/>
    <w:rsid w:val="009626B7"/>
    <w:rsid w:val="0096336D"/>
    <w:rsid w:val="00965A0D"/>
    <w:rsid w:val="0096699D"/>
    <w:rsid w:val="009674A3"/>
    <w:rsid w:val="0096758F"/>
    <w:rsid w:val="00967DB8"/>
    <w:rsid w:val="00971346"/>
    <w:rsid w:val="00973FE2"/>
    <w:rsid w:val="009744CD"/>
    <w:rsid w:val="00975E32"/>
    <w:rsid w:val="009772E4"/>
    <w:rsid w:val="00980741"/>
    <w:rsid w:val="00980934"/>
    <w:rsid w:val="009831FA"/>
    <w:rsid w:val="0098324A"/>
    <w:rsid w:val="00986AAE"/>
    <w:rsid w:val="00986EAF"/>
    <w:rsid w:val="00992F0F"/>
    <w:rsid w:val="00993061"/>
    <w:rsid w:val="00993CC0"/>
    <w:rsid w:val="009942E1"/>
    <w:rsid w:val="00995616"/>
    <w:rsid w:val="00995A34"/>
    <w:rsid w:val="0099652E"/>
    <w:rsid w:val="009A007C"/>
    <w:rsid w:val="009A4064"/>
    <w:rsid w:val="009A5973"/>
    <w:rsid w:val="009A6208"/>
    <w:rsid w:val="009A6DEB"/>
    <w:rsid w:val="009B3AD8"/>
    <w:rsid w:val="009B4317"/>
    <w:rsid w:val="009B52A3"/>
    <w:rsid w:val="009B5F1F"/>
    <w:rsid w:val="009C04EC"/>
    <w:rsid w:val="009C0F9C"/>
    <w:rsid w:val="009C389B"/>
    <w:rsid w:val="009C780B"/>
    <w:rsid w:val="009D1112"/>
    <w:rsid w:val="009D208D"/>
    <w:rsid w:val="009D3A20"/>
    <w:rsid w:val="009D3C8D"/>
    <w:rsid w:val="009D4C85"/>
    <w:rsid w:val="009E0526"/>
    <w:rsid w:val="009E1AAA"/>
    <w:rsid w:val="009E2038"/>
    <w:rsid w:val="009E205A"/>
    <w:rsid w:val="009E2DA9"/>
    <w:rsid w:val="009F3022"/>
    <w:rsid w:val="009F49C7"/>
    <w:rsid w:val="009F52C3"/>
    <w:rsid w:val="009F65CC"/>
    <w:rsid w:val="009F7193"/>
    <w:rsid w:val="009F7490"/>
    <w:rsid w:val="009F77C5"/>
    <w:rsid w:val="00A00576"/>
    <w:rsid w:val="00A029FC"/>
    <w:rsid w:val="00A03DCE"/>
    <w:rsid w:val="00A05706"/>
    <w:rsid w:val="00A07D83"/>
    <w:rsid w:val="00A1442D"/>
    <w:rsid w:val="00A15885"/>
    <w:rsid w:val="00A1588E"/>
    <w:rsid w:val="00A17D3B"/>
    <w:rsid w:val="00A20CCE"/>
    <w:rsid w:val="00A2247B"/>
    <w:rsid w:val="00A226B8"/>
    <w:rsid w:val="00A22865"/>
    <w:rsid w:val="00A2385F"/>
    <w:rsid w:val="00A24753"/>
    <w:rsid w:val="00A24A9E"/>
    <w:rsid w:val="00A25244"/>
    <w:rsid w:val="00A25ECC"/>
    <w:rsid w:val="00A26073"/>
    <w:rsid w:val="00A26326"/>
    <w:rsid w:val="00A307DA"/>
    <w:rsid w:val="00A30E56"/>
    <w:rsid w:val="00A31EDC"/>
    <w:rsid w:val="00A32226"/>
    <w:rsid w:val="00A32F94"/>
    <w:rsid w:val="00A34398"/>
    <w:rsid w:val="00A3516C"/>
    <w:rsid w:val="00A36AF3"/>
    <w:rsid w:val="00A40A8F"/>
    <w:rsid w:val="00A416F0"/>
    <w:rsid w:val="00A42B7E"/>
    <w:rsid w:val="00A44F6B"/>
    <w:rsid w:val="00A46A72"/>
    <w:rsid w:val="00A530F1"/>
    <w:rsid w:val="00A543E0"/>
    <w:rsid w:val="00A5591B"/>
    <w:rsid w:val="00A5708B"/>
    <w:rsid w:val="00A575B8"/>
    <w:rsid w:val="00A5792C"/>
    <w:rsid w:val="00A57BFC"/>
    <w:rsid w:val="00A62013"/>
    <w:rsid w:val="00A644D5"/>
    <w:rsid w:val="00A65A98"/>
    <w:rsid w:val="00A67A8E"/>
    <w:rsid w:val="00A704D1"/>
    <w:rsid w:val="00A73D05"/>
    <w:rsid w:val="00A75710"/>
    <w:rsid w:val="00A75BAD"/>
    <w:rsid w:val="00A75BB3"/>
    <w:rsid w:val="00A81E46"/>
    <w:rsid w:val="00A823AE"/>
    <w:rsid w:val="00A82AB0"/>
    <w:rsid w:val="00A83F99"/>
    <w:rsid w:val="00A85A92"/>
    <w:rsid w:val="00A86402"/>
    <w:rsid w:val="00A86AAE"/>
    <w:rsid w:val="00A87494"/>
    <w:rsid w:val="00A910AC"/>
    <w:rsid w:val="00A910EC"/>
    <w:rsid w:val="00A92C71"/>
    <w:rsid w:val="00A93009"/>
    <w:rsid w:val="00A930EC"/>
    <w:rsid w:val="00A9591D"/>
    <w:rsid w:val="00A97257"/>
    <w:rsid w:val="00A974BA"/>
    <w:rsid w:val="00A97CB9"/>
    <w:rsid w:val="00AA090A"/>
    <w:rsid w:val="00AA0936"/>
    <w:rsid w:val="00AA181F"/>
    <w:rsid w:val="00AA31A9"/>
    <w:rsid w:val="00AA5714"/>
    <w:rsid w:val="00AA5F78"/>
    <w:rsid w:val="00AB02C3"/>
    <w:rsid w:val="00AB0601"/>
    <w:rsid w:val="00AB06EA"/>
    <w:rsid w:val="00AB0E41"/>
    <w:rsid w:val="00AB363B"/>
    <w:rsid w:val="00AB5688"/>
    <w:rsid w:val="00AC1AA3"/>
    <w:rsid w:val="00AC1D15"/>
    <w:rsid w:val="00AC241D"/>
    <w:rsid w:val="00AC4F6B"/>
    <w:rsid w:val="00AC6E37"/>
    <w:rsid w:val="00AD0E7D"/>
    <w:rsid w:val="00AD3A85"/>
    <w:rsid w:val="00AD5104"/>
    <w:rsid w:val="00AD600D"/>
    <w:rsid w:val="00AD7103"/>
    <w:rsid w:val="00AD7967"/>
    <w:rsid w:val="00AE02FC"/>
    <w:rsid w:val="00AE0E85"/>
    <w:rsid w:val="00AE284C"/>
    <w:rsid w:val="00AE77FC"/>
    <w:rsid w:val="00AE7968"/>
    <w:rsid w:val="00AF034E"/>
    <w:rsid w:val="00AF039C"/>
    <w:rsid w:val="00AF0893"/>
    <w:rsid w:val="00AF19BF"/>
    <w:rsid w:val="00AF4D29"/>
    <w:rsid w:val="00B00E89"/>
    <w:rsid w:val="00B020C4"/>
    <w:rsid w:val="00B039A6"/>
    <w:rsid w:val="00B0643A"/>
    <w:rsid w:val="00B073EB"/>
    <w:rsid w:val="00B075FB"/>
    <w:rsid w:val="00B14E92"/>
    <w:rsid w:val="00B20865"/>
    <w:rsid w:val="00B20DDD"/>
    <w:rsid w:val="00B20ECC"/>
    <w:rsid w:val="00B2267F"/>
    <w:rsid w:val="00B25A7A"/>
    <w:rsid w:val="00B25F1A"/>
    <w:rsid w:val="00B2750E"/>
    <w:rsid w:val="00B30F22"/>
    <w:rsid w:val="00B32F59"/>
    <w:rsid w:val="00B378A1"/>
    <w:rsid w:val="00B409CE"/>
    <w:rsid w:val="00B414A5"/>
    <w:rsid w:val="00B418C1"/>
    <w:rsid w:val="00B423E2"/>
    <w:rsid w:val="00B42425"/>
    <w:rsid w:val="00B42899"/>
    <w:rsid w:val="00B431A0"/>
    <w:rsid w:val="00B442B2"/>
    <w:rsid w:val="00B44F0B"/>
    <w:rsid w:val="00B456CA"/>
    <w:rsid w:val="00B460D0"/>
    <w:rsid w:val="00B4749D"/>
    <w:rsid w:val="00B47719"/>
    <w:rsid w:val="00B51277"/>
    <w:rsid w:val="00B531AD"/>
    <w:rsid w:val="00B539E5"/>
    <w:rsid w:val="00B553BE"/>
    <w:rsid w:val="00B555FE"/>
    <w:rsid w:val="00B574CA"/>
    <w:rsid w:val="00B57F9B"/>
    <w:rsid w:val="00B607E2"/>
    <w:rsid w:val="00B62995"/>
    <w:rsid w:val="00B63292"/>
    <w:rsid w:val="00B65AE4"/>
    <w:rsid w:val="00B662D9"/>
    <w:rsid w:val="00B706A6"/>
    <w:rsid w:val="00B70A6F"/>
    <w:rsid w:val="00B71921"/>
    <w:rsid w:val="00B73091"/>
    <w:rsid w:val="00B76B18"/>
    <w:rsid w:val="00B77A18"/>
    <w:rsid w:val="00B77E4C"/>
    <w:rsid w:val="00B808F8"/>
    <w:rsid w:val="00B84A1B"/>
    <w:rsid w:val="00B84D25"/>
    <w:rsid w:val="00B84F1B"/>
    <w:rsid w:val="00B850C4"/>
    <w:rsid w:val="00B86671"/>
    <w:rsid w:val="00B911D1"/>
    <w:rsid w:val="00B92EE5"/>
    <w:rsid w:val="00B941A0"/>
    <w:rsid w:val="00B96FD2"/>
    <w:rsid w:val="00B97278"/>
    <w:rsid w:val="00B97E0A"/>
    <w:rsid w:val="00BA1473"/>
    <w:rsid w:val="00BA1902"/>
    <w:rsid w:val="00BA22B9"/>
    <w:rsid w:val="00BA2774"/>
    <w:rsid w:val="00BA2ECE"/>
    <w:rsid w:val="00BA51AE"/>
    <w:rsid w:val="00BA6CB9"/>
    <w:rsid w:val="00BB039A"/>
    <w:rsid w:val="00BB10DA"/>
    <w:rsid w:val="00BB2BEC"/>
    <w:rsid w:val="00BB3096"/>
    <w:rsid w:val="00BB390B"/>
    <w:rsid w:val="00BB65F6"/>
    <w:rsid w:val="00BB7D93"/>
    <w:rsid w:val="00BC2ED2"/>
    <w:rsid w:val="00BC734D"/>
    <w:rsid w:val="00BD2FFF"/>
    <w:rsid w:val="00BD4088"/>
    <w:rsid w:val="00BD4437"/>
    <w:rsid w:val="00BD473C"/>
    <w:rsid w:val="00BD5B5F"/>
    <w:rsid w:val="00BE24D5"/>
    <w:rsid w:val="00BE3B16"/>
    <w:rsid w:val="00BE5CFA"/>
    <w:rsid w:val="00BE770C"/>
    <w:rsid w:val="00BE7A10"/>
    <w:rsid w:val="00BF263A"/>
    <w:rsid w:val="00BF399A"/>
    <w:rsid w:val="00BF3F07"/>
    <w:rsid w:val="00BF675D"/>
    <w:rsid w:val="00BF6D7A"/>
    <w:rsid w:val="00C020BA"/>
    <w:rsid w:val="00C02FF4"/>
    <w:rsid w:val="00C054B2"/>
    <w:rsid w:val="00C10019"/>
    <w:rsid w:val="00C10420"/>
    <w:rsid w:val="00C119C4"/>
    <w:rsid w:val="00C120AD"/>
    <w:rsid w:val="00C13323"/>
    <w:rsid w:val="00C14279"/>
    <w:rsid w:val="00C154A8"/>
    <w:rsid w:val="00C20976"/>
    <w:rsid w:val="00C20BFB"/>
    <w:rsid w:val="00C2270A"/>
    <w:rsid w:val="00C30978"/>
    <w:rsid w:val="00C34BA7"/>
    <w:rsid w:val="00C37573"/>
    <w:rsid w:val="00C4079C"/>
    <w:rsid w:val="00C44119"/>
    <w:rsid w:val="00C45BDF"/>
    <w:rsid w:val="00C462FD"/>
    <w:rsid w:val="00C47205"/>
    <w:rsid w:val="00C50C49"/>
    <w:rsid w:val="00C5129B"/>
    <w:rsid w:val="00C51688"/>
    <w:rsid w:val="00C517CA"/>
    <w:rsid w:val="00C52D67"/>
    <w:rsid w:val="00C5368C"/>
    <w:rsid w:val="00C53B56"/>
    <w:rsid w:val="00C54675"/>
    <w:rsid w:val="00C546F8"/>
    <w:rsid w:val="00C56E73"/>
    <w:rsid w:val="00C574D3"/>
    <w:rsid w:val="00C60082"/>
    <w:rsid w:val="00C6435C"/>
    <w:rsid w:val="00C6472C"/>
    <w:rsid w:val="00C66517"/>
    <w:rsid w:val="00C6675B"/>
    <w:rsid w:val="00C701A5"/>
    <w:rsid w:val="00C714F9"/>
    <w:rsid w:val="00C73019"/>
    <w:rsid w:val="00C73F03"/>
    <w:rsid w:val="00C75977"/>
    <w:rsid w:val="00C76184"/>
    <w:rsid w:val="00C77AF9"/>
    <w:rsid w:val="00C82100"/>
    <w:rsid w:val="00C830B2"/>
    <w:rsid w:val="00C843AC"/>
    <w:rsid w:val="00C85124"/>
    <w:rsid w:val="00C87970"/>
    <w:rsid w:val="00C911C7"/>
    <w:rsid w:val="00C91922"/>
    <w:rsid w:val="00C94597"/>
    <w:rsid w:val="00C96E30"/>
    <w:rsid w:val="00C977F6"/>
    <w:rsid w:val="00C97FDB"/>
    <w:rsid w:val="00CA0745"/>
    <w:rsid w:val="00CA0803"/>
    <w:rsid w:val="00CA1EA6"/>
    <w:rsid w:val="00CA2A3D"/>
    <w:rsid w:val="00CA35BB"/>
    <w:rsid w:val="00CA41CA"/>
    <w:rsid w:val="00CA6330"/>
    <w:rsid w:val="00CA6807"/>
    <w:rsid w:val="00CA7678"/>
    <w:rsid w:val="00CB0AD1"/>
    <w:rsid w:val="00CB44E1"/>
    <w:rsid w:val="00CB652A"/>
    <w:rsid w:val="00CB66AB"/>
    <w:rsid w:val="00CB7E9D"/>
    <w:rsid w:val="00CC0C9F"/>
    <w:rsid w:val="00CC1FEB"/>
    <w:rsid w:val="00CC2F78"/>
    <w:rsid w:val="00CC3936"/>
    <w:rsid w:val="00CC5105"/>
    <w:rsid w:val="00CC6738"/>
    <w:rsid w:val="00CD0EA5"/>
    <w:rsid w:val="00CD1573"/>
    <w:rsid w:val="00CD45A5"/>
    <w:rsid w:val="00CD5CE4"/>
    <w:rsid w:val="00CD5DB5"/>
    <w:rsid w:val="00CD6BC7"/>
    <w:rsid w:val="00CD6CB7"/>
    <w:rsid w:val="00CD73A7"/>
    <w:rsid w:val="00CE118D"/>
    <w:rsid w:val="00CE28C0"/>
    <w:rsid w:val="00CE482C"/>
    <w:rsid w:val="00CE4E6D"/>
    <w:rsid w:val="00CE66A6"/>
    <w:rsid w:val="00CE6D82"/>
    <w:rsid w:val="00CE6E8D"/>
    <w:rsid w:val="00CE7A00"/>
    <w:rsid w:val="00CF018E"/>
    <w:rsid w:val="00CF0FC8"/>
    <w:rsid w:val="00CF3F8C"/>
    <w:rsid w:val="00CF739F"/>
    <w:rsid w:val="00D011C2"/>
    <w:rsid w:val="00D02397"/>
    <w:rsid w:val="00D02ED4"/>
    <w:rsid w:val="00D0318D"/>
    <w:rsid w:val="00D11A74"/>
    <w:rsid w:val="00D121A7"/>
    <w:rsid w:val="00D123D1"/>
    <w:rsid w:val="00D17E0C"/>
    <w:rsid w:val="00D17E3B"/>
    <w:rsid w:val="00D21A73"/>
    <w:rsid w:val="00D22070"/>
    <w:rsid w:val="00D22603"/>
    <w:rsid w:val="00D25F26"/>
    <w:rsid w:val="00D27D5D"/>
    <w:rsid w:val="00D27EB6"/>
    <w:rsid w:val="00D3096E"/>
    <w:rsid w:val="00D32900"/>
    <w:rsid w:val="00D35A21"/>
    <w:rsid w:val="00D410A9"/>
    <w:rsid w:val="00D4197C"/>
    <w:rsid w:val="00D41DB8"/>
    <w:rsid w:val="00D46186"/>
    <w:rsid w:val="00D47274"/>
    <w:rsid w:val="00D47AF7"/>
    <w:rsid w:val="00D507AB"/>
    <w:rsid w:val="00D50B04"/>
    <w:rsid w:val="00D50ECB"/>
    <w:rsid w:val="00D51A59"/>
    <w:rsid w:val="00D5268F"/>
    <w:rsid w:val="00D53E48"/>
    <w:rsid w:val="00D5509C"/>
    <w:rsid w:val="00D55E01"/>
    <w:rsid w:val="00D62888"/>
    <w:rsid w:val="00D63A43"/>
    <w:rsid w:val="00D702F9"/>
    <w:rsid w:val="00D71108"/>
    <w:rsid w:val="00D71D89"/>
    <w:rsid w:val="00D75679"/>
    <w:rsid w:val="00D7598F"/>
    <w:rsid w:val="00D763C6"/>
    <w:rsid w:val="00D80E5B"/>
    <w:rsid w:val="00D82291"/>
    <w:rsid w:val="00D8246B"/>
    <w:rsid w:val="00D83550"/>
    <w:rsid w:val="00D84771"/>
    <w:rsid w:val="00D84861"/>
    <w:rsid w:val="00D86C19"/>
    <w:rsid w:val="00D86C98"/>
    <w:rsid w:val="00D86D84"/>
    <w:rsid w:val="00D87ECF"/>
    <w:rsid w:val="00D921B9"/>
    <w:rsid w:val="00D93FF3"/>
    <w:rsid w:val="00D949D2"/>
    <w:rsid w:val="00DA0E67"/>
    <w:rsid w:val="00DA185B"/>
    <w:rsid w:val="00DA200E"/>
    <w:rsid w:val="00DA3FD5"/>
    <w:rsid w:val="00DA5E00"/>
    <w:rsid w:val="00DA6844"/>
    <w:rsid w:val="00DA73F7"/>
    <w:rsid w:val="00DB31A1"/>
    <w:rsid w:val="00DB3FCB"/>
    <w:rsid w:val="00DB3FDA"/>
    <w:rsid w:val="00DB6DF7"/>
    <w:rsid w:val="00DC00E3"/>
    <w:rsid w:val="00DC1A7E"/>
    <w:rsid w:val="00DC2C4B"/>
    <w:rsid w:val="00DC3FE1"/>
    <w:rsid w:val="00DC5FCB"/>
    <w:rsid w:val="00DC7D9C"/>
    <w:rsid w:val="00DD129C"/>
    <w:rsid w:val="00DD5775"/>
    <w:rsid w:val="00DD675B"/>
    <w:rsid w:val="00DE0768"/>
    <w:rsid w:val="00DE4F0F"/>
    <w:rsid w:val="00DF10F8"/>
    <w:rsid w:val="00DF1ED1"/>
    <w:rsid w:val="00DF22D0"/>
    <w:rsid w:val="00DF4467"/>
    <w:rsid w:val="00DF4908"/>
    <w:rsid w:val="00DF7A77"/>
    <w:rsid w:val="00E01A5B"/>
    <w:rsid w:val="00E01B06"/>
    <w:rsid w:val="00E02AD3"/>
    <w:rsid w:val="00E05547"/>
    <w:rsid w:val="00E066FE"/>
    <w:rsid w:val="00E101DF"/>
    <w:rsid w:val="00E15BDF"/>
    <w:rsid w:val="00E15C03"/>
    <w:rsid w:val="00E20C51"/>
    <w:rsid w:val="00E20C53"/>
    <w:rsid w:val="00E2356B"/>
    <w:rsid w:val="00E25321"/>
    <w:rsid w:val="00E264D3"/>
    <w:rsid w:val="00E31430"/>
    <w:rsid w:val="00E3188E"/>
    <w:rsid w:val="00E353C8"/>
    <w:rsid w:val="00E36C87"/>
    <w:rsid w:val="00E401A1"/>
    <w:rsid w:val="00E40238"/>
    <w:rsid w:val="00E40279"/>
    <w:rsid w:val="00E42DF8"/>
    <w:rsid w:val="00E42F4E"/>
    <w:rsid w:val="00E50626"/>
    <w:rsid w:val="00E52B4F"/>
    <w:rsid w:val="00E53CB0"/>
    <w:rsid w:val="00E545A0"/>
    <w:rsid w:val="00E54B17"/>
    <w:rsid w:val="00E563DC"/>
    <w:rsid w:val="00E575DC"/>
    <w:rsid w:val="00E60CD0"/>
    <w:rsid w:val="00E6105C"/>
    <w:rsid w:val="00E6183E"/>
    <w:rsid w:val="00E62016"/>
    <w:rsid w:val="00E648F0"/>
    <w:rsid w:val="00E65056"/>
    <w:rsid w:val="00E65FF0"/>
    <w:rsid w:val="00E70638"/>
    <w:rsid w:val="00E70F1E"/>
    <w:rsid w:val="00E71965"/>
    <w:rsid w:val="00E742EC"/>
    <w:rsid w:val="00E75E2E"/>
    <w:rsid w:val="00E77827"/>
    <w:rsid w:val="00E81E14"/>
    <w:rsid w:val="00E85856"/>
    <w:rsid w:val="00E87FC0"/>
    <w:rsid w:val="00E900FC"/>
    <w:rsid w:val="00E91BF5"/>
    <w:rsid w:val="00E9233B"/>
    <w:rsid w:val="00E92351"/>
    <w:rsid w:val="00E93196"/>
    <w:rsid w:val="00E9608D"/>
    <w:rsid w:val="00EA208B"/>
    <w:rsid w:val="00EA3BB2"/>
    <w:rsid w:val="00EA5550"/>
    <w:rsid w:val="00EB020F"/>
    <w:rsid w:val="00EB041F"/>
    <w:rsid w:val="00EB2841"/>
    <w:rsid w:val="00EB475A"/>
    <w:rsid w:val="00EB4FC6"/>
    <w:rsid w:val="00EB56E7"/>
    <w:rsid w:val="00EB5874"/>
    <w:rsid w:val="00EB6B70"/>
    <w:rsid w:val="00EC0AA8"/>
    <w:rsid w:val="00EC2A9E"/>
    <w:rsid w:val="00ED0171"/>
    <w:rsid w:val="00ED02EA"/>
    <w:rsid w:val="00ED3697"/>
    <w:rsid w:val="00ED48B8"/>
    <w:rsid w:val="00ED4C9B"/>
    <w:rsid w:val="00ED4CF3"/>
    <w:rsid w:val="00ED4F0A"/>
    <w:rsid w:val="00ED52CA"/>
    <w:rsid w:val="00ED6B7C"/>
    <w:rsid w:val="00EE0BCC"/>
    <w:rsid w:val="00EE152D"/>
    <w:rsid w:val="00EE182A"/>
    <w:rsid w:val="00EE1FF8"/>
    <w:rsid w:val="00EE206E"/>
    <w:rsid w:val="00EE33AD"/>
    <w:rsid w:val="00EE3AED"/>
    <w:rsid w:val="00EE7BD0"/>
    <w:rsid w:val="00EF0DFB"/>
    <w:rsid w:val="00EF2838"/>
    <w:rsid w:val="00EF3A3D"/>
    <w:rsid w:val="00EF42DF"/>
    <w:rsid w:val="00EF4F68"/>
    <w:rsid w:val="00EF55E3"/>
    <w:rsid w:val="00EF5733"/>
    <w:rsid w:val="00F00131"/>
    <w:rsid w:val="00F0075E"/>
    <w:rsid w:val="00F00855"/>
    <w:rsid w:val="00F00F40"/>
    <w:rsid w:val="00F02382"/>
    <w:rsid w:val="00F02A9C"/>
    <w:rsid w:val="00F041F2"/>
    <w:rsid w:val="00F06EB8"/>
    <w:rsid w:val="00F12DB6"/>
    <w:rsid w:val="00F12E4B"/>
    <w:rsid w:val="00F13E10"/>
    <w:rsid w:val="00F14B5B"/>
    <w:rsid w:val="00F1603B"/>
    <w:rsid w:val="00F1705A"/>
    <w:rsid w:val="00F20B57"/>
    <w:rsid w:val="00F20ED3"/>
    <w:rsid w:val="00F21765"/>
    <w:rsid w:val="00F225E0"/>
    <w:rsid w:val="00F24716"/>
    <w:rsid w:val="00F26163"/>
    <w:rsid w:val="00F26381"/>
    <w:rsid w:val="00F27930"/>
    <w:rsid w:val="00F309C9"/>
    <w:rsid w:val="00F30D59"/>
    <w:rsid w:val="00F337A2"/>
    <w:rsid w:val="00F350C7"/>
    <w:rsid w:val="00F35159"/>
    <w:rsid w:val="00F35216"/>
    <w:rsid w:val="00F404D4"/>
    <w:rsid w:val="00F417D5"/>
    <w:rsid w:val="00F45B91"/>
    <w:rsid w:val="00F51545"/>
    <w:rsid w:val="00F522A7"/>
    <w:rsid w:val="00F52B52"/>
    <w:rsid w:val="00F538E3"/>
    <w:rsid w:val="00F54904"/>
    <w:rsid w:val="00F54B0E"/>
    <w:rsid w:val="00F55185"/>
    <w:rsid w:val="00F55728"/>
    <w:rsid w:val="00F56682"/>
    <w:rsid w:val="00F60EE5"/>
    <w:rsid w:val="00F628B7"/>
    <w:rsid w:val="00F64A46"/>
    <w:rsid w:val="00F700FD"/>
    <w:rsid w:val="00F71425"/>
    <w:rsid w:val="00F716C9"/>
    <w:rsid w:val="00F73C5A"/>
    <w:rsid w:val="00F7402A"/>
    <w:rsid w:val="00F83291"/>
    <w:rsid w:val="00F83E3F"/>
    <w:rsid w:val="00F852B5"/>
    <w:rsid w:val="00F855B1"/>
    <w:rsid w:val="00F86D3A"/>
    <w:rsid w:val="00F87088"/>
    <w:rsid w:val="00F87FD0"/>
    <w:rsid w:val="00F90A02"/>
    <w:rsid w:val="00F90CCF"/>
    <w:rsid w:val="00F92AD0"/>
    <w:rsid w:val="00F92F6F"/>
    <w:rsid w:val="00F94957"/>
    <w:rsid w:val="00F96179"/>
    <w:rsid w:val="00F96E9F"/>
    <w:rsid w:val="00FA25F0"/>
    <w:rsid w:val="00FA3E36"/>
    <w:rsid w:val="00FA510E"/>
    <w:rsid w:val="00FB19A7"/>
    <w:rsid w:val="00FB3020"/>
    <w:rsid w:val="00FB31E0"/>
    <w:rsid w:val="00FB50F2"/>
    <w:rsid w:val="00FC2953"/>
    <w:rsid w:val="00FC2EEC"/>
    <w:rsid w:val="00FC4D67"/>
    <w:rsid w:val="00FC5629"/>
    <w:rsid w:val="00FC7F61"/>
    <w:rsid w:val="00FD0DA4"/>
    <w:rsid w:val="00FD3523"/>
    <w:rsid w:val="00FD3D05"/>
    <w:rsid w:val="00FD43D7"/>
    <w:rsid w:val="00FD4AAE"/>
    <w:rsid w:val="00FD631E"/>
    <w:rsid w:val="00FD7DE9"/>
    <w:rsid w:val="00FE0C35"/>
    <w:rsid w:val="00FE0F30"/>
    <w:rsid w:val="00FE154A"/>
    <w:rsid w:val="00FE2250"/>
    <w:rsid w:val="00FE2B59"/>
    <w:rsid w:val="00FE31B0"/>
    <w:rsid w:val="00FE3E06"/>
    <w:rsid w:val="00FF38B7"/>
    <w:rsid w:val="00FF42B9"/>
    <w:rsid w:val="00FF475B"/>
    <w:rsid w:val="00FF575F"/>
    <w:rsid w:val="00FF5AC6"/>
    <w:rsid w:val="00FF5AF3"/>
    <w:rsid w:val="00FF65E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C403C"/>
  <w15:docId w15:val="{07DA0EF2-080E-41A6-9221-9340E54B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83D"/>
    <w:pPr>
      <w:jc w:val="both"/>
    </w:pPr>
    <w:rPr>
      <w:sz w:val="22"/>
      <w:szCs w:val="24"/>
      <w:lang w:val="en-GB" w:eastAsia="en-US"/>
    </w:rPr>
  </w:style>
  <w:style w:type="paragraph" w:styleId="Ttulo1">
    <w:name w:val="heading 1"/>
    <w:basedOn w:val="Normal"/>
    <w:next w:val="Ttulo2"/>
    <w:qFormat/>
    <w:rsid w:val="00A75BAD"/>
    <w:pPr>
      <w:keepNext/>
      <w:tabs>
        <w:tab w:val="left" w:pos="720"/>
      </w:tabs>
      <w:spacing w:before="240" w:after="120"/>
      <w:jc w:val="center"/>
      <w:outlineLvl w:val="0"/>
    </w:pPr>
    <w:rPr>
      <w:b/>
      <w:caps/>
    </w:rPr>
  </w:style>
  <w:style w:type="paragraph" w:styleId="Ttulo2">
    <w:name w:val="heading 2"/>
    <w:basedOn w:val="Normal"/>
    <w:next w:val="Normal"/>
    <w:qFormat/>
    <w:rsid w:val="00133576"/>
    <w:pPr>
      <w:keepNext/>
      <w:tabs>
        <w:tab w:val="left" w:pos="720"/>
      </w:tabs>
      <w:spacing w:before="120" w:after="120"/>
      <w:jc w:val="center"/>
      <w:outlineLvl w:val="1"/>
    </w:pPr>
    <w:rPr>
      <w:b/>
      <w:bCs/>
      <w:iCs/>
    </w:rPr>
  </w:style>
  <w:style w:type="paragraph" w:styleId="Ttulo3">
    <w:name w:val="heading 3"/>
    <w:basedOn w:val="Normal"/>
    <w:next w:val="Normal"/>
    <w:qFormat/>
    <w:rsid w:val="00A75BAD"/>
    <w:pPr>
      <w:keepNext/>
      <w:tabs>
        <w:tab w:val="left" w:pos="567"/>
      </w:tabs>
      <w:spacing w:before="120" w:after="120"/>
      <w:jc w:val="center"/>
      <w:outlineLvl w:val="2"/>
    </w:pPr>
    <w:rPr>
      <w:i/>
      <w:iCs/>
    </w:rPr>
  </w:style>
  <w:style w:type="paragraph" w:styleId="Ttulo4">
    <w:name w:val="heading 4"/>
    <w:basedOn w:val="Normal"/>
    <w:qFormat/>
    <w:rsid w:val="00A75BAD"/>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qFormat/>
    <w:rsid w:val="00A75BAD"/>
    <w:pPr>
      <w:keepNext/>
      <w:numPr>
        <w:ilvl w:val="4"/>
        <w:numId w:val="1"/>
      </w:numPr>
      <w:spacing w:before="120" w:after="120"/>
      <w:jc w:val="left"/>
      <w:outlineLvl w:val="4"/>
    </w:pPr>
    <w:rPr>
      <w:bCs/>
      <w:i/>
      <w:szCs w:val="26"/>
      <w:lang w:val="en-CA"/>
    </w:rPr>
  </w:style>
  <w:style w:type="paragraph" w:styleId="Ttulo6">
    <w:name w:val="heading 6"/>
    <w:basedOn w:val="Normal"/>
    <w:next w:val="Normal"/>
    <w:qFormat/>
    <w:rsid w:val="00A75BAD"/>
    <w:pPr>
      <w:keepNext/>
      <w:spacing w:after="240" w:line="240" w:lineRule="exact"/>
      <w:ind w:left="720"/>
      <w:outlineLvl w:val="5"/>
    </w:pPr>
    <w:rPr>
      <w:u w:val="single"/>
    </w:rPr>
  </w:style>
  <w:style w:type="paragraph" w:styleId="Ttulo7">
    <w:name w:val="heading 7"/>
    <w:basedOn w:val="Normal"/>
    <w:next w:val="Normal"/>
    <w:link w:val="Ttulo7Car"/>
    <w:qFormat/>
    <w:rsid w:val="00A75BAD"/>
    <w:pPr>
      <w:keepNext/>
      <w:jc w:val="right"/>
      <w:outlineLvl w:val="6"/>
    </w:pPr>
    <w:rPr>
      <w:rFonts w:ascii="Univers" w:hAnsi="Univers"/>
      <w:b/>
      <w:sz w:val="28"/>
    </w:rPr>
  </w:style>
  <w:style w:type="paragraph" w:styleId="Ttulo8">
    <w:name w:val="heading 8"/>
    <w:basedOn w:val="Normal"/>
    <w:next w:val="Normal"/>
    <w:qFormat/>
    <w:rsid w:val="00A75BAD"/>
    <w:pPr>
      <w:keepNext/>
      <w:jc w:val="right"/>
      <w:outlineLvl w:val="7"/>
    </w:pPr>
    <w:rPr>
      <w:rFonts w:ascii="Univers" w:hAnsi="Univers"/>
      <w:b/>
      <w:sz w:val="32"/>
    </w:rPr>
  </w:style>
  <w:style w:type="paragraph" w:styleId="Ttulo9">
    <w:name w:val="heading 9"/>
    <w:basedOn w:val="Normal"/>
    <w:next w:val="Normal"/>
    <w:qFormat/>
    <w:rsid w:val="00A75BAD"/>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75BAD"/>
    <w:pPr>
      <w:tabs>
        <w:tab w:val="center" w:pos="4320"/>
        <w:tab w:val="right" w:pos="8640"/>
      </w:tabs>
    </w:pPr>
  </w:style>
  <w:style w:type="paragraph" w:styleId="Piedepgina">
    <w:name w:val="footer"/>
    <w:basedOn w:val="Normal"/>
    <w:rsid w:val="00A75BAD"/>
    <w:pPr>
      <w:tabs>
        <w:tab w:val="center" w:pos="4320"/>
        <w:tab w:val="right" w:pos="8640"/>
      </w:tabs>
      <w:ind w:firstLine="720"/>
      <w:jc w:val="right"/>
    </w:pPr>
  </w:style>
  <w:style w:type="paragraph" w:customStyle="1" w:styleId="Para1">
    <w:name w:val="Para1"/>
    <w:basedOn w:val="Normal"/>
    <w:link w:val="Para1Char"/>
    <w:rsid w:val="00A75BAD"/>
    <w:pPr>
      <w:numPr>
        <w:numId w:val="2"/>
      </w:numPr>
      <w:spacing w:before="120" w:after="120"/>
    </w:pPr>
    <w:rPr>
      <w:snapToGrid w:val="0"/>
      <w:szCs w:val="18"/>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qFormat/>
    <w:rsid w:val="00A75BAD"/>
    <w:pPr>
      <w:keepLines/>
      <w:spacing w:after="60"/>
      <w:ind w:firstLine="720"/>
    </w:pPr>
    <w:rPr>
      <w:sz w:val="18"/>
    </w:rPr>
  </w:style>
  <w:style w:type="paragraph" w:styleId="Textoindependiente">
    <w:name w:val="Body Text"/>
    <w:basedOn w:val="Normal"/>
    <w:rsid w:val="00A75BAD"/>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tulo2"/>
    <w:qFormat/>
    <w:rsid w:val="006507F2"/>
  </w:style>
  <w:style w:type="character" w:styleId="Refdecomentario">
    <w:name w:val="annotation reference"/>
    <w:uiPriority w:val="99"/>
    <w:semiHidden/>
    <w:rsid w:val="00A75BAD"/>
    <w:rPr>
      <w:sz w:val="16"/>
    </w:rPr>
  </w:style>
  <w:style w:type="paragraph" w:styleId="Textocomentario">
    <w:name w:val="annotation text"/>
    <w:basedOn w:val="Normal"/>
    <w:link w:val="TextocomentarioCar"/>
    <w:uiPriority w:val="99"/>
    <w:semiHidden/>
    <w:rsid w:val="00A75BAD"/>
    <w:pPr>
      <w:spacing w:after="120" w:line="240" w:lineRule="exact"/>
    </w:p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qFormat/>
    <w:rsid w:val="0042224E"/>
    <w:rPr>
      <w:sz w:val="22"/>
      <w:u w:val="none"/>
      <w:vertAlign w:val="superscript"/>
    </w:rPr>
  </w:style>
  <w:style w:type="paragraph" w:styleId="Sangradetextonormal">
    <w:name w:val="Body Text Indent"/>
    <w:basedOn w:val="Normal"/>
    <w:rsid w:val="00A75BAD"/>
    <w:pPr>
      <w:spacing w:before="120" w:after="120"/>
      <w:ind w:left="1440" w:hanging="720"/>
      <w:jc w:val="left"/>
    </w:pPr>
  </w:style>
  <w:style w:type="character" w:styleId="Nmerodepgina">
    <w:name w:val="page number"/>
    <w:rsid w:val="00A75BAD"/>
    <w:rPr>
      <w:rFonts w:ascii="Times New Roman" w:hAnsi="Times New Roman"/>
      <w:sz w:val="22"/>
    </w:rPr>
  </w:style>
  <w:style w:type="paragraph" w:customStyle="1" w:styleId="HEADING">
    <w:name w:val="HEADING"/>
    <w:basedOn w:val="Normal"/>
    <w:rsid w:val="00A75BAD"/>
    <w:pPr>
      <w:keepNext/>
      <w:spacing w:before="240" w:after="120"/>
      <w:jc w:val="center"/>
    </w:pPr>
    <w:rPr>
      <w:b/>
      <w:bCs/>
      <w:caps/>
    </w:rPr>
  </w:style>
  <w:style w:type="paragraph" w:customStyle="1" w:styleId="para4">
    <w:name w:val="para4"/>
    <w:basedOn w:val="Normal"/>
    <w:rsid w:val="00A75BAD"/>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tulo4"/>
    <w:rsid w:val="000F63AB"/>
    <w:pPr>
      <w:ind w:left="720"/>
      <w:outlineLvl w:val="9"/>
    </w:pPr>
    <w:rPr>
      <w:rFonts w:ascii="Times New Roman" w:hAnsi="Times New Roman"/>
    </w:rPr>
  </w:style>
  <w:style w:type="paragraph" w:customStyle="1" w:styleId="Cornernotation">
    <w:name w:val="Corner notation"/>
    <w:basedOn w:val="Normal"/>
    <w:rsid w:val="0012633E"/>
    <w:pPr>
      <w:ind w:left="170" w:right="4540" w:hanging="170"/>
      <w:jc w:val="left"/>
    </w:pPr>
  </w:style>
  <w:style w:type="paragraph" w:customStyle="1" w:styleId="Para3">
    <w:name w:val="Para3"/>
    <w:basedOn w:val="Normal"/>
    <w:rsid w:val="00A75BAD"/>
    <w:pPr>
      <w:tabs>
        <w:tab w:val="num" w:pos="1440"/>
        <w:tab w:val="left" w:pos="1980"/>
      </w:tabs>
      <w:spacing w:before="80" w:after="80"/>
      <w:ind w:left="1440" w:hanging="36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tulo2"/>
    <w:qFormat/>
    <w:rsid w:val="000F63AB"/>
    <w:pPr>
      <w:jc w:val="left"/>
      <w:outlineLvl w:val="9"/>
    </w:pPr>
  </w:style>
  <w:style w:type="paragraph" w:styleId="Encabezadodelista">
    <w:name w:val="toa heading"/>
    <w:basedOn w:val="Normal"/>
    <w:next w:val="Normal"/>
    <w:semiHidden/>
    <w:rsid w:val="00A75BAD"/>
    <w:pPr>
      <w:spacing w:before="120"/>
    </w:pPr>
    <w:rPr>
      <w:rFonts w:cs="Arial"/>
      <w:b/>
      <w:bCs/>
      <w:sz w:val="24"/>
    </w:rPr>
  </w:style>
  <w:style w:type="paragraph" w:styleId="TDC9">
    <w:name w:val="toc 9"/>
    <w:basedOn w:val="Normal"/>
    <w:next w:val="Normal"/>
    <w:autoRedefine/>
    <w:uiPriority w:val="39"/>
    <w:semiHidden/>
    <w:rsid w:val="00A46A72"/>
    <w:pPr>
      <w:numPr>
        <w:ilvl w:val="2"/>
        <w:numId w:val="2"/>
      </w:numPr>
      <w:spacing w:before="120" w:after="120"/>
      <w:jc w:val="left"/>
    </w:pPr>
  </w:style>
  <w:style w:type="paragraph" w:styleId="TDC1">
    <w:name w:val="toc 1"/>
    <w:basedOn w:val="Normal"/>
    <w:next w:val="Normal"/>
    <w:autoRedefine/>
    <w:semiHidden/>
    <w:rsid w:val="00A75BAD"/>
    <w:pPr>
      <w:ind w:left="720" w:hanging="720"/>
    </w:pPr>
    <w:rPr>
      <w:caps/>
    </w:rPr>
  </w:style>
  <w:style w:type="paragraph" w:styleId="TDC2">
    <w:name w:val="toc 2"/>
    <w:basedOn w:val="Normal"/>
    <w:next w:val="Normal"/>
    <w:autoRedefine/>
    <w:semiHidden/>
    <w:rsid w:val="00A75BAD"/>
    <w:pPr>
      <w:tabs>
        <w:tab w:val="right" w:leader="dot" w:pos="9356"/>
      </w:tabs>
      <w:ind w:left="1440" w:hanging="720"/>
    </w:pPr>
    <w:rPr>
      <w:noProof/>
      <w:szCs w:val="22"/>
    </w:rPr>
  </w:style>
  <w:style w:type="paragraph" w:styleId="TDC3">
    <w:name w:val="toc 3"/>
    <w:basedOn w:val="Normal"/>
    <w:next w:val="Normal"/>
    <w:autoRedefine/>
    <w:semiHidden/>
    <w:rsid w:val="00A75BAD"/>
    <w:pPr>
      <w:ind w:left="2160" w:hanging="720"/>
    </w:pPr>
  </w:style>
  <w:style w:type="paragraph" w:styleId="TDC4">
    <w:name w:val="toc 4"/>
    <w:basedOn w:val="Normal"/>
    <w:next w:val="Normal"/>
    <w:autoRedefine/>
    <w:semiHidden/>
    <w:rsid w:val="00A75BAD"/>
    <w:pPr>
      <w:spacing w:before="120" w:after="120"/>
      <w:ind w:left="660"/>
      <w:jc w:val="left"/>
    </w:pPr>
  </w:style>
  <w:style w:type="paragraph" w:styleId="TDC5">
    <w:name w:val="toc 5"/>
    <w:basedOn w:val="Normal"/>
    <w:next w:val="Normal"/>
    <w:autoRedefine/>
    <w:semiHidden/>
    <w:rsid w:val="00A75BAD"/>
    <w:pPr>
      <w:spacing w:before="120" w:after="120"/>
      <w:ind w:left="880"/>
      <w:jc w:val="left"/>
    </w:pPr>
  </w:style>
  <w:style w:type="paragraph" w:styleId="TDC6">
    <w:name w:val="toc 6"/>
    <w:basedOn w:val="Normal"/>
    <w:next w:val="Normal"/>
    <w:autoRedefine/>
    <w:semiHidden/>
    <w:rsid w:val="00A75BAD"/>
    <w:pPr>
      <w:spacing w:before="120" w:after="120"/>
      <w:ind w:left="1100"/>
      <w:jc w:val="left"/>
    </w:pPr>
  </w:style>
  <w:style w:type="paragraph" w:styleId="TDC7">
    <w:name w:val="toc 7"/>
    <w:basedOn w:val="Normal"/>
    <w:next w:val="Normal"/>
    <w:autoRedefine/>
    <w:semiHidden/>
    <w:rsid w:val="00A75BAD"/>
    <w:pPr>
      <w:spacing w:before="120" w:after="120"/>
      <w:ind w:left="1320"/>
      <w:jc w:val="left"/>
    </w:pPr>
  </w:style>
  <w:style w:type="paragraph" w:styleId="TDC8">
    <w:name w:val="toc 8"/>
    <w:basedOn w:val="Normal"/>
    <w:next w:val="Normal"/>
    <w:autoRedefine/>
    <w:semiHidden/>
    <w:rsid w:val="00A75BAD"/>
    <w:pPr>
      <w:spacing w:before="120" w:after="120"/>
      <w:ind w:left="1540"/>
      <w:jc w:val="left"/>
    </w:pPr>
  </w:style>
  <w:style w:type="paragraph" w:customStyle="1" w:styleId="reference">
    <w:name w:val="reference"/>
    <w:basedOn w:val="Ttulo9"/>
    <w:qFormat/>
    <w:rsid w:val="000F63AB"/>
    <w:rPr>
      <w:i w:val="0"/>
      <w:sz w:val="18"/>
    </w:rPr>
  </w:style>
  <w:style w:type="character" w:styleId="Hipervnculovisitado">
    <w:name w:val="FollowedHyperlink"/>
    <w:rsid w:val="00A75BAD"/>
    <w:rPr>
      <w:color w:val="800080"/>
      <w:u w:val="single"/>
    </w:rPr>
  </w:style>
  <w:style w:type="paragraph" w:styleId="Textoindependiente2">
    <w:name w:val="Body Text 2"/>
    <w:basedOn w:val="Normal"/>
    <w:link w:val="Textoindependiente2Car"/>
    <w:uiPriority w:val="99"/>
    <w:semiHidden/>
    <w:unhideWhenUsed/>
    <w:rsid w:val="00862D66"/>
    <w:pPr>
      <w:spacing w:after="120" w:line="480" w:lineRule="auto"/>
    </w:pPr>
  </w:style>
  <w:style w:type="paragraph" w:customStyle="1" w:styleId="Para2">
    <w:name w:val="Para2"/>
    <w:basedOn w:val="Para1"/>
    <w:rsid w:val="00A75BAD"/>
    <w:pPr>
      <w:numPr>
        <w:numId w:val="3"/>
      </w:numPr>
      <w:tabs>
        <w:tab w:val="clear" w:pos="1080"/>
      </w:tabs>
      <w:autoSpaceDE w:val="0"/>
      <w:autoSpaceDN w:val="0"/>
      <w:ind w:left="0" w:firstLine="720"/>
    </w:pPr>
  </w:style>
  <w:style w:type="paragraph" w:customStyle="1" w:styleId="Para-decision">
    <w:name w:val="Para-decision"/>
    <w:basedOn w:val="Normal"/>
    <w:rsid w:val="007E6F89"/>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customStyle="1" w:styleId="Textoindependiente2Car">
    <w:name w:val="Texto independiente 2 Car"/>
    <w:link w:val="Textoindependiente2"/>
    <w:uiPriority w:val="99"/>
    <w:semiHidden/>
    <w:rsid w:val="00862D66"/>
    <w:rPr>
      <w:sz w:val="22"/>
      <w:szCs w:val="24"/>
      <w:lang w:val="en-GB" w:eastAsia="en-US"/>
    </w:rPr>
  </w:style>
  <w:style w:type="character" w:styleId="Refdenotaalfinal">
    <w:name w:val="endnote reference"/>
    <w:semiHidden/>
    <w:rsid w:val="00A75BAD"/>
    <w:rPr>
      <w:vertAlign w:val="superscript"/>
    </w:rPr>
  </w:style>
  <w:style w:type="paragraph" w:styleId="Textonotaalfinal">
    <w:name w:val="endnote text"/>
    <w:basedOn w:val="Normal"/>
    <w:semiHidden/>
    <w:rsid w:val="00A75BAD"/>
    <w:pPr>
      <w:widowControl w:val="0"/>
      <w:tabs>
        <w:tab w:val="left" w:pos="-720"/>
      </w:tabs>
      <w:suppressAutoHyphens/>
    </w:pPr>
    <w:rPr>
      <w:rFonts w:ascii="Courier New" w:hAnsi="Courier New"/>
    </w:rPr>
  </w:style>
  <w:style w:type="paragraph" w:customStyle="1" w:styleId="Heading1longmultiline">
    <w:name w:val="Heading 1 (long multiline)"/>
    <w:basedOn w:val="Ttulo1"/>
    <w:rsid w:val="00A75BAD"/>
    <w:pPr>
      <w:ind w:left="1843" w:hanging="1134"/>
      <w:jc w:val="left"/>
    </w:pPr>
  </w:style>
  <w:style w:type="paragraph" w:customStyle="1" w:styleId="Heading1multiline">
    <w:name w:val="Heading 1 (multiline)"/>
    <w:basedOn w:val="Ttulo1"/>
    <w:rsid w:val="00A75BAD"/>
    <w:pPr>
      <w:ind w:left="1843" w:right="996" w:hanging="567"/>
      <w:jc w:val="left"/>
    </w:pPr>
  </w:style>
  <w:style w:type="paragraph" w:customStyle="1" w:styleId="Heading2multiline">
    <w:name w:val="Heading 2 (multiline)"/>
    <w:basedOn w:val="Ttulo1"/>
    <w:next w:val="Para1"/>
    <w:rsid w:val="00A75BAD"/>
    <w:pPr>
      <w:spacing w:before="120"/>
      <w:ind w:left="1843" w:right="998" w:hanging="567"/>
      <w:jc w:val="left"/>
    </w:pPr>
    <w:rPr>
      <w:i/>
      <w:iCs/>
      <w:caps w:val="0"/>
    </w:rPr>
  </w:style>
  <w:style w:type="paragraph" w:customStyle="1" w:styleId="Heading2longmultiline">
    <w:name w:val="Heading 2 (long multiline)"/>
    <w:basedOn w:val="Heading2multiline"/>
    <w:rsid w:val="00A75BAD"/>
    <w:pPr>
      <w:ind w:left="2127" w:hanging="1276"/>
    </w:pPr>
  </w:style>
  <w:style w:type="paragraph" w:customStyle="1" w:styleId="Heading3multiline">
    <w:name w:val="Heading 3 (multiline)"/>
    <w:basedOn w:val="Ttulo3"/>
    <w:next w:val="Para1"/>
    <w:rsid w:val="00A75BAD"/>
    <w:pPr>
      <w:ind w:left="1418" w:hanging="425"/>
      <w:jc w:val="left"/>
    </w:pPr>
  </w:style>
  <w:style w:type="paragraph" w:customStyle="1" w:styleId="heading2notforTOC">
    <w:name w:val="heading 2 not for TOC"/>
    <w:basedOn w:val="Ttulo3"/>
    <w:rsid w:val="00A71706"/>
  </w:style>
  <w:style w:type="paragraph" w:customStyle="1" w:styleId="HEADINGNOTFORTOC">
    <w:name w:val="HEADING (NOT FOR TOC)"/>
    <w:basedOn w:val="Ttulo1"/>
    <w:next w:val="Ttulo2"/>
    <w:rsid w:val="00BB5903"/>
  </w:style>
  <w:style w:type="paragraph" w:customStyle="1" w:styleId="Heading2-center">
    <w:name w:val="Heading 2-center"/>
    <w:basedOn w:val="Ttulo2"/>
    <w:rsid w:val="00C03925"/>
    <w:pPr>
      <w:outlineLvl w:val="9"/>
    </w:pPr>
    <w:rPr>
      <w:i/>
      <w:iCs w:val="0"/>
      <w:caps/>
    </w:rPr>
  </w:style>
  <w:style w:type="paragraph" w:customStyle="1" w:styleId="ColorfulList-Accent11">
    <w:name w:val="Colorful List - Accent 11"/>
    <w:basedOn w:val="Normal"/>
    <w:uiPriority w:val="34"/>
    <w:qFormat/>
    <w:rsid w:val="00C03925"/>
    <w:pPr>
      <w:spacing w:after="200" w:line="276" w:lineRule="auto"/>
      <w:ind w:left="720"/>
      <w:contextualSpacing/>
      <w:jc w:val="left"/>
    </w:pPr>
    <w:rPr>
      <w:rFonts w:ascii="Calibri" w:hAnsi="Calibri"/>
      <w:szCs w:val="22"/>
    </w:rPr>
  </w:style>
  <w:style w:type="character" w:customStyle="1" w:styleId="apple-converted-space">
    <w:name w:val="apple-converted-space"/>
    <w:basedOn w:val="Fuentedeprrafopredeter"/>
    <w:rsid w:val="00C201F4"/>
  </w:style>
  <w:style w:type="character" w:styleId="Hipervnculo">
    <w:name w:val="Hyperlink"/>
    <w:uiPriority w:val="99"/>
    <w:unhideWhenUsed/>
    <w:rsid w:val="00C201F4"/>
    <w:rPr>
      <w:color w:val="0000FF"/>
      <w:u w:val="single"/>
    </w:rPr>
  </w:style>
  <w:style w:type="character" w:styleId="VariableHTML">
    <w:name w:val="HTML Variable"/>
    <w:uiPriority w:val="99"/>
    <w:semiHidden/>
    <w:unhideWhenUsed/>
    <w:rsid w:val="00C201F4"/>
    <w:rPr>
      <w:i/>
      <w:iCs/>
    </w:rPr>
  </w:style>
  <w:style w:type="character" w:styleId="nfasis">
    <w:name w:val="Emphasis"/>
    <w:uiPriority w:val="20"/>
    <w:qFormat/>
    <w:rsid w:val="00C201F4"/>
    <w:rPr>
      <w:i/>
      <w:iCs/>
    </w:rPr>
  </w:style>
  <w:style w:type="paragraph" w:customStyle="1" w:styleId="Default">
    <w:name w:val="Default"/>
    <w:rsid w:val="00C201F4"/>
    <w:pPr>
      <w:widowControl w:val="0"/>
      <w:autoSpaceDE w:val="0"/>
      <w:autoSpaceDN w:val="0"/>
      <w:adjustRightInd w:val="0"/>
    </w:pPr>
    <w:rPr>
      <w:color w:val="000000"/>
      <w:sz w:val="24"/>
      <w:szCs w:val="24"/>
      <w:lang w:eastAsia="en-US"/>
    </w:rPr>
  </w:style>
  <w:style w:type="paragraph" w:customStyle="1" w:styleId="Normal1">
    <w:name w:val="Normal1"/>
    <w:rsid w:val="00E62276"/>
    <w:pPr>
      <w:spacing w:after="200"/>
      <w:jc w:val="both"/>
    </w:pPr>
    <w:rPr>
      <w:color w:val="000000"/>
      <w:sz w:val="22"/>
      <w:szCs w:val="22"/>
      <w:lang w:eastAsia="en-US"/>
    </w:rPr>
  </w:style>
  <w:style w:type="character" w:customStyle="1" w:styleId="Para1Char">
    <w:name w:val="Para1 Char"/>
    <w:link w:val="Para1"/>
    <w:locked/>
    <w:rsid w:val="00E62276"/>
    <w:rPr>
      <w:snapToGrid w:val="0"/>
      <w:sz w:val="22"/>
      <w:szCs w:val="18"/>
      <w:lang w:val="en-GB"/>
    </w:rPr>
  </w:style>
  <w:style w:type="paragraph" w:styleId="Subttulo">
    <w:name w:val="Subtitle"/>
    <w:basedOn w:val="Normal1"/>
    <w:next w:val="Normal1"/>
    <w:link w:val="SubttuloCar"/>
    <w:qFormat/>
    <w:rsid w:val="00E62276"/>
    <w:pPr>
      <w:spacing w:before="360" w:after="80"/>
    </w:pPr>
    <w:rPr>
      <w:rFonts w:ascii="Georgia" w:eastAsia="Georgia" w:hAnsi="Georgia"/>
      <w:i/>
      <w:color w:val="666666"/>
      <w:sz w:val="48"/>
    </w:rPr>
  </w:style>
  <w:style w:type="character" w:customStyle="1" w:styleId="SubttuloCar">
    <w:name w:val="Subtítulo Car"/>
    <w:link w:val="Subttulo"/>
    <w:rsid w:val="00E62276"/>
    <w:rPr>
      <w:rFonts w:ascii="Georgia" w:eastAsia="Georgia" w:hAnsi="Georgia"/>
      <w:i/>
      <w:color w:val="666666"/>
      <w:sz w:val="48"/>
      <w:szCs w:val="22"/>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link w:val="Textonotapie"/>
    <w:rsid w:val="00E62276"/>
    <w:rPr>
      <w:sz w:val="18"/>
      <w:szCs w:val="24"/>
      <w:lang w:val="en-GB"/>
    </w:rPr>
  </w:style>
  <w:style w:type="paragraph" w:customStyle="1" w:styleId="LightGrid-Accent31">
    <w:name w:val="Light Grid - Accent 31"/>
    <w:basedOn w:val="Normal"/>
    <w:uiPriority w:val="34"/>
    <w:qFormat/>
    <w:rsid w:val="007E67C1"/>
    <w:pPr>
      <w:spacing w:after="200" w:line="276" w:lineRule="auto"/>
      <w:ind w:left="720"/>
      <w:contextualSpacing/>
      <w:jc w:val="left"/>
    </w:pPr>
    <w:rPr>
      <w:rFonts w:ascii="Calibri" w:hAnsi="Calibri"/>
      <w:szCs w:val="22"/>
      <w:lang w:val="en-US" w:eastAsia="ko-KR"/>
    </w:rPr>
  </w:style>
  <w:style w:type="character" w:customStyle="1" w:styleId="hps">
    <w:name w:val="hps"/>
    <w:rsid w:val="001618FB"/>
  </w:style>
  <w:style w:type="character" w:customStyle="1" w:styleId="TextocomentarioCar">
    <w:name w:val="Texto comentario Car"/>
    <w:link w:val="Textocomentario"/>
    <w:uiPriority w:val="99"/>
    <w:semiHidden/>
    <w:rsid w:val="009C6750"/>
    <w:rPr>
      <w:sz w:val="22"/>
      <w:szCs w:val="24"/>
      <w:lang w:val="en-GB"/>
    </w:rPr>
  </w:style>
  <w:style w:type="paragraph" w:styleId="Textodeglobo">
    <w:name w:val="Balloon Text"/>
    <w:basedOn w:val="Normal"/>
    <w:link w:val="TextodegloboCar"/>
    <w:uiPriority w:val="99"/>
    <w:semiHidden/>
    <w:unhideWhenUsed/>
    <w:rsid w:val="009C6750"/>
    <w:rPr>
      <w:rFonts w:ascii="Tahoma" w:hAnsi="Tahoma"/>
      <w:sz w:val="16"/>
      <w:szCs w:val="16"/>
    </w:rPr>
  </w:style>
  <w:style w:type="character" w:customStyle="1" w:styleId="TextodegloboCar">
    <w:name w:val="Texto de globo Car"/>
    <w:link w:val="Textodeglobo"/>
    <w:uiPriority w:val="99"/>
    <w:semiHidden/>
    <w:rsid w:val="009C6750"/>
    <w:rPr>
      <w:rFonts w:ascii="Tahoma" w:hAnsi="Tahoma" w:cs="Tahoma"/>
      <w:sz w:val="16"/>
      <w:szCs w:val="16"/>
      <w:lang w:val="en-GB"/>
    </w:rPr>
  </w:style>
  <w:style w:type="paragraph" w:styleId="Asuntodelcomentario">
    <w:name w:val="annotation subject"/>
    <w:basedOn w:val="Textocomentario"/>
    <w:next w:val="Textocomentario"/>
    <w:link w:val="AsuntodelcomentarioCar"/>
    <w:uiPriority w:val="99"/>
    <w:semiHidden/>
    <w:unhideWhenUsed/>
    <w:rsid w:val="00E11447"/>
    <w:pPr>
      <w:spacing w:after="0" w:line="240" w:lineRule="auto"/>
    </w:pPr>
    <w:rPr>
      <w:b/>
      <w:bCs/>
    </w:rPr>
  </w:style>
  <w:style w:type="character" w:customStyle="1" w:styleId="AsuntodelcomentarioCar">
    <w:name w:val="Asunto del comentario Car"/>
    <w:link w:val="Asuntodelcomentario"/>
    <w:uiPriority w:val="99"/>
    <w:semiHidden/>
    <w:rsid w:val="00E11447"/>
    <w:rPr>
      <w:b/>
      <w:bCs/>
      <w:sz w:val="22"/>
      <w:szCs w:val="24"/>
      <w:lang w:val="en-GB"/>
    </w:rPr>
  </w:style>
  <w:style w:type="paragraph" w:customStyle="1" w:styleId="ColorfulList-Accent12">
    <w:name w:val="Colorful List - Accent 12"/>
    <w:basedOn w:val="Normal"/>
    <w:uiPriority w:val="34"/>
    <w:qFormat/>
    <w:rsid w:val="00C26284"/>
    <w:pPr>
      <w:ind w:left="720"/>
      <w:contextualSpacing/>
    </w:pPr>
  </w:style>
  <w:style w:type="paragraph" w:customStyle="1" w:styleId="ColorfulShading-Accent11">
    <w:name w:val="Colorful Shading - Accent 11"/>
    <w:hidden/>
    <w:uiPriority w:val="99"/>
    <w:semiHidden/>
    <w:rsid w:val="00F672A7"/>
    <w:rPr>
      <w:sz w:val="22"/>
      <w:szCs w:val="24"/>
      <w:lang w:val="en-GB" w:eastAsia="en-US"/>
    </w:rPr>
  </w:style>
  <w:style w:type="character" w:customStyle="1" w:styleId="FootnoteTextChar2">
    <w:name w:val="Footnote Text Char2"/>
    <w:aliases w:val="fn Char3,Geneva 9 Char3,Font: Geneva 9 Char3,Boston 10 Char3,f Char3,ft Char4,Fotnotstext Char Char3,ft Char Char3,single space Char3,footnote text Char2,FOOTNOTES Char3,ADB Char3,single space1 Char3,footnote text1 Char3,fn1 Char3"/>
    <w:semiHidden/>
    <w:rsid w:val="00921207"/>
    <w:rPr>
      <w:sz w:val="18"/>
      <w:szCs w:val="24"/>
      <w:lang w:val="en-GB" w:eastAsia="en-US"/>
    </w:rPr>
  </w:style>
  <w:style w:type="character" w:customStyle="1" w:styleId="Ttulo7Car">
    <w:name w:val="Título 7 Car"/>
    <w:link w:val="Ttulo7"/>
    <w:rsid w:val="00402B8B"/>
    <w:rPr>
      <w:rFonts w:ascii="Univers" w:hAnsi="Univers"/>
      <w:b/>
      <w:sz w:val="28"/>
      <w:szCs w:val="24"/>
      <w:lang w:val="en-GB" w:eastAsia="en-US"/>
    </w:rPr>
  </w:style>
  <w:style w:type="paragraph" w:customStyle="1" w:styleId="MediumList2-Accent21">
    <w:name w:val="Medium List 2 - Accent 21"/>
    <w:hidden/>
    <w:uiPriority w:val="99"/>
    <w:semiHidden/>
    <w:rsid w:val="00CB7E9D"/>
    <w:rPr>
      <w:sz w:val="22"/>
      <w:szCs w:val="24"/>
      <w:lang w:val="en-GB" w:eastAsia="en-US"/>
    </w:rPr>
  </w:style>
  <w:style w:type="paragraph" w:customStyle="1" w:styleId="MediumGrid1-Accent21">
    <w:name w:val="Medium Grid 1 - Accent 21"/>
    <w:basedOn w:val="Normal"/>
    <w:link w:val="MediumGrid1-Accent2Char"/>
    <w:uiPriority w:val="34"/>
    <w:qFormat/>
    <w:rsid w:val="00394499"/>
    <w:pPr>
      <w:ind w:leftChars="400" w:left="800"/>
    </w:pPr>
  </w:style>
  <w:style w:type="table" w:styleId="Tablaconcuadrcula">
    <w:name w:val="Table Grid"/>
    <w:basedOn w:val="Tablanormal"/>
    <w:uiPriority w:val="59"/>
    <w:rsid w:val="00322E8A"/>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11">
    <w:name w:val="Medium Shading 1 - Accent 11"/>
    <w:link w:val="MediumShading1-Accent1Char"/>
    <w:uiPriority w:val="1"/>
    <w:qFormat/>
    <w:rsid w:val="00322E8A"/>
    <w:rPr>
      <w:rFonts w:ascii="Calibri" w:eastAsia="Times New Roman" w:hAnsi="Calibri"/>
      <w:sz w:val="22"/>
      <w:szCs w:val="22"/>
      <w:lang w:eastAsia="en-US"/>
    </w:rPr>
  </w:style>
  <w:style w:type="character" w:customStyle="1" w:styleId="MediumShading1-Accent1Char">
    <w:name w:val="Medium Shading 1 - Accent 1 Char"/>
    <w:link w:val="MediumShading1-Accent11"/>
    <w:uiPriority w:val="1"/>
    <w:rsid w:val="00322E8A"/>
    <w:rPr>
      <w:rFonts w:ascii="Calibri" w:eastAsia="Times New Roman" w:hAnsi="Calibri"/>
      <w:sz w:val="22"/>
      <w:szCs w:val="22"/>
    </w:rPr>
  </w:style>
  <w:style w:type="character" w:customStyle="1" w:styleId="PargrafodaListaCarcter">
    <w:name w:val="Parágrafo da Lista Carácter"/>
    <w:aliases w:val="subitem Carácter"/>
    <w:link w:val="PargrafodaLista"/>
    <w:uiPriority w:val="34"/>
    <w:locked/>
    <w:rsid w:val="00E575DC"/>
    <w:rPr>
      <w:rFonts w:ascii="Calibri" w:hAnsi="Calibri"/>
    </w:rPr>
  </w:style>
  <w:style w:type="paragraph" w:customStyle="1" w:styleId="PargrafodaLista">
    <w:name w:val="Parágrafo da Lista"/>
    <w:aliases w:val="subitem"/>
    <w:basedOn w:val="Normal"/>
    <w:link w:val="PargrafodaListaCarcter"/>
    <w:uiPriority w:val="34"/>
    <w:rsid w:val="00E575DC"/>
    <w:pPr>
      <w:spacing w:after="200" w:line="276" w:lineRule="auto"/>
      <w:ind w:left="720"/>
      <w:contextualSpacing/>
      <w:jc w:val="left"/>
    </w:pPr>
    <w:rPr>
      <w:rFonts w:ascii="Calibri" w:hAnsi="Calibri"/>
      <w:sz w:val="20"/>
      <w:szCs w:val="20"/>
      <w:lang w:val="en-US"/>
    </w:rPr>
  </w:style>
  <w:style w:type="paragraph" w:styleId="NormalWeb">
    <w:name w:val="Normal (Web)"/>
    <w:basedOn w:val="Normal"/>
    <w:uiPriority w:val="99"/>
    <w:semiHidden/>
    <w:unhideWhenUsed/>
    <w:rsid w:val="00740858"/>
    <w:pPr>
      <w:spacing w:before="100" w:beforeAutospacing="1" w:after="100" w:afterAutospacing="1"/>
      <w:jc w:val="left"/>
    </w:pPr>
    <w:rPr>
      <w:rFonts w:eastAsia="Calibri"/>
      <w:sz w:val="24"/>
      <w:lang w:val="en-US"/>
    </w:rPr>
  </w:style>
  <w:style w:type="character" w:customStyle="1" w:styleId="MediumGrid1-Accent2Char">
    <w:name w:val="Medium Grid 1 - Accent 2 Char"/>
    <w:link w:val="MediumGrid1-Accent21"/>
    <w:uiPriority w:val="34"/>
    <w:rsid w:val="00845DBE"/>
    <w:rPr>
      <w:sz w:val="22"/>
      <w:szCs w:val="24"/>
      <w:lang w:val="en-GB"/>
    </w:rPr>
  </w:style>
  <w:style w:type="paragraph" w:styleId="Revisin">
    <w:name w:val="Revision"/>
    <w:hidden/>
    <w:uiPriority w:val="99"/>
    <w:semiHidden/>
    <w:rsid w:val="009F49C7"/>
    <w:rPr>
      <w:sz w:val="22"/>
      <w:szCs w:val="24"/>
      <w:lang w:val="en-GB" w:eastAsia="en-US"/>
    </w:rPr>
  </w:style>
  <w:style w:type="paragraph" w:styleId="Prrafodelista">
    <w:name w:val="List Paragraph"/>
    <w:basedOn w:val="Normal"/>
    <w:link w:val="PrrafodelistaCar"/>
    <w:uiPriority w:val="34"/>
    <w:qFormat/>
    <w:rsid w:val="00F522A7"/>
    <w:pPr>
      <w:spacing w:after="200" w:line="276" w:lineRule="auto"/>
      <w:ind w:left="720"/>
      <w:contextualSpacing/>
      <w:jc w:val="left"/>
    </w:pPr>
    <w:rPr>
      <w:rFonts w:ascii="Calibri" w:eastAsia="Calibri" w:hAnsi="Calibri"/>
      <w:szCs w:val="22"/>
      <w:lang w:val="en-CA"/>
    </w:rPr>
  </w:style>
  <w:style w:type="character" w:customStyle="1" w:styleId="PrrafodelistaCar">
    <w:name w:val="Párrafo de lista Car"/>
    <w:link w:val="Prrafodelista"/>
    <w:uiPriority w:val="34"/>
    <w:rsid w:val="00F522A7"/>
    <w:rPr>
      <w:rFonts w:ascii="Calibri" w:eastAsia="Calibri" w:hAnsi="Calibri"/>
      <w:sz w:val="22"/>
      <w:szCs w:val="22"/>
      <w:lang w:eastAsia="en-US"/>
    </w:rPr>
  </w:style>
  <w:style w:type="character" w:customStyle="1" w:styleId="UnresolvedMention1">
    <w:name w:val="Unresolved Mention1"/>
    <w:basedOn w:val="Fuentedeprrafopredeter"/>
    <w:uiPriority w:val="99"/>
    <w:semiHidden/>
    <w:unhideWhenUsed/>
    <w:rsid w:val="00D93FF3"/>
    <w:rPr>
      <w:color w:val="808080"/>
      <w:shd w:val="clear" w:color="auto" w:fill="E6E6E6"/>
    </w:rPr>
  </w:style>
  <w:style w:type="character" w:styleId="Textodelmarcadordeposicin">
    <w:name w:val="Placeholder Text"/>
    <w:basedOn w:val="Fuentedeprrafopredeter"/>
    <w:uiPriority w:val="99"/>
    <w:semiHidden/>
    <w:rsid w:val="001B1C8E"/>
    <w:rPr>
      <w:color w:val="808080"/>
    </w:rPr>
  </w:style>
  <w:style w:type="character" w:customStyle="1" w:styleId="StyleFootnoteReferencenumberFootnoteReferenceSuperscript-EF">
    <w:name w:val="Style Footnote ReferencenumberFootnote Reference Superscript-E F..."/>
    <w:basedOn w:val="Refdenotaalpie"/>
    <w:rsid w:val="00FF38B7"/>
    <w:rPr>
      <w:rFonts w:ascii="Times New Roman" w:hAnsi="Times New Roman"/>
      <w:sz w:val="22"/>
      <w:u w:val="none"/>
      <w:vertAlign w:val="superscript"/>
    </w:rPr>
  </w:style>
  <w:style w:type="character" w:styleId="Textoennegrita">
    <w:name w:val="Strong"/>
    <w:basedOn w:val="Fuentedeprrafopredeter"/>
    <w:uiPriority w:val="22"/>
    <w:qFormat/>
    <w:rsid w:val="002E4E8E"/>
    <w:rPr>
      <w:b/>
      <w:bCs/>
    </w:rPr>
  </w:style>
  <w:style w:type="character" w:customStyle="1" w:styleId="UnresolvedMention2">
    <w:name w:val="Unresolved Mention2"/>
    <w:basedOn w:val="Fuentedeprrafopredeter"/>
    <w:uiPriority w:val="99"/>
    <w:semiHidden/>
    <w:unhideWhenUsed/>
    <w:rsid w:val="000E1E03"/>
    <w:rPr>
      <w:color w:val="808080"/>
      <w:shd w:val="clear" w:color="auto" w:fill="E6E6E6"/>
    </w:rPr>
  </w:style>
  <w:style w:type="character" w:customStyle="1" w:styleId="Mencinsinresolver1">
    <w:name w:val="Mención sin resolver1"/>
    <w:basedOn w:val="Fuentedeprrafopredeter"/>
    <w:uiPriority w:val="99"/>
    <w:semiHidden/>
    <w:unhideWhenUsed/>
    <w:rsid w:val="00B442B2"/>
    <w:rPr>
      <w:color w:val="808080"/>
      <w:shd w:val="clear" w:color="auto" w:fill="E6E6E6"/>
    </w:rPr>
  </w:style>
  <w:style w:type="character" w:customStyle="1" w:styleId="Mencinsinresolver2">
    <w:name w:val="Mención sin resolver2"/>
    <w:basedOn w:val="Fuentedeprrafopredeter"/>
    <w:uiPriority w:val="99"/>
    <w:semiHidden/>
    <w:unhideWhenUsed/>
    <w:rsid w:val="003B53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2851">
      <w:bodyDiv w:val="1"/>
      <w:marLeft w:val="0"/>
      <w:marRight w:val="0"/>
      <w:marTop w:val="0"/>
      <w:marBottom w:val="0"/>
      <w:divBdr>
        <w:top w:val="none" w:sz="0" w:space="0" w:color="auto"/>
        <w:left w:val="none" w:sz="0" w:space="0" w:color="auto"/>
        <w:bottom w:val="none" w:sz="0" w:space="0" w:color="auto"/>
        <w:right w:val="none" w:sz="0" w:space="0" w:color="auto"/>
      </w:divBdr>
    </w:div>
    <w:div w:id="261187665">
      <w:bodyDiv w:val="1"/>
      <w:marLeft w:val="0"/>
      <w:marRight w:val="0"/>
      <w:marTop w:val="0"/>
      <w:marBottom w:val="0"/>
      <w:divBdr>
        <w:top w:val="none" w:sz="0" w:space="0" w:color="auto"/>
        <w:left w:val="none" w:sz="0" w:space="0" w:color="auto"/>
        <w:bottom w:val="none" w:sz="0" w:space="0" w:color="auto"/>
        <w:right w:val="none" w:sz="0" w:space="0" w:color="auto"/>
      </w:divBdr>
    </w:div>
    <w:div w:id="276180026">
      <w:bodyDiv w:val="1"/>
      <w:marLeft w:val="0"/>
      <w:marRight w:val="0"/>
      <w:marTop w:val="0"/>
      <w:marBottom w:val="0"/>
      <w:divBdr>
        <w:top w:val="none" w:sz="0" w:space="0" w:color="auto"/>
        <w:left w:val="none" w:sz="0" w:space="0" w:color="auto"/>
        <w:bottom w:val="none" w:sz="0" w:space="0" w:color="auto"/>
        <w:right w:val="none" w:sz="0" w:space="0" w:color="auto"/>
      </w:divBdr>
    </w:div>
    <w:div w:id="376052437">
      <w:bodyDiv w:val="1"/>
      <w:marLeft w:val="0"/>
      <w:marRight w:val="0"/>
      <w:marTop w:val="0"/>
      <w:marBottom w:val="0"/>
      <w:divBdr>
        <w:top w:val="none" w:sz="0" w:space="0" w:color="auto"/>
        <w:left w:val="none" w:sz="0" w:space="0" w:color="auto"/>
        <w:bottom w:val="none" w:sz="0" w:space="0" w:color="auto"/>
        <w:right w:val="none" w:sz="0" w:space="0" w:color="auto"/>
      </w:divBdr>
    </w:div>
    <w:div w:id="409498718">
      <w:bodyDiv w:val="1"/>
      <w:marLeft w:val="0"/>
      <w:marRight w:val="0"/>
      <w:marTop w:val="0"/>
      <w:marBottom w:val="0"/>
      <w:divBdr>
        <w:top w:val="none" w:sz="0" w:space="0" w:color="auto"/>
        <w:left w:val="none" w:sz="0" w:space="0" w:color="auto"/>
        <w:bottom w:val="none" w:sz="0" w:space="0" w:color="auto"/>
        <w:right w:val="none" w:sz="0" w:space="0" w:color="auto"/>
      </w:divBdr>
    </w:div>
    <w:div w:id="455756779">
      <w:bodyDiv w:val="1"/>
      <w:marLeft w:val="0"/>
      <w:marRight w:val="0"/>
      <w:marTop w:val="0"/>
      <w:marBottom w:val="0"/>
      <w:divBdr>
        <w:top w:val="none" w:sz="0" w:space="0" w:color="auto"/>
        <w:left w:val="none" w:sz="0" w:space="0" w:color="auto"/>
        <w:bottom w:val="none" w:sz="0" w:space="0" w:color="auto"/>
        <w:right w:val="none" w:sz="0" w:space="0" w:color="auto"/>
      </w:divBdr>
    </w:div>
    <w:div w:id="457720394">
      <w:bodyDiv w:val="1"/>
      <w:marLeft w:val="0"/>
      <w:marRight w:val="0"/>
      <w:marTop w:val="0"/>
      <w:marBottom w:val="0"/>
      <w:divBdr>
        <w:top w:val="none" w:sz="0" w:space="0" w:color="auto"/>
        <w:left w:val="none" w:sz="0" w:space="0" w:color="auto"/>
        <w:bottom w:val="none" w:sz="0" w:space="0" w:color="auto"/>
        <w:right w:val="none" w:sz="0" w:space="0" w:color="auto"/>
      </w:divBdr>
    </w:div>
    <w:div w:id="629749407">
      <w:bodyDiv w:val="1"/>
      <w:marLeft w:val="0"/>
      <w:marRight w:val="0"/>
      <w:marTop w:val="0"/>
      <w:marBottom w:val="0"/>
      <w:divBdr>
        <w:top w:val="none" w:sz="0" w:space="0" w:color="auto"/>
        <w:left w:val="none" w:sz="0" w:space="0" w:color="auto"/>
        <w:bottom w:val="none" w:sz="0" w:space="0" w:color="auto"/>
        <w:right w:val="none" w:sz="0" w:space="0" w:color="auto"/>
      </w:divBdr>
    </w:div>
    <w:div w:id="792797151">
      <w:bodyDiv w:val="1"/>
      <w:marLeft w:val="0"/>
      <w:marRight w:val="0"/>
      <w:marTop w:val="0"/>
      <w:marBottom w:val="0"/>
      <w:divBdr>
        <w:top w:val="none" w:sz="0" w:space="0" w:color="auto"/>
        <w:left w:val="none" w:sz="0" w:space="0" w:color="auto"/>
        <w:bottom w:val="none" w:sz="0" w:space="0" w:color="auto"/>
        <w:right w:val="none" w:sz="0" w:space="0" w:color="auto"/>
      </w:divBdr>
    </w:div>
    <w:div w:id="901327873">
      <w:bodyDiv w:val="1"/>
      <w:marLeft w:val="0"/>
      <w:marRight w:val="0"/>
      <w:marTop w:val="0"/>
      <w:marBottom w:val="0"/>
      <w:divBdr>
        <w:top w:val="none" w:sz="0" w:space="0" w:color="auto"/>
        <w:left w:val="none" w:sz="0" w:space="0" w:color="auto"/>
        <w:bottom w:val="none" w:sz="0" w:space="0" w:color="auto"/>
        <w:right w:val="none" w:sz="0" w:space="0" w:color="auto"/>
      </w:divBdr>
    </w:div>
    <w:div w:id="1011569444">
      <w:bodyDiv w:val="1"/>
      <w:marLeft w:val="0"/>
      <w:marRight w:val="0"/>
      <w:marTop w:val="0"/>
      <w:marBottom w:val="0"/>
      <w:divBdr>
        <w:top w:val="none" w:sz="0" w:space="0" w:color="auto"/>
        <w:left w:val="none" w:sz="0" w:space="0" w:color="auto"/>
        <w:bottom w:val="none" w:sz="0" w:space="0" w:color="auto"/>
        <w:right w:val="none" w:sz="0" w:space="0" w:color="auto"/>
      </w:divBdr>
    </w:div>
    <w:div w:id="1059207096">
      <w:bodyDiv w:val="1"/>
      <w:marLeft w:val="0"/>
      <w:marRight w:val="0"/>
      <w:marTop w:val="0"/>
      <w:marBottom w:val="0"/>
      <w:divBdr>
        <w:top w:val="none" w:sz="0" w:space="0" w:color="auto"/>
        <w:left w:val="none" w:sz="0" w:space="0" w:color="auto"/>
        <w:bottom w:val="none" w:sz="0" w:space="0" w:color="auto"/>
        <w:right w:val="none" w:sz="0" w:space="0" w:color="auto"/>
      </w:divBdr>
    </w:div>
    <w:div w:id="1084063195">
      <w:bodyDiv w:val="1"/>
      <w:marLeft w:val="0"/>
      <w:marRight w:val="0"/>
      <w:marTop w:val="0"/>
      <w:marBottom w:val="0"/>
      <w:divBdr>
        <w:top w:val="none" w:sz="0" w:space="0" w:color="auto"/>
        <w:left w:val="none" w:sz="0" w:space="0" w:color="auto"/>
        <w:bottom w:val="none" w:sz="0" w:space="0" w:color="auto"/>
        <w:right w:val="none" w:sz="0" w:space="0" w:color="auto"/>
      </w:divBdr>
    </w:div>
    <w:div w:id="1120566606">
      <w:bodyDiv w:val="1"/>
      <w:marLeft w:val="0"/>
      <w:marRight w:val="0"/>
      <w:marTop w:val="0"/>
      <w:marBottom w:val="0"/>
      <w:divBdr>
        <w:top w:val="none" w:sz="0" w:space="0" w:color="auto"/>
        <w:left w:val="none" w:sz="0" w:space="0" w:color="auto"/>
        <w:bottom w:val="none" w:sz="0" w:space="0" w:color="auto"/>
        <w:right w:val="none" w:sz="0" w:space="0" w:color="auto"/>
      </w:divBdr>
    </w:div>
    <w:div w:id="1136337487">
      <w:bodyDiv w:val="1"/>
      <w:marLeft w:val="0"/>
      <w:marRight w:val="0"/>
      <w:marTop w:val="0"/>
      <w:marBottom w:val="0"/>
      <w:divBdr>
        <w:top w:val="none" w:sz="0" w:space="0" w:color="auto"/>
        <w:left w:val="none" w:sz="0" w:space="0" w:color="auto"/>
        <w:bottom w:val="none" w:sz="0" w:space="0" w:color="auto"/>
        <w:right w:val="none" w:sz="0" w:space="0" w:color="auto"/>
      </w:divBdr>
    </w:div>
    <w:div w:id="1178033460">
      <w:bodyDiv w:val="1"/>
      <w:marLeft w:val="0"/>
      <w:marRight w:val="0"/>
      <w:marTop w:val="0"/>
      <w:marBottom w:val="0"/>
      <w:divBdr>
        <w:top w:val="none" w:sz="0" w:space="0" w:color="auto"/>
        <w:left w:val="none" w:sz="0" w:space="0" w:color="auto"/>
        <w:bottom w:val="none" w:sz="0" w:space="0" w:color="auto"/>
        <w:right w:val="none" w:sz="0" w:space="0" w:color="auto"/>
      </w:divBdr>
    </w:div>
    <w:div w:id="1193498855">
      <w:bodyDiv w:val="1"/>
      <w:marLeft w:val="0"/>
      <w:marRight w:val="0"/>
      <w:marTop w:val="0"/>
      <w:marBottom w:val="0"/>
      <w:divBdr>
        <w:top w:val="none" w:sz="0" w:space="0" w:color="auto"/>
        <w:left w:val="none" w:sz="0" w:space="0" w:color="auto"/>
        <w:bottom w:val="none" w:sz="0" w:space="0" w:color="auto"/>
        <w:right w:val="none" w:sz="0" w:space="0" w:color="auto"/>
      </w:divBdr>
    </w:div>
    <w:div w:id="1238320882">
      <w:bodyDiv w:val="1"/>
      <w:marLeft w:val="0"/>
      <w:marRight w:val="0"/>
      <w:marTop w:val="0"/>
      <w:marBottom w:val="0"/>
      <w:divBdr>
        <w:top w:val="none" w:sz="0" w:space="0" w:color="auto"/>
        <w:left w:val="none" w:sz="0" w:space="0" w:color="auto"/>
        <w:bottom w:val="none" w:sz="0" w:space="0" w:color="auto"/>
        <w:right w:val="none" w:sz="0" w:space="0" w:color="auto"/>
      </w:divBdr>
    </w:div>
    <w:div w:id="1241913435">
      <w:bodyDiv w:val="1"/>
      <w:marLeft w:val="0"/>
      <w:marRight w:val="0"/>
      <w:marTop w:val="0"/>
      <w:marBottom w:val="0"/>
      <w:divBdr>
        <w:top w:val="none" w:sz="0" w:space="0" w:color="auto"/>
        <w:left w:val="none" w:sz="0" w:space="0" w:color="auto"/>
        <w:bottom w:val="none" w:sz="0" w:space="0" w:color="auto"/>
        <w:right w:val="none" w:sz="0" w:space="0" w:color="auto"/>
      </w:divBdr>
    </w:div>
    <w:div w:id="1251355934">
      <w:bodyDiv w:val="1"/>
      <w:marLeft w:val="0"/>
      <w:marRight w:val="0"/>
      <w:marTop w:val="0"/>
      <w:marBottom w:val="0"/>
      <w:divBdr>
        <w:top w:val="none" w:sz="0" w:space="0" w:color="auto"/>
        <w:left w:val="none" w:sz="0" w:space="0" w:color="auto"/>
        <w:bottom w:val="none" w:sz="0" w:space="0" w:color="auto"/>
        <w:right w:val="none" w:sz="0" w:space="0" w:color="auto"/>
      </w:divBdr>
    </w:div>
    <w:div w:id="1412853461">
      <w:bodyDiv w:val="1"/>
      <w:marLeft w:val="0"/>
      <w:marRight w:val="0"/>
      <w:marTop w:val="0"/>
      <w:marBottom w:val="0"/>
      <w:divBdr>
        <w:top w:val="none" w:sz="0" w:space="0" w:color="auto"/>
        <w:left w:val="none" w:sz="0" w:space="0" w:color="auto"/>
        <w:bottom w:val="none" w:sz="0" w:space="0" w:color="auto"/>
        <w:right w:val="none" w:sz="0" w:space="0" w:color="auto"/>
      </w:divBdr>
    </w:div>
    <w:div w:id="1480993924">
      <w:bodyDiv w:val="1"/>
      <w:marLeft w:val="0"/>
      <w:marRight w:val="0"/>
      <w:marTop w:val="0"/>
      <w:marBottom w:val="0"/>
      <w:divBdr>
        <w:top w:val="none" w:sz="0" w:space="0" w:color="auto"/>
        <w:left w:val="none" w:sz="0" w:space="0" w:color="auto"/>
        <w:bottom w:val="none" w:sz="0" w:space="0" w:color="auto"/>
        <w:right w:val="none" w:sz="0" w:space="0" w:color="auto"/>
      </w:divBdr>
      <w:divsChild>
        <w:div w:id="251475274">
          <w:marLeft w:val="0"/>
          <w:marRight w:val="0"/>
          <w:marTop w:val="0"/>
          <w:marBottom w:val="0"/>
          <w:divBdr>
            <w:top w:val="none" w:sz="0" w:space="0" w:color="auto"/>
            <w:left w:val="none" w:sz="0" w:space="0" w:color="auto"/>
            <w:bottom w:val="none" w:sz="0" w:space="0" w:color="auto"/>
            <w:right w:val="none" w:sz="0" w:space="0" w:color="auto"/>
          </w:divBdr>
        </w:div>
        <w:div w:id="262225135">
          <w:marLeft w:val="0"/>
          <w:marRight w:val="0"/>
          <w:marTop w:val="0"/>
          <w:marBottom w:val="0"/>
          <w:divBdr>
            <w:top w:val="none" w:sz="0" w:space="0" w:color="auto"/>
            <w:left w:val="none" w:sz="0" w:space="0" w:color="auto"/>
            <w:bottom w:val="none" w:sz="0" w:space="0" w:color="auto"/>
            <w:right w:val="none" w:sz="0" w:space="0" w:color="auto"/>
          </w:divBdr>
        </w:div>
        <w:div w:id="416052737">
          <w:marLeft w:val="0"/>
          <w:marRight w:val="0"/>
          <w:marTop w:val="0"/>
          <w:marBottom w:val="0"/>
          <w:divBdr>
            <w:top w:val="none" w:sz="0" w:space="0" w:color="auto"/>
            <w:left w:val="none" w:sz="0" w:space="0" w:color="auto"/>
            <w:bottom w:val="none" w:sz="0" w:space="0" w:color="auto"/>
            <w:right w:val="none" w:sz="0" w:space="0" w:color="auto"/>
          </w:divBdr>
        </w:div>
        <w:div w:id="607394955">
          <w:marLeft w:val="0"/>
          <w:marRight w:val="0"/>
          <w:marTop w:val="0"/>
          <w:marBottom w:val="0"/>
          <w:divBdr>
            <w:top w:val="none" w:sz="0" w:space="0" w:color="auto"/>
            <w:left w:val="none" w:sz="0" w:space="0" w:color="auto"/>
            <w:bottom w:val="none" w:sz="0" w:space="0" w:color="auto"/>
            <w:right w:val="none" w:sz="0" w:space="0" w:color="auto"/>
          </w:divBdr>
        </w:div>
        <w:div w:id="686912290">
          <w:marLeft w:val="0"/>
          <w:marRight w:val="0"/>
          <w:marTop w:val="0"/>
          <w:marBottom w:val="0"/>
          <w:divBdr>
            <w:top w:val="none" w:sz="0" w:space="0" w:color="auto"/>
            <w:left w:val="none" w:sz="0" w:space="0" w:color="auto"/>
            <w:bottom w:val="none" w:sz="0" w:space="0" w:color="auto"/>
            <w:right w:val="none" w:sz="0" w:space="0" w:color="auto"/>
          </w:divBdr>
        </w:div>
        <w:div w:id="935406117">
          <w:marLeft w:val="0"/>
          <w:marRight w:val="0"/>
          <w:marTop w:val="0"/>
          <w:marBottom w:val="0"/>
          <w:divBdr>
            <w:top w:val="none" w:sz="0" w:space="0" w:color="auto"/>
            <w:left w:val="none" w:sz="0" w:space="0" w:color="auto"/>
            <w:bottom w:val="none" w:sz="0" w:space="0" w:color="auto"/>
            <w:right w:val="none" w:sz="0" w:space="0" w:color="auto"/>
          </w:divBdr>
        </w:div>
        <w:div w:id="961348968">
          <w:marLeft w:val="0"/>
          <w:marRight w:val="0"/>
          <w:marTop w:val="0"/>
          <w:marBottom w:val="0"/>
          <w:divBdr>
            <w:top w:val="none" w:sz="0" w:space="0" w:color="auto"/>
            <w:left w:val="none" w:sz="0" w:space="0" w:color="auto"/>
            <w:bottom w:val="none" w:sz="0" w:space="0" w:color="auto"/>
            <w:right w:val="none" w:sz="0" w:space="0" w:color="auto"/>
          </w:divBdr>
        </w:div>
        <w:div w:id="1587878335">
          <w:marLeft w:val="0"/>
          <w:marRight w:val="0"/>
          <w:marTop w:val="0"/>
          <w:marBottom w:val="0"/>
          <w:divBdr>
            <w:top w:val="none" w:sz="0" w:space="0" w:color="auto"/>
            <w:left w:val="none" w:sz="0" w:space="0" w:color="auto"/>
            <w:bottom w:val="none" w:sz="0" w:space="0" w:color="auto"/>
            <w:right w:val="none" w:sz="0" w:space="0" w:color="auto"/>
          </w:divBdr>
        </w:div>
        <w:div w:id="1607423423">
          <w:marLeft w:val="0"/>
          <w:marRight w:val="0"/>
          <w:marTop w:val="0"/>
          <w:marBottom w:val="0"/>
          <w:divBdr>
            <w:top w:val="none" w:sz="0" w:space="0" w:color="auto"/>
            <w:left w:val="none" w:sz="0" w:space="0" w:color="auto"/>
            <w:bottom w:val="none" w:sz="0" w:space="0" w:color="auto"/>
            <w:right w:val="none" w:sz="0" w:space="0" w:color="auto"/>
          </w:divBdr>
        </w:div>
        <w:div w:id="1930311064">
          <w:marLeft w:val="0"/>
          <w:marRight w:val="0"/>
          <w:marTop w:val="0"/>
          <w:marBottom w:val="0"/>
          <w:divBdr>
            <w:top w:val="none" w:sz="0" w:space="0" w:color="auto"/>
            <w:left w:val="none" w:sz="0" w:space="0" w:color="auto"/>
            <w:bottom w:val="none" w:sz="0" w:space="0" w:color="auto"/>
            <w:right w:val="none" w:sz="0" w:space="0" w:color="auto"/>
          </w:divBdr>
        </w:div>
        <w:div w:id="1967546961">
          <w:marLeft w:val="0"/>
          <w:marRight w:val="0"/>
          <w:marTop w:val="0"/>
          <w:marBottom w:val="0"/>
          <w:divBdr>
            <w:top w:val="none" w:sz="0" w:space="0" w:color="auto"/>
            <w:left w:val="none" w:sz="0" w:space="0" w:color="auto"/>
            <w:bottom w:val="none" w:sz="0" w:space="0" w:color="auto"/>
            <w:right w:val="none" w:sz="0" w:space="0" w:color="auto"/>
          </w:divBdr>
        </w:div>
      </w:divsChild>
    </w:div>
    <w:div w:id="1659186809">
      <w:bodyDiv w:val="1"/>
      <w:marLeft w:val="0"/>
      <w:marRight w:val="0"/>
      <w:marTop w:val="0"/>
      <w:marBottom w:val="0"/>
      <w:divBdr>
        <w:top w:val="none" w:sz="0" w:space="0" w:color="auto"/>
        <w:left w:val="none" w:sz="0" w:space="0" w:color="auto"/>
        <w:bottom w:val="none" w:sz="0" w:space="0" w:color="auto"/>
        <w:right w:val="none" w:sz="0" w:space="0" w:color="auto"/>
      </w:divBdr>
      <w:divsChild>
        <w:div w:id="259416767">
          <w:marLeft w:val="1282"/>
          <w:marRight w:val="0"/>
          <w:marTop w:val="80"/>
          <w:marBottom w:val="160"/>
          <w:divBdr>
            <w:top w:val="none" w:sz="0" w:space="0" w:color="auto"/>
            <w:left w:val="none" w:sz="0" w:space="0" w:color="auto"/>
            <w:bottom w:val="none" w:sz="0" w:space="0" w:color="auto"/>
            <w:right w:val="none" w:sz="0" w:space="0" w:color="auto"/>
          </w:divBdr>
        </w:div>
      </w:divsChild>
    </w:div>
    <w:div w:id="1737169763">
      <w:bodyDiv w:val="1"/>
      <w:marLeft w:val="0"/>
      <w:marRight w:val="0"/>
      <w:marTop w:val="0"/>
      <w:marBottom w:val="0"/>
      <w:divBdr>
        <w:top w:val="none" w:sz="0" w:space="0" w:color="auto"/>
        <w:left w:val="none" w:sz="0" w:space="0" w:color="auto"/>
        <w:bottom w:val="none" w:sz="0" w:space="0" w:color="auto"/>
        <w:right w:val="none" w:sz="0" w:space="0" w:color="auto"/>
      </w:divBdr>
    </w:div>
    <w:div w:id="1754080620">
      <w:bodyDiv w:val="1"/>
      <w:marLeft w:val="0"/>
      <w:marRight w:val="0"/>
      <w:marTop w:val="0"/>
      <w:marBottom w:val="0"/>
      <w:divBdr>
        <w:top w:val="none" w:sz="0" w:space="0" w:color="auto"/>
        <w:left w:val="none" w:sz="0" w:space="0" w:color="auto"/>
        <w:bottom w:val="none" w:sz="0" w:space="0" w:color="auto"/>
        <w:right w:val="none" w:sz="0" w:space="0" w:color="auto"/>
      </w:divBdr>
    </w:div>
    <w:div w:id="1816340366">
      <w:bodyDiv w:val="1"/>
      <w:marLeft w:val="0"/>
      <w:marRight w:val="0"/>
      <w:marTop w:val="0"/>
      <w:marBottom w:val="0"/>
      <w:divBdr>
        <w:top w:val="none" w:sz="0" w:space="0" w:color="auto"/>
        <w:left w:val="none" w:sz="0" w:space="0" w:color="auto"/>
        <w:bottom w:val="none" w:sz="0" w:space="0" w:color="auto"/>
        <w:right w:val="none" w:sz="0" w:space="0" w:color="auto"/>
      </w:divBdr>
    </w:div>
    <w:div w:id="1866673424">
      <w:bodyDiv w:val="1"/>
      <w:marLeft w:val="0"/>
      <w:marRight w:val="0"/>
      <w:marTop w:val="0"/>
      <w:marBottom w:val="0"/>
      <w:divBdr>
        <w:top w:val="none" w:sz="0" w:space="0" w:color="auto"/>
        <w:left w:val="none" w:sz="0" w:space="0" w:color="auto"/>
        <w:bottom w:val="none" w:sz="0" w:space="0" w:color="auto"/>
        <w:right w:val="none" w:sz="0" w:space="0" w:color="auto"/>
      </w:divBdr>
    </w:div>
    <w:div w:id="1914504061">
      <w:bodyDiv w:val="1"/>
      <w:marLeft w:val="0"/>
      <w:marRight w:val="0"/>
      <w:marTop w:val="0"/>
      <w:marBottom w:val="0"/>
      <w:divBdr>
        <w:top w:val="none" w:sz="0" w:space="0" w:color="auto"/>
        <w:left w:val="none" w:sz="0" w:space="0" w:color="auto"/>
        <w:bottom w:val="none" w:sz="0" w:space="0" w:color="auto"/>
        <w:right w:val="none" w:sz="0" w:space="0" w:color="auto"/>
      </w:divBdr>
      <w:divsChild>
        <w:div w:id="1387950008">
          <w:marLeft w:val="0"/>
          <w:marRight w:val="0"/>
          <w:marTop w:val="0"/>
          <w:marBottom w:val="0"/>
          <w:divBdr>
            <w:top w:val="none" w:sz="0" w:space="0" w:color="auto"/>
            <w:left w:val="none" w:sz="0" w:space="0" w:color="auto"/>
            <w:bottom w:val="none" w:sz="0" w:space="0" w:color="auto"/>
            <w:right w:val="none" w:sz="0" w:space="0" w:color="auto"/>
          </w:divBdr>
          <w:divsChild>
            <w:div w:id="1062485032">
              <w:marLeft w:val="0"/>
              <w:marRight w:val="0"/>
              <w:marTop w:val="0"/>
              <w:marBottom w:val="0"/>
              <w:divBdr>
                <w:top w:val="none" w:sz="0" w:space="0" w:color="auto"/>
                <w:left w:val="none" w:sz="0" w:space="0" w:color="auto"/>
                <w:bottom w:val="none" w:sz="0" w:space="0" w:color="auto"/>
                <w:right w:val="none" w:sz="0" w:space="0" w:color="auto"/>
              </w:divBdr>
              <w:divsChild>
                <w:div w:id="1172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6093">
      <w:bodyDiv w:val="1"/>
      <w:marLeft w:val="0"/>
      <w:marRight w:val="0"/>
      <w:marTop w:val="0"/>
      <w:marBottom w:val="0"/>
      <w:divBdr>
        <w:top w:val="none" w:sz="0" w:space="0" w:color="auto"/>
        <w:left w:val="none" w:sz="0" w:space="0" w:color="auto"/>
        <w:bottom w:val="none" w:sz="0" w:space="0" w:color="auto"/>
        <w:right w:val="none" w:sz="0" w:space="0" w:color="auto"/>
      </w:divBdr>
    </w:div>
    <w:div w:id="19520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1/cop-11-dec-17-es.pdf" TargetMode="External"/><Relationship Id="rId18" Type="http://schemas.openxmlformats.org/officeDocument/2006/relationships/hyperlink" Target="https://www.cbd.int/doc/decisions/cop-12/cop-12-dec-23-es.pdf" TargetMode="External"/><Relationship Id="rId26" Type="http://schemas.openxmlformats.org/officeDocument/2006/relationships/hyperlink" Target="https://www.cbd.int/doc/decisions/cop-10/cop-10-dec-29-es.pdf" TargetMode="External"/><Relationship Id="rId3" Type="http://schemas.openxmlformats.org/officeDocument/2006/relationships/styles" Target="styles.xml"/><Relationship Id="rId21" Type="http://schemas.openxmlformats.org/officeDocument/2006/relationships/hyperlink" Target="https://www.cbd.int/doc/decisions/cop-11/cop-11-dec-18-es.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bd.int/doc/decisions/cop-10/cop-10-dec-29-es.pdf" TargetMode="External"/><Relationship Id="rId17" Type="http://schemas.openxmlformats.org/officeDocument/2006/relationships/hyperlink" Target="https://www.cbd.int/doc/decisions/cop-13/cop-13-dec-10-es.pdf" TargetMode="External"/><Relationship Id="rId25" Type="http://schemas.openxmlformats.org/officeDocument/2006/relationships/hyperlink" Target="https://www.cbd.int/doc/decisions/cop-12/cop-12-dec-23-es.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cbd.int/doc/decisions/cop-12/cop-12-dec-23-es.pdf" TargetMode="External"/><Relationship Id="rId29" Type="http://schemas.openxmlformats.org/officeDocument/2006/relationships/hyperlink" Target="https://www.cbd.int/doc/decisions/cop-13/cop-13-dec-12-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09/cop-09-dec-20-es.pdf" TargetMode="External"/><Relationship Id="rId24" Type="http://schemas.openxmlformats.org/officeDocument/2006/relationships/hyperlink" Target="https://www.cbd.int/doc/decisions/cop-13/cop-13-dec-28-es.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camlr.org/es/organisation/texto-de-la-convenci%C3%B3n-sobre-la-crvma" TargetMode="External"/><Relationship Id="rId23" Type="http://schemas.openxmlformats.org/officeDocument/2006/relationships/hyperlink" Target="https://www.cbd.int/doc/decisions/cop-13/cop-13-dec-03-es.pdf" TargetMode="External"/><Relationship Id="rId28" Type="http://schemas.openxmlformats.org/officeDocument/2006/relationships/hyperlink" Target="https://www.cbd.int/doc/decisions/cop-12/cop-12-dec-22-es.pdf"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cbd.int/doc/decisions/cop-13/cop-13-dec-09-es.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meetings/sbstta/sbstta-22/official/sbstta-22-01-add1-es.pdf" TargetMode="External"/><Relationship Id="rId22" Type="http://schemas.openxmlformats.org/officeDocument/2006/relationships/hyperlink" Target="http://www.un.org/en/ga/search/view_doc.asp?symbol=A/RES/71/257&amp;referer=/english/&amp;Lang=S" TargetMode="External"/><Relationship Id="rId27" Type="http://schemas.openxmlformats.org/officeDocument/2006/relationships/hyperlink" Target="https://www.cbd.int/doc/decisions/cop-11/cop-11-dec-17-es.pdf" TargetMode="External"/><Relationship Id="rId30" Type="http://schemas.openxmlformats.org/officeDocument/2006/relationships/header" Target="header1.xm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s/A/67/838" TargetMode="External"/><Relationship Id="rId2" Type="http://schemas.openxmlformats.org/officeDocument/2006/relationships/hyperlink" Target="https://www.cbd.int/doc/decisions/cop-13/cop-13-dec-12-es.pdf" TargetMode="External"/><Relationship Id="rId1" Type="http://schemas.openxmlformats.org/officeDocument/2006/relationships/hyperlink" Target="https://www.cbd.int/doc/meetings/sbstta/sbstta-22/official/sbstta-22-01-es.pdf" TargetMode="External"/><Relationship Id="rId5" Type="http://schemas.openxmlformats.org/officeDocument/2006/relationships/hyperlink" Target="http://undocs.org/es/A/72/491" TargetMode="External"/><Relationship Id="rId4" Type="http://schemas.openxmlformats.org/officeDocument/2006/relationships/hyperlink" Target="http://undocs.org/es/A/69/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2014\SBSTTA-18\template-sbstta-1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41C0D8DA6449578AE97D95F5CF77E2"/>
        <w:category>
          <w:name w:val="General"/>
          <w:gallery w:val="placeholder"/>
        </w:category>
        <w:types>
          <w:type w:val="bbPlcHdr"/>
        </w:types>
        <w:behaviors>
          <w:behavior w:val="content"/>
        </w:behaviors>
        <w:guid w:val="{01C88AA7-5470-47CB-B192-57AEB1613E95}"/>
      </w:docPartPr>
      <w:docPartBody>
        <w:p w:rsidR="00CD4BE0" w:rsidRDefault="00CD4BE0">
          <w:r w:rsidRPr="007D39C1">
            <w:rPr>
              <w:rStyle w:val="Textodelmarcadordeposicin"/>
            </w:rPr>
            <w:t>[Subject]</w:t>
          </w:r>
        </w:p>
      </w:docPartBody>
    </w:docPart>
    <w:docPart>
      <w:docPartPr>
        <w:name w:val="25E0E252C2E343C6B5DB993D072F27AF"/>
        <w:category>
          <w:name w:val="General"/>
          <w:gallery w:val="placeholder"/>
        </w:category>
        <w:types>
          <w:type w:val="bbPlcHdr"/>
        </w:types>
        <w:behaviors>
          <w:behavior w:val="content"/>
        </w:behaviors>
        <w:guid w:val="{A4AA83D0-8F7E-41B2-AF61-4DB843304D6B}"/>
      </w:docPartPr>
      <w:docPartBody>
        <w:p w:rsidR="00CD4BE0" w:rsidRDefault="00CD4BE0">
          <w:r w:rsidRPr="007D39C1">
            <w:rPr>
              <w:rStyle w:val="Textodelmarcadordeposicin"/>
            </w:rPr>
            <w:t>[Title]</w:t>
          </w:r>
        </w:p>
      </w:docPartBody>
    </w:docPart>
    <w:docPart>
      <w:docPartPr>
        <w:name w:val="6AFF405DBDF14C1683343B8B6CD6DD14"/>
        <w:category>
          <w:name w:val="General"/>
          <w:gallery w:val="placeholder"/>
        </w:category>
        <w:types>
          <w:type w:val="bbPlcHdr"/>
        </w:types>
        <w:behaviors>
          <w:behavior w:val="content"/>
        </w:behaviors>
        <w:guid w:val="{E7313243-BA3F-4552-8751-802953473313}"/>
      </w:docPartPr>
      <w:docPartBody>
        <w:p w:rsidR="00307555" w:rsidRDefault="00307555">
          <w:r w:rsidRPr="000A7028">
            <w:rPr>
              <w:rStyle w:val="Textodelmarcadordeposicin"/>
            </w:rPr>
            <w:t>[Subject]</w:t>
          </w:r>
        </w:p>
      </w:docPartBody>
    </w:docPart>
    <w:docPart>
      <w:docPartPr>
        <w:name w:val="4205EAE89CBB497D8FF59F3A30CF80A9"/>
        <w:category>
          <w:name w:val="General"/>
          <w:gallery w:val="placeholder"/>
        </w:category>
        <w:types>
          <w:type w:val="bbPlcHdr"/>
        </w:types>
        <w:behaviors>
          <w:behavior w:val="content"/>
        </w:behaviors>
        <w:guid w:val="{C87C2BC1-3895-4EE0-9E5D-950648541C6C}"/>
      </w:docPartPr>
      <w:docPartBody>
        <w:p w:rsidR="00307555" w:rsidRDefault="00307555">
          <w:r w:rsidRPr="000A7028">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D4BE0"/>
    <w:rsid w:val="00105265"/>
    <w:rsid w:val="00114BB2"/>
    <w:rsid w:val="00154ACB"/>
    <w:rsid w:val="001604D4"/>
    <w:rsid w:val="001B2526"/>
    <w:rsid w:val="001B2AC2"/>
    <w:rsid w:val="00266000"/>
    <w:rsid w:val="00307555"/>
    <w:rsid w:val="00360F69"/>
    <w:rsid w:val="00451382"/>
    <w:rsid w:val="0099359B"/>
    <w:rsid w:val="009E48F0"/>
    <w:rsid w:val="00C15EFB"/>
    <w:rsid w:val="00CD4BE0"/>
    <w:rsid w:val="00EC201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0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C20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4782F-2C0A-4317-A8B7-ACB52741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template-sbstta-18</Template>
  <TotalTime>446</TotalTime>
  <Pages>17</Pages>
  <Words>8489</Words>
  <Characters>46691</Characters>
  <Application>Microsoft Office Word</Application>
  <DocSecurity>0</DocSecurity>
  <Lines>389</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DIVERSIDAD BIOLÓGICA MARINA Y COSTERA</vt:lpstr>
      <vt:lpstr>DIVERSIDAD BIOLÓGICA MARINA Y COSTERA</vt:lpstr>
    </vt:vector>
  </TitlesOfParts>
  <Company>SCBD</Company>
  <LinksUpToDate>false</LinksUpToDate>
  <CharactersWithSpaces>55070</CharactersWithSpaces>
  <SharedDoc>false</SharedDoc>
  <HyperlinkBase/>
  <HLinks>
    <vt:vector size="30" baseType="variant">
      <vt:variant>
        <vt:i4>2818098</vt:i4>
      </vt:variant>
      <vt:variant>
        <vt:i4>12</vt:i4>
      </vt:variant>
      <vt:variant>
        <vt:i4>0</vt:i4>
      </vt:variant>
      <vt:variant>
        <vt:i4>5</vt:i4>
      </vt:variant>
      <vt:variant>
        <vt:lpwstr>http://www.cbd.int/soi</vt:lpwstr>
      </vt:variant>
      <vt:variant>
        <vt:lpwstr/>
      </vt:variant>
      <vt:variant>
        <vt:i4>2555967</vt:i4>
      </vt:variant>
      <vt:variant>
        <vt:i4>9</vt:i4>
      </vt:variant>
      <vt:variant>
        <vt:i4>0</vt:i4>
      </vt:variant>
      <vt:variant>
        <vt:i4>5</vt:i4>
      </vt:variant>
      <vt:variant>
        <vt:lpwstr>http://www.cbd.int/ebsa</vt:lpwstr>
      </vt:variant>
      <vt:variant>
        <vt:lpwstr/>
      </vt:variant>
      <vt:variant>
        <vt:i4>6029324</vt:i4>
      </vt:variant>
      <vt:variant>
        <vt:i4>6</vt:i4>
      </vt:variant>
      <vt:variant>
        <vt:i4>0</vt:i4>
      </vt:variant>
      <vt:variant>
        <vt:i4>5</vt:i4>
      </vt:variant>
      <vt:variant>
        <vt:lpwstr>https://documents-dds-ny.un.org/doc/UNDOC/GEN/N17/311/21/PDF/N1731121.pdf?OpenElement</vt:lpwstr>
      </vt:variant>
      <vt:variant>
        <vt:lpwstr/>
      </vt:variant>
      <vt:variant>
        <vt:i4>393265</vt:i4>
      </vt:variant>
      <vt:variant>
        <vt:i4>3</vt:i4>
      </vt:variant>
      <vt:variant>
        <vt:i4>0</vt:i4>
      </vt:variant>
      <vt:variant>
        <vt:i4>5</vt:i4>
      </vt:variant>
      <vt:variant>
        <vt:lpwstr>http://www.un.org/ga/search/view_doc.asp?symbol=A/69/794 and A/72/491</vt:lpwstr>
      </vt:variant>
      <vt:variant>
        <vt:lpwstr/>
      </vt:variant>
      <vt:variant>
        <vt:i4>5111932</vt:i4>
      </vt:variant>
      <vt:variant>
        <vt:i4>0</vt:i4>
      </vt:variant>
      <vt:variant>
        <vt:i4>0</vt:i4>
      </vt:variant>
      <vt:variant>
        <vt:i4>5</vt:i4>
      </vt:variant>
      <vt:variant>
        <vt:lpwstr>http://www.un.org/ga/search/view_doc.asp?symbol=A/67/838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DIVERSIDAD BIOLÓGICA MARINA Y COSTERA</dc:title>
  <dc:subject>CBD/SBSTTA/22/7</dc:subject>
  <dc:creator>SCBD</dc:creator>
  <cp:lastModifiedBy>DANI</cp:lastModifiedBy>
  <cp:revision>40</cp:revision>
  <cp:lastPrinted>2018-05-01T21:52:00Z</cp:lastPrinted>
  <dcterms:created xsi:type="dcterms:W3CDTF">2018-04-20T17:46:00Z</dcterms:created>
  <dcterms:modified xsi:type="dcterms:W3CDTF">2018-06-11T16:09:00Z</dcterms:modified>
</cp:coreProperties>
</file>